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44528D" w:rsidR="00B7412F" w:rsidP="00B7412F" w:rsidRDefault="00B7412F" w14:paraId="40C2A7D8" w14:textId="77777777">
      <w:pPr>
        <w:spacing w:after="0"/>
        <w:rPr>
          <w:rFonts w:ascii="Verdana" w:hAnsi="Verdana"/>
        </w:rPr>
      </w:pPr>
      <w:bookmarkStart w:name="_Hlk143780582" w:id="0"/>
    </w:p>
    <w:p w:rsidRPr="00881D8B" w:rsidR="00B7412F" w:rsidP="00B7412F" w:rsidRDefault="00B7412F" w14:paraId="06ADE33D" w14:textId="77777777">
      <w:pPr>
        <w:spacing w:line="276" w:lineRule="auto"/>
        <w:contextualSpacing/>
        <w:jc w:val="both"/>
        <w:rPr>
          <w:rFonts w:ascii="Verdana" w:hAnsi="Verdana" w:eastAsia="Yu Gothic UI Semibold" w:cs="Arial"/>
          <w:b/>
          <w:bCs/>
          <w:color w:val="000000" w:themeColor="text1"/>
          <w:lang w:val="es-MX"/>
        </w:rPr>
      </w:pPr>
      <w:r w:rsidRPr="00881D8B">
        <w:rPr>
          <w:rFonts w:ascii="Verdana" w:hAnsi="Verdana" w:eastAsia="Yu Gothic UI Semibold" w:cs="Arial"/>
          <w:b/>
          <w:bCs/>
          <w:color w:val="000000" w:themeColor="text1"/>
          <w:lang w:val="es-MX"/>
        </w:rPr>
        <w:t>CONTRATOS DE PRESTACIÓN DE SERVICIOS – Generalidades</w:t>
      </w:r>
    </w:p>
    <w:p w:rsidRPr="00881D8B" w:rsidR="00B7412F" w:rsidP="00B7412F" w:rsidRDefault="00B7412F" w14:paraId="57F33F80" w14:textId="77777777">
      <w:pPr>
        <w:spacing w:line="276" w:lineRule="auto"/>
        <w:contextualSpacing/>
        <w:jc w:val="both"/>
        <w:rPr>
          <w:rFonts w:ascii="Verdana" w:hAnsi="Verdana" w:cs="Arial"/>
          <w:color w:val="000000" w:themeColor="text1"/>
          <w:sz w:val="20"/>
          <w:szCs w:val="20"/>
          <w:lang w:val="es-MX"/>
        </w:rPr>
      </w:pPr>
    </w:p>
    <w:p w:rsidRPr="00881D8B" w:rsidR="00B7412F" w:rsidP="00B7412F" w:rsidRDefault="00B7412F" w14:paraId="29D7EF03" w14:textId="77777777">
      <w:pPr>
        <w:spacing w:line="276" w:lineRule="auto"/>
        <w:contextualSpacing/>
        <w:jc w:val="both"/>
        <w:rPr>
          <w:rFonts w:ascii="Verdana" w:hAnsi="Verdana" w:eastAsia="Yu Gothic UI Semibold" w:cs="Arial"/>
          <w:b/>
          <w:bCs/>
          <w:color w:val="000000" w:themeColor="text1"/>
          <w:sz w:val="20"/>
          <w:szCs w:val="20"/>
          <w:lang w:val="es-MX"/>
        </w:rPr>
      </w:pPr>
      <w:r w:rsidRPr="00881D8B">
        <w:rPr>
          <w:rFonts w:ascii="Verdana" w:hAnsi="Verdana" w:cs="Arial"/>
          <w:color w:val="000000" w:themeColor="text1"/>
          <w:sz w:val="20"/>
          <w:szCs w:val="20"/>
          <w:lang w:val="es-MX"/>
        </w:rPr>
        <w:t>El contrato de prestación de servicios es un contrato estatal típico, regulado en el numeral 3 del artículo 32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Pr="00881D8B">
        <w:rPr>
          <w:rFonts w:ascii="Verdana" w:hAnsi="Verdana" w:eastAsia="Calibri" w:cs="Arial"/>
          <w:color w:val="000000" w:themeColor="text1"/>
          <w:sz w:val="20"/>
          <w:szCs w:val="20"/>
          <w:lang w:val="es-ES_tradnl"/>
        </w:rPr>
        <w:t xml:space="preserve"> La celebración de dicho contrato debe efectuarse a través de la modalidad de contratación directa.</w:t>
      </w:r>
    </w:p>
    <w:p w:rsidRPr="00881D8B" w:rsidR="00B7412F" w:rsidP="00B7412F" w:rsidRDefault="00B7412F" w14:paraId="5BF913F0" w14:textId="77777777">
      <w:pPr>
        <w:spacing w:after="0" w:line="276" w:lineRule="auto"/>
        <w:jc w:val="both"/>
        <w:rPr>
          <w:rFonts w:ascii="Verdana" w:hAnsi="Verdana" w:eastAsia="Calibri" w:cs="Arial"/>
          <w:lang w:val="es-MX" w:eastAsia="es-ES"/>
        </w:rPr>
      </w:pPr>
    </w:p>
    <w:p w:rsidRPr="00881D8B" w:rsidR="00B7412F" w:rsidP="00B7412F" w:rsidRDefault="00B7412F" w14:paraId="7D7ED3D2" w14:textId="77777777">
      <w:pPr>
        <w:spacing w:line="276" w:lineRule="auto"/>
        <w:contextualSpacing/>
        <w:jc w:val="both"/>
        <w:rPr>
          <w:rFonts w:ascii="Verdana" w:hAnsi="Verdana" w:eastAsia="Yu Gothic UI Semibold" w:cs="Arial"/>
          <w:b/>
          <w:bCs/>
          <w:color w:val="000000" w:themeColor="text1"/>
          <w:lang w:val="es-MX"/>
        </w:rPr>
      </w:pPr>
      <w:r w:rsidRPr="00881D8B">
        <w:rPr>
          <w:rFonts w:ascii="Verdana" w:hAnsi="Verdana" w:eastAsia="Yu Gothic UI Semibold" w:cs="Arial"/>
          <w:b/>
          <w:bCs/>
          <w:color w:val="000000" w:themeColor="text1"/>
          <w:lang w:val="es-MX"/>
        </w:rPr>
        <w:t xml:space="preserve">CONTRATOS DE PRESTACIÓN DE SERVICIOS – Temporalidad </w:t>
      </w:r>
    </w:p>
    <w:p w:rsidRPr="00881D8B" w:rsidR="00B7412F" w:rsidP="00B7412F" w:rsidRDefault="00B7412F" w14:paraId="0591263D" w14:textId="77777777">
      <w:pPr>
        <w:spacing w:line="276" w:lineRule="auto"/>
        <w:contextualSpacing/>
        <w:jc w:val="both"/>
        <w:rPr>
          <w:rFonts w:ascii="Verdana" w:hAnsi="Verdana" w:cs="Arial"/>
          <w:noProof/>
          <w:sz w:val="20"/>
          <w:szCs w:val="20"/>
          <w:lang w:val="es-ES_tradnl"/>
        </w:rPr>
      </w:pPr>
    </w:p>
    <w:p w:rsidRPr="00881D8B" w:rsidR="00B7412F" w:rsidP="00B7412F" w:rsidRDefault="00B7412F" w14:paraId="2C74AAE2" w14:textId="77777777">
      <w:pPr>
        <w:spacing w:line="276" w:lineRule="auto"/>
        <w:contextualSpacing/>
        <w:jc w:val="both"/>
        <w:rPr>
          <w:rFonts w:ascii="Verdana" w:hAnsi="Verdana" w:cs="Arial"/>
          <w:noProof/>
          <w:sz w:val="20"/>
          <w:szCs w:val="20"/>
          <w:lang w:val="es-ES_tradnl"/>
        </w:rPr>
      </w:pPr>
      <w:r w:rsidRPr="00881D8B">
        <w:rPr>
          <w:rFonts w:ascii="Verdana" w:hAnsi="Verdana" w:cs="Arial"/>
          <w:noProof/>
          <w:sz w:val="20"/>
          <w:szCs w:val="20"/>
          <w:lang w:val="es-ES_tradnl"/>
        </w:rPr>
        <w:t>Deben ser temporales. La mencionada Sentencia de Unificacion Jurisprudencial del Consejo de Estado, frente a la duración del contrato de prestación de servicios señaló que solo puede celebrarse por un “término estrictamente indispensable”. En ese entendido, unificó el sentido y alcance del término estrictamente indispensable como “aquel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w:t>
      </w:r>
    </w:p>
    <w:p w:rsidRPr="00881D8B" w:rsidR="00B7412F" w:rsidP="00B7412F" w:rsidRDefault="00B7412F" w14:paraId="12CC66D6" w14:textId="77777777">
      <w:pPr>
        <w:spacing w:line="276" w:lineRule="auto"/>
        <w:contextualSpacing/>
        <w:jc w:val="both"/>
        <w:rPr>
          <w:rFonts w:ascii="Verdana" w:hAnsi="Verdana" w:eastAsia="Yu Gothic UI Semibold" w:cs="Arial"/>
          <w:b/>
          <w:bCs/>
          <w:color w:val="000000" w:themeColor="text1"/>
          <w:sz w:val="20"/>
          <w:szCs w:val="20"/>
          <w:lang w:val="es-MX"/>
        </w:rPr>
      </w:pPr>
    </w:p>
    <w:p w:rsidRPr="00881D8B" w:rsidR="00B7412F" w:rsidP="00B7412F" w:rsidRDefault="00B7412F" w14:paraId="4691E533" w14:textId="77777777">
      <w:pPr>
        <w:spacing w:line="276" w:lineRule="auto"/>
        <w:contextualSpacing/>
        <w:jc w:val="both"/>
        <w:rPr>
          <w:rFonts w:ascii="Verdana" w:hAnsi="Verdana" w:eastAsia="Yu Gothic UI Semibold" w:cs="Arial"/>
          <w:b/>
          <w:bCs/>
          <w:color w:val="000000" w:themeColor="text1"/>
          <w:lang w:val="es-MX"/>
        </w:rPr>
      </w:pPr>
      <w:r w:rsidRPr="00881D8B">
        <w:rPr>
          <w:rFonts w:ascii="Verdana" w:hAnsi="Verdana" w:eastAsia="Yu Gothic UI Semibold" w:cs="Arial"/>
          <w:b/>
          <w:bCs/>
          <w:color w:val="000000" w:themeColor="text1"/>
          <w:lang w:val="es-MX"/>
        </w:rPr>
        <w:t xml:space="preserve">CONTRATOS DE PRESTACIÓN DE SERVICIOS – Renovación </w:t>
      </w:r>
    </w:p>
    <w:p w:rsidRPr="00881D8B" w:rsidR="00B7412F" w:rsidP="00B7412F" w:rsidRDefault="00B7412F" w14:paraId="6612BDFA" w14:textId="77777777">
      <w:pPr>
        <w:spacing w:line="276" w:lineRule="auto"/>
        <w:contextualSpacing/>
        <w:jc w:val="both"/>
        <w:rPr>
          <w:rFonts w:ascii="Verdana" w:hAnsi="Verdana" w:eastAsia="Yu Gothic UI Semibold" w:cs="Arial"/>
          <w:sz w:val="20"/>
          <w:szCs w:val="20"/>
          <w:shd w:val="clear" w:color="auto" w:fill="FFFFFF"/>
          <w:lang w:val="es-ES_tradnl"/>
        </w:rPr>
      </w:pPr>
    </w:p>
    <w:p w:rsidRPr="00881D8B" w:rsidR="00B7412F" w:rsidP="00B7412F" w:rsidRDefault="00B7412F" w14:paraId="780F0199" w14:textId="77777777">
      <w:pPr>
        <w:tabs>
          <w:tab w:val="left" w:pos="709"/>
        </w:tabs>
        <w:spacing w:line="276" w:lineRule="auto"/>
        <w:contextualSpacing/>
        <w:jc w:val="both"/>
        <w:rPr>
          <w:rFonts w:ascii="Verdana" w:hAnsi="Verdana" w:eastAsia="Arial" w:cs="Arial"/>
          <w:sz w:val="20"/>
          <w:szCs w:val="20"/>
          <w:lang w:val="es-ES"/>
        </w:rPr>
      </w:pPr>
      <w:r w:rsidRPr="00881D8B">
        <w:rPr>
          <w:rFonts w:ascii="Verdana" w:hAnsi="Verdana" w:eastAsia="Arial" w:cs="Arial"/>
          <w:sz w:val="20"/>
          <w:szCs w:val="20"/>
          <w:lang w:val="es-ES"/>
        </w:rPr>
        <w:t>Con base en lo anterior, puede colegirse que la renovación de los contratos estatales se entiende como la suscripción de uno nuevo con características similares al anterior, con un mismo objeto, pero bajo condiciones diferentes atinentes a su valor y plazo.</w:t>
      </w:r>
    </w:p>
    <w:p w:rsidRPr="00881D8B" w:rsidR="00B7412F" w:rsidP="00B7412F" w:rsidRDefault="00B7412F" w14:paraId="72BD4C5B" w14:textId="77777777">
      <w:pPr>
        <w:spacing w:after="0" w:line="276" w:lineRule="auto"/>
        <w:jc w:val="both"/>
        <w:rPr>
          <w:rFonts w:ascii="Verdana" w:hAnsi="Verdana" w:eastAsia="Calibri" w:cs="Arial"/>
          <w:lang w:val="es-ES" w:eastAsia="es-ES"/>
        </w:rPr>
      </w:pPr>
    </w:p>
    <w:p w:rsidRPr="00881D8B" w:rsidR="00B7412F" w:rsidP="00B7412F" w:rsidRDefault="00B7412F" w14:paraId="63272FF9" w14:textId="77777777">
      <w:pPr>
        <w:spacing w:after="0" w:line="276" w:lineRule="auto"/>
        <w:jc w:val="both"/>
        <w:rPr>
          <w:rFonts w:ascii="Verdana" w:hAnsi="Verdana" w:eastAsia="Calibri" w:cs="Arial"/>
          <w:lang w:val="es-ES" w:eastAsia="es-ES"/>
        </w:rPr>
      </w:pPr>
    </w:p>
    <w:p w:rsidRPr="00881D8B" w:rsidR="00B7412F" w:rsidP="00B7412F" w:rsidRDefault="00B7412F" w14:paraId="71685977" w14:textId="77777777">
      <w:pPr>
        <w:spacing w:after="0" w:line="276" w:lineRule="auto"/>
        <w:jc w:val="both"/>
        <w:rPr>
          <w:rFonts w:ascii="Verdana" w:hAnsi="Verdana" w:eastAsia="Calibri" w:cs="Arial"/>
          <w:lang w:val="es-ES" w:eastAsia="es-ES"/>
        </w:rPr>
      </w:pPr>
    </w:p>
    <w:p w:rsidRPr="00881D8B" w:rsidR="00B7412F" w:rsidP="00B7412F" w:rsidRDefault="00B7412F" w14:paraId="4B3D2DA8" w14:textId="77777777">
      <w:pPr>
        <w:spacing w:after="0" w:line="276" w:lineRule="auto"/>
        <w:jc w:val="both"/>
        <w:rPr>
          <w:rFonts w:ascii="Verdana" w:hAnsi="Verdana" w:eastAsia="Calibri" w:cs="Arial"/>
          <w:lang w:val="es-ES" w:eastAsia="es-ES"/>
        </w:rPr>
      </w:pPr>
    </w:p>
    <w:p w:rsidRPr="00881D8B" w:rsidR="00B7412F" w:rsidP="00B7412F" w:rsidRDefault="00B7412F" w14:paraId="050D5097" w14:textId="77777777">
      <w:pPr>
        <w:spacing w:after="0" w:line="276" w:lineRule="auto"/>
        <w:jc w:val="both"/>
        <w:rPr>
          <w:rFonts w:ascii="Verdana" w:hAnsi="Verdana" w:eastAsia="Calibri" w:cs="Arial"/>
          <w:lang w:val="es-ES" w:eastAsia="es-ES"/>
        </w:rPr>
      </w:pPr>
    </w:p>
    <w:p w:rsidR="00B7412F" w:rsidP="00B7412F" w:rsidRDefault="00B7412F" w14:paraId="6AD95A10" w14:textId="77777777">
      <w:pPr>
        <w:spacing w:after="0" w:line="276" w:lineRule="auto"/>
        <w:jc w:val="both"/>
        <w:rPr>
          <w:rFonts w:ascii="Verdana" w:hAnsi="Verdana" w:eastAsia="Calibri" w:cs="Arial"/>
          <w:lang w:val="es-ES" w:eastAsia="es-ES"/>
        </w:rPr>
      </w:pPr>
    </w:p>
    <w:p w:rsidRPr="00881D8B" w:rsidR="00B7412F" w:rsidP="00B7412F" w:rsidRDefault="00B7412F" w14:paraId="2F611445" w14:textId="77777777">
      <w:pPr>
        <w:spacing w:after="0" w:line="276" w:lineRule="auto"/>
        <w:jc w:val="both"/>
        <w:rPr>
          <w:rFonts w:ascii="Verdana" w:hAnsi="Verdana" w:eastAsia="Calibri" w:cs="Arial"/>
          <w:lang w:val="es-ES" w:eastAsia="es-ES"/>
        </w:rPr>
      </w:pPr>
    </w:p>
    <w:p w:rsidR="00B7412F" w:rsidP="00B7412F" w:rsidRDefault="00B7412F" w14:paraId="1183F10B" w14:textId="2AF77321">
      <w:pPr>
        <w:spacing w:after="0"/>
        <w:rPr>
          <w:rFonts w:ascii="Verdana" w:hAnsi="Verdana"/>
        </w:rPr>
      </w:pPr>
      <w:r w:rsidRPr="0044528D">
        <w:rPr>
          <w:rFonts w:ascii="Verdana" w:hAnsi="Verdana"/>
        </w:rPr>
        <w:t xml:space="preserve">Bogotá D.C., </w:t>
      </w:r>
      <w:r>
        <w:rPr>
          <w:rFonts w:ascii="Verdana" w:hAnsi="Verdana"/>
        </w:rPr>
        <w:t xml:space="preserve">22 de julio de 2024 </w:t>
      </w:r>
      <w:r w:rsidRPr="0044528D">
        <w:rPr>
          <w:rFonts w:ascii="Verdana" w:hAnsi="Verdana"/>
        </w:rPr>
        <w:tab/>
      </w:r>
    </w:p>
    <w:p w:rsidR="00660EB5" w:rsidP="00B7412F" w:rsidRDefault="00660EB5" w14:paraId="4B7F852B" w14:textId="77777777">
      <w:pPr>
        <w:spacing w:after="0"/>
        <w:rPr>
          <w:rFonts w:ascii="Verdana" w:hAnsi="Verdana"/>
        </w:rPr>
      </w:pPr>
    </w:p>
    <w:p w:rsidRPr="0044528D" w:rsidR="00660EB5" w:rsidP="00B7412F" w:rsidRDefault="00660EB5" w14:paraId="740C3E20" w14:textId="77777777">
      <w:pPr>
        <w:spacing w:after="0"/>
        <w:rPr>
          <w:rFonts w:ascii="Verdana" w:hAnsi="Verdana"/>
        </w:rPr>
      </w:pPr>
    </w:p>
    <w:p w:rsidRPr="00B7412F" w:rsidR="00B7412F" w:rsidP="00660EB5" w:rsidRDefault="00660EB5" w14:paraId="3A5369AB" w14:textId="1B29DA33">
      <w:pPr>
        <w:tabs>
          <w:tab w:val="left" w:pos="2078"/>
        </w:tabs>
        <w:spacing w:after="0" w:line="276" w:lineRule="auto"/>
        <w:jc w:val="both"/>
        <w:rPr>
          <w:rFonts w:ascii="Verdana" w:hAnsi="Verdana" w:eastAsia="Calibri" w:cs="Arial"/>
          <w:lang w:eastAsia="es-ES"/>
        </w:rPr>
      </w:pPr>
      <w:r>
        <w:rPr>
          <w:rFonts w:ascii="Verdana" w:hAnsi="Verdana" w:eastAsia="Calibri" w:cs="Arial"/>
          <w:lang w:eastAsia="es-ES"/>
        </w:rPr>
        <w:tab/>
      </w:r>
      <w:r w:rsidRPr="00660EB5">
        <w:rPr>
          <w:rFonts w:ascii="Verdana" w:hAnsi="Verdana" w:eastAsia="Calibri" w:cs="Arial"/>
          <w:lang w:eastAsia="es-ES"/>
        </w:rPr>
        <w:drawing>
          <wp:inline distT="0" distB="0" distL="0" distR="0" wp14:anchorId="2FA49997" wp14:editId="4E95EA11">
            <wp:extent cx="4220164" cy="1171739"/>
            <wp:effectExtent l="0" t="0" r="0" b="9525"/>
            <wp:docPr id="122206068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060683" name="Imagen 1" descr="Texto&#10;&#10;Descripción generada automáticamente"/>
                    <pic:cNvPicPr/>
                  </pic:nvPicPr>
                  <pic:blipFill>
                    <a:blip r:embed="rId11"/>
                    <a:stretch>
                      <a:fillRect/>
                    </a:stretch>
                  </pic:blipFill>
                  <pic:spPr>
                    <a:xfrm>
                      <a:off x="0" y="0"/>
                      <a:ext cx="4220164" cy="1171739"/>
                    </a:xfrm>
                    <a:prstGeom prst="rect">
                      <a:avLst/>
                    </a:prstGeom>
                  </pic:spPr>
                </pic:pic>
              </a:graphicData>
            </a:graphic>
          </wp:inline>
        </w:drawing>
      </w:r>
    </w:p>
    <w:p w:rsidR="00B7412F" w:rsidP="00B7412F" w:rsidRDefault="00B7412F" w14:paraId="2D098D5A" w14:textId="77777777">
      <w:pPr>
        <w:spacing w:after="0" w:line="276" w:lineRule="auto"/>
        <w:jc w:val="both"/>
        <w:rPr>
          <w:rFonts w:ascii="Verdana" w:hAnsi="Verdana" w:eastAsia="Calibri" w:cs="Arial"/>
          <w:lang w:val="es-ES" w:eastAsia="es-ES"/>
        </w:rPr>
      </w:pPr>
    </w:p>
    <w:p w:rsidR="00B7412F" w:rsidP="00B7412F" w:rsidRDefault="00B7412F" w14:paraId="6280936E" w14:textId="77777777">
      <w:pPr>
        <w:spacing w:after="0" w:line="276" w:lineRule="auto"/>
        <w:jc w:val="both"/>
        <w:rPr>
          <w:rFonts w:ascii="Verdana" w:hAnsi="Verdana" w:eastAsia="Calibri" w:cs="Arial"/>
          <w:lang w:val="es-ES" w:eastAsia="es-ES"/>
        </w:rPr>
      </w:pPr>
    </w:p>
    <w:p w:rsidRPr="00881D8B" w:rsidR="00B7412F" w:rsidP="00B7412F" w:rsidRDefault="00B7412F" w14:paraId="79A4C5B7" w14:textId="77777777">
      <w:pPr>
        <w:spacing w:after="0" w:line="276" w:lineRule="auto"/>
        <w:jc w:val="both"/>
        <w:rPr>
          <w:rFonts w:ascii="Verdana" w:hAnsi="Verdana" w:eastAsia="Calibri" w:cs="Arial"/>
          <w:lang w:val="es-ES" w:eastAsia="es-ES"/>
        </w:rPr>
      </w:pPr>
      <w:r w:rsidRPr="00881D8B">
        <w:rPr>
          <w:rFonts w:ascii="Verdana" w:hAnsi="Verdana" w:eastAsia="Calibri" w:cs="Arial"/>
          <w:lang w:val="es-ES" w:eastAsia="es-ES"/>
        </w:rPr>
        <w:t>Señor</w:t>
      </w:r>
    </w:p>
    <w:p w:rsidRPr="00881D8B" w:rsidR="00B7412F" w:rsidP="00B7412F" w:rsidRDefault="00B7412F" w14:paraId="4141E6C1" w14:textId="77777777">
      <w:pPr>
        <w:spacing w:after="0" w:line="276" w:lineRule="auto"/>
        <w:rPr>
          <w:rFonts w:ascii="Verdana" w:hAnsi="Verdana" w:eastAsia="Calibri" w:cs="Arial"/>
          <w:b/>
          <w:lang w:val="es-ES" w:eastAsia="es-ES"/>
        </w:rPr>
      </w:pPr>
      <w:r w:rsidRPr="7FEF9B5E">
        <w:rPr>
          <w:rFonts w:ascii="Verdana" w:hAnsi="Verdana" w:eastAsia="Calibri" w:cs="Arial"/>
          <w:b/>
          <w:lang w:val="es-ES" w:eastAsia="es-ES"/>
        </w:rPr>
        <w:t xml:space="preserve">Jhoyner Vergara Jaimes </w:t>
      </w:r>
    </w:p>
    <w:p w:rsidRPr="00881D8B" w:rsidR="00B7412F" w:rsidP="00B7412F" w:rsidRDefault="00B7412F" w14:paraId="183E5BE6" w14:textId="77777777">
      <w:pPr>
        <w:spacing w:after="0" w:line="276" w:lineRule="auto"/>
        <w:rPr>
          <w:rFonts w:ascii="Verdana" w:hAnsi="Verdana" w:eastAsia="Calibri" w:cs="Arial"/>
          <w:bCs/>
          <w:lang w:val="es-ES_tradnl" w:eastAsia="es-ES_tradnl"/>
        </w:rPr>
      </w:pPr>
      <w:r w:rsidRPr="00881D8B">
        <w:rPr>
          <w:rFonts w:ascii="Verdana" w:hAnsi="Verdana" w:eastAsia="Calibri" w:cs="Arial"/>
          <w:bCs/>
          <w:lang w:val="es-ES_tradnl" w:eastAsia="es-ES_tradnl"/>
        </w:rPr>
        <w:t>cerlafsas@gmail.com</w:t>
      </w:r>
    </w:p>
    <w:p w:rsidRPr="00881D8B" w:rsidR="00B7412F" w:rsidP="00B7412F" w:rsidRDefault="00B7412F" w14:paraId="2B583B9B" w14:textId="77777777">
      <w:pPr>
        <w:spacing w:after="0" w:line="276" w:lineRule="auto"/>
        <w:rPr>
          <w:rFonts w:ascii="Verdana" w:hAnsi="Verdana" w:eastAsia="Calibri" w:cs="Arial"/>
          <w:b/>
          <w:bCs/>
          <w:lang w:val="es-ES" w:eastAsia="es-ES"/>
        </w:rPr>
      </w:pPr>
      <w:r w:rsidRPr="00881D8B">
        <w:rPr>
          <w:rFonts w:ascii="Verdana" w:hAnsi="Verdana" w:eastAsia="Calibri" w:cs="Arial"/>
          <w:lang w:val="es-ES" w:eastAsia="es-ES"/>
        </w:rPr>
        <w:t>Aguachica, Cesar</w:t>
      </w:r>
    </w:p>
    <w:p w:rsidRPr="00881D8B" w:rsidR="00B7412F" w:rsidP="00B7412F" w:rsidRDefault="00B7412F" w14:paraId="72F373DC" w14:textId="77777777">
      <w:pPr>
        <w:spacing w:after="0" w:line="276" w:lineRule="auto"/>
        <w:rPr>
          <w:rFonts w:ascii="Verdana" w:hAnsi="Verdana" w:eastAsia="Calibri" w:cs="Arial"/>
          <w:b/>
          <w:bCs/>
          <w:lang w:val="es-ES_tradnl" w:eastAsia="es-ES_tradnl"/>
        </w:rPr>
      </w:pPr>
    </w:p>
    <w:p w:rsidRPr="00881D8B" w:rsidR="00B7412F" w:rsidP="00B7412F" w:rsidRDefault="00B7412F" w14:paraId="00B0B4DD" w14:textId="77777777">
      <w:pPr>
        <w:spacing w:after="0" w:line="276" w:lineRule="auto"/>
        <w:rPr>
          <w:rFonts w:ascii="Verdana" w:hAnsi="Verdana" w:eastAsia="Calibri" w:cs="Arial"/>
          <w:b/>
          <w:bCs/>
          <w:lang w:val="es-ES_tradnl" w:eastAsia="es-ES_tradnl"/>
        </w:rPr>
      </w:pPr>
    </w:p>
    <w:tbl>
      <w:tblPr>
        <w:tblStyle w:val="Tablaconcuadrcula"/>
        <w:tblW w:w="87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100"/>
      </w:tblGrid>
      <w:tr w:rsidRPr="00881D8B" w:rsidR="00B7412F" w:rsidTr="50B4254E" w14:paraId="0F07EABB" w14:textId="77777777">
        <w:trPr>
          <w:trHeight w:val="884"/>
        </w:trPr>
        <w:tc>
          <w:tcPr>
            <w:tcW w:w="2689" w:type="dxa"/>
            <w:tcMar/>
          </w:tcPr>
          <w:p w:rsidRPr="00881D8B" w:rsidR="00B7412F" w:rsidP="00790675" w:rsidRDefault="00B7412F" w14:paraId="1617322B" w14:textId="77777777">
            <w:pPr>
              <w:spacing w:line="276" w:lineRule="auto"/>
              <w:jc w:val="both"/>
              <w:rPr>
                <w:rFonts w:ascii="Verdana" w:hAnsi="Verdana" w:eastAsia="Calibri" w:cs="Arial"/>
                <w:b/>
                <w:bCs/>
                <w:lang w:val="es-ES_tradnl" w:eastAsia="es-ES_tradnl"/>
              </w:rPr>
            </w:pPr>
          </w:p>
        </w:tc>
        <w:tc>
          <w:tcPr>
            <w:tcW w:w="6100" w:type="dxa"/>
            <w:tcMar/>
          </w:tcPr>
          <w:p w:rsidRPr="00881D8B" w:rsidR="00B7412F" w:rsidP="00790675" w:rsidRDefault="00B7412F" w14:paraId="12EC51B9" w14:textId="13776E74">
            <w:pPr>
              <w:spacing w:line="276" w:lineRule="auto"/>
              <w:jc w:val="both"/>
              <w:rPr>
                <w:rFonts w:ascii="Verdana" w:hAnsi="Verdana" w:eastAsia="Calibri" w:cs="Arial"/>
                <w:b w:val="1"/>
                <w:bCs w:val="1"/>
                <w:lang w:val="es-ES" w:eastAsia="es-ES"/>
              </w:rPr>
            </w:pPr>
            <w:r w:rsidRPr="50B4254E" w:rsidR="00B7412F">
              <w:rPr>
                <w:rFonts w:ascii="Verdana" w:hAnsi="Verdana" w:eastAsia="Calibri" w:cs="Arial"/>
                <w:b w:val="1"/>
                <w:bCs w:val="1"/>
                <w:lang w:val="es-ES" w:eastAsia="es-ES"/>
              </w:rPr>
              <w:t>Concepto C- 1</w:t>
            </w:r>
            <w:r w:rsidRPr="50B4254E" w:rsidR="71463426">
              <w:rPr>
                <w:rFonts w:ascii="Verdana" w:hAnsi="Verdana" w:eastAsia="Calibri" w:cs="Arial"/>
                <w:b w:val="1"/>
                <w:bCs w:val="1"/>
                <w:lang w:val="es-ES" w:eastAsia="es-ES"/>
              </w:rPr>
              <w:t>8</w:t>
            </w:r>
            <w:r w:rsidRPr="50B4254E" w:rsidR="00B7412F">
              <w:rPr>
                <w:rFonts w:ascii="Verdana" w:hAnsi="Verdana" w:eastAsia="Calibri" w:cs="Arial"/>
                <w:b w:val="1"/>
                <w:bCs w:val="1"/>
                <w:lang w:val="es-ES" w:eastAsia="es-ES"/>
              </w:rPr>
              <w:t>2 de 2024</w:t>
            </w:r>
          </w:p>
        </w:tc>
      </w:tr>
      <w:tr w:rsidRPr="00881D8B" w:rsidR="00B7412F" w:rsidTr="50B4254E" w14:paraId="10F37A30" w14:textId="77777777">
        <w:trPr>
          <w:trHeight w:val="884"/>
        </w:trPr>
        <w:tc>
          <w:tcPr>
            <w:tcW w:w="2689" w:type="dxa"/>
            <w:tcMar/>
          </w:tcPr>
          <w:p w:rsidRPr="00881D8B" w:rsidR="00B7412F" w:rsidP="00790675" w:rsidRDefault="00B7412F" w14:paraId="3DC4D2D3" w14:textId="77777777">
            <w:pPr>
              <w:spacing w:line="276" w:lineRule="auto"/>
              <w:jc w:val="both"/>
              <w:rPr>
                <w:rFonts w:ascii="Verdana" w:hAnsi="Verdana" w:eastAsia="Calibri" w:cs="Arial"/>
                <w:lang w:val="es-ES_tradnl" w:eastAsia="es-ES_tradnl"/>
              </w:rPr>
            </w:pPr>
            <w:r w:rsidRPr="00881D8B">
              <w:rPr>
                <w:rFonts w:ascii="Verdana" w:hAnsi="Verdana" w:eastAsia="Calibri" w:cs="Arial"/>
                <w:b/>
                <w:lang w:val="es-ES_tradnl" w:eastAsia="es-ES_tradnl"/>
              </w:rPr>
              <w:t>Temas:</w:t>
            </w:r>
            <w:r w:rsidRPr="00881D8B">
              <w:rPr>
                <w:rFonts w:ascii="Verdana" w:hAnsi="Verdana" w:eastAsia="Calibri" w:cs="Arial"/>
                <w:lang w:val="es-ES_tradnl" w:eastAsia="es-ES_tradnl"/>
              </w:rPr>
              <w:t xml:space="preserve">                   </w:t>
            </w:r>
          </w:p>
        </w:tc>
        <w:tc>
          <w:tcPr>
            <w:tcW w:w="6100" w:type="dxa"/>
            <w:tcMar/>
          </w:tcPr>
          <w:p w:rsidRPr="00881D8B" w:rsidR="00B7412F" w:rsidP="00790675" w:rsidRDefault="00B7412F" w14:paraId="42D8C467" w14:textId="77777777">
            <w:pPr>
              <w:spacing w:line="276" w:lineRule="auto"/>
              <w:jc w:val="both"/>
              <w:rPr>
                <w:rFonts w:ascii="Verdana" w:hAnsi="Verdana" w:cs="Arial"/>
              </w:rPr>
            </w:pPr>
            <w:r w:rsidRPr="00881D8B">
              <w:rPr>
                <w:rFonts w:ascii="Verdana" w:hAnsi="Verdana" w:cs="Arial"/>
              </w:rPr>
              <w:t>CONTRATOS DE PRESTACIÓN DE SERVICIOS – Generalidades / CONTRATOS DE PRESTACIÓN DE SERVICIOS – Temporalidad / CONTRATOS DE PRESTACIÓN DE SERVICIOS – Renovación</w:t>
            </w:r>
          </w:p>
        </w:tc>
      </w:tr>
      <w:tr w:rsidRPr="00881D8B" w:rsidR="00B7412F" w:rsidTr="50B4254E" w14:paraId="32F76594" w14:textId="77777777">
        <w:tc>
          <w:tcPr>
            <w:tcW w:w="2689" w:type="dxa"/>
            <w:tcMar/>
          </w:tcPr>
          <w:p w:rsidRPr="00881D8B" w:rsidR="00B7412F" w:rsidP="00790675" w:rsidRDefault="00B7412F" w14:paraId="67A343F3" w14:textId="77777777">
            <w:pPr>
              <w:spacing w:line="276" w:lineRule="auto"/>
              <w:jc w:val="both"/>
              <w:rPr>
                <w:rFonts w:ascii="Verdana" w:hAnsi="Verdana" w:eastAsia="Calibri" w:cs="Arial"/>
                <w:b/>
                <w:lang w:val="es-ES_tradnl" w:eastAsia="es-ES_tradnl"/>
              </w:rPr>
            </w:pPr>
            <w:r w:rsidRPr="00881D8B">
              <w:rPr>
                <w:rFonts w:ascii="Verdana" w:hAnsi="Verdana" w:eastAsia="Calibri" w:cs="Arial"/>
                <w:b/>
                <w:lang w:val="es-ES_tradnl" w:eastAsia="es-ES_tradnl"/>
              </w:rPr>
              <w:t>Radicación:</w:t>
            </w:r>
            <w:r w:rsidRPr="00881D8B">
              <w:rPr>
                <w:rFonts w:ascii="Verdana" w:hAnsi="Verdana" w:eastAsia="Calibri" w:cs="Arial"/>
                <w:lang w:val="es-ES_tradnl" w:eastAsia="es-ES_tradnl"/>
              </w:rPr>
              <w:t xml:space="preserve">               </w:t>
            </w:r>
          </w:p>
        </w:tc>
        <w:tc>
          <w:tcPr>
            <w:tcW w:w="6100" w:type="dxa"/>
            <w:tcMar/>
          </w:tcPr>
          <w:p w:rsidRPr="00881D8B" w:rsidR="00B7412F" w:rsidP="00790675" w:rsidRDefault="00B7412F" w14:paraId="7D72AA2C" w14:textId="77777777">
            <w:pPr>
              <w:spacing w:line="276" w:lineRule="auto"/>
              <w:jc w:val="both"/>
              <w:rPr>
                <w:rFonts w:ascii="Verdana" w:hAnsi="Verdana" w:cs="Arial"/>
              </w:rPr>
            </w:pPr>
            <w:r w:rsidRPr="00881D8B">
              <w:rPr>
                <w:rFonts w:ascii="Verdana" w:hAnsi="Verdana" w:cs="Arial"/>
              </w:rPr>
              <w:t>Respuesta a consulta con radicados No. P20240618006173</w:t>
            </w:r>
          </w:p>
        </w:tc>
      </w:tr>
    </w:tbl>
    <w:p w:rsidRPr="00881D8B" w:rsidR="00B7412F" w:rsidP="00B7412F" w:rsidRDefault="00B7412F" w14:paraId="5800A187" w14:textId="77777777">
      <w:pPr>
        <w:spacing w:after="0" w:line="276" w:lineRule="auto"/>
        <w:jc w:val="both"/>
        <w:rPr>
          <w:rFonts w:ascii="Verdana" w:hAnsi="Verdana" w:eastAsia="Calibri" w:cs="Arial"/>
          <w:lang w:val="es-ES_tradnl" w:eastAsia="es-ES_tradnl"/>
        </w:rPr>
      </w:pPr>
    </w:p>
    <w:p w:rsidRPr="00881D8B" w:rsidR="00B7412F" w:rsidP="00B7412F" w:rsidRDefault="00B7412F" w14:paraId="2B418BD0" w14:textId="77777777">
      <w:pPr>
        <w:spacing w:after="0" w:line="276" w:lineRule="auto"/>
        <w:jc w:val="both"/>
        <w:rPr>
          <w:rFonts w:ascii="Verdana" w:hAnsi="Verdana" w:eastAsia="Calibri" w:cs="Arial"/>
          <w:lang w:val="es-ES_tradnl" w:eastAsia="es-ES_tradnl"/>
        </w:rPr>
      </w:pPr>
    </w:p>
    <w:p w:rsidRPr="00881D8B" w:rsidR="00B7412F" w:rsidP="00B7412F" w:rsidRDefault="00B7412F" w14:paraId="0C9D8741" w14:textId="77777777">
      <w:pPr>
        <w:spacing w:after="0" w:line="276" w:lineRule="auto"/>
        <w:jc w:val="both"/>
        <w:rPr>
          <w:rFonts w:ascii="Verdana" w:hAnsi="Verdana" w:eastAsia="Calibri" w:cs="Arial"/>
          <w:lang w:val="es-ES" w:eastAsia="es-ES"/>
        </w:rPr>
      </w:pPr>
      <w:r w:rsidRPr="00881D8B">
        <w:rPr>
          <w:rFonts w:ascii="Verdana" w:hAnsi="Verdana" w:eastAsia="Calibri" w:cs="Arial"/>
          <w:lang w:val="es-ES" w:eastAsia="es-ES"/>
        </w:rPr>
        <w:t xml:space="preserve">Estimado señor Vergara: </w:t>
      </w:r>
    </w:p>
    <w:p w:rsidRPr="00881D8B" w:rsidR="00B7412F" w:rsidP="00B7412F" w:rsidRDefault="00B7412F" w14:paraId="125A702E" w14:textId="77777777">
      <w:pPr>
        <w:tabs>
          <w:tab w:val="left" w:pos="3768"/>
        </w:tabs>
        <w:spacing w:after="0" w:line="276" w:lineRule="auto"/>
        <w:jc w:val="both"/>
        <w:rPr>
          <w:rFonts w:ascii="Verdana" w:hAnsi="Verdana" w:eastAsia="Calibri" w:cs="Arial"/>
          <w:lang w:val="es-ES" w:eastAsia="es-ES"/>
        </w:rPr>
      </w:pPr>
      <w:r w:rsidRPr="00881D8B">
        <w:rPr>
          <w:rFonts w:ascii="Verdana" w:hAnsi="Verdana" w:eastAsia="Calibri" w:cs="Arial"/>
          <w:lang w:val="es-ES" w:eastAsia="es-ES"/>
        </w:rPr>
        <w:tab/>
      </w:r>
    </w:p>
    <w:p w:rsidRPr="00881D8B" w:rsidR="00B7412F" w:rsidP="00B7412F" w:rsidRDefault="00B7412F" w14:paraId="328E4497" w14:textId="77777777">
      <w:pPr>
        <w:spacing w:after="0" w:line="276" w:lineRule="auto"/>
        <w:jc w:val="both"/>
        <w:rPr>
          <w:rFonts w:ascii="Verdana" w:hAnsi="Verdana" w:eastAsia="Calibri" w:cs="Arial"/>
          <w:lang w:val="es-ES" w:eastAsia="es-ES"/>
        </w:rPr>
      </w:pPr>
      <w:r w:rsidRPr="00881D8B">
        <w:rPr>
          <w:rFonts w:ascii="Verdana" w:hAnsi="Verdana" w:eastAsia="Calibri" w:cs="Arial"/>
          <w:lang w:val="es-ES" w:eastAsia="es-ES"/>
        </w:rPr>
        <w:t>En ejercicio de la competencia otorgada por los artículos 3, numeral 5º, y 11, numeral 8º, del Decreto Ley 4170 de 2011,</w:t>
      </w:r>
      <w:r w:rsidRPr="00881D8B">
        <w:rPr>
          <w:rFonts w:ascii="Verdana" w:hAnsi="Verdana" w:eastAsia="Arial MT" w:cs="Arial MT"/>
          <w:lang w:val="es-ES" w:eastAsia="es-ES"/>
        </w:rPr>
        <w:t xml:space="preserve"> </w:t>
      </w:r>
      <w:r w:rsidRPr="00881D8B">
        <w:rPr>
          <w:rFonts w:ascii="Verdana" w:hAnsi="Verdana" w:cs="Arial"/>
        </w:rPr>
        <w:t xml:space="preserve">así como lo establecido en el artículo 4 de la Resolución 1707 de 2018 expedida por esta Entidad, </w:t>
      </w:r>
      <w:r w:rsidRPr="00881D8B">
        <w:rPr>
          <w:rFonts w:ascii="Verdana" w:hAnsi="Verdana" w:eastAsia="Calibri" w:cs="Arial"/>
          <w:lang w:val="es-ES" w:eastAsia="es-ES"/>
        </w:rPr>
        <w:t xml:space="preserve">la Agencia Nacional </w:t>
      </w:r>
      <w:r w:rsidRPr="00881D8B">
        <w:rPr>
          <w:rFonts w:ascii="Verdana" w:hAnsi="Verdana" w:eastAsia="Calibri" w:cs="Arial"/>
          <w:lang w:val="es-ES" w:eastAsia="es-ES"/>
        </w:rPr>
        <w:lastRenderedPageBreak/>
        <w:t xml:space="preserve">de Contratación Pública – Colombia Compra Eficiente– responde su solicitud de consulta de fecha 7 de junio de 2024, en la cual manifiesta lo siguiente: </w:t>
      </w:r>
    </w:p>
    <w:p w:rsidRPr="00881D8B" w:rsidR="00B7412F" w:rsidP="00B7412F" w:rsidRDefault="00B7412F" w14:paraId="16EA3152" w14:textId="77777777">
      <w:pPr>
        <w:pStyle w:val="Prrafodelista"/>
        <w:tabs>
          <w:tab w:val="left" w:pos="142"/>
          <w:tab w:val="left" w:pos="284"/>
        </w:tabs>
        <w:spacing w:line="276" w:lineRule="auto"/>
        <w:ind w:left="0"/>
        <w:jc w:val="both"/>
        <w:rPr>
          <w:rFonts w:ascii="Verdana" w:hAnsi="Verdana" w:cs="Arial"/>
        </w:rPr>
      </w:pPr>
    </w:p>
    <w:p w:rsidRPr="00881D8B" w:rsidR="00B7412F" w:rsidP="00B7412F" w:rsidRDefault="00B7412F" w14:paraId="3172CFD0" w14:textId="77777777">
      <w:pPr>
        <w:autoSpaceDE w:val="0"/>
        <w:autoSpaceDN w:val="0"/>
        <w:adjustRightInd w:val="0"/>
        <w:spacing w:after="0" w:line="276" w:lineRule="auto"/>
        <w:ind w:left="709" w:right="709"/>
        <w:jc w:val="both"/>
        <w:rPr>
          <w:rFonts w:ascii="Verdana" w:hAnsi="Verdana" w:cs="Arial"/>
          <w:sz w:val="21"/>
          <w:szCs w:val="21"/>
        </w:rPr>
      </w:pPr>
      <w:bookmarkStart w:name="_Hlk95313578" w:id="1"/>
      <w:r w:rsidRPr="00881D8B">
        <w:rPr>
          <w:rFonts w:ascii="Verdana" w:hAnsi="Verdana" w:cs="Arial"/>
          <w:sz w:val="21"/>
          <w:szCs w:val="21"/>
        </w:rPr>
        <w:t>“</w:t>
      </w:r>
      <w:bookmarkEnd w:id="1"/>
      <w:r w:rsidRPr="00881D8B">
        <w:rPr>
          <w:rFonts w:ascii="Verdana" w:hAnsi="Verdana" w:eastAsia="Calibri" w:cs="Arial"/>
          <w:sz w:val="21"/>
          <w:szCs w:val="21"/>
          <w:lang w:val="es-ES" w:eastAsia="es-ES"/>
        </w:rPr>
        <w:t>una entidad publica que tiene contratistas ejecutando labores que no se pueden ejecutar por personal de planta, que realiza un contrato de prestación de servicios por un periodo supongamos de 4 meses, y por la necesidad del servicio se debe renovar ese contrato con la misma persona, la entidad debe cumplir un periodo de tiempo desde la terminación o liquidación del contrato hasta el nuevo proceso de contratación. o por el contrario puede hacer un nuevo contrato una vez terminado el anterior.” (sic).</w:t>
      </w:r>
    </w:p>
    <w:p w:rsidRPr="00881D8B" w:rsidR="00B7412F" w:rsidP="00B7412F" w:rsidRDefault="00B7412F" w14:paraId="1C9B1ACF" w14:textId="77777777">
      <w:pPr>
        <w:pStyle w:val="Prrafodelista"/>
        <w:tabs>
          <w:tab w:val="left" w:pos="142"/>
          <w:tab w:val="left" w:pos="284"/>
        </w:tabs>
        <w:spacing w:line="276" w:lineRule="auto"/>
        <w:ind w:left="0"/>
        <w:jc w:val="both"/>
        <w:rPr>
          <w:rFonts w:ascii="Verdana" w:hAnsi="Verdana" w:eastAsia="Century Gothic" w:cs="Century Gothic"/>
          <w:b/>
          <w:bCs/>
        </w:rPr>
      </w:pPr>
    </w:p>
    <w:p w:rsidRPr="00881D8B" w:rsidR="00B7412F" w:rsidP="00B7412F" w:rsidRDefault="00B7412F" w14:paraId="05602C2D" w14:textId="77777777">
      <w:pPr>
        <w:spacing w:after="120" w:line="276" w:lineRule="auto"/>
        <w:ind w:firstLine="709"/>
        <w:jc w:val="both"/>
        <w:rPr>
          <w:rFonts w:ascii="Verdana" w:hAnsi="Verdana" w:eastAsia="Calibri" w:cs="Arial"/>
          <w:szCs w:val="24"/>
          <w:lang w:val="es-ES_tradnl" w:eastAsia="es-ES_tradnl"/>
        </w:rPr>
      </w:pPr>
      <w:r w:rsidRPr="00881D8B">
        <w:rPr>
          <w:rFonts w:ascii="Verdana" w:hAnsi="Verdana" w:eastAsia="Calibri"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881D8B">
        <w:rPr>
          <w:rFonts w:ascii="Verdana" w:hAnsi="Verdana" w:eastAsia="Calibri" w:cs="Arial"/>
          <w:szCs w:val="24"/>
          <w:lang w:val="es-ES_tradnl" w:eastAsia="es-ES_tradnl"/>
        </w:rPr>
        <w:tab/>
      </w:r>
    </w:p>
    <w:p w:rsidRPr="00881D8B" w:rsidR="00B7412F" w:rsidP="00B7412F" w:rsidRDefault="00B7412F" w14:paraId="558B7DEF" w14:textId="77777777">
      <w:pPr>
        <w:spacing w:after="0" w:line="276" w:lineRule="auto"/>
        <w:ind w:firstLine="709"/>
        <w:jc w:val="both"/>
        <w:rPr>
          <w:rFonts w:ascii="Verdana" w:hAnsi="Verdana" w:eastAsia="Calibri" w:cs="Arial"/>
          <w:lang w:val="es-ES" w:eastAsia="es-ES"/>
        </w:rPr>
      </w:pPr>
      <w:r w:rsidRPr="00881D8B">
        <w:rPr>
          <w:rFonts w:ascii="Verdana" w:hAnsi="Verdana" w:eastAsia="Calibri"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rsidRPr="00881D8B" w:rsidR="00B7412F" w:rsidP="00B7412F" w:rsidRDefault="00B7412F" w14:paraId="636B0D84" w14:textId="77777777">
      <w:pPr>
        <w:spacing w:after="0" w:line="276" w:lineRule="auto"/>
        <w:ind w:firstLine="709"/>
        <w:jc w:val="both"/>
        <w:rPr>
          <w:rFonts w:ascii="Verdana" w:hAnsi="Verdana" w:eastAsia="Calibri" w:cs="Arial"/>
          <w:lang w:val="es-ES" w:eastAsia="es-ES"/>
        </w:rPr>
      </w:pPr>
    </w:p>
    <w:p w:rsidRPr="00881D8B" w:rsidR="00B7412F" w:rsidP="00B7412F" w:rsidRDefault="00B7412F" w14:paraId="1CF27D09" w14:textId="77777777">
      <w:pPr>
        <w:pStyle w:val="Prrafodelista"/>
        <w:numPr>
          <w:ilvl w:val="0"/>
          <w:numId w:val="4"/>
        </w:numPr>
        <w:tabs>
          <w:tab w:val="left" w:pos="142"/>
          <w:tab w:val="left" w:pos="284"/>
        </w:tabs>
        <w:spacing w:after="0" w:line="276" w:lineRule="auto"/>
        <w:ind w:left="0" w:firstLine="0"/>
        <w:jc w:val="both"/>
        <w:rPr>
          <w:rFonts w:ascii="Verdana" w:hAnsi="Verdana" w:eastAsia="Century Gothic" w:cs="Century Gothic"/>
          <w:b/>
          <w:bCs/>
        </w:rPr>
      </w:pPr>
      <w:r w:rsidRPr="00881D8B">
        <w:rPr>
          <w:rFonts w:ascii="Verdana" w:hAnsi="Verdana" w:eastAsia="Century Gothic" w:cs="Century Gothic"/>
          <w:b/>
          <w:bCs/>
        </w:rPr>
        <w:t>Problema planteado:</w:t>
      </w:r>
    </w:p>
    <w:p w:rsidRPr="00881D8B" w:rsidR="00B7412F" w:rsidP="00B7412F" w:rsidRDefault="00B7412F" w14:paraId="1DB39452" w14:textId="77777777">
      <w:pPr>
        <w:tabs>
          <w:tab w:val="left" w:pos="426"/>
        </w:tabs>
        <w:spacing w:after="0" w:line="276" w:lineRule="auto"/>
        <w:jc w:val="both"/>
        <w:rPr>
          <w:rFonts w:ascii="Verdana" w:hAnsi="Verdana" w:eastAsia="Century Gothic" w:cs="Century Gothic"/>
          <w:lang w:val="es-ES"/>
        </w:rPr>
      </w:pPr>
    </w:p>
    <w:p w:rsidRPr="00881D8B" w:rsidR="00B7412F" w:rsidP="00B7412F" w:rsidRDefault="00B7412F" w14:paraId="0D4DBD4C" w14:textId="77777777">
      <w:pPr>
        <w:spacing w:after="0" w:line="276" w:lineRule="auto"/>
        <w:jc w:val="both"/>
        <w:rPr>
          <w:rFonts w:ascii="Verdana" w:hAnsi="Verdana" w:eastAsia="Century Gothic" w:cs="Century Gothic"/>
        </w:rPr>
      </w:pPr>
      <w:r w:rsidRPr="00881D8B">
        <w:rPr>
          <w:rFonts w:ascii="Verdana" w:hAnsi="Verdana" w:eastAsia="Century Gothic" w:cs="Century Gothic"/>
        </w:rPr>
        <w:lastRenderedPageBreak/>
        <w:t xml:space="preserve">De acuerdo con el contenido de su solicitud, esta Agencia resolverá el siguiente problema jurídico: ¿Se puede suscribir un nuevo contrato de prestación de servicios una vez se termine el anterior? </w:t>
      </w:r>
    </w:p>
    <w:p w:rsidRPr="00881D8B" w:rsidR="00B7412F" w:rsidP="00B7412F" w:rsidRDefault="00B7412F" w14:paraId="7A63C63A" w14:textId="77777777">
      <w:pPr>
        <w:spacing w:after="0" w:line="276" w:lineRule="auto"/>
        <w:jc w:val="both"/>
        <w:rPr>
          <w:rFonts w:ascii="Verdana" w:hAnsi="Verdana" w:eastAsia="Calibri" w:cs="Arial"/>
          <w:lang w:val="es-ES"/>
        </w:rPr>
      </w:pPr>
    </w:p>
    <w:p w:rsidRPr="00881D8B" w:rsidR="00B7412F" w:rsidP="00B7412F" w:rsidRDefault="00B7412F" w14:paraId="60B8930F" w14:textId="77777777">
      <w:pPr>
        <w:pStyle w:val="Prrafodelista"/>
        <w:numPr>
          <w:ilvl w:val="0"/>
          <w:numId w:val="4"/>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881D8B">
        <w:rPr>
          <w:rFonts w:ascii="Verdana" w:hAnsi="Verdana" w:eastAsia="Century Gothic" w:cs="Century Gothic"/>
          <w:b/>
          <w:bCs/>
        </w:rPr>
        <w:t>Respuesta:</w:t>
      </w:r>
    </w:p>
    <w:p w:rsidRPr="00881D8B" w:rsidR="00B7412F" w:rsidP="00B7412F" w:rsidRDefault="00B7412F" w14:paraId="23EE872F" w14:textId="77777777">
      <w:pPr>
        <w:tabs>
          <w:tab w:val="left" w:pos="142"/>
          <w:tab w:val="left" w:pos="284"/>
        </w:tabs>
        <w:spacing w:after="0" w:line="276" w:lineRule="auto"/>
        <w:jc w:val="both"/>
        <w:rPr>
          <w:rFonts w:ascii="Verdana" w:hAnsi="Verdana" w:eastAsia="Century Gothic" w:cs="Century Gothic"/>
          <w:b/>
          <w:bCs/>
          <w:lang w:val="es-ES"/>
        </w:rPr>
      </w:pPr>
    </w:p>
    <w:tbl>
      <w:tblPr>
        <w:tblStyle w:val="Tablaconcuadrcula"/>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828"/>
      </w:tblGrid>
      <w:tr w:rsidRPr="00881D8B" w:rsidR="00B7412F" w:rsidTr="00790675" w14:paraId="6B51F6EA" w14:textId="77777777">
        <w:tc>
          <w:tcPr>
            <w:tcW w:w="8828" w:type="dxa"/>
            <w:shd w:val="clear" w:color="auto" w:fill="auto"/>
          </w:tcPr>
          <w:p w:rsidRPr="00673FF4" w:rsidR="00B7412F" w:rsidP="00790675" w:rsidRDefault="00B7412F" w14:paraId="10C4DCA9" w14:textId="77777777">
            <w:pPr>
              <w:tabs>
                <w:tab w:val="left" w:pos="0"/>
              </w:tabs>
              <w:spacing w:after="120" w:line="276" w:lineRule="auto"/>
              <w:jc w:val="both"/>
              <w:rPr>
                <w:rFonts w:ascii="Verdana" w:hAnsi="Verdana" w:cs="Arial"/>
                <w:color w:val="000000" w:themeColor="text1"/>
                <w:lang w:val="es-ES_tradnl"/>
              </w:rPr>
            </w:pPr>
            <w:r w:rsidRPr="00673FF4">
              <w:rPr>
                <w:rFonts w:ascii="Verdana" w:hAnsi="Verdana" w:cs="Arial"/>
                <w:noProof/>
                <w:lang w:val="es-ES_tradnl"/>
              </w:rPr>
              <w:t xml:space="preserve">Los contratos de prestación de servicios deben ser temporales. Tanto el Consejo de Estado como la Corte Constritucional han señalado que la duración del contrato de prestación de servicios solo puede realizarse por un “término estrictamente indispensable” y </w:t>
            </w:r>
            <w:r w:rsidRPr="00673FF4">
              <w:rPr>
                <w:rFonts w:ascii="Verdana" w:hAnsi="Verdana" w:cs="Arial"/>
                <w:lang w:val="es-MX"/>
              </w:rPr>
              <w:t xml:space="preserve">“no cabe su empleo para la cobertura indefinida de necesidades permanentes o recurrentes de una entidad “. Por otra parte, es importante tener en cuenta que </w:t>
            </w:r>
            <w:r w:rsidRPr="00673FF4">
              <w:rPr>
                <w:rFonts w:ascii="Verdana" w:hAnsi="Verdana" w:eastAsia="Arial" w:cs="Arial"/>
                <w:lang w:val="es-ES"/>
              </w:rPr>
              <w:t>la renovación de los contratos estatales se entiende como la suscripción de uno nuevo con características similares al anterior, con un mismo objeto, pero bajo condiciones diferentes atinentes a su valor y plazo</w:t>
            </w:r>
            <w:r>
              <w:rPr>
                <w:rFonts w:ascii="Verdana" w:hAnsi="Verdana" w:eastAsia="Arial" w:cs="Arial"/>
                <w:lang w:val="es-ES"/>
              </w:rPr>
              <w:t>.</w:t>
            </w:r>
          </w:p>
        </w:tc>
      </w:tr>
    </w:tbl>
    <w:p w:rsidRPr="00881D8B" w:rsidR="00B7412F" w:rsidP="00B7412F" w:rsidRDefault="00B7412F" w14:paraId="427A5FB3" w14:textId="77777777">
      <w:pPr>
        <w:tabs>
          <w:tab w:val="left" w:pos="142"/>
          <w:tab w:val="left" w:pos="284"/>
        </w:tabs>
        <w:spacing w:after="0" w:line="276" w:lineRule="auto"/>
        <w:jc w:val="both"/>
        <w:rPr>
          <w:rFonts w:ascii="Verdana" w:hAnsi="Verdana" w:eastAsia="Century Gothic" w:cs="Century Gothic"/>
          <w:b/>
          <w:bCs/>
          <w:lang w:val="es-ES"/>
        </w:rPr>
      </w:pPr>
    </w:p>
    <w:p w:rsidRPr="00881D8B" w:rsidR="00B7412F" w:rsidP="00B7412F" w:rsidRDefault="00B7412F" w14:paraId="6BB6370F" w14:textId="77777777">
      <w:pPr>
        <w:pStyle w:val="Prrafodelista"/>
        <w:numPr>
          <w:ilvl w:val="0"/>
          <w:numId w:val="4"/>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881D8B">
        <w:rPr>
          <w:rFonts w:ascii="Verdana" w:hAnsi="Verdana" w:eastAsia="Century Gothic" w:cs="Century Gothic"/>
          <w:b/>
          <w:bCs/>
        </w:rPr>
        <w:t>Razones de la respuesta:</w:t>
      </w:r>
    </w:p>
    <w:p w:rsidRPr="00881D8B" w:rsidR="00B7412F" w:rsidP="00B7412F" w:rsidRDefault="00B7412F" w14:paraId="486B1CE8" w14:textId="77777777">
      <w:pPr>
        <w:spacing w:after="0" w:line="276" w:lineRule="auto"/>
        <w:jc w:val="both"/>
        <w:rPr>
          <w:rFonts w:ascii="Verdana" w:hAnsi="Verdana" w:eastAsia="Calibri" w:cs="Arial"/>
          <w:lang w:val="es-ES"/>
        </w:rPr>
      </w:pPr>
    </w:p>
    <w:p w:rsidRPr="00881D8B" w:rsidR="00B7412F" w:rsidP="00B7412F" w:rsidRDefault="00B7412F" w14:paraId="5040BDD5" w14:textId="77777777">
      <w:pPr>
        <w:spacing w:after="0" w:line="276" w:lineRule="auto"/>
        <w:jc w:val="both"/>
        <w:rPr>
          <w:rFonts w:ascii="Verdana" w:hAnsi="Verdana" w:eastAsia="Calibri" w:cs="Arial"/>
          <w:lang w:val="es-ES"/>
        </w:rPr>
      </w:pPr>
      <w:r w:rsidRPr="00881D8B">
        <w:rPr>
          <w:rFonts w:ascii="Verdana" w:hAnsi="Verdana" w:eastAsia="Calibri" w:cs="Arial"/>
          <w:lang w:val="es-ES"/>
        </w:rPr>
        <w:t xml:space="preserve">Lo anterior se sustenta en las siguientes consideraciones: </w:t>
      </w:r>
    </w:p>
    <w:p w:rsidRPr="00881D8B" w:rsidR="00B7412F" w:rsidP="00B7412F" w:rsidRDefault="00B7412F" w14:paraId="5EBF6E24" w14:textId="77777777">
      <w:pPr>
        <w:spacing w:after="0" w:line="276" w:lineRule="auto"/>
        <w:jc w:val="both"/>
        <w:rPr>
          <w:rFonts w:ascii="Verdana" w:hAnsi="Verdana" w:eastAsia="Calibri" w:cs="Arial"/>
          <w:lang w:val="es-ES"/>
        </w:rPr>
      </w:pPr>
    </w:p>
    <w:p w:rsidRPr="00881D8B" w:rsidR="00B7412F" w:rsidP="00B7412F" w:rsidRDefault="00B7412F" w14:paraId="70F14C24" w14:textId="77777777">
      <w:pPr>
        <w:pStyle w:val="Prrafodelista"/>
        <w:numPr>
          <w:ilvl w:val="0"/>
          <w:numId w:val="11"/>
        </w:numPr>
        <w:tabs>
          <w:tab w:val="left" w:pos="0"/>
        </w:tabs>
        <w:spacing w:line="276" w:lineRule="auto"/>
        <w:jc w:val="both"/>
        <w:rPr>
          <w:rFonts w:ascii="Verdana" w:hAnsi="Verdana" w:eastAsia="Calibri" w:cs="Arial"/>
          <w:color w:val="000000" w:themeColor="text1"/>
          <w:lang w:val="es-ES_tradnl"/>
        </w:rPr>
      </w:pPr>
      <w:r w:rsidRPr="00881D8B">
        <w:rPr>
          <w:rFonts w:ascii="Verdana" w:hAnsi="Verdana" w:cs="Arial"/>
          <w:color w:val="000000" w:themeColor="text1"/>
          <w:lang w:val="es-MX"/>
        </w:rPr>
        <w:t>El contrato de prestación de servicios es un contrato estatal típico, regulado en el numeral 3 del artículo 32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Pr="00881D8B">
        <w:rPr>
          <w:rFonts w:ascii="Verdana" w:hAnsi="Verdana" w:eastAsia="Calibri" w:cs="Arial"/>
          <w:color w:val="000000" w:themeColor="text1"/>
          <w:lang w:val="es-ES_tradnl"/>
        </w:rPr>
        <w:t xml:space="preserve"> La celebración de dicho contrato debe efectuarse a través de la modalidad de contratación directa. Así lo dispone el artículo 2, numeral 4º, literal h), de la Ley 1150 de 2007:</w:t>
      </w:r>
    </w:p>
    <w:p w:rsidRPr="00881D8B" w:rsidR="00B7412F" w:rsidP="00B7412F" w:rsidRDefault="00B7412F" w14:paraId="740304F3" w14:textId="77777777">
      <w:pPr>
        <w:spacing w:line="276" w:lineRule="auto"/>
        <w:ind w:right="709"/>
        <w:contextualSpacing/>
        <w:jc w:val="both"/>
        <w:rPr>
          <w:rFonts w:ascii="Verdana" w:hAnsi="Verdana" w:eastAsia="Calibri" w:cs="Arial"/>
          <w:color w:val="000000" w:themeColor="text1"/>
          <w:lang w:val="es-ES_tradnl"/>
        </w:rPr>
      </w:pPr>
    </w:p>
    <w:p w:rsidRPr="00881D8B" w:rsidR="00B7412F" w:rsidP="00B7412F" w:rsidRDefault="00B7412F" w14:paraId="32E1D27E" w14:textId="77777777">
      <w:pPr>
        <w:spacing w:line="276" w:lineRule="auto"/>
        <w:ind w:left="709" w:right="709"/>
        <w:contextualSpacing/>
        <w:jc w:val="both"/>
        <w:rPr>
          <w:rFonts w:ascii="Verdana" w:hAnsi="Verdana" w:eastAsia="Calibri" w:cs="Arial"/>
          <w:color w:val="000000" w:themeColor="text1"/>
          <w:sz w:val="21"/>
          <w:szCs w:val="21"/>
          <w:lang w:val="es-MX"/>
        </w:rPr>
      </w:pPr>
      <w:r w:rsidRPr="00881D8B">
        <w:rPr>
          <w:rFonts w:ascii="Verdana" w:hAnsi="Verdana" w:eastAsia="Yu Gothic UI Semibold" w:cs="Arial"/>
          <w:iCs/>
          <w:sz w:val="21"/>
          <w:szCs w:val="21"/>
          <w:lang w:eastAsia="es-MX"/>
        </w:rPr>
        <w:lastRenderedPageBreak/>
        <w:t>“</w:t>
      </w:r>
      <w:r w:rsidRPr="00881D8B">
        <w:rPr>
          <w:rFonts w:ascii="Verdana" w:hAnsi="Verdana" w:eastAsia="Calibri" w:cs="Arial"/>
          <w:color w:val="000000" w:themeColor="text1"/>
          <w:sz w:val="21"/>
          <w:szCs w:val="21"/>
          <w:lang w:val="es-MX"/>
        </w:rPr>
        <w:t>La escogencia del contratista se efectuará con arreglo a las modalidades de selección de licitación pública, selección abreviada, concurso de méritos y contratación directa, con base en las siguientes reglas:</w:t>
      </w:r>
    </w:p>
    <w:p w:rsidRPr="00881D8B" w:rsidR="00B7412F" w:rsidP="00B7412F" w:rsidRDefault="00B7412F" w14:paraId="1C54FB20" w14:textId="77777777">
      <w:pPr>
        <w:spacing w:line="276" w:lineRule="auto"/>
        <w:ind w:left="709" w:right="709"/>
        <w:contextualSpacing/>
        <w:jc w:val="both"/>
        <w:rPr>
          <w:rFonts w:ascii="Verdana" w:hAnsi="Verdana" w:eastAsia="Calibri" w:cs="Arial"/>
          <w:color w:val="000000" w:themeColor="text1"/>
          <w:sz w:val="21"/>
          <w:szCs w:val="21"/>
          <w:lang w:val="es-MX"/>
        </w:rPr>
      </w:pPr>
    </w:p>
    <w:p w:rsidRPr="00881D8B" w:rsidR="00B7412F" w:rsidP="00B7412F" w:rsidRDefault="00B7412F" w14:paraId="0332BBD1" w14:textId="77777777">
      <w:pPr>
        <w:spacing w:line="276" w:lineRule="auto"/>
        <w:ind w:left="709" w:right="709"/>
        <w:contextualSpacing/>
        <w:jc w:val="both"/>
        <w:rPr>
          <w:rFonts w:ascii="Verdana" w:hAnsi="Verdana" w:eastAsia="Calibri" w:cs="Arial"/>
          <w:color w:val="000000" w:themeColor="text1"/>
          <w:sz w:val="21"/>
          <w:szCs w:val="21"/>
          <w:lang w:val="es-MX"/>
        </w:rPr>
      </w:pPr>
      <w:r w:rsidRPr="00881D8B">
        <w:rPr>
          <w:rFonts w:ascii="Verdana" w:hAnsi="Verdana" w:eastAsia="Calibri" w:cs="Arial"/>
          <w:color w:val="000000" w:themeColor="text1"/>
          <w:sz w:val="21"/>
          <w:szCs w:val="21"/>
          <w:lang w:val="es-MX"/>
        </w:rPr>
        <w:t>[…]</w:t>
      </w:r>
    </w:p>
    <w:p w:rsidRPr="00881D8B" w:rsidR="00B7412F" w:rsidP="00B7412F" w:rsidRDefault="00B7412F" w14:paraId="4C5BF573" w14:textId="77777777">
      <w:pPr>
        <w:spacing w:line="276" w:lineRule="auto"/>
        <w:ind w:left="709" w:right="709"/>
        <w:contextualSpacing/>
        <w:jc w:val="both"/>
        <w:rPr>
          <w:rFonts w:ascii="Verdana" w:hAnsi="Verdana" w:eastAsia="Calibri" w:cs="Arial"/>
          <w:color w:val="000000" w:themeColor="text1"/>
          <w:sz w:val="21"/>
          <w:szCs w:val="21"/>
          <w:lang w:val="es-MX"/>
        </w:rPr>
      </w:pPr>
    </w:p>
    <w:p w:rsidRPr="00881D8B" w:rsidR="00B7412F" w:rsidP="00B7412F" w:rsidRDefault="00B7412F" w14:paraId="7EE42347" w14:textId="77777777">
      <w:pPr>
        <w:spacing w:line="276" w:lineRule="auto"/>
        <w:ind w:left="709" w:right="709"/>
        <w:contextualSpacing/>
        <w:jc w:val="both"/>
        <w:rPr>
          <w:rFonts w:ascii="Verdana" w:hAnsi="Verdana" w:eastAsia="Calibri" w:cs="Arial"/>
          <w:color w:val="000000" w:themeColor="text1"/>
          <w:sz w:val="21"/>
          <w:szCs w:val="21"/>
          <w:lang w:val="es-MX"/>
        </w:rPr>
      </w:pPr>
      <w:r w:rsidRPr="00881D8B">
        <w:rPr>
          <w:rFonts w:ascii="Verdana" w:hAnsi="Verdana" w:eastAsia="Calibri" w:cs="Arial"/>
          <w:color w:val="000000" w:themeColor="text1"/>
          <w:sz w:val="21"/>
          <w:szCs w:val="21"/>
          <w:lang w:val="es-MX"/>
        </w:rPr>
        <w:t>4. Contratación directa. La modalidad de selección de contratación directa, solamente procederá en los siguientes casos:</w:t>
      </w:r>
    </w:p>
    <w:p w:rsidRPr="00881D8B" w:rsidR="00B7412F" w:rsidP="00B7412F" w:rsidRDefault="00B7412F" w14:paraId="112A5E38" w14:textId="77777777">
      <w:pPr>
        <w:spacing w:line="276" w:lineRule="auto"/>
        <w:ind w:left="709" w:right="709"/>
        <w:contextualSpacing/>
        <w:jc w:val="both"/>
        <w:rPr>
          <w:rFonts w:ascii="Verdana" w:hAnsi="Verdana" w:eastAsia="Calibri" w:cs="Arial"/>
          <w:color w:val="000000" w:themeColor="text1"/>
          <w:sz w:val="21"/>
          <w:szCs w:val="21"/>
          <w:lang w:val="es-MX"/>
        </w:rPr>
      </w:pPr>
    </w:p>
    <w:p w:rsidRPr="00881D8B" w:rsidR="00B7412F" w:rsidP="00B7412F" w:rsidRDefault="00B7412F" w14:paraId="216D54E6" w14:textId="77777777">
      <w:pPr>
        <w:spacing w:line="276" w:lineRule="auto"/>
        <w:ind w:left="709" w:right="709"/>
        <w:contextualSpacing/>
        <w:jc w:val="both"/>
        <w:rPr>
          <w:rFonts w:ascii="Verdana" w:hAnsi="Verdana" w:eastAsia="Calibri" w:cs="Arial"/>
          <w:color w:val="000000" w:themeColor="text1"/>
          <w:sz w:val="21"/>
          <w:szCs w:val="21"/>
          <w:lang w:val="es-MX"/>
        </w:rPr>
      </w:pPr>
      <w:r w:rsidRPr="00881D8B">
        <w:rPr>
          <w:rFonts w:ascii="Verdana" w:hAnsi="Verdana" w:eastAsia="Calibri" w:cs="Arial"/>
          <w:color w:val="000000" w:themeColor="text1"/>
          <w:sz w:val="21"/>
          <w:szCs w:val="21"/>
          <w:lang w:val="es-MX"/>
        </w:rPr>
        <w:t>[…]</w:t>
      </w:r>
    </w:p>
    <w:p w:rsidRPr="00881D8B" w:rsidR="00B7412F" w:rsidP="00B7412F" w:rsidRDefault="00B7412F" w14:paraId="7A5ECB20" w14:textId="77777777">
      <w:pPr>
        <w:spacing w:line="276" w:lineRule="auto"/>
        <w:ind w:left="709" w:right="709"/>
        <w:contextualSpacing/>
        <w:jc w:val="both"/>
        <w:rPr>
          <w:rFonts w:ascii="Verdana" w:hAnsi="Verdana" w:eastAsia="Calibri" w:cs="Arial"/>
          <w:color w:val="000000" w:themeColor="text1"/>
          <w:sz w:val="21"/>
          <w:szCs w:val="21"/>
          <w:lang w:val="es-MX"/>
        </w:rPr>
      </w:pPr>
    </w:p>
    <w:p w:rsidRPr="00881D8B" w:rsidR="00B7412F" w:rsidP="00B7412F" w:rsidRDefault="00B7412F" w14:paraId="21A38715" w14:textId="77777777">
      <w:pPr>
        <w:spacing w:line="276" w:lineRule="auto"/>
        <w:ind w:left="709" w:right="709"/>
        <w:contextualSpacing/>
        <w:jc w:val="both"/>
        <w:rPr>
          <w:rFonts w:ascii="Verdana" w:hAnsi="Verdana" w:eastAsia="Calibri" w:cs="Arial"/>
          <w:color w:val="000000" w:themeColor="text1"/>
          <w:sz w:val="21"/>
          <w:szCs w:val="21"/>
          <w:lang w:val="es-MX"/>
        </w:rPr>
      </w:pPr>
      <w:r w:rsidRPr="00881D8B">
        <w:rPr>
          <w:rFonts w:ascii="Verdana" w:hAnsi="Verdana" w:eastAsia="Calibri" w:cs="Arial"/>
          <w:color w:val="000000" w:themeColor="text1"/>
          <w:sz w:val="21"/>
          <w:szCs w:val="21"/>
          <w:lang w:val="es-MX"/>
        </w:rPr>
        <w:t>h) Para la prestación de servicios profesionales y de apoyo a la gestión, o para la ejecución de trabajos artísticos que sólo puedan encomendarse a determinadas personas naturales</w:t>
      </w:r>
      <w:r w:rsidRPr="00881D8B">
        <w:rPr>
          <w:rFonts w:ascii="Verdana" w:hAnsi="Verdana" w:eastAsia="Yu Gothic UI Semibold" w:cs="Arial"/>
          <w:iCs/>
          <w:sz w:val="21"/>
          <w:szCs w:val="21"/>
          <w:lang w:eastAsia="es-MX"/>
        </w:rPr>
        <w:t>”</w:t>
      </w:r>
      <w:r w:rsidRPr="00881D8B">
        <w:rPr>
          <w:rFonts w:ascii="Verdana" w:hAnsi="Verdana" w:eastAsia="Calibri" w:cs="Arial"/>
          <w:color w:val="000000" w:themeColor="text1"/>
          <w:sz w:val="21"/>
          <w:szCs w:val="21"/>
          <w:lang w:val="es-MX"/>
        </w:rPr>
        <w:t>.</w:t>
      </w:r>
    </w:p>
    <w:p w:rsidRPr="00881D8B" w:rsidR="00B7412F" w:rsidP="00B7412F" w:rsidRDefault="00B7412F" w14:paraId="1981FF3B" w14:textId="77777777">
      <w:pPr>
        <w:tabs>
          <w:tab w:val="left" w:pos="0"/>
        </w:tabs>
        <w:spacing w:line="276" w:lineRule="auto"/>
        <w:contextualSpacing/>
        <w:jc w:val="both"/>
        <w:rPr>
          <w:rFonts w:ascii="Verdana" w:hAnsi="Verdana" w:cs="Arial"/>
          <w:noProof/>
          <w:lang w:val="es-ES_tradnl"/>
        </w:rPr>
      </w:pPr>
      <w:r w:rsidRPr="00881D8B">
        <w:rPr>
          <w:rFonts w:ascii="Verdana" w:hAnsi="Verdana" w:cs="Arial"/>
          <w:noProof/>
          <w:lang w:val="es-ES_tradnl"/>
        </w:rPr>
        <w:tab/>
      </w:r>
    </w:p>
    <w:p w:rsidRPr="00881D8B" w:rsidR="00B7412F" w:rsidP="00B7412F" w:rsidRDefault="00B7412F" w14:paraId="2B2942AB" w14:textId="77777777">
      <w:pPr>
        <w:pStyle w:val="Prrafodelista"/>
        <w:numPr>
          <w:ilvl w:val="0"/>
          <w:numId w:val="11"/>
        </w:numPr>
        <w:tabs>
          <w:tab w:val="left" w:pos="0"/>
        </w:tabs>
        <w:spacing w:line="276" w:lineRule="auto"/>
        <w:jc w:val="both"/>
        <w:rPr>
          <w:rFonts w:ascii="Verdana" w:hAnsi="Verdana" w:cs="Arial"/>
          <w:noProof/>
          <w:lang w:val="es-ES_tradnl"/>
        </w:rPr>
      </w:pPr>
      <w:r w:rsidRPr="00881D8B">
        <w:rPr>
          <w:rFonts w:ascii="Verdana" w:hAnsi="Verdana" w:cs="Arial"/>
          <w:noProof/>
          <w:lang w:val="es-ES_tradnl"/>
        </w:rPr>
        <w:t>El Decreto 1082 de 2015 en el Artículo 2.2.1.2.1.4.9. reglamenta la contratación directa para los contratos de servicios profesionales y de apoyo a la gestión, o para la ejecución de trabajos artísticos que solo puedan encomendarse a determinadas personas naturales, en los siguientes términos:</w:t>
      </w:r>
    </w:p>
    <w:p w:rsidRPr="00881D8B" w:rsidR="00B7412F" w:rsidP="00B7412F" w:rsidRDefault="00B7412F" w14:paraId="68EF517E" w14:textId="77777777">
      <w:pPr>
        <w:tabs>
          <w:tab w:val="left" w:pos="0"/>
        </w:tabs>
        <w:spacing w:line="276" w:lineRule="auto"/>
        <w:contextualSpacing/>
        <w:jc w:val="both"/>
        <w:rPr>
          <w:rFonts w:ascii="Verdana" w:hAnsi="Verdana" w:cs="Arial"/>
          <w:noProof/>
          <w:lang w:val="es-ES_tradnl"/>
        </w:rPr>
      </w:pPr>
    </w:p>
    <w:p w:rsidRPr="00881D8B" w:rsidR="00B7412F" w:rsidP="00B7412F" w:rsidRDefault="00B7412F" w14:paraId="40163187" w14:textId="77777777">
      <w:pPr>
        <w:spacing w:line="276" w:lineRule="auto"/>
        <w:ind w:left="709" w:right="709"/>
        <w:contextualSpacing/>
        <w:jc w:val="both"/>
        <w:rPr>
          <w:rFonts w:ascii="Verdana" w:hAnsi="Verdana" w:cs="Arial"/>
          <w:sz w:val="21"/>
          <w:szCs w:val="21"/>
          <w:lang w:val="es-MX"/>
        </w:rPr>
      </w:pPr>
      <w:r w:rsidRPr="00881D8B">
        <w:rPr>
          <w:rFonts w:ascii="Verdana" w:hAnsi="Verdana" w:eastAsia="Yu Gothic UI Semibold" w:cs="Arial"/>
          <w:iCs/>
          <w:sz w:val="21"/>
          <w:szCs w:val="21"/>
          <w:lang w:eastAsia="es-MX"/>
        </w:rPr>
        <w:t>“</w:t>
      </w:r>
      <w:r w:rsidRPr="00881D8B">
        <w:rPr>
          <w:rFonts w:ascii="Verdana" w:hAnsi="Verdana" w:cs="Arial"/>
          <w:sz w:val="21"/>
          <w:szCs w:val="21"/>
          <w:lang w:val="es-MX"/>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rsidRPr="00881D8B" w:rsidR="00B7412F" w:rsidP="00B7412F" w:rsidRDefault="00B7412F" w14:paraId="2E76F152" w14:textId="77777777">
      <w:pPr>
        <w:spacing w:line="276" w:lineRule="auto"/>
        <w:ind w:left="709" w:right="709"/>
        <w:contextualSpacing/>
        <w:jc w:val="both"/>
        <w:rPr>
          <w:rFonts w:ascii="Verdana" w:hAnsi="Verdana" w:cs="Arial"/>
          <w:sz w:val="21"/>
          <w:szCs w:val="21"/>
        </w:rPr>
      </w:pPr>
    </w:p>
    <w:p w:rsidRPr="00881D8B" w:rsidR="00B7412F" w:rsidP="00B7412F" w:rsidRDefault="00B7412F" w14:paraId="24149222" w14:textId="77777777">
      <w:pPr>
        <w:spacing w:line="276" w:lineRule="auto"/>
        <w:ind w:left="709" w:right="709"/>
        <w:contextualSpacing/>
        <w:jc w:val="both"/>
        <w:rPr>
          <w:rFonts w:ascii="Verdana" w:hAnsi="Verdana" w:cs="Arial"/>
          <w:sz w:val="21"/>
          <w:szCs w:val="21"/>
          <w:lang w:val="es-MX"/>
        </w:rPr>
      </w:pPr>
      <w:r w:rsidRPr="00881D8B">
        <w:rPr>
          <w:rFonts w:ascii="Verdana" w:hAnsi="Verdana" w:cs="Arial"/>
          <w:sz w:val="21"/>
          <w:szCs w:val="21"/>
          <w:lang w:val="es-MX"/>
        </w:rPr>
        <w:t xml:space="preserve">Los servicios profesionales y de apoyo a la gestión corresponden a aquellos de naturaleza intelectual diferentes a los de consultoría que se derivan del cumplimiento de las funciones de la Entidad Estatal, así </w:t>
      </w:r>
      <w:r w:rsidRPr="00881D8B">
        <w:rPr>
          <w:rFonts w:ascii="Verdana" w:hAnsi="Verdana" w:cs="Arial"/>
          <w:sz w:val="21"/>
          <w:szCs w:val="21"/>
          <w:lang w:val="es-MX"/>
        </w:rPr>
        <w:lastRenderedPageBreak/>
        <w:t>como los relacionados con actividades operativas, logísticas, o asistenciales.</w:t>
      </w:r>
    </w:p>
    <w:p w:rsidRPr="00881D8B" w:rsidR="00B7412F" w:rsidP="00B7412F" w:rsidRDefault="00B7412F" w14:paraId="4436F6CC" w14:textId="77777777">
      <w:pPr>
        <w:spacing w:line="276" w:lineRule="auto"/>
        <w:ind w:left="709" w:right="709"/>
        <w:contextualSpacing/>
        <w:jc w:val="both"/>
        <w:rPr>
          <w:rFonts w:ascii="Verdana" w:hAnsi="Verdana" w:cs="Arial"/>
          <w:sz w:val="21"/>
          <w:szCs w:val="21"/>
          <w:lang w:val="es-MX"/>
        </w:rPr>
      </w:pPr>
    </w:p>
    <w:p w:rsidRPr="00881D8B" w:rsidR="00B7412F" w:rsidP="00B7412F" w:rsidRDefault="00B7412F" w14:paraId="0BA6BECA" w14:textId="77777777">
      <w:pPr>
        <w:spacing w:line="276" w:lineRule="auto"/>
        <w:ind w:left="709" w:right="709"/>
        <w:contextualSpacing/>
        <w:jc w:val="both"/>
        <w:rPr>
          <w:rFonts w:ascii="Verdana" w:hAnsi="Verdana" w:cs="Arial"/>
          <w:sz w:val="21"/>
          <w:szCs w:val="21"/>
          <w:lang w:val="es-MX"/>
        </w:rPr>
      </w:pPr>
      <w:r w:rsidRPr="00881D8B">
        <w:rPr>
          <w:rFonts w:ascii="Verdana" w:hAnsi="Verdana" w:cs="Arial"/>
          <w:sz w:val="21"/>
          <w:szCs w:val="21"/>
          <w:lang w:val="es-MX"/>
        </w:rPr>
        <w:t>La Entidad Estatal, para la contratación de trabajos artísticos que solamente puedan en</w:t>
      </w:r>
      <w:r w:rsidRPr="00881D8B">
        <w:rPr>
          <w:rFonts w:ascii="Verdana" w:hAnsi="Verdana" w:cs="Arial"/>
          <w:sz w:val="21"/>
          <w:szCs w:val="21"/>
          <w:lang w:val="es-MX"/>
        </w:rPr>
        <w:softHyphen/>
        <w:t>comendarse a determinadas personas naturales, debe justificar esta situación en los estudios y documentos previos</w:t>
      </w:r>
      <w:r w:rsidRPr="00881D8B">
        <w:rPr>
          <w:rFonts w:ascii="Verdana" w:hAnsi="Verdana" w:eastAsia="Yu Gothic UI Semibold" w:cs="Arial"/>
          <w:iCs/>
          <w:sz w:val="21"/>
          <w:szCs w:val="21"/>
          <w:lang w:eastAsia="es-MX"/>
        </w:rPr>
        <w:t>”</w:t>
      </w:r>
      <w:r w:rsidRPr="00881D8B">
        <w:rPr>
          <w:rFonts w:ascii="Verdana" w:hAnsi="Verdana" w:cs="Arial"/>
          <w:sz w:val="21"/>
          <w:szCs w:val="21"/>
          <w:lang w:val="es-MX"/>
        </w:rPr>
        <w:t>.</w:t>
      </w:r>
    </w:p>
    <w:p w:rsidRPr="00881D8B" w:rsidR="00B7412F" w:rsidP="00B7412F" w:rsidRDefault="00B7412F" w14:paraId="16F1F439" w14:textId="77777777">
      <w:pPr>
        <w:tabs>
          <w:tab w:val="left" w:pos="0"/>
        </w:tabs>
        <w:spacing w:line="276" w:lineRule="auto"/>
        <w:jc w:val="both"/>
        <w:rPr>
          <w:rFonts w:ascii="Verdana" w:hAnsi="Verdana" w:cs="Arial"/>
          <w:noProof/>
          <w:sz w:val="21"/>
          <w:szCs w:val="21"/>
        </w:rPr>
      </w:pPr>
    </w:p>
    <w:p w:rsidRPr="00881D8B" w:rsidR="00B7412F" w:rsidP="00B7412F" w:rsidRDefault="00B7412F" w14:paraId="5B32E1F5" w14:textId="77777777">
      <w:pPr>
        <w:pStyle w:val="Prrafodelista"/>
        <w:numPr>
          <w:ilvl w:val="0"/>
          <w:numId w:val="11"/>
        </w:numPr>
        <w:tabs>
          <w:tab w:val="left" w:pos="0"/>
        </w:tabs>
        <w:spacing w:after="120" w:line="276" w:lineRule="auto"/>
        <w:jc w:val="both"/>
        <w:rPr>
          <w:rFonts w:ascii="Verdana" w:hAnsi="Verdana" w:cs="Arial"/>
          <w:color w:val="000000" w:themeColor="text1"/>
          <w:lang w:val="es-ES_tradnl"/>
        </w:rPr>
      </w:pPr>
      <w:r w:rsidRPr="00881D8B">
        <w:rPr>
          <w:rFonts w:ascii="Verdana" w:hAnsi="Verdana" w:cs="Arial"/>
          <w:color w:val="000000" w:themeColor="text1"/>
          <w:lang w:val="es-ES_tradnl"/>
        </w:rPr>
        <w:t>A partir de las disposiciones citadas, así como la Sentencia de Unificación Jurisprudencial del 9 de septiembre de 2021, proferida por el Consejo de Estado</w:t>
      </w:r>
      <w:r w:rsidRPr="00881D8B">
        <w:rPr>
          <w:rFonts w:ascii="Verdana" w:hAnsi="Verdana"/>
          <w:bCs/>
          <w:vertAlign w:val="superscript"/>
        </w:rPr>
        <w:footnoteReference w:id="2"/>
      </w:r>
      <w:r w:rsidRPr="00881D8B">
        <w:rPr>
          <w:rFonts w:ascii="Verdana" w:hAnsi="Verdana" w:cs="Arial"/>
          <w:color w:val="000000" w:themeColor="text1"/>
          <w:lang w:val="es-ES_tradnl"/>
        </w:rPr>
        <w:t>, es posible señalar las siguientes características del contrato de prestación de servicios</w:t>
      </w:r>
      <w:r w:rsidRPr="00881D8B">
        <w:rPr>
          <w:rFonts w:ascii="Verdana" w:hAnsi="Verdana" w:cs="Arial"/>
          <w:noProof/>
          <w:lang w:val="es-ES_tradnl"/>
        </w:rPr>
        <w:t>:</w:t>
      </w:r>
    </w:p>
    <w:p w:rsidRPr="00881D8B" w:rsidR="00B7412F" w:rsidP="00B7412F" w:rsidRDefault="00B7412F" w14:paraId="4A135722" w14:textId="77777777">
      <w:pPr>
        <w:pStyle w:val="Prrafodelista"/>
        <w:tabs>
          <w:tab w:val="left" w:pos="0"/>
        </w:tabs>
        <w:spacing w:after="120" w:line="276" w:lineRule="auto"/>
        <w:jc w:val="both"/>
        <w:rPr>
          <w:rFonts w:ascii="Verdana" w:hAnsi="Verdana" w:cs="Arial"/>
          <w:color w:val="000000" w:themeColor="text1"/>
          <w:lang w:val="es-ES_tradnl"/>
        </w:rPr>
      </w:pPr>
    </w:p>
    <w:p w:rsidRPr="00881D8B" w:rsidR="00B7412F" w:rsidP="00B7412F" w:rsidRDefault="00B7412F" w14:paraId="6302991A" w14:textId="77777777">
      <w:pPr>
        <w:pStyle w:val="Prrafodelista"/>
        <w:numPr>
          <w:ilvl w:val="0"/>
          <w:numId w:val="12"/>
        </w:numPr>
        <w:tabs>
          <w:tab w:val="left" w:pos="0"/>
        </w:tabs>
        <w:spacing w:after="120" w:line="276" w:lineRule="auto"/>
        <w:jc w:val="both"/>
        <w:rPr>
          <w:rFonts w:ascii="Verdana" w:hAnsi="Verdana" w:cs="Arial"/>
          <w:noProof/>
          <w:lang w:val="es-ES_tradnl"/>
        </w:rPr>
      </w:pPr>
      <w:r w:rsidRPr="00881D8B">
        <w:rPr>
          <w:rFonts w:ascii="Verdana" w:hAnsi="Verdana" w:cs="Arial"/>
          <w:noProof/>
          <w:lang w:val="es-ES_tradnl"/>
        </w:rPr>
        <w:t>Solo puede celebrarse para realizar “actividades relacionadas con la administración o funcionamiento de la entidad”, es decir, que hagan parte de su giro ordinario o quehacer cotidiano</w:t>
      </w:r>
      <w:r w:rsidRPr="00881D8B">
        <w:rPr>
          <w:rFonts w:ascii="Verdana" w:hAnsi="Verdana"/>
          <w:noProof/>
          <w:vertAlign w:val="superscript"/>
          <w:lang w:val="es-ES_tradnl"/>
        </w:rPr>
        <w:footnoteReference w:id="3"/>
      </w:r>
      <w:r w:rsidRPr="00881D8B">
        <w:rPr>
          <w:rFonts w:ascii="Verdana" w:hAnsi="Verdana" w:cs="Arial"/>
          <w:noProof/>
          <w:lang w:val="es-ES_tradnl"/>
        </w:rPr>
        <w:t>.</w:t>
      </w:r>
    </w:p>
    <w:p w:rsidRPr="00881D8B" w:rsidR="00B7412F" w:rsidP="00B7412F" w:rsidRDefault="00B7412F" w14:paraId="75B86DE8" w14:textId="77777777">
      <w:pPr>
        <w:pStyle w:val="Prrafodelista"/>
        <w:numPr>
          <w:ilvl w:val="0"/>
          <w:numId w:val="12"/>
        </w:numPr>
        <w:tabs>
          <w:tab w:val="left" w:pos="0"/>
        </w:tabs>
        <w:spacing w:after="120" w:line="276" w:lineRule="auto"/>
        <w:jc w:val="both"/>
        <w:rPr>
          <w:rFonts w:ascii="Verdana" w:hAnsi="Verdana" w:cs="Arial"/>
          <w:color w:val="000000" w:themeColor="text1"/>
          <w:lang w:val="es-ES_tradnl"/>
        </w:rPr>
      </w:pPr>
      <w:r w:rsidRPr="00881D8B">
        <w:rPr>
          <w:rFonts w:ascii="Verdana" w:hAnsi="Verdana" w:cs="Arial"/>
          <w:noProof/>
          <w:lang w:val="es-ES_tradnl"/>
        </w:rPr>
        <w:t xml:space="preserve">Respecto del tipo de personas que pueden ser contratadas, admite que se suscriba con personas naturales o jurídicas. Sin embargo, cuando se celebre con personas naturales la entidad estatal debe justificar, en los estudios previos, que las actividades “no puedan realizarse con personal de planta o requieran conocimientos especializados”. </w:t>
      </w:r>
    </w:p>
    <w:p w:rsidRPr="00881D8B" w:rsidR="00B7412F" w:rsidP="00B7412F" w:rsidRDefault="00B7412F" w14:paraId="3F5D59F6" w14:textId="77777777">
      <w:pPr>
        <w:pStyle w:val="Prrafodelista"/>
        <w:numPr>
          <w:ilvl w:val="0"/>
          <w:numId w:val="12"/>
        </w:numPr>
        <w:tabs>
          <w:tab w:val="left" w:pos="0"/>
        </w:tabs>
        <w:spacing w:after="120" w:line="276" w:lineRule="auto"/>
        <w:jc w:val="both"/>
        <w:rPr>
          <w:rFonts w:ascii="Verdana" w:hAnsi="Verdana" w:cs="Arial"/>
          <w:color w:val="000000" w:themeColor="text1"/>
          <w:lang w:val="es-ES_tradnl"/>
        </w:rPr>
      </w:pPr>
      <w:r w:rsidRPr="00881D8B">
        <w:rPr>
          <w:rFonts w:ascii="Verdana" w:hAnsi="Verdana" w:cs="Arial"/>
          <w:noProof/>
          <w:lang w:val="es-ES_tradnl"/>
        </w:rPr>
        <w:t xml:space="preserve">Si bien 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sidRPr="00881D8B">
        <w:rPr>
          <w:rFonts w:ascii="Verdana" w:hAnsi="Verdana" w:cs="Arial"/>
          <w:i/>
          <w:noProof/>
          <w:lang w:val="es-ES_tradnl"/>
        </w:rPr>
        <w:t xml:space="preserve">subordinación </w:t>
      </w:r>
      <w:r w:rsidRPr="00881D8B">
        <w:rPr>
          <w:rFonts w:ascii="Verdana" w:hAnsi="Verdana" w:cs="Arial"/>
          <w:iCs/>
          <w:noProof/>
          <w:lang w:val="es-ES_tradnl"/>
        </w:rPr>
        <w:t>ni</w:t>
      </w:r>
      <w:r w:rsidRPr="00881D8B">
        <w:rPr>
          <w:rFonts w:ascii="Verdana" w:hAnsi="Verdana" w:cs="Arial"/>
          <w:i/>
          <w:noProof/>
          <w:lang w:val="es-ES_tradnl"/>
        </w:rPr>
        <w:t xml:space="preserve"> dependencia</w:t>
      </w:r>
      <w:r w:rsidRPr="00881D8B">
        <w:rPr>
          <w:rFonts w:ascii="Verdana" w:hAnsi="Verdana" w:cs="Arial"/>
          <w:iCs/>
          <w:noProof/>
          <w:lang w:val="es-ES_tradnl"/>
        </w:rPr>
        <w:t>,</w:t>
      </w:r>
      <w:r w:rsidRPr="00881D8B">
        <w:rPr>
          <w:rFonts w:ascii="Verdana" w:hAnsi="Verdana" w:cs="Arial"/>
          <w:noProof/>
          <w:lang w:val="es-ES_tradnl"/>
        </w:rPr>
        <w:t xml:space="preserve"> que es uno de los </w:t>
      </w:r>
      <w:r w:rsidRPr="00881D8B">
        <w:rPr>
          <w:rFonts w:ascii="Verdana" w:hAnsi="Verdana" w:cs="Arial"/>
          <w:noProof/>
          <w:lang w:val="es-ES_tradnl"/>
        </w:rPr>
        <w:lastRenderedPageBreak/>
        <w:t>elementos constitutivos del vínculo laboral</w:t>
      </w:r>
      <w:r w:rsidRPr="00881D8B">
        <w:rPr>
          <w:rFonts w:ascii="Verdana" w:hAnsi="Verdana"/>
          <w:noProof/>
          <w:vertAlign w:val="superscript"/>
          <w:lang w:val="es-ES_tradnl"/>
        </w:rPr>
        <w:footnoteReference w:id="4"/>
      </w:r>
      <w:r w:rsidRPr="00881D8B">
        <w:rPr>
          <w:rFonts w:ascii="Verdana" w:hAnsi="Verdana" w:cs="Arial"/>
          <w:noProof/>
          <w:lang w:val="es-ES_tradnl"/>
        </w:rPr>
        <w:t xml:space="preserve">. Por eso, el artículo 32, numeral 3º, de la Ley 80 de 1993 establece que “En ningún caso estos contratos generan relación laboral ni prestaciones sociales”. Este inciso, más que un enunciado que aluda al “ser”, se refiere al “deber ser”, pues debe interpretarse en el sentido de que los contratos de prestación de servicios profesionales </w:t>
      </w:r>
      <w:r w:rsidRPr="00881D8B">
        <w:rPr>
          <w:rFonts w:ascii="Verdana" w:hAnsi="Verdana" w:cs="Arial"/>
          <w:i/>
          <w:noProof/>
          <w:lang w:val="es-ES_tradnl"/>
        </w:rPr>
        <w:t>no pueden</w:t>
      </w:r>
      <w:r w:rsidRPr="00881D8B">
        <w:rPr>
          <w:rFonts w:ascii="Verdana" w:hAnsi="Verdana" w:cs="Arial"/>
          <w:noProof/>
          <w:lang w:val="es-ES_tradnl"/>
        </w:rPr>
        <w:t xml:space="preserve">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“trabajador independiente” –como lo califican las normas de la seguridad social– debe cotizar por su cuenta y riesgo al Sistema de Seguridad Social Integral</w:t>
      </w:r>
      <w:r w:rsidRPr="00881D8B">
        <w:rPr>
          <w:rFonts w:ascii="Verdana" w:hAnsi="Verdana"/>
          <w:noProof/>
          <w:vertAlign w:val="superscript"/>
          <w:lang w:val="es-ES_tradnl"/>
        </w:rPr>
        <w:footnoteReference w:id="5"/>
      </w:r>
      <w:r w:rsidRPr="00881D8B">
        <w:rPr>
          <w:rFonts w:ascii="Verdana" w:hAnsi="Verdana" w:cs="Arial"/>
          <w:noProof/>
          <w:lang w:val="es-ES_tradnl"/>
        </w:rPr>
        <w:t xml:space="preserve">. </w:t>
      </w:r>
    </w:p>
    <w:p w:rsidRPr="00881D8B" w:rsidR="00B7412F" w:rsidP="00B7412F" w:rsidRDefault="00B7412F" w14:paraId="7B5115CB" w14:textId="77777777">
      <w:pPr>
        <w:pStyle w:val="Prrafodelista"/>
        <w:numPr>
          <w:ilvl w:val="0"/>
          <w:numId w:val="12"/>
        </w:numPr>
        <w:tabs>
          <w:tab w:val="left" w:pos="0"/>
        </w:tabs>
        <w:spacing w:after="120" w:line="276" w:lineRule="auto"/>
        <w:jc w:val="both"/>
        <w:rPr>
          <w:rFonts w:ascii="Verdana" w:hAnsi="Verdana" w:cs="Arial"/>
          <w:color w:val="000000" w:themeColor="text1"/>
          <w:lang w:val="es-ES_tradnl"/>
        </w:rPr>
      </w:pPr>
      <w:r w:rsidRPr="00881D8B">
        <w:rPr>
          <w:rFonts w:ascii="Verdana" w:hAnsi="Verdana" w:cs="Arial"/>
          <w:noProof/>
          <w:lang w:val="es-ES_tradnl"/>
        </w:rPr>
        <w:t xml:space="preserve">Deben ser temporales. La mencionada Sentencia de Unificacion Jurisprudencial del Consejo de Estado, frente a la duración del contrato de prestación de servicios señaló que solo puede </w:t>
      </w:r>
      <w:r w:rsidRPr="00881D8B">
        <w:rPr>
          <w:rFonts w:ascii="Verdana" w:hAnsi="Verdana" w:cs="Arial"/>
          <w:noProof/>
          <w:lang w:val="es-ES_tradnl"/>
        </w:rPr>
        <w:lastRenderedPageBreak/>
        <w:t>celebrarse por un “término estrictamente indispensable”. En ese entendido, unificó el sentido y alcance del término estrictamente indispensable como “aquel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w:t>
      </w:r>
    </w:p>
    <w:p w:rsidRPr="00881D8B" w:rsidR="00B7412F" w:rsidP="00B7412F" w:rsidRDefault="00B7412F" w14:paraId="70BE0E5F" w14:textId="77777777">
      <w:pPr>
        <w:pStyle w:val="Prrafodelista"/>
        <w:tabs>
          <w:tab w:val="left" w:pos="0"/>
        </w:tabs>
        <w:spacing w:after="120" w:line="276" w:lineRule="auto"/>
        <w:ind w:left="1440"/>
        <w:jc w:val="both"/>
        <w:rPr>
          <w:rFonts w:ascii="Verdana" w:hAnsi="Verdana" w:cs="Arial"/>
          <w:noProof/>
          <w:lang w:val="es-ES_tradnl"/>
        </w:rPr>
      </w:pPr>
    </w:p>
    <w:p w:rsidRPr="00881D8B" w:rsidR="00B7412F" w:rsidP="00B7412F" w:rsidRDefault="00B7412F" w14:paraId="463A35A4" w14:textId="77777777">
      <w:pPr>
        <w:pStyle w:val="Prrafodelista"/>
        <w:tabs>
          <w:tab w:val="left" w:pos="0"/>
        </w:tabs>
        <w:spacing w:after="120" w:line="276" w:lineRule="auto"/>
        <w:ind w:left="1440"/>
        <w:jc w:val="both"/>
        <w:rPr>
          <w:rFonts w:ascii="Verdana" w:hAnsi="Verdana" w:cs="Arial"/>
          <w:noProof/>
          <w:lang w:val="es-ES_tradnl"/>
        </w:rPr>
      </w:pPr>
      <w:r w:rsidRPr="00881D8B">
        <w:rPr>
          <w:rFonts w:ascii="Verdana" w:hAnsi="Verdana" w:cs="Arial"/>
          <w:lang w:val="es-MX"/>
        </w:rPr>
        <w:t xml:space="preserve">De igual manera, señaló que “no cabe su empleo para la cobertura indefinida de necesidades permanentes o recurrentes”. </w:t>
      </w:r>
      <w:r w:rsidRPr="00881D8B">
        <w:rPr>
          <w:rFonts w:ascii="Verdana" w:hAnsi="Verdana" w:cs="Arial"/>
          <w:noProof/>
          <w:lang w:val="es-ES_tradnl"/>
        </w:rPr>
        <w:t>En sentido similar se manifestó la Corte Constitucional en la sentencia C-154 de 1997, expresando que:</w:t>
      </w:r>
    </w:p>
    <w:p w:rsidRPr="00881D8B" w:rsidR="00B7412F" w:rsidP="00B7412F" w:rsidRDefault="00B7412F" w14:paraId="4228BA68" w14:textId="77777777">
      <w:pPr>
        <w:pStyle w:val="Prrafodelista"/>
        <w:tabs>
          <w:tab w:val="left" w:pos="0"/>
        </w:tabs>
        <w:spacing w:after="120" w:line="276" w:lineRule="auto"/>
        <w:ind w:left="1440"/>
        <w:jc w:val="both"/>
        <w:rPr>
          <w:rFonts w:ascii="Verdana" w:hAnsi="Verdana" w:cs="Arial"/>
          <w:noProof/>
          <w:lang w:val="es-ES_tradnl"/>
        </w:rPr>
      </w:pPr>
    </w:p>
    <w:p w:rsidRPr="00881D8B" w:rsidR="00B7412F" w:rsidP="00B7412F" w:rsidRDefault="00B7412F" w14:paraId="2F83FBDA" w14:textId="77777777">
      <w:pPr>
        <w:pStyle w:val="Prrafodelista"/>
        <w:tabs>
          <w:tab w:val="left" w:pos="0"/>
        </w:tabs>
        <w:spacing w:after="120" w:line="276" w:lineRule="auto"/>
        <w:ind w:left="1440"/>
        <w:jc w:val="both"/>
        <w:rPr>
          <w:rFonts w:ascii="Verdana" w:hAnsi="Verdana" w:cs="Arial"/>
          <w:noProof/>
          <w:sz w:val="21"/>
          <w:szCs w:val="21"/>
          <w:lang w:val="es-ES_tradnl"/>
        </w:rPr>
      </w:pPr>
      <w:r w:rsidRPr="00881D8B">
        <w:rPr>
          <w:rFonts w:ascii="Verdana" w:hAnsi="Verdana" w:eastAsia="Yu Gothic UI Semibold" w:cs="Arial"/>
          <w:iCs/>
          <w:sz w:val="21"/>
          <w:szCs w:val="21"/>
          <w:lang w:eastAsia="es-MX"/>
        </w:rPr>
        <w:t>“</w:t>
      </w:r>
      <w:r w:rsidRPr="00881D8B">
        <w:rPr>
          <w:rFonts w:ascii="Verdana" w:hAnsi="Verdana" w:cs="Arial"/>
          <w:noProof/>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881D8B">
        <w:rPr>
          <w:rFonts w:ascii="Verdana" w:hAnsi="Verdana" w:cs="Arial"/>
          <w:noProof/>
          <w:sz w:val="21"/>
          <w:szCs w:val="21"/>
          <w:vertAlign w:val="superscript"/>
          <w:lang w:val="es-ES_tradnl"/>
        </w:rPr>
        <w:footnoteReference w:id="6"/>
      </w:r>
      <w:r w:rsidRPr="00881D8B">
        <w:rPr>
          <w:rFonts w:ascii="Verdana" w:hAnsi="Verdana" w:cs="Arial"/>
          <w:noProof/>
          <w:sz w:val="21"/>
          <w:szCs w:val="21"/>
          <w:lang w:val="es-ES_tradnl"/>
        </w:rPr>
        <w:t>.</w:t>
      </w:r>
    </w:p>
    <w:p w:rsidRPr="00881D8B" w:rsidR="00B7412F" w:rsidP="00B7412F" w:rsidRDefault="00B7412F" w14:paraId="7561AC64" w14:textId="77777777">
      <w:pPr>
        <w:pStyle w:val="Prrafodelista"/>
        <w:tabs>
          <w:tab w:val="left" w:pos="0"/>
        </w:tabs>
        <w:spacing w:after="120" w:line="276" w:lineRule="auto"/>
        <w:ind w:left="1440"/>
        <w:jc w:val="both"/>
        <w:rPr>
          <w:rFonts w:ascii="Verdana" w:hAnsi="Verdana" w:cs="Arial"/>
          <w:noProof/>
          <w:sz w:val="21"/>
          <w:szCs w:val="21"/>
          <w:lang w:val="es-ES_tradnl"/>
        </w:rPr>
      </w:pPr>
    </w:p>
    <w:p w:rsidRPr="00881D8B" w:rsidR="00B7412F" w:rsidP="00B7412F" w:rsidRDefault="00B7412F" w14:paraId="3F1F5C22" w14:textId="77777777">
      <w:pPr>
        <w:pStyle w:val="Prrafodelista"/>
        <w:numPr>
          <w:ilvl w:val="0"/>
          <w:numId w:val="12"/>
        </w:numPr>
        <w:tabs>
          <w:tab w:val="left" w:pos="0"/>
        </w:tabs>
        <w:spacing w:after="120" w:line="276" w:lineRule="auto"/>
        <w:jc w:val="both"/>
        <w:rPr>
          <w:rFonts w:ascii="Verdana" w:hAnsi="Verdana" w:eastAsia="Calibri" w:cs="Arial"/>
          <w:color w:val="000000" w:themeColor="text1"/>
          <w:lang w:val="es-ES_tradnl"/>
        </w:rPr>
      </w:pPr>
      <w:r w:rsidRPr="00881D8B">
        <w:rPr>
          <w:rFonts w:ascii="Verdana" w:hAnsi="Verdana" w:cs="Arial"/>
          <w:noProof/>
          <w:lang w:val="es-ES_tradnl"/>
        </w:rPr>
        <w:t xml:space="preserve">Se celebran a través de la modalidad de contratación directa, independientemente de la cuantía y del tipo de servicio profesional, siempre que su objeto no sea la consultoría. Esto por cuanto, como lo indicó el Consejo de Estado en otra Sentencia de Unificación Jurisprudencial del año 2013, si bien en ambos existe un </w:t>
      </w:r>
      <w:r w:rsidRPr="00881D8B">
        <w:rPr>
          <w:rFonts w:ascii="Verdana" w:hAnsi="Verdana" w:cs="Arial"/>
          <w:noProof/>
          <w:lang w:val="es-ES_tradnl"/>
        </w:rPr>
        <w:lastRenderedPageBreak/>
        <w:t>componente intelectual y profesional, el objeto del contrato de consultoría es especial y debe celebrarse, por regla general, mediante un concurso de méritos</w:t>
      </w:r>
      <w:r w:rsidRPr="00881D8B">
        <w:rPr>
          <w:rFonts w:ascii="Verdana" w:hAnsi="Verdana" w:cs="Arial"/>
          <w:noProof/>
          <w:vertAlign w:val="superscript"/>
          <w:lang w:val="es-ES_tradnl"/>
        </w:rPr>
        <w:footnoteReference w:id="7"/>
      </w:r>
      <w:r w:rsidRPr="00881D8B">
        <w:rPr>
          <w:rFonts w:ascii="Verdana" w:hAnsi="Verdana" w:cs="Arial"/>
          <w:noProof/>
          <w:lang w:val="es-ES_tradnl"/>
        </w:rPr>
        <w:t>. Esto también se deriva d</w:t>
      </w:r>
      <w:r w:rsidRPr="00881D8B">
        <w:rPr>
          <w:rFonts w:ascii="Verdana" w:hAnsi="Verdana" w:eastAsia="Calibri" w:cs="Arial"/>
          <w:color w:val="000000" w:themeColor="text1"/>
          <w:lang w:val="es-ES_tradnl"/>
        </w:rPr>
        <w:t>el artículo 2, numeral 4º, literal h) de la Ley 1150 de 2007, al señalar que procede la contratación directa para la prestación de servicios profesionales y de apoyo a la gestión o para la ejecución de trabajos artísticos que solo pueden encomendarse a determinadas personas.</w:t>
      </w:r>
    </w:p>
    <w:p w:rsidRPr="00881D8B" w:rsidR="00B7412F" w:rsidP="00B7412F" w:rsidRDefault="00B7412F" w14:paraId="311E5C18" w14:textId="77777777">
      <w:pPr>
        <w:pStyle w:val="Prrafodelista"/>
        <w:numPr>
          <w:ilvl w:val="0"/>
          <w:numId w:val="12"/>
        </w:numPr>
        <w:tabs>
          <w:tab w:val="left" w:pos="0"/>
        </w:tabs>
        <w:spacing w:after="120" w:line="276" w:lineRule="auto"/>
        <w:jc w:val="both"/>
        <w:rPr>
          <w:rFonts w:ascii="Verdana" w:hAnsi="Verdana" w:cs="Arial"/>
          <w:color w:val="000000" w:themeColor="text1"/>
          <w:lang w:val="es-ES_tradnl"/>
        </w:rPr>
      </w:pPr>
      <w:r w:rsidRPr="00881D8B">
        <w:rPr>
          <w:rFonts w:ascii="Verdana" w:hAnsi="Verdana" w:cs="Arial"/>
          <w:noProof/>
          <w:lang w:val="es-ES_tradnl"/>
        </w:rPr>
        <w:t>Para su celebración no se requiere expedir un acto administrativo de justificación de la contratación directa</w:t>
      </w:r>
      <w:r w:rsidRPr="00881D8B">
        <w:rPr>
          <w:rFonts w:ascii="Verdana" w:hAnsi="Verdana" w:cs="Arial"/>
          <w:noProof/>
          <w:vertAlign w:val="superscript"/>
          <w:lang w:val="es-ES_tradnl"/>
        </w:rPr>
        <w:footnoteReference w:id="8"/>
      </w:r>
      <w:r w:rsidRPr="00881D8B">
        <w:rPr>
          <w:rFonts w:ascii="Verdana" w:hAnsi="Verdana" w:cs="Arial"/>
          <w:noProof/>
          <w:lang w:val="es-ES_tradnl"/>
        </w:rPr>
        <w:t>.</w:t>
      </w:r>
    </w:p>
    <w:p w:rsidRPr="00881D8B" w:rsidR="00B7412F" w:rsidP="00B7412F" w:rsidRDefault="00B7412F" w14:paraId="74BFD317" w14:textId="77777777">
      <w:pPr>
        <w:pStyle w:val="Prrafodelista"/>
        <w:numPr>
          <w:ilvl w:val="0"/>
          <w:numId w:val="12"/>
        </w:numPr>
        <w:tabs>
          <w:tab w:val="left" w:pos="0"/>
        </w:tabs>
        <w:spacing w:after="120" w:line="276" w:lineRule="auto"/>
        <w:jc w:val="both"/>
        <w:rPr>
          <w:rFonts w:ascii="Verdana" w:hAnsi="Verdana" w:cs="Arial"/>
          <w:color w:val="000000" w:themeColor="text1"/>
          <w:lang w:val="es-ES_tradnl"/>
        </w:rPr>
      </w:pPr>
      <w:r w:rsidRPr="00881D8B">
        <w:rPr>
          <w:rFonts w:ascii="Verdana" w:hAnsi="Verdana" w:cs="Arial"/>
          <w:noProof/>
          <w:lang w:val="es-ES_tradnl"/>
        </w:rPr>
        <w:t xml:space="preserve">El contrato admite la inclusión de cláusulas excepcionales. En los contratos de prestación de servicios se puede pactar la caducidad, la modificación, interpretación o terminación unilateral, como acuerdos o elementos accidentales, así que para ejercer estas </w:t>
      </w:r>
      <w:r w:rsidRPr="00881D8B">
        <w:rPr>
          <w:rFonts w:ascii="Verdana" w:hAnsi="Verdana" w:cs="Arial"/>
          <w:noProof/>
          <w:lang w:val="es-ES_tradnl"/>
        </w:rPr>
        <w:lastRenderedPageBreak/>
        <w:t>exorbitancias deben incluirse expresamente, porque no se entienden pactadas como cláusula de la naturaleza. Así se infiere del artículo 14, numeral 2º, de la Ley 80 de 1993</w:t>
      </w:r>
      <w:r w:rsidRPr="00881D8B">
        <w:rPr>
          <w:rFonts w:ascii="Verdana" w:hAnsi="Verdana"/>
          <w:noProof/>
          <w:vertAlign w:val="superscript"/>
          <w:lang w:val="es-ES_tradnl"/>
        </w:rPr>
        <w:footnoteReference w:id="9"/>
      </w:r>
      <w:r w:rsidRPr="00881D8B">
        <w:rPr>
          <w:rFonts w:ascii="Verdana" w:hAnsi="Verdana" w:cs="Arial"/>
          <w:noProof/>
          <w:lang w:val="es-ES_tradnl"/>
        </w:rPr>
        <w:t>.</w:t>
      </w:r>
    </w:p>
    <w:p w:rsidRPr="00881D8B" w:rsidR="00B7412F" w:rsidP="00B7412F" w:rsidRDefault="00B7412F" w14:paraId="7E121968" w14:textId="77777777">
      <w:pPr>
        <w:pStyle w:val="Prrafodelista"/>
        <w:numPr>
          <w:ilvl w:val="0"/>
          <w:numId w:val="12"/>
        </w:numPr>
        <w:tabs>
          <w:tab w:val="left" w:pos="0"/>
        </w:tabs>
        <w:spacing w:after="120" w:line="276" w:lineRule="auto"/>
        <w:jc w:val="both"/>
        <w:rPr>
          <w:rFonts w:ascii="Verdana" w:hAnsi="Verdana" w:cs="Arial"/>
          <w:color w:val="000000" w:themeColor="text1"/>
          <w:lang w:val="es-ES_tradnl"/>
        </w:rPr>
      </w:pPr>
      <w:r w:rsidRPr="00881D8B">
        <w:rPr>
          <w:rFonts w:ascii="Verdana" w:hAnsi="Verdana" w:cs="Arial"/>
          <w:noProof/>
          <w:lang w:val="es-ES_tradnl"/>
        </w:rPr>
        <w:t>No es obligatoria la liquidación de estos contratos, como lo establece el artículo 217 del Decreto 019 de 2012, que modificó el artículo 60 de la Ley 80 de 1993</w:t>
      </w:r>
      <w:r w:rsidRPr="00881D8B">
        <w:rPr>
          <w:rFonts w:ascii="Verdana" w:hAnsi="Verdana"/>
          <w:noProof/>
          <w:vertAlign w:val="superscript"/>
          <w:lang w:val="es-ES_tradnl"/>
        </w:rPr>
        <w:footnoteReference w:id="10"/>
      </w:r>
      <w:r w:rsidRPr="00881D8B">
        <w:rPr>
          <w:rFonts w:ascii="Verdana" w:hAnsi="Verdana" w:cs="Arial"/>
          <w:noProof/>
          <w:lang w:val="es-ES_tradnl"/>
        </w:rPr>
        <w:t>.</w:t>
      </w:r>
    </w:p>
    <w:p w:rsidRPr="00881D8B" w:rsidR="00B7412F" w:rsidP="00B7412F" w:rsidRDefault="00B7412F" w14:paraId="176594F5" w14:textId="77777777">
      <w:pPr>
        <w:pStyle w:val="Prrafodelista"/>
        <w:numPr>
          <w:ilvl w:val="0"/>
          <w:numId w:val="12"/>
        </w:numPr>
        <w:tabs>
          <w:tab w:val="left" w:pos="0"/>
        </w:tabs>
        <w:spacing w:after="120" w:line="276" w:lineRule="auto"/>
        <w:jc w:val="both"/>
        <w:rPr>
          <w:rFonts w:ascii="Verdana" w:hAnsi="Verdana" w:cs="Arial"/>
          <w:color w:val="000000" w:themeColor="text1"/>
          <w:lang w:val="es-ES_tradnl"/>
        </w:rPr>
      </w:pPr>
      <w:r w:rsidRPr="00881D8B">
        <w:rPr>
          <w:rFonts w:ascii="Verdana" w:hAnsi="Verdana" w:cs="Arial"/>
          <w:noProof/>
          <w:lang w:val="es-ES_tradnl"/>
        </w:rPr>
        <w:t>Para su celebración el contratista no requiere estar inscrito en el Registro Único de Proponentes –en adelante RUP–, como lo señala el artículo 6 de la Ley 1150 de 2007</w:t>
      </w:r>
      <w:r w:rsidRPr="00881D8B">
        <w:rPr>
          <w:rFonts w:ascii="Verdana" w:hAnsi="Verdana"/>
          <w:noProof/>
          <w:vertAlign w:val="superscript"/>
          <w:lang w:val="es-ES_tradnl"/>
        </w:rPr>
        <w:footnoteReference w:id="11"/>
      </w:r>
      <w:r w:rsidRPr="00881D8B">
        <w:rPr>
          <w:rFonts w:ascii="Verdana" w:hAnsi="Verdana" w:cs="Arial"/>
          <w:noProof/>
          <w:lang w:val="es-ES_tradnl"/>
        </w:rPr>
        <w:t>.</w:t>
      </w:r>
    </w:p>
    <w:p w:rsidRPr="00881D8B" w:rsidR="00B7412F" w:rsidP="00B7412F" w:rsidRDefault="00B7412F" w14:paraId="2F103D51" w14:textId="77777777">
      <w:pPr>
        <w:pStyle w:val="Prrafodelista"/>
        <w:numPr>
          <w:ilvl w:val="0"/>
          <w:numId w:val="12"/>
        </w:numPr>
        <w:tabs>
          <w:tab w:val="left" w:pos="0"/>
        </w:tabs>
        <w:spacing w:after="120" w:line="276" w:lineRule="auto"/>
        <w:jc w:val="both"/>
        <w:rPr>
          <w:rFonts w:ascii="Verdana" w:hAnsi="Verdana" w:cs="Arial"/>
          <w:color w:val="000000" w:themeColor="text1"/>
          <w:lang w:val="es-ES_tradnl"/>
        </w:rPr>
      </w:pPr>
      <w:r w:rsidRPr="00881D8B">
        <w:rPr>
          <w:rFonts w:ascii="Verdana" w:hAnsi="Verdana" w:cs="Arial"/>
          <w:noProof/>
          <w:lang w:val="es-ES_tradnl"/>
        </w:rPr>
        <w:lastRenderedPageBreak/>
        <w:t>No es obligtoria la exigencia de garantías</w:t>
      </w:r>
      <w:r w:rsidRPr="00881D8B">
        <w:rPr>
          <w:rFonts w:ascii="Verdana" w:hAnsi="Verdana"/>
          <w:noProof/>
          <w:vertAlign w:val="superscript"/>
          <w:lang w:val="es-ES_tradnl"/>
        </w:rPr>
        <w:footnoteReference w:id="12"/>
      </w:r>
      <w:r w:rsidRPr="00881D8B">
        <w:rPr>
          <w:rFonts w:ascii="Verdana" w:hAnsi="Verdana" w:cs="Arial"/>
          <w:noProof/>
          <w:lang w:val="es-ES_tradnl"/>
        </w:rPr>
        <w:t>.</w:t>
      </w:r>
    </w:p>
    <w:p w:rsidRPr="00881D8B" w:rsidR="00B7412F" w:rsidP="00B7412F" w:rsidRDefault="00B7412F" w14:paraId="1D0D1CC0" w14:textId="77777777">
      <w:pPr>
        <w:pStyle w:val="Prrafodelista"/>
        <w:numPr>
          <w:ilvl w:val="0"/>
          <w:numId w:val="12"/>
        </w:numPr>
        <w:tabs>
          <w:tab w:val="left" w:pos="0"/>
        </w:tabs>
        <w:spacing w:after="120" w:line="276" w:lineRule="auto"/>
        <w:jc w:val="both"/>
        <w:rPr>
          <w:rFonts w:ascii="Verdana" w:hAnsi="Verdana" w:cs="Arial"/>
          <w:color w:val="000000" w:themeColor="text1"/>
          <w:lang w:val="es-ES_tradnl"/>
        </w:rPr>
      </w:pPr>
      <w:r w:rsidRPr="00881D8B">
        <w:rPr>
          <w:rFonts w:ascii="Verdana" w:hAnsi="Verdana" w:cs="Arial"/>
          <w:noProof/>
          <w:lang w:val="es-ES_tradnl"/>
        </w:rPr>
        <w:t>Como los demás contratos estatales, se trata de un contrato solemne que debe constar por escrito y debe ser publicado en el SECOP.</w:t>
      </w:r>
    </w:p>
    <w:p w:rsidRPr="00881D8B" w:rsidR="00B7412F" w:rsidP="00B7412F" w:rsidRDefault="00B7412F" w14:paraId="1B14C0CD" w14:textId="77777777">
      <w:pPr>
        <w:pStyle w:val="Prrafodelista"/>
        <w:numPr>
          <w:ilvl w:val="0"/>
          <w:numId w:val="12"/>
        </w:numPr>
        <w:tabs>
          <w:tab w:val="left" w:pos="0"/>
        </w:tabs>
        <w:spacing w:after="120" w:line="276" w:lineRule="auto"/>
        <w:jc w:val="both"/>
        <w:rPr>
          <w:rFonts w:ascii="Verdana" w:hAnsi="Verdana" w:cs="Arial"/>
          <w:color w:val="000000" w:themeColor="text1"/>
          <w:lang w:val="es-ES_tradnl"/>
        </w:rPr>
      </w:pPr>
      <w:r w:rsidRPr="00881D8B">
        <w:rPr>
          <w:rFonts w:ascii="Verdana" w:hAnsi="Verdana" w:cs="Arial"/>
          <w:color w:val="000000" w:themeColor="text1"/>
        </w:rPr>
        <w:t>C</w:t>
      </w:r>
      <w:r w:rsidRPr="00881D8B">
        <w:rPr>
          <w:rFonts w:ascii="Verdana" w:hAnsi="Verdana" w:cs="Arial"/>
          <w:color w:val="000000" w:themeColor="text1"/>
          <w:lang w:val="es-MX"/>
        </w:rPr>
        <w:t xml:space="preserve">omo especies del género </w:t>
      </w:r>
      <w:r w:rsidRPr="00881D8B">
        <w:rPr>
          <w:rFonts w:ascii="Verdana" w:hAnsi="Verdana" w:cs="Arial"/>
          <w:i/>
          <w:color w:val="000000" w:themeColor="text1"/>
          <w:lang w:val="es-MX"/>
        </w:rPr>
        <w:t>prestación de servicios,</w:t>
      </w:r>
      <w:r w:rsidRPr="00881D8B">
        <w:rPr>
          <w:rFonts w:ascii="Verdana" w:hAnsi="Verdana" w:cs="Arial"/>
          <w:color w:val="000000" w:themeColor="text1"/>
          <w:lang w:val="es-MX"/>
        </w:rPr>
        <w:t xml:space="preserve"> se incluyen </w:t>
      </w:r>
      <w:r w:rsidRPr="00881D8B">
        <w:rPr>
          <w:rFonts w:ascii="Verdana" w:hAnsi="Verdana" w:cs="Arial"/>
          <w:color w:val="000000" w:themeColor="text1"/>
          <w:lang w:val="es-ES_tradnl"/>
        </w:rPr>
        <w:t xml:space="preserve">los </w:t>
      </w:r>
      <w:r w:rsidRPr="00881D8B">
        <w:rPr>
          <w:rFonts w:ascii="Verdana" w:hAnsi="Verdana" w:cs="Arial"/>
          <w:i/>
          <w:iCs/>
          <w:color w:val="000000" w:themeColor="text1"/>
          <w:lang w:val="es-ES_tradnl"/>
        </w:rPr>
        <w:t>contratos de prestación de servicios profesionales, los contratos de prestación de servicios de apoyo a la gestión</w:t>
      </w:r>
      <w:r w:rsidRPr="00881D8B">
        <w:rPr>
          <w:rFonts w:ascii="Verdana" w:hAnsi="Verdana" w:cs="Arial"/>
          <w:color w:val="000000" w:themeColor="text1"/>
          <w:lang w:val="es-ES_tradnl"/>
        </w:rPr>
        <w:t xml:space="preserve"> y los </w:t>
      </w:r>
      <w:r w:rsidRPr="00881D8B">
        <w:rPr>
          <w:rFonts w:ascii="Verdana" w:hAnsi="Verdana" w:cs="Arial"/>
          <w:i/>
          <w:iCs/>
          <w:color w:val="000000" w:themeColor="text1"/>
          <w:lang w:val="es-ES_tradnl"/>
        </w:rPr>
        <w:t>contratos de prestación de servicios artísticos que solo pueden encomendarse a determinadas personas naturales</w:t>
      </w:r>
      <w:r w:rsidRPr="00881D8B">
        <w:rPr>
          <w:rFonts w:ascii="Verdana" w:hAnsi="Verdana"/>
          <w:vertAlign w:val="superscript"/>
          <w:lang w:val="es-ES_tradnl"/>
        </w:rPr>
        <w:footnoteReference w:id="13"/>
      </w:r>
      <w:r w:rsidRPr="00881D8B">
        <w:rPr>
          <w:rFonts w:ascii="Verdana" w:hAnsi="Verdana" w:cs="Arial"/>
          <w:color w:val="000000" w:themeColor="text1"/>
          <w:lang w:val="es-MX"/>
        </w:rPr>
        <w:t xml:space="preserve">. </w:t>
      </w:r>
      <w:r w:rsidRPr="00881D8B">
        <w:rPr>
          <w:rFonts w:ascii="Verdana" w:hAnsi="Verdana" w:cs="Arial"/>
          <w:color w:val="000000" w:themeColor="text1"/>
          <w:lang w:val="es-ES_tradnl"/>
        </w:rPr>
        <w:t xml:space="preserve">La diferencia entre el contrato de prestación de servicios </w:t>
      </w:r>
      <w:r w:rsidRPr="00881D8B">
        <w:rPr>
          <w:rFonts w:ascii="Verdana" w:hAnsi="Verdana" w:cs="Arial"/>
          <w:i/>
          <w:color w:val="000000" w:themeColor="text1"/>
          <w:lang w:val="es-ES_tradnl"/>
        </w:rPr>
        <w:t>profesionales</w:t>
      </w:r>
      <w:r w:rsidRPr="00881D8B">
        <w:rPr>
          <w:rFonts w:ascii="Verdana" w:hAnsi="Verdana" w:cs="Arial"/>
          <w:color w:val="000000" w:themeColor="text1"/>
          <w:lang w:val="es-ES_tradnl"/>
        </w:rPr>
        <w:t xml:space="preserve"> con las 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explicar que:</w:t>
      </w:r>
    </w:p>
    <w:p w:rsidRPr="00881D8B" w:rsidR="00B7412F" w:rsidP="00B7412F" w:rsidRDefault="00B7412F" w14:paraId="06354427" w14:textId="77777777">
      <w:pPr>
        <w:pStyle w:val="Prrafodelista"/>
        <w:tabs>
          <w:tab w:val="left" w:pos="0"/>
        </w:tabs>
        <w:spacing w:after="120" w:line="276" w:lineRule="auto"/>
        <w:ind w:left="1440"/>
        <w:jc w:val="both"/>
        <w:rPr>
          <w:rFonts w:ascii="Verdana" w:hAnsi="Verdana" w:cs="Arial"/>
          <w:color w:val="000000" w:themeColor="text1"/>
          <w:lang w:val="es-ES_tradnl"/>
        </w:rPr>
      </w:pPr>
      <w:r w:rsidRPr="00881D8B">
        <w:rPr>
          <w:rFonts w:ascii="Verdana" w:hAnsi="Verdana" w:eastAsia="Yu Gothic UI Semibold" w:cs="Arial"/>
          <w:iCs/>
          <w:sz w:val="21"/>
          <w:szCs w:val="21"/>
          <w:lang w:eastAsia="es-MX"/>
        </w:rPr>
        <w:t>“</w:t>
      </w:r>
      <w:r w:rsidRPr="00881D8B">
        <w:rPr>
          <w:rFonts w:ascii="Verdana" w:hAnsi="Verdana" w:cs="Arial"/>
          <w:color w:val="000000" w:themeColor="text1"/>
          <w:sz w:val="21"/>
          <w:szCs w:val="21"/>
          <w:lang w:val="es-ES_tradnl"/>
        </w:rPr>
        <w:t xml:space="preserve">Su objeto está determinado por el desarrollo de actividades identificables e intangibles que impliquen el desempeño de un esfuerzo o actividad, tendiente a satisfacer necesidades de las entidades estatales en lo relacionado con la gestión administrativa o </w:t>
      </w:r>
      <w:r w:rsidRPr="00881D8B">
        <w:rPr>
          <w:rFonts w:ascii="Verdana" w:hAnsi="Verdana" w:cs="Arial"/>
          <w:color w:val="000000" w:themeColor="text1"/>
          <w:sz w:val="21"/>
          <w:szCs w:val="21"/>
          <w:lang w:val="es-ES_tradnl"/>
        </w:rPr>
        <w:lastRenderedPageBreak/>
        <w:t>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881D8B">
        <w:rPr>
          <w:rFonts w:ascii="Verdana" w:hAnsi="Verdana" w:cs="Arial"/>
          <w:noProof/>
          <w:sz w:val="21"/>
          <w:szCs w:val="21"/>
          <w:lang w:val="es-ES_tradnl"/>
        </w:rPr>
        <w:t>”</w:t>
      </w:r>
      <w:r w:rsidRPr="00881D8B">
        <w:rPr>
          <w:rFonts w:ascii="Verdana" w:hAnsi="Verdana"/>
          <w:vertAlign w:val="superscript"/>
          <w:lang w:val="es-ES_tradnl"/>
        </w:rPr>
        <w:footnoteReference w:id="14"/>
      </w:r>
      <w:r w:rsidRPr="00881D8B">
        <w:rPr>
          <w:rFonts w:ascii="Verdana" w:hAnsi="Verdana" w:cs="Arial"/>
          <w:color w:val="000000" w:themeColor="text1"/>
          <w:sz w:val="21"/>
          <w:szCs w:val="21"/>
          <w:lang w:val="es-ES_tradnl"/>
        </w:rPr>
        <w:t>.</w:t>
      </w:r>
    </w:p>
    <w:p w:rsidRPr="00881D8B" w:rsidR="00B7412F" w:rsidP="00B7412F" w:rsidRDefault="00B7412F" w14:paraId="4484512D" w14:textId="77777777">
      <w:pPr>
        <w:spacing w:line="276" w:lineRule="auto"/>
        <w:ind w:firstLine="709"/>
        <w:contextualSpacing/>
        <w:jc w:val="both"/>
        <w:rPr>
          <w:rFonts w:ascii="Verdana" w:hAnsi="Verdana" w:cs="Arial"/>
          <w:color w:val="000000" w:themeColor="text1"/>
          <w:lang w:val="es-ES_tradnl"/>
        </w:rPr>
      </w:pPr>
    </w:p>
    <w:p w:rsidRPr="00881D8B" w:rsidR="00B7412F" w:rsidP="00B7412F" w:rsidRDefault="00B7412F" w14:paraId="232B105A" w14:textId="77777777">
      <w:pPr>
        <w:pStyle w:val="Prrafodelista"/>
        <w:numPr>
          <w:ilvl w:val="0"/>
          <w:numId w:val="11"/>
        </w:numPr>
        <w:tabs>
          <w:tab w:val="left" w:pos="709"/>
        </w:tabs>
        <w:spacing w:after="120" w:line="276" w:lineRule="auto"/>
        <w:jc w:val="both"/>
        <w:rPr>
          <w:rFonts w:ascii="Verdana" w:hAnsi="Verdana" w:cs="Arial"/>
          <w:color w:val="000000"/>
          <w:lang w:val="es-MX" w:eastAsia="es-ES"/>
        </w:rPr>
      </w:pPr>
      <w:r w:rsidRPr="00881D8B">
        <w:rPr>
          <w:rFonts w:ascii="Verdana" w:hAnsi="Verdana" w:cs="Arial"/>
          <w:color w:val="000000"/>
          <w:lang w:val="es-MX" w:eastAsia="es-ES"/>
        </w:rPr>
        <w:t xml:space="preserve">El Estatuto General de Contratación para la Administración Pública – EGCAP– no establece una diferencia entre los conceptos de prórroga, adición y renovación de los contratos estatales, por ello resulta necesario recurrir a otras disposiciones y aportes doctrinarios para distinguirlos. Como distinción inicial, se tiene que el concepto </w:t>
      </w:r>
      <w:r w:rsidRPr="00881D8B">
        <w:rPr>
          <w:rFonts w:ascii="Verdana" w:hAnsi="Verdana" w:cs="Arial"/>
          <w:i/>
          <w:color w:val="000000"/>
          <w:lang w:val="es-MX" w:eastAsia="es-ES"/>
        </w:rPr>
        <w:t>prórroga</w:t>
      </w:r>
      <w:r w:rsidRPr="00881D8B">
        <w:rPr>
          <w:rFonts w:ascii="Verdana" w:hAnsi="Verdana" w:cs="Arial"/>
          <w:color w:val="000000"/>
          <w:lang w:val="es-MX" w:eastAsia="es-ES"/>
        </w:rPr>
        <w:t xml:space="preserve"> está particularmente ligado con la modificación ―ampliación― del plazo de los contratos; las </w:t>
      </w:r>
      <w:r w:rsidRPr="00881D8B">
        <w:rPr>
          <w:rFonts w:ascii="Verdana" w:hAnsi="Verdana" w:cs="Arial"/>
          <w:i/>
          <w:color w:val="000000"/>
          <w:lang w:val="es-MX" w:eastAsia="es-ES"/>
        </w:rPr>
        <w:t>adiciones</w:t>
      </w:r>
      <w:r w:rsidRPr="00881D8B">
        <w:rPr>
          <w:rFonts w:ascii="Verdana" w:hAnsi="Verdana" w:cs="Arial"/>
          <w:color w:val="000000"/>
          <w:lang w:val="es-MX" w:eastAsia="es-ES"/>
        </w:rPr>
        <w:t xml:space="preserve"> con el incremento del valor, debido a la inclusión de nuevas obligaciones, sea por la introducción de nuevas actividades o por la ejecución de una mayor cantidad de las pactadas inicialmente; y la </w:t>
      </w:r>
      <w:r w:rsidRPr="00881D8B">
        <w:rPr>
          <w:rFonts w:ascii="Verdana" w:hAnsi="Verdana" w:cs="Arial"/>
          <w:i/>
          <w:color w:val="000000"/>
          <w:lang w:val="es-MX" w:eastAsia="es-ES"/>
        </w:rPr>
        <w:t>renovación</w:t>
      </w:r>
      <w:r w:rsidRPr="00881D8B">
        <w:rPr>
          <w:rFonts w:ascii="Verdana" w:hAnsi="Verdana" w:cs="Arial"/>
          <w:color w:val="000000"/>
          <w:lang w:val="es-MX" w:eastAsia="es-ES"/>
        </w:rPr>
        <w:t xml:space="preserve"> con el nacimiento de un nuevo contrato, con condiciones similares o idénticas al contrato inicial.</w:t>
      </w:r>
    </w:p>
    <w:p w:rsidRPr="00881D8B" w:rsidR="00B7412F" w:rsidP="00B7412F" w:rsidRDefault="00B7412F" w14:paraId="461F20D7" w14:textId="77777777">
      <w:pPr>
        <w:pStyle w:val="Prrafodelista"/>
        <w:tabs>
          <w:tab w:val="left" w:pos="709"/>
        </w:tabs>
        <w:spacing w:after="120" w:line="276" w:lineRule="auto"/>
        <w:jc w:val="both"/>
        <w:rPr>
          <w:rFonts w:ascii="Verdana" w:hAnsi="Verdana" w:cs="Arial"/>
          <w:color w:val="000000"/>
          <w:lang w:val="es-MX" w:eastAsia="es-ES"/>
        </w:rPr>
      </w:pPr>
    </w:p>
    <w:p w:rsidRPr="00881D8B" w:rsidR="00B7412F" w:rsidP="00B7412F" w:rsidRDefault="00B7412F" w14:paraId="333BB145" w14:textId="77777777">
      <w:pPr>
        <w:pStyle w:val="Prrafodelista"/>
        <w:numPr>
          <w:ilvl w:val="0"/>
          <w:numId w:val="11"/>
        </w:numPr>
        <w:tabs>
          <w:tab w:val="left" w:pos="709"/>
        </w:tabs>
        <w:spacing w:after="120" w:line="276" w:lineRule="auto"/>
        <w:jc w:val="both"/>
        <w:rPr>
          <w:rFonts w:ascii="Verdana" w:hAnsi="Verdana" w:eastAsia="Arial" w:cs="Arial"/>
        </w:rPr>
      </w:pPr>
      <w:r w:rsidRPr="00881D8B">
        <w:rPr>
          <w:rFonts w:ascii="Verdana" w:hAnsi="Verdana" w:eastAsia="Arial" w:cs="Arial"/>
        </w:rPr>
        <w:t xml:space="preserve">Estas distinciones guardan relación con el uso común de los conceptos, es decir, no reducido a su significación jurídica. En efecto, el Diccionario de la Lengua Española ―DLE― define la prórroga como: “1. f. Continuación de algo por un tiempo determinado. 2. f. Plazo por el cual se continúa o prorroga algo”. Como se observa, la definición indica que la prórroga está asociada a los plazos, lo que implica extender los efectos de algo por un tiempo mayor. Ahora bien, en relación con la adición, el DLE señala que consiste en la acción y efecto de añadir, definiendo añadir como: “1. tr. Agregar, incorporar algo a otra cosa. 2. tr. Aumentar, acrecentar, ampliar”. Como se observa, la adición en relación con los contratos implicaría incorporar nuevas obligaciones, lo que en los contratos </w:t>
      </w:r>
      <w:r w:rsidRPr="00881D8B">
        <w:rPr>
          <w:rFonts w:ascii="Verdana" w:hAnsi="Verdana" w:eastAsia="Arial" w:cs="Arial"/>
        </w:rPr>
        <w:lastRenderedPageBreak/>
        <w:t>estatales aparejaría un incremento en la contraprestación, es decir, en el precio. Finalmente, el diccionario indica que la renovación consiste en: “1. tr. Hacer como de nuevo algo, o volverlo a su primer estado 2. tr. Restablecer o reanudar una relación u otra cosa que se había interrumpido […] 4. tr. Sustituir una cosa vieja, o que ya ha servido, por otra nueva de la misma clase”. Como se observa, la renovación consiste en hacer algo de nuevo, de manera que, en principio consistiría en la celebración de un nuevo contrato en condiciones idénticas o similares a un contrato anterior.</w:t>
      </w:r>
    </w:p>
    <w:p w:rsidRPr="00881D8B" w:rsidR="00B7412F" w:rsidP="00B7412F" w:rsidRDefault="00B7412F" w14:paraId="140C83C1" w14:textId="77777777">
      <w:pPr>
        <w:pStyle w:val="Prrafodelista"/>
        <w:tabs>
          <w:tab w:val="left" w:pos="709"/>
        </w:tabs>
        <w:spacing w:after="120" w:line="276" w:lineRule="auto"/>
        <w:jc w:val="both"/>
        <w:rPr>
          <w:rFonts w:ascii="Verdana" w:hAnsi="Verdana" w:eastAsia="Arial" w:cs="Arial"/>
        </w:rPr>
      </w:pPr>
    </w:p>
    <w:p w:rsidRPr="00881D8B" w:rsidR="00B7412F" w:rsidP="00B7412F" w:rsidRDefault="00B7412F" w14:paraId="3F2734DE" w14:textId="77777777">
      <w:pPr>
        <w:pStyle w:val="Prrafodelista"/>
        <w:numPr>
          <w:ilvl w:val="0"/>
          <w:numId w:val="11"/>
        </w:numPr>
        <w:tabs>
          <w:tab w:val="left" w:pos="709"/>
        </w:tabs>
        <w:spacing w:line="276" w:lineRule="auto"/>
        <w:jc w:val="both"/>
        <w:rPr>
          <w:rFonts w:ascii="Verdana" w:hAnsi="Verdana" w:eastAsia="Arial" w:cs="Arial"/>
        </w:rPr>
      </w:pPr>
      <w:r w:rsidRPr="00881D8B">
        <w:rPr>
          <w:rFonts w:ascii="Verdana" w:hAnsi="Verdana" w:eastAsia="Arial" w:cs="Arial"/>
        </w:rPr>
        <w:t xml:space="preserve">Algunos doctrinantes del contrato estatal se han esforzado en señalar las diferencias entre los conceptos de adición y prórroga, que son comúnmente utilizados en estos contratos; no así en relación con el concepto de renovación, cuya diferencia con la prórroga es desarrollada por la jurisprudencia y la doctrina del derecho privado, en vista de que aquel concepto es propio de los contratos de arrendamiento, concluyendo que la prórroga consiste en extender los efectos de un contrato por un término mayor, es decir, prorrogar el mismo contrato; mientras que la renovación consiste en la celebración de un nuevo contrato, al indicar que “el renovado es uno nuevo”. En efecto, la Corte Suprema de Justicia, en sentencia del 8 de octubre de 1997, Exp. 4.818 (M.P. Pedro Lafont Pianetta), indicó: </w:t>
      </w:r>
    </w:p>
    <w:p w:rsidRPr="00881D8B" w:rsidR="00B7412F" w:rsidP="00B7412F" w:rsidRDefault="00B7412F" w14:paraId="5E23F380" w14:textId="77777777">
      <w:pPr>
        <w:spacing w:line="276" w:lineRule="auto"/>
        <w:jc w:val="both"/>
        <w:rPr>
          <w:rFonts w:ascii="Verdana" w:hAnsi="Verdana" w:cs="Arial"/>
          <w:color w:val="000000"/>
          <w:lang w:val="es-MX" w:eastAsia="es-ES"/>
        </w:rPr>
      </w:pPr>
    </w:p>
    <w:p w:rsidRPr="00881D8B" w:rsidR="00B7412F" w:rsidP="00B7412F" w:rsidRDefault="00B7412F" w14:paraId="244160F3" w14:textId="77777777">
      <w:pPr>
        <w:spacing w:line="276" w:lineRule="auto"/>
        <w:ind w:left="709" w:right="709"/>
        <w:jc w:val="both"/>
        <w:rPr>
          <w:rFonts w:ascii="Verdana" w:hAnsi="Verdana" w:eastAsia="Calibri" w:cs="Arial"/>
          <w:color w:val="000000"/>
          <w:sz w:val="21"/>
          <w:szCs w:val="21"/>
          <w:lang w:val="es-ES"/>
        </w:rPr>
      </w:pPr>
      <w:r w:rsidRPr="00881D8B">
        <w:rPr>
          <w:rFonts w:ascii="Verdana" w:hAnsi="Verdana" w:eastAsia="Yu Gothic UI Semibold" w:cs="Arial"/>
          <w:iCs/>
          <w:sz w:val="21"/>
          <w:szCs w:val="21"/>
          <w:lang w:eastAsia="es-MX"/>
        </w:rPr>
        <w:t>“</w:t>
      </w:r>
      <w:r w:rsidRPr="00881D8B">
        <w:rPr>
          <w:rFonts w:ascii="Verdana" w:hAnsi="Verdana" w:eastAsia="Calibri" w:cs="Arial"/>
          <w:color w:val="000000"/>
          <w:sz w:val="21"/>
          <w:szCs w:val="21"/>
          <w:lang w:val="es-ES"/>
        </w:rPr>
        <w:t xml:space="preserve">El derecho a la </w:t>
      </w:r>
      <w:r w:rsidRPr="00881D8B">
        <w:rPr>
          <w:rFonts w:ascii="Verdana" w:hAnsi="Verdana" w:eastAsia="Calibri" w:cs="Arial"/>
          <w:i/>
          <w:color w:val="000000"/>
          <w:sz w:val="21"/>
          <w:szCs w:val="21"/>
          <w:lang w:val="es-ES"/>
        </w:rPr>
        <w:t>renovación</w:t>
      </w:r>
      <w:r w:rsidRPr="00881D8B">
        <w:rPr>
          <w:rFonts w:ascii="Verdana" w:hAnsi="Verdana" w:eastAsia="Calibri" w:cs="Arial"/>
          <w:color w:val="000000"/>
          <w:sz w:val="21"/>
          <w:szCs w:val="21"/>
          <w:lang w:val="es-ES"/>
        </w:rPr>
        <w:t xml:space="preserve"> del contrato para el </w:t>
      </w:r>
      <w:hyperlink w:history="1" r:id="rId12">
        <w:r w:rsidRPr="00881D8B">
          <w:rPr>
            <w:rFonts w:ascii="Verdana" w:hAnsi="Verdana" w:eastAsia="Calibri" w:cs="Arial"/>
            <w:color w:val="000000"/>
            <w:sz w:val="21"/>
            <w:szCs w:val="21"/>
            <w:lang w:val="es-ES"/>
          </w:rPr>
          <w:t>comerciante</w:t>
        </w:r>
      </w:hyperlink>
      <w:r w:rsidRPr="00881D8B">
        <w:rPr>
          <w:rFonts w:ascii="Verdana" w:hAnsi="Verdana" w:eastAsia="Calibri" w:cs="Arial"/>
          <w:color w:val="000000"/>
          <w:sz w:val="21"/>
          <w:szCs w:val="21"/>
          <w:lang w:val="es-ES"/>
        </w:rPr>
        <w:t xml:space="preserve"> que haya ocupado el inmueble con un mismo establecimiento mercantil por lapso no inferior a dos años consecutivos, derecho este respecto del cual, precisó la Corte en sentencia de su sala Plena proferida el 20 de noviembre de 1971, que no ha de confundirse con la prórroga del contrato, pues </w:t>
      </w:r>
      <w:r w:rsidRPr="00881D8B">
        <w:rPr>
          <w:rFonts w:ascii="Verdana" w:hAnsi="Verdana" w:eastAsia="Calibri" w:cs="Arial"/>
          <w:i/>
          <w:color w:val="000000"/>
          <w:sz w:val="21"/>
          <w:szCs w:val="21"/>
          <w:lang w:val="es-ES"/>
        </w:rPr>
        <w:t xml:space="preserve">el renovado es uno nuevo, que puede acordarse o </w:t>
      </w:r>
      <w:r w:rsidRPr="00881D8B">
        <w:rPr>
          <w:rFonts w:ascii="Verdana" w:hAnsi="Verdana" w:eastAsia="Calibri" w:cs="Arial"/>
          <w:i/>
          <w:color w:val="000000"/>
          <w:sz w:val="21"/>
          <w:szCs w:val="21"/>
          <w:lang w:val="es-ES"/>
        </w:rPr>
        <w:lastRenderedPageBreak/>
        <w:t>celebrarse con sujeción a las circunstancias especialmente en cuanto a </w:t>
      </w:r>
      <w:hyperlink w:history="1" r:id="rId13">
        <w:r w:rsidRPr="00881D8B">
          <w:rPr>
            <w:rFonts w:ascii="Verdana" w:hAnsi="Verdana" w:eastAsia="Calibri" w:cs="Arial"/>
            <w:i/>
            <w:color w:val="000000"/>
            <w:sz w:val="21"/>
            <w:szCs w:val="21"/>
            <w:lang w:val="es-ES"/>
          </w:rPr>
          <w:t>precio</w:t>
        </w:r>
      </w:hyperlink>
      <w:r w:rsidRPr="00881D8B">
        <w:rPr>
          <w:rFonts w:ascii="Verdana" w:hAnsi="Verdana" w:eastAsia="Calibri" w:cs="Arial"/>
          <w:i/>
          <w:color w:val="000000"/>
          <w:sz w:val="21"/>
          <w:szCs w:val="21"/>
          <w:lang w:val="es-ES"/>
        </w:rPr>
        <w:t> y utilización de la cosa arrendada</w:t>
      </w:r>
      <w:r w:rsidRPr="00881D8B">
        <w:rPr>
          <w:rFonts w:ascii="Verdana" w:hAnsi="Verdana" w:cs="Arial"/>
          <w:noProof/>
          <w:sz w:val="21"/>
          <w:szCs w:val="21"/>
          <w:lang w:val="es-ES_tradnl"/>
        </w:rPr>
        <w:t>”</w:t>
      </w:r>
      <w:r w:rsidRPr="00881D8B">
        <w:rPr>
          <w:rFonts w:ascii="Verdana" w:hAnsi="Verdana" w:eastAsia="Calibri" w:cs="Arial"/>
          <w:color w:val="000000"/>
          <w:sz w:val="21"/>
          <w:szCs w:val="21"/>
          <w:vertAlign w:val="superscript"/>
          <w:lang w:val="es-ES"/>
        </w:rPr>
        <w:footnoteReference w:id="15"/>
      </w:r>
      <w:r w:rsidRPr="00881D8B">
        <w:rPr>
          <w:rFonts w:ascii="Verdana" w:hAnsi="Verdana" w:eastAsia="Calibri" w:cs="Arial"/>
          <w:color w:val="000000"/>
          <w:sz w:val="21"/>
          <w:szCs w:val="21"/>
          <w:lang w:val="es-ES"/>
        </w:rPr>
        <w:t>. [Cursiva fuera de texto]</w:t>
      </w:r>
    </w:p>
    <w:p w:rsidRPr="00881D8B" w:rsidR="00B7412F" w:rsidP="00B7412F" w:rsidRDefault="00B7412F" w14:paraId="7B310FE2" w14:textId="77777777">
      <w:pPr>
        <w:tabs>
          <w:tab w:val="left" w:pos="709"/>
        </w:tabs>
        <w:spacing w:line="276" w:lineRule="auto"/>
        <w:jc w:val="both"/>
        <w:rPr>
          <w:rFonts w:ascii="Verdana" w:hAnsi="Verdana" w:eastAsia="Arial" w:cs="Arial"/>
          <w:lang w:val="es-ES"/>
        </w:rPr>
      </w:pPr>
      <w:r w:rsidRPr="00881D8B">
        <w:rPr>
          <w:rFonts w:ascii="Verdana" w:hAnsi="Verdana" w:eastAsia="Arial" w:cs="Arial"/>
          <w:lang w:val="es-ES"/>
        </w:rPr>
        <w:tab/>
      </w:r>
    </w:p>
    <w:p w:rsidRPr="006D702C" w:rsidR="00B7412F" w:rsidP="00B7412F" w:rsidRDefault="00B7412F" w14:paraId="243B477E" w14:textId="77777777">
      <w:pPr>
        <w:pStyle w:val="Prrafodelista"/>
        <w:numPr>
          <w:ilvl w:val="0"/>
          <w:numId w:val="13"/>
        </w:numPr>
        <w:tabs>
          <w:tab w:val="left" w:pos="709"/>
        </w:tabs>
        <w:spacing w:line="276" w:lineRule="auto"/>
        <w:jc w:val="both"/>
        <w:rPr>
          <w:rFonts w:ascii="Verdana" w:hAnsi="Verdana" w:eastAsia="Arial" w:cs="Arial"/>
        </w:rPr>
      </w:pPr>
      <w:r w:rsidRPr="00881D8B">
        <w:rPr>
          <w:rFonts w:ascii="Verdana" w:hAnsi="Verdana" w:eastAsia="Arial" w:cs="Arial"/>
        </w:rPr>
        <w:t xml:space="preserve">Con base en lo anterior, puede colegirse que la renovación de los contratos estatales se entiende como la suscripción de uno nuevo con características similares al anterior, con un mismo objeto, pero bajo condiciones </w:t>
      </w:r>
      <w:r w:rsidRPr="006D702C">
        <w:rPr>
          <w:rFonts w:ascii="Verdana" w:hAnsi="Verdana" w:eastAsia="Arial" w:cs="Arial"/>
        </w:rPr>
        <w:t>diferentes atinentes a su valor y plazo.</w:t>
      </w:r>
    </w:p>
    <w:p w:rsidRPr="006D702C" w:rsidR="00B7412F" w:rsidP="00B7412F" w:rsidRDefault="00B7412F" w14:paraId="11325FF4" w14:textId="77777777">
      <w:pPr>
        <w:spacing w:after="0" w:line="276" w:lineRule="auto"/>
        <w:jc w:val="both"/>
        <w:rPr>
          <w:rFonts w:ascii="Verdana" w:hAnsi="Verdana" w:eastAsia="Calibri" w:cs="Arial"/>
          <w:lang w:val="es-ES"/>
        </w:rPr>
      </w:pPr>
    </w:p>
    <w:p w:rsidRPr="006D702C" w:rsidR="00B7412F" w:rsidP="00B7412F" w:rsidRDefault="00B7412F" w14:paraId="5497C970" w14:textId="77777777">
      <w:pPr>
        <w:widowControl w:val="0"/>
        <w:autoSpaceDE w:val="0"/>
        <w:autoSpaceDN w:val="0"/>
        <w:spacing w:after="0" w:line="276" w:lineRule="auto"/>
        <w:jc w:val="both"/>
        <w:rPr>
          <w:rFonts w:ascii="Verdana" w:hAnsi="Verdana" w:cs="Arial"/>
        </w:rPr>
      </w:pPr>
    </w:p>
    <w:p w:rsidRPr="006D702C" w:rsidR="00B7412F" w:rsidP="00B7412F" w:rsidRDefault="00B7412F" w14:paraId="5E17B78F" w14:textId="77777777">
      <w:pPr>
        <w:pStyle w:val="Prrafodelista"/>
        <w:numPr>
          <w:ilvl w:val="0"/>
          <w:numId w:val="4"/>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6D702C">
        <w:rPr>
          <w:rFonts w:ascii="Verdana" w:hAnsi="Verdana" w:eastAsia="Century Gothic" w:cs="Century Gothic"/>
          <w:b/>
          <w:bCs/>
        </w:rPr>
        <w:t>Referencias normativas, jurisprudenciales y otras fuentes:</w:t>
      </w:r>
    </w:p>
    <w:p w:rsidRPr="00881D8B" w:rsidR="00B7412F" w:rsidP="00B7412F" w:rsidRDefault="00B7412F" w14:paraId="4EE9DC0A" w14:textId="77777777">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8647"/>
      </w:tblGrid>
      <w:tr w:rsidRPr="00881D8B" w:rsidR="00B7412F" w:rsidTr="00790675" w14:paraId="202F1550" w14:textId="77777777">
        <w:trPr>
          <w:trHeight w:val="870"/>
        </w:trPr>
        <w:tc>
          <w:tcPr>
            <w:tcW w:w="8647" w:type="dxa"/>
          </w:tcPr>
          <w:p w:rsidRPr="00881D8B" w:rsidR="00B7412F" w:rsidP="00B7412F" w:rsidRDefault="00B7412F" w14:paraId="7CAB4578" w14:textId="77777777">
            <w:pPr>
              <w:pStyle w:val="Prrafodelista"/>
              <w:widowControl w:val="0"/>
              <w:numPr>
                <w:ilvl w:val="0"/>
                <w:numId w:val="8"/>
              </w:numPr>
              <w:tabs>
                <w:tab w:val="left" w:pos="8419"/>
              </w:tabs>
              <w:autoSpaceDE w:val="0"/>
              <w:autoSpaceDN w:val="0"/>
              <w:spacing w:after="120" w:line="276" w:lineRule="auto"/>
              <w:contextualSpacing w:val="0"/>
              <w:jc w:val="both"/>
              <w:rPr>
                <w:rFonts w:ascii="Verdana" w:hAnsi="Verdana" w:cs="Arial"/>
              </w:rPr>
            </w:pPr>
            <w:r w:rsidRPr="00881D8B">
              <w:rPr>
                <w:rFonts w:ascii="Verdana" w:hAnsi="Verdana" w:cs="Arial"/>
                <w:color w:val="000000" w:themeColor="text1"/>
                <w:lang w:val="es-MX"/>
              </w:rPr>
              <w:t>Ley 80 de 1993</w:t>
            </w:r>
            <w:r>
              <w:rPr>
                <w:rFonts w:ascii="Verdana" w:hAnsi="Verdana" w:cs="Arial"/>
                <w:color w:val="000000" w:themeColor="text1"/>
                <w:lang w:val="es-MX"/>
              </w:rPr>
              <w:t xml:space="preserve"> </w:t>
            </w:r>
            <w:r w:rsidRPr="00881D8B">
              <w:rPr>
                <w:rFonts w:ascii="Verdana" w:hAnsi="Verdana" w:cs="Arial"/>
                <w:color w:val="000000" w:themeColor="text1"/>
                <w:lang w:val="es-MX"/>
              </w:rPr>
              <w:t>numeral 3 del artículo 32</w:t>
            </w:r>
            <w:r>
              <w:rPr>
                <w:rFonts w:ascii="Verdana" w:hAnsi="Verdana" w:cs="Arial"/>
                <w:color w:val="000000" w:themeColor="text1"/>
                <w:lang w:val="es-MX"/>
              </w:rPr>
              <w:t>, artículo 14 numeral 2</w:t>
            </w:r>
            <w:r w:rsidRPr="00881D8B">
              <w:rPr>
                <w:rFonts w:ascii="Verdana" w:hAnsi="Verdana" w:cs="Arial"/>
                <w:color w:val="000000" w:themeColor="text1"/>
                <w:lang w:val="es-MX"/>
              </w:rPr>
              <w:t>,</w:t>
            </w:r>
            <w:r w:rsidRPr="00881D8B">
              <w:rPr>
                <w:rFonts w:ascii="Verdana" w:hAnsi="Verdana" w:eastAsia="Calibri" w:cs="Arial"/>
                <w:color w:val="000000" w:themeColor="text1"/>
                <w:lang w:val="es-ES_tradnl"/>
              </w:rPr>
              <w:t xml:space="preserve"> Ley 1150 de 2007</w:t>
            </w:r>
            <w:r>
              <w:rPr>
                <w:rFonts w:ascii="Verdana" w:hAnsi="Verdana" w:eastAsia="Calibri" w:cs="Arial"/>
                <w:color w:val="000000" w:themeColor="text1"/>
                <w:lang w:val="es-ES_tradnl"/>
              </w:rPr>
              <w:t xml:space="preserve"> de los </w:t>
            </w:r>
            <w:r w:rsidRPr="00881D8B">
              <w:rPr>
                <w:rFonts w:ascii="Verdana" w:hAnsi="Verdana" w:eastAsia="Calibri" w:cs="Arial"/>
                <w:color w:val="000000" w:themeColor="text1"/>
                <w:lang w:val="es-ES_tradnl"/>
              </w:rPr>
              <w:t>artículo</w:t>
            </w:r>
            <w:r>
              <w:rPr>
                <w:rFonts w:ascii="Verdana" w:hAnsi="Verdana" w:eastAsia="Calibri" w:cs="Arial"/>
                <w:color w:val="000000" w:themeColor="text1"/>
                <w:lang w:val="es-ES_tradnl"/>
              </w:rPr>
              <w:t>s</w:t>
            </w:r>
            <w:r w:rsidRPr="00881D8B">
              <w:rPr>
                <w:rFonts w:ascii="Verdana" w:hAnsi="Verdana" w:eastAsia="Calibri" w:cs="Arial"/>
                <w:color w:val="000000" w:themeColor="text1"/>
                <w:lang w:val="es-ES_tradnl"/>
              </w:rPr>
              <w:t xml:space="preserve"> 2</w:t>
            </w:r>
            <w:r>
              <w:rPr>
                <w:rFonts w:ascii="Verdana" w:hAnsi="Verdana" w:eastAsia="Calibri" w:cs="Arial"/>
                <w:color w:val="000000" w:themeColor="text1"/>
                <w:lang w:val="es-ES_tradnl"/>
              </w:rPr>
              <w:t xml:space="preserve"> y 6,</w:t>
            </w:r>
            <w:r w:rsidRPr="00881D8B">
              <w:rPr>
                <w:rFonts w:ascii="Verdana" w:hAnsi="Verdana" w:eastAsia="Calibri" w:cs="Arial"/>
                <w:color w:val="000000" w:themeColor="text1"/>
                <w:lang w:val="es-ES_tradnl"/>
              </w:rPr>
              <w:t xml:space="preserve"> numeral 4º, literal h), </w:t>
            </w:r>
            <w:r w:rsidRPr="00881D8B">
              <w:rPr>
                <w:rFonts w:ascii="Verdana" w:hAnsi="Verdana" w:cs="Arial"/>
                <w:noProof/>
                <w:lang w:val="es-ES_tradnl"/>
              </w:rPr>
              <w:t>Decreto 1082 de 2015 en el Artículo 2.2.1.2.1.4.9.</w:t>
            </w:r>
            <w:r>
              <w:rPr>
                <w:rFonts w:ascii="Verdana" w:hAnsi="Verdana" w:cs="Arial"/>
                <w:noProof/>
                <w:lang w:val="es-ES_tradnl"/>
              </w:rPr>
              <w:t xml:space="preserve">, </w:t>
            </w:r>
            <w:r w:rsidRPr="00881D8B">
              <w:rPr>
                <w:rFonts w:ascii="Verdana" w:hAnsi="Verdana" w:cs="Arial"/>
                <w:noProof/>
                <w:lang w:val="es-ES_tradnl"/>
              </w:rPr>
              <w:t xml:space="preserve">Decreto 019 de </w:t>
            </w:r>
            <w:r w:rsidRPr="006D702C">
              <w:rPr>
                <w:rFonts w:ascii="Verdana" w:hAnsi="Verdana" w:cs="Arial"/>
                <w:noProof/>
                <w:lang w:val="es-ES_tradnl"/>
              </w:rPr>
              <w:t>2012 artículo</w:t>
            </w:r>
            <w:r w:rsidRPr="00881D8B">
              <w:rPr>
                <w:rFonts w:ascii="Verdana" w:hAnsi="Verdana" w:cs="Arial"/>
                <w:noProof/>
                <w:lang w:val="es-ES_tradnl"/>
              </w:rPr>
              <w:t xml:space="preserve"> 217 </w:t>
            </w:r>
            <w:r>
              <w:rPr>
                <w:rFonts w:ascii="Verdana" w:hAnsi="Verdana" w:cs="Arial"/>
                <w:noProof/>
                <w:lang w:val="es-ES_tradnl"/>
              </w:rPr>
              <w:t>.</w:t>
            </w:r>
            <w:r w:rsidRPr="00881D8B">
              <w:rPr>
                <w:rFonts w:ascii="Verdana" w:hAnsi="Verdana" w:cs="Arial"/>
                <w:noProof/>
                <w:lang w:val="es-ES_tradnl"/>
              </w:rPr>
              <w:t xml:space="preserve"> </w:t>
            </w:r>
          </w:p>
          <w:p w:rsidRPr="00881D8B" w:rsidR="00B7412F" w:rsidP="00B7412F" w:rsidRDefault="00B7412F" w14:paraId="519504A1" w14:textId="77777777">
            <w:pPr>
              <w:pStyle w:val="Prrafodelista"/>
              <w:widowControl w:val="0"/>
              <w:numPr>
                <w:ilvl w:val="0"/>
                <w:numId w:val="8"/>
              </w:numPr>
              <w:tabs>
                <w:tab w:val="left" w:pos="8419"/>
              </w:tabs>
              <w:autoSpaceDE w:val="0"/>
              <w:autoSpaceDN w:val="0"/>
              <w:spacing w:after="120" w:line="276" w:lineRule="auto"/>
              <w:contextualSpacing w:val="0"/>
              <w:jc w:val="both"/>
              <w:rPr>
                <w:rFonts w:ascii="Verdana" w:hAnsi="Verdana" w:cs="Arial"/>
              </w:rPr>
            </w:pPr>
            <w:r w:rsidRPr="006D702C">
              <w:rPr>
                <w:rFonts w:ascii="Verdana" w:hAnsi="Verdana" w:cs="Arial"/>
              </w:rPr>
              <w:t>Consejo de Estado. Sección Segunda. Sentencia del 9 de septiembre de 2021. Expediente No. 05001-23-33-000-2013-01143-01(1317-16). M.P. Dra. Sandra Lisset Ibarra Vélez.</w:t>
            </w:r>
          </w:p>
          <w:p w:rsidRPr="00881D8B" w:rsidR="00B7412F" w:rsidP="00B7412F" w:rsidRDefault="00B7412F" w14:paraId="5CDF6E07" w14:textId="77777777">
            <w:pPr>
              <w:pStyle w:val="Prrafodelista"/>
              <w:widowControl w:val="0"/>
              <w:numPr>
                <w:ilvl w:val="0"/>
                <w:numId w:val="8"/>
              </w:numPr>
              <w:tabs>
                <w:tab w:val="left" w:pos="8419"/>
              </w:tabs>
              <w:autoSpaceDE w:val="0"/>
              <w:autoSpaceDN w:val="0"/>
              <w:spacing w:after="120" w:line="276" w:lineRule="auto"/>
              <w:contextualSpacing w:val="0"/>
              <w:jc w:val="both"/>
              <w:rPr>
                <w:rFonts w:ascii="Verdana" w:hAnsi="Verdana" w:cs="Arial"/>
              </w:rPr>
            </w:pPr>
            <w:r w:rsidRPr="00881D8B">
              <w:rPr>
                <w:rFonts w:ascii="Verdana" w:hAnsi="Verdana" w:cs="Arial"/>
              </w:rPr>
              <w:t xml:space="preserve">Circular Externa Única del 27 de diciembre de 2023. Disponible en: </w:t>
            </w:r>
            <w:hyperlink w:history="1" r:id="rId14">
              <w:r w:rsidRPr="00881D8B">
                <w:rPr>
                  <w:rStyle w:val="Hipervnculo"/>
                  <w:rFonts w:ascii="Verdana" w:hAnsi="Verdana" w:cs="Arial"/>
                </w:rPr>
                <w:t>https://www.colombiacompra.gov.co/sites/cce_public/files/cce_circulares/circular_externa_unica_version_3_vf49.pdf</w:t>
              </w:r>
            </w:hyperlink>
            <w:r w:rsidRPr="00881D8B">
              <w:rPr>
                <w:rFonts w:ascii="Verdana" w:hAnsi="Verdana" w:cs="Arial"/>
              </w:rPr>
              <w:t xml:space="preserve"> </w:t>
            </w:r>
          </w:p>
          <w:p w:rsidRPr="00881D8B" w:rsidR="00B7412F" w:rsidP="00B7412F" w:rsidRDefault="00B7412F" w14:paraId="028CDEB5" w14:textId="77777777">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881D8B">
              <w:rPr>
                <w:rFonts w:ascii="Verdana" w:hAnsi="Verdana" w:cs="Arial"/>
              </w:rPr>
              <w:t xml:space="preserve">Resolución </w:t>
            </w:r>
            <w:r w:rsidRPr="00881D8B">
              <w:rPr>
                <w:rFonts w:ascii="Verdana" w:hAnsi="Verdana" w:eastAsia="Times New Roman" w:cs="Arial"/>
                <w:lang w:val="es-ES_tradnl" w:eastAsia="es-ES"/>
              </w:rPr>
              <w:t xml:space="preserve">219 de 2021 de la Agencia Nacional de Contratación Pública–Colombia Compra Eficiente–. Disponible en: </w:t>
            </w:r>
            <w:hyperlink w:history="1" r:id="rId15">
              <w:r w:rsidRPr="00881D8B">
                <w:rPr>
                  <w:rStyle w:val="Hipervnculo"/>
                  <w:rFonts w:ascii="Verdana" w:hAnsi="Verdana" w:eastAsia="Times New Roman" w:cs="Arial"/>
                  <w:lang w:val="es-ES_tradnl" w:eastAsia="es-ES"/>
                </w:rPr>
                <w:t>https://www.colombiacompra.gov.co/content/04-documentos-tipo-de-licitacion-de-obra-publica-para-proyectos-de-infraestructura-social</w:t>
              </w:r>
            </w:hyperlink>
            <w:r w:rsidRPr="00881D8B">
              <w:rPr>
                <w:rFonts w:ascii="Verdana" w:hAnsi="Verdana" w:eastAsia="Times New Roman" w:cs="Arial"/>
                <w:lang w:val="es-ES_tradnl" w:eastAsia="es-ES"/>
              </w:rPr>
              <w:t xml:space="preserve"> </w:t>
            </w:r>
          </w:p>
          <w:p w:rsidRPr="00881D8B" w:rsidR="00B7412F" w:rsidP="00B7412F" w:rsidRDefault="00B7412F" w14:paraId="71488943" w14:textId="77777777">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881D8B">
              <w:rPr>
                <w:rFonts w:ascii="Verdana" w:hAnsi="Verdana" w:cs="Arial"/>
              </w:rPr>
              <w:t xml:space="preserve">Jurisprudencia del Consejo de Estado. Disponible en: </w:t>
            </w:r>
            <w:hyperlink w:history="1" r:id="rId16">
              <w:r w:rsidRPr="00881D8B">
                <w:rPr>
                  <w:rStyle w:val="Hipervnculo"/>
                  <w:rFonts w:ascii="Verdana" w:hAnsi="Verdana" w:cs="Arial"/>
                </w:rPr>
                <w:t>https://relatoria.colombiacompra.gov.co/providencias-consejo-de-estado/</w:t>
              </w:r>
            </w:hyperlink>
            <w:r w:rsidRPr="00881D8B">
              <w:rPr>
                <w:rFonts w:ascii="Verdana" w:hAnsi="Verdana" w:cs="Arial"/>
              </w:rPr>
              <w:t xml:space="preserve"> </w:t>
            </w:r>
          </w:p>
          <w:p w:rsidRPr="00881D8B" w:rsidR="00B7412F" w:rsidP="00B7412F" w:rsidRDefault="00B7412F" w14:paraId="06C6C270" w14:textId="77777777">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881D8B">
              <w:rPr>
                <w:rFonts w:ascii="Verdana" w:hAnsi="Verdana" w:cs="Arial"/>
              </w:rPr>
              <w:t>Guías y manuales expedidos por la ANCP-CCE. Disponible en:</w:t>
            </w:r>
            <w:r w:rsidRPr="00881D8B">
              <w:rPr>
                <w:rFonts w:ascii="Verdana" w:hAnsi="Verdana"/>
              </w:rPr>
              <w:t xml:space="preserve"> </w:t>
            </w:r>
            <w:hyperlink w:history="1" r:id="rId17">
              <w:r w:rsidRPr="00881D8B">
                <w:rPr>
                  <w:rStyle w:val="Hipervnculo"/>
                  <w:rFonts w:ascii="Verdana" w:hAnsi="Verdana" w:cs="Arial"/>
                </w:rPr>
                <w:t>https://www.colombiacompra.gov.co/manuales-guias-y-pliegos-tipo/manuales-y-guias</w:t>
              </w:r>
            </w:hyperlink>
            <w:r w:rsidRPr="00881D8B">
              <w:rPr>
                <w:rFonts w:ascii="Verdana" w:hAnsi="Verdana" w:cs="Arial"/>
              </w:rPr>
              <w:t xml:space="preserve"> </w:t>
            </w:r>
          </w:p>
          <w:p w:rsidRPr="00881D8B" w:rsidR="00B7412F" w:rsidP="00790675" w:rsidRDefault="00B7412F" w14:paraId="121DE6E2" w14:textId="77777777">
            <w:pPr>
              <w:widowControl w:val="0"/>
              <w:autoSpaceDE w:val="0"/>
              <w:autoSpaceDN w:val="0"/>
              <w:spacing w:after="120" w:line="276" w:lineRule="auto"/>
              <w:ind w:left="360"/>
              <w:jc w:val="both"/>
              <w:rPr>
                <w:rFonts w:ascii="Verdana" w:hAnsi="Verdana" w:cs="Arial"/>
              </w:rPr>
            </w:pPr>
          </w:p>
        </w:tc>
      </w:tr>
    </w:tbl>
    <w:p w:rsidRPr="00881D8B" w:rsidR="00B7412F" w:rsidP="00B7412F" w:rsidRDefault="00B7412F" w14:paraId="49517428" w14:textId="77777777">
      <w:pPr>
        <w:widowControl w:val="0"/>
        <w:autoSpaceDE w:val="0"/>
        <w:autoSpaceDN w:val="0"/>
        <w:spacing w:after="0" w:line="276" w:lineRule="auto"/>
        <w:jc w:val="both"/>
        <w:rPr>
          <w:rFonts w:ascii="Verdana" w:hAnsi="Verdana" w:cs="Arial"/>
        </w:rPr>
      </w:pPr>
    </w:p>
    <w:p w:rsidRPr="00881D8B" w:rsidR="00B7412F" w:rsidP="00B7412F" w:rsidRDefault="00B7412F" w14:paraId="54E1F10E" w14:textId="77777777">
      <w:pPr>
        <w:widowControl w:val="0"/>
        <w:autoSpaceDE w:val="0"/>
        <w:autoSpaceDN w:val="0"/>
        <w:spacing w:after="0" w:line="276" w:lineRule="auto"/>
        <w:jc w:val="both"/>
        <w:rPr>
          <w:rFonts w:ascii="Verdana" w:hAnsi="Verdana" w:cs="Arial"/>
        </w:rPr>
      </w:pPr>
    </w:p>
    <w:p w:rsidRPr="00881D8B" w:rsidR="00B7412F" w:rsidP="00B7412F" w:rsidRDefault="00B7412F" w14:paraId="7AE98DB5" w14:textId="77777777">
      <w:pPr>
        <w:widowControl w:val="0"/>
        <w:autoSpaceDE w:val="0"/>
        <w:autoSpaceDN w:val="0"/>
        <w:spacing w:after="0" w:line="276" w:lineRule="auto"/>
        <w:jc w:val="both"/>
        <w:rPr>
          <w:rFonts w:ascii="Verdana" w:hAnsi="Verdana" w:cs="Arial"/>
        </w:rPr>
      </w:pPr>
    </w:p>
    <w:p w:rsidRPr="00881D8B" w:rsidR="00B7412F" w:rsidP="00B7412F" w:rsidRDefault="00B7412F" w14:paraId="6CEE60F9" w14:textId="77777777">
      <w:pPr>
        <w:pStyle w:val="Prrafodelista"/>
        <w:numPr>
          <w:ilvl w:val="0"/>
          <w:numId w:val="4"/>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881D8B">
        <w:rPr>
          <w:rFonts w:ascii="Verdana" w:hAnsi="Verdana" w:eastAsia="Century Gothic" w:cs="Century Gothic"/>
          <w:b/>
          <w:bCs/>
        </w:rPr>
        <w:t>Doctrina de la Agencia Nacional de Contratación Pública:</w:t>
      </w:r>
    </w:p>
    <w:p w:rsidRPr="00881D8B" w:rsidR="00B7412F" w:rsidP="00B7412F" w:rsidRDefault="00B7412F" w14:paraId="100B12FE" w14:textId="77777777">
      <w:pPr>
        <w:widowControl w:val="0"/>
        <w:autoSpaceDE w:val="0"/>
        <w:autoSpaceDN w:val="0"/>
        <w:spacing w:after="0" w:line="276" w:lineRule="auto"/>
        <w:jc w:val="both"/>
        <w:rPr>
          <w:rFonts w:ascii="Verdana" w:hAnsi="Verdana" w:cs="Arial"/>
        </w:rPr>
      </w:pPr>
    </w:p>
    <w:p w:rsidRPr="00881D8B" w:rsidR="00B7412F" w:rsidP="00B7412F" w:rsidRDefault="00B7412F" w14:paraId="13E4485B" w14:textId="77777777">
      <w:pPr>
        <w:spacing w:after="120" w:line="276" w:lineRule="auto"/>
        <w:ind w:firstLine="708"/>
        <w:jc w:val="both"/>
        <w:rPr>
          <w:rFonts w:ascii="Verdana" w:hAnsi="Verdana" w:eastAsia="Calibri" w:cs="Arial"/>
          <w:lang w:val="es-ES" w:eastAsia="es-ES"/>
        </w:rPr>
      </w:pPr>
      <w:r w:rsidRPr="00881D8B">
        <w:rPr>
          <w:rFonts w:ascii="Verdana" w:hAnsi="Verdana" w:eastAsia="Yu Gothic UI Semibold" w:cs="Arial"/>
        </w:rPr>
        <w:t xml:space="preserve">La Agencia Nacional de Contratación Pública – Colombia Compra Eficiente </w:t>
      </w:r>
      <w:r w:rsidRPr="00881D8B">
        <w:rPr>
          <w:rFonts w:ascii="Verdana" w:hAnsi="Verdana" w:eastAsia="Calibri" w:cs="Arial"/>
          <w:lang w:val="es-ES" w:eastAsia="es-ES"/>
        </w:rPr>
        <w:t xml:space="preserve">ha analizado los contratos de prestación de servicios, así como los requisitos para su celebración, entre otros, en los conceptos con radicado: 4201913000006452 del 07 de octubre de 2019, 4201912000006434 del 30 de octubre de 2019,   4201913000006444 del 01 de noviembre de 2019, 4201913000006331 del 07 de noviembre de 2019, 4201912000006692 del 12 de noviembre de 2019, 4201912000007378 del 11 de diciembre de 2019, 4201912000007781 del 26 de diciembre de 2019, C−047 del 19 de febrero de 2020, C−105 del 12 de marzo de 2020, C−208 del 24 de marzo de 2020, C−005 del 11 de mayo de 2020, C−006 del 11 de mayo de 2020,  C−018 del 11 de mayo de 2020, C−138 del 11 de mayo de 2020,  C−053 del 12 de mayo de 2020, C−175 del 12 de mayo de 2020, C−320 del 12 de mayo de 2020, C−255 del 12 de mayo de 2020, C−282 del 12 de mayo de 2020, C−238 del 18 de mayo de 2020, C−260 del 18 de mayo de 2020, C−288 del 21 de mayo de 2020, C−293 del 12 de mayo de 2020, C−313 del 21 de mayo de 2020, C−345 del 21 de mayo de 2020, C−359 del 04 de junio de 2020, C−379 del 30 de junio de 2020, C−414 del 30 de junio de 2020, C-661 del 17 de noviembre de 2020 </w:t>
      </w:r>
      <w:r w:rsidRPr="00881D8B">
        <w:rPr>
          <w:rFonts w:ascii="Verdana" w:hAnsi="Verdana" w:eastAsia="Calibri" w:cs="Arial"/>
          <w:lang w:val="es-ES" w:eastAsia="es-ES"/>
        </w:rPr>
        <w:lastRenderedPageBreak/>
        <w:t>C−685 del 18 de diciembre de 2020, C- 004 del 12 de febrero de 2021, C−106 del 7 de abril de 2021, C-181 del  07 de abril de 2022, C-214 del 22 de abril de 2022</w:t>
      </w:r>
      <w:r>
        <w:rPr>
          <w:rFonts w:ascii="Verdana" w:hAnsi="Verdana" w:eastAsia="Calibri" w:cs="Arial"/>
          <w:lang w:val="es-ES" w:eastAsia="es-ES"/>
        </w:rPr>
        <w:t xml:space="preserve">, </w:t>
      </w:r>
      <w:r w:rsidRPr="00881D8B">
        <w:rPr>
          <w:rFonts w:ascii="Verdana" w:hAnsi="Verdana" w:eastAsia="Calibri" w:cs="Arial"/>
          <w:lang w:val="es-ES" w:eastAsia="es-ES"/>
        </w:rPr>
        <w:t>C-491 de 01 de agosto de 2022</w:t>
      </w:r>
      <w:r>
        <w:rPr>
          <w:rFonts w:ascii="Verdana" w:hAnsi="Verdana" w:eastAsia="Calibri" w:cs="Arial"/>
          <w:lang w:val="es-ES" w:eastAsia="es-ES"/>
        </w:rPr>
        <w:t xml:space="preserve"> y 107 de 2024 del 28 de mayo de 2024</w:t>
      </w:r>
      <w:r w:rsidRPr="00881D8B">
        <w:rPr>
          <w:rFonts w:ascii="Verdana" w:hAnsi="Verdana" w:eastAsia="Calibri"/>
          <w:lang w:val="es-ES_tradnl"/>
        </w:rPr>
        <w:t>. Es</w:t>
      </w:r>
      <w:r w:rsidRPr="00881D8B">
        <w:rPr>
          <w:rFonts w:ascii="Verdana" w:hAnsi="Verdana" w:eastAsia="Calibri" w:cs="Arial"/>
          <w:lang w:val="es-ES_tradnl"/>
        </w:rPr>
        <w:t>tos y otros conceptos se encuentran disponibles para consulta en el Sistema de relatoría de la Agencia, al cual se puede acceder a través del siguiente enlace:</w:t>
      </w:r>
      <w:r w:rsidRPr="00881D8B">
        <w:rPr>
          <w:rFonts w:ascii="Verdana" w:hAnsi="Verdana" w:eastAsia="Calibri"/>
          <w:lang w:val="es-ES_tradnl"/>
        </w:rPr>
        <w:t xml:space="preserve"> </w:t>
      </w:r>
    </w:p>
    <w:p w:rsidRPr="00881D8B" w:rsidR="00B7412F" w:rsidP="00B7412F" w:rsidRDefault="00B7412F" w14:paraId="37B899BC" w14:textId="77777777">
      <w:pPr>
        <w:widowControl w:val="0"/>
        <w:autoSpaceDE w:val="0"/>
        <w:autoSpaceDN w:val="0"/>
        <w:spacing w:after="0" w:line="276" w:lineRule="auto"/>
        <w:jc w:val="both"/>
        <w:rPr>
          <w:rFonts w:ascii="Verdana" w:hAnsi="Verdana" w:eastAsia="Calibri"/>
          <w:lang w:val="es-ES_tradnl"/>
        </w:rPr>
      </w:pPr>
    </w:p>
    <w:p w:rsidRPr="00881D8B" w:rsidR="00B7412F" w:rsidP="00B7412F" w:rsidRDefault="00B7412F" w14:paraId="3FEE907F" w14:textId="77777777">
      <w:pPr>
        <w:widowControl w:val="0"/>
        <w:autoSpaceDE w:val="0"/>
        <w:autoSpaceDN w:val="0"/>
        <w:spacing w:after="0" w:line="276" w:lineRule="auto"/>
        <w:jc w:val="both"/>
        <w:rPr>
          <w:rFonts w:ascii="Verdana" w:hAnsi="Verdana" w:eastAsia="Calibri"/>
          <w:lang w:val="es-ES_tradnl"/>
        </w:rPr>
      </w:pPr>
      <w:hyperlink w:history="1" r:id="rId18">
        <w:r w:rsidRPr="00881D8B">
          <w:rPr>
            <w:rStyle w:val="Hipervnculo"/>
            <w:rFonts w:ascii="Verdana" w:hAnsi="Verdana" w:eastAsia="Calibri"/>
            <w:lang w:val="es-ES_tradnl"/>
          </w:rPr>
          <w:t>https://relatoria.colombiacompra.gov.co/busqueda/conceptos</w:t>
        </w:r>
      </w:hyperlink>
      <w:r w:rsidRPr="00881D8B">
        <w:rPr>
          <w:rFonts w:ascii="Verdana" w:hAnsi="Verdana" w:eastAsia="Calibri"/>
          <w:lang w:val="es-ES_tradnl"/>
        </w:rPr>
        <w:t xml:space="preserve">. </w:t>
      </w:r>
    </w:p>
    <w:p w:rsidRPr="00881D8B" w:rsidR="00B7412F" w:rsidP="00B7412F" w:rsidRDefault="00B7412F" w14:paraId="3E2A31C0" w14:textId="77777777">
      <w:pPr>
        <w:widowControl w:val="0"/>
        <w:autoSpaceDE w:val="0"/>
        <w:autoSpaceDN w:val="0"/>
        <w:spacing w:after="0" w:line="276" w:lineRule="auto"/>
        <w:jc w:val="both"/>
        <w:rPr>
          <w:rFonts w:ascii="Verdana" w:hAnsi="Verdana" w:eastAsia="Calibri"/>
          <w:lang w:val="es-ES_tradnl"/>
        </w:rPr>
      </w:pPr>
    </w:p>
    <w:p w:rsidRPr="00881D8B" w:rsidR="00B7412F" w:rsidP="00B7412F" w:rsidRDefault="00B7412F" w14:paraId="73C375E1" w14:textId="77777777">
      <w:pPr>
        <w:widowControl w:val="0"/>
        <w:autoSpaceDE w:val="0"/>
        <w:autoSpaceDN w:val="0"/>
        <w:spacing w:after="0" w:line="276" w:lineRule="auto"/>
        <w:jc w:val="both"/>
        <w:rPr>
          <w:rFonts w:ascii="Verdana" w:hAnsi="Verdana" w:eastAsia="Calibri" w:cs="Arial"/>
          <w:lang w:val="es-ES_tradnl"/>
        </w:rPr>
      </w:pPr>
      <w:r w:rsidRPr="00881D8B">
        <w:rPr>
          <w:rFonts w:ascii="Verdana" w:hAnsi="Verdana" w:eastAsia="Calibri" w:cs="Arial"/>
          <w:lang w:val="es-ES_tradnl"/>
        </w:rPr>
        <w:t xml:space="preserve">También le invitamos a consultar las versiones I y II de 2024 del Boletín de Relatoría de la Subdirección de Gestión Contractual, las cuales puede descargar en la página web de la Agencia: </w:t>
      </w:r>
      <w:hyperlink w:history="1" r:id="rId19">
        <w:r w:rsidRPr="00881D8B">
          <w:rPr>
            <w:rFonts w:ascii="Verdana" w:hAnsi="Verdana" w:eastAsia="Calibri" w:cs="Arial"/>
            <w:lang w:val="es-ES_tradnl"/>
          </w:rPr>
          <w:t>https://www.colombiacompra.gov.co/sala-de-prensa/boletin-digital</w:t>
        </w:r>
      </w:hyperlink>
      <w:r w:rsidRPr="00881D8B">
        <w:rPr>
          <w:rFonts w:ascii="Verdana" w:hAnsi="Verdana" w:eastAsia="Calibri" w:cs="Arial"/>
          <w:lang w:val="es-ES_tradnl"/>
        </w:rPr>
        <w:t xml:space="preserve">      </w:t>
      </w:r>
    </w:p>
    <w:p w:rsidRPr="00881D8B" w:rsidR="00B7412F" w:rsidP="00B7412F" w:rsidRDefault="00B7412F" w14:paraId="2C8E1E7E" w14:textId="77777777">
      <w:pPr>
        <w:widowControl w:val="0"/>
        <w:autoSpaceDE w:val="0"/>
        <w:autoSpaceDN w:val="0"/>
        <w:spacing w:after="0" w:line="276" w:lineRule="auto"/>
        <w:jc w:val="both"/>
        <w:rPr>
          <w:rFonts w:ascii="Verdana" w:hAnsi="Verdana" w:eastAsia="Calibri" w:cs="Arial"/>
          <w:lang w:val="es-ES_tradnl"/>
        </w:rPr>
      </w:pPr>
    </w:p>
    <w:p w:rsidRPr="00881D8B" w:rsidR="00B7412F" w:rsidP="00B7412F" w:rsidRDefault="00B7412F" w14:paraId="63349506" w14:textId="77777777">
      <w:pPr>
        <w:widowControl w:val="0"/>
        <w:autoSpaceDE w:val="0"/>
        <w:autoSpaceDN w:val="0"/>
        <w:spacing w:after="0" w:line="276" w:lineRule="auto"/>
        <w:jc w:val="both"/>
        <w:rPr>
          <w:rFonts w:ascii="Verdana" w:hAnsi="Verdana" w:eastAsia="Calibri" w:cs="Arial"/>
          <w:lang w:val="es-ES"/>
        </w:rPr>
      </w:pPr>
      <w:r w:rsidRPr="7FEF9B5E">
        <w:rPr>
          <w:rFonts w:ascii="Verdana" w:hAnsi="Verdana" w:eastAsia="Calibri" w:cs="Arial"/>
          <w:lang w:val="es-ES"/>
        </w:rPr>
        <w:t xml:space="preserve">También le recomendamos consultar las versiones I y II de 2024 del Boletín de Relatoría de la Subdirección de Gestión Contractual, las cuales puede descargar en la página web de la Agencia: </w:t>
      </w:r>
      <w:hyperlink r:id="rId20">
        <w:r w:rsidRPr="7FEF9B5E">
          <w:rPr>
            <w:rFonts w:ascii="Verdana" w:hAnsi="Verdana" w:eastAsia="Calibri" w:cs="Arial"/>
            <w:lang w:val="es-ES"/>
          </w:rPr>
          <w:t>https://www.colombiacompra.gov.co/sala-de-prensa/boletin-digital</w:t>
        </w:r>
      </w:hyperlink>
      <w:r w:rsidRPr="7FEF9B5E">
        <w:rPr>
          <w:rFonts w:ascii="Verdana" w:hAnsi="Verdana" w:eastAsia="Calibri" w:cs="Arial"/>
          <w:lang w:val="es-ES"/>
        </w:rPr>
        <w:t xml:space="preserve">. Por otro lado, le contamos que ampliamos hasta el 19 de julio de 2024 el periodo para recibir observaciones a los borradores de los próximas versiones de los documentos tipo para la contratación obras públicas de infraestructura de transporte en las modalidades de licitación pública, selección abreviada y mínima cuantía, por lo que le invitamos a realizar sus comentarios a través del siguiente enlace: </w:t>
      </w:r>
      <w:hyperlink r:id="rId21">
        <w:r w:rsidRPr="7FEF9B5E">
          <w:rPr>
            <w:rFonts w:ascii="Verdana" w:hAnsi="Verdana" w:eastAsia="Calibri" w:cs="Arial"/>
            <w:lang w:val="es-ES"/>
          </w:rPr>
          <w:t>https://www.colombiacompra.gov.co/documentos-tipo/documentos-tipo</w:t>
        </w:r>
      </w:hyperlink>
    </w:p>
    <w:p w:rsidRPr="00881D8B" w:rsidR="00B7412F" w:rsidP="00B7412F" w:rsidRDefault="00B7412F" w14:paraId="7345EB6E" w14:textId="77777777">
      <w:pPr>
        <w:widowControl w:val="0"/>
        <w:autoSpaceDE w:val="0"/>
        <w:autoSpaceDN w:val="0"/>
        <w:spacing w:after="0" w:line="276" w:lineRule="auto"/>
        <w:jc w:val="both"/>
        <w:rPr>
          <w:rFonts w:ascii="Verdana" w:hAnsi="Verdana" w:eastAsia="Calibri" w:cs="Arial"/>
          <w:lang w:val="es-ES_tradnl"/>
        </w:rPr>
      </w:pPr>
    </w:p>
    <w:p w:rsidRPr="00881D8B" w:rsidR="00B7412F" w:rsidP="00B7412F" w:rsidRDefault="00B7412F" w14:paraId="5C65DC83" w14:textId="77777777">
      <w:pPr>
        <w:spacing w:after="0" w:line="276" w:lineRule="auto"/>
        <w:jc w:val="both"/>
        <w:rPr>
          <w:rFonts w:ascii="Verdana" w:hAnsi="Verdana" w:eastAsia="Calibri" w:cs="Arial"/>
          <w:lang w:val="es-ES_tradnl"/>
        </w:rPr>
      </w:pPr>
      <w:r w:rsidRPr="00881D8B">
        <w:rPr>
          <w:rFonts w:ascii="Verdana" w:hAnsi="Verdana" w:eastAsia="Calibri" w:cs="Arial"/>
          <w:lang w:val="es-ES_tradnl"/>
        </w:rPr>
        <w:t xml:space="preserve">Por último, lo invitamos a seguirnos en las redes sociales en las cuales se difunde información institucional: </w:t>
      </w:r>
    </w:p>
    <w:p w:rsidRPr="00881D8B" w:rsidR="00B7412F" w:rsidP="00B7412F" w:rsidRDefault="00B7412F" w14:paraId="4AC969AD" w14:textId="77777777">
      <w:pPr>
        <w:spacing w:after="0" w:line="276" w:lineRule="auto"/>
        <w:jc w:val="both"/>
        <w:rPr>
          <w:rFonts w:ascii="Verdana" w:hAnsi="Verdana" w:eastAsia="Calibri" w:cs="Arial"/>
          <w:lang w:val="es-ES_tradnl"/>
        </w:rPr>
      </w:pPr>
    </w:p>
    <w:p w:rsidRPr="00881D8B" w:rsidR="00B7412F" w:rsidP="00B7412F" w:rsidRDefault="00B7412F" w14:paraId="2BE7F4C1" w14:textId="77777777">
      <w:pPr>
        <w:spacing w:after="0" w:line="276" w:lineRule="auto"/>
        <w:jc w:val="both"/>
        <w:rPr>
          <w:rFonts w:ascii="Verdana" w:hAnsi="Verdana" w:eastAsia="Calibri" w:cs="Arial"/>
          <w:lang w:val="es-ES_tradnl"/>
        </w:rPr>
      </w:pPr>
      <w:r w:rsidRPr="00881D8B">
        <w:rPr>
          <w:rFonts w:ascii="Verdana" w:hAnsi="Verdana" w:eastAsia="Calibri" w:cs="Arial"/>
          <w:lang w:val="es-ES_tradnl"/>
        </w:rPr>
        <w:t xml:space="preserve">Twitter: @colombiacompra </w:t>
      </w:r>
    </w:p>
    <w:p w:rsidRPr="00881D8B" w:rsidR="00B7412F" w:rsidP="00B7412F" w:rsidRDefault="00B7412F" w14:paraId="7CA560F5" w14:textId="77777777">
      <w:pPr>
        <w:spacing w:after="0" w:line="276" w:lineRule="auto"/>
        <w:jc w:val="both"/>
        <w:rPr>
          <w:rFonts w:ascii="Verdana" w:hAnsi="Verdana" w:eastAsia="Calibri" w:cs="Arial"/>
          <w:lang w:val="es-ES"/>
        </w:rPr>
      </w:pPr>
      <w:r w:rsidRPr="7FEF9B5E">
        <w:rPr>
          <w:rFonts w:ascii="Verdana" w:hAnsi="Verdana" w:eastAsia="Calibri" w:cs="Arial"/>
          <w:lang w:val="es-ES"/>
        </w:rPr>
        <w:t>Facebook: ColombiaCompraEficiente</w:t>
      </w:r>
    </w:p>
    <w:p w:rsidRPr="00881D8B" w:rsidR="00B7412F" w:rsidP="00B7412F" w:rsidRDefault="00B7412F" w14:paraId="6F8596D4" w14:textId="77777777">
      <w:pPr>
        <w:spacing w:after="0" w:line="276" w:lineRule="auto"/>
        <w:jc w:val="both"/>
        <w:rPr>
          <w:rFonts w:ascii="Verdana" w:hAnsi="Verdana" w:eastAsia="Calibri" w:cs="Arial"/>
          <w:lang w:val="es-ES_tradnl"/>
        </w:rPr>
      </w:pPr>
      <w:r w:rsidRPr="00881D8B">
        <w:rPr>
          <w:rFonts w:ascii="Verdana" w:hAnsi="Verdana" w:eastAsia="Calibri" w:cs="Arial"/>
          <w:lang w:val="es-ES_tradnl"/>
        </w:rPr>
        <w:t>LinkedIn: Agencia Nacional de Contratación Pública - Colombia Compra Eficiente Instagram: @colombiacompraeficiente_cce</w:t>
      </w:r>
    </w:p>
    <w:p w:rsidRPr="00881D8B" w:rsidR="00B7412F" w:rsidP="00B7412F" w:rsidRDefault="00B7412F" w14:paraId="72F83EB8" w14:textId="77777777">
      <w:pPr>
        <w:widowControl w:val="0"/>
        <w:autoSpaceDE w:val="0"/>
        <w:autoSpaceDN w:val="0"/>
        <w:spacing w:after="0" w:line="276" w:lineRule="auto"/>
        <w:jc w:val="both"/>
        <w:rPr>
          <w:rFonts w:ascii="Verdana" w:hAnsi="Verdana" w:eastAsia="Calibri" w:cs="Arial"/>
          <w:lang w:val="es-ES_tradnl"/>
        </w:rPr>
      </w:pPr>
    </w:p>
    <w:p w:rsidR="00B7412F" w:rsidP="00B7412F" w:rsidRDefault="00B7412F" w14:paraId="7996DF59" w14:textId="77777777">
      <w:pPr>
        <w:widowControl w:val="0"/>
        <w:autoSpaceDE w:val="0"/>
        <w:autoSpaceDN w:val="0"/>
        <w:spacing w:after="0" w:line="276" w:lineRule="auto"/>
        <w:jc w:val="both"/>
        <w:rPr>
          <w:rFonts w:ascii="Verdana" w:hAnsi="Verdana" w:eastAsia="Calibri" w:cs="Arial"/>
          <w:lang w:val="es-ES_tradnl"/>
        </w:rPr>
      </w:pPr>
    </w:p>
    <w:p w:rsidR="00B7412F" w:rsidP="00B7412F" w:rsidRDefault="00B7412F" w14:paraId="16863A6B" w14:textId="77777777">
      <w:pPr>
        <w:widowControl w:val="0"/>
        <w:autoSpaceDE w:val="0"/>
        <w:autoSpaceDN w:val="0"/>
        <w:spacing w:after="0" w:line="276" w:lineRule="auto"/>
        <w:jc w:val="both"/>
        <w:rPr>
          <w:rFonts w:ascii="Verdana" w:hAnsi="Verdana" w:eastAsia="Calibri" w:cs="Arial"/>
          <w:lang w:val="es-ES_tradnl"/>
        </w:rPr>
      </w:pPr>
    </w:p>
    <w:p w:rsidR="00B7412F" w:rsidP="00B7412F" w:rsidRDefault="00B7412F" w14:paraId="46F59A83" w14:textId="77777777">
      <w:pPr>
        <w:widowControl w:val="0"/>
        <w:autoSpaceDE w:val="0"/>
        <w:autoSpaceDN w:val="0"/>
        <w:spacing w:after="0" w:line="276" w:lineRule="auto"/>
        <w:jc w:val="both"/>
        <w:rPr>
          <w:rFonts w:ascii="Verdana" w:hAnsi="Verdana" w:eastAsia="Calibri" w:cs="Arial"/>
          <w:lang w:val="es-ES_tradnl"/>
        </w:rPr>
      </w:pPr>
    </w:p>
    <w:p w:rsidR="00B7412F" w:rsidP="00B7412F" w:rsidRDefault="00B7412F" w14:paraId="383540D0" w14:textId="77777777">
      <w:pPr>
        <w:widowControl w:val="0"/>
        <w:autoSpaceDE w:val="0"/>
        <w:autoSpaceDN w:val="0"/>
        <w:spacing w:after="0" w:line="276" w:lineRule="auto"/>
        <w:jc w:val="both"/>
        <w:rPr>
          <w:rFonts w:ascii="Verdana" w:hAnsi="Verdana" w:eastAsia="Calibri" w:cs="Arial"/>
          <w:lang w:val="es-ES_tradnl"/>
        </w:rPr>
      </w:pPr>
    </w:p>
    <w:p w:rsidR="00B7412F" w:rsidP="00B7412F" w:rsidRDefault="00B7412F" w14:paraId="35CA67E0" w14:textId="77777777">
      <w:pPr>
        <w:widowControl w:val="0"/>
        <w:autoSpaceDE w:val="0"/>
        <w:autoSpaceDN w:val="0"/>
        <w:spacing w:after="0" w:line="276" w:lineRule="auto"/>
        <w:jc w:val="both"/>
        <w:rPr>
          <w:rFonts w:ascii="Verdana" w:hAnsi="Verdana" w:eastAsia="Calibri" w:cs="Arial"/>
          <w:lang w:val="es-ES_tradnl"/>
        </w:rPr>
      </w:pPr>
    </w:p>
    <w:p w:rsidR="00B7412F" w:rsidP="00B7412F" w:rsidRDefault="00B7412F" w14:paraId="5EEFAE80" w14:textId="77777777">
      <w:pPr>
        <w:widowControl w:val="0"/>
        <w:autoSpaceDE w:val="0"/>
        <w:autoSpaceDN w:val="0"/>
        <w:spacing w:after="0" w:line="276" w:lineRule="auto"/>
        <w:jc w:val="both"/>
        <w:rPr>
          <w:rFonts w:ascii="Verdana" w:hAnsi="Verdana" w:eastAsia="Calibri" w:cs="Arial"/>
          <w:lang w:val="es-ES_tradnl"/>
        </w:rPr>
      </w:pPr>
    </w:p>
    <w:p w:rsidR="00B7412F" w:rsidP="00B7412F" w:rsidRDefault="00B7412F" w14:paraId="0824CF2D" w14:textId="77777777">
      <w:pPr>
        <w:widowControl w:val="0"/>
        <w:autoSpaceDE w:val="0"/>
        <w:autoSpaceDN w:val="0"/>
        <w:spacing w:after="0" w:line="276" w:lineRule="auto"/>
        <w:jc w:val="both"/>
        <w:rPr>
          <w:rFonts w:ascii="Verdana" w:hAnsi="Verdana" w:eastAsia="Calibri" w:cs="Arial"/>
          <w:lang w:val="es-ES_tradnl"/>
        </w:rPr>
      </w:pPr>
    </w:p>
    <w:p w:rsidR="00B7412F" w:rsidP="00B7412F" w:rsidRDefault="00B7412F" w14:paraId="567147B0" w14:textId="77777777">
      <w:pPr>
        <w:widowControl w:val="0"/>
        <w:autoSpaceDE w:val="0"/>
        <w:autoSpaceDN w:val="0"/>
        <w:spacing w:after="0" w:line="276" w:lineRule="auto"/>
        <w:jc w:val="both"/>
        <w:rPr>
          <w:rFonts w:ascii="Verdana" w:hAnsi="Verdana" w:eastAsia="Calibri" w:cs="Arial"/>
          <w:lang w:val="es-ES_tradnl"/>
        </w:rPr>
      </w:pPr>
    </w:p>
    <w:p w:rsidR="00B7412F" w:rsidP="00B7412F" w:rsidRDefault="00B7412F" w14:paraId="42FA2673" w14:textId="77777777">
      <w:pPr>
        <w:widowControl w:val="0"/>
        <w:autoSpaceDE w:val="0"/>
        <w:autoSpaceDN w:val="0"/>
        <w:spacing w:after="0" w:line="276" w:lineRule="auto"/>
        <w:jc w:val="both"/>
        <w:rPr>
          <w:rFonts w:ascii="Verdana" w:hAnsi="Verdana" w:eastAsia="Calibri" w:cs="Arial"/>
          <w:lang w:val="es-ES_tradnl"/>
        </w:rPr>
      </w:pPr>
    </w:p>
    <w:p w:rsidRPr="00881D8B" w:rsidR="00B7412F" w:rsidP="00B7412F" w:rsidRDefault="00B7412F" w14:paraId="388B14DA" w14:textId="52D7FC62">
      <w:pPr>
        <w:widowControl w:val="0"/>
        <w:autoSpaceDE w:val="0"/>
        <w:autoSpaceDN w:val="0"/>
        <w:spacing w:after="0" w:line="276" w:lineRule="auto"/>
        <w:jc w:val="both"/>
        <w:rPr>
          <w:rFonts w:ascii="Verdana" w:hAnsi="Verdana" w:cs="Arial"/>
          <w:lang w:val="es-ES_tradnl"/>
        </w:rPr>
      </w:pPr>
      <w:r w:rsidRPr="00881D8B">
        <w:rPr>
          <w:rFonts w:ascii="Verdana" w:hAnsi="Verdana" w:eastAsia="Calibri"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w:t>
      </w:r>
      <w:r w:rsidRPr="00881D8B">
        <w:rPr>
          <w:rFonts w:ascii="Verdana" w:hAnsi="Verdana" w:cs="Arial"/>
          <w:lang w:val="es-ES_tradnl"/>
        </w:rPr>
        <w:t>2 de 2015.</w:t>
      </w:r>
    </w:p>
    <w:p w:rsidRPr="00881D8B" w:rsidR="00B7412F" w:rsidP="00B7412F" w:rsidRDefault="00B7412F" w14:paraId="4AABBA59" w14:textId="77777777">
      <w:pPr>
        <w:widowControl w:val="0"/>
        <w:autoSpaceDE w:val="0"/>
        <w:autoSpaceDN w:val="0"/>
        <w:spacing w:after="0" w:line="276" w:lineRule="auto"/>
        <w:jc w:val="both"/>
        <w:rPr>
          <w:rFonts w:ascii="Verdana" w:hAnsi="Verdana" w:cs="Arial"/>
        </w:rPr>
      </w:pPr>
    </w:p>
    <w:p w:rsidR="00B7412F" w:rsidP="00B7412F" w:rsidRDefault="00B7412F" w14:paraId="3918C94A" w14:textId="77777777">
      <w:pPr>
        <w:spacing w:after="0" w:line="276" w:lineRule="auto"/>
        <w:rPr>
          <w:rFonts w:ascii="Verdana" w:hAnsi="Verdana" w:cs="Arial"/>
          <w:lang w:eastAsia="es-CO"/>
        </w:rPr>
      </w:pPr>
      <w:r w:rsidRPr="00881D8B">
        <w:rPr>
          <w:rFonts w:ascii="Verdana" w:hAnsi="Verdana" w:eastAsia="Times New Roman" w:cs="Arial"/>
          <w:lang w:eastAsia="es-CO"/>
        </w:rPr>
        <w:t>Atentamente,</w:t>
      </w:r>
      <w:r w:rsidRPr="00881D8B">
        <w:rPr>
          <w:rFonts w:ascii="Verdana" w:hAnsi="Verdana" w:cs="Arial"/>
          <w:lang w:eastAsia="es-CO"/>
        </w:rPr>
        <w:t xml:space="preserve"> </w:t>
      </w:r>
    </w:p>
    <w:p w:rsidR="00660EB5" w:rsidP="00B7412F" w:rsidRDefault="00660EB5" w14:paraId="127723AD" w14:textId="77777777">
      <w:pPr>
        <w:spacing w:after="0" w:line="276" w:lineRule="auto"/>
        <w:rPr>
          <w:rFonts w:ascii="Verdana" w:hAnsi="Verdana" w:cs="Arial"/>
          <w:lang w:eastAsia="es-CO"/>
        </w:rPr>
      </w:pPr>
    </w:p>
    <w:p w:rsidRPr="00881D8B" w:rsidR="00660EB5" w:rsidP="00660EB5" w:rsidRDefault="00660EB5" w14:paraId="01547DAF" w14:textId="21664651">
      <w:pPr>
        <w:spacing w:after="0" w:line="276" w:lineRule="auto"/>
        <w:jc w:val="center"/>
        <w:rPr>
          <w:rFonts w:ascii="Verdana" w:hAnsi="Verdana" w:cs="Arial"/>
          <w:lang w:eastAsia="es-CO"/>
        </w:rPr>
      </w:pPr>
      <w:r w:rsidRPr="0065791A">
        <w:rPr>
          <w:rFonts w:ascii="Century Gothic" w:hAnsi="Century Gothic"/>
          <w:noProof/>
        </w:rPr>
        <w:drawing>
          <wp:inline distT="0" distB="0" distL="0" distR="0" wp14:anchorId="6BA45D8D" wp14:editId="1BA5E48C">
            <wp:extent cx="3962953" cy="1867161"/>
            <wp:effectExtent l="0" t="0" r="0" b="0"/>
            <wp:docPr id="119417683" name="Imagen 1" descr="Interfaz de usuario gráfica, Texto,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17683" name="Imagen 1" descr="Interfaz de usuario gráfica, Texto, Aplicación&#10;&#10;Descripción generada automáticamente con confianza media"/>
                    <pic:cNvPicPr/>
                  </pic:nvPicPr>
                  <pic:blipFill>
                    <a:blip r:embed="rId22"/>
                    <a:stretch>
                      <a:fillRect/>
                    </a:stretch>
                  </pic:blipFill>
                  <pic:spPr>
                    <a:xfrm>
                      <a:off x="0" y="0"/>
                      <a:ext cx="3962953" cy="1867161"/>
                    </a:xfrm>
                    <a:prstGeom prst="rect">
                      <a:avLst/>
                    </a:prstGeom>
                  </pic:spPr>
                </pic:pic>
              </a:graphicData>
            </a:graphic>
          </wp:inline>
        </w:drawing>
      </w:r>
    </w:p>
    <w:p w:rsidRPr="00881D8B" w:rsidR="00B7412F" w:rsidP="00B7412F" w:rsidRDefault="00B7412F" w14:paraId="06EEF760" w14:textId="77777777">
      <w:pPr>
        <w:spacing w:line="276" w:lineRule="auto"/>
        <w:rPr>
          <w:rFonts w:ascii="Verdana" w:hAnsi="Verdana"/>
          <w:noProof/>
          <w:lang w:val="es-ES_tradnl" w:eastAsia="es-CO"/>
        </w:rPr>
      </w:pPr>
    </w:p>
    <w:p w:rsidRPr="00881D8B" w:rsidR="00B7412F" w:rsidP="00B7412F" w:rsidRDefault="00B7412F" w14:paraId="1894C909" w14:textId="68415E0C">
      <w:pPr>
        <w:spacing w:line="276" w:lineRule="auto"/>
        <w:jc w:val="center"/>
        <w:rPr>
          <w:rFonts w:ascii="Verdana" w:hAnsi="Verdana" w:cs="Arial"/>
          <w:lang w:val="es-ES_tradnl" w:eastAsia="es-CO"/>
        </w:rPr>
      </w:pPr>
    </w:p>
    <w:tbl>
      <w:tblPr>
        <w:tblStyle w:val="Tablaconcuadrcula"/>
        <w:tblW w:w="6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3"/>
        <w:gridCol w:w="5628"/>
      </w:tblGrid>
      <w:tr w:rsidRPr="00881D8B" w:rsidR="00B7412F" w:rsidTr="00790675" w14:paraId="7A910D36" w14:textId="77777777">
        <w:trPr>
          <w:trHeight w:val="315"/>
        </w:trPr>
        <w:tc>
          <w:tcPr>
            <w:tcW w:w="893" w:type="dxa"/>
            <w:vAlign w:val="center"/>
            <w:hideMark/>
          </w:tcPr>
          <w:p w:rsidRPr="00881D8B" w:rsidR="00B7412F" w:rsidP="00790675" w:rsidRDefault="00B7412F" w14:paraId="1EF129BA" w14:textId="77777777">
            <w:pPr>
              <w:spacing w:line="276" w:lineRule="auto"/>
              <w:contextualSpacing/>
              <w:rPr>
                <w:rFonts w:ascii="Verdana" w:hAnsi="Verdana" w:eastAsia="Calibri" w:cs="Arial"/>
                <w:sz w:val="16"/>
                <w:szCs w:val="16"/>
                <w:lang w:val="es-ES_tradnl"/>
              </w:rPr>
            </w:pPr>
            <w:r w:rsidRPr="00881D8B">
              <w:rPr>
                <w:rFonts w:ascii="Verdana" w:hAnsi="Verdana" w:eastAsia="Calibri" w:cs="Arial"/>
                <w:sz w:val="16"/>
                <w:szCs w:val="16"/>
                <w:lang w:val="es-ES_tradnl"/>
              </w:rPr>
              <w:t>Elaboró:</w:t>
            </w:r>
          </w:p>
        </w:tc>
        <w:tc>
          <w:tcPr>
            <w:tcW w:w="5628" w:type="dxa"/>
            <w:tcBorders>
              <w:top w:val="nil"/>
              <w:left w:val="nil"/>
              <w:bottom w:val="dotted" w:color="7F7F7F" w:themeColor="text1" w:themeTint="80" w:sz="4" w:space="0"/>
              <w:right w:val="nil"/>
            </w:tcBorders>
            <w:vAlign w:val="center"/>
            <w:hideMark/>
          </w:tcPr>
          <w:p w:rsidRPr="00881D8B" w:rsidR="00B7412F" w:rsidP="00790675" w:rsidRDefault="00B7412F" w14:paraId="24DA74AD" w14:textId="77777777">
            <w:pPr>
              <w:spacing w:line="276" w:lineRule="auto"/>
              <w:contextualSpacing/>
              <w:rPr>
                <w:rFonts w:ascii="Verdana" w:hAnsi="Verdana" w:eastAsia="Calibri" w:cs="Arial"/>
                <w:sz w:val="16"/>
                <w:szCs w:val="16"/>
                <w:lang w:val="es-ES_tradnl"/>
              </w:rPr>
            </w:pPr>
            <w:r w:rsidRPr="00881D8B">
              <w:rPr>
                <w:rFonts w:ascii="Verdana" w:hAnsi="Verdana" w:eastAsia="Calibri" w:cs="Arial"/>
                <w:sz w:val="16"/>
                <w:szCs w:val="16"/>
                <w:lang w:val="es-ES_tradnl"/>
              </w:rPr>
              <w:t xml:space="preserve">María Valeska Medellín Mora </w:t>
            </w:r>
          </w:p>
          <w:p w:rsidRPr="00881D8B" w:rsidR="00B7412F" w:rsidP="00790675" w:rsidRDefault="00B7412F" w14:paraId="6BBADBD9" w14:textId="77777777">
            <w:pPr>
              <w:spacing w:line="276" w:lineRule="auto"/>
              <w:contextualSpacing/>
              <w:rPr>
                <w:rFonts w:ascii="Verdana" w:hAnsi="Verdana" w:eastAsia="Calibri" w:cs="Arial"/>
                <w:sz w:val="16"/>
                <w:szCs w:val="16"/>
                <w:lang w:val="es-ES_tradnl"/>
              </w:rPr>
            </w:pPr>
            <w:r w:rsidRPr="00881D8B">
              <w:rPr>
                <w:rFonts w:ascii="Verdana" w:hAnsi="Verdana" w:eastAsia="Calibri" w:cs="Arial"/>
                <w:sz w:val="16"/>
                <w:szCs w:val="16"/>
                <w:lang w:val="es-ES_tradnl"/>
              </w:rPr>
              <w:t>Gestor T1-15</w:t>
            </w:r>
            <w:r w:rsidRPr="00881D8B">
              <w:rPr>
                <w:rFonts w:ascii="Verdana" w:hAnsi="Verdana" w:eastAsia="Calibri"/>
                <w:sz w:val="16"/>
                <w:szCs w:val="16"/>
                <w:lang w:val="es-ES_tradnl"/>
              </w:rPr>
              <w:t xml:space="preserve"> de la Subdirección de Gestión Contractual</w:t>
            </w:r>
          </w:p>
        </w:tc>
      </w:tr>
      <w:tr w:rsidRPr="00881D8B" w:rsidR="00B7412F" w:rsidTr="00790675" w14:paraId="008F245D" w14:textId="77777777">
        <w:trPr>
          <w:trHeight w:val="330"/>
        </w:trPr>
        <w:tc>
          <w:tcPr>
            <w:tcW w:w="893" w:type="dxa"/>
            <w:vAlign w:val="center"/>
            <w:hideMark/>
          </w:tcPr>
          <w:p w:rsidRPr="00881D8B" w:rsidR="00B7412F" w:rsidP="00790675" w:rsidRDefault="00B7412F" w14:paraId="29B4DAB6" w14:textId="77777777">
            <w:pPr>
              <w:spacing w:line="276" w:lineRule="auto"/>
              <w:contextualSpacing/>
              <w:rPr>
                <w:rFonts w:ascii="Verdana" w:hAnsi="Verdana" w:eastAsia="Calibri" w:cs="Arial"/>
                <w:sz w:val="16"/>
                <w:szCs w:val="16"/>
                <w:lang w:val="es-ES_tradnl"/>
              </w:rPr>
            </w:pPr>
            <w:r w:rsidRPr="00881D8B">
              <w:rPr>
                <w:rFonts w:ascii="Verdana" w:hAnsi="Verdana" w:eastAsia="Calibri" w:cs="Arial"/>
                <w:sz w:val="16"/>
                <w:szCs w:val="16"/>
                <w:lang w:val="es-ES_tradnl"/>
              </w:rPr>
              <w:t>Revisó:</w:t>
            </w:r>
          </w:p>
        </w:tc>
        <w:tc>
          <w:tcPr>
            <w:tcW w:w="5628" w:type="dxa"/>
            <w:tcBorders>
              <w:top w:val="dotted" w:color="7F7F7F" w:themeColor="text1" w:themeTint="80" w:sz="4" w:space="0"/>
              <w:left w:val="nil"/>
              <w:bottom w:val="dotted" w:color="7F7F7F" w:themeColor="text1" w:themeTint="80" w:sz="4" w:space="0"/>
              <w:right w:val="nil"/>
            </w:tcBorders>
            <w:vAlign w:val="center"/>
            <w:hideMark/>
          </w:tcPr>
          <w:p w:rsidRPr="00881D8B" w:rsidR="00B7412F" w:rsidP="00790675" w:rsidRDefault="00B7412F" w14:paraId="1A3748F8" w14:textId="77777777">
            <w:pPr>
              <w:pStyle w:val="paragraph"/>
              <w:spacing w:before="0" w:beforeAutospacing="0" w:after="0" w:afterAutospacing="0" w:line="276" w:lineRule="auto"/>
              <w:contextualSpacing/>
              <w:textAlignment w:val="baseline"/>
              <w:rPr>
                <w:rFonts w:ascii="Verdana" w:hAnsi="Verdana" w:eastAsia="Calibri" w:cs="Arial"/>
                <w:sz w:val="16"/>
                <w:szCs w:val="16"/>
                <w:lang w:val="es-ES_tradnl" w:eastAsia="en-US"/>
              </w:rPr>
            </w:pPr>
            <w:r w:rsidRPr="00881D8B">
              <w:rPr>
                <w:rFonts w:ascii="Verdana" w:hAnsi="Verdana" w:eastAsia="Calibri" w:cs="Arial"/>
                <w:sz w:val="16"/>
                <w:szCs w:val="16"/>
                <w:lang w:val="es-ES_tradnl" w:eastAsia="en-US"/>
              </w:rPr>
              <w:t>Adriana Katerine Lopez Rodriguez</w:t>
            </w:r>
          </w:p>
          <w:p w:rsidRPr="00881D8B" w:rsidR="00B7412F" w:rsidP="00790675" w:rsidRDefault="00B7412F" w14:paraId="55F70532" w14:textId="77777777">
            <w:pPr>
              <w:pStyle w:val="paragraph"/>
              <w:spacing w:before="0" w:beforeAutospacing="0" w:after="0" w:afterAutospacing="0" w:line="276" w:lineRule="auto"/>
              <w:contextualSpacing/>
              <w:textAlignment w:val="baseline"/>
              <w:rPr>
                <w:rFonts w:ascii="Verdana" w:hAnsi="Verdana" w:eastAsia="Calibri" w:cs="Arial"/>
                <w:sz w:val="16"/>
                <w:szCs w:val="16"/>
                <w:lang w:val="es-ES_tradnl" w:eastAsia="en-US"/>
              </w:rPr>
            </w:pPr>
            <w:r w:rsidRPr="00881D8B">
              <w:rPr>
                <w:rFonts w:ascii="Verdana" w:hAnsi="Verdana" w:eastAsia="Calibri"/>
                <w:sz w:val="16"/>
                <w:szCs w:val="16"/>
                <w:lang w:val="es-ES_tradnl" w:eastAsia="en-US"/>
              </w:rPr>
              <w:t>Contratista de la Subdirección de Gestión Contractual </w:t>
            </w:r>
          </w:p>
        </w:tc>
      </w:tr>
      <w:tr w:rsidRPr="00881D8B" w:rsidR="00B7412F" w:rsidTr="00790675" w14:paraId="4E1942BF" w14:textId="77777777">
        <w:trPr>
          <w:trHeight w:val="300"/>
        </w:trPr>
        <w:tc>
          <w:tcPr>
            <w:tcW w:w="893" w:type="dxa"/>
            <w:vAlign w:val="center"/>
          </w:tcPr>
          <w:p w:rsidRPr="00881D8B" w:rsidR="00B7412F" w:rsidP="00790675" w:rsidRDefault="00B7412F" w14:paraId="0E72A50F" w14:textId="77777777">
            <w:pPr>
              <w:spacing w:line="276" w:lineRule="auto"/>
              <w:contextualSpacing/>
              <w:rPr>
                <w:rFonts w:ascii="Verdana" w:hAnsi="Verdana" w:eastAsia="Calibri" w:cs="Arial"/>
                <w:sz w:val="16"/>
                <w:szCs w:val="16"/>
                <w:lang w:val="es-ES_tradnl"/>
              </w:rPr>
            </w:pPr>
            <w:r w:rsidRPr="00881D8B">
              <w:rPr>
                <w:rFonts w:ascii="Verdana" w:hAnsi="Verdana" w:eastAsia="Calibri" w:cs="Arial"/>
                <w:sz w:val="16"/>
                <w:szCs w:val="16"/>
                <w:lang w:val="es-ES_tradnl"/>
              </w:rPr>
              <w:t>Aprobó:</w:t>
            </w:r>
          </w:p>
        </w:tc>
        <w:tc>
          <w:tcPr>
            <w:tcW w:w="5628" w:type="dxa"/>
            <w:tcBorders>
              <w:top w:val="dotted" w:color="7F7F7F" w:themeColor="text1" w:themeTint="80" w:sz="4" w:space="0"/>
              <w:left w:val="nil"/>
              <w:bottom w:val="dotted" w:color="7F7F7F" w:themeColor="text1" w:themeTint="80" w:sz="4" w:space="0"/>
              <w:right w:val="nil"/>
            </w:tcBorders>
            <w:vAlign w:val="center"/>
          </w:tcPr>
          <w:p w:rsidRPr="00881D8B" w:rsidR="00B7412F" w:rsidP="00790675" w:rsidRDefault="00B7412F" w14:paraId="5F32D670" w14:textId="77777777">
            <w:pPr>
              <w:spacing w:line="276" w:lineRule="auto"/>
              <w:contextualSpacing/>
              <w:rPr>
                <w:rFonts w:ascii="Verdana" w:hAnsi="Verdana" w:eastAsia="Calibri" w:cs="Arial"/>
                <w:sz w:val="16"/>
                <w:szCs w:val="16"/>
                <w:lang w:val="es-ES"/>
              </w:rPr>
            </w:pPr>
            <w:r w:rsidRPr="7FEF9B5E">
              <w:rPr>
                <w:rFonts w:ascii="Verdana" w:hAnsi="Verdana" w:eastAsia="Calibri" w:cs="Arial"/>
                <w:sz w:val="16"/>
                <w:szCs w:val="16"/>
                <w:lang w:val="es-ES"/>
              </w:rPr>
              <w:t>Carolina Quintero Gacharná</w:t>
            </w:r>
          </w:p>
          <w:p w:rsidRPr="00881D8B" w:rsidR="00B7412F" w:rsidP="00790675" w:rsidRDefault="00B7412F" w14:paraId="3C596F8D" w14:textId="77777777">
            <w:pPr>
              <w:spacing w:line="276" w:lineRule="auto"/>
              <w:contextualSpacing/>
              <w:rPr>
                <w:rFonts w:ascii="Verdana" w:hAnsi="Verdana" w:eastAsia="Calibri" w:cs="Arial"/>
                <w:sz w:val="16"/>
                <w:szCs w:val="16"/>
                <w:lang w:val="es-ES_tradnl"/>
              </w:rPr>
            </w:pPr>
            <w:r w:rsidRPr="00881D8B">
              <w:rPr>
                <w:rFonts w:ascii="Verdana" w:hAnsi="Verdana" w:eastAsia="Calibri" w:cs="Arial"/>
                <w:sz w:val="16"/>
                <w:szCs w:val="16"/>
                <w:lang w:val="es-ES_tradnl"/>
              </w:rPr>
              <w:t>Subdirectora de Gestión Contractual ANCP – CCE</w:t>
            </w:r>
          </w:p>
        </w:tc>
      </w:tr>
    </w:tbl>
    <w:p w:rsidRPr="00881D8B" w:rsidR="00B7412F" w:rsidP="00B7412F" w:rsidRDefault="00B7412F" w14:paraId="3A228103" w14:textId="77777777">
      <w:pPr>
        <w:spacing w:after="0" w:line="276" w:lineRule="auto"/>
        <w:rPr>
          <w:rFonts w:ascii="Verdana" w:hAnsi="Verdana" w:eastAsia="Times New Roman" w:cs="Arial"/>
          <w:sz w:val="24"/>
          <w:szCs w:val="24"/>
          <w:lang w:eastAsia="es-ES"/>
        </w:rPr>
      </w:pPr>
    </w:p>
    <w:p w:rsidRPr="00881D8B" w:rsidR="00B7412F" w:rsidP="00B7412F" w:rsidRDefault="00B7412F" w14:paraId="58BC31F2" w14:textId="77777777">
      <w:pPr>
        <w:spacing w:line="276" w:lineRule="auto"/>
        <w:rPr>
          <w:rFonts w:ascii="Verdana" w:hAnsi="Verdana"/>
        </w:rPr>
      </w:pPr>
    </w:p>
    <w:p w:rsidRPr="00881D8B" w:rsidR="00B7412F" w:rsidP="00B7412F" w:rsidRDefault="00B7412F" w14:paraId="46D4F34B" w14:textId="77777777">
      <w:pPr>
        <w:spacing w:after="0" w:line="276" w:lineRule="auto"/>
        <w:jc w:val="both"/>
        <w:rPr>
          <w:rFonts w:ascii="Verdana" w:hAnsi="Verdana"/>
        </w:rPr>
      </w:pPr>
    </w:p>
    <w:p w:rsidRPr="00881D8B" w:rsidR="00B7412F" w:rsidP="00B7412F" w:rsidRDefault="00B7412F" w14:paraId="7286710A" w14:textId="77777777">
      <w:pPr>
        <w:spacing w:line="276" w:lineRule="auto"/>
        <w:rPr>
          <w:rFonts w:ascii="Verdana" w:hAnsi="Verdana"/>
        </w:rPr>
      </w:pPr>
    </w:p>
    <w:p w:rsidRPr="0044528D" w:rsidR="00B7412F" w:rsidP="00B7412F" w:rsidRDefault="00B7412F" w14:paraId="2AAB82F2" w14:textId="77777777">
      <w:pPr>
        <w:spacing w:after="0"/>
        <w:rPr>
          <w:rFonts w:ascii="Verdana" w:hAnsi="Verdana"/>
        </w:rPr>
      </w:pPr>
    </w:p>
    <w:bookmarkEnd w:id="0"/>
    <w:p w:rsidRPr="00B7412F" w:rsidR="5D8505AD" w:rsidP="00B7412F" w:rsidRDefault="5D8505AD" w14:paraId="0083C991" w14:textId="5C765C2F"/>
    <w:sectPr w:rsidRPr="00B7412F" w:rsidR="5D8505AD" w:rsidSect="00E45F4B">
      <w:headerReference w:type="default" r:id="rId23"/>
      <w:footerReference w:type="default" r:id="rId24"/>
      <w:pgSz w:w="12240" w:h="15840" w:orient="portrait"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D7CE0" w:rsidP="00B30448" w:rsidRDefault="003D7CE0" w14:paraId="781F00DA" w14:textId="77777777">
      <w:pPr>
        <w:spacing w:after="0" w:line="240" w:lineRule="auto"/>
      </w:pPr>
      <w:r>
        <w:separator/>
      </w:r>
    </w:p>
  </w:endnote>
  <w:endnote w:type="continuationSeparator" w:id="0">
    <w:p w:rsidR="003D7CE0" w:rsidP="00B30448" w:rsidRDefault="003D7CE0" w14:paraId="72ABF98F" w14:textId="77777777">
      <w:pPr>
        <w:spacing w:after="0" w:line="240" w:lineRule="auto"/>
      </w:pPr>
      <w:r>
        <w:continuationSeparator/>
      </w:r>
    </w:p>
  </w:endnote>
  <w:endnote w:type="continuationNotice" w:id="1">
    <w:p w:rsidR="003D7CE0" w:rsidRDefault="003D7CE0" w14:paraId="57DE56D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Yu Gothic UI Semibold">
    <w:panose1 w:val="020B0700000000000000"/>
    <w:charset w:val="80"/>
    <w:family w:val="swiss"/>
    <w:pitch w:val="variable"/>
    <w:sig w:usb0="E00002FF" w:usb1="2AC7FDFF" w:usb2="00000016" w:usb3="00000000" w:csb0="000200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49D5" w:rsidP="000849D5" w:rsidRDefault="000849D5" w14:paraId="74A7DACD" w14:textId="77777777">
    <w:pPr>
      <w:spacing w:after="0"/>
      <w:rPr>
        <w:rFonts w:ascii="Verdana" w:hAnsi="Verdana"/>
        <w:b/>
        <w:bCs/>
        <w:sz w:val="20"/>
        <w:szCs w:val="20"/>
      </w:rPr>
    </w:pPr>
  </w:p>
  <w:p w:rsidRPr="00174B77" w:rsidR="000849D5" w:rsidP="000849D5" w:rsidRDefault="000849D5" w14:paraId="6681ECB2" w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0849D5" w:rsidP="000849D5" w:rsidRDefault="000849D5" w14:paraId="21625D2E" w14:textId="77777777">
    <w:pPr>
      <w:spacing w:after="0"/>
      <w:jc w:val="both"/>
      <w:rPr>
        <w:rFonts w:ascii="Verdana" w:hAnsi="Verdana"/>
        <w:sz w:val="18"/>
        <w:szCs w:val="18"/>
      </w:rPr>
    </w:pPr>
    <w:r w:rsidRPr="00E41027">
      <w:rPr>
        <w:rFonts w:ascii="Verdana" w:hAnsi="Verdana"/>
        <w:sz w:val="18"/>
        <w:szCs w:val="18"/>
      </w:rPr>
      <w:t>Dirección: Carrera 7 # 26 – 20 - Bogotá, Colombia</w:t>
    </w:r>
  </w:p>
  <w:p w:rsidRPr="00E41027" w:rsidR="000849D5" w:rsidP="000849D5" w:rsidRDefault="000849D5" w14:paraId="559D727E" w14:textId="77777777">
    <w:pPr>
      <w:spacing w:after="0"/>
      <w:jc w:val="both"/>
      <w:rPr>
        <w:rFonts w:ascii="Verdana" w:hAnsi="Verdana"/>
        <w:sz w:val="18"/>
        <w:szCs w:val="18"/>
      </w:rPr>
    </w:pPr>
    <w:r w:rsidRPr="00E41027">
      <w:rPr>
        <w:rFonts w:ascii="Verdana" w:hAnsi="Verdana"/>
        <w:sz w:val="18"/>
        <w:szCs w:val="18"/>
      </w:rPr>
      <w:t>Mesa de servicio: (+57) 601 7456788</w:t>
    </w:r>
  </w:p>
  <w:p w:rsidR="000849D5" w:rsidP="000849D5" w:rsidRDefault="000849D5" w14:paraId="143E423D" w14:textId="77777777">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rsidRPr="007D04B2" w:rsidR="000849D5" w:rsidP="000849D5" w:rsidRDefault="000849D5" w14:paraId="337FD84E" w14:textId="77777777">
    <w:pPr>
      <w:pStyle w:val="Piedepgina"/>
    </w:pPr>
  </w:p>
  <w:p w:rsidRPr="000849D5" w:rsidR="00B30448" w:rsidP="000849D5" w:rsidRDefault="00B30448" w14:paraId="769219E2"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D7CE0" w:rsidP="00B30448" w:rsidRDefault="003D7CE0" w14:paraId="00A569B1" w14:textId="77777777">
      <w:pPr>
        <w:spacing w:after="0" w:line="240" w:lineRule="auto"/>
      </w:pPr>
      <w:r>
        <w:separator/>
      </w:r>
    </w:p>
  </w:footnote>
  <w:footnote w:type="continuationSeparator" w:id="0">
    <w:p w:rsidR="003D7CE0" w:rsidP="00B30448" w:rsidRDefault="003D7CE0" w14:paraId="40845E24" w14:textId="77777777">
      <w:pPr>
        <w:spacing w:after="0" w:line="240" w:lineRule="auto"/>
      </w:pPr>
      <w:r>
        <w:continuationSeparator/>
      </w:r>
    </w:p>
  </w:footnote>
  <w:footnote w:type="continuationNotice" w:id="1">
    <w:p w:rsidR="003D7CE0" w:rsidRDefault="003D7CE0" w14:paraId="299A7A12" w14:textId="77777777">
      <w:pPr>
        <w:spacing w:after="0" w:line="240" w:lineRule="auto"/>
      </w:pPr>
    </w:p>
  </w:footnote>
  <w:footnote w:id="2">
    <w:p w:rsidRPr="00847D2B" w:rsidR="00B7412F" w:rsidP="00B7412F" w:rsidRDefault="00B7412F" w14:paraId="08DD3AE9" w14:textId="77777777">
      <w:pPr>
        <w:pStyle w:val="Textonotapie"/>
        <w:ind w:firstLine="708"/>
        <w:contextualSpacing/>
        <w:jc w:val="both"/>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Consejo de Estado. Sección Segunda. Sentencia del 9 de septiembre de 2021. Expediente No. 05001-23-33-000-2013-01143-01(1317-16). M.P. Dra. Sandra Lisset Ibarra Vélez.</w:t>
      </w:r>
    </w:p>
    <w:p w:rsidRPr="00847D2B" w:rsidR="00B7412F" w:rsidP="00B7412F" w:rsidRDefault="00B7412F" w14:paraId="2A29A6E8" w14:textId="77777777">
      <w:pPr>
        <w:pStyle w:val="Textonotapie"/>
        <w:ind w:firstLine="708"/>
        <w:contextualSpacing/>
        <w:jc w:val="both"/>
        <w:rPr>
          <w:rFonts w:ascii="Arial" w:hAnsi="Arial" w:cs="Arial"/>
          <w:sz w:val="18"/>
          <w:szCs w:val="18"/>
        </w:rPr>
      </w:pPr>
    </w:p>
  </w:footnote>
  <w:footnote w:id="3">
    <w:p w:rsidRPr="00847D2B" w:rsidR="00B7412F" w:rsidP="00B7412F" w:rsidRDefault="00B7412F" w14:paraId="1AF4D6D8" w14:textId="77777777">
      <w:pPr>
        <w:pStyle w:val="Textonotapie"/>
        <w:ind w:firstLine="708"/>
        <w:contextualSpacing/>
        <w:jc w:val="both"/>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Así lo señaló el Consejo de Estado en la sentencia de unificación en mención, al indicar que «cualquier contrato de prestación de servicios tiene por objeto genérico “desarrollar actividades relacionadas con la administración o funcionamiento de la entidad”».</w:t>
      </w:r>
    </w:p>
    <w:p w:rsidRPr="00847D2B" w:rsidR="00B7412F" w:rsidP="00B7412F" w:rsidRDefault="00B7412F" w14:paraId="3DE2D7AA" w14:textId="77777777">
      <w:pPr>
        <w:pStyle w:val="Textonotapie"/>
        <w:ind w:firstLine="708"/>
        <w:contextualSpacing/>
        <w:jc w:val="both"/>
        <w:rPr>
          <w:rFonts w:ascii="Arial" w:hAnsi="Arial" w:cs="Arial"/>
          <w:sz w:val="18"/>
          <w:szCs w:val="18"/>
          <w:lang w:val="es-ES_tradnl"/>
        </w:rPr>
      </w:pPr>
    </w:p>
  </w:footnote>
  <w:footnote w:id="4">
    <w:p w:rsidRPr="00847D2B" w:rsidR="00B7412F" w:rsidP="00B7412F" w:rsidRDefault="00B7412F" w14:paraId="42785B44" w14:textId="77777777">
      <w:pPr>
        <w:pStyle w:val="Textonotapie"/>
        <w:ind w:firstLine="708"/>
        <w:contextualSpacing/>
        <w:jc w:val="both"/>
        <w:rPr>
          <w:rFonts w:ascii="Arial" w:hAnsi="Arial" w:cs="Arial"/>
          <w:sz w:val="18"/>
          <w:szCs w:val="18"/>
          <w:lang w:val="es-ES"/>
        </w:rPr>
      </w:pPr>
      <w:r w:rsidRPr="00847D2B">
        <w:rPr>
          <w:rStyle w:val="Refdenotaalpie"/>
          <w:rFonts w:ascii="Arial" w:hAnsi="Arial" w:cs="Arial"/>
          <w:sz w:val="18"/>
          <w:szCs w:val="18"/>
        </w:rPr>
        <w:footnoteRef/>
      </w:r>
      <w:r w:rsidRPr="00847D2B">
        <w:rPr>
          <w:rFonts w:ascii="Arial" w:hAnsi="Arial" w:cs="Arial"/>
          <w:sz w:val="18"/>
          <w:szCs w:val="18"/>
        </w:rPr>
        <w:t xml:space="preserve"> </w:t>
      </w:r>
      <w:r w:rsidRPr="00847D2B">
        <w:rPr>
          <w:rFonts w:ascii="Arial" w:hAnsi="Arial" w:cs="Arial"/>
          <w:sz w:val="18"/>
          <w:szCs w:val="18"/>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p>
    <w:p w:rsidRPr="00847D2B" w:rsidR="00B7412F" w:rsidP="00B7412F" w:rsidRDefault="00B7412F" w14:paraId="1E52169F" w14:textId="77777777">
      <w:pPr>
        <w:pStyle w:val="Textonotapie"/>
        <w:ind w:firstLine="709"/>
        <w:contextualSpacing/>
        <w:jc w:val="both"/>
        <w:rPr>
          <w:rFonts w:ascii="Arial" w:hAnsi="Arial" w:cs="Arial"/>
          <w:sz w:val="18"/>
          <w:szCs w:val="18"/>
          <w:lang w:val="es-ES"/>
        </w:rPr>
      </w:pPr>
    </w:p>
  </w:footnote>
  <w:footnote w:id="5">
    <w:p w:rsidRPr="00847D2B" w:rsidR="00B7412F" w:rsidP="00B7412F" w:rsidRDefault="00B7412F" w14:paraId="4E3AA036" w14:textId="77777777">
      <w:pPr>
        <w:pStyle w:val="Textonotapie"/>
        <w:ind w:firstLine="709"/>
        <w:contextualSpacing/>
        <w:jc w:val="both"/>
        <w:rPr>
          <w:rFonts w:ascii="Arial" w:hAnsi="Arial" w:cs="Arial"/>
          <w:sz w:val="18"/>
          <w:szCs w:val="18"/>
          <w:lang w:val="es-ES"/>
        </w:rPr>
      </w:pPr>
      <w:r w:rsidRPr="00847D2B">
        <w:rPr>
          <w:rStyle w:val="Refdenotaalpie"/>
          <w:rFonts w:ascii="Arial" w:hAnsi="Arial" w:cs="Arial"/>
          <w:sz w:val="18"/>
          <w:szCs w:val="18"/>
        </w:rPr>
        <w:footnoteRef/>
      </w:r>
      <w:r w:rsidRPr="00847D2B">
        <w:rPr>
          <w:rFonts w:ascii="Arial" w:hAnsi="Arial" w:cs="Arial"/>
          <w:sz w:val="18"/>
          <w:szCs w:val="18"/>
        </w:rPr>
        <w:t xml:space="preserve"> </w:t>
      </w:r>
      <w:r w:rsidRPr="00847D2B">
        <w:rPr>
          <w:rFonts w:ascii="Arial" w:hAnsi="Arial" w:cs="Arial"/>
          <w:sz w:val="18"/>
          <w:szCs w:val="18"/>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rsidRPr="00847D2B" w:rsidR="00B7412F" w:rsidP="00B7412F" w:rsidRDefault="00B7412F" w14:paraId="3A211846" w14:textId="77777777">
      <w:pPr>
        <w:pStyle w:val="Textonotapie"/>
        <w:ind w:firstLine="709"/>
        <w:contextualSpacing/>
        <w:jc w:val="both"/>
        <w:rPr>
          <w:rFonts w:ascii="Arial" w:hAnsi="Arial" w:cs="Arial"/>
          <w:sz w:val="18"/>
          <w:szCs w:val="18"/>
          <w:lang w:val="es-ES"/>
        </w:rPr>
      </w:pPr>
    </w:p>
    <w:p w:rsidRPr="00847D2B" w:rsidR="00B7412F" w:rsidP="00B7412F" w:rsidRDefault="00B7412F" w14:paraId="22AD1B69" w14:textId="77777777">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rsidRPr="00847D2B" w:rsidR="00B7412F" w:rsidP="00B7412F" w:rsidRDefault="00B7412F" w14:paraId="660146C9" w14:textId="77777777">
      <w:pPr>
        <w:pStyle w:val="Textonotapie"/>
        <w:ind w:firstLine="709"/>
        <w:contextualSpacing/>
        <w:jc w:val="both"/>
        <w:rPr>
          <w:rFonts w:ascii="Arial" w:hAnsi="Arial" w:cs="Arial"/>
          <w:sz w:val="18"/>
          <w:szCs w:val="18"/>
          <w:lang w:val="es-ES"/>
        </w:rPr>
      </w:pPr>
    </w:p>
    <w:p w:rsidRPr="00847D2B" w:rsidR="00B7412F" w:rsidP="00B7412F" w:rsidRDefault="00B7412F" w14:paraId="5A057D56" w14:textId="77777777">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El Gobierno nacional reglamentará el mecanismo para realizar la mensualización de que trata el presente artículo.</w:t>
      </w:r>
    </w:p>
    <w:p w:rsidRPr="00847D2B" w:rsidR="00B7412F" w:rsidP="00B7412F" w:rsidRDefault="00B7412F" w14:paraId="1FA630CC" w14:textId="77777777">
      <w:pPr>
        <w:pStyle w:val="Textonotapie"/>
        <w:ind w:firstLine="709"/>
        <w:contextualSpacing/>
        <w:jc w:val="both"/>
        <w:rPr>
          <w:rFonts w:ascii="Arial" w:hAnsi="Arial" w:cs="Arial"/>
          <w:sz w:val="18"/>
          <w:szCs w:val="18"/>
          <w:lang w:val="es-ES"/>
        </w:rPr>
      </w:pPr>
    </w:p>
    <w:p w:rsidRPr="00847D2B" w:rsidR="00B7412F" w:rsidP="00B7412F" w:rsidRDefault="00B7412F" w14:paraId="45AAD2CF" w14:textId="77777777">
      <w:pPr>
        <w:pStyle w:val="Textonotapie"/>
        <w:ind w:firstLine="709"/>
        <w:contextualSpacing/>
        <w:jc w:val="both"/>
        <w:rPr>
          <w:rFonts w:ascii="Arial" w:hAnsi="Arial" w:cs="Arial"/>
          <w:sz w:val="18"/>
          <w:szCs w:val="18"/>
          <w:lang w:val="pt-BR"/>
        </w:rPr>
      </w:pPr>
      <w:r w:rsidRPr="00847D2B">
        <w:rPr>
          <w:rFonts w:ascii="Arial" w:hAnsi="Arial" w:cs="Arial"/>
          <w:sz w:val="18"/>
          <w:szCs w:val="18"/>
          <w:lang w:val="pt-BR"/>
        </w:rPr>
        <w:t>[…]».</w:t>
      </w:r>
    </w:p>
    <w:p w:rsidRPr="00847D2B" w:rsidR="00B7412F" w:rsidP="00B7412F" w:rsidRDefault="00B7412F" w14:paraId="45661ABA" w14:textId="77777777">
      <w:pPr>
        <w:pStyle w:val="Textonotapie"/>
        <w:ind w:firstLine="709"/>
        <w:contextualSpacing/>
        <w:jc w:val="both"/>
        <w:rPr>
          <w:rFonts w:ascii="Arial" w:hAnsi="Arial" w:cs="Arial"/>
          <w:sz w:val="18"/>
          <w:szCs w:val="18"/>
          <w:lang w:val="pt-BR"/>
        </w:rPr>
      </w:pPr>
    </w:p>
  </w:footnote>
  <w:footnote w:id="6">
    <w:p w:rsidRPr="00847D2B" w:rsidR="00B7412F" w:rsidP="00B7412F" w:rsidRDefault="00B7412F" w14:paraId="791C2F01" w14:textId="77777777">
      <w:pPr>
        <w:pStyle w:val="Textonotapie"/>
        <w:ind w:firstLine="709"/>
        <w:contextualSpacing/>
        <w:jc w:val="both"/>
        <w:rPr>
          <w:rFonts w:ascii="Arial" w:hAnsi="Arial" w:cs="Arial"/>
          <w:sz w:val="18"/>
          <w:szCs w:val="18"/>
          <w:lang w:val="es-ES"/>
        </w:rPr>
      </w:pPr>
      <w:r w:rsidRPr="00847D2B">
        <w:rPr>
          <w:rStyle w:val="Refdenotaalpie"/>
          <w:rFonts w:ascii="Arial" w:hAnsi="Arial" w:cs="Arial"/>
          <w:sz w:val="18"/>
          <w:szCs w:val="18"/>
        </w:rPr>
        <w:footnoteRef/>
      </w:r>
      <w:r w:rsidRPr="00847D2B">
        <w:rPr>
          <w:rFonts w:ascii="Arial" w:hAnsi="Arial" w:cs="Arial"/>
          <w:sz w:val="18"/>
          <w:szCs w:val="18"/>
        </w:rPr>
        <w:t xml:space="preserve"> </w:t>
      </w:r>
      <w:r w:rsidRPr="00847D2B">
        <w:rPr>
          <w:rFonts w:ascii="Arial" w:hAnsi="Arial" w:cs="Arial"/>
          <w:sz w:val="18"/>
          <w:szCs w:val="18"/>
          <w:lang w:val="es-ES"/>
        </w:rPr>
        <w:t>Ibíd.</w:t>
      </w:r>
    </w:p>
    <w:p w:rsidRPr="00847D2B" w:rsidR="00B7412F" w:rsidP="00B7412F" w:rsidRDefault="00B7412F" w14:paraId="4944269C" w14:textId="77777777">
      <w:pPr>
        <w:pStyle w:val="Textonotapie"/>
        <w:ind w:firstLine="709"/>
        <w:contextualSpacing/>
        <w:jc w:val="both"/>
        <w:rPr>
          <w:rFonts w:ascii="Arial" w:hAnsi="Arial" w:cs="Arial"/>
          <w:sz w:val="18"/>
          <w:szCs w:val="18"/>
          <w:lang w:val="es-ES"/>
        </w:rPr>
      </w:pPr>
    </w:p>
  </w:footnote>
  <w:footnote w:id="7">
    <w:p w:rsidRPr="00847D2B" w:rsidR="00B7412F" w:rsidP="00B7412F" w:rsidRDefault="00B7412F" w14:paraId="568A0237" w14:textId="77777777">
      <w:pPr>
        <w:pStyle w:val="Textonotapie"/>
        <w:ind w:firstLine="709"/>
        <w:contextualSpacing/>
        <w:jc w:val="both"/>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w:t>
      </w:r>
      <w:r w:rsidRPr="00847D2B">
        <w:rPr>
          <w:rFonts w:ascii="Arial" w:hAnsi="Arial" w:cs="Arial"/>
          <w:sz w:val="18"/>
          <w:szCs w:val="18"/>
          <w:lang w:val="es-ES"/>
        </w:rPr>
        <w:t>CONSEJO DE ESTADO. Sección Tercera. Subsección C. Sentencia de Unificación del 2 de diciembre de 2013. Exp. 41.719. C.P. Jaime Orlando Santofimio Gamboa.</w:t>
      </w:r>
      <w:r w:rsidRPr="00847D2B">
        <w:rPr>
          <w:rFonts w:ascii="Arial" w:hAnsi="Arial" w:cs="Arial"/>
          <w:sz w:val="18"/>
          <w:szCs w:val="18"/>
        </w:rPr>
        <w:t xml:space="preserve"> </w:t>
      </w:r>
    </w:p>
    <w:p w:rsidRPr="00847D2B" w:rsidR="00B7412F" w:rsidP="00B7412F" w:rsidRDefault="00B7412F" w14:paraId="0783E621" w14:textId="77777777">
      <w:pPr>
        <w:pStyle w:val="Textonotapie"/>
        <w:ind w:firstLine="709"/>
        <w:contextualSpacing/>
        <w:jc w:val="both"/>
        <w:rPr>
          <w:rFonts w:ascii="Arial" w:hAnsi="Arial" w:cs="Arial"/>
          <w:sz w:val="18"/>
          <w:szCs w:val="18"/>
        </w:rPr>
      </w:pPr>
    </w:p>
    <w:p w:rsidRPr="00847D2B" w:rsidR="00B7412F" w:rsidP="00B7412F" w:rsidRDefault="00B7412F" w14:paraId="6A2033E9" w14:textId="77777777">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Además,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rsidRPr="00847D2B" w:rsidR="00B7412F" w:rsidP="00B7412F" w:rsidRDefault="00B7412F" w14:paraId="70746D20" w14:textId="77777777">
      <w:pPr>
        <w:pStyle w:val="Textonotapie"/>
        <w:ind w:firstLine="709"/>
        <w:contextualSpacing/>
        <w:jc w:val="both"/>
        <w:rPr>
          <w:rFonts w:ascii="Arial" w:hAnsi="Arial" w:cs="Arial"/>
          <w:sz w:val="18"/>
          <w:szCs w:val="18"/>
          <w:lang w:val="es-ES"/>
        </w:rPr>
      </w:pPr>
    </w:p>
    <w:p w:rsidRPr="00847D2B" w:rsidR="00B7412F" w:rsidP="00B7412F" w:rsidRDefault="00B7412F" w14:paraId="3D8B4BA7" w14:textId="77777777">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»Son también contratos de consultoría los que tienen por objeto la interventoría, asesoría, gerencia de obra o de proyectos, dirección, programación y la ejecución de diseños, planos, anteproyectos y proyectos.</w:t>
      </w:r>
    </w:p>
    <w:p w:rsidRPr="00847D2B" w:rsidR="00B7412F" w:rsidP="00B7412F" w:rsidRDefault="00B7412F" w14:paraId="23E21638" w14:textId="77777777">
      <w:pPr>
        <w:pStyle w:val="Textonotapie"/>
        <w:ind w:firstLine="709"/>
        <w:contextualSpacing/>
        <w:jc w:val="both"/>
        <w:rPr>
          <w:rFonts w:ascii="Arial" w:hAnsi="Arial" w:cs="Arial"/>
          <w:sz w:val="18"/>
          <w:szCs w:val="18"/>
          <w:lang w:val="es-ES"/>
        </w:rPr>
      </w:pPr>
    </w:p>
    <w:p w:rsidRPr="00847D2B" w:rsidR="00B7412F" w:rsidP="00B7412F" w:rsidRDefault="00B7412F" w14:paraId="337B1FF0" w14:textId="77777777">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»Ninguna orden del interventor de una obra podrá darse verbalmente. Es obligatorio para el interventor entregar por escrito sus órdenes o sugerencias y ellas deben enmarcarse dentro de los términos del respectivo contrato».</w:t>
      </w:r>
    </w:p>
    <w:p w:rsidRPr="00847D2B" w:rsidR="00B7412F" w:rsidP="00B7412F" w:rsidRDefault="00B7412F" w14:paraId="1584F981" w14:textId="77777777">
      <w:pPr>
        <w:pStyle w:val="Textonotapie"/>
        <w:ind w:firstLine="709"/>
        <w:contextualSpacing/>
        <w:jc w:val="both"/>
        <w:rPr>
          <w:rFonts w:ascii="Arial" w:hAnsi="Arial" w:cs="Arial"/>
          <w:sz w:val="18"/>
          <w:szCs w:val="18"/>
          <w:lang w:val="es-ES"/>
        </w:rPr>
      </w:pPr>
    </w:p>
  </w:footnote>
  <w:footnote w:id="8">
    <w:p w:rsidRPr="00847D2B" w:rsidR="00B7412F" w:rsidP="00B7412F" w:rsidRDefault="00B7412F" w14:paraId="29648FFF" w14:textId="77777777">
      <w:pPr>
        <w:pStyle w:val="Textonotapie"/>
        <w:ind w:firstLine="709"/>
        <w:contextualSpacing/>
        <w:jc w:val="both"/>
        <w:rPr>
          <w:rFonts w:ascii="Arial" w:hAnsi="Arial" w:cs="Arial"/>
          <w:sz w:val="18"/>
          <w:szCs w:val="18"/>
          <w:lang w:val="es-ES"/>
        </w:rPr>
      </w:pPr>
      <w:r w:rsidRPr="00847D2B">
        <w:rPr>
          <w:rStyle w:val="Refdenotaalpie"/>
          <w:rFonts w:ascii="Arial" w:hAnsi="Arial" w:cs="Arial"/>
          <w:sz w:val="18"/>
          <w:szCs w:val="18"/>
        </w:rPr>
        <w:footnoteRef/>
      </w:r>
      <w:r w:rsidRPr="00847D2B">
        <w:rPr>
          <w:rFonts w:ascii="Arial" w:hAnsi="Arial" w:cs="Arial"/>
          <w:sz w:val="18"/>
          <w:szCs w:val="18"/>
        </w:rPr>
        <w:t xml:space="preserve"> </w:t>
      </w:r>
      <w:r w:rsidRPr="00847D2B">
        <w:rPr>
          <w:rFonts w:ascii="Arial" w:hAnsi="Arial" w:cs="Arial"/>
          <w:sz w:val="18"/>
          <w:szCs w:val="18"/>
          <w:lang w:val="es-ES"/>
        </w:rPr>
        <w:t>Así lo dispone el artículo 2.2.1.2.1.4.1. del Decreto 1082 de 2015: «La Entidad Estatal debe señalar en un acto administrativo la justificación para contratar bajo la modalidad de contratación directa, el cual debe contener:</w:t>
      </w:r>
    </w:p>
    <w:p w:rsidRPr="00847D2B" w:rsidR="00B7412F" w:rsidP="00B7412F" w:rsidRDefault="00B7412F" w14:paraId="11F50414" w14:textId="77777777">
      <w:pPr>
        <w:pStyle w:val="Textonotapie"/>
        <w:ind w:firstLine="709"/>
        <w:contextualSpacing/>
        <w:jc w:val="both"/>
        <w:rPr>
          <w:rFonts w:ascii="Arial" w:hAnsi="Arial" w:cs="Arial"/>
          <w:sz w:val="18"/>
          <w:szCs w:val="18"/>
          <w:lang w:val="es-ES"/>
        </w:rPr>
      </w:pPr>
    </w:p>
    <w:p w:rsidRPr="00847D2B" w:rsidR="00B7412F" w:rsidP="00B7412F" w:rsidRDefault="00B7412F" w14:paraId="7FAA2FF4" w14:textId="77777777">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»1. La causal que invoca para contratar directamente.</w:t>
      </w:r>
    </w:p>
    <w:p w:rsidRPr="00847D2B" w:rsidR="00B7412F" w:rsidP="00B7412F" w:rsidRDefault="00B7412F" w14:paraId="3EFEA8CA" w14:textId="77777777">
      <w:pPr>
        <w:pStyle w:val="Textonotapie"/>
        <w:ind w:firstLine="709"/>
        <w:contextualSpacing/>
        <w:jc w:val="both"/>
        <w:rPr>
          <w:rFonts w:ascii="Arial" w:hAnsi="Arial" w:cs="Arial"/>
          <w:sz w:val="18"/>
          <w:szCs w:val="18"/>
          <w:lang w:val="es-ES"/>
        </w:rPr>
      </w:pPr>
    </w:p>
    <w:p w:rsidRPr="00847D2B" w:rsidR="00B7412F" w:rsidP="00B7412F" w:rsidRDefault="00B7412F" w14:paraId="4A9E1EAE" w14:textId="77777777">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»2. El objeto del contrato.</w:t>
      </w:r>
    </w:p>
    <w:p w:rsidRPr="00847D2B" w:rsidR="00B7412F" w:rsidP="00B7412F" w:rsidRDefault="00B7412F" w14:paraId="2F0BD620" w14:textId="77777777">
      <w:pPr>
        <w:pStyle w:val="Textonotapie"/>
        <w:ind w:firstLine="709"/>
        <w:contextualSpacing/>
        <w:jc w:val="both"/>
        <w:rPr>
          <w:rFonts w:ascii="Arial" w:hAnsi="Arial" w:cs="Arial"/>
          <w:sz w:val="18"/>
          <w:szCs w:val="18"/>
          <w:lang w:val="es-ES"/>
        </w:rPr>
      </w:pPr>
    </w:p>
    <w:p w:rsidRPr="00847D2B" w:rsidR="00B7412F" w:rsidP="00B7412F" w:rsidRDefault="00B7412F" w14:paraId="74224617" w14:textId="77777777">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»3. El presupuesto para la contratación y las condiciones que exigirá al contratista.</w:t>
      </w:r>
    </w:p>
    <w:p w:rsidRPr="00847D2B" w:rsidR="00B7412F" w:rsidP="00B7412F" w:rsidRDefault="00B7412F" w14:paraId="61E7D099" w14:textId="77777777">
      <w:pPr>
        <w:pStyle w:val="Textonotapie"/>
        <w:ind w:firstLine="709"/>
        <w:contextualSpacing/>
        <w:jc w:val="both"/>
        <w:rPr>
          <w:rFonts w:ascii="Arial" w:hAnsi="Arial" w:cs="Arial"/>
          <w:sz w:val="18"/>
          <w:szCs w:val="18"/>
          <w:lang w:val="es-ES"/>
        </w:rPr>
      </w:pPr>
    </w:p>
    <w:p w:rsidRPr="00847D2B" w:rsidR="00B7412F" w:rsidP="00B7412F" w:rsidRDefault="00B7412F" w14:paraId="153A5B52" w14:textId="77777777">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»4. El lugar en el cual los interesados pueden consultar los estudios y documentos previos.</w:t>
      </w:r>
    </w:p>
    <w:p w:rsidRPr="00847D2B" w:rsidR="00B7412F" w:rsidP="00B7412F" w:rsidRDefault="00B7412F" w14:paraId="7ACE152E" w14:textId="77777777">
      <w:pPr>
        <w:pStyle w:val="Textonotapie"/>
        <w:ind w:firstLine="709"/>
        <w:contextualSpacing/>
        <w:jc w:val="both"/>
        <w:rPr>
          <w:rFonts w:ascii="Arial" w:hAnsi="Arial" w:cs="Arial"/>
          <w:sz w:val="18"/>
          <w:szCs w:val="18"/>
          <w:lang w:val="es-ES"/>
        </w:rPr>
      </w:pPr>
    </w:p>
    <w:p w:rsidRPr="00847D2B" w:rsidR="00B7412F" w:rsidP="00B7412F" w:rsidRDefault="00B7412F" w14:paraId="4F0F6EFC" w14:textId="77777777">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9">
    <w:p w:rsidRPr="00847D2B" w:rsidR="00B7412F" w:rsidP="00B7412F" w:rsidRDefault="00B7412F" w14:paraId="1E219B55" w14:textId="77777777">
      <w:pPr>
        <w:pStyle w:val="Textonotapie"/>
        <w:contextualSpacing/>
        <w:jc w:val="both"/>
        <w:rPr>
          <w:rFonts w:ascii="Arial" w:hAnsi="Arial" w:cs="Arial"/>
          <w:sz w:val="18"/>
          <w:szCs w:val="18"/>
        </w:rPr>
      </w:pPr>
    </w:p>
    <w:p w:rsidRPr="00847D2B" w:rsidR="00B7412F" w:rsidP="00B7412F" w:rsidRDefault="00B7412F" w14:paraId="0A50C0EF" w14:textId="77777777">
      <w:pPr>
        <w:pStyle w:val="Textonotapie"/>
        <w:ind w:firstLine="709"/>
        <w:contextualSpacing/>
        <w:jc w:val="both"/>
        <w:rPr>
          <w:rFonts w:ascii="Arial" w:hAnsi="Arial" w:cs="Arial"/>
          <w:sz w:val="18"/>
          <w:szCs w:val="18"/>
          <w:lang w:val="es-ES"/>
        </w:rPr>
      </w:pPr>
      <w:r w:rsidRPr="00847D2B">
        <w:rPr>
          <w:rStyle w:val="Refdenotaalpie"/>
          <w:rFonts w:ascii="Arial" w:hAnsi="Arial" w:cs="Arial"/>
          <w:sz w:val="18"/>
          <w:szCs w:val="18"/>
        </w:rPr>
        <w:footnoteRef/>
      </w:r>
      <w:r w:rsidRPr="00847D2B">
        <w:rPr>
          <w:rFonts w:ascii="Arial" w:hAnsi="Arial" w:cs="Arial"/>
          <w:sz w:val="18"/>
          <w:szCs w:val="18"/>
        </w:rPr>
        <w:t xml:space="preserve"> </w:t>
      </w:r>
      <w:r w:rsidRPr="00847D2B">
        <w:rPr>
          <w:rFonts w:ascii="Arial" w:hAnsi="Arial" w:cs="Arial"/>
          <w:sz w:val="18"/>
          <w:szCs w:val="18"/>
          <w:lang w:val="es-ES"/>
        </w:rPr>
        <w:t xml:space="preserve">La norma expresa: «Art. 14. </w:t>
      </w:r>
      <w:r w:rsidRPr="00847D2B">
        <w:rPr>
          <w:rFonts w:ascii="Arial" w:hAnsi="Arial" w:cs="Arial"/>
          <w:sz w:val="18"/>
          <w:szCs w:val="18"/>
        </w:rPr>
        <w:t>P</w:t>
      </w:r>
      <w:r w:rsidRPr="00847D2B">
        <w:rPr>
          <w:rFonts w:ascii="Arial" w:hAnsi="Arial" w:cs="Arial"/>
          <w:sz w:val="18"/>
          <w:szCs w:val="18"/>
          <w:lang w:val="es-ES"/>
        </w:rPr>
        <w:t>ara el cumplimiento de los fines de la contratación, las entidades estatales al celebrar un contrato:</w:t>
      </w:r>
    </w:p>
    <w:p w:rsidRPr="00847D2B" w:rsidR="00B7412F" w:rsidP="00B7412F" w:rsidRDefault="00B7412F" w14:paraId="57063503" w14:textId="77777777">
      <w:pPr>
        <w:pStyle w:val="Textonotapie"/>
        <w:ind w:firstLine="709"/>
        <w:contextualSpacing/>
        <w:jc w:val="both"/>
        <w:rPr>
          <w:rFonts w:ascii="Arial" w:hAnsi="Arial" w:cs="Arial"/>
          <w:sz w:val="18"/>
          <w:szCs w:val="18"/>
          <w:lang w:val="es-ES"/>
        </w:rPr>
      </w:pPr>
    </w:p>
    <w:p w:rsidRPr="00847D2B" w:rsidR="00B7412F" w:rsidP="00B7412F" w:rsidRDefault="00B7412F" w14:paraId="242CAA07" w14:textId="77777777">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w:t>
      </w:r>
    </w:p>
    <w:p w:rsidRPr="00847D2B" w:rsidR="00B7412F" w:rsidP="00B7412F" w:rsidRDefault="00B7412F" w14:paraId="6083A4A2" w14:textId="77777777">
      <w:pPr>
        <w:pStyle w:val="Textonotapie"/>
        <w:ind w:firstLine="709"/>
        <w:contextualSpacing/>
        <w:jc w:val="both"/>
        <w:rPr>
          <w:rFonts w:ascii="Arial" w:hAnsi="Arial" w:cs="Arial"/>
          <w:sz w:val="18"/>
          <w:szCs w:val="18"/>
          <w:lang w:val="es-ES"/>
        </w:rPr>
      </w:pPr>
    </w:p>
    <w:p w:rsidRPr="00847D2B" w:rsidR="00B7412F" w:rsidP="00B7412F" w:rsidRDefault="00B7412F" w14:paraId="354FCFBE" w14:textId="77777777">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rsidRPr="00847D2B" w:rsidR="00B7412F" w:rsidP="00B7412F" w:rsidRDefault="00B7412F" w14:paraId="51E16D49" w14:textId="77777777">
      <w:pPr>
        <w:pStyle w:val="Textonotapie"/>
        <w:ind w:firstLine="709"/>
        <w:contextualSpacing/>
        <w:jc w:val="both"/>
        <w:rPr>
          <w:rFonts w:ascii="Arial" w:hAnsi="Arial" w:cs="Arial"/>
          <w:sz w:val="18"/>
          <w:szCs w:val="18"/>
          <w:lang w:val="es-ES"/>
        </w:rPr>
      </w:pPr>
    </w:p>
    <w:p w:rsidRPr="00847D2B" w:rsidR="00B7412F" w:rsidP="00B7412F" w:rsidRDefault="00B7412F" w14:paraId="502A6B60" w14:textId="77777777">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Las entidades estatales podrán pactar estas cláusulas en los contratos de suministro y de prestación de servicios.</w:t>
      </w:r>
    </w:p>
    <w:p w:rsidRPr="00847D2B" w:rsidR="00B7412F" w:rsidP="00B7412F" w:rsidRDefault="00B7412F" w14:paraId="06662442" w14:textId="77777777">
      <w:pPr>
        <w:pStyle w:val="Textonotapie"/>
        <w:ind w:firstLine="709"/>
        <w:contextualSpacing/>
        <w:jc w:val="both"/>
        <w:rPr>
          <w:rFonts w:ascii="Arial" w:hAnsi="Arial" w:cs="Arial"/>
          <w:sz w:val="18"/>
          <w:szCs w:val="18"/>
          <w:lang w:val="es-ES"/>
        </w:rPr>
      </w:pPr>
    </w:p>
    <w:p w:rsidRPr="00847D2B" w:rsidR="00B7412F" w:rsidP="00B7412F" w:rsidRDefault="00B7412F" w14:paraId="1789BE69" w14:textId="77777777">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w:t>
      </w:r>
    </w:p>
    <w:p w:rsidRPr="00847D2B" w:rsidR="00B7412F" w:rsidP="00B7412F" w:rsidRDefault="00B7412F" w14:paraId="1A5A9218" w14:textId="77777777">
      <w:pPr>
        <w:pStyle w:val="Textonotapie"/>
        <w:ind w:firstLine="709"/>
        <w:contextualSpacing/>
        <w:jc w:val="both"/>
        <w:rPr>
          <w:rFonts w:ascii="Arial" w:hAnsi="Arial" w:cs="Arial"/>
          <w:sz w:val="18"/>
          <w:szCs w:val="18"/>
          <w:lang w:val="es-ES"/>
        </w:rPr>
      </w:pPr>
    </w:p>
  </w:footnote>
  <w:footnote w:id="10">
    <w:p w:rsidRPr="00847D2B" w:rsidR="00B7412F" w:rsidP="00B7412F" w:rsidRDefault="00B7412F" w14:paraId="1FA3754B" w14:textId="77777777">
      <w:pPr>
        <w:pStyle w:val="Textonotapie"/>
        <w:ind w:firstLine="709"/>
        <w:contextualSpacing/>
        <w:jc w:val="both"/>
        <w:rPr>
          <w:rFonts w:ascii="Arial" w:hAnsi="Arial" w:cs="Arial"/>
          <w:sz w:val="18"/>
          <w:szCs w:val="18"/>
          <w:lang w:val="es-ES"/>
        </w:rPr>
      </w:pPr>
      <w:r w:rsidRPr="00847D2B">
        <w:rPr>
          <w:rStyle w:val="Refdenotaalpie"/>
          <w:rFonts w:ascii="Arial" w:hAnsi="Arial" w:cs="Arial"/>
          <w:sz w:val="18"/>
          <w:szCs w:val="18"/>
        </w:rPr>
        <w:footnoteRef/>
      </w:r>
      <w:r w:rsidRPr="00847D2B">
        <w:rPr>
          <w:rFonts w:ascii="Arial" w:hAnsi="Arial" w:cs="Arial"/>
          <w:sz w:val="18"/>
          <w:szCs w:val="18"/>
        </w:rPr>
        <w:t xml:space="preserve"> </w:t>
      </w:r>
      <w:r w:rsidRPr="00847D2B">
        <w:rPr>
          <w:rFonts w:ascii="Arial" w:hAnsi="Arial" w:cs="Arial"/>
          <w:sz w:val="18"/>
          <w:szCs w:val="18"/>
          <w:lang w:val="es-ES"/>
        </w:rPr>
        <w:t>La norma dispone: «La liquidación a que se refiere el presente artículo no será obligatoria en los contratos de prestación de servicios profesionales y de apoyo a la gestión».</w:t>
      </w:r>
    </w:p>
    <w:p w:rsidRPr="00847D2B" w:rsidR="00B7412F" w:rsidP="00B7412F" w:rsidRDefault="00B7412F" w14:paraId="5CD7782A" w14:textId="77777777">
      <w:pPr>
        <w:pStyle w:val="Textonotapie"/>
        <w:ind w:firstLine="709"/>
        <w:contextualSpacing/>
        <w:jc w:val="both"/>
        <w:rPr>
          <w:rFonts w:ascii="Arial" w:hAnsi="Arial" w:cs="Arial"/>
          <w:sz w:val="18"/>
          <w:szCs w:val="18"/>
          <w:lang w:val="es-ES"/>
        </w:rPr>
      </w:pPr>
    </w:p>
  </w:footnote>
  <w:footnote w:id="11">
    <w:p w:rsidRPr="00847D2B" w:rsidR="00B7412F" w:rsidP="00B7412F" w:rsidRDefault="00B7412F" w14:paraId="5129CCC2" w14:textId="77777777">
      <w:pPr>
        <w:pStyle w:val="Textonotapie"/>
        <w:ind w:firstLine="709"/>
        <w:contextualSpacing/>
        <w:jc w:val="both"/>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rsidRPr="00847D2B" w:rsidR="00B7412F" w:rsidP="00B7412F" w:rsidRDefault="00B7412F" w14:paraId="4BA0FEB9" w14:textId="77777777">
      <w:pPr>
        <w:pStyle w:val="Textonotapie"/>
        <w:ind w:firstLine="709"/>
        <w:contextualSpacing/>
        <w:jc w:val="both"/>
        <w:rPr>
          <w:rFonts w:ascii="Arial" w:hAnsi="Arial" w:cs="Arial"/>
          <w:sz w:val="18"/>
          <w:szCs w:val="18"/>
        </w:rPr>
      </w:pPr>
    </w:p>
    <w:p w:rsidRPr="00847D2B" w:rsidR="00B7412F" w:rsidP="00B7412F" w:rsidRDefault="00B7412F" w14:paraId="7A58EDA6" w14:textId="77777777">
      <w:pPr>
        <w:pStyle w:val="Textonotapie"/>
        <w:ind w:firstLine="709"/>
        <w:contextualSpacing/>
        <w:jc w:val="both"/>
        <w:rPr>
          <w:rFonts w:ascii="Arial" w:hAnsi="Arial" w:cs="Arial"/>
          <w:sz w:val="18"/>
          <w:szCs w:val="18"/>
        </w:rPr>
      </w:pPr>
      <w:r w:rsidRPr="00847D2B">
        <w:rPr>
          <w:rFonts w:ascii="Arial" w:hAnsi="Arial" w:cs="Arial"/>
          <w:sz w:val="18"/>
          <w:szCs w:val="18"/>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rsidRPr="00847D2B" w:rsidR="00B7412F" w:rsidP="00B7412F" w:rsidRDefault="00B7412F" w14:paraId="40A1EF78" w14:textId="77777777">
      <w:pPr>
        <w:pStyle w:val="Textonotapie"/>
        <w:ind w:firstLine="709"/>
        <w:contextualSpacing/>
        <w:jc w:val="both"/>
        <w:rPr>
          <w:rFonts w:ascii="Arial" w:hAnsi="Arial" w:cs="Arial"/>
          <w:sz w:val="18"/>
          <w:szCs w:val="18"/>
        </w:rPr>
      </w:pPr>
    </w:p>
    <w:p w:rsidRPr="00847D2B" w:rsidR="00B7412F" w:rsidP="00B7412F" w:rsidRDefault="00B7412F" w14:paraId="1F6C934E" w14:textId="77777777">
      <w:pPr>
        <w:pStyle w:val="Textonotapie"/>
        <w:ind w:firstLine="709"/>
        <w:contextualSpacing/>
        <w:jc w:val="both"/>
        <w:rPr>
          <w:rFonts w:ascii="Arial" w:hAnsi="Arial" w:cs="Arial"/>
          <w:sz w:val="18"/>
          <w:szCs w:val="18"/>
        </w:rPr>
      </w:pPr>
      <w:r w:rsidRPr="00847D2B">
        <w:rPr>
          <w:rFonts w:ascii="Arial" w:hAnsi="Arial" w:cs="Arial"/>
          <w:sz w:val="18"/>
          <w:szCs w:val="18"/>
        </w:rPr>
        <w:t>[…]».</w:t>
      </w:r>
    </w:p>
    <w:p w:rsidRPr="00847D2B" w:rsidR="00B7412F" w:rsidP="00B7412F" w:rsidRDefault="00B7412F" w14:paraId="235BE078" w14:textId="77777777">
      <w:pPr>
        <w:pStyle w:val="Textonotapie"/>
        <w:ind w:firstLine="709"/>
        <w:contextualSpacing/>
        <w:jc w:val="both"/>
        <w:rPr>
          <w:rFonts w:ascii="Arial" w:hAnsi="Arial" w:cs="Arial"/>
          <w:sz w:val="18"/>
          <w:szCs w:val="18"/>
          <w:lang w:val="es-ES"/>
        </w:rPr>
      </w:pPr>
    </w:p>
  </w:footnote>
  <w:footnote w:id="12">
    <w:p w:rsidRPr="00847D2B" w:rsidR="00B7412F" w:rsidP="00B7412F" w:rsidRDefault="00B7412F" w14:paraId="16BF19DD" w14:textId="77777777">
      <w:pPr>
        <w:pStyle w:val="Textonotapie"/>
        <w:ind w:firstLine="709"/>
        <w:contextualSpacing/>
        <w:jc w:val="both"/>
        <w:rPr>
          <w:rFonts w:ascii="Arial" w:hAnsi="Arial" w:cs="Arial"/>
          <w:sz w:val="18"/>
          <w:szCs w:val="18"/>
          <w:lang w:val="es-ES"/>
        </w:rPr>
      </w:pPr>
      <w:r w:rsidRPr="00847D2B">
        <w:rPr>
          <w:rStyle w:val="Refdenotaalpie"/>
          <w:rFonts w:ascii="Arial" w:hAnsi="Arial" w:cs="Arial"/>
          <w:sz w:val="18"/>
          <w:szCs w:val="18"/>
        </w:rPr>
        <w:footnoteRef/>
      </w:r>
      <w:r w:rsidRPr="00847D2B">
        <w:rPr>
          <w:rFonts w:ascii="Arial" w:hAnsi="Arial" w:cs="Arial"/>
          <w:sz w:val="18"/>
          <w:szCs w:val="18"/>
        </w:rPr>
        <w:t xml:space="preserve"> </w:t>
      </w:r>
      <w:r w:rsidRPr="00847D2B">
        <w:rPr>
          <w:rFonts w:ascii="Arial" w:hAnsi="Arial" w:cs="Arial"/>
          <w:sz w:val="18"/>
          <w:szCs w:val="18"/>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p w:rsidRPr="00847D2B" w:rsidR="00B7412F" w:rsidP="00B7412F" w:rsidRDefault="00B7412F" w14:paraId="3C4FE497" w14:textId="77777777">
      <w:pPr>
        <w:pStyle w:val="Textonotapie"/>
        <w:ind w:firstLine="709"/>
        <w:contextualSpacing/>
        <w:jc w:val="both"/>
        <w:rPr>
          <w:rFonts w:ascii="Arial" w:hAnsi="Arial" w:cs="Arial"/>
          <w:sz w:val="18"/>
          <w:szCs w:val="18"/>
          <w:lang w:val="es-ES"/>
        </w:rPr>
      </w:pPr>
    </w:p>
  </w:footnote>
  <w:footnote w:id="13">
    <w:p w:rsidRPr="00847D2B" w:rsidR="00B7412F" w:rsidP="00B7412F" w:rsidRDefault="00B7412F" w14:paraId="60013C43" w14:textId="77777777">
      <w:pPr>
        <w:pStyle w:val="Textonotapie"/>
        <w:ind w:firstLine="709"/>
        <w:contextualSpacing/>
        <w:jc w:val="both"/>
        <w:rPr>
          <w:rFonts w:ascii="Arial" w:hAnsi="Arial" w:cs="Arial"/>
          <w:sz w:val="18"/>
          <w:szCs w:val="18"/>
          <w:lang w:val="es-ES"/>
        </w:rPr>
      </w:pPr>
      <w:r w:rsidRPr="00847D2B">
        <w:rPr>
          <w:rStyle w:val="Refdenotaalpie"/>
          <w:rFonts w:ascii="Arial" w:hAnsi="Arial" w:cs="Arial"/>
          <w:sz w:val="18"/>
          <w:szCs w:val="18"/>
        </w:rPr>
        <w:footnoteRef/>
      </w:r>
      <w:r w:rsidRPr="00847D2B">
        <w:rPr>
          <w:rFonts w:ascii="Arial" w:hAnsi="Arial" w:cs="Arial"/>
          <w:sz w:val="18"/>
          <w:szCs w:val="18"/>
        </w:rPr>
        <w:t xml:space="preserve"> </w:t>
      </w:r>
      <w:r w:rsidRPr="00847D2B">
        <w:rPr>
          <w:rFonts w:ascii="Arial" w:hAnsi="Arial" w:cs="Arial"/>
          <w:sz w:val="18"/>
          <w:szCs w:val="18"/>
          <w:lang w:val="es-ES"/>
        </w:rPr>
        <w:t>El Decreto 1082 de 2015 lo establece de la siguiente manera: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rsidRPr="00847D2B" w:rsidR="00B7412F" w:rsidP="00B7412F" w:rsidRDefault="00B7412F" w14:paraId="2A71B427" w14:textId="77777777">
      <w:pPr>
        <w:pStyle w:val="Textonotapie"/>
        <w:ind w:firstLine="709"/>
        <w:contextualSpacing/>
        <w:jc w:val="both"/>
        <w:rPr>
          <w:rFonts w:ascii="Arial" w:hAnsi="Arial" w:cs="Arial"/>
          <w:sz w:val="18"/>
          <w:szCs w:val="18"/>
          <w:lang w:val="es-ES"/>
        </w:rPr>
      </w:pPr>
    </w:p>
    <w:p w:rsidRPr="00847D2B" w:rsidR="00B7412F" w:rsidP="00B7412F" w:rsidRDefault="00B7412F" w14:paraId="6718FF87" w14:textId="77777777">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rsidRPr="00847D2B" w:rsidR="00B7412F" w:rsidP="00B7412F" w:rsidRDefault="00B7412F" w14:paraId="450FC332" w14:textId="77777777">
      <w:pPr>
        <w:pStyle w:val="Textonotapie"/>
        <w:ind w:firstLine="709"/>
        <w:contextualSpacing/>
        <w:jc w:val="both"/>
        <w:rPr>
          <w:rFonts w:ascii="Arial" w:hAnsi="Arial" w:cs="Arial"/>
          <w:sz w:val="18"/>
          <w:szCs w:val="18"/>
          <w:lang w:val="es-ES"/>
        </w:rPr>
      </w:pPr>
    </w:p>
    <w:p w:rsidRPr="00847D2B" w:rsidR="00B7412F" w:rsidP="00B7412F" w:rsidRDefault="00B7412F" w14:paraId="08C03740" w14:textId="77777777">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»La Entidad Estatal, para la contratación de trabajos artísticos que solamente puedan en</w:t>
      </w:r>
      <w:r w:rsidRPr="00847D2B">
        <w:rPr>
          <w:rFonts w:ascii="Arial" w:hAnsi="Arial" w:cs="Arial"/>
          <w:sz w:val="18"/>
          <w:szCs w:val="18"/>
          <w:lang w:val="es-ES"/>
        </w:rPr>
        <w:softHyphen/>
        <w:t>comendarse a determinadas personas naturales, debe justificar esta situación en los estudios y documentos previos».</w:t>
      </w:r>
    </w:p>
    <w:p w:rsidRPr="00847D2B" w:rsidR="00B7412F" w:rsidP="00B7412F" w:rsidRDefault="00B7412F" w14:paraId="51143CCF" w14:textId="77777777">
      <w:pPr>
        <w:pStyle w:val="Textonotapie"/>
        <w:ind w:firstLine="709"/>
        <w:contextualSpacing/>
        <w:jc w:val="both"/>
        <w:rPr>
          <w:rFonts w:ascii="Arial" w:hAnsi="Arial" w:cs="Arial"/>
          <w:sz w:val="18"/>
          <w:szCs w:val="18"/>
          <w:lang w:val="es-ES"/>
        </w:rPr>
      </w:pPr>
    </w:p>
  </w:footnote>
  <w:footnote w:id="14">
    <w:p w:rsidRPr="00847D2B" w:rsidR="00B7412F" w:rsidP="00B7412F" w:rsidRDefault="00B7412F" w14:paraId="106DB1A3" w14:textId="77777777">
      <w:pPr>
        <w:pStyle w:val="Textonotapie"/>
        <w:ind w:firstLine="709"/>
        <w:contextualSpacing/>
        <w:jc w:val="both"/>
        <w:rPr>
          <w:rFonts w:ascii="Arial" w:hAnsi="Arial" w:cs="Arial"/>
          <w:sz w:val="18"/>
          <w:szCs w:val="18"/>
          <w:lang w:val="es-ES"/>
        </w:rPr>
      </w:pPr>
      <w:r w:rsidRPr="00847D2B">
        <w:rPr>
          <w:rStyle w:val="Refdenotaalpie"/>
          <w:rFonts w:ascii="Arial" w:hAnsi="Arial" w:cs="Arial"/>
          <w:sz w:val="18"/>
          <w:szCs w:val="18"/>
        </w:rPr>
        <w:footnoteRef/>
      </w:r>
      <w:r w:rsidRPr="00847D2B">
        <w:rPr>
          <w:rFonts w:ascii="Arial" w:hAnsi="Arial" w:cs="Arial"/>
          <w:sz w:val="18"/>
          <w:szCs w:val="18"/>
        </w:rPr>
        <w:t xml:space="preserve"> </w:t>
      </w:r>
      <w:r w:rsidRPr="00847D2B">
        <w:rPr>
          <w:rFonts w:ascii="Arial" w:hAnsi="Arial" w:cs="Arial"/>
          <w:sz w:val="18"/>
          <w:szCs w:val="18"/>
          <w:lang w:val="es-ES"/>
        </w:rPr>
        <w:t>CONSEJO DE ESTADO. Sección Tercera. Subsección C. Sentencia de Unificación del 2 de diciembre de 2013. Exp. 41.719. C.P. Jaime Orlando Santofimio Gamboa.</w:t>
      </w:r>
    </w:p>
    <w:p w:rsidRPr="00847D2B" w:rsidR="00B7412F" w:rsidP="00B7412F" w:rsidRDefault="00B7412F" w14:paraId="5B4464EC" w14:textId="77777777">
      <w:pPr>
        <w:pStyle w:val="Textonotapie"/>
        <w:ind w:firstLine="709"/>
        <w:contextualSpacing/>
        <w:jc w:val="both"/>
        <w:rPr>
          <w:rFonts w:ascii="Arial" w:hAnsi="Arial" w:cs="Arial"/>
          <w:sz w:val="18"/>
          <w:szCs w:val="18"/>
          <w:lang w:val="es-ES"/>
        </w:rPr>
      </w:pPr>
    </w:p>
  </w:footnote>
  <w:footnote w:id="15">
    <w:p w:rsidRPr="00847D2B" w:rsidR="00B7412F" w:rsidP="00B7412F" w:rsidRDefault="00B7412F" w14:paraId="69E0A01A" w14:textId="77777777">
      <w:pPr>
        <w:pStyle w:val="Textonotapie"/>
        <w:ind w:firstLine="709"/>
        <w:contextualSpacing/>
        <w:jc w:val="both"/>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En igual sentido se pronunció la Corte Suprema de Justicia. Sala de Casación Civil. En Sentencia del 30 de agosto de 2011, M.P. William Namén Vargas. Rad. 1999-01957: «La renovación no se confunde con la prórroga del contrato, ‘el renovado es uno nuevo’ (Corte Suprema de Justicia, Sala Plena, sentencia de 20 de noviembre de 1971, CXXXVIII, 482 y ss; cas. civ. sentencias de 24 de septiembre de 1985 CLXXX, 431; 31 de octubre de 1994, exp. 3868; 7 de julio de 1998, rad. 10825; 8 de octubre de 1997, exp. 4818; 27 de julio de 2001, exp. 5860; 24 de septiembre de 2001, exp. 5876, 14 de abril de 2008, 2001 00082 01), y el prorrogado el mismo. La prórroga mantiene idéntico el contrato, no se presenta más sino por acuerdo anterior al vencimiento del plazo y lo continúa en las condiciones primarias por un período igual (artículos 218 [1], 520, 829, 1425 [“prorrogado por un período igual”], 1510, 1685, 1686, 1712, 1891C. de Co)». (corchetes y paréntesis propios del original). </w:t>
      </w:r>
    </w:p>
    <w:p w:rsidRPr="00847D2B" w:rsidR="00B7412F" w:rsidP="00B7412F" w:rsidRDefault="00B7412F" w14:paraId="696AF4A3" w14:textId="77777777">
      <w:pPr>
        <w:pStyle w:val="Textonotapie"/>
        <w:ind w:firstLine="709"/>
        <w:contextualSpacing/>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15FB5" w:rsidP="00515FB5" w:rsidRDefault="00515FB5" w14:paraId="72849537" w14:textId="2A6D5254">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p>
  <w:p w:rsidR="00515FB5" w:rsidP="00515FB5" w:rsidRDefault="00515FB5" w14:paraId="635D63E7" w14:textId="77777777">
    <w:pPr>
      <w:pStyle w:val="Encabezado"/>
    </w:pPr>
  </w:p>
  <w:p w:rsidR="00515FB5" w:rsidP="00515FB5" w:rsidRDefault="00515FB5" w14:paraId="10CE77C0" w14:textId="77777777">
    <w:pPr>
      <w:pStyle w:val="Encabezado"/>
    </w:pPr>
  </w:p>
  <w:p w:rsidR="00515FB5" w:rsidP="00515FB5" w:rsidRDefault="00515FB5" w14:paraId="5BD4CAA1" w14:textId="77777777">
    <w:pPr>
      <w:pStyle w:val="Encabezado"/>
    </w:pPr>
  </w:p>
  <w:p w:rsidRPr="00AB7B56" w:rsidR="00515FB5" w:rsidP="00515FB5" w:rsidRDefault="00515FB5" w14:paraId="0D6E6014" w14:textId="77777777">
    <w:pPr>
      <w:pStyle w:val="Encabezado"/>
    </w:pPr>
  </w:p>
  <w:p w:rsidRPr="00515FB5" w:rsidR="00B30448" w:rsidP="00515FB5" w:rsidRDefault="00B30448" w14:paraId="68E0C024"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pPr>
      <w:rPr>
        <w:rFonts w:hint="default" w:ascii="Arial" w:hAnsi="Arial" w:eastAsia="Arial" w:cs="Arial"/>
        <w:b/>
        <w:bCs/>
        <w:w w:val="100"/>
        <w:sz w:val="22"/>
        <w:szCs w:val="22"/>
        <w:lang w:val="es-ES" w:eastAsia="en-US" w:bidi="ar-SA"/>
      </w:rPr>
    </w:lvl>
    <w:lvl w:ilvl="1">
      <w:start w:val="1"/>
      <w:numFmt w:val="decimal"/>
      <w:lvlText w:val="%1.%2."/>
      <w:lvlJc w:val="left"/>
      <w:pPr>
        <w:ind w:left="529" w:hanging="430"/>
      </w:pPr>
      <w:rPr>
        <w:rFonts w:hint="default" w:ascii="Arial" w:hAnsi="Arial" w:eastAsia="Arial" w:cs="Arial"/>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318E5EF0"/>
    <w:multiLevelType w:val="hybridMultilevel"/>
    <w:tmpl w:val="BAEA2E58"/>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5"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9D726F5"/>
    <w:multiLevelType w:val="hybridMultilevel"/>
    <w:tmpl w:val="7BDC1A1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7" w15:restartNumberingAfterBreak="0">
    <w:nsid w:val="4AA7326E"/>
    <w:multiLevelType w:val="multilevel"/>
    <w:tmpl w:val="5CE2D418"/>
    <w:lvl w:ilvl="0">
      <w:start w:val="1"/>
      <w:numFmt w:val="decimal"/>
      <w:lvlText w:val="%1."/>
      <w:lvlJc w:val="left"/>
      <w:pPr>
        <w:ind w:left="480" w:hanging="360"/>
      </w:pPr>
      <w:rPr>
        <w:rFonts w:hint="default" w:ascii="Arial" w:hAnsi="Arial" w:eastAsia="Arial" w:cs="Arial"/>
        <w:b/>
        <w:bCs/>
        <w:color w:val="4E4D4D"/>
        <w:spacing w:val="-8"/>
        <w:w w:val="100"/>
        <w:sz w:val="22"/>
        <w:szCs w:val="22"/>
        <w:lang w:val="es-ES" w:eastAsia="en-US" w:bidi="ar-SA"/>
      </w:rPr>
    </w:lvl>
    <w:lvl w:ilvl="1">
      <w:start w:val="1"/>
      <w:numFmt w:val="decimal"/>
      <w:lvlText w:val="%1.%2"/>
      <w:lvlJc w:val="left"/>
      <w:pPr>
        <w:ind w:left="688" w:hanging="578"/>
      </w:pPr>
      <w:rPr>
        <w:rFonts w:hint="default" w:ascii="Arial" w:hAnsi="Arial" w:eastAsia="Arial" w:cs="Arial"/>
        <w:b/>
        <w:bCs/>
        <w:color w:val="4E4D4D"/>
        <w:spacing w:val="-3"/>
        <w:w w:val="100"/>
        <w:sz w:val="22"/>
        <w:szCs w:val="22"/>
        <w:lang w:val="es-ES" w:eastAsia="en-US" w:bidi="ar-SA"/>
      </w:rPr>
    </w:lvl>
    <w:lvl w:ilvl="2">
      <w:start w:val="1"/>
      <w:numFmt w:val="lowerLetter"/>
      <w:lvlText w:val="%3)"/>
      <w:lvlJc w:val="left"/>
      <w:pPr>
        <w:ind w:left="800" w:hanging="325"/>
      </w:pPr>
      <w:rPr>
        <w:rFonts w:hint="default" w:ascii="Arial" w:hAnsi="Arial" w:eastAsia="Arial" w:cs="Arial"/>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8" w15:restartNumberingAfterBreak="0">
    <w:nsid w:val="54290360"/>
    <w:multiLevelType w:val="hybridMultilevel"/>
    <w:tmpl w:val="35988BE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 w15:restartNumberingAfterBreak="0">
    <w:nsid w:val="597E7732"/>
    <w:multiLevelType w:val="hybridMultilevel"/>
    <w:tmpl w:val="15583C0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5CC8363F"/>
    <w:multiLevelType w:val="hybridMultilevel"/>
    <w:tmpl w:val="BD96C63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6E895A2E"/>
    <w:multiLevelType w:val="hybridMultilevel"/>
    <w:tmpl w:val="A52C0E4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 w15:restartNumberingAfterBreak="0">
    <w:nsid w:val="7825752D"/>
    <w:multiLevelType w:val="hybridMultilevel"/>
    <w:tmpl w:val="E23A8282"/>
    <w:lvl w:ilvl="0" w:tplc="99E6A860">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1290670214">
    <w:abstractNumId w:val="5"/>
  </w:num>
  <w:num w:numId="2" w16cid:durableId="4285022">
    <w:abstractNumId w:val="2"/>
  </w:num>
  <w:num w:numId="3" w16cid:durableId="881983949">
    <w:abstractNumId w:val="3"/>
  </w:num>
  <w:num w:numId="4" w16cid:durableId="341274352">
    <w:abstractNumId w:val="0"/>
  </w:num>
  <w:num w:numId="5" w16cid:durableId="1887524674">
    <w:abstractNumId w:val="7"/>
  </w:num>
  <w:num w:numId="6" w16cid:durableId="1082990391">
    <w:abstractNumId w:val="1"/>
  </w:num>
  <w:num w:numId="7" w16cid:durableId="1492209491">
    <w:abstractNumId w:val="4"/>
  </w:num>
  <w:num w:numId="8" w16cid:durableId="679089576">
    <w:abstractNumId w:val="6"/>
  </w:num>
  <w:num w:numId="9" w16cid:durableId="1995644544">
    <w:abstractNumId w:val="9"/>
  </w:num>
  <w:num w:numId="10" w16cid:durableId="1264656397">
    <w:abstractNumId w:val="8"/>
  </w:num>
  <w:num w:numId="11" w16cid:durableId="736322695">
    <w:abstractNumId w:val="10"/>
  </w:num>
  <w:num w:numId="12" w16cid:durableId="462388624">
    <w:abstractNumId w:val="12"/>
  </w:num>
  <w:num w:numId="13" w16cid:durableId="4619691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5BB0"/>
    <w:rsid w:val="0001025F"/>
    <w:rsid w:val="00011A77"/>
    <w:rsid w:val="0001222D"/>
    <w:rsid w:val="000135EB"/>
    <w:rsid w:val="00015D2B"/>
    <w:rsid w:val="00023823"/>
    <w:rsid w:val="00027907"/>
    <w:rsid w:val="00031584"/>
    <w:rsid w:val="00032A0E"/>
    <w:rsid w:val="00037347"/>
    <w:rsid w:val="00040A35"/>
    <w:rsid w:val="000442CC"/>
    <w:rsid w:val="000556D4"/>
    <w:rsid w:val="000716AB"/>
    <w:rsid w:val="00082E4C"/>
    <w:rsid w:val="000849D5"/>
    <w:rsid w:val="0008528F"/>
    <w:rsid w:val="00090E20"/>
    <w:rsid w:val="000A6E0C"/>
    <w:rsid w:val="000A7A56"/>
    <w:rsid w:val="000B1FF7"/>
    <w:rsid w:val="000B2513"/>
    <w:rsid w:val="000B4024"/>
    <w:rsid w:val="000B5FFE"/>
    <w:rsid w:val="000C3C51"/>
    <w:rsid w:val="000C7262"/>
    <w:rsid w:val="000D2A7F"/>
    <w:rsid w:val="000D49FB"/>
    <w:rsid w:val="000D4FCE"/>
    <w:rsid w:val="000E670C"/>
    <w:rsid w:val="000F2DCB"/>
    <w:rsid w:val="001079A9"/>
    <w:rsid w:val="0011037E"/>
    <w:rsid w:val="001363C7"/>
    <w:rsid w:val="00141AC5"/>
    <w:rsid w:val="00146B11"/>
    <w:rsid w:val="00147A04"/>
    <w:rsid w:val="0015476D"/>
    <w:rsid w:val="00161E13"/>
    <w:rsid w:val="00164AE0"/>
    <w:rsid w:val="00165E83"/>
    <w:rsid w:val="00166CD7"/>
    <w:rsid w:val="0017120C"/>
    <w:rsid w:val="00172F3A"/>
    <w:rsid w:val="0019532A"/>
    <w:rsid w:val="0019670E"/>
    <w:rsid w:val="00197205"/>
    <w:rsid w:val="001A5DD4"/>
    <w:rsid w:val="001A67E9"/>
    <w:rsid w:val="001B143B"/>
    <w:rsid w:val="001B21CA"/>
    <w:rsid w:val="001B5566"/>
    <w:rsid w:val="001C04FC"/>
    <w:rsid w:val="001C25A3"/>
    <w:rsid w:val="001C5D03"/>
    <w:rsid w:val="001C7771"/>
    <w:rsid w:val="001D62FF"/>
    <w:rsid w:val="001E2B8E"/>
    <w:rsid w:val="001E5CC4"/>
    <w:rsid w:val="001F3F48"/>
    <w:rsid w:val="002000AA"/>
    <w:rsid w:val="00204109"/>
    <w:rsid w:val="0021026D"/>
    <w:rsid w:val="00211E6E"/>
    <w:rsid w:val="00212A46"/>
    <w:rsid w:val="0021401D"/>
    <w:rsid w:val="002146B8"/>
    <w:rsid w:val="00215516"/>
    <w:rsid w:val="00244C79"/>
    <w:rsid w:val="002527C2"/>
    <w:rsid w:val="00270443"/>
    <w:rsid w:val="00270EE2"/>
    <w:rsid w:val="00272972"/>
    <w:rsid w:val="0028252D"/>
    <w:rsid w:val="00285F49"/>
    <w:rsid w:val="00286491"/>
    <w:rsid w:val="002A097D"/>
    <w:rsid w:val="002A0F8D"/>
    <w:rsid w:val="002B6E44"/>
    <w:rsid w:val="002D5318"/>
    <w:rsid w:val="002D580F"/>
    <w:rsid w:val="002E1DB5"/>
    <w:rsid w:val="002F3468"/>
    <w:rsid w:val="002F6CCB"/>
    <w:rsid w:val="00300925"/>
    <w:rsid w:val="0030461E"/>
    <w:rsid w:val="0032756A"/>
    <w:rsid w:val="00334EF8"/>
    <w:rsid w:val="00336408"/>
    <w:rsid w:val="00340DFB"/>
    <w:rsid w:val="0034404F"/>
    <w:rsid w:val="003471E6"/>
    <w:rsid w:val="00356980"/>
    <w:rsid w:val="003639DA"/>
    <w:rsid w:val="00367462"/>
    <w:rsid w:val="00371ECA"/>
    <w:rsid w:val="00372748"/>
    <w:rsid w:val="0037332A"/>
    <w:rsid w:val="0038151A"/>
    <w:rsid w:val="0039082A"/>
    <w:rsid w:val="00390C21"/>
    <w:rsid w:val="003A37BD"/>
    <w:rsid w:val="003B6D94"/>
    <w:rsid w:val="003C0DF9"/>
    <w:rsid w:val="003C4C96"/>
    <w:rsid w:val="003C55E0"/>
    <w:rsid w:val="003D7CE0"/>
    <w:rsid w:val="003E36FF"/>
    <w:rsid w:val="003F519B"/>
    <w:rsid w:val="00404EAA"/>
    <w:rsid w:val="0040544F"/>
    <w:rsid w:val="00406A19"/>
    <w:rsid w:val="0041222D"/>
    <w:rsid w:val="0041483E"/>
    <w:rsid w:val="00415369"/>
    <w:rsid w:val="004221C8"/>
    <w:rsid w:val="00430492"/>
    <w:rsid w:val="00432FFE"/>
    <w:rsid w:val="00437D03"/>
    <w:rsid w:val="0044773D"/>
    <w:rsid w:val="00450BE7"/>
    <w:rsid w:val="0046741E"/>
    <w:rsid w:val="00472CC6"/>
    <w:rsid w:val="0048026E"/>
    <w:rsid w:val="004807A9"/>
    <w:rsid w:val="004813EE"/>
    <w:rsid w:val="00484FBA"/>
    <w:rsid w:val="00493278"/>
    <w:rsid w:val="004943D9"/>
    <w:rsid w:val="004A0E7B"/>
    <w:rsid w:val="004A3498"/>
    <w:rsid w:val="004B0C45"/>
    <w:rsid w:val="004C0AB2"/>
    <w:rsid w:val="004C1619"/>
    <w:rsid w:val="004C1A26"/>
    <w:rsid w:val="004C1CC9"/>
    <w:rsid w:val="004C3755"/>
    <w:rsid w:val="004C4485"/>
    <w:rsid w:val="004D11AF"/>
    <w:rsid w:val="00500DFA"/>
    <w:rsid w:val="005019AA"/>
    <w:rsid w:val="005021BB"/>
    <w:rsid w:val="005139E7"/>
    <w:rsid w:val="005147DA"/>
    <w:rsid w:val="00515FB5"/>
    <w:rsid w:val="005207F7"/>
    <w:rsid w:val="0052365C"/>
    <w:rsid w:val="005271EB"/>
    <w:rsid w:val="005426DB"/>
    <w:rsid w:val="0055082B"/>
    <w:rsid w:val="00552503"/>
    <w:rsid w:val="00552B57"/>
    <w:rsid w:val="00557DA1"/>
    <w:rsid w:val="0056322C"/>
    <w:rsid w:val="00586562"/>
    <w:rsid w:val="0058743A"/>
    <w:rsid w:val="005A4DB0"/>
    <w:rsid w:val="005A7B8E"/>
    <w:rsid w:val="005B012B"/>
    <w:rsid w:val="005B0C87"/>
    <w:rsid w:val="005C273B"/>
    <w:rsid w:val="005C4978"/>
    <w:rsid w:val="005D23F6"/>
    <w:rsid w:val="005D2FA8"/>
    <w:rsid w:val="005E2281"/>
    <w:rsid w:val="005E667C"/>
    <w:rsid w:val="005F077C"/>
    <w:rsid w:val="005F50D7"/>
    <w:rsid w:val="005F5F33"/>
    <w:rsid w:val="005F63D0"/>
    <w:rsid w:val="005F7973"/>
    <w:rsid w:val="00606D1F"/>
    <w:rsid w:val="0061690E"/>
    <w:rsid w:val="00627361"/>
    <w:rsid w:val="0063017E"/>
    <w:rsid w:val="00631B28"/>
    <w:rsid w:val="006450EE"/>
    <w:rsid w:val="00645B90"/>
    <w:rsid w:val="00650991"/>
    <w:rsid w:val="006511D7"/>
    <w:rsid w:val="00660EB5"/>
    <w:rsid w:val="00663D75"/>
    <w:rsid w:val="0066531E"/>
    <w:rsid w:val="00670AEF"/>
    <w:rsid w:val="00673FF4"/>
    <w:rsid w:val="00675678"/>
    <w:rsid w:val="00676A8B"/>
    <w:rsid w:val="00677012"/>
    <w:rsid w:val="006825B4"/>
    <w:rsid w:val="00682AF2"/>
    <w:rsid w:val="006864DF"/>
    <w:rsid w:val="006A1D37"/>
    <w:rsid w:val="006A3C8A"/>
    <w:rsid w:val="006A7552"/>
    <w:rsid w:val="006B5953"/>
    <w:rsid w:val="006B7A81"/>
    <w:rsid w:val="006C4BAC"/>
    <w:rsid w:val="006C52F3"/>
    <w:rsid w:val="006D702C"/>
    <w:rsid w:val="006E1F18"/>
    <w:rsid w:val="006E7F37"/>
    <w:rsid w:val="006F3B81"/>
    <w:rsid w:val="006F4F79"/>
    <w:rsid w:val="00705B37"/>
    <w:rsid w:val="00711FD9"/>
    <w:rsid w:val="00735062"/>
    <w:rsid w:val="00745400"/>
    <w:rsid w:val="00746BA5"/>
    <w:rsid w:val="00751D23"/>
    <w:rsid w:val="00770577"/>
    <w:rsid w:val="00777666"/>
    <w:rsid w:val="0078159B"/>
    <w:rsid w:val="0078296B"/>
    <w:rsid w:val="00782E10"/>
    <w:rsid w:val="0078706B"/>
    <w:rsid w:val="00790836"/>
    <w:rsid w:val="00797131"/>
    <w:rsid w:val="007A3C1D"/>
    <w:rsid w:val="007B285D"/>
    <w:rsid w:val="007C6BC6"/>
    <w:rsid w:val="00807D79"/>
    <w:rsid w:val="00813634"/>
    <w:rsid w:val="00822821"/>
    <w:rsid w:val="00831C29"/>
    <w:rsid w:val="008430A8"/>
    <w:rsid w:val="008431EA"/>
    <w:rsid w:val="008431EF"/>
    <w:rsid w:val="008468E0"/>
    <w:rsid w:val="00865FBA"/>
    <w:rsid w:val="00871B59"/>
    <w:rsid w:val="00876251"/>
    <w:rsid w:val="00877D03"/>
    <w:rsid w:val="00877E96"/>
    <w:rsid w:val="008806CA"/>
    <w:rsid w:val="008815E5"/>
    <w:rsid w:val="00881D8B"/>
    <w:rsid w:val="00887B37"/>
    <w:rsid w:val="008909B9"/>
    <w:rsid w:val="00891DFC"/>
    <w:rsid w:val="008B12B4"/>
    <w:rsid w:val="008B7914"/>
    <w:rsid w:val="008C5D2A"/>
    <w:rsid w:val="008C7AF4"/>
    <w:rsid w:val="008D1EB8"/>
    <w:rsid w:val="008D529F"/>
    <w:rsid w:val="008F02FB"/>
    <w:rsid w:val="008F5CC8"/>
    <w:rsid w:val="009061B8"/>
    <w:rsid w:val="0091008B"/>
    <w:rsid w:val="00911EA2"/>
    <w:rsid w:val="00916C7D"/>
    <w:rsid w:val="00923D6E"/>
    <w:rsid w:val="0092575D"/>
    <w:rsid w:val="009341DA"/>
    <w:rsid w:val="009430F9"/>
    <w:rsid w:val="009442E8"/>
    <w:rsid w:val="009457B6"/>
    <w:rsid w:val="00946BD0"/>
    <w:rsid w:val="00951593"/>
    <w:rsid w:val="0095426C"/>
    <w:rsid w:val="00962196"/>
    <w:rsid w:val="00970087"/>
    <w:rsid w:val="00971074"/>
    <w:rsid w:val="00987B8D"/>
    <w:rsid w:val="00995D86"/>
    <w:rsid w:val="009A5453"/>
    <w:rsid w:val="009B1186"/>
    <w:rsid w:val="009B4D94"/>
    <w:rsid w:val="009C2871"/>
    <w:rsid w:val="009D2600"/>
    <w:rsid w:val="009D3C33"/>
    <w:rsid w:val="009D7F3A"/>
    <w:rsid w:val="009E4885"/>
    <w:rsid w:val="009F5A6D"/>
    <w:rsid w:val="00A03E81"/>
    <w:rsid w:val="00A07DB6"/>
    <w:rsid w:val="00A10A73"/>
    <w:rsid w:val="00A170B3"/>
    <w:rsid w:val="00A223D5"/>
    <w:rsid w:val="00A37D1C"/>
    <w:rsid w:val="00A5453E"/>
    <w:rsid w:val="00A55848"/>
    <w:rsid w:val="00A558E2"/>
    <w:rsid w:val="00A56F6C"/>
    <w:rsid w:val="00A679CB"/>
    <w:rsid w:val="00A76C8C"/>
    <w:rsid w:val="00A85F30"/>
    <w:rsid w:val="00A9099E"/>
    <w:rsid w:val="00A91FB7"/>
    <w:rsid w:val="00A9298F"/>
    <w:rsid w:val="00AA0351"/>
    <w:rsid w:val="00AA0DA9"/>
    <w:rsid w:val="00AA132B"/>
    <w:rsid w:val="00AA5F4A"/>
    <w:rsid w:val="00AB1984"/>
    <w:rsid w:val="00AB52B1"/>
    <w:rsid w:val="00AC1CAB"/>
    <w:rsid w:val="00AC4CB3"/>
    <w:rsid w:val="00AC780D"/>
    <w:rsid w:val="00AD036B"/>
    <w:rsid w:val="00AD1996"/>
    <w:rsid w:val="00AD4099"/>
    <w:rsid w:val="00AD4901"/>
    <w:rsid w:val="00AE5EC3"/>
    <w:rsid w:val="00B02FE0"/>
    <w:rsid w:val="00B057B6"/>
    <w:rsid w:val="00B118C5"/>
    <w:rsid w:val="00B30448"/>
    <w:rsid w:val="00B34786"/>
    <w:rsid w:val="00B400EC"/>
    <w:rsid w:val="00B40162"/>
    <w:rsid w:val="00B41ACE"/>
    <w:rsid w:val="00B50156"/>
    <w:rsid w:val="00B518AD"/>
    <w:rsid w:val="00B60A96"/>
    <w:rsid w:val="00B678EC"/>
    <w:rsid w:val="00B73DDD"/>
    <w:rsid w:val="00B7412F"/>
    <w:rsid w:val="00B76C94"/>
    <w:rsid w:val="00B772D0"/>
    <w:rsid w:val="00B836EA"/>
    <w:rsid w:val="00B84C05"/>
    <w:rsid w:val="00B91B81"/>
    <w:rsid w:val="00B97135"/>
    <w:rsid w:val="00BB3072"/>
    <w:rsid w:val="00BC7632"/>
    <w:rsid w:val="00BD48A9"/>
    <w:rsid w:val="00BD630F"/>
    <w:rsid w:val="00BD7EC6"/>
    <w:rsid w:val="00BE3E91"/>
    <w:rsid w:val="00BE45FE"/>
    <w:rsid w:val="00BE73FA"/>
    <w:rsid w:val="00BF5C2A"/>
    <w:rsid w:val="00BF6B4B"/>
    <w:rsid w:val="00BF6E77"/>
    <w:rsid w:val="00C0511C"/>
    <w:rsid w:val="00C20ACF"/>
    <w:rsid w:val="00C22307"/>
    <w:rsid w:val="00C23469"/>
    <w:rsid w:val="00C30C62"/>
    <w:rsid w:val="00C315BE"/>
    <w:rsid w:val="00C371DF"/>
    <w:rsid w:val="00C42055"/>
    <w:rsid w:val="00C44B4C"/>
    <w:rsid w:val="00C46734"/>
    <w:rsid w:val="00C47A86"/>
    <w:rsid w:val="00C53220"/>
    <w:rsid w:val="00CA3347"/>
    <w:rsid w:val="00CA41EF"/>
    <w:rsid w:val="00CB28AD"/>
    <w:rsid w:val="00CC299A"/>
    <w:rsid w:val="00CD03E3"/>
    <w:rsid w:val="00CD3DF5"/>
    <w:rsid w:val="00CE6BDA"/>
    <w:rsid w:val="00D03DBE"/>
    <w:rsid w:val="00D072C0"/>
    <w:rsid w:val="00D131D2"/>
    <w:rsid w:val="00D34C82"/>
    <w:rsid w:val="00D3757A"/>
    <w:rsid w:val="00D504A9"/>
    <w:rsid w:val="00D5206D"/>
    <w:rsid w:val="00D53CEB"/>
    <w:rsid w:val="00D7177D"/>
    <w:rsid w:val="00D81311"/>
    <w:rsid w:val="00DB201E"/>
    <w:rsid w:val="00DB5D94"/>
    <w:rsid w:val="00DC0E68"/>
    <w:rsid w:val="00DC5D8C"/>
    <w:rsid w:val="00DC744B"/>
    <w:rsid w:val="00DD25ED"/>
    <w:rsid w:val="00DE0D6E"/>
    <w:rsid w:val="00DE3E5A"/>
    <w:rsid w:val="00E1610C"/>
    <w:rsid w:val="00E16D73"/>
    <w:rsid w:val="00E23E9E"/>
    <w:rsid w:val="00E25722"/>
    <w:rsid w:val="00E27F0A"/>
    <w:rsid w:val="00E4231E"/>
    <w:rsid w:val="00E4302C"/>
    <w:rsid w:val="00E44AC7"/>
    <w:rsid w:val="00E45F4B"/>
    <w:rsid w:val="00E50E08"/>
    <w:rsid w:val="00E60A16"/>
    <w:rsid w:val="00E70DCF"/>
    <w:rsid w:val="00E82B6E"/>
    <w:rsid w:val="00E83657"/>
    <w:rsid w:val="00E92110"/>
    <w:rsid w:val="00E94258"/>
    <w:rsid w:val="00E96C18"/>
    <w:rsid w:val="00EA2E61"/>
    <w:rsid w:val="00EA7D7F"/>
    <w:rsid w:val="00EB02F4"/>
    <w:rsid w:val="00EB2FA2"/>
    <w:rsid w:val="00EB769A"/>
    <w:rsid w:val="00EC3A35"/>
    <w:rsid w:val="00EE17F2"/>
    <w:rsid w:val="00EE3138"/>
    <w:rsid w:val="00EF2AC7"/>
    <w:rsid w:val="00EF400A"/>
    <w:rsid w:val="00EF6BE4"/>
    <w:rsid w:val="00EF6E5D"/>
    <w:rsid w:val="00F07764"/>
    <w:rsid w:val="00F12517"/>
    <w:rsid w:val="00F131DD"/>
    <w:rsid w:val="00F16BA1"/>
    <w:rsid w:val="00F24435"/>
    <w:rsid w:val="00F30C0F"/>
    <w:rsid w:val="00F314E8"/>
    <w:rsid w:val="00F323A2"/>
    <w:rsid w:val="00F33B57"/>
    <w:rsid w:val="00F33D5C"/>
    <w:rsid w:val="00F34E90"/>
    <w:rsid w:val="00F356D6"/>
    <w:rsid w:val="00F47695"/>
    <w:rsid w:val="00F53BE2"/>
    <w:rsid w:val="00F55684"/>
    <w:rsid w:val="00F64D5A"/>
    <w:rsid w:val="00F709CD"/>
    <w:rsid w:val="00F906F4"/>
    <w:rsid w:val="00FA0716"/>
    <w:rsid w:val="00FB4629"/>
    <w:rsid w:val="00FB6FB1"/>
    <w:rsid w:val="00FB7063"/>
    <w:rsid w:val="00FC302F"/>
    <w:rsid w:val="00FC5FA1"/>
    <w:rsid w:val="00FC7056"/>
    <w:rsid w:val="00FE1A00"/>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0B4254E"/>
    <w:rsid w:val="510454D8"/>
    <w:rsid w:val="521E120A"/>
    <w:rsid w:val="5D8505AD"/>
    <w:rsid w:val="71443FBB"/>
    <w:rsid w:val="71463426"/>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hAnsi="Arial" w:eastAsia="Arial" w:cs="Arial"/>
      <w:b/>
      <w:bCs/>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styleId="TextonotapieCar1" w:customStyle="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styleId="Appelnotedebasde" w:customStyle="1">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styleId="TextocomentarioCar" w:customStyle="1">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styleId="AsuntodelcomentarioCar" w:customStyle="1">
    <w:name w:val="Asunto del comentario Car"/>
    <w:basedOn w:val="TextocomentarioCar"/>
    <w:link w:val="Asuntodelcomentario"/>
    <w:uiPriority w:val="99"/>
    <w:semiHidden/>
    <w:rsid w:val="00A37D1C"/>
    <w:rPr>
      <w:b/>
      <w:bCs/>
      <w:sz w:val="20"/>
      <w:szCs w:val="20"/>
    </w:rPr>
  </w:style>
  <w:style w:type="paragraph" w:styleId="Normal11pt" w:customStyle="1">
    <w:name w:val="Normal + 11 pt"/>
    <w:aliases w:val="Negro,Justificado,Izquierda:  -0,95 cm,Derecha:  0,04 cm"/>
    <w:basedOn w:val="Normal"/>
    <w:uiPriority w:val="99"/>
    <w:rsid w:val="00B76C94"/>
    <w:pPr>
      <w:spacing w:after="0" w:line="240" w:lineRule="auto"/>
      <w:ind w:left="-540"/>
      <w:jc w:val="both"/>
    </w:pPr>
    <w:rPr>
      <w:rFonts w:ascii="Arial" w:hAnsi="Arial" w:eastAsia="Times New Roman" w:cs="Arial"/>
      <w:color w:val="000000"/>
      <w:lang w:val="es-ES_tradnl" w:eastAsia="es-ES"/>
    </w:rPr>
  </w:style>
  <w:style w:type="paragraph" w:styleId="Revisin">
    <w:name w:val="Revision"/>
    <w:hidden/>
    <w:uiPriority w:val="99"/>
    <w:semiHidden/>
    <w:rsid w:val="00F64D5A"/>
    <w:pPr>
      <w:spacing w:after="0" w:line="240" w:lineRule="auto"/>
    </w:pPr>
  </w:style>
  <w:style w:type="character" w:styleId="cf01" w:customStyle="1">
    <w:name w:val="cf01"/>
    <w:basedOn w:val="Fuentedeprrafopredeter"/>
    <w:rsid w:val="005019AA"/>
    <w:rPr>
      <w:rFonts w:hint="default" w:ascii="Segoe UI" w:hAnsi="Segoe UI" w:cs="Segoe UI"/>
      <w:i/>
      <w:iCs/>
      <w:sz w:val="18"/>
      <w:szCs w:val="18"/>
    </w:rPr>
  </w:style>
  <w:style w:type="character" w:styleId="normaltextrun" w:customStyle="1">
    <w:name w:val="normaltextrun"/>
    <w:basedOn w:val="Fuentedeprrafopredeter"/>
    <w:rsid w:val="5D8505AD"/>
  </w:style>
  <w:style w:type="character" w:styleId="eop" w:customStyle="1">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styleId="Hipervnculo1" w:customStyle="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styleId="TextoindependienteCar" w:customStyle="1">
    <w:name w:val="Texto independiente Car"/>
    <w:basedOn w:val="Fuentedeprrafopredeter"/>
    <w:link w:val="Textoindependiente"/>
    <w:uiPriority w:val="99"/>
    <w:rsid w:val="00430492"/>
  </w:style>
  <w:style w:type="paragraph" w:styleId="Car1" w:customStyle="1">
    <w:name w:val="Car1"/>
    <w:basedOn w:val="Normal"/>
    <w:next w:val="Textonotapie"/>
    <w:uiPriority w:val="99"/>
    <w:unhideWhenUsed/>
    <w:qFormat/>
    <w:rsid w:val="00430492"/>
    <w:pPr>
      <w:spacing w:after="0" w:line="240" w:lineRule="auto"/>
    </w:pPr>
    <w:rPr>
      <w:sz w:val="20"/>
      <w:szCs w:val="20"/>
      <w:lang w:val="es-MX"/>
    </w:rPr>
  </w:style>
  <w:style w:type="paragraph" w:styleId="Cuadrculamedia1-nfasis21" w:customStyle="1">
    <w:name w:val="Cuadrícula media 1 - Énfasis 21"/>
    <w:basedOn w:val="Normal"/>
    <w:uiPriority w:val="34"/>
    <w:qFormat/>
    <w:rsid w:val="009C2871"/>
    <w:pPr>
      <w:ind w:left="720"/>
      <w:contextualSpacing/>
    </w:pPr>
    <w:rPr>
      <w:rFonts w:ascii="Calibri" w:hAnsi="Calibri" w:eastAsia="Calibri" w:cs="Times New Roman"/>
    </w:rPr>
  </w:style>
  <w:style w:type="character" w:styleId="Ttulo1Car" w:customStyle="1">
    <w:name w:val="Título 1 Car"/>
    <w:basedOn w:val="Fuentedeprrafopredeter"/>
    <w:link w:val="Ttulo1"/>
    <w:uiPriority w:val="1"/>
    <w:rsid w:val="00B34786"/>
    <w:rPr>
      <w:rFonts w:ascii="Arial" w:hAnsi="Arial" w:eastAsia="Arial" w:cs="Arial"/>
      <w:b/>
      <w:bCs/>
      <w:lang w:val="es-ES"/>
    </w:rPr>
  </w:style>
  <w:style w:type="paragraph" w:styleId="Default" w:customStyle="1">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B34786"/>
    <w:rPr>
      <w:rFonts w:ascii="Geomanist" w:hAnsi="Geomanist" w:eastAsiaTheme="majorEastAsia" w:cstheme="majorBidi"/>
      <w:spacing w:val="-10"/>
      <w:kern w:val="28"/>
      <w:szCs w:val="56"/>
      <w:lang w:val="es-ES"/>
    </w:rPr>
  </w:style>
  <w:style w:type="table" w:styleId="Tablaconcuadrcula1" w:customStyle="1">
    <w:name w:val="Tabla con cuadrícula1"/>
    <w:basedOn w:val="Tablanormal"/>
    <w:next w:val="Tablaconcuadrcula"/>
    <w:uiPriority w:val="59"/>
    <w:qFormat/>
    <w:rsid w:val="00B347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Sinlista1" w:customStyle="1">
    <w:name w:val="Sin lista1"/>
    <w:next w:val="Sinlista"/>
    <w:uiPriority w:val="99"/>
    <w:semiHidden/>
    <w:unhideWhenUsed/>
    <w:rsid w:val="00B34786"/>
  </w:style>
  <w:style w:type="table" w:styleId="TableNormal" w:customStyle="1">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B34786"/>
    <w:pPr>
      <w:widowControl w:val="0"/>
      <w:autoSpaceDE w:val="0"/>
      <w:autoSpaceDN w:val="0"/>
      <w:spacing w:after="0" w:line="208" w:lineRule="exact"/>
      <w:ind w:left="119"/>
    </w:pPr>
    <w:rPr>
      <w:rFonts w:ascii="Calibri" w:hAnsi="Calibri" w:eastAsia="Calibri" w:cs="Calibri"/>
      <w:lang w:val="es-ES"/>
    </w:rPr>
  </w:style>
  <w:style w:type="table" w:styleId="Tablaconcuadrcula2" w:customStyle="1">
    <w:name w:val="Tabla con cuadrícula2"/>
    <w:basedOn w:val="Tablanormal"/>
    <w:next w:val="Tablaconcuadrcula"/>
    <w:uiPriority w:val="39"/>
    <w:rsid w:val="00B347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1A5DD4"/>
    <w:pPr>
      <w:spacing w:before="100" w:beforeAutospacing="1" w:after="100" w:afterAutospacing="1" w:line="240" w:lineRule="auto"/>
    </w:pPr>
    <w:rPr>
      <w:rFonts w:ascii="Times New Roman" w:hAnsi="Times New Roman" w:eastAsia="Times New Roman" w:cs="Times New Roman"/>
      <w:sz w:val="24"/>
      <w:szCs w:val="24"/>
      <w:lang w:eastAsia="es-ES_tradnl"/>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gerencie.com/precio.html" TargetMode="External" Id="rId13" /><Relationship Type="http://schemas.openxmlformats.org/officeDocument/2006/relationships/hyperlink" Target="https://relatoria.colombiacompra.gov.co/busqueda/conceptos"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nam02.safelinks.protection.outlook.com/?url=https%3A%2F%2Fwww.colombiacompra.gov.co%2Fdocumentos-tipo%2Fdocumentos-tipo&amp;data=05%7C02%7Cmaria.medellin%40colombiacompra.gov.co%7Ca5385b6e6e634a6b840208dca5c36dc1%7C7b09041e245149d08cb179d5e3d8c1be%7C0%7C0%7C638567505994579091%7CUnknown%7CTWFpbGZsb3d8eyJWIjoiMC4wLjAwMDAiLCJQIjoiV2luMzIiLCJBTiI6Ik1haWwiLCJXVCI6Mn0%3D%7C0%7C%7C%7C&amp;sdata=0x2zZrnkfGZZFR%2Bd1eTA5RS6JGYwcyPbTrape8LyJ4Q%3D&amp;reserved=0" TargetMode="External" Id="rId21" /><Relationship Type="http://schemas.openxmlformats.org/officeDocument/2006/relationships/settings" Target="settings.xml" Id="rId7" /><Relationship Type="http://schemas.openxmlformats.org/officeDocument/2006/relationships/hyperlink" Target="http://www.gerencie.com/quienes-son-comerciantes.html" TargetMode="External" Id="rId12" /><Relationship Type="http://schemas.openxmlformats.org/officeDocument/2006/relationships/hyperlink" Target="https://www.colombiacompra.gov.co/manuales-guias-y-pliegos-tipo/manuales-y-guias"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relatoria.colombiacompra.gov.co/providencias-consejo-de-estado/" TargetMode="External" Id="rId16" /><Relationship Type="http://schemas.openxmlformats.org/officeDocument/2006/relationships/hyperlink" Target="https://nam02.safelinks.protection.outlook.com/?url=https%3A%2F%2Fwww.colombiacompra.gov.co%2Fsala-de-prensa%2Fboletin-digital&amp;data=05%7C02%7Cmaria.medellin%40colombiacompra.gov.co%7Ca5385b6e6e634a6b840208dca5c36dc1%7C7b09041e245149d08cb179d5e3d8c1be%7C0%7C0%7C638567505994567484%7CUnknown%7CTWFpbGZsb3d8eyJWIjoiMC4wLjAwMDAiLCJQIjoiV2luMzIiLCJBTiI6Ik1haWwiLCJXVCI6Mn0%3D%7C0%7C%7C%7C&amp;sdata=NvzdrU3KZmJf%2BHBwxHU6GKKRauF6WbobIbQFGIKpoME%3D&amp;reserved=0"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yperlink" Target="https://www.colombiacompra.gov.co/content/04-documentos-tipo-de-licitacion-de-obra-publica-para-proyectos-de-infraestructura-social" TargetMode="External" Id="rId15" /><Relationship Type="http://schemas.openxmlformats.org/officeDocument/2006/relationships/header" Target="header1.xml" Id="rId23" /><Relationship Type="http://schemas.openxmlformats.org/officeDocument/2006/relationships/endnotes" Target="endnotes.xml" Id="rId10" /><Relationship Type="http://schemas.openxmlformats.org/officeDocument/2006/relationships/hyperlink" Target="https://www.colombiacompra.gov.co/sala-de-prensa/boletin-digital"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olombiacompra.gov.co/sites/cce_public/files/cce_circulares/circular_externa_unica_version_3_vf49.pdf" TargetMode="External" Id="rId14" /><Relationship Type="http://schemas.openxmlformats.org/officeDocument/2006/relationships/image" Target="media/image2.png" Id="rId22"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4.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ANCP-SGC</dc:creator>
  <keywords/>
  <dc:description/>
  <lastModifiedBy>Maria Valeska Medellín Mora</lastModifiedBy>
  <revision>77</revision>
  <dcterms:created xsi:type="dcterms:W3CDTF">2024-07-04T20:24:00.0000000Z</dcterms:created>
  <dcterms:modified xsi:type="dcterms:W3CDTF">2024-07-22T16:39:05.2205220Z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