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DF20" w14:textId="3DF7331F" w:rsidR="00612C80" w:rsidRPr="00D553DF" w:rsidRDefault="00612C80" w:rsidP="00612C80">
      <w:pPr>
        <w:jc w:val="both"/>
        <w:rPr>
          <w:rFonts w:ascii="Arial" w:eastAsia="Calibri" w:hAnsi="Arial" w:cs="Arial"/>
          <w:b/>
          <w:bCs/>
          <w:lang w:val="es-MX"/>
        </w:rPr>
      </w:pPr>
      <w:r w:rsidRPr="00D553DF">
        <w:rPr>
          <w:rFonts w:ascii="Arial" w:eastAsia="Calibri" w:hAnsi="Arial" w:cs="Arial"/>
          <w:b/>
          <w:bCs/>
          <w:lang w:val="es-MX"/>
        </w:rPr>
        <w:t xml:space="preserve">EXPERIENCIA </w:t>
      </w:r>
    </w:p>
    <w:p w14:paraId="2D1B7763" w14:textId="77777777" w:rsidR="00612C80" w:rsidRPr="00D553DF" w:rsidRDefault="00612C80" w:rsidP="00612C80">
      <w:pPr>
        <w:spacing w:after="120"/>
        <w:jc w:val="both"/>
        <w:rPr>
          <w:rFonts w:ascii="Arial" w:eastAsia="Calibri" w:hAnsi="Arial" w:cs="Arial"/>
          <w:sz w:val="20"/>
          <w:szCs w:val="20"/>
        </w:rPr>
      </w:pPr>
    </w:p>
    <w:p w14:paraId="11BFE39D" w14:textId="77777777" w:rsidR="00612C80" w:rsidRPr="00D553DF" w:rsidRDefault="00612C80" w:rsidP="00612C80">
      <w:pPr>
        <w:jc w:val="both"/>
        <w:rPr>
          <w:rFonts w:ascii="Arial" w:eastAsia="Calibri" w:hAnsi="Arial" w:cs="Arial"/>
          <w:sz w:val="20"/>
          <w:szCs w:val="20"/>
          <w:lang w:val="es-MX"/>
        </w:rPr>
      </w:pPr>
      <w:r w:rsidRPr="00D553DF">
        <w:rPr>
          <w:rFonts w:ascii="Arial" w:eastAsia="Calibri" w:hAnsi="Arial" w:cs="Arial"/>
          <w:sz w:val="20"/>
          <w:szCs w:val="20"/>
          <w:lang w:val="es-MX"/>
        </w:rPr>
        <w:t xml:space="preserve">La Ley 1150 de 2007, en el artículo 5, dispone que 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098BBEED" w14:textId="77777777" w:rsidR="00612C80" w:rsidRPr="00D553DF" w:rsidRDefault="00612C80" w:rsidP="00612C80">
      <w:pPr>
        <w:jc w:val="both"/>
        <w:rPr>
          <w:rFonts w:ascii="Arial" w:eastAsia="Calibri" w:hAnsi="Arial" w:cs="Arial"/>
          <w:sz w:val="20"/>
          <w:szCs w:val="20"/>
          <w:lang w:val="es-MX"/>
        </w:rPr>
      </w:pPr>
      <w:r w:rsidRPr="00D553DF">
        <w:rPr>
          <w:rFonts w:ascii="Arial" w:eastAsia="Calibri" w:hAnsi="Arial" w:cs="Arial"/>
          <w:sz w:val="20"/>
          <w:szCs w:val="20"/>
          <w:lang w:val="es-MX"/>
        </w:rPr>
        <w:t>Para ello,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la capacidad jurídica, financiera y de organización del proponente y su clasificación. En este registro constan los requisitos habilitantes que se evalúan exclusivamente con este documento, que es plena prueba, sin que la entidad o el proponente puedan, en principio, solicitar o aportar otra documentación.</w:t>
      </w:r>
    </w:p>
    <w:p w14:paraId="5128491D" w14:textId="77777777" w:rsidR="00612C80" w:rsidRPr="00D553DF" w:rsidRDefault="00612C80" w:rsidP="00612C80">
      <w:pPr>
        <w:jc w:val="both"/>
        <w:rPr>
          <w:rFonts w:ascii="Arial" w:eastAsia="Calibri" w:hAnsi="Arial" w:cs="Arial"/>
          <w:sz w:val="20"/>
          <w:szCs w:val="20"/>
          <w:lang w:val="es-MX"/>
        </w:rPr>
      </w:pPr>
      <w:r w:rsidRPr="00D553DF">
        <w:rPr>
          <w:rFonts w:ascii="Arial" w:eastAsia="Calibri" w:hAnsi="Arial" w:cs="Arial"/>
          <w:sz w:val="20"/>
          <w:szCs w:val="20"/>
          <w:lang w:val="es-MX"/>
        </w:rPr>
        <w:t>[…]</w:t>
      </w:r>
    </w:p>
    <w:p w14:paraId="1189AE29" w14:textId="77777777" w:rsidR="00612C80" w:rsidRPr="00D553DF" w:rsidRDefault="00612C80" w:rsidP="00612C80">
      <w:pPr>
        <w:jc w:val="both"/>
        <w:rPr>
          <w:rFonts w:ascii="Arial" w:eastAsia="Calibri" w:hAnsi="Arial" w:cs="Arial"/>
          <w:sz w:val="20"/>
          <w:szCs w:val="20"/>
          <w:lang w:val="es-MX"/>
        </w:rPr>
      </w:pPr>
      <w:r w:rsidRPr="00D553DF">
        <w:rPr>
          <w:rFonts w:ascii="Arial" w:eastAsia="Calibri" w:hAnsi="Arial" w:cs="Arial"/>
          <w:sz w:val="20"/>
          <w:szCs w:val="20"/>
          <w:lang w:val="es-MX"/>
        </w:rPr>
        <w:t>La experiencia debe inscribirse, renovarse o actualizarse en el RUP con copia de los contratos o con certificados de los contratos celebrados por el proponente con diferentes contratantes. Estos terceros expiden dichas certificaciones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p>
    <w:p w14:paraId="75E16807" w14:textId="77777777" w:rsidR="00CA6464" w:rsidRPr="00612C80" w:rsidRDefault="00CA6464" w:rsidP="00CA6464">
      <w:pPr>
        <w:spacing w:after="0"/>
        <w:rPr>
          <w:rFonts w:ascii="Verdana" w:hAnsi="Verdana"/>
          <w:lang w:val="es-MX"/>
        </w:rPr>
      </w:pPr>
    </w:p>
    <w:p w14:paraId="6360D32C" w14:textId="3502F4B0" w:rsidR="00CA6464" w:rsidRDefault="00612C80" w:rsidP="00CA6464">
      <w:pPr>
        <w:spacing w:after="0"/>
        <w:rPr>
          <w:rFonts w:ascii="Verdana" w:eastAsia="Calibri" w:hAnsi="Verdana" w:cs="Arial"/>
          <w:b/>
          <w:bCs/>
          <w:lang w:val="es-ES" w:eastAsia="es-ES"/>
        </w:rPr>
      </w:pPr>
      <w:r w:rsidRPr="00612C80">
        <w:rPr>
          <w:rFonts w:ascii="Verdana" w:eastAsia="Calibri" w:hAnsi="Verdana" w:cs="Arial"/>
          <w:b/>
          <w:bCs/>
          <w:lang w:val="es-ES" w:eastAsia="es-ES"/>
        </w:rPr>
        <w:t>FACTOR DE EXPERIENCIA – Acreditación de Experiencia de Socios Menor a Tres Años</w:t>
      </w:r>
    </w:p>
    <w:p w14:paraId="737E8D22" w14:textId="77777777" w:rsidR="00612C80" w:rsidRDefault="00612C80" w:rsidP="00CA6464">
      <w:pPr>
        <w:spacing w:after="0"/>
        <w:rPr>
          <w:rFonts w:ascii="Verdana" w:eastAsia="Calibri" w:hAnsi="Verdana" w:cs="Arial"/>
          <w:b/>
          <w:bCs/>
          <w:lang w:val="es-ES" w:eastAsia="es-ES"/>
        </w:rPr>
      </w:pPr>
    </w:p>
    <w:p w14:paraId="3C1DFE28" w14:textId="77777777" w:rsidR="00612C80" w:rsidRPr="00D553DF" w:rsidRDefault="00612C80" w:rsidP="00612C80">
      <w:pPr>
        <w:jc w:val="both"/>
        <w:rPr>
          <w:rFonts w:ascii="Arial" w:eastAsia="Calibri" w:hAnsi="Arial" w:cs="Arial"/>
          <w:sz w:val="20"/>
          <w:szCs w:val="20"/>
          <w:lang w:val="es-MX"/>
        </w:rPr>
      </w:pPr>
      <w:r w:rsidRPr="00D553DF">
        <w:rPr>
          <w:rFonts w:ascii="Arial" w:eastAsia="Calibri" w:hAnsi="Arial" w:cs="Arial"/>
          <w:sz w:val="20"/>
          <w:szCs w:val="20"/>
          <w:lang w:val="es-MX"/>
        </w:rPr>
        <w:t>La parte final del numeral 2.5 del artículo 2.2.1.1.1.5.2. del Decreto 1082 de 2015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permite hacerlo.</w:t>
      </w:r>
    </w:p>
    <w:p w14:paraId="65AC203E" w14:textId="77777777" w:rsidR="00612C80" w:rsidRPr="00D553DF" w:rsidRDefault="00612C80" w:rsidP="00612C80">
      <w:pPr>
        <w:jc w:val="both"/>
        <w:rPr>
          <w:rFonts w:ascii="Arial" w:eastAsia="Calibri" w:hAnsi="Arial" w:cs="Arial"/>
          <w:sz w:val="20"/>
          <w:szCs w:val="20"/>
          <w:lang w:val="es-MX"/>
        </w:rPr>
      </w:pPr>
    </w:p>
    <w:p w14:paraId="175DD0F4" w14:textId="77777777" w:rsidR="00612C80" w:rsidRPr="00D553DF" w:rsidRDefault="00612C80" w:rsidP="00612C80">
      <w:pPr>
        <w:jc w:val="both"/>
        <w:rPr>
          <w:rFonts w:ascii="Arial" w:eastAsia="Calibri" w:hAnsi="Arial" w:cs="Arial"/>
          <w:sz w:val="20"/>
          <w:szCs w:val="20"/>
          <w:lang w:val="es-MX"/>
        </w:rPr>
      </w:pPr>
      <w:r w:rsidRPr="00D553DF">
        <w:rPr>
          <w:rFonts w:ascii="Arial" w:eastAsia="Calibri" w:hAnsi="Arial" w:cs="Arial"/>
          <w:sz w:val="20"/>
          <w:szCs w:val="20"/>
          <w:lang w:val="es-MX"/>
        </w:rPr>
        <w:t xml:space="preserve">[…] </w:t>
      </w:r>
    </w:p>
    <w:p w14:paraId="0525DFBC" w14:textId="77777777" w:rsidR="00612C80" w:rsidRPr="00D553DF" w:rsidRDefault="00612C80" w:rsidP="00612C80">
      <w:pPr>
        <w:jc w:val="both"/>
        <w:rPr>
          <w:rFonts w:ascii="Arial" w:eastAsia="Calibri" w:hAnsi="Arial" w:cs="Arial"/>
          <w:sz w:val="20"/>
          <w:szCs w:val="20"/>
          <w:lang w:val="es-MX"/>
        </w:rPr>
      </w:pPr>
    </w:p>
    <w:p w14:paraId="1904E087" w14:textId="77777777" w:rsidR="00612C80" w:rsidRDefault="00612C80" w:rsidP="00612C80">
      <w:pPr>
        <w:jc w:val="both"/>
        <w:rPr>
          <w:rFonts w:ascii="Arial" w:eastAsia="Calibri" w:hAnsi="Arial" w:cs="Arial"/>
          <w:sz w:val="20"/>
          <w:szCs w:val="20"/>
          <w:lang w:val="es-MX"/>
        </w:rPr>
      </w:pPr>
      <w:r w:rsidRPr="00D553DF">
        <w:rPr>
          <w:rFonts w:ascii="Arial" w:eastAsia="Calibri" w:hAnsi="Arial" w:cs="Arial"/>
          <w:sz w:val="20"/>
          <w:szCs w:val="20"/>
          <w:lang w:val="es-MX"/>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w:t>
      </w:r>
      <w:r w:rsidRPr="00D553DF">
        <w:rPr>
          <w:rFonts w:ascii="Arial" w:eastAsia="Calibri" w:hAnsi="Arial" w:cs="Arial"/>
          <w:sz w:val="20"/>
          <w:szCs w:val="20"/>
          <w:lang w:val="es-MX"/>
        </w:rPr>
        <w:lastRenderedPageBreak/>
        <w:t>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 pública.</w:t>
      </w:r>
    </w:p>
    <w:p w14:paraId="0032B2A3" w14:textId="77777777" w:rsidR="00612C80" w:rsidRDefault="00612C80" w:rsidP="00612C80">
      <w:pPr>
        <w:jc w:val="both"/>
        <w:rPr>
          <w:rFonts w:ascii="Arial" w:eastAsia="Calibri" w:hAnsi="Arial" w:cs="Arial"/>
          <w:sz w:val="20"/>
          <w:szCs w:val="20"/>
          <w:lang w:val="es-MX"/>
        </w:rPr>
      </w:pPr>
    </w:p>
    <w:p w14:paraId="187C97DE" w14:textId="2B4F667B" w:rsidR="00612C80" w:rsidRDefault="00612C80" w:rsidP="00612C80">
      <w:pPr>
        <w:jc w:val="both"/>
        <w:rPr>
          <w:rFonts w:ascii="Verdana" w:eastAsia="Calibri" w:hAnsi="Verdana" w:cs="Arial"/>
          <w:b/>
          <w:lang w:val="es-ES" w:eastAsia="es-ES"/>
        </w:rPr>
      </w:pPr>
      <w:r w:rsidRPr="00612C80">
        <w:rPr>
          <w:rFonts w:ascii="Verdana" w:eastAsia="Calibri" w:hAnsi="Verdana" w:cs="Arial"/>
          <w:b/>
        </w:rPr>
        <w:t xml:space="preserve">DISOLUCIÓN Y LIQUIDACIÓN DE SOCIEDADES escisión y transferencia de experiencia </w:t>
      </w:r>
      <w:r>
        <w:rPr>
          <w:rFonts w:ascii="Verdana" w:eastAsia="Calibri" w:hAnsi="Verdana" w:cs="Arial"/>
          <w:b/>
          <w:lang w:val="es-ES" w:eastAsia="es-ES"/>
        </w:rPr>
        <w:t>–</w:t>
      </w:r>
    </w:p>
    <w:p w14:paraId="68A2CC65" w14:textId="77777777" w:rsidR="00612C80" w:rsidRDefault="00612C80" w:rsidP="00612C80">
      <w:pPr>
        <w:jc w:val="both"/>
        <w:rPr>
          <w:rFonts w:ascii="Verdana" w:eastAsia="Calibri" w:hAnsi="Verdana" w:cs="Arial"/>
          <w:b/>
          <w:lang w:val="es-ES" w:eastAsia="es-ES"/>
        </w:rPr>
      </w:pPr>
    </w:p>
    <w:p w14:paraId="53DDD619" w14:textId="77777777" w:rsidR="00612C80" w:rsidRPr="00612C80" w:rsidRDefault="00612C80" w:rsidP="00612C80">
      <w:pPr>
        <w:spacing w:line="276" w:lineRule="auto"/>
        <w:ind w:right="709"/>
        <w:jc w:val="both"/>
        <w:rPr>
          <w:rFonts w:ascii="Verdana" w:eastAsia="Calibri" w:hAnsi="Verdana" w:cs="Arial"/>
        </w:rPr>
      </w:pPr>
      <w:r w:rsidRPr="00612C80">
        <w:rPr>
          <w:rFonts w:ascii="Verdana" w:eastAsia="Calibri" w:hAnsi="Verdana" w:cs="Arial"/>
        </w:rPr>
        <w:t xml:space="preserve">en la actividad contractual regulada por el Estatuto General de Contratación de la Administración Pública la experiencia es personal e intransferible, salvo algunas excepciones: </w:t>
      </w:r>
    </w:p>
    <w:p w14:paraId="745425F3" w14:textId="77777777" w:rsidR="00612C80" w:rsidRDefault="00612C80" w:rsidP="00612C80">
      <w:pPr>
        <w:pStyle w:val="Prrafodelista"/>
        <w:spacing w:before="120" w:after="120" w:line="276" w:lineRule="auto"/>
        <w:ind w:left="1428"/>
        <w:jc w:val="both"/>
        <w:rPr>
          <w:rFonts w:ascii="Verdana" w:eastAsia="Calibri" w:hAnsi="Verdana" w:cs="Arial"/>
        </w:rPr>
      </w:pPr>
      <w:r>
        <w:rPr>
          <w:rFonts w:ascii="Verdana" w:eastAsia="Calibri" w:hAnsi="Verdana" w:cs="Arial"/>
        </w:rPr>
        <w:t>a)</w:t>
      </w:r>
      <w:r w:rsidRPr="00580BB1">
        <w:rPr>
          <w:rFonts w:ascii="Verdana" w:eastAsia="Calibri" w:hAnsi="Verdana" w:cs="Arial"/>
        </w:rPr>
        <w:t xml:space="preserve">La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“Si la constitución del interesado es menor a tres (3) años, puede acreditar la experiencia de sus accionistas, socios o constituyentes”. </w:t>
      </w:r>
    </w:p>
    <w:p w14:paraId="6216F085" w14:textId="77777777" w:rsidR="00612C80" w:rsidRDefault="00612C80" w:rsidP="00612C80">
      <w:pPr>
        <w:pStyle w:val="Prrafodelista"/>
        <w:spacing w:before="120" w:after="120" w:line="276" w:lineRule="auto"/>
        <w:ind w:left="1428"/>
        <w:jc w:val="both"/>
        <w:rPr>
          <w:rFonts w:ascii="Verdana" w:eastAsia="Calibri" w:hAnsi="Verdana" w:cs="Arial"/>
        </w:rPr>
      </w:pPr>
    </w:p>
    <w:p w14:paraId="2A75A001" w14:textId="5B40DACE" w:rsidR="00612C80" w:rsidRPr="00612C80" w:rsidRDefault="00612C80" w:rsidP="00612C80">
      <w:pPr>
        <w:pStyle w:val="Prrafodelista"/>
        <w:spacing w:before="120" w:after="120" w:line="276" w:lineRule="auto"/>
        <w:ind w:left="1428"/>
        <w:jc w:val="both"/>
        <w:rPr>
          <w:rFonts w:ascii="Verdana" w:eastAsia="Calibri" w:hAnsi="Verdana" w:cs="Arial"/>
        </w:rPr>
      </w:pPr>
      <w:r>
        <w:rPr>
          <w:rFonts w:ascii="Verdana" w:eastAsia="Calibri" w:hAnsi="Verdana" w:cs="Arial"/>
        </w:rPr>
        <w:t>b)</w:t>
      </w:r>
      <w:r w:rsidRPr="00580BB1">
        <w:rPr>
          <w:rFonts w:ascii="Verdana" w:eastAsia="Calibri" w:hAnsi="Verdana" w:cs="Arial"/>
        </w:rPr>
        <w:t xml:space="preserve">La segunda cuando se presenten algunas reformas estatutarias de las personas jurídicas o de reorganización empresarial, en las que la persona jurídica no se liquida y por lo tanto puede transferir su experiencia a la persona jurídica resultante, como ocurre en la transformación y en la fusión, tesis implementada por la  Agencia en el concepto C-002 de 2020 emitido por la Subdirección de Gestión Contractual  en donde indicó que  “es viable la transferencia de experiencia en la transformación y en la fusión, pero no en la escisión […]”  </w:t>
      </w:r>
    </w:p>
    <w:p w14:paraId="65BE3721" w14:textId="77777777" w:rsidR="00612C80" w:rsidRPr="00612C80" w:rsidRDefault="00612C80" w:rsidP="00CA6464">
      <w:pPr>
        <w:spacing w:after="0"/>
        <w:rPr>
          <w:rFonts w:ascii="Verdana" w:hAnsi="Verdana"/>
          <w:b/>
          <w:bCs/>
          <w:lang w:val="es-MX"/>
        </w:rPr>
      </w:pPr>
    </w:p>
    <w:p w14:paraId="5CC50366" w14:textId="77777777" w:rsidR="00612C80" w:rsidRDefault="00612C80" w:rsidP="00CA6464">
      <w:pPr>
        <w:spacing w:after="0"/>
        <w:rPr>
          <w:rFonts w:ascii="Verdana" w:hAnsi="Verdana"/>
        </w:rPr>
      </w:pPr>
    </w:p>
    <w:p w14:paraId="2A4CDC22" w14:textId="77777777" w:rsidR="00612C80" w:rsidRDefault="00612C80" w:rsidP="00CA6464">
      <w:pPr>
        <w:spacing w:after="0"/>
        <w:rPr>
          <w:rFonts w:ascii="Verdana" w:hAnsi="Verdana"/>
        </w:rPr>
      </w:pPr>
    </w:p>
    <w:p w14:paraId="3DB9BD56" w14:textId="77777777" w:rsidR="00612C80" w:rsidRDefault="00612C80" w:rsidP="00CA6464">
      <w:pPr>
        <w:spacing w:after="0"/>
        <w:rPr>
          <w:rFonts w:ascii="Verdana" w:hAnsi="Verdana"/>
        </w:rPr>
      </w:pPr>
    </w:p>
    <w:p w14:paraId="55BCA5F7" w14:textId="77777777" w:rsidR="00612C80" w:rsidRDefault="00612C80" w:rsidP="00CA6464">
      <w:pPr>
        <w:spacing w:after="0"/>
        <w:rPr>
          <w:rFonts w:ascii="Verdana" w:hAnsi="Verdana"/>
        </w:rPr>
      </w:pPr>
    </w:p>
    <w:p w14:paraId="4853A98A" w14:textId="77777777" w:rsidR="00612C80" w:rsidRDefault="00612C80" w:rsidP="00CA6464">
      <w:pPr>
        <w:spacing w:after="0"/>
        <w:rPr>
          <w:rFonts w:ascii="Verdana" w:hAnsi="Verdana"/>
        </w:rPr>
      </w:pPr>
    </w:p>
    <w:p w14:paraId="063E60C1" w14:textId="77777777" w:rsidR="00612C80" w:rsidRDefault="00612C80" w:rsidP="00CA6464">
      <w:pPr>
        <w:spacing w:after="0"/>
        <w:rPr>
          <w:rFonts w:ascii="Verdana" w:hAnsi="Verdana"/>
        </w:rPr>
      </w:pPr>
    </w:p>
    <w:p w14:paraId="76FB2B25" w14:textId="77777777" w:rsidR="00612C80" w:rsidRDefault="00612C80" w:rsidP="00CA6464">
      <w:pPr>
        <w:spacing w:after="0"/>
        <w:rPr>
          <w:rFonts w:ascii="Verdana" w:hAnsi="Verdana"/>
        </w:rPr>
      </w:pPr>
    </w:p>
    <w:p w14:paraId="149217C7" w14:textId="6575E5BB" w:rsidR="00CA6464" w:rsidRPr="00580BB1" w:rsidRDefault="00CA6464" w:rsidP="00CA6464">
      <w:pPr>
        <w:spacing w:after="0"/>
        <w:rPr>
          <w:rFonts w:ascii="Verdana" w:hAnsi="Verdana"/>
        </w:rPr>
      </w:pPr>
      <w:r w:rsidRPr="00580BB1">
        <w:rPr>
          <w:rFonts w:ascii="Verdana" w:hAnsi="Verdana"/>
        </w:rPr>
        <w:t>Bogotá D.C., [Día] [</w:t>
      </w:r>
      <w:proofErr w:type="spellStart"/>
      <w:r w:rsidRPr="00580BB1">
        <w:rPr>
          <w:rFonts w:ascii="Verdana" w:hAnsi="Verdana"/>
        </w:rPr>
        <w:t>Mes.NombreCapitalizado</w:t>
      </w:r>
      <w:proofErr w:type="spellEnd"/>
      <w:r w:rsidRPr="00580BB1">
        <w:rPr>
          <w:rFonts w:ascii="Verdana" w:hAnsi="Verdana"/>
        </w:rPr>
        <w:t>] [Año]</w:t>
      </w:r>
    </w:p>
    <w:p w14:paraId="43A6EA23" w14:textId="17E654DC" w:rsidR="00CA6464" w:rsidRDefault="003B425A" w:rsidP="00CA6464">
      <w:pPr>
        <w:spacing w:after="0"/>
        <w:rPr>
          <w:rFonts w:ascii="Verdana" w:hAnsi="Verdana"/>
        </w:rPr>
      </w:pPr>
      <w:r w:rsidRPr="003B425A">
        <w:rPr>
          <w:rFonts w:ascii="Verdana" w:hAnsi="Verdana"/>
        </w:rPr>
        <w:drawing>
          <wp:anchor distT="0" distB="0" distL="114300" distR="114300" simplePos="0" relativeHeight="251658240" behindDoc="1" locked="0" layoutInCell="1" allowOverlap="1" wp14:anchorId="186C571A" wp14:editId="399F838C">
            <wp:simplePos x="0" y="0"/>
            <wp:positionH relativeFrom="column">
              <wp:posOffset>3104131</wp:posOffset>
            </wp:positionH>
            <wp:positionV relativeFrom="paragraph">
              <wp:posOffset>53339</wp:posOffset>
            </wp:positionV>
            <wp:extent cx="3433004" cy="954741"/>
            <wp:effectExtent l="0" t="0" r="0" b="0"/>
            <wp:wrapNone/>
            <wp:docPr id="13218424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42489" name=""/>
                    <pic:cNvPicPr/>
                  </pic:nvPicPr>
                  <pic:blipFill>
                    <a:blip r:embed="rId8">
                      <a:extLst>
                        <a:ext uri="{28A0092B-C50C-407E-A947-70E740481C1C}">
                          <a14:useLocalDpi xmlns:a14="http://schemas.microsoft.com/office/drawing/2010/main" val="0"/>
                        </a:ext>
                      </a:extLst>
                    </a:blip>
                    <a:stretch>
                      <a:fillRect/>
                    </a:stretch>
                  </pic:blipFill>
                  <pic:spPr>
                    <a:xfrm>
                      <a:off x="0" y="0"/>
                      <a:ext cx="3456133" cy="961173"/>
                    </a:xfrm>
                    <a:prstGeom prst="rect">
                      <a:avLst/>
                    </a:prstGeom>
                  </pic:spPr>
                </pic:pic>
              </a:graphicData>
            </a:graphic>
            <wp14:sizeRelH relativeFrom="page">
              <wp14:pctWidth>0</wp14:pctWidth>
            </wp14:sizeRelH>
            <wp14:sizeRelV relativeFrom="page">
              <wp14:pctHeight>0</wp14:pctHeight>
            </wp14:sizeRelV>
          </wp:anchor>
        </w:drawing>
      </w:r>
    </w:p>
    <w:p w14:paraId="29A750B2" w14:textId="22AE685C" w:rsidR="00612C80" w:rsidRDefault="00612C80" w:rsidP="00CA6464">
      <w:pPr>
        <w:spacing w:after="0"/>
        <w:rPr>
          <w:rFonts w:ascii="Verdana" w:hAnsi="Verdana"/>
        </w:rPr>
      </w:pPr>
    </w:p>
    <w:p w14:paraId="22ABB0CC" w14:textId="77777777" w:rsidR="00CA6464" w:rsidRPr="00580BB1" w:rsidRDefault="00CA6464" w:rsidP="00CA6464">
      <w:pPr>
        <w:spacing w:after="0" w:line="276" w:lineRule="auto"/>
        <w:rPr>
          <w:rFonts w:ascii="Verdana" w:eastAsia="Calibri" w:hAnsi="Verdana" w:cs="Arial"/>
          <w:lang w:val="es-ES"/>
        </w:rPr>
      </w:pPr>
    </w:p>
    <w:p w14:paraId="2FAA3BA8" w14:textId="77777777" w:rsidR="00CA6464" w:rsidRPr="00580BB1" w:rsidRDefault="00CA6464" w:rsidP="00CA6464">
      <w:pPr>
        <w:spacing w:after="0" w:line="240" w:lineRule="auto"/>
        <w:jc w:val="both"/>
        <w:rPr>
          <w:rFonts w:ascii="Verdana" w:eastAsia="Calibri" w:hAnsi="Verdana" w:cs="Arial"/>
          <w:lang w:val="es-ES" w:eastAsia="es-ES"/>
        </w:rPr>
      </w:pPr>
      <w:r w:rsidRPr="00580BB1">
        <w:rPr>
          <w:rFonts w:ascii="Verdana" w:eastAsia="Calibri" w:hAnsi="Verdana" w:cs="Arial"/>
          <w:lang w:val="es-ES" w:eastAsia="es-ES"/>
        </w:rPr>
        <w:t>Señor</w:t>
      </w:r>
    </w:p>
    <w:p w14:paraId="30BF62B1" w14:textId="77777777" w:rsidR="00CA6464" w:rsidRPr="00580BB1" w:rsidRDefault="00CA6464" w:rsidP="00CA6464">
      <w:pPr>
        <w:spacing w:after="0" w:line="240" w:lineRule="auto"/>
        <w:jc w:val="both"/>
        <w:rPr>
          <w:rFonts w:ascii="Verdana" w:eastAsia="Calibri" w:hAnsi="Verdana" w:cs="Arial"/>
          <w:b/>
          <w:bCs/>
          <w:lang w:val="es-ES" w:eastAsia="es-ES"/>
        </w:rPr>
      </w:pPr>
      <w:r w:rsidRPr="00580BB1">
        <w:rPr>
          <w:rFonts w:ascii="Verdana" w:eastAsia="Calibri" w:hAnsi="Verdana" w:cs="Arial"/>
          <w:b/>
          <w:bCs/>
          <w:lang w:val="es-ES" w:eastAsia="es-ES"/>
        </w:rPr>
        <w:t>JACOBO OSPINA ECHEVERRI</w:t>
      </w:r>
    </w:p>
    <w:p w14:paraId="3939DECB" w14:textId="77777777" w:rsidR="00CA6464" w:rsidRPr="00580BB1" w:rsidRDefault="00000000" w:rsidP="00CA6464">
      <w:pPr>
        <w:spacing w:after="0" w:line="240" w:lineRule="auto"/>
        <w:jc w:val="both"/>
        <w:rPr>
          <w:rFonts w:ascii="Verdana" w:hAnsi="Verdana"/>
        </w:rPr>
      </w:pPr>
      <w:hyperlink r:id="rId9" w:history="1">
        <w:r w:rsidR="00CA6464" w:rsidRPr="00580BB1">
          <w:rPr>
            <w:rStyle w:val="Hipervnculo"/>
            <w:rFonts w:ascii="Verdana" w:hAnsi="Verdana"/>
          </w:rPr>
          <w:t>jacobospina@gmail.com</w:t>
        </w:r>
      </w:hyperlink>
    </w:p>
    <w:p w14:paraId="7C24D7F3" w14:textId="77777777" w:rsidR="00CA6464" w:rsidRPr="00580BB1" w:rsidRDefault="00CA6464" w:rsidP="00CA6464">
      <w:pPr>
        <w:spacing w:after="0" w:line="240" w:lineRule="auto"/>
        <w:jc w:val="both"/>
        <w:rPr>
          <w:rFonts w:ascii="Verdana" w:eastAsia="Calibri" w:hAnsi="Verdana" w:cs="Arial"/>
          <w:szCs w:val="24"/>
          <w:lang w:val="es-ES_tradnl" w:eastAsia="es-ES_tradnl"/>
        </w:rPr>
      </w:pPr>
      <w:r w:rsidRPr="00580BB1">
        <w:rPr>
          <w:rFonts w:ascii="Verdana" w:eastAsia="Calibri" w:hAnsi="Verdana" w:cs="Arial"/>
          <w:szCs w:val="24"/>
          <w:lang w:val="es-ES_tradnl" w:eastAsia="es-ES_tradnl"/>
        </w:rPr>
        <w:t>Bogotá D.C.</w:t>
      </w:r>
    </w:p>
    <w:p w14:paraId="0AB4596A" w14:textId="77777777" w:rsidR="003B425A" w:rsidRPr="00580BB1" w:rsidRDefault="003B425A" w:rsidP="003B425A">
      <w:pPr>
        <w:spacing w:after="0" w:line="276" w:lineRule="auto"/>
        <w:ind w:left="2694"/>
        <w:rPr>
          <w:rFonts w:ascii="Verdana" w:hAnsi="Verdana"/>
        </w:rPr>
      </w:pPr>
      <w:r w:rsidRPr="00580BB1">
        <w:rPr>
          <w:rFonts w:ascii="Verdana" w:hAnsi="Verdana"/>
          <w:b/>
          <w:bCs/>
        </w:rPr>
        <w:t>Concepto C-223 de 2024</w:t>
      </w:r>
    </w:p>
    <w:p w14:paraId="2C7D8D0D" w14:textId="77777777" w:rsidR="00CA6464" w:rsidRPr="00580BB1" w:rsidRDefault="00CA6464" w:rsidP="00CA6464">
      <w:pPr>
        <w:spacing w:after="0" w:line="240" w:lineRule="auto"/>
        <w:rPr>
          <w:rFonts w:ascii="Verdana" w:eastAsia="Calibri" w:hAnsi="Verdana" w:cs="Arial"/>
          <w:szCs w:val="24"/>
          <w:lang w:val="es-ES_tradnl" w:eastAsia="es-ES_tradnl"/>
        </w:rPr>
      </w:pPr>
    </w:p>
    <w:p w14:paraId="6798E44B" w14:textId="77777777" w:rsidR="00CA6464" w:rsidRPr="00580BB1" w:rsidRDefault="00CA6464" w:rsidP="00CA6464">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CA6464" w:rsidRPr="00580BB1" w14:paraId="408C214C" w14:textId="77777777" w:rsidTr="008B0AE8">
        <w:trPr>
          <w:trHeight w:val="884"/>
        </w:trPr>
        <w:tc>
          <w:tcPr>
            <w:tcW w:w="2689" w:type="dxa"/>
          </w:tcPr>
          <w:p w14:paraId="6F7AF067" w14:textId="77777777" w:rsidR="00CA6464" w:rsidRPr="00580BB1" w:rsidRDefault="00CA6464" w:rsidP="008B0AE8">
            <w:pPr>
              <w:jc w:val="both"/>
              <w:rPr>
                <w:rFonts w:ascii="Verdana" w:eastAsia="Calibri" w:hAnsi="Verdana" w:cs="Arial"/>
                <w:szCs w:val="24"/>
                <w:lang w:val="es-ES_tradnl" w:eastAsia="es-ES_tradnl"/>
              </w:rPr>
            </w:pPr>
            <w:r w:rsidRPr="00580BB1">
              <w:rPr>
                <w:rFonts w:ascii="Verdana" w:eastAsia="Calibri" w:hAnsi="Verdana" w:cs="Arial"/>
                <w:szCs w:val="24"/>
                <w:lang w:val="es-ES_tradnl" w:eastAsia="es-ES_tradnl"/>
              </w:rPr>
              <w:t xml:space="preserve">Temas:                   </w:t>
            </w:r>
          </w:p>
        </w:tc>
        <w:tc>
          <w:tcPr>
            <w:tcW w:w="6237" w:type="dxa"/>
          </w:tcPr>
          <w:p w14:paraId="5A65937B" w14:textId="228DFEA7" w:rsidR="00CA6464" w:rsidRPr="00580BB1" w:rsidRDefault="00CA6464" w:rsidP="008B0AE8">
            <w:pPr>
              <w:jc w:val="both"/>
              <w:rPr>
                <w:rFonts w:ascii="Verdana" w:eastAsia="Calibri" w:hAnsi="Verdana" w:cs="Arial"/>
                <w:lang w:val="es-ES" w:eastAsia="es-ES"/>
              </w:rPr>
            </w:pPr>
            <w:r w:rsidRPr="00580BB1">
              <w:rPr>
                <w:rFonts w:ascii="Verdana" w:eastAsia="Calibri" w:hAnsi="Verdana" w:cs="Arial"/>
                <w:lang w:val="es-ES" w:eastAsia="es-ES"/>
              </w:rPr>
              <w:t xml:space="preserve">FACTOR DE EXPERIENCIA – Acreditación de Experiencia de Socios Menor a Tres Años / </w:t>
            </w:r>
            <w:r w:rsidRPr="00580BB1">
              <w:rPr>
                <w:rFonts w:ascii="Verdana" w:eastAsia="Calibri" w:hAnsi="Verdana" w:cs="Arial"/>
                <w:bCs/>
              </w:rPr>
              <w:t>DISOLUCIÓ</w:t>
            </w:r>
            <w:r w:rsidR="00C34EC2">
              <w:rPr>
                <w:rFonts w:ascii="Verdana" w:eastAsia="Calibri" w:hAnsi="Verdana" w:cs="Arial"/>
                <w:bCs/>
              </w:rPr>
              <w:t>N</w:t>
            </w:r>
            <w:r w:rsidRPr="00580BB1">
              <w:rPr>
                <w:rFonts w:ascii="Verdana" w:eastAsia="Calibri" w:hAnsi="Verdana" w:cs="Arial"/>
                <w:bCs/>
              </w:rPr>
              <w:t xml:space="preserve"> Y LIQUIDACIÓN DE SOCIEDADES </w:t>
            </w:r>
            <w:r w:rsidRPr="00580BB1">
              <w:rPr>
                <w:rFonts w:ascii="Verdana" w:eastAsia="Calibri" w:hAnsi="Verdana" w:cs="Arial"/>
              </w:rPr>
              <w:t>escisión</w:t>
            </w:r>
            <w:r w:rsidRPr="00580BB1">
              <w:rPr>
                <w:rFonts w:ascii="Verdana" w:eastAsia="Calibri" w:hAnsi="Verdana" w:cs="Arial"/>
                <w:bCs/>
              </w:rPr>
              <w:t xml:space="preserve"> y transferencia de experiencia </w:t>
            </w:r>
            <w:r w:rsidRPr="00580BB1">
              <w:rPr>
                <w:rFonts w:ascii="Verdana" w:eastAsia="Calibri" w:hAnsi="Verdana" w:cs="Arial"/>
                <w:lang w:val="es-ES" w:eastAsia="es-ES"/>
              </w:rPr>
              <w:t>-</w:t>
            </w:r>
          </w:p>
        </w:tc>
        <w:tc>
          <w:tcPr>
            <w:tcW w:w="6237" w:type="dxa"/>
          </w:tcPr>
          <w:p w14:paraId="05D7BD77" w14:textId="77777777" w:rsidR="00CA6464" w:rsidRPr="00580BB1" w:rsidRDefault="00CA6464" w:rsidP="008B0AE8">
            <w:pPr>
              <w:jc w:val="both"/>
              <w:rPr>
                <w:rFonts w:ascii="Verdana" w:hAnsi="Verdana" w:cs="Arial"/>
                <w:lang w:val="es-ES"/>
              </w:rPr>
            </w:pPr>
          </w:p>
        </w:tc>
      </w:tr>
      <w:tr w:rsidR="00CA6464" w:rsidRPr="00580BB1" w14:paraId="185078A9" w14:textId="77777777" w:rsidTr="008B0AE8">
        <w:tc>
          <w:tcPr>
            <w:tcW w:w="2689" w:type="dxa"/>
          </w:tcPr>
          <w:p w14:paraId="5AE63ABF" w14:textId="77777777" w:rsidR="00CA6464" w:rsidRPr="00580BB1" w:rsidRDefault="00CA6464" w:rsidP="008B0AE8">
            <w:pPr>
              <w:spacing w:before="120"/>
              <w:jc w:val="both"/>
              <w:rPr>
                <w:rFonts w:ascii="Verdana" w:eastAsia="Calibri" w:hAnsi="Verdana" w:cs="Arial"/>
                <w:szCs w:val="24"/>
                <w:lang w:val="es-ES_tradnl" w:eastAsia="es-ES_tradnl"/>
              </w:rPr>
            </w:pPr>
            <w:r w:rsidRPr="00580BB1">
              <w:rPr>
                <w:rFonts w:ascii="Verdana" w:eastAsia="Calibri" w:hAnsi="Verdana" w:cs="Arial"/>
                <w:szCs w:val="24"/>
                <w:lang w:val="es-ES_tradnl" w:eastAsia="es-ES_tradnl"/>
              </w:rPr>
              <w:t xml:space="preserve">Radicación:               </w:t>
            </w:r>
          </w:p>
        </w:tc>
        <w:tc>
          <w:tcPr>
            <w:tcW w:w="6237" w:type="dxa"/>
          </w:tcPr>
          <w:p w14:paraId="4D689EEE" w14:textId="77777777" w:rsidR="00CA6464" w:rsidRPr="00580BB1" w:rsidRDefault="00CA6464" w:rsidP="008B0AE8">
            <w:pPr>
              <w:spacing w:before="120"/>
              <w:jc w:val="both"/>
              <w:rPr>
                <w:rFonts w:ascii="Verdana" w:eastAsia="Calibri" w:hAnsi="Verdana" w:cs="Arial"/>
                <w:szCs w:val="24"/>
                <w:lang w:val="es-ES_tradnl" w:eastAsia="es-ES_tradnl"/>
              </w:rPr>
            </w:pPr>
            <w:r w:rsidRPr="00580BB1">
              <w:rPr>
                <w:rFonts w:ascii="Verdana" w:eastAsia="Calibri" w:hAnsi="Verdana" w:cs="Arial"/>
                <w:szCs w:val="24"/>
                <w:lang w:val="es-ES_tradnl" w:eastAsia="es-ES_tradnl"/>
              </w:rPr>
              <w:t>Respuesta a consulta con radicado No. P20240625006463</w:t>
            </w:r>
          </w:p>
        </w:tc>
        <w:tc>
          <w:tcPr>
            <w:tcW w:w="6237" w:type="dxa"/>
          </w:tcPr>
          <w:p w14:paraId="41A5FFBB" w14:textId="77777777" w:rsidR="00CA6464" w:rsidRPr="00580BB1" w:rsidRDefault="00CA6464" w:rsidP="008B0AE8">
            <w:pPr>
              <w:spacing w:before="120"/>
              <w:jc w:val="both"/>
              <w:rPr>
                <w:rFonts w:ascii="Verdana" w:eastAsia="Calibri" w:hAnsi="Verdana" w:cs="Arial"/>
                <w:szCs w:val="24"/>
                <w:lang w:val="es-ES_tradnl" w:eastAsia="es-ES_tradnl"/>
              </w:rPr>
            </w:pPr>
          </w:p>
        </w:tc>
      </w:tr>
    </w:tbl>
    <w:p w14:paraId="6231A90F" w14:textId="77777777" w:rsidR="00CA6464" w:rsidRPr="00580BB1" w:rsidRDefault="00CA6464" w:rsidP="00CA6464">
      <w:pPr>
        <w:spacing w:after="0" w:line="240" w:lineRule="auto"/>
        <w:jc w:val="both"/>
        <w:rPr>
          <w:rFonts w:ascii="Verdana" w:eastAsia="Calibri" w:hAnsi="Verdana" w:cs="Arial"/>
          <w:szCs w:val="24"/>
          <w:lang w:val="es-ES_tradnl" w:eastAsia="es-ES_tradnl"/>
        </w:rPr>
      </w:pPr>
    </w:p>
    <w:p w14:paraId="262F9119" w14:textId="77777777" w:rsidR="00CA6464" w:rsidRPr="00580BB1" w:rsidRDefault="00CA6464" w:rsidP="00CA6464">
      <w:pPr>
        <w:spacing w:after="0" w:line="240" w:lineRule="auto"/>
        <w:jc w:val="both"/>
        <w:rPr>
          <w:rFonts w:ascii="Verdana" w:eastAsia="Calibri" w:hAnsi="Verdana" w:cs="Arial"/>
          <w:szCs w:val="24"/>
          <w:lang w:val="es-ES_tradnl" w:eastAsia="es-ES_tradnl"/>
        </w:rPr>
      </w:pPr>
    </w:p>
    <w:p w14:paraId="09DE2E19" w14:textId="77777777" w:rsidR="00CA6464" w:rsidRPr="00580BB1" w:rsidRDefault="00CA6464" w:rsidP="00CA6464">
      <w:pPr>
        <w:spacing w:after="0" w:line="240" w:lineRule="auto"/>
        <w:jc w:val="both"/>
        <w:rPr>
          <w:rFonts w:ascii="Verdana" w:eastAsia="Calibri" w:hAnsi="Verdana" w:cs="Arial"/>
          <w:lang w:val="es-ES" w:eastAsia="es-ES"/>
        </w:rPr>
      </w:pPr>
      <w:r w:rsidRPr="00580BB1">
        <w:rPr>
          <w:rFonts w:ascii="Verdana" w:eastAsia="Calibri" w:hAnsi="Verdana" w:cs="Arial"/>
          <w:lang w:val="es-ES" w:eastAsia="es-ES"/>
        </w:rPr>
        <w:t xml:space="preserve">Estimado señor Ospina: </w:t>
      </w:r>
    </w:p>
    <w:p w14:paraId="2B9B2989" w14:textId="77777777" w:rsidR="00CA6464" w:rsidRPr="00580BB1" w:rsidRDefault="00CA6464" w:rsidP="00CA6464">
      <w:pPr>
        <w:spacing w:after="0" w:line="240" w:lineRule="auto"/>
        <w:jc w:val="both"/>
        <w:rPr>
          <w:rFonts w:ascii="Verdana" w:eastAsia="Calibri" w:hAnsi="Verdana" w:cs="Arial"/>
          <w:lang w:val="es-ES" w:eastAsia="es-ES"/>
        </w:rPr>
      </w:pPr>
    </w:p>
    <w:p w14:paraId="7A9525F0" w14:textId="77777777" w:rsidR="00CA6464" w:rsidRPr="00580BB1" w:rsidRDefault="00CA6464" w:rsidP="00CA6464">
      <w:pPr>
        <w:spacing w:after="0" w:line="240" w:lineRule="auto"/>
        <w:jc w:val="both"/>
        <w:rPr>
          <w:rFonts w:ascii="Verdana" w:eastAsia="Calibri" w:hAnsi="Verdana" w:cs="Arial"/>
          <w:szCs w:val="24"/>
          <w:lang w:val="es-ES_tradnl" w:eastAsia="es-ES_tradnl"/>
        </w:rPr>
      </w:pPr>
    </w:p>
    <w:p w14:paraId="46DD58BB" w14:textId="77777777" w:rsidR="00CA6464" w:rsidRPr="00580BB1" w:rsidRDefault="00CA6464" w:rsidP="00CA6464">
      <w:pPr>
        <w:spacing w:after="120" w:line="276" w:lineRule="auto"/>
        <w:jc w:val="both"/>
        <w:rPr>
          <w:rFonts w:ascii="Verdana" w:eastAsia="Calibri" w:hAnsi="Verdana" w:cs="Arial"/>
          <w:lang w:val="es-ES" w:eastAsia="es-ES"/>
        </w:rPr>
      </w:pPr>
      <w:r w:rsidRPr="00580BB1">
        <w:rPr>
          <w:rFonts w:ascii="Verdana" w:eastAsia="Calibri" w:hAnsi="Verdana" w:cs="Arial"/>
          <w:lang w:val="es-ES" w:eastAsia="es-ES"/>
        </w:rPr>
        <w:t>En ejercicio de la competencia otorgada por los artículos 3, numeral 5º, y 11, numeral 8º, del Decreto Ley 4170 de 2011,</w:t>
      </w:r>
      <w:r w:rsidRPr="00580BB1">
        <w:rPr>
          <w:rFonts w:ascii="Verdana" w:eastAsia="Arial MT" w:hAnsi="Verdana" w:cs="Arial MT"/>
          <w:lang w:val="es-ES" w:eastAsia="es-ES"/>
        </w:rPr>
        <w:t xml:space="preserve"> </w:t>
      </w:r>
      <w:r w:rsidRPr="00580BB1">
        <w:rPr>
          <w:rFonts w:ascii="Verdana" w:eastAsia="Calibri" w:hAnsi="Verdana" w:cs="Arial"/>
          <w:lang w:val="es-ES" w:eastAsia="es-ES"/>
        </w:rPr>
        <w:t>la Agencia Nacional de Contratación Pública – Colombia Compra Eficiente– responde su solicitud del 25 de junio de 2024. En dicha petición usted manifiesta lo siguiente:</w:t>
      </w:r>
    </w:p>
    <w:p w14:paraId="34A1D108" w14:textId="77777777" w:rsidR="00CA6464" w:rsidRPr="00580BB1" w:rsidRDefault="00CA6464" w:rsidP="00CA6464">
      <w:pPr>
        <w:spacing w:after="120" w:line="276" w:lineRule="auto"/>
        <w:jc w:val="both"/>
        <w:rPr>
          <w:rFonts w:ascii="Verdana" w:eastAsia="Calibri" w:hAnsi="Verdana" w:cs="Arial"/>
          <w:lang w:val="es-ES" w:eastAsia="es-ES"/>
        </w:rPr>
      </w:pPr>
    </w:p>
    <w:p w14:paraId="3EDCE43E" w14:textId="39F54B19" w:rsidR="00CA6464" w:rsidRPr="00580BB1" w:rsidRDefault="00CA6464" w:rsidP="00CA6464">
      <w:pPr>
        <w:spacing w:after="0" w:line="240" w:lineRule="auto"/>
        <w:ind w:left="709" w:right="709"/>
        <w:jc w:val="both"/>
        <w:rPr>
          <w:rFonts w:ascii="Verdana" w:eastAsia="Calibri" w:hAnsi="Verdana" w:cs="Arial"/>
          <w:sz w:val="20"/>
          <w:szCs w:val="20"/>
          <w:lang w:val="es-ES" w:eastAsia="es-ES"/>
        </w:rPr>
      </w:pPr>
      <w:r w:rsidRPr="00580BB1">
        <w:rPr>
          <w:rFonts w:ascii="Verdana" w:eastAsia="Calibri" w:hAnsi="Verdana" w:cs="Arial"/>
          <w:sz w:val="20"/>
          <w:szCs w:val="20"/>
          <w:lang w:val="es-ES" w:eastAsia="es-ES"/>
        </w:rPr>
        <w:t xml:space="preserve">“Solicito amablemente me den un concepto de </w:t>
      </w:r>
      <w:r w:rsidR="00C34EC2" w:rsidRPr="00580BB1">
        <w:rPr>
          <w:rFonts w:ascii="Verdana" w:eastAsia="Calibri" w:hAnsi="Verdana" w:cs="Arial"/>
          <w:sz w:val="20"/>
          <w:szCs w:val="20"/>
          <w:lang w:val="es-ES" w:eastAsia="es-ES"/>
        </w:rPr>
        <w:t>interés</w:t>
      </w:r>
      <w:r w:rsidRPr="00580BB1">
        <w:rPr>
          <w:rFonts w:ascii="Verdana" w:eastAsia="Calibri" w:hAnsi="Verdana" w:cs="Arial"/>
          <w:sz w:val="20"/>
          <w:szCs w:val="20"/>
          <w:lang w:val="es-ES" w:eastAsia="es-ES"/>
        </w:rPr>
        <w:t xml:space="preserve"> general sobre la </w:t>
      </w:r>
      <w:r w:rsidR="00C34EC2" w:rsidRPr="00580BB1">
        <w:rPr>
          <w:rFonts w:ascii="Verdana" w:eastAsia="Calibri" w:hAnsi="Verdana" w:cs="Arial"/>
          <w:sz w:val="20"/>
          <w:szCs w:val="20"/>
          <w:lang w:val="es-ES" w:eastAsia="es-ES"/>
        </w:rPr>
        <w:t>acreditación</w:t>
      </w:r>
      <w:r w:rsidRPr="00580BB1">
        <w:rPr>
          <w:rFonts w:ascii="Verdana" w:eastAsia="Calibri" w:hAnsi="Verdana" w:cs="Arial"/>
          <w:sz w:val="20"/>
          <w:szCs w:val="20"/>
          <w:lang w:val="es-ES" w:eastAsia="es-ES"/>
        </w:rPr>
        <w:t xml:space="preserve"> de experiencia por parte de socios en sociedades con menos de 3 años de </w:t>
      </w:r>
      <w:r w:rsidR="00C34EC2" w:rsidRPr="00580BB1">
        <w:rPr>
          <w:rFonts w:ascii="Verdana" w:eastAsia="Calibri" w:hAnsi="Verdana" w:cs="Arial"/>
          <w:sz w:val="20"/>
          <w:szCs w:val="20"/>
          <w:lang w:val="es-ES" w:eastAsia="es-ES"/>
        </w:rPr>
        <w:t>constituida</w:t>
      </w:r>
      <w:r w:rsidRPr="00580BB1">
        <w:rPr>
          <w:rFonts w:ascii="Verdana" w:eastAsia="Calibri" w:hAnsi="Verdana" w:cs="Arial"/>
          <w:sz w:val="20"/>
          <w:szCs w:val="20"/>
          <w:lang w:val="es-ES" w:eastAsia="es-ES"/>
        </w:rPr>
        <w:t xml:space="preserve"> y cuyos socios hayan adquirido experiencia en la </w:t>
      </w:r>
      <w:r w:rsidR="00C34EC2" w:rsidRPr="00580BB1">
        <w:rPr>
          <w:rFonts w:ascii="Verdana" w:eastAsia="Calibri" w:hAnsi="Verdana" w:cs="Arial"/>
          <w:sz w:val="20"/>
          <w:szCs w:val="20"/>
          <w:lang w:val="es-ES" w:eastAsia="es-ES"/>
        </w:rPr>
        <w:t>ejecución</w:t>
      </w:r>
      <w:r w:rsidRPr="00580BB1">
        <w:rPr>
          <w:rFonts w:ascii="Verdana" w:eastAsia="Calibri" w:hAnsi="Verdana" w:cs="Arial"/>
          <w:sz w:val="20"/>
          <w:szCs w:val="20"/>
          <w:lang w:val="es-ES" w:eastAsia="es-ES"/>
        </w:rPr>
        <w:t xml:space="preserve"> de contratos estatales siendo accionistas de sociedades que desarrollaron dichos contratos. </w:t>
      </w:r>
    </w:p>
    <w:p w14:paraId="3B2CEB2D" w14:textId="30FC5D1E" w:rsidR="00CA6464" w:rsidRPr="00580BB1" w:rsidRDefault="00CA6464" w:rsidP="00CA6464">
      <w:pPr>
        <w:spacing w:after="0" w:line="240" w:lineRule="auto"/>
        <w:ind w:left="709" w:right="709"/>
        <w:jc w:val="both"/>
        <w:rPr>
          <w:rFonts w:ascii="Verdana" w:eastAsia="Calibri" w:hAnsi="Verdana" w:cs="Arial"/>
          <w:sz w:val="20"/>
          <w:szCs w:val="20"/>
          <w:lang w:val="es-ES" w:eastAsia="es-ES"/>
        </w:rPr>
      </w:pPr>
      <w:r w:rsidRPr="00580BB1">
        <w:rPr>
          <w:rFonts w:ascii="Verdana" w:eastAsia="Calibri" w:hAnsi="Verdana" w:cs="Arial"/>
          <w:sz w:val="20"/>
          <w:szCs w:val="20"/>
          <w:lang w:val="es-ES" w:eastAsia="es-ES"/>
        </w:rPr>
        <w:t xml:space="preserve">para explicar la pregunto expongo el siguiente ejemplo: </w:t>
      </w:r>
      <w:r w:rsidR="00C34EC2" w:rsidRPr="00580BB1">
        <w:rPr>
          <w:rFonts w:ascii="Verdana" w:eastAsia="Calibri" w:hAnsi="Verdana" w:cs="Arial"/>
          <w:sz w:val="20"/>
          <w:szCs w:val="20"/>
          <w:lang w:val="es-ES" w:eastAsia="es-ES"/>
        </w:rPr>
        <w:t>¿Si un socio de una sociedad X fue en el pasado accionista de otra sociedad llamada Y la cual era de OBJETO UNICO cuyo objeto era la realización de un determinado contrato estatal?</w:t>
      </w:r>
      <w:r w:rsidRPr="00580BB1">
        <w:rPr>
          <w:rFonts w:ascii="Verdana" w:eastAsia="Calibri" w:hAnsi="Verdana" w:cs="Arial"/>
          <w:sz w:val="20"/>
          <w:szCs w:val="20"/>
          <w:lang w:val="es-ES" w:eastAsia="es-ES"/>
        </w:rPr>
        <w:t xml:space="preserve"> Podría transmitirle a la sociedad X la experiencia que tuvo como accionista de la sociedad Y en el marco del desarrollo del contrato estatal que Y </w:t>
      </w:r>
      <w:r w:rsidRPr="00580BB1">
        <w:rPr>
          <w:rFonts w:ascii="Verdana" w:eastAsia="Calibri" w:hAnsi="Verdana" w:cs="Arial"/>
          <w:sz w:val="20"/>
          <w:szCs w:val="20"/>
          <w:lang w:val="es-ES" w:eastAsia="es-ES"/>
        </w:rPr>
        <w:lastRenderedPageBreak/>
        <w:t xml:space="preserve">ejecuto. </w:t>
      </w:r>
      <w:r w:rsidR="00C34EC2" w:rsidRPr="00580BB1">
        <w:rPr>
          <w:rFonts w:ascii="Verdana" w:eastAsia="Calibri" w:hAnsi="Verdana" w:cs="Arial"/>
          <w:sz w:val="20"/>
          <w:szCs w:val="20"/>
          <w:lang w:val="es-ES" w:eastAsia="es-ES"/>
        </w:rPr>
        <w:t>¿Lo anterior, partiendo del supuesto de que la sociedad X tiene menos de 3 años de constituida?</w:t>
      </w:r>
      <w:r w:rsidRPr="00580BB1">
        <w:rPr>
          <w:rFonts w:ascii="Verdana" w:eastAsia="Calibri" w:hAnsi="Verdana" w:cs="Arial"/>
          <w:sz w:val="20"/>
          <w:szCs w:val="20"/>
          <w:lang w:val="es-ES" w:eastAsia="es-ES"/>
        </w:rPr>
        <w:t>".</w:t>
      </w:r>
    </w:p>
    <w:p w14:paraId="4546F038" w14:textId="77777777" w:rsidR="00CA6464" w:rsidRPr="00580BB1" w:rsidRDefault="00CA6464" w:rsidP="00CA6464">
      <w:pPr>
        <w:spacing w:after="0" w:line="240" w:lineRule="auto"/>
        <w:ind w:left="709" w:right="709"/>
        <w:jc w:val="both"/>
        <w:rPr>
          <w:rFonts w:ascii="Verdana" w:eastAsia="Calibri" w:hAnsi="Verdana" w:cs="Arial"/>
          <w:sz w:val="20"/>
          <w:szCs w:val="20"/>
          <w:lang w:val="es-ES" w:eastAsia="es-ES"/>
        </w:rPr>
      </w:pPr>
    </w:p>
    <w:p w14:paraId="4D7A6A23" w14:textId="77777777" w:rsidR="00CA6464" w:rsidRPr="00580BB1" w:rsidRDefault="00CA6464" w:rsidP="00CA6464">
      <w:pPr>
        <w:spacing w:after="0" w:line="240" w:lineRule="auto"/>
        <w:ind w:left="709" w:right="709"/>
        <w:jc w:val="both"/>
        <w:rPr>
          <w:rFonts w:ascii="Verdana" w:eastAsia="Calibri" w:hAnsi="Verdana" w:cs="Arial"/>
          <w:lang w:val="es-ES_tradnl" w:eastAsia="es-ES_tradnl"/>
        </w:rPr>
      </w:pPr>
    </w:p>
    <w:p w14:paraId="6C4699BA" w14:textId="77777777" w:rsidR="00CA6464" w:rsidRPr="00580BB1" w:rsidRDefault="00CA6464" w:rsidP="00CA6464">
      <w:pPr>
        <w:spacing w:after="120" w:line="276" w:lineRule="auto"/>
        <w:jc w:val="both"/>
        <w:rPr>
          <w:rFonts w:ascii="Verdana" w:eastAsia="Calibri" w:hAnsi="Verdana" w:cs="Arial"/>
          <w:lang w:val="es-ES" w:eastAsia="es-ES"/>
        </w:rPr>
      </w:pPr>
      <w:r w:rsidRPr="00580BB1">
        <w:rPr>
          <w:rFonts w:ascii="Verdana" w:eastAsia="Calibri" w:hAnsi="Verdana" w:cs="Arial"/>
          <w:lang w:val="es-ES_tradnl" w:eastAsia="es-ES_tradnl"/>
        </w:rPr>
        <w:tab/>
      </w:r>
      <w:r w:rsidRPr="00580BB1">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6B846CAE" w14:textId="77777777" w:rsidR="000F7E6B" w:rsidRPr="00580BB1" w:rsidRDefault="000F7E6B" w:rsidP="000F7E6B">
      <w:pPr>
        <w:spacing w:after="120" w:line="276" w:lineRule="auto"/>
        <w:ind w:firstLine="708"/>
        <w:jc w:val="both"/>
        <w:rPr>
          <w:rFonts w:ascii="Verdana" w:eastAsia="Calibri" w:hAnsi="Verdana" w:cs="Arial"/>
          <w:color w:val="000000"/>
          <w:lang w:val="es-ES" w:eastAsia="es-ES"/>
        </w:rPr>
      </w:pPr>
      <w:r w:rsidRPr="00580BB1">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580BB1">
        <w:rPr>
          <w:rFonts w:ascii="Verdana" w:eastAsia="Calibri" w:hAnsi="Verdana" w:cs="Arial"/>
          <w:color w:val="7030A0"/>
          <w:lang w:val="es-ES" w:eastAsia="es-ES"/>
        </w:rPr>
        <w:t xml:space="preserve"> </w:t>
      </w:r>
      <w:r w:rsidRPr="00580BB1">
        <w:rPr>
          <w:rFonts w:ascii="Verdana" w:eastAsia="Calibri" w:hAnsi="Verdana" w:cs="Arial"/>
          <w:color w:val="000000"/>
          <w:lang w:val="es-ES" w:eastAsia="es-ES"/>
        </w:rPr>
        <w:t>jurídico</w:t>
      </w:r>
      <w:r w:rsidRPr="00580BB1">
        <w:rPr>
          <w:rFonts w:ascii="Verdana" w:eastAsia="Calibri" w:hAnsi="Verdana" w:cs="Arial"/>
          <w:color w:val="7030A0"/>
          <w:lang w:val="es-ES" w:eastAsia="es-ES"/>
        </w:rPr>
        <w:t xml:space="preserve"> </w:t>
      </w:r>
      <w:r w:rsidRPr="00580BB1">
        <w:rPr>
          <w:rFonts w:ascii="Verdana" w:eastAsia="Calibri" w:hAnsi="Verdana" w:cs="Arial"/>
          <w:color w:val="000000"/>
          <w:lang w:val="es-ES" w:eastAsia="es-ES"/>
        </w:rPr>
        <w:t>de su consulta.</w:t>
      </w:r>
    </w:p>
    <w:p w14:paraId="524A2FA5" w14:textId="77777777" w:rsidR="000F7E6B" w:rsidRPr="00580BB1" w:rsidRDefault="000F7E6B" w:rsidP="000F7E6B">
      <w:pPr>
        <w:spacing w:after="120" w:line="276" w:lineRule="auto"/>
        <w:ind w:firstLine="708"/>
        <w:jc w:val="both"/>
        <w:rPr>
          <w:rFonts w:ascii="Verdana" w:eastAsia="Calibri" w:hAnsi="Verdana" w:cs="Arial"/>
          <w:color w:val="000000"/>
          <w:lang w:val="es-ES" w:eastAsia="es-ES"/>
        </w:rPr>
      </w:pPr>
    </w:p>
    <w:p w14:paraId="03129E18" w14:textId="77777777" w:rsidR="000F7E6B" w:rsidRPr="00580BB1" w:rsidRDefault="000F7E6B" w:rsidP="000F7E6B">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lang w:val="es-ES"/>
        </w:rPr>
      </w:pPr>
      <w:r w:rsidRPr="00580BB1">
        <w:rPr>
          <w:rFonts w:ascii="Verdana" w:eastAsia="Century Gothic" w:hAnsi="Verdana" w:cs="Century Gothic"/>
          <w:b/>
          <w:bCs/>
          <w:lang w:val="es-ES"/>
        </w:rPr>
        <w:t>Problema planteado:</w:t>
      </w:r>
    </w:p>
    <w:p w14:paraId="7C47A754" w14:textId="77777777" w:rsidR="000F7E6B" w:rsidRPr="00580BB1" w:rsidRDefault="000F7E6B" w:rsidP="000F7E6B">
      <w:pPr>
        <w:tabs>
          <w:tab w:val="left" w:pos="142"/>
          <w:tab w:val="left" w:pos="284"/>
        </w:tabs>
        <w:spacing w:after="0" w:line="276" w:lineRule="auto"/>
        <w:jc w:val="both"/>
        <w:rPr>
          <w:rFonts w:ascii="Verdana" w:eastAsia="Century Gothic" w:hAnsi="Verdana" w:cs="Century Gothic"/>
          <w:b/>
          <w:bCs/>
          <w:lang w:val="es-ES"/>
        </w:rPr>
      </w:pPr>
    </w:p>
    <w:p w14:paraId="63EB2C97" w14:textId="322E39F0" w:rsidR="000F7E6B" w:rsidRPr="00580BB1" w:rsidRDefault="000F7E6B" w:rsidP="00235661">
      <w:pPr>
        <w:tabs>
          <w:tab w:val="left" w:pos="142"/>
          <w:tab w:val="left" w:pos="284"/>
        </w:tabs>
        <w:spacing w:after="0" w:line="276" w:lineRule="auto"/>
        <w:jc w:val="both"/>
        <w:rPr>
          <w:rFonts w:ascii="Verdana" w:eastAsia="Century Gothic" w:hAnsi="Verdana" w:cs="Century Gothic"/>
          <w:b/>
          <w:bCs/>
          <w:lang w:val="es-ES"/>
        </w:rPr>
      </w:pPr>
      <w:r w:rsidRPr="00580BB1">
        <w:rPr>
          <w:rFonts w:ascii="Verdana" w:eastAsia="Century Gothic" w:hAnsi="Verdana" w:cs="Century Gothic"/>
        </w:rPr>
        <w:t xml:space="preserve">De acuerdo con el contenido de su solicitud, esta Agencia resolverá el siguiente problema jurídico: ¿Es trasmisible la experiencia adquirida por </w:t>
      </w:r>
      <w:r w:rsidR="00C34EC2">
        <w:rPr>
          <w:rFonts w:ascii="Verdana" w:eastAsia="Century Gothic" w:hAnsi="Verdana" w:cs="Century Gothic"/>
        </w:rPr>
        <w:t xml:space="preserve">los </w:t>
      </w:r>
      <w:r w:rsidRPr="00580BB1">
        <w:rPr>
          <w:rFonts w:ascii="Verdana" w:eastAsia="Century Gothic" w:hAnsi="Verdana" w:cs="Century Gothic"/>
        </w:rPr>
        <w:t>socio</w:t>
      </w:r>
      <w:r w:rsidR="00C34EC2">
        <w:rPr>
          <w:rFonts w:ascii="Verdana" w:eastAsia="Century Gothic" w:hAnsi="Verdana" w:cs="Century Gothic"/>
        </w:rPr>
        <w:t>s previamente</w:t>
      </w:r>
      <w:r w:rsidR="00235661" w:rsidRPr="00580BB1">
        <w:rPr>
          <w:rFonts w:ascii="Verdana" w:eastAsia="Century Gothic" w:hAnsi="Verdana" w:cs="Century Gothic"/>
        </w:rPr>
        <w:t>,</w:t>
      </w:r>
      <w:r w:rsidRPr="00580BB1">
        <w:rPr>
          <w:rFonts w:ascii="Verdana" w:eastAsia="Century Gothic" w:hAnsi="Verdana" w:cs="Century Gothic"/>
        </w:rPr>
        <w:t xml:space="preserve"> </w:t>
      </w:r>
      <w:r w:rsidR="00B05AD3">
        <w:rPr>
          <w:rFonts w:ascii="Verdana" w:eastAsia="Century Gothic" w:hAnsi="Verdana" w:cs="Century Gothic"/>
        </w:rPr>
        <w:t>a una nueva sociedad constituida</w:t>
      </w:r>
      <w:r w:rsidR="00BD2313">
        <w:rPr>
          <w:rFonts w:ascii="Verdana" w:eastAsia="Century Gothic" w:hAnsi="Verdana" w:cs="Century Gothic"/>
        </w:rPr>
        <w:t xml:space="preserve"> menor a tres años</w:t>
      </w:r>
      <w:r w:rsidR="00B05AD3">
        <w:rPr>
          <w:rFonts w:ascii="Verdana" w:eastAsia="Century Gothic" w:hAnsi="Verdana" w:cs="Century Gothic"/>
        </w:rPr>
        <w:t xml:space="preserve">? </w:t>
      </w:r>
    </w:p>
    <w:p w14:paraId="501A7CFD" w14:textId="77777777" w:rsidR="00235661" w:rsidRPr="00580BB1" w:rsidRDefault="00235661" w:rsidP="00235661">
      <w:pPr>
        <w:tabs>
          <w:tab w:val="left" w:pos="142"/>
          <w:tab w:val="left" w:pos="284"/>
        </w:tabs>
        <w:spacing w:after="0" w:line="276" w:lineRule="auto"/>
        <w:jc w:val="both"/>
        <w:rPr>
          <w:rFonts w:ascii="Verdana" w:eastAsia="Century Gothic" w:hAnsi="Verdana" w:cs="Century Gothic"/>
          <w:b/>
          <w:bCs/>
          <w:lang w:val="es-ES"/>
        </w:rPr>
      </w:pPr>
    </w:p>
    <w:p w14:paraId="2339D17A" w14:textId="77777777" w:rsidR="00B35117" w:rsidRPr="00580BB1" w:rsidRDefault="00B35117" w:rsidP="00B3511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80BB1">
        <w:rPr>
          <w:rFonts w:ascii="Verdana" w:eastAsia="Century Gothic" w:hAnsi="Verdana" w:cs="Century Gothic"/>
          <w:b/>
          <w:bCs/>
          <w:lang w:val="es-ES"/>
        </w:rPr>
        <w:t>Respuesta:</w:t>
      </w:r>
    </w:p>
    <w:p w14:paraId="7C25E772" w14:textId="77777777" w:rsidR="00B35117" w:rsidRDefault="00B35117" w:rsidP="00235661">
      <w:pPr>
        <w:tabs>
          <w:tab w:val="left" w:pos="142"/>
          <w:tab w:val="left" w:pos="284"/>
        </w:tabs>
        <w:spacing w:after="0" w:line="276" w:lineRule="auto"/>
        <w:jc w:val="both"/>
        <w:rPr>
          <w:rFonts w:ascii="Verdana" w:eastAsia="Century Gothic" w:hAnsi="Verdana" w:cs="Century Gothic"/>
          <w:b/>
          <w:bCs/>
          <w:lang w:val="es-ES"/>
        </w:rPr>
      </w:pPr>
    </w:p>
    <w:p w14:paraId="08F1B321" w14:textId="327189A0" w:rsidR="00302157" w:rsidRDefault="00B05AD3" w:rsidP="00235661">
      <w:pPr>
        <w:tabs>
          <w:tab w:val="left" w:pos="142"/>
          <w:tab w:val="left" w:pos="284"/>
        </w:tabs>
        <w:spacing w:after="0" w:line="276" w:lineRule="auto"/>
        <w:jc w:val="both"/>
        <w:rPr>
          <w:rFonts w:ascii="Verdana" w:eastAsia="Century Gothic" w:hAnsi="Verdana" w:cs="Century Gothic"/>
          <w:lang w:val="es-ES"/>
        </w:rPr>
      </w:pPr>
      <w:r>
        <w:rPr>
          <w:rFonts w:ascii="Verdana" w:eastAsia="Century Gothic" w:hAnsi="Verdana" w:cs="Century Gothic"/>
          <w:lang w:val="es-ES"/>
        </w:rPr>
        <w:t xml:space="preserve">Al respecto, es necesario precisar que en primera medida la </w:t>
      </w:r>
      <w:r w:rsidRPr="00B05AD3">
        <w:rPr>
          <w:rFonts w:ascii="Verdana" w:eastAsia="Century Gothic" w:hAnsi="Verdana" w:cs="Century Gothic"/>
          <w:lang w:val="es-ES"/>
        </w:rPr>
        <w:t>experiencia es inherente a la persona que la ha obtenido, razón por la cual es intransferible en virtud de su carácter personalísimo, por disposición legal o reglamentaria</w:t>
      </w:r>
      <w:r w:rsidR="00C34EC2">
        <w:rPr>
          <w:rFonts w:ascii="Verdana" w:eastAsia="Century Gothic" w:hAnsi="Verdana" w:cs="Century Gothic"/>
          <w:lang w:val="es-ES"/>
        </w:rPr>
        <w:t>.</w:t>
      </w:r>
      <w:r>
        <w:rPr>
          <w:rFonts w:ascii="Verdana" w:eastAsia="Century Gothic" w:hAnsi="Verdana" w:cs="Century Gothic"/>
          <w:lang w:val="es-ES"/>
        </w:rPr>
        <w:t xml:space="preserve"> </w:t>
      </w:r>
      <w:r w:rsidR="00C34EC2">
        <w:rPr>
          <w:rFonts w:ascii="Verdana" w:eastAsia="Century Gothic" w:hAnsi="Verdana" w:cs="Century Gothic"/>
          <w:lang w:val="es-ES"/>
        </w:rPr>
        <w:t>N</w:t>
      </w:r>
      <w:r>
        <w:rPr>
          <w:rFonts w:ascii="Verdana" w:eastAsia="Century Gothic" w:hAnsi="Verdana" w:cs="Century Gothic"/>
          <w:lang w:val="es-ES"/>
        </w:rPr>
        <w:t xml:space="preserve">o </w:t>
      </w:r>
      <w:proofErr w:type="gramStart"/>
      <w:r>
        <w:rPr>
          <w:rFonts w:ascii="Verdana" w:eastAsia="Century Gothic" w:hAnsi="Verdana" w:cs="Century Gothic"/>
          <w:lang w:val="es-ES"/>
        </w:rPr>
        <w:t>obstante</w:t>
      </w:r>
      <w:r w:rsidR="00B51C45">
        <w:rPr>
          <w:rFonts w:ascii="Verdana" w:eastAsia="Century Gothic" w:hAnsi="Verdana" w:cs="Century Gothic"/>
          <w:lang w:val="es-ES"/>
        </w:rPr>
        <w:t xml:space="preserve">, </w:t>
      </w:r>
      <w:r w:rsidRPr="00B05AD3">
        <w:rPr>
          <w:rFonts w:ascii="Verdana" w:eastAsia="Century Gothic" w:hAnsi="Verdana" w:cs="Century Gothic"/>
          <w:lang w:val="es-ES"/>
        </w:rPr>
        <w:t xml:space="preserve"> en</w:t>
      </w:r>
      <w:proofErr w:type="gramEnd"/>
      <w:r w:rsidRPr="00B05AD3">
        <w:rPr>
          <w:rFonts w:ascii="Verdana" w:eastAsia="Century Gothic" w:hAnsi="Verdana" w:cs="Century Gothic"/>
          <w:lang w:val="es-ES"/>
        </w:rPr>
        <w:t xml:space="preserve"> caso excepcional</w:t>
      </w:r>
      <w:r w:rsidR="00C34EC2">
        <w:rPr>
          <w:rFonts w:ascii="Verdana" w:eastAsia="Century Gothic" w:hAnsi="Verdana" w:cs="Century Gothic"/>
          <w:lang w:val="es-ES"/>
        </w:rPr>
        <w:t xml:space="preserve"> con el fin de garantizar la competitividad y concurrencia </w:t>
      </w:r>
      <w:r w:rsidRPr="00B05AD3">
        <w:rPr>
          <w:rFonts w:ascii="Verdana" w:eastAsia="Century Gothic" w:hAnsi="Verdana" w:cs="Century Gothic"/>
          <w:lang w:val="es-ES"/>
        </w:rPr>
        <w:t xml:space="preserve">, </w:t>
      </w:r>
      <w:r w:rsidR="00302157">
        <w:rPr>
          <w:rFonts w:ascii="Verdana" w:eastAsia="Century Gothic" w:hAnsi="Verdana" w:cs="Century Gothic"/>
          <w:lang w:val="es-ES"/>
        </w:rPr>
        <w:t xml:space="preserve">se podrá acreditar la experiencia de sus accionistas, socios o constituyentes cuando la </w:t>
      </w:r>
      <w:r w:rsidR="00302157">
        <w:rPr>
          <w:rFonts w:ascii="Verdana" w:eastAsia="Century Gothic" w:hAnsi="Verdana" w:cs="Century Gothic"/>
          <w:lang w:val="es-ES"/>
        </w:rPr>
        <w:lastRenderedPageBreak/>
        <w:t>constitución sea menor a tres (03) años, tal y como lo</w:t>
      </w:r>
      <w:r w:rsidRPr="00B05AD3">
        <w:rPr>
          <w:rFonts w:ascii="Verdana" w:eastAsia="Century Gothic" w:hAnsi="Verdana" w:cs="Century Gothic"/>
          <w:lang w:val="es-ES"/>
        </w:rPr>
        <w:t xml:space="preserve"> </w:t>
      </w:r>
      <w:r>
        <w:rPr>
          <w:rFonts w:ascii="Verdana" w:eastAsia="Century Gothic" w:hAnsi="Verdana" w:cs="Century Gothic"/>
          <w:lang w:val="es-ES"/>
        </w:rPr>
        <w:t>contemplado el</w:t>
      </w:r>
      <w:r w:rsidR="00302157">
        <w:rPr>
          <w:rFonts w:ascii="Verdana" w:eastAsia="Century Gothic" w:hAnsi="Verdana" w:cs="Century Gothic"/>
          <w:lang w:val="es-ES"/>
        </w:rPr>
        <w:t xml:space="preserve"> numeral 2.5</w:t>
      </w:r>
      <w:r>
        <w:rPr>
          <w:rFonts w:ascii="Verdana" w:eastAsia="Century Gothic" w:hAnsi="Verdana" w:cs="Century Gothic"/>
          <w:lang w:val="es-ES"/>
        </w:rPr>
        <w:t xml:space="preserve"> artículo </w:t>
      </w:r>
      <w:r w:rsidR="00302157">
        <w:rPr>
          <w:rFonts w:ascii="Verdana" w:eastAsia="Century Gothic" w:hAnsi="Verdana" w:cs="Century Gothic"/>
          <w:lang w:val="es-ES"/>
        </w:rPr>
        <w:t xml:space="preserve"> </w:t>
      </w:r>
      <w:r w:rsidR="00302157" w:rsidRPr="00302157">
        <w:rPr>
          <w:rFonts w:ascii="Verdana" w:eastAsia="Century Gothic" w:hAnsi="Verdana" w:cs="Century Gothic"/>
          <w:lang w:val="es-ES"/>
        </w:rPr>
        <w:t>2.2.1.1.1.5.2</w:t>
      </w:r>
      <w:r w:rsidR="00302157">
        <w:rPr>
          <w:rFonts w:ascii="Verdana" w:eastAsia="Century Gothic" w:hAnsi="Verdana" w:cs="Century Gothic"/>
          <w:lang w:val="es-ES"/>
        </w:rPr>
        <w:t xml:space="preserve">  del Decreto 1082 de 2015 el cual establece: </w:t>
      </w:r>
    </w:p>
    <w:p w14:paraId="17220D27" w14:textId="77777777" w:rsidR="00302157" w:rsidRPr="002046BE" w:rsidRDefault="00302157" w:rsidP="00235661">
      <w:pPr>
        <w:tabs>
          <w:tab w:val="left" w:pos="142"/>
          <w:tab w:val="left" w:pos="284"/>
        </w:tabs>
        <w:spacing w:after="0" w:line="276" w:lineRule="auto"/>
        <w:jc w:val="both"/>
        <w:rPr>
          <w:rFonts w:ascii="Verdana" w:eastAsia="Century Gothic" w:hAnsi="Verdana" w:cs="Century Gothic"/>
          <w:i/>
          <w:iCs/>
          <w:lang w:val="es-ES"/>
        </w:rPr>
      </w:pPr>
    </w:p>
    <w:p w14:paraId="11C1D7BA" w14:textId="03600EBD" w:rsidR="00B05AD3" w:rsidRPr="002046BE" w:rsidRDefault="00302157" w:rsidP="00235661">
      <w:pPr>
        <w:tabs>
          <w:tab w:val="left" w:pos="142"/>
          <w:tab w:val="left" w:pos="284"/>
        </w:tabs>
        <w:spacing w:after="0" w:line="276" w:lineRule="auto"/>
        <w:jc w:val="both"/>
        <w:rPr>
          <w:rFonts w:ascii="Verdana" w:eastAsia="Century Gothic" w:hAnsi="Verdana" w:cs="Century Gothic"/>
          <w:i/>
          <w:iCs/>
          <w:lang w:val="es-ES"/>
        </w:rPr>
      </w:pPr>
      <w:r w:rsidRPr="002046BE">
        <w:rPr>
          <w:rFonts w:ascii="Verdana" w:eastAsia="Century Gothic" w:hAnsi="Verdana" w:cs="Century Gothic"/>
          <w:i/>
          <w:iCs/>
          <w:lang w:val="es-ES"/>
        </w:rPr>
        <w:t xml:space="preserve">“ </w:t>
      </w:r>
      <w:r w:rsidRPr="002046BE">
        <w:rPr>
          <w:rFonts w:ascii="Verdana" w:eastAsia="Century Gothic" w:hAnsi="Verdana" w:cs="Century Gothic"/>
          <w:i/>
          <w:iCs/>
        </w:rPr>
        <w:t xml:space="preserve">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r w:rsidRPr="002046BE">
        <w:rPr>
          <w:rFonts w:ascii="Verdana" w:eastAsia="Century Gothic" w:hAnsi="Verdana" w:cs="Century Gothic"/>
          <w:b/>
          <w:bCs/>
          <w:i/>
          <w:iCs/>
        </w:rPr>
        <w:t>Si la constitución del interesado es menor a tres (3) años, puede acreditar la experiencia de sus accionistas, socios o constituyentes.”(negrilla fuera de texto)</w:t>
      </w:r>
    </w:p>
    <w:p w14:paraId="2FBFA462" w14:textId="77777777" w:rsidR="00B05AD3" w:rsidRDefault="00B05AD3" w:rsidP="00235661">
      <w:pPr>
        <w:tabs>
          <w:tab w:val="left" w:pos="142"/>
          <w:tab w:val="left" w:pos="284"/>
        </w:tabs>
        <w:spacing w:after="0" w:line="276" w:lineRule="auto"/>
        <w:jc w:val="both"/>
        <w:rPr>
          <w:rFonts w:ascii="Verdana" w:eastAsia="Century Gothic" w:hAnsi="Verdana" w:cs="Century Gothic"/>
          <w:lang w:val="es-ES"/>
        </w:rPr>
      </w:pPr>
    </w:p>
    <w:p w14:paraId="12E1958D" w14:textId="77F002FF" w:rsidR="00B35117" w:rsidRPr="00580BB1" w:rsidRDefault="00B51C45" w:rsidP="00235661">
      <w:pPr>
        <w:shd w:val="clear" w:color="auto" w:fill="FFFFFF"/>
        <w:spacing w:after="120" w:line="276" w:lineRule="auto"/>
        <w:ind w:firstLine="709"/>
        <w:jc w:val="both"/>
        <w:rPr>
          <w:rFonts w:ascii="Verdana" w:eastAsia="Times New Roman" w:hAnsi="Verdana" w:cs="Arial"/>
          <w:lang w:eastAsia="es-ES_tradnl"/>
        </w:rPr>
      </w:pPr>
      <w:r>
        <w:rPr>
          <w:rFonts w:ascii="Verdana" w:eastAsia="Century Gothic" w:hAnsi="Verdana" w:cs="Century Gothic"/>
          <w:lang w:val="es-ES"/>
        </w:rPr>
        <w:t>En ese sentido, solo se podrá aplicar la experiencia de los socios o accionistas en el caso expreso de la norma</w:t>
      </w:r>
      <w:r w:rsidR="00221F67">
        <w:rPr>
          <w:rFonts w:ascii="Verdana" w:eastAsia="Century Gothic" w:hAnsi="Verdana" w:cs="Century Gothic"/>
          <w:lang w:val="es-ES"/>
        </w:rPr>
        <w:t xml:space="preserve"> citada</w:t>
      </w:r>
      <w:r>
        <w:rPr>
          <w:rFonts w:ascii="Verdana" w:eastAsia="Century Gothic" w:hAnsi="Verdana" w:cs="Century Gothic"/>
          <w:lang w:val="es-ES"/>
        </w:rPr>
        <w:t>.</w:t>
      </w:r>
    </w:p>
    <w:p w14:paraId="73330162" w14:textId="77777777" w:rsidR="00B35117" w:rsidRPr="00580BB1" w:rsidRDefault="00B35117" w:rsidP="00B3511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80BB1">
        <w:rPr>
          <w:rFonts w:ascii="Verdana" w:eastAsia="Century Gothic" w:hAnsi="Verdana" w:cs="Century Gothic"/>
          <w:b/>
          <w:bCs/>
          <w:lang w:val="es-ES"/>
        </w:rPr>
        <w:t>Razones de la respuesta:</w:t>
      </w:r>
    </w:p>
    <w:p w14:paraId="06C91187" w14:textId="77777777" w:rsidR="00B35117" w:rsidRPr="00580BB1" w:rsidRDefault="00B35117" w:rsidP="00B35117">
      <w:pPr>
        <w:spacing w:after="0" w:line="276" w:lineRule="auto"/>
        <w:jc w:val="both"/>
        <w:rPr>
          <w:rFonts w:ascii="Verdana" w:eastAsia="Calibri" w:hAnsi="Verdana" w:cs="Arial"/>
          <w:color w:val="7030A0"/>
          <w:lang w:val="es-ES"/>
        </w:rPr>
      </w:pPr>
    </w:p>
    <w:p w14:paraId="6AB2245C" w14:textId="77777777" w:rsidR="00B35117" w:rsidRPr="00580BB1" w:rsidRDefault="00B35117" w:rsidP="00B35117">
      <w:pPr>
        <w:spacing w:after="0" w:line="276" w:lineRule="auto"/>
        <w:jc w:val="both"/>
        <w:rPr>
          <w:rFonts w:ascii="Verdana" w:eastAsia="Calibri" w:hAnsi="Verdana" w:cs="Arial"/>
          <w:lang w:val="es-ES"/>
        </w:rPr>
      </w:pPr>
      <w:r w:rsidRPr="00580BB1">
        <w:rPr>
          <w:rFonts w:ascii="Verdana" w:eastAsia="Calibri" w:hAnsi="Verdana" w:cs="Arial"/>
          <w:lang w:val="es-ES"/>
        </w:rPr>
        <w:t xml:space="preserve">Lo anterior se sustenta en las siguientes consideraciones: </w:t>
      </w:r>
    </w:p>
    <w:p w14:paraId="00F3A521" w14:textId="729D65FB" w:rsidR="00B35117" w:rsidRPr="002046BE" w:rsidRDefault="00B35117" w:rsidP="002046BE">
      <w:pPr>
        <w:pStyle w:val="Prrafodelista"/>
        <w:numPr>
          <w:ilvl w:val="0"/>
          <w:numId w:val="5"/>
        </w:numPr>
        <w:spacing w:before="120" w:after="120" w:line="276" w:lineRule="auto"/>
        <w:jc w:val="both"/>
        <w:rPr>
          <w:rFonts w:ascii="Verdana" w:eastAsia="Calibri" w:hAnsi="Verdana" w:cs="Arial"/>
        </w:rPr>
      </w:pPr>
      <w:r w:rsidRPr="002046BE">
        <w:rPr>
          <w:rFonts w:ascii="Verdana" w:eastAsia="Calibri" w:hAnsi="Verdana" w:cs="Arial"/>
        </w:rPr>
        <w:t>La experiencia que se deriva de los contratos que el proponente ha celebrado y ejecutado con diferentes contratantes, sin importar la naturaleza de estos, se verifica con el Registro Único de Proponentes – RUP</w:t>
      </w:r>
      <w:r w:rsidRPr="00580BB1">
        <w:rPr>
          <w:vertAlign w:val="superscript"/>
        </w:rPr>
        <w:footnoteReference w:id="1"/>
      </w:r>
      <w:r w:rsidRPr="002046BE">
        <w:rPr>
          <w:rFonts w:ascii="Verdana" w:eastAsia="Calibri" w:hAnsi="Verdana" w:cs="Arial"/>
        </w:rPr>
        <w:t xml:space="preserve">, cuando este certificado sea exigible de acuerdo con la </w:t>
      </w:r>
      <w:r w:rsidR="00C34EC2">
        <w:rPr>
          <w:rFonts w:ascii="Verdana" w:eastAsia="Calibri" w:hAnsi="Verdana" w:cs="Arial"/>
        </w:rPr>
        <w:t>L</w:t>
      </w:r>
      <w:r w:rsidRPr="002046BE">
        <w:rPr>
          <w:rFonts w:ascii="Verdana" w:eastAsia="Calibri" w:hAnsi="Verdana" w:cs="Arial"/>
        </w:rPr>
        <w:t>ey. En el RUP constan los requisitos habilitantes que se evalúan exclusivamente con este documento, que es su plena prueba, sin que la entidad o el proponente puedan solicitar o aportar otra documentación</w:t>
      </w:r>
      <w:r w:rsidRPr="00580BB1">
        <w:rPr>
          <w:vertAlign w:val="superscript"/>
        </w:rPr>
        <w:footnoteReference w:id="2"/>
      </w:r>
      <w:r w:rsidRPr="002046BE">
        <w:rPr>
          <w:rFonts w:ascii="Verdana" w:eastAsia="Calibri" w:hAnsi="Verdana" w:cs="Arial"/>
        </w:rPr>
        <w:t>.</w:t>
      </w:r>
    </w:p>
    <w:p w14:paraId="1E128ED3" w14:textId="7CBE957B" w:rsidR="00B35117" w:rsidRDefault="00B35117">
      <w:pPr>
        <w:pStyle w:val="Prrafodelista"/>
        <w:numPr>
          <w:ilvl w:val="0"/>
          <w:numId w:val="5"/>
        </w:numPr>
        <w:spacing w:line="276" w:lineRule="auto"/>
        <w:jc w:val="both"/>
        <w:rPr>
          <w:rFonts w:ascii="Verdana" w:eastAsia="Calibri" w:hAnsi="Verdana" w:cs="Arial"/>
        </w:rPr>
      </w:pPr>
      <w:r w:rsidRPr="002046BE">
        <w:rPr>
          <w:rFonts w:ascii="Verdana" w:eastAsia="Calibri" w:hAnsi="Verdana" w:cs="Arial"/>
        </w:rPr>
        <w:lastRenderedPageBreak/>
        <w:t>En Concepto C 339 de 2022 esta Agencia precisó “ (…)la experiencia,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Tales documentos deben codificarse con el clasificador de bienes y servicios en el tercer nivel</w:t>
      </w:r>
      <w:r w:rsidRPr="00580BB1">
        <w:rPr>
          <w:vertAlign w:val="superscript"/>
        </w:rPr>
        <w:footnoteReference w:id="3"/>
      </w:r>
      <w:r w:rsidRPr="002046BE">
        <w:rPr>
          <w:rFonts w:ascii="Verdana" w:eastAsia="Calibri" w:hAnsi="Verdana" w:cs="Arial"/>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 </w:t>
      </w:r>
    </w:p>
    <w:p w14:paraId="1D199072" w14:textId="4A60CE48" w:rsidR="00221F67" w:rsidRPr="002046BE" w:rsidRDefault="00B35117" w:rsidP="002046BE">
      <w:pPr>
        <w:pStyle w:val="Prrafodelista"/>
        <w:numPr>
          <w:ilvl w:val="0"/>
          <w:numId w:val="5"/>
        </w:numPr>
        <w:spacing w:line="276" w:lineRule="auto"/>
        <w:jc w:val="both"/>
        <w:rPr>
          <w:rFonts w:ascii="Verdana" w:eastAsia="Calibri" w:hAnsi="Verdana" w:cs="Arial"/>
        </w:rPr>
      </w:pPr>
      <w:r w:rsidRPr="002046BE">
        <w:rPr>
          <w:rFonts w:ascii="Verdana" w:eastAsia="Calibri" w:hAnsi="Verdana" w:cs="Arial"/>
        </w:rPr>
        <w:t xml:space="preserve">En concepto C 088 de 2024, la Agencia expuso cuatro conclusiones relevantes respecto </w:t>
      </w:r>
      <w:r w:rsidR="002451F3">
        <w:rPr>
          <w:rFonts w:ascii="Verdana" w:eastAsia="Calibri" w:hAnsi="Verdana" w:cs="Arial"/>
        </w:rPr>
        <w:t>a</w:t>
      </w:r>
      <w:r w:rsidR="00F66899" w:rsidRPr="00717987">
        <w:rPr>
          <w:rFonts w:ascii="Verdana" w:eastAsia="Calibri" w:hAnsi="Verdana" w:cs="Arial"/>
        </w:rPr>
        <w:t xml:space="preserve"> la experiencia</w:t>
      </w:r>
      <w:r w:rsidRPr="002046BE">
        <w:rPr>
          <w:rFonts w:ascii="Verdana" w:eastAsia="Calibri" w:hAnsi="Verdana" w:cs="Arial"/>
        </w:rPr>
        <w:t xml:space="preserve"> </w:t>
      </w:r>
      <w:r w:rsidR="002451F3">
        <w:rPr>
          <w:rFonts w:ascii="Verdana" w:eastAsia="Calibri" w:hAnsi="Verdana" w:cs="Arial"/>
        </w:rPr>
        <w:t>de los proponentes al indicar que</w:t>
      </w:r>
      <w:r w:rsidRPr="002046BE">
        <w:rPr>
          <w:rFonts w:ascii="Verdana" w:eastAsia="Calibri" w:hAnsi="Verdana" w:cs="Arial"/>
        </w:rPr>
        <w:t xml:space="preserve">: </w:t>
      </w:r>
    </w:p>
    <w:p w14:paraId="773536F7" w14:textId="7ED67E0A" w:rsidR="00221F67" w:rsidRPr="00B712F4" w:rsidRDefault="00B35117" w:rsidP="002046BE">
      <w:pPr>
        <w:pStyle w:val="Prrafodelista"/>
        <w:spacing w:before="120" w:after="120" w:line="276" w:lineRule="auto"/>
        <w:ind w:left="1428"/>
        <w:jc w:val="both"/>
        <w:rPr>
          <w:rFonts w:ascii="Verdana" w:eastAsia="Calibri" w:hAnsi="Verdana" w:cs="Arial"/>
        </w:rPr>
      </w:pPr>
      <w:r w:rsidRPr="002046BE">
        <w:rPr>
          <w:rFonts w:ascii="Verdana" w:eastAsia="Calibri" w:hAnsi="Verdana" w:cs="Arial"/>
        </w:rPr>
        <w:t>“(…)</w:t>
      </w:r>
    </w:p>
    <w:p w14:paraId="4600A0E7" w14:textId="05AE3654" w:rsidR="00221F67" w:rsidRPr="00580BB1" w:rsidRDefault="00B35117" w:rsidP="002046BE">
      <w:pPr>
        <w:pStyle w:val="Prrafodelista"/>
        <w:spacing w:before="120" w:after="120" w:line="276" w:lineRule="auto"/>
        <w:ind w:left="1428"/>
        <w:jc w:val="both"/>
      </w:pPr>
      <w:r w:rsidRPr="00580BB1">
        <w:t xml:space="preserve">i) La experiencia es </w:t>
      </w:r>
      <w:r w:rsidRPr="00580BB1">
        <w:rPr>
          <w:i/>
          <w:iCs/>
        </w:rPr>
        <w:t>personal</w:t>
      </w:r>
      <w:r w:rsidRPr="00580BB1">
        <w:t>, esto es, se adquiere participando, directa o indirectamente, sin que sea posible no hacerlo y tener experiencia.</w:t>
      </w:r>
    </w:p>
    <w:p w14:paraId="1E66D84D" w14:textId="0766EF30" w:rsidR="00221F67" w:rsidRPr="00580BB1" w:rsidRDefault="00B35117" w:rsidP="002046BE">
      <w:pPr>
        <w:pStyle w:val="Prrafodelista"/>
        <w:spacing w:before="120" w:after="120" w:line="276" w:lineRule="auto"/>
        <w:ind w:left="1428"/>
        <w:jc w:val="both"/>
      </w:pPr>
      <w:proofErr w:type="spellStart"/>
      <w:r w:rsidRPr="00580BB1">
        <w:t>ii</w:t>
      </w:r>
      <w:proofErr w:type="spellEnd"/>
      <w:r w:rsidRPr="00580BB1">
        <w:t xml:space="preserve">) La experiencia se puede </w:t>
      </w:r>
      <w:r w:rsidRPr="00580BB1">
        <w:rPr>
          <w:i/>
          <w:iCs/>
        </w:rPr>
        <w:t>compartir</w:t>
      </w:r>
      <w:r w:rsidRPr="00580BB1">
        <w:t xml:space="preserve">, sin que implique que la compartida a una persona se entienda suya, ya que dentro del procedimiento contractual se reflejará que esa </w:t>
      </w:r>
      <w:r w:rsidRPr="00580BB1">
        <w:lastRenderedPageBreak/>
        <w:t>persona tiene la experiencia de otra, como es el caso de las figuras asociativas–consorcios y uniones temporales– que se verificará en el documento privado de constitución.</w:t>
      </w:r>
    </w:p>
    <w:p w14:paraId="428B9530" w14:textId="05D0EED0" w:rsidR="00C34EC2" w:rsidRPr="00580BB1" w:rsidRDefault="00B35117" w:rsidP="002046BE">
      <w:pPr>
        <w:pStyle w:val="Prrafodelista"/>
        <w:spacing w:before="120" w:after="120" w:line="276" w:lineRule="auto"/>
        <w:ind w:left="1428"/>
        <w:jc w:val="both"/>
      </w:pPr>
      <w:proofErr w:type="spellStart"/>
      <w:r w:rsidRPr="00580BB1">
        <w:t>iii</w:t>
      </w:r>
      <w:proofErr w:type="spellEnd"/>
      <w:r w:rsidRPr="00580BB1">
        <w:t xml:space="preserve">) La experiencia se puede </w:t>
      </w:r>
      <w:r w:rsidRPr="00580BB1">
        <w:rPr>
          <w:i/>
          <w:iCs/>
        </w:rPr>
        <w:t>transferir</w:t>
      </w:r>
      <w:r w:rsidRPr="00580BB1">
        <w:t>, y esto es diferente a compartir, lo que implica que la experiencia de una persona se traslada a otra, y esta última acredita la experiencia como propia, como sucede con algunas figuras y reformas estatutarias.</w:t>
      </w:r>
    </w:p>
    <w:p w14:paraId="3D6E8D50" w14:textId="31E55D45" w:rsidR="00C34EC2" w:rsidRPr="00580BB1" w:rsidRDefault="00B35117" w:rsidP="002046BE">
      <w:pPr>
        <w:pStyle w:val="Prrafodelista"/>
        <w:spacing w:before="120" w:after="120" w:line="276" w:lineRule="auto"/>
        <w:ind w:left="1428"/>
        <w:jc w:val="both"/>
      </w:pPr>
      <w:proofErr w:type="spellStart"/>
      <w:r w:rsidRPr="00580BB1">
        <w:t>iv</w:t>
      </w:r>
      <w:proofErr w:type="spellEnd"/>
      <w:r w:rsidRPr="00580BB1">
        <w:t xml:space="preserve">) Cuando la persona que adquirió la experiencia </w:t>
      </w:r>
      <w:r w:rsidRPr="00580BB1">
        <w:rPr>
          <w:i/>
          <w:iCs/>
        </w:rPr>
        <w:t>desaparece</w:t>
      </w:r>
      <w:r w:rsidRPr="00580BB1">
        <w:t xml:space="preserve"> o se liquida no es posible que comparta o transfiera su experiencia, puesto que, al ser esta personal, sigue la suerte de quien la adquirió.</w:t>
      </w:r>
    </w:p>
    <w:p w14:paraId="24D070BA" w14:textId="4737E5F9" w:rsidR="00B35117" w:rsidRPr="002046BE" w:rsidRDefault="00B35117" w:rsidP="002046BE">
      <w:pPr>
        <w:pStyle w:val="Prrafodelista"/>
        <w:numPr>
          <w:ilvl w:val="0"/>
          <w:numId w:val="10"/>
        </w:numPr>
        <w:spacing w:line="276" w:lineRule="auto"/>
        <w:ind w:right="709"/>
        <w:jc w:val="both"/>
        <w:rPr>
          <w:rFonts w:ascii="Verdana" w:eastAsia="Calibri" w:hAnsi="Verdana" w:cs="Arial"/>
        </w:rPr>
      </w:pPr>
      <w:r w:rsidRPr="002046BE">
        <w:rPr>
          <w:rFonts w:ascii="Verdana" w:eastAsia="Calibri" w:hAnsi="Verdana" w:cs="Arial"/>
        </w:rPr>
        <w:t>De lo anterior se desprende que, por regla general, en la actividad contractual regulada por el Estatuto General de Contratación de la Administración Pública la experiencia es personal e intransferible, salvo algunas excepciones</w:t>
      </w:r>
      <w:r w:rsidR="00827917">
        <w:rPr>
          <w:rFonts w:ascii="Verdana" w:eastAsia="Calibri" w:hAnsi="Verdana" w:cs="Arial"/>
        </w:rPr>
        <w:t>:</w:t>
      </w:r>
      <w:r w:rsidRPr="002046BE">
        <w:rPr>
          <w:rFonts w:ascii="Verdana" w:eastAsia="Calibri" w:hAnsi="Verdana" w:cs="Arial"/>
        </w:rPr>
        <w:t xml:space="preserve"> </w:t>
      </w:r>
    </w:p>
    <w:p w14:paraId="6B81564D" w14:textId="6559C5C7" w:rsidR="00B35117" w:rsidRPr="00580BB1" w:rsidRDefault="00827917" w:rsidP="002046BE">
      <w:pPr>
        <w:pStyle w:val="Prrafodelista"/>
        <w:spacing w:before="120" w:after="120" w:line="276" w:lineRule="auto"/>
        <w:ind w:left="1428"/>
        <w:jc w:val="both"/>
        <w:rPr>
          <w:rFonts w:ascii="Verdana" w:eastAsia="Calibri" w:hAnsi="Verdana" w:cs="Arial"/>
        </w:rPr>
      </w:pPr>
      <w:r>
        <w:rPr>
          <w:rFonts w:ascii="Verdana" w:eastAsia="Calibri" w:hAnsi="Verdana" w:cs="Arial"/>
        </w:rPr>
        <w:t>a)</w:t>
      </w:r>
      <w:r w:rsidR="00B35117" w:rsidRPr="00580BB1">
        <w:rPr>
          <w:rFonts w:ascii="Verdana" w:eastAsia="Calibri" w:hAnsi="Verdana" w:cs="Arial"/>
        </w:rPr>
        <w:t xml:space="preserve">La primera excepción a la regla anteriormente descrita se encuentra consagrada en el numeral 2.5. del artículo 2.2.1.1.1.5.2. del Decreto 1082 de 2015, con arreglo al cual si bien para la inscripción, renovación o actualización del Registro Único de Proponentes (RUP) la persona jurídica interesada debe presentar ante la cámara de comercio respectiva los certificados de los bienes, obras o servicios cuya experiencia requiere acreditar, “Si la constitución del interesado es menor a tres (3) años, puede acreditar la experiencia de sus accionistas, socios o constituyentes”. </w:t>
      </w:r>
    </w:p>
    <w:p w14:paraId="5BD8B3CB" w14:textId="2487AB2F" w:rsidR="00B35117" w:rsidRPr="00580BB1" w:rsidRDefault="00827917" w:rsidP="002046BE">
      <w:pPr>
        <w:pStyle w:val="Prrafodelista"/>
        <w:spacing w:before="120" w:after="120" w:line="276" w:lineRule="auto"/>
        <w:ind w:left="1428"/>
        <w:jc w:val="both"/>
        <w:rPr>
          <w:rFonts w:ascii="Verdana" w:eastAsia="Calibri" w:hAnsi="Verdana" w:cs="Arial"/>
        </w:rPr>
      </w:pPr>
      <w:r>
        <w:rPr>
          <w:rFonts w:ascii="Verdana" w:eastAsia="Calibri" w:hAnsi="Verdana" w:cs="Arial"/>
        </w:rPr>
        <w:t>b)</w:t>
      </w:r>
      <w:r w:rsidR="00B35117" w:rsidRPr="00580BB1">
        <w:rPr>
          <w:rFonts w:ascii="Verdana" w:eastAsia="Calibri" w:hAnsi="Verdana" w:cs="Arial"/>
        </w:rPr>
        <w:t>La segunda cuando se presenten algunas reformas estatutarias de las personas jurídicas o de reorganización empresarial, en las que la persona jurídica no se liquida y por lo tanto puede transferir su experiencia a la persona jurídica resultante, como ocurre en la transformación y en la fusión, tesis implementada por la  Agencia en el concepto C-002 de 2020 emitido por la Subdirección de Gestión Contractual  en donde indicó que  “es viable la transferencia de experiencia en la transformación y en la fusión, pero no en la escisión […]”  tesis que se reitera en esta respuesta.</w:t>
      </w:r>
    </w:p>
    <w:p w14:paraId="23765B46" w14:textId="77777777" w:rsidR="00B35117" w:rsidRPr="00580BB1" w:rsidRDefault="00B35117" w:rsidP="00B35117">
      <w:pPr>
        <w:pStyle w:val="Prrafodelista"/>
        <w:spacing w:before="120" w:after="120" w:line="276" w:lineRule="auto"/>
        <w:ind w:left="1428"/>
        <w:jc w:val="both"/>
        <w:rPr>
          <w:rFonts w:ascii="Verdana" w:eastAsia="Calibri" w:hAnsi="Verdana" w:cs="Arial"/>
        </w:rPr>
      </w:pPr>
    </w:p>
    <w:p w14:paraId="0E984ED2" w14:textId="77777777" w:rsidR="00B35117" w:rsidRPr="00580BB1" w:rsidRDefault="00B35117" w:rsidP="002046BE">
      <w:pPr>
        <w:pStyle w:val="Prrafodelista"/>
        <w:numPr>
          <w:ilvl w:val="0"/>
          <w:numId w:val="10"/>
        </w:numPr>
        <w:spacing w:before="120" w:after="120" w:line="276" w:lineRule="auto"/>
        <w:jc w:val="both"/>
        <w:rPr>
          <w:rFonts w:ascii="Verdana" w:eastAsia="Calibri" w:hAnsi="Verdana" w:cs="Arial"/>
          <w:lang w:val="es-ES"/>
        </w:rPr>
      </w:pPr>
      <w:r w:rsidRPr="00580BB1">
        <w:rPr>
          <w:rFonts w:ascii="Verdana" w:eastAsia="Calibri" w:hAnsi="Verdana" w:cs="Arial"/>
        </w:rPr>
        <w:t>Ahora bien, se reitera que dicha tesis comenzó a aplicarse a partir del concepto C-002 de 2020, y reiterado por otros conceptos emitidos por la Agencia</w:t>
      </w:r>
      <w:r w:rsidRPr="00580BB1">
        <w:rPr>
          <w:rStyle w:val="Refdenotaalpie"/>
          <w:rFonts w:ascii="Verdana" w:eastAsia="Calibri" w:hAnsi="Verdana" w:cs="Arial"/>
        </w:rPr>
        <w:footnoteReference w:id="4"/>
      </w:r>
      <w:r w:rsidRPr="00580BB1">
        <w:rPr>
          <w:rFonts w:ascii="Verdana" w:eastAsia="Calibri" w:hAnsi="Verdana" w:cs="Arial"/>
        </w:rPr>
        <w:t xml:space="preserve">, </w:t>
      </w:r>
      <w:r w:rsidRPr="00580BB1">
        <w:rPr>
          <w:rFonts w:ascii="Verdana" w:eastAsia="Calibri" w:hAnsi="Verdana" w:cs="Arial"/>
        </w:rPr>
        <w:lastRenderedPageBreak/>
        <w:t>debido a que forma previa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se debe verificar la experiencia de “los contratos celebrados por el interesado para cada uno de los bienes, obras y servicios que ofrecerá a las Entidades Estatales, identificados con el Clasificador de Bienes y Servicios en el tercer nivel y su valor expresado en SMMLV […]”</w:t>
      </w:r>
    </w:p>
    <w:p w14:paraId="04147F39" w14:textId="77777777" w:rsidR="00B35117" w:rsidRPr="00580BB1" w:rsidRDefault="00B35117" w:rsidP="00580BB1">
      <w:pPr>
        <w:pStyle w:val="Prrafodelista"/>
        <w:spacing w:before="120" w:after="120" w:line="276" w:lineRule="auto"/>
        <w:ind w:left="1428"/>
        <w:jc w:val="both"/>
        <w:rPr>
          <w:rFonts w:ascii="Verdana" w:eastAsia="Calibri" w:hAnsi="Verdana" w:cs="Arial"/>
          <w:lang w:val="es-ES"/>
        </w:rPr>
      </w:pPr>
    </w:p>
    <w:p w14:paraId="0C8A4A28" w14:textId="1EA85E51" w:rsidR="00BA7C2E" w:rsidRPr="002046BE" w:rsidRDefault="00221F67" w:rsidP="00BA7C2E">
      <w:pPr>
        <w:pStyle w:val="Prrafodelista"/>
        <w:numPr>
          <w:ilvl w:val="0"/>
          <w:numId w:val="7"/>
        </w:numPr>
        <w:spacing w:after="120" w:line="276" w:lineRule="auto"/>
        <w:jc w:val="both"/>
        <w:rPr>
          <w:rFonts w:ascii="Verdana" w:eastAsia="Times New Roman" w:hAnsi="Verdana" w:cs="Arial"/>
          <w:lang w:val="es-MX" w:eastAsia="es-ES_tradnl"/>
        </w:rPr>
      </w:pPr>
      <w:r>
        <w:rPr>
          <w:rFonts w:ascii="Verdana" w:eastAsia="Times New Roman" w:hAnsi="Verdana" w:cs="Arial"/>
          <w:lang w:val="es-MX" w:eastAsia="es-ES_tradnl"/>
        </w:rPr>
        <w:t xml:space="preserve"> </w:t>
      </w:r>
      <w:r w:rsidR="00827917">
        <w:rPr>
          <w:rFonts w:ascii="Verdana" w:eastAsia="Times New Roman" w:hAnsi="Verdana" w:cs="Arial"/>
          <w:lang w:val="es-MX" w:eastAsia="es-ES_tradnl"/>
        </w:rPr>
        <w:t>C</w:t>
      </w:r>
      <w:r>
        <w:rPr>
          <w:rFonts w:ascii="Verdana" w:eastAsia="Times New Roman" w:hAnsi="Verdana" w:cs="Arial"/>
          <w:lang w:val="es-MX" w:eastAsia="es-ES_tradnl"/>
        </w:rPr>
        <w:t xml:space="preserve">omo  ya se ha reiterado en el desarrollo del presente concepto, </w:t>
      </w:r>
      <w:r w:rsidR="00B35117" w:rsidRPr="002046BE">
        <w:rPr>
          <w:rFonts w:ascii="Verdana" w:eastAsia="Times New Roman" w:hAnsi="Verdana" w:cs="Arial"/>
          <w:lang w:val="es-MX" w:eastAsia="es-ES_tradnl"/>
        </w:rPr>
        <w:t xml:space="preserve">el </w:t>
      </w:r>
      <w:r w:rsidR="00D2404B">
        <w:rPr>
          <w:rFonts w:ascii="Verdana" w:eastAsia="Times New Roman" w:hAnsi="Verdana" w:cs="Arial"/>
          <w:lang w:val="es-MX" w:eastAsia="es-ES_tradnl"/>
        </w:rPr>
        <w:t xml:space="preserve">numeral 2.5 del artículo </w:t>
      </w:r>
      <w:r w:rsidR="00D2404B" w:rsidRPr="00D2404B">
        <w:rPr>
          <w:rFonts w:ascii="Verdana" w:eastAsia="Times New Roman" w:hAnsi="Verdana" w:cs="Arial"/>
          <w:lang w:val="es-MX" w:eastAsia="es-ES_tradnl"/>
        </w:rPr>
        <w:t>2.2.1.1.1.5.2</w:t>
      </w:r>
      <w:r w:rsidR="00D2404B">
        <w:rPr>
          <w:rFonts w:ascii="Verdana" w:eastAsia="Times New Roman" w:hAnsi="Verdana" w:cs="Arial"/>
          <w:lang w:val="es-MX" w:eastAsia="es-ES_tradnl"/>
        </w:rPr>
        <w:t xml:space="preserve"> del </w:t>
      </w:r>
      <w:r w:rsidR="00B35117" w:rsidRPr="002046BE">
        <w:rPr>
          <w:rFonts w:ascii="Verdana" w:eastAsia="Times New Roman" w:hAnsi="Verdana" w:cs="Arial"/>
          <w:lang w:val="es-MX" w:eastAsia="es-ES_tradnl"/>
        </w:rPr>
        <w:t>Decreto 1082 de 2015 solo permite que una sociedad acredite la experiencia de quienes tienen la calidad de accionistas, socios o constituyentes durante los primeros tres (3) años de su constitución</w:t>
      </w:r>
      <w:r>
        <w:rPr>
          <w:rFonts w:ascii="Verdana" w:eastAsia="Times New Roman" w:hAnsi="Verdana" w:cs="Arial"/>
          <w:lang w:val="es-MX" w:eastAsia="es-ES_tradnl"/>
        </w:rPr>
        <w:t xml:space="preserve">; </w:t>
      </w:r>
      <w:r>
        <w:rPr>
          <w:rFonts w:ascii="Verdana" w:eastAsia="Times New Roman" w:hAnsi="Verdana" w:cs="Arial"/>
          <w:lang w:eastAsia="es-ES_tradnl"/>
        </w:rPr>
        <w:t>l</w:t>
      </w:r>
      <w:r w:rsidR="00BA7C2E" w:rsidRPr="002046BE">
        <w:rPr>
          <w:rFonts w:ascii="Verdana" w:eastAsia="Times New Roman" w:hAnsi="Verdana" w:cs="Arial"/>
          <w:lang w:eastAsia="es-ES_tradnl"/>
        </w:rPr>
        <w:t xml:space="preserve">a finalidad de esta norma es permitir que las sociedades que no cuentan con la experiencia suficiente para contratar con el Estado puedan apoyarse en la experiencia de sus accionistas, socios o constituyentes con el fin de incentivar la competencia en la contratación estatal. </w:t>
      </w:r>
    </w:p>
    <w:p w14:paraId="58D0BB9F" w14:textId="182871ED" w:rsidR="00BA7C2E" w:rsidRPr="002046BE" w:rsidRDefault="00BA7C2E" w:rsidP="00BA7C2E">
      <w:pPr>
        <w:pStyle w:val="Prrafodelista"/>
        <w:numPr>
          <w:ilvl w:val="0"/>
          <w:numId w:val="7"/>
        </w:numPr>
        <w:spacing w:after="120" w:line="276" w:lineRule="auto"/>
        <w:jc w:val="both"/>
        <w:rPr>
          <w:rFonts w:ascii="Verdana" w:eastAsia="Times New Roman" w:hAnsi="Verdana" w:cs="Arial"/>
          <w:lang w:val="es-MX" w:eastAsia="es-ES_tradnl"/>
        </w:rPr>
      </w:pPr>
      <w:r>
        <w:rPr>
          <w:rFonts w:ascii="Verdana" w:eastAsia="Times New Roman" w:hAnsi="Verdana" w:cs="Arial"/>
          <w:lang w:eastAsia="es-ES_tradnl"/>
        </w:rPr>
        <w:t>En ese orden de idea</w:t>
      </w:r>
      <w:r w:rsidR="00827917">
        <w:rPr>
          <w:rFonts w:ascii="Verdana" w:eastAsia="Times New Roman" w:hAnsi="Verdana" w:cs="Arial"/>
          <w:lang w:eastAsia="es-ES_tradnl"/>
        </w:rPr>
        <w:t>s</w:t>
      </w:r>
      <w:r w:rsidRPr="002046BE">
        <w:rPr>
          <w:rFonts w:ascii="Verdana" w:eastAsia="Times New Roman" w:hAnsi="Verdana" w:cs="Arial"/>
          <w:lang w:eastAsia="es-ES_tradnl"/>
        </w:rPr>
        <w:t>, el accionista, socio o constituyente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245E3D89" w14:textId="1B4DA158" w:rsidR="00B35117" w:rsidRPr="002046BE" w:rsidRDefault="003978DE" w:rsidP="002046BE">
      <w:pPr>
        <w:pStyle w:val="Prrafodelista"/>
        <w:numPr>
          <w:ilvl w:val="0"/>
          <w:numId w:val="7"/>
        </w:numPr>
        <w:spacing w:after="120" w:line="276" w:lineRule="auto"/>
        <w:jc w:val="both"/>
        <w:rPr>
          <w:rFonts w:ascii="Verdana" w:eastAsia="Times New Roman" w:hAnsi="Verdana" w:cs="Arial"/>
          <w:lang w:val="es-MX" w:eastAsia="es-ES_tradnl"/>
        </w:rPr>
      </w:pPr>
      <w:r w:rsidRPr="002046BE">
        <w:rPr>
          <w:rFonts w:ascii="Verdana" w:eastAsia="Times New Roman" w:hAnsi="Verdana" w:cs="Arial"/>
          <w:lang w:val="es-MX" w:eastAsia="es-ES_tradnl"/>
        </w:rPr>
        <w:t>Ahora bien,</w:t>
      </w:r>
      <w:r w:rsidR="00221F67">
        <w:rPr>
          <w:rFonts w:ascii="Verdana" w:eastAsia="Times New Roman" w:hAnsi="Verdana" w:cs="Arial"/>
          <w:lang w:val="es-MX" w:eastAsia="es-ES_tradnl"/>
        </w:rPr>
        <w:t xml:space="preserve"> </w:t>
      </w:r>
      <w:r w:rsidR="00B35117" w:rsidRPr="002046BE">
        <w:rPr>
          <w:rFonts w:ascii="Verdana" w:eastAsia="Times New Roman" w:hAnsi="Verdana" w:cs="Arial"/>
          <w:lang w:val="es-MX" w:eastAsia="es-ES_tradnl"/>
        </w:rPr>
        <w:t>si se pierden estas calidades,  cuando uno de ellos se retira por venta o cesión de su participación y pierde su calidad de socio</w:t>
      </w:r>
      <w:r w:rsidR="00BA7C2E">
        <w:rPr>
          <w:rFonts w:ascii="Verdana" w:eastAsia="Times New Roman" w:hAnsi="Verdana" w:cs="Arial"/>
          <w:lang w:val="es-MX" w:eastAsia="es-ES_tradnl"/>
        </w:rPr>
        <w:t xml:space="preserve">, o cuando este nuevo socio o accionista ingresó posterior al cumplimiento  de los tres (03) años de constituida la persona jurídica, por lo cual, </w:t>
      </w:r>
      <w:r w:rsidR="00B35117" w:rsidRPr="002046BE">
        <w:rPr>
          <w:rFonts w:ascii="Verdana" w:eastAsia="Times New Roman" w:hAnsi="Verdana" w:cs="Arial"/>
          <w:lang w:val="es-MX" w:eastAsia="es-ES_tradnl"/>
        </w:rPr>
        <w:t xml:space="preserve"> ya no sería posible que la sociedad en uso de la prerrogativa dispuesta</w:t>
      </w:r>
      <w:r w:rsidR="00BA7C2E">
        <w:rPr>
          <w:rFonts w:ascii="Verdana" w:eastAsia="Times New Roman" w:hAnsi="Verdana" w:cs="Arial"/>
          <w:lang w:val="es-MX" w:eastAsia="es-ES_tradnl"/>
        </w:rPr>
        <w:t xml:space="preserve"> en el numeral 2.5 del artículo </w:t>
      </w:r>
      <w:r w:rsidR="00BA7C2E" w:rsidRPr="00D2404B">
        <w:rPr>
          <w:rFonts w:ascii="Verdana" w:eastAsia="Times New Roman" w:hAnsi="Verdana" w:cs="Arial"/>
          <w:lang w:val="es-MX" w:eastAsia="es-ES_tradnl"/>
        </w:rPr>
        <w:t>2.2.1.1.1.5.2</w:t>
      </w:r>
      <w:r w:rsidR="00BA7C2E">
        <w:rPr>
          <w:rFonts w:ascii="Verdana" w:eastAsia="Times New Roman" w:hAnsi="Verdana" w:cs="Arial"/>
          <w:lang w:val="es-MX" w:eastAsia="es-ES_tradnl"/>
        </w:rPr>
        <w:t xml:space="preserve"> del </w:t>
      </w:r>
      <w:r w:rsidR="00BA7C2E" w:rsidRPr="00CF0B7C">
        <w:rPr>
          <w:rFonts w:ascii="Verdana" w:eastAsia="Times New Roman" w:hAnsi="Verdana" w:cs="Arial"/>
          <w:lang w:val="es-MX" w:eastAsia="es-ES_tradnl"/>
        </w:rPr>
        <w:t>Decreto 1082 de</w:t>
      </w:r>
      <w:r w:rsidR="00B35117" w:rsidRPr="002046BE">
        <w:rPr>
          <w:rFonts w:ascii="Verdana" w:eastAsia="Times New Roman" w:hAnsi="Verdana" w:cs="Arial"/>
          <w:lang w:val="es-MX" w:eastAsia="es-ES_tradnl"/>
        </w:rPr>
        <w:t xml:space="preserve">. </w:t>
      </w:r>
    </w:p>
    <w:p w14:paraId="25081688" w14:textId="2A5E0335" w:rsidR="00BA7C2E" w:rsidRPr="00B712F4" w:rsidRDefault="00221F67" w:rsidP="00B2546A">
      <w:pPr>
        <w:pStyle w:val="Prrafodelista"/>
        <w:numPr>
          <w:ilvl w:val="0"/>
          <w:numId w:val="7"/>
        </w:numPr>
        <w:shd w:val="clear" w:color="auto" w:fill="FFFFFF"/>
        <w:spacing w:after="120" w:line="276" w:lineRule="auto"/>
        <w:jc w:val="both"/>
        <w:rPr>
          <w:rFonts w:ascii="Verdana" w:eastAsia="Times New Roman" w:hAnsi="Verdana" w:cs="Arial"/>
          <w:lang w:eastAsia="es-ES_tradnl"/>
        </w:rPr>
      </w:pPr>
      <w:r>
        <w:rPr>
          <w:rFonts w:ascii="Verdana" w:eastAsia="Times New Roman" w:hAnsi="Verdana" w:cs="Arial"/>
          <w:lang w:val="es-MX" w:eastAsia="es-ES_tradnl"/>
        </w:rPr>
        <w:t>Lo antes citado</w:t>
      </w:r>
      <w:r w:rsidR="00B35117" w:rsidRPr="002046BE">
        <w:rPr>
          <w:rFonts w:ascii="Verdana" w:eastAsia="Times New Roman" w:hAnsi="Verdana" w:cs="Arial"/>
          <w:lang w:val="es-MX" w:eastAsia="es-ES_tradnl"/>
        </w:rPr>
        <w:t xml:space="preserve">, se impone en atención al fin de evitar prácticas corruptas o que atenten contra la transparencia en la contratación estatal, por lo que la experiencia aportada por quien se retira en cualquier momento o por el que ingresa posterior a los tres (3) años de constitución de la </w:t>
      </w:r>
      <w:r w:rsidR="00B35117" w:rsidRPr="002046BE">
        <w:rPr>
          <w:rFonts w:ascii="Verdana" w:eastAsia="Times New Roman" w:hAnsi="Verdana" w:cs="Arial"/>
          <w:lang w:val="es-MX" w:eastAsia="es-ES_tradnl"/>
        </w:rPr>
        <w:lastRenderedPageBreak/>
        <w:t xml:space="preserve">sociedad, no debería ser utilizada por el proponente en los procesos de contratación. </w:t>
      </w:r>
    </w:p>
    <w:p w14:paraId="18F3DF68" w14:textId="72A3A095" w:rsidR="00221F67" w:rsidRDefault="00221F67" w:rsidP="00DF35DB">
      <w:pPr>
        <w:pStyle w:val="Prrafodelista"/>
        <w:numPr>
          <w:ilvl w:val="0"/>
          <w:numId w:val="7"/>
        </w:numPr>
        <w:shd w:val="clear" w:color="auto" w:fill="FFFFFF"/>
        <w:spacing w:after="120" w:line="276" w:lineRule="auto"/>
        <w:jc w:val="both"/>
        <w:rPr>
          <w:rFonts w:ascii="Verdana" w:eastAsia="Calibri" w:hAnsi="Verdana" w:cs="Arial"/>
          <w:bCs/>
        </w:rPr>
      </w:pPr>
    </w:p>
    <w:p w14:paraId="4966FC54" w14:textId="77777777" w:rsidR="002451F3" w:rsidRDefault="00221F67" w:rsidP="00DF35DB">
      <w:pPr>
        <w:pStyle w:val="Prrafodelista"/>
        <w:numPr>
          <w:ilvl w:val="0"/>
          <w:numId w:val="7"/>
        </w:numPr>
        <w:shd w:val="clear" w:color="auto" w:fill="FFFFFF"/>
        <w:spacing w:after="120" w:line="276" w:lineRule="auto"/>
        <w:jc w:val="both"/>
        <w:rPr>
          <w:rFonts w:ascii="Verdana" w:eastAsia="Calibri" w:hAnsi="Verdana" w:cs="Arial"/>
          <w:bCs/>
        </w:rPr>
      </w:pPr>
      <w:r>
        <w:rPr>
          <w:rFonts w:ascii="Verdana" w:eastAsia="Calibri" w:hAnsi="Verdana" w:cs="Arial"/>
          <w:bCs/>
        </w:rPr>
        <w:t xml:space="preserve">Por otro lado, </w:t>
      </w:r>
      <w:r w:rsidR="00B35117" w:rsidRPr="002046BE">
        <w:rPr>
          <w:rFonts w:ascii="Verdana" w:eastAsia="Calibri" w:hAnsi="Verdana" w:cs="Arial"/>
          <w:bCs/>
        </w:rPr>
        <w:t xml:space="preserve">respecto </w:t>
      </w:r>
      <w:r>
        <w:rPr>
          <w:rFonts w:ascii="Verdana" w:eastAsia="Calibri" w:hAnsi="Verdana" w:cs="Arial"/>
          <w:bCs/>
        </w:rPr>
        <w:t xml:space="preserve">a algunos casos particulares que pueden presentar las sociedades en sus reformas estatutarias  se encuentra </w:t>
      </w:r>
      <w:r w:rsidR="009316D2">
        <w:rPr>
          <w:rFonts w:ascii="Verdana" w:eastAsia="Calibri" w:hAnsi="Verdana" w:cs="Arial"/>
          <w:bCs/>
        </w:rPr>
        <w:t>:</w:t>
      </w:r>
    </w:p>
    <w:p w14:paraId="5FF24BE4" w14:textId="10A3E50D" w:rsidR="009316D2" w:rsidRPr="002046BE" w:rsidRDefault="00B35117" w:rsidP="002046BE">
      <w:pPr>
        <w:pStyle w:val="Prrafodelista"/>
        <w:numPr>
          <w:ilvl w:val="0"/>
          <w:numId w:val="7"/>
        </w:numPr>
        <w:shd w:val="clear" w:color="auto" w:fill="FFFFFF"/>
        <w:spacing w:after="120" w:line="276" w:lineRule="auto"/>
        <w:jc w:val="both"/>
        <w:rPr>
          <w:rFonts w:ascii="Verdana" w:eastAsia="Calibri" w:hAnsi="Verdana" w:cs="Arial"/>
          <w:bCs/>
        </w:rPr>
      </w:pPr>
      <w:r w:rsidRPr="002046BE">
        <w:rPr>
          <w:rFonts w:ascii="Verdana" w:eastAsia="Calibri" w:hAnsi="Verdana" w:cs="Arial"/>
          <w:bCs/>
        </w:rPr>
        <w:t>“</w:t>
      </w:r>
    </w:p>
    <w:p w14:paraId="178E20CD" w14:textId="77777777" w:rsidR="00AF0DBD" w:rsidRDefault="009316D2" w:rsidP="00AF0DBD">
      <w:pPr>
        <w:pStyle w:val="Prrafodelista"/>
        <w:numPr>
          <w:ilvl w:val="0"/>
          <w:numId w:val="8"/>
        </w:numPr>
        <w:shd w:val="clear" w:color="auto" w:fill="FFFFFF"/>
        <w:spacing w:after="120" w:line="276" w:lineRule="auto"/>
        <w:jc w:val="both"/>
        <w:rPr>
          <w:rFonts w:ascii="Verdana" w:eastAsia="Calibri" w:hAnsi="Verdana" w:cs="Arial"/>
          <w:bCs/>
        </w:rPr>
      </w:pPr>
      <w:r w:rsidRPr="002046BE">
        <w:rPr>
          <w:rFonts w:ascii="Verdana" w:eastAsia="Calibri" w:hAnsi="Verdana" w:cs="Arial"/>
          <w:bCs/>
        </w:rPr>
        <w:t xml:space="preserve">La </w:t>
      </w:r>
      <w:r w:rsidR="00B35117" w:rsidRPr="002046BE">
        <w:rPr>
          <w:rFonts w:ascii="Verdana" w:eastAsia="Calibri" w:hAnsi="Verdana" w:cs="Arial"/>
          <w:bCs/>
        </w:rPr>
        <w:t>liquidación” de las sociedades comerciale</w:t>
      </w:r>
      <w:r w:rsidRPr="002046BE">
        <w:rPr>
          <w:rFonts w:ascii="Verdana" w:eastAsia="Calibri" w:hAnsi="Verdana" w:cs="Arial"/>
          <w:bCs/>
        </w:rPr>
        <w:t xml:space="preserve">s: </w:t>
      </w:r>
      <w:r w:rsidR="00B35117" w:rsidRPr="002046BE">
        <w:rPr>
          <w:rFonts w:ascii="Verdana" w:eastAsia="Calibri" w:hAnsi="Verdana" w:cs="Arial"/>
          <w:bCs/>
        </w:rPr>
        <w:t>el Código de Comercio señala el procedimiento para realizar el inventario y distribución del patrimonio social, de lo cual se infiere que termina la persona jurídica</w:t>
      </w:r>
      <w:r w:rsidR="00B35117" w:rsidRPr="00580BB1">
        <w:rPr>
          <w:vertAlign w:val="superscript"/>
        </w:rPr>
        <w:footnoteReference w:id="5"/>
      </w:r>
      <w:r w:rsidR="00B35117" w:rsidRPr="002046BE">
        <w:rPr>
          <w:rFonts w:ascii="Verdana" w:eastAsia="Calibri" w:hAnsi="Verdana" w:cs="Arial"/>
          <w:bCs/>
        </w:rPr>
        <w:t xml:space="preserve"> y la experiencia desaparece junto con la sociedad que la adquiri</w:t>
      </w:r>
      <w:r w:rsidR="00AF0DBD">
        <w:rPr>
          <w:rFonts w:ascii="Verdana" w:eastAsia="Calibri" w:hAnsi="Verdana" w:cs="Arial"/>
          <w:bCs/>
        </w:rPr>
        <w:t>ó</w:t>
      </w:r>
    </w:p>
    <w:p w14:paraId="0D20400C" w14:textId="0893C826" w:rsidR="009316D2" w:rsidRPr="002046BE" w:rsidRDefault="002451F3" w:rsidP="00AF0DBD">
      <w:pPr>
        <w:pStyle w:val="Prrafodelista"/>
        <w:numPr>
          <w:ilvl w:val="0"/>
          <w:numId w:val="8"/>
        </w:numPr>
        <w:shd w:val="clear" w:color="auto" w:fill="FFFFFF"/>
        <w:spacing w:after="120" w:line="276" w:lineRule="auto"/>
        <w:jc w:val="both"/>
        <w:rPr>
          <w:rFonts w:ascii="Verdana" w:eastAsia="Calibri" w:hAnsi="Verdana" w:cs="Arial"/>
          <w:bCs/>
        </w:rPr>
      </w:pPr>
      <w:r>
        <w:rPr>
          <w:rFonts w:ascii="Verdana" w:eastAsia="Times New Roman" w:hAnsi="Verdana" w:cs="Arial"/>
          <w:lang w:eastAsia="es-ES_tradnl"/>
        </w:rPr>
        <w:t>L</w:t>
      </w:r>
      <w:r w:rsidR="00B35117" w:rsidRPr="002046BE">
        <w:rPr>
          <w:rFonts w:ascii="Verdana" w:eastAsia="Times New Roman" w:hAnsi="Verdana" w:cs="Arial"/>
          <w:lang w:eastAsia="es-ES_tradnl"/>
        </w:rPr>
        <w:t>a escisión</w:t>
      </w:r>
      <w:r w:rsidR="009316D2" w:rsidRPr="002046BE">
        <w:rPr>
          <w:rFonts w:ascii="Verdana" w:eastAsia="Times New Roman" w:hAnsi="Verdana" w:cs="Arial"/>
          <w:lang w:eastAsia="es-ES_tradnl"/>
        </w:rPr>
        <w:t xml:space="preserve">: </w:t>
      </w:r>
      <w:r w:rsidR="00B35117" w:rsidRPr="002046BE">
        <w:rPr>
          <w:rFonts w:ascii="Verdana" w:eastAsia="Times New Roman" w:hAnsi="Verdana" w:cs="Arial"/>
          <w:lang w:eastAsia="es-ES_tradnl"/>
        </w:rPr>
        <w:t xml:space="preserve">es </w:t>
      </w:r>
      <w:r w:rsidR="00B35117" w:rsidRPr="002046BE">
        <w:rPr>
          <w:rFonts w:ascii="Verdana" w:eastAsia="Calibri" w:hAnsi="Verdana" w:cs="Arial"/>
        </w:rPr>
        <w:t xml:space="preserve">una figura con dos modalidades reguladas por la Ley 222 de 1995. </w:t>
      </w:r>
    </w:p>
    <w:p w14:paraId="343A338A" w14:textId="77777777" w:rsidR="009316D2" w:rsidRDefault="009316D2" w:rsidP="009316D2">
      <w:pPr>
        <w:pStyle w:val="Prrafodelista"/>
        <w:shd w:val="clear" w:color="auto" w:fill="FFFFFF"/>
        <w:spacing w:after="120" w:line="276" w:lineRule="auto"/>
        <w:ind w:left="1789"/>
        <w:jc w:val="both"/>
        <w:rPr>
          <w:rFonts w:ascii="Verdana" w:eastAsia="Calibri" w:hAnsi="Verdana" w:cs="Arial"/>
        </w:rPr>
      </w:pPr>
    </w:p>
    <w:p w14:paraId="1BA98E33" w14:textId="77777777" w:rsidR="00AF7623" w:rsidRDefault="00B35117" w:rsidP="00AF7623">
      <w:pPr>
        <w:pStyle w:val="Prrafodelista"/>
        <w:shd w:val="clear" w:color="auto" w:fill="FFFFFF"/>
        <w:spacing w:after="120" w:line="276" w:lineRule="auto"/>
        <w:ind w:left="1789"/>
        <w:jc w:val="both"/>
        <w:rPr>
          <w:rFonts w:ascii="Verdana" w:eastAsia="Calibri" w:hAnsi="Verdana" w:cs="Arial"/>
        </w:rPr>
      </w:pPr>
      <w:r w:rsidRPr="002046BE">
        <w:rPr>
          <w:rFonts w:ascii="Verdana" w:eastAsia="Calibri" w:hAnsi="Verdana" w:cs="Arial"/>
        </w:rPr>
        <w:t>La primera se refiere a una sociedad que no se “disuelve” ni se “liquida”, es decir, permanece sin modificaciones ni reformas, pero fracciona su patrimonio para transferir una o varias partes, a una o varias sociedades existentes o por crearse. En este caso, la escisión se refiere al patrimonio de la sociedad sin incluir ningún otro aspecto, lo cual significa que la sociedad continúa con un patrimonio reducido debido al fraccionamiento, pero no existe ninguna otra implicación para la persona jurídica, como su desaparición por “disolverse” o “liquidarse”</w:t>
      </w:r>
      <w:r w:rsidR="00CF511C" w:rsidRPr="002046BE">
        <w:rPr>
          <w:rFonts w:ascii="Verdana" w:eastAsia="Calibri" w:hAnsi="Verdana" w:cs="Arial"/>
        </w:rPr>
        <w:t xml:space="preserve">. </w:t>
      </w:r>
    </w:p>
    <w:p w14:paraId="0A5C074A" w14:textId="77777777" w:rsidR="00AF7623" w:rsidRDefault="00AF7623" w:rsidP="00AF7623">
      <w:pPr>
        <w:pStyle w:val="Prrafodelista"/>
        <w:shd w:val="clear" w:color="auto" w:fill="FFFFFF"/>
        <w:spacing w:after="120" w:line="276" w:lineRule="auto"/>
        <w:ind w:left="1789"/>
        <w:jc w:val="both"/>
        <w:rPr>
          <w:rFonts w:ascii="Verdana" w:eastAsia="Calibri" w:hAnsi="Verdana" w:cs="Arial"/>
        </w:rPr>
      </w:pPr>
    </w:p>
    <w:p w14:paraId="4434E5C7" w14:textId="77777777" w:rsidR="004B7320" w:rsidRDefault="00AF7623" w:rsidP="004B7320">
      <w:pPr>
        <w:pStyle w:val="Prrafodelista"/>
        <w:shd w:val="clear" w:color="auto" w:fill="FFFFFF"/>
        <w:spacing w:after="120" w:line="276" w:lineRule="auto"/>
        <w:ind w:left="1789"/>
        <w:jc w:val="both"/>
        <w:rPr>
          <w:rFonts w:ascii="Verdana" w:eastAsia="Calibri" w:hAnsi="Verdana" w:cs="Arial"/>
        </w:rPr>
      </w:pPr>
      <w:r>
        <w:rPr>
          <w:rFonts w:ascii="Verdana" w:eastAsia="Calibri" w:hAnsi="Verdana" w:cs="Arial"/>
        </w:rPr>
        <w:t>T</w:t>
      </w:r>
      <w:r w:rsidRPr="00580BB1">
        <w:rPr>
          <w:rFonts w:ascii="Verdana" w:eastAsia="Calibri" w:hAnsi="Verdana" w:cs="Arial"/>
        </w:rPr>
        <w:t>eniendo en cuenta que la sociedad continúa sin alteraciones, esta puede compartir la experiencia a través de esquemas asociativos, pero no la transfiere, porque para ello tendría que “disolverse” sin “liquidarse”, puesto que la “liquidación” implicaría que desaparece la persona y así su experiencia.</w:t>
      </w:r>
    </w:p>
    <w:p w14:paraId="0C6259AC" w14:textId="77777777" w:rsidR="009316D2" w:rsidRPr="002046BE" w:rsidRDefault="009316D2" w:rsidP="002046BE">
      <w:pPr>
        <w:shd w:val="clear" w:color="auto" w:fill="FFFFFF"/>
        <w:spacing w:after="120" w:line="276" w:lineRule="auto"/>
        <w:jc w:val="both"/>
        <w:rPr>
          <w:rFonts w:ascii="Verdana" w:eastAsia="Calibri" w:hAnsi="Verdana" w:cs="Arial"/>
        </w:rPr>
      </w:pPr>
    </w:p>
    <w:p w14:paraId="7811B647" w14:textId="41405E7A" w:rsidR="009316D2" w:rsidRDefault="00B35117" w:rsidP="009316D2">
      <w:pPr>
        <w:pStyle w:val="Prrafodelista"/>
        <w:shd w:val="clear" w:color="auto" w:fill="FFFFFF"/>
        <w:spacing w:after="120" w:line="276" w:lineRule="auto"/>
        <w:ind w:left="1789"/>
        <w:jc w:val="both"/>
        <w:rPr>
          <w:rFonts w:ascii="Verdana" w:eastAsia="Calibri" w:hAnsi="Verdana" w:cs="Arial"/>
        </w:rPr>
      </w:pPr>
      <w:r w:rsidRPr="002046BE">
        <w:rPr>
          <w:rFonts w:ascii="Verdana" w:eastAsia="Calibri" w:hAnsi="Verdana" w:cs="Arial"/>
        </w:rPr>
        <w:t xml:space="preserve">En ese sentido, esta Subdirección </w:t>
      </w:r>
      <w:r w:rsidR="00AF7623">
        <w:rPr>
          <w:rFonts w:ascii="Verdana" w:eastAsia="Calibri" w:hAnsi="Verdana" w:cs="Arial"/>
        </w:rPr>
        <w:t xml:space="preserve">en  concepto C-088 de 2024 </w:t>
      </w:r>
      <w:r w:rsidRPr="00B712F4">
        <w:rPr>
          <w:rFonts w:ascii="Verdana" w:eastAsia="Calibri" w:hAnsi="Verdana" w:cs="Arial"/>
        </w:rPr>
        <w:t xml:space="preserve">considera que las sociedades que reciben una parte del patrimonio de una sociedad que continúa existiendo, no reciben su experiencia, ya que no es posible que varias sociedades tengan la misma experiencia, duplicándola tantas veces se haya fraccionado el </w:t>
      </w:r>
      <w:r w:rsidRPr="00B712F4">
        <w:rPr>
          <w:rFonts w:ascii="Verdana" w:eastAsia="Calibri" w:hAnsi="Verdana" w:cs="Arial"/>
        </w:rPr>
        <w:lastRenderedPageBreak/>
        <w:t>patrimonio, porque la experiencia pertenece a quien la adquirió ejecutando los contratos a su cargo.</w:t>
      </w:r>
    </w:p>
    <w:p w14:paraId="290A95F3" w14:textId="77777777" w:rsidR="00AF7623" w:rsidRPr="00B712F4" w:rsidRDefault="00AF7623" w:rsidP="00B712F4">
      <w:pPr>
        <w:shd w:val="clear" w:color="auto" w:fill="FFFFFF"/>
        <w:spacing w:after="120" w:line="276" w:lineRule="auto"/>
        <w:jc w:val="both"/>
        <w:rPr>
          <w:rFonts w:ascii="Verdana" w:eastAsia="Calibri" w:hAnsi="Verdana" w:cs="Arial"/>
        </w:rPr>
      </w:pPr>
    </w:p>
    <w:p w14:paraId="693B3B90" w14:textId="77777777" w:rsidR="00B35117" w:rsidRPr="00580BB1" w:rsidRDefault="00B35117" w:rsidP="00B712F4">
      <w:pPr>
        <w:pStyle w:val="Prrafodelista"/>
        <w:shd w:val="clear" w:color="auto" w:fill="FFFFFF"/>
        <w:spacing w:after="120" w:line="276" w:lineRule="auto"/>
        <w:ind w:left="1789"/>
        <w:jc w:val="both"/>
      </w:pPr>
      <w:r w:rsidRPr="00580BB1">
        <w:t>La segunda modalidad se trata de una sociedad que se “disuelve” sin “liquidarse”, esto es, que implica una reforma social, lo cual no ocurre con la primera modalidad, y también existe fraccionamiento del patrimonio con el mismo fin</w:t>
      </w:r>
      <w:r w:rsidRPr="00580BB1">
        <w:rPr>
          <w:vertAlign w:val="superscript"/>
        </w:rPr>
        <w:footnoteReference w:id="6"/>
      </w:r>
      <w:r w:rsidRPr="00580BB1">
        <w:t xml:space="preserve">. Como se observa, participa una sociedad y otra, u otras, que reciben la transferencia del patrimonio en bloque. </w:t>
      </w:r>
    </w:p>
    <w:p w14:paraId="73C7BE04" w14:textId="610B69A9" w:rsidR="00B35117" w:rsidRPr="00580BB1" w:rsidRDefault="00827917" w:rsidP="00B712F4">
      <w:pPr>
        <w:spacing w:before="120" w:after="120" w:line="276" w:lineRule="auto"/>
        <w:jc w:val="both"/>
        <w:rPr>
          <w:rFonts w:ascii="Verdana" w:eastAsia="Calibri" w:hAnsi="Verdana" w:cs="Arial"/>
        </w:rPr>
      </w:pPr>
      <w:r>
        <w:rPr>
          <w:rFonts w:ascii="Verdana" w:eastAsia="Calibri" w:hAnsi="Verdana" w:cs="Arial"/>
        </w:rPr>
        <w:tab/>
      </w:r>
      <w:r w:rsidR="00AF0DBD">
        <w:rPr>
          <w:rFonts w:ascii="Verdana" w:eastAsia="Calibri" w:hAnsi="Verdana" w:cs="Arial"/>
        </w:rPr>
        <w:t>E</w:t>
      </w:r>
      <w:r w:rsidR="004B7320">
        <w:rPr>
          <w:rFonts w:ascii="Verdana" w:eastAsia="Calibri" w:hAnsi="Verdana" w:cs="Arial"/>
        </w:rPr>
        <w:t xml:space="preserve">n esta modalidad, </w:t>
      </w:r>
      <w:r w:rsidR="00B35117" w:rsidRPr="00580BB1">
        <w:rPr>
          <w:rFonts w:ascii="Verdana" w:eastAsia="Calibri" w:hAnsi="Verdana" w:cs="Arial"/>
        </w:rPr>
        <w:t xml:space="preserve">no hay transferencia de la experiencia porque la persona jurídica fraccionada deja de ser quien es y desaparece, quedando dividida en varias sociedades nuevas o existentes que reciben su patrimonio, sin que sea posible determinar cuál de todas las sociedades que recibieron parte del patrimonio de la sociedad escindida tiene la experiencia. Tampoco es posible que todas las sociedades que recibieron el patrimonio acrediten la misma experiencia multiplicándola tantas veces sea necesario, porque la experiencia es de quien la adquirió y como esa persona jurídica no puede continuar en otra persona, porque desapareció, quedando fraccionada en 2 o más partes, esto no corresponde con la definición de experiencia personal ni de transferencia de experiencia, donde la persona jurídica sigue siendo quien es a través de otra, sin cambios como fraccionamientos que implican que la persona ya no sea quien era y desaparezca. </w:t>
      </w:r>
    </w:p>
    <w:p w14:paraId="21BAAD9D" w14:textId="77777777" w:rsidR="0044138A" w:rsidRDefault="00AF0DBD" w:rsidP="00AF0DBD">
      <w:pPr>
        <w:pStyle w:val="Prrafodelista"/>
        <w:numPr>
          <w:ilvl w:val="0"/>
          <w:numId w:val="8"/>
        </w:numPr>
        <w:spacing w:before="120" w:line="276" w:lineRule="auto"/>
        <w:jc w:val="both"/>
        <w:rPr>
          <w:rFonts w:ascii="Verdana" w:eastAsia="Calibri" w:hAnsi="Verdana" w:cs="Arial"/>
        </w:rPr>
      </w:pPr>
      <w:r>
        <w:rPr>
          <w:rFonts w:ascii="Verdana" w:eastAsia="Calibri" w:hAnsi="Verdana" w:cs="Arial"/>
        </w:rPr>
        <w:t>Fusión:</w:t>
      </w:r>
      <w:r w:rsidR="0044138A">
        <w:rPr>
          <w:rFonts w:ascii="Verdana" w:eastAsia="Calibri" w:hAnsi="Verdana" w:cs="Arial"/>
        </w:rPr>
        <w:t xml:space="preserve"> </w:t>
      </w:r>
      <w:r w:rsidR="0044138A" w:rsidRPr="0044138A">
        <w:rPr>
          <w:rFonts w:ascii="Verdana" w:eastAsia="Calibri" w:hAnsi="Verdana" w:cs="Arial"/>
        </w:rPr>
        <w:t>Es una figura con 4 tipologías:</w:t>
      </w:r>
    </w:p>
    <w:p w14:paraId="393D5069" w14:textId="0042B160" w:rsidR="0044138A" w:rsidRDefault="0044138A" w:rsidP="00B712F4">
      <w:pPr>
        <w:pStyle w:val="Prrafodelista"/>
        <w:numPr>
          <w:ilvl w:val="0"/>
          <w:numId w:val="9"/>
        </w:numPr>
        <w:spacing w:before="120" w:line="276" w:lineRule="auto"/>
        <w:jc w:val="both"/>
        <w:rPr>
          <w:rFonts w:ascii="Verdana" w:eastAsia="Calibri" w:hAnsi="Verdana" w:cs="Arial"/>
        </w:rPr>
      </w:pPr>
      <w:r w:rsidRPr="0044138A">
        <w:rPr>
          <w:rFonts w:ascii="Verdana" w:eastAsia="Calibri" w:hAnsi="Verdana" w:cs="Arial"/>
        </w:rPr>
        <w:t>por absorción: una o más sociedades se “disuelven” sin “liquidarse” para ser absorbidas por otra existente;</w:t>
      </w:r>
    </w:p>
    <w:p w14:paraId="2F6F19F6" w14:textId="77777777" w:rsidR="0044138A" w:rsidRDefault="0044138A" w:rsidP="0044138A">
      <w:pPr>
        <w:pStyle w:val="Prrafodelista"/>
        <w:numPr>
          <w:ilvl w:val="0"/>
          <w:numId w:val="9"/>
        </w:numPr>
        <w:spacing w:before="120" w:line="276" w:lineRule="auto"/>
        <w:jc w:val="both"/>
        <w:rPr>
          <w:rFonts w:ascii="Verdana" w:eastAsia="Calibri" w:hAnsi="Verdana" w:cs="Arial"/>
        </w:rPr>
      </w:pPr>
      <w:r w:rsidRPr="0044138A">
        <w:rPr>
          <w:rFonts w:ascii="Verdana" w:eastAsia="Calibri" w:hAnsi="Verdana" w:cs="Arial"/>
        </w:rPr>
        <w:t xml:space="preserve"> </w:t>
      </w:r>
      <w:proofErr w:type="spellStart"/>
      <w:r w:rsidRPr="0044138A">
        <w:rPr>
          <w:rFonts w:ascii="Verdana" w:eastAsia="Calibri" w:hAnsi="Verdana" w:cs="Arial"/>
        </w:rPr>
        <w:t>ii</w:t>
      </w:r>
      <w:proofErr w:type="spellEnd"/>
      <w:r w:rsidRPr="0044138A">
        <w:rPr>
          <w:rFonts w:ascii="Verdana" w:eastAsia="Calibri" w:hAnsi="Verdana" w:cs="Arial"/>
        </w:rPr>
        <w:t xml:space="preserve">) por creación: una o más sociedades se “disuelven” sin “liquidarse” para ser absorbidas por otra nueva; </w:t>
      </w:r>
    </w:p>
    <w:p w14:paraId="43BFD45C" w14:textId="77777777" w:rsidR="0044138A" w:rsidRDefault="0044138A" w:rsidP="0044138A">
      <w:pPr>
        <w:pStyle w:val="Prrafodelista"/>
        <w:numPr>
          <w:ilvl w:val="0"/>
          <w:numId w:val="9"/>
        </w:numPr>
        <w:spacing w:before="120" w:line="276" w:lineRule="auto"/>
        <w:jc w:val="both"/>
        <w:rPr>
          <w:rFonts w:ascii="Verdana" w:eastAsia="Calibri" w:hAnsi="Verdana" w:cs="Arial"/>
        </w:rPr>
      </w:pPr>
      <w:proofErr w:type="spellStart"/>
      <w:r w:rsidRPr="0044138A">
        <w:rPr>
          <w:rFonts w:ascii="Verdana" w:eastAsia="Calibri" w:hAnsi="Verdana" w:cs="Arial"/>
        </w:rPr>
        <w:t>iii</w:t>
      </w:r>
      <w:proofErr w:type="spellEnd"/>
      <w:r w:rsidRPr="0044138A">
        <w:rPr>
          <w:rFonts w:ascii="Verdana" w:eastAsia="Calibri" w:hAnsi="Verdana" w:cs="Arial"/>
        </w:rPr>
        <w:t xml:space="preserve">) impropia: una sociedad se “disuelve” sin el propósito de realizar una fusión sino de “liquidarse” y antes de la liquidación se toma la decisión de crear una sociedad16; </w:t>
      </w:r>
    </w:p>
    <w:p w14:paraId="327477C9" w14:textId="77777777" w:rsidR="0044138A" w:rsidRDefault="0044138A" w:rsidP="0044138A">
      <w:pPr>
        <w:pStyle w:val="Prrafodelista"/>
        <w:numPr>
          <w:ilvl w:val="0"/>
          <w:numId w:val="9"/>
        </w:numPr>
        <w:spacing w:before="120" w:line="276" w:lineRule="auto"/>
        <w:jc w:val="both"/>
        <w:rPr>
          <w:rFonts w:ascii="Verdana" w:eastAsia="Calibri" w:hAnsi="Verdana" w:cs="Arial"/>
        </w:rPr>
      </w:pPr>
      <w:proofErr w:type="spellStart"/>
      <w:r w:rsidRPr="0044138A">
        <w:rPr>
          <w:rFonts w:ascii="Verdana" w:eastAsia="Calibri" w:hAnsi="Verdana" w:cs="Arial"/>
        </w:rPr>
        <w:lastRenderedPageBreak/>
        <w:t>iv</w:t>
      </w:r>
      <w:proofErr w:type="spellEnd"/>
      <w:r w:rsidRPr="0044138A">
        <w:rPr>
          <w:rFonts w:ascii="Verdana" w:eastAsia="Calibri" w:hAnsi="Verdana" w:cs="Arial"/>
        </w:rPr>
        <w:t>) abreviada: solo aplica cuando una Sociedad por Acciones Simplificada (S.A.S.)</w:t>
      </w:r>
    </w:p>
    <w:p w14:paraId="598D0C7E" w14:textId="77777777" w:rsidR="0044138A" w:rsidRDefault="0044138A" w:rsidP="0044138A">
      <w:pPr>
        <w:spacing w:before="120" w:line="276" w:lineRule="auto"/>
        <w:ind w:left="1864"/>
        <w:jc w:val="both"/>
        <w:rPr>
          <w:rFonts w:ascii="Verdana" w:eastAsia="Calibri" w:hAnsi="Verdana" w:cs="Arial"/>
        </w:rPr>
      </w:pPr>
      <w:r>
        <w:rPr>
          <w:rFonts w:ascii="Verdana" w:eastAsia="Calibri" w:hAnsi="Verdana" w:cs="Arial"/>
        </w:rPr>
        <w:t xml:space="preserve">En concepto C 088 de 2024 la Agencia indició que </w:t>
      </w:r>
      <w:r w:rsidRPr="00B712F4">
        <w:rPr>
          <w:rFonts w:ascii="Verdana" w:eastAsia="Calibri" w:hAnsi="Verdana" w:cs="Arial"/>
        </w:rPr>
        <w:t xml:space="preserve"> la fusión y sus efectos respecto de la experiencia de la sociedad que se “disuelve” pero no se “liquida”</w:t>
      </w:r>
      <w:r>
        <w:rPr>
          <w:rFonts w:ascii="Verdana" w:eastAsia="Calibri" w:hAnsi="Verdana" w:cs="Arial"/>
        </w:rPr>
        <w:t xml:space="preserve">; en este caso, </w:t>
      </w:r>
      <w:r w:rsidRPr="00B712F4">
        <w:rPr>
          <w:rFonts w:ascii="Verdana" w:eastAsia="Calibri" w:hAnsi="Verdana" w:cs="Arial"/>
        </w:rPr>
        <w:t xml:space="preserve"> la experiencia puede ser trasladada y no compartida. Lo anterior, toda vez que la trasferencia ocurre porque la persona jurídica continúa a través de otra, esto es, deja de ser quien es, pero no desaparece porque otra sociedad se convierte en ella, ya sea una sociedad nueva</w:t>
      </w:r>
      <w:r>
        <w:rPr>
          <w:rFonts w:ascii="Verdana" w:eastAsia="Calibri" w:hAnsi="Verdana" w:cs="Arial"/>
        </w:rPr>
        <w:t>.</w:t>
      </w:r>
    </w:p>
    <w:p w14:paraId="167B2598" w14:textId="44F8791F" w:rsidR="0044138A" w:rsidRPr="00B712F4" w:rsidRDefault="0044138A" w:rsidP="00B712F4">
      <w:pPr>
        <w:spacing w:before="120" w:line="276" w:lineRule="auto"/>
        <w:ind w:left="1864"/>
        <w:jc w:val="both"/>
        <w:rPr>
          <w:rFonts w:ascii="Verdana" w:eastAsia="Calibri" w:hAnsi="Verdana" w:cs="Arial"/>
        </w:rPr>
      </w:pPr>
      <w:r>
        <w:rPr>
          <w:rFonts w:ascii="Verdana" w:eastAsia="Calibri" w:hAnsi="Verdana" w:cs="Arial"/>
        </w:rPr>
        <w:t xml:space="preserve">Ahora bien, </w:t>
      </w:r>
      <w:r w:rsidRPr="00B712F4">
        <w:rPr>
          <w:rFonts w:ascii="Verdana" w:eastAsia="Calibri" w:hAnsi="Verdana" w:cs="Arial"/>
        </w:rPr>
        <w:t xml:space="preserve"> cuando es fusión por creación o una sociedad existente, en la fusión por absorción</w:t>
      </w:r>
      <w:r>
        <w:rPr>
          <w:rFonts w:ascii="Verdana" w:eastAsia="Calibri" w:hAnsi="Verdana" w:cs="Arial"/>
        </w:rPr>
        <w:t>, l</w:t>
      </w:r>
      <w:r w:rsidRPr="00B712F4">
        <w:rPr>
          <w:rFonts w:ascii="Verdana" w:eastAsia="Calibri" w:hAnsi="Verdana" w:cs="Arial"/>
        </w:rPr>
        <w:t>a experiencia no se comparte, porque para esto la sociedad debería continuar individualmente considerada, pero en este evento continúa a través de otra, a quien le transfiere su experiencia y todos sus derechos y obligaciones, de conformidad con el artículo 172 y siguientes del Código de Comercio.</w:t>
      </w:r>
    </w:p>
    <w:p w14:paraId="1E667EF8" w14:textId="77777777" w:rsidR="00AF0DBD" w:rsidRDefault="00AF0DBD" w:rsidP="00AF0DBD">
      <w:pPr>
        <w:pStyle w:val="Prrafodelista"/>
        <w:numPr>
          <w:ilvl w:val="0"/>
          <w:numId w:val="8"/>
        </w:numPr>
        <w:spacing w:before="120" w:line="276" w:lineRule="auto"/>
        <w:jc w:val="both"/>
        <w:rPr>
          <w:rFonts w:ascii="Verdana" w:eastAsia="Calibri" w:hAnsi="Verdana" w:cs="Arial"/>
        </w:rPr>
      </w:pPr>
      <w:r>
        <w:rPr>
          <w:rFonts w:ascii="Verdana" w:eastAsia="Calibri" w:hAnsi="Verdana" w:cs="Arial"/>
        </w:rPr>
        <w:t xml:space="preserve">Transformación: </w:t>
      </w:r>
      <w:r w:rsidRPr="00AF0DBD">
        <w:rPr>
          <w:rFonts w:ascii="Verdana" w:eastAsia="Calibri" w:hAnsi="Verdana" w:cs="Arial"/>
        </w:rPr>
        <w:t>Es una reforma a los estatutos de una sociedad comercial, en la cual se detalla la naturaleza jurídica, composición, estructura, capital, entre otros, con el propósito de transformar o cambiar la forma o tipo societario que adoptó, como sociedad anónima, limitada, en comandita, etc. Es decir, si una sociedad se crea como sociedad de responsabilidad limitada y, sin “disolverse”, decide adoptar la figura de sociedad anónima, lo podrá hacer mediante una reforma estatutaria, sin que</w:t>
      </w:r>
      <w:r>
        <w:rPr>
          <w:rFonts w:ascii="Verdana" w:eastAsia="Calibri" w:hAnsi="Verdana" w:cs="Arial"/>
        </w:rPr>
        <w:t xml:space="preserve"> </w:t>
      </w:r>
      <w:r w:rsidRPr="00AF0DBD">
        <w:rPr>
          <w:rFonts w:ascii="Verdana" w:eastAsia="Calibri" w:hAnsi="Verdana" w:cs="Arial"/>
        </w:rPr>
        <w:t>se interrumpa la continuidad de la sociedad comercial o persona jurídica</w:t>
      </w:r>
      <w:r>
        <w:rPr>
          <w:rStyle w:val="Refdenotaalpie"/>
          <w:rFonts w:ascii="Verdana" w:eastAsia="Calibri" w:hAnsi="Verdana" w:cs="Arial"/>
        </w:rPr>
        <w:footnoteReference w:id="7"/>
      </w:r>
      <w:r w:rsidRPr="00AF0DBD">
        <w:rPr>
          <w:rFonts w:ascii="Verdana" w:eastAsia="Calibri" w:hAnsi="Verdana" w:cs="Arial"/>
        </w:rPr>
        <w:t xml:space="preserve">. </w:t>
      </w:r>
    </w:p>
    <w:p w14:paraId="6C1533FE" w14:textId="77777777" w:rsidR="00AF0DBD" w:rsidRDefault="00AF0DBD" w:rsidP="00AF0DBD">
      <w:pPr>
        <w:pStyle w:val="Prrafodelista"/>
        <w:spacing w:before="120" w:line="276" w:lineRule="auto"/>
        <w:ind w:left="1789"/>
        <w:jc w:val="both"/>
        <w:rPr>
          <w:rFonts w:ascii="Verdana" w:eastAsia="Calibri" w:hAnsi="Verdana" w:cs="Arial"/>
        </w:rPr>
      </w:pPr>
    </w:p>
    <w:p w14:paraId="7CDFA83B" w14:textId="77777777" w:rsidR="00AF0DBD" w:rsidRDefault="00AF0DBD" w:rsidP="00AF0DBD">
      <w:pPr>
        <w:pStyle w:val="Prrafodelista"/>
        <w:spacing w:before="120" w:line="276" w:lineRule="auto"/>
        <w:ind w:left="1789"/>
        <w:jc w:val="both"/>
        <w:rPr>
          <w:rFonts w:ascii="Verdana" w:eastAsia="Calibri" w:hAnsi="Verdana" w:cs="Arial"/>
        </w:rPr>
      </w:pPr>
      <w:r w:rsidRPr="00AF0DBD">
        <w:rPr>
          <w:rFonts w:ascii="Verdana" w:eastAsia="Calibri" w:hAnsi="Verdana" w:cs="Arial"/>
        </w:rPr>
        <w:t xml:space="preserve">Es importante destacar que en esta reforma estatutaria solo participa la sociedad involucrada, y no existen otras sociedades que se relacionen o intervengan, lo cual diferencia la transformación de otras reformas o figuras. Respecto de la experiencia, teniendo en cuenta que la sociedad solo cambia su forma, lo cual, de acuerdo con el Código de Comercio, no afecta sus actividades, la sociedad continuará con la experiencia adquirida, ya que la misma es personal </w:t>
      </w:r>
      <w:r w:rsidRPr="00AF0DBD">
        <w:rPr>
          <w:rFonts w:ascii="Verdana" w:eastAsia="Calibri" w:hAnsi="Verdana" w:cs="Arial"/>
        </w:rPr>
        <w:lastRenderedPageBreak/>
        <w:t xml:space="preserve">y mientras la persona jurídica exista la experiencia sigue vigente y puede incrementarse, siempre que la empresa continúe ejecutando contratos que le permitan aumentar el conocimiento en su objeto social. </w:t>
      </w:r>
    </w:p>
    <w:p w14:paraId="698D7AEA" w14:textId="77777777" w:rsidR="00AF0DBD" w:rsidRDefault="00AF0DBD" w:rsidP="00AF0DBD">
      <w:pPr>
        <w:pStyle w:val="Prrafodelista"/>
        <w:spacing w:before="120" w:line="276" w:lineRule="auto"/>
        <w:ind w:left="1789"/>
        <w:jc w:val="both"/>
        <w:rPr>
          <w:rFonts w:ascii="Verdana" w:eastAsia="Calibri" w:hAnsi="Verdana" w:cs="Arial"/>
        </w:rPr>
      </w:pPr>
    </w:p>
    <w:p w14:paraId="534D22B0" w14:textId="728D7112" w:rsidR="00AF0DBD" w:rsidRPr="00B712F4" w:rsidRDefault="00AF0DBD" w:rsidP="00B712F4">
      <w:pPr>
        <w:pStyle w:val="Prrafodelista"/>
        <w:spacing w:before="120" w:line="276" w:lineRule="auto"/>
        <w:ind w:left="1789"/>
        <w:jc w:val="both"/>
        <w:rPr>
          <w:rFonts w:ascii="Verdana" w:eastAsia="Calibri" w:hAnsi="Verdana" w:cs="Arial"/>
        </w:rPr>
      </w:pPr>
      <w:r w:rsidRPr="00AF0DBD">
        <w:rPr>
          <w:rFonts w:ascii="Verdana" w:eastAsia="Calibri" w:hAnsi="Verdana" w:cs="Arial"/>
        </w:rPr>
        <w:t>Esto se reafirma teniendo en cuenta que en la transformación la norma señala expresamente que la sociedad no se “disuelve” y, por ende, tampoco se “liquida”, porque, de acuerdo con el artículo 222 del Código de Comercio, para “liquidarse” necesita estar “disuelta”. De esta manera, solo cambia el tipo societario que había adoptado en su constitución, es decir, no sufre modificaciones o alteraciones y por eso puede continuar adquiriendo experiencia y compartirla, pero no puede trasladarla, porque para ello tendría que “disolverse” –o conformar un consorcio–, como se verá en la fusión y en una de las modalidades de escisión</w:t>
      </w:r>
      <w:r w:rsidR="002451F3">
        <w:rPr>
          <w:rFonts w:ascii="Verdana" w:eastAsia="Calibri" w:hAnsi="Verdana" w:cs="Arial"/>
        </w:rPr>
        <w:t>”</w:t>
      </w:r>
      <w:r w:rsidRPr="00AF0DBD">
        <w:rPr>
          <w:rFonts w:ascii="Verdana" w:eastAsia="Calibri" w:hAnsi="Verdana" w:cs="Arial"/>
        </w:rPr>
        <w:t>.</w:t>
      </w:r>
      <w:r w:rsidR="002451F3">
        <w:rPr>
          <w:rStyle w:val="Refdenotaalpie"/>
          <w:rFonts w:ascii="Verdana" w:eastAsia="Calibri" w:hAnsi="Verdana" w:cs="Arial"/>
        </w:rPr>
        <w:footnoteReference w:id="8"/>
      </w:r>
      <w:r w:rsidRPr="00AF0DBD">
        <w:rPr>
          <w:rFonts w:ascii="Verdana" w:eastAsia="Calibri" w:hAnsi="Verdana" w:cs="Arial"/>
        </w:rPr>
        <w:t xml:space="preserve">   </w:t>
      </w:r>
    </w:p>
    <w:p w14:paraId="25D2D249" w14:textId="77777777" w:rsidR="005541EE" w:rsidRPr="00202377" w:rsidRDefault="005541EE" w:rsidP="005541EE">
      <w:pPr>
        <w:spacing w:after="120" w:line="276" w:lineRule="auto"/>
        <w:jc w:val="both"/>
        <w:rPr>
          <w:rFonts w:ascii="Arial" w:eastAsia="Calibri" w:hAnsi="Arial" w:cs="Arial"/>
          <w:lang w:val="es-MX"/>
        </w:rPr>
      </w:pPr>
      <w:r w:rsidRPr="00202377">
        <w:rPr>
          <w:rFonts w:ascii="Arial" w:eastAsia="Calibri" w:hAnsi="Arial" w:cs="Arial"/>
          <w:lang w:val="es-MX"/>
        </w:rPr>
        <w:t xml:space="preserve">De conformidad con los artículos 5 y 6 de la Ley 1150 de 2007, las entidades estatales están obligadas el cumplimiento de los requisitos habilitantes, entre ellos la experiencia exigida en un proceso de selección. Por su parte, el numeral 2.5 del artículo 2.2.1.1.1.5.2 del Decreto 1082 de 2015 dispone que una sociedad con menos de tres (3) años de constituida puede aportar la experiencia de sus accionistas, socios o constituyentes. Esta excepción permite que la experiencia que puede acreditar una persona jurídica cuya constitución sea menor a tres (3) años, corresponde a la misma que hayan adquirido los accionistas, socios o constituyentes directamente en la ejecución de contratos, pues es un atributo personal que se transfiere por autorización legal. </w:t>
      </w:r>
    </w:p>
    <w:p w14:paraId="23DA109D" w14:textId="77777777" w:rsidR="005541EE" w:rsidRPr="00202377" w:rsidRDefault="005541EE" w:rsidP="005541EE">
      <w:pPr>
        <w:spacing w:after="120" w:line="276" w:lineRule="auto"/>
        <w:ind w:firstLine="708"/>
        <w:jc w:val="both"/>
        <w:rPr>
          <w:rFonts w:ascii="Arial" w:eastAsia="Calibri" w:hAnsi="Arial" w:cs="Arial"/>
          <w:lang w:val="es-MX"/>
        </w:rPr>
      </w:pPr>
      <w:r w:rsidRPr="00202377">
        <w:rPr>
          <w:rFonts w:ascii="Arial" w:eastAsia="Calibri" w:hAnsi="Arial" w:cs="Arial"/>
          <w:lang w:val="es-MX"/>
        </w:rPr>
        <w:t xml:space="preserve">Esta prerrogativa, que puede entenderse como una medida de fomento a la participación de pequeños oferentes en la contratación estatal, permite que las sociedades relativamente nuevas ─ con menos de 3 años de constitución ─ puedan acreditar como experiencia en el RUP la de sus accionistas, socios o constituyentes. A pesar de que la experiencia es inherente a la persona que la ha obtenido, razón por la cual es intransferible en virtud de su carácter personalísimo, por autorización legal excepcional, como el descrito por el artículo mencionado, se permite hacerlo. </w:t>
      </w:r>
    </w:p>
    <w:p w14:paraId="7FBC258E" w14:textId="77777777" w:rsidR="005541EE" w:rsidRPr="00202377" w:rsidRDefault="005541EE" w:rsidP="005541EE">
      <w:pPr>
        <w:spacing w:after="120" w:line="276" w:lineRule="auto"/>
        <w:ind w:firstLine="708"/>
        <w:jc w:val="both"/>
        <w:rPr>
          <w:rFonts w:ascii="Arial" w:eastAsia="Calibri" w:hAnsi="Arial" w:cs="Arial"/>
          <w:lang w:val="es-MX"/>
        </w:rPr>
      </w:pPr>
      <w:r w:rsidRPr="00202377">
        <w:rPr>
          <w:rFonts w:ascii="Arial" w:eastAsia="Calibri" w:hAnsi="Arial" w:cs="Arial"/>
          <w:lang w:val="es-MX"/>
        </w:rPr>
        <w:t xml:space="preserve">Este incentivo legal busca que las sociedades que no cuentan con la experiencia suficiente para contratar con el Estado puedan apoyarse en la experiencia de sus accionistas, socios o constituyentes con el fin de incentivar la competencia en la contratación estatal. Así las cosas, el </w:t>
      </w:r>
      <w:r w:rsidRPr="00202377">
        <w:rPr>
          <w:rFonts w:ascii="Arial" w:eastAsia="Calibri" w:hAnsi="Arial" w:cs="Arial"/>
          <w:lang w:val="es-MX"/>
        </w:rPr>
        <w:lastRenderedPageBreak/>
        <w:t>accionista, socio o constituyente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6FF9C693" w14:textId="77777777" w:rsidR="005541EE" w:rsidRPr="00202377" w:rsidRDefault="005541EE" w:rsidP="005541EE">
      <w:pPr>
        <w:spacing w:after="120" w:line="276" w:lineRule="auto"/>
        <w:ind w:firstLine="708"/>
        <w:jc w:val="both"/>
        <w:rPr>
          <w:rFonts w:ascii="Arial" w:eastAsia="Calibri" w:hAnsi="Arial" w:cs="Arial"/>
          <w:lang w:val="es-MX"/>
        </w:rPr>
      </w:pPr>
      <w:r w:rsidRPr="00202377">
        <w:rPr>
          <w:rFonts w:ascii="Arial" w:eastAsia="Calibri" w:hAnsi="Arial" w:cs="Arial"/>
          <w:lang w:val="es-MX"/>
        </w:rPr>
        <w:t xml:space="preserve">Ahora bien, no debe perderse de vista que el Decreto 1082 de 2015 solo permite que una sociedad acredite la experiencia de quienes tienen la calidad de accionistas, socios o constituyentes durante los primeros tres años de su constitución. Por tanto, si no se tiene o se pierden estas calidades, como sucedería cuando un socio se retira por venta o cesión de su participación y pierde su calidad de socio, ya no sería posible que la sociedad acredite la experiencia aportada por dicha persona. Está información podrá inscribirse, actualizarse o renovarse en el RUP según lo dispone el reglamento. </w:t>
      </w:r>
    </w:p>
    <w:p w14:paraId="5C43D755" w14:textId="77777777" w:rsidR="005541EE" w:rsidRDefault="005541EE" w:rsidP="005541EE">
      <w:pPr>
        <w:spacing w:after="120" w:line="276" w:lineRule="auto"/>
        <w:ind w:firstLine="708"/>
        <w:jc w:val="both"/>
        <w:rPr>
          <w:rFonts w:ascii="Arial" w:eastAsia="Calibri" w:hAnsi="Arial" w:cs="Arial"/>
          <w:lang w:val="es-MX"/>
        </w:rPr>
      </w:pPr>
      <w:r w:rsidRPr="00202377">
        <w:rPr>
          <w:rFonts w:ascii="Arial" w:eastAsia="Calibri" w:hAnsi="Arial" w:cs="Arial"/>
          <w:lang w:val="es-MX"/>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tres (3) años de constitución pueden acreditar la experiencia transferida por sus socios en virtud de la referida prerrogativa. </w:t>
      </w:r>
    </w:p>
    <w:p w14:paraId="75E9BDAE" w14:textId="77777777" w:rsidR="00717987" w:rsidRPr="00202377" w:rsidRDefault="00717987" w:rsidP="005541EE">
      <w:pPr>
        <w:spacing w:after="120" w:line="276" w:lineRule="auto"/>
        <w:ind w:firstLine="708"/>
        <w:jc w:val="both"/>
        <w:rPr>
          <w:rFonts w:ascii="Arial" w:eastAsia="Calibri" w:hAnsi="Arial" w:cs="Arial"/>
          <w:lang w:val="es-MX"/>
        </w:rPr>
      </w:pPr>
    </w:p>
    <w:p w14:paraId="66251B39" w14:textId="77777777" w:rsidR="00F57A4F" w:rsidRPr="00580BB1" w:rsidRDefault="00F57A4F" w:rsidP="00B712F4">
      <w:pPr>
        <w:pStyle w:val="Prrafodelista"/>
        <w:tabs>
          <w:tab w:val="left" w:pos="142"/>
          <w:tab w:val="left" w:pos="284"/>
        </w:tabs>
        <w:spacing w:after="0" w:line="276" w:lineRule="auto"/>
        <w:ind w:left="0"/>
        <w:contextualSpacing w:val="0"/>
        <w:jc w:val="both"/>
        <w:rPr>
          <w:rFonts w:ascii="Verdana" w:eastAsia="Century Gothic" w:hAnsi="Verdana" w:cs="Century Gothic"/>
          <w:b/>
          <w:bCs/>
          <w:lang w:val="es-ES"/>
        </w:rPr>
      </w:pPr>
      <w:r w:rsidRPr="00580BB1">
        <w:rPr>
          <w:rFonts w:ascii="Verdana" w:eastAsia="Century Gothic" w:hAnsi="Verdana" w:cs="Century Gothic"/>
          <w:b/>
          <w:bCs/>
          <w:lang w:val="es-ES"/>
        </w:rPr>
        <w:t>Referencias normativas, jurisprudenciales y otras fuentes:</w:t>
      </w:r>
    </w:p>
    <w:p w14:paraId="3892477A" w14:textId="77777777" w:rsidR="00B35117" w:rsidRPr="00580BB1" w:rsidRDefault="00B35117" w:rsidP="00F57A4F">
      <w:pPr>
        <w:spacing w:after="120" w:line="276" w:lineRule="auto"/>
        <w:jc w:val="both"/>
        <w:rPr>
          <w:rFonts w:ascii="Verdana" w:eastAsia="Calibri" w:hAnsi="Verdana" w:cs="Arial"/>
          <w:lang w:val="es-ES" w:eastAsia="es-ES"/>
        </w:rPr>
      </w:pPr>
    </w:p>
    <w:p w14:paraId="774B68B6" w14:textId="77777777" w:rsidR="00580BB1" w:rsidRPr="00580BB1" w:rsidRDefault="00F57A4F" w:rsidP="00580BB1">
      <w:pPr>
        <w:pStyle w:val="Prrafodelista"/>
        <w:widowControl w:val="0"/>
        <w:numPr>
          <w:ilvl w:val="0"/>
          <w:numId w:val="3"/>
        </w:numPr>
        <w:tabs>
          <w:tab w:val="left" w:pos="8419"/>
        </w:tabs>
        <w:autoSpaceDE w:val="0"/>
        <w:autoSpaceDN w:val="0"/>
        <w:spacing w:after="120" w:line="276" w:lineRule="auto"/>
        <w:contextualSpacing w:val="0"/>
        <w:jc w:val="both"/>
        <w:rPr>
          <w:rFonts w:ascii="Verdana" w:hAnsi="Verdana" w:cs="Arial"/>
        </w:rPr>
      </w:pPr>
      <w:r w:rsidRPr="00580BB1">
        <w:rPr>
          <w:rFonts w:ascii="Verdana" w:hAnsi="Verdana" w:cs="Arial"/>
        </w:rPr>
        <w:t>Artículo 2.2.1.1.1.5.2. y 2.2.1.1.1.5.3. Decreto 1082 de 2015</w:t>
      </w:r>
      <w:r w:rsidR="00110853" w:rsidRPr="00580BB1">
        <w:rPr>
          <w:rFonts w:ascii="Verdana" w:hAnsi="Verdana" w:cs="Arial"/>
        </w:rPr>
        <w:t>, puede ser consultado en:</w:t>
      </w:r>
      <w:r w:rsidRPr="00580BB1">
        <w:rPr>
          <w:rFonts w:ascii="Verdana" w:hAnsi="Verdana" w:cs="Arial"/>
        </w:rPr>
        <w:t xml:space="preserve"> </w:t>
      </w:r>
      <w:hyperlink r:id="rId10" w:history="1">
        <w:r w:rsidR="00110853" w:rsidRPr="00580BB1">
          <w:rPr>
            <w:rStyle w:val="Hipervnculo"/>
            <w:rFonts w:ascii="Verdana" w:hAnsi="Verdana" w:cs="Arial"/>
          </w:rPr>
          <w:t>https://relatoria.colombiacompra.gov.co/normativa/decreto-1082-de-2015/</w:t>
        </w:r>
      </w:hyperlink>
      <w:r w:rsidR="00110853" w:rsidRPr="00580BB1">
        <w:rPr>
          <w:rFonts w:ascii="Verdana" w:hAnsi="Verdana" w:cs="Arial"/>
        </w:rPr>
        <w:t xml:space="preserve"> </w:t>
      </w:r>
    </w:p>
    <w:p w14:paraId="4E4D3579" w14:textId="37BA81A6" w:rsidR="005E16D6" w:rsidRPr="00580BB1" w:rsidRDefault="005E16D6" w:rsidP="00580BB1">
      <w:pPr>
        <w:pStyle w:val="Prrafodelista"/>
        <w:widowControl w:val="0"/>
        <w:numPr>
          <w:ilvl w:val="0"/>
          <w:numId w:val="3"/>
        </w:numPr>
        <w:tabs>
          <w:tab w:val="left" w:pos="8419"/>
        </w:tabs>
        <w:autoSpaceDE w:val="0"/>
        <w:autoSpaceDN w:val="0"/>
        <w:spacing w:after="120" w:line="276" w:lineRule="auto"/>
        <w:contextualSpacing w:val="0"/>
        <w:jc w:val="both"/>
        <w:rPr>
          <w:rFonts w:ascii="Verdana" w:hAnsi="Verdana" w:cs="Arial"/>
        </w:rPr>
      </w:pPr>
      <w:r w:rsidRPr="005E16D6">
        <w:rPr>
          <w:rFonts w:ascii="Verdana" w:hAnsi="Verdana" w:cs="Arial"/>
        </w:rPr>
        <w:t>Guía de Asuntos Corporativos en los Procesos de Contratación</w:t>
      </w:r>
    </w:p>
    <w:p w14:paraId="5D0D8025" w14:textId="77777777" w:rsidR="00F57A4F" w:rsidRPr="00580BB1" w:rsidRDefault="00F57A4F" w:rsidP="00F57A4F">
      <w:pPr>
        <w:pStyle w:val="Prrafodelista"/>
        <w:widowControl w:val="0"/>
        <w:numPr>
          <w:ilvl w:val="0"/>
          <w:numId w:val="3"/>
        </w:numPr>
        <w:autoSpaceDE w:val="0"/>
        <w:autoSpaceDN w:val="0"/>
        <w:spacing w:after="120" w:line="276" w:lineRule="auto"/>
        <w:contextualSpacing w:val="0"/>
        <w:jc w:val="both"/>
        <w:rPr>
          <w:rFonts w:ascii="Verdana" w:hAnsi="Verdana" w:cs="Arial"/>
        </w:rPr>
      </w:pPr>
      <w:r w:rsidRPr="00580BB1">
        <w:rPr>
          <w:rFonts w:ascii="Verdana" w:hAnsi="Verdana" w:cs="Arial"/>
        </w:rPr>
        <w:t xml:space="preserve">Jurisprudencia del Consejo de Estado. Disponible en: </w:t>
      </w:r>
      <w:hyperlink r:id="rId11" w:history="1">
        <w:r w:rsidRPr="00580BB1">
          <w:rPr>
            <w:rStyle w:val="Hipervnculo"/>
            <w:rFonts w:ascii="Verdana" w:hAnsi="Verdana" w:cs="Arial"/>
            <w:color w:val="auto"/>
          </w:rPr>
          <w:t>https://relatoria.colombiacompra.gov.co/providencias-consejo-de-estado/</w:t>
        </w:r>
      </w:hyperlink>
      <w:r w:rsidR="00110853" w:rsidRPr="00580BB1">
        <w:rPr>
          <w:rFonts w:ascii="Verdana" w:hAnsi="Verdana" w:cs="Arial"/>
        </w:rPr>
        <w:t xml:space="preserve"> </w:t>
      </w:r>
    </w:p>
    <w:p w14:paraId="69FA02BA" w14:textId="77777777" w:rsidR="00B35117" w:rsidRPr="00580BB1" w:rsidRDefault="00B35117" w:rsidP="000F7E6B">
      <w:pPr>
        <w:spacing w:after="120" w:line="276" w:lineRule="auto"/>
        <w:ind w:firstLine="708"/>
        <w:jc w:val="both"/>
        <w:rPr>
          <w:rFonts w:ascii="Verdana" w:eastAsia="Calibri" w:hAnsi="Verdana" w:cs="Arial"/>
          <w:color w:val="000000"/>
          <w:lang w:eastAsia="es-ES"/>
        </w:rPr>
      </w:pPr>
    </w:p>
    <w:p w14:paraId="37477A01" w14:textId="77777777" w:rsidR="00580BB1" w:rsidRPr="00580BB1" w:rsidRDefault="00580BB1" w:rsidP="00B712F4">
      <w:pPr>
        <w:pStyle w:val="Prrafodelista"/>
        <w:numPr>
          <w:ilvl w:val="0"/>
          <w:numId w:val="8"/>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80BB1">
        <w:rPr>
          <w:rFonts w:ascii="Verdana" w:eastAsia="Century Gothic" w:hAnsi="Verdana" w:cs="Century Gothic"/>
          <w:b/>
          <w:bCs/>
          <w:lang w:val="es-ES"/>
        </w:rPr>
        <w:t>Doctrina de la Agencia Nacional de Contratación Pública:</w:t>
      </w:r>
    </w:p>
    <w:p w14:paraId="4C20496F" w14:textId="77777777" w:rsidR="00B35117" w:rsidRPr="00580BB1" w:rsidRDefault="00B35117" w:rsidP="00580BB1">
      <w:pPr>
        <w:spacing w:after="120" w:line="276" w:lineRule="auto"/>
        <w:jc w:val="both"/>
        <w:rPr>
          <w:rFonts w:ascii="Verdana" w:eastAsia="Calibri" w:hAnsi="Verdana" w:cs="Arial"/>
          <w:color w:val="000000"/>
          <w:lang w:val="es-ES" w:eastAsia="es-ES"/>
        </w:rPr>
      </w:pPr>
    </w:p>
    <w:p w14:paraId="0DAE15B2" w14:textId="3E883C78" w:rsidR="00580BB1" w:rsidRPr="00580BB1" w:rsidRDefault="00580BB1" w:rsidP="00580BB1">
      <w:pPr>
        <w:spacing w:after="120" w:line="276" w:lineRule="auto"/>
        <w:jc w:val="both"/>
        <w:rPr>
          <w:rFonts w:ascii="Verdana" w:eastAsia="Calibri" w:hAnsi="Verdana" w:cs="Arial"/>
          <w:color w:val="000000"/>
          <w:lang w:val="es-ES" w:eastAsia="es-ES"/>
        </w:rPr>
      </w:pPr>
      <w:r w:rsidRPr="00580BB1">
        <w:rPr>
          <w:rFonts w:ascii="Verdana" w:eastAsia="Calibri" w:hAnsi="Verdana" w:cs="Arial"/>
          <w:color w:val="000000"/>
          <w:lang w:val="es-ES" w:eastAsia="es-ES"/>
        </w:rPr>
        <w:t xml:space="preserve">Sobre </w:t>
      </w:r>
      <w:r w:rsidRPr="00580BB1">
        <w:rPr>
          <w:rFonts w:ascii="Verdana" w:eastAsia="Calibri" w:hAnsi="Verdana" w:cs="Arial"/>
          <w:lang w:val="es-ES" w:eastAsia="es-ES"/>
        </w:rPr>
        <w:t>la acreditación de la experiencia de los socios por una sociedad nueva con menos de tres (3) años de constitución y sobre la transferencia de la experiencia a esta nueva sociedad temas que ha sido estudiados por esta Subdirección en los conceptos</w:t>
      </w:r>
      <w:r w:rsidRPr="00580BB1">
        <w:rPr>
          <w:rFonts w:ascii="Verdana" w:hAnsi="Verdana"/>
        </w:rPr>
        <w:t xml:space="preserve">  C-405 del 10 de agosto de 2021, C-415 del 10 de agosto de 2021, C- 429 del 17 de agosto de 2021, C- 539 del 27 de septiembre de 2021, C-034 del 2 de </w:t>
      </w:r>
      <w:r w:rsidRPr="00580BB1">
        <w:rPr>
          <w:rFonts w:ascii="Verdana" w:hAnsi="Verdana"/>
        </w:rPr>
        <w:lastRenderedPageBreak/>
        <w:t>marzo de 2022, C-144 del 28 de marzo de 2022, C-239 del 26 de abril de 2022, C-324 del 20 mayo de 2022, C-456 del 15 de julio de 2022, C-447 del 19 de julio de 2022, C 779 de 2022</w:t>
      </w:r>
      <w:r w:rsidR="005541EE">
        <w:rPr>
          <w:rFonts w:ascii="Verdana" w:hAnsi="Verdana"/>
        </w:rPr>
        <w:t>, C-450 de 2023</w:t>
      </w:r>
      <w:r w:rsidRPr="00580BB1">
        <w:rPr>
          <w:rFonts w:ascii="Verdana" w:hAnsi="Verdana"/>
        </w:rPr>
        <w:t xml:space="preserve"> y C-088 de 2024.</w:t>
      </w:r>
      <w:r w:rsidRPr="00580BB1">
        <w:rPr>
          <w:rFonts w:ascii="Verdana" w:eastAsia="Calibri" w:hAnsi="Verdana" w:cs="Arial"/>
          <w:color w:val="000000"/>
          <w:lang w:val="es-ES" w:eastAsia="es-ES"/>
        </w:rPr>
        <w:t xml:space="preserve"> Estos y otros conceptos se encuentran disponibles para consulta en el Sistema de relatoría de la Agencia, al cual se puede acceder a través del siguiente enlace: </w:t>
      </w:r>
      <w:hyperlink r:id="rId12" w:history="1">
        <w:r w:rsidRPr="00580BB1">
          <w:rPr>
            <w:rStyle w:val="Hipervnculo"/>
            <w:rFonts w:ascii="Verdana" w:eastAsia="Calibri" w:hAnsi="Verdana" w:cs="Arial"/>
            <w:lang w:val="es-ES" w:eastAsia="es-ES"/>
          </w:rPr>
          <w:t>https://relatoria.colombiacompra.gov.co/busqueda/conceptos</w:t>
        </w:r>
      </w:hyperlink>
      <w:r w:rsidRPr="00580BB1">
        <w:rPr>
          <w:rFonts w:ascii="Verdana" w:eastAsia="Calibri" w:hAnsi="Verdana" w:cs="Arial"/>
          <w:color w:val="000000"/>
          <w:lang w:val="es-ES" w:eastAsia="es-ES"/>
        </w:rPr>
        <w:t xml:space="preserve"> </w:t>
      </w:r>
    </w:p>
    <w:p w14:paraId="6A83167E" w14:textId="77777777" w:rsidR="00580BB1" w:rsidRPr="00580BB1" w:rsidRDefault="00580BB1" w:rsidP="00580BB1">
      <w:pPr>
        <w:spacing w:after="120" w:line="276" w:lineRule="auto"/>
        <w:jc w:val="both"/>
        <w:rPr>
          <w:rFonts w:ascii="Verdana" w:eastAsia="Calibri" w:hAnsi="Verdana" w:cs="Arial"/>
          <w:color w:val="000000"/>
          <w:lang w:val="es-ES" w:eastAsia="es-ES"/>
        </w:rPr>
      </w:pPr>
    </w:p>
    <w:p w14:paraId="4202CEE4" w14:textId="77777777" w:rsidR="00580BB1" w:rsidRPr="00580BB1" w:rsidRDefault="00580BB1" w:rsidP="00580BB1">
      <w:pPr>
        <w:spacing w:after="120" w:line="276" w:lineRule="auto"/>
        <w:jc w:val="both"/>
        <w:rPr>
          <w:rFonts w:ascii="Verdana" w:eastAsia="Calibri" w:hAnsi="Verdana" w:cs="Arial"/>
          <w:color w:val="000000"/>
          <w:lang w:val="es-ES" w:eastAsia="es-ES"/>
        </w:rPr>
      </w:pPr>
      <w:r w:rsidRPr="00580BB1">
        <w:rPr>
          <w:rFonts w:ascii="Verdana" w:eastAsia="Calibri" w:hAnsi="Verdana" w:cs="Arial"/>
          <w:color w:val="000000"/>
          <w:lang w:val="es-ES" w:eastAsia="es-ES"/>
        </w:rPr>
        <w:t xml:space="preserve">También le invitamos a consultar las versiones I y II de 2024 del Boletín de Relatoría de la Subdirección de Gestión Contractual, las cuales puede descargar en la página web de la Agencia: </w:t>
      </w:r>
      <w:hyperlink r:id="rId13" w:history="1">
        <w:r w:rsidRPr="00580BB1">
          <w:rPr>
            <w:rStyle w:val="Hipervnculo"/>
            <w:rFonts w:ascii="Verdana" w:eastAsia="Calibri" w:hAnsi="Verdana" w:cs="Arial"/>
            <w:lang w:val="es-ES" w:eastAsia="es-ES"/>
          </w:rPr>
          <w:t>https://www.colombiacompra.gov.co/sala-de-prensa/boletin-digital</w:t>
        </w:r>
      </w:hyperlink>
      <w:r w:rsidRPr="00580BB1">
        <w:rPr>
          <w:rFonts w:ascii="Verdana" w:eastAsia="Calibri" w:hAnsi="Verdana" w:cs="Arial"/>
          <w:color w:val="000000"/>
          <w:lang w:val="es-ES" w:eastAsia="es-ES"/>
        </w:rPr>
        <w:t xml:space="preserve">       </w:t>
      </w:r>
    </w:p>
    <w:p w14:paraId="00C7E8FC" w14:textId="77777777" w:rsidR="00580BB1" w:rsidRPr="00580BB1" w:rsidRDefault="00580BB1" w:rsidP="00580BB1">
      <w:pPr>
        <w:spacing w:after="0" w:line="240" w:lineRule="auto"/>
        <w:jc w:val="both"/>
        <w:rPr>
          <w:rFonts w:ascii="Verdana" w:hAnsi="Verdana"/>
        </w:rPr>
      </w:pPr>
    </w:p>
    <w:p w14:paraId="1041AB18" w14:textId="77777777" w:rsidR="00580BB1" w:rsidRPr="00580BB1" w:rsidRDefault="00580BB1" w:rsidP="00580BB1">
      <w:pPr>
        <w:spacing w:after="0" w:line="240" w:lineRule="auto"/>
        <w:jc w:val="both"/>
        <w:rPr>
          <w:rFonts w:ascii="Verdana" w:hAnsi="Verdana"/>
        </w:rPr>
      </w:pPr>
      <w:r w:rsidRPr="00580BB1">
        <w:rPr>
          <w:rFonts w:ascii="Verdana" w:hAnsi="Verdana"/>
        </w:rPr>
        <w:t xml:space="preserve">Por último, lo invitamos a seguirnos en las redes sociales en las cuales se difunde información institucional: </w:t>
      </w:r>
    </w:p>
    <w:p w14:paraId="424D7D41" w14:textId="77777777" w:rsidR="00580BB1" w:rsidRPr="00580BB1" w:rsidRDefault="00580BB1" w:rsidP="00580BB1">
      <w:pPr>
        <w:spacing w:after="0" w:line="240" w:lineRule="auto"/>
        <w:jc w:val="both"/>
        <w:rPr>
          <w:rFonts w:ascii="Verdana" w:hAnsi="Verdana"/>
        </w:rPr>
      </w:pPr>
    </w:p>
    <w:p w14:paraId="31CAFB2C" w14:textId="77777777" w:rsidR="00580BB1" w:rsidRPr="00580BB1" w:rsidRDefault="00580BB1" w:rsidP="00580BB1">
      <w:pPr>
        <w:spacing w:after="0" w:line="240" w:lineRule="auto"/>
        <w:jc w:val="both"/>
        <w:rPr>
          <w:rFonts w:ascii="Verdana" w:hAnsi="Verdana"/>
        </w:rPr>
      </w:pPr>
      <w:r w:rsidRPr="00580BB1">
        <w:rPr>
          <w:rFonts w:ascii="Verdana" w:hAnsi="Verdana"/>
        </w:rPr>
        <w:t xml:space="preserve">Twitter: </w:t>
      </w:r>
      <w:r w:rsidRPr="00580BB1">
        <w:rPr>
          <w:rStyle w:val="Hipervnculo"/>
          <w:rFonts w:ascii="Verdana" w:hAnsi="Verdana"/>
          <w:color w:val="4472C4" w:themeColor="accent1"/>
        </w:rPr>
        <w:t>@colombiacompra</w:t>
      </w:r>
      <w:r w:rsidRPr="00580BB1">
        <w:rPr>
          <w:rFonts w:ascii="Verdana" w:hAnsi="Verdana"/>
          <w:color w:val="4472C4" w:themeColor="accent1"/>
        </w:rPr>
        <w:t xml:space="preserve"> </w:t>
      </w:r>
    </w:p>
    <w:p w14:paraId="53128CF7" w14:textId="77777777" w:rsidR="00580BB1" w:rsidRPr="00580BB1" w:rsidRDefault="00580BB1" w:rsidP="00580BB1">
      <w:pPr>
        <w:spacing w:after="0" w:line="240" w:lineRule="auto"/>
        <w:jc w:val="both"/>
        <w:rPr>
          <w:rFonts w:ascii="Verdana" w:hAnsi="Verdana"/>
        </w:rPr>
      </w:pPr>
      <w:r w:rsidRPr="00580BB1">
        <w:rPr>
          <w:rFonts w:ascii="Verdana" w:hAnsi="Verdana"/>
        </w:rPr>
        <w:t xml:space="preserve">Facebook: </w:t>
      </w:r>
      <w:proofErr w:type="spellStart"/>
      <w:r w:rsidRPr="00580BB1">
        <w:rPr>
          <w:rStyle w:val="Hipervnculo"/>
          <w:rFonts w:ascii="Verdana" w:hAnsi="Verdana"/>
          <w:color w:val="4472C4" w:themeColor="accent1"/>
        </w:rPr>
        <w:t>ColombiaCompraEficiente</w:t>
      </w:r>
      <w:proofErr w:type="spellEnd"/>
    </w:p>
    <w:p w14:paraId="09B6D299" w14:textId="77777777" w:rsidR="00580BB1" w:rsidRPr="00580BB1" w:rsidRDefault="00580BB1" w:rsidP="00580BB1">
      <w:pPr>
        <w:spacing w:after="0" w:line="240" w:lineRule="auto"/>
        <w:jc w:val="both"/>
        <w:rPr>
          <w:rFonts w:ascii="Verdana" w:hAnsi="Verdana"/>
        </w:rPr>
      </w:pPr>
      <w:r w:rsidRPr="00580BB1">
        <w:rPr>
          <w:rFonts w:ascii="Verdana" w:hAnsi="Verdana"/>
        </w:rPr>
        <w:t xml:space="preserve">LinkedIn: </w:t>
      </w:r>
      <w:r w:rsidRPr="00580BB1">
        <w:rPr>
          <w:rStyle w:val="Hipervnculo"/>
          <w:rFonts w:ascii="Verdana" w:hAnsi="Verdana"/>
          <w:color w:val="4472C4" w:themeColor="accent1"/>
        </w:rPr>
        <w:t>Agencia Nacional de Contratación Pública - Colombia Compra Eficiente</w:t>
      </w:r>
      <w:r w:rsidRPr="00580BB1">
        <w:rPr>
          <w:rFonts w:ascii="Verdana" w:hAnsi="Verdana"/>
          <w:color w:val="4472C4" w:themeColor="accent1"/>
        </w:rPr>
        <w:t xml:space="preserve"> </w:t>
      </w:r>
      <w:r w:rsidRPr="00580BB1">
        <w:rPr>
          <w:rFonts w:ascii="Verdana" w:hAnsi="Verdana"/>
        </w:rPr>
        <w:t xml:space="preserve">Instagram: </w:t>
      </w:r>
      <w:r w:rsidRPr="00580BB1">
        <w:rPr>
          <w:rStyle w:val="Hipervnculo"/>
          <w:rFonts w:ascii="Verdana" w:hAnsi="Verdana"/>
          <w:color w:val="4472C4" w:themeColor="accent1"/>
        </w:rPr>
        <w:t>@colombiacompraeficiente_cce</w:t>
      </w:r>
    </w:p>
    <w:p w14:paraId="45B9FC84" w14:textId="77777777" w:rsidR="000F7E6B" w:rsidRPr="00580BB1" w:rsidRDefault="000F7E6B" w:rsidP="000F7E6B">
      <w:pPr>
        <w:spacing w:after="120" w:line="276" w:lineRule="auto"/>
        <w:ind w:firstLine="708"/>
        <w:jc w:val="both"/>
        <w:rPr>
          <w:rFonts w:ascii="Verdana" w:eastAsia="Calibri" w:hAnsi="Verdana" w:cs="Arial"/>
          <w:lang w:eastAsia="es-ES"/>
        </w:rPr>
      </w:pPr>
    </w:p>
    <w:p w14:paraId="0B1931FE" w14:textId="77777777" w:rsidR="00CA6464" w:rsidRPr="00580BB1" w:rsidRDefault="00CA6464" w:rsidP="00CA6464">
      <w:pPr>
        <w:spacing w:after="120" w:line="276" w:lineRule="auto"/>
        <w:ind w:firstLine="708"/>
        <w:jc w:val="both"/>
        <w:rPr>
          <w:rFonts w:ascii="Verdana" w:hAnsi="Verdana"/>
        </w:rPr>
      </w:pPr>
      <w:r w:rsidRPr="00580BB1">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09F8F2D" w14:textId="77777777" w:rsidR="00CA6464" w:rsidRPr="00580BB1" w:rsidRDefault="00CA6464" w:rsidP="00CA6464">
      <w:pPr>
        <w:spacing w:after="0" w:line="240" w:lineRule="auto"/>
        <w:rPr>
          <w:rFonts w:ascii="Verdana" w:eastAsia="Times New Roman" w:hAnsi="Verdana" w:cs="Arial"/>
          <w:lang w:eastAsia="es-CO"/>
        </w:rPr>
      </w:pPr>
      <w:r w:rsidRPr="00580BB1">
        <w:rPr>
          <w:rFonts w:ascii="Verdana" w:eastAsia="Calibri" w:hAnsi="Verdana"/>
        </w:rPr>
        <w:t xml:space="preserve"> </w:t>
      </w:r>
      <w:r w:rsidRPr="00580BB1">
        <w:rPr>
          <w:rFonts w:ascii="Verdana" w:eastAsia="Times New Roman" w:hAnsi="Verdana" w:cs="Arial"/>
          <w:lang w:eastAsia="es-CO"/>
        </w:rPr>
        <w:t>Atentamente,</w:t>
      </w:r>
    </w:p>
    <w:p w14:paraId="64448A23" w14:textId="77777777" w:rsidR="00CA6464" w:rsidRPr="00580BB1" w:rsidRDefault="00CA6464" w:rsidP="00CA6464">
      <w:pPr>
        <w:spacing w:after="0" w:line="276" w:lineRule="auto"/>
        <w:jc w:val="center"/>
        <w:rPr>
          <w:rFonts w:ascii="Verdana" w:eastAsia="Times New Roman" w:hAnsi="Verdana" w:cs="Arial"/>
          <w:color w:val="000000"/>
          <w:lang w:val="es-ES_tradnl" w:eastAsia="es-CO"/>
        </w:rPr>
      </w:pPr>
    </w:p>
    <w:p w14:paraId="347443EC" w14:textId="587AE092" w:rsidR="00CA6464" w:rsidRPr="00580BB1" w:rsidRDefault="003B425A" w:rsidP="00CA6464">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7D06364C" wp14:editId="725E0C13">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4"/>
                    <a:stretch>
                      <a:fillRect/>
                    </a:stretch>
                  </pic:blipFill>
                  <pic:spPr>
                    <a:xfrm>
                      <a:off x="0" y="0"/>
                      <a:ext cx="3705742" cy="1590897"/>
                    </a:xfrm>
                    <a:prstGeom prst="rect">
                      <a:avLst/>
                    </a:prstGeom>
                  </pic:spPr>
                </pic:pic>
              </a:graphicData>
            </a:graphic>
          </wp:inline>
        </w:drawing>
      </w:r>
    </w:p>
    <w:p w14:paraId="6B5E7B17" w14:textId="77777777" w:rsidR="00CA6464" w:rsidRPr="00580BB1" w:rsidRDefault="00CA6464" w:rsidP="00CA6464">
      <w:pPr>
        <w:spacing w:after="0" w:line="276" w:lineRule="auto"/>
        <w:jc w:val="center"/>
        <w:rPr>
          <w:rFonts w:ascii="Verdana" w:eastAsia="Times New Roman" w:hAnsi="Verdana" w:cs="Arial"/>
          <w:color w:val="000000"/>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A6464" w:rsidRPr="00580BB1" w14:paraId="7C691DC4" w14:textId="77777777" w:rsidTr="008B0AE8">
        <w:trPr>
          <w:trHeight w:val="409"/>
        </w:trPr>
        <w:tc>
          <w:tcPr>
            <w:tcW w:w="817" w:type="dxa"/>
            <w:tcBorders>
              <w:top w:val="nil"/>
              <w:left w:val="nil"/>
              <w:bottom w:val="nil"/>
              <w:right w:val="nil"/>
            </w:tcBorders>
            <w:vAlign w:val="center"/>
            <w:hideMark/>
          </w:tcPr>
          <w:p w14:paraId="22A510B3" w14:textId="77777777" w:rsidR="00CA6464" w:rsidRPr="00580BB1" w:rsidRDefault="00CA6464" w:rsidP="008B0AE8">
            <w:pPr>
              <w:spacing w:after="0" w:line="240" w:lineRule="auto"/>
              <w:jc w:val="both"/>
              <w:rPr>
                <w:rFonts w:ascii="Verdana" w:hAnsi="Verdana" w:cs="Arial"/>
                <w:sz w:val="16"/>
                <w:szCs w:val="16"/>
              </w:rPr>
            </w:pPr>
            <w:r w:rsidRPr="00580BB1">
              <w:rPr>
                <w:rFonts w:ascii="Verdana" w:hAnsi="Verdana" w:cs="Arial"/>
                <w:sz w:val="16"/>
                <w:szCs w:val="16"/>
              </w:rPr>
              <w:lastRenderedPageBreak/>
              <w:t>Elaboró: </w:t>
            </w:r>
          </w:p>
        </w:tc>
        <w:tc>
          <w:tcPr>
            <w:tcW w:w="4937" w:type="dxa"/>
            <w:tcBorders>
              <w:top w:val="nil"/>
              <w:left w:val="nil"/>
              <w:bottom w:val="dotted" w:sz="6" w:space="0" w:color="7F7F7F" w:themeColor="text1" w:themeTint="80"/>
              <w:right w:val="nil"/>
            </w:tcBorders>
            <w:vAlign w:val="center"/>
            <w:hideMark/>
          </w:tcPr>
          <w:p w14:paraId="317E79B8" w14:textId="77777777" w:rsidR="00CA6464" w:rsidRPr="00580BB1" w:rsidRDefault="00CA6464" w:rsidP="008B0AE8">
            <w:pPr>
              <w:spacing w:after="0" w:line="240" w:lineRule="auto"/>
              <w:jc w:val="both"/>
              <w:rPr>
                <w:rFonts w:ascii="Verdana" w:hAnsi="Verdana" w:cs="Arial"/>
                <w:sz w:val="16"/>
                <w:szCs w:val="16"/>
              </w:rPr>
            </w:pPr>
            <w:proofErr w:type="spellStart"/>
            <w:r w:rsidRPr="00580BB1">
              <w:rPr>
                <w:rFonts w:ascii="Verdana" w:hAnsi="Verdana" w:cs="Arial"/>
                <w:sz w:val="16"/>
                <w:szCs w:val="16"/>
              </w:rPr>
              <w:t>Jhonattan</w:t>
            </w:r>
            <w:proofErr w:type="spellEnd"/>
            <w:r w:rsidRPr="00580BB1">
              <w:rPr>
                <w:rFonts w:ascii="Verdana" w:hAnsi="Verdana" w:cs="Arial"/>
                <w:sz w:val="16"/>
                <w:szCs w:val="16"/>
              </w:rPr>
              <w:t xml:space="preserve"> </w:t>
            </w:r>
            <w:proofErr w:type="spellStart"/>
            <w:r w:rsidRPr="00580BB1">
              <w:rPr>
                <w:rFonts w:ascii="Verdana" w:hAnsi="Verdana" w:cs="Arial"/>
                <w:sz w:val="16"/>
                <w:szCs w:val="16"/>
              </w:rPr>
              <w:t>Gualdrón</w:t>
            </w:r>
            <w:proofErr w:type="spellEnd"/>
            <w:r w:rsidRPr="00580BB1">
              <w:rPr>
                <w:rFonts w:ascii="Verdana" w:hAnsi="Verdana" w:cs="Arial"/>
                <w:sz w:val="16"/>
                <w:szCs w:val="16"/>
              </w:rPr>
              <w:t xml:space="preserve"> Salazar</w:t>
            </w:r>
          </w:p>
          <w:p w14:paraId="5C1067C0" w14:textId="77777777" w:rsidR="00CA6464" w:rsidRPr="00580BB1" w:rsidRDefault="00CA6464" w:rsidP="008B0AE8">
            <w:pPr>
              <w:spacing w:after="0" w:line="240" w:lineRule="auto"/>
              <w:jc w:val="both"/>
              <w:rPr>
                <w:rFonts w:ascii="Verdana" w:hAnsi="Verdana" w:cs="Arial"/>
                <w:sz w:val="16"/>
                <w:szCs w:val="16"/>
              </w:rPr>
            </w:pPr>
            <w:r w:rsidRPr="00580BB1">
              <w:rPr>
                <w:rFonts w:ascii="Verdana" w:hAnsi="Verdana" w:cs="Arial"/>
                <w:sz w:val="16"/>
                <w:szCs w:val="16"/>
              </w:rPr>
              <w:t>Contratista de la Subdirección de Gestión Contractual</w:t>
            </w:r>
          </w:p>
        </w:tc>
      </w:tr>
      <w:tr w:rsidR="00CA6464" w:rsidRPr="00580BB1" w14:paraId="5C901370" w14:textId="77777777" w:rsidTr="008B0AE8">
        <w:trPr>
          <w:trHeight w:val="409"/>
        </w:trPr>
        <w:tc>
          <w:tcPr>
            <w:tcW w:w="817" w:type="dxa"/>
            <w:tcBorders>
              <w:top w:val="nil"/>
              <w:left w:val="nil"/>
              <w:right w:val="nil"/>
            </w:tcBorders>
            <w:vAlign w:val="center"/>
          </w:tcPr>
          <w:p w14:paraId="67A7F36B" w14:textId="77777777" w:rsidR="00CA6464" w:rsidRPr="00580BB1" w:rsidRDefault="00CA6464" w:rsidP="008B0AE8">
            <w:pPr>
              <w:spacing w:after="0"/>
              <w:jc w:val="both"/>
              <w:rPr>
                <w:rFonts w:ascii="Verdana" w:hAnsi="Verdana" w:cs="Arial"/>
                <w:sz w:val="16"/>
                <w:szCs w:val="16"/>
              </w:rPr>
            </w:pPr>
            <w:r w:rsidRPr="00580BB1">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31323C72" w14:textId="77777777" w:rsidR="00CA6464" w:rsidRPr="00580BB1" w:rsidRDefault="00CA6464" w:rsidP="008B0AE8">
            <w:pPr>
              <w:spacing w:after="0" w:line="240" w:lineRule="auto"/>
              <w:jc w:val="both"/>
              <w:rPr>
                <w:rStyle w:val="normaltextrun"/>
                <w:rFonts w:ascii="Verdana" w:eastAsia="Times New Roman" w:hAnsi="Verdana" w:cs="Segoe UI"/>
                <w:color w:val="000000" w:themeColor="text1"/>
                <w:sz w:val="16"/>
                <w:szCs w:val="16"/>
                <w:lang w:eastAsia="es-CO"/>
              </w:rPr>
            </w:pPr>
            <w:r w:rsidRPr="00580BB1">
              <w:rPr>
                <w:rStyle w:val="normaltextrun"/>
                <w:rFonts w:ascii="Verdana" w:eastAsia="Times New Roman" w:hAnsi="Verdana" w:cs="Segoe UI"/>
                <w:color w:val="000000" w:themeColor="text1"/>
                <w:sz w:val="16"/>
                <w:szCs w:val="16"/>
                <w:lang w:eastAsia="es-CO"/>
              </w:rPr>
              <w:t>Cielo Victoria González Meza</w:t>
            </w:r>
          </w:p>
          <w:p w14:paraId="6F459C74" w14:textId="77777777" w:rsidR="00CA6464" w:rsidRPr="00580BB1" w:rsidRDefault="00CA6464" w:rsidP="008B0AE8">
            <w:pPr>
              <w:spacing w:after="0" w:line="240" w:lineRule="auto"/>
              <w:jc w:val="both"/>
              <w:rPr>
                <w:rFonts w:ascii="Verdana" w:hAnsi="Verdana" w:cs="Arial"/>
                <w:sz w:val="16"/>
                <w:szCs w:val="16"/>
              </w:rPr>
            </w:pPr>
            <w:r w:rsidRPr="00580BB1">
              <w:rPr>
                <w:rFonts w:ascii="Verdana" w:eastAsia="Times New Roman" w:hAnsi="Verdana" w:cstheme="minorHAnsi"/>
                <w:sz w:val="16"/>
                <w:szCs w:val="16"/>
                <w:lang w:val="es-ES" w:eastAsia="es-ES"/>
              </w:rPr>
              <w:t>Contratista de la Subdirección de Gestión Contractual</w:t>
            </w:r>
          </w:p>
        </w:tc>
      </w:tr>
      <w:tr w:rsidR="00CA6464" w:rsidRPr="00580BB1" w14:paraId="24BAF1D7" w14:textId="77777777" w:rsidTr="008B0AE8">
        <w:trPr>
          <w:trHeight w:val="389"/>
        </w:trPr>
        <w:tc>
          <w:tcPr>
            <w:tcW w:w="817" w:type="dxa"/>
            <w:tcBorders>
              <w:top w:val="nil"/>
              <w:left w:val="nil"/>
              <w:bottom w:val="nil"/>
              <w:right w:val="nil"/>
            </w:tcBorders>
            <w:vAlign w:val="center"/>
            <w:hideMark/>
          </w:tcPr>
          <w:p w14:paraId="1E468EEC" w14:textId="77777777" w:rsidR="00CA6464" w:rsidRPr="00580BB1" w:rsidRDefault="00CA6464" w:rsidP="008B0AE8">
            <w:pPr>
              <w:spacing w:after="0" w:line="240" w:lineRule="auto"/>
              <w:jc w:val="both"/>
              <w:rPr>
                <w:rFonts w:ascii="Verdana" w:hAnsi="Verdana" w:cs="Arial"/>
                <w:sz w:val="16"/>
                <w:szCs w:val="16"/>
              </w:rPr>
            </w:pPr>
            <w:r w:rsidRPr="00580BB1">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3E5C868" w14:textId="77777777" w:rsidR="00CA6464" w:rsidRPr="00580BB1" w:rsidRDefault="00CA6464" w:rsidP="008B0AE8">
            <w:pPr>
              <w:spacing w:after="0"/>
              <w:rPr>
                <w:rFonts w:ascii="Verdana" w:eastAsia="Calibri" w:hAnsi="Verdana" w:cs="Arial"/>
                <w:sz w:val="16"/>
                <w:szCs w:val="16"/>
                <w:lang w:val="pt-BR" w:eastAsia="es-ES"/>
              </w:rPr>
            </w:pPr>
            <w:r w:rsidRPr="00580BB1">
              <w:rPr>
                <w:rFonts w:ascii="Verdana" w:eastAsia="Calibri" w:hAnsi="Verdana" w:cs="Arial"/>
                <w:sz w:val="16"/>
                <w:szCs w:val="16"/>
                <w:lang w:val="pt-BR" w:eastAsia="es-ES"/>
              </w:rPr>
              <w:t xml:space="preserve">Carolina Quintero </w:t>
            </w:r>
            <w:proofErr w:type="spellStart"/>
            <w:r w:rsidRPr="00580BB1">
              <w:rPr>
                <w:rFonts w:ascii="Verdana" w:eastAsia="Calibri" w:hAnsi="Verdana" w:cs="Arial"/>
                <w:sz w:val="16"/>
                <w:szCs w:val="16"/>
                <w:lang w:val="pt-BR" w:eastAsia="es-ES"/>
              </w:rPr>
              <w:t>Gacharná</w:t>
            </w:r>
            <w:proofErr w:type="spellEnd"/>
          </w:p>
          <w:p w14:paraId="7145FAFF" w14:textId="77777777" w:rsidR="00CA6464" w:rsidRPr="00580BB1" w:rsidRDefault="00CA6464" w:rsidP="008B0AE8">
            <w:pPr>
              <w:spacing w:after="0" w:line="240" w:lineRule="auto"/>
              <w:jc w:val="both"/>
              <w:rPr>
                <w:rFonts w:ascii="Verdana" w:hAnsi="Verdana" w:cs="Arial"/>
                <w:sz w:val="16"/>
                <w:szCs w:val="16"/>
              </w:rPr>
            </w:pPr>
            <w:r w:rsidRPr="00580BB1">
              <w:rPr>
                <w:rFonts w:ascii="Verdana" w:hAnsi="Verdana" w:cs="Arial"/>
                <w:sz w:val="16"/>
                <w:szCs w:val="16"/>
              </w:rPr>
              <w:t>Subdirectora de Gestión Contractual ANCP – CCE</w:t>
            </w:r>
          </w:p>
        </w:tc>
      </w:tr>
    </w:tbl>
    <w:p w14:paraId="32DC797B" w14:textId="77777777" w:rsidR="00CA6464" w:rsidRPr="00580BB1" w:rsidRDefault="00CA6464" w:rsidP="00CA6464">
      <w:pPr>
        <w:jc w:val="both"/>
        <w:rPr>
          <w:rFonts w:ascii="Verdana" w:hAnsi="Verdana"/>
        </w:rPr>
      </w:pPr>
    </w:p>
    <w:p w14:paraId="4F2D3C40" w14:textId="77777777" w:rsidR="00CA6464" w:rsidRPr="00580BB1" w:rsidRDefault="00CA6464" w:rsidP="00CA6464">
      <w:pPr>
        <w:spacing w:after="0" w:line="240" w:lineRule="auto"/>
        <w:rPr>
          <w:rFonts w:ascii="Verdana" w:hAnsi="Verdana"/>
          <w:b/>
          <w:color w:val="404040" w:themeColor="text1" w:themeTint="BF"/>
        </w:rPr>
      </w:pPr>
    </w:p>
    <w:p w14:paraId="156D318E" w14:textId="77777777" w:rsidR="00CA6464" w:rsidRPr="00580BB1" w:rsidRDefault="00CA6464" w:rsidP="00CA6464">
      <w:pPr>
        <w:spacing w:after="0" w:line="240" w:lineRule="auto"/>
        <w:rPr>
          <w:rFonts w:ascii="Verdana" w:hAnsi="Verdana"/>
          <w:b/>
          <w:color w:val="404040" w:themeColor="text1" w:themeTint="BF"/>
        </w:rPr>
      </w:pPr>
    </w:p>
    <w:p w14:paraId="1912C0F2" w14:textId="77777777" w:rsidR="00CA6464" w:rsidRPr="00580BB1" w:rsidRDefault="00CA6464" w:rsidP="00CA6464">
      <w:pPr>
        <w:spacing w:after="0" w:line="240" w:lineRule="auto"/>
        <w:rPr>
          <w:rFonts w:ascii="Verdana" w:hAnsi="Verdana"/>
          <w:b/>
          <w:color w:val="404040" w:themeColor="text1" w:themeTint="BF"/>
        </w:rPr>
      </w:pPr>
    </w:p>
    <w:p w14:paraId="7F80CBC4" w14:textId="77777777" w:rsidR="00CA6464" w:rsidRPr="00580BB1" w:rsidRDefault="00CA6464" w:rsidP="00CA6464">
      <w:pPr>
        <w:pStyle w:val="Default"/>
        <w:tabs>
          <w:tab w:val="left" w:pos="2864"/>
        </w:tabs>
        <w:jc w:val="both"/>
        <w:rPr>
          <w:rFonts w:ascii="Verdana" w:hAnsi="Verdana"/>
          <w:sz w:val="22"/>
          <w:szCs w:val="22"/>
          <w:lang w:val="es-ES"/>
        </w:rPr>
      </w:pPr>
      <w:r w:rsidRPr="00580BB1">
        <w:rPr>
          <w:rFonts w:ascii="Verdana" w:hAnsi="Verdana"/>
        </w:rPr>
        <w:t xml:space="preserve"> </w:t>
      </w:r>
    </w:p>
    <w:p w14:paraId="0B1625D4" w14:textId="77777777" w:rsidR="00F65DFE" w:rsidRPr="00580BB1" w:rsidRDefault="00F65DFE">
      <w:pPr>
        <w:rPr>
          <w:rFonts w:ascii="Verdana" w:hAnsi="Verdana"/>
          <w:lang w:val="es-ES"/>
        </w:rPr>
      </w:pPr>
    </w:p>
    <w:sectPr w:rsidR="00F65DFE" w:rsidRPr="00580BB1" w:rsidSect="00A211EE">
      <w:headerReference w:type="default" r:id="rId15"/>
      <w:footerReference w:type="default" r:id="rId16"/>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6EE9" w14:textId="77777777" w:rsidR="00A00E3D" w:rsidRDefault="00A00E3D" w:rsidP="00CA6464">
      <w:pPr>
        <w:spacing w:after="0" w:line="240" w:lineRule="auto"/>
      </w:pPr>
      <w:r>
        <w:separator/>
      </w:r>
    </w:p>
  </w:endnote>
  <w:endnote w:type="continuationSeparator" w:id="0">
    <w:p w14:paraId="4EAFC619" w14:textId="77777777" w:rsidR="00A00E3D" w:rsidRDefault="00A00E3D" w:rsidP="00CA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342F" w14:textId="77777777" w:rsidR="00F65DFE" w:rsidRDefault="00F65DFE" w:rsidP="00A211EE">
    <w:pPr>
      <w:spacing w:after="0"/>
      <w:rPr>
        <w:rFonts w:ascii="Verdana" w:hAnsi="Verdana"/>
        <w:b/>
        <w:bCs/>
        <w:sz w:val="20"/>
        <w:szCs w:val="20"/>
      </w:rPr>
    </w:pPr>
  </w:p>
  <w:p w14:paraId="1412B223" w14:textId="77777777" w:rsidR="00F65DFE" w:rsidRPr="00174B77" w:rsidRDefault="004D3090"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C48B1FF" w14:textId="77777777" w:rsidR="00F65DFE" w:rsidRDefault="004D3090"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7BE14FD6" w14:textId="77777777" w:rsidR="00F65DFE" w:rsidRPr="00E41027" w:rsidRDefault="004D3090" w:rsidP="00A211EE">
    <w:pPr>
      <w:spacing w:after="0"/>
      <w:jc w:val="both"/>
      <w:rPr>
        <w:rFonts w:ascii="Verdana" w:hAnsi="Verdana"/>
        <w:sz w:val="18"/>
        <w:szCs w:val="18"/>
      </w:rPr>
    </w:pPr>
    <w:r w:rsidRPr="00E41027">
      <w:rPr>
        <w:rFonts w:ascii="Verdana" w:hAnsi="Verdana"/>
        <w:sz w:val="18"/>
        <w:szCs w:val="18"/>
      </w:rPr>
      <w:t>Mesa de servicio: (+57) 601 7456788</w:t>
    </w:r>
  </w:p>
  <w:p w14:paraId="0DC0BA88" w14:textId="77777777" w:rsidR="00F65DFE" w:rsidRPr="00A211EE" w:rsidRDefault="004D3090"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35C0BB90" w14:textId="77777777" w:rsidR="00F65DFE" w:rsidRDefault="00F65DFE"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7D55" w14:textId="77777777" w:rsidR="00A00E3D" w:rsidRDefault="00A00E3D" w:rsidP="00CA6464">
      <w:pPr>
        <w:spacing w:after="0" w:line="240" w:lineRule="auto"/>
      </w:pPr>
      <w:r>
        <w:separator/>
      </w:r>
    </w:p>
  </w:footnote>
  <w:footnote w:type="continuationSeparator" w:id="0">
    <w:p w14:paraId="2AFA65E4" w14:textId="77777777" w:rsidR="00A00E3D" w:rsidRDefault="00A00E3D" w:rsidP="00CA6464">
      <w:pPr>
        <w:spacing w:after="0" w:line="240" w:lineRule="auto"/>
      </w:pPr>
      <w:r>
        <w:continuationSeparator/>
      </w:r>
    </w:p>
  </w:footnote>
  <w:footnote w:id="1">
    <w:p w14:paraId="69D09341" w14:textId="77777777" w:rsidR="00B35117" w:rsidRPr="00CE24A7" w:rsidRDefault="00B35117" w:rsidP="00B35117">
      <w:pPr>
        <w:pStyle w:val="Textonotapie"/>
        <w:ind w:firstLine="708"/>
        <w:jc w:val="both"/>
        <w:rPr>
          <w:rFonts w:ascii="Century Gothic" w:hAnsi="Century Gothic" w:cs="Arial"/>
          <w:sz w:val="16"/>
          <w:szCs w:val="16"/>
        </w:rPr>
      </w:pPr>
      <w:r w:rsidRPr="00CE24A7">
        <w:rPr>
          <w:rStyle w:val="Refdenotaalpie"/>
          <w:rFonts w:ascii="Century Gothic" w:hAnsi="Century Gothic" w:cs="Arial"/>
          <w:sz w:val="16"/>
          <w:szCs w:val="16"/>
        </w:rPr>
        <w:footnoteRef/>
      </w:r>
      <w:r w:rsidRPr="00CE24A7">
        <w:rPr>
          <w:rFonts w:ascii="Century Gothic" w:hAnsi="Century Gothic" w:cs="Arial"/>
          <w:sz w:val="16"/>
          <w:szCs w:val="16"/>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01AE0786"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»1. Experiencia – Los contratos celebrados por el interesado para cada uno de los bienes, obras y servicios que ofrecerá a las Entidades Estatales, identificados con el Clasificador de Bienes y Servicios en el tercer nivel y su valor expresado en SMMLV.</w:t>
      </w:r>
    </w:p>
    <w:p w14:paraId="0C634A2B"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w:t>
      </w:r>
    </w:p>
    <w:p w14:paraId="582106B9" w14:textId="77777777" w:rsidR="00B35117" w:rsidRPr="00CE24A7" w:rsidRDefault="00B35117" w:rsidP="00B35117">
      <w:pPr>
        <w:pStyle w:val="Textonotapie"/>
        <w:ind w:firstLine="708"/>
        <w:jc w:val="both"/>
        <w:rPr>
          <w:rFonts w:ascii="Century Gothic" w:hAnsi="Century Gothic" w:cs="Arial"/>
          <w:sz w:val="16"/>
          <w:szCs w:val="16"/>
          <w:lang w:val="es-ES"/>
        </w:rPr>
      </w:pPr>
    </w:p>
  </w:footnote>
  <w:footnote w:id="2">
    <w:p w14:paraId="060BD366" w14:textId="77777777" w:rsidR="00B35117" w:rsidRPr="00CE24A7" w:rsidRDefault="00B35117" w:rsidP="00B35117">
      <w:pPr>
        <w:pStyle w:val="Textonotapie"/>
        <w:ind w:firstLine="708"/>
        <w:jc w:val="both"/>
        <w:rPr>
          <w:rFonts w:ascii="Century Gothic" w:hAnsi="Century Gothic" w:cs="Arial"/>
          <w:sz w:val="16"/>
          <w:szCs w:val="16"/>
        </w:rPr>
      </w:pPr>
      <w:r w:rsidRPr="00CE24A7">
        <w:rPr>
          <w:rStyle w:val="Refdenotaalpie"/>
          <w:rFonts w:ascii="Century Gothic" w:hAnsi="Century Gothic" w:cs="Arial"/>
          <w:sz w:val="16"/>
          <w:szCs w:val="16"/>
        </w:rPr>
        <w:footnoteRef/>
      </w:r>
      <w:r w:rsidRPr="00CE24A7">
        <w:rPr>
          <w:rFonts w:ascii="Century Gothic" w:hAnsi="Century Gothic" w:cs="Arial"/>
          <w:sz w:val="16"/>
          <w:szCs w:val="16"/>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EB99F56"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w:t>
      </w:r>
    </w:p>
    <w:p w14:paraId="02227153"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7E6230C6"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7F621E8" w14:textId="77777777" w:rsidR="00B35117" w:rsidRPr="00CE24A7" w:rsidRDefault="00B35117" w:rsidP="00B35117">
      <w:pPr>
        <w:pStyle w:val="Textonotapie"/>
        <w:jc w:val="both"/>
        <w:rPr>
          <w:rFonts w:ascii="Century Gothic" w:hAnsi="Century Gothic" w:cs="Arial"/>
          <w:sz w:val="16"/>
          <w:szCs w:val="16"/>
          <w:lang w:val="es-ES"/>
        </w:rPr>
      </w:pPr>
    </w:p>
  </w:footnote>
  <w:footnote w:id="3">
    <w:p w14:paraId="587F82FE" w14:textId="77777777" w:rsidR="00B35117" w:rsidRPr="00CE24A7" w:rsidRDefault="00B35117" w:rsidP="00B35117">
      <w:pPr>
        <w:pStyle w:val="Textonotapie"/>
        <w:ind w:firstLine="708"/>
        <w:jc w:val="both"/>
        <w:rPr>
          <w:rFonts w:ascii="Century Gothic" w:hAnsi="Century Gothic" w:cs="Arial"/>
          <w:sz w:val="16"/>
          <w:szCs w:val="16"/>
        </w:rPr>
      </w:pPr>
      <w:r w:rsidRPr="00CE24A7">
        <w:rPr>
          <w:rStyle w:val="Refdenotaalpie"/>
          <w:rFonts w:ascii="Century Gothic" w:hAnsi="Century Gothic" w:cs="Arial"/>
          <w:sz w:val="16"/>
          <w:szCs w:val="16"/>
        </w:rPr>
        <w:footnoteRef/>
      </w:r>
      <w:r w:rsidRPr="00CE24A7">
        <w:rPr>
          <w:rFonts w:ascii="Century Gothic" w:hAnsi="Century Gothic" w:cs="Arial"/>
          <w:sz w:val="16"/>
          <w:szCs w:val="16"/>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ED12F94"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»1.    Si es una persona natural:</w:t>
      </w:r>
    </w:p>
    <w:p w14:paraId="2A1B0A6C"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»1.1. Bienes, obras y servicios que ofrecerá a las Entidades Estatales, identificados con el Clasificador de Bienes y Servicios en el tercer nivel.</w:t>
      </w:r>
    </w:p>
    <w:p w14:paraId="6A6B99EA"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3CFC8731" w14:textId="77777777" w:rsidR="00B35117" w:rsidRPr="00CE24A7" w:rsidRDefault="00B35117" w:rsidP="00B35117">
      <w:pPr>
        <w:pStyle w:val="Textonotapie"/>
        <w:ind w:firstLine="708"/>
        <w:jc w:val="both"/>
        <w:rPr>
          <w:rFonts w:ascii="Century Gothic" w:hAnsi="Century Gothic" w:cs="Arial"/>
          <w:sz w:val="16"/>
          <w:szCs w:val="16"/>
          <w:lang w:val="es-ES"/>
        </w:rPr>
      </w:pPr>
    </w:p>
  </w:footnote>
  <w:footnote w:id="4">
    <w:p w14:paraId="66B00004" w14:textId="77777777" w:rsidR="00B35117" w:rsidRPr="00580BB1" w:rsidRDefault="00B35117" w:rsidP="00580BB1">
      <w:pPr>
        <w:pStyle w:val="Textonotapie"/>
        <w:ind w:firstLine="709"/>
        <w:jc w:val="both"/>
        <w:rPr>
          <w:rFonts w:ascii="Century Gothic" w:hAnsi="Century Gothic"/>
          <w:sz w:val="16"/>
          <w:szCs w:val="16"/>
          <w:lang w:val="es-ES"/>
        </w:rPr>
      </w:pPr>
      <w:r w:rsidRPr="00580BB1">
        <w:rPr>
          <w:rStyle w:val="Refdenotaalpie"/>
          <w:rFonts w:ascii="Century Gothic" w:hAnsi="Century Gothic"/>
          <w:sz w:val="16"/>
          <w:szCs w:val="16"/>
        </w:rPr>
        <w:footnoteRef/>
      </w:r>
      <w:r w:rsidRPr="00580BB1">
        <w:rPr>
          <w:rFonts w:ascii="Century Gothic" w:hAnsi="Century Gothic"/>
          <w:sz w:val="16"/>
          <w:szCs w:val="16"/>
        </w:rPr>
        <w:t>R</w:t>
      </w:r>
      <w:r w:rsidRPr="00580BB1">
        <w:rPr>
          <w:rFonts w:ascii="Century Gothic" w:eastAsia="Calibri" w:hAnsi="Century Gothic" w:cs="Arial"/>
          <w:sz w:val="16"/>
          <w:szCs w:val="16"/>
        </w:rPr>
        <w:t>eiterado en los conceptos C-491 del 27 de julio de 2020, C-350 del 1 de junio de 2020, C-584 del 31 de agosto de 2020, C-002 del 9 de febrero de 2021, C-115 del 29 de marzo de 2021, C-343 del 13 de julio de 2021 y C-342 del 13 de julio de 2021, modificó la tesis que hasta ese momento había sostenido la Subdirección, en virtud de la cual se afirmaba que en las reformas estatutarias que implicaban una escisión o una fusión de las personas jurídicas no era posible la transferencia de la experiencia, ya que esta era personal e intransferible, según una interpretación del artículo 2.2.1.1.1.5.3. del Decreto 1082 de 2015, que establece que se debe verificar la experiencia de “los contratos celebrados por el interesado para cada uno de los bienes, obras y servicios que ofrecerá a las Entidades Estatales, identificados con el Clasificador de Bienes y Servicios en el tercer nivel y su valor expresado en SMMLV […]”</w:t>
      </w:r>
    </w:p>
  </w:footnote>
  <w:footnote w:id="5">
    <w:p w14:paraId="3CC4CE80" w14:textId="77777777" w:rsidR="00B35117" w:rsidRPr="00CE24A7" w:rsidRDefault="00B35117" w:rsidP="00B35117">
      <w:pPr>
        <w:pStyle w:val="Textonotapie"/>
        <w:ind w:firstLine="708"/>
        <w:jc w:val="both"/>
        <w:rPr>
          <w:rFonts w:ascii="Century Gothic" w:hAnsi="Century Gothic" w:cs="Arial"/>
          <w:sz w:val="16"/>
          <w:szCs w:val="16"/>
        </w:rPr>
      </w:pPr>
      <w:r w:rsidRPr="00CE24A7">
        <w:rPr>
          <w:rStyle w:val="Refdenotaalpie"/>
          <w:rFonts w:ascii="Century Gothic" w:hAnsi="Century Gothic" w:cs="Arial"/>
          <w:sz w:val="16"/>
          <w:szCs w:val="16"/>
        </w:rPr>
        <w:footnoteRef/>
      </w:r>
      <w:r w:rsidRPr="00CE24A7">
        <w:rPr>
          <w:rFonts w:ascii="Century Gothic" w:hAnsi="Century Gothic" w:cs="Arial"/>
          <w:sz w:val="16"/>
          <w:szCs w:val="16"/>
        </w:rPr>
        <w:t xml:space="preserve"> Ver artículos 225 y ss. del Código de Comercio.</w:t>
      </w:r>
    </w:p>
    <w:p w14:paraId="6532D9D7" w14:textId="77777777" w:rsidR="00B35117" w:rsidRPr="00CE24A7" w:rsidRDefault="00B35117" w:rsidP="00B35117">
      <w:pPr>
        <w:pStyle w:val="Textonotapie"/>
        <w:ind w:firstLine="708"/>
        <w:jc w:val="both"/>
        <w:rPr>
          <w:rFonts w:ascii="Century Gothic" w:hAnsi="Century Gothic" w:cs="Arial"/>
          <w:sz w:val="16"/>
          <w:szCs w:val="16"/>
          <w:lang w:val="es-CO"/>
        </w:rPr>
      </w:pPr>
      <w:r w:rsidRPr="00CE24A7">
        <w:rPr>
          <w:rFonts w:ascii="Century Gothic" w:hAnsi="Century Gothic" w:cs="Arial"/>
          <w:sz w:val="16"/>
          <w:szCs w:val="16"/>
        </w:rPr>
        <w:t xml:space="preserve"> </w:t>
      </w:r>
    </w:p>
  </w:footnote>
  <w:footnote w:id="6">
    <w:p w14:paraId="6ADC0909" w14:textId="77777777" w:rsidR="00B35117" w:rsidRPr="00CE24A7" w:rsidRDefault="00B35117" w:rsidP="00B35117">
      <w:pPr>
        <w:pStyle w:val="Textonotapie"/>
        <w:ind w:firstLine="708"/>
        <w:jc w:val="both"/>
        <w:rPr>
          <w:rFonts w:ascii="Century Gothic" w:hAnsi="Century Gothic" w:cs="Arial"/>
          <w:sz w:val="16"/>
          <w:szCs w:val="16"/>
        </w:rPr>
      </w:pPr>
      <w:r w:rsidRPr="00CE24A7">
        <w:rPr>
          <w:rStyle w:val="Refdenotaalpie"/>
          <w:rFonts w:ascii="Century Gothic" w:hAnsi="Century Gothic" w:cs="Arial"/>
          <w:sz w:val="16"/>
          <w:szCs w:val="16"/>
        </w:rPr>
        <w:footnoteRef/>
      </w:r>
      <w:r w:rsidRPr="00CE24A7">
        <w:rPr>
          <w:rFonts w:ascii="Century Gothic" w:hAnsi="Century Gothic" w:cs="Arial"/>
          <w:sz w:val="16"/>
          <w:szCs w:val="16"/>
        </w:rPr>
        <w:t xml:space="preserve"> Ley 222 de 1995: «Artículo 3. Modalidades. Habrá escisión cuando:</w:t>
      </w:r>
    </w:p>
    <w:p w14:paraId="165388BF"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»1. Una sociedad sin disolverse, transfiere en bloque una o varias partes de su patrimonio a una o más sociedades existentes o las destina a la creación de una o varias sociedades.</w:t>
      </w:r>
    </w:p>
    <w:p w14:paraId="1DB1BF36"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»2. Una sociedad se disuelve sin liquidarse, dividiendo su patrimonio en dos o más partes, que se transfieren a varias sociedades existentes o se destinan a la creación de nuevas sociedades.</w:t>
      </w:r>
    </w:p>
    <w:p w14:paraId="47013A75" w14:textId="77777777" w:rsidR="00B35117" w:rsidRPr="00CE24A7" w:rsidRDefault="00B35117" w:rsidP="00B35117">
      <w:pPr>
        <w:pStyle w:val="Textonotapie"/>
        <w:ind w:firstLine="708"/>
        <w:jc w:val="both"/>
        <w:rPr>
          <w:rFonts w:ascii="Century Gothic" w:hAnsi="Century Gothic" w:cs="Arial"/>
          <w:sz w:val="16"/>
          <w:szCs w:val="16"/>
        </w:rPr>
      </w:pPr>
      <w:r w:rsidRPr="00CE24A7">
        <w:rPr>
          <w:rFonts w:ascii="Century Gothic" w:hAnsi="Century Gothic" w:cs="Arial"/>
          <w:sz w:val="16"/>
          <w:szCs w:val="16"/>
        </w:rPr>
        <w:t>»La sociedad o sociedades destinatarias de las transferencias resultantes de la escisión, se denominarán sociedades beneficiarias.</w:t>
      </w:r>
    </w:p>
    <w:p w14:paraId="152C6B0E" w14:textId="77777777" w:rsidR="00B35117" w:rsidRPr="00CE24A7" w:rsidRDefault="00B35117" w:rsidP="00B35117">
      <w:pPr>
        <w:pStyle w:val="Textonotapie"/>
        <w:ind w:firstLine="708"/>
        <w:jc w:val="both"/>
        <w:rPr>
          <w:rFonts w:ascii="Century Gothic" w:hAnsi="Century Gothic" w:cs="Arial"/>
          <w:sz w:val="16"/>
          <w:szCs w:val="16"/>
          <w:lang w:val="es-CO"/>
        </w:rPr>
      </w:pPr>
      <w:r w:rsidRPr="00CE24A7">
        <w:rPr>
          <w:rFonts w:ascii="Century Gothic" w:hAnsi="Century Gothic" w:cs="Arial"/>
          <w:sz w:val="16"/>
          <w:szCs w:val="16"/>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footnote>
  <w:footnote w:id="7">
    <w:p w14:paraId="75F9F9B2" w14:textId="79F80463" w:rsidR="00AF0DBD" w:rsidRPr="002046BE" w:rsidRDefault="00AF0DBD">
      <w:pPr>
        <w:pStyle w:val="Textonotapie"/>
        <w:rPr>
          <w:lang w:val="es-ES"/>
        </w:rPr>
      </w:pPr>
      <w:r>
        <w:rPr>
          <w:rStyle w:val="Refdenotaalpie"/>
        </w:rPr>
        <w:footnoteRef/>
      </w:r>
      <w:r>
        <w:t xml:space="preserve"> </w:t>
      </w:r>
      <w:r w:rsidRPr="00AF0DBD">
        <w:t>Código de Comercio: “Artículo 167. Reforma de contrato social por transformación de sociedad. Una sociedad podrá, antes de su disolución, adoptar cualquiera otra de las formas de la sociedad comercial reguladas en este Código, mediante una reforma del contrato social.</w:t>
      </w:r>
    </w:p>
  </w:footnote>
  <w:footnote w:id="8">
    <w:p w14:paraId="3737ADFC" w14:textId="17684B9B" w:rsidR="002451F3" w:rsidRDefault="002451F3">
      <w:pPr>
        <w:pStyle w:val="Textonotapie"/>
      </w:pPr>
      <w:r>
        <w:rPr>
          <w:rStyle w:val="Refdenotaalpie"/>
        </w:rPr>
        <w:footnoteRef/>
      </w:r>
      <w:r>
        <w:t xml:space="preserve"> C-088 del 2024</w:t>
      </w:r>
    </w:p>
    <w:p w14:paraId="17294331" w14:textId="77777777" w:rsidR="002451F3" w:rsidRPr="002046BE" w:rsidRDefault="002451F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1B6E" w14:textId="77777777" w:rsidR="00F65DFE" w:rsidRDefault="004D309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7DD85FB" wp14:editId="2869AD0D">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9208E68" wp14:editId="71041EF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F3E07A7" w14:textId="77777777" w:rsidR="00F65DFE" w:rsidRDefault="00F65DFE" w:rsidP="00A211EE">
    <w:pPr>
      <w:pStyle w:val="Encabezado"/>
      <w:jc w:val="center"/>
    </w:pPr>
  </w:p>
  <w:p w14:paraId="79B87073" w14:textId="77777777" w:rsidR="00F65DFE" w:rsidRDefault="00F65DFE">
    <w:pPr>
      <w:pStyle w:val="Encabezado"/>
    </w:pPr>
  </w:p>
  <w:p w14:paraId="33BEE35D" w14:textId="77777777" w:rsidR="00F65DFE" w:rsidRDefault="00F65DFE" w:rsidP="00A211EE">
    <w:pPr>
      <w:spacing w:after="0"/>
      <w:rPr>
        <w:rFonts w:ascii="Verdana" w:hAnsi="Verdana"/>
        <w:b/>
        <w:bCs/>
        <w:sz w:val="24"/>
        <w:szCs w:val="24"/>
      </w:rPr>
    </w:pPr>
  </w:p>
  <w:p w14:paraId="3D253CBA" w14:textId="77777777" w:rsidR="00F65DFE" w:rsidRDefault="004D3090" w:rsidP="00A211EE">
    <w:pPr>
      <w:spacing w:after="0"/>
      <w:rPr>
        <w:rFonts w:ascii="Verdana" w:hAnsi="Verdana"/>
        <w:b/>
        <w:bCs/>
        <w:sz w:val="24"/>
        <w:szCs w:val="24"/>
      </w:rPr>
    </w:pPr>
    <w:r w:rsidRPr="00A211EE">
      <w:rPr>
        <w:rFonts w:ascii="Verdana" w:hAnsi="Verdana"/>
        <w:b/>
        <w:bCs/>
        <w:sz w:val="24"/>
        <w:szCs w:val="24"/>
      </w:rPr>
      <w:t>FORMATO PQRSD</w:t>
    </w:r>
  </w:p>
  <w:p w14:paraId="58979285" w14:textId="77777777" w:rsidR="00F65DFE" w:rsidRPr="00A211EE" w:rsidRDefault="00F65DFE"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8709B7"/>
    <w:multiLevelType w:val="hybridMultilevel"/>
    <w:tmpl w:val="586477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88D5BFB"/>
    <w:multiLevelType w:val="hybridMultilevel"/>
    <w:tmpl w:val="36326E7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3B70448"/>
    <w:multiLevelType w:val="hybridMultilevel"/>
    <w:tmpl w:val="CCEC22B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4CFA5FED"/>
    <w:multiLevelType w:val="hybridMultilevel"/>
    <w:tmpl w:val="035663D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7BF78C8"/>
    <w:multiLevelType w:val="hybridMultilevel"/>
    <w:tmpl w:val="DA580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CD818CD"/>
    <w:multiLevelType w:val="hybridMultilevel"/>
    <w:tmpl w:val="4596231C"/>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8" w15:restartNumberingAfterBreak="0">
    <w:nsid w:val="640A12FB"/>
    <w:multiLevelType w:val="hybridMultilevel"/>
    <w:tmpl w:val="5406F1BA"/>
    <w:lvl w:ilvl="0" w:tplc="FD183A6E">
      <w:start w:val="1"/>
      <w:numFmt w:val="decimal"/>
      <w:lvlText w:val="%1."/>
      <w:lvlJc w:val="left"/>
      <w:pPr>
        <w:ind w:left="1789" w:hanging="360"/>
      </w:pPr>
      <w:rPr>
        <w:rFonts w:ascii="Verdana" w:eastAsia="Calibri" w:hAnsi="Verdana" w:cs="Arial"/>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9" w15:restartNumberingAfterBreak="0">
    <w:nsid w:val="689974F4"/>
    <w:multiLevelType w:val="hybridMultilevel"/>
    <w:tmpl w:val="BCC8C346"/>
    <w:lvl w:ilvl="0" w:tplc="896462E0">
      <w:start w:val="1"/>
      <w:numFmt w:val="lowerRoman"/>
      <w:lvlText w:val="%1)"/>
      <w:lvlJc w:val="left"/>
      <w:pPr>
        <w:ind w:left="2584" w:hanging="720"/>
      </w:pPr>
      <w:rPr>
        <w:rFonts w:hint="default"/>
      </w:rPr>
    </w:lvl>
    <w:lvl w:ilvl="1" w:tplc="240A0019" w:tentative="1">
      <w:start w:val="1"/>
      <w:numFmt w:val="lowerLetter"/>
      <w:lvlText w:val="%2."/>
      <w:lvlJc w:val="left"/>
      <w:pPr>
        <w:ind w:left="2944" w:hanging="360"/>
      </w:pPr>
    </w:lvl>
    <w:lvl w:ilvl="2" w:tplc="240A001B" w:tentative="1">
      <w:start w:val="1"/>
      <w:numFmt w:val="lowerRoman"/>
      <w:lvlText w:val="%3."/>
      <w:lvlJc w:val="right"/>
      <w:pPr>
        <w:ind w:left="3664" w:hanging="180"/>
      </w:pPr>
    </w:lvl>
    <w:lvl w:ilvl="3" w:tplc="240A000F" w:tentative="1">
      <w:start w:val="1"/>
      <w:numFmt w:val="decimal"/>
      <w:lvlText w:val="%4."/>
      <w:lvlJc w:val="left"/>
      <w:pPr>
        <w:ind w:left="4384" w:hanging="360"/>
      </w:pPr>
    </w:lvl>
    <w:lvl w:ilvl="4" w:tplc="240A0019" w:tentative="1">
      <w:start w:val="1"/>
      <w:numFmt w:val="lowerLetter"/>
      <w:lvlText w:val="%5."/>
      <w:lvlJc w:val="left"/>
      <w:pPr>
        <w:ind w:left="5104" w:hanging="360"/>
      </w:pPr>
    </w:lvl>
    <w:lvl w:ilvl="5" w:tplc="240A001B" w:tentative="1">
      <w:start w:val="1"/>
      <w:numFmt w:val="lowerRoman"/>
      <w:lvlText w:val="%6."/>
      <w:lvlJc w:val="right"/>
      <w:pPr>
        <w:ind w:left="5824" w:hanging="180"/>
      </w:pPr>
    </w:lvl>
    <w:lvl w:ilvl="6" w:tplc="240A000F" w:tentative="1">
      <w:start w:val="1"/>
      <w:numFmt w:val="decimal"/>
      <w:lvlText w:val="%7."/>
      <w:lvlJc w:val="left"/>
      <w:pPr>
        <w:ind w:left="6544" w:hanging="360"/>
      </w:pPr>
    </w:lvl>
    <w:lvl w:ilvl="7" w:tplc="240A0019" w:tentative="1">
      <w:start w:val="1"/>
      <w:numFmt w:val="lowerLetter"/>
      <w:lvlText w:val="%8."/>
      <w:lvlJc w:val="left"/>
      <w:pPr>
        <w:ind w:left="7264" w:hanging="360"/>
      </w:pPr>
    </w:lvl>
    <w:lvl w:ilvl="8" w:tplc="240A001B" w:tentative="1">
      <w:start w:val="1"/>
      <w:numFmt w:val="lowerRoman"/>
      <w:lvlText w:val="%9."/>
      <w:lvlJc w:val="right"/>
      <w:pPr>
        <w:ind w:left="7984" w:hanging="180"/>
      </w:pPr>
    </w:lvl>
  </w:abstractNum>
  <w:num w:numId="1" w16cid:durableId="776288529">
    <w:abstractNumId w:val="0"/>
  </w:num>
  <w:num w:numId="2" w16cid:durableId="214514554">
    <w:abstractNumId w:val="2"/>
  </w:num>
  <w:num w:numId="3" w16cid:durableId="839926239">
    <w:abstractNumId w:val="3"/>
  </w:num>
  <w:num w:numId="4" w16cid:durableId="906578092">
    <w:abstractNumId w:val="6"/>
  </w:num>
  <w:num w:numId="5" w16cid:durableId="1043559742">
    <w:abstractNumId w:val="5"/>
  </w:num>
  <w:num w:numId="6" w16cid:durableId="756363304">
    <w:abstractNumId w:val="4"/>
  </w:num>
  <w:num w:numId="7" w16cid:durableId="345327656">
    <w:abstractNumId w:val="7"/>
  </w:num>
  <w:num w:numId="8" w16cid:durableId="1641108066">
    <w:abstractNumId w:val="8"/>
  </w:num>
  <w:num w:numId="9" w16cid:durableId="1554581168">
    <w:abstractNumId w:val="9"/>
  </w:num>
  <w:num w:numId="10" w16cid:durableId="973145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64"/>
    <w:rsid w:val="000E6504"/>
    <w:rsid w:val="000F7E6B"/>
    <w:rsid w:val="00110853"/>
    <w:rsid w:val="00114347"/>
    <w:rsid w:val="001813EC"/>
    <w:rsid w:val="001F7390"/>
    <w:rsid w:val="002005BE"/>
    <w:rsid w:val="002046BE"/>
    <w:rsid w:val="00221F67"/>
    <w:rsid w:val="00235661"/>
    <w:rsid w:val="002451F3"/>
    <w:rsid w:val="002870A5"/>
    <w:rsid w:val="00302157"/>
    <w:rsid w:val="00375BD8"/>
    <w:rsid w:val="003978DE"/>
    <w:rsid w:val="003B425A"/>
    <w:rsid w:val="00414739"/>
    <w:rsid w:val="0043496D"/>
    <w:rsid w:val="0044138A"/>
    <w:rsid w:val="004B7320"/>
    <w:rsid w:val="004C7551"/>
    <w:rsid w:val="004D3090"/>
    <w:rsid w:val="00504FCA"/>
    <w:rsid w:val="005541EE"/>
    <w:rsid w:val="00580BB1"/>
    <w:rsid w:val="005E16D6"/>
    <w:rsid w:val="006113E1"/>
    <w:rsid w:val="00612C80"/>
    <w:rsid w:val="0065653B"/>
    <w:rsid w:val="00717987"/>
    <w:rsid w:val="00731CB6"/>
    <w:rsid w:val="007B06AC"/>
    <w:rsid w:val="00827917"/>
    <w:rsid w:val="00843AF1"/>
    <w:rsid w:val="008950AC"/>
    <w:rsid w:val="009316D2"/>
    <w:rsid w:val="00945ECF"/>
    <w:rsid w:val="00A00E3D"/>
    <w:rsid w:val="00AF0DBD"/>
    <w:rsid w:val="00AF7623"/>
    <w:rsid w:val="00B05AD3"/>
    <w:rsid w:val="00B17B7E"/>
    <w:rsid w:val="00B2546A"/>
    <w:rsid w:val="00B35117"/>
    <w:rsid w:val="00B51C45"/>
    <w:rsid w:val="00B712F4"/>
    <w:rsid w:val="00B92F35"/>
    <w:rsid w:val="00BA7C2E"/>
    <w:rsid w:val="00BD2313"/>
    <w:rsid w:val="00C34EC2"/>
    <w:rsid w:val="00CA6464"/>
    <w:rsid w:val="00CE58B9"/>
    <w:rsid w:val="00CF511C"/>
    <w:rsid w:val="00D2404B"/>
    <w:rsid w:val="00DC25D0"/>
    <w:rsid w:val="00DF07E2"/>
    <w:rsid w:val="00DF35DB"/>
    <w:rsid w:val="00E53707"/>
    <w:rsid w:val="00EA6E9C"/>
    <w:rsid w:val="00F57A4F"/>
    <w:rsid w:val="00F6091D"/>
    <w:rsid w:val="00F65DFE"/>
    <w:rsid w:val="00F668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6711"/>
  <w15:chartTrackingRefBased/>
  <w15:docId w15:val="{C2EFE823-EEAB-314B-B857-1F47B289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464"/>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6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6464"/>
    <w:rPr>
      <w:kern w:val="0"/>
      <w:sz w:val="22"/>
      <w:szCs w:val="22"/>
      <w14:ligatures w14:val="none"/>
    </w:rPr>
  </w:style>
  <w:style w:type="paragraph" w:styleId="Piedepgina">
    <w:name w:val="footer"/>
    <w:basedOn w:val="Normal"/>
    <w:link w:val="PiedepginaCar"/>
    <w:uiPriority w:val="99"/>
    <w:unhideWhenUsed/>
    <w:rsid w:val="00CA6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6464"/>
    <w:rPr>
      <w:kern w:val="0"/>
      <w:sz w:val="22"/>
      <w:szCs w:val="22"/>
      <w14:ligatures w14:val="none"/>
    </w:rPr>
  </w:style>
  <w:style w:type="paragraph" w:customStyle="1" w:styleId="Default">
    <w:name w:val="Default"/>
    <w:rsid w:val="00CA6464"/>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A646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CA6464"/>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CA6464"/>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CA6464"/>
    <w:rPr>
      <w:vertAlign w:val="superscript"/>
    </w:rPr>
  </w:style>
  <w:style w:type="character" w:customStyle="1" w:styleId="normaltextrun">
    <w:name w:val="normaltextrun"/>
    <w:basedOn w:val="Fuentedeprrafopredeter"/>
    <w:rsid w:val="00CA6464"/>
  </w:style>
  <w:style w:type="table" w:styleId="Tablaconcuadrcula">
    <w:name w:val="Table Grid"/>
    <w:basedOn w:val="Tablanormal"/>
    <w:uiPriority w:val="39"/>
    <w:qFormat/>
    <w:rsid w:val="00CA646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6464"/>
    <w:rPr>
      <w:color w:val="0000FF"/>
      <w:u w:val="single"/>
    </w:rPr>
  </w:style>
  <w:style w:type="paragraph" w:customStyle="1" w:styleId="Appelnotedebasde">
    <w:name w:val="Appel note de bas de..."/>
    <w:basedOn w:val="Normal"/>
    <w:link w:val="Refdenotaalpie"/>
    <w:uiPriority w:val="99"/>
    <w:rsid w:val="00CA6464"/>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F7E6B"/>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F7E6B"/>
    <w:rPr>
      <w:kern w:val="0"/>
      <w:sz w:val="22"/>
      <w:szCs w:val="22"/>
      <w14:ligatures w14:val="none"/>
    </w:rPr>
  </w:style>
  <w:style w:type="character" w:styleId="Refdecomentario">
    <w:name w:val="annotation reference"/>
    <w:basedOn w:val="Fuentedeprrafopredeter"/>
    <w:uiPriority w:val="99"/>
    <w:semiHidden/>
    <w:unhideWhenUsed/>
    <w:rsid w:val="00235661"/>
    <w:rPr>
      <w:sz w:val="16"/>
      <w:szCs w:val="16"/>
    </w:rPr>
  </w:style>
  <w:style w:type="paragraph" w:styleId="Textocomentario">
    <w:name w:val="annotation text"/>
    <w:basedOn w:val="Normal"/>
    <w:link w:val="TextocomentarioCar"/>
    <w:uiPriority w:val="99"/>
    <w:unhideWhenUsed/>
    <w:rsid w:val="00235661"/>
    <w:pPr>
      <w:spacing w:line="240" w:lineRule="auto"/>
    </w:pPr>
    <w:rPr>
      <w:sz w:val="20"/>
      <w:szCs w:val="20"/>
    </w:rPr>
  </w:style>
  <w:style w:type="character" w:customStyle="1" w:styleId="TextocomentarioCar">
    <w:name w:val="Texto comentario Car"/>
    <w:basedOn w:val="Fuentedeprrafopredeter"/>
    <w:link w:val="Textocomentario"/>
    <w:uiPriority w:val="99"/>
    <w:rsid w:val="00235661"/>
    <w:rPr>
      <w:kern w:val="0"/>
      <w:sz w:val="20"/>
      <w:szCs w:val="20"/>
      <w14:ligatures w14:val="none"/>
    </w:rPr>
  </w:style>
  <w:style w:type="character" w:styleId="Mencinsinresolver">
    <w:name w:val="Unresolved Mention"/>
    <w:basedOn w:val="Fuentedeprrafopredeter"/>
    <w:uiPriority w:val="99"/>
    <w:semiHidden/>
    <w:unhideWhenUsed/>
    <w:rsid w:val="00110853"/>
    <w:rPr>
      <w:color w:val="605E5C"/>
      <w:shd w:val="clear" w:color="auto" w:fill="E1DFDD"/>
    </w:rPr>
  </w:style>
  <w:style w:type="character" w:styleId="Hipervnculovisitado">
    <w:name w:val="FollowedHyperlink"/>
    <w:basedOn w:val="Fuentedeprrafopredeter"/>
    <w:uiPriority w:val="99"/>
    <w:semiHidden/>
    <w:unhideWhenUsed/>
    <w:rsid w:val="00110853"/>
    <w:rPr>
      <w:color w:val="954F72" w:themeColor="followedHyperlink"/>
      <w:u w:val="single"/>
    </w:rPr>
  </w:style>
  <w:style w:type="paragraph" w:styleId="Revisin">
    <w:name w:val="Revision"/>
    <w:hidden/>
    <w:uiPriority w:val="99"/>
    <w:semiHidden/>
    <w:rsid w:val="00B05AD3"/>
    <w:rPr>
      <w:kern w:val="0"/>
      <w:sz w:val="22"/>
      <w:szCs w:val="22"/>
      <w14:ligatures w14:val="none"/>
    </w:rPr>
  </w:style>
  <w:style w:type="paragraph" w:styleId="Asuntodelcomentario">
    <w:name w:val="annotation subject"/>
    <w:basedOn w:val="Textocomentario"/>
    <w:next w:val="Textocomentario"/>
    <w:link w:val="AsuntodelcomentarioCar"/>
    <w:uiPriority w:val="99"/>
    <w:semiHidden/>
    <w:unhideWhenUsed/>
    <w:rsid w:val="004B7320"/>
    <w:rPr>
      <w:b/>
      <w:bCs/>
    </w:rPr>
  </w:style>
  <w:style w:type="character" w:customStyle="1" w:styleId="AsuntodelcomentarioCar">
    <w:name w:val="Asunto del comentario Car"/>
    <w:basedOn w:val="TextocomentarioCar"/>
    <w:link w:val="Asuntodelcomentario"/>
    <w:uiPriority w:val="99"/>
    <w:semiHidden/>
    <w:rsid w:val="004B7320"/>
    <w:rPr>
      <w:b/>
      <w:bCs/>
      <w:kern w:val="0"/>
      <w:sz w:val="20"/>
      <w:szCs w:val="20"/>
      <w14:ligatures w14:val="none"/>
    </w:rPr>
  </w:style>
  <w:style w:type="paragraph" w:styleId="Textodeglobo">
    <w:name w:val="Balloon Text"/>
    <w:basedOn w:val="Normal"/>
    <w:link w:val="TextodegloboCar"/>
    <w:uiPriority w:val="99"/>
    <w:semiHidden/>
    <w:unhideWhenUsed/>
    <w:rsid w:val="00C34EC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4EC2"/>
    <w:rPr>
      <w:rFonts w:ascii="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latoria.colombiacompra.gov.co/providencias-consejo-de-esta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latoria.colombiacompra.gov.co/normativa/decreto-1082-de-2015/"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jacobospina@gmail.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BF019-EB3C-584D-BBA1-F6DE9F058FFE}">
  <ds:schemaRefs>
    <ds:schemaRef ds:uri="http://schemas.openxmlformats.org/officeDocument/2006/bibliography"/>
  </ds:schemaRefs>
</ds:datastoreItem>
</file>

<file path=customXml/itemProps2.xml><?xml version="1.0" encoding="utf-8"?>
<ds:datastoreItem xmlns:ds="http://schemas.openxmlformats.org/officeDocument/2006/customXml" ds:itemID="{2A8B5320-0A85-44DF-8924-EA4943B0D05B}"/>
</file>

<file path=customXml/itemProps3.xml><?xml version="1.0" encoding="utf-8"?>
<ds:datastoreItem xmlns:ds="http://schemas.openxmlformats.org/officeDocument/2006/customXml" ds:itemID="{37B53AD9-CC72-4058-A781-8D2DE1FBBEE6}"/>
</file>

<file path=customXml/itemProps4.xml><?xml version="1.0" encoding="utf-8"?>
<ds:datastoreItem xmlns:ds="http://schemas.openxmlformats.org/officeDocument/2006/customXml" ds:itemID="{9E931E06-471A-4FDF-9692-F8CDA3693E82}"/>
</file>

<file path=docProps/app.xml><?xml version="1.0" encoding="utf-8"?>
<Properties xmlns="http://schemas.openxmlformats.org/officeDocument/2006/extended-properties" xmlns:vt="http://schemas.openxmlformats.org/officeDocument/2006/docPropsVTypes">
  <Template>Normal.dotm</Template>
  <TotalTime>10</TotalTime>
  <Pages>15</Pages>
  <Words>4279</Words>
  <Characters>23537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Jhonattan Gualdron Salazar</cp:lastModifiedBy>
  <cp:revision>3</cp:revision>
  <dcterms:created xsi:type="dcterms:W3CDTF">2024-07-26T21:16:00Z</dcterms:created>
  <dcterms:modified xsi:type="dcterms:W3CDTF">2024-07-29T13:20:00Z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