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E23E565" w14:textId="77777777" w:rsidR="0093644B" w:rsidRPr="0025474B" w:rsidRDefault="0093644B" w:rsidP="0093644B">
      <w:pPr>
        <w:spacing w:after="0" w:line="240" w:lineRule="auto"/>
        <w:rPr>
          <w:rFonts w:ascii="Verdana" w:eastAsia="Calibri" w:hAnsi="Verdana" w:cs="Arial"/>
          <w:b/>
          <w:bCs/>
          <w:lang w:val="es-ES" w:eastAsia="es-ES"/>
        </w:rPr>
      </w:pPr>
      <w:r w:rsidRPr="0025474B">
        <w:rPr>
          <w:rFonts w:ascii="Verdana" w:eastAsia="Calibri" w:hAnsi="Verdana" w:cs="Arial"/>
          <w:b/>
          <w:bCs/>
          <w:lang w:val="es-ES" w:eastAsia="es-ES"/>
        </w:rPr>
        <w:t xml:space="preserve">LEY DE GARANTÍAS ELECTORALES – Finalidad </w:t>
      </w:r>
    </w:p>
    <w:p w14:paraId="42244AAD" w14:textId="77777777" w:rsidR="0093644B" w:rsidRPr="0025474B" w:rsidRDefault="0093644B" w:rsidP="0093644B">
      <w:pPr>
        <w:spacing w:after="0" w:line="240" w:lineRule="auto"/>
        <w:rPr>
          <w:rFonts w:ascii="Verdana" w:eastAsia="Calibri" w:hAnsi="Verdana" w:cs="Arial"/>
          <w:b/>
          <w:bCs/>
          <w:lang w:val="es-ES" w:eastAsia="es-ES"/>
        </w:rPr>
      </w:pPr>
    </w:p>
    <w:p w14:paraId="0551B9C6" w14:textId="77777777" w:rsidR="0093644B" w:rsidRPr="0025474B" w:rsidRDefault="0093644B" w:rsidP="0093644B">
      <w:pPr>
        <w:spacing w:line="276" w:lineRule="auto"/>
        <w:jc w:val="both"/>
        <w:rPr>
          <w:rFonts w:ascii="Verdana" w:eastAsia="Calibri" w:hAnsi="Verdana" w:cs="Arial"/>
          <w:sz w:val="20"/>
          <w:szCs w:val="20"/>
          <w:lang w:val="es-ES"/>
        </w:rPr>
      </w:pPr>
      <w:r w:rsidRPr="0025474B">
        <w:rPr>
          <w:rFonts w:ascii="Verdana" w:eastAsia="Calibri" w:hAnsi="Verdana" w:cs="Arial"/>
          <w:sz w:val="20"/>
          <w:szCs w:val="20"/>
          <w:lang w:val="es-ES"/>
        </w:rPr>
        <w:t>[…] conforme a la Gaceta del Congreso de la República No. 71 del 2005, tiene como propósito evitar cualquier tipo de arbitrariedad, de ventaja injustificada, de uso irregular de los recursos del Estado en las campañas o falta de garantías en la elección presidencial, introduciendo limitaciones para realizar nombramientos, postulaciones, contrataciones o cualquier otro tipo de actividad que implique destinación de recursos públicos.</w:t>
      </w:r>
    </w:p>
    <w:p w14:paraId="2B509C20" w14:textId="77777777" w:rsidR="0093644B" w:rsidRPr="0025474B" w:rsidRDefault="0093644B" w:rsidP="0093644B">
      <w:pPr>
        <w:spacing w:after="0" w:line="276" w:lineRule="auto"/>
        <w:jc w:val="both"/>
        <w:rPr>
          <w:rFonts w:ascii="Verdana" w:eastAsia="Calibri" w:hAnsi="Verdana" w:cs="Arial"/>
          <w:b/>
          <w:bCs/>
        </w:rPr>
      </w:pPr>
      <w:r w:rsidRPr="0025474B">
        <w:rPr>
          <w:rFonts w:ascii="Verdana" w:eastAsia="Calibri" w:hAnsi="Verdana" w:cs="Arial"/>
          <w:b/>
          <w:bCs/>
          <w:lang w:val="es-ES" w:eastAsia="es-ES"/>
        </w:rPr>
        <w:t xml:space="preserve">LEY DE GARANTÍAS ELECTORALES ‒ Aplicación restrictiva – Restricciones ‒ Tipos de elección </w:t>
      </w:r>
    </w:p>
    <w:p w14:paraId="4E823E22" w14:textId="77777777" w:rsidR="0093644B" w:rsidRPr="0025474B" w:rsidRDefault="0093644B" w:rsidP="0093644B">
      <w:pPr>
        <w:spacing w:after="0" w:line="240" w:lineRule="auto"/>
        <w:rPr>
          <w:rFonts w:ascii="Verdana" w:eastAsia="Geomanist Light" w:hAnsi="Verdana" w:cs="Arial"/>
          <w:b/>
          <w:bCs/>
          <w:lang w:val="es-ES"/>
        </w:rPr>
      </w:pPr>
    </w:p>
    <w:p w14:paraId="75967544" w14:textId="77777777" w:rsidR="0093644B" w:rsidRPr="0025474B" w:rsidRDefault="0093644B" w:rsidP="0093644B">
      <w:pPr>
        <w:spacing w:after="0" w:line="240" w:lineRule="auto"/>
        <w:jc w:val="both"/>
        <w:rPr>
          <w:rFonts w:ascii="Verdana" w:eastAsia="Calibri" w:hAnsi="Verdana" w:cs="Arial"/>
          <w:sz w:val="20"/>
          <w:szCs w:val="20"/>
          <w:lang w:val="es-ES"/>
        </w:rPr>
      </w:pPr>
      <w:r w:rsidRPr="0025474B">
        <w:rPr>
          <w:rFonts w:ascii="Verdana" w:eastAsia="Calibri" w:hAnsi="Verdana" w:cs="Arial"/>
          <w:sz w:val="20"/>
          <w:szCs w:val="20"/>
          <w:lang w:val="es-ES"/>
        </w:rPr>
        <w:t xml:space="preserve">Varias de las disposiciones de la Ley 996 de 2005, al contener normas prohibitivas, no admiten una interpretación amplia, sino que deben interpretarse restrictivamente. En efecto, lo anterior fue indicado por la Sala de Consulta y Servicio Civil del Consejo de Estado, al precisar que, en tanto estas prohibiciones que limitan la libertad y los derechos de las personas, </w:t>
      </w:r>
      <w:r w:rsidRPr="0025474B">
        <w:rPr>
          <w:rFonts w:ascii="Verdana" w:eastAsia="Calibri" w:hAnsi="Verdana" w:cs="Arial"/>
          <w:i/>
          <w:iCs/>
          <w:sz w:val="20"/>
          <w:szCs w:val="20"/>
          <w:lang w:val="es-ES"/>
        </w:rPr>
        <w:t>“[…] son de origen constitucional y legal; la tipificación de sus causas, vigencia, naturaleza y efectos es rígida y taxativa; y su aplicación es restrictiva, de manera que excluye la analogía legis o iuris y la interpretación extensiva. […] La jurisprudencia de la Corte Constitucional y del Consejo de Estado,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25474B">
        <w:rPr>
          <w:rFonts w:ascii="Verdana" w:eastAsia="Calibri" w:hAnsi="Verdana" w:cs="Arial"/>
          <w:sz w:val="20"/>
          <w:szCs w:val="20"/>
          <w:lang w:val="es-ES"/>
        </w:rPr>
        <w:t xml:space="preserve"> .</w:t>
      </w:r>
    </w:p>
    <w:p w14:paraId="281DA685" w14:textId="77777777" w:rsidR="0093644B" w:rsidRPr="0025474B" w:rsidRDefault="0093644B" w:rsidP="0093644B">
      <w:pPr>
        <w:spacing w:after="0" w:line="240" w:lineRule="auto"/>
        <w:jc w:val="both"/>
        <w:rPr>
          <w:rFonts w:ascii="Verdana" w:eastAsia="Calibri" w:hAnsi="Verdana" w:cs="Arial"/>
          <w:sz w:val="20"/>
          <w:szCs w:val="20"/>
          <w:lang w:val="es-ES"/>
        </w:rPr>
      </w:pPr>
    </w:p>
    <w:p w14:paraId="1489F6B0" w14:textId="77777777" w:rsidR="0093644B" w:rsidRPr="0025474B" w:rsidRDefault="0093644B" w:rsidP="0093644B">
      <w:pPr>
        <w:spacing w:after="0" w:line="240" w:lineRule="auto"/>
        <w:jc w:val="both"/>
        <w:rPr>
          <w:rFonts w:ascii="Verdana" w:eastAsia="Geomanist Light" w:hAnsi="Verdana" w:cs="Arial"/>
          <w:b/>
          <w:bCs/>
          <w:sz w:val="20"/>
          <w:szCs w:val="20"/>
          <w:lang w:val="es-ES"/>
        </w:rPr>
      </w:pPr>
      <w:r w:rsidRPr="0025474B">
        <w:rPr>
          <w:rFonts w:ascii="Verdana" w:eastAsia="Calibri" w:hAnsi="Verdana" w:cs="Arial"/>
          <w:sz w:val="20"/>
          <w:szCs w:val="20"/>
          <w:lang w:val="es-ES"/>
        </w:rPr>
        <w:t>De conformidad con lo anterior, es claro que la Ley de Garantías Electorales, para el cumplimiento de los objetivos que dieron lugar a su expedición, consagró prohibiciones dirigidas a los servidores públicos. No obstante, debe aclararse que estas disposiciones se dirigen a dos tipos de campañas electorales claramente diferenciadas: las presidenciales y las demás que se adelanten para la elección de los demás cargos de elección popular, tanto a nivel nacional como territorial.</w:t>
      </w:r>
    </w:p>
    <w:p w14:paraId="0BC98486" w14:textId="77777777" w:rsidR="0093644B" w:rsidRPr="0025474B" w:rsidRDefault="0093644B" w:rsidP="0093644B">
      <w:pPr>
        <w:spacing w:after="0" w:line="240" w:lineRule="auto"/>
        <w:rPr>
          <w:rFonts w:ascii="Verdana" w:eastAsia="Geomanist Light" w:hAnsi="Verdana" w:cs="Arial"/>
          <w:lang w:val="es-MX"/>
        </w:rPr>
      </w:pPr>
    </w:p>
    <w:p w14:paraId="4CEDC033" w14:textId="77777777" w:rsidR="0093644B" w:rsidRPr="0025474B" w:rsidRDefault="0093644B" w:rsidP="0093644B">
      <w:pPr>
        <w:spacing w:after="0" w:line="240" w:lineRule="auto"/>
        <w:rPr>
          <w:rFonts w:ascii="Verdana" w:eastAsia="Geomanist Light" w:hAnsi="Verdana" w:cs="Arial"/>
          <w:lang w:val="es-MX"/>
        </w:rPr>
      </w:pPr>
    </w:p>
    <w:p w14:paraId="57F35538" w14:textId="77777777" w:rsidR="0093644B" w:rsidRPr="0025474B" w:rsidRDefault="0093644B" w:rsidP="0093644B">
      <w:pPr>
        <w:spacing w:after="0" w:line="240" w:lineRule="auto"/>
        <w:rPr>
          <w:rFonts w:ascii="Verdana" w:eastAsia="Calibri" w:hAnsi="Verdana" w:cs="Arial"/>
          <w:b/>
          <w:bCs/>
          <w:lang w:val="es-ES" w:eastAsia="es-ES"/>
        </w:rPr>
      </w:pPr>
      <w:r w:rsidRPr="0025474B">
        <w:rPr>
          <w:rFonts w:ascii="Verdana" w:eastAsia="Calibri" w:hAnsi="Verdana" w:cs="Arial"/>
          <w:b/>
          <w:bCs/>
          <w:lang w:val="es-ES" w:eastAsia="es-ES"/>
        </w:rPr>
        <w:t xml:space="preserve">LEY DE GARANTÍAS ELECTORALES ‒ Prohibiciones ‒ Ámbito temporal ─ Prohibición artículo 33 – Prohibición parágrafo artículo 38 </w:t>
      </w:r>
    </w:p>
    <w:p w14:paraId="2D192661" w14:textId="77777777" w:rsidR="0093644B" w:rsidRPr="0025474B" w:rsidRDefault="0093644B" w:rsidP="0093644B">
      <w:pPr>
        <w:spacing w:line="276" w:lineRule="auto"/>
        <w:jc w:val="both"/>
        <w:rPr>
          <w:rFonts w:ascii="Verdana" w:eastAsia="Calibri" w:hAnsi="Verdana" w:cs="Arial"/>
          <w:sz w:val="20"/>
          <w:szCs w:val="20"/>
          <w:lang w:val="es-ES"/>
        </w:rPr>
      </w:pPr>
    </w:p>
    <w:p w14:paraId="38E21355" w14:textId="77777777" w:rsidR="0093644B" w:rsidRPr="0025474B" w:rsidRDefault="0093644B" w:rsidP="0093644B">
      <w:pPr>
        <w:spacing w:line="276" w:lineRule="auto"/>
        <w:jc w:val="both"/>
        <w:rPr>
          <w:rFonts w:ascii="Verdana" w:eastAsia="Calibri" w:hAnsi="Verdana" w:cs="Arial"/>
          <w:sz w:val="20"/>
          <w:szCs w:val="20"/>
          <w:lang w:val="es-ES"/>
        </w:rPr>
      </w:pPr>
      <w:r w:rsidRPr="0025474B">
        <w:rPr>
          <w:rFonts w:ascii="Verdana" w:eastAsia="Calibri" w:hAnsi="Verdana" w:cs="Arial"/>
          <w:sz w:val="20"/>
          <w:szCs w:val="20"/>
          <w:lang w:val="es-ES"/>
        </w:rPr>
        <w:t xml:space="preserve">El artículo 33 de la Ley 996 de 2005 –restricciones a la contratación pública– establece una prohibición que impide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w:t>
      </w:r>
      <w:r w:rsidRPr="0025474B">
        <w:rPr>
          <w:rFonts w:ascii="Verdana" w:eastAsia="Calibri" w:hAnsi="Verdana" w:cs="Arial"/>
          <w:sz w:val="20"/>
          <w:szCs w:val="20"/>
          <w:lang w:val="es-ES"/>
        </w:rPr>
        <w:lastRenderedPageBreak/>
        <w:t>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 Por otra parte, el parágrafo del artículo 38 de la Ley 996 de 2005 prevé una restricción, aplicable respecto de cualquier tipo de elección popular,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p w14:paraId="540C7147" w14:textId="77777777" w:rsidR="0093644B" w:rsidRPr="0025474B" w:rsidRDefault="0093644B" w:rsidP="0093644B">
      <w:pPr>
        <w:spacing w:line="276" w:lineRule="auto"/>
        <w:jc w:val="both"/>
        <w:rPr>
          <w:rFonts w:ascii="Verdana" w:eastAsia="Calibri" w:hAnsi="Verdana" w:cs="Arial"/>
          <w:sz w:val="20"/>
          <w:szCs w:val="20"/>
          <w:lang w:val="es-ES"/>
        </w:rPr>
      </w:pPr>
    </w:p>
    <w:p w14:paraId="7C62A2FB" w14:textId="77777777" w:rsidR="0093644B" w:rsidRPr="0025474B" w:rsidRDefault="0093644B" w:rsidP="0093644B">
      <w:pPr>
        <w:spacing w:after="0" w:line="276" w:lineRule="auto"/>
        <w:jc w:val="both"/>
        <w:rPr>
          <w:rFonts w:ascii="Verdana" w:eastAsia="Calibri" w:hAnsi="Verdana" w:cs="Arial"/>
          <w:b/>
          <w:bCs/>
        </w:rPr>
      </w:pPr>
      <w:r w:rsidRPr="0025474B">
        <w:rPr>
          <w:rFonts w:ascii="Verdana" w:eastAsia="Calibri" w:hAnsi="Verdana" w:cs="Arial"/>
          <w:b/>
          <w:bCs/>
          <w:lang w:val="es-ES" w:eastAsia="es-ES"/>
        </w:rPr>
        <w:t xml:space="preserve">NULIDAD ABSOLUTA DEL CONTRATO ESTATAL – Normativa – Causales – Celebración de contratos contra expresa prohibición legal </w:t>
      </w:r>
    </w:p>
    <w:p w14:paraId="6F13707D" w14:textId="77777777" w:rsidR="0093644B" w:rsidRPr="0025474B" w:rsidRDefault="0093644B" w:rsidP="0093644B">
      <w:pPr>
        <w:spacing w:after="0" w:line="240" w:lineRule="auto"/>
        <w:rPr>
          <w:rFonts w:ascii="Verdana" w:eastAsia="Geomanist Light" w:hAnsi="Verdana" w:cs="Arial"/>
          <w:b/>
          <w:bCs/>
          <w:lang w:val="es-ES"/>
        </w:rPr>
      </w:pPr>
    </w:p>
    <w:p w14:paraId="57CF6E9C" w14:textId="77777777" w:rsidR="0093644B" w:rsidRPr="0025474B" w:rsidRDefault="0093644B" w:rsidP="0093644B">
      <w:pPr>
        <w:spacing w:after="0" w:line="240" w:lineRule="auto"/>
        <w:jc w:val="both"/>
        <w:rPr>
          <w:rFonts w:ascii="Verdana" w:eastAsia="Geomanist Light" w:hAnsi="Verdana" w:cs="Arial"/>
          <w:b/>
          <w:bCs/>
          <w:sz w:val="20"/>
          <w:szCs w:val="20"/>
          <w:lang w:val="es-ES"/>
        </w:rPr>
      </w:pPr>
      <w:r w:rsidRPr="0025474B">
        <w:rPr>
          <w:rFonts w:ascii="Verdana" w:eastAsia="Calibri" w:hAnsi="Verdana" w:cs="Arial"/>
          <w:sz w:val="20"/>
          <w:szCs w:val="20"/>
          <w:lang w:val="es-ES"/>
        </w:rPr>
        <w:t>[…] el artículo 44 de la Ley 80 de 1993 establece que los contratos estatales son considerados absolutamente nulos “en los casos previstos en el derecho común y además”, y las causales consagradas en dicho artículo. El numeral 2 de esta disposición establece que será nulo los contratos estatales cuando “Se celebren contra expresa prohibición constitucional o legal”. En estos casos, de conformidad con el artículo 45 ibídem, la configuración de la causal de numeral 2 supone que “[…] el jefe o representante legal de la entidad respectiva deberá dar por terminado el contrato mediante acto administrativo debidamente motivado y ordenará su liquidación en el estado en que se encuentre”.</w:t>
      </w:r>
    </w:p>
    <w:p w14:paraId="4BD3329C" w14:textId="77777777" w:rsidR="0093644B" w:rsidRPr="0025474B" w:rsidRDefault="0093644B" w:rsidP="0093644B">
      <w:pPr>
        <w:spacing w:after="0" w:line="240" w:lineRule="auto"/>
        <w:rPr>
          <w:rFonts w:ascii="Verdana" w:eastAsia="Geomanist Light" w:hAnsi="Verdana" w:cs="Arial"/>
          <w:lang w:val="es-MX"/>
        </w:rPr>
      </w:pPr>
    </w:p>
    <w:p w14:paraId="00495FA5" w14:textId="77777777" w:rsidR="0093644B" w:rsidRPr="0025474B" w:rsidRDefault="0093644B" w:rsidP="0093644B">
      <w:pPr>
        <w:spacing w:after="0" w:line="240" w:lineRule="auto"/>
        <w:rPr>
          <w:rFonts w:ascii="Verdana" w:eastAsia="Geomanist Light" w:hAnsi="Verdana" w:cs="Arial"/>
          <w:lang w:val="es-MX"/>
        </w:rPr>
      </w:pPr>
    </w:p>
    <w:p w14:paraId="19E6EFAC" w14:textId="77777777" w:rsidR="0093644B" w:rsidRPr="0025474B" w:rsidRDefault="0093644B" w:rsidP="0093644B">
      <w:pPr>
        <w:spacing w:after="0" w:line="240" w:lineRule="auto"/>
        <w:rPr>
          <w:rFonts w:ascii="Verdana" w:eastAsia="Geomanist Light" w:hAnsi="Verdana" w:cs="Arial"/>
          <w:lang w:val="es-MX"/>
        </w:rPr>
      </w:pPr>
    </w:p>
    <w:p w14:paraId="4B854BD6" w14:textId="77777777" w:rsidR="0093644B" w:rsidRPr="0025474B" w:rsidRDefault="0093644B" w:rsidP="0093644B">
      <w:pPr>
        <w:spacing w:after="0" w:line="240" w:lineRule="auto"/>
        <w:rPr>
          <w:rFonts w:ascii="Verdana" w:eastAsia="Geomanist Light" w:hAnsi="Verdana" w:cs="Arial"/>
          <w:lang w:val="es-MX"/>
        </w:rPr>
      </w:pPr>
    </w:p>
    <w:p w14:paraId="53BB3B58" w14:textId="77777777" w:rsidR="0093644B" w:rsidRPr="0025474B" w:rsidRDefault="0093644B" w:rsidP="0093644B">
      <w:pPr>
        <w:spacing w:after="0" w:line="240" w:lineRule="auto"/>
        <w:rPr>
          <w:rFonts w:ascii="Verdana" w:eastAsia="Geomanist Light" w:hAnsi="Verdana" w:cs="Arial"/>
          <w:lang w:val="es-MX"/>
        </w:rPr>
      </w:pPr>
    </w:p>
    <w:p w14:paraId="50E092E2" w14:textId="77777777" w:rsidR="0093644B" w:rsidRPr="0025474B" w:rsidRDefault="0093644B" w:rsidP="0093644B">
      <w:pPr>
        <w:spacing w:after="0" w:line="240" w:lineRule="auto"/>
        <w:rPr>
          <w:rFonts w:ascii="Verdana" w:eastAsia="Geomanist Light" w:hAnsi="Verdana" w:cs="Arial"/>
          <w:lang w:val="es-MX"/>
        </w:rPr>
      </w:pPr>
    </w:p>
    <w:p w14:paraId="526FC1DD" w14:textId="77777777" w:rsidR="0093644B" w:rsidRPr="0025474B" w:rsidRDefault="0093644B" w:rsidP="0093644B">
      <w:pPr>
        <w:spacing w:after="0" w:line="240" w:lineRule="auto"/>
        <w:rPr>
          <w:rFonts w:ascii="Verdana" w:eastAsia="Geomanist Light" w:hAnsi="Verdana" w:cs="Arial"/>
          <w:lang w:val="es-MX"/>
        </w:rPr>
      </w:pPr>
    </w:p>
    <w:p w14:paraId="246D2C5B" w14:textId="77777777" w:rsidR="0093644B" w:rsidRPr="0025474B" w:rsidRDefault="0093644B" w:rsidP="0093644B">
      <w:pPr>
        <w:spacing w:after="0" w:line="240" w:lineRule="auto"/>
        <w:rPr>
          <w:rFonts w:ascii="Verdana" w:eastAsia="Geomanist Light" w:hAnsi="Verdana" w:cs="Arial"/>
          <w:lang w:val="es-MX"/>
        </w:rPr>
      </w:pPr>
    </w:p>
    <w:p w14:paraId="0B4B5636" w14:textId="77777777" w:rsidR="0093644B" w:rsidRPr="0025474B" w:rsidRDefault="0093644B" w:rsidP="0093644B">
      <w:pPr>
        <w:spacing w:after="0" w:line="240" w:lineRule="auto"/>
        <w:rPr>
          <w:rFonts w:ascii="Verdana" w:eastAsia="Geomanist Light" w:hAnsi="Verdana" w:cs="Arial"/>
          <w:lang w:val="es-MX"/>
        </w:rPr>
      </w:pPr>
    </w:p>
    <w:p w14:paraId="6436FD1A" w14:textId="77777777" w:rsidR="0093644B" w:rsidRPr="0025474B" w:rsidRDefault="0093644B" w:rsidP="0093644B">
      <w:pPr>
        <w:spacing w:after="0" w:line="240" w:lineRule="auto"/>
        <w:rPr>
          <w:rFonts w:ascii="Verdana" w:eastAsia="Geomanist Light" w:hAnsi="Verdana" w:cs="Arial"/>
          <w:lang w:val="es-MX"/>
        </w:rPr>
      </w:pPr>
    </w:p>
    <w:p w14:paraId="2C98C416" w14:textId="77777777" w:rsidR="0093644B" w:rsidRPr="0025474B" w:rsidRDefault="0093644B" w:rsidP="0093644B">
      <w:pPr>
        <w:spacing w:after="0" w:line="240" w:lineRule="auto"/>
        <w:rPr>
          <w:rFonts w:ascii="Verdana" w:eastAsia="Geomanist Light" w:hAnsi="Verdana" w:cs="Arial"/>
          <w:lang w:val="es-MX"/>
        </w:rPr>
      </w:pPr>
    </w:p>
    <w:p w14:paraId="7BA73A35" w14:textId="77777777" w:rsidR="0093644B" w:rsidRDefault="0093644B" w:rsidP="0093644B">
      <w:pPr>
        <w:spacing w:after="0" w:line="240" w:lineRule="auto"/>
        <w:rPr>
          <w:rFonts w:ascii="Verdana" w:eastAsia="Geomanist Light" w:hAnsi="Verdana" w:cs="Arial"/>
          <w:color w:val="000000" w:themeColor="text1"/>
          <w:lang w:val="es-MX"/>
        </w:rPr>
      </w:pPr>
    </w:p>
    <w:p w14:paraId="597108A0" w14:textId="77777777" w:rsidR="0093644B" w:rsidRDefault="0093644B" w:rsidP="0093644B">
      <w:pPr>
        <w:spacing w:after="0" w:line="240" w:lineRule="auto"/>
        <w:rPr>
          <w:rFonts w:ascii="Verdana" w:eastAsia="Geomanist Light" w:hAnsi="Verdana" w:cs="Arial"/>
          <w:color w:val="000000" w:themeColor="text1"/>
          <w:lang w:val="es-MX"/>
        </w:rPr>
      </w:pPr>
    </w:p>
    <w:p w14:paraId="6064C840" w14:textId="77777777" w:rsidR="0093644B" w:rsidRDefault="0093644B" w:rsidP="0093644B">
      <w:pPr>
        <w:spacing w:after="0" w:line="240" w:lineRule="auto"/>
        <w:rPr>
          <w:rFonts w:ascii="Verdana" w:eastAsia="Geomanist Light" w:hAnsi="Verdana" w:cs="Arial"/>
          <w:color w:val="000000" w:themeColor="text1"/>
          <w:lang w:val="es-MX"/>
        </w:rPr>
      </w:pPr>
    </w:p>
    <w:p w14:paraId="15632F32" w14:textId="77777777" w:rsidR="0093644B" w:rsidRDefault="0093644B" w:rsidP="0093644B">
      <w:pPr>
        <w:spacing w:after="0" w:line="240" w:lineRule="auto"/>
        <w:rPr>
          <w:rFonts w:ascii="Verdana" w:eastAsia="Geomanist Light" w:hAnsi="Verdana" w:cs="Arial"/>
          <w:color w:val="000000" w:themeColor="text1"/>
          <w:lang w:val="es-MX"/>
        </w:rPr>
      </w:pPr>
    </w:p>
    <w:p w14:paraId="191652E1" w14:textId="77777777" w:rsidR="0093644B" w:rsidRDefault="0093644B" w:rsidP="0093644B">
      <w:pPr>
        <w:spacing w:after="0" w:line="240" w:lineRule="auto"/>
        <w:rPr>
          <w:rFonts w:ascii="Verdana" w:eastAsia="Geomanist Light" w:hAnsi="Verdana" w:cs="Arial"/>
          <w:color w:val="000000" w:themeColor="text1"/>
          <w:lang w:val="es-MX"/>
        </w:rPr>
      </w:pPr>
    </w:p>
    <w:p w14:paraId="087640AF" w14:textId="77777777" w:rsidR="0093644B" w:rsidRDefault="0093644B" w:rsidP="0093644B">
      <w:pPr>
        <w:spacing w:after="0" w:line="240" w:lineRule="auto"/>
        <w:rPr>
          <w:rFonts w:ascii="Verdana" w:eastAsia="Geomanist Light" w:hAnsi="Verdana" w:cs="Arial"/>
          <w:color w:val="000000" w:themeColor="text1"/>
          <w:lang w:val="es-MX"/>
        </w:rPr>
      </w:pPr>
    </w:p>
    <w:p w14:paraId="3B9C1CDE" w14:textId="77777777" w:rsidR="0093644B" w:rsidRDefault="0093644B" w:rsidP="0093644B">
      <w:pPr>
        <w:spacing w:after="0" w:line="240" w:lineRule="auto"/>
        <w:rPr>
          <w:rFonts w:ascii="Verdana" w:eastAsia="Geomanist Light" w:hAnsi="Verdana" w:cs="Arial"/>
          <w:color w:val="000000" w:themeColor="text1"/>
          <w:lang w:val="es-MX"/>
        </w:rPr>
      </w:pPr>
    </w:p>
    <w:p w14:paraId="6F0C3954" w14:textId="77777777" w:rsidR="0093644B" w:rsidRDefault="0093644B" w:rsidP="0093644B">
      <w:pPr>
        <w:spacing w:after="0" w:line="240" w:lineRule="auto"/>
        <w:rPr>
          <w:rFonts w:ascii="Verdana" w:eastAsia="Geomanist Light" w:hAnsi="Verdana" w:cs="Arial"/>
          <w:color w:val="000000" w:themeColor="text1"/>
          <w:lang w:val="es-MX"/>
        </w:rPr>
      </w:pPr>
    </w:p>
    <w:p w14:paraId="43002CB3" w14:textId="77777777" w:rsidR="0093644B" w:rsidRDefault="0093644B" w:rsidP="0093644B">
      <w:pPr>
        <w:spacing w:after="0" w:line="240" w:lineRule="auto"/>
        <w:rPr>
          <w:rFonts w:ascii="Verdana" w:eastAsia="Geomanist Light" w:hAnsi="Verdana" w:cs="Arial"/>
          <w:color w:val="000000" w:themeColor="text1"/>
          <w:lang w:val="es-MX"/>
        </w:rPr>
      </w:pPr>
    </w:p>
    <w:p w14:paraId="78BF9921" w14:textId="77777777" w:rsidR="0093644B" w:rsidRDefault="0093644B" w:rsidP="0093644B">
      <w:pPr>
        <w:spacing w:after="0" w:line="240" w:lineRule="auto"/>
        <w:rPr>
          <w:rFonts w:ascii="Verdana" w:eastAsia="Calibri" w:hAnsi="Verdana" w:cs="Arial"/>
          <w:color w:val="000000"/>
          <w:lang w:val="es-ES"/>
        </w:rPr>
      </w:pPr>
      <w:r w:rsidRPr="00B3201F">
        <w:rPr>
          <w:rFonts w:ascii="Verdana" w:eastAsia="Calibri" w:hAnsi="Verdana" w:cs="Arial"/>
          <w:b/>
          <w:noProof/>
          <w:lang w:val="es-ES_tradnl" w:eastAsia="es-ES_tradnl"/>
        </w:rPr>
        <w:drawing>
          <wp:anchor distT="0" distB="0" distL="114300" distR="114300" simplePos="0" relativeHeight="251659264" behindDoc="0" locked="0" layoutInCell="1" allowOverlap="1" wp14:anchorId="43F105FB" wp14:editId="107F3C69">
            <wp:simplePos x="0" y="0"/>
            <wp:positionH relativeFrom="margin">
              <wp:align>right</wp:align>
            </wp:positionH>
            <wp:positionV relativeFrom="paragraph">
              <wp:posOffset>13335</wp:posOffset>
            </wp:positionV>
            <wp:extent cx="2771775" cy="812800"/>
            <wp:effectExtent l="0" t="0" r="9525" b="6350"/>
            <wp:wrapNone/>
            <wp:docPr id="1482902516"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2902516" name="Imagen 1" descr="Texto&#10;&#10;Descripción generada automáticamente"/>
                    <pic:cNvPicPr/>
                  </pic:nvPicPr>
                  <pic:blipFill>
                    <a:blip r:embed="rId10">
                      <a:extLst>
                        <a:ext uri="{28A0092B-C50C-407E-A947-70E740481C1C}">
                          <a14:useLocalDpi xmlns:a14="http://schemas.microsoft.com/office/drawing/2010/main" val="0"/>
                        </a:ext>
                      </a:extLst>
                    </a:blip>
                    <a:stretch>
                      <a:fillRect/>
                    </a:stretch>
                  </pic:blipFill>
                  <pic:spPr>
                    <a:xfrm>
                      <a:off x="0" y="0"/>
                      <a:ext cx="2771775" cy="812800"/>
                    </a:xfrm>
                    <a:prstGeom prst="rect">
                      <a:avLst/>
                    </a:prstGeom>
                  </pic:spPr>
                </pic:pic>
              </a:graphicData>
            </a:graphic>
            <wp14:sizeRelH relativeFrom="margin">
              <wp14:pctWidth>0</wp14:pctWidth>
            </wp14:sizeRelH>
            <wp14:sizeRelV relativeFrom="margin">
              <wp14:pctHeight>0</wp14:pctHeight>
            </wp14:sizeRelV>
          </wp:anchor>
        </w:drawing>
      </w:r>
      <w:r w:rsidRPr="00593A5F">
        <w:rPr>
          <w:rFonts w:ascii="Verdana" w:eastAsia="Geomanist Light" w:hAnsi="Verdana" w:cs="Arial"/>
          <w:color w:val="000000" w:themeColor="text1"/>
          <w:lang w:val="es-MX"/>
        </w:rPr>
        <w:t>Bogotá D.C., </w:t>
      </w:r>
      <w:r w:rsidRPr="00534DBD">
        <w:rPr>
          <w:rFonts w:ascii="Verdana" w:eastAsia="Geomanist Light" w:hAnsi="Verdana" w:cs="Arial"/>
          <w:color w:val="201F1E"/>
          <w:lang w:val="es-MX"/>
        </w:rPr>
        <w:t>10 de Julio de 2024</w:t>
      </w:r>
    </w:p>
    <w:p w14:paraId="6962797A" w14:textId="77777777" w:rsidR="0093644B" w:rsidRPr="00593A5F" w:rsidRDefault="0093644B" w:rsidP="0093644B">
      <w:pPr>
        <w:spacing w:after="0" w:line="240" w:lineRule="auto"/>
        <w:jc w:val="both"/>
        <w:rPr>
          <w:rFonts w:ascii="Verdana" w:eastAsia="Calibri" w:hAnsi="Verdana" w:cs="Arial"/>
          <w:color w:val="000000"/>
          <w:lang w:val="es-ES"/>
        </w:rPr>
      </w:pPr>
    </w:p>
    <w:p w14:paraId="01DB2C25" w14:textId="77777777" w:rsidR="0093644B" w:rsidRPr="00895FEF" w:rsidRDefault="0093644B" w:rsidP="0093644B">
      <w:pPr>
        <w:spacing w:after="0" w:line="276" w:lineRule="auto"/>
        <w:jc w:val="both"/>
        <w:rPr>
          <w:rFonts w:ascii="Verdana" w:eastAsia="Calibri" w:hAnsi="Verdana" w:cs="Arial"/>
          <w:lang w:val="es-ES" w:eastAsia="es-ES"/>
        </w:rPr>
      </w:pPr>
      <w:r w:rsidRPr="00895FEF">
        <w:rPr>
          <w:rFonts w:ascii="Verdana" w:eastAsia="Calibri" w:hAnsi="Verdana" w:cs="Arial"/>
          <w:lang w:val="es-ES" w:eastAsia="es-ES"/>
        </w:rPr>
        <w:t>Señora</w:t>
      </w:r>
    </w:p>
    <w:p w14:paraId="50392D5B" w14:textId="77777777" w:rsidR="0093644B" w:rsidRPr="00895FEF" w:rsidRDefault="0093644B" w:rsidP="0093644B">
      <w:pPr>
        <w:spacing w:after="0" w:line="276" w:lineRule="auto"/>
        <w:rPr>
          <w:rFonts w:ascii="Verdana" w:eastAsia="Calibri" w:hAnsi="Verdana" w:cs="Arial"/>
          <w:b/>
          <w:lang w:val="es-ES_tradnl" w:eastAsia="es-ES_tradnl"/>
        </w:rPr>
      </w:pPr>
      <w:r w:rsidRPr="00895FEF">
        <w:rPr>
          <w:rFonts w:ascii="Verdana" w:eastAsia="Calibri" w:hAnsi="Verdana" w:cs="Arial"/>
          <w:b/>
          <w:lang w:val="es-ES_tradnl" w:eastAsia="es-ES_tradnl"/>
        </w:rPr>
        <w:t>Ángela Sofía Lora Villarreal</w:t>
      </w:r>
    </w:p>
    <w:p w14:paraId="3C8DD274" w14:textId="77777777" w:rsidR="0093644B" w:rsidRPr="00534DBD" w:rsidRDefault="0093644B" w:rsidP="0093644B">
      <w:pPr>
        <w:spacing w:after="0" w:line="276" w:lineRule="auto"/>
        <w:rPr>
          <w:rFonts w:ascii="Verdana" w:eastAsia="Calibri" w:hAnsi="Verdana" w:cs="Arial"/>
          <w:b/>
          <w:bCs/>
          <w:lang w:val="es-ES" w:eastAsia="es-ES"/>
        </w:rPr>
      </w:pPr>
      <w:r w:rsidRPr="00534DBD">
        <w:rPr>
          <w:rFonts w:ascii="Verdana" w:eastAsia="Calibri" w:hAnsi="Verdana" w:cs="Arial"/>
          <w:b/>
          <w:bCs/>
          <w:lang w:val="es-ES" w:eastAsia="es-ES"/>
        </w:rPr>
        <w:t>Asistente de Fiscal</w:t>
      </w:r>
    </w:p>
    <w:p w14:paraId="27CF872E" w14:textId="77777777" w:rsidR="0093644B" w:rsidRPr="00534DBD" w:rsidRDefault="0093644B" w:rsidP="0093644B">
      <w:pPr>
        <w:spacing w:after="0" w:line="276" w:lineRule="auto"/>
        <w:rPr>
          <w:rFonts w:ascii="Verdana" w:eastAsia="Calibri" w:hAnsi="Verdana" w:cs="Arial"/>
          <w:b/>
          <w:bCs/>
          <w:lang w:val="es-ES" w:eastAsia="es-ES"/>
        </w:rPr>
      </w:pPr>
      <w:r w:rsidRPr="00534DBD">
        <w:rPr>
          <w:rFonts w:ascii="Verdana" w:eastAsia="Calibri" w:hAnsi="Verdana" w:cs="Arial"/>
          <w:b/>
          <w:bCs/>
          <w:lang w:val="es-ES" w:eastAsia="es-ES"/>
        </w:rPr>
        <w:t>Dirección Especializada Contra la Corrupción</w:t>
      </w:r>
    </w:p>
    <w:p w14:paraId="5F81BDC9" w14:textId="77777777" w:rsidR="0093644B" w:rsidRPr="00534DBD" w:rsidRDefault="0093644B" w:rsidP="0093644B">
      <w:pPr>
        <w:spacing w:after="0" w:line="276" w:lineRule="auto"/>
        <w:rPr>
          <w:rFonts w:ascii="Verdana" w:eastAsia="Calibri" w:hAnsi="Verdana" w:cs="Arial"/>
          <w:b/>
          <w:bCs/>
          <w:lang w:val="es-ES" w:eastAsia="es-ES"/>
        </w:rPr>
      </w:pPr>
      <w:r w:rsidRPr="00534DBD">
        <w:rPr>
          <w:rFonts w:ascii="Verdana" w:eastAsia="Calibri" w:hAnsi="Verdana" w:cs="Arial"/>
          <w:b/>
          <w:bCs/>
          <w:lang w:val="es-ES" w:eastAsia="es-ES"/>
        </w:rPr>
        <w:t>Fiscalía General de la Nación</w:t>
      </w:r>
    </w:p>
    <w:p w14:paraId="0F5AAC34" w14:textId="77777777" w:rsidR="0093644B" w:rsidRPr="00895FEF" w:rsidRDefault="0093644B" w:rsidP="0093644B">
      <w:pPr>
        <w:spacing w:after="0" w:line="276" w:lineRule="auto"/>
        <w:rPr>
          <w:rFonts w:ascii="Verdana" w:eastAsia="Calibri" w:hAnsi="Verdana" w:cs="Arial"/>
          <w:u w:val="single"/>
          <w:lang w:val="es-ES" w:eastAsia="es-ES"/>
        </w:rPr>
      </w:pPr>
      <w:hyperlink r:id="rId11" w:history="1">
        <w:r w:rsidRPr="00895FEF">
          <w:rPr>
            <w:rStyle w:val="Hipervnculo"/>
            <w:rFonts w:ascii="Verdana" w:eastAsia="Calibri" w:hAnsi="Verdana" w:cs="Arial"/>
            <w:lang w:val="es-ES" w:eastAsia="es-ES"/>
          </w:rPr>
          <w:t>angela.lora@fiscalia.gov.co</w:t>
        </w:r>
      </w:hyperlink>
    </w:p>
    <w:p w14:paraId="248CF4C0" w14:textId="77777777" w:rsidR="0093644B" w:rsidRPr="00895FEF" w:rsidRDefault="0093644B" w:rsidP="0093644B">
      <w:pPr>
        <w:spacing w:after="0" w:line="276" w:lineRule="auto"/>
        <w:rPr>
          <w:rFonts w:ascii="Verdana" w:eastAsia="Calibri" w:hAnsi="Verdana" w:cs="Arial"/>
          <w:b/>
          <w:bCs/>
          <w:lang w:val="es-ES" w:eastAsia="es-ES"/>
        </w:rPr>
      </w:pPr>
      <w:r w:rsidRPr="00895FEF">
        <w:rPr>
          <w:rFonts w:ascii="Verdana" w:eastAsia="Calibri" w:hAnsi="Verdana" w:cs="Arial"/>
          <w:lang w:val="es-ES" w:eastAsia="es-ES"/>
        </w:rPr>
        <w:t>Bogotá D.C.</w:t>
      </w:r>
      <w:r w:rsidRPr="00534DBD">
        <w:rPr>
          <w:rStyle w:val="Refdecomentario"/>
          <w:rFonts w:ascii="Verdana" w:hAnsi="Verdana"/>
        </w:rPr>
        <w:t xml:space="preserve"> </w:t>
      </w:r>
    </w:p>
    <w:p w14:paraId="4E962385" w14:textId="77777777" w:rsidR="0093644B" w:rsidRPr="00593A5F" w:rsidRDefault="0093644B" w:rsidP="0093644B">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93644B" w:rsidRPr="001D6EB3" w14:paraId="09C96ED8" w14:textId="77777777" w:rsidTr="00A1159A">
        <w:trPr>
          <w:trHeight w:val="884"/>
        </w:trPr>
        <w:tc>
          <w:tcPr>
            <w:tcW w:w="2689" w:type="dxa"/>
          </w:tcPr>
          <w:p w14:paraId="70DD80E0" w14:textId="77777777" w:rsidR="0093644B" w:rsidRPr="001D6EB3" w:rsidRDefault="0093644B" w:rsidP="00A1159A">
            <w:pPr>
              <w:jc w:val="both"/>
              <w:rPr>
                <w:rFonts w:ascii="Verdana" w:eastAsia="Calibri" w:hAnsi="Verdana" w:cs="Arial"/>
                <w:b/>
                <w:bCs/>
                <w:lang w:val="es-ES_tradnl" w:eastAsia="es-ES_tradnl"/>
              </w:rPr>
            </w:pPr>
          </w:p>
        </w:tc>
        <w:tc>
          <w:tcPr>
            <w:tcW w:w="6100" w:type="dxa"/>
          </w:tcPr>
          <w:p w14:paraId="7CA6103A" w14:textId="77777777" w:rsidR="0093644B" w:rsidRPr="001D6EB3" w:rsidRDefault="0093644B" w:rsidP="00A1159A">
            <w:pPr>
              <w:jc w:val="both"/>
              <w:rPr>
                <w:rFonts w:ascii="Verdana" w:eastAsia="Calibri" w:hAnsi="Verdana" w:cs="Arial"/>
                <w:b/>
                <w:bCs/>
                <w:lang w:val="es-ES" w:eastAsia="es-ES"/>
              </w:rPr>
            </w:pPr>
            <w:r w:rsidRPr="001D6EB3">
              <w:rPr>
                <w:rFonts w:ascii="Verdana" w:eastAsia="Calibri" w:hAnsi="Verdana" w:cs="Arial"/>
                <w:b/>
                <w:bCs/>
                <w:lang w:val="es-ES" w:eastAsia="es-ES"/>
              </w:rPr>
              <w:t>Concepto C-225 de 2024</w:t>
            </w:r>
          </w:p>
        </w:tc>
      </w:tr>
      <w:tr w:rsidR="0093644B" w:rsidRPr="001D6EB3" w14:paraId="31575E47" w14:textId="77777777" w:rsidTr="00A1159A">
        <w:trPr>
          <w:trHeight w:val="2797"/>
        </w:trPr>
        <w:tc>
          <w:tcPr>
            <w:tcW w:w="2689" w:type="dxa"/>
          </w:tcPr>
          <w:p w14:paraId="0FAE0BFE" w14:textId="77777777" w:rsidR="0093644B" w:rsidRPr="001D6EB3" w:rsidRDefault="0093644B" w:rsidP="00A1159A">
            <w:pPr>
              <w:jc w:val="both"/>
              <w:rPr>
                <w:rFonts w:ascii="Verdana" w:eastAsia="Calibri" w:hAnsi="Verdana" w:cs="Arial"/>
                <w:lang w:val="es-ES_tradnl" w:eastAsia="es-ES_tradnl"/>
              </w:rPr>
            </w:pPr>
            <w:r w:rsidRPr="001D6EB3">
              <w:rPr>
                <w:rFonts w:ascii="Verdana" w:eastAsia="Calibri" w:hAnsi="Verdana" w:cs="Arial"/>
                <w:b/>
                <w:lang w:val="es-ES_tradnl" w:eastAsia="es-ES_tradnl"/>
              </w:rPr>
              <w:t>Temas:</w:t>
            </w:r>
            <w:r w:rsidRPr="001D6EB3">
              <w:rPr>
                <w:rFonts w:ascii="Verdana" w:eastAsia="Calibri" w:hAnsi="Verdana" w:cs="Arial"/>
                <w:lang w:val="es-ES_tradnl" w:eastAsia="es-ES_tradnl"/>
              </w:rPr>
              <w:t xml:space="preserve">                   </w:t>
            </w:r>
          </w:p>
        </w:tc>
        <w:tc>
          <w:tcPr>
            <w:tcW w:w="6100" w:type="dxa"/>
          </w:tcPr>
          <w:p w14:paraId="230ED99B" w14:textId="77777777" w:rsidR="0093644B" w:rsidRPr="001D6EB3" w:rsidRDefault="0093644B" w:rsidP="00A1159A">
            <w:pPr>
              <w:spacing w:line="276" w:lineRule="auto"/>
              <w:jc w:val="both"/>
              <w:rPr>
                <w:rFonts w:ascii="Verdana" w:eastAsia="Calibri" w:hAnsi="Verdana" w:cs="Arial"/>
                <w:lang w:val="es-ES" w:eastAsia="es-ES"/>
              </w:rPr>
            </w:pPr>
            <w:bookmarkStart w:id="0" w:name="_Hlk173423294"/>
            <w:r w:rsidRPr="0025474B">
              <w:rPr>
                <w:rFonts w:ascii="Verdana" w:eastAsia="Calibri" w:hAnsi="Verdana" w:cs="Arial"/>
                <w:lang w:val="es-ES" w:eastAsia="es-ES"/>
              </w:rPr>
              <w:t xml:space="preserve">LEY DE GARANTÍAS ELECTORALES – Finalidad </w:t>
            </w:r>
            <w:bookmarkEnd w:id="0"/>
            <w:r w:rsidRPr="0025474B">
              <w:rPr>
                <w:rFonts w:ascii="Verdana" w:eastAsia="Calibri" w:hAnsi="Verdana" w:cs="Arial"/>
                <w:lang w:val="es-ES" w:eastAsia="es-ES"/>
              </w:rPr>
              <w:t xml:space="preserve">/ LEY DE GARANTÍAS ELECTORALES ‒ </w:t>
            </w:r>
            <w:r w:rsidRPr="0025474B">
              <w:rPr>
                <w:rFonts w:ascii="Verdana" w:eastAsia="Calibri" w:hAnsi="Verdana"/>
                <w:lang w:eastAsia="es-ES"/>
              </w:rPr>
              <w:t>Aplicación restrictiva</w:t>
            </w:r>
            <w:r w:rsidRPr="0025474B">
              <w:rPr>
                <w:rFonts w:ascii="Verdana" w:eastAsia="Calibri" w:hAnsi="Verdana" w:cs="Arial"/>
                <w:lang w:val="es-ES" w:eastAsia="es-ES"/>
              </w:rPr>
              <w:t xml:space="preserve"> –</w:t>
            </w:r>
            <w:r w:rsidRPr="0025474B">
              <w:rPr>
                <w:rFonts w:ascii="Verdana" w:eastAsia="Calibri" w:hAnsi="Verdana"/>
                <w:lang w:eastAsia="es-ES"/>
              </w:rPr>
              <w:t xml:space="preserve"> </w:t>
            </w:r>
            <w:r w:rsidRPr="0025474B">
              <w:rPr>
                <w:rFonts w:ascii="Verdana" w:eastAsia="Calibri" w:hAnsi="Verdana" w:cs="Arial"/>
                <w:lang w:val="es-ES" w:eastAsia="es-ES"/>
              </w:rPr>
              <w:t>Restricciones ‒ Contratación ‒ Tipos de elección / LEY DE GARANTÍAS ELECTORALES ‒ Prohibiciones ‒ Ámbito temporal / LEY DE GARANTÍAS ELECTORALES ─ Prohibición artículo</w:t>
            </w:r>
            <w:r w:rsidRPr="001D6EB3">
              <w:rPr>
                <w:rFonts w:ascii="Verdana" w:eastAsia="Calibri" w:hAnsi="Verdana" w:cs="Arial"/>
                <w:lang w:val="es-ES" w:eastAsia="es-ES"/>
              </w:rPr>
              <w:t xml:space="preserve"> 33 – Prohibición parágrafo artículo 38</w:t>
            </w:r>
            <w:r>
              <w:rPr>
                <w:rFonts w:ascii="Verdana" w:eastAsia="Calibri" w:hAnsi="Verdana" w:cs="Arial"/>
                <w:lang w:val="es-ES" w:eastAsia="es-ES"/>
              </w:rPr>
              <w:t xml:space="preserve"> / NULIDAD ABSOLUTA DEL CONTRATO ESTATAL – Normativa – Causales – Celebración de contratos contra expresa prohibición legal </w:t>
            </w:r>
          </w:p>
          <w:p w14:paraId="0BBEC9FB" w14:textId="77777777" w:rsidR="0093644B" w:rsidRPr="001D6EB3" w:rsidRDefault="0093644B" w:rsidP="00A1159A">
            <w:pPr>
              <w:spacing w:line="276" w:lineRule="auto"/>
              <w:jc w:val="both"/>
              <w:rPr>
                <w:rFonts w:ascii="Verdana" w:eastAsia="Calibri" w:hAnsi="Verdana" w:cs="Arial"/>
                <w:lang w:val="es-ES" w:eastAsia="es-ES"/>
              </w:rPr>
            </w:pPr>
          </w:p>
        </w:tc>
      </w:tr>
      <w:tr w:rsidR="0093644B" w:rsidRPr="001D6EB3" w14:paraId="0960F739" w14:textId="77777777" w:rsidTr="00A1159A">
        <w:tc>
          <w:tcPr>
            <w:tcW w:w="2689" w:type="dxa"/>
          </w:tcPr>
          <w:p w14:paraId="7FC89731" w14:textId="77777777" w:rsidR="0093644B" w:rsidRPr="001D6EB3" w:rsidRDefault="0093644B" w:rsidP="00A1159A">
            <w:pPr>
              <w:jc w:val="both"/>
              <w:rPr>
                <w:rFonts w:ascii="Verdana" w:eastAsia="Calibri" w:hAnsi="Verdana" w:cs="Arial"/>
                <w:b/>
                <w:lang w:val="es-ES_tradnl" w:eastAsia="es-ES_tradnl"/>
              </w:rPr>
            </w:pPr>
            <w:r w:rsidRPr="001D6EB3">
              <w:rPr>
                <w:rFonts w:ascii="Verdana" w:eastAsia="Calibri" w:hAnsi="Verdana" w:cs="Arial"/>
                <w:b/>
                <w:lang w:val="es-ES_tradnl" w:eastAsia="es-ES_tradnl"/>
              </w:rPr>
              <w:t>Radicación:</w:t>
            </w:r>
            <w:r w:rsidRPr="001D6EB3">
              <w:rPr>
                <w:rFonts w:ascii="Verdana" w:eastAsia="Calibri" w:hAnsi="Verdana" w:cs="Arial"/>
                <w:lang w:val="es-ES_tradnl" w:eastAsia="es-ES_tradnl"/>
              </w:rPr>
              <w:t xml:space="preserve">               </w:t>
            </w:r>
          </w:p>
        </w:tc>
        <w:tc>
          <w:tcPr>
            <w:tcW w:w="6100" w:type="dxa"/>
          </w:tcPr>
          <w:p w14:paraId="4D5D24FE" w14:textId="77777777" w:rsidR="0093644B" w:rsidRPr="001D6EB3" w:rsidRDefault="0093644B" w:rsidP="00A1159A">
            <w:pPr>
              <w:jc w:val="both"/>
              <w:rPr>
                <w:rFonts w:ascii="Verdana" w:eastAsia="Calibri" w:hAnsi="Verdana" w:cs="Arial"/>
                <w:lang w:val="es-ES_tradnl" w:eastAsia="es-ES_tradnl"/>
              </w:rPr>
            </w:pPr>
            <w:r w:rsidRPr="001D6EB3">
              <w:rPr>
                <w:rFonts w:ascii="Verdana" w:eastAsia="Calibri" w:hAnsi="Verdana" w:cs="Arial"/>
                <w:lang w:val="es-ES_tradnl" w:eastAsia="es-ES_tradnl"/>
              </w:rPr>
              <w:t>Respuesta a consulta con radicado No. P20240625006491</w:t>
            </w:r>
          </w:p>
        </w:tc>
      </w:tr>
    </w:tbl>
    <w:p w14:paraId="67F8FC1A" w14:textId="77777777" w:rsidR="0093644B" w:rsidRPr="001D6EB3" w:rsidRDefault="0093644B" w:rsidP="0093644B">
      <w:pPr>
        <w:spacing w:after="0" w:line="240" w:lineRule="auto"/>
        <w:jc w:val="both"/>
        <w:rPr>
          <w:rFonts w:ascii="Verdana" w:eastAsia="Calibri" w:hAnsi="Verdana" w:cs="Arial"/>
          <w:lang w:val="es-ES_tradnl" w:eastAsia="es-ES_tradnl"/>
        </w:rPr>
      </w:pPr>
    </w:p>
    <w:p w14:paraId="55EC6CB4" w14:textId="77777777" w:rsidR="0093644B" w:rsidRPr="001D6EB3" w:rsidRDefault="0093644B" w:rsidP="0093644B">
      <w:pPr>
        <w:spacing w:after="0" w:line="240" w:lineRule="auto"/>
        <w:jc w:val="both"/>
        <w:rPr>
          <w:rFonts w:ascii="Verdana" w:eastAsia="Calibri" w:hAnsi="Verdana" w:cs="Arial"/>
          <w:lang w:val="es-ES_tradnl" w:eastAsia="es-ES_tradnl"/>
        </w:rPr>
      </w:pPr>
    </w:p>
    <w:p w14:paraId="6A130783" w14:textId="77777777" w:rsidR="0093644B" w:rsidRPr="001D6EB3" w:rsidRDefault="0093644B" w:rsidP="0093644B">
      <w:pPr>
        <w:spacing w:after="0" w:line="276" w:lineRule="auto"/>
        <w:jc w:val="both"/>
        <w:rPr>
          <w:rFonts w:ascii="Verdana" w:eastAsia="Calibri" w:hAnsi="Verdana" w:cs="Arial"/>
          <w:lang w:val="es-ES" w:eastAsia="es-ES"/>
        </w:rPr>
      </w:pPr>
      <w:r w:rsidRPr="001D6EB3">
        <w:rPr>
          <w:rFonts w:ascii="Verdana" w:eastAsia="Calibri" w:hAnsi="Verdana" w:cs="Arial"/>
          <w:lang w:val="es-ES" w:eastAsia="es-ES"/>
        </w:rPr>
        <w:t xml:space="preserve">Estimada señora Ángela Sofía: </w:t>
      </w:r>
    </w:p>
    <w:p w14:paraId="7714096C" w14:textId="77777777" w:rsidR="0093644B" w:rsidRPr="001D6EB3" w:rsidRDefault="0093644B" w:rsidP="0093644B">
      <w:pPr>
        <w:tabs>
          <w:tab w:val="left" w:pos="3768"/>
        </w:tabs>
        <w:spacing w:after="0" w:line="276" w:lineRule="auto"/>
        <w:jc w:val="both"/>
        <w:rPr>
          <w:rFonts w:ascii="Verdana" w:eastAsia="Calibri" w:hAnsi="Verdana" w:cs="Arial"/>
          <w:lang w:val="es-ES" w:eastAsia="es-ES"/>
        </w:rPr>
      </w:pPr>
      <w:r w:rsidRPr="001D6EB3">
        <w:rPr>
          <w:rFonts w:ascii="Verdana" w:eastAsia="Calibri" w:hAnsi="Verdana" w:cs="Arial"/>
          <w:lang w:val="es-ES" w:eastAsia="es-ES"/>
        </w:rPr>
        <w:tab/>
      </w:r>
    </w:p>
    <w:p w14:paraId="56BA7675" w14:textId="77777777" w:rsidR="0093644B" w:rsidRPr="001D6EB3" w:rsidRDefault="0093644B" w:rsidP="0093644B">
      <w:pPr>
        <w:spacing w:after="0" w:line="276" w:lineRule="auto"/>
        <w:jc w:val="both"/>
        <w:rPr>
          <w:rFonts w:ascii="Verdana" w:eastAsia="Calibri" w:hAnsi="Verdana" w:cs="Arial"/>
          <w:lang w:val="es-ES" w:eastAsia="es-ES"/>
        </w:rPr>
      </w:pPr>
      <w:r w:rsidRPr="001D6EB3">
        <w:rPr>
          <w:rFonts w:ascii="Verdana" w:eastAsia="Calibri" w:hAnsi="Verdana" w:cs="Arial"/>
          <w:lang w:val="es-ES" w:eastAsia="es-ES"/>
        </w:rPr>
        <w:t>En ejercicio de la competencia otorgada por los artículos 3, numeral 5º, y 11, numeral 8º, del Decreto Ley 4170 de 2011,</w:t>
      </w:r>
      <w:r w:rsidRPr="001D6EB3">
        <w:rPr>
          <w:rFonts w:ascii="Verdana" w:eastAsia="Arial MT" w:hAnsi="Verdana" w:cs="Arial MT"/>
          <w:lang w:val="es-ES" w:eastAsia="es-ES"/>
        </w:rPr>
        <w:t xml:space="preserve"> </w:t>
      </w:r>
      <w:r w:rsidRPr="001D6EB3">
        <w:rPr>
          <w:rFonts w:ascii="Verdana" w:hAnsi="Verdana" w:cs="Arial"/>
        </w:rPr>
        <w:t xml:space="preserve">así como lo establecido en el artículo 4 de la Resolución 1707 de 2018 expedida por esta Entidad, </w:t>
      </w:r>
      <w:r w:rsidRPr="001D6EB3">
        <w:rPr>
          <w:rFonts w:ascii="Verdana" w:eastAsia="Calibri" w:hAnsi="Verdana" w:cs="Arial"/>
          <w:lang w:val="es-ES" w:eastAsia="es-ES"/>
        </w:rPr>
        <w:t xml:space="preserve">la Agencia Nacional de Contratación Pública – Colombia Compra Eficiente– responde su solicitud de consulta de fecha 25 de junio de 2024, en la cual manifiesta lo siguiente: </w:t>
      </w:r>
    </w:p>
    <w:p w14:paraId="4A5F5B04" w14:textId="77777777" w:rsidR="0093644B" w:rsidRPr="001D6EB3" w:rsidRDefault="0093644B" w:rsidP="0093644B">
      <w:pPr>
        <w:pStyle w:val="Prrafodelista"/>
        <w:tabs>
          <w:tab w:val="left" w:pos="142"/>
          <w:tab w:val="left" w:pos="284"/>
        </w:tabs>
        <w:spacing w:after="0" w:line="276" w:lineRule="auto"/>
        <w:ind w:left="0"/>
        <w:jc w:val="both"/>
        <w:rPr>
          <w:rFonts w:ascii="Verdana" w:eastAsia="Century Gothic" w:hAnsi="Verdana" w:cs="Century Gothic"/>
          <w:b/>
          <w:bCs/>
        </w:rPr>
      </w:pPr>
    </w:p>
    <w:p w14:paraId="4733939A" w14:textId="77777777" w:rsidR="0093644B" w:rsidRDefault="0093644B" w:rsidP="0093644B">
      <w:pPr>
        <w:spacing w:after="0" w:line="240" w:lineRule="auto"/>
        <w:ind w:left="709" w:right="709"/>
        <w:jc w:val="both"/>
        <w:rPr>
          <w:rFonts w:ascii="Verdana" w:eastAsia="Century Gothic" w:hAnsi="Verdana" w:cs="Century Gothic"/>
          <w:b/>
          <w:bCs/>
        </w:rPr>
      </w:pPr>
      <w:bookmarkStart w:id="1" w:name="_Hlk95313578"/>
      <w:r w:rsidRPr="001D6EB3">
        <w:rPr>
          <w:rFonts w:ascii="Verdana" w:eastAsia="Century Gothic" w:hAnsi="Verdana" w:cs="Century Gothic"/>
          <w:sz w:val="20"/>
          <w:szCs w:val="20"/>
          <w:lang w:val="es-ES"/>
        </w:rPr>
        <w:t>“</w:t>
      </w:r>
      <w:r w:rsidRPr="001D6EB3">
        <w:rPr>
          <w:rStyle w:val="normaltextrun"/>
          <w:rFonts w:ascii="Verdana" w:hAnsi="Verdana" w:cs="Arial"/>
          <w:sz w:val="20"/>
          <w:szCs w:val="20"/>
          <w:shd w:val="clear" w:color="auto" w:fill="FFFFFF"/>
          <w:lang w:val="es-ES"/>
        </w:rPr>
        <w:t xml:space="preserve">En cumplimiento de la Orden a Policía Judicial No. 10577328, emitida por la Fiscalía 93 de la Dirección Especializada Contra la Corrupción, como parte de la investigación que se adelanta bajo el radicado </w:t>
      </w:r>
      <w:bookmarkStart w:id="2" w:name="_Hlk171511572"/>
      <w:r w:rsidRPr="001D6EB3">
        <w:rPr>
          <w:rStyle w:val="normaltextrun"/>
          <w:rFonts w:ascii="Verdana" w:hAnsi="Verdana" w:cs="Arial"/>
          <w:sz w:val="20"/>
          <w:szCs w:val="20"/>
          <w:shd w:val="clear" w:color="auto" w:fill="FFFFFF"/>
          <w:lang w:val="es-ES"/>
        </w:rPr>
        <w:t>110016000101201800055</w:t>
      </w:r>
      <w:bookmarkEnd w:id="2"/>
      <w:r w:rsidRPr="001D6EB3">
        <w:rPr>
          <w:rStyle w:val="normaltextrun"/>
          <w:rFonts w:ascii="Verdana" w:hAnsi="Verdana" w:cs="Arial"/>
          <w:sz w:val="20"/>
          <w:szCs w:val="20"/>
          <w:shd w:val="clear" w:color="auto" w:fill="FFFFFF"/>
          <w:lang w:val="es-ES"/>
        </w:rPr>
        <w:t xml:space="preserve">, se solicita respetuosamente su colaboración a </w:t>
      </w:r>
      <w:r w:rsidRPr="001D6EB3">
        <w:rPr>
          <w:rStyle w:val="normaltextrun"/>
          <w:rFonts w:ascii="Verdana" w:hAnsi="Verdana" w:cs="Arial"/>
          <w:sz w:val="20"/>
          <w:szCs w:val="20"/>
          <w:shd w:val="clear" w:color="auto" w:fill="FFFFFF"/>
          <w:lang w:val="es-ES"/>
        </w:rPr>
        <w:lastRenderedPageBreak/>
        <w:t>la presente indagación, con el propósito de que se emita un concepto en punto a determinar si la celebración de un contrato estatal incumpliendo ley de garantías implica una violación a los requisitos esenciales del contrato.</w:t>
      </w:r>
      <w:r w:rsidRPr="001D6EB3">
        <w:rPr>
          <w:rFonts w:ascii="Verdana" w:eastAsia="Century Gothic" w:hAnsi="Verdana" w:cs="Century Gothic"/>
          <w:sz w:val="20"/>
          <w:szCs w:val="20"/>
          <w:lang w:val="es-ES"/>
        </w:rPr>
        <w:t>”</w:t>
      </w:r>
      <w:bookmarkEnd w:id="1"/>
    </w:p>
    <w:p w14:paraId="20B24B0C" w14:textId="77777777" w:rsidR="0093644B" w:rsidRPr="001D6EB3" w:rsidRDefault="0093644B" w:rsidP="0093644B">
      <w:pPr>
        <w:spacing w:after="0" w:line="240" w:lineRule="auto"/>
        <w:ind w:left="709" w:right="709"/>
        <w:jc w:val="both"/>
        <w:rPr>
          <w:rFonts w:ascii="Verdana" w:eastAsia="Century Gothic" w:hAnsi="Verdana" w:cs="Century Gothic"/>
          <w:b/>
          <w:bCs/>
        </w:rPr>
      </w:pPr>
    </w:p>
    <w:p w14:paraId="72F5C580" w14:textId="77777777" w:rsidR="0093644B" w:rsidRDefault="0093644B" w:rsidP="0093644B">
      <w:pPr>
        <w:spacing w:after="120" w:line="276" w:lineRule="auto"/>
        <w:ind w:firstLine="709"/>
        <w:jc w:val="both"/>
        <w:rPr>
          <w:rFonts w:ascii="Verdana" w:eastAsia="Calibri" w:hAnsi="Verdana" w:cs="Arial"/>
          <w:szCs w:val="24"/>
          <w:lang w:val="es-ES" w:eastAsia="es-ES_tradnl"/>
        </w:rPr>
      </w:pPr>
      <w:r w:rsidRPr="001D6EB3">
        <w:rPr>
          <w:rFonts w:ascii="Verdana" w:eastAsia="Calibri" w:hAnsi="Verdana" w:cs="Arial"/>
          <w:lang w:val="es-ES" w:eastAsia="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w:t>
      </w:r>
      <w:r>
        <w:rPr>
          <w:rFonts w:ascii="Verdana" w:eastAsia="Calibri" w:hAnsi="Verdana" w:cs="Arial"/>
          <w:lang w:val="es-ES" w:eastAsia="es-ES"/>
        </w:rPr>
        <w:t xml:space="preserve"> Adicionalmente, es importante tener en cuenta que el artículo 226, numeral 3 de la Ley 1564 de 2012, establece</w:t>
      </w:r>
      <w:r>
        <w:rPr>
          <w:rFonts w:ascii="Verdana" w:eastAsia="Calibri" w:hAnsi="Verdana" w:cs="Arial"/>
          <w:szCs w:val="24"/>
          <w:lang w:val="es-ES" w:eastAsia="es-ES_tradnl"/>
        </w:rPr>
        <w:t xml:space="preserve"> n</w:t>
      </w:r>
      <w:r w:rsidRPr="009551A6">
        <w:rPr>
          <w:rFonts w:ascii="Verdana" w:eastAsia="Calibri" w:hAnsi="Verdana" w:cs="Arial"/>
          <w:szCs w:val="24"/>
          <w:lang w:val="es-ES" w:eastAsia="es-ES_tradnl"/>
        </w:rPr>
        <w:t>o serán admisibles los dictámenes periciales que versen sobre puntos de derecho</w:t>
      </w:r>
      <w:r>
        <w:rPr>
          <w:rFonts w:ascii="Verdana" w:eastAsia="Calibri" w:hAnsi="Verdana" w:cs="Arial"/>
          <w:szCs w:val="24"/>
          <w:lang w:val="es-ES" w:eastAsia="es-ES_tradnl"/>
        </w:rPr>
        <w:t xml:space="preserve">. </w:t>
      </w:r>
    </w:p>
    <w:p w14:paraId="59A6BDE7" w14:textId="77777777" w:rsidR="0093644B" w:rsidRPr="001D6EB3" w:rsidRDefault="0093644B" w:rsidP="0093644B">
      <w:pPr>
        <w:spacing w:after="0" w:line="276" w:lineRule="auto"/>
        <w:ind w:firstLine="709"/>
        <w:jc w:val="both"/>
        <w:rPr>
          <w:rFonts w:ascii="Verdana" w:eastAsia="Calibri" w:hAnsi="Verdana" w:cs="Arial"/>
          <w:lang w:val="es-ES" w:eastAsia="es-ES"/>
        </w:rPr>
      </w:pPr>
      <w:r>
        <w:rPr>
          <w:rFonts w:ascii="Verdana" w:eastAsia="Calibri" w:hAnsi="Verdana" w:cs="Arial"/>
          <w:szCs w:val="24"/>
          <w:lang w:val="es-ES" w:eastAsia="es-ES_tradnl"/>
        </w:rPr>
        <w:t>C</w:t>
      </w:r>
      <w:r w:rsidRPr="001D6EB3">
        <w:rPr>
          <w:rFonts w:ascii="Verdana" w:eastAsia="Calibri" w:hAnsi="Verdana" w:cs="Arial"/>
          <w:lang w:val="es-ES" w:eastAsia="es-ES"/>
        </w:rPr>
        <w:t>onforme lo expuesto, en aras de satisfacer el derecho fundamental de petición se resolverá su consulta dentro de los límites de la referida competencia consultiva, esto es, haciendo abstracción de las circunstancias particulares y concretas mencionadas en su petición, haciendo unas consideraciones sobre las normas generales relacionadas con el problema jurídico de su consulta</w:t>
      </w:r>
      <w:r>
        <w:rPr>
          <w:rFonts w:ascii="Verdana" w:eastAsia="Calibri" w:hAnsi="Verdana" w:cs="Arial"/>
          <w:lang w:val="es-ES" w:eastAsia="es-ES"/>
        </w:rPr>
        <w:t xml:space="preserve">, por lo que manifestado en este concepto pueda ser tomado como un pronunciamiento sobre las circunstancias particulares de la investigación mencionada en la petición.  </w:t>
      </w:r>
      <w:r w:rsidRPr="001D6EB3">
        <w:rPr>
          <w:rFonts w:ascii="Verdana" w:eastAsia="Calibri" w:hAnsi="Verdana" w:cs="Arial"/>
          <w:lang w:val="es-ES" w:eastAsia="es-ES"/>
        </w:rPr>
        <w:t xml:space="preserve"> </w:t>
      </w:r>
    </w:p>
    <w:p w14:paraId="6CD0313D" w14:textId="77777777" w:rsidR="0093644B" w:rsidRPr="001D6EB3" w:rsidRDefault="0093644B" w:rsidP="0093644B">
      <w:pPr>
        <w:spacing w:after="0" w:line="276" w:lineRule="auto"/>
        <w:ind w:firstLine="709"/>
        <w:jc w:val="both"/>
        <w:rPr>
          <w:rFonts w:ascii="Verdana" w:eastAsia="Calibri" w:hAnsi="Verdana" w:cs="Arial"/>
          <w:lang w:val="es-ES" w:eastAsia="es-ES"/>
        </w:rPr>
      </w:pPr>
    </w:p>
    <w:p w14:paraId="09FDE7B3" w14:textId="77777777" w:rsidR="0093644B" w:rsidRPr="001D6EB3" w:rsidRDefault="0093644B" w:rsidP="0093644B">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1D6EB3">
        <w:rPr>
          <w:rFonts w:ascii="Verdana" w:eastAsia="Century Gothic" w:hAnsi="Verdana" w:cs="Century Gothic"/>
          <w:b/>
          <w:bCs/>
        </w:rPr>
        <w:t>Problema planteado:</w:t>
      </w:r>
    </w:p>
    <w:p w14:paraId="6CAE7F4A" w14:textId="77777777" w:rsidR="0093644B" w:rsidRPr="001D6EB3" w:rsidRDefault="0093644B" w:rsidP="0093644B">
      <w:pPr>
        <w:tabs>
          <w:tab w:val="left" w:pos="426"/>
        </w:tabs>
        <w:spacing w:after="0" w:line="276" w:lineRule="auto"/>
        <w:jc w:val="both"/>
        <w:rPr>
          <w:rFonts w:ascii="Verdana" w:eastAsia="Century Gothic" w:hAnsi="Verdana" w:cs="Century Gothic"/>
          <w:lang w:val="es-ES"/>
        </w:rPr>
      </w:pPr>
    </w:p>
    <w:p w14:paraId="7D561BBC" w14:textId="77777777" w:rsidR="0093644B" w:rsidRPr="001D6EB3" w:rsidRDefault="0093644B" w:rsidP="0093644B">
      <w:pPr>
        <w:spacing w:after="0" w:line="276" w:lineRule="auto"/>
        <w:jc w:val="both"/>
        <w:rPr>
          <w:rFonts w:ascii="Verdana" w:eastAsia="Century Gothic" w:hAnsi="Verdana" w:cs="Century Gothic"/>
        </w:rPr>
      </w:pPr>
      <w:r w:rsidRPr="001D6EB3">
        <w:rPr>
          <w:rFonts w:ascii="Verdana" w:eastAsia="Century Gothic" w:hAnsi="Verdana" w:cs="Century Gothic"/>
        </w:rPr>
        <w:t xml:space="preserve">De acuerdo con el contenido de su solicitud, esta Agencia resolverá el siguiente problema jurídico: </w:t>
      </w:r>
      <w:r>
        <w:rPr>
          <w:rFonts w:ascii="Verdana" w:eastAsia="Century Gothic" w:hAnsi="Verdana" w:cs="Century Gothic"/>
        </w:rPr>
        <w:t>¿Cuáles son las implicaciones</w:t>
      </w:r>
      <w:r w:rsidRPr="001D6EB3">
        <w:rPr>
          <w:rFonts w:ascii="Verdana" w:eastAsia="Century Gothic" w:hAnsi="Verdana" w:cs="Century Gothic"/>
        </w:rPr>
        <w:t xml:space="preserve"> de </w:t>
      </w:r>
      <w:r>
        <w:rPr>
          <w:rFonts w:ascii="Verdana" w:eastAsia="Century Gothic" w:hAnsi="Verdana" w:cs="Century Gothic"/>
        </w:rPr>
        <w:t>celebrar un</w:t>
      </w:r>
      <w:r w:rsidRPr="001D6EB3">
        <w:rPr>
          <w:rFonts w:ascii="Verdana" w:eastAsia="Century Gothic" w:hAnsi="Verdana" w:cs="Century Gothic"/>
        </w:rPr>
        <w:t xml:space="preserve"> contrato estatal en contravención de l</w:t>
      </w:r>
      <w:r>
        <w:rPr>
          <w:rFonts w:ascii="Verdana" w:eastAsia="Century Gothic" w:hAnsi="Verdana" w:cs="Century Gothic"/>
        </w:rPr>
        <w:t>as</w:t>
      </w:r>
      <w:r w:rsidRPr="001D6EB3">
        <w:rPr>
          <w:rFonts w:ascii="Verdana" w:eastAsia="Century Gothic" w:hAnsi="Verdana" w:cs="Century Gothic"/>
        </w:rPr>
        <w:t xml:space="preserve"> </w:t>
      </w:r>
      <w:r>
        <w:rPr>
          <w:rFonts w:ascii="Verdana" w:eastAsia="Century Gothic" w:hAnsi="Verdana" w:cs="Century Gothic"/>
        </w:rPr>
        <w:t>restricciones contractuales establecidas</w:t>
      </w:r>
      <w:r w:rsidRPr="001D6EB3">
        <w:rPr>
          <w:rFonts w:ascii="Verdana" w:eastAsia="Century Gothic" w:hAnsi="Verdana" w:cs="Century Gothic"/>
        </w:rPr>
        <w:t xml:space="preserve"> en los artículos 33 y 38</w:t>
      </w:r>
      <w:r>
        <w:rPr>
          <w:rFonts w:ascii="Verdana" w:eastAsia="Century Gothic" w:hAnsi="Verdana" w:cs="Century Gothic"/>
        </w:rPr>
        <w:t xml:space="preserve"> –parágrafo–</w:t>
      </w:r>
      <w:r w:rsidRPr="001D6EB3">
        <w:rPr>
          <w:rFonts w:ascii="Verdana" w:eastAsia="Century Gothic" w:hAnsi="Verdana" w:cs="Century Gothic"/>
        </w:rPr>
        <w:t xml:space="preserve"> de la </w:t>
      </w:r>
      <w:r>
        <w:rPr>
          <w:rFonts w:ascii="Verdana" w:eastAsia="Century Gothic" w:hAnsi="Verdana" w:cs="Century Gothic"/>
        </w:rPr>
        <w:t>L</w:t>
      </w:r>
      <w:r w:rsidRPr="001D6EB3">
        <w:rPr>
          <w:rFonts w:ascii="Verdana" w:eastAsia="Century Gothic" w:hAnsi="Verdana" w:cs="Century Gothic"/>
        </w:rPr>
        <w:t>ey 996 de 2005</w:t>
      </w:r>
      <w:r>
        <w:rPr>
          <w:rFonts w:ascii="Verdana" w:eastAsia="Century Gothic" w:hAnsi="Verdana" w:cs="Century Gothic"/>
        </w:rPr>
        <w:t>? ¿Qué elementos esenciales del contrato se afectan?</w:t>
      </w:r>
    </w:p>
    <w:p w14:paraId="6B730430" w14:textId="77777777" w:rsidR="0093644B" w:rsidRPr="001D6EB3" w:rsidRDefault="0093644B" w:rsidP="0093644B">
      <w:pPr>
        <w:spacing w:after="0" w:line="276" w:lineRule="auto"/>
        <w:jc w:val="both"/>
        <w:rPr>
          <w:rFonts w:ascii="Verdana" w:eastAsia="Calibri" w:hAnsi="Verdana" w:cs="Arial"/>
          <w:lang w:val="es-ES"/>
        </w:rPr>
      </w:pPr>
    </w:p>
    <w:p w14:paraId="3674A03F" w14:textId="77777777" w:rsidR="0093644B" w:rsidRPr="001D6EB3" w:rsidRDefault="0093644B" w:rsidP="0093644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1D6EB3">
        <w:rPr>
          <w:rFonts w:ascii="Verdana" w:eastAsia="Century Gothic" w:hAnsi="Verdana" w:cs="Century Gothic"/>
          <w:b/>
          <w:bCs/>
        </w:rPr>
        <w:t>Respuesta:</w:t>
      </w:r>
    </w:p>
    <w:p w14:paraId="33345FA3" w14:textId="77777777" w:rsidR="0093644B" w:rsidRPr="001D6EB3" w:rsidRDefault="0093644B" w:rsidP="0093644B">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3644B" w:rsidRPr="001D6EB3" w14:paraId="10C4434D" w14:textId="77777777" w:rsidTr="00A1159A">
        <w:tc>
          <w:tcPr>
            <w:tcW w:w="8828" w:type="dxa"/>
            <w:shd w:val="clear" w:color="auto" w:fill="auto"/>
          </w:tcPr>
          <w:p w14:paraId="7B45C661" w14:textId="77777777" w:rsidR="0093644B" w:rsidRDefault="0093644B" w:rsidP="00A1159A">
            <w:pPr>
              <w:spacing w:line="276" w:lineRule="auto"/>
              <w:jc w:val="both"/>
              <w:rPr>
                <w:rFonts w:ascii="Verdana" w:eastAsia="Calibri" w:hAnsi="Verdana" w:cs="Arial"/>
                <w:lang w:val="es-ES"/>
              </w:rPr>
            </w:pPr>
            <w:r>
              <w:rPr>
                <w:rFonts w:ascii="Verdana" w:eastAsia="Calibri" w:hAnsi="Verdana" w:cs="Arial"/>
                <w:lang w:val="es-ES"/>
              </w:rPr>
              <w:lastRenderedPageBreak/>
              <w:t xml:space="preserve">Celebrar contratos estatales durante los periodos prelectorales en los que rigen las restricciones contractuales que establece la Ley 966 de 2005 en   su artículo 33 y en el parágrafo del artículo 38, puede dar lugar a la nulidad absoluta del contrato. Esto comoquiera que, se según lo dispuesto en el artículo 44, numeral 2 de la Ley 80 de 1993, los contratos estatales son absolutamente nulos cuando </w:t>
            </w:r>
            <w:r w:rsidRPr="00F5294E">
              <w:rPr>
                <w:rFonts w:ascii="Verdana" w:eastAsia="Calibri" w:hAnsi="Verdana" w:cs="Arial"/>
                <w:i/>
                <w:iCs/>
                <w:lang w:val="es-ES"/>
              </w:rPr>
              <w:t>“</w:t>
            </w:r>
            <w:r>
              <w:rPr>
                <w:rFonts w:ascii="Verdana" w:eastAsia="Calibri" w:hAnsi="Verdana" w:cs="Arial"/>
                <w:i/>
                <w:iCs/>
                <w:lang w:val="es-ES"/>
              </w:rPr>
              <w:t>S</w:t>
            </w:r>
            <w:r w:rsidRPr="00F5294E">
              <w:rPr>
                <w:rFonts w:ascii="Verdana" w:eastAsia="Calibri" w:hAnsi="Verdana" w:cs="Arial"/>
                <w:i/>
                <w:iCs/>
                <w:lang w:val="es-ES"/>
              </w:rPr>
              <w:t>e celebren contra expresa prohibición constitucional o legal”</w:t>
            </w:r>
            <w:r>
              <w:rPr>
                <w:rFonts w:ascii="Verdana" w:eastAsia="Calibri" w:hAnsi="Verdana" w:cs="Arial"/>
                <w:lang w:val="es-ES"/>
              </w:rPr>
              <w:t xml:space="preserve">. En esta hipótesis además podría considerarse afectado unos de los elementos esenciales del negocio jurídico como el objeto, el cual, al haber celebrado en contra de la ley, podría ser considerado ilícito. </w:t>
            </w:r>
          </w:p>
          <w:p w14:paraId="3ED87318" w14:textId="77777777" w:rsidR="0093644B" w:rsidRPr="001D6EB3" w:rsidRDefault="0093644B" w:rsidP="00A1159A">
            <w:pPr>
              <w:spacing w:line="276" w:lineRule="auto"/>
              <w:jc w:val="both"/>
              <w:rPr>
                <w:rFonts w:ascii="Verdana" w:eastAsia="Calibri" w:hAnsi="Verdana" w:cs="Arial"/>
                <w:lang w:val="es-ES"/>
              </w:rPr>
            </w:pPr>
            <w:r>
              <w:rPr>
                <w:rFonts w:ascii="Verdana" w:eastAsia="Calibri" w:hAnsi="Verdana" w:cs="Arial"/>
                <w:lang w:val="es-ES"/>
              </w:rPr>
              <w:t xml:space="preserve"> </w:t>
            </w:r>
          </w:p>
        </w:tc>
      </w:tr>
    </w:tbl>
    <w:p w14:paraId="5456A3CF" w14:textId="77777777" w:rsidR="0093644B" w:rsidRPr="001D6EB3" w:rsidRDefault="0093644B" w:rsidP="0093644B">
      <w:pPr>
        <w:tabs>
          <w:tab w:val="left" w:pos="142"/>
          <w:tab w:val="left" w:pos="284"/>
        </w:tabs>
        <w:spacing w:after="0" w:line="276" w:lineRule="auto"/>
        <w:jc w:val="both"/>
        <w:rPr>
          <w:rFonts w:ascii="Verdana" w:eastAsia="Century Gothic" w:hAnsi="Verdana" w:cs="Century Gothic"/>
          <w:b/>
          <w:bCs/>
          <w:lang w:val="es-ES"/>
        </w:rPr>
      </w:pPr>
    </w:p>
    <w:p w14:paraId="1AD716F1" w14:textId="77777777" w:rsidR="0093644B" w:rsidRPr="001D6EB3" w:rsidRDefault="0093644B" w:rsidP="0093644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1D6EB3">
        <w:rPr>
          <w:rFonts w:ascii="Verdana" w:eastAsia="Century Gothic" w:hAnsi="Verdana" w:cs="Century Gothic"/>
          <w:b/>
          <w:bCs/>
        </w:rPr>
        <w:t>Razones de la respuesta:</w:t>
      </w:r>
    </w:p>
    <w:p w14:paraId="4897CDC1" w14:textId="77777777" w:rsidR="0093644B" w:rsidRPr="001D6EB3" w:rsidRDefault="0093644B" w:rsidP="0093644B">
      <w:pPr>
        <w:spacing w:after="0" w:line="276" w:lineRule="auto"/>
        <w:jc w:val="both"/>
        <w:rPr>
          <w:rFonts w:ascii="Verdana" w:eastAsia="Calibri" w:hAnsi="Verdana" w:cs="Arial"/>
          <w:lang w:val="es-ES"/>
        </w:rPr>
      </w:pPr>
    </w:p>
    <w:p w14:paraId="02BD336B" w14:textId="77777777" w:rsidR="0093644B" w:rsidRPr="001D6EB3" w:rsidRDefault="0093644B" w:rsidP="0093644B">
      <w:pPr>
        <w:spacing w:after="0" w:line="276" w:lineRule="auto"/>
        <w:jc w:val="both"/>
        <w:rPr>
          <w:rFonts w:ascii="Verdana" w:eastAsia="Calibri" w:hAnsi="Verdana" w:cs="Arial"/>
          <w:lang w:val="es-ES"/>
        </w:rPr>
      </w:pPr>
      <w:r w:rsidRPr="001D6EB3">
        <w:rPr>
          <w:rFonts w:ascii="Verdana" w:eastAsia="Calibri" w:hAnsi="Verdana" w:cs="Arial"/>
          <w:lang w:val="es-ES"/>
        </w:rPr>
        <w:t xml:space="preserve">Lo anterior se sustenta en las siguientes consideraciones: </w:t>
      </w:r>
    </w:p>
    <w:p w14:paraId="2F6A3C3B" w14:textId="77777777" w:rsidR="0093644B" w:rsidRPr="001D6EB3" w:rsidRDefault="0093644B" w:rsidP="0093644B">
      <w:pPr>
        <w:spacing w:after="0" w:line="276" w:lineRule="auto"/>
        <w:jc w:val="both"/>
        <w:rPr>
          <w:rFonts w:ascii="Verdana" w:eastAsia="Calibri" w:hAnsi="Verdana" w:cs="Arial"/>
          <w:lang w:val="es-ES"/>
        </w:rPr>
      </w:pPr>
    </w:p>
    <w:p w14:paraId="19956B4B" w14:textId="77777777" w:rsidR="0093644B" w:rsidRPr="00534DBD" w:rsidRDefault="0093644B" w:rsidP="0093644B">
      <w:pPr>
        <w:pStyle w:val="Prrafodelista"/>
        <w:numPr>
          <w:ilvl w:val="0"/>
          <w:numId w:val="17"/>
        </w:numPr>
        <w:tabs>
          <w:tab w:val="left" w:pos="426"/>
        </w:tabs>
        <w:spacing w:after="120" w:line="276" w:lineRule="auto"/>
        <w:jc w:val="both"/>
        <w:rPr>
          <w:rFonts w:ascii="Verdana" w:eastAsia="Calibri" w:hAnsi="Verdana" w:cs="Arial"/>
          <w:bCs/>
          <w:lang w:val="es-CO"/>
        </w:rPr>
      </w:pPr>
      <w:bookmarkStart w:id="3" w:name="_Hlk88117457"/>
      <w:r w:rsidRPr="001D6EB3">
        <w:rPr>
          <w:rFonts w:ascii="Verdana" w:hAnsi="Verdana" w:cs="Arial"/>
          <w:bCs/>
          <w:lang w:eastAsia="es-CO"/>
        </w:rPr>
        <w:t>La Ley 996 de 2005</w:t>
      </w:r>
      <w:r w:rsidRPr="001D6EB3">
        <w:rPr>
          <w:rFonts w:ascii="Verdana" w:hAnsi="Verdana" w:cs="Arial"/>
          <w:b/>
          <w:lang w:eastAsia="es-CO"/>
        </w:rPr>
        <w:t xml:space="preserve"> </w:t>
      </w:r>
      <w:r w:rsidRPr="001D6EB3">
        <w:rPr>
          <w:rFonts w:ascii="Verdana" w:eastAsia="Calibri" w:hAnsi="Verdana" w:cs="Arial"/>
          <w:bCs/>
        </w:rPr>
        <w:t>“</w:t>
      </w:r>
      <w:r w:rsidRPr="001D6EB3">
        <w:rPr>
          <w:rStyle w:val="Textoennegrita"/>
          <w:rFonts w:ascii="Verdana" w:hAnsi="Verdana" w:cs="Arial"/>
          <w:b w:val="0"/>
          <w:shd w:val="clear" w:color="auto" w:fill="FFFFFF"/>
        </w:rPr>
        <w:t>Por medio de la cual se reglamenta la elección de Presidente de la República, de conformidad con el artículo 152 literal f) de la Constitución Política de Colombia, y de acuerdo con lo establecido en el Acto Legislativo 02 de 2004, y se dictan otras disposiciones</w:t>
      </w:r>
      <w:r w:rsidRPr="001D6EB3">
        <w:rPr>
          <w:rFonts w:ascii="Verdana" w:eastAsia="Calibri" w:hAnsi="Verdana" w:cs="Arial"/>
          <w:bCs/>
        </w:rPr>
        <w:t>”,</w:t>
      </w:r>
      <w:r w:rsidRPr="001D6EB3">
        <w:rPr>
          <w:rStyle w:val="Textoennegrita"/>
          <w:rFonts w:ascii="Verdana" w:hAnsi="Verdana" w:cs="Arial"/>
          <w:shd w:val="clear" w:color="auto" w:fill="FFFFFF"/>
        </w:rPr>
        <w:t xml:space="preserve"> </w:t>
      </w:r>
      <w:r w:rsidRPr="001D6EB3">
        <w:rPr>
          <w:rFonts w:ascii="Verdana" w:hAnsi="Verdana" w:cs="Arial"/>
          <w:bCs/>
          <w:lang w:eastAsia="es-CO"/>
        </w:rPr>
        <w:t>se suma al andamiaje de orden constitucional y legal que se ocupa de evitar la injerencia de intereses particulares en el ejercicio de la función pública. Respecto a su finalidad, conforme a la Gaceta del Congreso de la República No. 71 del 2005, tiene como propósito evitar cualquier tipo de arbitrariedad, de ventaja injustificada, de uso irregular de los recursos del Estado en las campañas o falta de garantías en la elección presidencial, introduciendo limitaciones para realizar nombramientos, postulaciones, contrataciones o cualquier otro tipo de actividad que implique destinación de recursos públicos.</w:t>
      </w:r>
      <w:r w:rsidRPr="001D6EB3">
        <w:rPr>
          <w:rFonts w:ascii="Verdana" w:eastAsia="Calibri" w:hAnsi="Verdana" w:cs="Arial"/>
          <w:noProof/>
          <w:lang w:val="es-ES_tradnl"/>
        </w:rPr>
        <w:t xml:space="preserve"> </w:t>
      </w:r>
      <w:bookmarkEnd w:id="3"/>
    </w:p>
    <w:p w14:paraId="1441EE25" w14:textId="77777777" w:rsidR="0093644B" w:rsidRPr="001D6EB3" w:rsidRDefault="0093644B" w:rsidP="0093644B">
      <w:pPr>
        <w:pStyle w:val="Prrafodelista"/>
        <w:tabs>
          <w:tab w:val="left" w:pos="426"/>
        </w:tabs>
        <w:spacing w:after="120" w:line="276" w:lineRule="auto"/>
        <w:jc w:val="both"/>
        <w:rPr>
          <w:rFonts w:ascii="Verdana" w:eastAsia="Calibri" w:hAnsi="Verdana" w:cs="Arial"/>
          <w:bCs/>
          <w:lang w:val="es-CO"/>
        </w:rPr>
      </w:pPr>
    </w:p>
    <w:p w14:paraId="4059C95F" w14:textId="77777777" w:rsidR="0093644B" w:rsidRPr="00271C62" w:rsidRDefault="0093644B" w:rsidP="0093644B">
      <w:pPr>
        <w:pStyle w:val="Prrafodelista"/>
        <w:numPr>
          <w:ilvl w:val="0"/>
          <w:numId w:val="17"/>
        </w:numPr>
        <w:tabs>
          <w:tab w:val="left" w:pos="426"/>
        </w:tabs>
        <w:spacing w:after="120" w:line="276" w:lineRule="auto"/>
        <w:jc w:val="both"/>
        <w:rPr>
          <w:rFonts w:ascii="Verdana" w:hAnsi="Verdana" w:cs="Arial"/>
          <w:lang w:eastAsia="es-CO"/>
        </w:rPr>
      </w:pPr>
      <w:r w:rsidRPr="001D6EB3">
        <w:rPr>
          <w:rFonts w:ascii="Verdana" w:hAnsi="Verdana" w:cs="Arial"/>
          <w:bCs/>
          <w:lang w:eastAsia="es-CO"/>
        </w:rPr>
        <w:t xml:space="preserve">La Corte Constitucional –en la Sentencia C-1153 de 2005– estableció, en relación con la Ley de Garantías Electorales, la definición de esta como una guía para el ejercicio equitativo y transparente de la democracia representativa, es decir, ha de contemplarse como un estatuto que lleva consigo el fin de asegurar que la contienda democrática se cumpla en condiciones igualitarias y transparentes para todos los electores, otorgando una relevancia garantista a la neutralidad de los servidores públicos que encargados de organizar y supervisar la contienda, y al acceso igualitario a los canales de comunicación. Todo esto en pro de </w:t>
      </w:r>
      <w:r w:rsidRPr="001D6EB3">
        <w:rPr>
          <w:rFonts w:ascii="Verdana" w:hAnsi="Verdana" w:cs="Arial"/>
          <w:bCs/>
          <w:lang w:eastAsia="es-CO"/>
        </w:rPr>
        <w:lastRenderedPageBreak/>
        <w:t>estimular que sean las propuestas e ideas las que conduzcan al poder, en vez del musculo económico de quienes se disputan las elecciones.</w:t>
      </w:r>
    </w:p>
    <w:p w14:paraId="4F8F29BD" w14:textId="77777777" w:rsidR="0093644B" w:rsidRPr="001D6EB3" w:rsidRDefault="0093644B" w:rsidP="0093644B">
      <w:pPr>
        <w:pStyle w:val="Prrafodelista"/>
        <w:tabs>
          <w:tab w:val="left" w:pos="426"/>
        </w:tabs>
        <w:spacing w:after="120" w:line="276" w:lineRule="auto"/>
        <w:jc w:val="both"/>
        <w:rPr>
          <w:rFonts w:ascii="Verdana" w:hAnsi="Verdana" w:cs="Arial"/>
          <w:lang w:eastAsia="es-CO"/>
        </w:rPr>
      </w:pPr>
    </w:p>
    <w:p w14:paraId="42410489" w14:textId="77777777" w:rsidR="0093644B" w:rsidRPr="00534DBD" w:rsidRDefault="0093644B" w:rsidP="0093644B">
      <w:pPr>
        <w:pStyle w:val="Prrafodelista"/>
        <w:numPr>
          <w:ilvl w:val="0"/>
          <w:numId w:val="17"/>
        </w:numPr>
        <w:spacing w:line="276" w:lineRule="auto"/>
        <w:jc w:val="both"/>
        <w:rPr>
          <w:rFonts w:ascii="Verdana" w:hAnsi="Verdana" w:cs="Arial"/>
          <w:bCs/>
          <w:lang w:eastAsia="es-CO"/>
        </w:rPr>
      </w:pPr>
      <w:bookmarkStart w:id="4" w:name="_Hlk80948265"/>
      <w:r w:rsidRPr="001D6EB3">
        <w:rPr>
          <w:rFonts w:ascii="Verdana" w:hAnsi="Verdana" w:cs="Arial"/>
          <w:bCs/>
          <w:lang w:eastAsia="es-CO"/>
        </w:rPr>
        <w:t>Varias de las disposiciones de la Ley 996 de 2005, al contener normas prohibitivas, no admiten una interpretación amplia, sino que deben interpretarse restrictivamente.</w:t>
      </w:r>
      <w:bookmarkEnd w:id="4"/>
      <w:r w:rsidRPr="001D6EB3">
        <w:rPr>
          <w:rFonts w:ascii="Verdana" w:hAnsi="Verdana" w:cs="Arial"/>
          <w:bCs/>
          <w:lang w:eastAsia="es-CO"/>
        </w:rPr>
        <w:t xml:space="preserve"> En efecto, lo anterior fue indicado por la Sala de Consulta y Servicio Civil del Consejo de Estado, al precisar que, en tanto estas prohibiciones que limitan la libertad y los derechos de las personas, </w:t>
      </w:r>
      <w:r w:rsidRPr="001D6EB3">
        <w:rPr>
          <w:rFonts w:ascii="Verdana" w:hAnsi="Verdana" w:cs="Arial"/>
          <w:bCs/>
          <w:i/>
          <w:iCs/>
          <w:lang w:eastAsia="es-CO"/>
        </w:rPr>
        <w:t>“[…] son de origen constitucional y legal; la tipificación de sus causas, vigencia, naturaleza y efectos es rígida y taxativa; y su aplicación es restrictiva, de manera que excluye la analogía legis o iuris y la interpretación extensiva. […] La jurisprudencia de la Corte Constitucional</w:t>
      </w:r>
      <w:r w:rsidRPr="001D6EB3">
        <w:rPr>
          <w:rStyle w:val="Refdenotaalpie"/>
          <w:rFonts w:ascii="Verdana" w:hAnsi="Verdana" w:cs="Arial"/>
          <w:bCs/>
          <w:i/>
          <w:iCs/>
          <w:lang w:eastAsia="es-CO"/>
        </w:rPr>
        <w:footnoteReference w:id="2"/>
      </w:r>
      <w:r w:rsidRPr="001D6EB3">
        <w:rPr>
          <w:rFonts w:ascii="Verdana" w:hAnsi="Verdana" w:cs="Arial"/>
          <w:bCs/>
          <w:i/>
          <w:iCs/>
          <w:lang w:eastAsia="es-CO"/>
        </w:rPr>
        <w:t> y del Consejo de Estado</w:t>
      </w:r>
      <w:r w:rsidRPr="001D6EB3">
        <w:rPr>
          <w:rStyle w:val="Refdenotaalpie"/>
          <w:rFonts w:ascii="Verdana" w:hAnsi="Verdana" w:cs="Arial"/>
          <w:bCs/>
          <w:i/>
          <w:iCs/>
          <w:lang w:eastAsia="es-CO"/>
        </w:rPr>
        <w:footnoteReference w:id="3"/>
      </w:r>
      <w:r w:rsidRPr="001D6EB3">
        <w:rPr>
          <w:rFonts w:ascii="Verdana" w:hAnsi="Verdana" w:cs="Arial"/>
          <w:bCs/>
          <w:i/>
          <w:iCs/>
          <w:lang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Pr>
          <w:rFonts w:ascii="Verdana" w:hAnsi="Verdana" w:cs="Arial"/>
          <w:bCs/>
          <w:i/>
          <w:iCs/>
          <w:lang w:eastAsia="es-CO"/>
        </w:rPr>
        <w:t>”</w:t>
      </w:r>
      <w:r w:rsidRPr="001D6EB3">
        <w:rPr>
          <w:rStyle w:val="Refdenotaalpie"/>
          <w:rFonts w:ascii="Verdana" w:hAnsi="Verdana" w:cs="Arial"/>
          <w:bCs/>
          <w:i/>
          <w:iCs/>
          <w:lang w:eastAsia="es-CO"/>
        </w:rPr>
        <w:footnoteReference w:id="4"/>
      </w:r>
      <w:r w:rsidRPr="001D6EB3">
        <w:rPr>
          <w:rFonts w:ascii="Verdana" w:hAnsi="Verdana" w:cs="Arial"/>
          <w:bCs/>
          <w:i/>
          <w:iCs/>
          <w:lang w:eastAsia="es-CO"/>
        </w:rPr>
        <w:t>.</w:t>
      </w:r>
    </w:p>
    <w:p w14:paraId="5357E38B" w14:textId="77777777" w:rsidR="0093644B" w:rsidRPr="001D6EB3" w:rsidRDefault="0093644B" w:rsidP="0093644B">
      <w:pPr>
        <w:pStyle w:val="Prrafodelista"/>
        <w:spacing w:line="276" w:lineRule="auto"/>
        <w:jc w:val="both"/>
        <w:rPr>
          <w:rFonts w:ascii="Verdana" w:hAnsi="Verdana" w:cs="Arial"/>
          <w:bCs/>
          <w:lang w:eastAsia="es-CO"/>
        </w:rPr>
      </w:pPr>
    </w:p>
    <w:p w14:paraId="6DC13B49" w14:textId="77777777" w:rsidR="0093644B" w:rsidRDefault="0093644B" w:rsidP="0093644B">
      <w:pPr>
        <w:pStyle w:val="Prrafodelista"/>
        <w:widowControl w:val="0"/>
        <w:numPr>
          <w:ilvl w:val="0"/>
          <w:numId w:val="17"/>
        </w:numPr>
        <w:autoSpaceDE w:val="0"/>
        <w:autoSpaceDN w:val="0"/>
        <w:spacing w:line="276" w:lineRule="auto"/>
        <w:ind w:right="113"/>
        <w:jc w:val="both"/>
        <w:rPr>
          <w:rFonts w:ascii="Verdana" w:eastAsia="Arial" w:hAnsi="Verdana" w:cs="Arial"/>
          <w:lang w:eastAsia="es-ES" w:bidi="es-ES"/>
        </w:rPr>
      </w:pPr>
      <w:r w:rsidRPr="001D6EB3">
        <w:rPr>
          <w:rFonts w:ascii="Verdana" w:eastAsia="Arial" w:hAnsi="Verdana" w:cs="Arial"/>
          <w:lang w:eastAsia="es-ES" w:bidi="es-ES"/>
        </w:rPr>
        <w:t xml:space="preserve">De conformidad con lo anterior, es claro que la Ley de Garantías Electorales, para el cumplimiento de los objetivos que dieron lugar a su expedición, consagró prohibiciones dirigidas a los servidores públicos. No obstante, debe aclararse que estas disposiciones se dirigen a dos tipos de campañas electorales claramente diferenciadas: las presidenciales y las demás que se adelanten para la elección de los demás cargos de </w:t>
      </w:r>
      <w:r w:rsidRPr="001D6EB3">
        <w:rPr>
          <w:rFonts w:ascii="Verdana" w:eastAsia="Arial" w:hAnsi="Verdana" w:cs="Arial"/>
          <w:lang w:eastAsia="es-ES" w:bidi="es-ES"/>
        </w:rPr>
        <w:lastRenderedPageBreak/>
        <w:t>elección popular, tanto a nivel nacional como territorial.</w:t>
      </w:r>
    </w:p>
    <w:p w14:paraId="290C6006" w14:textId="77777777" w:rsidR="0093644B" w:rsidRPr="001D6EB3" w:rsidRDefault="0093644B" w:rsidP="0093644B">
      <w:pPr>
        <w:pStyle w:val="Prrafodelista"/>
        <w:widowControl w:val="0"/>
        <w:autoSpaceDE w:val="0"/>
        <w:autoSpaceDN w:val="0"/>
        <w:spacing w:line="276" w:lineRule="auto"/>
        <w:ind w:right="113"/>
        <w:jc w:val="both"/>
        <w:rPr>
          <w:rFonts w:ascii="Verdana" w:eastAsia="Arial" w:hAnsi="Verdana" w:cs="Arial"/>
          <w:lang w:eastAsia="es-ES" w:bidi="es-ES"/>
        </w:rPr>
      </w:pPr>
    </w:p>
    <w:p w14:paraId="5ACC8D6F" w14:textId="77777777" w:rsidR="0093644B" w:rsidRPr="00534DBD" w:rsidRDefault="0093644B" w:rsidP="0093644B">
      <w:pPr>
        <w:pStyle w:val="Prrafodelista"/>
        <w:widowControl w:val="0"/>
        <w:numPr>
          <w:ilvl w:val="0"/>
          <w:numId w:val="17"/>
        </w:numPr>
        <w:autoSpaceDE w:val="0"/>
        <w:autoSpaceDN w:val="0"/>
        <w:spacing w:line="276" w:lineRule="auto"/>
        <w:ind w:right="113"/>
        <w:jc w:val="both"/>
        <w:rPr>
          <w:rFonts w:ascii="Verdana" w:eastAsia="Arial" w:hAnsi="Verdana" w:cs="Arial"/>
          <w:lang w:eastAsia="es-ES" w:bidi="es-ES"/>
        </w:rPr>
      </w:pPr>
      <w:r w:rsidRPr="001D6EB3">
        <w:rPr>
          <w:rFonts w:ascii="Verdana" w:eastAsia="Calibri" w:hAnsi="Verdana" w:cs="Arial"/>
        </w:rPr>
        <w:t xml:space="preserve">El artículo 33 de la Ley 996 de 2005 –restricciones a la contratación pública– establece una prohibición que impide </w:t>
      </w:r>
      <w:r w:rsidRPr="001D6EB3">
        <w:rPr>
          <w:rFonts w:ascii="Verdana" w:eastAsia="Calibri" w:hAnsi="Verdana" w:cs="Arial"/>
          <w:bCs/>
        </w:rPr>
        <w:t xml:space="preserve">“[…] </w:t>
      </w:r>
      <w:r w:rsidRPr="001D6EB3">
        <w:rPr>
          <w:rFonts w:ascii="Verdana" w:eastAsia="Calibri" w:hAnsi="Verdana" w:cs="Arial"/>
        </w:rPr>
        <w:t>la contratación directa por parte de todos los entes del Estado</w:t>
      </w:r>
      <w:r w:rsidRPr="001D6EB3">
        <w:rPr>
          <w:rFonts w:ascii="Verdana" w:eastAsia="Calibri" w:hAnsi="Verdana" w:cs="Arial"/>
          <w:bCs/>
        </w:rPr>
        <w:t>”</w:t>
      </w:r>
      <w:r w:rsidRPr="001D6EB3">
        <w:rPr>
          <w:rFonts w:ascii="Verdana" w:eastAsia="Calibri" w:hAnsi="Verdana" w:cs="Arial"/>
        </w:rPr>
        <w:t xml:space="preserve"> durante los cuatro (4) meses anteriores a las elecciones presidenciales, salvo </w:t>
      </w:r>
      <w:r>
        <w:rPr>
          <w:rFonts w:ascii="Verdana" w:eastAsia="Calibri" w:hAnsi="Verdana" w:cs="Arial"/>
        </w:rPr>
        <w:t>“</w:t>
      </w:r>
      <w:r w:rsidRPr="00534DBD">
        <w:rPr>
          <w:rFonts w:ascii="Verdana" w:eastAsia="Calibri" w:hAnsi="Verdana" w:cs="Arial"/>
          <w:bCs/>
        </w:rPr>
        <w:t xml:space="preserve">[…] </w:t>
      </w:r>
      <w:r w:rsidRPr="00534DBD">
        <w:rPr>
          <w:rFonts w:ascii="Verdana" w:eastAsia="Calibri" w:hAnsi="Verdana" w:cs="Arial"/>
        </w:rPr>
        <w:t>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534DBD">
        <w:rPr>
          <w:rFonts w:ascii="Verdana" w:eastAsia="Calibri" w:hAnsi="Verdana" w:cs="Arial"/>
          <w:bCs/>
        </w:rPr>
        <w:t>”</w:t>
      </w:r>
      <w:r w:rsidRPr="001D6EB3">
        <w:rPr>
          <w:bCs/>
          <w:vertAlign w:val="superscript"/>
        </w:rPr>
        <w:footnoteReference w:id="5"/>
      </w:r>
      <w:r w:rsidRPr="00534DBD">
        <w:rPr>
          <w:rFonts w:ascii="Verdana" w:eastAsia="Calibri" w:hAnsi="Verdana" w:cs="Arial"/>
        </w:rPr>
        <w:t xml:space="preserve">.Por otra parte, el parágrafo del artículo 38 de la Ley 996 de 2005 prevé una restricción, aplicable respecto de cualquier tipo de elección popular, que prohíbe a los gobernadores, alcaldes municipales o distritales, secretarios, gerentes y directores de entidades descentralizadas del orden municipal, departamental o distrital </w:t>
      </w:r>
      <w:r>
        <w:rPr>
          <w:rFonts w:ascii="Verdana" w:eastAsia="Calibri" w:hAnsi="Verdana" w:cs="Arial"/>
          <w:bCs/>
        </w:rPr>
        <w:t>“</w:t>
      </w:r>
      <w:r w:rsidRPr="00534DBD">
        <w:rPr>
          <w:rFonts w:ascii="Verdana" w:eastAsia="Calibri" w:hAnsi="Verdana" w:cs="Arial"/>
          <w:bCs/>
        </w:rPr>
        <w:t xml:space="preserve">[…] </w:t>
      </w:r>
      <w:r w:rsidRPr="00534DBD">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534DBD">
        <w:rPr>
          <w:rFonts w:ascii="Verdana" w:eastAsia="Calibri" w:hAnsi="Verdana" w:cs="Arial"/>
          <w:bCs/>
        </w:rPr>
        <w:t>”</w:t>
      </w:r>
      <w:r w:rsidRPr="001D6EB3">
        <w:rPr>
          <w:bCs/>
          <w:vertAlign w:val="superscript"/>
        </w:rPr>
        <w:footnoteReference w:id="6"/>
      </w:r>
      <w:r w:rsidRPr="00534DBD">
        <w:rPr>
          <w:rFonts w:ascii="Verdana" w:eastAsia="Calibri" w:hAnsi="Verdana" w:cs="Arial"/>
          <w:lang w:val="es-MX"/>
        </w:rPr>
        <w:t>.</w:t>
      </w:r>
    </w:p>
    <w:p w14:paraId="745AD18F" w14:textId="77777777" w:rsidR="0093644B" w:rsidRPr="00534DBD" w:rsidRDefault="0093644B" w:rsidP="0093644B">
      <w:pPr>
        <w:pStyle w:val="Prrafodelista"/>
        <w:widowControl w:val="0"/>
        <w:autoSpaceDE w:val="0"/>
        <w:autoSpaceDN w:val="0"/>
        <w:spacing w:line="276" w:lineRule="auto"/>
        <w:ind w:right="113"/>
        <w:jc w:val="both"/>
        <w:rPr>
          <w:rFonts w:ascii="Verdana" w:eastAsia="Arial" w:hAnsi="Verdana" w:cs="Arial"/>
          <w:lang w:eastAsia="es-ES" w:bidi="es-ES"/>
        </w:rPr>
      </w:pPr>
    </w:p>
    <w:p w14:paraId="5B264CEA" w14:textId="77777777" w:rsidR="0093644B" w:rsidRDefault="0093644B" w:rsidP="0093644B">
      <w:pPr>
        <w:pStyle w:val="Prrafodelista"/>
        <w:spacing w:after="0" w:line="276" w:lineRule="auto"/>
        <w:jc w:val="both"/>
        <w:rPr>
          <w:rFonts w:ascii="Verdana" w:eastAsia="Calibri" w:hAnsi="Verdana" w:cs="Arial"/>
        </w:rPr>
      </w:pPr>
      <w:r w:rsidRPr="009E793B">
        <w:rPr>
          <w:rFonts w:ascii="Verdana" w:hAnsi="Verdana" w:cs="Arial"/>
        </w:rPr>
        <w:t xml:space="preserve">Precisado el alcance de las mencionadas restricciones, para responder su consulta es necesario advertir que, el artículo 44 de la Ley 80 de 1993 establece que los contratos estatales son considerados absolutamente nulos </w:t>
      </w:r>
      <w:r w:rsidRPr="009E793B">
        <w:rPr>
          <w:rFonts w:ascii="Verdana" w:hAnsi="Verdana" w:cs="Arial"/>
          <w:i/>
          <w:iCs/>
        </w:rPr>
        <w:t>“en los casos previstos en el derecho común y además”</w:t>
      </w:r>
      <w:r w:rsidRPr="009E793B">
        <w:rPr>
          <w:rFonts w:ascii="Verdana" w:hAnsi="Verdana" w:cs="Arial"/>
        </w:rPr>
        <w:t xml:space="preserve">, y las </w:t>
      </w:r>
      <w:r w:rsidRPr="009E793B">
        <w:rPr>
          <w:rFonts w:ascii="Verdana" w:hAnsi="Verdana" w:cs="Arial"/>
        </w:rPr>
        <w:lastRenderedPageBreak/>
        <w:t>causales consagradas en dicho artículo. El numeral 2 de esta disposición establece que será nulo los contratos estatales cuando</w:t>
      </w:r>
      <w:r w:rsidRPr="009E793B">
        <w:rPr>
          <w:rFonts w:ascii="Verdana" w:hAnsi="Verdana" w:cs="Arial"/>
          <w:i/>
          <w:iCs/>
        </w:rPr>
        <w:t xml:space="preserve"> “Se celebren contra expresa prohibición constitucional o legal”</w:t>
      </w:r>
      <w:r w:rsidRPr="009E793B">
        <w:rPr>
          <w:rFonts w:ascii="Verdana" w:hAnsi="Verdana" w:cs="Arial"/>
        </w:rPr>
        <w:t>. En estos caso</w:t>
      </w:r>
      <w:r>
        <w:rPr>
          <w:rFonts w:ascii="Verdana" w:hAnsi="Verdana" w:cs="Arial"/>
        </w:rPr>
        <w:t>s</w:t>
      </w:r>
      <w:r w:rsidRPr="009E793B">
        <w:rPr>
          <w:rFonts w:ascii="Verdana" w:hAnsi="Verdana" w:cs="Arial"/>
        </w:rPr>
        <w:t xml:space="preserve">, de conformidad con el artículo 45 </w:t>
      </w:r>
      <w:r w:rsidRPr="009E793B">
        <w:rPr>
          <w:rFonts w:ascii="Verdana" w:hAnsi="Verdana" w:cs="Arial"/>
          <w:i/>
          <w:iCs/>
        </w:rPr>
        <w:t>ibídem</w:t>
      </w:r>
      <w:r w:rsidRPr="009E793B">
        <w:rPr>
          <w:rFonts w:ascii="Verdana" w:hAnsi="Verdana" w:cs="Arial"/>
        </w:rPr>
        <w:t xml:space="preserve">, la configuración de la causal de numeral 2 supone que </w:t>
      </w:r>
      <w:r w:rsidRPr="009E793B">
        <w:rPr>
          <w:rFonts w:ascii="Verdana" w:hAnsi="Verdana" w:cs="Arial"/>
          <w:i/>
          <w:iCs/>
        </w:rPr>
        <w:t>“[…] el jefe o representante legal de la entidad respectiva deberá dar por terminado el contrato mediante acto administrativo debidamente motivado y ordenará su liquidación en el estado en que se encuentre”.</w:t>
      </w:r>
      <w:r>
        <w:rPr>
          <w:rFonts w:ascii="Verdana" w:hAnsi="Verdana" w:cs="Arial"/>
          <w:i/>
          <w:iCs/>
        </w:rPr>
        <w:t xml:space="preserve"> </w:t>
      </w:r>
      <w:r w:rsidRPr="009E793B">
        <w:rPr>
          <w:rFonts w:ascii="Verdana" w:eastAsia="Calibri" w:hAnsi="Verdana" w:cs="Arial"/>
        </w:rPr>
        <w:t>En esta hipótesis además también puede considerarse que se afecta uno de los elementos esenciales del contrato como lo es el objeto, el cual al ser celebrado en contravención a una prohibición expresa, queda viciado de ilicitud. Al respecto, la Sección Tercera del Consejo de Estado ha indicado:</w:t>
      </w:r>
    </w:p>
    <w:p w14:paraId="6761917C" w14:textId="77777777" w:rsidR="0093644B" w:rsidRPr="00534DBD" w:rsidRDefault="0093644B" w:rsidP="0093644B">
      <w:pPr>
        <w:spacing w:after="0" w:line="276" w:lineRule="auto"/>
        <w:ind w:left="993"/>
        <w:jc w:val="both"/>
        <w:rPr>
          <w:rFonts w:ascii="Verdana" w:eastAsia="Calibri" w:hAnsi="Verdana" w:cs="Arial"/>
          <w:sz w:val="20"/>
          <w:szCs w:val="20"/>
        </w:rPr>
      </w:pPr>
    </w:p>
    <w:p w14:paraId="25173224" w14:textId="77777777" w:rsidR="0093644B" w:rsidRPr="00534DBD" w:rsidRDefault="0093644B" w:rsidP="0093644B">
      <w:pPr>
        <w:spacing w:after="0" w:line="276" w:lineRule="auto"/>
        <w:ind w:left="993" w:right="709"/>
        <w:jc w:val="both"/>
        <w:rPr>
          <w:rFonts w:ascii="Verdana" w:eastAsia="Calibri" w:hAnsi="Verdana" w:cs="Arial"/>
          <w:i/>
          <w:iCs/>
          <w:sz w:val="20"/>
          <w:szCs w:val="20"/>
        </w:rPr>
      </w:pPr>
      <w:r w:rsidRPr="00534DBD">
        <w:rPr>
          <w:rFonts w:ascii="Verdana" w:hAnsi="Verdana" w:cs="Arial"/>
          <w:i/>
          <w:iCs/>
          <w:sz w:val="20"/>
          <w:szCs w:val="20"/>
        </w:rPr>
        <w:t>“</w:t>
      </w:r>
      <w:r w:rsidRPr="00F8061F">
        <w:rPr>
          <w:rFonts w:ascii="Verdana" w:hAnsi="Verdana" w:cs="Arial"/>
          <w:i/>
          <w:iCs/>
          <w:sz w:val="20"/>
          <w:szCs w:val="20"/>
        </w:rPr>
        <w:t>[…]</w:t>
      </w:r>
      <w:r>
        <w:rPr>
          <w:rFonts w:ascii="Verdana" w:eastAsia="Calibri" w:hAnsi="Verdana" w:cs="Arial"/>
          <w:i/>
          <w:iCs/>
          <w:sz w:val="20"/>
          <w:szCs w:val="20"/>
        </w:rPr>
        <w:t xml:space="preserve"> </w:t>
      </w:r>
      <w:r w:rsidRPr="00534DBD">
        <w:rPr>
          <w:rFonts w:ascii="Verdana" w:eastAsia="Calibri" w:hAnsi="Verdana" w:cs="Arial"/>
          <w:i/>
          <w:iCs/>
          <w:sz w:val="20"/>
          <w:szCs w:val="20"/>
        </w:rPr>
        <w:t xml:space="preserve">los artículos 6º y 1519 del Código Civil son las normas básicas sobre el objeto ilícito como causal de nulidad absoluta al prever respectivamente que “… en materia civil son nulos los actos ejecutados contra expresa prohibición de la ley, si en ella misma no se dispone otra cosa…” y que “hay un objeto ilícito en todo lo que contraviene al derecho público de la nación…”, lo que se traduce en que los artículos 1521, 1523 y 1741 del Código Civil y el artículo 899 del Código de Comercio son solamente aplicaciones concretas de ellos y por consiguiente toda violación a un mandato imperativo o a una prohibición de la ley, comporta un vicio que genera nulidad absoluta si, por supuesto, ella no consagra una sanción diferente. Y es que las normas imperativas no son solamente aquellas que prohíben sino también las que mandan u ordenan y por ende la transgresión del orden público se presenta cuando se viola la que </w:t>
      </w:r>
      <w:proofErr w:type="gramStart"/>
      <w:r w:rsidRPr="00534DBD">
        <w:rPr>
          <w:rFonts w:ascii="Verdana" w:eastAsia="Calibri" w:hAnsi="Verdana" w:cs="Arial"/>
          <w:i/>
          <w:iCs/>
          <w:sz w:val="20"/>
          <w:szCs w:val="20"/>
        </w:rPr>
        <w:t>prohíbe</w:t>
      </w:r>
      <w:proofErr w:type="gramEnd"/>
      <w:r w:rsidRPr="00534DBD">
        <w:rPr>
          <w:rFonts w:ascii="Verdana" w:eastAsia="Calibri" w:hAnsi="Verdana" w:cs="Arial"/>
          <w:i/>
          <w:iCs/>
          <w:sz w:val="20"/>
          <w:szCs w:val="20"/>
        </w:rPr>
        <w:t xml:space="preserve"> así como cuando no se observa o se desatiende la que ordena, casos todos estos que conducen a una nulidad absoluta por objeto ilícito […]”</w:t>
      </w:r>
      <w:r w:rsidRPr="00534DBD">
        <w:rPr>
          <w:rStyle w:val="Refdenotaalpie"/>
          <w:rFonts w:ascii="Verdana" w:hAnsi="Verdana" w:cs="Arial"/>
          <w:sz w:val="20"/>
          <w:szCs w:val="20"/>
        </w:rPr>
        <w:t xml:space="preserve"> </w:t>
      </w:r>
      <w:r w:rsidRPr="00534DBD">
        <w:rPr>
          <w:rStyle w:val="Refdenotaalpie"/>
          <w:rFonts w:ascii="Verdana" w:hAnsi="Verdana" w:cs="Arial"/>
          <w:sz w:val="20"/>
          <w:szCs w:val="20"/>
        </w:rPr>
        <w:footnoteReference w:id="7"/>
      </w:r>
    </w:p>
    <w:p w14:paraId="05EB5EBB" w14:textId="77777777" w:rsidR="0093644B" w:rsidRPr="001D6EB3" w:rsidRDefault="0093644B" w:rsidP="0093644B">
      <w:pPr>
        <w:spacing w:after="0" w:line="276" w:lineRule="auto"/>
        <w:jc w:val="both"/>
        <w:rPr>
          <w:rFonts w:ascii="Verdana" w:hAnsi="Verdana" w:cs="Arial"/>
        </w:rPr>
      </w:pPr>
    </w:p>
    <w:p w14:paraId="319DE2A2" w14:textId="77777777" w:rsidR="0093644B" w:rsidRPr="00600949" w:rsidRDefault="0093644B" w:rsidP="0093644B">
      <w:pPr>
        <w:pStyle w:val="Prrafodelista"/>
        <w:numPr>
          <w:ilvl w:val="0"/>
          <w:numId w:val="17"/>
        </w:numPr>
        <w:spacing w:after="0" w:line="276" w:lineRule="auto"/>
        <w:jc w:val="both"/>
        <w:rPr>
          <w:rFonts w:ascii="Verdana" w:eastAsia="Calibri" w:hAnsi="Verdana" w:cs="Arial"/>
        </w:rPr>
      </w:pPr>
      <w:r w:rsidRPr="001D6EB3">
        <w:rPr>
          <w:rFonts w:ascii="Verdana" w:hAnsi="Verdana" w:cs="Arial"/>
        </w:rPr>
        <w:t xml:space="preserve">Teniendo en cuenta el </w:t>
      </w:r>
      <w:r>
        <w:rPr>
          <w:rFonts w:ascii="Verdana" w:hAnsi="Verdana" w:cs="Arial"/>
        </w:rPr>
        <w:t>alcance</w:t>
      </w:r>
      <w:r w:rsidRPr="001D6EB3">
        <w:rPr>
          <w:rFonts w:ascii="Verdana" w:hAnsi="Verdana" w:cs="Arial"/>
        </w:rPr>
        <w:t xml:space="preserve"> de </w:t>
      </w:r>
      <w:r w:rsidRPr="00534DBD">
        <w:rPr>
          <w:rFonts w:ascii="Verdana" w:hAnsi="Verdana" w:cs="Arial"/>
          <w:lang w:eastAsia="es-ES_tradnl"/>
        </w:rPr>
        <w:t>las prohibiciones establecidas en la Ley de Garantías</w:t>
      </w:r>
      <w:r>
        <w:rPr>
          <w:rFonts w:ascii="Verdana" w:hAnsi="Verdana" w:cs="Arial"/>
          <w:lang w:eastAsia="es-ES_tradnl"/>
        </w:rPr>
        <w:t>, así como el origen</w:t>
      </w:r>
      <w:r w:rsidRPr="001D6EB3">
        <w:rPr>
          <w:rFonts w:ascii="Verdana" w:hAnsi="Verdana" w:cs="Arial"/>
          <w:i/>
          <w:iCs/>
          <w:lang w:eastAsia="es-ES_tradnl"/>
        </w:rPr>
        <w:t xml:space="preserve"> </w:t>
      </w:r>
      <w:r w:rsidRPr="001D6EB3">
        <w:rPr>
          <w:rFonts w:ascii="Verdana" w:eastAsia="Calibri" w:hAnsi="Verdana" w:cs="Arial"/>
          <w:bCs/>
        </w:rPr>
        <w:t>constitucional y legal</w:t>
      </w:r>
      <w:r>
        <w:rPr>
          <w:rFonts w:ascii="Verdana" w:eastAsia="Calibri" w:hAnsi="Verdana" w:cs="Arial"/>
          <w:bCs/>
        </w:rPr>
        <w:t xml:space="preserve"> de las mismas</w:t>
      </w:r>
      <w:r w:rsidRPr="001D6EB3">
        <w:rPr>
          <w:rFonts w:ascii="Verdana" w:eastAsia="Calibri" w:hAnsi="Verdana" w:cs="Arial"/>
          <w:bCs/>
        </w:rPr>
        <w:t xml:space="preserve">, </w:t>
      </w:r>
      <w:r>
        <w:rPr>
          <w:rFonts w:ascii="Verdana" w:eastAsia="Calibri" w:hAnsi="Verdana" w:cs="Arial"/>
          <w:bCs/>
        </w:rPr>
        <w:t xml:space="preserve">es posible, es posible concluir entonces que, </w:t>
      </w:r>
      <w:r>
        <w:rPr>
          <w:rFonts w:ascii="Verdana" w:eastAsia="Calibri" w:hAnsi="Verdana" w:cs="Arial"/>
        </w:rPr>
        <w:t xml:space="preserve">celebrar contratos estatales durante los periodos prelectorales en los que rigen las restricciones contractuales que establece la Ley 966 de 2005 en su artículo 33 y en el parágrafo del artículo 38, puede dar lugar a la nulidad absoluta del contrato. Esto comoquiera que, se según lo dispuesto en el artículo 44, </w:t>
      </w:r>
      <w:r>
        <w:rPr>
          <w:rFonts w:ascii="Verdana" w:eastAsia="Calibri" w:hAnsi="Verdana" w:cs="Arial"/>
        </w:rPr>
        <w:lastRenderedPageBreak/>
        <w:t>numeral 2 de la Ley 80 de 1993, los contratos estatales son absolutamente nulos cuando</w:t>
      </w:r>
      <w:r w:rsidRPr="00190AB0">
        <w:rPr>
          <w:rFonts w:ascii="Verdana" w:eastAsia="Calibri" w:hAnsi="Verdana" w:cs="Arial"/>
        </w:rPr>
        <w:t xml:space="preserve"> </w:t>
      </w:r>
      <w:r w:rsidRPr="00534DBD">
        <w:rPr>
          <w:rFonts w:ascii="Verdana" w:eastAsia="Calibri" w:hAnsi="Verdana" w:cs="Arial"/>
        </w:rPr>
        <w:t>se celebren contra expresa prohibición constitucional o legal</w:t>
      </w:r>
      <w:r>
        <w:rPr>
          <w:rFonts w:ascii="Verdana" w:eastAsia="Calibri" w:hAnsi="Verdana" w:cs="Arial"/>
        </w:rPr>
        <w:t xml:space="preserve">. En esta hipótesis además podría considerarse afectado unos de los elementos esenciales del negocio jurídico como el objeto, el cual, al haber celebrado en contra de la ley, podría ser considerado ilícito. </w:t>
      </w:r>
    </w:p>
    <w:p w14:paraId="110C2B42" w14:textId="77777777" w:rsidR="0093644B" w:rsidRPr="001D6EB3" w:rsidRDefault="0093644B" w:rsidP="0093644B">
      <w:pPr>
        <w:pStyle w:val="Prrafodelista"/>
        <w:spacing w:after="0" w:line="276" w:lineRule="auto"/>
        <w:ind w:left="709"/>
        <w:jc w:val="both"/>
        <w:rPr>
          <w:rFonts w:ascii="Verdana" w:hAnsi="Verdana" w:cs="Arial"/>
        </w:rPr>
      </w:pPr>
    </w:p>
    <w:p w14:paraId="1AE4449E" w14:textId="77777777" w:rsidR="0093644B" w:rsidRPr="001D6EB3" w:rsidRDefault="0093644B" w:rsidP="0093644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1D6EB3">
        <w:rPr>
          <w:rFonts w:ascii="Verdana" w:eastAsia="Century Gothic" w:hAnsi="Verdana" w:cs="Century Gothic"/>
          <w:b/>
          <w:bCs/>
        </w:rPr>
        <w:t>Referencias normativas, jurisprudenciales y otras fuentes:</w:t>
      </w:r>
    </w:p>
    <w:p w14:paraId="4229195F" w14:textId="77777777" w:rsidR="0093644B" w:rsidRPr="001D6EB3" w:rsidRDefault="0093644B" w:rsidP="0093644B">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3644B" w:rsidRPr="001D6EB3" w14:paraId="34091B64" w14:textId="77777777" w:rsidTr="00A1159A">
        <w:trPr>
          <w:trHeight w:val="870"/>
        </w:trPr>
        <w:tc>
          <w:tcPr>
            <w:tcW w:w="8647" w:type="dxa"/>
          </w:tcPr>
          <w:p w14:paraId="3DBF1F4A" w14:textId="77777777" w:rsidR="0093644B" w:rsidRPr="0059003F" w:rsidRDefault="0093644B" w:rsidP="0093644B">
            <w:pPr>
              <w:pStyle w:val="Prrafodelista"/>
              <w:widowControl w:val="0"/>
              <w:numPr>
                <w:ilvl w:val="0"/>
                <w:numId w:val="18"/>
              </w:numPr>
              <w:tabs>
                <w:tab w:val="left" w:pos="8419"/>
              </w:tabs>
              <w:autoSpaceDE w:val="0"/>
              <w:autoSpaceDN w:val="0"/>
              <w:spacing w:after="120" w:line="276" w:lineRule="auto"/>
              <w:contextualSpacing w:val="0"/>
              <w:jc w:val="both"/>
              <w:rPr>
                <w:rFonts w:ascii="Verdana" w:hAnsi="Verdana" w:cs="Arial"/>
              </w:rPr>
            </w:pPr>
            <w:r w:rsidRPr="0059003F">
              <w:rPr>
                <w:rFonts w:ascii="Verdana" w:hAnsi="Verdana" w:cs="Arial"/>
              </w:rPr>
              <w:t>Ley 80 de 1993, artículos 44 numeral 2, y 45.</w:t>
            </w:r>
          </w:p>
          <w:p w14:paraId="68202230" w14:textId="77777777" w:rsidR="0093644B" w:rsidRPr="0059003F" w:rsidRDefault="0093644B" w:rsidP="0093644B">
            <w:pPr>
              <w:pStyle w:val="Prrafodelista"/>
              <w:widowControl w:val="0"/>
              <w:numPr>
                <w:ilvl w:val="0"/>
                <w:numId w:val="18"/>
              </w:numPr>
              <w:autoSpaceDE w:val="0"/>
              <w:autoSpaceDN w:val="0"/>
              <w:spacing w:after="120" w:line="276" w:lineRule="auto"/>
              <w:contextualSpacing w:val="0"/>
              <w:jc w:val="both"/>
              <w:rPr>
                <w:rFonts w:ascii="Verdana" w:hAnsi="Verdana" w:cs="Arial"/>
                <w:lang w:val="es-CO"/>
              </w:rPr>
            </w:pPr>
            <w:r w:rsidRPr="0059003F">
              <w:rPr>
                <w:rFonts w:ascii="Verdana" w:eastAsia="Calibri" w:hAnsi="Verdana" w:cs="Arial"/>
              </w:rPr>
              <w:t>Ley 1564 de 2012, artículo 226.</w:t>
            </w:r>
          </w:p>
          <w:p w14:paraId="33CC7024" w14:textId="77777777" w:rsidR="0093644B" w:rsidRPr="0059003F" w:rsidRDefault="0093644B" w:rsidP="0093644B">
            <w:pPr>
              <w:pStyle w:val="Prrafodelista"/>
              <w:widowControl w:val="0"/>
              <w:numPr>
                <w:ilvl w:val="0"/>
                <w:numId w:val="18"/>
              </w:numPr>
              <w:tabs>
                <w:tab w:val="left" w:pos="8419"/>
              </w:tabs>
              <w:autoSpaceDE w:val="0"/>
              <w:autoSpaceDN w:val="0"/>
              <w:spacing w:after="120" w:line="276" w:lineRule="auto"/>
              <w:contextualSpacing w:val="0"/>
              <w:jc w:val="both"/>
              <w:rPr>
                <w:rFonts w:ascii="Verdana" w:hAnsi="Verdana" w:cs="Arial"/>
              </w:rPr>
            </w:pPr>
            <w:r w:rsidRPr="0059003F">
              <w:rPr>
                <w:rFonts w:ascii="Verdana" w:hAnsi="Verdana" w:cs="Arial"/>
                <w:bCs/>
                <w:lang w:eastAsia="es-CO"/>
              </w:rPr>
              <w:t>Ley 996 de 2005, artículos 33 y 38 parágrafo.</w:t>
            </w:r>
          </w:p>
          <w:p w14:paraId="44F6F3B6" w14:textId="77777777" w:rsidR="0093644B" w:rsidRPr="0059003F" w:rsidRDefault="0093644B" w:rsidP="0093644B">
            <w:pPr>
              <w:pStyle w:val="Prrafodelista"/>
              <w:widowControl w:val="0"/>
              <w:numPr>
                <w:ilvl w:val="0"/>
                <w:numId w:val="18"/>
              </w:numPr>
              <w:tabs>
                <w:tab w:val="left" w:pos="8419"/>
              </w:tabs>
              <w:autoSpaceDE w:val="0"/>
              <w:autoSpaceDN w:val="0"/>
              <w:spacing w:after="120" w:line="276" w:lineRule="auto"/>
              <w:contextualSpacing w:val="0"/>
              <w:jc w:val="both"/>
              <w:rPr>
                <w:rFonts w:ascii="Verdana" w:hAnsi="Verdana" w:cs="Arial"/>
              </w:rPr>
            </w:pPr>
            <w:r w:rsidRPr="0059003F">
              <w:rPr>
                <w:rFonts w:ascii="Verdana" w:hAnsi="Verdana" w:cs="Arial"/>
              </w:rPr>
              <w:t xml:space="preserve">Consejo de Estado, Sala de Consulta y Servicio Civil, </w:t>
            </w:r>
            <w:r>
              <w:rPr>
                <w:rFonts w:ascii="Verdana" w:hAnsi="Verdana" w:cs="Arial"/>
              </w:rPr>
              <w:t>C</w:t>
            </w:r>
            <w:r w:rsidRPr="0059003F">
              <w:rPr>
                <w:rFonts w:ascii="Verdana" w:hAnsi="Verdana" w:cs="Arial"/>
              </w:rPr>
              <w:t xml:space="preserve">oncepto de 24 de julio de 2013, Exp. No. 2166, C.P. Álvaro Namén Vargas. </w:t>
            </w:r>
          </w:p>
          <w:p w14:paraId="50F076C4" w14:textId="77777777" w:rsidR="0093644B" w:rsidRPr="00774985" w:rsidRDefault="0093644B" w:rsidP="0093644B">
            <w:pPr>
              <w:pStyle w:val="Prrafodelista"/>
              <w:widowControl w:val="0"/>
              <w:numPr>
                <w:ilvl w:val="0"/>
                <w:numId w:val="18"/>
              </w:numPr>
              <w:tabs>
                <w:tab w:val="left" w:pos="8419"/>
              </w:tabs>
              <w:autoSpaceDE w:val="0"/>
              <w:autoSpaceDN w:val="0"/>
              <w:spacing w:after="120" w:line="276" w:lineRule="auto"/>
              <w:contextualSpacing w:val="0"/>
              <w:jc w:val="both"/>
              <w:rPr>
                <w:rFonts w:ascii="Verdana" w:hAnsi="Verdana" w:cs="Arial"/>
              </w:rPr>
            </w:pPr>
            <w:r w:rsidRPr="0059003F">
              <w:rPr>
                <w:rFonts w:ascii="Verdana" w:hAnsi="Verdana" w:cs="Arial"/>
              </w:rPr>
              <w:t xml:space="preserve">Consejo de Estado, Sección Tercera, Subsección C, Sentencia del 20 de octubre de 2014, Exp. No. 24809, C.P. Jaime Orlando Santofimio Gamboa. Disponible en: </w:t>
            </w:r>
            <w:hyperlink r:id="rId12" w:history="1">
              <w:r w:rsidRPr="0059003F">
                <w:rPr>
                  <w:rStyle w:val="Hipervnculo"/>
                  <w:rFonts w:ascii="Verdana" w:hAnsi="Verdana" w:cs="Arial"/>
                </w:rPr>
                <w:t>https://relatoria.colombiacompra.gov.co/providencias/66001-23-31-000-1999-00435-01_24809_a/</w:t>
              </w:r>
            </w:hyperlink>
            <w:r>
              <w:rPr>
                <w:rFonts w:ascii="Verdana" w:hAnsi="Verdana" w:cs="Arial"/>
              </w:rPr>
              <w:t xml:space="preserve"> </w:t>
            </w:r>
          </w:p>
        </w:tc>
      </w:tr>
    </w:tbl>
    <w:p w14:paraId="5C6C8B2A" w14:textId="77777777" w:rsidR="0093644B" w:rsidRPr="001D6EB3" w:rsidRDefault="0093644B" w:rsidP="0093644B">
      <w:pPr>
        <w:widowControl w:val="0"/>
        <w:autoSpaceDE w:val="0"/>
        <w:autoSpaceDN w:val="0"/>
        <w:spacing w:after="0" w:line="276" w:lineRule="auto"/>
        <w:jc w:val="both"/>
        <w:rPr>
          <w:rFonts w:ascii="Verdana" w:hAnsi="Verdana" w:cs="Arial"/>
        </w:rPr>
      </w:pPr>
    </w:p>
    <w:p w14:paraId="4B23C12B" w14:textId="77777777" w:rsidR="0093644B" w:rsidRPr="001D6EB3" w:rsidRDefault="0093644B" w:rsidP="0093644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1D6EB3">
        <w:rPr>
          <w:rFonts w:ascii="Verdana" w:eastAsia="Century Gothic" w:hAnsi="Verdana" w:cs="Century Gothic"/>
          <w:b/>
          <w:bCs/>
        </w:rPr>
        <w:t>Doctrina de la Agencia Nacional de Contratación Pública:</w:t>
      </w:r>
    </w:p>
    <w:p w14:paraId="35B67294" w14:textId="77777777" w:rsidR="0093644B" w:rsidRPr="001D6EB3" w:rsidRDefault="0093644B" w:rsidP="0093644B">
      <w:pPr>
        <w:widowControl w:val="0"/>
        <w:autoSpaceDE w:val="0"/>
        <w:autoSpaceDN w:val="0"/>
        <w:spacing w:after="0" w:line="276" w:lineRule="auto"/>
        <w:jc w:val="both"/>
        <w:rPr>
          <w:rFonts w:ascii="Verdana" w:hAnsi="Verdana" w:cs="Arial"/>
        </w:rPr>
      </w:pPr>
    </w:p>
    <w:p w14:paraId="33565715" w14:textId="77777777" w:rsidR="0093644B" w:rsidRDefault="0093644B" w:rsidP="0093644B">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1D6EB3">
        <w:rPr>
          <w:rStyle w:val="normaltextrun"/>
          <w:rFonts w:ascii="Verdana" w:hAnsi="Verdana" w:cs="Arial"/>
          <w:shd w:val="clear" w:color="auto" w:fill="FFFFFF"/>
          <w:lang w:val="es-ES"/>
        </w:rPr>
        <w:t>Sobre la Ley de Garantías Electorales, entre otros,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y C-686 del 21 de diciembre de 2021. En particular, en el concepto C-697 del 3 de enero de 2022 se estudió la finalidad y restricciones establecidas en la Ley de Garantías Electorales. Es</w:t>
      </w:r>
      <w:r w:rsidRPr="001D6EB3">
        <w:rPr>
          <w:rFonts w:ascii="Verdana" w:hAnsi="Verdana"/>
        </w:rPr>
        <w:t xml:space="preserve">tos </w:t>
      </w:r>
      <w:r w:rsidRPr="001D6EB3">
        <w:rPr>
          <w:rFonts w:ascii="Verdana" w:hAnsi="Verdana"/>
        </w:rPr>
        <w:lastRenderedPageBreak/>
        <w:t>y otros conceptos se encuentran disponibles para consulta en el Sistema de relatoría de la Agencia, al cual se puede acceder a través del siguiente enlace:</w:t>
      </w:r>
      <w:r w:rsidRPr="001D6EB3">
        <w:rPr>
          <w:rStyle w:val="normaltextrun"/>
          <w:rFonts w:ascii="Verdana" w:hAnsi="Verdana" w:cs="Arial"/>
          <w:shd w:val="clear" w:color="auto" w:fill="FFFFFF"/>
          <w:lang w:val="es-ES"/>
        </w:rPr>
        <w:t xml:space="preserve"> </w:t>
      </w:r>
      <w:hyperlink r:id="rId13" w:history="1">
        <w:r w:rsidRPr="00A1554D">
          <w:rPr>
            <w:rStyle w:val="Hipervnculo"/>
            <w:rFonts w:ascii="Verdana" w:hAnsi="Verdana" w:cs="Arial"/>
            <w:shd w:val="clear" w:color="auto" w:fill="FFFFFF"/>
            <w:lang w:val="es-ES"/>
          </w:rPr>
          <w:t>https://relatoria.colombiacompra.gov.co/busqueda/conceptos</w:t>
        </w:r>
      </w:hyperlink>
      <w:r>
        <w:rPr>
          <w:rStyle w:val="normaltextrun"/>
          <w:rFonts w:ascii="Verdana" w:hAnsi="Verdana" w:cs="Arial"/>
          <w:color w:val="FF0000"/>
          <w:shd w:val="clear" w:color="auto" w:fill="FFFFFF"/>
          <w:lang w:val="es-ES"/>
        </w:rPr>
        <w:t xml:space="preserve">. </w:t>
      </w:r>
    </w:p>
    <w:p w14:paraId="125786C4" w14:textId="77777777" w:rsidR="0093644B" w:rsidRDefault="0093644B" w:rsidP="0093644B">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42D9C147" w14:textId="77777777" w:rsidR="0093644B" w:rsidRDefault="0093644B" w:rsidP="0093644B">
      <w:pPr>
        <w:widowControl w:val="0"/>
        <w:autoSpaceDE w:val="0"/>
        <w:autoSpaceDN w:val="0"/>
        <w:spacing w:after="0" w:line="276" w:lineRule="auto"/>
        <w:jc w:val="both"/>
        <w:rPr>
          <w:rStyle w:val="normaltextrun"/>
          <w:rFonts w:ascii="Verdana" w:hAnsi="Verdana" w:cs="Arial"/>
          <w:color w:val="FF0000"/>
          <w:shd w:val="clear" w:color="auto" w:fill="FFFFFF"/>
          <w:lang w:val="es-ES"/>
        </w:rPr>
      </w:pPr>
      <w:r>
        <w:rPr>
          <w:rStyle w:val="normaltextrun"/>
          <w:rFonts w:ascii="Verdana" w:hAnsi="Verdana" w:cs="Arial"/>
          <w:color w:val="000000" w:themeColor="text1"/>
          <w:shd w:val="clear" w:color="auto" w:fill="FFFFFF"/>
          <w:lang w:val="es-ES"/>
        </w:rPr>
        <w:t xml:space="preserve">De otra parte, </w:t>
      </w:r>
      <w:r w:rsidRPr="00985B04">
        <w:rPr>
          <w:rStyle w:val="normaltextrun"/>
          <w:rFonts w:ascii="Verdana" w:hAnsi="Verdana" w:cs="Arial"/>
          <w:color w:val="000000" w:themeColor="text1"/>
          <w:shd w:val="clear" w:color="auto" w:fill="FFFFFF"/>
          <w:lang w:val="es-ES"/>
        </w:rPr>
        <w:t>le invitamos a consultar las versiones I y II de 2024 del Boletín de Relatoría de la Subdirección de Gestión Contractual, las cuales puede descargar en la página web de la Agencia:</w:t>
      </w:r>
      <w:r>
        <w:rPr>
          <w:rStyle w:val="normaltextrun"/>
          <w:rFonts w:ascii="Verdana" w:hAnsi="Verdana" w:cs="Arial"/>
          <w:color w:val="FF0000"/>
          <w:shd w:val="clear" w:color="auto" w:fill="FFFFFF"/>
          <w:lang w:val="es-ES"/>
        </w:rPr>
        <w:t xml:space="preserve"> </w:t>
      </w:r>
      <w:hyperlink r:id="rId14" w:history="1">
        <w:r w:rsidRPr="003705EA">
          <w:rPr>
            <w:rStyle w:val="Hipervnculo"/>
            <w:rFonts w:ascii="Verdana" w:hAnsi="Verdana" w:cs="Arial"/>
            <w:shd w:val="clear" w:color="auto" w:fill="FFFFFF"/>
            <w:lang w:val="es-ES"/>
          </w:rPr>
          <w:t>https://www.colombiacompra.gov.co/sala-de-prensa/boletin-digital</w:t>
        </w:r>
      </w:hyperlink>
      <w:r>
        <w:rPr>
          <w:rStyle w:val="Hipervnculo"/>
          <w:rFonts w:ascii="Verdana" w:hAnsi="Verdana" w:cs="Arial"/>
          <w:shd w:val="clear" w:color="auto" w:fill="FFFFFF"/>
          <w:lang w:val="es-ES"/>
        </w:rPr>
        <w:t xml:space="preserve"> .</w:t>
      </w:r>
      <w:r>
        <w:rPr>
          <w:rStyle w:val="normaltextrun"/>
          <w:rFonts w:ascii="Verdana" w:hAnsi="Verdana" w:cs="Arial"/>
          <w:color w:val="FF0000"/>
          <w:shd w:val="clear" w:color="auto" w:fill="FFFFFF"/>
          <w:lang w:val="es-ES"/>
        </w:rPr>
        <w:t xml:space="preserve"> </w:t>
      </w:r>
      <w:r w:rsidRPr="00534DBD">
        <w:rPr>
          <w:rStyle w:val="normaltextrun"/>
          <w:rFonts w:ascii="Verdana" w:hAnsi="Verdana" w:cs="Arial"/>
          <w:shd w:val="clear" w:color="auto" w:fill="FFFFFF"/>
          <w:lang w:val="es-ES"/>
        </w:rPr>
        <w:t>También</w:t>
      </w:r>
      <w:r w:rsidRPr="0059003F">
        <w:rPr>
          <w:rStyle w:val="normaltextrun"/>
          <w:rFonts w:ascii="Verdana" w:hAnsi="Verdana" w:cs="Arial"/>
          <w:shd w:val="clear" w:color="auto" w:fill="FFFFFF"/>
          <w:lang w:val="es-ES"/>
        </w:rPr>
        <w:t xml:space="preserve"> </w:t>
      </w:r>
      <w:r w:rsidRPr="001D6EB3">
        <w:rPr>
          <w:rStyle w:val="normaltextrun"/>
          <w:rFonts w:ascii="Verdana" w:hAnsi="Verdana" w:cs="Arial"/>
          <w:shd w:val="clear" w:color="auto" w:fill="FFFFFF"/>
          <w:lang w:val="es-ES"/>
        </w:rPr>
        <w:t>los invitamos a participar con sus observaciones a</w:t>
      </w:r>
      <w:r>
        <w:rPr>
          <w:rStyle w:val="normaltextrun"/>
          <w:rFonts w:ascii="Verdana" w:hAnsi="Verdana" w:cs="Arial"/>
          <w:shd w:val="clear" w:color="auto" w:fill="FFFFFF"/>
          <w:lang w:val="es-ES"/>
        </w:rPr>
        <w:t xml:space="preserve"> los</w:t>
      </w:r>
      <w:r w:rsidRPr="001D6EB3">
        <w:rPr>
          <w:rStyle w:val="normaltextrun"/>
          <w:rFonts w:ascii="Verdana" w:hAnsi="Verdana" w:cs="Arial"/>
          <w:shd w:val="clear" w:color="auto" w:fill="FFFFFF"/>
          <w:lang w:val="es-ES"/>
        </w:rPr>
        <w:t xml:space="preserve"> borrador</w:t>
      </w:r>
      <w:r>
        <w:rPr>
          <w:rStyle w:val="normaltextrun"/>
          <w:rFonts w:ascii="Verdana" w:hAnsi="Verdana" w:cs="Arial"/>
          <w:shd w:val="clear" w:color="auto" w:fill="FFFFFF"/>
          <w:lang w:val="es-ES"/>
        </w:rPr>
        <w:t>es</w:t>
      </w:r>
      <w:r w:rsidRPr="001D6EB3">
        <w:rPr>
          <w:rStyle w:val="normaltextrun"/>
          <w:rFonts w:ascii="Verdana" w:hAnsi="Verdana" w:cs="Arial"/>
          <w:shd w:val="clear" w:color="auto" w:fill="FFFFFF"/>
          <w:lang w:val="es-ES"/>
        </w:rPr>
        <w:t xml:space="preserve"> de los documentos tipo del sector de </w:t>
      </w:r>
      <w:r>
        <w:rPr>
          <w:rStyle w:val="normaltextrun"/>
          <w:rFonts w:ascii="Verdana" w:hAnsi="Verdana" w:cs="Arial"/>
          <w:shd w:val="clear" w:color="auto" w:fill="FFFFFF"/>
          <w:lang w:val="es-ES"/>
        </w:rPr>
        <w:t>i</w:t>
      </w:r>
      <w:r w:rsidRPr="001D6EB3">
        <w:rPr>
          <w:rStyle w:val="normaltextrun"/>
          <w:rFonts w:ascii="Verdana" w:hAnsi="Verdana" w:cs="Arial"/>
          <w:shd w:val="clear" w:color="auto" w:fill="FFFFFF"/>
          <w:lang w:val="es-ES"/>
        </w:rPr>
        <w:t xml:space="preserve">nfraestructura de </w:t>
      </w:r>
      <w:r>
        <w:rPr>
          <w:rStyle w:val="normaltextrun"/>
          <w:rFonts w:ascii="Verdana" w:hAnsi="Verdana" w:cs="Arial"/>
          <w:shd w:val="clear" w:color="auto" w:fill="FFFFFF"/>
          <w:lang w:val="es-ES"/>
        </w:rPr>
        <w:t>t</w:t>
      </w:r>
      <w:r w:rsidRPr="001D6EB3">
        <w:rPr>
          <w:rStyle w:val="normaltextrun"/>
          <w:rFonts w:ascii="Verdana" w:hAnsi="Verdana" w:cs="Arial"/>
          <w:shd w:val="clear" w:color="auto" w:fill="FFFFFF"/>
          <w:lang w:val="es-ES"/>
        </w:rPr>
        <w:t xml:space="preserve">ransporte, </w:t>
      </w:r>
      <w:r>
        <w:rPr>
          <w:rStyle w:val="normaltextrun"/>
          <w:rFonts w:ascii="Verdana" w:hAnsi="Verdana" w:cs="Arial"/>
          <w:shd w:val="clear" w:color="auto" w:fill="FFFFFF"/>
          <w:lang w:val="es-ES"/>
        </w:rPr>
        <w:t xml:space="preserve">para la contratación de obras públicas en </w:t>
      </w:r>
      <w:r w:rsidRPr="001D6EB3">
        <w:rPr>
          <w:rStyle w:val="normaltextrun"/>
          <w:rFonts w:ascii="Verdana" w:hAnsi="Verdana" w:cs="Arial"/>
          <w:shd w:val="clear" w:color="auto" w:fill="FFFFFF"/>
          <w:lang w:val="es-ES"/>
        </w:rPr>
        <w:t>las modalidades de licitación pública, selección abreviada de menor cuantía y mínima cuantía</w:t>
      </w:r>
      <w:r>
        <w:rPr>
          <w:rStyle w:val="normaltextrun"/>
          <w:rFonts w:ascii="Verdana" w:hAnsi="Verdana" w:cs="Arial"/>
          <w:shd w:val="clear" w:color="auto" w:fill="FFFFFF"/>
          <w:lang w:val="es-ES"/>
        </w:rPr>
        <w:t xml:space="preserve">. Estos documentos estarán disponibles para recibir sus observaciones hasta el 12 de julio de 2024 </w:t>
      </w:r>
      <w:r w:rsidRPr="001D6EB3">
        <w:rPr>
          <w:rStyle w:val="normaltextrun"/>
          <w:rFonts w:ascii="Verdana" w:hAnsi="Verdana" w:cs="Arial"/>
          <w:shd w:val="clear" w:color="auto" w:fill="FFFFFF"/>
          <w:lang w:val="es-ES"/>
        </w:rPr>
        <w:t xml:space="preserve">en la página web de la </w:t>
      </w:r>
      <w:r>
        <w:rPr>
          <w:rStyle w:val="normaltextrun"/>
          <w:rFonts w:ascii="Verdana" w:hAnsi="Verdana" w:cs="Arial"/>
          <w:shd w:val="clear" w:color="auto" w:fill="FFFFFF"/>
          <w:lang w:val="es-ES"/>
        </w:rPr>
        <w:t>A</w:t>
      </w:r>
      <w:r w:rsidRPr="001D6EB3">
        <w:rPr>
          <w:rStyle w:val="normaltextrun"/>
          <w:rFonts w:ascii="Verdana" w:hAnsi="Verdana" w:cs="Arial"/>
          <w:shd w:val="clear" w:color="auto" w:fill="FFFFFF"/>
          <w:lang w:val="es-ES"/>
        </w:rPr>
        <w:t>gencia</w:t>
      </w:r>
      <w:r>
        <w:rPr>
          <w:rStyle w:val="normaltextrun"/>
          <w:rFonts w:ascii="Verdana" w:hAnsi="Verdana" w:cs="Arial"/>
          <w:shd w:val="clear" w:color="auto" w:fill="FFFFFF"/>
          <w:lang w:val="es-ES"/>
        </w:rPr>
        <w:t>, a la cual puede acceder mediante el</w:t>
      </w:r>
      <w:r w:rsidRPr="001D6EB3">
        <w:rPr>
          <w:rStyle w:val="normaltextrun"/>
          <w:rFonts w:ascii="Verdana" w:hAnsi="Verdana" w:cs="Arial"/>
          <w:shd w:val="clear" w:color="auto" w:fill="FFFFFF"/>
          <w:lang w:val="es-ES"/>
        </w:rPr>
        <w:t xml:space="preserve"> siguiente enlace: </w:t>
      </w:r>
      <w:hyperlink r:id="rId15" w:history="1">
        <w:r w:rsidRPr="000B34B1">
          <w:rPr>
            <w:rStyle w:val="Hipervnculo"/>
            <w:rFonts w:ascii="Verdana" w:hAnsi="Verdana" w:cs="Arial"/>
            <w:shd w:val="clear" w:color="auto" w:fill="FFFFFF"/>
            <w:lang w:val="es-ES"/>
          </w:rPr>
          <w:t>https://www.colombiacompra.gov.co/documentos-tipo/documentos-tipo</w:t>
        </w:r>
      </w:hyperlink>
      <w:r>
        <w:rPr>
          <w:rStyle w:val="normaltextrun"/>
          <w:rFonts w:ascii="Verdana" w:hAnsi="Verdana" w:cs="Arial"/>
          <w:color w:val="FF0000"/>
          <w:shd w:val="clear" w:color="auto" w:fill="FFFFFF"/>
          <w:lang w:val="es-ES"/>
        </w:rPr>
        <w:t xml:space="preserve"> </w:t>
      </w:r>
    </w:p>
    <w:p w14:paraId="36D8A3D9" w14:textId="77777777" w:rsidR="0093644B" w:rsidRDefault="0093644B" w:rsidP="0093644B">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30129A9E" w14:textId="77777777" w:rsidR="0093644B" w:rsidRDefault="0093644B" w:rsidP="0093644B">
      <w:pPr>
        <w:spacing w:after="0" w:line="240"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54C2709F" w14:textId="77777777" w:rsidR="0093644B" w:rsidRPr="003E2460" w:rsidRDefault="0093644B" w:rsidP="0093644B">
      <w:pPr>
        <w:spacing w:after="0" w:line="240" w:lineRule="auto"/>
        <w:jc w:val="both"/>
        <w:rPr>
          <w:rFonts w:ascii="Verdana" w:hAnsi="Verdana"/>
        </w:rPr>
      </w:pPr>
    </w:p>
    <w:p w14:paraId="426759B4" w14:textId="77777777" w:rsidR="0093644B" w:rsidRPr="003E2460" w:rsidRDefault="0093644B" w:rsidP="0093644B">
      <w:pPr>
        <w:spacing w:after="0" w:line="240" w:lineRule="auto"/>
        <w:jc w:val="both"/>
        <w:rPr>
          <w:rFonts w:ascii="Verdana" w:hAnsi="Verdana"/>
        </w:rPr>
      </w:pPr>
      <w:r w:rsidRPr="003E2460">
        <w:rPr>
          <w:rFonts w:ascii="Verdana" w:hAnsi="Verdana"/>
        </w:rPr>
        <w:t xml:space="preserve">Twitter: </w:t>
      </w:r>
      <w:r w:rsidRPr="003E2460">
        <w:rPr>
          <w:rStyle w:val="Hipervnculo"/>
          <w:rFonts w:ascii="Verdana" w:hAnsi="Verdana"/>
          <w:color w:val="4472C4" w:themeColor="accent1"/>
        </w:rPr>
        <w:t>@colombiacompra</w:t>
      </w:r>
      <w:r w:rsidRPr="003E2460">
        <w:rPr>
          <w:rFonts w:ascii="Verdana" w:hAnsi="Verdana"/>
          <w:color w:val="4472C4" w:themeColor="accent1"/>
        </w:rPr>
        <w:t xml:space="preserve"> </w:t>
      </w:r>
    </w:p>
    <w:p w14:paraId="11E93558" w14:textId="77777777" w:rsidR="0093644B" w:rsidRPr="003E2460" w:rsidRDefault="0093644B" w:rsidP="0093644B">
      <w:pPr>
        <w:spacing w:after="0" w:line="240" w:lineRule="auto"/>
        <w:jc w:val="both"/>
        <w:rPr>
          <w:rFonts w:ascii="Verdana" w:hAnsi="Verdana"/>
        </w:rPr>
      </w:pPr>
      <w:r w:rsidRPr="003E2460">
        <w:rPr>
          <w:rFonts w:ascii="Verdana" w:hAnsi="Verdana"/>
        </w:rPr>
        <w:t xml:space="preserve">Facebook: </w:t>
      </w:r>
      <w:r w:rsidRPr="003E2460">
        <w:rPr>
          <w:rStyle w:val="Hipervnculo"/>
          <w:rFonts w:ascii="Verdana" w:hAnsi="Verdana"/>
          <w:color w:val="4472C4" w:themeColor="accent1"/>
        </w:rPr>
        <w:t>ColombiaCompraEficiente</w:t>
      </w:r>
    </w:p>
    <w:p w14:paraId="3AB03A79" w14:textId="77777777" w:rsidR="0093644B" w:rsidRPr="003E2460" w:rsidRDefault="0093644B" w:rsidP="0093644B">
      <w:pPr>
        <w:spacing w:after="0" w:line="240" w:lineRule="auto"/>
        <w:jc w:val="both"/>
        <w:rPr>
          <w:rFonts w:ascii="Verdana" w:hAnsi="Verdana"/>
        </w:rPr>
      </w:pPr>
      <w:r w:rsidRPr="003E2460">
        <w:rPr>
          <w:rFonts w:ascii="Verdana" w:hAnsi="Verdana"/>
        </w:rPr>
        <w:t xml:space="preserve">LinkedIn: </w:t>
      </w:r>
      <w:r w:rsidRPr="003E2460">
        <w:rPr>
          <w:rStyle w:val="Hipervnculo"/>
          <w:rFonts w:ascii="Verdana" w:hAnsi="Verdana"/>
          <w:color w:val="4472C4" w:themeColor="accent1"/>
        </w:rPr>
        <w:t>Agencia Nacional de Contratación Pública - Colombia Compra Eficiente</w:t>
      </w:r>
      <w:r w:rsidRPr="003E2460">
        <w:rPr>
          <w:rFonts w:ascii="Verdana" w:hAnsi="Verdana"/>
          <w:color w:val="4472C4" w:themeColor="accent1"/>
        </w:rPr>
        <w:t xml:space="preserve"> </w:t>
      </w:r>
      <w:r w:rsidRPr="003E2460">
        <w:rPr>
          <w:rFonts w:ascii="Verdana" w:hAnsi="Verdana"/>
        </w:rPr>
        <w:t xml:space="preserve">Instagram: </w:t>
      </w:r>
      <w:r w:rsidRPr="003E2460">
        <w:rPr>
          <w:rStyle w:val="Hipervnculo"/>
          <w:rFonts w:ascii="Verdana" w:hAnsi="Verdana"/>
          <w:color w:val="4472C4" w:themeColor="accent1"/>
        </w:rPr>
        <w:t>@colombiacompraeficiente_cce</w:t>
      </w:r>
    </w:p>
    <w:p w14:paraId="15C01511" w14:textId="77777777" w:rsidR="0093644B" w:rsidRPr="00593A5F" w:rsidRDefault="0093644B" w:rsidP="0093644B">
      <w:pPr>
        <w:widowControl w:val="0"/>
        <w:autoSpaceDE w:val="0"/>
        <w:autoSpaceDN w:val="0"/>
        <w:spacing w:after="0" w:line="276" w:lineRule="auto"/>
        <w:jc w:val="both"/>
        <w:rPr>
          <w:rFonts w:ascii="Verdana" w:hAnsi="Verdana" w:cs="Arial"/>
        </w:rPr>
      </w:pPr>
    </w:p>
    <w:p w14:paraId="04F4F03E" w14:textId="77777777" w:rsidR="0093644B" w:rsidRPr="00593A5F" w:rsidRDefault="0093644B" w:rsidP="0093644B">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43B11D71" w14:textId="77777777" w:rsidR="0093644B" w:rsidRPr="00593A5F" w:rsidRDefault="0093644B" w:rsidP="0093644B">
      <w:pPr>
        <w:widowControl w:val="0"/>
        <w:autoSpaceDE w:val="0"/>
        <w:autoSpaceDN w:val="0"/>
        <w:spacing w:after="0" w:line="276" w:lineRule="auto"/>
        <w:jc w:val="both"/>
        <w:rPr>
          <w:rFonts w:ascii="Verdana" w:hAnsi="Verdana" w:cs="Arial"/>
        </w:rPr>
      </w:pPr>
    </w:p>
    <w:p w14:paraId="7CC34440" w14:textId="77777777" w:rsidR="0093644B" w:rsidRPr="00593A5F" w:rsidRDefault="0093644B" w:rsidP="0093644B">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6A1E4109" w14:textId="77777777" w:rsidR="0093644B" w:rsidRPr="00593A5F" w:rsidRDefault="0093644B" w:rsidP="0093644B">
      <w:pPr>
        <w:spacing w:line="276" w:lineRule="auto"/>
        <w:jc w:val="center"/>
        <w:rPr>
          <w:rFonts w:ascii="Verdana" w:hAnsi="Verdana" w:cs="Arial"/>
          <w:color w:val="000000"/>
          <w:lang w:val="es-ES_tradnl" w:eastAsia="es-CO"/>
        </w:rPr>
      </w:pPr>
      <w:r>
        <w:rPr>
          <w:noProof/>
        </w:rPr>
        <w:drawing>
          <wp:inline distT="0" distB="0" distL="0" distR="0" wp14:anchorId="7C3D53E5" wp14:editId="57C86A88">
            <wp:extent cx="3771429" cy="1400000"/>
            <wp:effectExtent l="0" t="0" r="635" b="0"/>
            <wp:docPr id="73229512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2295121" name="Imagen 1" descr="Texto&#10;&#10;Descripción generada automáticamente"/>
                    <pic:cNvPicPr/>
                  </pic:nvPicPr>
                  <pic:blipFill>
                    <a:blip r:embed="rId16"/>
                    <a:stretch>
                      <a:fillRect/>
                    </a:stretch>
                  </pic:blipFill>
                  <pic:spPr>
                    <a:xfrm>
                      <a:off x="0" y="0"/>
                      <a:ext cx="3771429" cy="140000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93644B" w:rsidRPr="001D6EB3" w14:paraId="6296A41C" w14:textId="77777777" w:rsidTr="00A1159A">
        <w:trPr>
          <w:trHeight w:val="315"/>
        </w:trPr>
        <w:tc>
          <w:tcPr>
            <w:tcW w:w="893" w:type="dxa"/>
            <w:vAlign w:val="center"/>
            <w:hideMark/>
          </w:tcPr>
          <w:p w14:paraId="25B1E4CA" w14:textId="77777777" w:rsidR="0093644B" w:rsidRPr="001D6EB3" w:rsidRDefault="0093644B" w:rsidP="00A1159A">
            <w:pPr>
              <w:contextualSpacing/>
              <w:rPr>
                <w:rFonts w:ascii="Verdana" w:hAnsi="Verdana" w:cs="Arial"/>
                <w:sz w:val="16"/>
                <w:szCs w:val="16"/>
                <w:lang w:val="es-ES" w:eastAsia="es-ES"/>
              </w:rPr>
            </w:pPr>
            <w:r w:rsidRPr="001D6EB3">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4A2F027" w14:textId="77777777" w:rsidR="0093644B" w:rsidRPr="001D6EB3" w:rsidRDefault="0093644B" w:rsidP="00A1159A">
            <w:pPr>
              <w:contextualSpacing/>
              <w:rPr>
                <w:rStyle w:val="normaltextrun"/>
                <w:rFonts w:ascii="Verdana" w:eastAsia="Arial" w:hAnsi="Verdana" w:cs="Arial"/>
                <w:sz w:val="16"/>
                <w:szCs w:val="16"/>
              </w:rPr>
            </w:pPr>
            <w:r w:rsidRPr="001D6EB3">
              <w:rPr>
                <w:rStyle w:val="normaltextrun"/>
                <w:rFonts w:ascii="Verdana" w:eastAsia="Arial" w:hAnsi="Verdana" w:cs="Arial"/>
                <w:sz w:val="16"/>
                <w:szCs w:val="16"/>
              </w:rPr>
              <w:t>Santiago Alberto Herrera Morillo</w:t>
            </w:r>
          </w:p>
          <w:p w14:paraId="69E3C8AE" w14:textId="77777777" w:rsidR="0093644B" w:rsidRPr="001D6EB3" w:rsidRDefault="0093644B" w:rsidP="00A1159A">
            <w:pPr>
              <w:contextualSpacing/>
              <w:rPr>
                <w:rFonts w:ascii="Verdana" w:eastAsia="Arial" w:hAnsi="Verdana" w:cs="Arial"/>
                <w:sz w:val="16"/>
                <w:szCs w:val="16"/>
              </w:rPr>
            </w:pPr>
            <w:r w:rsidRPr="001D6EB3">
              <w:rPr>
                <w:rStyle w:val="normaltextrun"/>
                <w:rFonts w:ascii="Verdana" w:eastAsia="Arial" w:hAnsi="Verdana" w:cs="Arial"/>
                <w:sz w:val="16"/>
                <w:szCs w:val="16"/>
              </w:rPr>
              <w:t>Analista T2-02 de la Subdirección de Gestión Contractual</w:t>
            </w:r>
          </w:p>
        </w:tc>
      </w:tr>
      <w:tr w:rsidR="0093644B" w:rsidRPr="001D6EB3" w14:paraId="47A5528E" w14:textId="77777777" w:rsidTr="00A1159A">
        <w:trPr>
          <w:trHeight w:val="330"/>
        </w:trPr>
        <w:tc>
          <w:tcPr>
            <w:tcW w:w="893" w:type="dxa"/>
            <w:vAlign w:val="center"/>
            <w:hideMark/>
          </w:tcPr>
          <w:p w14:paraId="4822AB66" w14:textId="77777777" w:rsidR="0093644B" w:rsidRPr="001D6EB3" w:rsidRDefault="0093644B" w:rsidP="00A1159A">
            <w:pPr>
              <w:contextualSpacing/>
              <w:rPr>
                <w:rFonts w:ascii="Verdana" w:hAnsi="Verdana" w:cs="Arial"/>
                <w:sz w:val="16"/>
                <w:szCs w:val="16"/>
                <w:lang w:val="es-ES" w:eastAsia="es-ES"/>
              </w:rPr>
            </w:pPr>
            <w:r w:rsidRPr="001D6EB3">
              <w:rPr>
                <w:rFonts w:ascii="Verdana" w:hAnsi="Verdana" w:cs="Arial"/>
                <w:sz w:val="16"/>
                <w:szCs w:val="16"/>
                <w:lang w:val="es-ES" w:eastAsia="es-ES"/>
              </w:rPr>
              <w:lastRenderedPageBreak/>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516511A" w14:textId="77777777" w:rsidR="0093644B" w:rsidRPr="001D6EB3" w:rsidRDefault="0093644B" w:rsidP="00A1159A">
            <w:pPr>
              <w:pStyle w:val="paragraph"/>
              <w:spacing w:after="0"/>
              <w:contextualSpacing/>
              <w:textAlignment w:val="baseline"/>
              <w:rPr>
                <w:rStyle w:val="normaltextrun"/>
                <w:rFonts w:ascii="Verdana" w:hAnsi="Verdana" w:cs="Arial"/>
                <w:sz w:val="16"/>
                <w:szCs w:val="16"/>
                <w:lang w:val="es-ES"/>
              </w:rPr>
            </w:pPr>
            <w:r w:rsidRPr="001D6EB3">
              <w:rPr>
                <w:rStyle w:val="normaltextrun"/>
                <w:rFonts w:ascii="Verdana" w:hAnsi="Verdana" w:cs="Arial"/>
                <w:sz w:val="16"/>
                <w:szCs w:val="16"/>
                <w:lang w:val="es-ES"/>
              </w:rPr>
              <w:t xml:space="preserve">Alejandro Sarmiento Cantillo </w:t>
            </w:r>
          </w:p>
          <w:p w14:paraId="7432459B" w14:textId="77777777" w:rsidR="0093644B" w:rsidRPr="001D6EB3" w:rsidRDefault="0093644B" w:rsidP="00A1159A">
            <w:pPr>
              <w:pStyle w:val="paragraph"/>
              <w:spacing w:before="0" w:beforeAutospacing="0" w:after="0" w:afterAutospacing="0"/>
              <w:contextualSpacing/>
              <w:textAlignment w:val="baseline"/>
              <w:rPr>
                <w:rFonts w:ascii="Verdana" w:hAnsi="Verdana" w:cs="Segoe UI"/>
                <w:sz w:val="16"/>
                <w:szCs w:val="16"/>
              </w:rPr>
            </w:pPr>
            <w:r w:rsidRPr="001D6EB3">
              <w:rPr>
                <w:rStyle w:val="normaltextrun"/>
                <w:rFonts w:ascii="Verdana" w:hAnsi="Verdana" w:cs="Arial"/>
                <w:sz w:val="16"/>
                <w:szCs w:val="16"/>
                <w:lang w:val="es-ES"/>
              </w:rPr>
              <w:t>Gestor T1-15 de la Subdirección de Gestión Contractual</w:t>
            </w:r>
          </w:p>
        </w:tc>
      </w:tr>
      <w:tr w:rsidR="0093644B" w:rsidRPr="001D6EB3" w14:paraId="0BE40E8B" w14:textId="77777777" w:rsidTr="00A1159A">
        <w:trPr>
          <w:trHeight w:val="300"/>
        </w:trPr>
        <w:tc>
          <w:tcPr>
            <w:tcW w:w="893" w:type="dxa"/>
            <w:vAlign w:val="center"/>
          </w:tcPr>
          <w:p w14:paraId="2C5CE62E" w14:textId="77777777" w:rsidR="0093644B" w:rsidRPr="001D6EB3" w:rsidRDefault="0093644B" w:rsidP="00A1159A">
            <w:pPr>
              <w:contextualSpacing/>
              <w:rPr>
                <w:rFonts w:ascii="Verdana" w:hAnsi="Verdana" w:cs="Arial"/>
                <w:sz w:val="16"/>
                <w:szCs w:val="16"/>
                <w:lang w:val="es-ES" w:eastAsia="es-ES"/>
              </w:rPr>
            </w:pPr>
            <w:r w:rsidRPr="001D6EB3">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2F74F54" w14:textId="77777777" w:rsidR="0093644B" w:rsidRPr="001D6EB3" w:rsidRDefault="0093644B" w:rsidP="00A1159A">
            <w:pPr>
              <w:contextualSpacing/>
              <w:rPr>
                <w:rFonts w:ascii="Verdana" w:eastAsia="Calibri" w:hAnsi="Verdana" w:cs="Arial"/>
                <w:sz w:val="16"/>
                <w:szCs w:val="16"/>
                <w:lang w:val="pt-BR" w:eastAsia="es-ES"/>
              </w:rPr>
            </w:pPr>
            <w:r w:rsidRPr="001D6EB3">
              <w:rPr>
                <w:rFonts w:ascii="Verdana" w:eastAsia="Calibri" w:hAnsi="Verdana" w:cs="Arial"/>
                <w:sz w:val="16"/>
                <w:szCs w:val="16"/>
                <w:lang w:val="pt-BR" w:eastAsia="es-ES"/>
              </w:rPr>
              <w:t>Carolina Quintero Gacharná</w:t>
            </w:r>
          </w:p>
          <w:p w14:paraId="64AAEA1C" w14:textId="77777777" w:rsidR="0093644B" w:rsidRPr="001D6EB3" w:rsidRDefault="0093644B" w:rsidP="00A1159A">
            <w:pPr>
              <w:contextualSpacing/>
              <w:rPr>
                <w:rFonts w:ascii="Verdana" w:eastAsia="Calibri" w:hAnsi="Verdana" w:cs="Arial"/>
                <w:sz w:val="16"/>
                <w:szCs w:val="16"/>
                <w:lang w:val="pt-BR" w:eastAsia="es-ES"/>
              </w:rPr>
            </w:pPr>
            <w:r w:rsidRPr="001D6EB3">
              <w:rPr>
                <w:rFonts w:ascii="Verdana" w:eastAsia="Calibri" w:hAnsi="Verdana" w:cs="Arial"/>
                <w:sz w:val="16"/>
                <w:szCs w:val="16"/>
                <w:lang w:eastAsia="es-ES"/>
              </w:rPr>
              <w:t>Subdirectora</w:t>
            </w:r>
            <w:r w:rsidRPr="001D6EB3">
              <w:rPr>
                <w:rFonts w:ascii="Verdana" w:eastAsia="Calibri" w:hAnsi="Verdana" w:cs="Arial"/>
                <w:sz w:val="16"/>
                <w:szCs w:val="16"/>
                <w:lang w:val="pt-BR" w:eastAsia="es-ES"/>
              </w:rPr>
              <w:t xml:space="preserve"> de Gestión Contractual ANCP – CCE</w:t>
            </w:r>
          </w:p>
        </w:tc>
      </w:tr>
    </w:tbl>
    <w:p w14:paraId="470E90DC" w14:textId="77777777" w:rsidR="0093644B" w:rsidRPr="001D6EB3" w:rsidRDefault="0093644B" w:rsidP="0093644B">
      <w:pPr>
        <w:spacing w:after="0" w:line="240" w:lineRule="auto"/>
        <w:rPr>
          <w:rFonts w:ascii="Verdana" w:eastAsia="Times New Roman" w:hAnsi="Verdana" w:cs="Arial"/>
          <w:sz w:val="24"/>
          <w:szCs w:val="24"/>
          <w:lang w:eastAsia="es-ES"/>
        </w:rPr>
      </w:pPr>
    </w:p>
    <w:p w14:paraId="14D821C4" w14:textId="77777777" w:rsidR="0093644B" w:rsidRPr="00871B59" w:rsidRDefault="0093644B" w:rsidP="0093644B"/>
    <w:p w14:paraId="42940783" w14:textId="77777777" w:rsidR="0093644B" w:rsidRPr="003002A5" w:rsidRDefault="0093644B" w:rsidP="0093644B"/>
    <w:p w14:paraId="0F293BF4" w14:textId="7BBFAB11" w:rsidR="00127233" w:rsidRPr="0093644B" w:rsidRDefault="00127233" w:rsidP="0093644B"/>
    <w:sectPr w:rsidR="00127233" w:rsidRPr="0093644B"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6D05A07" w14:textId="77777777" w:rsidR="00443915" w:rsidRDefault="00443915" w:rsidP="004A1847">
      <w:pPr>
        <w:spacing w:after="0" w:line="240" w:lineRule="auto"/>
      </w:pPr>
      <w:r>
        <w:separator/>
      </w:r>
    </w:p>
  </w:endnote>
  <w:endnote w:type="continuationSeparator" w:id="0">
    <w:p w14:paraId="35318CC9" w14:textId="77777777" w:rsidR="00443915" w:rsidRDefault="00443915" w:rsidP="004A1847">
      <w:pPr>
        <w:spacing w:after="0" w:line="240" w:lineRule="auto"/>
      </w:pPr>
      <w:r>
        <w:continuationSeparator/>
      </w:r>
    </w:p>
  </w:endnote>
  <w:endnote w:type="continuationNotice" w:id="1">
    <w:p w14:paraId="27108B45" w14:textId="77777777" w:rsidR="00443915" w:rsidRDefault="0044391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51E1418" w14:textId="77777777" w:rsidR="00443915" w:rsidRDefault="00443915" w:rsidP="004A1847">
      <w:pPr>
        <w:spacing w:after="0" w:line="240" w:lineRule="auto"/>
      </w:pPr>
      <w:r>
        <w:separator/>
      </w:r>
    </w:p>
  </w:footnote>
  <w:footnote w:type="continuationSeparator" w:id="0">
    <w:p w14:paraId="0FDAA927" w14:textId="77777777" w:rsidR="00443915" w:rsidRDefault="00443915" w:rsidP="004A1847">
      <w:pPr>
        <w:spacing w:after="0" w:line="240" w:lineRule="auto"/>
      </w:pPr>
      <w:r>
        <w:continuationSeparator/>
      </w:r>
    </w:p>
  </w:footnote>
  <w:footnote w:type="continuationNotice" w:id="1">
    <w:p w14:paraId="285F8DFB" w14:textId="77777777" w:rsidR="00443915" w:rsidRDefault="00443915">
      <w:pPr>
        <w:spacing w:after="0" w:line="240" w:lineRule="auto"/>
      </w:pPr>
    </w:p>
  </w:footnote>
  <w:footnote w:id="2">
    <w:p w14:paraId="3EABC470" w14:textId="77777777" w:rsidR="0093644B" w:rsidRPr="00895FEF" w:rsidRDefault="0093644B" w:rsidP="0093644B">
      <w:pPr>
        <w:pStyle w:val="Textonotapie"/>
        <w:ind w:firstLine="709"/>
        <w:jc w:val="both"/>
        <w:rPr>
          <w:rFonts w:ascii="Verdana" w:hAnsi="Verdana" w:cs="Arial"/>
          <w:sz w:val="16"/>
          <w:szCs w:val="16"/>
        </w:rPr>
      </w:pPr>
      <w:r w:rsidRPr="00895FEF">
        <w:rPr>
          <w:rStyle w:val="Refdenotaalpie"/>
          <w:rFonts w:ascii="Verdana" w:hAnsi="Verdana" w:cs="Arial"/>
          <w:sz w:val="16"/>
          <w:szCs w:val="16"/>
        </w:rPr>
        <w:footnoteRef/>
      </w:r>
      <w:r w:rsidRPr="00895FEF">
        <w:rPr>
          <w:rFonts w:ascii="Verdana" w:hAnsi="Verdana" w:cs="Arial"/>
          <w:sz w:val="16"/>
          <w:szCs w:val="16"/>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3">
    <w:p w14:paraId="5E9BDF24" w14:textId="77777777" w:rsidR="0093644B" w:rsidRPr="00895FEF" w:rsidRDefault="0093644B" w:rsidP="0093644B">
      <w:pPr>
        <w:pStyle w:val="Textonotapie"/>
        <w:jc w:val="both"/>
        <w:rPr>
          <w:rFonts w:ascii="Verdana" w:hAnsi="Verdana" w:cs="Arial"/>
          <w:sz w:val="16"/>
          <w:szCs w:val="16"/>
          <w:lang w:val="es-CO"/>
        </w:rPr>
      </w:pPr>
    </w:p>
    <w:p w14:paraId="1CCC5BD8" w14:textId="77777777" w:rsidR="0093644B" w:rsidRDefault="0093644B" w:rsidP="0093644B">
      <w:pPr>
        <w:pStyle w:val="Textonotapie"/>
        <w:ind w:firstLine="709"/>
        <w:jc w:val="both"/>
        <w:rPr>
          <w:rFonts w:ascii="Verdana" w:hAnsi="Verdana" w:cs="Arial"/>
          <w:sz w:val="16"/>
          <w:szCs w:val="16"/>
          <w:lang w:val="es-CO"/>
        </w:rPr>
      </w:pPr>
      <w:r w:rsidRPr="00895FEF">
        <w:rPr>
          <w:rStyle w:val="Refdenotaalpie"/>
          <w:rFonts w:ascii="Verdana" w:hAnsi="Verdana" w:cs="Arial"/>
          <w:sz w:val="16"/>
          <w:szCs w:val="16"/>
        </w:rPr>
        <w:footnoteRef/>
      </w:r>
      <w:r w:rsidRPr="00895FEF">
        <w:rPr>
          <w:rFonts w:ascii="Verdana" w:hAnsi="Verdana" w:cs="Arial"/>
          <w:sz w:val="16"/>
          <w:szCs w:val="16"/>
          <w:lang w:val="es-CO"/>
        </w:rPr>
        <w:t xml:space="preserve"> Consejo de Estado, ,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p w14:paraId="66EC394B" w14:textId="77777777" w:rsidR="0093644B" w:rsidRPr="00895FEF" w:rsidRDefault="0093644B" w:rsidP="0093644B">
      <w:pPr>
        <w:pStyle w:val="Textonotapie"/>
        <w:ind w:firstLine="709"/>
        <w:jc w:val="both"/>
        <w:rPr>
          <w:rFonts w:ascii="Verdana" w:hAnsi="Verdana" w:cs="Arial"/>
          <w:sz w:val="16"/>
          <w:szCs w:val="16"/>
          <w:lang w:val="es-CO"/>
        </w:rPr>
      </w:pPr>
    </w:p>
  </w:footnote>
  <w:footnote w:id="4">
    <w:p w14:paraId="0F5EEB8F" w14:textId="77777777" w:rsidR="0093644B" w:rsidRPr="00895FEF" w:rsidRDefault="0093644B" w:rsidP="0093644B">
      <w:pPr>
        <w:pStyle w:val="Textonotapie"/>
        <w:ind w:firstLine="709"/>
        <w:jc w:val="both"/>
        <w:rPr>
          <w:rFonts w:ascii="Verdana" w:hAnsi="Verdana" w:cs="Arial"/>
          <w:sz w:val="16"/>
          <w:szCs w:val="16"/>
        </w:rPr>
      </w:pPr>
      <w:r w:rsidRPr="00895FEF">
        <w:rPr>
          <w:rStyle w:val="Refdenotaalpie"/>
          <w:rFonts w:ascii="Verdana" w:hAnsi="Verdana" w:cs="Arial"/>
          <w:sz w:val="16"/>
          <w:szCs w:val="16"/>
        </w:rPr>
        <w:footnoteRef/>
      </w:r>
      <w:r w:rsidRPr="00895FEF">
        <w:rPr>
          <w:rFonts w:ascii="Verdana" w:hAnsi="Verdana" w:cs="Arial"/>
          <w:sz w:val="16"/>
          <w:szCs w:val="16"/>
        </w:rPr>
        <w:t xml:space="preserve"> Consejo de Estado, Sala de Consulta y Servicio Civil de fecha 24 de julio de 2013, radicado 2166, C</w:t>
      </w:r>
      <w:r>
        <w:rPr>
          <w:rFonts w:ascii="Verdana" w:hAnsi="Verdana" w:cs="Arial"/>
          <w:sz w:val="16"/>
          <w:szCs w:val="16"/>
        </w:rPr>
        <w:t>.</w:t>
      </w:r>
      <w:r w:rsidRPr="00895FEF">
        <w:rPr>
          <w:rFonts w:ascii="Verdana" w:hAnsi="Verdana" w:cs="Arial"/>
          <w:sz w:val="16"/>
          <w:szCs w:val="16"/>
        </w:rPr>
        <w:t>P</w:t>
      </w:r>
      <w:r>
        <w:rPr>
          <w:rFonts w:ascii="Verdana" w:hAnsi="Verdana" w:cs="Arial"/>
          <w:sz w:val="16"/>
          <w:szCs w:val="16"/>
        </w:rPr>
        <w:t>.</w:t>
      </w:r>
      <w:r w:rsidRPr="00895FEF">
        <w:rPr>
          <w:rFonts w:ascii="Verdana" w:hAnsi="Verdana" w:cs="Arial"/>
          <w:sz w:val="16"/>
          <w:szCs w:val="16"/>
        </w:rPr>
        <w:t xml:space="preserve"> Álvaro Namén Vargas.  </w:t>
      </w:r>
    </w:p>
  </w:footnote>
  <w:footnote w:id="5">
    <w:p w14:paraId="477F8359" w14:textId="77777777" w:rsidR="0093644B" w:rsidRPr="00895FEF" w:rsidRDefault="0093644B" w:rsidP="0093644B">
      <w:pPr>
        <w:spacing w:after="0" w:line="240" w:lineRule="auto"/>
        <w:ind w:firstLine="709"/>
        <w:jc w:val="both"/>
        <w:rPr>
          <w:rFonts w:ascii="Verdana" w:hAnsi="Verdana" w:cs="Arial"/>
          <w:sz w:val="16"/>
          <w:szCs w:val="16"/>
        </w:rPr>
      </w:pPr>
      <w:r w:rsidRPr="00895FEF">
        <w:rPr>
          <w:rStyle w:val="Refdenotaalpie"/>
          <w:rFonts w:ascii="Verdana" w:hAnsi="Verdana" w:cs="Arial"/>
          <w:sz w:val="16"/>
          <w:szCs w:val="16"/>
        </w:rPr>
        <w:footnoteRef/>
      </w:r>
      <w:r w:rsidRPr="00895FEF">
        <w:rPr>
          <w:rFonts w:ascii="Verdana" w:hAnsi="Verdana" w:cs="Arial"/>
          <w:sz w:val="16"/>
          <w:szCs w:val="16"/>
        </w:rPr>
        <w:t xml:space="preserve"> </w:t>
      </w:r>
      <w:bookmarkStart w:id="5" w:name="33"/>
      <w:r w:rsidRPr="00895FEF">
        <w:rPr>
          <w:rFonts w:ascii="Verdana" w:eastAsia="Calibri" w:hAnsi="Verdana" w:cs="Arial"/>
          <w:bCs/>
          <w:color w:val="000000"/>
          <w:sz w:val="16"/>
          <w:szCs w:val="16"/>
        </w:rPr>
        <w:t>“</w:t>
      </w:r>
      <w:r w:rsidRPr="00895FEF">
        <w:rPr>
          <w:rFonts w:ascii="Verdana" w:hAnsi="Verdana" w:cs="Arial"/>
          <w:sz w:val="16"/>
          <w:szCs w:val="16"/>
        </w:rPr>
        <w:t>Artículo 33. Restricciones a la contratación pública.</w:t>
      </w:r>
      <w:bookmarkEnd w:id="5"/>
      <w:r w:rsidRPr="00895FEF">
        <w:rPr>
          <w:rFonts w:ascii="Verdana"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01DEC23B" w14:textId="77777777" w:rsidR="0093644B" w:rsidRDefault="0093644B" w:rsidP="0093644B">
      <w:pPr>
        <w:spacing w:after="0" w:line="240" w:lineRule="auto"/>
        <w:ind w:firstLine="709"/>
        <w:jc w:val="both"/>
        <w:rPr>
          <w:rFonts w:ascii="Verdana" w:hAnsi="Verdana" w:cs="Arial"/>
          <w:sz w:val="16"/>
          <w:szCs w:val="16"/>
        </w:rPr>
      </w:pPr>
      <w:r w:rsidRPr="00895FEF">
        <w:rPr>
          <w:rFonts w:ascii="Verdana" w:eastAsia="Calibri" w:hAnsi="Verdana" w:cs="Arial"/>
          <w:bCs/>
          <w:color w:val="000000"/>
          <w:sz w:val="16"/>
          <w:szCs w:val="16"/>
        </w:rPr>
        <w:t>“</w:t>
      </w:r>
      <w:r w:rsidRPr="00895FEF">
        <w:rPr>
          <w:rFonts w:ascii="Verdana"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895FEF">
        <w:rPr>
          <w:rFonts w:ascii="Verdana" w:eastAsia="Calibri" w:hAnsi="Verdana" w:cs="Arial"/>
          <w:bCs/>
          <w:color w:val="000000"/>
          <w:sz w:val="16"/>
          <w:szCs w:val="16"/>
        </w:rPr>
        <w:t>”</w:t>
      </w:r>
      <w:r w:rsidRPr="00895FEF">
        <w:rPr>
          <w:rFonts w:ascii="Verdana" w:hAnsi="Verdana" w:cs="Arial"/>
          <w:sz w:val="16"/>
          <w:szCs w:val="16"/>
        </w:rPr>
        <w:t>.</w:t>
      </w:r>
    </w:p>
    <w:p w14:paraId="59CDFD31" w14:textId="77777777" w:rsidR="0093644B" w:rsidRPr="00895FEF" w:rsidRDefault="0093644B" w:rsidP="0093644B">
      <w:pPr>
        <w:spacing w:after="0" w:line="240" w:lineRule="auto"/>
        <w:ind w:firstLine="709"/>
        <w:jc w:val="both"/>
        <w:rPr>
          <w:rFonts w:ascii="Verdana" w:hAnsi="Verdana" w:cs="Arial"/>
          <w:sz w:val="16"/>
          <w:szCs w:val="16"/>
        </w:rPr>
      </w:pPr>
    </w:p>
  </w:footnote>
  <w:footnote w:id="6">
    <w:p w14:paraId="4E771DA4" w14:textId="77777777" w:rsidR="0093644B" w:rsidRPr="00895FEF" w:rsidRDefault="0093644B" w:rsidP="0093644B">
      <w:pPr>
        <w:pStyle w:val="NormalWeb"/>
        <w:spacing w:before="0" w:beforeAutospacing="0" w:after="0" w:afterAutospacing="0"/>
        <w:ind w:firstLine="709"/>
        <w:jc w:val="both"/>
        <w:rPr>
          <w:rFonts w:ascii="Verdana" w:hAnsi="Verdana" w:cs="Arial"/>
          <w:sz w:val="16"/>
          <w:szCs w:val="16"/>
          <w:lang w:val="es-MX"/>
        </w:rPr>
      </w:pPr>
      <w:r w:rsidRPr="00895FEF">
        <w:rPr>
          <w:rStyle w:val="Refdenotaalpie"/>
          <w:rFonts w:ascii="Verdana" w:hAnsi="Verdana" w:cs="Arial"/>
          <w:sz w:val="16"/>
          <w:szCs w:val="16"/>
        </w:rPr>
        <w:footnoteRef/>
      </w:r>
      <w:r w:rsidRPr="00895FEF">
        <w:rPr>
          <w:rFonts w:ascii="Verdana" w:hAnsi="Verdana" w:cs="Arial"/>
          <w:sz w:val="16"/>
          <w:szCs w:val="16"/>
        </w:rPr>
        <w:t xml:space="preserve"> </w:t>
      </w:r>
      <w:r w:rsidRPr="00895FEF">
        <w:rPr>
          <w:rFonts w:ascii="Verdana" w:eastAsia="Calibri" w:hAnsi="Verdana" w:cs="Arial"/>
          <w:bCs/>
          <w:color w:val="000000"/>
          <w:sz w:val="16"/>
          <w:szCs w:val="16"/>
        </w:rPr>
        <w:t>“</w:t>
      </w:r>
      <w:r w:rsidRPr="00895FEF">
        <w:rPr>
          <w:rFonts w:ascii="Verdana" w:hAnsi="Verdana" w:cs="Arial"/>
          <w:sz w:val="16"/>
          <w:szCs w:val="16"/>
          <w:lang w:val="es-MX"/>
        </w:rPr>
        <w:t>Artículo 38. Prohibiciones para los servidores públicos. A los empleados del Estado les está prohibido:</w:t>
      </w:r>
      <w:r>
        <w:rPr>
          <w:rFonts w:ascii="Verdana" w:hAnsi="Verdana" w:cs="Arial"/>
          <w:sz w:val="16"/>
          <w:szCs w:val="16"/>
          <w:lang w:val="es-MX"/>
        </w:rPr>
        <w:t xml:space="preserve"> </w:t>
      </w:r>
      <w:r w:rsidRPr="00895FEF">
        <w:rPr>
          <w:rFonts w:ascii="Verdana" w:hAnsi="Verdana" w:cs="Arial"/>
          <w:sz w:val="16"/>
          <w:szCs w:val="16"/>
          <w:lang w:val="es-MX"/>
        </w:rPr>
        <w:t xml:space="preserve"> […]</w:t>
      </w:r>
    </w:p>
    <w:p w14:paraId="4AB8E914" w14:textId="77777777" w:rsidR="0093644B" w:rsidRPr="00895FEF" w:rsidRDefault="0093644B" w:rsidP="0093644B">
      <w:pPr>
        <w:pStyle w:val="NormalWeb"/>
        <w:spacing w:before="0" w:beforeAutospacing="0" w:after="0" w:afterAutospacing="0"/>
        <w:ind w:firstLine="709"/>
        <w:jc w:val="both"/>
        <w:rPr>
          <w:rFonts w:ascii="Verdana" w:hAnsi="Verdana" w:cs="Arial"/>
          <w:sz w:val="16"/>
          <w:szCs w:val="16"/>
          <w:lang w:val="es-MX"/>
        </w:rPr>
      </w:pPr>
      <w:r w:rsidRPr="00895FEF">
        <w:rPr>
          <w:rStyle w:val="baj"/>
          <w:rFonts w:ascii="Verdana" w:hAnsi="Verdana" w:cs="Arial"/>
          <w:sz w:val="16"/>
          <w:szCs w:val="16"/>
          <w:lang w:val="es-MX"/>
        </w:rPr>
        <w:t>Parágrafo.</w:t>
      </w:r>
      <w:r w:rsidRPr="00895FEF">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895FEF">
        <w:rPr>
          <w:rFonts w:ascii="Verdana" w:eastAsia="Calibri" w:hAnsi="Verdana" w:cs="Arial"/>
          <w:bCs/>
          <w:color w:val="000000"/>
          <w:sz w:val="16"/>
          <w:szCs w:val="16"/>
        </w:rPr>
        <w:t>”</w:t>
      </w:r>
      <w:r w:rsidRPr="00895FEF">
        <w:rPr>
          <w:rFonts w:ascii="Verdana" w:hAnsi="Verdana" w:cs="Arial"/>
          <w:sz w:val="16"/>
          <w:szCs w:val="16"/>
          <w:lang w:val="es-MX"/>
        </w:rPr>
        <w:t>.</w:t>
      </w:r>
    </w:p>
  </w:footnote>
  <w:footnote w:id="7">
    <w:p w14:paraId="32D28F90" w14:textId="77777777" w:rsidR="0093644B" w:rsidRPr="00895FEF" w:rsidRDefault="0093644B" w:rsidP="0093644B">
      <w:pPr>
        <w:pStyle w:val="Textonotapie"/>
        <w:ind w:firstLine="708"/>
        <w:jc w:val="both"/>
        <w:rPr>
          <w:rFonts w:ascii="Verdana" w:hAnsi="Verdana"/>
          <w:sz w:val="16"/>
          <w:szCs w:val="16"/>
          <w:lang w:val="es-CO"/>
        </w:rPr>
      </w:pPr>
      <w:r w:rsidRPr="00895FEF">
        <w:rPr>
          <w:rStyle w:val="Refdenotaalpie"/>
          <w:rFonts w:ascii="Verdana" w:hAnsi="Verdana"/>
          <w:sz w:val="16"/>
          <w:szCs w:val="16"/>
        </w:rPr>
        <w:footnoteRef/>
      </w:r>
      <w:r w:rsidRPr="00895FEF">
        <w:rPr>
          <w:rFonts w:ascii="Verdana" w:hAnsi="Verdana"/>
          <w:sz w:val="16"/>
          <w:szCs w:val="16"/>
        </w:rPr>
        <w:t xml:space="preserve"> </w:t>
      </w:r>
      <w:r w:rsidRPr="00534DBD">
        <w:rPr>
          <w:rFonts w:ascii="Verdana" w:hAnsi="Verdana" w:cs="Arial"/>
          <w:sz w:val="16"/>
          <w:szCs w:val="16"/>
        </w:rPr>
        <w:t xml:space="preserve">Consejo de Estado, Sección Tercera, Subsección C, Sentencia del 20 de octubre de 2014, Exp. No. 24809, C.P. Jaime Orlando Santofimio Gamboa.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49164D6"/>
    <w:multiLevelType w:val="hybridMultilevel"/>
    <w:tmpl w:val="71C86C0E"/>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5AC44F09"/>
    <w:multiLevelType w:val="hybridMultilevel"/>
    <w:tmpl w:val="92F8E220"/>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3"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890972"/>
    <w:multiLevelType w:val="hybridMultilevel"/>
    <w:tmpl w:val="FBF47F68"/>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4"/>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7"/>
  </w:num>
  <w:num w:numId="7" w16cid:durableId="1946422806">
    <w:abstractNumId w:val="6"/>
  </w:num>
  <w:num w:numId="8" w16cid:durableId="152644682">
    <w:abstractNumId w:val="15"/>
  </w:num>
  <w:num w:numId="9" w16cid:durableId="1317221377">
    <w:abstractNumId w:val="9"/>
  </w:num>
  <w:num w:numId="10" w16cid:durableId="1471245386">
    <w:abstractNumId w:val="14"/>
  </w:num>
  <w:num w:numId="11" w16cid:durableId="289172385">
    <w:abstractNumId w:val="10"/>
  </w:num>
  <w:num w:numId="12" w16cid:durableId="1470781324">
    <w:abstractNumId w:val="1"/>
  </w:num>
  <w:num w:numId="13" w16cid:durableId="1512908409">
    <w:abstractNumId w:val="3"/>
  </w:num>
  <w:num w:numId="14" w16cid:durableId="895897244">
    <w:abstractNumId w:val="18"/>
  </w:num>
  <w:num w:numId="15" w16cid:durableId="390349800">
    <w:abstractNumId w:val="13"/>
  </w:num>
  <w:num w:numId="16" w16cid:durableId="341274352">
    <w:abstractNumId w:val="0"/>
  </w:num>
  <w:num w:numId="17" w16cid:durableId="1492209491">
    <w:abstractNumId w:val="5"/>
  </w:num>
  <w:num w:numId="18" w16cid:durableId="679089576">
    <w:abstractNumId w:val="11"/>
  </w:num>
  <w:num w:numId="19" w16cid:durableId="350299437">
    <w:abstractNumId w:val="16"/>
  </w:num>
  <w:num w:numId="20" w16cid:durableId="830489306">
    <w:abstractNumId w:val="12"/>
  </w:num>
  <w:num w:numId="21" w16cid:durableId="106857987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0248"/>
    <w:rsid w:val="00036F88"/>
    <w:rsid w:val="000437E2"/>
    <w:rsid w:val="00061B2A"/>
    <w:rsid w:val="00073589"/>
    <w:rsid w:val="00082362"/>
    <w:rsid w:val="0009701C"/>
    <w:rsid w:val="000A04E9"/>
    <w:rsid w:val="000A6827"/>
    <w:rsid w:val="000A683E"/>
    <w:rsid w:val="000B19B9"/>
    <w:rsid w:val="000D0334"/>
    <w:rsid w:val="000F6486"/>
    <w:rsid w:val="001003F7"/>
    <w:rsid w:val="00123E0B"/>
    <w:rsid w:val="00125105"/>
    <w:rsid w:val="00127233"/>
    <w:rsid w:val="0013451C"/>
    <w:rsid w:val="0014124D"/>
    <w:rsid w:val="00190AB0"/>
    <w:rsid w:val="001949D7"/>
    <w:rsid w:val="001C444E"/>
    <w:rsid w:val="001D6EB3"/>
    <w:rsid w:val="001E4177"/>
    <w:rsid w:val="001F7DC6"/>
    <w:rsid w:val="002055C9"/>
    <w:rsid w:val="00210290"/>
    <w:rsid w:val="00213E3C"/>
    <w:rsid w:val="002421BB"/>
    <w:rsid w:val="00254D83"/>
    <w:rsid w:val="0025796E"/>
    <w:rsid w:val="002707A2"/>
    <w:rsid w:val="00271C62"/>
    <w:rsid w:val="00271CEA"/>
    <w:rsid w:val="00285795"/>
    <w:rsid w:val="00290C32"/>
    <w:rsid w:val="002951A0"/>
    <w:rsid w:val="002962BC"/>
    <w:rsid w:val="002A093D"/>
    <w:rsid w:val="002A0DD0"/>
    <w:rsid w:val="002A49AC"/>
    <w:rsid w:val="002A64FD"/>
    <w:rsid w:val="002C7A84"/>
    <w:rsid w:val="002E4FD9"/>
    <w:rsid w:val="002F3CCB"/>
    <w:rsid w:val="003002A5"/>
    <w:rsid w:val="00322A85"/>
    <w:rsid w:val="00324168"/>
    <w:rsid w:val="00326B9B"/>
    <w:rsid w:val="003347CE"/>
    <w:rsid w:val="00342DF7"/>
    <w:rsid w:val="003448F4"/>
    <w:rsid w:val="003473B8"/>
    <w:rsid w:val="003509C8"/>
    <w:rsid w:val="0036778B"/>
    <w:rsid w:val="00374F5E"/>
    <w:rsid w:val="00377E3E"/>
    <w:rsid w:val="003853E3"/>
    <w:rsid w:val="00393EE2"/>
    <w:rsid w:val="003A2120"/>
    <w:rsid w:val="003A26D1"/>
    <w:rsid w:val="003A779E"/>
    <w:rsid w:val="003B1BF1"/>
    <w:rsid w:val="003C737E"/>
    <w:rsid w:val="003D0F4D"/>
    <w:rsid w:val="003D5B0D"/>
    <w:rsid w:val="003E0499"/>
    <w:rsid w:val="003E0CAC"/>
    <w:rsid w:val="003F0F2D"/>
    <w:rsid w:val="003F3941"/>
    <w:rsid w:val="00402DD8"/>
    <w:rsid w:val="00406575"/>
    <w:rsid w:val="0042722E"/>
    <w:rsid w:val="00443915"/>
    <w:rsid w:val="0044528D"/>
    <w:rsid w:val="00450DD4"/>
    <w:rsid w:val="004640DB"/>
    <w:rsid w:val="00472783"/>
    <w:rsid w:val="004A1847"/>
    <w:rsid w:val="004A305D"/>
    <w:rsid w:val="004B2687"/>
    <w:rsid w:val="004C08C4"/>
    <w:rsid w:val="004E2BD2"/>
    <w:rsid w:val="004E4831"/>
    <w:rsid w:val="004F21C4"/>
    <w:rsid w:val="004F4B39"/>
    <w:rsid w:val="004F685F"/>
    <w:rsid w:val="00511677"/>
    <w:rsid w:val="00534DBD"/>
    <w:rsid w:val="00552A71"/>
    <w:rsid w:val="005566E8"/>
    <w:rsid w:val="00574867"/>
    <w:rsid w:val="00575B0A"/>
    <w:rsid w:val="0059003F"/>
    <w:rsid w:val="00590297"/>
    <w:rsid w:val="00591460"/>
    <w:rsid w:val="00592628"/>
    <w:rsid w:val="00597431"/>
    <w:rsid w:val="005B46A4"/>
    <w:rsid w:val="005B52AB"/>
    <w:rsid w:val="005B6BEE"/>
    <w:rsid w:val="005C3777"/>
    <w:rsid w:val="005C5CDC"/>
    <w:rsid w:val="005D476C"/>
    <w:rsid w:val="005F6F91"/>
    <w:rsid w:val="00600949"/>
    <w:rsid w:val="00606F1E"/>
    <w:rsid w:val="00610812"/>
    <w:rsid w:val="006219F8"/>
    <w:rsid w:val="00627775"/>
    <w:rsid w:val="00650FF7"/>
    <w:rsid w:val="00665D70"/>
    <w:rsid w:val="00671DAC"/>
    <w:rsid w:val="006900D9"/>
    <w:rsid w:val="006935DA"/>
    <w:rsid w:val="006A325A"/>
    <w:rsid w:val="006B2999"/>
    <w:rsid w:val="006D12F8"/>
    <w:rsid w:val="006D1DEC"/>
    <w:rsid w:val="006F2449"/>
    <w:rsid w:val="006F4759"/>
    <w:rsid w:val="00700730"/>
    <w:rsid w:val="00706C16"/>
    <w:rsid w:val="0072091A"/>
    <w:rsid w:val="007250B8"/>
    <w:rsid w:val="00743973"/>
    <w:rsid w:val="00756841"/>
    <w:rsid w:val="007649AB"/>
    <w:rsid w:val="00765531"/>
    <w:rsid w:val="00771D0C"/>
    <w:rsid w:val="00774985"/>
    <w:rsid w:val="00777050"/>
    <w:rsid w:val="007833AC"/>
    <w:rsid w:val="007B268C"/>
    <w:rsid w:val="007B7171"/>
    <w:rsid w:val="007C0C0F"/>
    <w:rsid w:val="007C3003"/>
    <w:rsid w:val="007C3DC2"/>
    <w:rsid w:val="007E5497"/>
    <w:rsid w:val="007F55F5"/>
    <w:rsid w:val="007F796B"/>
    <w:rsid w:val="00806F5F"/>
    <w:rsid w:val="0081696D"/>
    <w:rsid w:val="00820278"/>
    <w:rsid w:val="00820DEF"/>
    <w:rsid w:val="00835A90"/>
    <w:rsid w:val="00843F79"/>
    <w:rsid w:val="008574C9"/>
    <w:rsid w:val="00864BFA"/>
    <w:rsid w:val="00875650"/>
    <w:rsid w:val="008843B6"/>
    <w:rsid w:val="00891928"/>
    <w:rsid w:val="00893F4B"/>
    <w:rsid w:val="00895FEF"/>
    <w:rsid w:val="008A446D"/>
    <w:rsid w:val="008D180B"/>
    <w:rsid w:val="008F0EA7"/>
    <w:rsid w:val="008F233A"/>
    <w:rsid w:val="00922123"/>
    <w:rsid w:val="00923EEF"/>
    <w:rsid w:val="0093644B"/>
    <w:rsid w:val="009364F7"/>
    <w:rsid w:val="009419F9"/>
    <w:rsid w:val="0095516A"/>
    <w:rsid w:val="009551A6"/>
    <w:rsid w:val="0095685E"/>
    <w:rsid w:val="00961B09"/>
    <w:rsid w:val="00964C6D"/>
    <w:rsid w:val="00965334"/>
    <w:rsid w:val="0097093C"/>
    <w:rsid w:val="0097093E"/>
    <w:rsid w:val="009A0DFA"/>
    <w:rsid w:val="009B2D26"/>
    <w:rsid w:val="009C71FA"/>
    <w:rsid w:val="009C72E7"/>
    <w:rsid w:val="009D1070"/>
    <w:rsid w:val="009D3058"/>
    <w:rsid w:val="009D75FC"/>
    <w:rsid w:val="009E793B"/>
    <w:rsid w:val="009F3A13"/>
    <w:rsid w:val="00A05607"/>
    <w:rsid w:val="00A122D3"/>
    <w:rsid w:val="00A1392C"/>
    <w:rsid w:val="00A17F13"/>
    <w:rsid w:val="00A20739"/>
    <w:rsid w:val="00A339BC"/>
    <w:rsid w:val="00A33C78"/>
    <w:rsid w:val="00A50565"/>
    <w:rsid w:val="00A644C2"/>
    <w:rsid w:val="00A71244"/>
    <w:rsid w:val="00AB0ADB"/>
    <w:rsid w:val="00AD0714"/>
    <w:rsid w:val="00B01B1A"/>
    <w:rsid w:val="00B3201F"/>
    <w:rsid w:val="00B41ACE"/>
    <w:rsid w:val="00B44A6C"/>
    <w:rsid w:val="00B45AF3"/>
    <w:rsid w:val="00B72CD3"/>
    <w:rsid w:val="00B72FFF"/>
    <w:rsid w:val="00B85A83"/>
    <w:rsid w:val="00B97CE4"/>
    <w:rsid w:val="00BA32DF"/>
    <w:rsid w:val="00BB628E"/>
    <w:rsid w:val="00BC3D36"/>
    <w:rsid w:val="00BD1F69"/>
    <w:rsid w:val="00BD7F72"/>
    <w:rsid w:val="00C04FB3"/>
    <w:rsid w:val="00C07562"/>
    <w:rsid w:val="00C13B07"/>
    <w:rsid w:val="00C262A6"/>
    <w:rsid w:val="00C330EB"/>
    <w:rsid w:val="00C607C1"/>
    <w:rsid w:val="00C62FF3"/>
    <w:rsid w:val="00C754BE"/>
    <w:rsid w:val="00C76B1C"/>
    <w:rsid w:val="00CB6357"/>
    <w:rsid w:val="00CC1B26"/>
    <w:rsid w:val="00CD7913"/>
    <w:rsid w:val="00D0283E"/>
    <w:rsid w:val="00D10696"/>
    <w:rsid w:val="00D127B4"/>
    <w:rsid w:val="00D423A2"/>
    <w:rsid w:val="00D520D8"/>
    <w:rsid w:val="00D63AC2"/>
    <w:rsid w:val="00D734E5"/>
    <w:rsid w:val="00D7383B"/>
    <w:rsid w:val="00DA1B84"/>
    <w:rsid w:val="00DA231B"/>
    <w:rsid w:val="00DA23A0"/>
    <w:rsid w:val="00DC39FC"/>
    <w:rsid w:val="00DE41F2"/>
    <w:rsid w:val="00DE51A1"/>
    <w:rsid w:val="00DF2DCD"/>
    <w:rsid w:val="00DF5254"/>
    <w:rsid w:val="00E16408"/>
    <w:rsid w:val="00E20894"/>
    <w:rsid w:val="00E245AB"/>
    <w:rsid w:val="00E2764C"/>
    <w:rsid w:val="00E27F2E"/>
    <w:rsid w:val="00E4113C"/>
    <w:rsid w:val="00E4137B"/>
    <w:rsid w:val="00E413EA"/>
    <w:rsid w:val="00E5090D"/>
    <w:rsid w:val="00E50AFE"/>
    <w:rsid w:val="00E75C92"/>
    <w:rsid w:val="00E771DC"/>
    <w:rsid w:val="00E80F5B"/>
    <w:rsid w:val="00E8772A"/>
    <w:rsid w:val="00E90F6B"/>
    <w:rsid w:val="00E92C27"/>
    <w:rsid w:val="00EA0E3D"/>
    <w:rsid w:val="00EA4759"/>
    <w:rsid w:val="00EA77DF"/>
    <w:rsid w:val="00EC38A7"/>
    <w:rsid w:val="00EE1AA8"/>
    <w:rsid w:val="00EE6395"/>
    <w:rsid w:val="00F111CD"/>
    <w:rsid w:val="00F30C2A"/>
    <w:rsid w:val="00F31EDC"/>
    <w:rsid w:val="00F462B3"/>
    <w:rsid w:val="00F5294E"/>
    <w:rsid w:val="00F548FB"/>
    <w:rsid w:val="00F5664F"/>
    <w:rsid w:val="00F666C4"/>
    <w:rsid w:val="00F76AFC"/>
    <w:rsid w:val="00F8061F"/>
    <w:rsid w:val="00F90EBA"/>
    <w:rsid w:val="00FA47C0"/>
    <w:rsid w:val="00FB0D48"/>
    <w:rsid w:val="00FB5DD1"/>
    <w:rsid w:val="00FC2B5D"/>
    <w:rsid w:val="00FD56EB"/>
    <w:rsid w:val="00FE5CA9"/>
    <w:rsid w:val="00FE7CA1"/>
    <w:rsid w:val="00FF1449"/>
    <w:rsid w:val="00FF1B8E"/>
    <w:rsid w:val="00FF6184"/>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606F1E"/>
    <w:pPr>
      <w:spacing w:line="240" w:lineRule="exact"/>
    </w:pPr>
    <w:rPr>
      <w:vertAlign w:val="superscript"/>
    </w:rPr>
  </w:style>
  <w:style w:type="character" w:styleId="Refdecomentario">
    <w:name w:val="annotation reference"/>
    <w:basedOn w:val="Fuentedeprrafopredeter"/>
    <w:uiPriority w:val="99"/>
    <w:semiHidden/>
    <w:unhideWhenUsed/>
    <w:rsid w:val="00606F1E"/>
    <w:rPr>
      <w:sz w:val="16"/>
      <w:szCs w:val="16"/>
    </w:rPr>
  </w:style>
  <w:style w:type="paragraph" w:styleId="Textocomentario">
    <w:name w:val="annotation text"/>
    <w:basedOn w:val="Normal"/>
    <w:link w:val="TextocomentarioCar"/>
    <w:uiPriority w:val="99"/>
    <w:unhideWhenUsed/>
    <w:rsid w:val="00606F1E"/>
    <w:pPr>
      <w:spacing w:line="240" w:lineRule="auto"/>
    </w:pPr>
    <w:rPr>
      <w:sz w:val="20"/>
      <w:szCs w:val="20"/>
    </w:rPr>
  </w:style>
  <w:style w:type="character" w:customStyle="1" w:styleId="TextocomentarioCar">
    <w:name w:val="Texto comentario Car"/>
    <w:basedOn w:val="Fuentedeprrafopredeter"/>
    <w:link w:val="Textocomentario"/>
    <w:uiPriority w:val="99"/>
    <w:rsid w:val="00606F1E"/>
    <w:rPr>
      <w:sz w:val="20"/>
      <w:szCs w:val="20"/>
    </w:rPr>
  </w:style>
  <w:style w:type="character" w:styleId="Textoennegrita">
    <w:name w:val="Strong"/>
    <w:basedOn w:val="Fuentedeprrafopredeter"/>
    <w:uiPriority w:val="22"/>
    <w:qFormat/>
    <w:rsid w:val="00606F1E"/>
    <w:rPr>
      <w:b/>
      <w:bCs/>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606F1E"/>
    <w:rPr>
      <w:rFonts w:ascii="Geomanist Light" w:hAnsi="Geomanist Light"/>
      <w:lang w:val="es-ES"/>
    </w:rPr>
  </w:style>
  <w:style w:type="character" w:customStyle="1" w:styleId="NormalWebCar">
    <w:name w:val="Normal (Web) Car"/>
    <w:link w:val="NormalWeb"/>
    <w:uiPriority w:val="99"/>
    <w:rsid w:val="00606F1E"/>
    <w:rPr>
      <w:rFonts w:ascii="Times New Roman" w:eastAsia="Times New Roman" w:hAnsi="Times New Roman" w:cs="Times New Roman"/>
      <w:sz w:val="24"/>
      <w:szCs w:val="24"/>
      <w:lang w:eastAsia="es-CO"/>
    </w:rPr>
  </w:style>
  <w:style w:type="character" w:customStyle="1" w:styleId="baj">
    <w:name w:val="b_aj"/>
    <w:basedOn w:val="Fuentedeprrafopredeter"/>
    <w:rsid w:val="00606F1E"/>
  </w:style>
  <w:style w:type="paragraph" w:styleId="Asuntodelcomentario">
    <w:name w:val="annotation subject"/>
    <w:basedOn w:val="Textocomentario"/>
    <w:next w:val="Textocomentario"/>
    <w:link w:val="AsuntodelcomentarioCar"/>
    <w:uiPriority w:val="99"/>
    <w:semiHidden/>
    <w:unhideWhenUsed/>
    <w:rsid w:val="00342DF7"/>
    <w:rPr>
      <w:b/>
      <w:bCs/>
    </w:rPr>
  </w:style>
  <w:style w:type="character" w:customStyle="1" w:styleId="AsuntodelcomentarioCar">
    <w:name w:val="Asunto del comentario Car"/>
    <w:basedOn w:val="TextocomentarioCar"/>
    <w:link w:val="Asuntodelcomentario"/>
    <w:uiPriority w:val="99"/>
    <w:semiHidden/>
    <w:rsid w:val="00342DF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providencias/66001-23-31-000-1999-00435-01_24809_a/"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ngela.lora@fiscalia.gov.co" TargetMode="External"/><Relationship Id="rId5" Type="http://schemas.openxmlformats.org/officeDocument/2006/relationships/styles" Target="styles.xml"/><Relationship Id="rId15" Type="http://schemas.openxmlformats.org/officeDocument/2006/relationships/hyperlink" Target="https://www.colombiacompra.gov.co/documentos-tipo/documentos-tipo"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sala-de-prensa/boletin-digita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UserInfo>
        <DisplayName>Santiago Alberto Herrera Morillo</DisplayName>
        <AccountId>821</AccountId>
        <AccountType/>
      </UserInfo>
      <UserInfo>
        <DisplayName>Alejandro Sarmiento</DisplayName>
        <AccountId>119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documentManagement/types"/>
    <ds:schemaRef ds:uri="http://schemas.openxmlformats.org/package/2006/metadata/core-properties"/>
    <ds:schemaRef ds:uri="http://purl.org/dc/dcmitype/"/>
    <ds:schemaRef ds:uri="9d85dbaf-23eb-4e57-a637-93dcacc8b1a1"/>
    <ds:schemaRef ds:uri="http://purl.org/dc/elements/1.1/"/>
    <ds:schemaRef ds:uri="http://purl.org/dc/terms/"/>
    <ds:schemaRef ds:uri="http://www.w3.org/XML/1998/namespace"/>
    <ds:schemaRef ds:uri="http://schemas.microsoft.com/office/infopath/2007/PartnerControls"/>
    <ds:schemaRef ds:uri="a6cb9e4b-f1d1-4245-83ec-6cad768d538a"/>
    <ds:schemaRef ds:uri="http://schemas.microsoft.com/office/2006/metadata/properties"/>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9FC7376A-9B23-452F-B8EF-D87D881E8B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11</Pages>
  <Words>3249</Words>
  <Characters>17871</Characters>
  <Application>Microsoft Office Word</Application>
  <DocSecurity>0</DocSecurity>
  <Lines>148</Lines>
  <Paragraphs>42</Paragraphs>
  <ScaleCrop>false</ScaleCrop>
  <Company/>
  <LinksUpToDate>false</LinksUpToDate>
  <CharactersWithSpaces>21078</CharactersWithSpaces>
  <SharedDoc>false</SharedDoc>
  <HLinks>
    <vt:vector size="30" baseType="variant">
      <vt:variant>
        <vt:i4>4653144</vt:i4>
      </vt:variant>
      <vt:variant>
        <vt:i4>12</vt:i4>
      </vt:variant>
      <vt:variant>
        <vt:i4>0</vt:i4>
      </vt:variant>
      <vt:variant>
        <vt:i4>5</vt:i4>
      </vt:variant>
      <vt:variant>
        <vt:lpwstr>https://www.colombiacompra.gov.co/documentos-tipo/documentos-tipo</vt:lpwstr>
      </vt:variant>
      <vt:variant>
        <vt:lpwstr/>
      </vt:variant>
      <vt:variant>
        <vt:i4>5439494</vt:i4>
      </vt:variant>
      <vt:variant>
        <vt:i4>9</vt:i4>
      </vt:variant>
      <vt:variant>
        <vt:i4>0</vt:i4>
      </vt:variant>
      <vt:variant>
        <vt:i4>5</vt:i4>
      </vt:variant>
      <vt:variant>
        <vt:lpwstr>https://www.colombiacompra.gov.co/sala-de-prensa/boletin-digital</vt:lpwstr>
      </vt:variant>
      <vt:variant>
        <vt:lpwstr/>
      </vt:variant>
      <vt:variant>
        <vt:i4>7471218</vt:i4>
      </vt:variant>
      <vt:variant>
        <vt:i4>6</vt:i4>
      </vt:variant>
      <vt:variant>
        <vt:i4>0</vt:i4>
      </vt:variant>
      <vt:variant>
        <vt:i4>5</vt:i4>
      </vt:variant>
      <vt:variant>
        <vt:lpwstr>https://relatoria.colombiacompra.gov.co/busqueda/conceptos</vt:lpwstr>
      </vt:variant>
      <vt:variant>
        <vt:lpwstr/>
      </vt:variant>
      <vt:variant>
        <vt:i4>7864430</vt:i4>
      </vt:variant>
      <vt:variant>
        <vt:i4>3</vt:i4>
      </vt:variant>
      <vt:variant>
        <vt:i4>0</vt:i4>
      </vt:variant>
      <vt:variant>
        <vt:i4>5</vt:i4>
      </vt:variant>
      <vt:variant>
        <vt:lpwstr>https://relatoria.colombiacompra.gov.co/providencias/66001-23-31-000-1999-00435-01_24809_a/</vt:lpwstr>
      </vt:variant>
      <vt:variant>
        <vt:lpwstr/>
      </vt:variant>
      <vt:variant>
        <vt:i4>3473419</vt:i4>
      </vt:variant>
      <vt:variant>
        <vt:i4>0</vt:i4>
      </vt:variant>
      <vt:variant>
        <vt:i4>0</vt:i4>
      </vt:variant>
      <vt:variant>
        <vt:i4>5</vt:i4>
      </vt:variant>
      <vt:variant>
        <vt:lpwstr>mailto:angela.lora@fiscalia.gov.co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Santiago Alberto Herrera Morillo</cp:lastModifiedBy>
  <cp:revision>13</cp:revision>
  <cp:lastPrinted>2023-01-10T21:18:00Z</cp:lastPrinted>
  <dcterms:created xsi:type="dcterms:W3CDTF">2024-07-10T20:53:00Z</dcterms:created>
  <dcterms:modified xsi:type="dcterms:W3CDTF">2024-08-01T22:04:00Z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