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AD2D1" w14:textId="4A42C58F" w:rsidR="00895FEF" w:rsidRDefault="00895FEF" w:rsidP="003002A5">
      <w:pPr>
        <w:spacing w:after="0" w:line="240" w:lineRule="auto"/>
        <w:rPr>
          <w:rFonts w:ascii="Verdana" w:eastAsia="Geomanist Light" w:hAnsi="Verdana" w:cs="Arial"/>
          <w:color w:val="000000" w:themeColor="text1"/>
          <w:lang w:val="es-MX"/>
        </w:rPr>
      </w:pPr>
    </w:p>
    <w:p w14:paraId="79A45443" w14:textId="116052E6" w:rsidR="003002A5" w:rsidRDefault="00B3201F" w:rsidP="00534DBD">
      <w:pPr>
        <w:spacing w:after="0" w:line="240" w:lineRule="auto"/>
        <w:rPr>
          <w:rFonts w:ascii="Verdana" w:eastAsia="Calibri" w:hAnsi="Verdana" w:cs="Arial"/>
          <w:color w:val="000000"/>
          <w:lang w:val="es-ES"/>
        </w:rPr>
      </w:pPr>
      <w:r w:rsidRPr="00B3201F">
        <w:rPr>
          <w:rFonts w:ascii="Verdana" w:eastAsia="Calibri" w:hAnsi="Verdana" w:cs="Arial"/>
          <w:b/>
          <w:noProof/>
          <w:lang w:val="es-ES_tradnl" w:eastAsia="es-ES_tradnl"/>
        </w:rPr>
        <w:drawing>
          <wp:anchor distT="0" distB="0" distL="114300" distR="114300" simplePos="0" relativeHeight="251658240" behindDoc="0" locked="0" layoutInCell="1" allowOverlap="1" wp14:anchorId="77D32F93" wp14:editId="3758F807">
            <wp:simplePos x="0" y="0"/>
            <wp:positionH relativeFrom="margin">
              <wp:align>right</wp:align>
            </wp:positionH>
            <wp:positionV relativeFrom="paragraph">
              <wp:posOffset>13335</wp:posOffset>
            </wp:positionV>
            <wp:extent cx="2771775" cy="812800"/>
            <wp:effectExtent l="0" t="0" r="9525" b="6350"/>
            <wp:wrapNone/>
            <wp:docPr id="148290251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902516"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771775" cy="812800"/>
                    </a:xfrm>
                    <a:prstGeom prst="rect">
                      <a:avLst/>
                    </a:prstGeom>
                  </pic:spPr>
                </pic:pic>
              </a:graphicData>
            </a:graphic>
            <wp14:sizeRelH relativeFrom="margin">
              <wp14:pctWidth>0</wp14:pctWidth>
            </wp14:sizeRelH>
            <wp14:sizeRelV relativeFrom="margin">
              <wp14:pctHeight>0</wp14:pctHeight>
            </wp14:sizeRelV>
          </wp:anchor>
        </w:drawing>
      </w:r>
      <w:r w:rsidR="003002A5" w:rsidRPr="00593A5F">
        <w:rPr>
          <w:rFonts w:ascii="Verdana" w:eastAsia="Geomanist Light" w:hAnsi="Verdana" w:cs="Arial"/>
          <w:color w:val="000000" w:themeColor="text1"/>
          <w:lang w:val="es-MX"/>
        </w:rPr>
        <w:t>Bogotá D.C., </w:t>
      </w:r>
      <w:r w:rsidR="00534DBD" w:rsidRPr="00534DBD">
        <w:rPr>
          <w:rFonts w:ascii="Verdana" w:eastAsia="Geomanist Light" w:hAnsi="Verdana" w:cs="Arial"/>
          <w:color w:val="201F1E"/>
          <w:lang w:val="es-MX"/>
        </w:rPr>
        <w:t>10 de Julio de 2024</w:t>
      </w:r>
    </w:p>
    <w:p w14:paraId="377DDA94" w14:textId="646DB1B9" w:rsidR="00895FEF" w:rsidRPr="00593A5F" w:rsidRDefault="00895FEF" w:rsidP="003002A5">
      <w:pPr>
        <w:spacing w:after="0" w:line="240" w:lineRule="auto"/>
        <w:jc w:val="both"/>
        <w:rPr>
          <w:rFonts w:ascii="Verdana" w:eastAsia="Calibri" w:hAnsi="Verdana" w:cs="Arial"/>
          <w:color w:val="000000"/>
          <w:lang w:val="es-ES"/>
        </w:rPr>
      </w:pPr>
    </w:p>
    <w:p w14:paraId="30417A50" w14:textId="6DC7499F" w:rsidR="003002A5" w:rsidRPr="00895FEF" w:rsidRDefault="003002A5" w:rsidP="00534DBD">
      <w:pPr>
        <w:spacing w:after="0" w:line="276" w:lineRule="auto"/>
        <w:jc w:val="both"/>
        <w:rPr>
          <w:rFonts w:ascii="Verdana" w:eastAsia="Calibri" w:hAnsi="Verdana" w:cs="Arial"/>
          <w:lang w:val="es-ES" w:eastAsia="es-ES"/>
        </w:rPr>
      </w:pPr>
      <w:r w:rsidRPr="00895FEF">
        <w:rPr>
          <w:rFonts w:ascii="Verdana" w:eastAsia="Calibri" w:hAnsi="Verdana" w:cs="Arial"/>
          <w:lang w:val="es-ES" w:eastAsia="es-ES"/>
        </w:rPr>
        <w:t>Señora</w:t>
      </w:r>
    </w:p>
    <w:p w14:paraId="5AFE1F29" w14:textId="355054D3" w:rsidR="003002A5" w:rsidRPr="00895FEF" w:rsidRDefault="003002A5" w:rsidP="00534DBD">
      <w:pPr>
        <w:spacing w:after="0" w:line="276" w:lineRule="auto"/>
        <w:rPr>
          <w:rFonts w:ascii="Verdana" w:eastAsia="Calibri" w:hAnsi="Verdana" w:cs="Arial"/>
          <w:b/>
          <w:lang w:val="es-ES_tradnl" w:eastAsia="es-ES_tradnl"/>
        </w:rPr>
      </w:pPr>
      <w:r w:rsidRPr="00895FEF">
        <w:rPr>
          <w:rFonts w:ascii="Verdana" w:eastAsia="Calibri" w:hAnsi="Verdana" w:cs="Arial"/>
          <w:b/>
          <w:lang w:val="es-ES_tradnl" w:eastAsia="es-ES_tradnl"/>
        </w:rPr>
        <w:t>Ángela Sofía Lora Villarreal</w:t>
      </w:r>
    </w:p>
    <w:p w14:paraId="61FE4867" w14:textId="77777777" w:rsidR="003002A5" w:rsidRPr="00534DBD" w:rsidRDefault="003002A5" w:rsidP="00534DBD">
      <w:pPr>
        <w:spacing w:after="0" w:line="276" w:lineRule="auto"/>
        <w:rPr>
          <w:rFonts w:ascii="Verdana" w:eastAsia="Calibri" w:hAnsi="Verdana" w:cs="Arial"/>
          <w:b/>
          <w:bCs/>
          <w:lang w:val="es-ES" w:eastAsia="es-ES"/>
        </w:rPr>
      </w:pPr>
      <w:r w:rsidRPr="00534DBD">
        <w:rPr>
          <w:rFonts w:ascii="Verdana" w:eastAsia="Calibri" w:hAnsi="Verdana" w:cs="Arial"/>
          <w:b/>
          <w:bCs/>
          <w:lang w:val="es-ES" w:eastAsia="es-ES"/>
        </w:rPr>
        <w:t>Asistente de Fiscal</w:t>
      </w:r>
    </w:p>
    <w:p w14:paraId="732C6F75" w14:textId="77777777" w:rsidR="003002A5" w:rsidRPr="00534DBD" w:rsidRDefault="003002A5" w:rsidP="00534DBD">
      <w:pPr>
        <w:spacing w:after="0" w:line="276" w:lineRule="auto"/>
        <w:rPr>
          <w:rFonts w:ascii="Verdana" w:eastAsia="Calibri" w:hAnsi="Verdana" w:cs="Arial"/>
          <w:b/>
          <w:bCs/>
          <w:lang w:val="es-ES" w:eastAsia="es-ES"/>
        </w:rPr>
      </w:pPr>
      <w:r w:rsidRPr="00534DBD">
        <w:rPr>
          <w:rFonts w:ascii="Verdana" w:eastAsia="Calibri" w:hAnsi="Verdana" w:cs="Arial"/>
          <w:b/>
          <w:bCs/>
          <w:lang w:val="es-ES" w:eastAsia="es-ES"/>
        </w:rPr>
        <w:t>Dirección Especializada Contra la Corrupción</w:t>
      </w:r>
    </w:p>
    <w:p w14:paraId="0ABCC5C1" w14:textId="77777777" w:rsidR="003002A5" w:rsidRPr="00534DBD" w:rsidRDefault="003002A5" w:rsidP="00534DBD">
      <w:pPr>
        <w:spacing w:after="0" w:line="276" w:lineRule="auto"/>
        <w:rPr>
          <w:rFonts w:ascii="Verdana" w:eastAsia="Calibri" w:hAnsi="Verdana" w:cs="Arial"/>
          <w:b/>
          <w:bCs/>
          <w:lang w:val="es-ES" w:eastAsia="es-ES"/>
        </w:rPr>
      </w:pPr>
      <w:r w:rsidRPr="00534DBD">
        <w:rPr>
          <w:rFonts w:ascii="Verdana" w:eastAsia="Calibri" w:hAnsi="Verdana" w:cs="Arial"/>
          <w:b/>
          <w:bCs/>
          <w:lang w:val="es-ES" w:eastAsia="es-ES"/>
        </w:rPr>
        <w:t>Fiscalía General de la Nación</w:t>
      </w:r>
    </w:p>
    <w:p w14:paraId="06FB4679" w14:textId="77777777" w:rsidR="003002A5" w:rsidRPr="00895FEF" w:rsidRDefault="00000000" w:rsidP="00534DBD">
      <w:pPr>
        <w:spacing w:after="0" w:line="276" w:lineRule="auto"/>
        <w:rPr>
          <w:rFonts w:ascii="Verdana" w:eastAsia="Calibri" w:hAnsi="Verdana" w:cs="Arial"/>
          <w:u w:val="single"/>
          <w:lang w:val="es-ES" w:eastAsia="es-ES"/>
        </w:rPr>
      </w:pPr>
      <w:hyperlink r:id="rId11" w:history="1">
        <w:r w:rsidR="003002A5" w:rsidRPr="00895FEF">
          <w:rPr>
            <w:rStyle w:val="Hipervnculo"/>
            <w:rFonts w:ascii="Verdana" w:eastAsia="Calibri" w:hAnsi="Verdana" w:cs="Arial"/>
            <w:lang w:val="es-ES" w:eastAsia="es-ES"/>
          </w:rPr>
          <w:t>angela.lora@fiscalia.gov.co</w:t>
        </w:r>
      </w:hyperlink>
    </w:p>
    <w:p w14:paraId="70CB3CC3" w14:textId="77777777" w:rsidR="003002A5" w:rsidRPr="00895FEF" w:rsidRDefault="003002A5" w:rsidP="00534DBD">
      <w:pPr>
        <w:spacing w:after="0" w:line="276" w:lineRule="auto"/>
        <w:rPr>
          <w:rFonts w:ascii="Verdana" w:eastAsia="Calibri" w:hAnsi="Verdana" w:cs="Arial"/>
          <w:b/>
          <w:bCs/>
          <w:lang w:val="es-ES" w:eastAsia="es-ES"/>
        </w:rPr>
      </w:pPr>
      <w:r w:rsidRPr="00895FEF">
        <w:rPr>
          <w:rFonts w:ascii="Verdana" w:eastAsia="Calibri" w:hAnsi="Verdana" w:cs="Arial"/>
          <w:lang w:val="es-ES" w:eastAsia="es-ES"/>
        </w:rPr>
        <w:t>Bogotá D.C.</w:t>
      </w:r>
      <w:r w:rsidRPr="00534DBD">
        <w:rPr>
          <w:rStyle w:val="Refdecomentario"/>
          <w:rFonts w:ascii="Verdana" w:hAnsi="Verdana"/>
        </w:rPr>
        <w:t xml:space="preserve"> </w:t>
      </w:r>
    </w:p>
    <w:p w14:paraId="1A8BA1D6" w14:textId="77777777" w:rsidR="003002A5" w:rsidRPr="00593A5F" w:rsidRDefault="003002A5" w:rsidP="003002A5">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D6EB3" w:rsidRPr="001D6EB3" w14:paraId="6B3FF45E" w14:textId="77777777" w:rsidTr="00D15460">
        <w:trPr>
          <w:trHeight w:val="884"/>
        </w:trPr>
        <w:tc>
          <w:tcPr>
            <w:tcW w:w="2689" w:type="dxa"/>
          </w:tcPr>
          <w:p w14:paraId="79CC4297" w14:textId="77777777" w:rsidR="003002A5" w:rsidRPr="001D6EB3" w:rsidRDefault="003002A5" w:rsidP="00D15460">
            <w:pPr>
              <w:jc w:val="both"/>
              <w:rPr>
                <w:rFonts w:ascii="Verdana" w:eastAsia="Calibri" w:hAnsi="Verdana" w:cs="Arial"/>
                <w:b/>
                <w:bCs/>
                <w:lang w:val="es-ES_tradnl" w:eastAsia="es-ES_tradnl"/>
              </w:rPr>
            </w:pPr>
          </w:p>
        </w:tc>
        <w:tc>
          <w:tcPr>
            <w:tcW w:w="6100" w:type="dxa"/>
          </w:tcPr>
          <w:p w14:paraId="2C238F5F" w14:textId="77777777" w:rsidR="003002A5" w:rsidRPr="001D6EB3" w:rsidRDefault="003002A5" w:rsidP="00D15460">
            <w:pPr>
              <w:jc w:val="both"/>
              <w:rPr>
                <w:rFonts w:ascii="Verdana" w:eastAsia="Calibri" w:hAnsi="Verdana" w:cs="Arial"/>
                <w:b/>
                <w:bCs/>
                <w:lang w:val="es-ES" w:eastAsia="es-ES"/>
              </w:rPr>
            </w:pPr>
            <w:r w:rsidRPr="001D6EB3">
              <w:rPr>
                <w:rFonts w:ascii="Verdana" w:eastAsia="Calibri" w:hAnsi="Verdana" w:cs="Arial"/>
                <w:b/>
                <w:bCs/>
                <w:lang w:val="es-ES" w:eastAsia="es-ES"/>
              </w:rPr>
              <w:t>Concepto C-225 de 2024</w:t>
            </w:r>
          </w:p>
        </w:tc>
      </w:tr>
      <w:tr w:rsidR="001D6EB3" w:rsidRPr="001D6EB3" w14:paraId="58406BC9" w14:textId="77777777" w:rsidTr="00534DBD">
        <w:trPr>
          <w:trHeight w:val="2797"/>
        </w:trPr>
        <w:tc>
          <w:tcPr>
            <w:tcW w:w="2689" w:type="dxa"/>
          </w:tcPr>
          <w:p w14:paraId="0F8EB795" w14:textId="77777777" w:rsidR="003002A5" w:rsidRPr="001D6EB3" w:rsidRDefault="003002A5" w:rsidP="00D15460">
            <w:pPr>
              <w:jc w:val="both"/>
              <w:rPr>
                <w:rFonts w:ascii="Verdana" w:eastAsia="Calibri" w:hAnsi="Verdana" w:cs="Arial"/>
                <w:lang w:val="es-ES_tradnl" w:eastAsia="es-ES_tradnl"/>
              </w:rPr>
            </w:pPr>
            <w:r w:rsidRPr="001D6EB3">
              <w:rPr>
                <w:rFonts w:ascii="Verdana" w:eastAsia="Calibri" w:hAnsi="Verdana" w:cs="Arial"/>
                <w:b/>
                <w:lang w:val="es-ES_tradnl" w:eastAsia="es-ES_tradnl"/>
              </w:rPr>
              <w:t>Temas:</w:t>
            </w:r>
            <w:r w:rsidRPr="001D6EB3">
              <w:rPr>
                <w:rFonts w:ascii="Verdana" w:eastAsia="Calibri" w:hAnsi="Verdana" w:cs="Arial"/>
                <w:lang w:val="es-ES_tradnl" w:eastAsia="es-ES_tradnl"/>
              </w:rPr>
              <w:t xml:space="preserve">                   </w:t>
            </w:r>
          </w:p>
        </w:tc>
        <w:tc>
          <w:tcPr>
            <w:tcW w:w="6100" w:type="dxa"/>
          </w:tcPr>
          <w:p w14:paraId="7125854D" w14:textId="2760FFD0" w:rsidR="003002A5" w:rsidRPr="001D6EB3" w:rsidRDefault="003002A5" w:rsidP="00B45AF3">
            <w:pPr>
              <w:spacing w:line="276" w:lineRule="auto"/>
              <w:jc w:val="both"/>
              <w:rPr>
                <w:rFonts w:ascii="Verdana" w:eastAsia="Calibri" w:hAnsi="Verdana" w:cs="Arial"/>
                <w:lang w:val="es-ES" w:eastAsia="es-ES"/>
              </w:rPr>
            </w:pPr>
            <w:r w:rsidRPr="001D6EB3">
              <w:rPr>
                <w:rFonts w:ascii="Verdana" w:eastAsia="Calibri" w:hAnsi="Verdana" w:cs="Arial"/>
                <w:lang w:val="es-ES" w:eastAsia="es-ES"/>
              </w:rPr>
              <w:t>LEY DE GARANTÍAS ELECTORALES – Finalidad / LEY DE GARANTÍAS ELECTORALES ‒ Restricciones ‒ Contratación ‒ Tipos de elección / LEY DE GARANTÍAS ELECTORALES ‒ Prohibiciones ‒ Ámbito temporal / LEY DE GARANTÍAS ELECTORALES ─ Prohibición artículo 33 – Prohibición parágrafo artículo 38</w:t>
            </w:r>
            <w:r w:rsidR="00B45AF3">
              <w:rPr>
                <w:rFonts w:ascii="Verdana" w:eastAsia="Calibri" w:hAnsi="Verdana" w:cs="Arial"/>
                <w:lang w:val="es-ES" w:eastAsia="es-ES"/>
              </w:rPr>
              <w:t xml:space="preserve"> / NULIDAD ABSOLUTA DEL CONTRATO ESTATAL – </w:t>
            </w:r>
            <w:r w:rsidR="00254D83">
              <w:rPr>
                <w:rFonts w:ascii="Verdana" w:eastAsia="Calibri" w:hAnsi="Verdana" w:cs="Arial"/>
                <w:lang w:val="es-ES" w:eastAsia="es-ES"/>
              </w:rPr>
              <w:t>Normativa – Causales</w:t>
            </w:r>
            <w:r w:rsidR="00393EE2">
              <w:rPr>
                <w:rFonts w:ascii="Verdana" w:eastAsia="Calibri" w:hAnsi="Verdana" w:cs="Arial"/>
                <w:lang w:val="es-ES" w:eastAsia="es-ES"/>
              </w:rPr>
              <w:t xml:space="preserve"> – </w:t>
            </w:r>
            <w:r w:rsidR="007F796B">
              <w:rPr>
                <w:rFonts w:ascii="Verdana" w:eastAsia="Calibri" w:hAnsi="Verdana" w:cs="Arial"/>
                <w:lang w:val="es-ES" w:eastAsia="es-ES"/>
              </w:rPr>
              <w:t>Celebración de contratos contra ex</w:t>
            </w:r>
            <w:r w:rsidR="00A339BC">
              <w:rPr>
                <w:rFonts w:ascii="Verdana" w:eastAsia="Calibri" w:hAnsi="Verdana" w:cs="Arial"/>
                <w:lang w:val="es-ES" w:eastAsia="es-ES"/>
              </w:rPr>
              <w:t>presa prohibición legal</w:t>
            </w:r>
            <w:r w:rsidR="00254D83">
              <w:rPr>
                <w:rFonts w:ascii="Verdana" w:eastAsia="Calibri" w:hAnsi="Verdana" w:cs="Arial"/>
                <w:lang w:val="es-ES" w:eastAsia="es-ES"/>
              </w:rPr>
              <w:t xml:space="preserve"> </w:t>
            </w:r>
          </w:p>
          <w:p w14:paraId="4777C153" w14:textId="77777777" w:rsidR="003002A5" w:rsidRPr="001D6EB3" w:rsidRDefault="003002A5" w:rsidP="00D15460">
            <w:pPr>
              <w:spacing w:line="276" w:lineRule="auto"/>
              <w:jc w:val="both"/>
              <w:rPr>
                <w:rFonts w:ascii="Verdana" w:eastAsia="Calibri" w:hAnsi="Verdana" w:cs="Arial"/>
                <w:lang w:val="es-ES" w:eastAsia="es-ES"/>
              </w:rPr>
            </w:pPr>
          </w:p>
        </w:tc>
      </w:tr>
      <w:tr w:rsidR="001D6EB3" w:rsidRPr="001D6EB3" w14:paraId="7E53BB89" w14:textId="77777777" w:rsidTr="00D15460">
        <w:tc>
          <w:tcPr>
            <w:tcW w:w="2689" w:type="dxa"/>
          </w:tcPr>
          <w:p w14:paraId="3A73E7AB" w14:textId="77777777" w:rsidR="003002A5" w:rsidRPr="001D6EB3" w:rsidRDefault="003002A5" w:rsidP="00D15460">
            <w:pPr>
              <w:jc w:val="both"/>
              <w:rPr>
                <w:rFonts w:ascii="Verdana" w:eastAsia="Calibri" w:hAnsi="Verdana" w:cs="Arial"/>
                <w:b/>
                <w:lang w:val="es-ES_tradnl" w:eastAsia="es-ES_tradnl"/>
              </w:rPr>
            </w:pPr>
            <w:r w:rsidRPr="001D6EB3">
              <w:rPr>
                <w:rFonts w:ascii="Verdana" w:eastAsia="Calibri" w:hAnsi="Verdana" w:cs="Arial"/>
                <w:b/>
                <w:lang w:val="es-ES_tradnl" w:eastAsia="es-ES_tradnl"/>
              </w:rPr>
              <w:t>Radicación:</w:t>
            </w:r>
            <w:r w:rsidRPr="001D6EB3">
              <w:rPr>
                <w:rFonts w:ascii="Verdana" w:eastAsia="Calibri" w:hAnsi="Verdana" w:cs="Arial"/>
                <w:lang w:val="es-ES_tradnl" w:eastAsia="es-ES_tradnl"/>
              </w:rPr>
              <w:t xml:space="preserve">               </w:t>
            </w:r>
          </w:p>
        </w:tc>
        <w:tc>
          <w:tcPr>
            <w:tcW w:w="6100" w:type="dxa"/>
          </w:tcPr>
          <w:p w14:paraId="0B8B694F" w14:textId="77777777" w:rsidR="003002A5" w:rsidRPr="001D6EB3" w:rsidRDefault="003002A5" w:rsidP="00D15460">
            <w:pPr>
              <w:jc w:val="both"/>
              <w:rPr>
                <w:rFonts w:ascii="Verdana" w:eastAsia="Calibri" w:hAnsi="Verdana" w:cs="Arial"/>
                <w:lang w:val="es-ES_tradnl" w:eastAsia="es-ES_tradnl"/>
              </w:rPr>
            </w:pPr>
            <w:r w:rsidRPr="001D6EB3">
              <w:rPr>
                <w:rFonts w:ascii="Verdana" w:eastAsia="Calibri" w:hAnsi="Verdana" w:cs="Arial"/>
                <w:lang w:val="es-ES_tradnl" w:eastAsia="es-ES_tradnl"/>
              </w:rPr>
              <w:t>Respuesta a consulta con radicado No. P20240625006491</w:t>
            </w:r>
          </w:p>
        </w:tc>
      </w:tr>
    </w:tbl>
    <w:p w14:paraId="6D4E6DAE" w14:textId="77777777" w:rsidR="003002A5" w:rsidRPr="001D6EB3" w:rsidRDefault="003002A5" w:rsidP="003002A5">
      <w:pPr>
        <w:spacing w:after="0" w:line="240" w:lineRule="auto"/>
        <w:jc w:val="both"/>
        <w:rPr>
          <w:rFonts w:ascii="Verdana" w:eastAsia="Calibri" w:hAnsi="Verdana" w:cs="Arial"/>
          <w:lang w:val="es-ES_tradnl" w:eastAsia="es-ES_tradnl"/>
        </w:rPr>
      </w:pPr>
    </w:p>
    <w:p w14:paraId="74D2903D" w14:textId="77777777" w:rsidR="003002A5" w:rsidRPr="001D6EB3" w:rsidRDefault="003002A5" w:rsidP="003002A5">
      <w:pPr>
        <w:spacing w:after="0" w:line="240" w:lineRule="auto"/>
        <w:jc w:val="both"/>
        <w:rPr>
          <w:rFonts w:ascii="Verdana" w:eastAsia="Calibri" w:hAnsi="Verdana" w:cs="Arial"/>
          <w:lang w:val="es-ES_tradnl" w:eastAsia="es-ES_tradnl"/>
        </w:rPr>
      </w:pPr>
    </w:p>
    <w:p w14:paraId="4CF460E1" w14:textId="77777777" w:rsidR="003002A5" w:rsidRPr="001D6EB3" w:rsidRDefault="003002A5" w:rsidP="003002A5">
      <w:pPr>
        <w:spacing w:after="0" w:line="276" w:lineRule="auto"/>
        <w:jc w:val="both"/>
        <w:rPr>
          <w:rFonts w:ascii="Verdana" w:eastAsia="Calibri" w:hAnsi="Verdana" w:cs="Arial"/>
          <w:lang w:val="es-ES" w:eastAsia="es-ES"/>
        </w:rPr>
      </w:pPr>
      <w:r w:rsidRPr="001D6EB3">
        <w:rPr>
          <w:rFonts w:ascii="Verdana" w:eastAsia="Calibri" w:hAnsi="Verdana" w:cs="Arial"/>
          <w:lang w:val="es-ES" w:eastAsia="es-ES"/>
        </w:rPr>
        <w:t xml:space="preserve">Estimada señora Ángela Sofía: </w:t>
      </w:r>
    </w:p>
    <w:p w14:paraId="56358728" w14:textId="77777777" w:rsidR="003002A5" w:rsidRPr="001D6EB3" w:rsidRDefault="003002A5" w:rsidP="003002A5">
      <w:pPr>
        <w:tabs>
          <w:tab w:val="left" w:pos="3768"/>
        </w:tabs>
        <w:spacing w:after="0" w:line="276" w:lineRule="auto"/>
        <w:jc w:val="both"/>
        <w:rPr>
          <w:rFonts w:ascii="Verdana" w:eastAsia="Calibri" w:hAnsi="Verdana" w:cs="Arial"/>
          <w:lang w:val="es-ES" w:eastAsia="es-ES"/>
        </w:rPr>
      </w:pPr>
      <w:r w:rsidRPr="001D6EB3">
        <w:rPr>
          <w:rFonts w:ascii="Verdana" w:eastAsia="Calibri" w:hAnsi="Verdana" w:cs="Arial"/>
          <w:lang w:val="es-ES" w:eastAsia="es-ES"/>
        </w:rPr>
        <w:tab/>
      </w:r>
    </w:p>
    <w:p w14:paraId="5E8EE731" w14:textId="77777777" w:rsidR="003002A5" w:rsidRPr="001D6EB3" w:rsidRDefault="003002A5" w:rsidP="003002A5">
      <w:pPr>
        <w:spacing w:after="0" w:line="276" w:lineRule="auto"/>
        <w:jc w:val="both"/>
        <w:rPr>
          <w:rFonts w:ascii="Verdana" w:eastAsia="Calibri" w:hAnsi="Verdana" w:cs="Arial"/>
          <w:lang w:val="es-ES" w:eastAsia="es-ES"/>
        </w:rPr>
      </w:pPr>
      <w:r w:rsidRPr="001D6EB3">
        <w:rPr>
          <w:rFonts w:ascii="Verdana" w:eastAsia="Calibri" w:hAnsi="Verdana" w:cs="Arial"/>
          <w:lang w:val="es-ES" w:eastAsia="es-ES"/>
        </w:rPr>
        <w:t>En ejercicio de la competencia otorgada por los artículos 3, numeral 5º, y 11, numeral 8º, del Decreto Ley 4170 de 2011,</w:t>
      </w:r>
      <w:r w:rsidRPr="001D6EB3">
        <w:rPr>
          <w:rFonts w:ascii="Verdana" w:eastAsia="Arial MT" w:hAnsi="Verdana" w:cs="Arial MT"/>
          <w:lang w:val="es-ES" w:eastAsia="es-ES"/>
        </w:rPr>
        <w:t xml:space="preserve"> </w:t>
      </w:r>
      <w:r w:rsidRPr="001D6EB3">
        <w:rPr>
          <w:rFonts w:ascii="Verdana" w:hAnsi="Verdana" w:cs="Arial"/>
        </w:rPr>
        <w:t xml:space="preserve">así como lo establecido en el artículo 4 de la Resolución 1707 de 2018 expedida por esta Entidad, </w:t>
      </w:r>
      <w:r w:rsidRPr="001D6EB3">
        <w:rPr>
          <w:rFonts w:ascii="Verdana" w:eastAsia="Calibri" w:hAnsi="Verdana" w:cs="Arial"/>
          <w:lang w:val="es-ES" w:eastAsia="es-ES"/>
        </w:rPr>
        <w:t xml:space="preserve">la Agencia Nacional de Contratación Pública – Colombia Compra Eficiente– responde su solicitud de consulta de fecha 25 de junio de 2024, en la cual manifiesta lo siguiente: </w:t>
      </w:r>
    </w:p>
    <w:p w14:paraId="2B481E97" w14:textId="77777777" w:rsidR="003002A5" w:rsidRPr="001D6EB3" w:rsidRDefault="003002A5" w:rsidP="00534DBD">
      <w:pPr>
        <w:pStyle w:val="Prrafodelista"/>
        <w:tabs>
          <w:tab w:val="left" w:pos="142"/>
          <w:tab w:val="left" w:pos="284"/>
        </w:tabs>
        <w:spacing w:after="0" w:line="276" w:lineRule="auto"/>
        <w:ind w:left="0"/>
        <w:jc w:val="both"/>
        <w:rPr>
          <w:rFonts w:ascii="Verdana" w:eastAsia="Century Gothic" w:hAnsi="Verdana" w:cs="Century Gothic"/>
          <w:b/>
          <w:bCs/>
        </w:rPr>
      </w:pPr>
    </w:p>
    <w:p w14:paraId="541ADECC" w14:textId="1181A060" w:rsidR="003002A5" w:rsidRDefault="003002A5" w:rsidP="00F8061F">
      <w:pPr>
        <w:spacing w:after="0" w:line="240" w:lineRule="auto"/>
        <w:ind w:left="709" w:right="709"/>
        <w:jc w:val="both"/>
        <w:rPr>
          <w:rFonts w:ascii="Verdana" w:eastAsia="Century Gothic" w:hAnsi="Verdana" w:cs="Century Gothic"/>
          <w:b/>
          <w:bCs/>
        </w:rPr>
      </w:pPr>
      <w:bookmarkStart w:id="0" w:name="_Hlk95313578"/>
      <w:r w:rsidRPr="001D6EB3">
        <w:rPr>
          <w:rFonts w:ascii="Verdana" w:eastAsia="Century Gothic" w:hAnsi="Verdana" w:cs="Century Gothic"/>
          <w:sz w:val="20"/>
          <w:szCs w:val="20"/>
          <w:lang w:val="es-ES"/>
        </w:rPr>
        <w:t>“</w:t>
      </w:r>
      <w:r w:rsidRPr="001D6EB3">
        <w:rPr>
          <w:rStyle w:val="normaltextrun"/>
          <w:rFonts w:ascii="Verdana" w:hAnsi="Verdana" w:cs="Arial"/>
          <w:sz w:val="20"/>
          <w:szCs w:val="20"/>
          <w:shd w:val="clear" w:color="auto" w:fill="FFFFFF"/>
          <w:lang w:val="es-ES"/>
        </w:rPr>
        <w:t xml:space="preserve">En cumplimiento de la Orden a Policía Judicial No. 10577328, emitida por la Fiscalía 93 de la Dirección Especializada Contra la Corrupción, como parte de la investigación que se adelanta bajo el radicado </w:t>
      </w:r>
      <w:bookmarkStart w:id="1" w:name="_Hlk171511572"/>
      <w:r w:rsidRPr="001D6EB3">
        <w:rPr>
          <w:rStyle w:val="normaltextrun"/>
          <w:rFonts w:ascii="Verdana" w:hAnsi="Verdana" w:cs="Arial"/>
          <w:sz w:val="20"/>
          <w:szCs w:val="20"/>
          <w:shd w:val="clear" w:color="auto" w:fill="FFFFFF"/>
          <w:lang w:val="es-ES"/>
        </w:rPr>
        <w:t>110016000101201800055</w:t>
      </w:r>
      <w:bookmarkEnd w:id="1"/>
      <w:r w:rsidRPr="001D6EB3">
        <w:rPr>
          <w:rStyle w:val="normaltextrun"/>
          <w:rFonts w:ascii="Verdana" w:hAnsi="Verdana" w:cs="Arial"/>
          <w:sz w:val="20"/>
          <w:szCs w:val="20"/>
          <w:shd w:val="clear" w:color="auto" w:fill="FFFFFF"/>
          <w:lang w:val="es-ES"/>
        </w:rPr>
        <w:t xml:space="preserve">, se solicita respetuosamente su colaboración a </w:t>
      </w:r>
      <w:r w:rsidRPr="001D6EB3">
        <w:rPr>
          <w:rStyle w:val="normaltextrun"/>
          <w:rFonts w:ascii="Verdana" w:hAnsi="Verdana" w:cs="Arial"/>
          <w:sz w:val="20"/>
          <w:szCs w:val="20"/>
          <w:shd w:val="clear" w:color="auto" w:fill="FFFFFF"/>
          <w:lang w:val="es-ES"/>
        </w:rPr>
        <w:lastRenderedPageBreak/>
        <w:t>la presente indagación, con el propósito de que se emita un concepto en punto a determinar si la celebración de un contrato estatal incumpliendo ley de garantías implica una violación a los requisitos esenciales del contrato.</w:t>
      </w:r>
      <w:r w:rsidRPr="001D6EB3">
        <w:rPr>
          <w:rFonts w:ascii="Verdana" w:eastAsia="Century Gothic" w:hAnsi="Verdana" w:cs="Century Gothic"/>
          <w:sz w:val="20"/>
          <w:szCs w:val="20"/>
          <w:lang w:val="es-ES"/>
        </w:rPr>
        <w:t>”</w:t>
      </w:r>
      <w:bookmarkEnd w:id="0"/>
    </w:p>
    <w:p w14:paraId="464189D8" w14:textId="77777777" w:rsidR="00F8061F" w:rsidRPr="001D6EB3" w:rsidRDefault="00F8061F" w:rsidP="00534DBD">
      <w:pPr>
        <w:spacing w:after="0" w:line="240" w:lineRule="auto"/>
        <w:ind w:left="709" w:right="709"/>
        <w:jc w:val="both"/>
        <w:rPr>
          <w:rFonts w:ascii="Verdana" w:eastAsia="Century Gothic" w:hAnsi="Verdana" w:cs="Century Gothic"/>
          <w:b/>
          <w:bCs/>
        </w:rPr>
      </w:pPr>
    </w:p>
    <w:p w14:paraId="3BD18E45" w14:textId="11501A3E" w:rsidR="0095516A" w:rsidRDefault="003002A5" w:rsidP="0095516A">
      <w:pPr>
        <w:spacing w:after="120" w:line="276" w:lineRule="auto"/>
        <w:ind w:firstLine="709"/>
        <w:jc w:val="both"/>
        <w:rPr>
          <w:rFonts w:ascii="Verdana" w:eastAsia="Calibri" w:hAnsi="Verdana" w:cs="Arial"/>
          <w:szCs w:val="24"/>
          <w:lang w:val="es-ES" w:eastAsia="es-ES_tradnl"/>
        </w:rPr>
      </w:pPr>
      <w:r w:rsidRPr="001D6EB3">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r w:rsidR="00EE6395">
        <w:rPr>
          <w:rFonts w:ascii="Verdana" w:eastAsia="Calibri" w:hAnsi="Verdana" w:cs="Arial"/>
          <w:lang w:val="es-ES" w:eastAsia="es-ES"/>
        </w:rPr>
        <w:t xml:space="preserve"> Adicionalmente, es importante tener en cuenta que el </w:t>
      </w:r>
      <w:r w:rsidR="004B2687">
        <w:rPr>
          <w:rFonts w:ascii="Verdana" w:eastAsia="Calibri" w:hAnsi="Verdana" w:cs="Arial"/>
          <w:lang w:val="es-ES" w:eastAsia="es-ES"/>
        </w:rPr>
        <w:t>artículo 226, numeral 3 de la Ley 1564 de 2012, es</w:t>
      </w:r>
      <w:r w:rsidR="0072091A">
        <w:rPr>
          <w:rFonts w:ascii="Verdana" w:eastAsia="Calibri" w:hAnsi="Verdana" w:cs="Arial"/>
          <w:lang w:val="es-ES" w:eastAsia="es-ES"/>
        </w:rPr>
        <w:t>tablece</w:t>
      </w:r>
      <w:r w:rsidR="0095516A">
        <w:rPr>
          <w:rFonts w:ascii="Verdana" w:eastAsia="Calibri" w:hAnsi="Verdana" w:cs="Arial"/>
          <w:szCs w:val="24"/>
          <w:lang w:val="es-ES" w:eastAsia="es-ES_tradnl"/>
        </w:rPr>
        <w:t xml:space="preserve"> n</w:t>
      </w:r>
      <w:r w:rsidR="009551A6" w:rsidRPr="009551A6">
        <w:rPr>
          <w:rFonts w:ascii="Verdana" w:eastAsia="Calibri" w:hAnsi="Verdana" w:cs="Arial"/>
          <w:szCs w:val="24"/>
          <w:lang w:val="es-ES" w:eastAsia="es-ES_tradnl"/>
        </w:rPr>
        <w:t>o serán admisibles los dictámenes periciales que versen sobre puntos de derecho</w:t>
      </w:r>
      <w:r w:rsidR="0095516A">
        <w:rPr>
          <w:rFonts w:ascii="Verdana" w:eastAsia="Calibri" w:hAnsi="Verdana" w:cs="Arial"/>
          <w:szCs w:val="24"/>
          <w:lang w:val="es-ES" w:eastAsia="es-ES_tradnl"/>
        </w:rPr>
        <w:t xml:space="preserve">. </w:t>
      </w:r>
    </w:p>
    <w:p w14:paraId="6C8F8C2E" w14:textId="2F8EC480" w:rsidR="003002A5" w:rsidRPr="001D6EB3" w:rsidRDefault="00B97CE4" w:rsidP="00A05607">
      <w:pPr>
        <w:spacing w:after="0" w:line="276" w:lineRule="auto"/>
        <w:ind w:firstLine="709"/>
        <w:jc w:val="both"/>
        <w:rPr>
          <w:rFonts w:ascii="Verdana" w:eastAsia="Calibri" w:hAnsi="Verdana" w:cs="Arial"/>
          <w:lang w:val="es-ES" w:eastAsia="es-ES"/>
        </w:rPr>
      </w:pPr>
      <w:r>
        <w:rPr>
          <w:rFonts w:ascii="Verdana" w:eastAsia="Calibri" w:hAnsi="Verdana" w:cs="Arial"/>
          <w:szCs w:val="24"/>
          <w:lang w:val="es-ES" w:eastAsia="es-ES_tradnl"/>
        </w:rPr>
        <w:t>C</w:t>
      </w:r>
      <w:r w:rsidR="003002A5" w:rsidRPr="001D6EB3">
        <w:rPr>
          <w:rFonts w:ascii="Verdana" w:eastAsia="Calibri" w:hAnsi="Verdana" w:cs="Arial"/>
          <w:lang w:val="es-ES" w:eastAsia="es-ES"/>
        </w:rPr>
        <w:t>onforme lo expuesto, en aras de satisfacer el derecho fundamental de petición se resolverá su consulta dentro de los límites de la referida competencia consultiva, esto es, haciendo abstracción de las circunstancias particulares y concretas mencionadas en su petición, haciendo unas consideraciones sobre las normas generales relacionadas con el problema jurídico de su consulta</w:t>
      </w:r>
      <w:r w:rsidR="00FF1B8E">
        <w:rPr>
          <w:rFonts w:ascii="Verdana" w:eastAsia="Calibri" w:hAnsi="Verdana" w:cs="Arial"/>
          <w:lang w:val="es-ES" w:eastAsia="es-ES"/>
        </w:rPr>
        <w:t>,</w:t>
      </w:r>
      <w:r>
        <w:rPr>
          <w:rFonts w:ascii="Verdana" w:eastAsia="Calibri" w:hAnsi="Verdana" w:cs="Arial"/>
          <w:lang w:val="es-ES" w:eastAsia="es-ES"/>
        </w:rPr>
        <w:t xml:space="preserve"> </w:t>
      </w:r>
      <w:r w:rsidR="004C08C4">
        <w:rPr>
          <w:rFonts w:ascii="Verdana" w:eastAsia="Calibri" w:hAnsi="Verdana" w:cs="Arial"/>
          <w:lang w:val="es-ES" w:eastAsia="es-ES"/>
        </w:rPr>
        <w:t>por lo</w:t>
      </w:r>
      <w:r w:rsidR="00FF1B8E">
        <w:rPr>
          <w:rFonts w:ascii="Verdana" w:eastAsia="Calibri" w:hAnsi="Verdana" w:cs="Arial"/>
          <w:lang w:val="es-ES" w:eastAsia="es-ES"/>
        </w:rPr>
        <w:t xml:space="preserve"> </w:t>
      </w:r>
      <w:r w:rsidR="004C08C4">
        <w:rPr>
          <w:rFonts w:ascii="Verdana" w:eastAsia="Calibri" w:hAnsi="Verdana" w:cs="Arial"/>
          <w:lang w:val="es-ES" w:eastAsia="es-ES"/>
        </w:rPr>
        <w:t>que manifestado</w:t>
      </w:r>
      <w:r>
        <w:rPr>
          <w:rFonts w:ascii="Verdana" w:eastAsia="Calibri" w:hAnsi="Verdana" w:cs="Arial"/>
          <w:lang w:val="es-ES" w:eastAsia="es-ES"/>
        </w:rPr>
        <w:t xml:space="preserve"> en este concepto</w:t>
      </w:r>
      <w:r w:rsidR="004C08C4">
        <w:rPr>
          <w:rFonts w:ascii="Verdana" w:eastAsia="Calibri" w:hAnsi="Verdana" w:cs="Arial"/>
          <w:lang w:val="es-ES" w:eastAsia="es-ES"/>
        </w:rPr>
        <w:t xml:space="preserve"> pueda ser tomado como un</w:t>
      </w:r>
      <w:r w:rsidR="004F4B39">
        <w:rPr>
          <w:rFonts w:ascii="Verdana" w:eastAsia="Calibri" w:hAnsi="Verdana" w:cs="Arial"/>
          <w:lang w:val="es-ES" w:eastAsia="es-ES"/>
        </w:rPr>
        <w:t xml:space="preserve"> pronunciamiento sobre las </w:t>
      </w:r>
      <w:r w:rsidR="00F90EBA">
        <w:rPr>
          <w:rFonts w:ascii="Verdana" w:eastAsia="Calibri" w:hAnsi="Verdana" w:cs="Arial"/>
          <w:lang w:val="es-ES" w:eastAsia="es-ES"/>
        </w:rPr>
        <w:t xml:space="preserve">circunstancias </w:t>
      </w:r>
      <w:r w:rsidR="00F111CD">
        <w:rPr>
          <w:rFonts w:ascii="Verdana" w:eastAsia="Calibri" w:hAnsi="Verdana" w:cs="Arial"/>
          <w:lang w:val="es-ES" w:eastAsia="es-ES"/>
        </w:rPr>
        <w:t xml:space="preserve">particulares de la investigación mencionada en la petición. </w:t>
      </w:r>
      <w:r>
        <w:rPr>
          <w:rFonts w:ascii="Verdana" w:eastAsia="Calibri" w:hAnsi="Verdana" w:cs="Arial"/>
          <w:lang w:val="es-ES" w:eastAsia="es-ES"/>
        </w:rPr>
        <w:t xml:space="preserve"> </w:t>
      </w:r>
      <w:r w:rsidR="003002A5" w:rsidRPr="001D6EB3">
        <w:rPr>
          <w:rFonts w:ascii="Verdana" w:eastAsia="Calibri" w:hAnsi="Verdana" w:cs="Arial"/>
          <w:lang w:val="es-ES" w:eastAsia="es-ES"/>
        </w:rPr>
        <w:t xml:space="preserve"> </w:t>
      </w:r>
    </w:p>
    <w:p w14:paraId="5A01B466" w14:textId="77777777" w:rsidR="003002A5" w:rsidRPr="001D6EB3" w:rsidRDefault="003002A5" w:rsidP="003002A5">
      <w:pPr>
        <w:spacing w:after="0" w:line="276" w:lineRule="auto"/>
        <w:ind w:firstLine="709"/>
        <w:jc w:val="both"/>
        <w:rPr>
          <w:rFonts w:ascii="Verdana" w:eastAsia="Calibri" w:hAnsi="Verdana" w:cs="Arial"/>
          <w:lang w:val="es-ES" w:eastAsia="es-ES"/>
        </w:rPr>
      </w:pPr>
    </w:p>
    <w:p w14:paraId="0E729848" w14:textId="77777777" w:rsidR="003002A5" w:rsidRPr="001D6EB3" w:rsidRDefault="003002A5" w:rsidP="003002A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D6EB3">
        <w:rPr>
          <w:rFonts w:ascii="Verdana" w:eastAsia="Century Gothic" w:hAnsi="Verdana" w:cs="Century Gothic"/>
          <w:b/>
          <w:bCs/>
        </w:rPr>
        <w:t>Problema planteado:</w:t>
      </w:r>
    </w:p>
    <w:p w14:paraId="5D48B2DC" w14:textId="77777777" w:rsidR="003002A5" w:rsidRPr="001D6EB3" w:rsidRDefault="003002A5" w:rsidP="003002A5">
      <w:pPr>
        <w:tabs>
          <w:tab w:val="left" w:pos="426"/>
        </w:tabs>
        <w:spacing w:after="0" w:line="276" w:lineRule="auto"/>
        <w:jc w:val="both"/>
        <w:rPr>
          <w:rFonts w:ascii="Verdana" w:eastAsia="Century Gothic" w:hAnsi="Verdana" w:cs="Century Gothic"/>
          <w:lang w:val="es-ES"/>
        </w:rPr>
      </w:pPr>
    </w:p>
    <w:p w14:paraId="49027E4F" w14:textId="30293AD5" w:rsidR="003002A5" w:rsidRPr="001D6EB3" w:rsidRDefault="003002A5" w:rsidP="003002A5">
      <w:pPr>
        <w:spacing w:after="0" w:line="276" w:lineRule="auto"/>
        <w:jc w:val="both"/>
        <w:rPr>
          <w:rFonts w:ascii="Verdana" w:eastAsia="Century Gothic" w:hAnsi="Verdana" w:cs="Century Gothic"/>
        </w:rPr>
      </w:pPr>
      <w:r w:rsidRPr="001D6EB3">
        <w:rPr>
          <w:rFonts w:ascii="Verdana" w:eastAsia="Century Gothic" w:hAnsi="Verdana" w:cs="Century Gothic"/>
        </w:rPr>
        <w:t xml:space="preserve">De acuerdo con el contenido de su solicitud, esta Agencia resolverá el siguiente problema jurídico: </w:t>
      </w:r>
      <w:r w:rsidR="00627775">
        <w:rPr>
          <w:rFonts w:ascii="Verdana" w:eastAsia="Century Gothic" w:hAnsi="Verdana" w:cs="Century Gothic"/>
        </w:rPr>
        <w:t>¿Cuáles son las implicaciones</w:t>
      </w:r>
      <w:r w:rsidRPr="001D6EB3">
        <w:rPr>
          <w:rFonts w:ascii="Verdana" w:eastAsia="Century Gothic" w:hAnsi="Verdana" w:cs="Century Gothic"/>
        </w:rPr>
        <w:t xml:space="preserve"> de </w:t>
      </w:r>
      <w:r w:rsidR="00627775">
        <w:rPr>
          <w:rFonts w:ascii="Verdana" w:eastAsia="Century Gothic" w:hAnsi="Verdana" w:cs="Century Gothic"/>
        </w:rPr>
        <w:t>celebrar un</w:t>
      </w:r>
      <w:r w:rsidRPr="001D6EB3">
        <w:rPr>
          <w:rFonts w:ascii="Verdana" w:eastAsia="Century Gothic" w:hAnsi="Verdana" w:cs="Century Gothic"/>
        </w:rPr>
        <w:t xml:space="preserve"> contrato estatal en contravención de l</w:t>
      </w:r>
      <w:r w:rsidR="00627775">
        <w:rPr>
          <w:rFonts w:ascii="Verdana" w:eastAsia="Century Gothic" w:hAnsi="Verdana" w:cs="Century Gothic"/>
        </w:rPr>
        <w:t>as</w:t>
      </w:r>
      <w:r w:rsidRPr="001D6EB3">
        <w:rPr>
          <w:rFonts w:ascii="Verdana" w:eastAsia="Century Gothic" w:hAnsi="Verdana" w:cs="Century Gothic"/>
        </w:rPr>
        <w:t xml:space="preserve"> </w:t>
      </w:r>
      <w:r w:rsidR="00627775">
        <w:rPr>
          <w:rFonts w:ascii="Verdana" w:eastAsia="Century Gothic" w:hAnsi="Verdana" w:cs="Century Gothic"/>
        </w:rPr>
        <w:t>restricciones contractuales establecidas</w:t>
      </w:r>
      <w:r w:rsidRPr="001D6EB3">
        <w:rPr>
          <w:rFonts w:ascii="Verdana" w:eastAsia="Century Gothic" w:hAnsi="Verdana" w:cs="Century Gothic"/>
        </w:rPr>
        <w:t xml:space="preserve"> en los artículos 33 y 38</w:t>
      </w:r>
      <w:r w:rsidR="004E2BD2">
        <w:rPr>
          <w:rFonts w:ascii="Verdana" w:eastAsia="Century Gothic" w:hAnsi="Verdana" w:cs="Century Gothic"/>
        </w:rPr>
        <w:t xml:space="preserve"> –</w:t>
      </w:r>
      <w:r w:rsidR="006D1DEC">
        <w:rPr>
          <w:rFonts w:ascii="Verdana" w:eastAsia="Century Gothic" w:hAnsi="Verdana" w:cs="Century Gothic"/>
        </w:rPr>
        <w:t>parágrafo–</w:t>
      </w:r>
      <w:r w:rsidRPr="001D6EB3">
        <w:rPr>
          <w:rFonts w:ascii="Verdana" w:eastAsia="Century Gothic" w:hAnsi="Verdana" w:cs="Century Gothic"/>
        </w:rPr>
        <w:t xml:space="preserve"> de la </w:t>
      </w:r>
      <w:r w:rsidR="001C444E">
        <w:rPr>
          <w:rFonts w:ascii="Verdana" w:eastAsia="Century Gothic" w:hAnsi="Verdana" w:cs="Century Gothic"/>
        </w:rPr>
        <w:t>L</w:t>
      </w:r>
      <w:r w:rsidRPr="001D6EB3">
        <w:rPr>
          <w:rFonts w:ascii="Verdana" w:eastAsia="Century Gothic" w:hAnsi="Verdana" w:cs="Century Gothic"/>
        </w:rPr>
        <w:t>ey 996 de 2005</w:t>
      </w:r>
      <w:r w:rsidR="00627775">
        <w:rPr>
          <w:rFonts w:ascii="Verdana" w:eastAsia="Century Gothic" w:hAnsi="Verdana" w:cs="Century Gothic"/>
        </w:rPr>
        <w:t>? ¿Qué elemento</w:t>
      </w:r>
      <w:r w:rsidR="00D10696">
        <w:rPr>
          <w:rFonts w:ascii="Verdana" w:eastAsia="Century Gothic" w:hAnsi="Verdana" w:cs="Century Gothic"/>
        </w:rPr>
        <w:t>s esenciales del contrato se afectan?</w:t>
      </w:r>
    </w:p>
    <w:p w14:paraId="0FBA0816" w14:textId="14AD1A73" w:rsidR="001003F7" w:rsidRDefault="001003F7">
      <w:pPr>
        <w:rPr>
          <w:rFonts w:ascii="Verdana" w:eastAsia="Century Gothic" w:hAnsi="Verdana" w:cs="Century Gothic"/>
          <w:b/>
          <w:bCs/>
          <w:lang w:val="es-ES"/>
        </w:rPr>
      </w:pPr>
    </w:p>
    <w:p w14:paraId="48FDC043" w14:textId="78848A49" w:rsidR="003002A5" w:rsidRPr="001D6EB3" w:rsidRDefault="003002A5" w:rsidP="003002A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D6EB3">
        <w:rPr>
          <w:rFonts w:ascii="Verdana" w:eastAsia="Century Gothic" w:hAnsi="Verdana" w:cs="Century Gothic"/>
          <w:b/>
          <w:bCs/>
        </w:rPr>
        <w:t>Respuesta:</w:t>
      </w:r>
    </w:p>
    <w:p w14:paraId="49C5A561" w14:textId="77777777" w:rsidR="003002A5" w:rsidRPr="001D6EB3" w:rsidRDefault="003002A5" w:rsidP="003002A5">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D6EB3" w:rsidRPr="001D6EB3" w14:paraId="5DFC63BE" w14:textId="77777777" w:rsidTr="00D15460">
        <w:tc>
          <w:tcPr>
            <w:tcW w:w="8828" w:type="dxa"/>
            <w:shd w:val="clear" w:color="auto" w:fill="auto"/>
          </w:tcPr>
          <w:p w14:paraId="43984F40" w14:textId="791F984D" w:rsidR="00F111CD" w:rsidRDefault="00D10696" w:rsidP="00F5294E">
            <w:pPr>
              <w:spacing w:line="276" w:lineRule="auto"/>
              <w:jc w:val="both"/>
              <w:rPr>
                <w:rFonts w:ascii="Verdana" w:eastAsia="Calibri" w:hAnsi="Verdana" w:cs="Arial"/>
                <w:lang w:val="es-ES"/>
              </w:rPr>
            </w:pPr>
            <w:r>
              <w:rPr>
                <w:rFonts w:ascii="Verdana" w:eastAsia="Calibri" w:hAnsi="Verdana" w:cs="Arial"/>
                <w:lang w:val="es-ES"/>
              </w:rPr>
              <w:t>Celebrar contratos estatales</w:t>
            </w:r>
            <w:r w:rsidR="00820DEF">
              <w:rPr>
                <w:rFonts w:ascii="Verdana" w:eastAsia="Calibri" w:hAnsi="Verdana" w:cs="Arial"/>
                <w:lang w:val="es-ES"/>
              </w:rPr>
              <w:t xml:space="preserve"> durante </w:t>
            </w:r>
            <w:r w:rsidR="00C62FF3">
              <w:rPr>
                <w:rFonts w:ascii="Verdana" w:eastAsia="Calibri" w:hAnsi="Verdana" w:cs="Arial"/>
                <w:lang w:val="es-ES"/>
              </w:rPr>
              <w:t xml:space="preserve">los periodos prelectorales en </w:t>
            </w:r>
            <w:r w:rsidR="00864BFA">
              <w:rPr>
                <w:rFonts w:ascii="Verdana" w:eastAsia="Calibri" w:hAnsi="Verdana" w:cs="Arial"/>
                <w:lang w:val="es-ES"/>
              </w:rPr>
              <w:t xml:space="preserve">los que </w:t>
            </w:r>
            <w:r w:rsidR="00D0283E">
              <w:rPr>
                <w:rFonts w:ascii="Verdana" w:eastAsia="Calibri" w:hAnsi="Verdana" w:cs="Arial"/>
                <w:lang w:val="es-ES"/>
              </w:rPr>
              <w:t>rigen las restricciones contractuales</w:t>
            </w:r>
            <w:r w:rsidR="00C607C1">
              <w:rPr>
                <w:rFonts w:ascii="Verdana" w:eastAsia="Calibri" w:hAnsi="Verdana" w:cs="Arial"/>
                <w:lang w:val="es-ES"/>
              </w:rPr>
              <w:t xml:space="preserve"> que establece </w:t>
            </w:r>
            <w:r w:rsidR="00A50565">
              <w:rPr>
                <w:rFonts w:ascii="Verdana" w:eastAsia="Calibri" w:hAnsi="Verdana" w:cs="Arial"/>
                <w:lang w:val="es-ES"/>
              </w:rPr>
              <w:t xml:space="preserve">la Ley 966 de 2005 en </w:t>
            </w:r>
            <w:r w:rsidR="00C607C1">
              <w:rPr>
                <w:rFonts w:ascii="Verdana" w:eastAsia="Calibri" w:hAnsi="Verdana" w:cs="Arial"/>
                <w:lang w:val="es-ES"/>
              </w:rPr>
              <w:t xml:space="preserve"> </w:t>
            </w:r>
            <w:r w:rsidR="00A50565">
              <w:rPr>
                <w:rFonts w:ascii="Verdana" w:eastAsia="Calibri" w:hAnsi="Verdana" w:cs="Arial"/>
                <w:lang w:val="es-ES"/>
              </w:rPr>
              <w:t xml:space="preserve"> su</w:t>
            </w:r>
            <w:r w:rsidR="00C607C1">
              <w:rPr>
                <w:rFonts w:ascii="Verdana" w:eastAsia="Calibri" w:hAnsi="Verdana" w:cs="Arial"/>
                <w:lang w:val="es-ES"/>
              </w:rPr>
              <w:t xml:space="preserve"> artículo 33 y </w:t>
            </w:r>
            <w:r w:rsidR="00A50565">
              <w:rPr>
                <w:rFonts w:ascii="Verdana" w:eastAsia="Calibri" w:hAnsi="Verdana" w:cs="Arial"/>
                <w:lang w:val="es-ES"/>
              </w:rPr>
              <w:t xml:space="preserve">en </w:t>
            </w:r>
            <w:r w:rsidR="00C607C1">
              <w:rPr>
                <w:rFonts w:ascii="Verdana" w:eastAsia="Calibri" w:hAnsi="Verdana" w:cs="Arial"/>
                <w:lang w:val="es-ES"/>
              </w:rPr>
              <w:t>el parágrafo del artículo 38</w:t>
            </w:r>
            <w:r w:rsidR="00A50565">
              <w:rPr>
                <w:rFonts w:ascii="Verdana" w:eastAsia="Calibri" w:hAnsi="Verdana" w:cs="Arial"/>
                <w:lang w:val="es-ES"/>
              </w:rPr>
              <w:t xml:space="preserve">, </w:t>
            </w:r>
            <w:r w:rsidR="00BD1F69">
              <w:rPr>
                <w:rFonts w:ascii="Verdana" w:eastAsia="Calibri" w:hAnsi="Verdana" w:cs="Arial"/>
                <w:lang w:val="es-ES"/>
              </w:rPr>
              <w:t>pu</w:t>
            </w:r>
            <w:r w:rsidR="00FB0D48">
              <w:rPr>
                <w:rFonts w:ascii="Verdana" w:eastAsia="Calibri" w:hAnsi="Verdana" w:cs="Arial"/>
                <w:lang w:val="es-ES"/>
              </w:rPr>
              <w:t xml:space="preserve">ede dar lugar </w:t>
            </w:r>
            <w:r w:rsidR="00FE5CA9">
              <w:rPr>
                <w:rFonts w:ascii="Verdana" w:eastAsia="Calibri" w:hAnsi="Verdana" w:cs="Arial"/>
                <w:lang w:val="es-ES"/>
              </w:rPr>
              <w:t>a l</w:t>
            </w:r>
            <w:r w:rsidR="00F30C2A">
              <w:rPr>
                <w:rFonts w:ascii="Verdana" w:eastAsia="Calibri" w:hAnsi="Verdana" w:cs="Arial"/>
                <w:lang w:val="es-ES"/>
              </w:rPr>
              <w:t xml:space="preserve">a nulidad absoluta del contrato. Esto comoquiera que, </w:t>
            </w:r>
            <w:r w:rsidR="009D75FC">
              <w:rPr>
                <w:rFonts w:ascii="Verdana" w:eastAsia="Calibri" w:hAnsi="Verdana" w:cs="Arial"/>
                <w:lang w:val="es-ES"/>
              </w:rPr>
              <w:t xml:space="preserve">se </w:t>
            </w:r>
            <w:r w:rsidR="00123E0B">
              <w:rPr>
                <w:rFonts w:ascii="Verdana" w:eastAsia="Calibri" w:hAnsi="Verdana" w:cs="Arial"/>
                <w:lang w:val="es-ES"/>
              </w:rPr>
              <w:t>según lo dispuesto en el artículo 44, numeral 2 de la Ley 80 de 1993, los contratos estatales son absolutamente nulos cuan</w:t>
            </w:r>
            <w:r w:rsidR="00402DD8">
              <w:rPr>
                <w:rFonts w:ascii="Verdana" w:eastAsia="Calibri" w:hAnsi="Verdana" w:cs="Arial"/>
                <w:lang w:val="es-ES"/>
              </w:rPr>
              <w:t xml:space="preserve">do </w:t>
            </w:r>
            <w:r w:rsidR="00402DD8" w:rsidRPr="00F5294E">
              <w:rPr>
                <w:rFonts w:ascii="Verdana" w:eastAsia="Calibri" w:hAnsi="Verdana" w:cs="Arial"/>
                <w:i/>
                <w:iCs/>
                <w:lang w:val="es-ES"/>
              </w:rPr>
              <w:t>“</w:t>
            </w:r>
            <w:r w:rsidR="00F5294E">
              <w:rPr>
                <w:rFonts w:ascii="Verdana" w:eastAsia="Calibri" w:hAnsi="Verdana" w:cs="Arial"/>
                <w:i/>
                <w:iCs/>
                <w:lang w:val="es-ES"/>
              </w:rPr>
              <w:t>S</w:t>
            </w:r>
            <w:r w:rsidR="00402DD8" w:rsidRPr="00F5294E">
              <w:rPr>
                <w:rFonts w:ascii="Verdana" w:eastAsia="Calibri" w:hAnsi="Verdana" w:cs="Arial"/>
                <w:i/>
                <w:iCs/>
                <w:lang w:val="es-ES"/>
              </w:rPr>
              <w:t xml:space="preserve">e celebren contra expresa </w:t>
            </w:r>
            <w:r w:rsidR="00C13B07" w:rsidRPr="00F5294E">
              <w:rPr>
                <w:rFonts w:ascii="Verdana" w:eastAsia="Calibri" w:hAnsi="Verdana" w:cs="Arial"/>
                <w:i/>
                <w:iCs/>
                <w:lang w:val="es-ES"/>
              </w:rPr>
              <w:t>prohibición constitucional</w:t>
            </w:r>
            <w:r w:rsidR="00F5294E" w:rsidRPr="00F5294E">
              <w:rPr>
                <w:rFonts w:ascii="Verdana" w:eastAsia="Calibri" w:hAnsi="Verdana" w:cs="Arial"/>
                <w:i/>
                <w:iCs/>
                <w:lang w:val="es-ES"/>
              </w:rPr>
              <w:t xml:space="preserve"> o legal”</w:t>
            </w:r>
            <w:r w:rsidR="00F5294E">
              <w:rPr>
                <w:rFonts w:ascii="Verdana" w:eastAsia="Calibri" w:hAnsi="Verdana" w:cs="Arial"/>
                <w:lang w:val="es-ES"/>
              </w:rPr>
              <w:t>.</w:t>
            </w:r>
            <w:r w:rsidR="00213E3C">
              <w:rPr>
                <w:rFonts w:ascii="Verdana" w:eastAsia="Calibri" w:hAnsi="Verdana" w:cs="Arial"/>
                <w:lang w:val="es-ES"/>
              </w:rPr>
              <w:t xml:space="preserve"> E</w:t>
            </w:r>
            <w:r w:rsidR="00472783">
              <w:rPr>
                <w:rFonts w:ascii="Verdana" w:eastAsia="Calibri" w:hAnsi="Verdana" w:cs="Arial"/>
                <w:lang w:val="es-ES"/>
              </w:rPr>
              <w:t xml:space="preserve">n esta hipótesis </w:t>
            </w:r>
            <w:r w:rsidR="00213E3C">
              <w:rPr>
                <w:rFonts w:ascii="Verdana" w:eastAsia="Calibri" w:hAnsi="Verdana" w:cs="Arial"/>
                <w:lang w:val="es-ES"/>
              </w:rPr>
              <w:t xml:space="preserve">además </w:t>
            </w:r>
            <w:r w:rsidR="00472783">
              <w:rPr>
                <w:rFonts w:ascii="Verdana" w:eastAsia="Calibri" w:hAnsi="Verdana" w:cs="Arial"/>
                <w:lang w:val="es-ES"/>
              </w:rPr>
              <w:t>podría considerarse afectado</w:t>
            </w:r>
            <w:r w:rsidR="00BB628E">
              <w:rPr>
                <w:rFonts w:ascii="Verdana" w:eastAsia="Calibri" w:hAnsi="Verdana" w:cs="Arial"/>
                <w:lang w:val="es-ES"/>
              </w:rPr>
              <w:t xml:space="preserve"> unos de los elementos</w:t>
            </w:r>
            <w:r w:rsidR="00A05607">
              <w:rPr>
                <w:rFonts w:ascii="Verdana" w:eastAsia="Calibri" w:hAnsi="Verdana" w:cs="Arial"/>
                <w:lang w:val="es-ES"/>
              </w:rPr>
              <w:t xml:space="preserve"> esenciales del negocio jurídico</w:t>
            </w:r>
            <w:r w:rsidR="00213E3C">
              <w:rPr>
                <w:rFonts w:ascii="Verdana" w:eastAsia="Calibri" w:hAnsi="Verdana" w:cs="Arial"/>
                <w:lang w:val="es-ES"/>
              </w:rPr>
              <w:t xml:space="preserve"> </w:t>
            </w:r>
            <w:r w:rsidR="00A05607">
              <w:rPr>
                <w:rFonts w:ascii="Verdana" w:eastAsia="Calibri" w:hAnsi="Verdana" w:cs="Arial"/>
                <w:lang w:val="es-ES"/>
              </w:rPr>
              <w:t xml:space="preserve">como </w:t>
            </w:r>
            <w:r w:rsidR="00EA4759">
              <w:rPr>
                <w:rFonts w:ascii="Verdana" w:eastAsia="Calibri" w:hAnsi="Verdana" w:cs="Arial"/>
                <w:lang w:val="es-ES"/>
              </w:rPr>
              <w:t>el objeto</w:t>
            </w:r>
            <w:r w:rsidR="00472783">
              <w:rPr>
                <w:rFonts w:ascii="Verdana" w:eastAsia="Calibri" w:hAnsi="Verdana" w:cs="Arial"/>
                <w:lang w:val="es-ES"/>
              </w:rPr>
              <w:t>, el cual,</w:t>
            </w:r>
            <w:r w:rsidR="00AD0714">
              <w:rPr>
                <w:rFonts w:ascii="Verdana" w:eastAsia="Calibri" w:hAnsi="Verdana" w:cs="Arial"/>
                <w:lang w:val="es-ES"/>
              </w:rPr>
              <w:t xml:space="preserve"> al haber celebrado en contra de la ley,</w:t>
            </w:r>
            <w:r w:rsidR="00036F88">
              <w:rPr>
                <w:rFonts w:ascii="Verdana" w:eastAsia="Calibri" w:hAnsi="Verdana" w:cs="Arial"/>
                <w:lang w:val="es-ES"/>
              </w:rPr>
              <w:t xml:space="preserve"> podría ser considerado ilícito. </w:t>
            </w:r>
          </w:p>
          <w:p w14:paraId="74F1093D" w14:textId="7CF67E2D" w:rsidR="003002A5" w:rsidRPr="001D6EB3" w:rsidRDefault="00F5294E" w:rsidP="00271C62">
            <w:pPr>
              <w:spacing w:line="276" w:lineRule="auto"/>
              <w:jc w:val="both"/>
              <w:rPr>
                <w:rFonts w:ascii="Verdana" w:eastAsia="Calibri" w:hAnsi="Verdana" w:cs="Arial"/>
                <w:lang w:val="es-ES"/>
              </w:rPr>
            </w:pPr>
            <w:r>
              <w:rPr>
                <w:rFonts w:ascii="Verdana" w:eastAsia="Calibri" w:hAnsi="Verdana" w:cs="Arial"/>
                <w:lang w:val="es-ES"/>
              </w:rPr>
              <w:t xml:space="preserve"> </w:t>
            </w:r>
          </w:p>
        </w:tc>
      </w:tr>
    </w:tbl>
    <w:p w14:paraId="368B5028" w14:textId="77777777" w:rsidR="003002A5" w:rsidRPr="001D6EB3" w:rsidRDefault="003002A5" w:rsidP="003002A5">
      <w:pPr>
        <w:tabs>
          <w:tab w:val="left" w:pos="142"/>
          <w:tab w:val="left" w:pos="284"/>
        </w:tabs>
        <w:spacing w:after="0" w:line="276" w:lineRule="auto"/>
        <w:jc w:val="both"/>
        <w:rPr>
          <w:rFonts w:ascii="Verdana" w:eastAsia="Century Gothic" w:hAnsi="Verdana" w:cs="Century Gothic"/>
          <w:b/>
          <w:bCs/>
          <w:lang w:val="es-ES"/>
        </w:rPr>
      </w:pPr>
    </w:p>
    <w:p w14:paraId="198EEA19" w14:textId="77777777" w:rsidR="003002A5" w:rsidRPr="001D6EB3" w:rsidRDefault="003002A5" w:rsidP="003002A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D6EB3">
        <w:rPr>
          <w:rFonts w:ascii="Verdana" w:eastAsia="Century Gothic" w:hAnsi="Verdana" w:cs="Century Gothic"/>
          <w:b/>
          <w:bCs/>
        </w:rPr>
        <w:t>Razones de la respuesta:</w:t>
      </w:r>
    </w:p>
    <w:p w14:paraId="1AB77336" w14:textId="77777777" w:rsidR="003002A5" w:rsidRPr="001D6EB3" w:rsidRDefault="003002A5" w:rsidP="003002A5">
      <w:pPr>
        <w:spacing w:after="0" w:line="276" w:lineRule="auto"/>
        <w:jc w:val="both"/>
        <w:rPr>
          <w:rFonts w:ascii="Verdana" w:eastAsia="Calibri" w:hAnsi="Verdana" w:cs="Arial"/>
          <w:lang w:val="es-ES"/>
        </w:rPr>
      </w:pPr>
    </w:p>
    <w:p w14:paraId="0ACBA5F4" w14:textId="77777777" w:rsidR="003002A5" w:rsidRPr="001D6EB3" w:rsidRDefault="003002A5" w:rsidP="003002A5">
      <w:pPr>
        <w:spacing w:after="0" w:line="276" w:lineRule="auto"/>
        <w:jc w:val="both"/>
        <w:rPr>
          <w:rFonts w:ascii="Verdana" w:eastAsia="Calibri" w:hAnsi="Verdana" w:cs="Arial"/>
          <w:lang w:val="es-ES"/>
        </w:rPr>
      </w:pPr>
      <w:r w:rsidRPr="001D6EB3">
        <w:rPr>
          <w:rFonts w:ascii="Verdana" w:eastAsia="Calibri" w:hAnsi="Verdana" w:cs="Arial"/>
          <w:lang w:val="es-ES"/>
        </w:rPr>
        <w:t xml:space="preserve">Lo anterior se sustenta en las siguientes consideraciones: </w:t>
      </w:r>
    </w:p>
    <w:p w14:paraId="41AA321F" w14:textId="77777777" w:rsidR="003002A5" w:rsidRPr="001D6EB3" w:rsidRDefault="003002A5" w:rsidP="003002A5">
      <w:pPr>
        <w:spacing w:after="0" w:line="276" w:lineRule="auto"/>
        <w:jc w:val="both"/>
        <w:rPr>
          <w:rFonts w:ascii="Verdana" w:eastAsia="Calibri" w:hAnsi="Verdana" w:cs="Arial"/>
          <w:lang w:val="es-ES"/>
        </w:rPr>
      </w:pPr>
    </w:p>
    <w:p w14:paraId="43CD2D13" w14:textId="77777777" w:rsidR="003002A5" w:rsidRPr="00534DBD" w:rsidRDefault="003002A5" w:rsidP="003002A5">
      <w:pPr>
        <w:pStyle w:val="Prrafodelista"/>
        <w:numPr>
          <w:ilvl w:val="0"/>
          <w:numId w:val="17"/>
        </w:numPr>
        <w:tabs>
          <w:tab w:val="left" w:pos="426"/>
        </w:tabs>
        <w:spacing w:after="120" w:line="276" w:lineRule="auto"/>
        <w:jc w:val="both"/>
        <w:rPr>
          <w:rFonts w:ascii="Verdana" w:eastAsia="Calibri" w:hAnsi="Verdana" w:cs="Arial"/>
          <w:bCs/>
          <w:lang w:val="es-CO"/>
        </w:rPr>
      </w:pPr>
      <w:bookmarkStart w:id="2" w:name="_Hlk88117457"/>
      <w:r w:rsidRPr="001D6EB3">
        <w:rPr>
          <w:rFonts w:ascii="Verdana" w:hAnsi="Verdana" w:cs="Arial"/>
          <w:bCs/>
          <w:lang w:eastAsia="es-CO"/>
        </w:rPr>
        <w:t>La Ley 996 de 2005</w:t>
      </w:r>
      <w:r w:rsidRPr="001D6EB3">
        <w:rPr>
          <w:rFonts w:ascii="Verdana" w:hAnsi="Verdana" w:cs="Arial"/>
          <w:b/>
          <w:lang w:eastAsia="es-CO"/>
        </w:rPr>
        <w:t xml:space="preserve"> </w:t>
      </w:r>
      <w:r w:rsidRPr="001D6EB3">
        <w:rPr>
          <w:rFonts w:ascii="Verdana" w:eastAsia="Calibri" w:hAnsi="Verdana" w:cs="Arial"/>
          <w:bCs/>
        </w:rPr>
        <w:t>“</w:t>
      </w:r>
      <w:r w:rsidRPr="001D6EB3">
        <w:rPr>
          <w:rStyle w:val="Textoennegrita"/>
          <w:rFonts w:ascii="Verdana" w:hAnsi="Verdana" w:cs="Arial"/>
          <w:b w:val="0"/>
          <w:shd w:val="clear" w:color="auto" w:fill="FFFFFF"/>
        </w:rPr>
        <w:t>Por medio de la cual se reglamenta la elección de Presidente de la República, de conformidad con el artículo 152 literal f) de la Constitución Política de Colombia, y de acuerdo con lo establecido en el Acto Legislativo 02 de 2004, y se dictan otras disposiciones</w:t>
      </w:r>
      <w:r w:rsidRPr="001D6EB3">
        <w:rPr>
          <w:rFonts w:ascii="Verdana" w:eastAsia="Calibri" w:hAnsi="Verdana" w:cs="Arial"/>
          <w:bCs/>
        </w:rPr>
        <w:t>”,</w:t>
      </w:r>
      <w:r w:rsidRPr="001D6EB3">
        <w:rPr>
          <w:rStyle w:val="Textoennegrita"/>
          <w:rFonts w:ascii="Verdana" w:hAnsi="Verdana" w:cs="Arial"/>
          <w:shd w:val="clear" w:color="auto" w:fill="FFFFFF"/>
        </w:rPr>
        <w:t xml:space="preserve"> </w:t>
      </w:r>
      <w:r w:rsidRPr="001D6EB3">
        <w:rPr>
          <w:rFonts w:ascii="Verdana" w:hAnsi="Verdana" w:cs="Arial"/>
          <w:bCs/>
          <w:lang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w:t>
      </w:r>
      <w:r w:rsidRPr="001D6EB3">
        <w:rPr>
          <w:rFonts w:ascii="Verdana" w:eastAsia="Calibri" w:hAnsi="Verdana" w:cs="Arial"/>
          <w:noProof/>
          <w:lang w:val="es-ES_tradnl"/>
        </w:rPr>
        <w:t xml:space="preserve"> </w:t>
      </w:r>
      <w:bookmarkEnd w:id="2"/>
    </w:p>
    <w:p w14:paraId="15A43B3D" w14:textId="77777777" w:rsidR="00271C62" w:rsidRPr="001D6EB3" w:rsidRDefault="00271C62" w:rsidP="00534DBD">
      <w:pPr>
        <w:pStyle w:val="Prrafodelista"/>
        <w:tabs>
          <w:tab w:val="left" w:pos="426"/>
        </w:tabs>
        <w:spacing w:after="120" w:line="276" w:lineRule="auto"/>
        <w:jc w:val="both"/>
        <w:rPr>
          <w:rFonts w:ascii="Verdana" w:eastAsia="Calibri" w:hAnsi="Verdana" w:cs="Arial"/>
          <w:bCs/>
          <w:lang w:val="es-CO"/>
        </w:rPr>
      </w:pPr>
    </w:p>
    <w:p w14:paraId="3147176E" w14:textId="2E080F60" w:rsidR="003002A5" w:rsidRPr="00271C62" w:rsidRDefault="003002A5" w:rsidP="003002A5">
      <w:pPr>
        <w:pStyle w:val="Prrafodelista"/>
        <w:numPr>
          <w:ilvl w:val="0"/>
          <w:numId w:val="17"/>
        </w:numPr>
        <w:tabs>
          <w:tab w:val="left" w:pos="426"/>
        </w:tabs>
        <w:spacing w:after="120" w:line="276" w:lineRule="auto"/>
        <w:jc w:val="both"/>
        <w:rPr>
          <w:rFonts w:ascii="Verdana" w:hAnsi="Verdana" w:cs="Arial"/>
          <w:lang w:eastAsia="es-CO"/>
        </w:rPr>
      </w:pPr>
      <w:r w:rsidRPr="001D6EB3">
        <w:rPr>
          <w:rFonts w:ascii="Verdana" w:hAnsi="Verdana" w:cs="Arial"/>
          <w:bCs/>
          <w:lang w:eastAsia="es-CO"/>
        </w:rPr>
        <w:t xml:space="preserve">La Corte Constitucional –en la Sentencia C-1153 de 2005– estableció, en relación con </w:t>
      </w:r>
      <w:r w:rsidR="00597431" w:rsidRPr="001D6EB3">
        <w:rPr>
          <w:rFonts w:ascii="Verdana" w:hAnsi="Verdana" w:cs="Arial"/>
          <w:bCs/>
          <w:lang w:eastAsia="es-CO"/>
        </w:rPr>
        <w:t>la</w:t>
      </w:r>
      <w:r w:rsidRPr="001D6EB3">
        <w:rPr>
          <w:rFonts w:ascii="Verdana" w:hAnsi="Verdana" w:cs="Arial"/>
          <w:bCs/>
          <w:lang w:eastAsia="es-CO"/>
        </w:rPr>
        <w:t xml:space="preserve"> Ley de Garantías Electorales, la definición de esta como una guía para el ejercicio equitativo y transparente de la democracia representativa, es decir, ha de contemplarse como un estatuto que lleva consigo el fin de asegurar que la contienda democrática se cumpla en condiciones igualitarias y transparentes para todos los electores, otorgando una relevancia garantista a la neutralidad de los servidores públicos que encargados de organizar y supervisar la contienda, y al </w:t>
      </w:r>
      <w:r w:rsidRPr="001D6EB3">
        <w:rPr>
          <w:rFonts w:ascii="Verdana" w:hAnsi="Verdana" w:cs="Arial"/>
          <w:bCs/>
          <w:lang w:eastAsia="es-CO"/>
        </w:rPr>
        <w:lastRenderedPageBreak/>
        <w:t>acceso igualitario a los canales de comunicación. Todo esto en pro de estimular que sean las propuestas e ideas las que conduzcan al poder, en vez del musculo económico de quienes se disputan las elecciones.</w:t>
      </w:r>
    </w:p>
    <w:p w14:paraId="67C0CD71" w14:textId="77777777" w:rsidR="00271C62" w:rsidRPr="001D6EB3" w:rsidRDefault="00271C62" w:rsidP="00534DBD">
      <w:pPr>
        <w:pStyle w:val="Prrafodelista"/>
        <w:tabs>
          <w:tab w:val="left" w:pos="426"/>
        </w:tabs>
        <w:spacing w:after="120" w:line="276" w:lineRule="auto"/>
        <w:jc w:val="both"/>
        <w:rPr>
          <w:rFonts w:ascii="Verdana" w:hAnsi="Verdana" w:cs="Arial"/>
          <w:lang w:eastAsia="es-CO"/>
        </w:rPr>
      </w:pPr>
    </w:p>
    <w:p w14:paraId="0F5AB586" w14:textId="23CE2D69" w:rsidR="003002A5" w:rsidRPr="00534DBD" w:rsidRDefault="003002A5" w:rsidP="003002A5">
      <w:pPr>
        <w:pStyle w:val="Prrafodelista"/>
        <w:numPr>
          <w:ilvl w:val="0"/>
          <w:numId w:val="17"/>
        </w:numPr>
        <w:spacing w:line="276" w:lineRule="auto"/>
        <w:jc w:val="both"/>
        <w:rPr>
          <w:rFonts w:ascii="Verdana" w:hAnsi="Verdana" w:cs="Arial"/>
          <w:bCs/>
          <w:lang w:eastAsia="es-CO"/>
        </w:rPr>
      </w:pPr>
      <w:bookmarkStart w:id="3" w:name="_Hlk80948265"/>
      <w:r w:rsidRPr="001D6EB3">
        <w:rPr>
          <w:rFonts w:ascii="Verdana" w:hAnsi="Verdana" w:cs="Arial"/>
          <w:bCs/>
          <w:lang w:eastAsia="es-CO"/>
        </w:rPr>
        <w:t>Varias de las disposiciones de la Ley 996 de 2005, al contener normas prohibitivas, no admiten una interpretación amplia, sino que deben interpretarse restrictivamente.</w:t>
      </w:r>
      <w:bookmarkEnd w:id="3"/>
      <w:r w:rsidRPr="001D6EB3">
        <w:rPr>
          <w:rFonts w:ascii="Verdana" w:hAnsi="Verdana" w:cs="Arial"/>
          <w:bCs/>
          <w:lang w:eastAsia="es-CO"/>
        </w:rPr>
        <w:t xml:space="preserve"> En efecto, lo anterior fue indicado por la Sala de Consulta y Servicio Civil del Consejo de Estado, al precisar que, en tanto estas prohibiciones que limitan la libertad y los derechos de las personas, </w:t>
      </w:r>
      <w:r w:rsidRPr="001D6EB3">
        <w:rPr>
          <w:rFonts w:ascii="Verdana" w:hAnsi="Verdana" w:cs="Arial"/>
          <w:bCs/>
          <w:i/>
          <w:iCs/>
          <w:lang w:eastAsia="es-CO"/>
        </w:rPr>
        <w:t xml:space="preserve">“[…] son de origen constitucional y legal; la tipificación de sus causas, vigencia, naturaleza y efectos es rígida y taxativa; y su aplicación es restrictiva, de manera que excluye la analogía </w:t>
      </w:r>
      <w:proofErr w:type="spellStart"/>
      <w:r w:rsidRPr="001D6EB3">
        <w:rPr>
          <w:rFonts w:ascii="Verdana" w:hAnsi="Verdana" w:cs="Arial"/>
          <w:bCs/>
          <w:i/>
          <w:iCs/>
          <w:lang w:eastAsia="es-CO"/>
        </w:rPr>
        <w:t>legis</w:t>
      </w:r>
      <w:proofErr w:type="spellEnd"/>
      <w:r w:rsidRPr="001D6EB3">
        <w:rPr>
          <w:rFonts w:ascii="Verdana" w:hAnsi="Verdana" w:cs="Arial"/>
          <w:bCs/>
          <w:i/>
          <w:iCs/>
          <w:lang w:eastAsia="es-CO"/>
        </w:rPr>
        <w:t xml:space="preserve"> o iuris y la interpretación extensiva. […] La jurisprudencia de la Corte Constitucional</w:t>
      </w:r>
      <w:r w:rsidRPr="001D6EB3">
        <w:rPr>
          <w:rStyle w:val="Refdenotaalpie"/>
          <w:rFonts w:ascii="Verdana" w:hAnsi="Verdana" w:cs="Arial"/>
          <w:bCs/>
          <w:i/>
          <w:iCs/>
          <w:lang w:eastAsia="es-CO"/>
        </w:rPr>
        <w:footnoteReference w:id="2"/>
      </w:r>
      <w:r w:rsidRPr="001D6EB3">
        <w:rPr>
          <w:rFonts w:ascii="Verdana" w:hAnsi="Verdana" w:cs="Arial"/>
          <w:bCs/>
          <w:i/>
          <w:iCs/>
          <w:lang w:eastAsia="es-CO"/>
        </w:rPr>
        <w:t> y del Consejo de Estado</w:t>
      </w:r>
      <w:r w:rsidRPr="001D6EB3">
        <w:rPr>
          <w:rStyle w:val="Refdenotaalpie"/>
          <w:rFonts w:ascii="Verdana" w:hAnsi="Verdana" w:cs="Arial"/>
          <w:bCs/>
          <w:i/>
          <w:iCs/>
          <w:lang w:eastAsia="es-CO"/>
        </w:rPr>
        <w:footnoteReference w:id="3"/>
      </w:r>
      <w:r w:rsidRPr="001D6EB3">
        <w:rPr>
          <w:rFonts w:ascii="Verdana" w:hAnsi="Verdana" w:cs="Arial"/>
          <w:bCs/>
          <w:i/>
          <w:iCs/>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3A2120">
        <w:rPr>
          <w:rFonts w:ascii="Verdana" w:hAnsi="Verdana" w:cs="Arial"/>
          <w:bCs/>
          <w:i/>
          <w:iCs/>
          <w:lang w:eastAsia="es-CO"/>
        </w:rPr>
        <w:t>”</w:t>
      </w:r>
      <w:r w:rsidRPr="001D6EB3">
        <w:rPr>
          <w:rStyle w:val="Refdenotaalpie"/>
          <w:rFonts w:ascii="Verdana" w:hAnsi="Verdana" w:cs="Arial"/>
          <w:bCs/>
          <w:i/>
          <w:iCs/>
          <w:lang w:eastAsia="es-CO"/>
        </w:rPr>
        <w:footnoteReference w:id="4"/>
      </w:r>
      <w:r w:rsidRPr="001D6EB3">
        <w:rPr>
          <w:rFonts w:ascii="Verdana" w:hAnsi="Verdana" w:cs="Arial"/>
          <w:bCs/>
          <w:i/>
          <w:iCs/>
          <w:lang w:eastAsia="es-CO"/>
        </w:rPr>
        <w:t>.</w:t>
      </w:r>
    </w:p>
    <w:p w14:paraId="1D331E06" w14:textId="77777777" w:rsidR="00271C62" w:rsidRPr="001D6EB3" w:rsidRDefault="00271C62" w:rsidP="00534DBD">
      <w:pPr>
        <w:pStyle w:val="Prrafodelista"/>
        <w:spacing w:line="276" w:lineRule="auto"/>
        <w:jc w:val="both"/>
        <w:rPr>
          <w:rFonts w:ascii="Verdana" w:hAnsi="Verdana" w:cs="Arial"/>
          <w:bCs/>
          <w:lang w:eastAsia="es-CO"/>
        </w:rPr>
      </w:pPr>
    </w:p>
    <w:p w14:paraId="25F29200" w14:textId="77777777" w:rsidR="003002A5" w:rsidRDefault="003002A5" w:rsidP="003002A5">
      <w:pPr>
        <w:pStyle w:val="Prrafodelista"/>
        <w:widowControl w:val="0"/>
        <w:numPr>
          <w:ilvl w:val="0"/>
          <w:numId w:val="17"/>
        </w:numPr>
        <w:autoSpaceDE w:val="0"/>
        <w:autoSpaceDN w:val="0"/>
        <w:spacing w:line="276" w:lineRule="auto"/>
        <w:ind w:right="113"/>
        <w:jc w:val="both"/>
        <w:rPr>
          <w:rFonts w:ascii="Verdana" w:eastAsia="Arial" w:hAnsi="Verdana" w:cs="Arial"/>
          <w:lang w:eastAsia="es-ES" w:bidi="es-ES"/>
        </w:rPr>
      </w:pPr>
      <w:r w:rsidRPr="001D6EB3">
        <w:rPr>
          <w:rFonts w:ascii="Verdana" w:eastAsia="Arial" w:hAnsi="Verdana" w:cs="Arial"/>
          <w:lang w:eastAsia="es-ES" w:bidi="es-ES"/>
        </w:rPr>
        <w:t xml:space="preserve">De conformidad con lo anterior, es claro que la Ley de Garantías Electorales, para el cumplimiento de los objetivos que dieron lugar a su expedición, consagró prohibiciones dirigidas a los servidores públicos. No obstante, debe aclararse que estas disposiciones se dirigen a dos tipos de campañas electorales claramente diferenciadas: las presidenciales y </w:t>
      </w:r>
      <w:r w:rsidRPr="001D6EB3">
        <w:rPr>
          <w:rFonts w:ascii="Verdana" w:eastAsia="Arial" w:hAnsi="Verdana" w:cs="Arial"/>
          <w:lang w:eastAsia="es-ES" w:bidi="es-ES"/>
        </w:rPr>
        <w:lastRenderedPageBreak/>
        <w:t>las demás que se adelanten para la elección de los demás cargos de elección popular, tanto a nivel nacional como territorial.</w:t>
      </w:r>
    </w:p>
    <w:p w14:paraId="596C293A" w14:textId="77777777" w:rsidR="00271C62" w:rsidRPr="001D6EB3" w:rsidRDefault="00271C62" w:rsidP="00534DBD">
      <w:pPr>
        <w:pStyle w:val="Prrafodelista"/>
        <w:widowControl w:val="0"/>
        <w:autoSpaceDE w:val="0"/>
        <w:autoSpaceDN w:val="0"/>
        <w:spacing w:line="276" w:lineRule="auto"/>
        <w:ind w:right="113"/>
        <w:jc w:val="both"/>
        <w:rPr>
          <w:rFonts w:ascii="Verdana" w:eastAsia="Arial" w:hAnsi="Verdana" w:cs="Arial"/>
          <w:lang w:eastAsia="es-ES" w:bidi="es-ES"/>
        </w:rPr>
      </w:pPr>
    </w:p>
    <w:p w14:paraId="65D7C5F1" w14:textId="18E9F570" w:rsidR="003002A5" w:rsidRPr="00534DBD" w:rsidRDefault="003002A5" w:rsidP="003509C8">
      <w:pPr>
        <w:pStyle w:val="Prrafodelista"/>
        <w:widowControl w:val="0"/>
        <w:numPr>
          <w:ilvl w:val="0"/>
          <w:numId w:val="17"/>
        </w:numPr>
        <w:autoSpaceDE w:val="0"/>
        <w:autoSpaceDN w:val="0"/>
        <w:spacing w:line="276" w:lineRule="auto"/>
        <w:ind w:right="113"/>
        <w:jc w:val="both"/>
        <w:rPr>
          <w:rFonts w:ascii="Verdana" w:eastAsia="Arial" w:hAnsi="Verdana" w:cs="Arial"/>
          <w:lang w:eastAsia="es-ES" w:bidi="es-ES"/>
        </w:rPr>
      </w:pPr>
      <w:r w:rsidRPr="001D6EB3">
        <w:rPr>
          <w:rFonts w:ascii="Verdana" w:eastAsia="Calibri" w:hAnsi="Verdana" w:cs="Arial"/>
        </w:rPr>
        <w:t xml:space="preserve">El artículo 33 de la Ley 996 de 2005 –restricciones a la contratación pública– establece una prohibición que impide </w:t>
      </w:r>
      <w:r w:rsidRPr="001D6EB3">
        <w:rPr>
          <w:rFonts w:ascii="Verdana" w:eastAsia="Calibri" w:hAnsi="Verdana" w:cs="Arial"/>
          <w:bCs/>
        </w:rPr>
        <w:t xml:space="preserve">“[…] </w:t>
      </w:r>
      <w:r w:rsidRPr="001D6EB3">
        <w:rPr>
          <w:rFonts w:ascii="Verdana" w:eastAsia="Calibri" w:hAnsi="Verdana" w:cs="Arial"/>
        </w:rPr>
        <w:t>la contratación directa por parte de todos los entes del Estado</w:t>
      </w:r>
      <w:r w:rsidRPr="001D6EB3">
        <w:rPr>
          <w:rFonts w:ascii="Verdana" w:eastAsia="Calibri" w:hAnsi="Verdana" w:cs="Arial"/>
          <w:bCs/>
        </w:rPr>
        <w:t>”</w:t>
      </w:r>
      <w:r w:rsidRPr="001D6EB3">
        <w:rPr>
          <w:rFonts w:ascii="Verdana" w:eastAsia="Calibri" w:hAnsi="Verdana" w:cs="Arial"/>
        </w:rPr>
        <w:t xml:space="preserve"> durante los cuatro (4) meses anteriores a las elecciones presidenciales, salvo </w:t>
      </w:r>
      <w:r w:rsidR="003509C8">
        <w:rPr>
          <w:rFonts w:ascii="Verdana" w:eastAsia="Calibri" w:hAnsi="Verdana" w:cs="Arial"/>
        </w:rPr>
        <w:t>“</w:t>
      </w:r>
      <w:r w:rsidRPr="00534DBD">
        <w:rPr>
          <w:rFonts w:ascii="Verdana" w:eastAsia="Calibri" w:hAnsi="Verdana" w:cs="Arial"/>
          <w:bCs/>
        </w:rPr>
        <w:t xml:space="preserve">[…] </w:t>
      </w:r>
      <w:r w:rsidRPr="00534DBD">
        <w:rPr>
          <w:rFonts w:ascii="Verdana" w:eastAsia="Calibri" w:hAnsi="Verdana"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774985" w:rsidRPr="00534DBD">
        <w:rPr>
          <w:rFonts w:ascii="Verdana" w:eastAsia="Calibri" w:hAnsi="Verdana" w:cs="Arial"/>
          <w:bCs/>
        </w:rPr>
        <w:t>”</w:t>
      </w:r>
      <w:r w:rsidRPr="001D6EB3">
        <w:rPr>
          <w:bCs/>
          <w:vertAlign w:val="superscript"/>
        </w:rPr>
        <w:footnoteReference w:id="5"/>
      </w:r>
      <w:r w:rsidRPr="00534DBD">
        <w:rPr>
          <w:rFonts w:ascii="Verdana" w:eastAsia="Calibri" w:hAnsi="Verdana" w:cs="Arial"/>
        </w:rPr>
        <w:t xml:space="preserve">.Por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003509C8">
        <w:rPr>
          <w:rFonts w:ascii="Verdana" w:eastAsia="Calibri" w:hAnsi="Verdana" w:cs="Arial"/>
          <w:bCs/>
        </w:rPr>
        <w:t>“</w:t>
      </w:r>
      <w:r w:rsidRPr="00534DBD">
        <w:rPr>
          <w:rFonts w:ascii="Verdana" w:eastAsia="Calibri" w:hAnsi="Verdana" w:cs="Arial"/>
          <w:bCs/>
        </w:rPr>
        <w:t xml:space="preserve">[…] </w:t>
      </w:r>
      <w:r w:rsidRPr="00534DBD">
        <w:rPr>
          <w:rFonts w:ascii="Verdana" w:eastAsia="Calibri" w:hAnsi="Verdana"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774985" w:rsidRPr="00534DBD">
        <w:rPr>
          <w:rFonts w:ascii="Verdana" w:eastAsia="Calibri" w:hAnsi="Verdana" w:cs="Arial"/>
          <w:bCs/>
        </w:rPr>
        <w:t>”</w:t>
      </w:r>
      <w:r w:rsidRPr="001D6EB3">
        <w:rPr>
          <w:bCs/>
          <w:vertAlign w:val="superscript"/>
        </w:rPr>
        <w:footnoteReference w:id="6"/>
      </w:r>
      <w:r w:rsidRPr="00534DBD">
        <w:rPr>
          <w:rFonts w:ascii="Verdana" w:eastAsia="Calibri" w:hAnsi="Verdana" w:cs="Arial"/>
          <w:lang w:val="es-MX"/>
        </w:rPr>
        <w:t>.</w:t>
      </w:r>
    </w:p>
    <w:p w14:paraId="697B041D" w14:textId="77777777" w:rsidR="003509C8" w:rsidRPr="00534DBD" w:rsidRDefault="003509C8" w:rsidP="00534DBD">
      <w:pPr>
        <w:pStyle w:val="Prrafodelista"/>
        <w:widowControl w:val="0"/>
        <w:autoSpaceDE w:val="0"/>
        <w:autoSpaceDN w:val="0"/>
        <w:spacing w:line="276" w:lineRule="auto"/>
        <w:ind w:right="113"/>
        <w:jc w:val="both"/>
        <w:rPr>
          <w:rFonts w:ascii="Verdana" w:eastAsia="Arial" w:hAnsi="Verdana" w:cs="Arial"/>
          <w:lang w:eastAsia="es-ES" w:bidi="es-ES"/>
        </w:rPr>
      </w:pPr>
    </w:p>
    <w:p w14:paraId="2D11591F" w14:textId="1572D754" w:rsidR="009E793B" w:rsidRDefault="006F2449" w:rsidP="005B6BEE">
      <w:pPr>
        <w:pStyle w:val="Prrafodelista"/>
        <w:spacing w:after="0" w:line="276" w:lineRule="auto"/>
        <w:jc w:val="both"/>
        <w:rPr>
          <w:rFonts w:ascii="Verdana" w:eastAsia="Calibri" w:hAnsi="Verdana" w:cs="Arial"/>
        </w:rPr>
      </w:pPr>
      <w:r w:rsidRPr="009E793B">
        <w:rPr>
          <w:rFonts w:ascii="Verdana" w:hAnsi="Verdana" w:cs="Arial"/>
        </w:rPr>
        <w:t xml:space="preserve">Precisado el alcance de las mencionadas restricciones, para responder su consulta es necesario advertir que, el </w:t>
      </w:r>
      <w:r w:rsidR="00597431" w:rsidRPr="009E793B">
        <w:rPr>
          <w:rFonts w:ascii="Verdana" w:hAnsi="Verdana" w:cs="Arial"/>
        </w:rPr>
        <w:t>artículo</w:t>
      </w:r>
      <w:r w:rsidR="003002A5" w:rsidRPr="009E793B">
        <w:rPr>
          <w:rFonts w:ascii="Verdana" w:hAnsi="Verdana" w:cs="Arial"/>
        </w:rPr>
        <w:t xml:space="preserve"> 44 de la Ley 80 de 1993 </w:t>
      </w:r>
      <w:r w:rsidR="0009701C" w:rsidRPr="009E793B">
        <w:rPr>
          <w:rFonts w:ascii="Verdana" w:hAnsi="Verdana" w:cs="Arial"/>
        </w:rPr>
        <w:t>establece</w:t>
      </w:r>
      <w:r w:rsidR="000437E2" w:rsidRPr="009E793B">
        <w:rPr>
          <w:rFonts w:ascii="Verdana" w:hAnsi="Verdana" w:cs="Arial"/>
        </w:rPr>
        <w:t xml:space="preserve"> que </w:t>
      </w:r>
      <w:r w:rsidR="003002A5" w:rsidRPr="009E793B">
        <w:rPr>
          <w:rFonts w:ascii="Verdana" w:hAnsi="Verdana" w:cs="Arial"/>
        </w:rPr>
        <w:t>los contratos estatales</w:t>
      </w:r>
      <w:r w:rsidR="000437E2" w:rsidRPr="009E793B">
        <w:rPr>
          <w:rFonts w:ascii="Verdana" w:hAnsi="Verdana" w:cs="Arial"/>
        </w:rPr>
        <w:t xml:space="preserve"> son considerados absol</w:t>
      </w:r>
      <w:r w:rsidR="00922123" w:rsidRPr="009E793B">
        <w:rPr>
          <w:rFonts w:ascii="Verdana" w:hAnsi="Verdana" w:cs="Arial"/>
        </w:rPr>
        <w:t xml:space="preserve">utamente </w:t>
      </w:r>
      <w:r w:rsidR="00922123" w:rsidRPr="009E793B">
        <w:rPr>
          <w:rFonts w:ascii="Verdana" w:hAnsi="Verdana" w:cs="Arial"/>
        </w:rPr>
        <w:lastRenderedPageBreak/>
        <w:t>nulos</w:t>
      </w:r>
      <w:r w:rsidR="003002A5" w:rsidRPr="009E793B">
        <w:rPr>
          <w:rFonts w:ascii="Verdana" w:hAnsi="Verdana" w:cs="Arial"/>
        </w:rPr>
        <w:t xml:space="preserve"> </w:t>
      </w:r>
      <w:r w:rsidR="003002A5" w:rsidRPr="009E793B">
        <w:rPr>
          <w:rFonts w:ascii="Verdana" w:hAnsi="Verdana" w:cs="Arial"/>
          <w:i/>
          <w:iCs/>
        </w:rPr>
        <w:t>“en los casos previstos en el derecho común y además”</w:t>
      </w:r>
      <w:r w:rsidR="003002A5" w:rsidRPr="009E793B">
        <w:rPr>
          <w:rFonts w:ascii="Verdana" w:hAnsi="Verdana" w:cs="Arial"/>
        </w:rPr>
        <w:t xml:space="preserve">, </w:t>
      </w:r>
      <w:r w:rsidR="00964C6D" w:rsidRPr="009E793B">
        <w:rPr>
          <w:rFonts w:ascii="Verdana" w:hAnsi="Verdana" w:cs="Arial"/>
        </w:rPr>
        <w:t>y l</w:t>
      </w:r>
      <w:r w:rsidRPr="009E793B">
        <w:rPr>
          <w:rFonts w:ascii="Verdana" w:hAnsi="Verdana" w:cs="Arial"/>
        </w:rPr>
        <w:t>as causales consagradas en dicho artículo. El</w:t>
      </w:r>
      <w:r w:rsidR="003002A5" w:rsidRPr="009E793B">
        <w:rPr>
          <w:rFonts w:ascii="Verdana" w:hAnsi="Verdana" w:cs="Arial"/>
        </w:rPr>
        <w:t xml:space="preserve"> numeral 2</w:t>
      </w:r>
      <w:r w:rsidRPr="009E793B">
        <w:rPr>
          <w:rFonts w:ascii="Verdana" w:hAnsi="Verdana" w:cs="Arial"/>
        </w:rPr>
        <w:t xml:space="preserve"> de esta disposición</w:t>
      </w:r>
      <w:r w:rsidR="003002A5" w:rsidRPr="009E793B">
        <w:rPr>
          <w:rFonts w:ascii="Verdana" w:hAnsi="Verdana" w:cs="Arial"/>
        </w:rPr>
        <w:t xml:space="preserve"> establece que será nulo </w:t>
      </w:r>
      <w:r w:rsidR="008574C9" w:rsidRPr="009E793B">
        <w:rPr>
          <w:rFonts w:ascii="Verdana" w:hAnsi="Verdana" w:cs="Arial"/>
        </w:rPr>
        <w:t xml:space="preserve">los </w:t>
      </w:r>
      <w:r w:rsidR="003002A5" w:rsidRPr="009E793B">
        <w:rPr>
          <w:rFonts w:ascii="Verdana" w:hAnsi="Verdana" w:cs="Arial"/>
        </w:rPr>
        <w:t>contrato</w:t>
      </w:r>
      <w:r w:rsidR="008574C9" w:rsidRPr="009E793B">
        <w:rPr>
          <w:rFonts w:ascii="Verdana" w:hAnsi="Verdana" w:cs="Arial"/>
        </w:rPr>
        <w:t>s</w:t>
      </w:r>
      <w:r w:rsidR="003002A5" w:rsidRPr="009E793B">
        <w:rPr>
          <w:rFonts w:ascii="Verdana" w:hAnsi="Verdana" w:cs="Arial"/>
        </w:rPr>
        <w:t xml:space="preserve"> estatal</w:t>
      </w:r>
      <w:r w:rsidR="008574C9" w:rsidRPr="009E793B">
        <w:rPr>
          <w:rFonts w:ascii="Verdana" w:hAnsi="Verdana" w:cs="Arial"/>
        </w:rPr>
        <w:t>es</w:t>
      </w:r>
      <w:r w:rsidR="003002A5" w:rsidRPr="009E793B">
        <w:rPr>
          <w:rFonts w:ascii="Verdana" w:hAnsi="Verdana" w:cs="Arial"/>
        </w:rPr>
        <w:t xml:space="preserve"> cuando</w:t>
      </w:r>
      <w:r w:rsidR="003002A5" w:rsidRPr="009E793B">
        <w:rPr>
          <w:rFonts w:ascii="Verdana" w:hAnsi="Verdana" w:cs="Arial"/>
          <w:i/>
          <w:iCs/>
        </w:rPr>
        <w:t xml:space="preserve"> “Se celebren contra expresa prohibición constitucional o legal”</w:t>
      </w:r>
      <w:r w:rsidR="000A6827" w:rsidRPr="009E793B">
        <w:rPr>
          <w:rFonts w:ascii="Verdana" w:hAnsi="Verdana" w:cs="Arial"/>
        </w:rPr>
        <w:t>. En estos caso, de conformidad con</w:t>
      </w:r>
      <w:r w:rsidR="003002A5" w:rsidRPr="009E793B">
        <w:rPr>
          <w:rFonts w:ascii="Verdana" w:hAnsi="Verdana" w:cs="Arial"/>
        </w:rPr>
        <w:t xml:space="preserve"> el artículo 45 </w:t>
      </w:r>
      <w:r w:rsidR="003002A5" w:rsidRPr="009E793B">
        <w:rPr>
          <w:rFonts w:ascii="Verdana" w:hAnsi="Verdana" w:cs="Arial"/>
          <w:i/>
          <w:iCs/>
        </w:rPr>
        <w:t>ibídem</w:t>
      </w:r>
      <w:r w:rsidR="003002A5" w:rsidRPr="009E793B">
        <w:rPr>
          <w:rFonts w:ascii="Verdana" w:hAnsi="Verdana" w:cs="Arial"/>
        </w:rPr>
        <w:t>,</w:t>
      </w:r>
      <w:r w:rsidR="000A6827" w:rsidRPr="009E793B">
        <w:rPr>
          <w:rFonts w:ascii="Verdana" w:hAnsi="Verdana" w:cs="Arial"/>
        </w:rPr>
        <w:t xml:space="preserve"> la configuración de la causal de numeral</w:t>
      </w:r>
      <w:r w:rsidR="003002A5" w:rsidRPr="009E793B">
        <w:rPr>
          <w:rFonts w:ascii="Verdana" w:hAnsi="Verdana" w:cs="Arial"/>
        </w:rPr>
        <w:t xml:space="preserve"> 2 </w:t>
      </w:r>
      <w:r w:rsidR="000A6827" w:rsidRPr="009E793B">
        <w:rPr>
          <w:rFonts w:ascii="Verdana" w:hAnsi="Verdana" w:cs="Arial"/>
        </w:rPr>
        <w:t xml:space="preserve"> </w:t>
      </w:r>
      <w:r w:rsidR="0013451C" w:rsidRPr="009E793B">
        <w:rPr>
          <w:rFonts w:ascii="Verdana" w:hAnsi="Verdana" w:cs="Arial"/>
        </w:rPr>
        <w:t>supone que</w:t>
      </w:r>
      <w:r w:rsidR="003002A5" w:rsidRPr="009E793B">
        <w:rPr>
          <w:rFonts w:ascii="Verdana" w:hAnsi="Verdana" w:cs="Arial"/>
        </w:rPr>
        <w:t xml:space="preserve"> </w:t>
      </w:r>
      <w:r w:rsidR="003002A5" w:rsidRPr="009E793B">
        <w:rPr>
          <w:rFonts w:ascii="Verdana" w:hAnsi="Verdana" w:cs="Arial"/>
          <w:i/>
          <w:iCs/>
        </w:rPr>
        <w:t>“</w:t>
      </w:r>
      <w:r w:rsidR="0013451C" w:rsidRPr="009E793B">
        <w:rPr>
          <w:rFonts w:ascii="Verdana" w:hAnsi="Verdana" w:cs="Arial"/>
          <w:i/>
          <w:iCs/>
        </w:rPr>
        <w:t xml:space="preserve">[…] </w:t>
      </w:r>
      <w:r w:rsidR="003002A5" w:rsidRPr="009E793B">
        <w:rPr>
          <w:rFonts w:ascii="Verdana" w:hAnsi="Verdana" w:cs="Arial"/>
          <w:i/>
          <w:iCs/>
        </w:rPr>
        <w:t>el jefe o representante legal de la entidad respectiva deberá dar por terminado el contrato mediante acto administrativo debidamente motivado y ordenará su liquidación en el estado en que se encuentre”.</w:t>
      </w:r>
      <w:r w:rsidR="009E793B">
        <w:rPr>
          <w:rFonts w:ascii="Verdana" w:hAnsi="Verdana" w:cs="Arial"/>
          <w:i/>
          <w:iCs/>
        </w:rPr>
        <w:t xml:space="preserve"> </w:t>
      </w:r>
      <w:r w:rsidR="009E793B" w:rsidRPr="009E793B">
        <w:rPr>
          <w:rFonts w:ascii="Verdana" w:eastAsia="Calibri" w:hAnsi="Verdana" w:cs="Arial"/>
        </w:rPr>
        <w:t xml:space="preserve">En esta hipótesis además también puede considerarse que se afecta uno de los elementos esenciales del contrato como lo es el objeto, el cual al ser celebrado en contravención a una prohibición expresa, queda </w:t>
      </w:r>
      <w:proofErr w:type="spellStart"/>
      <w:r w:rsidR="009E793B" w:rsidRPr="009E793B">
        <w:rPr>
          <w:rFonts w:ascii="Verdana" w:eastAsia="Calibri" w:hAnsi="Verdana" w:cs="Arial"/>
        </w:rPr>
        <w:t>vicidado</w:t>
      </w:r>
      <w:proofErr w:type="spellEnd"/>
      <w:r w:rsidR="009E793B" w:rsidRPr="009E793B">
        <w:rPr>
          <w:rFonts w:ascii="Verdana" w:eastAsia="Calibri" w:hAnsi="Verdana" w:cs="Arial"/>
        </w:rPr>
        <w:t xml:space="preserve"> de ilicitud. Al respecto, la Sección Tercera del Consejo de Estado ha indicado:</w:t>
      </w:r>
    </w:p>
    <w:p w14:paraId="6FCA1B33" w14:textId="77777777" w:rsidR="009E793B" w:rsidRPr="00534DBD" w:rsidRDefault="009E793B" w:rsidP="00534DBD">
      <w:pPr>
        <w:spacing w:after="0" w:line="276" w:lineRule="auto"/>
        <w:ind w:left="993"/>
        <w:jc w:val="both"/>
        <w:rPr>
          <w:rFonts w:ascii="Verdana" w:eastAsia="Calibri" w:hAnsi="Verdana" w:cs="Arial"/>
          <w:sz w:val="20"/>
          <w:szCs w:val="20"/>
        </w:rPr>
      </w:pPr>
    </w:p>
    <w:p w14:paraId="00362150" w14:textId="1470AAB9" w:rsidR="003002A5" w:rsidRPr="00534DBD" w:rsidRDefault="003002A5" w:rsidP="00534DBD">
      <w:pPr>
        <w:spacing w:after="0" w:line="276" w:lineRule="auto"/>
        <w:ind w:left="993" w:right="709"/>
        <w:jc w:val="both"/>
        <w:rPr>
          <w:rFonts w:ascii="Verdana" w:eastAsia="Calibri" w:hAnsi="Verdana" w:cs="Arial"/>
          <w:i/>
          <w:iCs/>
          <w:sz w:val="20"/>
          <w:szCs w:val="20"/>
        </w:rPr>
      </w:pPr>
      <w:r w:rsidRPr="00534DBD">
        <w:rPr>
          <w:rFonts w:ascii="Verdana" w:hAnsi="Verdana" w:cs="Arial"/>
          <w:i/>
          <w:iCs/>
          <w:sz w:val="20"/>
          <w:szCs w:val="20"/>
        </w:rPr>
        <w:t>“</w:t>
      </w:r>
      <w:r w:rsidR="00F8061F" w:rsidRPr="00F8061F">
        <w:rPr>
          <w:rFonts w:ascii="Verdana" w:hAnsi="Verdana" w:cs="Arial"/>
          <w:i/>
          <w:iCs/>
          <w:sz w:val="20"/>
          <w:szCs w:val="20"/>
        </w:rPr>
        <w:t>[…]</w:t>
      </w:r>
      <w:r w:rsidR="00F8061F">
        <w:rPr>
          <w:rFonts w:ascii="Verdana" w:eastAsia="Calibri" w:hAnsi="Verdana" w:cs="Arial"/>
          <w:i/>
          <w:iCs/>
          <w:sz w:val="20"/>
          <w:szCs w:val="20"/>
        </w:rPr>
        <w:t xml:space="preserve"> </w:t>
      </w:r>
      <w:r w:rsidRPr="00534DBD">
        <w:rPr>
          <w:rFonts w:ascii="Verdana" w:eastAsia="Calibri" w:hAnsi="Verdana" w:cs="Arial"/>
          <w:i/>
          <w:iCs/>
          <w:sz w:val="20"/>
          <w:szCs w:val="20"/>
        </w:rPr>
        <w:t>los artículos 6º y 1519 del Código Civil son las normas básicas sobre el objeto ilícito como causal de nulidad absoluta al prever respectivamente que “… en materia civil son nulos los actos ejecutados contra expresa prohibición de la ley, si en ella misma no se dispone otra cosa…” y que “hay un objeto ilícito en todo lo que contraviene al derecho público de la nación…”, lo que se traduce en que los artículos 1521, 1523 y 1741 del Código Civil y el artículo 899 del Código de Comercio son solamente aplicaciones concretas de ellos y por consiguiente toda violación a un mandato imperativo o a una prohibición de la ley, comporta un vicio que genera nulidad absoluta si, por supuesto, ella no consagra una sanción diferente. Y es que las normas imperativas no son solamente aquellas que prohíben sino también las que mandan u ordenan y por ende la transgresión del orden público se presenta cuando se viola la que prohíbe así como cuando no se observa o se desatiende la que ordena, casos todos estos que conducen a una nulidad absoluta por objeto ilícito […]”</w:t>
      </w:r>
      <w:r w:rsidR="009E793B" w:rsidRPr="00534DBD">
        <w:rPr>
          <w:rStyle w:val="Refdenotaalpie"/>
          <w:rFonts w:ascii="Verdana" w:hAnsi="Verdana" w:cs="Arial"/>
          <w:sz w:val="20"/>
          <w:szCs w:val="20"/>
        </w:rPr>
        <w:t xml:space="preserve"> </w:t>
      </w:r>
      <w:r w:rsidR="009E793B" w:rsidRPr="00534DBD">
        <w:rPr>
          <w:rStyle w:val="Refdenotaalpie"/>
          <w:rFonts w:ascii="Verdana" w:hAnsi="Verdana" w:cs="Arial"/>
          <w:sz w:val="20"/>
          <w:szCs w:val="20"/>
        </w:rPr>
        <w:footnoteReference w:id="7"/>
      </w:r>
    </w:p>
    <w:p w14:paraId="6712E67D" w14:textId="77777777" w:rsidR="003002A5" w:rsidRPr="001D6EB3" w:rsidRDefault="003002A5" w:rsidP="003002A5">
      <w:pPr>
        <w:spacing w:after="0" w:line="276" w:lineRule="auto"/>
        <w:jc w:val="both"/>
        <w:rPr>
          <w:rFonts w:ascii="Verdana" w:hAnsi="Verdana" w:cs="Arial"/>
        </w:rPr>
      </w:pPr>
    </w:p>
    <w:p w14:paraId="1A2961B1" w14:textId="5355FBAA" w:rsidR="00600949" w:rsidRPr="00600949" w:rsidRDefault="003002A5" w:rsidP="003002A5">
      <w:pPr>
        <w:pStyle w:val="Prrafodelista"/>
        <w:numPr>
          <w:ilvl w:val="0"/>
          <w:numId w:val="17"/>
        </w:numPr>
        <w:spacing w:after="0" w:line="276" w:lineRule="auto"/>
        <w:jc w:val="both"/>
        <w:rPr>
          <w:rFonts w:ascii="Verdana" w:eastAsia="Calibri" w:hAnsi="Verdana" w:cs="Arial"/>
        </w:rPr>
      </w:pPr>
      <w:r w:rsidRPr="001D6EB3">
        <w:rPr>
          <w:rFonts w:ascii="Verdana" w:hAnsi="Verdana" w:cs="Arial"/>
        </w:rPr>
        <w:t xml:space="preserve">Teniendo en cuenta el </w:t>
      </w:r>
      <w:r w:rsidR="00893F4B">
        <w:rPr>
          <w:rFonts w:ascii="Verdana" w:hAnsi="Verdana" w:cs="Arial"/>
        </w:rPr>
        <w:t>alcance</w:t>
      </w:r>
      <w:r w:rsidR="00893F4B" w:rsidRPr="001D6EB3">
        <w:rPr>
          <w:rFonts w:ascii="Verdana" w:hAnsi="Verdana" w:cs="Arial"/>
        </w:rPr>
        <w:t xml:space="preserve"> </w:t>
      </w:r>
      <w:r w:rsidRPr="001D6EB3">
        <w:rPr>
          <w:rFonts w:ascii="Verdana" w:hAnsi="Verdana" w:cs="Arial"/>
        </w:rPr>
        <w:t xml:space="preserve">de </w:t>
      </w:r>
      <w:r w:rsidRPr="00534DBD">
        <w:rPr>
          <w:rFonts w:ascii="Verdana" w:hAnsi="Verdana" w:cs="Arial"/>
          <w:lang w:eastAsia="es-ES_tradnl"/>
        </w:rPr>
        <w:t>las prohibiciones establecidas en la Ley de Garantías</w:t>
      </w:r>
      <w:r w:rsidR="00600949">
        <w:rPr>
          <w:rFonts w:ascii="Verdana" w:hAnsi="Verdana" w:cs="Arial"/>
          <w:lang w:eastAsia="es-ES_tradnl"/>
        </w:rPr>
        <w:t xml:space="preserve">, </w:t>
      </w:r>
      <w:r w:rsidR="00A644C2">
        <w:rPr>
          <w:rFonts w:ascii="Verdana" w:hAnsi="Verdana" w:cs="Arial"/>
          <w:lang w:eastAsia="es-ES_tradnl"/>
        </w:rPr>
        <w:t xml:space="preserve">así </w:t>
      </w:r>
      <w:r w:rsidR="003E0CAC">
        <w:rPr>
          <w:rFonts w:ascii="Verdana" w:hAnsi="Verdana" w:cs="Arial"/>
          <w:lang w:eastAsia="es-ES_tradnl"/>
        </w:rPr>
        <w:t>como</w:t>
      </w:r>
      <w:r w:rsidR="00600949">
        <w:rPr>
          <w:rFonts w:ascii="Verdana" w:hAnsi="Verdana" w:cs="Arial"/>
          <w:lang w:eastAsia="es-ES_tradnl"/>
        </w:rPr>
        <w:t xml:space="preserve"> el origen</w:t>
      </w:r>
      <w:r w:rsidRPr="001D6EB3">
        <w:rPr>
          <w:rFonts w:ascii="Verdana" w:hAnsi="Verdana" w:cs="Arial"/>
          <w:i/>
          <w:iCs/>
          <w:lang w:eastAsia="es-ES_tradnl"/>
        </w:rPr>
        <w:t xml:space="preserve"> </w:t>
      </w:r>
      <w:r w:rsidRPr="001D6EB3">
        <w:rPr>
          <w:rFonts w:ascii="Verdana" w:eastAsia="Calibri" w:hAnsi="Verdana" w:cs="Arial"/>
          <w:bCs/>
        </w:rPr>
        <w:t xml:space="preserve"> constitucional y legal</w:t>
      </w:r>
      <w:r w:rsidR="003E0CAC">
        <w:rPr>
          <w:rFonts w:ascii="Verdana" w:eastAsia="Calibri" w:hAnsi="Verdana" w:cs="Arial"/>
          <w:bCs/>
        </w:rPr>
        <w:t xml:space="preserve"> de las mismas</w:t>
      </w:r>
      <w:r w:rsidRPr="001D6EB3">
        <w:rPr>
          <w:rFonts w:ascii="Verdana" w:eastAsia="Calibri" w:hAnsi="Verdana" w:cs="Arial"/>
          <w:bCs/>
        </w:rPr>
        <w:t xml:space="preserve">, </w:t>
      </w:r>
      <w:r w:rsidR="00600949">
        <w:rPr>
          <w:rFonts w:ascii="Verdana" w:eastAsia="Calibri" w:hAnsi="Verdana" w:cs="Arial"/>
          <w:bCs/>
        </w:rPr>
        <w:t>es posibl</w:t>
      </w:r>
      <w:r w:rsidR="00A644C2">
        <w:rPr>
          <w:rFonts w:ascii="Verdana" w:eastAsia="Calibri" w:hAnsi="Verdana" w:cs="Arial"/>
          <w:bCs/>
        </w:rPr>
        <w:t>e</w:t>
      </w:r>
      <w:r w:rsidR="00DE51A1">
        <w:rPr>
          <w:rFonts w:ascii="Verdana" w:eastAsia="Calibri" w:hAnsi="Verdana" w:cs="Arial"/>
          <w:bCs/>
        </w:rPr>
        <w:t>, es posible concluir entonces que</w:t>
      </w:r>
      <w:r w:rsidR="00190AB0">
        <w:rPr>
          <w:rFonts w:ascii="Verdana" w:eastAsia="Calibri" w:hAnsi="Verdana" w:cs="Arial"/>
          <w:bCs/>
        </w:rPr>
        <w:t>,</w:t>
      </w:r>
      <w:r w:rsidR="00A644C2">
        <w:rPr>
          <w:rFonts w:ascii="Verdana" w:eastAsia="Calibri" w:hAnsi="Verdana" w:cs="Arial"/>
          <w:bCs/>
        </w:rPr>
        <w:t xml:space="preserve"> </w:t>
      </w:r>
      <w:r w:rsidR="00190AB0">
        <w:rPr>
          <w:rFonts w:ascii="Verdana" w:eastAsia="Calibri" w:hAnsi="Verdana" w:cs="Arial"/>
        </w:rPr>
        <w:t>c</w:t>
      </w:r>
      <w:r w:rsidR="00A644C2">
        <w:rPr>
          <w:rFonts w:ascii="Verdana" w:eastAsia="Calibri" w:hAnsi="Verdana" w:cs="Arial"/>
        </w:rPr>
        <w:t xml:space="preserve">elebrar contratos estatales durante los periodos prelectorales en los que rigen las restricciones contractuales que establece la Ley 966 de 2005 en su artículo 33 y en el parágrafo del artículo 38, puede dar lugar a la nulidad absoluta del </w:t>
      </w:r>
      <w:r w:rsidR="00A644C2">
        <w:rPr>
          <w:rFonts w:ascii="Verdana" w:eastAsia="Calibri" w:hAnsi="Verdana" w:cs="Arial"/>
        </w:rPr>
        <w:lastRenderedPageBreak/>
        <w:t>contrato. Esto comoquiera que, se según lo dispuesto en el artículo 44, numeral 2 de la Ley 80 de 1993, los contratos estatales son absolutamente nulos cuando</w:t>
      </w:r>
      <w:r w:rsidR="00A644C2" w:rsidRPr="00190AB0">
        <w:rPr>
          <w:rFonts w:ascii="Verdana" w:eastAsia="Calibri" w:hAnsi="Verdana" w:cs="Arial"/>
        </w:rPr>
        <w:t xml:space="preserve"> </w:t>
      </w:r>
      <w:r w:rsidR="00190AB0" w:rsidRPr="00534DBD">
        <w:rPr>
          <w:rFonts w:ascii="Verdana" w:eastAsia="Calibri" w:hAnsi="Verdana" w:cs="Arial"/>
        </w:rPr>
        <w:t>s</w:t>
      </w:r>
      <w:r w:rsidR="00A644C2" w:rsidRPr="00534DBD">
        <w:rPr>
          <w:rFonts w:ascii="Verdana" w:eastAsia="Calibri" w:hAnsi="Verdana" w:cs="Arial"/>
        </w:rPr>
        <w:t>e celebren contra expresa prohibición constitucional o legal</w:t>
      </w:r>
      <w:r w:rsidR="00A644C2">
        <w:rPr>
          <w:rFonts w:ascii="Verdana" w:eastAsia="Calibri" w:hAnsi="Verdana" w:cs="Arial"/>
        </w:rPr>
        <w:t xml:space="preserve">. En esta hipótesis además podría considerarse afectado unos de los elementos esenciales del negocio jurídico como el objeto, el cual, al haber celebrado en contra de la ley, podría ser considerado ilícito. </w:t>
      </w:r>
    </w:p>
    <w:p w14:paraId="0F69FB37" w14:textId="77777777" w:rsidR="003002A5" w:rsidRPr="001D6EB3" w:rsidRDefault="003002A5" w:rsidP="00534DBD">
      <w:pPr>
        <w:pStyle w:val="Prrafodelista"/>
        <w:spacing w:after="0" w:line="276" w:lineRule="auto"/>
        <w:ind w:left="709"/>
        <w:jc w:val="both"/>
        <w:rPr>
          <w:rFonts w:ascii="Verdana" w:hAnsi="Verdana" w:cs="Arial"/>
        </w:rPr>
      </w:pPr>
    </w:p>
    <w:p w14:paraId="6FD738E1" w14:textId="77777777" w:rsidR="003002A5" w:rsidRPr="001D6EB3" w:rsidRDefault="003002A5" w:rsidP="003002A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D6EB3">
        <w:rPr>
          <w:rFonts w:ascii="Verdana" w:eastAsia="Century Gothic" w:hAnsi="Verdana" w:cs="Century Gothic"/>
          <w:b/>
          <w:bCs/>
        </w:rPr>
        <w:t>Referencias normativas, jurisprudenciales y otras fuentes:</w:t>
      </w:r>
    </w:p>
    <w:p w14:paraId="2EAE1004" w14:textId="77777777" w:rsidR="003002A5" w:rsidRPr="001D6EB3" w:rsidRDefault="003002A5" w:rsidP="003002A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D6EB3" w:rsidRPr="001D6EB3" w14:paraId="438CE1B3" w14:textId="77777777" w:rsidTr="00D15460">
        <w:trPr>
          <w:trHeight w:val="870"/>
        </w:trPr>
        <w:tc>
          <w:tcPr>
            <w:tcW w:w="8647" w:type="dxa"/>
          </w:tcPr>
          <w:p w14:paraId="66A94217" w14:textId="01E01705" w:rsidR="003002A5" w:rsidRPr="0059003F" w:rsidRDefault="003002A5" w:rsidP="003002A5">
            <w:pPr>
              <w:pStyle w:val="Prrafodelista"/>
              <w:widowControl w:val="0"/>
              <w:numPr>
                <w:ilvl w:val="0"/>
                <w:numId w:val="18"/>
              </w:numPr>
              <w:tabs>
                <w:tab w:val="left" w:pos="8419"/>
              </w:tabs>
              <w:autoSpaceDE w:val="0"/>
              <w:autoSpaceDN w:val="0"/>
              <w:spacing w:after="120" w:line="276" w:lineRule="auto"/>
              <w:contextualSpacing w:val="0"/>
              <w:jc w:val="both"/>
              <w:rPr>
                <w:rFonts w:ascii="Verdana" w:hAnsi="Verdana" w:cs="Arial"/>
              </w:rPr>
            </w:pPr>
            <w:r w:rsidRPr="0059003F">
              <w:rPr>
                <w:rFonts w:ascii="Verdana" w:hAnsi="Verdana" w:cs="Arial"/>
              </w:rPr>
              <w:t>Ley 80 de 1993</w:t>
            </w:r>
            <w:r w:rsidR="008F233A" w:rsidRPr="0059003F">
              <w:rPr>
                <w:rFonts w:ascii="Verdana" w:hAnsi="Verdana" w:cs="Arial"/>
              </w:rPr>
              <w:t>,</w:t>
            </w:r>
            <w:r w:rsidRPr="0059003F">
              <w:rPr>
                <w:rFonts w:ascii="Verdana" w:hAnsi="Verdana" w:cs="Arial"/>
              </w:rPr>
              <w:t xml:space="preserve"> artículos 44 </w:t>
            </w:r>
            <w:r w:rsidR="008F233A" w:rsidRPr="0059003F">
              <w:rPr>
                <w:rFonts w:ascii="Verdana" w:hAnsi="Verdana" w:cs="Arial"/>
              </w:rPr>
              <w:t>numeral 2</w:t>
            </w:r>
            <w:r w:rsidRPr="0059003F">
              <w:rPr>
                <w:rFonts w:ascii="Verdana" w:hAnsi="Verdana" w:cs="Arial"/>
              </w:rPr>
              <w:t>, y 45.</w:t>
            </w:r>
          </w:p>
          <w:p w14:paraId="065967FE" w14:textId="0CDFDD48" w:rsidR="003002A5" w:rsidRPr="0059003F" w:rsidRDefault="003002A5" w:rsidP="003002A5">
            <w:pPr>
              <w:pStyle w:val="Prrafodelista"/>
              <w:widowControl w:val="0"/>
              <w:numPr>
                <w:ilvl w:val="0"/>
                <w:numId w:val="18"/>
              </w:numPr>
              <w:autoSpaceDE w:val="0"/>
              <w:autoSpaceDN w:val="0"/>
              <w:spacing w:after="120" w:line="276" w:lineRule="auto"/>
              <w:contextualSpacing w:val="0"/>
              <w:jc w:val="both"/>
              <w:rPr>
                <w:rFonts w:ascii="Verdana" w:hAnsi="Verdana" w:cs="Arial"/>
                <w:lang w:val="es-CO"/>
              </w:rPr>
            </w:pPr>
            <w:r w:rsidRPr="0059003F">
              <w:rPr>
                <w:rFonts w:ascii="Verdana" w:eastAsia="Calibri" w:hAnsi="Verdana" w:cs="Arial"/>
              </w:rPr>
              <w:t>Ley 1564 de 2012</w:t>
            </w:r>
            <w:r w:rsidR="008F233A" w:rsidRPr="0059003F">
              <w:rPr>
                <w:rFonts w:ascii="Verdana" w:eastAsia="Calibri" w:hAnsi="Verdana" w:cs="Arial"/>
              </w:rPr>
              <w:t xml:space="preserve">, </w:t>
            </w:r>
            <w:r w:rsidRPr="0059003F">
              <w:rPr>
                <w:rFonts w:ascii="Verdana" w:eastAsia="Calibri" w:hAnsi="Verdana" w:cs="Arial"/>
              </w:rPr>
              <w:t>artículo 226.</w:t>
            </w:r>
          </w:p>
          <w:p w14:paraId="5A1A20D2" w14:textId="3CC0317E" w:rsidR="003002A5" w:rsidRPr="0059003F" w:rsidRDefault="003002A5" w:rsidP="003002A5">
            <w:pPr>
              <w:pStyle w:val="Prrafodelista"/>
              <w:widowControl w:val="0"/>
              <w:numPr>
                <w:ilvl w:val="0"/>
                <w:numId w:val="18"/>
              </w:numPr>
              <w:tabs>
                <w:tab w:val="left" w:pos="8419"/>
              </w:tabs>
              <w:autoSpaceDE w:val="0"/>
              <w:autoSpaceDN w:val="0"/>
              <w:spacing w:after="120" w:line="276" w:lineRule="auto"/>
              <w:contextualSpacing w:val="0"/>
              <w:jc w:val="both"/>
              <w:rPr>
                <w:rFonts w:ascii="Verdana" w:hAnsi="Verdana" w:cs="Arial"/>
              </w:rPr>
            </w:pPr>
            <w:r w:rsidRPr="0059003F">
              <w:rPr>
                <w:rFonts w:ascii="Verdana" w:hAnsi="Verdana" w:cs="Arial"/>
                <w:bCs/>
                <w:lang w:eastAsia="es-CO"/>
              </w:rPr>
              <w:t>Ley 996 de 2005</w:t>
            </w:r>
            <w:r w:rsidR="008F233A" w:rsidRPr="0059003F">
              <w:rPr>
                <w:rFonts w:ascii="Verdana" w:hAnsi="Verdana" w:cs="Arial"/>
                <w:bCs/>
                <w:lang w:eastAsia="es-CO"/>
              </w:rPr>
              <w:t xml:space="preserve">, </w:t>
            </w:r>
            <w:r w:rsidRPr="0059003F">
              <w:rPr>
                <w:rFonts w:ascii="Verdana" w:hAnsi="Verdana" w:cs="Arial"/>
                <w:bCs/>
                <w:lang w:eastAsia="es-CO"/>
              </w:rPr>
              <w:t>artículos 33 y 38 parágrafo.</w:t>
            </w:r>
          </w:p>
          <w:p w14:paraId="771026EF" w14:textId="32DD8CAB" w:rsidR="003002A5" w:rsidRPr="0059003F" w:rsidRDefault="003002A5" w:rsidP="003002A5">
            <w:pPr>
              <w:pStyle w:val="Prrafodelista"/>
              <w:widowControl w:val="0"/>
              <w:numPr>
                <w:ilvl w:val="0"/>
                <w:numId w:val="18"/>
              </w:numPr>
              <w:tabs>
                <w:tab w:val="left" w:pos="8419"/>
              </w:tabs>
              <w:autoSpaceDE w:val="0"/>
              <w:autoSpaceDN w:val="0"/>
              <w:spacing w:after="120" w:line="276" w:lineRule="auto"/>
              <w:contextualSpacing w:val="0"/>
              <w:jc w:val="both"/>
              <w:rPr>
                <w:rFonts w:ascii="Verdana" w:hAnsi="Verdana" w:cs="Arial"/>
              </w:rPr>
            </w:pPr>
            <w:r w:rsidRPr="0059003F">
              <w:rPr>
                <w:rFonts w:ascii="Verdana" w:hAnsi="Verdana" w:cs="Arial"/>
              </w:rPr>
              <w:t>Consejo de Estado, Sala de Consulta y Servicio Civil</w:t>
            </w:r>
            <w:r w:rsidR="008F233A" w:rsidRPr="0059003F">
              <w:rPr>
                <w:rFonts w:ascii="Verdana" w:hAnsi="Verdana" w:cs="Arial"/>
              </w:rPr>
              <w:t xml:space="preserve">, </w:t>
            </w:r>
            <w:r w:rsidR="002055C9">
              <w:rPr>
                <w:rFonts w:ascii="Verdana" w:hAnsi="Verdana" w:cs="Arial"/>
              </w:rPr>
              <w:t>C</w:t>
            </w:r>
            <w:r w:rsidR="008F233A" w:rsidRPr="0059003F">
              <w:rPr>
                <w:rFonts w:ascii="Verdana" w:hAnsi="Verdana" w:cs="Arial"/>
              </w:rPr>
              <w:t xml:space="preserve">oncepto </w:t>
            </w:r>
            <w:r w:rsidRPr="0059003F">
              <w:rPr>
                <w:rFonts w:ascii="Verdana" w:hAnsi="Verdana" w:cs="Arial"/>
              </w:rPr>
              <w:t xml:space="preserve">de 24 de julio de 2013, </w:t>
            </w:r>
            <w:r w:rsidR="00D734E5" w:rsidRPr="0059003F">
              <w:rPr>
                <w:rFonts w:ascii="Verdana" w:hAnsi="Verdana" w:cs="Arial"/>
              </w:rPr>
              <w:t xml:space="preserve">Exp. No. </w:t>
            </w:r>
            <w:r w:rsidRPr="0059003F">
              <w:rPr>
                <w:rFonts w:ascii="Verdana" w:hAnsi="Verdana" w:cs="Arial"/>
              </w:rPr>
              <w:t>2166, C</w:t>
            </w:r>
            <w:r w:rsidR="00D734E5" w:rsidRPr="0059003F">
              <w:rPr>
                <w:rFonts w:ascii="Verdana" w:hAnsi="Verdana" w:cs="Arial"/>
              </w:rPr>
              <w:t>.</w:t>
            </w:r>
            <w:r w:rsidRPr="0059003F">
              <w:rPr>
                <w:rFonts w:ascii="Verdana" w:hAnsi="Verdana" w:cs="Arial"/>
              </w:rPr>
              <w:t>P</w:t>
            </w:r>
            <w:r w:rsidR="00D734E5" w:rsidRPr="0059003F">
              <w:rPr>
                <w:rFonts w:ascii="Verdana" w:hAnsi="Verdana" w:cs="Arial"/>
              </w:rPr>
              <w:t>.</w:t>
            </w:r>
            <w:r w:rsidRPr="0059003F">
              <w:rPr>
                <w:rFonts w:ascii="Verdana" w:hAnsi="Verdana" w:cs="Arial"/>
              </w:rPr>
              <w:t xml:space="preserve"> Álvaro Namén Vargas.</w:t>
            </w:r>
            <w:r w:rsidR="00552A71" w:rsidRPr="0059003F">
              <w:rPr>
                <w:rFonts w:ascii="Verdana" w:hAnsi="Verdana" w:cs="Arial"/>
              </w:rPr>
              <w:t xml:space="preserve"> </w:t>
            </w:r>
          </w:p>
          <w:p w14:paraId="791C08DC" w14:textId="786A5150" w:rsidR="003002A5" w:rsidRPr="00774985" w:rsidRDefault="003853E3" w:rsidP="00774985">
            <w:pPr>
              <w:pStyle w:val="Prrafodelista"/>
              <w:widowControl w:val="0"/>
              <w:numPr>
                <w:ilvl w:val="0"/>
                <w:numId w:val="18"/>
              </w:numPr>
              <w:tabs>
                <w:tab w:val="left" w:pos="8419"/>
              </w:tabs>
              <w:autoSpaceDE w:val="0"/>
              <w:autoSpaceDN w:val="0"/>
              <w:spacing w:after="120" w:line="276" w:lineRule="auto"/>
              <w:contextualSpacing w:val="0"/>
              <w:jc w:val="both"/>
              <w:rPr>
                <w:rFonts w:ascii="Verdana" w:hAnsi="Verdana" w:cs="Arial"/>
              </w:rPr>
            </w:pPr>
            <w:r w:rsidRPr="0059003F">
              <w:rPr>
                <w:rFonts w:ascii="Verdana" w:hAnsi="Verdana" w:cs="Arial"/>
              </w:rPr>
              <w:t>Consejo de Estado, Sección Tercera, Subsección C, Sentencia del 20 de octubre de 2014, Exp. No. 24809, C.P. Jaime Orlando Santofimio Gamboa.</w:t>
            </w:r>
            <w:r w:rsidR="0059003F" w:rsidRPr="0059003F">
              <w:rPr>
                <w:rFonts w:ascii="Verdana" w:hAnsi="Verdana" w:cs="Arial"/>
              </w:rPr>
              <w:t xml:space="preserve"> Disponible en: </w:t>
            </w:r>
            <w:hyperlink r:id="rId12" w:history="1">
              <w:r w:rsidR="0059003F" w:rsidRPr="0059003F">
                <w:rPr>
                  <w:rStyle w:val="Hipervnculo"/>
                  <w:rFonts w:ascii="Verdana" w:hAnsi="Verdana" w:cs="Arial"/>
                </w:rPr>
                <w:t>https://relatoria.colombiacompra.gov.co/providencias/66001-23-31-000-1999-00435-01_24809_a/</w:t>
              </w:r>
            </w:hyperlink>
            <w:r w:rsidR="0059003F">
              <w:rPr>
                <w:rFonts w:ascii="Verdana" w:hAnsi="Verdana" w:cs="Arial"/>
              </w:rPr>
              <w:t xml:space="preserve"> </w:t>
            </w:r>
          </w:p>
        </w:tc>
      </w:tr>
    </w:tbl>
    <w:p w14:paraId="0EBB5A96" w14:textId="77777777" w:rsidR="003002A5" w:rsidRPr="001D6EB3" w:rsidRDefault="003002A5" w:rsidP="003002A5">
      <w:pPr>
        <w:widowControl w:val="0"/>
        <w:autoSpaceDE w:val="0"/>
        <w:autoSpaceDN w:val="0"/>
        <w:spacing w:after="0" w:line="276" w:lineRule="auto"/>
        <w:jc w:val="both"/>
        <w:rPr>
          <w:rFonts w:ascii="Verdana" w:hAnsi="Verdana" w:cs="Arial"/>
        </w:rPr>
      </w:pPr>
    </w:p>
    <w:p w14:paraId="448ED5B4" w14:textId="77777777" w:rsidR="003002A5" w:rsidRPr="001D6EB3" w:rsidRDefault="003002A5" w:rsidP="003002A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D6EB3">
        <w:rPr>
          <w:rFonts w:ascii="Verdana" w:eastAsia="Century Gothic" w:hAnsi="Verdana" w:cs="Century Gothic"/>
          <w:b/>
          <w:bCs/>
        </w:rPr>
        <w:t>Doctrina de la Agencia Nacional de Contratación Pública:</w:t>
      </w:r>
    </w:p>
    <w:p w14:paraId="36A9307C" w14:textId="77777777" w:rsidR="003002A5" w:rsidRPr="001D6EB3" w:rsidRDefault="003002A5" w:rsidP="003002A5">
      <w:pPr>
        <w:widowControl w:val="0"/>
        <w:autoSpaceDE w:val="0"/>
        <w:autoSpaceDN w:val="0"/>
        <w:spacing w:after="0" w:line="276" w:lineRule="auto"/>
        <w:jc w:val="both"/>
        <w:rPr>
          <w:rFonts w:ascii="Verdana" w:hAnsi="Verdana" w:cs="Arial"/>
        </w:rPr>
      </w:pPr>
    </w:p>
    <w:p w14:paraId="13B5D393" w14:textId="77777777" w:rsidR="003002A5" w:rsidRDefault="003002A5" w:rsidP="003002A5">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1D6EB3">
        <w:rPr>
          <w:rStyle w:val="normaltextrun"/>
          <w:rFonts w:ascii="Verdana" w:hAnsi="Verdana" w:cs="Arial"/>
          <w:shd w:val="clear" w:color="auto" w:fill="FFFFFF"/>
          <w:lang w:val="es-ES"/>
        </w:rPr>
        <w:t xml:space="preserve">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C-439 del 27 de agosto de 2021, C-456 del 3 de septiembre, C-481 del 9 de septiembre de 2021, C- 528 del 27 de septiembre de 2021, C-550 del 5 de octubre de 2021 y C-523 del 10 de octubre de 2021, C-606 del 28 de octubre de 2021 y C-614 del 2 de noviembre de 2021, C-636 del 16 de noviembre de 2021, 681 del 7 de diciembre de 2021 y C-686 del 21 de diciembre de 2021. En particular, en el concepto C-697 del 3 de enero de 2022 se estudió </w:t>
      </w:r>
      <w:r w:rsidRPr="001D6EB3">
        <w:rPr>
          <w:rStyle w:val="normaltextrun"/>
          <w:rFonts w:ascii="Verdana" w:hAnsi="Verdana" w:cs="Arial"/>
          <w:shd w:val="clear" w:color="auto" w:fill="FFFFFF"/>
          <w:lang w:val="es-ES"/>
        </w:rPr>
        <w:lastRenderedPageBreak/>
        <w:t>la finalidad y restricciones establecidas en la Ley de Garantías Electorales. Es</w:t>
      </w:r>
      <w:r w:rsidRPr="001D6EB3">
        <w:rPr>
          <w:rFonts w:ascii="Verdana" w:hAnsi="Verdana"/>
        </w:rPr>
        <w:t>tos y otros conceptos se encuentran disponibles para consulta en el Sistema de relatoría de la Agencia, al cual se puede acceder a través del siguiente enlace:</w:t>
      </w:r>
      <w:r w:rsidRPr="001D6EB3">
        <w:rPr>
          <w:rStyle w:val="normaltextrun"/>
          <w:rFonts w:ascii="Verdana" w:hAnsi="Verdana" w:cs="Arial"/>
          <w:shd w:val="clear" w:color="auto" w:fill="FFFFFF"/>
          <w:lang w:val="es-ES"/>
        </w:rPr>
        <w:t xml:space="preserve"> </w:t>
      </w:r>
      <w:hyperlink r:id="rId13" w:history="1">
        <w:r w:rsidRPr="00A1554D">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color w:val="FF0000"/>
          <w:shd w:val="clear" w:color="auto" w:fill="FFFFFF"/>
          <w:lang w:val="es-ES"/>
        </w:rPr>
        <w:t xml:space="preserve">. </w:t>
      </w:r>
    </w:p>
    <w:p w14:paraId="41826FAA" w14:textId="77777777" w:rsidR="003002A5" w:rsidRDefault="003002A5" w:rsidP="003002A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117D924F" w14:textId="0D13E82E" w:rsidR="003002A5" w:rsidRDefault="0036778B" w:rsidP="003002A5">
      <w:pPr>
        <w:widowControl w:val="0"/>
        <w:autoSpaceDE w:val="0"/>
        <w:autoSpaceDN w:val="0"/>
        <w:spacing w:after="0" w:line="276" w:lineRule="auto"/>
        <w:jc w:val="both"/>
        <w:rPr>
          <w:rStyle w:val="normaltextrun"/>
          <w:rFonts w:ascii="Verdana" w:hAnsi="Verdana" w:cs="Arial"/>
          <w:color w:val="FF0000"/>
          <w:shd w:val="clear" w:color="auto" w:fill="FFFFFF"/>
          <w:lang w:val="es-ES"/>
        </w:rPr>
      </w:pPr>
      <w:r>
        <w:rPr>
          <w:rStyle w:val="normaltextrun"/>
          <w:rFonts w:ascii="Verdana" w:hAnsi="Verdana" w:cs="Arial"/>
          <w:color w:val="000000" w:themeColor="text1"/>
          <w:shd w:val="clear" w:color="auto" w:fill="FFFFFF"/>
          <w:lang w:val="es-ES"/>
        </w:rPr>
        <w:t xml:space="preserve">De otra parte, </w:t>
      </w:r>
      <w:r w:rsidR="003002A5" w:rsidRPr="00985B04">
        <w:rPr>
          <w:rStyle w:val="normaltextrun"/>
          <w:rFonts w:ascii="Verdana" w:hAnsi="Verdana" w:cs="Arial"/>
          <w:color w:val="000000" w:themeColor="text1"/>
          <w:shd w:val="clear" w:color="auto" w:fill="FFFFFF"/>
          <w:lang w:val="es-ES"/>
        </w:rPr>
        <w:t>le invitamos a consultar las versiones I y II de 2024 del Boletín de Relatoría de la Subdirección de Gestión Contractual, las cuales puede descargar en la página web de la Agencia:</w:t>
      </w:r>
      <w:r w:rsidR="003002A5">
        <w:rPr>
          <w:rStyle w:val="normaltextrun"/>
          <w:rFonts w:ascii="Verdana" w:hAnsi="Verdana" w:cs="Arial"/>
          <w:color w:val="FF0000"/>
          <w:shd w:val="clear" w:color="auto" w:fill="FFFFFF"/>
          <w:lang w:val="es-ES"/>
        </w:rPr>
        <w:t xml:space="preserve"> </w:t>
      </w:r>
      <w:hyperlink r:id="rId14" w:history="1">
        <w:r w:rsidR="003002A5" w:rsidRPr="003705EA">
          <w:rPr>
            <w:rStyle w:val="Hipervnculo"/>
            <w:rFonts w:ascii="Verdana" w:hAnsi="Verdana" w:cs="Arial"/>
            <w:shd w:val="clear" w:color="auto" w:fill="FFFFFF"/>
            <w:lang w:val="es-ES"/>
          </w:rPr>
          <w:t>https://www.colombiacompra.gov.co/sala-de-prensa/boletin-digital</w:t>
        </w:r>
      </w:hyperlink>
      <w:r w:rsidR="000A04E9">
        <w:rPr>
          <w:rStyle w:val="Hipervnculo"/>
          <w:rFonts w:ascii="Verdana" w:hAnsi="Verdana" w:cs="Arial"/>
          <w:shd w:val="clear" w:color="auto" w:fill="FFFFFF"/>
          <w:lang w:val="es-ES"/>
        </w:rPr>
        <w:t xml:space="preserve"> .</w:t>
      </w:r>
      <w:r w:rsidR="003002A5">
        <w:rPr>
          <w:rStyle w:val="normaltextrun"/>
          <w:rFonts w:ascii="Verdana" w:hAnsi="Verdana" w:cs="Arial"/>
          <w:color w:val="FF0000"/>
          <w:shd w:val="clear" w:color="auto" w:fill="FFFFFF"/>
          <w:lang w:val="es-ES"/>
        </w:rPr>
        <w:t xml:space="preserve"> </w:t>
      </w:r>
      <w:r w:rsidR="009364F7" w:rsidRPr="00534DBD">
        <w:rPr>
          <w:rStyle w:val="normaltextrun"/>
          <w:rFonts w:ascii="Verdana" w:hAnsi="Verdana" w:cs="Arial"/>
          <w:shd w:val="clear" w:color="auto" w:fill="FFFFFF"/>
          <w:lang w:val="es-ES"/>
        </w:rPr>
        <w:t>También</w:t>
      </w:r>
      <w:r w:rsidR="009364F7" w:rsidRPr="0059003F">
        <w:rPr>
          <w:rStyle w:val="normaltextrun"/>
          <w:rFonts w:ascii="Verdana" w:hAnsi="Verdana" w:cs="Arial"/>
          <w:shd w:val="clear" w:color="auto" w:fill="FFFFFF"/>
          <w:lang w:val="es-ES"/>
        </w:rPr>
        <w:t xml:space="preserve"> </w:t>
      </w:r>
      <w:r w:rsidR="003002A5" w:rsidRPr="001D6EB3">
        <w:rPr>
          <w:rStyle w:val="normaltextrun"/>
          <w:rFonts w:ascii="Verdana" w:hAnsi="Verdana" w:cs="Arial"/>
          <w:shd w:val="clear" w:color="auto" w:fill="FFFFFF"/>
          <w:lang w:val="es-ES"/>
        </w:rPr>
        <w:t>los invitamos a participar con sus observaciones a</w:t>
      </w:r>
      <w:r w:rsidR="00FE7CA1">
        <w:rPr>
          <w:rStyle w:val="normaltextrun"/>
          <w:rFonts w:ascii="Verdana" w:hAnsi="Verdana" w:cs="Arial"/>
          <w:shd w:val="clear" w:color="auto" w:fill="FFFFFF"/>
          <w:lang w:val="es-ES"/>
        </w:rPr>
        <w:t xml:space="preserve"> los</w:t>
      </w:r>
      <w:r w:rsidR="003002A5" w:rsidRPr="001D6EB3">
        <w:rPr>
          <w:rStyle w:val="normaltextrun"/>
          <w:rFonts w:ascii="Verdana" w:hAnsi="Verdana" w:cs="Arial"/>
          <w:shd w:val="clear" w:color="auto" w:fill="FFFFFF"/>
          <w:lang w:val="es-ES"/>
        </w:rPr>
        <w:t xml:space="preserve"> borrador</w:t>
      </w:r>
      <w:r w:rsidR="00FE7CA1">
        <w:rPr>
          <w:rStyle w:val="normaltextrun"/>
          <w:rFonts w:ascii="Verdana" w:hAnsi="Verdana" w:cs="Arial"/>
          <w:shd w:val="clear" w:color="auto" w:fill="FFFFFF"/>
          <w:lang w:val="es-ES"/>
        </w:rPr>
        <w:t>es</w:t>
      </w:r>
      <w:r w:rsidR="003002A5" w:rsidRPr="001D6EB3">
        <w:rPr>
          <w:rStyle w:val="normaltextrun"/>
          <w:rFonts w:ascii="Verdana" w:hAnsi="Verdana" w:cs="Arial"/>
          <w:shd w:val="clear" w:color="auto" w:fill="FFFFFF"/>
          <w:lang w:val="es-ES"/>
        </w:rPr>
        <w:t xml:space="preserve"> de los documentos tipo del sector de </w:t>
      </w:r>
      <w:r w:rsidR="00FE7CA1">
        <w:rPr>
          <w:rStyle w:val="normaltextrun"/>
          <w:rFonts w:ascii="Verdana" w:hAnsi="Verdana" w:cs="Arial"/>
          <w:shd w:val="clear" w:color="auto" w:fill="FFFFFF"/>
          <w:lang w:val="es-ES"/>
        </w:rPr>
        <w:t>i</w:t>
      </w:r>
      <w:r w:rsidR="003002A5" w:rsidRPr="001D6EB3">
        <w:rPr>
          <w:rStyle w:val="normaltextrun"/>
          <w:rFonts w:ascii="Verdana" w:hAnsi="Verdana" w:cs="Arial"/>
          <w:shd w:val="clear" w:color="auto" w:fill="FFFFFF"/>
          <w:lang w:val="es-ES"/>
        </w:rPr>
        <w:t xml:space="preserve">nfraestructura de </w:t>
      </w:r>
      <w:r w:rsidR="00FE7CA1">
        <w:rPr>
          <w:rStyle w:val="normaltextrun"/>
          <w:rFonts w:ascii="Verdana" w:hAnsi="Verdana" w:cs="Arial"/>
          <w:shd w:val="clear" w:color="auto" w:fill="FFFFFF"/>
          <w:lang w:val="es-ES"/>
        </w:rPr>
        <w:t>t</w:t>
      </w:r>
      <w:r w:rsidR="003002A5" w:rsidRPr="001D6EB3">
        <w:rPr>
          <w:rStyle w:val="normaltextrun"/>
          <w:rFonts w:ascii="Verdana" w:hAnsi="Verdana" w:cs="Arial"/>
          <w:shd w:val="clear" w:color="auto" w:fill="FFFFFF"/>
          <w:lang w:val="es-ES"/>
        </w:rPr>
        <w:t xml:space="preserve">ransporte, </w:t>
      </w:r>
      <w:r w:rsidR="00FE7CA1">
        <w:rPr>
          <w:rStyle w:val="normaltextrun"/>
          <w:rFonts w:ascii="Verdana" w:hAnsi="Verdana" w:cs="Arial"/>
          <w:shd w:val="clear" w:color="auto" w:fill="FFFFFF"/>
          <w:lang w:val="es-ES"/>
        </w:rPr>
        <w:t>para</w:t>
      </w:r>
      <w:r w:rsidR="00073589">
        <w:rPr>
          <w:rStyle w:val="normaltextrun"/>
          <w:rFonts w:ascii="Verdana" w:hAnsi="Verdana" w:cs="Arial"/>
          <w:shd w:val="clear" w:color="auto" w:fill="FFFFFF"/>
          <w:lang w:val="es-ES"/>
        </w:rPr>
        <w:t xml:space="preserve"> la</w:t>
      </w:r>
      <w:r w:rsidR="00FE7CA1">
        <w:rPr>
          <w:rStyle w:val="normaltextrun"/>
          <w:rFonts w:ascii="Verdana" w:hAnsi="Verdana" w:cs="Arial"/>
          <w:shd w:val="clear" w:color="auto" w:fill="FFFFFF"/>
          <w:lang w:val="es-ES"/>
        </w:rPr>
        <w:t xml:space="preserve"> contrataci</w:t>
      </w:r>
      <w:r w:rsidR="00E4113C">
        <w:rPr>
          <w:rStyle w:val="normaltextrun"/>
          <w:rFonts w:ascii="Verdana" w:hAnsi="Verdana" w:cs="Arial"/>
          <w:shd w:val="clear" w:color="auto" w:fill="FFFFFF"/>
          <w:lang w:val="es-ES"/>
        </w:rPr>
        <w:t xml:space="preserve">ón de obras públicas en </w:t>
      </w:r>
      <w:r w:rsidR="003002A5" w:rsidRPr="001D6EB3">
        <w:rPr>
          <w:rStyle w:val="normaltextrun"/>
          <w:rFonts w:ascii="Verdana" w:hAnsi="Verdana" w:cs="Arial"/>
          <w:shd w:val="clear" w:color="auto" w:fill="FFFFFF"/>
          <w:lang w:val="es-ES"/>
        </w:rPr>
        <w:t>las modalidades de licitación pública, selección abreviada de menor cuantía y mínima cuantía</w:t>
      </w:r>
      <w:r w:rsidR="00073589">
        <w:rPr>
          <w:rStyle w:val="normaltextrun"/>
          <w:rFonts w:ascii="Verdana" w:hAnsi="Verdana" w:cs="Arial"/>
          <w:shd w:val="clear" w:color="auto" w:fill="FFFFFF"/>
          <w:lang w:val="es-ES"/>
        </w:rPr>
        <w:t xml:space="preserve">. </w:t>
      </w:r>
      <w:r w:rsidR="00DE41F2">
        <w:rPr>
          <w:rStyle w:val="normaltextrun"/>
          <w:rFonts w:ascii="Verdana" w:hAnsi="Verdana" w:cs="Arial"/>
          <w:shd w:val="clear" w:color="auto" w:fill="FFFFFF"/>
          <w:lang w:val="es-ES"/>
        </w:rPr>
        <w:t>Estos documentos estarán disponibles para</w:t>
      </w:r>
      <w:r w:rsidR="00D127B4">
        <w:rPr>
          <w:rStyle w:val="normaltextrun"/>
          <w:rFonts w:ascii="Verdana" w:hAnsi="Verdana" w:cs="Arial"/>
          <w:shd w:val="clear" w:color="auto" w:fill="FFFFFF"/>
          <w:lang w:val="es-ES"/>
        </w:rPr>
        <w:t xml:space="preserve"> recibir sus observaciones hasta el 12 de julio de 20245</w:t>
      </w:r>
      <w:r w:rsidR="00DE41F2">
        <w:rPr>
          <w:rStyle w:val="normaltextrun"/>
          <w:rFonts w:ascii="Verdana" w:hAnsi="Verdana" w:cs="Arial"/>
          <w:shd w:val="clear" w:color="auto" w:fill="FFFFFF"/>
          <w:lang w:val="es-ES"/>
        </w:rPr>
        <w:t xml:space="preserve"> </w:t>
      </w:r>
      <w:r w:rsidR="003002A5" w:rsidRPr="001D6EB3">
        <w:rPr>
          <w:rStyle w:val="normaltextrun"/>
          <w:rFonts w:ascii="Verdana" w:hAnsi="Verdana" w:cs="Arial"/>
          <w:shd w:val="clear" w:color="auto" w:fill="FFFFFF"/>
          <w:lang w:val="es-ES"/>
        </w:rPr>
        <w:t xml:space="preserve"> en la </w:t>
      </w:r>
      <w:r w:rsidR="00774985" w:rsidRPr="001D6EB3">
        <w:rPr>
          <w:rStyle w:val="normaltextrun"/>
          <w:rFonts w:ascii="Verdana" w:hAnsi="Verdana" w:cs="Arial"/>
          <w:shd w:val="clear" w:color="auto" w:fill="FFFFFF"/>
          <w:lang w:val="es-ES"/>
        </w:rPr>
        <w:t>página</w:t>
      </w:r>
      <w:r w:rsidR="003002A5" w:rsidRPr="001D6EB3">
        <w:rPr>
          <w:rStyle w:val="normaltextrun"/>
          <w:rFonts w:ascii="Verdana" w:hAnsi="Verdana" w:cs="Arial"/>
          <w:shd w:val="clear" w:color="auto" w:fill="FFFFFF"/>
          <w:lang w:val="es-ES"/>
        </w:rPr>
        <w:t xml:space="preserve"> web de la </w:t>
      </w:r>
      <w:r w:rsidR="00835A90">
        <w:rPr>
          <w:rStyle w:val="normaltextrun"/>
          <w:rFonts w:ascii="Verdana" w:hAnsi="Verdana" w:cs="Arial"/>
          <w:shd w:val="clear" w:color="auto" w:fill="FFFFFF"/>
          <w:lang w:val="es-ES"/>
        </w:rPr>
        <w:t>A</w:t>
      </w:r>
      <w:r w:rsidR="003002A5" w:rsidRPr="001D6EB3">
        <w:rPr>
          <w:rStyle w:val="normaltextrun"/>
          <w:rFonts w:ascii="Verdana" w:hAnsi="Verdana" w:cs="Arial"/>
          <w:shd w:val="clear" w:color="auto" w:fill="FFFFFF"/>
          <w:lang w:val="es-ES"/>
        </w:rPr>
        <w:t>gencia</w:t>
      </w:r>
      <w:r w:rsidR="003853E3">
        <w:rPr>
          <w:rStyle w:val="normaltextrun"/>
          <w:rFonts w:ascii="Verdana" w:hAnsi="Verdana" w:cs="Arial"/>
          <w:shd w:val="clear" w:color="auto" w:fill="FFFFFF"/>
          <w:lang w:val="es-ES"/>
        </w:rPr>
        <w:t>, a la cual puede acceder mediante el</w:t>
      </w:r>
      <w:r w:rsidR="003002A5" w:rsidRPr="001D6EB3">
        <w:rPr>
          <w:rStyle w:val="normaltextrun"/>
          <w:rFonts w:ascii="Verdana" w:hAnsi="Verdana" w:cs="Arial"/>
          <w:shd w:val="clear" w:color="auto" w:fill="FFFFFF"/>
          <w:lang w:val="es-ES"/>
        </w:rPr>
        <w:t xml:space="preserve"> siguiente enlace: </w:t>
      </w:r>
      <w:hyperlink r:id="rId15" w:history="1">
        <w:r w:rsidR="003002A5" w:rsidRPr="000B34B1">
          <w:rPr>
            <w:rStyle w:val="Hipervnculo"/>
            <w:rFonts w:ascii="Verdana" w:hAnsi="Verdana" w:cs="Arial"/>
            <w:shd w:val="clear" w:color="auto" w:fill="FFFFFF"/>
            <w:lang w:val="es-ES"/>
          </w:rPr>
          <w:t>https://www.colombiacompra.gov.co/documentos-tipo/documentos-tipo</w:t>
        </w:r>
      </w:hyperlink>
      <w:r w:rsidR="003002A5">
        <w:rPr>
          <w:rStyle w:val="normaltextrun"/>
          <w:rFonts w:ascii="Verdana" w:hAnsi="Verdana" w:cs="Arial"/>
          <w:color w:val="FF0000"/>
          <w:shd w:val="clear" w:color="auto" w:fill="FFFFFF"/>
          <w:lang w:val="es-ES"/>
        </w:rPr>
        <w:t xml:space="preserve"> </w:t>
      </w:r>
    </w:p>
    <w:p w14:paraId="19628A49" w14:textId="77777777" w:rsidR="003002A5" w:rsidRDefault="003002A5" w:rsidP="003002A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1DE483A4" w14:textId="21F7D1B7" w:rsidR="003002A5" w:rsidRDefault="003002A5" w:rsidP="003002A5">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12D74EA5" w14:textId="77777777" w:rsidR="003853E3" w:rsidRPr="003E2460" w:rsidRDefault="003853E3" w:rsidP="003002A5">
      <w:pPr>
        <w:spacing w:after="0" w:line="240" w:lineRule="auto"/>
        <w:jc w:val="both"/>
        <w:rPr>
          <w:rFonts w:ascii="Verdana" w:hAnsi="Verdana"/>
        </w:rPr>
      </w:pPr>
    </w:p>
    <w:p w14:paraId="629AEDC9" w14:textId="77777777" w:rsidR="003002A5" w:rsidRPr="003E2460" w:rsidRDefault="003002A5" w:rsidP="003002A5">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6CA13599" w14:textId="77777777" w:rsidR="003002A5" w:rsidRPr="003E2460" w:rsidRDefault="003002A5" w:rsidP="003002A5">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7F9218E7" w14:textId="77777777" w:rsidR="003002A5" w:rsidRPr="003E2460" w:rsidRDefault="003002A5" w:rsidP="003002A5">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22D24C88" w14:textId="77777777" w:rsidR="003002A5" w:rsidRPr="00593A5F" w:rsidRDefault="003002A5" w:rsidP="003002A5">
      <w:pPr>
        <w:widowControl w:val="0"/>
        <w:autoSpaceDE w:val="0"/>
        <w:autoSpaceDN w:val="0"/>
        <w:spacing w:after="0" w:line="276" w:lineRule="auto"/>
        <w:jc w:val="both"/>
        <w:rPr>
          <w:rFonts w:ascii="Verdana" w:hAnsi="Verdana" w:cs="Arial"/>
        </w:rPr>
      </w:pPr>
    </w:p>
    <w:p w14:paraId="78CEC58F" w14:textId="77777777" w:rsidR="003002A5" w:rsidRPr="00593A5F" w:rsidRDefault="003002A5" w:rsidP="003002A5">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2F7DFC15" w14:textId="77777777" w:rsidR="003002A5" w:rsidRPr="00593A5F" w:rsidRDefault="003002A5" w:rsidP="003002A5">
      <w:pPr>
        <w:widowControl w:val="0"/>
        <w:autoSpaceDE w:val="0"/>
        <w:autoSpaceDN w:val="0"/>
        <w:spacing w:after="0" w:line="276" w:lineRule="auto"/>
        <w:jc w:val="both"/>
        <w:rPr>
          <w:rFonts w:ascii="Verdana" w:hAnsi="Verdana" w:cs="Arial"/>
        </w:rPr>
      </w:pPr>
    </w:p>
    <w:p w14:paraId="0F3C724C" w14:textId="77777777" w:rsidR="003002A5" w:rsidRPr="00593A5F" w:rsidRDefault="003002A5" w:rsidP="003002A5">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1CF977B9" w14:textId="6365D257" w:rsidR="003002A5" w:rsidRPr="00593A5F" w:rsidRDefault="00B3201F" w:rsidP="003002A5">
      <w:pPr>
        <w:spacing w:line="276" w:lineRule="auto"/>
        <w:jc w:val="center"/>
        <w:rPr>
          <w:rFonts w:ascii="Verdana" w:hAnsi="Verdana" w:cs="Arial"/>
          <w:color w:val="000000"/>
          <w:lang w:val="es-ES_tradnl" w:eastAsia="es-CO"/>
        </w:rPr>
      </w:pPr>
      <w:r>
        <w:rPr>
          <w:noProof/>
        </w:rPr>
        <w:drawing>
          <wp:inline distT="0" distB="0" distL="0" distR="0" wp14:anchorId="6651E1A7" wp14:editId="72A29CC9">
            <wp:extent cx="3771429" cy="1400000"/>
            <wp:effectExtent l="0" t="0" r="635" b="0"/>
            <wp:docPr id="73229512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95121" name="Imagen 1" descr="Texto&#10;&#10;Descripción generada automáticamente"/>
                    <pic:cNvPicPr/>
                  </pic:nvPicPr>
                  <pic:blipFill>
                    <a:blip r:embed="rId16"/>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D6EB3" w:rsidRPr="001D6EB3" w14:paraId="2C2D6289" w14:textId="77777777" w:rsidTr="00D15460">
        <w:trPr>
          <w:trHeight w:val="315"/>
        </w:trPr>
        <w:tc>
          <w:tcPr>
            <w:tcW w:w="893" w:type="dxa"/>
            <w:vAlign w:val="center"/>
            <w:hideMark/>
          </w:tcPr>
          <w:p w14:paraId="2972AAD5" w14:textId="77777777" w:rsidR="003002A5" w:rsidRPr="001D6EB3" w:rsidRDefault="003002A5" w:rsidP="00D15460">
            <w:pPr>
              <w:contextualSpacing/>
              <w:rPr>
                <w:rFonts w:ascii="Verdana" w:hAnsi="Verdana" w:cs="Arial"/>
                <w:sz w:val="16"/>
                <w:szCs w:val="16"/>
                <w:lang w:val="es-ES" w:eastAsia="es-ES"/>
              </w:rPr>
            </w:pPr>
            <w:r w:rsidRPr="001D6EB3">
              <w:rPr>
                <w:rFonts w:ascii="Verdana" w:hAnsi="Verdana" w:cs="Arial"/>
                <w:sz w:val="16"/>
                <w:szCs w:val="16"/>
                <w:lang w:val="es-ES" w:eastAsia="es-ES"/>
              </w:rPr>
              <w:lastRenderedPageBreak/>
              <w:t>Elaboró:</w:t>
            </w:r>
          </w:p>
        </w:tc>
        <w:tc>
          <w:tcPr>
            <w:tcW w:w="5628" w:type="dxa"/>
            <w:tcBorders>
              <w:top w:val="nil"/>
              <w:left w:val="nil"/>
              <w:bottom w:val="dotted" w:sz="4" w:space="0" w:color="7F7F7F" w:themeColor="text1" w:themeTint="80"/>
              <w:right w:val="nil"/>
            </w:tcBorders>
            <w:vAlign w:val="center"/>
            <w:hideMark/>
          </w:tcPr>
          <w:p w14:paraId="2F1070D1" w14:textId="77777777" w:rsidR="003002A5" w:rsidRPr="001D6EB3" w:rsidRDefault="003002A5" w:rsidP="00D15460">
            <w:pPr>
              <w:contextualSpacing/>
              <w:rPr>
                <w:rStyle w:val="normaltextrun"/>
                <w:rFonts w:ascii="Verdana" w:eastAsia="Arial" w:hAnsi="Verdana" w:cs="Arial"/>
                <w:sz w:val="16"/>
                <w:szCs w:val="16"/>
              </w:rPr>
            </w:pPr>
            <w:r w:rsidRPr="001D6EB3">
              <w:rPr>
                <w:rStyle w:val="normaltextrun"/>
                <w:rFonts w:ascii="Verdana" w:eastAsia="Arial" w:hAnsi="Verdana" w:cs="Arial"/>
                <w:sz w:val="16"/>
                <w:szCs w:val="16"/>
              </w:rPr>
              <w:t>Santiago Alberto Herrera Morillo</w:t>
            </w:r>
          </w:p>
          <w:p w14:paraId="24C4C7B0" w14:textId="77777777" w:rsidR="003002A5" w:rsidRPr="001D6EB3" w:rsidRDefault="003002A5" w:rsidP="00D15460">
            <w:pPr>
              <w:contextualSpacing/>
              <w:rPr>
                <w:rFonts w:ascii="Verdana" w:eastAsia="Arial" w:hAnsi="Verdana" w:cs="Arial"/>
                <w:sz w:val="16"/>
                <w:szCs w:val="16"/>
              </w:rPr>
            </w:pPr>
            <w:r w:rsidRPr="001D6EB3">
              <w:rPr>
                <w:rStyle w:val="normaltextrun"/>
                <w:rFonts w:ascii="Verdana" w:eastAsia="Arial" w:hAnsi="Verdana" w:cs="Arial"/>
                <w:sz w:val="16"/>
                <w:szCs w:val="16"/>
              </w:rPr>
              <w:t>Analista T2-02 de la Subdirección de Gestión Contractual</w:t>
            </w:r>
          </w:p>
        </w:tc>
      </w:tr>
      <w:tr w:rsidR="001D6EB3" w:rsidRPr="001D6EB3" w14:paraId="51294E88" w14:textId="77777777" w:rsidTr="00D15460">
        <w:trPr>
          <w:trHeight w:val="330"/>
        </w:trPr>
        <w:tc>
          <w:tcPr>
            <w:tcW w:w="893" w:type="dxa"/>
            <w:vAlign w:val="center"/>
            <w:hideMark/>
          </w:tcPr>
          <w:p w14:paraId="6429F311" w14:textId="77777777" w:rsidR="003002A5" w:rsidRPr="001D6EB3" w:rsidRDefault="003002A5" w:rsidP="00D15460">
            <w:pPr>
              <w:contextualSpacing/>
              <w:rPr>
                <w:rFonts w:ascii="Verdana" w:hAnsi="Verdana" w:cs="Arial"/>
                <w:sz w:val="16"/>
                <w:szCs w:val="16"/>
                <w:lang w:val="es-ES" w:eastAsia="es-ES"/>
              </w:rPr>
            </w:pPr>
            <w:r w:rsidRPr="001D6EB3">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85EB016" w14:textId="77777777" w:rsidR="003002A5" w:rsidRPr="001D6EB3" w:rsidRDefault="003002A5" w:rsidP="00D15460">
            <w:pPr>
              <w:pStyle w:val="paragraph"/>
              <w:spacing w:after="0"/>
              <w:contextualSpacing/>
              <w:textAlignment w:val="baseline"/>
              <w:rPr>
                <w:rStyle w:val="normaltextrun"/>
                <w:rFonts w:ascii="Verdana" w:hAnsi="Verdana" w:cs="Arial"/>
                <w:sz w:val="16"/>
                <w:szCs w:val="16"/>
                <w:lang w:val="es-ES"/>
              </w:rPr>
            </w:pPr>
            <w:r w:rsidRPr="001D6EB3">
              <w:rPr>
                <w:rStyle w:val="normaltextrun"/>
                <w:rFonts w:ascii="Verdana" w:hAnsi="Verdana" w:cs="Arial"/>
                <w:sz w:val="16"/>
                <w:szCs w:val="16"/>
                <w:lang w:val="es-ES"/>
              </w:rPr>
              <w:t xml:space="preserve">Alejandro Sarmiento Cantillo </w:t>
            </w:r>
          </w:p>
          <w:p w14:paraId="23961ED3" w14:textId="77777777" w:rsidR="003002A5" w:rsidRPr="001D6EB3" w:rsidRDefault="003002A5" w:rsidP="00D15460">
            <w:pPr>
              <w:pStyle w:val="paragraph"/>
              <w:spacing w:before="0" w:beforeAutospacing="0" w:after="0" w:afterAutospacing="0"/>
              <w:contextualSpacing/>
              <w:textAlignment w:val="baseline"/>
              <w:rPr>
                <w:rFonts w:ascii="Verdana" w:hAnsi="Verdana" w:cs="Segoe UI"/>
                <w:sz w:val="16"/>
                <w:szCs w:val="16"/>
              </w:rPr>
            </w:pPr>
            <w:r w:rsidRPr="001D6EB3">
              <w:rPr>
                <w:rStyle w:val="normaltextrun"/>
                <w:rFonts w:ascii="Verdana" w:hAnsi="Verdana" w:cs="Arial"/>
                <w:sz w:val="16"/>
                <w:szCs w:val="16"/>
                <w:lang w:val="es-ES"/>
              </w:rPr>
              <w:t>Gestor T1-15 de la Subdirección de Gestión Contractual</w:t>
            </w:r>
          </w:p>
        </w:tc>
      </w:tr>
      <w:tr w:rsidR="001D6EB3" w:rsidRPr="001D6EB3" w14:paraId="630BF3F8" w14:textId="77777777" w:rsidTr="00D15460">
        <w:trPr>
          <w:trHeight w:val="300"/>
        </w:trPr>
        <w:tc>
          <w:tcPr>
            <w:tcW w:w="893" w:type="dxa"/>
            <w:vAlign w:val="center"/>
          </w:tcPr>
          <w:p w14:paraId="38B694FE" w14:textId="77777777" w:rsidR="003002A5" w:rsidRPr="001D6EB3" w:rsidRDefault="003002A5" w:rsidP="00D15460">
            <w:pPr>
              <w:contextualSpacing/>
              <w:rPr>
                <w:rFonts w:ascii="Verdana" w:hAnsi="Verdana" w:cs="Arial"/>
                <w:sz w:val="16"/>
                <w:szCs w:val="16"/>
                <w:lang w:val="es-ES" w:eastAsia="es-ES"/>
              </w:rPr>
            </w:pPr>
            <w:r w:rsidRPr="001D6EB3">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F7EA917" w14:textId="77777777" w:rsidR="003002A5" w:rsidRPr="001D6EB3" w:rsidRDefault="003002A5" w:rsidP="00D15460">
            <w:pPr>
              <w:contextualSpacing/>
              <w:rPr>
                <w:rFonts w:ascii="Verdana" w:eastAsia="Calibri" w:hAnsi="Verdana" w:cs="Arial"/>
                <w:sz w:val="16"/>
                <w:szCs w:val="16"/>
                <w:lang w:val="pt-BR" w:eastAsia="es-ES"/>
              </w:rPr>
            </w:pPr>
            <w:r w:rsidRPr="001D6EB3">
              <w:rPr>
                <w:rFonts w:ascii="Verdana" w:eastAsia="Calibri" w:hAnsi="Verdana" w:cs="Arial"/>
                <w:sz w:val="16"/>
                <w:szCs w:val="16"/>
                <w:lang w:val="pt-BR" w:eastAsia="es-ES"/>
              </w:rPr>
              <w:t>Carolina Quintero Gacharná</w:t>
            </w:r>
          </w:p>
          <w:p w14:paraId="4929C8DF" w14:textId="77777777" w:rsidR="003002A5" w:rsidRPr="001D6EB3" w:rsidRDefault="003002A5" w:rsidP="00D15460">
            <w:pPr>
              <w:contextualSpacing/>
              <w:rPr>
                <w:rFonts w:ascii="Verdana" w:eastAsia="Calibri" w:hAnsi="Verdana" w:cs="Arial"/>
                <w:sz w:val="16"/>
                <w:szCs w:val="16"/>
                <w:lang w:val="pt-BR" w:eastAsia="es-ES"/>
              </w:rPr>
            </w:pPr>
            <w:r w:rsidRPr="001D6EB3">
              <w:rPr>
                <w:rFonts w:ascii="Verdana" w:eastAsia="Calibri" w:hAnsi="Verdana" w:cs="Arial"/>
                <w:sz w:val="16"/>
                <w:szCs w:val="16"/>
                <w:lang w:eastAsia="es-ES"/>
              </w:rPr>
              <w:t>Subdirectora</w:t>
            </w:r>
            <w:r w:rsidRPr="001D6EB3">
              <w:rPr>
                <w:rFonts w:ascii="Verdana" w:eastAsia="Calibri" w:hAnsi="Verdana" w:cs="Arial"/>
                <w:sz w:val="16"/>
                <w:szCs w:val="16"/>
                <w:lang w:val="pt-BR" w:eastAsia="es-ES"/>
              </w:rPr>
              <w:t xml:space="preserve"> de Gestión Contractual ANCP – CCE</w:t>
            </w:r>
          </w:p>
        </w:tc>
      </w:tr>
    </w:tbl>
    <w:p w14:paraId="5C9B4C94" w14:textId="77777777" w:rsidR="003002A5" w:rsidRPr="001D6EB3" w:rsidRDefault="003002A5" w:rsidP="003002A5">
      <w:pPr>
        <w:spacing w:after="0" w:line="240" w:lineRule="auto"/>
        <w:rPr>
          <w:rFonts w:ascii="Verdana" w:eastAsia="Times New Roman" w:hAnsi="Verdana" w:cs="Arial"/>
          <w:sz w:val="24"/>
          <w:szCs w:val="24"/>
          <w:lang w:eastAsia="es-ES"/>
        </w:rPr>
      </w:pPr>
    </w:p>
    <w:p w14:paraId="4CD5C1A7" w14:textId="77777777" w:rsidR="003002A5" w:rsidRPr="00871B59" w:rsidRDefault="003002A5" w:rsidP="003002A5"/>
    <w:p w14:paraId="0F293BF4" w14:textId="7BBFAB11" w:rsidR="00127233" w:rsidRPr="003002A5" w:rsidRDefault="00127233" w:rsidP="003002A5"/>
    <w:sectPr w:rsidR="00127233" w:rsidRPr="003002A5"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05A07" w14:textId="77777777" w:rsidR="00443915" w:rsidRDefault="00443915" w:rsidP="004A1847">
      <w:pPr>
        <w:spacing w:after="0" w:line="240" w:lineRule="auto"/>
      </w:pPr>
      <w:r>
        <w:separator/>
      </w:r>
    </w:p>
  </w:endnote>
  <w:endnote w:type="continuationSeparator" w:id="0">
    <w:p w14:paraId="35318CC9" w14:textId="77777777" w:rsidR="00443915" w:rsidRDefault="00443915" w:rsidP="004A1847">
      <w:pPr>
        <w:spacing w:after="0" w:line="240" w:lineRule="auto"/>
      </w:pPr>
      <w:r>
        <w:continuationSeparator/>
      </w:r>
    </w:p>
  </w:endnote>
  <w:endnote w:type="continuationNotice" w:id="1">
    <w:p w14:paraId="27108B45" w14:textId="77777777" w:rsidR="00443915" w:rsidRDefault="004439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E1418" w14:textId="77777777" w:rsidR="00443915" w:rsidRDefault="00443915" w:rsidP="004A1847">
      <w:pPr>
        <w:spacing w:after="0" w:line="240" w:lineRule="auto"/>
      </w:pPr>
      <w:r>
        <w:separator/>
      </w:r>
    </w:p>
  </w:footnote>
  <w:footnote w:type="continuationSeparator" w:id="0">
    <w:p w14:paraId="0FDAA927" w14:textId="77777777" w:rsidR="00443915" w:rsidRDefault="00443915" w:rsidP="004A1847">
      <w:pPr>
        <w:spacing w:after="0" w:line="240" w:lineRule="auto"/>
      </w:pPr>
      <w:r>
        <w:continuationSeparator/>
      </w:r>
    </w:p>
  </w:footnote>
  <w:footnote w:type="continuationNotice" w:id="1">
    <w:p w14:paraId="285F8DFB" w14:textId="77777777" w:rsidR="00443915" w:rsidRDefault="00443915">
      <w:pPr>
        <w:spacing w:after="0" w:line="240" w:lineRule="auto"/>
      </w:pPr>
    </w:p>
  </w:footnote>
  <w:footnote w:id="2">
    <w:p w14:paraId="2089F039" w14:textId="77777777" w:rsidR="003002A5" w:rsidRPr="00895FEF" w:rsidRDefault="003002A5" w:rsidP="00895FEF">
      <w:pPr>
        <w:pStyle w:val="Textonotapie"/>
        <w:ind w:firstLine="709"/>
        <w:jc w:val="both"/>
        <w:rPr>
          <w:rFonts w:ascii="Verdana" w:hAnsi="Verdana" w:cs="Arial"/>
          <w:sz w:val="16"/>
          <w:szCs w:val="16"/>
        </w:rPr>
      </w:pPr>
      <w:r w:rsidRPr="00895FEF">
        <w:rPr>
          <w:rStyle w:val="Refdenotaalpie"/>
          <w:rFonts w:ascii="Verdana" w:hAnsi="Verdana" w:cs="Arial"/>
          <w:sz w:val="16"/>
          <w:szCs w:val="16"/>
        </w:rPr>
        <w:footnoteRef/>
      </w:r>
      <w:r w:rsidRPr="00895FEF">
        <w:rPr>
          <w:rFonts w:ascii="Verdana" w:hAnsi="Verdana" w:cs="Arial"/>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3">
    <w:p w14:paraId="66D17393" w14:textId="77777777" w:rsidR="003002A5" w:rsidRPr="00895FEF" w:rsidRDefault="003002A5" w:rsidP="00895FEF">
      <w:pPr>
        <w:pStyle w:val="Textonotapie"/>
        <w:jc w:val="both"/>
        <w:rPr>
          <w:rFonts w:ascii="Verdana" w:hAnsi="Verdana" w:cs="Arial"/>
          <w:sz w:val="16"/>
          <w:szCs w:val="16"/>
          <w:lang w:val="es-CO"/>
        </w:rPr>
      </w:pPr>
    </w:p>
    <w:p w14:paraId="0C4BC970" w14:textId="3B3527DB" w:rsidR="003002A5" w:rsidRDefault="003002A5" w:rsidP="00895FEF">
      <w:pPr>
        <w:pStyle w:val="Textonotapie"/>
        <w:ind w:firstLine="709"/>
        <w:jc w:val="both"/>
        <w:rPr>
          <w:rFonts w:ascii="Verdana" w:hAnsi="Verdana" w:cs="Arial"/>
          <w:sz w:val="16"/>
          <w:szCs w:val="16"/>
          <w:lang w:val="es-CO"/>
        </w:rPr>
      </w:pPr>
      <w:r w:rsidRPr="00895FEF">
        <w:rPr>
          <w:rStyle w:val="Refdenotaalpie"/>
          <w:rFonts w:ascii="Verdana" w:hAnsi="Verdana" w:cs="Arial"/>
          <w:sz w:val="16"/>
          <w:szCs w:val="16"/>
        </w:rPr>
        <w:footnoteRef/>
      </w:r>
      <w:r w:rsidRPr="00895FEF">
        <w:rPr>
          <w:rFonts w:ascii="Verdana" w:hAnsi="Verdana" w:cs="Arial"/>
          <w:sz w:val="16"/>
          <w:szCs w:val="16"/>
          <w:lang w:val="es-CO"/>
        </w:rPr>
        <w:t xml:space="preserve"> Consejo de Estado, ,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7CF8C837" w14:textId="77777777" w:rsidR="00895FEF" w:rsidRPr="00895FEF" w:rsidRDefault="00895FEF" w:rsidP="00895FEF">
      <w:pPr>
        <w:pStyle w:val="Textonotapie"/>
        <w:ind w:firstLine="709"/>
        <w:jc w:val="both"/>
        <w:rPr>
          <w:rFonts w:ascii="Verdana" w:hAnsi="Verdana" w:cs="Arial"/>
          <w:sz w:val="16"/>
          <w:szCs w:val="16"/>
          <w:lang w:val="es-CO"/>
        </w:rPr>
      </w:pPr>
    </w:p>
  </w:footnote>
  <w:footnote w:id="4">
    <w:p w14:paraId="527B8AE7" w14:textId="159618FD" w:rsidR="003002A5" w:rsidRPr="00895FEF" w:rsidRDefault="003002A5" w:rsidP="00895FEF">
      <w:pPr>
        <w:pStyle w:val="Textonotapie"/>
        <w:ind w:firstLine="709"/>
        <w:jc w:val="both"/>
        <w:rPr>
          <w:rFonts w:ascii="Verdana" w:hAnsi="Verdana" w:cs="Arial"/>
          <w:sz w:val="16"/>
          <w:szCs w:val="16"/>
        </w:rPr>
      </w:pPr>
      <w:r w:rsidRPr="00895FEF">
        <w:rPr>
          <w:rStyle w:val="Refdenotaalpie"/>
          <w:rFonts w:ascii="Verdana" w:hAnsi="Verdana" w:cs="Arial"/>
          <w:sz w:val="16"/>
          <w:szCs w:val="16"/>
        </w:rPr>
        <w:footnoteRef/>
      </w:r>
      <w:r w:rsidRPr="00895FEF">
        <w:rPr>
          <w:rFonts w:ascii="Verdana" w:hAnsi="Verdana" w:cs="Arial"/>
          <w:sz w:val="16"/>
          <w:szCs w:val="16"/>
        </w:rPr>
        <w:t xml:space="preserve"> Consejo de Estado, Sala de Consulta y Servicio Civil de fecha 24 de julio de 2013, radicado 2166, </w:t>
      </w:r>
      <w:r w:rsidR="00895FEF" w:rsidRPr="00895FEF">
        <w:rPr>
          <w:rFonts w:ascii="Verdana" w:hAnsi="Verdana" w:cs="Arial"/>
          <w:sz w:val="16"/>
          <w:szCs w:val="16"/>
        </w:rPr>
        <w:t>C</w:t>
      </w:r>
      <w:r w:rsidR="00895FEF">
        <w:rPr>
          <w:rFonts w:ascii="Verdana" w:hAnsi="Verdana" w:cs="Arial"/>
          <w:sz w:val="16"/>
          <w:szCs w:val="16"/>
        </w:rPr>
        <w:t>.</w:t>
      </w:r>
      <w:r w:rsidR="00895FEF" w:rsidRPr="00895FEF">
        <w:rPr>
          <w:rFonts w:ascii="Verdana" w:hAnsi="Verdana" w:cs="Arial"/>
          <w:sz w:val="16"/>
          <w:szCs w:val="16"/>
        </w:rPr>
        <w:t>P</w:t>
      </w:r>
      <w:r w:rsidR="00895FEF">
        <w:rPr>
          <w:rFonts w:ascii="Verdana" w:hAnsi="Verdana" w:cs="Arial"/>
          <w:sz w:val="16"/>
          <w:szCs w:val="16"/>
        </w:rPr>
        <w:t>.</w:t>
      </w:r>
      <w:r w:rsidR="00895FEF" w:rsidRPr="00895FEF">
        <w:rPr>
          <w:rFonts w:ascii="Verdana" w:hAnsi="Verdana" w:cs="Arial"/>
          <w:sz w:val="16"/>
          <w:szCs w:val="16"/>
        </w:rPr>
        <w:t xml:space="preserve"> </w:t>
      </w:r>
      <w:r w:rsidRPr="00895FEF">
        <w:rPr>
          <w:rFonts w:ascii="Verdana" w:hAnsi="Verdana" w:cs="Arial"/>
          <w:sz w:val="16"/>
          <w:szCs w:val="16"/>
        </w:rPr>
        <w:t xml:space="preserve">Álvaro Namén Vargas.  </w:t>
      </w:r>
    </w:p>
  </w:footnote>
  <w:footnote w:id="5">
    <w:p w14:paraId="688CA91D" w14:textId="15915F7E" w:rsidR="003002A5" w:rsidRPr="00895FEF" w:rsidRDefault="003002A5" w:rsidP="00534DBD">
      <w:pPr>
        <w:spacing w:after="0" w:line="240" w:lineRule="auto"/>
        <w:ind w:firstLine="709"/>
        <w:jc w:val="both"/>
        <w:rPr>
          <w:rFonts w:ascii="Verdana" w:hAnsi="Verdana" w:cs="Arial"/>
          <w:sz w:val="16"/>
          <w:szCs w:val="16"/>
        </w:rPr>
      </w:pPr>
      <w:r w:rsidRPr="00895FEF">
        <w:rPr>
          <w:rStyle w:val="Refdenotaalpie"/>
          <w:rFonts w:ascii="Verdana" w:hAnsi="Verdana" w:cs="Arial"/>
          <w:sz w:val="16"/>
          <w:szCs w:val="16"/>
        </w:rPr>
        <w:footnoteRef/>
      </w:r>
      <w:r w:rsidRPr="00895FEF">
        <w:rPr>
          <w:rFonts w:ascii="Verdana" w:hAnsi="Verdana" w:cs="Arial"/>
          <w:sz w:val="16"/>
          <w:szCs w:val="16"/>
        </w:rPr>
        <w:t xml:space="preserve"> </w:t>
      </w:r>
      <w:bookmarkStart w:id="4" w:name="33"/>
      <w:r w:rsidR="00774985" w:rsidRPr="00895FEF">
        <w:rPr>
          <w:rFonts w:ascii="Verdana" w:eastAsia="Calibri" w:hAnsi="Verdana" w:cs="Arial"/>
          <w:bCs/>
          <w:color w:val="000000"/>
          <w:sz w:val="16"/>
          <w:szCs w:val="16"/>
        </w:rPr>
        <w:t>“</w:t>
      </w:r>
      <w:r w:rsidRPr="00895FEF">
        <w:rPr>
          <w:rFonts w:ascii="Verdana" w:hAnsi="Verdana" w:cs="Arial"/>
          <w:sz w:val="16"/>
          <w:szCs w:val="16"/>
        </w:rPr>
        <w:t>Artículo 33. Restricciones a la contratación pública.</w:t>
      </w:r>
      <w:bookmarkEnd w:id="4"/>
      <w:r w:rsidRPr="00895FEF">
        <w:rPr>
          <w:rFonts w:ascii="Verdana" w:hAnsi="Verdana" w:cs="Arial"/>
          <w:sz w:val="16"/>
          <w:szCs w:val="16"/>
        </w:rPr>
        <w:t> Durante los cuatro (4) meses anteriores a la elección presidencial y hasta la realización de la elección en la segunda vuelta, si fuere el caso, queda prohibida la contratación directa por parte de todos los entes del Estado.</w:t>
      </w:r>
    </w:p>
    <w:p w14:paraId="7740BEA2" w14:textId="76CA2043" w:rsidR="003002A5" w:rsidRDefault="00597431" w:rsidP="00895FEF">
      <w:pPr>
        <w:spacing w:after="0" w:line="240" w:lineRule="auto"/>
        <w:ind w:firstLine="709"/>
        <w:jc w:val="both"/>
        <w:rPr>
          <w:rFonts w:ascii="Verdana" w:hAnsi="Verdana" w:cs="Arial"/>
          <w:sz w:val="16"/>
          <w:szCs w:val="16"/>
        </w:rPr>
      </w:pPr>
      <w:r w:rsidRPr="00895FEF">
        <w:rPr>
          <w:rFonts w:ascii="Verdana" w:eastAsia="Calibri" w:hAnsi="Verdana" w:cs="Arial"/>
          <w:bCs/>
          <w:color w:val="000000"/>
          <w:sz w:val="16"/>
          <w:szCs w:val="16"/>
        </w:rPr>
        <w:t>“</w:t>
      </w:r>
      <w:r w:rsidRPr="00895FEF">
        <w:rPr>
          <w:rFonts w:ascii="Verdana" w:hAnsi="Verdana" w:cs="Arial"/>
          <w:sz w:val="16"/>
          <w:szCs w:val="16"/>
        </w:rPr>
        <w:t>Queda</w:t>
      </w:r>
      <w:r w:rsidR="003002A5" w:rsidRPr="00895FEF">
        <w:rPr>
          <w:rFonts w:ascii="Verdana" w:hAnsi="Verdana" w:cs="Arial"/>
          <w:sz w:val="16"/>
          <w:szCs w:val="16"/>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774985" w:rsidRPr="00895FEF">
        <w:rPr>
          <w:rFonts w:ascii="Verdana" w:eastAsia="Calibri" w:hAnsi="Verdana" w:cs="Arial"/>
          <w:bCs/>
          <w:color w:val="000000"/>
          <w:sz w:val="16"/>
          <w:szCs w:val="16"/>
        </w:rPr>
        <w:t>”</w:t>
      </w:r>
      <w:r w:rsidR="003002A5" w:rsidRPr="00895FEF">
        <w:rPr>
          <w:rFonts w:ascii="Verdana" w:hAnsi="Verdana" w:cs="Arial"/>
          <w:sz w:val="16"/>
          <w:szCs w:val="16"/>
        </w:rPr>
        <w:t>.</w:t>
      </w:r>
    </w:p>
    <w:p w14:paraId="6AABD577" w14:textId="77777777" w:rsidR="00F8061F" w:rsidRPr="00895FEF" w:rsidRDefault="00F8061F" w:rsidP="00534DBD">
      <w:pPr>
        <w:spacing w:after="0" w:line="240" w:lineRule="auto"/>
        <w:ind w:firstLine="709"/>
        <w:jc w:val="both"/>
        <w:rPr>
          <w:rFonts w:ascii="Verdana" w:hAnsi="Verdana" w:cs="Arial"/>
          <w:sz w:val="16"/>
          <w:szCs w:val="16"/>
        </w:rPr>
      </w:pPr>
    </w:p>
  </w:footnote>
  <w:footnote w:id="6">
    <w:p w14:paraId="300E061C" w14:textId="3F21E1E7" w:rsidR="003002A5" w:rsidRPr="00895FEF" w:rsidRDefault="003002A5" w:rsidP="00895FEF">
      <w:pPr>
        <w:pStyle w:val="NormalWeb"/>
        <w:spacing w:before="0" w:beforeAutospacing="0" w:after="0" w:afterAutospacing="0"/>
        <w:ind w:firstLine="709"/>
        <w:jc w:val="both"/>
        <w:rPr>
          <w:rFonts w:ascii="Verdana" w:hAnsi="Verdana" w:cs="Arial"/>
          <w:sz w:val="16"/>
          <w:szCs w:val="16"/>
          <w:lang w:val="es-MX"/>
        </w:rPr>
      </w:pPr>
      <w:r w:rsidRPr="00895FEF">
        <w:rPr>
          <w:rStyle w:val="Refdenotaalpie"/>
          <w:rFonts w:ascii="Verdana" w:hAnsi="Verdana" w:cs="Arial"/>
          <w:sz w:val="16"/>
          <w:szCs w:val="16"/>
        </w:rPr>
        <w:footnoteRef/>
      </w:r>
      <w:r w:rsidRPr="00895FEF">
        <w:rPr>
          <w:rFonts w:ascii="Verdana" w:hAnsi="Verdana" w:cs="Arial"/>
          <w:sz w:val="16"/>
          <w:szCs w:val="16"/>
        </w:rPr>
        <w:t xml:space="preserve"> </w:t>
      </w:r>
      <w:r w:rsidR="00774985" w:rsidRPr="00895FEF">
        <w:rPr>
          <w:rFonts w:ascii="Verdana" w:eastAsia="Calibri" w:hAnsi="Verdana" w:cs="Arial"/>
          <w:bCs/>
          <w:color w:val="000000"/>
          <w:sz w:val="16"/>
          <w:szCs w:val="16"/>
        </w:rPr>
        <w:t>“</w:t>
      </w:r>
      <w:r w:rsidRPr="00895FEF">
        <w:rPr>
          <w:rFonts w:ascii="Verdana" w:hAnsi="Verdana" w:cs="Arial"/>
          <w:sz w:val="16"/>
          <w:szCs w:val="16"/>
          <w:lang w:val="es-MX"/>
        </w:rPr>
        <w:t>Artículo 38. Prohibiciones para los servidores públicos. A los empleados del Estado les está prohibido:</w:t>
      </w:r>
      <w:r w:rsidR="00F8061F">
        <w:rPr>
          <w:rFonts w:ascii="Verdana" w:hAnsi="Verdana" w:cs="Arial"/>
          <w:sz w:val="16"/>
          <w:szCs w:val="16"/>
          <w:lang w:val="es-MX"/>
        </w:rPr>
        <w:t xml:space="preserve"> </w:t>
      </w:r>
      <w:r w:rsidRPr="00895FEF">
        <w:rPr>
          <w:rFonts w:ascii="Verdana" w:hAnsi="Verdana" w:cs="Arial"/>
          <w:sz w:val="16"/>
          <w:szCs w:val="16"/>
          <w:lang w:val="es-MX"/>
        </w:rPr>
        <w:t xml:space="preserve"> […]</w:t>
      </w:r>
    </w:p>
    <w:p w14:paraId="250D1A78" w14:textId="11E43A14" w:rsidR="003002A5" w:rsidRPr="00895FEF" w:rsidRDefault="00597431" w:rsidP="00895FEF">
      <w:pPr>
        <w:pStyle w:val="NormalWeb"/>
        <w:spacing w:before="0" w:beforeAutospacing="0" w:after="0" w:afterAutospacing="0"/>
        <w:ind w:firstLine="709"/>
        <w:jc w:val="both"/>
        <w:rPr>
          <w:rFonts w:ascii="Verdana" w:hAnsi="Verdana" w:cs="Arial"/>
          <w:sz w:val="16"/>
          <w:szCs w:val="16"/>
          <w:lang w:val="es-MX"/>
        </w:rPr>
      </w:pPr>
      <w:r w:rsidRPr="00895FEF">
        <w:rPr>
          <w:rStyle w:val="baj"/>
          <w:rFonts w:ascii="Verdana" w:hAnsi="Verdana" w:cs="Arial"/>
          <w:sz w:val="16"/>
          <w:szCs w:val="16"/>
          <w:lang w:val="es-MX"/>
        </w:rPr>
        <w:t>Parágrafo</w:t>
      </w:r>
      <w:r w:rsidR="003002A5" w:rsidRPr="00895FEF">
        <w:rPr>
          <w:rStyle w:val="baj"/>
          <w:rFonts w:ascii="Verdana" w:hAnsi="Verdana" w:cs="Arial"/>
          <w:sz w:val="16"/>
          <w:szCs w:val="16"/>
          <w:lang w:val="es-MX"/>
        </w:rPr>
        <w:t>.</w:t>
      </w:r>
      <w:r w:rsidR="003002A5" w:rsidRPr="00895FEF">
        <w:rPr>
          <w:rFonts w:ascii="Verdana" w:hAnsi="Verdana"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774985" w:rsidRPr="00895FEF">
        <w:rPr>
          <w:rFonts w:ascii="Verdana" w:eastAsia="Calibri" w:hAnsi="Verdana" w:cs="Arial"/>
          <w:bCs/>
          <w:color w:val="000000"/>
          <w:sz w:val="16"/>
          <w:szCs w:val="16"/>
        </w:rPr>
        <w:t>”</w:t>
      </w:r>
      <w:r w:rsidR="003002A5" w:rsidRPr="00895FEF">
        <w:rPr>
          <w:rFonts w:ascii="Verdana" w:hAnsi="Verdana" w:cs="Arial"/>
          <w:sz w:val="16"/>
          <w:szCs w:val="16"/>
          <w:lang w:val="es-MX"/>
        </w:rPr>
        <w:t>.</w:t>
      </w:r>
    </w:p>
  </w:footnote>
  <w:footnote w:id="7">
    <w:p w14:paraId="55ACA5AF" w14:textId="77777777" w:rsidR="009E793B" w:rsidRPr="00895FEF" w:rsidRDefault="009E793B" w:rsidP="00895FEF">
      <w:pPr>
        <w:pStyle w:val="Textonotapie"/>
        <w:ind w:firstLine="708"/>
        <w:jc w:val="both"/>
        <w:rPr>
          <w:rFonts w:ascii="Verdana" w:hAnsi="Verdana"/>
          <w:sz w:val="16"/>
          <w:szCs w:val="16"/>
          <w:lang w:val="es-CO"/>
        </w:rPr>
      </w:pPr>
      <w:r w:rsidRPr="00895FEF">
        <w:rPr>
          <w:rStyle w:val="Refdenotaalpie"/>
          <w:rFonts w:ascii="Verdana" w:hAnsi="Verdana"/>
          <w:sz w:val="16"/>
          <w:szCs w:val="16"/>
        </w:rPr>
        <w:footnoteRef/>
      </w:r>
      <w:r w:rsidRPr="00895FEF">
        <w:rPr>
          <w:rFonts w:ascii="Verdana" w:hAnsi="Verdana"/>
          <w:sz w:val="16"/>
          <w:szCs w:val="16"/>
        </w:rPr>
        <w:t xml:space="preserve"> </w:t>
      </w:r>
      <w:r w:rsidRPr="00534DBD">
        <w:rPr>
          <w:rFonts w:ascii="Verdana" w:hAnsi="Verdana" w:cs="Arial"/>
          <w:sz w:val="16"/>
          <w:szCs w:val="16"/>
        </w:rPr>
        <w:t xml:space="preserve">Consejo de Estado, Sección Tercera, Subsección C, Sentencia del 20 de octubre de 2014, Exp. No. 24809, C.P. Jaime Orlando Santofimio Gamboa.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15pt;height:11.1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9164D6"/>
    <w:multiLevelType w:val="hybridMultilevel"/>
    <w:tmpl w:val="71C86C0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AC44F09"/>
    <w:multiLevelType w:val="hybridMultilevel"/>
    <w:tmpl w:val="92F8E2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72"/>
    <w:multiLevelType w:val="hybridMultilevel"/>
    <w:tmpl w:val="FBF47F6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7"/>
  </w:num>
  <w:num w:numId="7" w16cid:durableId="1946422806">
    <w:abstractNumId w:val="6"/>
  </w:num>
  <w:num w:numId="8" w16cid:durableId="152644682">
    <w:abstractNumId w:val="15"/>
  </w:num>
  <w:num w:numId="9" w16cid:durableId="1317221377">
    <w:abstractNumId w:val="9"/>
  </w:num>
  <w:num w:numId="10" w16cid:durableId="1471245386">
    <w:abstractNumId w:val="14"/>
  </w:num>
  <w:num w:numId="11" w16cid:durableId="289172385">
    <w:abstractNumId w:val="10"/>
  </w:num>
  <w:num w:numId="12" w16cid:durableId="1470781324">
    <w:abstractNumId w:val="1"/>
  </w:num>
  <w:num w:numId="13" w16cid:durableId="1512908409">
    <w:abstractNumId w:val="3"/>
  </w:num>
  <w:num w:numId="14" w16cid:durableId="895897244">
    <w:abstractNumId w:val="18"/>
  </w:num>
  <w:num w:numId="15" w16cid:durableId="390349800">
    <w:abstractNumId w:val="13"/>
  </w:num>
  <w:num w:numId="16" w16cid:durableId="341274352">
    <w:abstractNumId w:val="0"/>
  </w:num>
  <w:num w:numId="17" w16cid:durableId="1492209491">
    <w:abstractNumId w:val="5"/>
  </w:num>
  <w:num w:numId="18" w16cid:durableId="679089576">
    <w:abstractNumId w:val="11"/>
  </w:num>
  <w:num w:numId="19" w16cid:durableId="350299437">
    <w:abstractNumId w:val="16"/>
  </w:num>
  <w:num w:numId="20" w16cid:durableId="830489306">
    <w:abstractNumId w:val="12"/>
  </w:num>
  <w:num w:numId="21" w16cid:durableId="10685798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248"/>
    <w:rsid w:val="00036F88"/>
    <w:rsid w:val="000437E2"/>
    <w:rsid w:val="00061B2A"/>
    <w:rsid w:val="00073589"/>
    <w:rsid w:val="00082362"/>
    <w:rsid w:val="0009701C"/>
    <w:rsid w:val="000A04E9"/>
    <w:rsid w:val="000A6827"/>
    <w:rsid w:val="000A683E"/>
    <w:rsid w:val="000B19B9"/>
    <w:rsid w:val="000D0334"/>
    <w:rsid w:val="000F6486"/>
    <w:rsid w:val="001003F7"/>
    <w:rsid w:val="00123E0B"/>
    <w:rsid w:val="00125105"/>
    <w:rsid w:val="00127233"/>
    <w:rsid w:val="0013451C"/>
    <w:rsid w:val="0014124D"/>
    <w:rsid w:val="00190AB0"/>
    <w:rsid w:val="001949D7"/>
    <w:rsid w:val="001C444E"/>
    <w:rsid w:val="001D6EB3"/>
    <w:rsid w:val="001E4177"/>
    <w:rsid w:val="001F7DC6"/>
    <w:rsid w:val="002055C9"/>
    <w:rsid w:val="00210290"/>
    <w:rsid w:val="00213E3C"/>
    <w:rsid w:val="002421BB"/>
    <w:rsid w:val="00254D83"/>
    <w:rsid w:val="0025796E"/>
    <w:rsid w:val="002707A2"/>
    <w:rsid w:val="00271C62"/>
    <w:rsid w:val="00271CEA"/>
    <w:rsid w:val="00285795"/>
    <w:rsid w:val="00290C32"/>
    <w:rsid w:val="002951A0"/>
    <w:rsid w:val="002962BC"/>
    <w:rsid w:val="002A093D"/>
    <w:rsid w:val="002A0DD0"/>
    <w:rsid w:val="002A49AC"/>
    <w:rsid w:val="002A64FD"/>
    <w:rsid w:val="002C7A84"/>
    <w:rsid w:val="002E4FD9"/>
    <w:rsid w:val="002F3CCB"/>
    <w:rsid w:val="003002A5"/>
    <w:rsid w:val="00322A85"/>
    <w:rsid w:val="00324168"/>
    <w:rsid w:val="00326B9B"/>
    <w:rsid w:val="003347CE"/>
    <w:rsid w:val="00342DF7"/>
    <w:rsid w:val="003448F4"/>
    <w:rsid w:val="003473B8"/>
    <w:rsid w:val="003509C8"/>
    <w:rsid w:val="0036778B"/>
    <w:rsid w:val="00374F5E"/>
    <w:rsid w:val="00377E3E"/>
    <w:rsid w:val="003853E3"/>
    <w:rsid w:val="00393EE2"/>
    <w:rsid w:val="003A2120"/>
    <w:rsid w:val="003A26D1"/>
    <w:rsid w:val="003A779E"/>
    <w:rsid w:val="003B1BF1"/>
    <w:rsid w:val="003C737E"/>
    <w:rsid w:val="003D0F4D"/>
    <w:rsid w:val="003D5B0D"/>
    <w:rsid w:val="003E0499"/>
    <w:rsid w:val="003E0CAC"/>
    <w:rsid w:val="003F0F2D"/>
    <w:rsid w:val="003F3941"/>
    <w:rsid w:val="00402DD8"/>
    <w:rsid w:val="00406575"/>
    <w:rsid w:val="0042722E"/>
    <w:rsid w:val="00443915"/>
    <w:rsid w:val="0044528D"/>
    <w:rsid w:val="00450DD4"/>
    <w:rsid w:val="004640DB"/>
    <w:rsid w:val="00472783"/>
    <w:rsid w:val="004A1847"/>
    <w:rsid w:val="004A305D"/>
    <w:rsid w:val="004B2687"/>
    <w:rsid w:val="004C08C4"/>
    <w:rsid w:val="004E2BD2"/>
    <w:rsid w:val="004E4831"/>
    <w:rsid w:val="004F21C4"/>
    <w:rsid w:val="004F4B39"/>
    <w:rsid w:val="004F685F"/>
    <w:rsid w:val="00511677"/>
    <w:rsid w:val="00534DBD"/>
    <w:rsid w:val="00552A71"/>
    <w:rsid w:val="005566E8"/>
    <w:rsid w:val="00574867"/>
    <w:rsid w:val="00575B0A"/>
    <w:rsid w:val="0059003F"/>
    <w:rsid w:val="00590297"/>
    <w:rsid w:val="00591460"/>
    <w:rsid w:val="00592628"/>
    <w:rsid w:val="00597431"/>
    <w:rsid w:val="005B46A4"/>
    <w:rsid w:val="005B52AB"/>
    <w:rsid w:val="005B6BEE"/>
    <w:rsid w:val="005C3777"/>
    <w:rsid w:val="005C5CDC"/>
    <w:rsid w:val="005D476C"/>
    <w:rsid w:val="00600949"/>
    <w:rsid w:val="00606F1E"/>
    <w:rsid w:val="00610812"/>
    <w:rsid w:val="006219F8"/>
    <w:rsid w:val="00627775"/>
    <w:rsid w:val="00650FF7"/>
    <w:rsid w:val="00665D70"/>
    <w:rsid w:val="00671DAC"/>
    <w:rsid w:val="006900D9"/>
    <w:rsid w:val="006935DA"/>
    <w:rsid w:val="006A325A"/>
    <w:rsid w:val="006B2999"/>
    <w:rsid w:val="006D12F8"/>
    <w:rsid w:val="006D1DEC"/>
    <w:rsid w:val="006F2449"/>
    <w:rsid w:val="006F4759"/>
    <w:rsid w:val="00700730"/>
    <w:rsid w:val="00706C16"/>
    <w:rsid w:val="0072091A"/>
    <w:rsid w:val="007250B8"/>
    <w:rsid w:val="00743973"/>
    <w:rsid w:val="00756841"/>
    <w:rsid w:val="007649AB"/>
    <w:rsid w:val="00765531"/>
    <w:rsid w:val="00771D0C"/>
    <w:rsid w:val="00774985"/>
    <w:rsid w:val="00777050"/>
    <w:rsid w:val="007833AC"/>
    <w:rsid w:val="007B268C"/>
    <w:rsid w:val="007B7171"/>
    <w:rsid w:val="007C0C0F"/>
    <w:rsid w:val="007C3003"/>
    <w:rsid w:val="007C3DC2"/>
    <w:rsid w:val="007E5497"/>
    <w:rsid w:val="007F55F5"/>
    <w:rsid w:val="007F796B"/>
    <w:rsid w:val="00806F5F"/>
    <w:rsid w:val="00820278"/>
    <w:rsid w:val="00820DEF"/>
    <w:rsid w:val="00835A90"/>
    <w:rsid w:val="00843F79"/>
    <w:rsid w:val="008574C9"/>
    <w:rsid w:val="00864BFA"/>
    <w:rsid w:val="00875650"/>
    <w:rsid w:val="008843B6"/>
    <w:rsid w:val="00891928"/>
    <w:rsid w:val="00893F4B"/>
    <w:rsid w:val="00895FEF"/>
    <w:rsid w:val="008A446D"/>
    <w:rsid w:val="008D180B"/>
    <w:rsid w:val="008F0EA7"/>
    <w:rsid w:val="008F233A"/>
    <w:rsid w:val="00922123"/>
    <w:rsid w:val="00923EEF"/>
    <w:rsid w:val="009364F7"/>
    <w:rsid w:val="009419F9"/>
    <w:rsid w:val="0095516A"/>
    <w:rsid w:val="009551A6"/>
    <w:rsid w:val="0095685E"/>
    <w:rsid w:val="00961B09"/>
    <w:rsid w:val="00964C6D"/>
    <w:rsid w:val="00965334"/>
    <w:rsid w:val="0097093C"/>
    <w:rsid w:val="0097093E"/>
    <w:rsid w:val="009A0DFA"/>
    <w:rsid w:val="009B2D26"/>
    <w:rsid w:val="009C71FA"/>
    <w:rsid w:val="009C72E7"/>
    <w:rsid w:val="009D1070"/>
    <w:rsid w:val="009D3058"/>
    <w:rsid w:val="009D75FC"/>
    <w:rsid w:val="009E793B"/>
    <w:rsid w:val="009F3A13"/>
    <w:rsid w:val="00A05607"/>
    <w:rsid w:val="00A122D3"/>
    <w:rsid w:val="00A1392C"/>
    <w:rsid w:val="00A17F13"/>
    <w:rsid w:val="00A20739"/>
    <w:rsid w:val="00A339BC"/>
    <w:rsid w:val="00A33C78"/>
    <w:rsid w:val="00A50565"/>
    <w:rsid w:val="00A644C2"/>
    <w:rsid w:val="00A71244"/>
    <w:rsid w:val="00AB0ADB"/>
    <w:rsid w:val="00AD0714"/>
    <w:rsid w:val="00B01B1A"/>
    <w:rsid w:val="00B3201F"/>
    <w:rsid w:val="00B41ACE"/>
    <w:rsid w:val="00B44A6C"/>
    <w:rsid w:val="00B45AF3"/>
    <w:rsid w:val="00B72CD3"/>
    <w:rsid w:val="00B72FFF"/>
    <w:rsid w:val="00B85A83"/>
    <w:rsid w:val="00B97CE4"/>
    <w:rsid w:val="00BB628E"/>
    <w:rsid w:val="00BC3D36"/>
    <w:rsid w:val="00BD1F69"/>
    <w:rsid w:val="00BD7F72"/>
    <w:rsid w:val="00C04FB3"/>
    <w:rsid w:val="00C07562"/>
    <w:rsid w:val="00C13B07"/>
    <w:rsid w:val="00C262A6"/>
    <w:rsid w:val="00C330EB"/>
    <w:rsid w:val="00C607C1"/>
    <w:rsid w:val="00C62FF3"/>
    <w:rsid w:val="00C754BE"/>
    <w:rsid w:val="00C76B1C"/>
    <w:rsid w:val="00CB6357"/>
    <w:rsid w:val="00CC1B26"/>
    <w:rsid w:val="00CD7913"/>
    <w:rsid w:val="00D0283E"/>
    <w:rsid w:val="00D10696"/>
    <w:rsid w:val="00D127B4"/>
    <w:rsid w:val="00D423A2"/>
    <w:rsid w:val="00D520D8"/>
    <w:rsid w:val="00D63AC2"/>
    <w:rsid w:val="00D734E5"/>
    <w:rsid w:val="00D7383B"/>
    <w:rsid w:val="00DA1B84"/>
    <w:rsid w:val="00DA231B"/>
    <w:rsid w:val="00DA23A0"/>
    <w:rsid w:val="00DC39FC"/>
    <w:rsid w:val="00DE41F2"/>
    <w:rsid w:val="00DE51A1"/>
    <w:rsid w:val="00DF2DCD"/>
    <w:rsid w:val="00DF5254"/>
    <w:rsid w:val="00E16408"/>
    <w:rsid w:val="00E20894"/>
    <w:rsid w:val="00E245AB"/>
    <w:rsid w:val="00E2764C"/>
    <w:rsid w:val="00E27F2E"/>
    <w:rsid w:val="00E4113C"/>
    <w:rsid w:val="00E4137B"/>
    <w:rsid w:val="00E413EA"/>
    <w:rsid w:val="00E5090D"/>
    <w:rsid w:val="00E50AFE"/>
    <w:rsid w:val="00E75C92"/>
    <w:rsid w:val="00E771DC"/>
    <w:rsid w:val="00E80F5B"/>
    <w:rsid w:val="00E8772A"/>
    <w:rsid w:val="00E90F6B"/>
    <w:rsid w:val="00E92C27"/>
    <w:rsid w:val="00EA0E3D"/>
    <w:rsid w:val="00EA4759"/>
    <w:rsid w:val="00EA77DF"/>
    <w:rsid w:val="00EC38A7"/>
    <w:rsid w:val="00EE1AA8"/>
    <w:rsid w:val="00EE6395"/>
    <w:rsid w:val="00F111CD"/>
    <w:rsid w:val="00F30C2A"/>
    <w:rsid w:val="00F31EDC"/>
    <w:rsid w:val="00F462B3"/>
    <w:rsid w:val="00F5294E"/>
    <w:rsid w:val="00F548FB"/>
    <w:rsid w:val="00F5664F"/>
    <w:rsid w:val="00F666C4"/>
    <w:rsid w:val="00F76AFC"/>
    <w:rsid w:val="00F8061F"/>
    <w:rsid w:val="00F90EBA"/>
    <w:rsid w:val="00FA47C0"/>
    <w:rsid w:val="00FB0D48"/>
    <w:rsid w:val="00FB5DD1"/>
    <w:rsid w:val="00FC2B5D"/>
    <w:rsid w:val="00FD56EB"/>
    <w:rsid w:val="00FE5CA9"/>
    <w:rsid w:val="00FE7CA1"/>
    <w:rsid w:val="00FF1449"/>
    <w:rsid w:val="00FF1B8E"/>
    <w:rsid w:val="00FF6184"/>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606F1E"/>
    <w:pPr>
      <w:spacing w:line="240" w:lineRule="exact"/>
    </w:pPr>
    <w:rPr>
      <w:vertAlign w:val="superscript"/>
    </w:rPr>
  </w:style>
  <w:style w:type="character" w:styleId="Refdecomentario">
    <w:name w:val="annotation reference"/>
    <w:basedOn w:val="Fuentedeprrafopredeter"/>
    <w:uiPriority w:val="99"/>
    <w:semiHidden/>
    <w:unhideWhenUsed/>
    <w:rsid w:val="00606F1E"/>
    <w:rPr>
      <w:sz w:val="16"/>
      <w:szCs w:val="16"/>
    </w:rPr>
  </w:style>
  <w:style w:type="paragraph" w:styleId="Textocomentario">
    <w:name w:val="annotation text"/>
    <w:basedOn w:val="Normal"/>
    <w:link w:val="TextocomentarioCar"/>
    <w:uiPriority w:val="99"/>
    <w:unhideWhenUsed/>
    <w:rsid w:val="00606F1E"/>
    <w:pPr>
      <w:spacing w:line="240" w:lineRule="auto"/>
    </w:pPr>
    <w:rPr>
      <w:sz w:val="20"/>
      <w:szCs w:val="20"/>
    </w:rPr>
  </w:style>
  <w:style w:type="character" w:customStyle="1" w:styleId="TextocomentarioCar">
    <w:name w:val="Texto comentario Car"/>
    <w:basedOn w:val="Fuentedeprrafopredeter"/>
    <w:link w:val="Textocomentario"/>
    <w:uiPriority w:val="99"/>
    <w:rsid w:val="00606F1E"/>
    <w:rPr>
      <w:sz w:val="20"/>
      <w:szCs w:val="20"/>
    </w:rPr>
  </w:style>
  <w:style w:type="character" w:styleId="Textoennegrita">
    <w:name w:val="Strong"/>
    <w:basedOn w:val="Fuentedeprrafopredeter"/>
    <w:uiPriority w:val="22"/>
    <w:qFormat/>
    <w:rsid w:val="00606F1E"/>
    <w:rPr>
      <w:b/>
      <w:b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06F1E"/>
    <w:rPr>
      <w:rFonts w:ascii="Geomanist Light" w:hAnsi="Geomanist Light"/>
      <w:lang w:val="es-ES"/>
    </w:rPr>
  </w:style>
  <w:style w:type="character" w:customStyle="1" w:styleId="NormalWebCar">
    <w:name w:val="Normal (Web) Car"/>
    <w:link w:val="NormalWeb"/>
    <w:uiPriority w:val="99"/>
    <w:rsid w:val="00606F1E"/>
    <w:rPr>
      <w:rFonts w:ascii="Times New Roman" w:eastAsia="Times New Roman" w:hAnsi="Times New Roman" w:cs="Times New Roman"/>
      <w:sz w:val="24"/>
      <w:szCs w:val="24"/>
      <w:lang w:eastAsia="es-CO"/>
    </w:rPr>
  </w:style>
  <w:style w:type="character" w:customStyle="1" w:styleId="baj">
    <w:name w:val="b_aj"/>
    <w:basedOn w:val="Fuentedeprrafopredeter"/>
    <w:rsid w:val="00606F1E"/>
  </w:style>
  <w:style w:type="paragraph" w:styleId="Asuntodelcomentario">
    <w:name w:val="annotation subject"/>
    <w:basedOn w:val="Textocomentario"/>
    <w:next w:val="Textocomentario"/>
    <w:link w:val="AsuntodelcomentarioCar"/>
    <w:uiPriority w:val="99"/>
    <w:semiHidden/>
    <w:unhideWhenUsed/>
    <w:rsid w:val="00342DF7"/>
    <w:rPr>
      <w:b/>
      <w:bCs/>
    </w:rPr>
  </w:style>
  <w:style w:type="character" w:customStyle="1" w:styleId="AsuntodelcomentarioCar">
    <w:name w:val="Asunto del comentario Car"/>
    <w:basedOn w:val="TextocomentarioCar"/>
    <w:link w:val="Asuntodelcomentario"/>
    <w:uiPriority w:val="99"/>
    <w:semiHidden/>
    <w:rsid w:val="00342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busqueda/concepto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providencias/66001-23-31-000-1999-00435-01_24809_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gela.lora@fiscalia.gov.co" TargetMode="External"/><Relationship Id="rId5" Type="http://schemas.openxmlformats.org/officeDocument/2006/relationships/styles" Target="styles.xml"/><Relationship Id="rId15" Type="http://schemas.openxmlformats.org/officeDocument/2006/relationships/hyperlink" Target="https://www.colombiacompra.gov.co/documentos-tipo/documentos-tipo"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ala-de-prensa/boletin-dig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Santiago Alberto Herrera Morillo</DisplayName>
        <AccountId>821</AccountId>
        <AccountType/>
      </UserInfo>
      <UserInfo>
        <DisplayName>Alejandro Sarmiento</DisplayName>
        <AccountId>119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9FC7376A-9B23-452F-B8EF-D87D881E8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2513</Words>
  <Characters>13825</Characters>
  <Application>Microsoft Office Word</Application>
  <DocSecurity>0</DocSecurity>
  <Lines>115</Lines>
  <Paragraphs>32</Paragraphs>
  <ScaleCrop>false</ScaleCrop>
  <Company/>
  <LinksUpToDate>false</LinksUpToDate>
  <CharactersWithSpaces>16306</CharactersWithSpaces>
  <SharedDoc>false</SharedDoc>
  <HLinks>
    <vt:vector size="30" baseType="variant">
      <vt:variant>
        <vt:i4>4653144</vt:i4>
      </vt:variant>
      <vt:variant>
        <vt:i4>12</vt:i4>
      </vt:variant>
      <vt:variant>
        <vt:i4>0</vt:i4>
      </vt:variant>
      <vt:variant>
        <vt:i4>5</vt:i4>
      </vt:variant>
      <vt:variant>
        <vt:lpwstr>https://www.colombiacompra.gov.co/documentos-tipo/documentos-tipo</vt:lpwstr>
      </vt:variant>
      <vt:variant>
        <vt:lpwstr/>
      </vt:variant>
      <vt:variant>
        <vt:i4>5439494</vt:i4>
      </vt:variant>
      <vt:variant>
        <vt:i4>9</vt:i4>
      </vt:variant>
      <vt:variant>
        <vt:i4>0</vt:i4>
      </vt:variant>
      <vt:variant>
        <vt:i4>5</vt:i4>
      </vt:variant>
      <vt:variant>
        <vt:lpwstr>https://www.colombiacompra.gov.co/sala-de-prensa/boletin-digital</vt:lpwstr>
      </vt:variant>
      <vt:variant>
        <vt:lpwstr/>
      </vt:variant>
      <vt:variant>
        <vt:i4>7471218</vt:i4>
      </vt:variant>
      <vt:variant>
        <vt:i4>6</vt:i4>
      </vt:variant>
      <vt:variant>
        <vt:i4>0</vt:i4>
      </vt:variant>
      <vt:variant>
        <vt:i4>5</vt:i4>
      </vt:variant>
      <vt:variant>
        <vt:lpwstr>https://relatoria.colombiacompra.gov.co/busqueda/conceptos</vt:lpwstr>
      </vt:variant>
      <vt:variant>
        <vt:lpwstr/>
      </vt:variant>
      <vt:variant>
        <vt:i4>7864430</vt:i4>
      </vt:variant>
      <vt:variant>
        <vt:i4>3</vt:i4>
      </vt:variant>
      <vt:variant>
        <vt:i4>0</vt:i4>
      </vt:variant>
      <vt:variant>
        <vt:i4>5</vt:i4>
      </vt:variant>
      <vt:variant>
        <vt:lpwstr>https://relatoria.colombiacompra.gov.co/providencias/66001-23-31-000-1999-00435-01_24809_a/</vt:lpwstr>
      </vt:variant>
      <vt:variant>
        <vt:lpwstr/>
      </vt:variant>
      <vt:variant>
        <vt:i4>3473419</vt:i4>
      </vt:variant>
      <vt:variant>
        <vt:i4>0</vt:i4>
      </vt:variant>
      <vt:variant>
        <vt:i4>0</vt:i4>
      </vt:variant>
      <vt:variant>
        <vt:i4>5</vt:i4>
      </vt:variant>
      <vt:variant>
        <vt:lpwstr>mailto:angela.lora@fiscalia.gov.co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11</cp:revision>
  <cp:lastPrinted>2023-01-10T21:18:00Z</cp:lastPrinted>
  <dcterms:created xsi:type="dcterms:W3CDTF">2024-07-10T20:53:00Z</dcterms:created>
  <dcterms:modified xsi:type="dcterms:W3CDTF">2024-07-24T05:18:00Z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