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A2C07" w:rsidR="00061297" w:rsidP="00061297" w:rsidRDefault="00061297" w14:paraId="3FDFF398" w14:textId="77777777">
      <w:pPr>
        <w:spacing w:after="0" w:line="240" w:lineRule="auto"/>
        <w:jc w:val="both"/>
        <w:rPr>
          <w:rFonts w:ascii="Verdana" w:hAnsi="Verdana" w:eastAsia="Calibri"/>
          <w:b/>
          <w:bCs/>
          <w:lang w:val="es-ES_tradnl"/>
        </w:rPr>
      </w:pPr>
      <w:bookmarkStart w:name="_Hlk143780582" w:id="0"/>
      <w:r w:rsidRPr="004A2C07">
        <w:rPr>
          <w:rFonts w:ascii="Verdana" w:hAnsi="Verdana"/>
          <w:b/>
          <w:bCs/>
          <w:lang w:val="es-ES_tradnl"/>
        </w:rPr>
        <w:t xml:space="preserve">CONTRATOS CON ESAL </w:t>
      </w:r>
      <w:r w:rsidRPr="004A2C07">
        <w:rPr>
          <w:rFonts w:ascii="Verdana" w:hAnsi="Verdana" w:eastAsia="Calibri"/>
          <w:b/>
          <w:bCs/>
          <w:lang w:val="es-ES_tradnl"/>
        </w:rPr>
        <w:t>–</w:t>
      </w:r>
      <w:r w:rsidRPr="004A2C07">
        <w:rPr>
          <w:rFonts w:ascii="Verdana" w:hAnsi="Verdana"/>
          <w:b/>
          <w:bCs/>
          <w:lang w:val="es-ES_tradnl"/>
        </w:rPr>
        <w:t xml:space="preserve"> Artículo 355 </w:t>
      </w:r>
      <w:r w:rsidRPr="004A2C07">
        <w:rPr>
          <w:rFonts w:ascii="Verdana" w:hAnsi="Verdana" w:eastAsia="Calibri"/>
          <w:b/>
          <w:bCs/>
          <w:lang w:val="es-ES_tradnl"/>
        </w:rPr>
        <w:t>–</w:t>
      </w:r>
      <w:r w:rsidRPr="004A2C07">
        <w:rPr>
          <w:rFonts w:ascii="Verdana" w:hAnsi="Verdana"/>
          <w:b/>
          <w:bCs/>
          <w:lang w:val="es-ES_tradnl"/>
        </w:rPr>
        <w:t xml:space="preserve"> Constitución </w:t>
      </w:r>
      <w:r w:rsidRPr="004A2C07">
        <w:rPr>
          <w:rFonts w:ascii="Verdana" w:hAnsi="Verdana" w:eastAsia="Calibri"/>
          <w:b/>
          <w:bCs/>
          <w:lang w:val="es-ES_tradnl"/>
        </w:rPr>
        <w:t xml:space="preserve">– Fundamento </w:t>
      </w:r>
    </w:p>
    <w:p w:rsidRPr="004A2C07" w:rsidR="00061297" w:rsidP="00061297" w:rsidRDefault="00061297" w14:paraId="0D90D375" w14:textId="77777777">
      <w:pPr>
        <w:spacing w:after="0" w:line="240" w:lineRule="auto"/>
        <w:jc w:val="both"/>
        <w:rPr>
          <w:rFonts w:ascii="Verdana" w:hAnsi="Verdana" w:eastAsia="Calibri"/>
          <w:b/>
          <w:bCs/>
          <w:sz w:val="20"/>
          <w:szCs w:val="20"/>
          <w:lang w:val="es-ES_tradnl"/>
        </w:rPr>
      </w:pPr>
    </w:p>
    <w:p w:rsidRPr="004A2C07" w:rsidR="00061297" w:rsidP="00061297" w:rsidRDefault="00061297" w14:paraId="080CDCB0" w14:textId="77777777">
      <w:pPr>
        <w:spacing w:after="0" w:line="240" w:lineRule="auto"/>
        <w:jc w:val="both"/>
        <w:rPr>
          <w:rFonts w:ascii="Verdana" w:hAnsi="Verdana" w:eastAsia="Calibri" w:cs="Arial"/>
          <w:color w:val="000000" w:themeColor="text1"/>
          <w:sz w:val="20"/>
          <w:szCs w:val="20"/>
        </w:rPr>
      </w:pPr>
      <w:r w:rsidRPr="004A2C07">
        <w:rPr>
          <w:rFonts w:ascii="Verdana" w:hAnsi="Verdana" w:eastAsia="Calibri" w:cs="Arial"/>
          <w:color w:val="000000" w:themeColor="text1"/>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de Desarrollo y los planes seccionales de desarrollo. En concordancia con lo anterior,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rsidRPr="004A2C07" w:rsidR="00061297" w:rsidP="00061297" w:rsidRDefault="00061297" w14:paraId="707B13B7" w14:textId="77777777">
      <w:pPr>
        <w:spacing w:after="0" w:line="240" w:lineRule="auto"/>
        <w:jc w:val="both"/>
        <w:rPr>
          <w:rFonts w:ascii="Verdana" w:hAnsi="Verdana" w:eastAsia="Calibri"/>
          <w:b/>
          <w:bCs/>
          <w:sz w:val="20"/>
          <w:szCs w:val="20"/>
        </w:rPr>
      </w:pPr>
    </w:p>
    <w:p w:rsidRPr="004A2C07" w:rsidR="00061297" w:rsidP="00061297" w:rsidRDefault="00061297" w14:paraId="3CB05422" w14:textId="77777777">
      <w:pPr>
        <w:spacing w:after="0" w:line="240" w:lineRule="auto"/>
        <w:jc w:val="both"/>
        <w:rPr>
          <w:rFonts w:ascii="Verdana" w:hAnsi="Verdana"/>
          <w:b/>
          <w:bCs/>
          <w:lang w:val="es-ES_tradnl"/>
        </w:rPr>
      </w:pPr>
      <w:r w:rsidRPr="004A2C07">
        <w:rPr>
          <w:rFonts w:ascii="Verdana" w:hAnsi="Verdana"/>
          <w:b/>
          <w:bCs/>
          <w:lang w:val="es-ES_tradnl"/>
        </w:rPr>
        <w:t xml:space="preserve">TIPOS DE CONTRATOS </w:t>
      </w:r>
      <w:r w:rsidRPr="004A2C07">
        <w:rPr>
          <w:rFonts w:ascii="Verdana" w:hAnsi="Verdana" w:eastAsia="Calibri"/>
          <w:b/>
          <w:bCs/>
          <w:lang w:val="es-ES_tradnl"/>
        </w:rPr>
        <w:t>–</w:t>
      </w:r>
      <w:r w:rsidRPr="004A2C07">
        <w:rPr>
          <w:rFonts w:ascii="Verdana" w:hAnsi="Verdana"/>
          <w:b/>
          <w:bCs/>
          <w:lang w:val="es-ES_tradnl"/>
        </w:rPr>
        <w:t xml:space="preserve"> Constitución Política – Artículo 355 </w:t>
      </w:r>
      <w:r w:rsidRPr="004A2C07">
        <w:rPr>
          <w:rFonts w:ascii="Verdana" w:hAnsi="Verdana" w:eastAsia="Calibri"/>
          <w:b/>
          <w:bCs/>
          <w:lang w:val="es-ES_tradnl"/>
        </w:rPr>
        <w:t>–</w:t>
      </w:r>
      <w:r w:rsidRPr="004A2C07">
        <w:rPr>
          <w:rFonts w:ascii="Verdana" w:hAnsi="Verdana"/>
          <w:b/>
          <w:bCs/>
          <w:lang w:val="es-ES_tradnl"/>
        </w:rPr>
        <w:t xml:space="preserve"> Ley 489 de 1998 – Artículo 96 </w:t>
      </w:r>
    </w:p>
    <w:p w:rsidRPr="004A2C07" w:rsidR="00061297" w:rsidP="00061297" w:rsidRDefault="00061297" w14:paraId="5398718B" w14:textId="77777777">
      <w:pPr>
        <w:spacing w:after="0" w:line="240" w:lineRule="auto"/>
        <w:jc w:val="both"/>
        <w:rPr>
          <w:rFonts w:ascii="Verdana" w:hAnsi="Verdana"/>
          <w:b/>
          <w:bCs/>
          <w:sz w:val="20"/>
          <w:szCs w:val="20"/>
          <w:lang w:val="es-ES_tradnl"/>
        </w:rPr>
      </w:pPr>
    </w:p>
    <w:p w:rsidRPr="004A2C07" w:rsidR="00061297" w:rsidP="00061297" w:rsidRDefault="00061297" w14:paraId="1A48CF7E" w14:textId="77777777">
      <w:pPr>
        <w:spacing w:after="0" w:line="240" w:lineRule="auto"/>
        <w:jc w:val="both"/>
        <w:rPr>
          <w:rFonts w:ascii="Verdana" w:hAnsi="Verdana" w:eastAsia="Calibri" w:cs="Arial"/>
          <w:color w:val="000000"/>
          <w:sz w:val="20"/>
          <w:szCs w:val="20"/>
        </w:rPr>
      </w:pPr>
      <w:r w:rsidRPr="004A2C07">
        <w:rPr>
          <w:rFonts w:ascii="Verdana" w:hAnsi="Verdana" w:cs="Arial"/>
          <w:sz w:val="20"/>
          <w:szCs w:val="20"/>
          <w:lang w:val="es-MX"/>
        </w:rPr>
        <w:t>El Gobierno Nacional, en desarrollo del artículo 355 de la Constitución Política, expidió el Decreto 092 de 2017, q</w:t>
      </w:r>
      <w:r w:rsidRPr="004A2C07">
        <w:rPr>
          <w:rFonts w:ascii="Verdana" w:hAnsi="Verdana" w:eastAsia="Calibri" w:cs="Arial"/>
          <w:sz w:val="20"/>
          <w:szCs w:val="20"/>
          <w:lang w:val="es-MX"/>
        </w:rPr>
        <w:t xml:space="preserve">ue dispone las reglas para las contrataciones que realicen las Entidades Estatales con las ESAL. </w:t>
      </w:r>
      <w:r w:rsidRPr="004A2C07">
        <w:rPr>
          <w:rFonts w:ascii="Verdana" w:hAnsi="Verdana" w:eastAsia="Calibri" w:cs="Arial"/>
          <w:sz w:val="20"/>
          <w:szCs w:val="20"/>
        </w:rPr>
        <w:t>E</w:t>
      </w:r>
      <w:r w:rsidRPr="004A2C07">
        <w:rPr>
          <w:rFonts w:ascii="Verdana" w:hAnsi="Verdana" w:eastAsia="Calibri" w:cs="Arial"/>
          <w:color w:val="000000" w:themeColor="text1"/>
          <w:sz w:val="20"/>
          <w:szCs w:val="20"/>
        </w:rPr>
        <w:t xml:space="preserve">l Decreto regula dos (2) eventos: i) </w:t>
      </w:r>
      <w:r w:rsidRPr="004A2C07">
        <w:rPr>
          <w:rFonts w:ascii="Verdana" w:hAnsi="Verdana" w:eastAsia="Calibri" w:cs="Arial"/>
          <w:sz w:val="20"/>
          <w:szCs w:val="20"/>
        </w:rPr>
        <w:t xml:space="preserve">los </w:t>
      </w:r>
      <w:r w:rsidRPr="004A2C07">
        <w:rPr>
          <w:rFonts w:ascii="Verdana" w:hAnsi="Verdana" w:eastAsia="Calibri" w:cs="Arial"/>
          <w:i/>
          <w:iCs/>
          <w:sz w:val="20"/>
          <w:szCs w:val="20"/>
        </w:rPr>
        <w:t>contratos de colaboración</w:t>
      </w:r>
      <w:r w:rsidRPr="004A2C07">
        <w:rPr>
          <w:rFonts w:ascii="Verdana" w:hAnsi="Verdana" w:eastAsia="Calibri" w:cs="Arial"/>
          <w:sz w:val="20"/>
          <w:szCs w:val="20"/>
        </w:rPr>
        <w:t xml:space="preserve"> o de interés público, con el fin impulsar programas y actividades de interés público de acuerdo con el Plan Nacional o los planes seccionales de desarrollo, en los términos del artículo 355 de la Constitución Política</w:t>
      </w:r>
      <w:r w:rsidRPr="004A2C07">
        <w:rPr>
          <w:rFonts w:ascii="Verdana" w:hAnsi="Verdana" w:eastAsia="Calibri" w:cs="Arial"/>
          <w:color w:val="000000" w:themeColor="text1"/>
          <w:sz w:val="20"/>
          <w:szCs w:val="20"/>
        </w:rPr>
        <w:t xml:space="preserve"> y; ii) los </w:t>
      </w:r>
      <w:r w:rsidRPr="004A2C07">
        <w:rPr>
          <w:rFonts w:ascii="Verdana" w:hAnsi="Verdana" w:eastAsia="Calibri" w:cs="Arial"/>
          <w:i/>
          <w:iCs/>
          <w:color w:val="000000" w:themeColor="text1"/>
          <w:sz w:val="20"/>
          <w:szCs w:val="20"/>
        </w:rPr>
        <w:t>convenios de asociación</w:t>
      </w:r>
      <w:r w:rsidRPr="004A2C07">
        <w:rPr>
          <w:rFonts w:ascii="Verdana" w:hAnsi="Verdana" w:eastAsia="Calibri" w:cs="Arial"/>
          <w:color w:val="000000" w:themeColor="text1"/>
          <w:sz w:val="20"/>
          <w:szCs w:val="20"/>
        </w:rPr>
        <w:t xml:space="preserve">, para el desarrollo conjunto de actividades relacionadas con las funciones de las Entidades Estatales, en desarrollo del artículo 96 de la Ley 489 de 1998. </w:t>
      </w:r>
      <w:r w:rsidRPr="004A2C07">
        <w:rPr>
          <w:rFonts w:ascii="Verdana" w:hAnsi="Verdana" w:eastAsia="Calibri" w:cs="Arial"/>
          <w:color w:val="000000"/>
          <w:sz w:val="20"/>
          <w:szCs w:val="20"/>
          <w:lang w:val="es-MX"/>
        </w:rPr>
        <w:t xml:space="preserve">Los primeros están regulados en el artículo 2 del Decreto 092 de 2017, mientras que los segundos en los artículos 5, 6, 7 y 8 </w:t>
      </w:r>
      <w:r w:rsidRPr="004A2C07">
        <w:rPr>
          <w:rFonts w:ascii="Verdana" w:hAnsi="Verdana" w:eastAsia="Calibri" w:cs="Arial"/>
          <w:i/>
          <w:iCs/>
          <w:color w:val="000000"/>
          <w:sz w:val="20"/>
          <w:szCs w:val="20"/>
          <w:lang w:val="es-MX"/>
        </w:rPr>
        <w:t>ibidem</w:t>
      </w:r>
      <w:r w:rsidRPr="004A2C07">
        <w:rPr>
          <w:rFonts w:ascii="Verdana" w:hAnsi="Verdana" w:eastAsia="Calibri" w:cs="Arial"/>
          <w:color w:val="000000"/>
          <w:sz w:val="20"/>
          <w:szCs w:val="20"/>
          <w:lang w:val="es-MX"/>
        </w:rPr>
        <w:t xml:space="preserve">. </w:t>
      </w:r>
    </w:p>
    <w:p w:rsidRPr="004A2C07" w:rsidR="00061297" w:rsidP="00061297" w:rsidRDefault="00061297" w14:paraId="764CE11F" w14:textId="77777777">
      <w:pPr>
        <w:spacing w:after="0" w:line="240" w:lineRule="auto"/>
        <w:jc w:val="both"/>
        <w:rPr>
          <w:rFonts w:ascii="Verdana" w:hAnsi="Verdana"/>
          <w:b/>
          <w:bCs/>
          <w:sz w:val="20"/>
          <w:szCs w:val="20"/>
        </w:rPr>
      </w:pPr>
    </w:p>
    <w:p w:rsidRPr="004A2C07" w:rsidR="00061297" w:rsidP="00061297" w:rsidRDefault="00061297" w14:paraId="7E6565FB" w14:textId="77777777">
      <w:pPr>
        <w:spacing w:after="0" w:line="240" w:lineRule="auto"/>
        <w:jc w:val="both"/>
        <w:rPr>
          <w:rFonts w:ascii="Verdana" w:hAnsi="Verdana" w:eastAsia="Calibri" w:cs="Arial"/>
          <w:b/>
          <w:bCs/>
        </w:rPr>
      </w:pPr>
      <w:r w:rsidRPr="004A2C07">
        <w:rPr>
          <w:rFonts w:ascii="Verdana" w:hAnsi="Verdana" w:eastAsia="Calibri" w:cs="Arial"/>
          <w:b/>
          <w:bCs/>
        </w:rPr>
        <w:t xml:space="preserve">SOCIEDAD DE ECONOMÍA MIXTA – Régimen contractual – Capacidad contractual </w:t>
      </w:r>
    </w:p>
    <w:p w:rsidRPr="004A2C07" w:rsidR="00061297" w:rsidP="00061297" w:rsidRDefault="00061297" w14:paraId="13065AFA" w14:textId="77777777">
      <w:pPr>
        <w:spacing w:after="0" w:line="240" w:lineRule="auto"/>
        <w:jc w:val="both"/>
        <w:rPr>
          <w:rFonts w:ascii="Verdana" w:hAnsi="Verdana" w:cs="Arial"/>
          <w:color w:val="000000" w:themeColor="text1"/>
          <w:sz w:val="20"/>
          <w:szCs w:val="20"/>
        </w:rPr>
      </w:pPr>
    </w:p>
    <w:p w:rsidRPr="004A2C07" w:rsidR="00061297" w:rsidP="00061297" w:rsidRDefault="00061297" w14:paraId="75DCE7FB" w14:textId="77777777">
      <w:pPr>
        <w:spacing w:after="0" w:line="240" w:lineRule="auto"/>
        <w:jc w:val="both"/>
        <w:rPr>
          <w:rFonts w:ascii="Verdana" w:hAnsi="Verdana" w:eastAsia="Calibri" w:cs="Arial"/>
          <w:color w:val="000000" w:themeColor="text1"/>
          <w:sz w:val="20"/>
          <w:szCs w:val="20"/>
        </w:rPr>
      </w:pPr>
      <w:r w:rsidRPr="004A2C07">
        <w:rPr>
          <w:rFonts w:ascii="Verdana" w:hAnsi="Verdana" w:cs="Arial"/>
          <w:color w:val="000000" w:themeColor="text1"/>
          <w:sz w:val="20"/>
          <w:szCs w:val="20"/>
          <w:lang w:val="es-ES_tradnl" w:eastAsia="es-MX"/>
        </w:rPr>
        <w:t xml:space="preserve">En ese orden de ideas, para dar respuesta a su pregunta </w:t>
      </w:r>
      <w:r w:rsidRPr="004A2C07">
        <w:rPr>
          <w:rFonts w:ascii="Verdana" w:hAnsi="Verdana" w:eastAsia="Calibri" w:cs="Arial"/>
          <w:color w:val="000000" w:themeColor="text1"/>
          <w:sz w:val="20"/>
          <w:szCs w:val="20"/>
        </w:rPr>
        <w:t>referente a si una Sociedad de Economía Mixta puede suscribir un contrato de colaboración o un convenio de asociación</w:t>
      </w:r>
      <w:r w:rsidRPr="004A2C07">
        <w:rPr>
          <w:rFonts w:ascii="Verdana" w:hAnsi="Verdana" w:cs="Arial"/>
          <w:color w:val="000000" w:themeColor="text1"/>
          <w:sz w:val="20"/>
          <w:szCs w:val="20"/>
          <w:lang w:val="es-ES_tradnl" w:eastAsia="es-MX"/>
        </w:rPr>
        <w:t xml:space="preserve">, es importante precisar que, </w:t>
      </w:r>
      <w:r w:rsidRPr="004A2C07">
        <w:rPr>
          <w:rFonts w:ascii="Verdana" w:hAnsi="Verdana" w:eastAsia="Calibri" w:cs="Arial"/>
          <w:color w:val="000000" w:themeColor="text1"/>
          <w:sz w:val="20"/>
          <w:szCs w:val="20"/>
        </w:rPr>
        <w:t xml:space="preserve">dado que las disposiciones analizadas señalan que </w:t>
      </w:r>
      <w:r w:rsidRPr="004A2C07">
        <w:rPr>
          <w:rFonts w:ascii="Verdana" w:hAnsi="Verdana" w:eastAsia="Calibri" w:cs="Arial"/>
          <w:color w:val="000000" w:themeColor="text1"/>
          <w:sz w:val="20"/>
          <w:szCs w:val="20"/>
          <w:lang w:val="es-MX"/>
        </w:rPr>
        <w:t xml:space="preserve">pueden ser celebrados por cualquier Entidad Estatal “cualquiera sea su naturaleza y orden administrativo”, las Sociedades de Economía Mixta </w:t>
      </w:r>
      <w:r w:rsidRPr="004A2C07">
        <w:rPr>
          <w:rFonts w:ascii="Verdana" w:hAnsi="Verdana" w:eastAsia="Calibri" w:cs="Arial"/>
          <w:color w:val="000000" w:themeColor="text1"/>
          <w:sz w:val="20"/>
          <w:szCs w:val="20"/>
        </w:rPr>
        <w:t xml:space="preserve">serán competentes para celebrar este tipo de convenios en calidad de contratantes, siempre y cuando el Estado tenga una participación mayor al cincuenta por ciento (50%). Las Sociedades de Economía Mixta en las que el Estado tenga una participación menor a dicho porcentaje, por tener un régimen exceptuado no se sujetaran a las reglas consagradas en el Decreto 092 de 2017, sino al derecho privado y a lo que disponga sus manuales de contratación. </w:t>
      </w:r>
    </w:p>
    <w:p w:rsidRPr="004A2C07" w:rsidR="00061297" w:rsidP="00061297" w:rsidRDefault="00061297" w14:paraId="36BC8D1B" w14:textId="77777777">
      <w:pPr>
        <w:spacing w:after="0" w:line="240" w:lineRule="auto"/>
        <w:jc w:val="both"/>
        <w:rPr>
          <w:rFonts w:ascii="Verdana" w:hAnsi="Verdana" w:cs="Arial"/>
          <w:color w:val="000000" w:themeColor="text1"/>
          <w:sz w:val="20"/>
          <w:szCs w:val="20"/>
        </w:rPr>
      </w:pPr>
    </w:p>
    <w:p w:rsidRPr="004A2C07" w:rsidR="00061297" w:rsidP="00061297" w:rsidRDefault="00061297" w14:paraId="7A7E27A3" w14:textId="77777777">
      <w:pPr>
        <w:spacing w:after="0" w:line="240" w:lineRule="auto"/>
        <w:jc w:val="both"/>
        <w:rPr>
          <w:rFonts w:ascii="Verdana" w:hAnsi="Verdana" w:cs="Arial"/>
          <w:color w:val="000000" w:themeColor="text1"/>
          <w:sz w:val="20"/>
          <w:szCs w:val="20"/>
        </w:rPr>
      </w:pPr>
      <w:r w:rsidRPr="004A2C07">
        <w:rPr>
          <w:rFonts w:ascii="Verdana" w:hAnsi="Verdana" w:cs="Arial"/>
          <w:color w:val="000000" w:themeColor="text1"/>
          <w:sz w:val="20"/>
          <w:szCs w:val="20"/>
        </w:rPr>
        <w:t>[…]</w:t>
      </w:r>
    </w:p>
    <w:p w:rsidR="00061297" w:rsidP="00061297" w:rsidRDefault="00061297" w14:paraId="54C38875" w14:textId="77777777">
      <w:pPr>
        <w:spacing w:after="0" w:line="240" w:lineRule="auto"/>
        <w:jc w:val="both"/>
        <w:rPr>
          <w:rFonts w:ascii="Verdana" w:hAnsi="Verdana" w:cs="Arial"/>
          <w:color w:val="000000" w:themeColor="text1"/>
          <w:sz w:val="20"/>
          <w:szCs w:val="20"/>
        </w:rPr>
      </w:pPr>
    </w:p>
    <w:p w:rsidRPr="004A2C07" w:rsidR="00061297" w:rsidP="00061297" w:rsidRDefault="00061297" w14:paraId="6C56CE3D" w14:textId="77777777">
      <w:pPr>
        <w:spacing w:after="0" w:line="240" w:lineRule="auto"/>
        <w:jc w:val="both"/>
        <w:rPr>
          <w:rFonts w:ascii="Verdana" w:hAnsi="Verdana" w:cs="Arial"/>
          <w:color w:val="000000" w:themeColor="text1"/>
          <w:sz w:val="20"/>
          <w:szCs w:val="20"/>
        </w:rPr>
      </w:pPr>
      <w:r w:rsidRPr="004A2C07">
        <w:rPr>
          <w:rFonts w:ascii="Verdana" w:hAnsi="Verdana" w:cs="Arial"/>
          <w:color w:val="000000" w:themeColor="text1"/>
          <w:sz w:val="20"/>
          <w:szCs w:val="20"/>
        </w:rPr>
        <w:t xml:space="preserve">Según lo expuesto, no es posible clasificar a las Sociedades de Economía Mixta como ESAL. En consecuencia, este tipo de sociedades no pueden suscribir contratos de </w:t>
      </w:r>
      <w:r w:rsidRPr="004A2C07">
        <w:rPr>
          <w:rFonts w:ascii="Verdana" w:hAnsi="Verdana" w:cs="Arial"/>
          <w:color w:val="000000" w:themeColor="text1"/>
          <w:sz w:val="20"/>
          <w:szCs w:val="20"/>
        </w:rPr>
        <w:lastRenderedPageBreak/>
        <w:t xml:space="preserve">colaboración o convenios de colaboración en calidad de contratista en el marco del Decreto 092 de 2007 que regula las contrataciones con ESAL. </w:t>
      </w:r>
    </w:p>
    <w:p w:rsidRPr="004A2C07" w:rsidR="00061297" w:rsidP="00061297" w:rsidRDefault="00061297" w14:paraId="5932DCEA" w14:textId="77777777">
      <w:pPr>
        <w:spacing w:after="0" w:line="240" w:lineRule="auto"/>
        <w:jc w:val="both"/>
        <w:rPr>
          <w:rFonts w:ascii="Verdana" w:hAnsi="Verdana" w:eastAsia="Calibri" w:cs="Arial"/>
          <w:b/>
          <w:bCs/>
          <w:sz w:val="20"/>
          <w:szCs w:val="20"/>
        </w:rPr>
      </w:pPr>
    </w:p>
    <w:p w:rsidRPr="004A2C07" w:rsidR="00061297" w:rsidP="00061297" w:rsidRDefault="00061297" w14:paraId="0F51E66F" w14:textId="77777777">
      <w:pPr>
        <w:spacing w:after="0" w:line="240" w:lineRule="auto"/>
        <w:jc w:val="both"/>
        <w:rPr>
          <w:rFonts w:ascii="Verdana" w:hAnsi="Verdana" w:eastAsia="Calibri" w:cs="Arial"/>
          <w:b/>
          <w:bCs/>
        </w:rPr>
      </w:pPr>
      <w:r w:rsidRPr="004A2C07">
        <w:rPr>
          <w:rFonts w:ascii="Verdana" w:hAnsi="Verdana" w:eastAsia="Calibri" w:cs="Arial"/>
          <w:b/>
          <w:bCs/>
        </w:rPr>
        <w:t>INHABILIDADES E INCOMPATIBILIDADES – Decreto 092 – Remisión</w:t>
      </w:r>
    </w:p>
    <w:p w:rsidRPr="004A2C07" w:rsidR="00061297" w:rsidP="00061297" w:rsidRDefault="00061297" w14:paraId="5401F99A" w14:textId="77777777">
      <w:pPr>
        <w:spacing w:after="0" w:line="240" w:lineRule="auto"/>
        <w:jc w:val="both"/>
        <w:rPr>
          <w:rFonts w:ascii="Verdana" w:hAnsi="Verdana" w:eastAsia="Calibri" w:cs="Arial"/>
          <w:b/>
          <w:bCs/>
          <w:sz w:val="20"/>
          <w:szCs w:val="20"/>
        </w:rPr>
      </w:pPr>
    </w:p>
    <w:p w:rsidRPr="004A2C07" w:rsidR="00061297" w:rsidP="00061297" w:rsidRDefault="00061297" w14:paraId="6AD17B82" w14:textId="77777777">
      <w:pPr>
        <w:spacing w:after="0" w:line="240" w:lineRule="auto"/>
        <w:jc w:val="both"/>
        <w:rPr>
          <w:rFonts w:ascii="Verdana" w:hAnsi="Verdana" w:eastAsia="Calibri" w:cs="Arial"/>
          <w:color w:val="000000" w:themeColor="text1"/>
          <w:sz w:val="20"/>
          <w:szCs w:val="20"/>
          <w:lang w:val="es-MX"/>
        </w:rPr>
      </w:pPr>
      <w:r w:rsidRPr="004A2C07">
        <w:rPr>
          <w:rFonts w:ascii="Verdana" w:hAnsi="Verdana" w:eastAsia="Calibri" w:cs="Arial"/>
          <w:color w:val="000000" w:themeColor="text1"/>
          <w:sz w:val="20"/>
          <w:szCs w:val="20"/>
        </w:rPr>
        <w:t xml:space="preserve">La norma citada hace una remisión total a las normas establecidas en las </w:t>
      </w:r>
      <w:r w:rsidRPr="004A2C07">
        <w:rPr>
          <w:rFonts w:ascii="Verdana" w:hAnsi="Verdana" w:eastAsia="Calibri" w:cs="Arial"/>
          <w:color w:val="000000" w:themeColor="text1"/>
          <w:sz w:val="20"/>
          <w:szCs w:val="20"/>
          <w:lang w:val="es-ES_tradnl"/>
        </w:rPr>
        <w:t xml:space="preserve">Leyes 80 de 1993, 1150 de 2007 y 1474 de 2011 en lo referente a los regímenes de prohibiciones, inhabilidades e incompatibilidades, por lo que estas serán aplicables a los contratos del artículo 355 de la Constitución Política y a los convenios de asociación. </w:t>
      </w:r>
    </w:p>
    <w:p w:rsidRPr="004A2C07" w:rsidR="00061297" w:rsidP="00061297" w:rsidRDefault="00061297" w14:paraId="017C2005" w14:textId="77777777">
      <w:pPr>
        <w:pStyle w:val="Prrafodelista"/>
        <w:spacing w:after="0" w:line="240" w:lineRule="auto"/>
        <w:ind w:left="360"/>
        <w:contextualSpacing w:val="0"/>
        <w:jc w:val="both"/>
        <w:rPr>
          <w:rFonts w:ascii="Verdana" w:hAnsi="Verdana" w:eastAsia="Calibri" w:cs="Arial"/>
          <w:color w:val="000000" w:themeColor="text1"/>
          <w:sz w:val="20"/>
          <w:szCs w:val="20"/>
        </w:rPr>
      </w:pPr>
    </w:p>
    <w:p w:rsidRPr="004A2C07" w:rsidR="00061297" w:rsidP="00061297" w:rsidRDefault="00061297" w14:paraId="11E5019D" w14:textId="77777777">
      <w:pPr>
        <w:spacing w:after="0" w:line="240" w:lineRule="auto"/>
        <w:jc w:val="both"/>
        <w:rPr>
          <w:rFonts w:ascii="Verdana" w:hAnsi="Verdana" w:eastAsia="Calibri" w:cs="Arial"/>
          <w:bCs/>
          <w:sz w:val="20"/>
          <w:szCs w:val="20"/>
          <w:lang w:val="es-MX" w:eastAsia="es-CO"/>
        </w:rPr>
      </w:pPr>
      <w:r w:rsidRPr="004A2C07">
        <w:rPr>
          <w:rFonts w:ascii="Verdana" w:hAnsi="Verdana" w:eastAsia="Calibri" w:cs="Arial"/>
          <w:color w:val="000000" w:themeColor="text1"/>
          <w:sz w:val="20"/>
          <w:szCs w:val="20"/>
        </w:rPr>
        <w:t xml:space="preserve">Pues bien, dado que el peticionario indaga sobre el régimen de inhabilidades e incompatibilidades aplicables a las contrataciones celebradas en virtud del Decreto 092 de 2007, y conforme la remisión que hace el artículo 6 </w:t>
      </w:r>
      <w:r w:rsidRPr="004A2C07">
        <w:rPr>
          <w:rFonts w:ascii="Verdana" w:hAnsi="Verdana" w:eastAsia="Calibri" w:cs="Arial"/>
          <w:i/>
          <w:iCs/>
          <w:color w:val="000000" w:themeColor="text1"/>
          <w:sz w:val="20"/>
          <w:szCs w:val="20"/>
        </w:rPr>
        <w:t>ibidem</w:t>
      </w:r>
      <w:r w:rsidRPr="004A2C07">
        <w:rPr>
          <w:rFonts w:ascii="Verdana" w:hAnsi="Verdana" w:eastAsia="Calibri" w:cs="Arial"/>
          <w:color w:val="000000" w:themeColor="text1"/>
          <w:sz w:val="20"/>
          <w:szCs w:val="20"/>
        </w:rPr>
        <w:t xml:space="preserve"> al EGCAP, </w:t>
      </w:r>
      <w:r w:rsidRPr="004A2C07">
        <w:rPr>
          <w:rFonts w:ascii="Verdana" w:hAnsi="Verdana" w:eastAsia="Calibri" w:cs="Arial"/>
          <w:sz w:val="20"/>
          <w:szCs w:val="20"/>
          <w:lang w:val="es-ES_tradnl"/>
        </w:rPr>
        <w:t xml:space="preserve">en cada caso deberá estudiarse si se está en </w:t>
      </w:r>
      <w:r w:rsidRPr="004A2C07">
        <w:rPr>
          <w:rFonts w:ascii="Verdana" w:hAnsi="Verdana" w:eastAsia="Calibri" w:cs="Arial"/>
          <w:bCs/>
          <w:sz w:val="20"/>
          <w:szCs w:val="20"/>
          <w:lang w:val="es-MX" w:eastAsia="es-CO"/>
        </w:rPr>
        <w:t xml:space="preserve">incurso en alguna causal de inhabilidad o incompatibilidad. </w:t>
      </w:r>
    </w:p>
    <w:p w:rsidRPr="004A2C07" w:rsidR="00061297" w:rsidP="00061297" w:rsidRDefault="00061297" w14:paraId="197B9471" w14:textId="77777777">
      <w:pPr>
        <w:rPr>
          <w:lang w:val="es-MX"/>
        </w:rPr>
      </w:pPr>
    </w:p>
    <w:p w:rsidR="00061297" w:rsidRDefault="00061297" w14:paraId="63B207BE" w14:textId="77777777">
      <w:pPr>
        <w:rPr>
          <w:rFonts w:ascii="Verdana" w:hAnsi="Verdana"/>
        </w:rPr>
      </w:pPr>
      <w:r>
        <w:rPr>
          <w:rFonts w:ascii="Verdana" w:hAnsi="Verdana"/>
        </w:rPr>
        <w:br w:type="page"/>
      </w:r>
    </w:p>
    <w:p w:rsidRPr="0044528D" w:rsidR="00E245AB" w:rsidP="008B5F68" w:rsidRDefault="00E245AB" w14:paraId="3FE2184B" w14:textId="1D838DE3">
      <w:pPr>
        <w:spacing w:after="0" w:line="276" w:lineRule="auto"/>
        <w:rPr>
          <w:rFonts w:ascii="Verdana" w:hAnsi="Verdana"/>
        </w:rPr>
      </w:pPr>
      <w:r w:rsidRPr="0044528D">
        <w:rPr>
          <w:rFonts w:ascii="Verdana" w:hAnsi="Verdana"/>
        </w:rPr>
        <w:lastRenderedPageBreak/>
        <w:t xml:space="preserve">Bogotá D.C., </w:t>
      </w:r>
      <w:r w:rsidR="00103373">
        <w:rPr>
          <w:rFonts w:ascii="Verdana" w:hAnsi="Verdana"/>
        </w:rPr>
        <w:t>6 de agosto de 2024.</w:t>
      </w:r>
      <w:r w:rsidRPr="0044528D" w:rsidR="00891928">
        <w:rPr>
          <w:rFonts w:ascii="Verdana" w:hAnsi="Verdana"/>
        </w:rPr>
        <w:tab/>
      </w:r>
    </w:p>
    <w:bookmarkEnd w:id="0"/>
    <w:p w:rsidRPr="0044528D" w:rsidR="00006335" w:rsidP="00103373" w:rsidRDefault="00103373" w14:paraId="34A6C8F9" w14:textId="330F082C">
      <w:pPr>
        <w:spacing w:after="0" w:line="276" w:lineRule="auto"/>
        <w:jc w:val="right"/>
        <w:textAlignment w:val="baseline"/>
        <w:rPr>
          <w:rFonts w:ascii="Verdana" w:hAnsi="Verdana" w:eastAsia="Times New Roman" w:cs="Segoe UI"/>
          <w:sz w:val="18"/>
          <w:szCs w:val="18"/>
          <w:lang w:eastAsia="es-CO"/>
        </w:rPr>
      </w:pPr>
      <w:r w:rsidRPr="00103373">
        <w:rPr>
          <w:rFonts w:ascii="Verdana" w:hAnsi="Verdana" w:eastAsia="Times New Roman" w:cs="Segoe UI"/>
          <w:sz w:val="18"/>
          <w:szCs w:val="18"/>
          <w:lang w:eastAsia="es-CO"/>
        </w:rPr>
        <w:drawing>
          <wp:inline distT="0" distB="0" distL="0" distR="0" wp14:anchorId="62B94930" wp14:editId="20CA2444">
            <wp:extent cx="3427218" cy="1047750"/>
            <wp:effectExtent l="0" t="0" r="1905" b="0"/>
            <wp:docPr id="1169323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23838" name=""/>
                    <pic:cNvPicPr/>
                  </pic:nvPicPr>
                  <pic:blipFill>
                    <a:blip r:embed="rId10"/>
                    <a:stretch>
                      <a:fillRect/>
                    </a:stretch>
                  </pic:blipFill>
                  <pic:spPr>
                    <a:xfrm>
                      <a:off x="0" y="0"/>
                      <a:ext cx="3429086" cy="1048321"/>
                    </a:xfrm>
                    <a:prstGeom prst="rect">
                      <a:avLst/>
                    </a:prstGeom>
                  </pic:spPr>
                </pic:pic>
              </a:graphicData>
            </a:graphic>
          </wp:inline>
        </w:drawing>
      </w:r>
    </w:p>
    <w:p w:rsidRPr="00B61BFE" w:rsidR="00006335" w:rsidP="008B5F68" w:rsidRDefault="00006335" w14:paraId="7D78BF09" w14:textId="77777777">
      <w:pPr>
        <w:spacing w:after="0" w:line="276" w:lineRule="auto"/>
        <w:jc w:val="both"/>
        <w:rPr>
          <w:rFonts w:ascii="Verdana" w:hAnsi="Verdana" w:eastAsia="Century Gothic" w:cs="Century Gothic"/>
        </w:rPr>
      </w:pPr>
      <w:r w:rsidRPr="00B61BFE">
        <w:rPr>
          <w:rFonts w:ascii="Verdana" w:hAnsi="Verdana" w:eastAsia="Century Gothic" w:cs="Century Gothic"/>
        </w:rPr>
        <w:t>Señor</w:t>
      </w:r>
    </w:p>
    <w:p w:rsidRPr="00B61BFE" w:rsidR="00006335" w:rsidP="008B5F68" w:rsidRDefault="00006335" w14:paraId="1C45C085" w14:textId="77777777">
      <w:pPr>
        <w:spacing w:after="0" w:line="276" w:lineRule="auto"/>
        <w:rPr>
          <w:rFonts w:ascii="Verdana" w:hAnsi="Verdana" w:eastAsia="Century Gothic" w:cs="Century Gothic"/>
          <w:b/>
          <w:bCs/>
        </w:rPr>
      </w:pPr>
      <w:r w:rsidRPr="00B61BFE">
        <w:rPr>
          <w:rFonts w:ascii="Verdana" w:hAnsi="Verdana" w:eastAsia="Century Gothic" w:cs="Century Gothic"/>
          <w:b/>
          <w:bCs/>
        </w:rPr>
        <w:t>Luis Gabriel Mosquera</w:t>
      </w:r>
    </w:p>
    <w:p w:rsidRPr="00B61BFE" w:rsidR="00006335" w:rsidP="008B5F68" w:rsidRDefault="00006335" w14:paraId="3AF778B9" w14:textId="77777777">
      <w:pPr>
        <w:spacing w:after="0" w:line="276" w:lineRule="auto"/>
        <w:rPr>
          <w:rFonts w:ascii="Verdana" w:hAnsi="Verdana" w:eastAsia="Century Gothic" w:cs="Century Gothic"/>
        </w:rPr>
      </w:pPr>
      <w:r w:rsidRPr="00B61BFE">
        <w:rPr>
          <w:rFonts w:ascii="Verdana" w:hAnsi="Verdana" w:eastAsia="Century Gothic" w:cs="Century Gothic"/>
        </w:rPr>
        <w:t>Ciudad</w:t>
      </w:r>
    </w:p>
    <w:p w:rsidRPr="00B61BFE" w:rsidR="00006335" w:rsidP="008B5F68" w:rsidRDefault="00006335" w14:paraId="42DF12D8" w14:textId="77777777">
      <w:pPr>
        <w:spacing w:after="0" w:line="276" w:lineRule="auto"/>
        <w:rPr>
          <w:rFonts w:ascii="Verdana" w:hAnsi="Verdana" w:eastAsia="Century Gothic" w:cs="Century Gothic"/>
        </w:rPr>
      </w:pPr>
    </w:p>
    <w:p w:rsidRPr="00B61BFE" w:rsidR="00006335" w:rsidP="008B5F68" w:rsidRDefault="00006335" w14:paraId="02E2C6CF" w14:textId="77777777">
      <w:pPr>
        <w:spacing w:after="0" w:line="276" w:lineRule="auto"/>
        <w:rPr>
          <w:rFonts w:ascii="Verdana" w:hAnsi="Verdana" w:eastAsia="Century Gothic" w:cs="Century Gothic"/>
        </w:rPr>
      </w:pPr>
    </w:p>
    <w:p w:rsidRPr="00B61BFE" w:rsidR="00006335" w:rsidP="008B5F68" w:rsidRDefault="00006335" w14:paraId="50F19A9C" w14:textId="77777777">
      <w:pPr>
        <w:spacing w:after="0" w:line="276" w:lineRule="auto"/>
        <w:ind w:left="2694"/>
        <w:rPr>
          <w:rFonts w:ascii="Verdana" w:hAnsi="Verdana" w:eastAsia="Century Gothic" w:cs="Century Gothic"/>
          <w:b/>
          <w:bCs/>
        </w:rPr>
      </w:pPr>
      <w:r w:rsidRPr="00B61BFE">
        <w:rPr>
          <w:rFonts w:ascii="Verdana" w:hAnsi="Verdana" w:eastAsia="Century Gothic" w:cs="Century Gothic"/>
          <w:b/>
          <w:bCs/>
        </w:rPr>
        <w:t>Concepto C-108 de 2024</w:t>
      </w:r>
    </w:p>
    <w:p w:rsidRPr="00B61BFE" w:rsidR="00006335" w:rsidP="008B5F68" w:rsidRDefault="00006335" w14:paraId="5FC54157" w14:textId="77777777">
      <w:pPr>
        <w:spacing w:after="0" w:line="276" w:lineRule="auto"/>
        <w:jc w:val="both"/>
        <w:rPr>
          <w:rFonts w:ascii="Verdana" w:hAnsi="Verdana" w:eastAsia="Century Gothic" w:cs="Century Gothic"/>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B61BFE" w:rsidR="00006335" w:rsidTr="00652686" w14:paraId="6644697A" w14:textId="77777777">
        <w:trPr>
          <w:jc w:val="right"/>
        </w:trPr>
        <w:tc>
          <w:tcPr>
            <w:tcW w:w="1838" w:type="dxa"/>
          </w:tcPr>
          <w:p w:rsidRPr="00B61BFE" w:rsidR="00006335" w:rsidP="008B5F68" w:rsidRDefault="00006335" w14:paraId="2D68A250" w14:textId="77777777">
            <w:pPr>
              <w:spacing w:line="276" w:lineRule="auto"/>
              <w:jc w:val="center"/>
              <w:rPr>
                <w:rFonts w:ascii="Verdana" w:hAnsi="Verdana" w:eastAsia="Century Gothic" w:cs="Century Gothic"/>
              </w:rPr>
            </w:pPr>
            <w:r w:rsidRPr="00B61BFE">
              <w:rPr>
                <w:rFonts w:ascii="Verdana" w:hAnsi="Verdana" w:eastAsia="Century Gothic" w:cs="Century Gothic"/>
                <w:b/>
                <w:bCs/>
              </w:rPr>
              <w:t>Temas:</w:t>
            </w:r>
          </w:p>
        </w:tc>
        <w:tc>
          <w:tcPr>
            <w:tcW w:w="6237" w:type="dxa"/>
          </w:tcPr>
          <w:p w:rsidRPr="00B61BFE" w:rsidR="00006335" w:rsidP="008B5F68" w:rsidRDefault="00006335" w14:paraId="2227ACA2" w14:textId="77777777">
            <w:pPr>
              <w:spacing w:line="276" w:lineRule="auto"/>
              <w:jc w:val="both"/>
              <w:rPr>
                <w:rFonts w:ascii="Verdana" w:hAnsi="Verdana" w:eastAsia="Calibri" w:cs="Arial"/>
                <w:bCs/>
              </w:rPr>
            </w:pPr>
            <w:r w:rsidRPr="00B61BFE">
              <w:rPr>
                <w:rFonts w:ascii="Verdana" w:hAnsi="Verdana"/>
                <w:lang w:val="es-ES_tradnl"/>
              </w:rPr>
              <w:t xml:space="preserve">CONTRATOS CON ESAL </w:t>
            </w:r>
            <w:r w:rsidRPr="00B61BFE">
              <w:rPr>
                <w:rFonts w:ascii="Verdana" w:hAnsi="Verdana" w:eastAsia="Calibri"/>
                <w:lang w:val="es-ES_tradnl"/>
              </w:rPr>
              <w:t>–</w:t>
            </w:r>
            <w:r w:rsidRPr="00B61BFE">
              <w:rPr>
                <w:rFonts w:ascii="Verdana" w:hAnsi="Verdana"/>
                <w:lang w:val="es-ES_tradnl"/>
              </w:rPr>
              <w:t xml:space="preserve"> Artículo 355 </w:t>
            </w:r>
            <w:r w:rsidRPr="00B61BFE">
              <w:rPr>
                <w:rFonts w:ascii="Verdana" w:hAnsi="Verdana" w:eastAsia="Calibri"/>
                <w:lang w:val="es-ES_tradnl"/>
              </w:rPr>
              <w:t>–</w:t>
            </w:r>
            <w:r w:rsidRPr="00B61BFE">
              <w:rPr>
                <w:rFonts w:ascii="Verdana" w:hAnsi="Verdana"/>
                <w:lang w:val="es-ES_tradnl"/>
              </w:rPr>
              <w:t xml:space="preserve"> Constitución </w:t>
            </w:r>
            <w:r w:rsidRPr="00B61BFE">
              <w:rPr>
                <w:rFonts w:ascii="Verdana" w:hAnsi="Verdana" w:eastAsia="Calibri"/>
                <w:lang w:val="es-ES_tradnl"/>
              </w:rPr>
              <w:t xml:space="preserve">– Fundamento / </w:t>
            </w:r>
            <w:r w:rsidRPr="00B61BFE">
              <w:rPr>
                <w:rFonts w:ascii="Verdana" w:hAnsi="Verdana"/>
                <w:lang w:val="es-ES_tradnl"/>
              </w:rPr>
              <w:t xml:space="preserve">TIPOS DE CONTRATOS </w:t>
            </w:r>
            <w:r w:rsidRPr="00B61BFE">
              <w:rPr>
                <w:rFonts w:ascii="Verdana" w:hAnsi="Verdana" w:eastAsia="Calibri"/>
                <w:lang w:val="es-ES_tradnl"/>
              </w:rPr>
              <w:t>–</w:t>
            </w:r>
            <w:r w:rsidRPr="00B61BFE">
              <w:rPr>
                <w:rFonts w:ascii="Verdana" w:hAnsi="Verdana"/>
                <w:lang w:val="es-ES_tradnl"/>
              </w:rPr>
              <w:t xml:space="preserve"> Constitución Política – Artículo 355 </w:t>
            </w:r>
            <w:r w:rsidRPr="00B61BFE">
              <w:rPr>
                <w:rFonts w:ascii="Verdana" w:hAnsi="Verdana" w:eastAsia="Calibri"/>
                <w:lang w:val="es-ES_tradnl"/>
              </w:rPr>
              <w:t>–</w:t>
            </w:r>
            <w:r w:rsidRPr="00B61BFE">
              <w:rPr>
                <w:rFonts w:ascii="Verdana" w:hAnsi="Verdana"/>
                <w:lang w:val="es-ES_tradnl"/>
              </w:rPr>
              <w:t xml:space="preserve"> Ley 489 de 1998 – Artículo 96 / </w:t>
            </w:r>
            <w:r w:rsidRPr="00B61BFE">
              <w:rPr>
                <w:rFonts w:ascii="Verdana" w:hAnsi="Verdana" w:eastAsia="Calibri" w:cs="Arial"/>
                <w:bCs/>
              </w:rPr>
              <w:t>SOCIEDAD DE ECONOMÍA MIXTA – Régimen contractual – Capacidad contractual / INHABILIDADES E INCOMPATIBILIDADES – Decreto 092 – Remisión</w:t>
            </w:r>
          </w:p>
          <w:p w:rsidRPr="00B61BFE" w:rsidR="00006335" w:rsidP="008B5F68" w:rsidRDefault="00006335" w14:paraId="671686F6" w14:textId="77777777">
            <w:pPr>
              <w:spacing w:line="276" w:lineRule="auto"/>
              <w:jc w:val="both"/>
              <w:rPr>
                <w:rFonts w:ascii="Verdana" w:hAnsi="Verdana" w:eastAsia="Century Gothic" w:cs="Century Gothic"/>
              </w:rPr>
            </w:pPr>
          </w:p>
        </w:tc>
      </w:tr>
      <w:tr w:rsidRPr="00B61BFE" w:rsidR="00006335" w:rsidTr="00652686" w14:paraId="67417931" w14:textId="77777777">
        <w:trPr>
          <w:jc w:val="right"/>
        </w:trPr>
        <w:tc>
          <w:tcPr>
            <w:tcW w:w="1838" w:type="dxa"/>
          </w:tcPr>
          <w:p w:rsidRPr="00B61BFE" w:rsidR="00006335" w:rsidP="008B5F68" w:rsidRDefault="00006335" w14:paraId="698F4C8D" w14:textId="77777777">
            <w:pPr>
              <w:spacing w:line="276" w:lineRule="auto"/>
              <w:jc w:val="center"/>
              <w:rPr>
                <w:rFonts w:ascii="Verdana" w:hAnsi="Verdana" w:eastAsia="Century Gothic" w:cs="Century Gothic"/>
                <w:b/>
                <w:bCs/>
              </w:rPr>
            </w:pPr>
            <w:r w:rsidRPr="00B61BFE">
              <w:rPr>
                <w:rFonts w:ascii="Verdana" w:hAnsi="Verdana" w:eastAsia="Century Gothic" w:cs="Century Gothic"/>
                <w:b/>
                <w:bCs/>
              </w:rPr>
              <w:t>Radicación:</w:t>
            </w:r>
          </w:p>
        </w:tc>
        <w:tc>
          <w:tcPr>
            <w:tcW w:w="6237" w:type="dxa"/>
          </w:tcPr>
          <w:p w:rsidRPr="00B61BFE" w:rsidR="00006335" w:rsidP="008B5F68" w:rsidRDefault="00006335" w14:paraId="3978B841" w14:textId="77777777">
            <w:pPr>
              <w:spacing w:line="276" w:lineRule="auto"/>
              <w:jc w:val="both"/>
              <w:rPr>
                <w:rFonts w:ascii="Verdana" w:hAnsi="Verdana" w:eastAsia="Century Gothic" w:cs="Century Gothic"/>
              </w:rPr>
            </w:pPr>
            <w:r w:rsidRPr="00B61BFE">
              <w:rPr>
                <w:rFonts w:ascii="Verdana" w:hAnsi="Verdana" w:eastAsia="Century Gothic" w:cs="Century Gothic"/>
              </w:rPr>
              <w:t xml:space="preserve">Respuesta a consulta </w:t>
            </w:r>
            <w:r w:rsidRPr="00B61BFE">
              <w:rPr>
                <w:rFonts w:ascii="Verdana" w:hAnsi="Verdana" w:cs="Calibri"/>
              </w:rPr>
              <w:t>P20240524005394</w:t>
            </w:r>
          </w:p>
        </w:tc>
      </w:tr>
    </w:tbl>
    <w:p w:rsidRPr="00B61BFE" w:rsidR="00006335" w:rsidP="008B5F68" w:rsidRDefault="00006335" w14:paraId="55D33600" w14:textId="77777777">
      <w:pPr>
        <w:spacing w:after="0" w:line="276" w:lineRule="auto"/>
        <w:jc w:val="both"/>
        <w:rPr>
          <w:rFonts w:ascii="Verdana" w:hAnsi="Verdana" w:eastAsia="Century Gothic" w:cs="Century Gothic"/>
        </w:rPr>
      </w:pPr>
    </w:p>
    <w:p w:rsidRPr="00B61BFE" w:rsidR="00006335" w:rsidP="008B5F68" w:rsidRDefault="00006335" w14:paraId="22CB78BE" w14:textId="77777777">
      <w:pPr>
        <w:spacing w:after="0" w:line="276" w:lineRule="auto"/>
        <w:jc w:val="both"/>
        <w:rPr>
          <w:rFonts w:ascii="Verdana" w:hAnsi="Verdana" w:eastAsia="Century Gothic" w:cs="Century Gothic"/>
        </w:rPr>
      </w:pPr>
    </w:p>
    <w:p w:rsidRPr="00B61BFE" w:rsidR="00006335" w:rsidP="008B5F68" w:rsidRDefault="00006335" w14:paraId="72E3C339" w14:textId="77777777">
      <w:pPr>
        <w:spacing w:after="0" w:line="276" w:lineRule="auto"/>
        <w:jc w:val="both"/>
        <w:rPr>
          <w:rFonts w:ascii="Verdana" w:hAnsi="Verdana" w:eastAsia="Century Gothic" w:cs="Century Gothic"/>
        </w:rPr>
      </w:pPr>
      <w:r w:rsidRPr="00B61BFE">
        <w:rPr>
          <w:rFonts w:ascii="Verdana" w:hAnsi="Verdana" w:eastAsia="Century Gothic" w:cs="Century Gothic"/>
        </w:rPr>
        <w:t>Estimado señor Mosquera:</w:t>
      </w:r>
    </w:p>
    <w:p w:rsidRPr="00B61BFE" w:rsidR="00006335" w:rsidP="008B5F68" w:rsidRDefault="00006335" w14:paraId="26C5565F" w14:textId="77777777">
      <w:pPr>
        <w:spacing w:after="0" w:line="276" w:lineRule="auto"/>
        <w:jc w:val="both"/>
        <w:rPr>
          <w:rFonts w:ascii="Verdana" w:hAnsi="Verdana" w:eastAsia="Century Gothic" w:cs="Century Gothic"/>
        </w:rPr>
      </w:pPr>
    </w:p>
    <w:p w:rsidRPr="00B61BFE" w:rsidR="00006335" w:rsidP="008B5F68" w:rsidRDefault="00006335" w14:paraId="7B8F4D4E" w14:textId="77777777">
      <w:pPr>
        <w:spacing w:after="0" w:line="276" w:lineRule="auto"/>
        <w:jc w:val="both"/>
        <w:rPr>
          <w:rFonts w:ascii="Verdana" w:hAnsi="Verdana" w:eastAsia="Calibri" w:cs="Arial"/>
          <w:lang w:val="es-ES" w:eastAsia="es-ES"/>
        </w:rPr>
      </w:pPr>
      <w:r w:rsidRPr="00B61BFE">
        <w:rPr>
          <w:rFonts w:ascii="Verdana" w:hAnsi="Verdana" w:eastAsia="Century Gothic" w:cs="Century Gothic"/>
        </w:rPr>
        <w:t>En ejercicio de la competencia otorgada por el numeral 8° del artículo 11 y el numeral 5° del artículo 3 del Decreto Ley 4170 de 2011, así como lo establecido en la Resolución 1707 de 2018 expedida por esta Entidad, la Agencia Nacional de Contratación Pública ― Colombia Compra Eficiente responde su consulta del 23 de mayo de 2024</w:t>
      </w:r>
      <w:r w:rsidRPr="00B61BFE">
        <w:rPr>
          <w:rFonts w:ascii="Verdana" w:hAnsi="Verdana" w:eastAsia="Calibri" w:cs="Arial"/>
          <w:lang w:val="es-ES" w:eastAsia="es-ES"/>
        </w:rPr>
        <w:t xml:space="preserve">, en la cual manifiesta lo siguiente: </w:t>
      </w:r>
    </w:p>
    <w:p w:rsidRPr="00B61BFE" w:rsidR="00006335" w:rsidP="008B5F68" w:rsidRDefault="00006335" w14:paraId="43959E86"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rPr>
      </w:pPr>
    </w:p>
    <w:p w:rsidRPr="00B61BFE" w:rsidR="00006335" w:rsidP="008B5F68" w:rsidRDefault="00006335" w14:paraId="5DEF57D0" w14:textId="77777777">
      <w:pPr>
        <w:spacing w:after="0" w:line="240" w:lineRule="auto"/>
        <w:ind w:left="709" w:right="709"/>
        <w:jc w:val="both"/>
        <w:rPr>
          <w:rFonts w:ascii="Verdana" w:hAnsi="Verdana" w:eastAsia="Century Gothic" w:cs="Century Gothic"/>
          <w:sz w:val="20"/>
          <w:szCs w:val="20"/>
        </w:rPr>
      </w:pPr>
      <w:r w:rsidRPr="00B61BFE">
        <w:rPr>
          <w:rFonts w:ascii="Verdana" w:hAnsi="Verdana" w:eastAsia="Century Gothic" w:cs="Century Gothic"/>
          <w:sz w:val="20"/>
          <w:szCs w:val="20"/>
        </w:rPr>
        <w:t>“[…]</w:t>
      </w:r>
    </w:p>
    <w:p w:rsidRPr="00B61BFE" w:rsidR="00006335" w:rsidP="008B5F68" w:rsidRDefault="00006335" w14:paraId="4208BE4C" w14:textId="77777777">
      <w:pPr>
        <w:spacing w:after="0" w:line="240" w:lineRule="auto"/>
        <w:ind w:left="709" w:right="709"/>
        <w:jc w:val="both"/>
        <w:rPr>
          <w:rFonts w:ascii="Verdana" w:hAnsi="Verdana" w:eastAsia="Century Gothic" w:cs="Century Gothic"/>
          <w:sz w:val="20"/>
          <w:szCs w:val="20"/>
        </w:rPr>
      </w:pPr>
    </w:p>
    <w:p w:rsidRPr="00B61BFE" w:rsidR="00006335" w:rsidP="008B5F68" w:rsidRDefault="00006335" w14:paraId="64794D7D" w14:textId="77777777">
      <w:pPr>
        <w:spacing w:after="0" w:line="240" w:lineRule="auto"/>
        <w:ind w:left="709" w:right="709"/>
        <w:jc w:val="both"/>
        <w:rPr>
          <w:rFonts w:ascii="Verdana" w:hAnsi="Verdana" w:eastAsia="Century Gothic" w:cs="Century Gothic"/>
          <w:sz w:val="20"/>
          <w:szCs w:val="20"/>
        </w:rPr>
      </w:pPr>
      <w:r w:rsidRPr="00B61BFE">
        <w:rPr>
          <w:rFonts w:ascii="Verdana" w:hAnsi="Verdana" w:eastAsia="Century Gothic" w:cs="Century Gothic"/>
          <w:sz w:val="20"/>
          <w:szCs w:val="20"/>
        </w:rPr>
        <w:t xml:space="preserve">¿Conforme a todo lo discurrido anteriormente, </w:t>
      </w:r>
      <w:bookmarkStart w:name="_Hlk173770893" w:id="1"/>
      <w:r w:rsidRPr="00B61BFE">
        <w:rPr>
          <w:rFonts w:ascii="Verdana" w:hAnsi="Verdana" w:eastAsia="Century Gothic" w:cs="Century Gothic"/>
          <w:sz w:val="20"/>
          <w:szCs w:val="20"/>
        </w:rPr>
        <w:t>puede una entidad pública del orden de las Sociedades de Economía Mixta, ser parte contratista y/o participar en la contratación reglamentada por el Decreto 92 de 2017 para entidades privadas sin ánimo de lucro</w:t>
      </w:r>
      <w:bookmarkEnd w:id="1"/>
      <w:r w:rsidRPr="00B61BFE">
        <w:rPr>
          <w:rFonts w:ascii="Verdana" w:hAnsi="Verdana" w:eastAsia="Century Gothic" w:cs="Century Gothic"/>
          <w:sz w:val="20"/>
          <w:szCs w:val="20"/>
        </w:rPr>
        <w:t>?” (SIC).</w:t>
      </w:r>
    </w:p>
    <w:p w:rsidRPr="00B61BFE" w:rsidR="00006335" w:rsidP="008B5F68" w:rsidRDefault="00006335" w14:paraId="1C9E931F" w14:textId="77777777">
      <w:pPr>
        <w:spacing w:after="0" w:line="240" w:lineRule="auto"/>
        <w:ind w:left="709" w:right="709"/>
        <w:jc w:val="both"/>
        <w:rPr>
          <w:rFonts w:ascii="Verdana" w:hAnsi="Verdana" w:eastAsia="Century Gothic" w:cs="Century Gothic"/>
          <w:sz w:val="20"/>
          <w:szCs w:val="20"/>
        </w:rPr>
      </w:pPr>
    </w:p>
    <w:p w:rsidRPr="00B61BFE" w:rsidR="00006335" w:rsidP="008B5F68" w:rsidRDefault="00006335" w14:paraId="0A7ED685" w14:textId="77777777">
      <w:pPr>
        <w:spacing w:after="0" w:line="240" w:lineRule="auto"/>
        <w:ind w:left="709" w:right="709"/>
        <w:jc w:val="both"/>
        <w:rPr>
          <w:rFonts w:ascii="Verdana" w:hAnsi="Verdana" w:eastAsia="Century Gothic" w:cs="Century Gothic"/>
          <w:sz w:val="20"/>
          <w:szCs w:val="20"/>
        </w:rPr>
      </w:pPr>
      <w:r w:rsidRPr="00B61BFE">
        <w:rPr>
          <w:rFonts w:ascii="Verdana" w:hAnsi="Verdana" w:eastAsia="Century Gothic" w:cs="Century Gothic"/>
          <w:sz w:val="20"/>
          <w:szCs w:val="20"/>
        </w:rPr>
        <w:t>[…]</w:t>
      </w:r>
    </w:p>
    <w:p w:rsidRPr="00B61BFE" w:rsidR="00006335" w:rsidP="008B5F68" w:rsidRDefault="00006335" w14:paraId="3EF86004" w14:textId="77777777">
      <w:pPr>
        <w:spacing w:after="0" w:line="240" w:lineRule="auto"/>
        <w:ind w:left="709" w:right="709"/>
        <w:jc w:val="both"/>
        <w:rPr>
          <w:rFonts w:ascii="Verdana" w:hAnsi="Verdana" w:eastAsia="Century Gothic" w:cs="Century Gothic"/>
          <w:sz w:val="20"/>
          <w:szCs w:val="20"/>
        </w:rPr>
      </w:pPr>
    </w:p>
    <w:p w:rsidRPr="00B61BFE" w:rsidR="00006335" w:rsidP="008B5F68" w:rsidRDefault="00006335" w14:paraId="59886007" w14:textId="77777777">
      <w:pPr>
        <w:spacing w:after="0" w:line="240" w:lineRule="auto"/>
        <w:ind w:left="709" w:right="709"/>
        <w:jc w:val="both"/>
        <w:rPr>
          <w:rFonts w:ascii="Verdana" w:hAnsi="Verdana" w:eastAsia="Century Gothic" w:cs="Century Gothic"/>
          <w:sz w:val="20"/>
          <w:szCs w:val="20"/>
        </w:rPr>
      </w:pPr>
      <w:r w:rsidRPr="00B61BFE">
        <w:rPr>
          <w:rFonts w:ascii="Verdana" w:hAnsi="Verdana" w:eastAsia="Century Gothic" w:cs="Century Gothic"/>
          <w:sz w:val="20"/>
          <w:szCs w:val="20"/>
        </w:rPr>
        <w:t>¿Conforme a todo lo discurrido anteriormente, puede un municipio contratar bajo la modalidad de contratación con entidades privadas sin ánimo de lucro y de reconocida idoneidad (Decreto 92 de 2017), con una sociedad de economía mixta, de la cual el alcalde del respectivo municipio hace parte de su junta directiva; máxime, si al igual que el gerente de la sociedad son considerados conforme el Decreto 1674 de 2016, personas expuestas políticamente?”.</w:t>
      </w:r>
    </w:p>
    <w:p w:rsidRPr="00B61BFE" w:rsidR="00006335" w:rsidP="008B5F68" w:rsidRDefault="00006335" w14:paraId="5FD8DFEE"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lang w:val="es-CO"/>
        </w:rPr>
      </w:pPr>
    </w:p>
    <w:p w:rsidRPr="00B61BFE" w:rsidR="00006335" w:rsidP="008B5F68" w:rsidRDefault="00006335" w14:paraId="1E13A32D" w14:textId="77777777">
      <w:pPr>
        <w:spacing w:after="0" w:line="276" w:lineRule="auto"/>
        <w:jc w:val="both"/>
        <w:rPr>
          <w:rFonts w:ascii="Verdana" w:hAnsi="Verdana" w:eastAsia="Calibri" w:cs="Arial"/>
          <w:lang w:val="es-ES_tradnl" w:eastAsia="es-ES_tradnl"/>
        </w:rPr>
      </w:pPr>
      <w:r w:rsidRPr="00B61BFE">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61BFE">
        <w:rPr>
          <w:rFonts w:ascii="Verdana" w:hAnsi="Verdana" w:eastAsia="Calibri" w:cs="Arial"/>
          <w:lang w:val="es-ES_tradnl" w:eastAsia="es-ES_tradnl"/>
        </w:rPr>
        <w:tab/>
      </w:r>
    </w:p>
    <w:p w:rsidR="008B5F68" w:rsidP="008B5F68" w:rsidRDefault="008B5F68" w14:paraId="25C31725" w14:textId="77777777">
      <w:pPr>
        <w:spacing w:after="0" w:line="276" w:lineRule="auto"/>
        <w:jc w:val="both"/>
        <w:rPr>
          <w:rFonts w:ascii="Verdana" w:hAnsi="Verdana" w:eastAsia="Calibri" w:cs="Arial"/>
          <w:lang w:val="es-ES" w:eastAsia="es-ES"/>
        </w:rPr>
      </w:pPr>
    </w:p>
    <w:p w:rsidRPr="00B61BFE" w:rsidR="00006335" w:rsidP="008B5F68" w:rsidRDefault="00006335" w14:paraId="7267B688" w14:textId="0B004E28">
      <w:pPr>
        <w:spacing w:after="0" w:line="276" w:lineRule="auto"/>
        <w:jc w:val="both"/>
        <w:rPr>
          <w:rFonts w:ascii="Verdana" w:hAnsi="Verdana" w:eastAsia="Calibri" w:cs="Arial"/>
          <w:lang w:val="es-ES" w:eastAsia="es-ES"/>
        </w:rPr>
      </w:pPr>
      <w:r w:rsidRPr="00B61BFE">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rsidRPr="00436BB8" w:rsidR="00006335" w:rsidP="008B5F68" w:rsidRDefault="00006335" w14:paraId="0FD280A9" w14:textId="77777777">
      <w:pPr>
        <w:spacing w:after="0" w:line="276" w:lineRule="auto"/>
        <w:ind w:firstLine="709"/>
        <w:jc w:val="both"/>
        <w:rPr>
          <w:rFonts w:ascii="Verdana" w:hAnsi="Verdana" w:eastAsia="Calibri" w:cs="Arial"/>
          <w:lang w:val="es-ES" w:eastAsia="es-ES"/>
        </w:rPr>
      </w:pPr>
    </w:p>
    <w:p w:rsidRPr="00477D9A" w:rsidR="00006335" w:rsidP="008B5F68" w:rsidRDefault="00006335" w14:paraId="199E939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477D9A">
        <w:rPr>
          <w:rFonts w:ascii="Verdana" w:hAnsi="Verdana" w:eastAsia="Century Gothic" w:cs="Century Gothic"/>
          <w:b/>
          <w:bCs/>
        </w:rPr>
        <w:t>Problema planteado:</w:t>
      </w:r>
    </w:p>
    <w:p w:rsidRPr="00477D9A" w:rsidR="00006335" w:rsidP="008B5F68" w:rsidRDefault="00006335" w14:paraId="739194B2" w14:textId="77777777">
      <w:pPr>
        <w:tabs>
          <w:tab w:val="left" w:pos="426"/>
        </w:tabs>
        <w:spacing w:after="0" w:line="276" w:lineRule="auto"/>
        <w:jc w:val="both"/>
        <w:rPr>
          <w:rFonts w:ascii="Verdana" w:hAnsi="Verdana" w:eastAsia="Century Gothic" w:cs="Century Gothic"/>
          <w:lang w:val="es-ES"/>
        </w:rPr>
      </w:pPr>
    </w:p>
    <w:p w:rsidRPr="00436BB8" w:rsidR="00006335" w:rsidP="008B5F68" w:rsidRDefault="00006335" w14:paraId="33026661" w14:textId="77777777">
      <w:pPr>
        <w:spacing w:after="0" w:line="276" w:lineRule="auto"/>
        <w:jc w:val="both"/>
        <w:rPr>
          <w:rFonts w:ascii="Verdana" w:hAnsi="Verdana" w:eastAsia="Century Gothic" w:cs="Century Gothic"/>
        </w:rPr>
      </w:pPr>
      <w:r w:rsidRPr="00477D9A">
        <w:rPr>
          <w:rFonts w:ascii="Verdana" w:hAnsi="Verdana" w:eastAsia="Century Gothic" w:cs="Century Gothic"/>
        </w:rPr>
        <w:t>De acuerdo con el contenido de su solicitud, esta Agencia resolverá los siguientes problemas jurídicos: i) ¿Una Sociedad de Economía Mixta puede ser parte – tanto en calidad de contratante como de contratista – de una contratación regida por el Decreto 092 de 2017?, por ejemplo, ¿Un municipio puede contratar bajo el Decreto 092 de 2017 con una Sociedad de Economía Mixta?; ii) ¿Le aplica el régimen de inhabilidades e incompatibilidades consagrado en el Estatuto General de Contratación de la Administración Pública – en adelante EGCAP – a los contratos regidos por el Decreto 092 de 2017?</w:t>
      </w:r>
    </w:p>
    <w:p w:rsidRPr="00436BB8" w:rsidR="00006335" w:rsidP="008B5F68" w:rsidRDefault="00006335" w14:paraId="7E1E587F" w14:textId="77777777">
      <w:pPr>
        <w:spacing w:after="0" w:line="276" w:lineRule="auto"/>
        <w:jc w:val="both"/>
        <w:rPr>
          <w:rFonts w:ascii="Verdana" w:hAnsi="Verdana" w:eastAsia="Calibri" w:cs="Arial"/>
          <w:lang w:val="es-ES"/>
        </w:rPr>
      </w:pPr>
    </w:p>
    <w:p w:rsidRPr="00436BB8" w:rsidR="00006335" w:rsidP="008B5F68" w:rsidRDefault="00006335" w14:paraId="6D36085B"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436BB8">
        <w:rPr>
          <w:rFonts w:ascii="Verdana" w:hAnsi="Verdana" w:eastAsia="Century Gothic" w:cs="Century Gothic"/>
          <w:b/>
          <w:bCs/>
        </w:rPr>
        <w:lastRenderedPageBreak/>
        <w:t>Respuesta:</w:t>
      </w:r>
    </w:p>
    <w:p w:rsidRPr="00436BB8" w:rsidR="00006335" w:rsidP="008B5F68" w:rsidRDefault="00006335" w14:paraId="4CEB6D97"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B61BFE" w:rsidR="00006335" w:rsidTr="00652686" w14:paraId="0F113F49" w14:textId="77777777">
        <w:tc>
          <w:tcPr>
            <w:tcW w:w="8828" w:type="dxa"/>
            <w:shd w:val="clear" w:color="auto" w:fill="auto"/>
          </w:tcPr>
          <w:p w:rsidRPr="00477D9A" w:rsidR="00006335" w:rsidP="008B5F68" w:rsidRDefault="00006335" w14:paraId="7ED80E4C" w14:textId="77777777">
            <w:pPr>
              <w:pStyle w:val="Prrafodelista"/>
              <w:numPr>
                <w:ilvl w:val="0"/>
                <w:numId w:val="19"/>
              </w:numPr>
              <w:spacing w:line="276" w:lineRule="auto"/>
              <w:contextualSpacing w:val="0"/>
              <w:jc w:val="both"/>
              <w:rPr>
                <w:rFonts w:ascii="Verdana" w:hAnsi="Verdana" w:eastAsia="Calibri" w:cs="Arial"/>
                <w:color w:val="000000" w:themeColor="text1"/>
              </w:rPr>
            </w:pPr>
            <w:r w:rsidRPr="00477D9A">
              <w:rPr>
                <w:rFonts w:ascii="Verdana" w:hAnsi="Verdana" w:eastAsia="Calibri" w:cs="Arial"/>
                <w:color w:val="000000" w:themeColor="text1"/>
              </w:rPr>
              <w:t>Sobre la pregunta acerca de si una Sociedad de Economía Mixta puede suscribir los contratos regulados en el artículo 355 de la Constitución Política de Colombia, el artículo 96 de la Ley 489 de 1998 y el Decreto 092 de 2017, debe precisarse que, tal circunstancia dependerá de si la Entidad Estatal actúa en calidad de contratante o de contratista, conforme se procede a exponer.</w:t>
            </w:r>
          </w:p>
          <w:p w:rsidRPr="00477D9A" w:rsidR="00006335" w:rsidP="008B5F68" w:rsidRDefault="00006335" w14:paraId="41A96EA6" w14:textId="77777777">
            <w:pPr>
              <w:pStyle w:val="Prrafodelista"/>
              <w:spacing w:line="276" w:lineRule="auto"/>
              <w:contextualSpacing w:val="0"/>
              <w:jc w:val="both"/>
              <w:rPr>
                <w:rFonts w:ascii="Verdana" w:hAnsi="Verdana" w:eastAsia="Calibri" w:cs="Arial"/>
                <w:color w:val="000000" w:themeColor="text1"/>
              </w:rPr>
            </w:pPr>
          </w:p>
          <w:p w:rsidRPr="00477D9A" w:rsidR="00006335" w:rsidP="008B5F68" w:rsidRDefault="00006335" w14:paraId="1C06A5A8" w14:textId="77777777">
            <w:pPr>
              <w:pStyle w:val="Prrafodelista"/>
              <w:spacing w:line="276" w:lineRule="auto"/>
              <w:contextualSpacing w:val="0"/>
              <w:jc w:val="both"/>
              <w:rPr>
                <w:rFonts w:ascii="Verdana" w:hAnsi="Verdana" w:eastAsia="Calibri" w:cs="Arial"/>
                <w:color w:val="000000" w:themeColor="text1"/>
              </w:rPr>
            </w:pPr>
            <w:r w:rsidRPr="00477D9A">
              <w:rPr>
                <w:rFonts w:ascii="Verdana" w:hAnsi="Verdana" w:eastAsia="Calibri" w:cs="Arial"/>
                <w:color w:val="000000" w:themeColor="text1"/>
              </w:rPr>
              <w:t xml:space="preserve">Por un lado, dado que el artículo 355 de las Constitución Política de Colombia, el artículo 96 de la Ley 489 de 1998 y el Decreto 092 de 2017 señalan que los contratos de colaboración y los convenios de asociación </w:t>
            </w:r>
            <w:r w:rsidRPr="00477D9A">
              <w:rPr>
                <w:rFonts w:ascii="Verdana" w:hAnsi="Verdana" w:eastAsia="Calibri" w:cs="Arial"/>
                <w:color w:val="000000" w:themeColor="text1"/>
                <w:lang w:val="es-MX"/>
              </w:rPr>
              <w:t xml:space="preserve">pueden ser celebrados por cualquier Entidad Estatal “cualquiera sea su naturaleza y orden administrativo”, las Sociedades de Economía Mixta </w:t>
            </w:r>
            <w:r w:rsidRPr="00477D9A">
              <w:rPr>
                <w:rFonts w:ascii="Verdana" w:hAnsi="Verdana" w:eastAsia="Calibri" w:cs="Arial"/>
                <w:color w:val="000000" w:themeColor="text1"/>
              </w:rPr>
              <w:t xml:space="preserve">serán competentes para celebrar este tipo de convenios en calidad de contratantes, siempre y cuando el Estado tenga una participación mayor al cincuenta por ciento (50%). Las Sociedades de Economía Mixta en las que el Estado tenga una participación menor a dicho porcentaje, por tener un régimen exceptuado no se sujetaran a las reglas consagradas en el Decreto 092 de 2017, sino al derecho privado y a lo que disponga sus manuales de contratación. </w:t>
            </w:r>
          </w:p>
          <w:p w:rsidRPr="00477D9A" w:rsidR="00006335" w:rsidP="008B5F68" w:rsidRDefault="00006335" w14:paraId="460DDF38" w14:textId="77777777">
            <w:pPr>
              <w:pStyle w:val="Prrafodelista"/>
              <w:spacing w:line="276" w:lineRule="auto"/>
              <w:contextualSpacing w:val="0"/>
              <w:jc w:val="both"/>
              <w:rPr>
                <w:rFonts w:ascii="Verdana" w:hAnsi="Verdana" w:eastAsia="Calibri" w:cs="Arial"/>
                <w:color w:val="000000" w:themeColor="text1"/>
              </w:rPr>
            </w:pPr>
          </w:p>
          <w:p w:rsidRPr="00477D9A" w:rsidR="00006335" w:rsidP="008B5F68" w:rsidRDefault="00006335" w14:paraId="1D39423C" w14:textId="77777777">
            <w:pPr>
              <w:pStyle w:val="Prrafodelista"/>
              <w:spacing w:line="276" w:lineRule="auto"/>
              <w:contextualSpacing w:val="0"/>
              <w:jc w:val="both"/>
              <w:rPr>
                <w:rFonts w:ascii="Verdana" w:hAnsi="Verdana" w:eastAsia="Calibri" w:cs="Arial"/>
                <w:color w:val="000000" w:themeColor="text1"/>
              </w:rPr>
            </w:pPr>
            <w:r w:rsidRPr="00477D9A">
              <w:rPr>
                <w:rFonts w:ascii="Verdana" w:hAnsi="Verdana" w:cs="Arial"/>
                <w:color w:val="000000" w:themeColor="text1"/>
              </w:rPr>
              <w:t xml:space="preserve">Por otro lado, deberá analizarse si las Sociedades de Economía Mixta pueden actuar en este tipo de contratos en condición de contratista – como el caso que señala en su escrito, referente a si un municipio puede celebrar un contrato de colaboración o convenio de asociación regido por el Decreto 092 de 2017 con una Sociedad de Economía Mixta –. Al respecto, </w:t>
            </w:r>
            <w:r w:rsidRPr="00477D9A">
              <w:rPr>
                <w:rFonts w:ascii="Verdana" w:hAnsi="Verdana"/>
                <w:color w:val="000000" w:themeColor="text1"/>
                <w:shd w:val="clear" w:color="auto" w:fill="FFFFFF"/>
              </w:rPr>
              <w:t xml:space="preserve">de manera clara el texto constitucional en su artículo 355, expresa que los convenios celebrados por las Entidades Estatales para impulsar programas o actividades de interés público acordes con los planes nacional y seccionales de desarrollo </w:t>
            </w:r>
            <w:r w:rsidRPr="00477D9A">
              <w:rPr>
                <w:rFonts w:ascii="Verdana" w:hAnsi="Verdana"/>
                <w:i/>
                <w:iCs/>
                <w:color w:val="000000" w:themeColor="text1"/>
                <w:shd w:val="clear" w:color="auto" w:fill="FFFFFF"/>
              </w:rPr>
              <w:t>únicamente</w:t>
            </w:r>
            <w:r w:rsidRPr="00477D9A">
              <w:rPr>
                <w:rFonts w:ascii="Verdana" w:hAnsi="Verdana"/>
                <w:color w:val="000000" w:themeColor="text1"/>
                <w:shd w:val="clear" w:color="auto" w:fill="FFFFFF"/>
              </w:rPr>
              <w:t xml:space="preserve"> pueden suscribirse con ESAL. Asimismo, el artículo 3 del Decreto 092 de 2017 establece la exigencia de la reconocida idoneidad</w:t>
            </w:r>
            <w:r w:rsidRPr="00477D9A">
              <w:rPr>
                <w:rFonts w:ascii="Verdana" w:hAnsi="Verdana"/>
                <w:color w:val="000000" w:themeColor="text1"/>
              </w:rPr>
              <w:t xml:space="preserve"> </w:t>
            </w:r>
            <w:r w:rsidRPr="00477D9A">
              <w:rPr>
                <w:rFonts w:ascii="Verdana" w:hAnsi="Verdana"/>
                <w:color w:val="000000" w:themeColor="text1"/>
                <w:shd w:val="clear" w:color="auto" w:fill="FFFFFF"/>
              </w:rPr>
              <w:t xml:space="preserve">de las personas sin ánimo de lucro. De estas disposiciones se concluye, aspectos sustanciales que debería tener el contratista de querer postularse a un proceso de selección como son: a) impulsar actividades de interés público conforme al Plan Nacional de Desarrollo o los planes seccionales y; b) que la naturaleza jurídica del contratista sea sin ánimo de lucro. </w:t>
            </w:r>
          </w:p>
          <w:p w:rsidRPr="00477D9A" w:rsidR="00006335" w:rsidP="008B5F68" w:rsidRDefault="00006335" w14:paraId="38AEB7F0" w14:textId="77777777">
            <w:pPr>
              <w:spacing w:line="276" w:lineRule="auto"/>
              <w:jc w:val="both"/>
              <w:rPr>
                <w:rFonts w:ascii="Verdana" w:hAnsi="Verdana" w:cs="Arial"/>
                <w:color w:val="000000" w:themeColor="text1"/>
                <w:highlight w:val="yellow"/>
              </w:rPr>
            </w:pPr>
          </w:p>
          <w:p w:rsidRPr="00477D9A" w:rsidR="00006335" w:rsidP="008B5F68" w:rsidRDefault="00006335" w14:paraId="21D3383F" w14:textId="77777777">
            <w:pPr>
              <w:pStyle w:val="Prrafodelista"/>
              <w:spacing w:line="276" w:lineRule="auto"/>
              <w:contextualSpacing w:val="0"/>
              <w:jc w:val="both"/>
              <w:rPr>
                <w:rFonts w:ascii="Verdana" w:hAnsi="Verdana" w:eastAsia="Calibri" w:cs="Arial"/>
                <w:color w:val="000000" w:themeColor="text1"/>
              </w:rPr>
            </w:pPr>
            <w:r w:rsidRPr="00477D9A">
              <w:rPr>
                <w:rFonts w:ascii="Verdana" w:hAnsi="Verdana" w:eastAsia="Calibri" w:cs="Arial"/>
                <w:color w:val="000000" w:themeColor="text1"/>
              </w:rPr>
              <w:t xml:space="preserve">Teniendo en cuenta que no es posible clasificar a las Sociedades de Economía Mixta como ESAL, este tipo de sociedades no pueden suscribir contratos de colaboración o convenios de colaboración en calidad de contratista en el marco del Decreto 092 de 2007 que regula las contrataciones con ESAL. Como se explicará a lo largo de este concepto, las contrataciones reguladas por el Decreto 092 de 2017, exigen que uno de los extremos de la relación tenga la calidad de ESAL, de lo contrario no podrán sujetarse a las normas establecidas en el mismo. </w:t>
            </w:r>
          </w:p>
          <w:p w:rsidRPr="00477D9A" w:rsidR="00006335" w:rsidP="008B5F68" w:rsidRDefault="00006335" w14:paraId="3F219C5B" w14:textId="77777777">
            <w:pPr>
              <w:pStyle w:val="Prrafodelista"/>
              <w:spacing w:line="276" w:lineRule="auto"/>
              <w:contextualSpacing w:val="0"/>
              <w:jc w:val="both"/>
              <w:rPr>
                <w:rFonts w:ascii="Verdana" w:hAnsi="Verdana" w:eastAsia="Calibri" w:cs="Arial"/>
                <w:color w:val="000000" w:themeColor="text1"/>
              </w:rPr>
            </w:pPr>
          </w:p>
          <w:p w:rsidRPr="00477D9A" w:rsidR="00006335" w:rsidP="008B5F68" w:rsidRDefault="00006335" w14:paraId="0778363D" w14:textId="77777777">
            <w:pPr>
              <w:pStyle w:val="Prrafodelista"/>
              <w:spacing w:line="276" w:lineRule="auto"/>
              <w:contextualSpacing w:val="0"/>
              <w:jc w:val="both"/>
              <w:rPr>
                <w:rFonts w:ascii="Verdana" w:hAnsi="Verdana" w:eastAsia="Calibri" w:cs="Arial"/>
                <w:color w:val="000000" w:themeColor="text1"/>
              </w:rPr>
            </w:pPr>
            <w:r w:rsidRPr="00477D9A">
              <w:rPr>
                <w:rFonts w:ascii="Verdana" w:hAnsi="Verdana" w:eastAsia="Calibri" w:cs="Arial"/>
                <w:color w:val="000000" w:themeColor="text1"/>
              </w:rPr>
              <w:t xml:space="preserve">Se concluye así que, no es posible que un municipio contrate bajo la modalidad de contratación reglamentada en el Decreto 092 de 2007 con una Sociedad de Economía Mixta porque como se ha indicado este tipo de sociedades desde su constitución si tienen intención de competir con el privado en actividades propiamente lucrativas, a diferencia del fin que persigue una ESAL. </w:t>
            </w:r>
          </w:p>
          <w:p w:rsidRPr="00477D9A" w:rsidR="00006335" w:rsidP="008B5F68" w:rsidRDefault="00006335" w14:paraId="29C57A35" w14:textId="77777777">
            <w:pPr>
              <w:pStyle w:val="Prrafodelista"/>
              <w:spacing w:line="276" w:lineRule="auto"/>
              <w:contextualSpacing w:val="0"/>
              <w:jc w:val="both"/>
              <w:rPr>
                <w:rFonts w:ascii="Verdana" w:hAnsi="Verdana" w:eastAsia="Calibri" w:cs="Arial"/>
                <w:color w:val="000000" w:themeColor="text1"/>
              </w:rPr>
            </w:pPr>
          </w:p>
          <w:p w:rsidRPr="00477D9A" w:rsidR="00006335" w:rsidP="008B5F68" w:rsidRDefault="00006335" w14:paraId="17EE1800" w14:textId="77777777">
            <w:pPr>
              <w:pStyle w:val="Prrafodelista"/>
              <w:numPr>
                <w:ilvl w:val="0"/>
                <w:numId w:val="19"/>
              </w:numPr>
              <w:spacing w:line="276" w:lineRule="auto"/>
              <w:contextualSpacing w:val="0"/>
              <w:jc w:val="both"/>
              <w:rPr>
                <w:rFonts w:ascii="Verdana" w:hAnsi="Verdana" w:eastAsia="Calibri" w:cs="Arial"/>
                <w:color w:val="000000" w:themeColor="text1"/>
                <w:lang w:val="es-CO"/>
              </w:rPr>
            </w:pPr>
            <w:r w:rsidRPr="00477D9A">
              <w:rPr>
                <w:rFonts w:ascii="Verdana" w:hAnsi="Verdana" w:eastAsia="Calibri" w:cs="Arial"/>
                <w:color w:val="000000" w:themeColor="text1"/>
                <w:lang w:val="es-CO"/>
              </w:rPr>
              <w:t>El artículo 6 del Decreto 092 de 2017 dispone que,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dicho decreto. Así las cosas, l</w:t>
            </w:r>
            <w:r w:rsidRPr="00477D9A">
              <w:rPr>
                <w:rFonts w:ascii="Verdana" w:hAnsi="Verdana" w:eastAsia="Calibri" w:cs="Arial"/>
                <w:color w:val="000000" w:themeColor="text1"/>
              </w:rPr>
              <w:t xml:space="preserve">a norma citada hace una remisión total </w:t>
            </w:r>
            <w:r w:rsidRPr="00477D9A">
              <w:rPr>
                <w:rFonts w:ascii="Verdana" w:hAnsi="Verdana" w:eastAsia="Calibri" w:cs="Arial"/>
                <w:color w:val="000000" w:themeColor="text1"/>
                <w:lang w:val="es-CO"/>
              </w:rPr>
              <w:t>a los regímenes de prohibiciones, inhabilidades e incompatibilidades</w:t>
            </w:r>
            <w:r w:rsidRPr="00477D9A">
              <w:rPr>
                <w:rFonts w:ascii="Verdana" w:hAnsi="Verdana" w:eastAsia="Calibri" w:cs="Arial"/>
                <w:color w:val="000000" w:themeColor="text1"/>
              </w:rPr>
              <w:t xml:space="preserve"> establecido en el EGCAP</w:t>
            </w:r>
            <w:r w:rsidRPr="00477D9A">
              <w:rPr>
                <w:rFonts w:ascii="Verdana" w:hAnsi="Verdana" w:eastAsia="Calibri" w:cs="Arial"/>
                <w:color w:val="000000" w:themeColor="text1"/>
                <w:lang w:val="es-CO"/>
              </w:rPr>
              <w:t xml:space="preserve">. </w:t>
            </w:r>
          </w:p>
          <w:p w:rsidRPr="00477D9A" w:rsidR="00006335" w:rsidP="008B5F68" w:rsidRDefault="00006335" w14:paraId="241B7C30" w14:textId="77777777">
            <w:pPr>
              <w:pStyle w:val="Prrafodelista"/>
              <w:spacing w:line="276" w:lineRule="auto"/>
              <w:contextualSpacing w:val="0"/>
              <w:jc w:val="both"/>
              <w:rPr>
                <w:rFonts w:ascii="Verdana" w:hAnsi="Verdana" w:eastAsia="Calibri" w:cs="Arial"/>
                <w:color w:val="000000" w:themeColor="text1"/>
                <w:lang w:val="es-CO"/>
              </w:rPr>
            </w:pPr>
          </w:p>
          <w:p w:rsidRPr="00477D9A" w:rsidR="00006335" w:rsidP="008B5F68" w:rsidRDefault="00006335" w14:paraId="4D77FC27" w14:textId="77777777">
            <w:pPr>
              <w:pStyle w:val="Prrafodelista"/>
              <w:spacing w:line="276" w:lineRule="auto"/>
              <w:contextualSpacing w:val="0"/>
              <w:jc w:val="both"/>
              <w:rPr>
                <w:rFonts w:ascii="Verdana" w:hAnsi="Verdana" w:eastAsia="Calibri" w:cs="Arial"/>
                <w:color w:val="000000" w:themeColor="text1"/>
                <w:lang w:val="es-CO"/>
              </w:rPr>
            </w:pPr>
            <w:r w:rsidRPr="00477D9A">
              <w:rPr>
                <w:rFonts w:ascii="Verdana" w:hAnsi="Verdana" w:eastAsia="Calibri" w:cs="Arial"/>
                <w:color w:val="000000" w:themeColor="text1"/>
              </w:rPr>
              <w:t xml:space="preserve">Pues bien, dado que el peticionario indaga sobre el régimen de inhabilidades e incompatibilidades aplicables a las contrataciones celebradas en virtud del Decreto 092 de 2007, y en virtud de la remisión que hace el artículo 6 ibídem al EGCAP, </w:t>
            </w:r>
            <w:r w:rsidRPr="00477D9A">
              <w:rPr>
                <w:rFonts w:ascii="Verdana" w:hAnsi="Verdana" w:eastAsia="Calibri" w:cs="Arial"/>
                <w:color w:val="000000" w:themeColor="text1"/>
                <w:lang w:val="es-CO"/>
              </w:rPr>
              <w:t>en cada caso deberá estudiarse si se está en incurso en alguna causal de inhabilidad o incompatibilidad consagradas en las normas, como es el caso del artículo 8 de la Ley 80 de 1993.</w:t>
            </w:r>
            <w:r w:rsidRPr="00DD31B8">
              <w:rPr>
                <w:rFonts w:ascii="Verdana" w:hAnsi="Verdana" w:eastAsia="Calibri" w:cs="Arial"/>
                <w:color w:val="000000" w:themeColor="text1"/>
                <w:lang w:val="es-CO"/>
              </w:rPr>
              <w:t xml:space="preserve"> </w:t>
            </w:r>
          </w:p>
        </w:tc>
      </w:tr>
    </w:tbl>
    <w:p w:rsidRPr="00AE16CE" w:rsidR="00006335" w:rsidP="008B5F68" w:rsidRDefault="00006335" w14:paraId="23B58234" w14:textId="77777777">
      <w:pPr>
        <w:tabs>
          <w:tab w:val="left" w:pos="142"/>
          <w:tab w:val="left" w:pos="284"/>
        </w:tabs>
        <w:spacing w:after="0" w:line="276" w:lineRule="auto"/>
        <w:jc w:val="both"/>
        <w:rPr>
          <w:rFonts w:ascii="Verdana" w:hAnsi="Verdana" w:eastAsia="Century Gothic" w:cs="Century Gothic"/>
          <w:b/>
          <w:bCs/>
          <w:lang w:val="es-ES"/>
        </w:rPr>
      </w:pPr>
    </w:p>
    <w:p w:rsidRPr="00AE16CE" w:rsidR="00006335" w:rsidP="008B5F68" w:rsidRDefault="00006335" w14:paraId="0550BE97"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E16CE">
        <w:rPr>
          <w:rFonts w:ascii="Verdana" w:hAnsi="Verdana" w:eastAsia="Century Gothic" w:cs="Century Gothic"/>
          <w:b/>
          <w:bCs/>
        </w:rPr>
        <w:t>Razones de la respuesta:</w:t>
      </w:r>
    </w:p>
    <w:p w:rsidRPr="00AE16CE" w:rsidR="00006335" w:rsidP="008B5F68" w:rsidRDefault="00006335" w14:paraId="05AC5517" w14:textId="77777777">
      <w:pPr>
        <w:spacing w:after="0" w:line="276" w:lineRule="auto"/>
        <w:jc w:val="both"/>
        <w:rPr>
          <w:rFonts w:ascii="Verdana" w:hAnsi="Verdana" w:eastAsia="Calibri" w:cs="Arial"/>
          <w:lang w:val="es-ES"/>
        </w:rPr>
      </w:pPr>
    </w:p>
    <w:p w:rsidRPr="00AE16CE" w:rsidR="00006335" w:rsidP="008B5F68" w:rsidRDefault="00006335" w14:paraId="3F49099B" w14:textId="77777777">
      <w:pPr>
        <w:spacing w:after="0" w:line="276" w:lineRule="auto"/>
        <w:jc w:val="both"/>
        <w:rPr>
          <w:rFonts w:ascii="Verdana" w:hAnsi="Verdana" w:eastAsia="Calibri" w:cs="Arial"/>
          <w:lang w:val="es-ES"/>
        </w:rPr>
      </w:pPr>
      <w:r w:rsidRPr="00AE16CE">
        <w:rPr>
          <w:rFonts w:ascii="Verdana" w:hAnsi="Verdana" w:eastAsia="Calibri" w:cs="Arial"/>
          <w:lang w:val="es-ES"/>
        </w:rPr>
        <w:t xml:space="preserve">Lo anterior se sustenta en las siguientes consideraciones: </w:t>
      </w:r>
    </w:p>
    <w:p w:rsidRPr="00AE16CE" w:rsidR="00006335" w:rsidP="008B5F68" w:rsidRDefault="00006335" w14:paraId="70024643" w14:textId="77777777">
      <w:pPr>
        <w:spacing w:after="0" w:line="276" w:lineRule="auto"/>
        <w:jc w:val="both"/>
        <w:rPr>
          <w:rFonts w:ascii="Verdana" w:hAnsi="Verdana" w:eastAsia="Calibri" w:cs="Arial"/>
          <w:lang w:val="es-ES"/>
        </w:rPr>
      </w:pPr>
    </w:p>
    <w:p w:rsidRPr="00AE16CE" w:rsidR="00006335" w:rsidP="008B5F68" w:rsidRDefault="00006335" w14:paraId="224E7912" w14:textId="77777777">
      <w:pPr>
        <w:pStyle w:val="Prrafodelista"/>
        <w:numPr>
          <w:ilvl w:val="0"/>
          <w:numId w:val="17"/>
        </w:numPr>
        <w:spacing w:after="0" w:line="276" w:lineRule="auto"/>
        <w:contextualSpacing w:val="0"/>
        <w:jc w:val="both"/>
        <w:rPr>
          <w:rFonts w:ascii="Verdana" w:hAnsi="Verdana" w:eastAsia="Calibri" w:cs="Arial"/>
          <w:color w:val="000000" w:themeColor="text1"/>
        </w:rPr>
      </w:pPr>
      <w:r w:rsidRPr="00AE16CE">
        <w:rPr>
          <w:rFonts w:ascii="Verdana" w:hAnsi="Verdana" w:eastAsia="Calibri" w:cs="Arial"/>
          <w:color w:val="000000" w:themeColor="text1"/>
        </w:rPr>
        <w:lastRenderedPageBreak/>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de Desarrollo y los planes seccionales de desarrollo</w:t>
      </w:r>
      <w:r w:rsidRPr="00AE16CE">
        <w:rPr>
          <w:rFonts w:ascii="Verdana" w:hAnsi="Verdana"/>
          <w:vertAlign w:val="superscript"/>
        </w:rPr>
        <w:footnoteReference w:id="2"/>
      </w:r>
      <w:r w:rsidRPr="00AE16CE">
        <w:rPr>
          <w:rFonts w:ascii="Verdana" w:hAnsi="Verdana" w:eastAsia="Calibri" w:cs="Arial"/>
          <w:color w:val="000000" w:themeColor="text1"/>
        </w:rPr>
        <w:t xml:space="preserve">. </w:t>
      </w:r>
      <w:bookmarkStart w:name="_Hlk164688501" w:id="2"/>
      <w:r w:rsidRPr="00AE16CE">
        <w:rPr>
          <w:rFonts w:ascii="Verdana" w:hAnsi="Verdana" w:eastAsia="Calibri" w:cs="Arial"/>
          <w:color w:val="000000" w:themeColor="text1"/>
        </w:rPr>
        <w:t>En concordancia con lo anterior, el artículo 96 de la Ley 489 de 1998</w:t>
      </w:r>
      <w:r w:rsidRPr="00AE16CE">
        <w:rPr>
          <w:rFonts w:ascii="Verdana" w:hAnsi="Verdana"/>
          <w:vertAlign w:val="superscript"/>
        </w:rPr>
        <w:footnoteReference w:id="3"/>
      </w:r>
      <w:r w:rsidRPr="00AE16CE">
        <w:rPr>
          <w:rFonts w:ascii="Verdana" w:hAnsi="Verdana" w:eastAsia="Calibri" w:cs="Arial"/>
          <w:color w:val="000000" w:themeColor="text1"/>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2"/>
      <w:r w:rsidRPr="00AE16CE">
        <w:rPr>
          <w:rFonts w:ascii="Verdana" w:hAnsi="Verdana" w:eastAsia="Calibri" w:cs="Arial"/>
          <w:color w:val="000000" w:themeColor="text1"/>
        </w:rPr>
        <w:t>.</w:t>
      </w:r>
    </w:p>
    <w:p w:rsidRPr="00AE16CE" w:rsidR="00006335" w:rsidP="008B5F68" w:rsidRDefault="00006335" w14:paraId="37875D6A" w14:textId="77777777">
      <w:pPr>
        <w:pStyle w:val="Prrafodelista"/>
        <w:spacing w:after="0" w:line="276" w:lineRule="auto"/>
        <w:ind w:left="360"/>
        <w:contextualSpacing w:val="0"/>
        <w:jc w:val="both"/>
        <w:rPr>
          <w:rFonts w:ascii="Verdana" w:hAnsi="Verdana" w:eastAsia="Calibri" w:cs="Arial"/>
          <w:color w:val="000000" w:themeColor="text1"/>
        </w:rPr>
      </w:pPr>
    </w:p>
    <w:p w:rsidRPr="00AE16CE" w:rsidR="00006335" w:rsidP="008B5F68" w:rsidRDefault="00006335" w14:paraId="5F1775FC" w14:textId="77777777">
      <w:pPr>
        <w:pStyle w:val="Prrafodelista"/>
        <w:numPr>
          <w:ilvl w:val="0"/>
          <w:numId w:val="17"/>
        </w:numPr>
        <w:spacing w:after="0" w:line="276" w:lineRule="auto"/>
        <w:contextualSpacing w:val="0"/>
        <w:jc w:val="both"/>
        <w:rPr>
          <w:rFonts w:ascii="Verdana" w:hAnsi="Verdana" w:eastAsia="Calibri" w:cs="Arial"/>
          <w:color w:val="000000"/>
        </w:rPr>
      </w:pPr>
      <w:bookmarkStart w:name="_Hlk38819155" w:id="4"/>
      <w:r w:rsidRPr="00AE16CE">
        <w:rPr>
          <w:rFonts w:ascii="Verdana" w:hAnsi="Verdana" w:cs="Arial"/>
          <w:lang w:val="es-MX"/>
        </w:rPr>
        <w:t>El Gobierno Nacional, en desarrollo del artículo 355 de la Constitución Política, expidió el Decreto 092 de 2017, q</w:t>
      </w:r>
      <w:r w:rsidRPr="00AE16CE">
        <w:rPr>
          <w:rFonts w:ascii="Verdana" w:hAnsi="Verdana" w:eastAsia="Calibri" w:cs="Arial"/>
          <w:lang w:val="es-MX"/>
        </w:rPr>
        <w:t xml:space="preserve">ue dispone las reglas para las contrataciones que realicen las Entidades Estatales con las ESAL. </w:t>
      </w:r>
      <w:r w:rsidRPr="00AE16CE">
        <w:rPr>
          <w:rFonts w:ascii="Verdana" w:hAnsi="Verdana" w:eastAsia="Calibri" w:cs="Arial"/>
        </w:rPr>
        <w:t>E</w:t>
      </w:r>
      <w:r w:rsidRPr="00AE16CE">
        <w:rPr>
          <w:rFonts w:ascii="Verdana" w:hAnsi="Verdana" w:eastAsia="Calibri" w:cs="Arial"/>
          <w:color w:val="000000" w:themeColor="text1"/>
        </w:rPr>
        <w:t xml:space="preserve">l Decreto regula dos (2) eventos: i) </w:t>
      </w:r>
      <w:r w:rsidRPr="00AE16CE">
        <w:rPr>
          <w:rFonts w:ascii="Verdana" w:hAnsi="Verdana" w:eastAsia="Calibri" w:cs="Arial"/>
        </w:rPr>
        <w:t xml:space="preserve">los </w:t>
      </w:r>
      <w:r w:rsidRPr="00AE16CE">
        <w:rPr>
          <w:rFonts w:ascii="Verdana" w:hAnsi="Verdana" w:eastAsia="Calibri" w:cs="Arial"/>
          <w:i/>
          <w:iCs/>
        </w:rPr>
        <w:t>contratos de colaboración</w:t>
      </w:r>
      <w:r w:rsidRPr="00AE16CE">
        <w:rPr>
          <w:rFonts w:ascii="Verdana" w:hAnsi="Verdana" w:eastAsia="Calibri" w:cs="Arial"/>
        </w:rPr>
        <w:t xml:space="preserve"> o de interés público, con el fin impulsar programas y actividades de interés público de acuerdo con el Plan Nacional o los planes seccionales de desarrollo, en los términos del artículo 355 de la Constitución Política</w:t>
      </w:r>
      <w:r w:rsidRPr="00AE16CE">
        <w:rPr>
          <w:rFonts w:ascii="Verdana" w:hAnsi="Verdana" w:eastAsia="Calibri" w:cs="Arial"/>
          <w:color w:val="000000" w:themeColor="text1"/>
        </w:rPr>
        <w:t xml:space="preserve"> y; ii) los </w:t>
      </w:r>
      <w:r w:rsidRPr="00AE16CE">
        <w:rPr>
          <w:rFonts w:ascii="Verdana" w:hAnsi="Verdana" w:eastAsia="Calibri" w:cs="Arial"/>
          <w:i/>
          <w:iCs/>
          <w:color w:val="000000" w:themeColor="text1"/>
        </w:rPr>
        <w:t>convenios de asociación</w:t>
      </w:r>
      <w:r w:rsidRPr="00AE16CE">
        <w:rPr>
          <w:rFonts w:ascii="Verdana" w:hAnsi="Verdana" w:eastAsia="Calibri" w:cs="Arial"/>
          <w:color w:val="000000" w:themeColor="text1"/>
        </w:rPr>
        <w:t xml:space="preserve">, para el desarrollo conjunto de actividades relacionadas con las funciones de las Entidades Estatales, en desarrollo del artículo 96 de la Ley 489 de 1998. </w:t>
      </w:r>
      <w:r w:rsidRPr="00AE16CE">
        <w:rPr>
          <w:rFonts w:ascii="Verdana" w:hAnsi="Verdana" w:eastAsia="Calibri" w:cs="Arial"/>
          <w:color w:val="000000"/>
          <w:lang w:val="es-MX"/>
        </w:rPr>
        <w:t xml:space="preserve">Los primeros están regulados en el artículo 2 del Decreto 092 de 2017, mientras que los segundos en los artículos 5, 6, 7 y 8 </w:t>
      </w:r>
      <w:r w:rsidRPr="00AE16CE">
        <w:rPr>
          <w:rFonts w:ascii="Verdana" w:hAnsi="Verdana" w:eastAsia="Calibri" w:cs="Arial"/>
          <w:i/>
          <w:iCs/>
          <w:color w:val="000000"/>
          <w:lang w:val="es-MX"/>
        </w:rPr>
        <w:t>ibidem</w:t>
      </w:r>
      <w:r w:rsidRPr="00AE16CE">
        <w:rPr>
          <w:rFonts w:ascii="Verdana" w:hAnsi="Verdana" w:eastAsia="Calibri" w:cs="Arial"/>
          <w:color w:val="000000"/>
          <w:lang w:val="es-MX"/>
        </w:rPr>
        <w:t xml:space="preserve">. </w:t>
      </w:r>
    </w:p>
    <w:p w:rsidRPr="00AE16CE" w:rsidR="00006335" w:rsidP="008B5F68" w:rsidRDefault="00006335" w14:paraId="22163385" w14:textId="77777777">
      <w:pPr>
        <w:spacing w:after="0" w:line="276" w:lineRule="auto"/>
        <w:jc w:val="both"/>
        <w:rPr>
          <w:rFonts w:ascii="Verdana" w:hAnsi="Verdana" w:eastAsia="Calibri" w:cs="Arial"/>
          <w:color w:val="000000"/>
        </w:rPr>
      </w:pPr>
    </w:p>
    <w:bookmarkEnd w:id="4"/>
    <w:p w:rsidRPr="00AE16CE" w:rsidR="00006335" w:rsidP="008B5F68" w:rsidRDefault="00006335" w14:paraId="48C3292B" w14:textId="77777777">
      <w:pPr>
        <w:pStyle w:val="Prrafodelista"/>
        <w:numPr>
          <w:ilvl w:val="0"/>
          <w:numId w:val="17"/>
        </w:numPr>
        <w:spacing w:after="0" w:line="276" w:lineRule="auto"/>
        <w:contextualSpacing w:val="0"/>
        <w:jc w:val="both"/>
        <w:rPr>
          <w:rFonts w:ascii="Verdana" w:hAnsi="Verdana" w:eastAsia="Calibri" w:cs="Arial"/>
          <w:color w:val="000000" w:themeColor="text1"/>
        </w:rPr>
      </w:pPr>
      <w:r w:rsidRPr="00AE16CE">
        <w:rPr>
          <w:rFonts w:ascii="Verdana" w:hAnsi="Verdana" w:eastAsia="Calibri" w:cs="Arial"/>
          <w:color w:val="000000" w:themeColor="text1"/>
        </w:rPr>
        <w:t xml:space="preserve">De un lado, los </w:t>
      </w:r>
      <w:r w:rsidRPr="00AE16CE">
        <w:rPr>
          <w:rFonts w:ascii="Verdana" w:hAnsi="Verdana" w:eastAsia="Calibri" w:cs="Arial"/>
          <w:i/>
          <w:iCs/>
          <w:color w:val="000000" w:themeColor="text1"/>
        </w:rPr>
        <w:t>contratos de colaboración o del artículo 355 de la Constitución Política</w:t>
      </w:r>
      <w:r w:rsidRPr="00AE16CE">
        <w:rPr>
          <w:rFonts w:ascii="Verdana" w:hAnsi="Verdana" w:eastAsia="Calibri" w:cs="Arial"/>
          <w:color w:val="000000" w:themeColor="text1"/>
        </w:rPr>
        <w:t xml:space="preserve"> tienen como objeto promover acciones de fomento social en beneficio de los sectores más desprotegidos de la población, siempre que estén </w:t>
      </w:r>
      <w:r w:rsidRPr="00AE16CE">
        <w:rPr>
          <w:rFonts w:ascii="Verdana" w:hAnsi="Verdana" w:eastAsia="Calibri" w:cs="Arial"/>
          <w:color w:val="000000" w:themeColor="text1"/>
        </w:rPr>
        <w:lastRenderedPageBreak/>
        <w:t xml:space="preserve">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w:t>
      </w:r>
    </w:p>
    <w:p w:rsidRPr="00AE16CE" w:rsidR="00006335" w:rsidP="008B5F68" w:rsidRDefault="00006335" w14:paraId="020F24C7" w14:textId="77777777">
      <w:pPr>
        <w:spacing w:after="0" w:line="276" w:lineRule="auto"/>
        <w:jc w:val="both"/>
        <w:rPr>
          <w:rFonts w:ascii="Verdana" w:hAnsi="Verdana" w:eastAsia="Calibri" w:cs="Arial"/>
          <w:color w:val="000000" w:themeColor="text1"/>
        </w:rPr>
      </w:pPr>
    </w:p>
    <w:p w:rsidRPr="00AE16CE" w:rsidR="00006335" w:rsidP="008B5F68" w:rsidRDefault="00006335" w14:paraId="1A0284B7" w14:textId="77777777">
      <w:pPr>
        <w:pStyle w:val="Prrafodelista"/>
        <w:numPr>
          <w:ilvl w:val="0"/>
          <w:numId w:val="17"/>
        </w:numPr>
        <w:spacing w:after="0" w:line="276" w:lineRule="auto"/>
        <w:contextualSpacing w:val="0"/>
        <w:jc w:val="both"/>
        <w:rPr>
          <w:rFonts w:ascii="Verdana" w:hAnsi="Verdana" w:eastAsia="Calibri" w:cs="Arial"/>
          <w:color w:val="000000" w:themeColor="text1"/>
        </w:rPr>
      </w:pPr>
      <w:r w:rsidRPr="00AE16CE">
        <w:rPr>
          <w:rFonts w:ascii="Verdana" w:hAnsi="Verdana" w:eastAsia="Calibri" w:cs="Arial"/>
          <w:color w:val="000000" w:themeColor="text1"/>
        </w:rPr>
        <w:t xml:space="preserve">De otro lado, los </w:t>
      </w:r>
      <w:r w:rsidRPr="00AE16CE">
        <w:rPr>
          <w:rFonts w:ascii="Verdana" w:hAnsi="Verdana" w:eastAsia="Calibri" w:cs="Arial"/>
          <w:i/>
          <w:iCs/>
          <w:color w:val="000000" w:themeColor="text1"/>
        </w:rPr>
        <w:t>convenios de asociación</w:t>
      </w:r>
      <w:r w:rsidRPr="00AE16CE">
        <w:rPr>
          <w:rFonts w:ascii="Verdana" w:hAnsi="Verdana" w:eastAsia="Calibri" w:cs="Arial"/>
          <w:color w:val="000000" w:themeColor="text1"/>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AE16CE">
        <w:rPr>
          <w:rFonts w:ascii="Verdana" w:hAnsi="Verdana"/>
          <w:vertAlign w:val="superscript"/>
        </w:rPr>
        <w:footnoteReference w:id="4"/>
      </w:r>
      <w:r w:rsidRPr="00AE16CE">
        <w:rPr>
          <w:rFonts w:ascii="Verdana" w:hAnsi="Verdana" w:eastAsia="Calibri" w:cs="Arial"/>
          <w:color w:val="000000" w:themeColor="text1"/>
        </w:rPr>
        <w:t>. En estos convenios – al igual que en los contratos de colaboración antes explicados – no existe contraprestación o pago, sino aportes, los cuales están dirigidos, exclusivamente, a lograr la ejecución del convenio no a remunerar la actividad o actuaciones del asociado.</w:t>
      </w:r>
    </w:p>
    <w:p w:rsidRPr="00AE16CE" w:rsidR="00006335" w:rsidP="008B5F68" w:rsidRDefault="00006335" w14:paraId="6DAA3094" w14:textId="77777777">
      <w:pPr>
        <w:pStyle w:val="Prrafodelista"/>
        <w:spacing w:after="0" w:line="276" w:lineRule="auto"/>
        <w:ind w:left="360"/>
        <w:contextualSpacing w:val="0"/>
        <w:jc w:val="both"/>
        <w:textAlignment w:val="baseline"/>
        <w:rPr>
          <w:rFonts w:ascii="Verdana" w:hAnsi="Verdana" w:eastAsia="Calibri" w:cs="Arial"/>
          <w:color w:val="000000"/>
        </w:rPr>
      </w:pPr>
    </w:p>
    <w:p w:rsidRPr="00AE16CE" w:rsidR="00006335" w:rsidP="008B5F68" w:rsidRDefault="00006335" w14:paraId="35169547" w14:textId="77777777">
      <w:pPr>
        <w:pStyle w:val="Prrafodelista"/>
        <w:numPr>
          <w:ilvl w:val="0"/>
          <w:numId w:val="17"/>
        </w:numPr>
        <w:spacing w:after="0" w:line="276" w:lineRule="auto"/>
        <w:contextualSpacing w:val="0"/>
        <w:jc w:val="both"/>
        <w:textAlignment w:val="baseline"/>
        <w:rPr>
          <w:rFonts w:ascii="Verdana" w:hAnsi="Verdana" w:eastAsia="Calibri" w:cs="Arial"/>
          <w:color w:val="000000"/>
          <w:lang w:val="es-MX"/>
        </w:rPr>
      </w:pPr>
      <w:r w:rsidRPr="00AE16CE">
        <w:rPr>
          <w:rFonts w:ascii="Verdana" w:hAnsi="Verdana" w:eastAsia="Calibri" w:cs="Arial"/>
          <w:color w:val="000000"/>
          <w:lang w:val="es-MX"/>
        </w:rPr>
        <w:t xml:space="preserve">Ahora bien, teniendo en cuenta las consideraciones que realiza en su consulta, </w:t>
      </w:r>
      <w:r w:rsidRPr="00AE16CE">
        <w:rPr>
          <w:rFonts w:ascii="Verdana" w:hAnsi="Verdana" w:cs="Arial"/>
          <w:color w:val="000000" w:themeColor="text1"/>
        </w:rPr>
        <w:t xml:space="preserve">es importante aclarar que los negocios jurídicos que regula el </w:t>
      </w:r>
      <w:bookmarkStart w:name="_Hlk173773826" w:id="5"/>
      <w:r w:rsidRPr="00AE16CE">
        <w:rPr>
          <w:rFonts w:ascii="Verdana" w:hAnsi="Verdana" w:cs="Arial"/>
          <w:color w:val="000000" w:themeColor="text1"/>
        </w:rPr>
        <w:t>Decreto 092 de 2017</w:t>
      </w:r>
      <w:bookmarkEnd w:id="5"/>
      <w:r w:rsidRPr="00AE16CE">
        <w:rPr>
          <w:rFonts w:ascii="Verdana" w:hAnsi="Verdana" w:cs="Arial"/>
          <w:color w:val="000000" w:themeColor="text1"/>
        </w:rPr>
        <w:t xml:space="preserve"> “[…] son esencialmente distintos a los contratos para la adquisición y aprovisionamiento de bienes, obras o servicios regulados por el estatuto de contratación y [, como tal,] no hacen parte del sistema de compra pública. […]</w:t>
      </w:r>
      <w:r w:rsidRPr="00AE16CE">
        <w:rPr>
          <w:rStyle w:val="Refdenotaalpie"/>
          <w:rFonts w:ascii="Verdana" w:hAnsi="Verdana" w:cs="Arial"/>
          <w:color w:val="000000" w:themeColor="text1"/>
        </w:rPr>
        <w:footnoteReference w:id="5"/>
      </w:r>
      <w:r w:rsidRPr="00AE16CE">
        <w:rPr>
          <w:rFonts w:ascii="Verdana" w:hAnsi="Verdana" w:cs="Arial"/>
          <w:color w:val="000000" w:themeColor="text1"/>
        </w:rPr>
        <w:t>.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AE16CE">
        <w:rPr>
          <w:rStyle w:val="Refdenotaalpie"/>
          <w:rFonts w:ascii="Verdana" w:hAnsi="Verdana" w:cs="Arial"/>
          <w:color w:val="000000" w:themeColor="text1"/>
        </w:rPr>
        <w:footnoteReference w:id="6"/>
      </w:r>
      <w:r w:rsidRPr="00AE16CE">
        <w:rPr>
          <w:rFonts w:ascii="Verdana" w:hAnsi="Verdana" w:cs="Arial"/>
          <w:color w:val="000000" w:themeColor="text1"/>
        </w:rPr>
        <w:t>. Así lo consideró la Sala de Consulta y Servicio Civil del Consejo de Estado</w:t>
      </w:r>
      <w:r w:rsidRPr="00AE16CE">
        <w:rPr>
          <w:rStyle w:val="Refdenotaalpie"/>
          <w:rFonts w:ascii="Verdana" w:hAnsi="Verdana" w:cs="Arial"/>
          <w:color w:val="000000" w:themeColor="text1"/>
        </w:rPr>
        <w:footnoteReference w:id="7"/>
      </w:r>
      <w:r w:rsidRPr="00AE16CE">
        <w:rPr>
          <w:rFonts w:ascii="Verdana" w:hAnsi="Verdana" w:cs="Arial"/>
          <w:color w:val="000000" w:themeColor="text1"/>
        </w:rPr>
        <w:t>:</w:t>
      </w:r>
    </w:p>
    <w:p w:rsidRPr="00AE16CE" w:rsidR="00006335" w:rsidP="008B5F68" w:rsidRDefault="00006335" w14:paraId="3E6993D8" w14:textId="77777777">
      <w:pPr>
        <w:pStyle w:val="Sinespaciado"/>
        <w:spacing w:line="276" w:lineRule="auto"/>
        <w:ind w:left="357"/>
        <w:jc w:val="both"/>
        <w:rPr>
          <w:rFonts w:ascii="Verdana" w:hAnsi="Verdana" w:cs="Arial"/>
          <w:color w:val="000000" w:themeColor="text1"/>
          <w:sz w:val="22"/>
        </w:rPr>
      </w:pPr>
    </w:p>
    <w:p w:rsidRPr="00B61BFE" w:rsidR="00006335" w:rsidP="008B5F68" w:rsidRDefault="00006335" w14:paraId="73599125" w14:textId="77777777">
      <w:pPr>
        <w:pStyle w:val="Prrafodelista"/>
        <w:spacing w:after="0"/>
        <w:ind w:left="709" w:right="709"/>
        <w:contextualSpacing w:val="0"/>
        <w:jc w:val="both"/>
        <w:rPr>
          <w:rFonts w:ascii="Verdana" w:hAnsi="Verdana" w:eastAsia="Calibri" w:cs="Arial"/>
          <w:color w:val="000000" w:themeColor="text1"/>
          <w:sz w:val="20"/>
          <w:szCs w:val="20"/>
        </w:rPr>
      </w:pPr>
      <w:r w:rsidRPr="00B61BFE">
        <w:rPr>
          <w:rFonts w:ascii="Verdana" w:hAnsi="Verdana" w:eastAsia="Calibri" w:cs="Arial"/>
          <w:color w:val="000000" w:themeColor="text1"/>
          <w:sz w:val="20"/>
          <w:szCs w:val="20"/>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w:t>
      </w:r>
      <w:r w:rsidRPr="00B61BFE">
        <w:rPr>
          <w:rFonts w:ascii="Verdana" w:hAnsi="Verdana" w:eastAsia="Calibri" w:cs="Arial"/>
          <w:color w:val="000000" w:themeColor="text1"/>
          <w:sz w:val="20"/>
          <w:szCs w:val="20"/>
        </w:rPr>
        <w:lastRenderedPageBreak/>
        <w:t>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B61BFE" w:rsidR="00006335" w:rsidP="008B5F68" w:rsidRDefault="00006335" w14:paraId="4E2223D0" w14:textId="77777777">
      <w:pPr>
        <w:pStyle w:val="Prrafodelista"/>
        <w:spacing w:after="0"/>
        <w:ind w:left="709" w:right="709"/>
        <w:contextualSpacing w:val="0"/>
        <w:jc w:val="both"/>
        <w:rPr>
          <w:rFonts w:ascii="Verdana" w:hAnsi="Verdana" w:eastAsia="Calibri" w:cs="Arial"/>
          <w:color w:val="000000" w:themeColor="text1"/>
          <w:sz w:val="20"/>
          <w:szCs w:val="20"/>
        </w:rPr>
      </w:pPr>
    </w:p>
    <w:p w:rsidRPr="00B61BFE" w:rsidR="00006335" w:rsidP="008B5F68" w:rsidRDefault="00006335" w14:paraId="0EC4C7A5" w14:textId="77777777">
      <w:pPr>
        <w:pStyle w:val="Prrafodelista"/>
        <w:spacing w:after="0"/>
        <w:ind w:left="709" w:right="709"/>
        <w:contextualSpacing w:val="0"/>
        <w:jc w:val="both"/>
        <w:rPr>
          <w:rFonts w:ascii="Verdana" w:hAnsi="Verdana" w:eastAsia="Calibri" w:cs="Arial"/>
          <w:color w:val="000000" w:themeColor="text1"/>
          <w:sz w:val="20"/>
          <w:szCs w:val="20"/>
        </w:rPr>
      </w:pPr>
      <w:r w:rsidRPr="00B61BFE">
        <w:rPr>
          <w:rFonts w:ascii="Verdana" w:hAnsi="Verdana" w:eastAsia="Calibri" w:cs="Arial"/>
          <w:color w:val="000000" w:themeColor="text1"/>
          <w:sz w:val="20"/>
          <w:szCs w:val="20"/>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rsidRPr="00854D2C" w:rsidR="00006335" w:rsidP="008B5F68" w:rsidRDefault="00006335" w14:paraId="2E2BB9B1" w14:textId="77777777">
      <w:pPr>
        <w:pStyle w:val="Prrafodelista"/>
        <w:spacing w:after="0" w:line="276" w:lineRule="auto"/>
        <w:ind w:left="357"/>
        <w:contextualSpacing w:val="0"/>
        <w:jc w:val="both"/>
        <w:rPr>
          <w:rFonts w:ascii="Verdana" w:hAnsi="Verdana" w:eastAsia="Calibri" w:cs="Arial"/>
          <w:color w:val="000000" w:themeColor="text1"/>
        </w:rPr>
      </w:pPr>
      <w:bookmarkStart w:name="_Hlk95756200" w:id="6"/>
    </w:p>
    <w:p w:rsidRPr="00854D2C" w:rsidR="00006335" w:rsidP="008B5F68" w:rsidRDefault="00006335" w14:paraId="5E7F9058" w14:textId="77777777">
      <w:pPr>
        <w:pStyle w:val="Prrafodelista"/>
        <w:numPr>
          <w:ilvl w:val="0"/>
          <w:numId w:val="17"/>
        </w:numPr>
        <w:spacing w:after="0" w:line="276" w:lineRule="auto"/>
        <w:ind w:left="357"/>
        <w:contextualSpacing w:val="0"/>
        <w:jc w:val="both"/>
        <w:rPr>
          <w:rFonts w:ascii="Verdana" w:hAnsi="Verdana" w:eastAsia="Calibri" w:cs="Arial"/>
          <w:color w:val="000000" w:themeColor="text1"/>
        </w:rPr>
      </w:pPr>
      <w:r w:rsidRPr="00854D2C">
        <w:rPr>
          <w:rFonts w:ascii="Verdana" w:hAnsi="Verdana" w:eastAsia="Calibri" w:cs="Arial"/>
          <w:color w:val="000000" w:themeColor="text1"/>
        </w:rPr>
        <w:t xml:space="preserve">De acuerdo con lo </w:t>
      </w:r>
      <w:r>
        <w:rPr>
          <w:rFonts w:ascii="Verdana" w:hAnsi="Verdana" w:eastAsia="Calibri" w:cs="Arial"/>
          <w:color w:val="000000" w:themeColor="text1"/>
        </w:rPr>
        <w:t>expuesto</w:t>
      </w:r>
      <w:r w:rsidRPr="00854D2C">
        <w:rPr>
          <w:rFonts w:ascii="Verdana" w:hAnsi="Verdana" w:eastAsia="Calibri" w:cs="Arial"/>
          <w:color w:val="000000" w:themeColor="text1"/>
        </w:rPr>
        <w:t xml:space="preserve">, no todas las actividades que las Entidades Estatales deben desarrollar para alcanzar sus objetivos misionales deben ejecutarse a través de la celebración de contratos del artículo 355 superior o convenios de asociación. Al respecto,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 </w:t>
      </w:r>
      <w:bookmarkEnd w:id="6"/>
      <w:r w:rsidRPr="00854D2C">
        <w:rPr>
          <w:rFonts w:ascii="Verdana" w:hAnsi="Verdana" w:eastAsia="Calibri" w:cs="Arial"/>
          <w:color w:val="000000" w:themeColor="text1"/>
        </w:rPr>
        <w:t xml:space="preserve">Así lo reconoció la </w:t>
      </w:r>
      <w:bookmarkStart w:name="_Hlk173774576" w:id="7"/>
      <w:r w:rsidRPr="00854D2C">
        <w:rPr>
          <w:rFonts w:ascii="Verdana" w:hAnsi="Verdana" w:eastAsia="Calibri" w:cs="Arial"/>
          <w:color w:val="000000" w:themeColor="text1"/>
        </w:rPr>
        <w:t>Corte Constitucional</w:t>
      </w:r>
      <w:r>
        <w:rPr>
          <w:rFonts w:ascii="Verdana" w:hAnsi="Verdana" w:eastAsia="Calibri" w:cs="Arial"/>
          <w:color w:val="000000" w:themeColor="text1"/>
        </w:rPr>
        <w:t>,</w:t>
      </w:r>
      <w:r w:rsidRPr="00854D2C">
        <w:rPr>
          <w:rFonts w:ascii="Verdana" w:hAnsi="Verdana" w:eastAsia="Calibri" w:cs="Arial"/>
          <w:color w:val="000000" w:themeColor="text1"/>
        </w:rPr>
        <w:t xml:space="preserve"> en la sentencia C-287 del 18 de abril de 2012</w:t>
      </w:r>
      <w:bookmarkEnd w:id="7"/>
      <w:r w:rsidRPr="00854D2C">
        <w:rPr>
          <w:rFonts w:ascii="Verdana" w:hAnsi="Verdana" w:eastAsia="Calibri" w:cs="Arial"/>
          <w:color w:val="000000" w:themeColor="text1"/>
        </w:rPr>
        <w:t>, en la que sostuvo lo siguiente:</w:t>
      </w:r>
    </w:p>
    <w:p w:rsidRPr="00854D2C" w:rsidR="00006335" w:rsidP="008B5F68" w:rsidRDefault="00006335" w14:paraId="5ED16006" w14:textId="77777777">
      <w:pPr>
        <w:pStyle w:val="Prrafodelista"/>
        <w:spacing w:after="0" w:line="276" w:lineRule="auto"/>
        <w:ind w:left="357"/>
        <w:contextualSpacing w:val="0"/>
        <w:jc w:val="both"/>
        <w:rPr>
          <w:rFonts w:ascii="Verdana" w:hAnsi="Verdana" w:eastAsia="Calibri" w:cs="Arial"/>
          <w:color w:val="000000" w:themeColor="text1"/>
        </w:rPr>
      </w:pPr>
    </w:p>
    <w:p w:rsidR="00006335" w:rsidP="008B5F68" w:rsidRDefault="00006335" w14:paraId="215DC124" w14:textId="77777777">
      <w:pPr>
        <w:pStyle w:val="Prrafodelista"/>
        <w:spacing w:after="0" w:line="240" w:lineRule="auto"/>
        <w:ind w:left="709" w:right="709"/>
        <w:jc w:val="both"/>
        <w:rPr>
          <w:rFonts w:ascii="Verdana" w:hAnsi="Verdana" w:eastAsia="Calibri" w:cs="Arial"/>
          <w:color w:val="000000" w:themeColor="text1"/>
          <w:sz w:val="20"/>
          <w:szCs w:val="20"/>
        </w:rPr>
      </w:pPr>
      <w:r w:rsidRPr="00B61BFE">
        <w:rPr>
          <w:rFonts w:ascii="Verdana" w:hAnsi="Verdana" w:eastAsia="Calibri" w:cs="Arial"/>
          <w:color w:val="000000" w:themeColor="text1"/>
          <w:sz w:val="20"/>
          <w:szCs w:val="20"/>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00006335" w:rsidP="008B5F68" w:rsidRDefault="00006335" w14:paraId="24C73854" w14:textId="77777777">
      <w:pPr>
        <w:pStyle w:val="Prrafodelista"/>
        <w:spacing w:after="0" w:line="240" w:lineRule="auto"/>
        <w:ind w:left="709" w:right="709"/>
        <w:jc w:val="both"/>
        <w:rPr>
          <w:rFonts w:ascii="Verdana" w:hAnsi="Verdana" w:eastAsia="Calibri" w:cs="Arial"/>
          <w:color w:val="000000" w:themeColor="text1"/>
          <w:sz w:val="20"/>
          <w:szCs w:val="20"/>
        </w:rPr>
      </w:pPr>
    </w:p>
    <w:p w:rsidRPr="00854D2C" w:rsidR="00006335" w:rsidP="008B5F68" w:rsidRDefault="00006335" w14:paraId="09C8B57A" w14:textId="77777777">
      <w:pPr>
        <w:pStyle w:val="Prrafodelista"/>
        <w:spacing w:after="0" w:line="240" w:lineRule="auto"/>
        <w:ind w:left="709" w:right="709"/>
        <w:jc w:val="both"/>
        <w:rPr>
          <w:rFonts w:ascii="Verdana" w:hAnsi="Verdana" w:eastAsia="Calibri" w:cs="Arial"/>
          <w:color w:val="000000" w:themeColor="text1"/>
          <w:sz w:val="20"/>
          <w:szCs w:val="20"/>
        </w:rPr>
      </w:pPr>
      <w:r w:rsidRPr="00854D2C">
        <w:rPr>
          <w:rFonts w:ascii="Verdana" w:hAnsi="Verdana" w:eastAsia="Calibri" w:cs="Arial"/>
          <w:i/>
          <w:iCs/>
          <w:color w:val="000000" w:themeColor="text1"/>
          <w:sz w:val="20"/>
          <w:szCs w:val="20"/>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854D2C">
        <w:rPr>
          <w:rFonts w:ascii="Verdana" w:hAnsi="Verdana" w:eastAsia="Calibri" w:cs="Arial"/>
          <w:color w:val="000000" w:themeColor="text1"/>
          <w:sz w:val="20"/>
          <w:szCs w:val="20"/>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del texto original]</w:t>
      </w:r>
    </w:p>
    <w:p w:rsidRPr="00854D2C" w:rsidR="00006335" w:rsidP="008B5F68" w:rsidRDefault="00006335" w14:paraId="73E6BD51" w14:textId="77777777">
      <w:pPr>
        <w:pStyle w:val="Prrafodelista"/>
        <w:spacing w:after="0" w:line="276" w:lineRule="auto"/>
        <w:ind w:left="357"/>
        <w:contextualSpacing w:val="0"/>
        <w:jc w:val="both"/>
        <w:rPr>
          <w:rFonts w:ascii="Verdana" w:hAnsi="Verdana" w:eastAsia="Calibri" w:cs="Arial"/>
          <w:color w:val="000000" w:themeColor="text1"/>
        </w:rPr>
      </w:pPr>
    </w:p>
    <w:p w:rsidR="00006335" w:rsidP="008B5F68" w:rsidRDefault="00006335" w14:paraId="75F9CEDF" w14:textId="77777777">
      <w:pPr>
        <w:pStyle w:val="Prrafodelista"/>
        <w:numPr>
          <w:ilvl w:val="0"/>
          <w:numId w:val="17"/>
        </w:numPr>
        <w:spacing w:after="0" w:line="276" w:lineRule="auto"/>
        <w:contextualSpacing w:val="0"/>
        <w:jc w:val="both"/>
        <w:rPr>
          <w:rFonts w:ascii="Verdana" w:hAnsi="Verdana" w:eastAsia="Calibri" w:cs="Arial"/>
          <w:color w:val="000000" w:themeColor="text1"/>
        </w:rPr>
      </w:pPr>
      <w:r w:rsidRPr="00854D2C">
        <w:rPr>
          <w:rFonts w:ascii="Verdana" w:hAnsi="Verdana" w:eastAsia="Calibri" w:cs="Arial"/>
          <w:color w:val="000000" w:themeColor="text1"/>
        </w:rPr>
        <w:t xml:space="preserve">Lo anterior se justifica en que la principal característica de las ESAL es la ausencia de lucro, es decir, las ganancias o beneficios económicos no están </w:t>
      </w:r>
      <w:r w:rsidRPr="00854D2C">
        <w:rPr>
          <w:rFonts w:ascii="Verdana" w:hAnsi="Verdana" w:eastAsia="Calibri" w:cs="Arial"/>
          <w:color w:val="000000" w:themeColor="text1"/>
        </w:rPr>
        <w:lastRenderedPageBreak/>
        <w:t>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854D2C" w:rsidR="00006335" w:rsidP="008B5F68" w:rsidRDefault="00006335" w14:paraId="0B824A5C" w14:textId="77777777">
      <w:pPr>
        <w:pStyle w:val="Prrafodelista"/>
        <w:spacing w:after="0" w:line="276" w:lineRule="auto"/>
        <w:ind w:left="360"/>
        <w:contextualSpacing w:val="0"/>
        <w:jc w:val="both"/>
        <w:rPr>
          <w:rFonts w:ascii="Verdana" w:hAnsi="Verdana" w:eastAsia="Calibri" w:cs="Arial"/>
          <w:color w:val="000000" w:themeColor="text1"/>
        </w:rPr>
      </w:pPr>
    </w:p>
    <w:p w:rsidRPr="008E799C" w:rsidR="00006335" w:rsidP="008B5F68" w:rsidRDefault="00006335" w14:paraId="206B5CF4" w14:textId="77777777">
      <w:pPr>
        <w:pStyle w:val="Prrafodelista"/>
        <w:numPr>
          <w:ilvl w:val="0"/>
          <w:numId w:val="17"/>
        </w:numPr>
        <w:autoSpaceDE w:val="0"/>
        <w:autoSpaceDN w:val="0"/>
        <w:adjustRightInd w:val="0"/>
        <w:spacing w:after="0" w:line="276" w:lineRule="auto"/>
        <w:contextualSpacing w:val="0"/>
        <w:jc w:val="both"/>
        <w:rPr>
          <w:rFonts w:ascii="Verdana" w:hAnsi="Verdana" w:cs="Arial"/>
          <w:color w:val="000000" w:themeColor="text1"/>
        </w:rPr>
      </w:pPr>
      <w:r w:rsidRPr="008E799C">
        <w:rPr>
          <w:rFonts w:ascii="Verdana" w:hAnsi="Verdana" w:eastAsia="Calibri" w:cs="Arial"/>
          <w:color w:val="000000" w:themeColor="text1"/>
        </w:rPr>
        <w:t xml:space="preserve">Visto lo </w:t>
      </w:r>
      <w:r>
        <w:rPr>
          <w:rFonts w:ascii="Verdana" w:hAnsi="Verdana" w:eastAsia="Calibri" w:cs="Arial"/>
          <w:color w:val="000000" w:themeColor="text1"/>
        </w:rPr>
        <w:t>precedente</w:t>
      </w:r>
      <w:r w:rsidRPr="008E799C">
        <w:rPr>
          <w:rFonts w:ascii="Verdana" w:hAnsi="Verdana" w:eastAsia="Calibri" w:cs="Arial"/>
          <w:color w:val="000000" w:themeColor="text1"/>
        </w:rPr>
        <w:t xml:space="preserve">, en atención al problema jurídico número uno planteado en el presente concepto, referente a </w:t>
      </w:r>
      <w:bookmarkStart w:name="_Hlk173775160" w:id="8"/>
      <w:r w:rsidRPr="008E799C">
        <w:rPr>
          <w:rFonts w:ascii="Verdana" w:hAnsi="Verdana" w:eastAsia="Calibri" w:cs="Arial"/>
          <w:color w:val="000000" w:themeColor="text1"/>
        </w:rPr>
        <w:t xml:space="preserve">si una Sociedad de Economía Mixta puede suscribir los contratos regulados en el artículo 355 de las Constitución Política de Colombia, el artículo 96 de la Ley 489 de 1998 y el Decreto 092 de 2017, debe precisarse que, tal circunstancia dependerá de si la Entidad Estatal actúa en calidad de contratante o de contratista, conforme se procede a exponer. </w:t>
      </w:r>
      <w:bookmarkEnd w:id="8"/>
    </w:p>
    <w:p w:rsidRPr="00854D2C" w:rsidR="00006335" w:rsidP="008B5F68" w:rsidRDefault="00006335" w14:paraId="51D9B297" w14:textId="77777777">
      <w:pPr>
        <w:autoSpaceDE w:val="0"/>
        <w:autoSpaceDN w:val="0"/>
        <w:adjustRightInd w:val="0"/>
        <w:spacing w:after="0" w:line="276" w:lineRule="auto"/>
        <w:jc w:val="both"/>
        <w:rPr>
          <w:rFonts w:ascii="Verdana" w:hAnsi="Verdana" w:cs="Arial"/>
          <w:color w:val="000000" w:themeColor="text1"/>
        </w:rPr>
      </w:pPr>
    </w:p>
    <w:p w:rsidR="00006335" w:rsidP="008B5F68" w:rsidRDefault="00006335" w14:paraId="27A51C4E" w14:textId="77777777">
      <w:pPr>
        <w:pStyle w:val="Prrafodelista"/>
        <w:numPr>
          <w:ilvl w:val="0"/>
          <w:numId w:val="17"/>
        </w:numPr>
        <w:spacing w:after="0" w:line="276" w:lineRule="auto"/>
        <w:contextualSpacing w:val="0"/>
        <w:jc w:val="both"/>
        <w:rPr>
          <w:rFonts w:ascii="Verdana" w:hAnsi="Verdana"/>
          <w:color w:val="000000" w:themeColor="text1"/>
        </w:rPr>
      </w:pPr>
      <w:r w:rsidRPr="00854D2C">
        <w:rPr>
          <w:rFonts w:ascii="Verdana" w:hAnsi="Verdana" w:cs="Arial"/>
          <w:color w:val="000000" w:themeColor="text1"/>
        </w:rPr>
        <w:t>Por un lado, si se analiza desde la posibilidad de que la Sociedad de Economía Mixta suscriba un contrato de colaboración o un convenio de asociación en calidad de contratante se tiene que, el artículo 355 Constitucional señala que: “</w:t>
      </w:r>
      <w:r w:rsidRPr="00854D2C">
        <w:rPr>
          <w:rFonts w:ascii="Verdana" w:hAnsi="Verdana" w:cs="Open Sans"/>
          <w:i/>
          <w:iCs/>
          <w:color w:val="000000" w:themeColor="text1"/>
        </w:rPr>
        <w:t>El Gobierno, en los niveles nacional, departamental, distrital y municipal</w:t>
      </w:r>
      <w:r w:rsidRPr="00854D2C">
        <w:rPr>
          <w:rFonts w:ascii="Verdana" w:hAnsi="Verdana" w:cs="Open Sans"/>
          <w:color w:val="000000" w:themeColor="text1"/>
        </w:rPr>
        <w:t xml:space="preserve"> podrá, con recursos de los respectivos presupuestos, celebrar contratos con entidades privadas sin ánimo de lucro y de reconocida idoneidad con el fin de impulsar programas y actividades de interés público acordes con el Plan Nacional y los planes seccionales de Desarrollo” [Énfasis fuera del texto original]. D</w:t>
      </w:r>
      <w:r w:rsidRPr="00854D2C">
        <w:rPr>
          <w:rFonts w:ascii="Verdana" w:hAnsi="Verdana" w:eastAsia="Calibri" w:cs="Arial"/>
          <w:color w:val="000000" w:themeColor="text1"/>
          <w:lang w:val="es-MX"/>
        </w:rPr>
        <w:t xml:space="preserve">e conformidad con el artículo 96 de la Ley 489 de 1996, los </w:t>
      </w:r>
      <w:r w:rsidRPr="00854D2C">
        <w:rPr>
          <w:rFonts w:ascii="Verdana" w:hAnsi="Verdana" w:eastAsia="Calibri" w:cs="Arial"/>
          <w:i/>
          <w:color w:val="000000" w:themeColor="text1"/>
          <w:lang w:val="es-MX"/>
        </w:rPr>
        <w:t>convenios de asociación</w:t>
      </w:r>
      <w:r w:rsidRPr="00854D2C">
        <w:rPr>
          <w:rFonts w:ascii="Verdana" w:hAnsi="Verdana" w:eastAsia="Calibri" w:cs="Arial"/>
          <w:color w:val="000000" w:themeColor="text1"/>
          <w:lang w:val="es-MX"/>
        </w:rPr>
        <w:t xml:space="preserve"> pueden ser celebrados por cualquier Entidad Estatal “cualquiera sea su naturaleza y orden administrativo”. </w:t>
      </w:r>
      <w:r w:rsidRPr="00854D2C">
        <w:rPr>
          <w:rFonts w:ascii="Verdana" w:hAnsi="Verdana" w:eastAsia="Calibri" w:cs="Arial"/>
          <w:color w:val="000000" w:themeColor="text1"/>
        </w:rPr>
        <w:t>En este sentido, serán competentes para celebrar este tipo de convenios todas las entidades enlistadas en el artículo 2° del EGCAP. Finalmente, el artículo 3 del Decreto 092 de 2007 establece que: “</w:t>
      </w:r>
      <w:r w:rsidRPr="00854D2C">
        <w:rPr>
          <w:rFonts w:ascii="Verdana" w:hAnsi="Verdana"/>
          <w:i/>
          <w:iCs/>
          <w:color w:val="000000" w:themeColor="text1"/>
          <w:shd w:val="clear" w:color="auto" w:fill="FFFFFF"/>
        </w:rPr>
        <w:t>Las Entidades Estatales del Gobierno nacional, departamental, distrital y municipal</w:t>
      </w:r>
      <w:r w:rsidRPr="00854D2C">
        <w:rPr>
          <w:rFonts w:ascii="Verdana" w:hAnsi="Verdana"/>
          <w:color w:val="000000" w:themeColor="text1"/>
          <w:shd w:val="clear" w:color="auto" w:fill="FFFFFF"/>
        </w:rPr>
        <w:t xml:space="preserve"> pueden contratar con entidades privadas sin ánimo de lucro y de reconocida idoneidad en los términos del artículo 355 de la Constitución Política”</w:t>
      </w:r>
      <w:r w:rsidRPr="00854D2C">
        <w:rPr>
          <w:rFonts w:ascii="Verdana" w:hAnsi="Verdana" w:cs="Open Sans"/>
          <w:color w:val="000000" w:themeColor="text1"/>
        </w:rPr>
        <w:t xml:space="preserve"> [Énfasis fuera del texto original]</w:t>
      </w:r>
      <w:r w:rsidRPr="00854D2C">
        <w:rPr>
          <w:rFonts w:ascii="Verdana" w:hAnsi="Verdana"/>
          <w:color w:val="000000" w:themeColor="text1"/>
        </w:rPr>
        <w:t xml:space="preserve">. </w:t>
      </w:r>
    </w:p>
    <w:p w:rsidRPr="00854D2C" w:rsidR="00006335" w:rsidP="008B5F68" w:rsidRDefault="00006335" w14:paraId="043BA0D3" w14:textId="77777777">
      <w:pPr>
        <w:pStyle w:val="Prrafodelista"/>
        <w:spacing w:after="0" w:line="276" w:lineRule="auto"/>
        <w:ind w:left="360"/>
        <w:contextualSpacing w:val="0"/>
        <w:jc w:val="both"/>
        <w:rPr>
          <w:rFonts w:ascii="Verdana" w:hAnsi="Verdana"/>
          <w:color w:val="000000" w:themeColor="text1"/>
        </w:rPr>
      </w:pPr>
    </w:p>
    <w:p w:rsidRPr="00854D2C" w:rsidR="00006335" w:rsidP="008B5F68" w:rsidRDefault="00006335" w14:paraId="7E9572E0" w14:textId="77777777">
      <w:pPr>
        <w:pStyle w:val="Prrafodelista"/>
        <w:numPr>
          <w:ilvl w:val="0"/>
          <w:numId w:val="17"/>
        </w:numPr>
        <w:spacing w:after="0" w:line="276" w:lineRule="auto"/>
        <w:contextualSpacing w:val="0"/>
        <w:jc w:val="both"/>
        <w:rPr>
          <w:rFonts w:ascii="Verdana" w:hAnsi="Verdana"/>
          <w:color w:val="000000" w:themeColor="text1"/>
          <w:lang w:val="es-MX"/>
        </w:rPr>
      </w:pPr>
      <w:r w:rsidRPr="00854D2C">
        <w:rPr>
          <w:rFonts w:ascii="Verdana" w:hAnsi="Verdana"/>
          <w:color w:val="000000" w:themeColor="text1"/>
        </w:rPr>
        <w:lastRenderedPageBreak/>
        <w:t>Teniendo en cuenta lo señalado en las disposiciones citadas es menester precisar la naturaleza jurídica de las Sociedades de Economía Mixta. E</w:t>
      </w:r>
      <w:r w:rsidRPr="00854D2C">
        <w:rPr>
          <w:rFonts w:ascii="Verdana" w:hAnsi="Verdana" w:cs="Arial"/>
          <w:color w:val="000000" w:themeColor="text1"/>
          <w:lang w:val="es-ES_tradnl"/>
        </w:rPr>
        <w:t>l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rsidRPr="00854D2C" w:rsidR="00006335" w:rsidP="008B5F68" w:rsidRDefault="00006335" w14:paraId="4664EC5E" w14:textId="77777777">
      <w:pPr>
        <w:spacing w:after="0" w:line="276" w:lineRule="auto"/>
        <w:jc w:val="both"/>
        <w:rPr>
          <w:rFonts w:ascii="Verdana" w:hAnsi="Verdana"/>
          <w:color w:val="000000" w:themeColor="text1"/>
        </w:rPr>
      </w:pPr>
    </w:p>
    <w:p w:rsidRPr="00854D2C" w:rsidR="00006335" w:rsidP="008B5F68" w:rsidRDefault="00006335" w14:paraId="28CCA8B1" w14:textId="77777777">
      <w:pPr>
        <w:pStyle w:val="Prrafodelista"/>
        <w:numPr>
          <w:ilvl w:val="0"/>
          <w:numId w:val="17"/>
        </w:numPr>
        <w:spacing w:after="0" w:line="276" w:lineRule="auto"/>
        <w:contextualSpacing w:val="0"/>
        <w:jc w:val="both"/>
        <w:textAlignment w:val="baseline"/>
        <w:rPr>
          <w:rFonts w:ascii="Verdana" w:hAnsi="Verdana" w:cs="Arial"/>
          <w:color w:val="000000" w:themeColor="text1"/>
          <w:lang w:eastAsia="es-MX"/>
        </w:rPr>
      </w:pPr>
      <w:r w:rsidRPr="00854D2C">
        <w:rPr>
          <w:rFonts w:ascii="Verdana" w:hAnsi="Verdana" w:cs="Arial"/>
          <w:color w:val="000000" w:themeColor="text1"/>
          <w:lang w:eastAsia="es-MX"/>
        </w:rPr>
        <w:t>En este sentido, la misma Ley, en los artículos 38 y 68, clasifica a las Sociedades de Economía Mixta como entidades descentralizadas por servicios, con personería jurídica, autonomía administrativa y patrimonio propio</w:t>
      </w:r>
      <w:r w:rsidRPr="00854D2C">
        <w:rPr>
          <w:rStyle w:val="Refdenotaalpie"/>
          <w:rFonts w:ascii="Verdana" w:hAnsi="Verdana" w:cs="Arial"/>
          <w:color w:val="000000" w:themeColor="text1"/>
          <w:lang w:eastAsia="es-MX"/>
        </w:rPr>
        <w:footnoteReference w:id="8"/>
      </w:r>
      <w:r w:rsidRPr="00854D2C">
        <w:rPr>
          <w:rFonts w:ascii="Verdana" w:hAnsi="Verdana" w:cs="Arial"/>
          <w:color w:val="000000" w:themeColor="text1"/>
          <w:lang w:eastAsia="es-MX"/>
        </w:rPr>
        <w:t>, que pueden ser del orden nacional, departamental o municipal, según su órgano de creación</w:t>
      </w:r>
      <w:r w:rsidRPr="00854D2C">
        <w:rPr>
          <w:rStyle w:val="Refdenotaalpie"/>
          <w:rFonts w:ascii="Verdana" w:hAnsi="Verdana" w:cs="Arial"/>
          <w:color w:val="000000" w:themeColor="text1"/>
          <w:lang w:eastAsia="es-MX"/>
        </w:rPr>
        <w:footnoteReference w:id="9"/>
      </w:r>
      <w:r w:rsidRPr="00854D2C">
        <w:rPr>
          <w:rFonts w:ascii="Verdana" w:hAnsi="Verdana" w:cs="Arial"/>
          <w:color w:val="000000" w:themeColor="text1"/>
          <w:lang w:eastAsia="es-MX"/>
        </w:rPr>
        <w:t xml:space="preserve">. Al respecto, la Corte Constitucional, en sentencias C-736 del 19 de septiembre de 2007, C-118 del 14 de noviembre de 2018 y C-306 del 10 de julio de 2019, han considerado que las sociedades estudiadas, desde una perspectiva constitucional, se caracterizan por los siguientes rasgos: </w:t>
      </w:r>
    </w:p>
    <w:p w:rsidRPr="00854D2C" w:rsidR="00006335" w:rsidP="008B5F68" w:rsidRDefault="00006335" w14:paraId="4E706046" w14:textId="77777777">
      <w:pPr>
        <w:pStyle w:val="Prrafodelista"/>
        <w:spacing w:after="0" w:line="276" w:lineRule="auto"/>
        <w:ind w:left="360"/>
        <w:contextualSpacing w:val="0"/>
        <w:jc w:val="both"/>
        <w:textAlignment w:val="baseline"/>
        <w:rPr>
          <w:rFonts w:ascii="Verdana" w:hAnsi="Verdana" w:cs="Arial"/>
          <w:color w:val="000000" w:themeColor="text1"/>
          <w:lang w:eastAsia="es-MX"/>
        </w:rPr>
      </w:pPr>
    </w:p>
    <w:p w:rsidRPr="00B61BFE" w:rsidR="00006335" w:rsidP="008B5F68" w:rsidRDefault="00006335" w14:paraId="482A2C54" w14:textId="77777777">
      <w:pPr>
        <w:pStyle w:val="Prrafodelista"/>
        <w:spacing w:after="0" w:line="240" w:lineRule="auto"/>
        <w:ind w:left="709" w:right="709"/>
        <w:contextualSpacing w:val="0"/>
        <w:jc w:val="both"/>
        <w:textAlignment w:val="baseline"/>
        <w:rPr>
          <w:rFonts w:ascii="Verdana" w:hAnsi="Verdana" w:cs="Arial"/>
          <w:sz w:val="20"/>
          <w:szCs w:val="20"/>
          <w:lang w:eastAsia="es-MX"/>
        </w:rPr>
      </w:pPr>
      <w:r w:rsidRPr="00B61BFE">
        <w:rPr>
          <w:rFonts w:ascii="Verdana" w:hAnsi="Verdana" w:cs="Arial"/>
          <w:sz w:val="20"/>
          <w:szCs w:val="20"/>
          <w:lang w:eastAsia="es-MX"/>
        </w:rPr>
        <w:t xml:space="preserve">“i) pertenecen a la rama ejecutiva del poder público, como manifestación de la descentralización por servicios. Así mismo, ii) están sujetas al control fiscal, financiero, de gestión y de resultados en cabeza de la Contraloría General de la República. Por otra parte, iii) se someten al control político, que ejerce directamente el Congreso de la República. Además, iv) en el caso de las sociedades de economía mixta del orden nacional, le corresponde al Congreso de la República su creación o autorización mediante ley. En cambio, v) en el caso de los órdenes departamental y municipal, esta misma facultad se les reconoce a las asambleas y concejos. Adicionalmente, vi) a todas las sociedades de economía mixta les son aplicables las inhabilidades para la integración de órganos directivos a que aluden los artículos 180- 3, 292 y 323 de la Constitución Política. A lo anterior debe agregarse que, vii) en materia presupuestal, las sociedades de economía mixta quedan sujetas a las reglas de la ley </w:t>
      </w:r>
      <w:r w:rsidRPr="00B61BFE">
        <w:rPr>
          <w:rFonts w:ascii="Verdana" w:hAnsi="Verdana" w:cs="Arial"/>
          <w:sz w:val="20"/>
          <w:szCs w:val="20"/>
          <w:lang w:eastAsia="es-MX"/>
        </w:rPr>
        <w:lastRenderedPageBreak/>
        <w:t xml:space="preserve">orgánica del presupuesto. De otro lado, viii) en materia contable, quedan vinculadas a las reglas de contabilidad oficial. Además, ix) se rigen por el derecho privado, en virtud de la naturaleza de las actividades que desarrollan”. </w:t>
      </w:r>
    </w:p>
    <w:p w:rsidRPr="00854D2C" w:rsidR="00006335" w:rsidP="008B5F68" w:rsidRDefault="00006335" w14:paraId="14F3769F" w14:textId="77777777">
      <w:pPr>
        <w:pStyle w:val="Prrafodelista"/>
        <w:spacing w:after="0" w:line="276" w:lineRule="auto"/>
        <w:ind w:left="357" w:right="709"/>
        <w:contextualSpacing w:val="0"/>
        <w:jc w:val="both"/>
        <w:textAlignment w:val="baseline"/>
        <w:rPr>
          <w:rFonts w:ascii="Verdana" w:hAnsi="Verdana" w:cs="Arial"/>
          <w:lang w:eastAsia="es-MX"/>
        </w:rPr>
      </w:pPr>
    </w:p>
    <w:p w:rsidR="00006335" w:rsidP="008B5F68" w:rsidRDefault="00006335" w14:paraId="5B1A7F03" w14:textId="77777777">
      <w:pPr>
        <w:pStyle w:val="Prrafodelista"/>
        <w:numPr>
          <w:ilvl w:val="0"/>
          <w:numId w:val="17"/>
        </w:numPr>
        <w:spacing w:after="0" w:line="276" w:lineRule="auto"/>
        <w:ind w:left="357"/>
        <w:contextualSpacing w:val="0"/>
        <w:jc w:val="both"/>
        <w:textAlignment w:val="baseline"/>
        <w:rPr>
          <w:rFonts w:ascii="Verdana" w:hAnsi="Verdana" w:cs="Arial"/>
          <w:color w:val="000000" w:themeColor="text1"/>
          <w:lang w:eastAsia="es-MX"/>
        </w:rPr>
      </w:pPr>
      <w:r w:rsidRPr="00854D2C">
        <w:rPr>
          <w:rFonts w:ascii="Verdana" w:hAnsi="Verdana" w:cs="Arial"/>
          <w:color w:val="000000" w:themeColor="text1"/>
          <w:lang w:eastAsia="es-MX"/>
        </w:rPr>
        <w:t>Resulta importante resaltar que, en el ordenamiento jurídico colombiano,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w:t>
      </w:r>
    </w:p>
    <w:p w:rsidRPr="00CE2FAF" w:rsidR="00006335" w:rsidP="008B5F68" w:rsidRDefault="00006335" w14:paraId="22877A59" w14:textId="77777777">
      <w:pPr>
        <w:pStyle w:val="Prrafodelista"/>
        <w:spacing w:after="0" w:line="276" w:lineRule="auto"/>
        <w:ind w:left="357"/>
        <w:contextualSpacing w:val="0"/>
        <w:jc w:val="both"/>
        <w:textAlignment w:val="baseline"/>
        <w:rPr>
          <w:rFonts w:ascii="Verdana" w:hAnsi="Verdana" w:cs="Arial"/>
          <w:color w:val="000000" w:themeColor="text1"/>
          <w:lang w:eastAsia="es-MX"/>
        </w:rPr>
      </w:pPr>
    </w:p>
    <w:p w:rsidRPr="00CE2FAF" w:rsidR="00006335" w:rsidP="23CDE940" w:rsidRDefault="00006335" w14:paraId="426D5D28" w14:textId="77777777">
      <w:pPr>
        <w:pStyle w:val="Prrafodelista"/>
        <w:numPr>
          <w:ilvl w:val="0"/>
          <w:numId w:val="17"/>
        </w:numPr>
        <w:spacing w:after="0" w:line="276" w:lineRule="auto"/>
        <w:ind w:left="357"/>
        <w:jc w:val="both"/>
        <w:textAlignment w:val="baseline"/>
        <w:rPr>
          <w:rFonts w:ascii="Verdana" w:hAnsi="Verdana" w:cs="Arial"/>
          <w:color w:val="000000" w:themeColor="text1"/>
          <w:lang w:val="es-ES" w:eastAsia="es-MX"/>
        </w:rPr>
      </w:pPr>
      <w:r w:rsidRPr="23CDE940" w:rsidR="00006335">
        <w:rPr>
          <w:rFonts w:ascii="Verdana" w:hAnsi="Verdana" w:cs="Arial"/>
          <w:color w:val="000000" w:themeColor="text1"/>
          <w:lang w:val="es-ES" w:eastAsia="es-MX"/>
        </w:rPr>
        <w:t>Ahora bien, conviene analizar el régimen aplicable para los actos y contratos que celebran estas entidades. Al respecto, el literal a)</w:t>
      </w:r>
      <w:r w:rsidRPr="23CDE940" w:rsidR="00006335">
        <w:rPr>
          <w:rFonts w:ascii="Verdana" w:hAnsi="Verdana" w:cs="Arial"/>
          <w:color w:val="000000" w:themeColor="text1"/>
          <w:lang w:val="es-ES" w:eastAsia="es-MX"/>
        </w:rPr>
        <w:t xml:space="preserve"> </w:t>
      </w:r>
      <w:r w:rsidRPr="23CDE940" w:rsidR="00006335">
        <w:rPr>
          <w:rFonts w:ascii="Verdana" w:hAnsi="Verdana" w:cs="Arial"/>
          <w:color w:val="000000" w:themeColor="text1"/>
          <w:lang w:val="es-ES" w:eastAsia="es-MX"/>
        </w:rPr>
        <w:t>del artículo 2 de la Ley 80 de 1993, señala que son Entidades Estatales las Sociedades de Economía Mixta en las que el Estado tenga participación superior al cincuenta por ciento (50%)</w:t>
      </w:r>
      <w:r w:rsidRPr="23CDE940">
        <w:rPr>
          <w:rStyle w:val="Refdenotaalpie"/>
          <w:rFonts w:ascii="Verdana" w:hAnsi="Verdana" w:cs="Arial"/>
          <w:color w:val="000000" w:themeColor="text1"/>
          <w:lang w:val="es-ES" w:eastAsia="es-MX"/>
        </w:rPr>
        <w:footnoteReference w:id="10"/>
      </w:r>
      <w:r w:rsidRPr="23CDE940" w:rsidR="00006335">
        <w:rPr>
          <w:rFonts w:ascii="Verdana" w:hAnsi="Verdana" w:cs="Arial"/>
          <w:color w:val="000000" w:themeColor="text1"/>
          <w:lang w:val="es-ES" w:eastAsia="es-MX"/>
        </w:rPr>
        <w:t>. Actualmente,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23CDE940">
        <w:rPr>
          <w:rStyle w:val="Refdenotaalpie"/>
          <w:rFonts w:ascii="Verdana" w:hAnsi="Verdana" w:cs="Arial"/>
          <w:color w:val="000000" w:themeColor="text1"/>
          <w:lang w:val="es-ES" w:eastAsia="es-MX"/>
        </w:rPr>
        <w:footnoteReference w:id="11"/>
      </w:r>
      <w:r w:rsidRPr="23CDE940" w:rsidR="00006335">
        <w:rPr>
          <w:rFonts w:ascii="Verdana" w:hAnsi="Verdana" w:cs="Arial"/>
          <w:color w:val="000000" w:themeColor="text1"/>
          <w:lang w:val="es-ES" w:eastAsia="es-MX"/>
        </w:rPr>
        <w:t xml:space="preserve">. En otras palabras, el legislador estableció que </w:t>
      </w:r>
      <w:r w:rsidRPr="23CDE940" w:rsidR="00006335">
        <w:rPr>
          <w:rFonts w:ascii="Verdana" w:hAnsi="Verdana" w:cs="Arial"/>
          <w:color w:val="000000" w:themeColor="text1"/>
          <w:lang w:val="es-ES" w:eastAsia="es-MX"/>
        </w:rPr>
        <w:lastRenderedPageBreak/>
        <w:t>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rsidRPr="00CE2FAF" w:rsidR="00006335" w:rsidP="008B5F68" w:rsidRDefault="00006335" w14:paraId="789BA38A" w14:textId="77777777">
      <w:pPr>
        <w:pStyle w:val="Prrafodelista"/>
        <w:spacing w:after="0" w:line="276" w:lineRule="auto"/>
        <w:ind w:left="357"/>
        <w:contextualSpacing w:val="0"/>
        <w:jc w:val="both"/>
        <w:rPr>
          <w:rFonts w:ascii="Verdana" w:hAnsi="Verdana" w:eastAsia="Calibri" w:cs="Arial"/>
          <w:color w:val="000000" w:themeColor="text1"/>
          <w:lang w:val="es-MX"/>
        </w:rPr>
      </w:pPr>
    </w:p>
    <w:p w:rsidRPr="00CE2FAF" w:rsidR="00006335" w:rsidP="008B5F68" w:rsidRDefault="00006335" w14:paraId="05DDE770" w14:textId="77777777">
      <w:pPr>
        <w:pStyle w:val="Prrafodelista"/>
        <w:numPr>
          <w:ilvl w:val="0"/>
          <w:numId w:val="17"/>
        </w:numPr>
        <w:spacing w:after="0" w:line="276" w:lineRule="auto"/>
        <w:ind w:left="357"/>
        <w:contextualSpacing w:val="0"/>
        <w:jc w:val="both"/>
        <w:rPr>
          <w:rFonts w:ascii="Verdana" w:hAnsi="Verdana" w:eastAsia="Calibri" w:cs="Arial"/>
          <w:color w:val="000000" w:themeColor="text1"/>
        </w:rPr>
      </w:pPr>
      <w:r w:rsidRPr="00CE2FAF">
        <w:rPr>
          <w:rFonts w:ascii="Verdana" w:hAnsi="Verdana" w:cs="Arial"/>
          <w:color w:val="000000" w:themeColor="text1"/>
          <w:lang w:val="es-ES_tradnl" w:eastAsia="es-MX"/>
        </w:rPr>
        <w:t xml:space="preserve">En ese orden de ideas, para dar respuesta a su pregunta </w:t>
      </w:r>
      <w:r w:rsidRPr="00CE2FAF">
        <w:rPr>
          <w:rFonts w:ascii="Verdana" w:hAnsi="Verdana" w:eastAsia="Calibri" w:cs="Arial"/>
          <w:color w:val="000000" w:themeColor="text1"/>
        </w:rPr>
        <w:t>referente a si una Sociedad de Economía Mixta puede suscribir un contrato de colaboración o un convenio de asociación</w:t>
      </w:r>
      <w:r w:rsidRPr="00CE2FAF">
        <w:rPr>
          <w:rFonts w:ascii="Verdana" w:hAnsi="Verdana" w:cs="Arial"/>
          <w:color w:val="000000" w:themeColor="text1"/>
          <w:lang w:val="es-ES_tradnl" w:eastAsia="es-MX"/>
        </w:rPr>
        <w:t xml:space="preserve">, es importante precisar que, </w:t>
      </w:r>
      <w:bookmarkStart w:name="_Hlk173776025" w:id="10"/>
      <w:r w:rsidRPr="00CE2FAF">
        <w:rPr>
          <w:rFonts w:ascii="Verdana" w:hAnsi="Verdana" w:eastAsia="Calibri" w:cs="Arial"/>
          <w:color w:val="000000" w:themeColor="text1"/>
        </w:rPr>
        <w:t xml:space="preserve">dado que las disposiciones analizadas señalan que </w:t>
      </w:r>
      <w:r w:rsidRPr="00CE2FAF">
        <w:rPr>
          <w:rFonts w:ascii="Verdana" w:hAnsi="Verdana" w:eastAsia="Calibri" w:cs="Arial"/>
          <w:color w:val="000000" w:themeColor="text1"/>
          <w:lang w:val="es-MX"/>
        </w:rPr>
        <w:t xml:space="preserve">pueden ser celebrados por cualquier Entidad Estatal “cualquiera sea su naturaleza y orden administrativo”, las Sociedades de Economía Mixta </w:t>
      </w:r>
      <w:r w:rsidRPr="00CE2FAF">
        <w:rPr>
          <w:rFonts w:ascii="Verdana" w:hAnsi="Verdana" w:eastAsia="Calibri" w:cs="Arial"/>
          <w:color w:val="000000" w:themeColor="text1"/>
        </w:rPr>
        <w:t xml:space="preserve">serán competentes para celebrar este tipo de convenios en calidad de contratantes, siempre y cuando el Estado tenga una participación mayor al cincuenta por ciento (50%). Las Sociedades de Economía Mixta en las que el Estado tenga una participación menor a dicho porcentaje, por tener un régimen exceptuado no se sujetaran a las reglas consagradas en el Decreto 092 de 2017, sino al derecho privado y a lo que disponga sus manuales de contratación. </w:t>
      </w:r>
    </w:p>
    <w:bookmarkEnd w:id="10"/>
    <w:p w:rsidRPr="00CE2FAF" w:rsidR="00006335" w:rsidP="008B5F68" w:rsidRDefault="00006335" w14:paraId="2D04625F" w14:textId="77777777">
      <w:pPr>
        <w:spacing w:after="0" w:line="276" w:lineRule="auto"/>
        <w:jc w:val="both"/>
        <w:rPr>
          <w:rFonts w:ascii="Verdana" w:hAnsi="Verdana" w:eastAsia="Calibri" w:cs="Arial"/>
          <w:color w:val="000000" w:themeColor="text1"/>
        </w:rPr>
      </w:pPr>
    </w:p>
    <w:p w:rsidRPr="00CE2FAF" w:rsidR="00006335" w:rsidP="008B5F68" w:rsidRDefault="00006335" w14:paraId="1C3E9036" w14:textId="77777777">
      <w:pPr>
        <w:pStyle w:val="Prrafodelista"/>
        <w:numPr>
          <w:ilvl w:val="0"/>
          <w:numId w:val="17"/>
        </w:numPr>
        <w:spacing w:after="0" w:line="276" w:lineRule="auto"/>
        <w:ind w:left="357"/>
        <w:contextualSpacing w:val="0"/>
        <w:jc w:val="both"/>
        <w:rPr>
          <w:rFonts w:ascii="Verdana" w:hAnsi="Verdana"/>
          <w:color w:val="000000" w:themeColor="text1"/>
          <w:shd w:val="clear" w:color="auto" w:fill="FFFFFF"/>
        </w:rPr>
      </w:pPr>
      <w:bookmarkStart w:name="_Hlk173776187" w:id="11"/>
      <w:r w:rsidRPr="00CE2FAF">
        <w:rPr>
          <w:rFonts w:ascii="Verdana" w:hAnsi="Verdana" w:cs="Arial"/>
          <w:color w:val="000000" w:themeColor="text1"/>
        </w:rPr>
        <w:t>Por otro lado, deberá analizarse si las Sociedades de Economía Mixta pueden actuar en este tipo de contratos en condición de contratista – como el caso que señala en su escrito</w:t>
      </w:r>
      <w:r>
        <w:rPr>
          <w:rFonts w:ascii="Verdana" w:hAnsi="Verdana" w:cs="Arial"/>
          <w:color w:val="000000" w:themeColor="text1"/>
        </w:rPr>
        <w:t>, referente a si un municipio puede celebrar un contrato de colaboración o convenio de asociación regido por el Decreto 092 de 2017 con una Sociedad de Economía Mixta</w:t>
      </w:r>
      <w:r w:rsidRPr="00CE2FAF">
        <w:rPr>
          <w:rFonts w:ascii="Verdana" w:hAnsi="Verdana" w:cs="Arial"/>
          <w:color w:val="000000" w:themeColor="text1"/>
        </w:rPr>
        <w:t xml:space="preserve"> –. Al respecto, </w:t>
      </w:r>
      <w:r w:rsidRPr="00CE2FAF">
        <w:rPr>
          <w:rFonts w:ascii="Verdana" w:hAnsi="Verdana"/>
          <w:color w:val="000000" w:themeColor="text1"/>
          <w:shd w:val="clear" w:color="auto" w:fill="FFFFFF"/>
        </w:rPr>
        <w:t xml:space="preserve">de manera clara el texto constitucional en su artículo 355, expresa que los convenios celebrados por las Entidades Estatales para impulsar programas o actividades de interés público acordes con los planes nacional y seccionales de desarrollo </w:t>
      </w:r>
      <w:r w:rsidRPr="00CE2FAF">
        <w:rPr>
          <w:rFonts w:ascii="Verdana" w:hAnsi="Verdana"/>
          <w:i/>
          <w:iCs/>
          <w:color w:val="000000" w:themeColor="text1"/>
          <w:shd w:val="clear" w:color="auto" w:fill="FFFFFF"/>
        </w:rPr>
        <w:t>únicamente</w:t>
      </w:r>
      <w:r w:rsidRPr="00CE2FAF">
        <w:rPr>
          <w:rFonts w:ascii="Verdana" w:hAnsi="Verdana"/>
          <w:color w:val="000000" w:themeColor="text1"/>
          <w:shd w:val="clear" w:color="auto" w:fill="FFFFFF"/>
        </w:rPr>
        <w:t xml:space="preserve"> pueden suscribirse con ESAL. </w:t>
      </w:r>
      <w:r>
        <w:rPr>
          <w:rFonts w:ascii="Verdana" w:hAnsi="Verdana"/>
          <w:color w:val="000000" w:themeColor="text1"/>
          <w:shd w:val="clear" w:color="auto" w:fill="FFFFFF"/>
        </w:rPr>
        <w:t>Asimismo</w:t>
      </w:r>
      <w:r w:rsidRPr="00CE2FAF">
        <w:rPr>
          <w:rFonts w:ascii="Verdana" w:hAnsi="Verdana"/>
          <w:color w:val="000000" w:themeColor="text1"/>
          <w:shd w:val="clear" w:color="auto" w:fill="FFFFFF"/>
        </w:rPr>
        <w:t>, el artículo 3 del Decreto 092 de 2017 establece la exigencia de la reconocida idoneidad</w:t>
      </w:r>
      <w:r w:rsidRPr="00CE2FAF">
        <w:rPr>
          <w:rFonts w:ascii="Verdana" w:hAnsi="Verdana"/>
          <w:color w:val="000000" w:themeColor="text1"/>
        </w:rPr>
        <w:t xml:space="preserve"> </w:t>
      </w:r>
      <w:r w:rsidRPr="00CE2FAF">
        <w:rPr>
          <w:rFonts w:ascii="Verdana" w:hAnsi="Verdana"/>
          <w:color w:val="000000" w:themeColor="text1"/>
          <w:shd w:val="clear" w:color="auto" w:fill="FFFFFF"/>
        </w:rPr>
        <w:t xml:space="preserve">de las personas sin ánimo de lucro. De estas disposiciones se concluye, aspectos sustanciales que debería tener el contratista de querer postularse a un proceso de selección como son: a) impulsar actividades de interés público conforme al Plan Nacional de Desarrollo o los plane seccionales y; b) que la naturaleza jurídica del contratista sea sin ánimo de lucro. </w:t>
      </w:r>
    </w:p>
    <w:bookmarkEnd w:id="11"/>
    <w:p w:rsidRPr="00CE2FAF" w:rsidR="00006335" w:rsidP="008B5F68" w:rsidRDefault="00006335" w14:paraId="272F15DA" w14:textId="77777777">
      <w:pPr>
        <w:spacing w:after="0" w:line="276" w:lineRule="auto"/>
        <w:jc w:val="both"/>
        <w:rPr>
          <w:rFonts w:ascii="Verdana" w:hAnsi="Verdana"/>
          <w:color w:val="000000" w:themeColor="text1"/>
          <w:shd w:val="clear" w:color="auto" w:fill="FFFFFF"/>
        </w:rPr>
      </w:pPr>
    </w:p>
    <w:p w:rsidRPr="00CE2FAF" w:rsidR="00006335" w:rsidP="008B5F68" w:rsidRDefault="00006335" w14:paraId="54660271" w14:textId="77777777">
      <w:pPr>
        <w:pStyle w:val="Prrafodelista"/>
        <w:numPr>
          <w:ilvl w:val="0"/>
          <w:numId w:val="17"/>
        </w:numPr>
        <w:spacing w:after="0" w:line="276" w:lineRule="auto"/>
        <w:ind w:left="357"/>
        <w:contextualSpacing w:val="0"/>
        <w:jc w:val="both"/>
        <w:rPr>
          <w:rFonts w:ascii="Verdana" w:hAnsi="Verdana" w:cs="Arial"/>
          <w:color w:val="000000" w:themeColor="text1"/>
          <w:lang w:val="es-MX"/>
        </w:rPr>
      </w:pPr>
      <w:r w:rsidRPr="00CE2FAF">
        <w:rPr>
          <w:rFonts w:ascii="Verdana" w:hAnsi="Verdana" w:eastAsia="Calibri" w:cs="Arial"/>
          <w:color w:val="000000" w:themeColor="text1"/>
        </w:rPr>
        <w:lastRenderedPageBreak/>
        <w:t xml:space="preserve">En este punto, es menester señalar que, las </w:t>
      </w:r>
      <w:r w:rsidRPr="00CE2FAF">
        <w:rPr>
          <w:rFonts w:ascii="Verdana" w:hAnsi="Verdana" w:cs="Arial"/>
          <w:color w:val="000000" w:themeColor="text1"/>
        </w:rPr>
        <w:t>ESAL se encuentran reguladas principalmente en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CE2FAF">
        <w:rPr>
          <w:rFonts w:ascii="Verdana" w:hAnsi="Verdana"/>
          <w:vertAlign w:val="superscript"/>
        </w:rPr>
        <w:footnoteReference w:id="12"/>
      </w:r>
      <w:r w:rsidRPr="00CE2FAF">
        <w:rPr>
          <w:rFonts w:ascii="Verdana" w:hAnsi="Verdana" w:cs="Arial"/>
          <w:color w:val="000000" w:themeColor="text1"/>
        </w:rPr>
        <w:t xml:space="preserve">. La ausencia de ánimo de lucro es la característica determinante de estas organizaciones, tanto que de allí toman su nombre general y, por eso mismo, la diferencia fundamental con las sociedades comerciales, como es el caso de las Sociedades de Economía Mixta, la cuales están </w:t>
      </w:r>
      <w:r w:rsidRPr="00CE2FAF">
        <w:rPr>
          <w:rFonts w:ascii="Verdana" w:hAnsi="Verdana" w:cs="Arial"/>
          <w:color w:val="000000" w:themeColor="text1"/>
          <w:lang w:val="es-ES_tradnl"/>
        </w:rPr>
        <w:t xml:space="preserve">constituidas como sociedades comerciales que desarrollan actividades </w:t>
      </w:r>
      <w:r w:rsidRPr="00CE2FAF">
        <w:rPr>
          <w:rFonts w:ascii="Verdana" w:hAnsi="Verdana"/>
          <w:color w:val="00201A"/>
          <w:shd w:val="clear" w:color="auto" w:fill="FFFFFF"/>
        </w:rPr>
        <w:t>de naturaleza industrial o comercial con fines lucrativos, onerosos y conmutativos que pueden incluir empresas de servicios y empresas comerciales</w:t>
      </w:r>
      <w:r w:rsidRPr="00CE2FAF">
        <w:rPr>
          <w:rFonts w:ascii="Verdana" w:hAnsi="Verdana" w:cs="Arial"/>
          <w:color w:val="000000" w:themeColor="text1"/>
          <w:lang w:val="es-ES_tradnl"/>
        </w:rPr>
        <w:t xml:space="preserve"> con aportes de capital público y privado.</w:t>
      </w:r>
    </w:p>
    <w:p w:rsidRPr="00CE2FAF" w:rsidR="00006335" w:rsidP="008B5F68" w:rsidRDefault="00006335" w14:paraId="6878965E" w14:textId="77777777">
      <w:pPr>
        <w:spacing w:after="0" w:line="276" w:lineRule="auto"/>
        <w:jc w:val="both"/>
        <w:rPr>
          <w:rFonts w:ascii="Verdana" w:hAnsi="Verdana" w:cs="Arial"/>
          <w:color w:val="000000" w:themeColor="text1"/>
        </w:rPr>
      </w:pPr>
    </w:p>
    <w:p w:rsidRPr="0046186E" w:rsidR="00006335" w:rsidP="008B5F68" w:rsidRDefault="00006335" w14:paraId="752D94DF" w14:textId="77777777">
      <w:pPr>
        <w:pStyle w:val="Prrafodelista"/>
        <w:numPr>
          <w:ilvl w:val="0"/>
          <w:numId w:val="17"/>
        </w:numPr>
        <w:spacing w:after="0" w:line="276" w:lineRule="auto"/>
        <w:ind w:left="357"/>
        <w:contextualSpacing w:val="0"/>
        <w:jc w:val="both"/>
        <w:rPr>
          <w:rFonts w:ascii="Verdana" w:hAnsi="Verdana" w:cs="Arial"/>
          <w:color w:val="000000" w:themeColor="text1"/>
        </w:rPr>
      </w:pPr>
      <w:bookmarkStart w:name="_Hlk173776299" w:id="12"/>
      <w:r w:rsidRPr="0046186E">
        <w:rPr>
          <w:rFonts w:ascii="Verdana" w:hAnsi="Verdana" w:cs="Arial"/>
          <w:color w:val="000000" w:themeColor="text1"/>
        </w:rPr>
        <w:t xml:space="preserve">Según lo expuesto, no es posible clasificar a las Sociedades de Economía Mixta como ESAL. En consecuencia, este tipo de sociedades no pueden suscribir contratos de colaboración o convenios de colaboración en calidad de contratista en el marco del Decreto 092 de 2007 que regula las contrataciones con ESAL. </w:t>
      </w:r>
    </w:p>
    <w:bookmarkEnd w:id="12"/>
    <w:p w:rsidRPr="00CE2FAF" w:rsidR="00006335" w:rsidP="008B5F68" w:rsidRDefault="00006335" w14:paraId="70B53176" w14:textId="77777777">
      <w:pPr>
        <w:spacing w:after="0" w:line="276" w:lineRule="auto"/>
        <w:jc w:val="both"/>
        <w:rPr>
          <w:rFonts w:ascii="Verdana" w:hAnsi="Verdana" w:cs="Arial"/>
          <w:color w:val="000000" w:themeColor="text1"/>
        </w:rPr>
      </w:pPr>
    </w:p>
    <w:p w:rsidRPr="00CE2FAF" w:rsidR="00006335" w:rsidP="008B5F68" w:rsidRDefault="00006335" w14:paraId="72375ED8" w14:textId="77777777">
      <w:pPr>
        <w:pStyle w:val="Prrafodelista"/>
        <w:numPr>
          <w:ilvl w:val="0"/>
          <w:numId w:val="17"/>
        </w:numPr>
        <w:spacing w:after="0" w:line="276" w:lineRule="auto"/>
        <w:ind w:left="357"/>
        <w:contextualSpacing w:val="0"/>
        <w:jc w:val="both"/>
        <w:rPr>
          <w:rFonts w:ascii="Verdana" w:hAnsi="Verdana" w:cs="Arial"/>
          <w:color w:val="000000" w:themeColor="text1"/>
        </w:rPr>
      </w:pPr>
      <w:bookmarkStart w:name="_Hlk173776338" w:id="13"/>
      <w:r w:rsidRPr="00CE2FAF">
        <w:rPr>
          <w:rFonts w:ascii="Verdana" w:hAnsi="Verdana" w:cs="Arial"/>
          <w:color w:val="000000" w:themeColor="text1"/>
        </w:rPr>
        <w:t xml:space="preserve">Como se ha explicado a lo largo de este concepto, las contrataciones con ESAL, exigen que uno de los extremos de la relación tenga la calidad de entidad sin ánimo de lucro, de lo contrario no podrán sujetarse a las normas establecidas en el Decreto 092 de 2007. Se concluye así que, no es posible que </w:t>
      </w:r>
      <w:r w:rsidRPr="00CE2FAF">
        <w:rPr>
          <w:rFonts w:ascii="Verdana" w:hAnsi="Verdana" w:eastAsia="Century Gothic" w:cs="Century Gothic"/>
          <w:color w:val="000000" w:themeColor="text1"/>
        </w:rPr>
        <w:t xml:space="preserve">un municipio contrate bajo la modalidad de contratación reglamentada en el Decreto 092 de 2007 – con entidades privadas sin ánimo de lucro y de reconocida idoneidad – con una Sociedad de Economía Mixta porque como se ha indicado este tipo de sociedades desde su constitución si tienen intención de competir con el privado en actividades propiamente lucrativas. </w:t>
      </w:r>
    </w:p>
    <w:bookmarkEnd w:id="13"/>
    <w:p w:rsidRPr="00CE2FAF" w:rsidR="00006335" w:rsidP="008B5F68" w:rsidRDefault="00006335" w14:paraId="513E82B9" w14:textId="77777777">
      <w:pPr>
        <w:pStyle w:val="Prrafodelista"/>
        <w:spacing w:after="0" w:line="276" w:lineRule="auto"/>
        <w:ind w:left="357"/>
        <w:contextualSpacing w:val="0"/>
        <w:jc w:val="both"/>
        <w:rPr>
          <w:rFonts w:ascii="Verdana" w:hAnsi="Verdana" w:eastAsia="Calibri" w:cs="Arial"/>
          <w:color w:val="000000" w:themeColor="text1"/>
        </w:rPr>
      </w:pPr>
    </w:p>
    <w:p w:rsidRPr="00CE2FAF" w:rsidR="00006335" w:rsidP="008B5F68" w:rsidRDefault="00006335" w14:paraId="6629CF97" w14:textId="77777777">
      <w:pPr>
        <w:pStyle w:val="Prrafodelista"/>
        <w:numPr>
          <w:ilvl w:val="0"/>
          <w:numId w:val="17"/>
        </w:numPr>
        <w:spacing w:after="0" w:line="276" w:lineRule="auto"/>
        <w:ind w:left="357"/>
        <w:contextualSpacing w:val="0"/>
        <w:jc w:val="both"/>
        <w:rPr>
          <w:rFonts w:ascii="Verdana" w:hAnsi="Verdana" w:eastAsia="Calibri" w:cs="Arial"/>
          <w:color w:val="000000" w:themeColor="text1"/>
        </w:rPr>
      </w:pPr>
      <w:r w:rsidRPr="00CE2FAF">
        <w:rPr>
          <w:rFonts w:ascii="Verdana" w:hAnsi="Verdana" w:eastAsia="Calibri" w:cs="Arial"/>
          <w:color w:val="000000" w:themeColor="text1"/>
        </w:rPr>
        <w:t xml:space="preserve">En todo caso, </w:t>
      </w:r>
      <w:r w:rsidRPr="00CE2FAF">
        <w:rPr>
          <w:rFonts w:ascii="Verdana" w:hAnsi="Verdana" w:eastAsia="Calibri" w:cs="Arial"/>
          <w:bCs/>
          <w:color w:val="000000" w:themeColor="text1"/>
          <w:lang w:eastAsia="es-CO"/>
        </w:rPr>
        <w:t xml:space="preserve">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de acuerdo a la conveniencia del objeto a contratar y el interés general, lo cual es acorde con el principio de juridicidad. </w:t>
      </w:r>
      <w:r w:rsidRPr="00CE2FAF">
        <w:rPr>
          <w:rFonts w:ascii="Verdana" w:hAnsi="Verdana" w:cs="Arial"/>
          <w:color w:val="000000" w:themeColor="text1"/>
        </w:rPr>
        <w:t>Por lo anterior, previo concepto de sus órganos asesores, la solución de casos particulares corresponde a la entidad contratante que debe adoptar la decisión correspondiente y, en caso de conflicto, a las autoridades judiciales, fiscales y disciplinarias.</w:t>
      </w:r>
    </w:p>
    <w:p w:rsidRPr="00CE2FAF" w:rsidR="00006335" w:rsidP="008B5F68" w:rsidRDefault="00006335" w14:paraId="6D0DD2A2" w14:textId="77777777">
      <w:pPr>
        <w:spacing w:after="0" w:line="276" w:lineRule="auto"/>
        <w:jc w:val="both"/>
        <w:rPr>
          <w:rFonts w:ascii="Verdana" w:hAnsi="Verdana" w:eastAsia="Calibri" w:cs="Arial"/>
          <w:color w:val="000000" w:themeColor="text1"/>
        </w:rPr>
      </w:pPr>
    </w:p>
    <w:p w:rsidRPr="0046186E" w:rsidR="00006335" w:rsidP="008B5F68" w:rsidRDefault="00006335" w14:paraId="46567794" w14:textId="77777777">
      <w:pPr>
        <w:pStyle w:val="Prrafodelista"/>
        <w:numPr>
          <w:ilvl w:val="0"/>
          <w:numId w:val="17"/>
        </w:numPr>
        <w:spacing w:after="0" w:line="276" w:lineRule="auto"/>
        <w:ind w:left="357"/>
        <w:contextualSpacing w:val="0"/>
        <w:jc w:val="both"/>
        <w:rPr>
          <w:rFonts w:ascii="Verdana" w:hAnsi="Verdana" w:eastAsia="Calibri" w:cs="Arial"/>
          <w:color w:val="000000" w:themeColor="text1"/>
        </w:rPr>
      </w:pPr>
      <w:r w:rsidRPr="0046186E">
        <w:rPr>
          <w:rFonts w:ascii="Verdana" w:hAnsi="Verdana" w:eastAsia="Calibri" w:cs="Arial"/>
        </w:rPr>
        <w:t xml:space="preserve">Para resolver </w:t>
      </w:r>
      <w:r>
        <w:rPr>
          <w:rFonts w:ascii="Verdana" w:hAnsi="Verdana" w:eastAsia="Calibri" w:cs="Arial"/>
        </w:rPr>
        <w:t>el segundo problema jurídico</w:t>
      </w:r>
      <w:r w:rsidRPr="0046186E">
        <w:rPr>
          <w:rFonts w:ascii="Verdana" w:hAnsi="Verdana" w:eastAsia="Calibri" w:cs="Arial"/>
        </w:rPr>
        <w:t>, es importante tener en cuenta que la Constitución Política de 1991 establece tres (3) regímenes de contratación</w:t>
      </w:r>
      <w:r w:rsidRPr="0046186E">
        <w:rPr>
          <w:rFonts w:ascii="Verdana" w:hAnsi="Verdana" w:eastAsia="Calibri" w:cs="Arial"/>
          <w:color w:val="000000" w:themeColor="text1"/>
        </w:rPr>
        <w:t xml:space="preserve">. El </w:t>
      </w:r>
      <w:r w:rsidRPr="0046186E">
        <w:rPr>
          <w:rFonts w:ascii="Verdana" w:hAnsi="Verdana" w:eastAsia="Calibri" w:cs="Arial"/>
          <w:i/>
          <w:color w:val="000000" w:themeColor="text1"/>
        </w:rPr>
        <w:t>primero</w:t>
      </w:r>
      <w:r w:rsidRPr="0046186E">
        <w:rPr>
          <w:rFonts w:ascii="Verdana" w:hAnsi="Verdana" w:eastAsia="Calibri" w:cs="Arial"/>
          <w:color w:val="000000" w:themeColor="text1"/>
        </w:rPr>
        <w:t xml:space="preserve"> se fundamenta en la competencia prevista en el inciso final del artículo 150 superior, por el cual se faculta al Congreso de la República para expedir un EGCAP. El </w:t>
      </w:r>
      <w:r w:rsidRPr="0046186E">
        <w:rPr>
          <w:rFonts w:ascii="Verdana" w:hAnsi="Verdana" w:eastAsia="Calibri" w:cs="Arial"/>
          <w:i/>
          <w:color w:val="000000" w:themeColor="text1"/>
        </w:rPr>
        <w:t>segundo</w:t>
      </w:r>
      <w:r w:rsidRPr="0046186E">
        <w:rPr>
          <w:rFonts w:ascii="Verdana" w:hAnsi="Verdana" w:eastAsia="Calibri" w:cs="Arial"/>
          <w:color w:val="000000" w:themeColor="text1"/>
        </w:rPr>
        <w:t xml:space="preserve"> se relaciona con la posibilidad de crear regímenes especiales, caso en el cual la Constitución los exceptúa directamente, como sucede con las universidades públicas y el Banco de la República –artículos 69 y 371 ibidem–, o permite que la ley defina el régimen jurídico de determinados órganos del Estado, como en el caso de las entidades descentralizadas por servicios –artículo 210 ibidem– y las empresas de servicios públicos domiciliarios –artículo 365 ibidem–. </w:t>
      </w:r>
      <w:r w:rsidRPr="0046186E">
        <w:rPr>
          <w:rFonts w:ascii="Verdana" w:hAnsi="Verdana" w:eastAsia="Calibri" w:cs="Arial"/>
          <w:i/>
          <w:color w:val="000000" w:themeColor="text1"/>
        </w:rPr>
        <w:t>Finalmente</w:t>
      </w:r>
      <w:r w:rsidRPr="0046186E">
        <w:rPr>
          <w:rFonts w:ascii="Verdana" w:hAnsi="Verdana" w:eastAsia="Calibri" w:cs="Arial"/>
          <w:color w:val="000000" w:themeColor="text1"/>
        </w:rPr>
        <w:t xml:space="preserve">, el citado artículo 355 establece el régimen de los contratos con las ESAL, el cual –además de extenderse a los </w:t>
      </w:r>
      <w:r w:rsidRPr="0046186E">
        <w:rPr>
          <w:rFonts w:ascii="Verdana" w:hAnsi="Verdana" w:eastAsia="Calibri" w:cs="Arial"/>
          <w:i/>
          <w:iCs/>
          <w:color w:val="000000" w:themeColor="text1"/>
        </w:rPr>
        <w:t>convenios de asociación</w:t>
      </w:r>
      <w:r w:rsidRPr="0046186E">
        <w:rPr>
          <w:rFonts w:ascii="Verdana" w:hAnsi="Verdana" w:eastAsia="Calibri" w:cs="Arial"/>
          <w:color w:val="000000" w:themeColor="text1"/>
        </w:rPr>
        <w:t xml:space="preserve"> en virtud de lo dispuesto en el artículo 96 de la Ley 489 de 1998– se desarrolló a través del Decreto 092 de 2017. </w:t>
      </w:r>
    </w:p>
    <w:p w:rsidRPr="005F5F08" w:rsidR="00006335" w:rsidP="008B5F68" w:rsidRDefault="00006335" w14:paraId="7E3643CD" w14:textId="77777777">
      <w:pPr>
        <w:pStyle w:val="Prrafodelista"/>
        <w:spacing w:after="0" w:line="276" w:lineRule="auto"/>
        <w:contextualSpacing w:val="0"/>
        <w:rPr>
          <w:rFonts w:ascii="Verdana" w:hAnsi="Verdana" w:eastAsia="Calibri" w:cs="Arial"/>
          <w:color w:val="000000" w:themeColor="text1"/>
        </w:rPr>
      </w:pPr>
    </w:p>
    <w:p w:rsidRPr="00CE2FAF" w:rsidR="00006335" w:rsidP="008B5F68" w:rsidRDefault="00006335" w14:paraId="02D403EA" w14:textId="77777777">
      <w:pPr>
        <w:pStyle w:val="Prrafodelista"/>
        <w:numPr>
          <w:ilvl w:val="0"/>
          <w:numId w:val="17"/>
        </w:numPr>
        <w:spacing w:after="0" w:line="276" w:lineRule="auto"/>
        <w:ind w:left="357"/>
        <w:contextualSpacing w:val="0"/>
        <w:jc w:val="both"/>
        <w:rPr>
          <w:rFonts w:ascii="Verdana" w:hAnsi="Verdana" w:eastAsia="Calibri" w:cs="Arial"/>
          <w:color w:val="000000" w:themeColor="text1"/>
          <w:lang w:val="es-ES_tradnl"/>
        </w:rPr>
      </w:pPr>
      <w:r>
        <w:rPr>
          <w:rFonts w:ascii="Verdana" w:hAnsi="Verdana" w:eastAsia="Calibri" w:cs="Arial"/>
          <w:color w:val="000000" w:themeColor="text1"/>
          <w:lang w:val="es-ES_tradnl"/>
        </w:rPr>
        <w:t>L</w:t>
      </w:r>
      <w:r w:rsidRPr="00CE2FAF">
        <w:rPr>
          <w:rFonts w:ascii="Verdana" w:hAnsi="Verdana" w:eastAsia="Calibri" w:cs="Arial"/>
          <w:color w:val="000000" w:themeColor="text1"/>
          <w:lang w:val="es-ES_tradnl"/>
        </w:rPr>
        <w:t xml:space="preserve">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Así mismo, pese a la aplicación de las normas comunes sobre obligaciones y contratos en las entidades del régimen exceptuado, deben respetar los principios de la función administrativa, de la gestión fiscal y el régimen de inhabilidades e incompatibilidades, entre otras materias –artículo 13 de la Ley 1150 de 2007–, en armonía con los respectivos manuales de contratación. </w:t>
      </w:r>
      <w:r>
        <w:rPr>
          <w:rFonts w:ascii="Verdana" w:hAnsi="Verdana" w:eastAsia="Calibri" w:cs="Arial"/>
          <w:color w:val="000000" w:themeColor="text1"/>
          <w:lang w:val="es-ES_tradnl"/>
        </w:rPr>
        <w:t>Ahora bien</w:t>
      </w:r>
      <w:r w:rsidRPr="00CE2FAF">
        <w:rPr>
          <w:rFonts w:ascii="Verdana" w:hAnsi="Verdana" w:eastAsia="Calibri" w:cs="Arial"/>
          <w:color w:val="000000" w:themeColor="text1"/>
          <w:lang w:val="es-ES_tradnl"/>
        </w:rPr>
        <w:t xml:space="preserve">, frente a la regulación sumaria de los </w:t>
      </w:r>
      <w:r w:rsidRPr="00CE2FAF">
        <w:rPr>
          <w:rFonts w:ascii="Verdana" w:hAnsi="Verdana" w:eastAsia="Calibri" w:cs="Arial"/>
          <w:i/>
          <w:iCs/>
          <w:color w:val="000000" w:themeColor="text1"/>
          <w:lang w:val="es-ES_tradnl"/>
        </w:rPr>
        <w:t xml:space="preserve">contratos del </w:t>
      </w:r>
      <w:r w:rsidRPr="00CE2FAF">
        <w:rPr>
          <w:rFonts w:ascii="Verdana" w:hAnsi="Verdana" w:eastAsia="Calibri" w:cs="Arial"/>
          <w:i/>
          <w:iCs/>
          <w:color w:val="000000" w:themeColor="text1"/>
          <w:lang w:val="es-ES_tradnl"/>
        </w:rPr>
        <w:lastRenderedPageBreak/>
        <w:t>artículo 355 de la Constitución</w:t>
      </w:r>
      <w:r w:rsidRPr="00CE2FAF">
        <w:rPr>
          <w:rFonts w:ascii="Verdana" w:hAnsi="Verdana" w:eastAsia="Calibri" w:cs="Arial"/>
          <w:color w:val="000000" w:themeColor="text1"/>
          <w:lang w:val="es-ES_tradnl"/>
        </w:rPr>
        <w:t xml:space="preserve"> y los </w:t>
      </w:r>
      <w:r w:rsidRPr="00CE2FAF">
        <w:rPr>
          <w:rFonts w:ascii="Verdana" w:hAnsi="Verdana" w:eastAsia="Calibri" w:cs="Arial"/>
          <w:i/>
          <w:iCs/>
          <w:color w:val="000000" w:themeColor="text1"/>
          <w:lang w:val="es-ES_tradnl"/>
        </w:rPr>
        <w:t>convenios de asociación</w:t>
      </w:r>
      <w:r w:rsidRPr="00CE2FAF">
        <w:rPr>
          <w:rFonts w:ascii="Verdana" w:hAnsi="Verdana" w:eastAsia="Calibri" w:cs="Arial"/>
          <w:color w:val="000000" w:themeColor="text1"/>
          <w:lang w:val="es-ES_tradnl"/>
        </w:rPr>
        <w:t xml:space="preserve">, el artículo 6 del </w:t>
      </w:r>
      <w:bookmarkStart w:name="_Hlk38214426" w:id="14"/>
      <w:r w:rsidRPr="00CE2FAF">
        <w:rPr>
          <w:rFonts w:ascii="Verdana" w:hAnsi="Verdana" w:eastAsia="Calibri" w:cs="Arial"/>
          <w:color w:val="000000" w:themeColor="text1"/>
          <w:lang w:val="es-ES_tradnl"/>
        </w:rPr>
        <w:t>Decreto 092 de 2017</w:t>
      </w:r>
      <w:bookmarkEnd w:id="14"/>
      <w:r w:rsidRPr="00CE2FAF">
        <w:rPr>
          <w:rFonts w:ascii="Verdana" w:hAnsi="Verdana" w:eastAsia="Calibri" w:cs="Arial"/>
          <w:color w:val="000000" w:themeColor="text1"/>
          <w:lang w:val="es-ES_tradnl"/>
        </w:rPr>
        <w:t xml:space="preserve"> dispone lo siguiente:</w:t>
      </w:r>
    </w:p>
    <w:p w:rsidRPr="00CE2FAF" w:rsidR="00006335" w:rsidP="008B5F68" w:rsidRDefault="00006335" w14:paraId="1AA6E5FA" w14:textId="77777777">
      <w:pPr>
        <w:pStyle w:val="Prrafodelista"/>
        <w:spacing w:after="0" w:line="276" w:lineRule="auto"/>
        <w:ind w:left="357" w:right="709"/>
        <w:contextualSpacing w:val="0"/>
        <w:jc w:val="both"/>
        <w:rPr>
          <w:rFonts w:ascii="Verdana" w:hAnsi="Verdana" w:eastAsia="Calibri" w:cs="Arial"/>
          <w:color w:val="000000" w:themeColor="text1"/>
          <w:lang w:val="es-ES_tradnl"/>
        </w:rPr>
      </w:pPr>
    </w:p>
    <w:p w:rsidRPr="005F5F08" w:rsidR="00006335" w:rsidP="008B5F68" w:rsidRDefault="00006335" w14:paraId="0FD1639E" w14:textId="77777777">
      <w:pPr>
        <w:pStyle w:val="Prrafodelista"/>
        <w:spacing w:after="0" w:line="240" w:lineRule="auto"/>
        <w:ind w:left="709" w:right="709"/>
        <w:contextualSpacing w:val="0"/>
        <w:jc w:val="both"/>
        <w:rPr>
          <w:rFonts w:ascii="Verdana" w:hAnsi="Verdana" w:eastAsia="Calibri" w:cs="Arial"/>
          <w:color w:val="000000" w:themeColor="text1"/>
          <w:sz w:val="20"/>
          <w:szCs w:val="20"/>
          <w:lang w:val="es-ES_tradnl"/>
        </w:rPr>
      </w:pPr>
      <w:r w:rsidRPr="005F5F08">
        <w:rPr>
          <w:rFonts w:ascii="Verdana" w:hAnsi="Verdana" w:eastAsia="Calibri" w:cs="Arial"/>
          <w:color w:val="000000" w:themeColor="text1"/>
          <w:sz w:val="20"/>
          <w:szCs w:val="20"/>
          <w:lang w:val="es-ES_tradnl"/>
        </w:rPr>
        <w:t xml:space="preserve">“Artículo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p w:rsidRPr="008B5F68" w:rsidR="00006335" w:rsidP="008B5F68" w:rsidRDefault="00006335" w14:paraId="6EE76CED" w14:textId="77777777">
      <w:pPr>
        <w:pStyle w:val="Prrafodelista"/>
        <w:spacing w:after="0" w:line="276" w:lineRule="auto"/>
        <w:ind w:left="360"/>
        <w:contextualSpacing w:val="0"/>
        <w:jc w:val="both"/>
        <w:rPr>
          <w:rFonts w:ascii="Verdana" w:hAnsi="Verdana" w:eastAsia="Calibri" w:cs="Arial"/>
          <w:color w:val="000000" w:themeColor="text1"/>
          <w:lang w:val="es-ES_tradnl"/>
        </w:rPr>
      </w:pPr>
    </w:p>
    <w:p w:rsidRPr="008B5F68" w:rsidR="00006335" w:rsidP="008B5F68" w:rsidRDefault="00006335" w14:paraId="3F4AB9B5" w14:textId="77777777">
      <w:pPr>
        <w:pStyle w:val="Prrafodelista"/>
        <w:numPr>
          <w:ilvl w:val="0"/>
          <w:numId w:val="17"/>
        </w:numPr>
        <w:spacing w:after="0" w:line="276" w:lineRule="auto"/>
        <w:contextualSpacing w:val="0"/>
        <w:jc w:val="both"/>
        <w:rPr>
          <w:rFonts w:ascii="Verdana" w:hAnsi="Verdana" w:eastAsia="Calibri" w:cs="Arial"/>
          <w:color w:val="000000" w:themeColor="text1"/>
          <w:lang w:val="es-MX"/>
        </w:rPr>
      </w:pPr>
      <w:r w:rsidRPr="008B5F68">
        <w:rPr>
          <w:rFonts w:ascii="Verdana" w:hAnsi="Verdana" w:eastAsia="Calibri" w:cs="Arial"/>
          <w:color w:val="000000" w:themeColor="text1"/>
        </w:rPr>
        <w:t xml:space="preserve">La norma citada </w:t>
      </w:r>
      <w:bookmarkStart w:name="_Hlk38282653" w:id="15"/>
      <w:r w:rsidRPr="008B5F68">
        <w:rPr>
          <w:rFonts w:ascii="Verdana" w:hAnsi="Verdana" w:eastAsia="Calibri" w:cs="Arial"/>
          <w:color w:val="000000" w:themeColor="text1"/>
        </w:rPr>
        <w:t xml:space="preserve">hace una remisión total a las normas establecidas en las </w:t>
      </w:r>
      <w:r w:rsidRPr="008B5F68">
        <w:rPr>
          <w:rFonts w:ascii="Verdana" w:hAnsi="Verdana" w:eastAsia="Calibri" w:cs="Arial"/>
          <w:color w:val="000000" w:themeColor="text1"/>
          <w:lang w:val="es-ES_tradnl"/>
        </w:rPr>
        <w:t xml:space="preserve">Leyes 80 de 1993, 1150 de 2007 y 1474 de 2011 en lo referente a los regímenes de prohibiciones, inhabilidades e incompatibilidades, por lo que estas serán aplicables a los contratos del artículo 355 de la Constitución Política y a los convenios de asociación. </w:t>
      </w:r>
    </w:p>
    <w:p w:rsidRPr="008B5F68" w:rsidR="00006335" w:rsidP="008B5F68" w:rsidRDefault="00006335" w14:paraId="30C3271A" w14:textId="77777777">
      <w:pPr>
        <w:pStyle w:val="Prrafodelista"/>
        <w:spacing w:after="0" w:line="276" w:lineRule="auto"/>
        <w:ind w:left="360"/>
        <w:contextualSpacing w:val="0"/>
        <w:jc w:val="both"/>
        <w:rPr>
          <w:rFonts w:ascii="Verdana" w:hAnsi="Verdana" w:eastAsia="Calibri" w:cs="Arial"/>
          <w:color w:val="000000" w:themeColor="text1"/>
        </w:rPr>
      </w:pPr>
    </w:p>
    <w:bookmarkEnd w:id="15"/>
    <w:p w:rsidRPr="008B5F68" w:rsidR="00006335" w:rsidP="008B5F68" w:rsidRDefault="00006335" w14:paraId="49BFDBD3" w14:textId="77777777">
      <w:pPr>
        <w:pStyle w:val="Prrafodelista"/>
        <w:numPr>
          <w:ilvl w:val="0"/>
          <w:numId w:val="17"/>
        </w:numPr>
        <w:spacing w:after="0" w:line="276" w:lineRule="auto"/>
        <w:contextualSpacing w:val="0"/>
        <w:jc w:val="both"/>
        <w:rPr>
          <w:rFonts w:ascii="Verdana" w:hAnsi="Verdana" w:eastAsia="Calibri" w:cs="Arial"/>
          <w:bCs/>
          <w:lang w:val="es-MX" w:eastAsia="es-CO"/>
        </w:rPr>
      </w:pPr>
      <w:r w:rsidRPr="008B5F68">
        <w:rPr>
          <w:rFonts w:ascii="Verdana" w:hAnsi="Verdana" w:eastAsia="Calibri" w:cs="Arial"/>
          <w:color w:val="000000" w:themeColor="text1"/>
        </w:rPr>
        <w:t xml:space="preserve">Pues bien, dado que el peticionario indaga sobre el régimen de inhabilidades e incompatibilidades aplicables a las contrataciones celebradas en virtud del Decreto 092 de 2007, y conforme la remisión que hace el artículo 6 </w:t>
      </w:r>
      <w:r w:rsidRPr="008B5F68">
        <w:rPr>
          <w:rFonts w:ascii="Verdana" w:hAnsi="Verdana" w:eastAsia="Calibri" w:cs="Arial"/>
          <w:i/>
          <w:iCs/>
          <w:color w:val="000000" w:themeColor="text1"/>
        </w:rPr>
        <w:t>ibidem</w:t>
      </w:r>
      <w:r w:rsidRPr="008B5F68">
        <w:rPr>
          <w:rFonts w:ascii="Verdana" w:hAnsi="Verdana" w:eastAsia="Calibri" w:cs="Arial"/>
          <w:color w:val="000000" w:themeColor="text1"/>
        </w:rPr>
        <w:t xml:space="preserve"> al EGCAP, </w:t>
      </w:r>
      <w:r w:rsidRPr="008B5F68">
        <w:rPr>
          <w:rFonts w:ascii="Verdana" w:hAnsi="Verdana" w:eastAsia="Calibri" w:cs="Arial"/>
          <w:lang w:val="es-ES_tradnl"/>
        </w:rPr>
        <w:t xml:space="preserve">en cada caso deberá estudiarse si se está en </w:t>
      </w:r>
      <w:r w:rsidRPr="008B5F68">
        <w:rPr>
          <w:rFonts w:ascii="Verdana" w:hAnsi="Verdana" w:eastAsia="Calibri" w:cs="Arial"/>
          <w:bCs/>
          <w:lang w:val="es-MX" w:eastAsia="es-CO"/>
        </w:rPr>
        <w:t xml:space="preserve">incurso en alguna causal de inhabilidad o incompatibilidad. </w:t>
      </w:r>
    </w:p>
    <w:p w:rsidRPr="008B5F68" w:rsidR="00006335" w:rsidP="008B5F68" w:rsidRDefault="00006335" w14:paraId="6060FD26" w14:textId="77777777">
      <w:pPr>
        <w:widowControl w:val="0"/>
        <w:autoSpaceDE w:val="0"/>
        <w:autoSpaceDN w:val="0"/>
        <w:spacing w:after="0" w:line="276" w:lineRule="auto"/>
        <w:jc w:val="both"/>
        <w:rPr>
          <w:rFonts w:ascii="Verdana" w:hAnsi="Verdana" w:cs="Arial"/>
        </w:rPr>
      </w:pPr>
    </w:p>
    <w:p w:rsidRPr="008B5F68" w:rsidR="00006335" w:rsidP="008B5F68" w:rsidRDefault="00006335" w14:paraId="03DC904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8B5F68">
        <w:rPr>
          <w:rFonts w:ascii="Verdana" w:hAnsi="Verdana" w:eastAsia="Century Gothic" w:cs="Century Gothic"/>
          <w:b/>
          <w:bCs/>
        </w:rPr>
        <w:t>Referencias normativas, jurisprudenciales y otras fuentes:</w:t>
      </w:r>
    </w:p>
    <w:p w:rsidRPr="008B5F68" w:rsidR="00006335" w:rsidP="008B5F68" w:rsidRDefault="00006335" w14:paraId="3F985FE4"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8B5F68" w:rsidR="00006335" w:rsidTr="00652686" w14:paraId="66870BDB" w14:textId="77777777">
        <w:trPr>
          <w:trHeight w:val="870"/>
        </w:trPr>
        <w:tc>
          <w:tcPr>
            <w:tcW w:w="8647" w:type="dxa"/>
          </w:tcPr>
          <w:p w:rsidRPr="008B5F68" w:rsidR="00006335" w:rsidP="008B5F68" w:rsidRDefault="00006335" w14:paraId="53A39514" w14:textId="77777777">
            <w:pPr>
              <w:pStyle w:val="Prrafodelista"/>
              <w:numPr>
                <w:ilvl w:val="0"/>
                <w:numId w:val="18"/>
              </w:numPr>
              <w:spacing w:line="276" w:lineRule="auto"/>
              <w:contextualSpacing w:val="0"/>
              <w:jc w:val="both"/>
              <w:rPr>
                <w:rFonts w:ascii="Verdana" w:hAnsi="Verdana" w:cs="Arial"/>
                <w:color w:val="000000" w:themeColor="text1"/>
                <w:lang w:val="es-ES_tradnl"/>
              </w:rPr>
            </w:pPr>
            <w:r w:rsidRPr="008B5F68">
              <w:rPr>
                <w:rFonts w:ascii="Verdana" w:hAnsi="Verdana" w:cs="Arial"/>
                <w:color w:val="000000" w:themeColor="text1"/>
                <w:lang w:val="es-ES_tradnl"/>
              </w:rPr>
              <w:t>Ley 489 de 1998: Artículo 38, 68, 96 y 97.</w:t>
            </w:r>
          </w:p>
          <w:p w:rsidRPr="008B5F68" w:rsidR="00006335" w:rsidP="008B5F68" w:rsidRDefault="00006335" w14:paraId="459B05A5" w14:textId="77777777">
            <w:pPr>
              <w:pStyle w:val="Prrafodelista"/>
              <w:spacing w:line="276" w:lineRule="auto"/>
              <w:ind w:left="360"/>
              <w:contextualSpacing w:val="0"/>
              <w:jc w:val="both"/>
              <w:rPr>
                <w:rFonts w:ascii="Verdana" w:hAnsi="Verdana" w:cs="Arial"/>
                <w:color w:val="000000" w:themeColor="text1"/>
                <w:lang w:val="es-ES_tradnl"/>
              </w:rPr>
            </w:pPr>
          </w:p>
          <w:p w:rsidRPr="008B5F68" w:rsidR="00006335" w:rsidP="008B5F68" w:rsidRDefault="00006335" w14:paraId="67345B90" w14:textId="77777777">
            <w:pPr>
              <w:pStyle w:val="Prrafodelista"/>
              <w:numPr>
                <w:ilvl w:val="0"/>
                <w:numId w:val="18"/>
              </w:numPr>
              <w:spacing w:line="276" w:lineRule="auto"/>
              <w:contextualSpacing w:val="0"/>
              <w:jc w:val="both"/>
              <w:rPr>
                <w:rFonts w:ascii="Verdana" w:hAnsi="Verdana" w:eastAsia="Calibri" w:cs="Arial"/>
                <w:color w:val="000000" w:themeColor="text1"/>
              </w:rPr>
            </w:pPr>
            <w:r w:rsidRPr="008B5F68">
              <w:rPr>
                <w:rFonts w:ascii="Verdana" w:hAnsi="Verdana" w:eastAsia="Calibri" w:cs="Arial"/>
                <w:color w:val="000000" w:themeColor="text1"/>
              </w:rPr>
              <w:t xml:space="preserve">Ley 489 de 1998: Artículo 96. </w:t>
            </w:r>
          </w:p>
          <w:p w:rsidRPr="008B5F68" w:rsidR="00006335" w:rsidP="008B5F68" w:rsidRDefault="00006335" w14:paraId="5EA98E3C" w14:textId="77777777">
            <w:pPr>
              <w:pStyle w:val="Prrafodelista"/>
              <w:spacing w:line="276" w:lineRule="auto"/>
              <w:ind w:left="360"/>
              <w:contextualSpacing w:val="0"/>
              <w:jc w:val="both"/>
              <w:rPr>
                <w:rFonts w:ascii="Verdana" w:hAnsi="Verdana" w:cs="Arial"/>
                <w:color w:val="000000" w:themeColor="text1"/>
              </w:rPr>
            </w:pPr>
          </w:p>
          <w:p w:rsidRPr="008B5F68" w:rsidR="00006335" w:rsidP="008B5F68" w:rsidRDefault="00006335" w14:paraId="29C2755B" w14:textId="77777777">
            <w:pPr>
              <w:pStyle w:val="Prrafodelista"/>
              <w:numPr>
                <w:ilvl w:val="0"/>
                <w:numId w:val="18"/>
              </w:numPr>
              <w:spacing w:line="276" w:lineRule="auto"/>
              <w:contextualSpacing w:val="0"/>
              <w:jc w:val="both"/>
              <w:rPr>
                <w:rFonts w:ascii="Verdana" w:hAnsi="Verdana" w:cs="Arial"/>
                <w:color w:val="000000" w:themeColor="text1"/>
              </w:rPr>
            </w:pPr>
            <w:r w:rsidRPr="008B5F68">
              <w:rPr>
                <w:rFonts w:ascii="Verdana" w:hAnsi="Verdana" w:cs="Arial"/>
                <w:color w:val="000000" w:themeColor="text1"/>
              </w:rPr>
              <w:t>Decreto 092 de 2017: Artículo 1 y 2.</w:t>
            </w:r>
          </w:p>
          <w:p w:rsidRPr="008B5F68" w:rsidR="00006335" w:rsidP="008B5F68" w:rsidRDefault="00006335" w14:paraId="241CEA91" w14:textId="77777777">
            <w:pPr>
              <w:spacing w:line="276" w:lineRule="auto"/>
              <w:jc w:val="both"/>
              <w:rPr>
                <w:rFonts w:ascii="Verdana" w:hAnsi="Verdana" w:cs="Arial"/>
                <w:color w:val="000000" w:themeColor="text1"/>
              </w:rPr>
            </w:pPr>
          </w:p>
          <w:p w:rsidRPr="008B5F68" w:rsidR="00006335" w:rsidP="008B5F68" w:rsidRDefault="00006335" w14:paraId="045F9399" w14:textId="77777777">
            <w:pPr>
              <w:pStyle w:val="Prrafodelista"/>
              <w:numPr>
                <w:ilvl w:val="0"/>
                <w:numId w:val="18"/>
              </w:numPr>
              <w:spacing w:line="276" w:lineRule="auto"/>
              <w:contextualSpacing w:val="0"/>
              <w:jc w:val="both"/>
              <w:rPr>
                <w:rFonts w:ascii="Verdana" w:hAnsi="Verdana" w:cs="Arial"/>
                <w:color w:val="000000" w:themeColor="text1"/>
              </w:rPr>
            </w:pPr>
            <w:r w:rsidRPr="008B5F68">
              <w:rPr>
                <w:rFonts w:ascii="Verdana" w:hAnsi="Verdana" w:cs="Arial"/>
                <w:color w:val="000000" w:themeColor="text1"/>
              </w:rPr>
              <w:t xml:space="preserve">Consejo de Estado. Sala de Consulta y del Servicio Civil. Concepto del 24 de febrero de 2005. Radicado No. 1626. Consejera Ponente: Dra. Gloria Duque Hernández. </w:t>
            </w:r>
          </w:p>
          <w:p w:rsidRPr="008B5F68" w:rsidR="00006335" w:rsidP="008B5F68" w:rsidRDefault="00006335" w14:paraId="61ADFCAB" w14:textId="77777777">
            <w:pPr>
              <w:spacing w:line="276" w:lineRule="auto"/>
              <w:jc w:val="both"/>
              <w:rPr>
                <w:rFonts w:ascii="Verdana" w:hAnsi="Verdana" w:cs="Arial"/>
                <w:color w:val="000000" w:themeColor="text1"/>
              </w:rPr>
            </w:pPr>
          </w:p>
          <w:p w:rsidRPr="008B5F68" w:rsidR="00006335" w:rsidP="008B5F68" w:rsidRDefault="00006335" w14:paraId="6AC30CC7" w14:textId="77777777">
            <w:pPr>
              <w:pStyle w:val="Prrafodelista"/>
              <w:numPr>
                <w:ilvl w:val="0"/>
                <w:numId w:val="18"/>
              </w:numPr>
              <w:spacing w:line="276" w:lineRule="auto"/>
              <w:contextualSpacing w:val="0"/>
              <w:jc w:val="both"/>
              <w:rPr>
                <w:rFonts w:ascii="Verdana" w:hAnsi="Verdana" w:eastAsia="Calibri" w:cs="Arial"/>
                <w:color w:val="000000" w:themeColor="text1"/>
              </w:rPr>
            </w:pPr>
            <w:r w:rsidRPr="008B5F68">
              <w:rPr>
                <w:rFonts w:ascii="Verdana" w:hAnsi="Verdana" w:eastAsia="Calibri" w:cs="Arial"/>
                <w:color w:val="000000" w:themeColor="text1"/>
              </w:rPr>
              <w:t xml:space="preserve">Corte Constitucional. Sentencia C-287 del 18 de abril de 2012. </w:t>
            </w:r>
          </w:p>
          <w:p w:rsidRPr="008B5F68" w:rsidR="00006335" w:rsidP="008B5F68" w:rsidRDefault="00006335" w14:paraId="57CE1445" w14:textId="77777777">
            <w:pPr>
              <w:spacing w:line="276" w:lineRule="auto"/>
              <w:jc w:val="both"/>
              <w:rPr>
                <w:rFonts w:ascii="Verdana" w:hAnsi="Verdana" w:eastAsia="Calibri" w:cs="Arial"/>
                <w:color w:val="000000" w:themeColor="text1"/>
              </w:rPr>
            </w:pPr>
          </w:p>
          <w:p w:rsidRPr="008B5F68" w:rsidR="00006335" w:rsidP="008B5F68" w:rsidRDefault="00006335" w14:paraId="17EC7D13" w14:textId="77777777">
            <w:pPr>
              <w:pStyle w:val="Prrafodelista"/>
              <w:numPr>
                <w:ilvl w:val="0"/>
                <w:numId w:val="18"/>
              </w:numPr>
              <w:spacing w:line="276" w:lineRule="auto"/>
              <w:contextualSpacing w:val="0"/>
              <w:jc w:val="both"/>
              <w:rPr>
                <w:rFonts w:ascii="Verdana" w:hAnsi="Verdana" w:eastAsia="Calibri" w:cs="Arial"/>
                <w:color w:val="000000" w:themeColor="text1"/>
              </w:rPr>
            </w:pPr>
            <w:r w:rsidRPr="008B5F68">
              <w:rPr>
                <w:rFonts w:ascii="Verdana" w:hAnsi="Verdana" w:eastAsia="Calibri" w:cs="Arial"/>
                <w:lang w:val="es-ES_tradnl" w:eastAsia="es-ES_tradnl"/>
              </w:rPr>
              <w:t xml:space="preserve">Guía para la contratación con entidades privadas sin ánimo de lucro y de reconocida idoneidad. Disponible en: </w:t>
            </w:r>
            <w:hyperlink w:history="1" r:id="rId11">
              <w:r w:rsidRPr="008B5F68">
                <w:rPr>
                  <w:rStyle w:val="Hipervnculo"/>
                  <w:rFonts w:ascii="Verdana" w:hAnsi="Verdana" w:eastAsia="Calibri" w:cs="Arial"/>
                  <w:lang w:val="es-ES_tradnl" w:eastAsia="es-ES_tradnl"/>
                </w:rPr>
                <w:t>https://www.colombiacompra.gov.co/sites/cce_public/files/cce_documents/cce_guia_esal.pdf</w:t>
              </w:r>
            </w:hyperlink>
          </w:p>
        </w:tc>
      </w:tr>
    </w:tbl>
    <w:p w:rsidRPr="008B5F68" w:rsidR="00006335" w:rsidP="008B5F68" w:rsidRDefault="00006335" w14:paraId="65DEB51C" w14:textId="77777777">
      <w:pPr>
        <w:widowControl w:val="0"/>
        <w:autoSpaceDE w:val="0"/>
        <w:autoSpaceDN w:val="0"/>
        <w:spacing w:after="0" w:line="276" w:lineRule="auto"/>
        <w:jc w:val="both"/>
        <w:rPr>
          <w:rFonts w:ascii="Verdana" w:hAnsi="Verdana" w:cs="Arial"/>
        </w:rPr>
      </w:pPr>
    </w:p>
    <w:p w:rsidRPr="008B5F68" w:rsidR="00006335" w:rsidP="008B5F68" w:rsidRDefault="00006335" w14:paraId="2BD6EA3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8B5F68">
        <w:rPr>
          <w:rFonts w:ascii="Verdana" w:hAnsi="Verdana" w:eastAsia="Century Gothic" w:cs="Century Gothic"/>
          <w:b/>
          <w:bCs/>
        </w:rPr>
        <w:t>Doctrina de la Agencia Nacional de Contratación Pública:</w:t>
      </w:r>
    </w:p>
    <w:p w:rsidRPr="008B5F68" w:rsidR="00006335" w:rsidP="008B5F68" w:rsidRDefault="00006335" w14:paraId="6EE4CB52" w14:textId="77777777">
      <w:pPr>
        <w:widowControl w:val="0"/>
        <w:autoSpaceDE w:val="0"/>
        <w:autoSpaceDN w:val="0"/>
        <w:spacing w:after="0" w:line="276" w:lineRule="auto"/>
        <w:jc w:val="both"/>
        <w:rPr>
          <w:rFonts w:ascii="Verdana" w:hAnsi="Verdana" w:cs="Arial"/>
        </w:rPr>
      </w:pPr>
    </w:p>
    <w:p w:rsidRPr="008B5F68" w:rsidR="00006335" w:rsidP="23CDE940" w:rsidRDefault="00006335" w14:paraId="5A590C96" w14:textId="77777777">
      <w:pPr>
        <w:widowControl w:val="0"/>
        <w:autoSpaceDE w:val="0"/>
        <w:autoSpaceDN w:val="0"/>
        <w:spacing w:after="0" w:line="276" w:lineRule="auto"/>
        <w:jc w:val="both"/>
        <w:rPr>
          <w:rFonts w:ascii="Verdana" w:hAnsi="Verdana" w:eastAsia="Calibri" w:cs="Arial"/>
          <w:color w:val="000000" w:themeColor="text1"/>
          <w:lang w:val="es-ES" w:eastAsia="es-ES"/>
        </w:rPr>
      </w:pPr>
      <w:r w:rsidRPr="23CDE940" w:rsidR="00006335">
        <w:rPr>
          <w:rFonts w:ascii="Verdana" w:hAnsi="Verdana" w:eastAsia="Calibri" w:cs="Arial"/>
          <w:color w:val="000000" w:themeColor="text1" w:themeTint="FF" w:themeShade="FF"/>
          <w:lang w:val="es-ES" w:eastAsia="es-ES"/>
        </w:rPr>
        <w:t xml:space="preserve">La Agencia Nacional de Contratación Pública – Colombia Compra Eficiente analizó </w:t>
      </w:r>
      <w:r w:rsidRPr="23CDE940" w:rsidR="00006335">
        <w:rPr>
          <w:rFonts w:ascii="Verdana" w:hAnsi="Verdana" w:eastAsia="Calibri" w:cs="Arial"/>
          <w:color w:val="000000" w:themeColor="text1" w:themeTint="FF" w:themeShade="FF"/>
          <w:lang w:val="es-ES" w:eastAsia="es-ES"/>
        </w:rPr>
        <w:t>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2022,C-274 del 05 de mayo de 2022, C-058 del 6 de mayo de 2024, C-061 del 9 de mayo de 2024, C-141 del 29 de julio de 2024.</w:t>
      </w:r>
    </w:p>
    <w:p w:rsidRPr="008B5F68" w:rsidR="00006335" w:rsidP="008B5F68" w:rsidRDefault="00006335" w14:paraId="2544C3D1" w14:textId="77777777">
      <w:pPr>
        <w:widowControl w:val="0"/>
        <w:autoSpaceDE w:val="0"/>
        <w:autoSpaceDN w:val="0"/>
        <w:spacing w:after="0" w:line="276" w:lineRule="auto"/>
        <w:jc w:val="both"/>
        <w:rPr>
          <w:rFonts w:ascii="Verdana" w:hAnsi="Verdana" w:eastAsia="Calibri" w:cs="Arial"/>
          <w:bCs/>
          <w:color w:val="000000" w:themeColor="text1"/>
          <w:lang w:val="es-ES_tradnl" w:eastAsia="es-ES_tradnl"/>
        </w:rPr>
      </w:pPr>
    </w:p>
    <w:p w:rsidRPr="008B5F68" w:rsidR="00006335" w:rsidP="008B5F68" w:rsidRDefault="00006335" w14:paraId="5A18DCED"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8B5F68">
        <w:rPr>
          <w:rFonts w:ascii="Verdana" w:hAnsi="Verdana" w:eastAsia="Calibri" w:cs="Arial"/>
          <w:bCs/>
          <w:color w:val="000000" w:themeColor="text1"/>
          <w:lang w:val="es-ES_tradnl" w:eastAsia="es-ES_tradnl"/>
        </w:rPr>
        <w:t xml:space="preserve">Así mismo, explicó los convenios de asociación entre Entidades Públicas y particulares regulados en el 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C-560 de 7 de septiembre de 2022, C-771 del 29 de </w:t>
      </w:r>
      <w:r w:rsidRPr="008B5F68">
        <w:rPr>
          <w:rFonts w:ascii="Verdana" w:hAnsi="Verdana" w:eastAsia="Calibri" w:cs="Arial"/>
          <w:bCs/>
          <w:color w:val="000000" w:themeColor="text1"/>
          <w:lang w:val="es-ES_tradnl" w:eastAsia="es-ES_tradnl"/>
        </w:rPr>
        <w:lastRenderedPageBreak/>
        <w:t>diciembre de 2022, C-041 del 12 de abril de 2023, C-132 del 12 de abril de 2023, C-259 del 4 de julio de 2023, C-351 del 6 de septiembre de 2023, C-418 del 10 de octubre de 2023, C-045 del 24 de abril de 2024, C-071 del 28 de mayo de 2024, C-096 del 27 de junio de 2024, C-115 del 16 de julio de 2024, C-073 del 22 de julio de 2024, entre otros</w:t>
      </w:r>
      <w:r w:rsidRPr="008B5F68">
        <w:rPr>
          <w:rStyle w:val="normaltextrun"/>
          <w:rFonts w:ascii="Verdana" w:hAnsi="Verdana" w:cs="Arial"/>
          <w:color w:val="7030A0"/>
          <w:shd w:val="clear" w:color="auto" w:fill="FFFFFF"/>
          <w:lang w:val="es-ES"/>
        </w:rPr>
        <w:t xml:space="preserve">. </w:t>
      </w:r>
    </w:p>
    <w:p w:rsidRPr="008B5F68" w:rsidR="00006335" w:rsidP="008B5F68" w:rsidRDefault="00006335" w14:paraId="06E04C30"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Pr="008B5F68" w:rsidR="00006335" w:rsidP="008B5F68" w:rsidRDefault="00006335" w14:paraId="65D789FA"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8B5F68">
        <w:rPr>
          <w:rStyle w:val="normaltextrun"/>
          <w:rFonts w:ascii="Verdana" w:hAnsi="Verdana" w:cs="Arial"/>
          <w:shd w:val="clear" w:color="auto" w:fill="FFFFFF"/>
          <w:lang w:val="es-ES"/>
        </w:rPr>
        <w:t>Es</w:t>
      </w:r>
      <w:r w:rsidRPr="008B5F68">
        <w:rPr>
          <w:rFonts w:ascii="Verdana" w:hAnsi="Verdana"/>
        </w:rPr>
        <w:t>tos y otros conceptos se encuentran disponibles para consulta en el Sistema de relatoría de la Agencia, al cual se puede acceder a través del siguiente enlace:</w:t>
      </w:r>
      <w:r w:rsidRPr="008B5F68">
        <w:rPr>
          <w:rStyle w:val="normaltextrun"/>
          <w:rFonts w:ascii="Verdana" w:hAnsi="Verdana" w:cs="Arial"/>
          <w:shd w:val="clear" w:color="auto" w:fill="FFFFFF"/>
          <w:lang w:val="es-ES"/>
        </w:rPr>
        <w:t xml:space="preserve"> </w:t>
      </w:r>
      <w:hyperlink w:history="1" r:id="rId12">
        <w:r w:rsidRPr="008B5F68">
          <w:rPr>
            <w:rStyle w:val="Hipervnculo"/>
            <w:rFonts w:ascii="Verdana" w:hAnsi="Verdana" w:cs="Arial"/>
            <w:shd w:val="clear" w:color="auto" w:fill="FFFFFF"/>
            <w:lang w:val="es-ES"/>
          </w:rPr>
          <w:t>https://relatoria.colombiacompra.gov.co/busqueda/conceptos</w:t>
        </w:r>
      </w:hyperlink>
      <w:r w:rsidRPr="008B5F68">
        <w:rPr>
          <w:rStyle w:val="normaltextrun"/>
          <w:rFonts w:ascii="Verdana" w:hAnsi="Verdana" w:cs="Arial"/>
          <w:color w:val="FF0000"/>
          <w:shd w:val="clear" w:color="auto" w:fill="FFFFFF"/>
          <w:lang w:val="es-ES"/>
        </w:rPr>
        <w:t xml:space="preserve">. </w:t>
      </w:r>
    </w:p>
    <w:p w:rsidRPr="008B5F68" w:rsidR="00006335" w:rsidP="008B5F68" w:rsidRDefault="00006335" w14:paraId="18D53309"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Pr="008B5F68" w:rsidR="00006335" w:rsidP="008B5F68" w:rsidRDefault="00006335" w14:paraId="4613935F" w14:textId="77777777">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8B5F68">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8B5F68">
        <w:rPr>
          <w:rStyle w:val="normaltextrun"/>
          <w:rFonts w:ascii="Verdana" w:hAnsi="Verdana" w:cs="Arial"/>
          <w:color w:val="FF0000"/>
          <w:shd w:val="clear" w:color="auto" w:fill="FFFFFF"/>
          <w:lang w:val="es-ES"/>
        </w:rPr>
        <w:t xml:space="preserve"> </w:t>
      </w:r>
      <w:hyperlink w:history="1" r:id="rId13">
        <w:r w:rsidRPr="008B5F68">
          <w:rPr>
            <w:rStyle w:val="Hipervnculo"/>
            <w:rFonts w:ascii="Verdana" w:hAnsi="Verdana" w:cs="Arial"/>
            <w:shd w:val="clear" w:color="auto" w:fill="FFFFFF"/>
            <w:lang w:val="es-ES"/>
          </w:rPr>
          <w:t>https://www.colombiacompra.gov.co/sala-de-prensa/boletin-digital</w:t>
        </w:r>
      </w:hyperlink>
      <w:r w:rsidRPr="008B5F68">
        <w:rPr>
          <w:rStyle w:val="normaltextrun"/>
          <w:rFonts w:ascii="Verdana" w:hAnsi="Verdana" w:cs="Arial"/>
          <w:color w:val="FF0000"/>
          <w:shd w:val="clear" w:color="auto" w:fill="FFFFFF"/>
          <w:lang w:val="es-ES"/>
        </w:rPr>
        <w:t xml:space="preserve">      </w:t>
      </w:r>
    </w:p>
    <w:p w:rsidRPr="008B5F68" w:rsidR="00006335" w:rsidP="008B5F68" w:rsidRDefault="00006335" w14:paraId="780978B4" w14:textId="77777777">
      <w:pPr>
        <w:widowControl w:val="0"/>
        <w:autoSpaceDE w:val="0"/>
        <w:autoSpaceDN w:val="0"/>
        <w:spacing w:after="0" w:line="276" w:lineRule="auto"/>
        <w:jc w:val="both"/>
        <w:rPr>
          <w:rFonts w:ascii="Verdana" w:hAnsi="Verdana" w:cs="Arial"/>
        </w:rPr>
      </w:pPr>
    </w:p>
    <w:p w:rsidRPr="008B5F68" w:rsidR="00006335" w:rsidP="008B5F68" w:rsidRDefault="00006335" w14:paraId="1E687F63" w14:textId="77777777">
      <w:pPr>
        <w:widowControl w:val="0"/>
        <w:autoSpaceDE w:val="0"/>
        <w:autoSpaceDN w:val="0"/>
        <w:spacing w:after="0" w:line="276" w:lineRule="auto"/>
        <w:jc w:val="both"/>
        <w:rPr>
          <w:rFonts w:ascii="Verdana" w:hAnsi="Verdana" w:cs="Arial"/>
          <w:lang w:val="es-ES_tradnl"/>
        </w:rPr>
      </w:pPr>
      <w:r w:rsidRPr="008B5F68">
        <w:rPr>
          <w:rFonts w:ascii="Verdana" w:hAnsi="Verdana" w:cs="Arial"/>
        </w:rPr>
        <w:t xml:space="preserve">Este concepto tiene el alcance previsto en el artículo 28 del Código de Procedimiento Administrativo y de lo Contencioso Administrativo </w:t>
      </w:r>
      <w:r w:rsidRPr="008B5F68">
        <w:rPr>
          <w:rFonts w:ascii="Verdana" w:hAnsi="Verdana" w:cs="Arial"/>
          <w:lang w:val="es-ES_tradnl"/>
        </w:rPr>
        <w:t>y las expresiones aquí utilizadas con mayúscula inicial deben ser entendidas con el significado que les otorga el artículo 2.2.1.1.1.3.1. del Decreto 1082 de 2015.</w:t>
      </w:r>
    </w:p>
    <w:p w:rsidRPr="008B5F68" w:rsidR="00006335" w:rsidP="008B5F68" w:rsidRDefault="00006335" w14:paraId="29EBC552" w14:textId="77777777">
      <w:pPr>
        <w:widowControl w:val="0"/>
        <w:autoSpaceDE w:val="0"/>
        <w:autoSpaceDN w:val="0"/>
        <w:spacing w:after="0" w:line="276" w:lineRule="auto"/>
        <w:jc w:val="both"/>
        <w:rPr>
          <w:rFonts w:ascii="Verdana" w:hAnsi="Verdana" w:cs="Arial"/>
        </w:rPr>
      </w:pPr>
    </w:p>
    <w:p w:rsidRPr="008B5F68" w:rsidR="00006335" w:rsidP="008B5F68" w:rsidRDefault="00006335" w14:paraId="54FD91C9" w14:textId="77777777">
      <w:pPr>
        <w:spacing w:after="0" w:line="276" w:lineRule="auto"/>
        <w:rPr>
          <w:rFonts w:ascii="Verdana" w:hAnsi="Verdana" w:cs="Arial"/>
          <w:lang w:eastAsia="es-CO"/>
        </w:rPr>
      </w:pPr>
      <w:r w:rsidRPr="23CDE940" w:rsidR="00006335">
        <w:rPr>
          <w:rFonts w:ascii="Verdana" w:hAnsi="Verdana" w:eastAsia="Times New Roman" w:cs="Arial"/>
          <w:lang w:eastAsia="es-CO"/>
        </w:rPr>
        <w:t>Atentamente,</w:t>
      </w:r>
      <w:r w:rsidRPr="23CDE940" w:rsidR="00006335">
        <w:rPr>
          <w:rFonts w:ascii="Verdana" w:hAnsi="Verdana" w:cs="Arial"/>
          <w:lang w:eastAsia="es-CO"/>
        </w:rPr>
        <w:t xml:space="preserve"> </w:t>
      </w:r>
    </w:p>
    <w:p w:rsidRPr="00B61BFE" w:rsidR="00006335" w:rsidP="23CDE940" w:rsidRDefault="00006335" w14:paraId="1ECEB24D" w14:textId="047834D6">
      <w:pPr>
        <w:pStyle w:val="Normal"/>
        <w:spacing w:line="276" w:lineRule="auto"/>
        <w:jc w:val="center"/>
      </w:pPr>
      <w:r w:rsidR="1C24E4F9">
        <w:drawing>
          <wp:inline wp14:editId="20F77E5D" wp14:anchorId="694DB952">
            <wp:extent cx="3359187" cy="1091278"/>
            <wp:effectExtent l="0" t="0" r="0" b="0"/>
            <wp:docPr id="1024535227" name="" title=""/>
            <wp:cNvGraphicFramePr>
              <a:graphicFrameLocks noChangeAspect="1"/>
            </wp:cNvGraphicFramePr>
            <a:graphic>
              <a:graphicData uri="http://schemas.openxmlformats.org/drawingml/2006/picture">
                <pic:pic>
                  <pic:nvPicPr>
                    <pic:cNvPr id="0" name=""/>
                    <pic:cNvPicPr/>
                  </pic:nvPicPr>
                  <pic:blipFill>
                    <a:blip r:embed="Rf111573a7d8e43a4">
                      <a:extLst>
                        <a:ext xmlns:a="http://schemas.openxmlformats.org/drawingml/2006/main" uri="{28A0092B-C50C-407E-A947-70E740481C1C}">
                          <a14:useLocalDpi val="0"/>
                        </a:ext>
                      </a:extLst>
                    </a:blip>
                    <a:stretch>
                      <a:fillRect/>
                    </a:stretch>
                  </pic:blipFill>
                  <pic:spPr>
                    <a:xfrm>
                      <a:off x="0" y="0"/>
                      <a:ext cx="3359187" cy="1091278"/>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9A2D37" w:rsidR="00006335" w:rsidTr="00652686" w14:paraId="0193C26F" w14:textId="77777777">
        <w:trPr>
          <w:trHeight w:val="315"/>
        </w:trPr>
        <w:tc>
          <w:tcPr>
            <w:tcW w:w="893" w:type="dxa"/>
            <w:vAlign w:val="center"/>
            <w:hideMark/>
          </w:tcPr>
          <w:p w:rsidRPr="009A2D37" w:rsidR="00006335" w:rsidP="00652686" w:rsidRDefault="00006335" w14:paraId="7A9AE51F" w14:textId="77777777">
            <w:pPr>
              <w:contextualSpacing/>
              <w:rPr>
                <w:rFonts w:ascii="Verdana" w:hAnsi="Verdana" w:cs="Arial"/>
                <w:sz w:val="16"/>
                <w:szCs w:val="16"/>
                <w:lang w:val="es-ES" w:eastAsia="es-ES"/>
              </w:rPr>
            </w:pPr>
            <w:r w:rsidRPr="009A2D3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9A2D37" w:rsidR="00006335" w:rsidP="00652686" w:rsidRDefault="00006335" w14:paraId="2354DC76" w14:textId="77777777">
            <w:pPr>
              <w:rPr>
                <w:rFonts w:ascii="Verdana" w:hAnsi="Verdana" w:eastAsia="Arial" w:cs="Arial"/>
                <w:sz w:val="16"/>
                <w:szCs w:val="16"/>
              </w:rPr>
            </w:pPr>
            <w:r w:rsidRPr="009A2D37">
              <w:rPr>
                <w:rFonts w:ascii="Verdana" w:hAnsi="Verdana" w:eastAsia="Arial" w:cs="Arial"/>
                <w:sz w:val="16"/>
                <w:szCs w:val="16"/>
              </w:rPr>
              <w:t>Diana Lucia Saavedra Castañeda</w:t>
            </w:r>
          </w:p>
          <w:p w:rsidRPr="009A2D37" w:rsidR="00006335" w:rsidP="00652686" w:rsidRDefault="00006335" w14:paraId="099A5AA3" w14:textId="77777777">
            <w:pPr>
              <w:contextualSpacing/>
              <w:rPr>
                <w:rFonts w:ascii="Verdana" w:hAnsi="Verdana" w:eastAsia="Arial" w:cs="Arial"/>
                <w:sz w:val="16"/>
                <w:szCs w:val="16"/>
              </w:rPr>
            </w:pPr>
            <w:r w:rsidRPr="009A2D37">
              <w:rPr>
                <w:rFonts w:ascii="Verdana" w:hAnsi="Verdana" w:eastAsia="Arial" w:cs="Arial"/>
                <w:sz w:val="16"/>
                <w:szCs w:val="16"/>
              </w:rPr>
              <w:t>Contratista de la Subdirección de Gestión Contractual</w:t>
            </w:r>
          </w:p>
        </w:tc>
      </w:tr>
      <w:tr w:rsidRPr="009A2D37" w:rsidR="00006335" w:rsidTr="00652686" w14:paraId="0DCB3552" w14:textId="77777777">
        <w:trPr>
          <w:trHeight w:val="330"/>
        </w:trPr>
        <w:tc>
          <w:tcPr>
            <w:tcW w:w="893" w:type="dxa"/>
            <w:vAlign w:val="center"/>
            <w:hideMark/>
          </w:tcPr>
          <w:p w:rsidRPr="009A2D37" w:rsidR="00006335" w:rsidP="00652686" w:rsidRDefault="00006335" w14:paraId="1C96DE0A" w14:textId="77777777">
            <w:pPr>
              <w:contextualSpacing/>
              <w:rPr>
                <w:rFonts w:ascii="Verdana" w:hAnsi="Verdana" w:cs="Arial"/>
                <w:sz w:val="16"/>
                <w:szCs w:val="16"/>
                <w:lang w:val="es-ES" w:eastAsia="es-ES"/>
              </w:rPr>
            </w:pPr>
            <w:r w:rsidRPr="009A2D3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9A2D37" w:rsidR="00006335" w:rsidP="00652686" w:rsidRDefault="00006335" w14:paraId="62D0E492" w14:textId="77777777">
            <w:pPr>
              <w:rPr>
                <w:rFonts w:ascii="Verdana" w:hAnsi="Verdana"/>
              </w:rPr>
            </w:pPr>
            <w:r w:rsidRPr="009A2D37">
              <w:rPr>
                <w:rFonts w:ascii="Verdana" w:hAnsi="Verdana" w:eastAsia="Arial" w:cs="Arial"/>
                <w:sz w:val="16"/>
                <w:szCs w:val="16"/>
              </w:rPr>
              <w:t>Cielo Victoria González Meza</w:t>
            </w:r>
          </w:p>
          <w:p w:rsidRPr="009A2D37" w:rsidR="00006335" w:rsidP="00652686" w:rsidRDefault="00006335" w14:paraId="02DDB090" w14:textId="77777777">
            <w:pPr>
              <w:pStyle w:val="paragraph"/>
              <w:spacing w:before="0" w:beforeAutospacing="0" w:after="0" w:afterAutospacing="0"/>
              <w:contextualSpacing/>
              <w:textAlignment w:val="baseline"/>
              <w:rPr>
                <w:rFonts w:ascii="Verdana" w:hAnsi="Verdana" w:cs="Segoe UI"/>
                <w:sz w:val="16"/>
                <w:szCs w:val="16"/>
              </w:rPr>
            </w:pPr>
            <w:r w:rsidRPr="009A2D37">
              <w:rPr>
                <w:rFonts w:ascii="Verdana" w:hAnsi="Verdana" w:eastAsia="Arial" w:cs="Arial"/>
                <w:sz w:val="16"/>
                <w:szCs w:val="16"/>
              </w:rPr>
              <w:t>Contratista de la Subdirección de Gestión Contractual</w:t>
            </w:r>
          </w:p>
        </w:tc>
      </w:tr>
      <w:tr w:rsidRPr="009A2D37" w:rsidR="00006335" w:rsidTr="00652686" w14:paraId="58A459DE" w14:textId="77777777">
        <w:trPr>
          <w:trHeight w:val="300"/>
        </w:trPr>
        <w:tc>
          <w:tcPr>
            <w:tcW w:w="893" w:type="dxa"/>
            <w:vAlign w:val="center"/>
          </w:tcPr>
          <w:p w:rsidRPr="009A2D37" w:rsidR="00006335" w:rsidP="00652686" w:rsidRDefault="00006335" w14:paraId="47C93653" w14:textId="77777777">
            <w:pPr>
              <w:contextualSpacing/>
              <w:rPr>
                <w:rFonts w:ascii="Verdana" w:hAnsi="Verdana" w:cs="Arial"/>
                <w:sz w:val="16"/>
                <w:szCs w:val="16"/>
                <w:lang w:val="es-ES" w:eastAsia="es-ES"/>
              </w:rPr>
            </w:pPr>
            <w:r w:rsidRPr="009A2D3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9A2D37" w:rsidR="00006335" w:rsidP="00652686" w:rsidRDefault="00006335" w14:paraId="0D35ED17" w14:textId="77777777">
            <w:pPr>
              <w:contextualSpacing/>
              <w:rPr>
                <w:rFonts w:ascii="Verdana" w:hAnsi="Verdana" w:eastAsia="Calibri" w:cs="Arial"/>
                <w:sz w:val="16"/>
                <w:szCs w:val="16"/>
                <w:lang w:val="pt-BR" w:eastAsia="es-ES"/>
              </w:rPr>
            </w:pPr>
            <w:r w:rsidRPr="009A2D37">
              <w:rPr>
                <w:rFonts w:ascii="Verdana" w:hAnsi="Verdana" w:eastAsia="Calibri" w:cs="Arial"/>
                <w:sz w:val="16"/>
                <w:szCs w:val="16"/>
                <w:lang w:val="pt-BR" w:eastAsia="es-ES"/>
              </w:rPr>
              <w:t>Carolina Quintero Gacharná</w:t>
            </w:r>
          </w:p>
          <w:p w:rsidRPr="009A2D37" w:rsidR="00006335" w:rsidP="00652686" w:rsidRDefault="00006335" w14:paraId="68D54426" w14:textId="77777777">
            <w:pPr>
              <w:contextualSpacing/>
              <w:rPr>
                <w:rFonts w:ascii="Verdana" w:hAnsi="Verdana" w:eastAsia="Calibri" w:cs="Arial"/>
                <w:sz w:val="16"/>
                <w:szCs w:val="16"/>
                <w:lang w:val="pt-BR" w:eastAsia="es-ES"/>
              </w:rPr>
            </w:pPr>
            <w:r w:rsidRPr="009A2D37">
              <w:rPr>
                <w:rFonts w:ascii="Verdana" w:hAnsi="Verdana" w:eastAsia="Calibri" w:cs="Arial"/>
                <w:sz w:val="16"/>
                <w:szCs w:val="16"/>
                <w:lang w:eastAsia="es-ES"/>
              </w:rPr>
              <w:t>Subdirectora</w:t>
            </w:r>
            <w:r w:rsidRPr="009A2D37">
              <w:rPr>
                <w:rFonts w:ascii="Verdana" w:hAnsi="Verdana" w:eastAsia="Calibri" w:cs="Arial"/>
                <w:sz w:val="16"/>
                <w:szCs w:val="16"/>
                <w:lang w:val="pt-BR" w:eastAsia="es-ES"/>
              </w:rPr>
              <w:t xml:space="preserve"> de Gestión Contractual ANCP – CCE</w:t>
            </w:r>
          </w:p>
        </w:tc>
      </w:tr>
    </w:tbl>
    <w:p w:rsidRPr="001E3232" w:rsidR="00127233" w:rsidP="008A6B24" w:rsidRDefault="00127233" w14:paraId="0F293BF4" w14:textId="44380419">
      <w:pPr>
        <w:spacing w:after="0" w:line="240" w:lineRule="auto"/>
        <w:textAlignment w:val="baseline"/>
        <w:rPr>
          <w:rFonts w:ascii="Verdana" w:hAnsi="Verdana" w:eastAsia="Times New Roman" w:cs="Segoe UI"/>
          <w:sz w:val="18"/>
          <w:szCs w:val="18"/>
          <w:lang w:eastAsia="es-CO"/>
        </w:rPr>
      </w:pPr>
    </w:p>
    <w:sectPr w:rsidRPr="001E3232" w:rsidR="00127233" w:rsidSect="007C0C0F">
      <w:headerReference w:type="default" r:id="rId15"/>
      <w:footerReference w:type="default" r:id="rId1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26D1" w:rsidP="004A1847" w:rsidRDefault="003A26D1" w14:paraId="3D8D0900" w14:textId="77777777">
      <w:pPr>
        <w:spacing w:after="0" w:line="240" w:lineRule="auto"/>
      </w:pPr>
      <w:r>
        <w:separator/>
      </w:r>
    </w:p>
  </w:endnote>
  <w:endnote w:type="continuationSeparator" w:id="0">
    <w:p w:rsidR="003A26D1" w:rsidP="004A1847" w:rsidRDefault="003A26D1" w14:paraId="00ED959A" w14:textId="77777777">
      <w:pPr>
        <w:spacing w:after="0" w:line="240" w:lineRule="auto"/>
      </w:pPr>
      <w:r>
        <w:continuationSeparator/>
      </w:r>
    </w:p>
  </w:endnote>
  <w:endnote w:type="continuationNotice" w:id="1">
    <w:p w:rsidR="00B55FB8" w:rsidRDefault="00B55FB8" w14:paraId="122BB4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26D1" w:rsidP="004A1847" w:rsidRDefault="003A26D1" w14:paraId="33659B87" w14:textId="77777777">
      <w:pPr>
        <w:spacing w:after="0" w:line="240" w:lineRule="auto"/>
      </w:pPr>
      <w:r>
        <w:separator/>
      </w:r>
    </w:p>
  </w:footnote>
  <w:footnote w:type="continuationSeparator" w:id="0">
    <w:p w:rsidR="003A26D1" w:rsidP="004A1847" w:rsidRDefault="003A26D1" w14:paraId="5F0DCD0D" w14:textId="77777777">
      <w:pPr>
        <w:spacing w:after="0" w:line="240" w:lineRule="auto"/>
      </w:pPr>
      <w:r>
        <w:continuationSeparator/>
      </w:r>
    </w:p>
  </w:footnote>
  <w:footnote w:type="continuationNotice" w:id="1">
    <w:p w:rsidR="00B55FB8" w:rsidRDefault="00B55FB8" w14:paraId="6B7D02FE" w14:textId="77777777">
      <w:pPr>
        <w:spacing w:after="0" w:line="240" w:lineRule="auto"/>
      </w:pPr>
    </w:p>
  </w:footnote>
  <w:footnote w:id="2">
    <w:p w:rsidRPr="007012E5" w:rsidR="00006335" w:rsidP="00006335" w:rsidRDefault="00006335" w14:paraId="2D69306F" w14:textId="77777777">
      <w:pPr>
        <w:pStyle w:val="Textonotapie"/>
        <w:ind w:firstLine="709"/>
        <w:contextualSpacing/>
        <w:jc w:val="both"/>
        <w:rPr>
          <w:rFonts w:ascii="Verdana" w:hAnsi="Verdana" w:cs="Arial"/>
          <w:color w:val="000000" w:themeColor="text1"/>
          <w:sz w:val="16"/>
          <w:szCs w:val="16"/>
        </w:rPr>
      </w:pP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p>
    <w:p w:rsidRPr="007012E5" w:rsidR="00006335" w:rsidP="00006335" w:rsidRDefault="00006335" w14:paraId="3773EEA3" w14:textId="77777777">
      <w:pPr>
        <w:pStyle w:val="Textonotapie"/>
        <w:ind w:firstLine="709"/>
        <w:contextualSpacing/>
        <w:jc w:val="both"/>
        <w:rPr>
          <w:rFonts w:ascii="Verdana" w:hAnsi="Verdana" w:cs="Arial"/>
          <w:color w:val="000000" w:themeColor="text1"/>
          <w:sz w:val="16"/>
          <w:szCs w:val="16"/>
          <w:lang w:val="es-ES"/>
        </w:rPr>
      </w:pPr>
    </w:p>
  </w:footnote>
  <w:footnote w:id="3">
    <w:p w:rsidRPr="007012E5" w:rsidR="00006335" w:rsidP="00006335" w:rsidRDefault="00006335" w14:paraId="7596B4A9" w14:textId="77777777">
      <w:pPr>
        <w:pStyle w:val="Textonotapie"/>
        <w:ind w:firstLine="709"/>
        <w:contextualSpacing/>
        <w:jc w:val="both"/>
        <w:rPr>
          <w:rFonts w:ascii="Verdana" w:hAnsi="Verdana" w:cs="Arial"/>
          <w:color w:val="000000" w:themeColor="text1"/>
          <w:sz w:val="16"/>
          <w:szCs w:val="16"/>
        </w:rPr>
      </w:pP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rPr>
        <w:t xml:space="preserve"> Al respecto, la Ley 489 de 1998 dispone que “Art</w:t>
      </w:r>
      <w:r>
        <w:rPr>
          <w:rFonts w:ascii="Verdana" w:hAnsi="Verdana" w:cs="Arial"/>
          <w:color w:val="000000" w:themeColor="text1"/>
          <w:sz w:val="16"/>
          <w:szCs w:val="16"/>
        </w:rPr>
        <w:t>ículo</w:t>
      </w:r>
      <w:r w:rsidRPr="007012E5">
        <w:rPr>
          <w:rFonts w:ascii="Verdana" w:hAnsi="Verdana" w:cs="Arial"/>
          <w:color w:val="000000" w:themeColor="text1"/>
          <w:sz w:val="16"/>
          <w:szCs w:val="16"/>
        </w:rPr>
        <w:t xml:space="preserve">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7012E5" w:rsidR="00006335" w:rsidP="00006335" w:rsidRDefault="00006335" w14:paraId="319DA23E" w14:textId="77777777">
      <w:pPr>
        <w:pStyle w:val="Textonotapie"/>
        <w:ind w:firstLine="709"/>
        <w:contextualSpacing/>
        <w:jc w:val="both"/>
        <w:rPr>
          <w:rFonts w:ascii="Verdana" w:hAnsi="Verdana" w:cs="Arial"/>
          <w:color w:val="000000" w:themeColor="text1"/>
          <w:sz w:val="16"/>
          <w:szCs w:val="16"/>
        </w:rPr>
      </w:pPr>
    </w:p>
    <w:p w:rsidRPr="007012E5" w:rsidR="00006335" w:rsidP="00006335" w:rsidRDefault="00006335" w14:paraId="0765FF44" w14:textId="77777777">
      <w:pPr>
        <w:pStyle w:val="Textonotapie"/>
        <w:ind w:firstLine="709"/>
        <w:contextualSpacing/>
        <w:jc w:val="both"/>
        <w:rPr>
          <w:rFonts w:ascii="Verdana" w:hAnsi="Verdana" w:cs="Arial"/>
          <w:color w:val="000000" w:themeColor="text1"/>
          <w:sz w:val="16"/>
          <w:szCs w:val="16"/>
        </w:rPr>
      </w:pPr>
      <w:r w:rsidRPr="007012E5">
        <w:rPr>
          <w:rFonts w:ascii="Verdana" w:hAnsi="Verdana" w:cs="Arial"/>
          <w:color w:val="000000" w:themeColor="text1"/>
          <w:sz w:val="16"/>
          <w:szCs w:val="16"/>
        </w:rPr>
        <w:t xml:space="preserve">Los convenios de asociación a que se refiere el presente artículo </w:t>
      </w:r>
      <w:bookmarkStart w:name="_Hlk36023315" w:id="3"/>
      <w:r w:rsidRPr="007012E5">
        <w:rPr>
          <w:rFonts w:ascii="Verdana" w:hAnsi="Verdana" w:cs="Arial"/>
          <w:color w:val="000000" w:themeColor="text1"/>
          <w:sz w:val="16"/>
          <w:szCs w:val="16"/>
        </w:rPr>
        <w:t>se celebrarán de conformidad con lo dispuesto en el artículo 355 de la Constitución Política</w:t>
      </w:r>
      <w:bookmarkEnd w:id="3"/>
      <w:r w:rsidRPr="007012E5">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p w:rsidRPr="007012E5" w:rsidR="00006335" w:rsidP="00006335" w:rsidRDefault="00006335" w14:paraId="6EFE85E7" w14:textId="77777777">
      <w:pPr>
        <w:pStyle w:val="Textonotapie"/>
        <w:ind w:firstLine="709"/>
        <w:contextualSpacing/>
        <w:jc w:val="both"/>
        <w:rPr>
          <w:rFonts w:ascii="Verdana" w:hAnsi="Verdana" w:cs="Arial"/>
          <w:color w:val="000000" w:themeColor="text1"/>
          <w:sz w:val="16"/>
          <w:szCs w:val="16"/>
          <w:lang w:val="es-ES"/>
        </w:rPr>
      </w:pPr>
      <w:r w:rsidRPr="007012E5">
        <w:rPr>
          <w:rFonts w:ascii="Verdana" w:hAnsi="Verdana" w:cs="Arial"/>
          <w:color w:val="000000" w:themeColor="text1"/>
          <w:sz w:val="16"/>
          <w:szCs w:val="16"/>
        </w:rPr>
        <w:t xml:space="preserve"> </w:t>
      </w:r>
    </w:p>
  </w:footnote>
  <w:footnote w:id="4">
    <w:p w:rsidRPr="007012E5" w:rsidR="00006335" w:rsidP="00006335" w:rsidRDefault="00006335" w14:paraId="3563E395" w14:textId="77777777">
      <w:pPr>
        <w:pStyle w:val="Textonotapie"/>
        <w:ind w:firstLine="709"/>
        <w:contextualSpacing/>
        <w:jc w:val="both"/>
        <w:rPr>
          <w:rFonts w:ascii="Verdana" w:hAnsi="Verdana" w:cs="Arial"/>
          <w:color w:val="000000" w:themeColor="text1"/>
          <w:sz w:val="16"/>
          <w:szCs w:val="16"/>
        </w:rPr>
      </w:pP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rPr>
        <w:t xml:space="preserve"> </w:t>
      </w:r>
      <w:r>
        <w:rPr>
          <w:rFonts w:ascii="Verdana" w:hAnsi="Verdana" w:cs="Arial"/>
          <w:color w:val="000000" w:themeColor="text1"/>
          <w:sz w:val="16"/>
          <w:szCs w:val="16"/>
        </w:rPr>
        <w:t xml:space="preserve">Agencia Nacional de Contratación Pública – Colombia Compra Eficiente. </w:t>
      </w:r>
      <w:r w:rsidRPr="007012E5">
        <w:rPr>
          <w:rFonts w:ascii="Verdana" w:hAnsi="Verdana" w:cs="Arial"/>
          <w:color w:val="000000" w:themeColor="text1"/>
          <w:sz w:val="16"/>
          <w:szCs w:val="16"/>
        </w:rPr>
        <w:t>Concepto del 3 de septiembre de 2019, con radicado No. 2201913000006512.</w:t>
      </w:r>
    </w:p>
    <w:p w:rsidRPr="007012E5" w:rsidR="00006335" w:rsidP="00006335" w:rsidRDefault="00006335" w14:paraId="541E9DEC" w14:textId="77777777">
      <w:pPr>
        <w:pStyle w:val="Textonotapie"/>
        <w:ind w:firstLine="709"/>
        <w:contextualSpacing/>
        <w:jc w:val="both"/>
        <w:rPr>
          <w:rFonts w:ascii="Verdana" w:hAnsi="Verdana" w:cs="Arial"/>
          <w:color w:val="000000" w:themeColor="text1"/>
          <w:sz w:val="16"/>
          <w:szCs w:val="16"/>
        </w:rPr>
      </w:pPr>
    </w:p>
  </w:footnote>
  <w:footnote w:id="5">
    <w:p w:rsidRPr="007012E5" w:rsidR="00006335" w:rsidP="00006335" w:rsidRDefault="00006335" w14:paraId="359D5BEC" w14:textId="77777777">
      <w:pPr>
        <w:pStyle w:val="Textonotapie"/>
        <w:ind w:firstLine="708"/>
        <w:contextualSpacing/>
        <w:jc w:val="both"/>
        <w:rPr>
          <w:rFonts w:ascii="Verdana" w:hAnsi="Verdana" w:cs="Arial"/>
          <w:color w:val="000000" w:themeColor="text1"/>
          <w:sz w:val="16"/>
          <w:szCs w:val="16"/>
        </w:rPr>
      </w:pP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rPr>
        <w:t xml:space="preserve"> </w:t>
      </w:r>
      <w:r>
        <w:rPr>
          <w:rFonts w:ascii="Verdana" w:hAnsi="Verdana" w:cs="Arial"/>
          <w:color w:val="000000" w:themeColor="text1"/>
          <w:sz w:val="16"/>
          <w:szCs w:val="16"/>
        </w:rPr>
        <w:t xml:space="preserve">Agencia Nacional de Contratación Pública – Colombia Compra Eficiente. </w:t>
      </w:r>
      <w:r w:rsidRPr="007012E5">
        <w:rPr>
          <w:rFonts w:ascii="Verdana" w:hAnsi="Verdana" w:cs="Arial"/>
          <w:color w:val="000000" w:themeColor="text1"/>
          <w:sz w:val="16"/>
          <w:szCs w:val="16"/>
        </w:rPr>
        <w:t>Concepto del 21 de agosto de 2019, dictado dentro del radicado No. 2201913000006047.</w:t>
      </w:r>
    </w:p>
    <w:p w:rsidRPr="007012E5" w:rsidR="00006335" w:rsidP="00006335" w:rsidRDefault="00006335" w14:paraId="70DC49DE" w14:textId="77777777">
      <w:pPr>
        <w:pStyle w:val="Textonotapie"/>
        <w:ind w:firstLine="708"/>
        <w:contextualSpacing/>
        <w:jc w:val="both"/>
        <w:rPr>
          <w:rFonts w:ascii="Verdana" w:hAnsi="Verdana" w:cs="Arial"/>
          <w:color w:val="000000" w:themeColor="text1"/>
          <w:sz w:val="16"/>
          <w:szCs w:val="16"/>
        </w:rPr>
      </w:pPr>
    </w:p>
  </w:footnote>
  <w:footnote w:id="6">
    <w:p w:rsidRPr="007012E5" w:rsidR="00006335" w:rsidP="00006335" w:rsidRDefault="00006335" w14:paraId="4E0AC162" w14:textId="77777777">
      <w:pPr>
        <w:pStyle w:val="Textonotapie"/>
        <w:ind w:firstLine="708"/>
        <w:contextualSpacing/>
        <w:jc w:val="both"/>
        <w:rPr>
          <w:rFonts w:ascii="Verdana" w:hAnsi="Verdana" w:cs="Arial"/>
          <w:color w:val="000000" w:themeColor="text1"/>
          <w:sz w:val="16"/>
          <w:szCs w:val="16"/>
        </w:rPr>
      </w:pP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rPr>
        <w:t xml:space="preserve"> </w:t>
      </w:r>
      <w:r>
        <w:rPr>
          <w:rFonts w:ascii="Verdana" w:hAnsi="Verdana" w:cs="Arial"/>
          <w:color w:val="000000" w:themeColor="text1"/>
          <w:sz w:val="16"/>
          <w:szCs w:val="16"/>
        </w:rPr>
        <w:t>Agencia Nacional de Contratación Pública – Colombia Compra Eficiente.</w:t>
      </w:r>
      <w:r w:rsidRPr="007012E5">
        <w:rPr>
          <w:rFonts w:ascii="Verdana" w:hAnsi="Verdana" w:cs="Arial"/>
          <w:color w:val="000000" w:themeColor="text1"/>
          <w:sz w:val="16"/>
          <w:szCs w:val="16"/>
        </w:rPr>
        <w:t xml:space="preserve"> Concepto del 21 de agosto de 2019, dictado dentro del radicado No. 2201913000006047.</w:t>
      </w:r>
    </w:p>
    <w:p w:rsidRPr="007012E5" w:rsidR="00006335" w:rsidP="00006335" w:rsidRDefault="00006335" w14:paraId="0DA9B0A2" w14:textId="77777777">
      <w:pPr>
        <w:pStyle w:val="Textonotapie"/>
        <w:ind w:firstLine="708"/>
        <w:contextualSpacing/>
        <w:jc w:val="both"/>
        <w:rPr>
          <w:rFonts w:ascii="Verdana" w:hAnsi="Verdana" w:cs="Arial"/>
          <w:color w:val="000000" w:themeColor="text1"/>
          <w:sz w:val="16"/>
          <w:szCs w:val="16"/>
        </w:rPr>
      </w:pPr>
    </w:p>
  </w:footnote>
  <w:footnote w:id="7">
    <w:p w:rsidRPr="007012E5" w:rsidR="00006335" w:rsidP="00006335" w:rsidRDefault="00006335" w14:paraId="41E9FD22" w14:textId="77777777">
      <w:pPr>
        <w:spacing w:after="0" w:line="240" w:lineRule="auto"/>
        <w:ind w:firstLine="708"/>
        <w:contextualSpacing/>
        <w:jc w:val="both"/>
        <w:rPr>
          <w:rFonts w:ascii="Verdana" w:hAnsi="Verdana"/>
          <w:sz w:val="16"/>
          <w:szCs w:val="16"/>
        </w:rPr>
      </w:pP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rPr>
        <w:t xml:space="preserve"> Consejo de Estado. Sala de Consulta y del Servicio Civil. Concepto del 24 de febrero de 2005. Radicado No. 1626. Consejera Ponente: Dra. Gloria Duque Hernández. </w:t>
      </w:r>
    </w:p>
  </w:footnote>
  <w:footnote w:id="8">
    <w:p w:rsidRPr="007012E5" w:rsidR="00006335" w:rsidP="00006335" w:rsidRDefault="00006335" w14:paraId="48A0E9BA" w14:textId="77777777">
      <w:pPr>
        <w:pStyle w:val="paragraph"/>
        <w:spacing w:before="0" w:beforeAutospacing="0" w:after="0" w:afterAutospacing="0"/>
        <w:ind w:firstLine="709"/>
        <w:contextualSpacing/>
        <w:jc w:val="both"/>
        <w:textAlignment w:val="baseline"/>
        <w:rPr>
          <w:rFonts w:ascii="Verdana" w:hAnsi="Verdana" w:cs="Arial"/>
          <w:color w:val="000000" w:themeColor="text1"/>
          <w:sz w:val="16"/>
          <w:szCs w:val="16"/>
        </w:rPr>
      </w:pPr>
      <w:r w:rsidRPr="007012E5">
        <w:rPr>
          <w:rStyle w:val="Refdenotaalpie"/>
          <w:rFonts w:ascii="Verdana" w:hAnsi="Verdana" w:cs="Arial" w:eastAsiaTheme="majorEastAsia"/>
          <w:color w:val="000000" w:themeColor="text1"/>
          <w:sz w:val="16"/>
          <w:szCs w:val="16"/>
        </w:rPr>
        <w:footnoteRef/>
      </w:r>
      <w:r w:rsidRPr="007012E5">
        <w:rPr>
          <w:rFonts w:ascii="Verdana" w:hAnsi="Verdana" w:cs="Arial"/>
          <w:color w:val="000000" w:themeColor="text1"/>
          <w:sz w:val="16"/>
          <w:szCs w:val="16"/>
        </w:rPr>
        <w:t xml:space="preserve"> </w:t>
      </w:r>
      <w:r w:rsidRPr="007012E5">
        <w:rPr>
          <w:rFonts w:ascii="Verdana" w:hAnsi="Verdana" w:cs="Arial"/>
          <w:color w:val="000000" w:themeColor="text1"/>
          <w:sz w:val="16"/>
          <w:szCs w:val="16"/>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rsidRPr="007012E5" w:rsidR="00006335" w:rsidP="00006335" w:rsidRDefault="00006335" w14:paraId="60335F62" w14:textId="77777777">
      <w:pPr>
        <w:pStyle w:val="paragraph"/>
        <w:spacing w:before="0" w:beforeAutospacing="0" w:after="0" w:afterAutospacing="0"/>
        <w:ind w:firstLine="709"/>
        <w:contextualSpacing/>
        <w:jc w:val="both"/>
        <w:textAlignment w:val="baseline"/>
        <w:rPr>
          <w:rFonts w:ascii="Verdana" w:hAnsi="Verdana" w:cs="Arial"/>
          <w:color w:val="000000" w:themeColor="text1"/>
          <w:sz w:val="16"/>
          <w:szCs w:val="16"/>
        </w:rPr>
      </w:pPr>
    </w:p>
  </w:footnote>
  <w:footnote w:id="9">
    <w:p w:rsidR="00006335" w:rsidP="00006335" w:rsidRDefault="00006335" w14:paraId="2DDF1223" w14:textId="77777777">
      <w:pPr>
        <w:spacing w:after="0" w:line="240" w:lineRule="auto"/>
        <w:ind w:firstLine="709"/>
        <w:contextualSpacing/>
        <w:jc w:val="both"/>
        <w:rPr>
          <w:rFonts w:ascii="Verdana" w:hAnsi="Verdana" w:cs="Arial"/>
          <w:color w:val="000000" w:themeColor="text1"/>
          <w:sz w:val="16"/>
          <w:szCs w:val="16"/>
          <w:lang w:eastAsia="es-MX"/>
        </w:rPr>
      </w:pPr>
      <w:r w:rsidRPr="007012E5">
        <w:rPr>
          <w:rFonts w:ascii="Verdana" w:hAnsi="Verdana" w:cs="Arial"/>
          <w:color w:val="000000" w:themeColor="text1"/>
          <w:sz w:val="16"/>
          <w:szCs w:val="16"/>
          <w:lang w:eastAsia="es-MX"/>
        </w:rPr>
        <w:t xml:space="preserve"> </w:t>
      </w:r>
      <w:r w:rsidRPr="007012E5">
        <w:rPr>
          <w:rStyle w:val="Refdenotaalpie"/>
          <w:rFonts w:ascii="Verdana" w:hAnsi="Verdana" w:cs="Arial"/>
          <w:color w:val="000000" w:themeColor="text1"/>
          <w:sz w:val="16"/>
          <w:szCs w:val="16"/>
        </w:rPr>
        <w:footnoteRef/>
      </w:r>
      <w:r w:rsidRPr="007012E5">
        <w:rPr>
          <w:rFonts w:ascii="Verdana" w:hAnsi="Verdana" w:cs="Arial"/>
          <w:color w:val="000000" w:themeColor="text1"/>
          <w:sz w:val="16"/>
          <w:szCs w:val="16"/>
          <w:lang w:eastAsia="es-MX"/>
        </w:rPr>
        <w:t xml:space="preserve"> Así lo establece la Constitución Política, en el artículo 150, numeral 7, así como en el artículo 300, numeral 7 y en el artículo 313, numeral 6.</w:t>
      </w:r>
    </w:p>
    <w:p w:rsidRPr="007012E5" w:rsidR="00006335" w:rsidP="00006335" w:rsidRDefault="00006335" w14:paraId="61C792E4" w14:textId="77777777">
      <w:pPr>
        <w:spacing w:after="0" w:line="240" w:lineRule="auto"/>
        <w:ind w:firstLine="709"/>
        <w:contextualSpacing/>
        <w:jc w:val="both"/>
        <w:rPr>
          <w:rFonts w:ascii="Verdana" w:hAnsi="Verdana" w:cs="Arial"/>
          <w:color w:val="000000" w:themeColor="text1"/>
          <w:sz w:val="16"/>
          <w:szCs w:val="16"/>
          <w:lang w:eastAsia="es-MX"/>
        </w:rPr>
      </w:pPr>
    </w:p>
  </w:footnote>
  <w:footnote w:id="10">
    <w:p w:rsidRPr="007012E5" w:rsidR="00006335" w:rsidP="00006335" w:rsidRDefault="00006335" w14:paraId="405B2E4A" w14:textId="77777777">
      <w:pPr>
        <w:pStyle w:val="Textonotapie"/>
        <w:ind w:firstLine="708"/>
        <w:contextualSpacing/>
        <w:jc w:val="both"/>
        <w:rPr>
          <w:rFonts w:ascii="Verdana" w:hAnsi="Verdana" w:cs="Arial"/>
          <w:sz w:val="16"/>
          <w:szCs w:val="16"/>
        </w:rPr>
      </w:pPr>
      <w:r w:rsidRPr="007012E5">
        <w:rPr>
          <w:rStyle w:val="Refdenotaalpie"/>
          <w:rFonts w:ascii="Verdana" w:hAnsi="Verdana" w:cs="Arial"/>
          <w:sz w:val="16"/>
          <w:szCs w:val="16"/>
        </w:rPr>
        <w:footnoteRef/>
      </w:r>
      <w:r w:rsidRPr="007012E5">
        <w:rPr>
          <w:rFonts w:ascii="Verdana" w:hAnsi="Verdana" w:cs="Arial"/>
          <w:sz w:val="16"/>
          <w:szCs w:val="16"/>
        </w:rPr>
        <w:t xml:space="preserve"> Ley 80 de 1993, artículo 2, literal a):</w:t>
      </w:r>
      <w:bookmarkStart w:name="2" w:id="9"/>
      <w:r w:rsidRPr="007012E5">
        <w:rPr>
          <w:rFonts w:ascii="Verdana" w:hAnsi="Verdana" w:cs="Arial"/>
          <w:sz w:val="16"/>
          <w:szCs w:val="16"/>
        </w:rPr>
        <w:t xml:space="preserve"> “Artículo 2o. de la definición de entidades, servidores y servicios públicos.</w:t>
      </w:r>
      <w:bookmarkEnd w:id="9"/>
      <w:r w:rsidRPr="007012E5">
        <w:rPr>
          <w:rFonts w:ascii="Verdana" w:hAnsi="Verdana" w:cs="Arial"/>
          <w:sz w:val="16"/>
          <w:szCs w:val="16"/>
        </w:rPr>
        <w:t xml:space="preserve"> Para los solos efectos de esta ley:</w:t>
      </w:r>
    </w:p>
    <w:p w:rsidRPr="007012E5" w:rsidR="00006335" w:rsidP="00006335" w:rsidRDefault="00006335" w14:paraId="050B9139" w14:textId="77777777">
      <w:pPr>
        <w:pStyle w:val="Textonotapie"/>
        <w:ind w:firstLine="708"/>
        <w:contextualSpacing/>
        <w:jc w:val="both"/>
        <w:rPr>
          <w:rFonts w:ascii="Verdana" w:hAnsi="Verdana" w:cs="Arial"/>
          <w:sz w:val="16"/>
          <w:szCs w:val="16"/>
        </w:rPr>
      </w:pPr>
      <w:r w:rsidRPr="007012E5">
        <w:rPr>
          <w:rFonts w:ascii="Verdana" w:hAnsi="Verdana" w:cs="Arial"/>
          <w:sz w:val="16"/>
          <w:szCs w:val="16"/>
        </w:rPr>
        <w:t>1o. Se denominan entidades estatales:</w:t>
      </w:r>
    </w:p>
    <w:p w:rsidRPr="007012E5" w:rsidR="00006335" w:rsidP="00006335" w:rsidRDefault="00006335" w14:paraId="27CEDDFF" w14:textId="77777777">
      <w:pPr>
        <w:pStyle w:val="Textonotapie"/>
        <w:ind w:firstLine="708"/>
        <w:contextualSpacing/>
        <w:jc w:val="both"/>
        <w:rPr>
          <w:rFonts w:ascii="Verdana" w:hAnsi="Verdana" w:cs="Arial"/>
          <w:sz w:val="16"/>
          <w:szCs w:val="16"/>
        </w:rPr>
      </w:pPr>
      <w:r w:rsidRPr="007012E5">
        <w:rPr>
          <w:rFonts w:ascii="Verdana" w:hAnsi="Verdana" w:cs="Arial"/>
          <w:sz w:val="16"/>
          <w:szCs w:val="16"/>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7012E5" w:rsidR="00006335" w:rsidP="00006335" w:rsidRDefault="00006335" w14:paraId="46275282" w14:textId="77777777">
      <w:pPr>
        <w:pStyle w:val="Textonotapie"/>
        <w:ind w:firstLine="708"/>
        <w:contextualSpacing/>
        <w:jc w:val="both"/>
        <w:rPr>
          <w:rFonts w:ascii="Verdana" w:hAnsi="Verdana" w:cs="Arial"/>
          <w:sz w:val="16"/>
          <w:szCs w:val="16"/>
        </w:rPr>
      </w:pPr>
      <w:r w:rsidRPr="007012E5">
        <w:rPr>
          <w:rFonts w:ascii="Verdana" w:hAnsi="Verdana" w:cs="Arial"/>
          <w:sz w:val="16"/>
          <w:szCs w:val="16"/>
        </w:rPr>
        <w:t>[…]”.</w:t>
      </w:r>
    </w:p>
    <w:p w:rsidRPr="007012E5" w:rsidR="00006335" w:rsidP="00006335" w:rsidRDefault="00006335" w14:paraId="6D951B04" w14:textId="77777777">
      <w:pPr>
        <w:pStyle w:val="Textonotapie"/>
        <w:ind w:firstLine="708"/>
        <w:contextualSpacing/>
        <w:jc w:val="both"/>
        <w:rPr>
          <w:rFonts w:ascii="Verdana" w:hAnsi="Verdana" w:cs="Arial"/>
          <w:sz w:val="16"/>
          <w:szCs w:val="16"/>
        </w:rPr>
      </w:pPr>
    </w:p>
  </w:footnote>
  <w:footnote w:id="11">
    <w:p w:rsidRPr="007012E5" w:rsidR="00006335" w:rsidP="00006335" w:rsidRDefault="00006335" w14:paraId="0C3A67D6" w14:textId="77777777">
      <w:pPr>
        <w:pStyle w:val="Textonotapie"/>
        <w:ind w:firstLine="708"/>
        <w:contextualSpacing/>
        <w:jc w:val="both"/>
        <w:rPr>
          <w:rFonts w:ascii="Verdana" w:hAnsi="Verdana" w:cs="Arial"/>
          <w:sz w:val="16"/>
          <w:szCs w:val="16"/>
        </w:rPr>
      </w:pPr>
      <w:r w:rsidRPr="007012E5">
        <w:rPr>
          <w:rStyle w:val="Refdenotaalpie"/>
          <w:rFonts w:ascii="Verdana" w:hAnsi="Verdana" w:cs="Arial"/>
          <w:sz w:val="16"/>
          <w:szCs w:val="16"/>
        </w:rPr>
        <w:footnoteRef/>
      </w:r>
      <w:r w:rsidRPr="007012E5">
        <w:rPr>
          <w:rFonts w:ascii="Verdana" w:hAnsi="Verdana" w:cs="Arial"/>
          <w:sz w:val="16"/>
          <w:szCs w:val="16"/>
        </w:rPr>
        <w:t xml:space="preserve"> Ley 1150 de 2007</w:t>
      </w:r>
      <w:r>
        <w:rPr>
          <w:rFonts w:ascii="Verdana" w:hAnsi="Verdana" w:cs="Arial"/>
          <w:sz w:val="16"/>
          <w:szCs w:val="16"/>
        </w:rPr>
        <w:t>.</w:t>
      </w:r>
      <w:r w:rsidRPr="007012E5">
        <w:rPr>
          <w:rFonts w:ascii="Verdana" w:hAnsi="Verdana" w:cs="Arial"/>
          <w:sz w:val="16"/>
          <w:szCs w:val="16"/>
        </w:rPr>
        <w:t xml:space="preserve">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rsidRPr="007012E5" w:rsidR="00006335" w:rsidP="00006335" w:rsidRDefault="00006335" w14:paraId="37AE2820" w14:textId="77777777">
      <w:pPr>
        <w:pStyle w:val="Textonotapie"/>
        <w:ind w:firstLine="708"/>
        <w:contextualSpacing/>
        <w:jc w:val="both"/>
        <w:rPr>
          <w:rFonts w:ascii="Verdana" w:hAnsi="Verdana" w:cs="Arial"/>
          <w:sz w:val="16"/>
          <w:szCs w:val="16"/>
        </w:rPr>
      </w:pPr>
    </w:p>
  </w:footnote>
  <w:footnote w:id="12">
    <w:p w:rsidRPr="007012E5" w:rsidR="00006335" w:rsidP="00006335" w:rsidRDefault="00006335" w14:paraId="2F4633FC" w14:textId="77777777">
      <w:pPr>
        <w:spacing w:after="0" w:line="240" w:lineRule="auto"/>
        <w:ind w:firstLine="707"/>
        <w:contextualSpacing/>
        <w:jc w:val="both"/>
        <w:rPr>
          <w:rFonts w:ascii="Verdana" w:hAnsi="Verdana" w:cs="Arial"/>
          <w:sz w:val="16"/>
          <w:szCs w:val="16"/>
        </w:rPr>
      </w:pPr>
      <w:r w:rsidRPr="007012E5">
        <w:rPr>
          <w:rStyle w:val="Refdenotaalpie"/>
          <w:rFonts w:ascii="Verdana" w:hAnsi="Verdana" w:cs="Arial"/>
          <w:sz w:val="16"/>
          <w:szCs w:val="16"/>
        </w:rPr>
        <w:footnoteRef/>
      </w:r>
      <w:r w:rsidRPr="007012E5">
        <w:rPr>
          <w:rFonts w:ascii="Verdana" w:hAnsi="Verdana" w:cs="Arial"/>
          <w:sz w:val="16"/>
          <w:szCs w:val="16"/>
        </w:rPr>
        <w:t xml:space="preserve"> </w:t>
      </w:r>
      <w:r w:rsidRPr="007012E5">
        <w:rPr>
          <w:rFonts w:ascii="Verdana" w:hAnsi="Verdana" w:cs="Arial"/>
          <w:spacing w:val="-1"/>
          <w:sz w:val="16"/>
          <w:szCs w:val="16"/>
        </w:rPr>
        <w:t>TORRENTE</w:t>
      </w:r>
      <w:r w:rsidRPr="007012E5">
        <w:rPr>
          <w:rFonts w:ascii="Verdana" w:hAnsi="Verdana" w:cs="Arial"/>
          <w:spacing w:val="-9"/>
          <w:sz w:val="16"/>
          <w:szCs w:val="16"/>
        </w:rPr>
        <w:t xml:space="preserve"> </w:t>
      </w:r>
      <w:r w:rsidRPr="007012E5">
        <w:rPr>
          <w:rFonts w:ascii="Verdana" w:hAnsi="Verdana" w:cs="Arial"/>
          <w:sz w:val="16"/>
          <w:szCs w:val="16"/>
        </w:rPr>
        <w:t>BAYONA,</w:t>
      </w:r>
      <w:r w:rsidRPr="007012E5">
        <w:rPr>
          <w:rFonts w:ascii="Verdana" w:hAnsi="Verdana" w:cs="Arial"/>
          <w:spacing w:val="-8"/>
          <w:sz w:val="16"/>
          <w:szCs w:val="16"/>
        </w:rPr>
        <w:t xml:space="preserve"> </w:t>
      </w:r>
      <w:r w:rsidRPr="007012E5">
        <w:rPr>
          <w:rFonts w:ascii="Verdana" w:hAnsi="Verdana" w:cs="Arial"/>
          <w:sz w:val="16"/>
          <w:szCs w:val="16"/>
        </w:rPr>
        <w:t>César</w:t>
      </w:r>
      <w:r w:rsidRPr="007012E5">
        <w:rPr>
          <w:rFonts w:ascii="Verdana" w:hAnsi="Verdana" w:cs="Arial"/>
          <w:spacing w:val="-8"/>
          <w:sz w:val="16"/>
          <w:szCs w:val="16"/>
        </w:rPr>
        <w:t xml:space="preserve"> y, </w:t>
      </w:r>
      <w:r w:rsidRPr="007012E5">
        <w:rPr>
          <w:rFonts w:ascii="Verdana" w:hAnsi="Verdana" w:cs="Arial"/>
          <w:sz w:val="16"/>
          <w:szCs w:val="16"/>
        </w:rPr>
        <w:t>BUSTAMANTE, Luis</w:t>
      </w:r>
      <w:r w:rsidRPr="007012E5">
        <w:rPr>
          <w:rFonts w:ascii="Verdana" w:hAnsi="Verdana" w:cs="Arial"/>
          <w:spacing w:val="-9"/>
          <w:sz w:val="16"/>
          <w:szCs w:val="16"/>
        </w:rPr>
        <w:t xml:space="preserve"> </w:t>
      </w:r>
      <w:r w:rsidRPr="007012E5">
        <w:rPr>
          <w:rFonts w:ascii="Verdana" w:hAnsi="Verdana" w:cs="Arial"/>
          <w:sz w:val="16"/>
          <w:szCs w:val="16"/>
        </w:rPr>
        <w:t>Eduardo.</w:t>
      </w:r>
      <w:r w:rsidRPr="007012E5">
        <w:rPr>
          <w:rFonts w:ascii="Verdana" w:hAnsi="Verdana" w:cs="Arial"/>
          <w:spacing w:val="-8"/>
          <w:sz w:val="16"/>
          <w:szCs w:val="16"/>
        </w:rPr>
        <w:t xml:space="preserve"> </w:t>
      </w:r>
      <w:r w:rsidRPr="007012E5">
        <w:rPr>
          <w:rFonts w:ascii="Verdana" w:hAnsi="Verdana" w:cs="Arial"/>
          <w:color w:val="000000" w:themeColor="text1"/>
          <w:sz w:val="16"/>
          <w:szCs w:val="16"/>
          <w:lang w:val="es-ES_tradnl"/>
        </w:rPr>
        <w:t>“</w:t>
      </w:r>
      <w:r w:rsidRPr="007012E5">
        <w:rPr>
          <w:rFonts w:ascii="Verdana" w:hAnsi="Verdana" w:cs="Arial"/>
          <w:sz w:val="16"/>
          <w:szCs w:val="16"/>
        </w:rPr>
        <w:t>Las</w:t>
      </w:r>
      <w:r w:rsidRPr="007012E5">
        <w:rPr>
          <w:rFonts w:ascii="Verdana" w:hAnsi="Verdana" w:cs="Arial"/>
          <w:spacing w:val="-9"/>
          <w:sz w:val="16"/>
          <w:szCs w:val="16"/>
        </w:rPr>
        <w:t xml:space="preserve"> </w:t>
      </w:r>
      <w:r w:rsidRPr="007012E5">
        <w:rPr>
          <w:rFonts w:ascii="Verdana" w:hAnsi="Verdana" w:cs="Arial"/>
          <w:sz w:val="16"/>
          <w:szCs w:val="16"/>
        </w:rPr>
        <w:t>entidades</w:t>
      </w:r>
      <w:r w:rsidRPr="007012E5">
        <w:rPr>
          <w:rFonts w:ascii="Verdana" w:hAnsi="Verdana" w:cs="Arial"/>
          <w:spacing w:val="1"/>
          <w:sz w:val="16"/>
          <w:szCs w:val="16"/>
        </w:rPr>
        <w:t xml:space="preserve"> </w:t>
      </w:r>
      <w:r w:rsidRPr="007012E5">
        <w:rPr>
          <w:rFonts w:ascii="Verdana" w:hAnsi="Verdana" w:cs="Arial"/>
          <w:sz w:val="16"/>
          <w:szCs w:val="16"/>
        </w:rPr>
        <w:t>sin</w:t>
      </w:r>
      <w:r w:rsidRPr="007012E5">
        <w:rPr>
          <w:rFonts w:ascii="Verdana" w:hAnsi="Verdana" w:cs="Arial"/>
          <w:spacing w:val="-2"/>
          <w:sz w:val="16"/>
          <w:szCs w:val="16"/>
        </w:rPr>
        <w:t xml:space="preserve"> </w:t>
      </w:r>
      <w:r w:rsidRPr="007012E5">
        <w:rPr>
          <w:rFonts w:ascii="Verdana" w:hAnsi="Verdana" w:cs="Arial"/>
          <w:sz w:val="16"/>
          <w:szCs w:val="16"/>
        </w:rPr>
        <w:t>ánimo</w:t>
      </w:r>
      <w:r w:rsidRPr="007012E5">
        <w:rPr>
          <w:rFonts w:ascii="Verdana" w:hAnsi="Verdana" w:cs="Arial"/>
          <w:spacing w:val="-1"/>
          <w:sz w:val="16"/>
          <w:szCs w:val="16"/>
        </w:rPr>
        <w:t xml:space="preserve"> </w:t>
      </w:r>
      <w:r w:rsidRPr="007012E5">
        <w:rPr>
          <w:rFonts w:ascii="Verdana" w:hAnsi="Verdana" w:cs="Arial"/>
          <w:sz w:val="16"/>
          <w:szCs w:val="16"/>
        </w:rPr>
        <w:t>de</w:t>
      </w:r>
      <w:r w:rsidRPr="007012E5">
        <w:rPr>
          <w:rFonts w:ascii="Verdana" w:hAnsi="Verdana" w:cs="Arial"/>
          <w:spacing w:val="-2"/>
          <w:sz w:val="16"/>
          <w:szCs w:val="16"/>
        </w:rPr>
        <w:t xml:space="preserve"> </w:t>
      </w:r>
      <w:r w:rsidRPr="007012E5">
        <w:rPr>
          <w:rFonts w:ascii="Verdana" w:hAnsi="Verdana" w:cs="Arial"/>
          <w:sz w:val="16"/>
          <w:szCs w:val="16"/>
        </w:rPr>
        <w:t>lucro</w:t>
      </w:r>
      <w:r w:rsidRPr="007012E5">
        <w:rPr>
          <w:rFonts w:ascii="Verdana" w:hAnsi="Verdana" w:cs="Arial"/>
          <w:color w:val="000000" w:themeColor="text1"/>
          <w:sz w:val="16"/>
          <w:szCs w:val="16"/>
          <w:lang w:val="es-ES_tradnl"/>
        </w:rPr>
        <w:t>”</w:t>
      </w:r>
      <w:r w:rsidRPr="007012E5">
        <w:rPr>
          <w:rFonts w:ascii="Verdana" w:hAnsi="Verdana" w:cs="Arial"/>
          <w:sz w:val="16"/>
          <w:szCs w:val="16"/>
        </w:rPr>
        <w:t>.</w:t>
      </w:r>
      <w:r w:rsidRPr="007012E5">
        <w:rPr>
          <w:rFonts w:ascii="Verdana" w:hAnsi="Verdana" w:cs="Arial"/>
          <w:spacing w:val="-1"/>
          <w:sz w:val="16"/>
          <w:szCs w:val="16"/>
        </w:rPr>
        <w:t xml:space="preserve"> </w:t>
      </w:r>
      <w:r w:rsidRPr="007012E5">
        <w:rPr>
          <w:rFonts w:ascii="Verdana" w:hAnsi="Verdana" w:cs="Arial"/>
          <w:sz w:val="16"/>
          <w:szCs w:val="16"/>
        </w:rPr>
        <w:t>Tercera</w:t>
      </w:r>
      <w:r w:rsidRPr="007012E5">
        <w:rPr>
          <w:rFonts w:ascii="Verdana" w:hAnsi="Verdana" w:cs="Arial"/>
          <w:spacing w:val="-1"/>
          <w:sz w:val="16"/>
          <w:szCs w:val="16"/>
        </w:rPr>
        <w:t xml:space="preserve"> </w:t>
      </w:r>
      <w:r w:rsidRPr="007012E5">
        <w:rPr>
          <w:rFonts w:ascii="Verdana" w:hAnsi="Verdana" w:cs="Arial"/>
          <w:sz w:val="16"/>
          <w:szCs w:val="16"/>
        </w:rPr>
        <w:t>edición.</w:t>
      </w:r>
      <w:r w:rsidRPr="007012E5">
        <w:rPr>
          <w:rFonts w:ascii="Verdana" w:hAnsi="Verdana" w:cs="Arial"/>
          <w:spacing w:val="-2"/>
          <w:sz w:val="16"/>
          <w:szCs w:val="16"/>
        </w:rPr>
        <w:t xml:space="preserve"> </w:t>
      </w:r>
      <w:r w:rsidRPr="007012E5">
        <w:rPr>
          <w:rFonts w:ascii="Verdana" w:hAnsi="Verdana" w:cs="Arial"/>
          <w:sz w:val="16"/>
          <w:szCs w:val="16"/>
        </w:rPr>
        <w:t>Cámara</w:t>
      </w:r>
      <w:r w:rsidRPr="007012E5">
        <w:rPr>
          <w:rFonts w:ascii="Verdana" w:hAnsi="Verdana" w:cs="Arial"/>
          <w:spacing w:val="-1"/>
          <w:sz w:val="16"/>
          <w:szCs w:val="16"/>
        </w:rPr>
        <w:t xml:space="preserve"> </w:t>
      </w:r>
      <w:r w:rsidRPr="007012E5">
        <w:rPr>
          <w:rFonts w:ascii="Verdana" w:hAnsi="Verdana" w:cs="Arial"/>
          <w:sz w:val="16"/>
          <w:szCs w:val="16"/>
        </w:rPr>
        <w:t>de</w:t>
      </w:r>
      <w:r w:rsidRPr="007012E5">
        <w:rPr>
          <w:rFonts w:ascii="Verdana" w:hAnsi="Verdana" w:cs="Arial"/>
          <w:spacing w:val="-1"/>
          <w:sz w:val="16"/>
          <w:szCs w:val="16"/>
        </w:rPr>
        <w:t xml:space="preserve"> </w:t>
      </w:r>
      <w:r w:rsidRPr="007012E5">
        <w:rPr>
          <w:rFonts w:ascii="Verdana" w:hAnsi="Verdana" w:cs="Arial"/>
          <w:sz w:val="16"/>
          <w:szCs w:val="16"/>
        </w:rPr>
        <w:t>Comercio</w:t>
      </w:r>
      <w:r w:rsidRPr="007012E5">
        <w:rPr>
          <w:rFonts w:ascii="Verdana" w:hAnsi="Verdana" w:cs="Arial"/>
          <w:spacing w:val="-2"/>
          <w:sz w:val="16"/>
          <w:szCs w:val="16"/>
        </w:rPr>
        <w:t xml:space="preserve"> </w:t>
      </w:r>
      <w:r w:rsidRPr="007012E5">
        <w:rPr>
          <w:rFonts w:ascii="Verdana" w:hAnsi="Verdana" w:cs="Arial"/>
          <w:sz w:val="16"/>
          <w:szCs w:val="16"/>
        </w:rPr>
        <w:t>de</w:t>
      </w:r>
      <w:r w:rsidRPr="007012E5">
        <w:rPr>
          <w:rFonts w:ascii="Verdana" w:hAnsi="Verdana" w:cs="Arial"/>
          <w:spacing w:val="-1"/>
          <w:sz w:val="16"/>
          <w:szCs w:val="16"/>
        </w:rPr>
        <w:t xml:space="preserve"> </w:t>
      </w:r>
      <w:r w:rsidRPr="007012E5">
        <w:rPr>
          <w:rFonts w:ascii="Verdana" w:hAnsi="Verdana" w:cs="Arial"/>
          <w:sz w:val="16"/>
          <w:szCs w:val="16"/>
        </w:rPr>
        <w:t>Bogotá.</w:t>
      </w:r>
      <w:r w:rsidRPr="007012E5">
        <w:rPr>
          <w:rFonts w:ascii="Verdana" w:hAnsi="Verdana" w:cs="Arial"/>
          <w:spacing w:val="-1"/>
          <w:sz w:val="16"/>
          <w:szCs w:val="16"/>
        </w:rPr>
        <w:t xml:space="preserve"> </w:t>
      </w:r>
      <w:r w:rsidRPr="007012E5">
        <w:rPr>
          <w:rFonts w:ascii="Verdana" w:hAnsi="Verdana" w:cs="Arial"/>
          <w:sz w:val="16"/>
          <w:szCs w:val="16"/>
        </w:rPr>
        <w:t>2000,</w:t>
      </w:r>
      <w:r w:rsidRPr="007012E5">
        <w:rPr>
          <w:rFonts w:ascii="Verdana" w:hAnsi="Verdana" w:cs="Arial"/>
          <w:spacing w:val="-2"/>
          <w:sz w:val="16"/>
          <w:szCs w:val="16"/>
        </w:rPr>
        <w:t xml:space="preserve"> </w:t>
      </w:r>
      <w:r w:rsidRPr="007012E5">
        <w:rPr>
          <w:rFonts w:ascii="Verdana" w:hAnsi="Verdana" w:cs="Arial"/>
          <w:sz w:val="16"/>
          <w:szCs w:val="16"/>
        </w:rPr>
        <w:t>p.</w:t>
      </w:r>
      <w:r w:rsidRPr="007012E5">
        <w:rPr>
          <w:rFonts w:ascii="Verdana" w:hAnsi="Verdana" w:cs="Arial"/>
          <w:spacing w:val="-1"/>
          <w:sz w:val="16"/>
          <w:szCs w:val="16"/>
        </w:rPr>
        <w:t xml:space="preserve"> </w:t>
      </w:r>
      <w:r w:rsidRPr="007012E5">
        <w:rPr>
          <w:rFonts w:ascii="Verdana" w:hAnsi="Verdana" w:cs="Arial"/>
          <w:sz w:val="16"/>
          <w:szCs w:val="16"/>
        </w:rPr>
        <w:t xml:space="preserve">33. Los autores manifiestan que: </w:t>
      </w:r>
      <w:r w:rsidRPr="007012E5">
        <w:rPr>
          <w:rFonts w:ascii="Verdana" w:hAnsi="Verdana" w:cs="Arial"/>
          <w:color w:val="000000" w:themeColor="text1"/>
          <w:sz w:val="16"/>
          <w:szCs w:val="16"/>
          <w:lang w:val="es-ES_tradnl"/>
        </w:rPr>
        <w:t>“</w:t>
      </w:r>
      <w:r w:rsidRPr="007012E5">
        <w:rPr>
          <w:rFonts w:ascii="Verdana" w:hAnsi="Verdana" w:cs="Arial"/>
          <w:sz w:val="16"/>
          <w:szCs w:val="16"/>
        </w:rPr>
        <w:t>Las entidades sin ánimo de lucro son personas jurídicas, capaces de ejercer derechos y</w:t>
      </w:r>
      <w:r w:rsidRPr="007012E5">
        <w:rPr>
          <w:rFonts w:ascii="Verdana" w:hAnsi="Verdana" w:cs="Arial"/>
          <w:spacing w:val="1"/>
          <w:sz w:val="16"/>
          <w:szCs w:val="16"/>
        </w:rPr>
        <w:t xml:space="preserve"> </w:t>
      </w:r>
      <w:r w:rsidRPr="007012E5">
        <w:rPr>
          <w:rFonts w:ascii="Verdana" w:hAnsi="Verdana" w:cs="Arial"/>
          <w:sz w:val="16"/>
          <w:szCs w:val="16"/>
        </w:rPr>
        <w:t>contraer obligaciones y de ser representadas judicial y extrajudicialmente, con sujeción a las disposiciones legales y a sus propios estatutos. Nacen por voluntad de</w:t>
      </w:r>
      <w:r w:rsidRPr="007012E5">
        <w:rPr>
          <w:rFonts w:ascii="Verdana" w:hAnsi="Verdana" w:cs="Arial"/>
          <w:spacing w:val="1"/>
          <w:sz w:val="16"/>
          <w:szCs w:val="16"/>
        </w:rPr>
        <w:t xml:space="preserve"> </w:t>
      </w:r>
      <w:r w:rsidRPr="007012E5">
        <w:rPr>
          <w:rFonts w:ascii="Verdana" w:hAnsi="Verdana" w:cs="Arial"/>
          <w:sz w:val="16"/>
          <w:szCs w:val="16"/>
        </w:rPr>
        <w:t>los</w:t>
      </w:r>
      <w:r w:rsidRPr="007012E5">
        <w:rPr>
          <w:rFonts w:ascii="Verdana" w:hAnsi="Verdana" w:cs="Arial"/>
          <w:spacing w:val="-5"/>
          <w:sz w:val="16"/>
          <w:szCs w:val="16"/>
        </w:rPr>
        <w:t xml:space="preserve"> </w:t>
      </w:r>
      <w:r w:rsidRPr="007012E5">
        <w:rPr>
          <w:rFonts w:ascii="Verdana" w:hAnsi="Verdana" w:cs="Arial"/>
          <w:sz w:val="16"/>
          <w:szCs w:val="16"/>
        </w:rPr>
        <w:t>asociados</w:t>
      </w:r>
      <w:r w:rsidRPr="007012E5">
        <w:rPr>
          <w:rFonts w:ascii="Verdana" w:hAnsi="Verdana" w:cs="Arial"/>
          <w:spacing w:val="-4"/>
          <w:sz w:val="16"/>
          <w:szCs w:val="16"/>
        </w:rPr>
        <w:t xml:space="preserve"> </w:t>
      </w:r>
      <w:r w:rsidRPr="007012E5">
        <w:rPr>
          <w:rFonts w:ascii="Verdana" w:hAnsi="Verdana" w:cs="Arial"/>
          <w:sz w:val="16"/>
          <w:szCs w:val="16"/>
        </w:rPr>
        <w:t>en</w:t>
      </w:r>
      <w:r w:rsidRPr="007012E5">
        <w:rPr>
          <w:rFonts w:ascii="Verdana" w:hAnsi="Verdana" w:cs="Arial"/>
          <w:spacing w:val="-5"/>
          <w:sz w:val="16"/>
          <w:szCs w:val="16"/>
        </w:rPr>
        <w:t xml:space="preserve"> </w:t>
      </w:r>
      <w:r w:rsidRPr="007012E5">
        <w:rPr>
          <w:rFonts w:ascii="Verdana" w:hAnsi="Verdana" w:cs="Arial"/>
          <w:sz w:val="16"/>
          <w:szCs w:val="16"/>
        </w:rPr>
        <w:t>virtud</w:t>
      </w:r>
      <w:r w:rsidRPr="007012E5">
        <w:rPr>
          <w:rFonts w:ascii="Verdana" w:hAnsi="Verdana" w:cs="Arial"/>
          <w:spacing w:val="-5"/>
          <w:sz w:val="16"/>
          <w:szCs w:val="16"/>
        </w:rPr>
        <w:t xml:space="preserve"> </w:t>
      </w:r>
      <w:r w:rsidRPr="007012E5">
        <w:rPr>
          <w:rFonts w:ascii="Verdana" w:hAnsi="Verdana" w:cs="Arial"/>
          <w:sz w:val="16"/>
          <w:szCs w:val="16"/>
        </w:rPr>
        <w:t>del</w:t>
      </w:r>
      <w:r w:rsidRPr="007012E5">
        <w:rPr>
          <w:rFonts w:ascii="Verdana" w:hAnsi="Verdana" w:cs="Arial"/>
          <w:spacing w:val="-5"/>
          <w:sz w:val="16"/>
          <w:szCs w:val="16"/>
        </w:rPr>
        <w:t xml:space="preserve"> </w:t>
      </w:r>
      <w:r w:rsidRPr="007012E5">
        <w:rPr>
          <w:rFonts w:ascii="Verdana" w:hAnsi="Verdana" w:cs="Arial"/>
          <w:sz w:val="16"/>
          <w:szCs w:val="16"/>
        </w:rPr>
        <w:t>derecho</w:t>
      </w:r>
      <w:r w:rsidRPr="007012E5">
        <w:rPr>
          <w:rFonts w:ascii="Verdana" w:hAnsi="Verdana" w:cs="Arial"/>
          <w:spacing w:val="-4"/>
          <w:sz w:val="16"/>
          <w:szCs w:val="16"/>
        </w:rPr>
        <w:t xml:space="preserve"> </w:t>
      </w:r>
      <w:r w:rsidRPr="007012E5">
        <w:rPr>
          <w:rFonts w:ascii="Verdana" w:hAnsi="Verdana" w:cs="Arial"/>
          <w:sz w:val="16"/>
          <w:szCs w:val="16"/>
        </w:rPr>
        <w:t>constitucional</w:t>
      </w:r>
      <w:r w:rsidRPr="007012E5">
        <w:rPr>
          <w:rFonts w:ascii="Verdana" w:hAnsi="Verdana" w:cs="Arial"/>
          <w:spacing w:val="-5"/>
          <w:sz w:val="16"/>
          <w:szCs w:val="16"/>
        </w:rPr>
        <w:t xml:space="preserve"> </w:t>
      </w:r>
      <w:r w:rsidRPr="007012E5">
        <w:rPr>
          <w:rFonts w:ascii="Verdana" w:hAnsi="Verdana" w:cs="Arial"/>
          <w:sz w:val="16"/>
          <w:szCs w:val="16"/>
        </w:rPr>
        <w:t>de</w:t>
      </w:r>
      <w:r w:rsidRPr="007012E5">
        <w:rPr>
          <w:rFonts w:ascii="Verdana" w:hAnsi="Verdana" w:cs="Arial"/>
          <w:spacing w:val="-5"/>
          <w:sz w:val="16"/>
          <w:szCs w:val="16"/>
        </w:rPr>
        <w:t xml:space="preserve"> </w:t>
      </w:r>
      <w:r w:rsidRPr="007012E5">
        <w:rPr>
          <w:rFonts w:ascii="Verdana" w:hAnsi="Verdana" w:cs="Arial"/>
          <w:sz w:val="16"/>
          <w:szCs w:val="16"/>
        </w:rPr>
        <w:t>asociación,</w:t>
      </w:r>
      <w:r w:rsidRPr="007012E5">
        <w:rPr>
          <w:rFonts w:ascii="Verdana" w:hAnsi="Verdana" w:cs="Arial"/>
          <w:spacing w:val="-4"/>
          <w:sz w:val="16"/>
          <w:szCs w:val="16"/>
        </w:rPr>
        <w:t xml:space="preserve"> </w:t>
      </w:r>
      <w:r w:rsidRPr="007012E5">
        <w:rPr>
          <w:rFonts w:ascii="Verdana" w:hAnsi="Verdana" w:cs="Arial"/>
          <w:sz w:val="16"/>
          <w:szCs w:val="16"/>
        </w:rPr>
        <w:t>o</w:t>
      </w:r>
      <w:r w:rsidRPr="007012E5">
        <w:rPr>
          <w:rFonts w:ascii="Verdana" w:hAnsi="Verdana" w:cs="Arial"/>
          <w:spacing w:val="-5"/>
          <w:sz w:val="16"/>
          <w:szCs w:val="16"/>
        </w:rPr>
        <w:t xml:space="preserve"> </w:t>
      </w:r>
      <w:r w:rsidRPr="007012E5">
        <w:rPr>
          <w:rFonts w:ascii="Verdana" w:hAnsi="Verdana" w:cs="Arial"/>
          <w:sz w:val="16"/>
          <w:szCs w:val="16"/>
        </w:rPr>
        <w:t>por</w:t>
      </w:r>
      <w:r w:rsidRPr="007012E5">
        <w:rPr>
          <w:rFonts w:ascii="Verdana" w:hAnsi="Verdana" w:cs="Arial"/>
          <w:spacing w:val="-4"/>
          <w:sz w:val="16"/>
          <w:szCs w:val="16"/>
        </w:rPr>
        <w:t xml:space="preserve"> </w:t>
      </w:r>
      <w:r w:rsidRPr="007012E5">
        <w:rPr>
          <w:rFonts w:ascii="Verdana" w:hAnsi="Verdana" w:cs="Arial"/>
          <w:sz w:val="16"/>
          <w:szCs w:val="16"/>
        </w:rPr>
        <w:t>la</w:t>
      </w:r>
      <w:r w:rsidRPr="007012E5">
        <w:rPr>
          <w:rFonts w:ascii="Verdana" w:hAnsi="Verdana" w:cs="Arial"/>
          <w:spacing w:val="-5"/>
          <w:sz w:val="16"/>
          <w:szCs w:val="16"/>
        </w:rPr>
        <w:t xml:space="preserve"> </w:t>
      </w:r>
      <w:r w:rsidRPr="007012E5">
        <w:rPr>
          <w:rFonts w:ascii="Verdana" w:hAnsi="Verdana" w:cs="Arial"/>
          <w:sz w:val="16"/>
          <w:szCs w:val="16"/>
        </w:rPr>
        <w:t>libertad</w:t>
      </w:r>
      <w:r w:rsidRPr="007012E5">
        <w:rPr>
          <w:rFonts w:ascii="Verdana" w:hAnsi="Verdana" w:cs="Arial"/>
          <w:spacing w:val="-4"/>
          <w:sz w:val="16"/>
          <w:szCs w:val="16"/>
        </w:rPr>
        <w:t xml:space="preserve"> </w:t>
      </w:r>
      <w:r w:rsidRPr="007012E5">
        <w:rPr>
          <w:rFonts w:ascii="Verdana" w:hAnsi="Verdana" w:cs="Arial"/>
          <w:sz w:val="16"/>
          <w:szCs w:val="16"/>
        </w:rPr>
        <w:t>de</w:t>
      </w:r>
      <w:r w:rsidRPr="007012E5">
        <w:rPr>
          <w:rFonts w:ascii="Verdana" w:hAnsi="Verdana" w:cs="Arial"/>
          <w:spacing w:val="-5"/>
          <w:sz w:val="16"/>
          <w:szCs w:val="16"/>
        </w:rPr>
        <w:t xml:space="preserve"> </w:t>
      </w:r>
      <w:r w:rsidRPr="007012E5">
        <w:rPr>
          <w:rFonts w:ascii="Verdana" w:hAnsi="Verdana" w:cs="Arial"/>
          <w:sz w:val="16"/>
          <w:szCs w:val="16"/>
        </w:rPr>
        <w:t>disposición</w:t>
      </w:r>
      <w:r w:rsidRPr="007012E5">
        <w:rPr>
          <w:rFonts w:ascii="Verdana" w:hAnsi="Verdana" w:cs="Arial"/>
          <w:spacing w:val="-4"/>
          <w:sz w:val="16"/>
          <w:szCs w:val="16"/>
        </w:rPr>
        <w:t xml:space="preserve"> </w:t>
      </w:r>
      <w:r w:rsidRPr="007012E5">
        <w:rPr>
          <w:rFonts w:ascii="Verdana" w:hAnsi="Verdana" w:cs="Arial"/>
          <w:sz w:val="16"/>
          <w:szCs w:val="16"/>
        </w:rPr>
        <w:t>de</w:t>
      </w:r>
      <w:r w:rsidRPr="007012E5">
        <w:rPr>
          <w:rFonts w:ascii="Verdana" w:hAnsi="Verdana" w:cs="Arial"/>
          <w:spacing w:val="-5"/>
          <w:sz w:val="16"/>
          <w:szCs w:val="16"/>
        </w:rPr>
        <w:t xml:space="preserve"> </w:t>
      </w:r>
      <w:r w:rsidRPr="007012E5">
        <w:rPr>
          <w:rFonts w:ascii="Verdana" w:hAnsi="Verdana" w:cs="Arial"/>
          <w:sz w:val="16"/>
          <w:szCs w:val="16"/>
        </w:rPr>
        <w:t>los</w:t>
      </w:r>
      <w:r w:rsidRPr="007012E5">
        <w:rPr>
          <w:rFonts w:ascii="Verdana" w:hAnsi="Verdana" w:cs="Arial"/>
          <w:spacing w:val="-5"/>
          <w:sz w:val="16"/>
          <w:szCs w:val="16"/>
        </w:rPr>
        <w:t xml:space="preserve"> </w:t>
      </w:r>
      <w:r w:rsidRPr="007012E5">
        <w:rPr>
          <w:rFonts w:ascii="Verdana" w:hAnsi="Verdana" w:cs="Arial"/>
          <w:sz w:val="16"/>
          <w:szCs w:val="16"/>
        </w:rPr>
        <w:t>bienes</w:t>
      </w:r>
      <w:r w:rsidRPr="007012E5">
        <w:rPr>
          <w:rFonts w:ascii="Verdana" w:hAnsi="Verdana" w:cs="Arial"/>
          <w:spacing w:val="-4"/>
          <w:sz w:val="16"/>
          <w:szCs w:val="16"/>
        </w:rPr>
        <w:t xml:space="preserve"> </w:t>
      </w:r>
      <w:r w:rsidRPr="007012E5">
        <w:rPr>
          <w:rFonts w:ascii="Verdana" w:hAnsi="Verdana" w:cs="Arial"/>
          <w:sz w:val="16"/>
          <w:szCs w:val="16"/>
        </w:rPr>
        <w:t>de</w:t>
      </w:r>
      <w:r w:rsidRPr="007012E5">
        <w:rPr>
          <w:rFonts w:ascii="Verdana" w:hAnsi="Verdana" w:cs="Arial"/>
          <w:spacing w:val="-5"/>
          <w:sz w:val="16"/>
          <w:szCs w:val="16"/>
        </w:rPr>
        <w:t xml:space="preserve"> </w:t>
      </w:r>
      <w:r w:rsidRPr="007012E5">
        <w:rPr>
          <w:rFonts w:ascii="Verdana" w:hAnsi="Verdana" w:cs="Arial"/>
          <w:sz w:val="16"/>
          <w:szCs w:val="16"/>
        </w:rPr>
        <w:t>los</w:t>
      </w:r>
      <w:r w:rsidRPr="007012E5">
        <w:rPr>
          <w:rFonts w:ascii="Verdana" w:hAnsi="Verdana" w:cs="Arial"/>
          <w:spacing w:val="-5"/>
          <w:sz w:val="16"/>
          <w:szCs w:val="16"/>
        </w:rPr>
        <w:t xml:space="preserve"> </w:t>
      </w:r>
      <w:r w:rsidRPr="007012E5">
        <w:rPr>
          <w:rFonts w:ascii="Verdana" w:hAnsi="Verdana" w:cs="Arial"/>
          <w:sz w:val="16"/>
          <w:szCs w:val="16"/>
        </w:rPr>
        <w:t>particulares,</w:t>
      </w:r>
      <w:r w:rsidRPr="007012E5">
        <w:rPr>
          <w:rFonts w:ascii="Verdana" w:hAnsi="Verdana" w:cs="Arial"/>
          <w:spacing w:val="-4"/>
          <w:sz w:val="16"/>
          <w:szCs w:val="16"/>
        </w:rPr>
        <w:t xml:space="preserve"> </w:t>
      </w:r>
      <w:r w:rsidRPr="007012E5">
        <w:rPr>
          <w:rFonts w:ascii="Verdana" w:hAnsi="Verdana" w:cs="Arial"/>
          <w:sz w:val="16"/>
          <w:szCs w:val="16"/>
        </w:rPr>
        <w:t>para</w:t>
      </w:r>
      <w:r w:rsidRPr="007012E5">
        <w:rPr>
          <w:rFonts w:ascii="Verdana" w:hAnsi="Verdana" w:cs="Arial"/>
          <w:spacing w:val="-4"/>
          <w:sz w:val="16"/>
          <w:szCs w:val="16"/>
        </w:rPr>
        <w:t xml:space="preserve"> </w:t>
      </w:r>
      <w:r w:rsidRPr="007012E5">
        <w:rPr>
          <w:rFonts w:ascii="Verdana" w:hAnsi="Verdana" w:cs="Arial"/>
          <w:sz w:val="16"/>
          <w:szCs w:val="16"/>
        </w:rPr>
        <w:t>la</w:t>
      </w:r>
      <w:r w:rsidRPr="007012E5">
        <w:rPr>
          <w:rFonts w:ascii="Verdana" w:hAnsi="Verdana" w:cs="Arial"/>
          <w:spacing w:val="-5"/>
          <w:sz w:val="16"/>
          <w:szCs w:val="16"/>
        </w:rPr>
        <w:t xml:space="preserve"> </w:t>
      </w:r>
      <w:r w:rsidRPr="007012E5">
        <w:rPr>
          <w:rFonts w:ascii="Verdana" w:hAnsi="Verdana" w:cs="Arial"/>
          <w:sz w:val="16"/>
          <w:szCs w:val="16"/>
        </w:rPr>
        <w:t>realización</w:t>
      </w:r>
      <w:r w:rsidRPr="007012E5">
        <w:rPr>
          <w:rFonts w:ascii="Verdana" w:hAnsi="Verdana" w:cs="Arial"/>
          <w:spacing w:val="-5"/>
          <w:sz w:val="16"/>
          <w:szCs w:val="16"/>
        </w:rPr>
        <w:t xml:space="preserve"> </w:t>
      </w:r>
      <w:r w:rsidRPr="007012E5">
        <w:rPr>
          <w:rFonts w:ascii="Verdana" w:hAnsi="Verdana" w:cs="Arial"/>
          <w:sz w:val="16"/>
          <w:szCs w:val="16"/>
        </w:rPr>
        <w:t>de</w:t>
      </w:r>
      <w:r w:rsidRPr="007012E5">
        <w:rPr>
          <w:rFonts w:ascii="Verdana" w:hAnsi="Verdana" w:cs="Arial"/>
          <w:spacing w:val="-5"/>
          <w:sz w:val="16"/>
          <w:szCs w:val="16"/>
        </w:rPr>
        <w:t xml:space="preserve"> </w:t>
      </w:r>
      <w:r w:rsidRPr="007012E5">
        <w:rPr>
          <w:rFonts w:ascii="Verdana" w:hAnsi="Verdana" w:cs="Arial"/>
          <w:sz w:val="16"/>
          <w:szCs w:val="16"/>
        </w:rPr>
        <w:t>fines</w:t>
      </w:r>
      <w:r w:rsidRPr="007012E5">
        <w:rPr>
          <w:rFonts w:ascii="Verdana" w:hAnsi="Verdana" w:cs="Arial"/>
          <w:spacing w:val="-4"/>
          <w:sz w:val="16"/>
          <w:szCs w:val="16"/>
        </w:rPr>
        <w:t xml:space="preserve"> </w:t>
      </w:r>
      <w:r w:rsidRPr="007012E5">
        <w:rPr>
          <w:rFonts w:ascii="Verdana" w:hAnsi="Verdana" w:cs="Arial"/>
          <w:sz w:val="16"/>
          <w:szCs w:val="16"/>
        </w:rPr>
        <w:t>altruistas</w:t>
      </w:r>
      <w:r w:rsidRPr="007012E5">
        <w:rPr>
          <w:rFonts w:ascii="Verdana" w:hAnsi="Verdana" w:cs="Arial"/>
          <w:spacing w:val="1"/>
          <w:sz w:val="16"/>
          <w:szCs w:val="16"/>
        </w:rPr>
        <w:t xml:space="preserve"> </w:t>
      </w:r>
      <w:r w:rsidRPr="007012E5">
        <w:rPr>
          <w:rFonts w:ascii="Verdana" w:hAnsi="Verdana" w:cs="Arial"/>
          <w:sz w:val="16"/>
          <w:szCs w:val="16"/>
        </w:rPr>
        <w:t>o</w:t>
      </w:r>
      <w:r w:rsidRPr="007012E5">
        <w:rPr>
          <w:rFonts w:ascii="Verdana" w:hAnsi="Verdana" w:cs="Arial"/>
          <w:spacing w:val="-2"/>
          <w:sz w:val="16"/>
          <w:szCs w:val="16"/>
        </w:rPr>
        <w:t xml:space="preserve"> </w:t>
      </w:r>
      <w:r w:rsidRPr="007012E5">
        <w:rPr>
          <w:rFonts w:ascii="Verdana" w:hAnsi="Verdana" w:cs="Arial"/>
          <w:sz w:val="16"/>
          <w:szCs w:val="16"/>
        </w:rPr>
        <w:t>de</w:t>
      </w:r>
      <w:r w:rsidRPr="007012E5">
        <w:rPr>
          <w:rFonts w:ascii="Verdana" w:hAnsi="Verdana" w:cs="Arial"/>
          <w:spacing w:val="-2"/>
          <w:sz w:val="16"/>
          <w:szCs w:val="16"/>
        </w:rPr>
        <w:t xml:space="preserve"> </w:t>
      </w:r>
      <w:r w:rsidRPr="007012E5">
        <w:rPr>
          <w:rFonts w:ascii="Verdana" w:hAnsi="Verdana" w:cs="Arial"/>
          <w:sz w:val="16"/>
          <w:szCs w:val="16"/>
        </w:rPr>
        <w:t>beneficio</w:t>
      </w:r>
      <w:r w:rsidRPr="007012E5">
        <w:rPr>
          <w:rFonts w:ascii="Verdana" w:hAnsi="Verdana" w:cs="Arial"/>
          <w:spacing w:val="-2"/>
          <w:sz w:val="16"/>
          <w:szCs w:val="16"/>
        </w:rPr>
        <w:t xml:space="preserve"> </w:t>
      </w:r>
      <w:r w:rsidRPr="007012E5">
        <w:rPr>
          <w:rFonts w:ascii="Verdana" w:hAnsi="Verdana" w:cs="Arial"/>
          <w:sz w:val="16"/>
          <w:szCs w:val="16"/>
        </w:rPr>
        <w:t>comunitario;</w:t>
      </w:r>
      <w:r w:rsidRPr="007012E5">
        <w:rPr>
          <w:rFonts w:ascii="Verdana" w:hAnsi="Verdana" w:cs="Arial"/>
          <w:spacing w:val="-2"/>
          <w:sz w:val="16"/>
          <w:szCs w:val="16"/>
        </w:rPr>
        <w:t xml:space="preserve"> </w:t>
      </w:r>
      <w:r w:rsidRPr="007012E5">
        <w:rPr>
          <w:rFonts w:ascii="Verdana" w:hAnsi="Verdana" w:cs="Arial"/>
          <w:sz w:val="16"/>
          <w:szCs w:val="16"/>
        </w:rPr>
        <w:t>de</w:t>
      </w:r>
      <w:r w:rsidRPr="007012E5">
        <w:rPr>
          <w:rFonts w:ascii="Verdana" w:hAnsi="Verdana" w:cs="Arial"/>
          <w:spacing w:val="-2"/>
          <w:sz w:val="16"/>
          <w:szCs w:val="16"/>
        </w:rPr>
        <w:t xml:space="preserve"> </w:t>
      </w:r>
      <w:r w:rsidRPr="007012E5">
        <w:rPr>
          <w:rFonts w:ascii="Verdana" w:hAnsi="Verdana" w:cs="Arial"/>
          <w:sz w:val="16"/>
          <w:szCs w:val="16"/>
        </w:rPr>
        <w:t>lo</w:t>
      </w:r>
      <w:r w:rsidRPr="007012E5">
        <w:rPr>
          <w:rFonts w:ascii="Verdana" w:hAnsi="Verdana" w:cs="Arial"/>
          <w:spacing w:val="-2"/>
          <w:sz w:val="16"/>
          <w:szCs w:val="16"/>
        </w:rPr>
        <w:t xml:space="preserve"> </w:t>
      </w:r>
      <w:r w:rsidRPr="007012E5">
        <w:rPr>
          <w:rFonts w:ascii="Verdana" w:hAnsi="Verdana" w:cs="Arial"/>
          <w:sz w:val="16"/>
          <w:szCs w:val="16"/>
        </w:rPr>
        <w:t>que</w:t>
      </w:r>
      <w:r w:rsidRPr="007012E5">
        <w:rPr>
          <w:rFonts w:ascii="Verdana" w:hAnsi="Verdana" w:cs="Arial"/>
          <w:spacing w:val="-2"/>
          <w:sz w:val="16"/>
          <w:szCs w:val="16"/>
        </w:rPr>
        <w:t xml:space="preserve"> </w:t>
      </w:r>
      <w:r w:rsidRPr="007012E5">
        <w:rPr>
          <w:rFonts w:ascii="Verdana" w:hAnsi="Verdana" w:cs="Arial"/>
          <w:sz w:val="16"/>
          <w:szCs w:val="16"/>
        </w:rPr>
        <w:t>se</w:t>
      </w:r>
      <w:r w:rsidRPr="007012E5">
        <w:rPr>
          <w:rFonts w:ascii="Verdana" w:hAnsi="Verdana" w:cs="Arial"/>
          <w:spacing w:val="-1"/>
          <w:sz w:val="16"/>
          <w:szCs w:val="16"/>
        </w:rPr>
        <w:t xml:space="preserve"> </w:t>
      </w:r>
      <w:r w:rsidRPr="007012E5">
        <w:rPr>
          <w:rFonts w:ascii="Verdana" w:hAnsi="Verdana" w:cs="Arial"/>
          <w:sz w:val="16"/>
          <w:szCs w:val="16"/>
        </w:rPr>
        <w:t>infiere</w:t>
      </w:r>
      <w:r w:rsidRPr="007012E5">
        <w:rPr>
          <w:rFonts w:ascii="Verdana" w:hAnsi="Verdana" w:cs="Arial"/>
          <w:spacing w:val="-2"/>
          <w:sz w:val="16"/>
          <w:szCs w:val="16"/>
        </w:rPr>
        <w:t xml:space="preserve"> </w:t>
      </w:r>
      <w:r w:rsidRPr="007012E5">
        <w:rPr>
          <w:rFonts w:ascii="Verdana" w:hAnsi="Verdana" w:cs="Arial"/>
          <w:sz w:val="16"/>
          <w:szCs w:val="16"/>
        </w:rPr>
        <w:t>que</w:t>
      </w:r>
      <w:r w:rsidRPr="007012E5">
        <w:rPr>
          <w:rFonts w:ascii="Verdana" w:hAnsi="Verdana" w:cs="Arial"/>
          <w:spacing w:val="-2"/>
          <w:sz w:val="16"/>
          <w:szCs w:val="16"/>
        </w:rPr>
        <w:t xml:space="preserve"> </w:t>
      </w:r>
      <w:r w:rsidRPr="007012E5">
        <w:rPr>
          <w:rFonts w:ascii="Verdana" w:hAnsi="Verdana" w:cs="Arial"/>
          <w:sz w:val="16"/>
          <w:szCs w:val="16"/>
        </w:rPr>
        <w:t>no</w:t>
      </w:r>
      <w:r w:rsidRPr="007012E5">
        <w:rPr>
          <w:rFonts w:ascii="Verdana" w:hAnsi="Verdana" w:cs="Arial"/>
          <w:spacing w:val="-2"/>
          <w:sz w:val="16"/>
          <w:szCs w:val="16"/>
        </w:rPr>
        <w:t xml:space="preserve"> </w:t>
      </w:r>
      <w:r w:rsidRPr="007012E5">
        <w:rPr>
          <w:rFonts w:ascii="Verdana" w:hAnsi="Verdana" w:cs="Arial"/>
          <w:sz w:val="16"/>
          <w:szCs w:val="16"/>
        </w:rPr>
        <w:t>contemplan</w:t>
      </w:r>
      <w:r w:rsidRPr="007012E5">
        <w:rPr>
          <w:rFonts w:ascii="Verdana" w:hAnsi="Verdana" w:cs="Arial"/>
          <w:spacing w:val="-2"/>
          <w:sz w:val="16"/>
          <w:szCs w:val="16"/>
        </w:rPr>
        <w:t xml:space="preserve"> </w:t>
      </w:r>
      <w:r w:rsidRPr="007012E5">
        <w:rPr>
          <w:rFonts w:ascii="Verdana" w:hAnsi="Verdana" w:cs="Arial"/>
          <w:sz w:val="16"/>
          <w:szCs w:val="16"/>
        </w:rPr>
        <w:t>dentro</w:t>
      </w:r>
      <w:r w:rsidRPr="007012E5">
        <w:rPr>
          <w:rFonts w:ascii="Verdana" w:hAnsi="Verdana" w:cs="Arial"/>
          <w:spacing w:val="-2"/>
          <w:sz w:val="16"/>
          <w:szCs w:val="16"/>
        </w:rPr>
        <w:t xml:space="preserve"> </w:t>
      </w:r>
      <w:r w:rsidRPr="007012E5">
        <w:rPr>
          <w:rFonts w:ascii="Verdana" w:hAnsi="Verdana" w:cs="Arial"/>
          <w:sz w:val="16"/>
          <w:szCs w:val="16"/>
        </w:rPr>
        <w:t>de</w:t>
      </w:r>
      <w:r w:rsidRPr="007012E5">
        <w:rPr>
          <w:rFonts w:ascii="Verdana" w:hAnsi="Verdana" w:cs="Arial"/>
          <w:spacing w:val="-2"/>
          <w:sz w:val="16"/>
          <w:szCs w:val="16"/>
        </w:rPr>
        <w:t xml:space="preserve"> </w:t>
      </w:r>
      <w:r w:rsidRPr="007012E5">
        <w:rPr>
          <w:rFonts w:ascii="Verdana" w:hAnsi="Verdana" w:cs="Arial"/>
          <w:sz w:val="16"/>
          <w:szCs w:val="16"/>
        </w:rPr>
        <w:t>su</w:t>
      </w:r>
      <w:r w:rsidRPr="007012E5">
        <w:rPr>
          <w:rFonts w:ascii="Verdana" w:hAnsi="Verdana" w:cs="Arial"/>
          <w:spacing w:val="-1"/>
          <w:sz w:val="16"/>
          <w:szCs w:val="16"/>
        </w:rPr>
        <w:t xml:space="preserve"> </w:t>
      </w:r>
      <w:r w:rsidRPr="007012E5">
        <w:rPr>
          <w:rFonts w:ascii="Verdana" w:hAnsi="Verdana" w:cs="Arial"/>
          <w:sz w:val="16"/>
          <w:szCs w:val="16"/>
        </w:rPr>
        <w:t>objeto</w:t>
      </w:r>
      <w:r w:rsidRPr="007012E5">
        <w:rPr>
          <w:rFonts w:ascii="Verdana" w:hAnsi="Verdana" w:cs="Arial"/>
          <w:spacing w:val="-2"/>
          <w:sz w:val="16"/>
          <w:szCs w:val="16"/>
        </w:rPr>
        <w:t xml:space="preserve"> </w:t>
      </w:r>
      <w:r w:rsidRPr="007012E5">
        <w:rPr>
          <w:rFonts w:ascii="Verdana" w:hAnsi="Verdana" w:cs="Arial"/>
          <w:sz w:val="16"/>
          <w:szCs w:val="16"/>
        </w:rPr>
        <w:t>principal</w:t>
      </w:r>
      <w:r w:rsidRPr="007012E5">
        <w:rPr>
          <w:rFonts w:ascii="Verdana" w:hAnsi="Verdana" w:cs="Arial"/>
          <w:spacing w:val="-2"/>
          <w:sz w:val="16"/>
          <w:szCs w:val="16"/>
        </w:rPr>
        <w:t xml:space="preserve"> </w:t>
      </w:r>
      <w:r w:rsidRPr="007012E5">
        <w:rPr>
          <w:rFonts w:ascii="Verdana" w:hAnsi="Verdana" w:cs="Arial"/>
          <w:sz w:val="16"/>
          <w:szCs w:val="16"/>
        </w:rPr>
        <w:t>el</w:t>
      </w:r>
      <w:r w:rsidRPr="007012E5">
        <w:rPr>
          <w:rFonts w:ascii="Verdana" w:hAnsi="Verdana" w:cs="Arial"/>
          <w:spacing w:val="-2"/>
          <w:sz w:val="16"/>
          <w:szCs w:val="16"/>
        </w:rPr>
        <w:t xml:space="preserve"> </w:t>
      </w:r>
      <w:r w:rsidRPr="007012E5">
        <w:rPr>
          <w:rFonts w:ascii="Verdana" w:hAnsi="Verdana" w:cs="Arial"/>
          <w:sz w:val="16"/>
          <w:szCs w:val="16"/>
        </w:rPr>
        <w:t>desarrollo</w:t>
      </w:r>
      <w:r w:rsidRPr="007012E5">
        <w:rPr>
          <w:rFonts w:ascii="Verdana" w:hAnsi="Verdana" w:cs="Arial"/>
          <w:spacing w:val="-2"/>
          <w:sz w:val="16"/>
          <w:szCs w:val="16"/>
        </w:rPr>
        <w:t xml:space="preserve"> </w:t>
      </w:r>
      <w:r w:rsidRPr="007012E5">
        <w:rPr>
          <w:rFonts w:ascii="Verdana" w:hAnsi="Verdana" w:cs="Arial"/>
          <w:sz w:val="16"/>
          <w:szCs w:val="16"/>
        </w:rPr>
        <w:t>de</w:t>
      </w:r>
      <w:r w:rsidRPr="007012E5">
        <w:rPr>
          <w:rFonts w:ascii="Verdana" w:hAnsi="Verdana" w:cs="Arial"/>
          <w:spacing w:val="-2"/>
          <w:sz w:val="16"/>
          <w:szCs w:val="16"/>
        </w:rPr>
        <w:t xml:space="preserve"> </w:t>
      </w:r>
      <w:r w:rsidRPr="007012E5">
        <w:rPr>
          <w:rFonts w:ascii="Verdana" w:hAnsi="Verdana" w:cs="Arial"/>
          <w:sz w:val="16"/>
          <w:szCs w:val="16"/>
        </w:rPr>
        <w:t>actividades</w:t>
      </w:r>
      <w:r w:rsidRPr="007012E5">
        <w:rPr>
          <w:rFonts w:ascii="Verdana" w:hAnsi="Verdana" w:cs="Arial"/>
          <w:spacing w:val="-13"/>
          <w:sz w:val="16"/>
          <w:szCs w:val="16"/>
        </w:rPr>
        <w:t xml:space="preserve"> </w:t>
      </w:r>
      <w:r w:rsidRPr="007012E5">
        <w:rPr>
          <w:rFonts w:ascii="Verdana" w:hAnsi="Verdana" w:cs="Arial"/>
          <w:sz w:val="16"/>
          <w:szCs w:val="16"/>
        </w:rPr>
        <w:t>mercantiles</w:t>
      </w:r>
      <w:r w:rsidRPr="007012E5">
        <w:rPr>
          <w:rFonts w:ascii="Verdana" w:hAnsi="Verdana" w:cs="Arial"/>
          <w:color w:val="000000" w:themeColor="text1"/>
          <w:sz w:val="16"/>
          <w:szCs w:val="16"/>
          <w:lang w:val="es-ES_tradnl"/>
        </w:rPr>
        <w:t>”</w:t>
      </w:r>
      <w:r w:rsidRPr="007012E5">
        <w:rPr>
          <w:rFonts w:ascii="Verdana" w:hAnsi="Verdana" w:cs="Arial"/>
          <w:sz w:val="16"/>
          <w:szCs w:val="16"/>
        </w:rPr>
        <w:t xml:space="preserve"> y, por lo tanto, </w:t>
      </w:r>
      <w:r w:rsidRPr="007012E5">
        <w:rPr>
          <w:rFonts w:ascii="Verdana" w:hAnsi="Verdana" w:cs="Arial"/>
          <w:color w:val="000000" w:themeColor="text1"/>
          <w:sz w:val="16"/>
          <w:szCs w:val="16"/>
          <w:lang w:val="es-ES_tradnl"/>
        </w:rPr>
        <w:t>“</w:t>
      </w:r>
      <w:r w:rsidRPr="007012E5">
        <w:rPr>
          <w:rFonts w:ascii="Verdana" w:hAnsi="Verdana" w:cs="Arial"/>
          <w:sz w:val="16"/>
          <w:szCs w:val="16"/>
        </w:rPr>
        <w:t>La ausencia de lucro es una de sus características fundamentales, lo cual significa que no existe el reparto de utilidades o remanentes generados en el</w:t>
      </w:r>
      <w:r w:rsidRPr="007012E5">
        <w:rPr>
          <w:rFonts w:ascii="Verdana" w:hAnsi="Verdana" w:cs="Arial"/>
          <w:spacing w:val="-32"/>
          <w:sz w:val="16"/>
          <w:szCs w:val="16"/>
        </w:rPr>
        <w:t xml:space="preserve"> </w:t>
      </w:r>
      <w:r w:rsidRPr="007012E5">
        <w:rPr>
          <w:rFonts w:ascii="Verdana" w:hAnsi="Verdana" w:cs="Arial"/>
          <w:spacing w:val="-1"/>
          <w:sz w:val="16"/>
          <w:szCs w:val="16"/>
        </w:rPr>
        <w:t>desarrollo</w:t>
      </w:r>
      <w:r w:rsidRPr="007012E5">
        <w:rPr>
          <w:rFonts w:ascii="Verdana" w:hAnsi="Verdana" w:cs="Arial"/>
          <w:spacing w:val="-9"/>
          <w:sz w:val="16"/>
          <w:szCs w:val="16"/>
        </w:rPr>
        <w:t xml:space="preserve"> </w:t>
      </w:r>
      <w:r w:rsidRPr="007012E5">
        <w:rPr>
          <w:rFonts w:ascii="Verdana" w:hAnsi="Verdana" w:cs="Arial"/>
          <w:spacing w:val="-1"/>
          <w:sz w:val="16"/>
          <w:szCs w:val="16"/>
        </w:rPr>
        <w:t>de</w:t>
      </w:r>
      <w:r w:rsidRPr="007012E5">
        <w:rPr>
          <w:rFonts w:ascii="Verdana" w:hAnsi="Verdana" w:cs="Arial"/>
          <w:spacing w:val="-9"/>
          <w:sz w:val="16"/>
          <w:szCs w:val="16"/>
        </w:rPr>
        <w:t xml:space="preserve"> </w:t>
      </w:r>
      <w:r w:rsidRPr="007012E5">
        <w:rPr>
          <w:rFonts w:ascii="Verdana" w:hAnsi="Verdana" w:cs="Arial"/>
          <w:spacing w:val="-1"/>
          <w:sz w:val="16"/>
          <w:szCs w:val="16"/>
        </w:rPr>
        <w:t>sus</w:t>
      </w:r>
      <w:r w:rsidRPr="007012E5">
        <w:rPr>
          <w:rFonts w:ascii="Verdana" w:hAnsi="Verdana" w:cs="Arial"/>
          <w:spacing w:val="-9"/>
          <w:sz w:val="16"/>
          <w:szCs w:val="16"/>
        </w:rPr>
        <w:t xml:space="preserve"> </w:t>
      </w:r>
      <w:r w:rsidRPr="007012E5">
        <w:rPr>
          <w:rFonts w:ascii="Verdana" w:hAnsi="Verdana" w:cs="Arial"/>
          <w:spacing w:val="-1"/>
          <w:sz w:val="16"/>
          <w:szCs w:val="16"/>
        </w:rPr>
        <w:t>objetivos,</w:t>
      </w:r>
      <w:r w:rsidRPr="007012E5">
        <w:rPr>
          <w:rFonts w:ascii="Verdana" w:hAnsi="Verdana" w:cs="Arial"/>
          <w:spacing w:val="-9"/>
          <w:sz w:val="16"/>
          <w:szCs w:val="16"/>
        </w:rPr>
        <w:t xml:space="preserve"> </w:t>
      </w:r>
      <w:r w:rsidRPr="007012E5">
        <w:rPr>
          <w:rFonts w:ascii="Verdana" w:hAnsi="Verdana" w:cs="Arial"/>
          <w:spacing w:val="-1"/>
          <w:sz w:val="16"/>
          <w:szCs w:val="16"/>
        </w:rPr>
        <w:t>ni</w:t>
      </w:r>
      <w:r w:rsidRPr="007012E5">
        <w:rPr>
          <w:rFonts w:ascii="Verdana" w:hAnsi="Verdana" w:cs="Arial"/>
          <w:spacing w:val="-9"/>
          <w:sz w:val="16"/>
          <w:szCs w:val="16"/>
        </w:rPr>
        <w:t xml:space="preserve"> </w:t>
      </w:r>
      <w:r w:rsidRPr="007012E5">
        <w:rPr>
          <w:rFonts w:ascii="Verdana" w:hAnsi="Verdana" w:cs="Arial"/>
          <w:spacing w:val="-1"/>
          <w:sz w:val="16"/>
          <w:szCs w:val="16"/>
        </w:rPr>
        <w:t>es</w:t>
      </w:r>
      <w:r w:rsidRPr="007012E5">
        <w:rPr>
          <w:rFonts w:ascii="Verdana" w:hAnsi="Verdana" w:cs="Arial"/>
          <w:spacing w:val="-9"/>
          <w:sz w:val="16"/>
          <w:szCs w:val="16"/>
        </w:rPr>
        <w:t xml:space="preserve"> </w:t>
      </w:r>
      <w:r w:rsidRPr="007012E5">
        <w:rPr>
          <w:rFonts w:ascii="Verdana" w:hAnsi="Verdana" w:cs="Arial"/>
          <w:spacing w:val="-1"/>
          <w:sz w:val="16"/>
          <w:szCs w:val="16"/>
        </w:rPr>
        <w:t>viable</w:t>
      </w:r>
      <w:r w:rsidRPr="007012E5">
        <w:rPr>
          <w:rFonts w:ascii="Verdana" w:hAnsi="Verdana" w:cs="Arial"/>
          <w:spacing w:val="-9"/>
          <w:sz w:val="16"/>
          <w:szCs w:val="16"/>
        </w:rPr>
        <w:t xml:space="preserve"> </w:t>
      </w:r>
      <w:r w:rsidRPr="007012E5">
        <w:rPr>
          <w:rFonts w:ascii="Verdana" w:hAnsi="Verdana" w:cs="Arial"/>
          <w:spacing w:val="-1"/>
          <w:sz w:val="16"/>
          <w:szCs w:val="16"/>
        </w:rPr>
        <w:t>el</w:t>
      </w:r>
      <w:r w:rsidRPr="007012E5">
        <w:rPr>
          <w:rFonts w:ascii="Verdana" w:hAnsi="Verdana" w:cs="Arial"/>
          <w:spacing w:val="-9"/>
          <w:sz w:val="16"/>
          <w:szCs w:val="16"/>
        </w:rPr>
        <w:t xml:space="preserve"> </w:t>
      </w:r>
      <w:r w:rsidRPr="007012E5">
        <w:rPr>
          <w:rFonts w:ascii="Verdana" w:hAnsi="Verdana" w:cs="Arial"/>
          <w:spacing w:val="-1"/>
          <w:sz w:val="16"/>
          <w:szCs w:val="16"/>
        </w:rPr>
        <w:t>reembolso</w:t>
      </w:r>
      <w:r w:rsidRPr="007012E5">
        <w:rPr>
          <w:rFonts w:ascii="Verdana" w:hAnsi="Verdana" w:cs="Arial"/>
          <w:spacing w:val="-9"/>
          <w:sz w:val="16"/>
          <w:szCs w:val="16"/>
        </w:rPr>
        <w:t xml:space="preserve"> </w:t>
      </w:r>
      <w:r w:rsidRPr="007012E5">
        <w:rPr>
          <w:rFonts w:ascii="Verdana" w:hAnsi="Verdana" w:cs="Arial"/>
          <w:spacing w:val="-1"/>
          <w:sz w:val="16"/>
          <w:szCs w:val="16"/>
        </w:rPr>
        <w:t>de</w:t>
      </w:r>
      <w:r w:rsidRPr="007012E5">
        <w:rPr>
          <w:rFonts w:ascii="Verdana" w:hAnsi="Verdana" w:cs="Arial"/>
          <w:spacing w:val="-9"/>
          <w:sz w:val="16"/>
          <w:szCs w:val="16"/>
        </w:rPr>
        <w:t xml:space="preserve"> </w:t>
      </w:r>
      <w:r w:rsidRPr="007012E5">
        <w:rPr>
          <w:rFonts w:ascii="Verdana" w:hAnsi="Verdana" w:cs="Arial"/>
          <w:spacing w:val="-1"/>
          <w:sz w:val="16"/>
          <w:szCs w:val="16"/>
        </w:rPr>
        <w:t>los</w:t>
      </w:r>
      <w:r w:rsidRPr="007012E5">
        <w:rPr>
          <w:rFonts w:ascii="Verdana" w:hAnsi="Verdana" w:cs="Arial"/>
          <w:spacing w:val="-8"/>
          <w:sz w:val="16"/>
          <w:szCs w:val="16"/>
        </w:rPr>
        <w:t xml:space="preserve"> </w:t>
      </w:r>
      <w:r w:rsidRPr="007012E5">
        <w:rPr>
          <w:rFonts w:ascii="Verdana" w:hAnsi="Verdana" w:cs="Arial"/>
          <w:spacing w:val="-1"/>
          <w:sz w:val="16"/>
          <w:szCs w:val="16"/>
        </w:rPr>
        <w:t>bienes</w:t>
      </w:r>
      <w:r w:rsidRPr="007012E5">
        <w:rPr>
          <w:rFonts w:ascii="Verdana" w:hAnsi="Verdana" w:cs="Arial"/>
          <w:spacing w:val="-9"/>
          <w:sz w:val="16"/>
          <w:szCs w:val="16"/>
        </w:rPr>
        <w:t xml:space="preserve"> </w:t>
      </w:r>
      <w:r w:rsidRPr="007012E5">
        <w:rPr>
          <w:rFonts w:ascii="Verdana" w:hAnsi="Verdana" w:cs="Arial"/>
          <w:spacing w:val="-1"/>
          <w:sz w:val="16"/>
          <w:szCs w:val="16"/>
        </w:rPr>
        <w:t>o</w:t>
      </w:r>
      <w:r w:rsidRPr="007012E5">
        <w:rPr>
          <w:rFonts w:ascii="Verdana" w:hAnsi="Verdana" w:cs="Arial"/>
          <w:spacing w:val="-9"/>
          <w:sz w:val="16"/>
          <w:szCs w:val="16"/>
        </w:rPr>
        <w:t xml:space="preserve"> </w:t>
      </w:r>
      <w:r w:rsidRPr="007012E5">
        <w:rPr>
          <w:rFonts w:ascii="Verdana" w:hAnsi="Verdana" w:cs="Arial"/>
          <w:spacing w:val="-1"/>
          <w:sz w:val="16"/>
          <w:szCs w:val="16"/>
        </w:rPr>
        <w:t>dineros</w:t>
      </w:r>
      <w:r w:rsidRPr="007012E5">
        <w:rPr>
          <w:rFonts w:ascii="Verdana" w:hAnsi="Verdana" w:cs="Arial"/>
          <w:spacing w:val="-9"/>
          <w:sz w:val="16"/>
          <w:szCs w:val="16"/>
        </w:rPr>
        <w:t xml:space="preserve"> </w:t>
      </w:r>
      <w:r w:rsidRPr="007012E5">
        <w:rPr>
          <w:rFonts w:ascii="Verdana" w:hAnsi="Verdana" w:cs="Arial"/>
          <w:spacing w:val="-1"/>
          <w:sz w:val="16"/>
          <w:szCs w:val="16"/>
        </w:rPr>
        <w:t>aportados</w:t>
      </w:r>
      <w:r w:rsidRPr="007012E5">
        <w:rPr>
          <w:rFonts w:ascii="Verdana" w:hAnsi="Verdana" w:cs="Arial"/>
          <w:spacing w:val="-9"/>
          <w:sz w:val="16"/>
          <w:szCs w:val="16"/>
        </w:rPr>
        <w:t xml:space="preserve"> </w:t>
      </w:r>
      <w:r w:rsidRPr="007012E5">
        <w:rPr>
          <w:rFonts w:ascii="Verdana" w:hAnsi="Verdana" w:cs="Arial"/>
          <w:spacing w:val="-1"/>
          <w:sz w:val="16"/>
          <w:szCs w:val="16"/>
        </w:rPr>
        <w:t>a</w:t>
      </w:r>
      <w:r w:rsidRPr="007012E5">
        <w:rPr>
          <w:rFonts w:ascii="Verdana" w:hAnsi="Verdana" w:cs="Arial"/>
          <w:spacing w:val="-9"/>
          <w:sz w:val="16"/>
          <w:szCs w:val="16"/>
        </w:rPr>
        <w:t xml:space="preserve"> </w:t>
      </w:r>
      <w:r w:rsidRPr="007012E5">
        <w:rPr>
          <w:rFonts w:ascii="Verdana" w:hAnsi="Verdana" w:cs="Arial"/>
          <w:spacing w:val="-1"/>
          <w:sz w:val="16"/>
          <w:szCs w:val="16"/>
        </w:rPr>
        <w:t>la</w:t>
      </w:r>
      <w:r w:rsidRPr="007012E5">
        <w:rPr>
          <w:rFonts w:ascii="Verdana" w:hAnsi="Verdana" w:cs="Arial"/>
          <w:spacing w:val="-9"/>
          <w:sz w:val="16"/>
          <w:szCs w:val="16"/>
        </w:rPr>
        <w:t xml:space="preserve"> </w:t>
      </w:r>
      <w:r w:rsidRPr="007012E5">
        <w:rPr>
          <w:rFonts w:ascii="Verdana" w:hAnsi="Verdana" w:cs="Arial"/>
          <w:spacing w:val="-1"/>
          <w:sz w:val="16"/>
          <w:szCs w:val="16"/>
        </w:rPr>
        <w:t>entidad</w:t>
      </w:r>
      <w:r w:rsidRPr="007012E5">
        <w:rPr>
          <w:rFonts w:ascii="Verdana" w:hAnsi="Verdana" w:cs="Arial"/>
          <w:sz w:val="16"/>
          <w:szCs w:val="16"/>
        </w:rPr>
        <w:t>.</w:t>
      </w:r>
    </w:p>
    <w:p w:rsidRPr="007012E5" w:rsidR="00006335" w:rsidP="00006335" w:rsidRDefault="00006335" w14:paraId="334514A7" w14:textId="77777777">
      <w:pPr>
        <w:spacing w:after="0" w:line="240" w:lineRule="auto"/>
        <w:ind w:firstLine="707"/>
        <w:contextualSpacing/>
        <w:jc w:val="both"/>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numPicBullet w:numPicBulletId="0">
    <mc:AlternateContent>
      <mc:Choice Requires="v">
        <w:pict>
          <v:shapetype id="_x0000_t75" coordsize="21600,21600" filled="f" stroked="f" o:spt="75" o:preferrelative="t" path="m@4@5l@4@11@9@11@9@5xe" w14:anchorId="32A3AE3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2021918395" style="width:11.4pt;height:11.4pt;visibility:visible;mso-wrap-style:square" o:spid="_x0000_i1025" type="#_x0000_t75">
            <v:imagedata o:title="" r:id="rId1"/>
          </v:shape>
        </w:pict>
      </mc:Choice>
      <mc:Fallback>
        <w:drawing>
          <wp:inline distT="0" distB="0" distL="0" distR="0" wp14:anchorId="1B102734">
            <wp:extent cx="144780" cy="144780"/>
            <wp:effectExtent l="0" t="0" r="0" b="0"/>
            <wp:docPr id="2021918395" name="Imagen 2021918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7B3E73C6"/>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E223F3D"/>
    <w:multiLevelType w:val="hybridMultilevel"/>
    <w:tmpl w:val="851029C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360" w:hanging="360"/>
      </w:pPr>
      <w:rPr>
        <w:rFonts w:hint="default" w:ascii="Symbol" w:hAnsi="Symbol"/>
      </w:rPr>
    </w:lvl>
    <w:lvl w:ilvl="1" w:tplc="040A0003" w:tentative="1">
      <w:start w:val="1"/>
      <w:numFmt w:val="bullet"/>
      <w:lvlText w:val="o"/>
      <w:lvlJc w:val="left"/>
      <w:pPr>
        <w:ind w:left="1080" w:hanging="360"/>
      </w:pPr>
      <w:rPr>
        <w:rFonts w:hint="default" w:ascii="Courier New" w:hAnsi="Courier New" w:cs="Courier New"/>
      </w:rPr>
    </w:lvl>
    <w:lvl w:ilvl="2" w:tplc="040A0005" w:tentative="1">
      <w:start w:val="1"/>
      <w:numFmt w:val="bullet"/>
      <w:lvlText w:val=""/>
      <w:lvlJc w:val="left"/>
      <w:pPr>
        <w:ind w:left="1800" w:hanging="360"/>
      </w:pPr>
      <w:rPr>
        <w:rFonts w:hint="default" w:ascii="Wingdings" w:hAnsi="Wingdings"/>
      </w:rPr>
    </w:lvl>
    <w:lvl w:ilvl="3" w:tplc="040A0001" w:tentative="1">
      <w:start w:val="1"/>
      <w:numFmt w:val="bullet"/>
      <w:lvlText w:val=""/>
      <w:lvlJc w:val="left"/>
      <w:pPr>
        <w:ind w:left="2520" w:hanging="360"/>
      </w:pPr>
      <w:rPr>
        <w:rFonts w:hint="default" w:ascii="Symbol" w:hAnsi="Symbol"/>
      </w:rPr>
    </w:lvl>
    <w:lvl w:ilvl="4" w:tplc="040A0003" w:tentative="1">
      <w:start w:val="1"/>
      <w:numFmt w:val="bullet"/>
      <w:lvlText w:val="o"/>
      <w:lvlJc w:val="left"/>
      <w:pPr>
        <w:ind w:left="3240" w:hanging="360"/>
      </w:pPr>
      <w:rPr>
        <w:rFonts w:hint="default" w:ascii="Courier New" w:hAnsi="Courier New" w:cs="Courier New"/>
      </w:rPr>
    </w:lvl>
    <w:lvl w:ilvl="5" w:tplc="040A0005" w:tentative="1">
      <w:start w:val="1"/>
      <w:numFmt w:val="bullet"/>
      <w:lvlText w:val=""/>
      <w:lvlJc w:val="left"/>
      <w:pPr>
        <w:ind w:left="3960" w:hanging="360"/>
      </w:pPr>
      <w:rPr>
        <w:rFonts w:hint="default" w:ascii="Wingdings" w:hAnsi="Wingdings"/>
      </w:rPr>
    </w:lvl>
    <w:lvl w:ilvl="6" w:tplc="040A0001" w:tentative="1">
      <w:start w:val="1"/>
      <w:numFmt w:val="bullet"/>
      <w:lvlText w:val=""/>
      <w:lvlJc w:val="left"/>
      <w:pPr>
        <w:ind w:left="4680" w:hanging="360"/>
      </w:pPr>
      <w:rPr>
        <w:rFonts w:hint="default" w:ascii="Symbol" w:hAnsi="Symbol"/>
      </w:rPr>
    </w:lvl>
    <w:lvl w:ilvl="7" w:tplc="040A0003" w:tentative="1">
      <w:start w:val="1"/>
      <w:numFmt w:val="bullet"/>
      <w:lvlText w:val="o"/>
      <w:lvlJc w:val="left"/>
      <w:pPr>
        <w:ind w:left="5400" w:hanging="360"/>
      </w:pPr>
      <w:rPr>
        <w:rFonts w:hint="default" w:ascii="Courier New" w:hAnsi="Courier New" w:cs="Courier New"/>
      </w:rPr>
    </w:lvl>
    <w:lvl w:ilvl="8" w:tplc="040A0005" w:tentative="1">
      <w:start w:val="1"/>
      <w:numFmt w:val="bullet"/>
      <w:lvlText w:val=""/>
      <w:lvlJc w:val="left"/>
      <w:pPr>
        <w:ind w:left="6120" w:hanging="360"/>
      </w:pPr>
      <w:rPr>
        <w:rFonts w:hint="default" w:ascii="Wingdings" w:hAnsi="Wingdings"/>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395D79"/>
    <w:multiLevelType w:val="hybridMultilevel"/>
    <w:tmpl w:val="D848C9DA"/>
    <w:lvl w:ilvl="0" w:tplc="92F09306">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1330140246">
    <w:abstractNumId w:val="0"/>
  </w:num>
  <w:num w:numId="17" w16cid:durableId="1492209491">
    <w:abstractNumId w:val="6"/>
  </w:num>
  <w:num w:numId="18" w16cid:durableId="471484104">
    <w:abstractNumId w:val="3"/>
  </w:num>
  <w:num w:numId="19" w16cid:durableId="413206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667"/>
    <w:rsid w:val="00006335"/>
    <w:rsid w:val="00061297"/>
    <w:rsid w:val="00061B2A"/>
    <w:rsid w:val="00082362"/>
    <w:rsid w:val="000A683E"/>
    <w:rsid w:val="000B19B9"/>
    <w:rsid w:val="000D0334"/>
    <w:rsid w:val="000F6486"/>
    <w:rsid w:val="00103373"/>
    <w:rsid w:val="00125105"/>
    <w:rsid w:val="00127233"/>
    <w:rsid w:val="00175E38"/>
    <w:rsid w:val="0018788C"/>
    <w:rsid w:val="001E3232"/>
    <w:rsid w:val="001E4177"/>
    <w:rsid w:val="001F7DC6"/>
    <w:rsid w:val="002421BB"/>
    <w:rsid w:val="0025796E"/>
    <w:rsid w:val="002707A2"/>
    <w:rsid w:val="002951A0"/>
    <w:rsid w:val="002962BC"/>
    <w:rsid w:val="002A093D"/>
    <w:rsid w:val="002A0DD0"/>
    <w:rsid w:val="002A49AC"/>
    <w:rsid w:val="002A64FD"/>
    <w:rsid w:val="002C7A84"/>
    <w:rsid w:val="002E4FD9"/>
    <w:rsid w:val="00320833"/>
    <w:rsid w:val="00322A85"/>
    <w:rsid w:val="00324168"/>
    <w:rsid w:val="003448F4"/>
    <w:rsid w:val="00374F5E"/>
    <w:rsid w:val="00377E3E"/>
    <w:rsid w:val="003A26D1"/>
    <w:rsid w:val="003A67DD"/>
    <w:rsid w:val="003A779E"/>
    <w:rsid w:val="003D0F4D"/>
    <w:rsid w:val="003D5B0D"/>
    <w:rsid w:val="003E0499"/>
    <w:rsid w:val="003F3941"/>
    <w:rsid w:val="00406575"/>
    <w:rsid w:val="0042722E"/>
    <w:rsid w:val="0044528D"/>
    <w:rsid w:val="004A1847"/>
    <w:rsid w:val="004A305D"/>
    <w:rsid w:val="004B0294"/>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93895"/>
    <w:rsid w:val="008A446D"/>
    <w:rsid w:val="008A6B24"/>
    <w:rsid w:val="008B5F68"/>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55FB8"/>
    <w:rsid w:val="00B72CD3"/>
    <w:rsid w:val="00B72FFF"/>
    <w:rsid w:val="00B91F2F"/>
    <w:rsid w:val="00B95C3D"/>
    <w:rsid w:val="00BC25CC"/>
    <w:rsid w:val="00BC3D36"/>
    <w:rsid w:val="00BD7F72"/>
    <w:rsid w:val="00C04FB3"/>
    <w:rsid w:val="00C330EB"/>
    <w:rsid w:val="00C62CFA"/>
    <w:rsid w:val="00C7061B"/>
    <w:rsid w:val="00C754BE"/>
    <w:rsid w:val="00C76B1C"/>
    <w:rsid w:val="00CB6357"/>
    <w:rsid w:val="00CC1B26"/>
    <w:rsid w:val="00CE188D"/>
    <w:rsid w:val="00CF099A"/>
    <w:rsid w:val="00D423A2"/>
    <w:rsid w:val="00D512B3"/>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2744"/>
    <w:rsid w:val="00EC38A7"/>
    <w:rsid w:val="00ED0F2D"/>
    <w:rsid w:val="00EE1AA8"/>
    <w:rsid w:val="00F04848"/>
    <w:rsid w:val="00F31EDC"/>
    <w:rsid w:val="00F462B3"/>
    <w:rsid w:val="00F544F7"/>
    <w:rsid w:val="00F5664F"/>
    <w:rsid w:val="00F666C4"/>
    <w:rsid w:val="00F76AFC"/>
    <w:rsid w:val="00FA47C0"/>
    <w:rsid w:val="00FB5DD1"/>
    <w:rsid w:val="00FC2B5D"/>
    <w:rsid w:val="00FF1449"/>
    <w:rsid w:val="0E2B5228"/>
    <w:rsid w:val="1C24E4F9"/>
    <w:rsid w:val="23CDE94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2E31CAF1-FC96-44C6-BA10-404112AD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CF099A"/>
    <w:pPr>
      <w:spacing w:line="240" w:lineRule="exact"/>
    </w:pPr>
    <w:rPr>
      <w:vertAlign w:val="superscript"/>
    </w:rPr>
  </w:style>
  <w:style w:type="character" w:styleId="Refdecomentario">
    <w:name w:val="annotation reference"/>
    <w:basedOn w:val="Fuentedeprrafopredeter"/>
    <w:uiPriority w:val="99"/>
    <w:semiHidden/>
    <w:unhideWhenUsed/>
    <w:rsid w:val="00CF099A"/>
    <w:rPr>
      <w:sz w:val="16"/>
      <w:szCs w:val="16"/>
    </w:rPr>
  </w:style>
  <w:style w:type="paragraph" w:styleId="Textocomentario">
    <w:name w:val="annotation text"/>
    <w:basedOn w:val="Normal"/>
    <w:link w:val="TextocomentarioCar"/>
    <w:uiPriority w:val="99"/>
    <w:unhideWhenUsed/>
    <w:rsid w:val="00CF099A"/>
    <w:pPr>
      <w:spacing w:line="240" w:lineRule="auto"/>
    </w:pPr>
    <w:rPr>
      <w:sz w:val="20"/>
      <w:szCs w:val="20"/>
    </w:rPr>
  </w:style>
  <w:style w:type="character" w:styleId="TextocomentarioCar" w:customStyle="1">
    <w:name w:val="Texto comentario Car"/>
    <w:basedOn w:val="Fuentedeprrafopredeter"/>
    <w:link w:val="Textocomentario"/>
    <w:uiPriority w:val="99"/>
    <w:rsid w:val="00CF099A"/>
    <w:rPr>
      <w:sz w:val="20"/>
      <w:szCs w:val="20"/>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F099A"/>
    <w:rPr>
      <w:rFonts w:ascii="Geomanist Light" w:hAnsi="Geomanist Light"/>
      <w:lang w:val="es-ES"/>
    </w:rPr>
  </w:style>
  <w:style w:type="paragraph" w:styleId="Sinespaciado">
    <w:name w:val="No Spacing"/>
    <w:aliases w:val="No Indent"/>
    <w:uiPriority w:val="3"/>
    <w:qFormat/>
    <w:rsid w:val="00CF099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olombiacompra.gov.co/sala-de-prensa/boletin-digita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latoria.colombiacompra.gov.co/busqueda/concepto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lombiacompra.gov.co/sites/cce_public/files/cce_documents/cce_guia_esal.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f111573a7d8e43a4"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purl.org/dc/terms/"/>
    <ds:schemaRef ds:uri="36c82cfe-0eda-494d-b392-a9281b89aaf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8ae15d26-076e-464e-81a7-6f76a0fb3917"/>
    <ds:schemaRef ds:uri="http://purl.org/dc/dcmityp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817AACA-39A3-413D-9F2D-E5678027EF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Diana Lucia Saavedra</lastModifiedBy>
  <revision>5</revision>
  <lastPrinted>2023-01-10T21:18:00.0000000Z</lastPrinted>
  <dcterms:created xsi:type="dcterms:W3CDTF">2024-08-06T19:35:00.0000000Z</dcterms:created>
  <dcterms:modified xsi:type="dcterms:W3CDTF">2024-08-08T13:10:28.4763150Z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