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6D4F5F" w:rsidR="00DB7CAA" w:rsidP="00DB7CAA" w:rsidRDefault="00DB7CAA" w14:paraId="286E4B97" w14:textId="77777777">
      <w:pPr>
        <w:spacing w:after="0" w:line="240" w:lineRule="auto"/>
        <w:contextualSpacing/>
        <w:jc w:val="both"/>
        <w:rPr>
          <w:rFonts w:ascii="Verdana" w:hAnsi="Verdana" w:eastAsia="Calibri" w:cs="Arial"/>
          <w:b/>
          <w:noProof/>
          <w:lang w:val="es-ES_tradnl" w:eastAsia="es-ES_tradnl"/>
        </w:rPr>
      </w:pPr>
      <w:r w:rsidRPr="006D4F5F">
        <w:rPr>
          <w:rFonts w:ascii="Verdana" w:hAnsi="Verdana" w:eastAsia="Calibri" w:cs="Arial"/>
          <w:b/>
          <w:noProof/>
          <w:lang w:val="es-ES_tradnl" w:eastAsia="es-ES_tradnl"/>
        </w:rPr>
        <w:t xml:space="preserve">PLANEACIÓN CONTRACTUAL – Noción </w:t>
      </w:r>
    </w:p>
    <w:p w:rsidRPr="006D4F5F" w:rsidR="00DB7CAA" w:rsidP="00DB7CAA" w:rsidRDefault="00DB7CAA" w14:paraId="2A56B487" w14:textId="77777777">
      <w:pPr>
        <w:spacing w:after="0" w:line="240" w:lineRule="auto"/>
        <w:contextualSpacing/>
        <w:jc w:val="both"/>
        <w:rPr>
          <w:rFonts w:ascii="Verdana" w:hAnsi="Verdana" w:eastAsia="Calibri" w:cs="Arial"/>
          <w:b/>
          <w:noProof/>
          <w:sz w:val="20"/>
          <w:szCs w:val="20"/>
          <w:lang w:val="es-ES_tradnl" w:eastAsia="es-ES_tradnl"/>
        </w:rPr>
      </w:pPr>
    </w:p>
    <w:p w:rsidRPr="006D4F5F" w:rsidR="00DB7CAA" w:rsidP="00DB7CAA" w:rsidRDefault="00DB7CAA" w14:paraId="5B585C42" w14:textId="77777777">
      <w:pPr>
        <w:spacing w:after="0" w:line="240" w:lineRule="auto"/>
        <w:contextualSpacing/>
        <w:jc w:val="both"/>
        <w:rPr>
          <w:rFonts w:ascii="Verdana" w:hAnsi="Verdana" w:eastAsia="Calibri" w:cs="Arial"/>
          <w:bCs/>
          <w:sz w:val="20"/>
          <w:szCs w:val="20"/>
          <w:lang w:val="es-ES_tradnl" w:eastAsia="es-MX"/>
        </w:rPr>
      </w:pPr>
      <w:r w:rsidRPr="006D4F5F">
        <w:rPr>
          <w:rFonts w:ascii="Verdana" w:hAnsi="Verdana" w:eastAsia="Calibri" w:cs="Arial"/>
          <w:bCs/>
          <w:sz w:val="20"/>
          <w:szCs w:val="20"/>
          <w:lang w:val="es-ES_tradnl" w:eastAsia="es-MX"/>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p>
    <w:p w:rsidRPr="006D4F5F" w:rsidR="00DB7CAA" w:rsidP="00DB7CAA" w:rsidRDefault="00DB7CAA" w14:paraId="67D8392C" w14:textId="77777777">
      <w:pPr>
        <w:spacing w:after="0" w:line="240" w:lineRule="auto"/>
        <w:contextualSpacing/>
        <w:jc w:val="both"/>
        <w:rPr>
          <w:rFonts w:ascii="Verdana" w:hAnsi="Verdana" w:eastAsia="Times New Roman" w:cs="Arial"/>
          <w:sz w:val="20"/>
          <w:szCs w:val="20"/>
          <w:lang w:val="es-ES_tradnl" w:eastAsia="es-MX"/>
        </w:rPr>
      </w:pPr>
    </w:p>
    <w:p w:rsidRPr="006D4F5F" w:rsidR="00DB7CAA" w:rsidP="00DB7CAA" w:rsidRDefault="00DB7CAA" w14:paraId="6D164E15" w14:textId="77777777">
      <w:pPr>
        <w:spacing w:after="0" w:line="240" w:lineRule="auto"/>
        <w:contextualSpacing/>
        <w:jc w:val="both"/>
        <w:rPr>
          <w:rFonts w:ascii="Verdana" w:hAnsi="Verdana" w:eastAsia="Calibri" w:cs="Arial"/>
          <w:bCs/>
          <w:sz w:val="20"/>
          <w:szCs w:val="20"/>
          <w:lang w:val="es-MX" w:eastAsia="es-ES_tradnl"/>
        </w:rPr>
      </w:pPr>
      <w:r w:rsidRPr="006D4F5F">
        <w:rPr>
          <w:rFonts w:ascii="Verdana" w:hAnsi="Verdana" w:eastAsia="Calibri" w:cs="Arial"/>
          <w:bCs/>
          <w:sz w:val="20"/>
          <w:szCs w:val="20"/>
          <w:lang w:val="es-MX" w:eastAsia="es-ES_tradnl"/>
        </w:rPr>
        <w:t>El Estatuto General de Contratación de la Administración Pública – EGCAP –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w:t>
      </w:r>
    </w:p>
    <w:p w:rsidRPr="006D4F5F" w:rsidR="00DB7CAA" w:rsidP="00DB7CAA" w:rsidRDefault="00DB7CAA" w14:paraId="0BBE7A90" w14:textId="77777777">
      <w:pPr>
        <w:spacing w:after="0" w:line="240" w:lineRule="auto"/>
        <w:contextualSpacing/>
        <w:jc w:val="both"/>
        <w:rPr>
          <w:rFonts w:ascii="Verdana" w:hAnsi="Verdana" w:eastAsia="Calibri" w:cs="Arial"/>
          <w:b/>
          <w:noProof/>
          <w:sz w:val="20"/>
          <w:szCs w:val="20"/>
          <w:lang w:val="es-ES_tradnl" w:eastAsia="es-ES_tradnl"/>
        </w:rPr>
      </w:pPr>
    </w:p>
    <w:p w:rsidRPr="006D4F5F" w:rsidR="00DB7CAA" w:rsidP="00DB7CAA" w:rsidRDefault="00DB7CAA" w14:paraId="25708E67" w14:textId="77777777">
      <w:pPr>
        <w:spacing w:after="0" w:line="240" w:lineRule="auto"/>
        <w:contextualSpacing/>
        <w:jc w:val="both"/>
        <w:rPr>
          <w:rFonts w:ascii="Verdana" w:hAnsi="Verdana" w:eastAsia="Times New Roman" w:cs="Arial"/>
          <w:b/>
          <w:bCs/>
          <w:lang w:eastAsia="es-ES_tradnl"/>
        </w:rPr>
      </w:pPr>
      <w:r w:rsidRPr="006D4F5F">
        <w:rPr>
          <w:rFonts w:ascii="Verdana" w:hAnsi="Verdana" w:eastAsia="Times New Roman" w:cs="Arial"/>
          <w:b/>
          <w:bCs/>
          <w:lang w:eastAsia="es-ES_tradnl"/>
        </w:rPr>
        <w:t>ESTUDIOS PREVIOS – Análisis del sector – Planeación en los procesos de contratación pública</w:t>
      </w:r>
    </w:p>
    <w:p w:rsidRPr="006D4F5F" w:rsidR="00DB7CAA" w:rsidP="00DB7CAA" w:rsidRDefault="00DB7CAA" w14:paraId="6A13BFB6" w14:textId="77777777">
      <w:pPr>
        <w:spacing w:after="0" w:line="240" w:lineRule="auto"/>
        <w:contextualSpacing/>
        <w:jc w:val="both"/>
        <w:rPr>
          <w:rFonts w:ascii="Verdana" w:hAnsi="Verdana" w:eastAsia="Times New Roman" w:cs="Arial"/>
          <w:sz w:val="20"/>
          <w:szCs w:val="20"/>
          <w:lang w:eastAsia="es-ES_tradnl"/>
        </w:rPr>
      </w:pPr>
    </w:p>
    <w:p w:rsidRPr="006D4F5F" w:rsidR="00DB7CAA" w:rsidP="00DB7CAA" w:rsidRDefault="00DB7CAA" w14:paraId="12AE8F19" w14:textId="77777777">
      <w:pPr>
        <w:spacing w:after="0" w:line="240" w:lineRule="auto"/>
        <w:contextualSpacing/>
        <w:jc w:val="both"/>
        <w:rPr>
          <w:rFonts w:ascii="Verdana" w:hAnsi="Verdana" w:eastAsia="Times New Roman" w:cs="Arial"/>
          <w:sz w:val="20"/>
          <w:szCs w:val="20"/>
          <w:lang w:val="es-ES_tradnl" w:eastAsia="es-MX"/>
        </w:rPr>
      </w:pPr>
      <w:r w:rsidRPr="006D4F5F">
        <w:rPr>
          <w:rFonts w:ascii="Verdana" w:hAnsi="Verdana" w:eastAsia="Calibri" w:cs="Arial"/>
          <w:sz w:val="20"/>
          <w:szCs w:val="20"/>
          <w:lang w:eastAsia="es-ES_tradnl"/>
        </w:rPr>
        <w:t xml:space="preserve">[…] </w:t>
      </w:r>
      <w:r w:rsidRPr="006D4F5F">
        <w:rPr>
          <w:rFonts w:ascii="Verdana" w:hAnsi="Verdana" w:eastAsia="Times New Roman" w:cs="Arial"/>
          <w:sz w:val="20"/>
          <w:szCs w:val="20"/>
          <w:lang w:val="es-ES_tradnl" w:eastAsia="es-MX"/>
        </w:rPr>
        <w:t xml:space="preserve">antes de iniciar un procedimiento de selección, la Entidad Estatal podrá determinar con los estudios previos: i) la verdadera necesidad de la celebración del contrato; ii) las modalidades existentes para satisfacer esa necesidad y las razones que justifiquen la modalidad o tipo contractual que se escoja; iii) las calidades, especificaciones, cantidades y demás características que puedan o deban reunir los bienes, las obras o los servicios cuya contratación se haya determinado necesaria, iv)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vii) los procedimientos, trámites y requisitos que deban satisfacerse, reunirse u obtenerse para llevar a cabo la selección del respectivo contratista y la celebración del contrato que se pretenda celebrar. La consideración de todos estos aspectos </w:t>
      </w:r>
      <w:r w:rsidRPr="006D4F5F">
        <w:rPr>
          <w:rFonts w:ascii="Verdana" w:hAnsi="Verdana" w:eastAsia="Calibri" w:cs="Arial"/>
          <w:bCs/>
          <w:sz w:val="20"/>
          <w:szCs w:val="20"/>
          <w:lang w:val="es-ES_tradnl" w:eastAsia="es-MX"/>
        </w:rPr>
        <w:t xml:space="preserve">permite que los contratos resultantes de la planeación cuenten con el sustento técnico, económico y jurídico que incidirá </w:t>
      </w:r>
      <w:r w:rsidRPr="006D4F5F">
        <w:rPr>
          <w:rFonts w:ascii="Verdana" w:hAnsi="Verdana" w:eastAsia="Times New Roman" w:cs="Arial"/>
          <w:sz w:val="20"/>
          <w:szCs w:val="20"/>
          <w:lang w:val="es-ES_tradnl" w:eastAsia="es-MX"/>
        </w:rPr>
        <w:t>en una adecuada ejecución.</w:t>
      </w:r>
    </w:p>
    <w:p w:rsidRPr="006D4F5F" w:rsidR="00DB7CAA" w:rsidP="00DB7CAA" w:rsidRDefault="00DB7CAA" w14:paraId="4DB46DB9" w14:textId="77777777">
      <w:pPr>
        <w:spacing w:after="0" w:line="240" w:lineRule="auto"/>
        <w:contextualSpacing/>
        <w:jc w:val="both"/>
        <w:rPr>
          <w:rFonts w:ascii="Verdana" w:hAnsi="Verdana" w:eastAsia="Calibri" w:cs="Arial"/>
          <w:b/>
          <w:noProof/>
          <w:sz w:val="20"/>
          <w:szCs w:val="20"/>
          <w:lang w:val="es-ES_tradnl" w:eastAsia="es-ES_tradnl"/>
        </w:rPr>
      </w:pPr>
    </w:p>
    <w:p w:rsidRPr="006D4F5F" w:rsidR="00DB7CAA" w:rsidP="00DB7CAA" w:rsidRDefault="00DB7CAA" w14:paraId="1DE24287" w14:textId="77777777">
      <w:pPr>
        <w:spacing w:after="0" w:line="240" w:lineRule="auto"/>
        <w:contextualSpacing/>
        <w:rPr>
          <w:rFonts w:ascii="Verdana" w:hAnsi="Verdana" w:eastAsia="Times New Roman" w:cs="Arial"/>
          <w:b/>
          <w:bCs/>
          <w:lang w:eastAsia="es-ES_tradnl"/>
        </w:rPr>
      </w:pPr>
      <w:r w:rsidRPr="006D4F5F">
        <w:rPr>
          <w:rFonts w:ascii="Verdana" w:hAnsi="Verdana" w:eastAsia="Times New Roman" w:cs="Arial"/>
          <w:b/>
          <w:bCs/>
          <w:lang w:eastAsia="es-ES_tradnl"/>
        </w:rPr>
        <w:t>ESTUDIOS PREVIOS – Estudio del mercado</w:t>
      </w:r>
    </w:p>
    <w:p w:rsidRPr="006D4F5F" w:rsidR="00DB7CAA" w:rsidP="00DB7CAA" w:rsidRDefault="00DB7CAA" w14:paraId="0C1EF33D" w14:textId="77777777">
      <w:pPr>
        <w:spacing w:after="0" w:line="240" w:lineRule="auto"/>
        <w:contextualSpacing/>
        <w:jc w:val="both"/>
        <w:rPr>
          <w:rFonts w:ascii="Verdana" w:hAnsi="Verdana" w:eastAsia="Calibri" w:cs="Arial"/>
          <w:sz w:val="20"/>
          <w:szCs w:val="20"/>
          <w:lang w:val="es-ES" w:eastAsia="es-ES_tradnl"/>
        </w:rPr>
      </w:pPr>
    </w:p>
    <w:p w:rsidRPr="006D4F5F" w:rsidR="00DB7CAA" w:rsidP="00DB7CAA" w:rsidRDefault="00DB7CAA" w14:paraId="1A66157F" w14:textId="77777777">
      <w:pPr>
        <w:spacing w:after="0" w:line="240" w:lineRule="auto"/>
        <w:contextualSpacing/>
        <w:jc w:val="both"/>
        <w:rPr>
          <w:rFonts w:ascii="Verdana" w:hAnsi="Verdana" w:eastAsia="Calibri" w:cs="Arial"/>
          <w:sz w:val="20"/>
          <w:szCs w:val="20"/>
          <w:lang w:val="es-ES" w:eastAsia="es-ES_tradnl"/>
        </w:rPr>
      </w:pPr>
      <w:r w:rsidRPr="006D4F5F">
        <w:rPr>
          <w:rFonts w:ascii="Verdana" w:hAnsi="Verdana" w:eastAsia="Calibri" w:cs="Arial"/>
          <w:sz w:val="20"/>
          <w:szCs w:val="20"/>
          <w:lang w:val="es-ES" w:eastAsia="es-ES_tradnl"/>
        </w:rPr>
        <w:t xml:space="preserve">Por último, el </w:t>
      </w:r>
      <w:r w:rsidRPr="006D4F5F">
        <w:rPr>
          <w:rFonts w:ascii="Verdana" w:hAnsi="Verdana" w:eastAsia="Calibri" w:cs="Arial"/>
          <w:i/>
          <w:iCs/>
          <w:sz w:val="20"/>
          <w:szCs w:val="20"/>
          <w:lang w:val="es-ES" w:eastAsia="es-ES_tradnl"/>
        </w:rPr>
        <w:t xml:space="preserve">estudio del mercado, </w:t>
      </w:r>
      <w:r w:rsidRPr="006D4F5F">
        <w:rPr>
          <w:rFonts w:ascii="Verdana" w:hAnsi="Verdana" w:eastAsia="Calibri" w:cs="Arial"/>
          <w:sz w:val="20"/>
          <w:szCs w:val="20"/>
          <w:lang w:val="es-ES" w:eastAsia="es-ES_tradnl"/>
        </w:rPr>
        <w:t xml:space="preserve">al cual hace referencia en su consulta, permite comprender la dinámica de los precios y establecer el presupuesto oficial de la contratación, el cual comprende la realización de un análisis de los diferentes precios de los bienes o servicios a contratar que se registran en el mercado, los cuales pueden consultarse a través de mecanismos como la solicitud de cotizaciones, la consulta de bases de datos especializadas y el análisis de precios históricos. Este estudio de mercado debe responder claramente cuáles </w:t>
      </w:r>
      <w:r w:rsidRPr="006D4F5F">
        <w:rPr>
          <w:rFonts w:ascii="Verdana" w:hAnsi="Verdana" w:eastAsia="Calibri" w:cs="Arial"/>
          <w:sz w:val="20"/>
          <w:szCs w:val="20"/>
          <w:lang w:val="es-ES" w:eastAsia="es-ES_tradnl"/>
        </w:rPr>
        <w:lastRenderedPageBreak/>
        <w:t xml:space="preserve">son las dinámicas de precio y, de esta manera, establecer el presupuesto oficial del proceso de contratación. </w:t>
      </w:r>
    </w:p>
    <w:p w:rsidRPr="006D4F5F" w:rsidR="00DB7CAA" w:rsidP="00DB7CAA" w:rsidRDefault="00DB7CAA" w14:paraId="595374AA" w14:textId="77777777">
      <w:pPr>
        <w:spacing w:after="0" w:line="240" w:lineRule="auto"/>
        <w:contextualSpacing/>
        <w:jc w:val="both"/>
        <w:rPr>
          <w:rFonts w:ascii="Verdana" w:hAnsi="Verdana" w:eastAsia="Calibri" w:cs="Arial"/>
          <w:sz w:val="20"/>
          <w:szCs w:val="20"/>
          <w:lang w:val="es-ES" w:eastAsia="es-ES_tradnl"/>
        </w:rPr>
      </w:pPr>
    </w:p>
    <w:p w:rsidR="00C24CA3" w:rsidP="00DB7CAA" w:rsidRDefault="00DB7CAA" w14:paraId="213268DF" w14:textId="77777777">
      <w:pPr>
        <w:spacing w:after="0" w:line="240" w:lineRule="auto"/>
        <w:contextualSpacing/>
        <w:jc w:val="both"/>
        <w:rPr>
          <w:rFonts w:ascii="Verdana" w:hAnsi="Verdana" w:eastAsia="Calibri" w:cs="Arial"/>
          <w:sz w:val="20"/>
          <w:szCs w:val="20"/>
          <w:lang w:val="es-ES" w:eastAsia="es-ES_tradnl"/>
        </w:rPr>
      </w:pPr>
      <w:r w:rsidRPr="006D4F5F">
        <w:rPr>
          <w:rFonts w:ascii="Verdana" w:hAnsi="Verdana" w:eastAsia="Calibri" w:cs="Arial"/>
          <w:sz w:val="20"/>
          <w:szCs w:val="20"/>
          <w:lang w:val="es-ES" w:eastAsia="es-ES_tradnl"/>
        </w:rPr>
        <w:t xml:space="preserve">En relación con la </w:t>
      </w:r>
      <w:r w:rsidRPr="006D4F5F">
        <w:rPr>
          <w:rFonts w:ascii="Verdana" w:hAnsi="Verdana" w:eastAsia="Calibri" w:cs="Arial"/>
          <w:i/>
          <w:iCs/>
          <w:sz w:val="20"/>
          <w:szCs w:val="20"/>
          <w:lang w:val="es-ES" w:eastAsia="es-ES_tradnl"/>
        </w:rPr>
        <w:t>revisión de precios</w:t>
      </w:r>
      <w:r w:rsidRPr="006D4F5F">
        <w:rPr>
          <w:rFonts w:ascii="Verdana" w:hAnsi="Verdana" w:eastAsia="Calibri" w:cs="Arial"/>
          <w:sz w:val="20"/>
          <w:szCs w:val="20"/>
          <w:lang w:val="es-ES" w:eastAsia="es-ES_tradnl"/>
        </w:rPr>
        <w:t xml:space="preserve"> por solicitud de cotizaciones, la Guía recomienda requerir a los potenciales proveedores de los bienes o servicios para que remitan la información necesaria para determinar, entre otros aspectos, el valor del servicio o del bien correspondiente. Para estos efectos, se sugiere incluir en la comunicación toda aquella información pertinente del contrato a ejecutar que permita a los potenciales proveedores estructurar una cotización integral y ajustada a las necesidades de la entidad, como, por ejemplo, especificaciones técnicas del bien o servicio a contratar, plazo del contrato, así como toda aquella información relevante que incida en el precio del bien o servicio. Así mismo, se indica que, al recibir las cotizaciones, debe verificarse la ocurrencia de circunstancias que eventualmente pueden distorsionar los precios del mercado, como ofertas especiales de almacenes de cadena, fenómenos de escasez o abundancia del producto, entre otros aspectos. </w:t>
      </w:r>
    </w:p>
    <w:p w:rsidR="00C24CA3" w:rsidP="00DB7CAA" w:rsidRDefault="00C24CA3" w14:paraId="49C38232" w14:textId="77777777">
      <w:pPr>
        <w:spacing w:after="0" w:line="240" w:lineRule="auto"/>
        <w:contextualSpacing/>
        <w:jc w:val="both"/>
        <w:rPr>
          <w:rFonts w:ascii="Verdana" w:hAnsi="Verdana" w:eastAsia="Calibri" w:cs="Arial"/>
          <w:sz w:val="20"/>
          <w:szCs w:val="20"/>
          <w:lang w:val="es-ES" w:eastAsia="es-ES_tradnl"/>
        </w:rPr>
      </w:pPr>
    </w:p>
    <w:p w:rsidRPr="00C24CA3" w:rsidR="00C24CA3" w:rsidP="00C24CA3" w:rsidRDefault="00C24CA3" w14:paraId="29210C43" w14:textId="77777777">
      <w:pPr>
        <w:jc w:val="both"/>
        <w:rPr>
          <w:rFonts w:ascii="Verdana" w:hAnsi="Verdana" w:eastAsia="Calibri" w:cs="Arial"/>
          <w:b/>
          <w:bCs/>
          <w:color w:val="000000" w:themeColor="text1"/>
          <w:sz w:val="20"/>
          <w:szCs w:val="20"/>
        </w:rPr>
      </w:pPr>
      <w:r w:rsidRPr="00C24CA3">
        <w:rPr>
          <w:rFonts w:ascii="Verdana" w:hAnsi="Verdana" w:eastAsia="Calibri" w:cs="Arial"/>
          <w:b/>
          <w:bCs/>
          <w:color w:val="000000" w:themeColor="text1"/>
          <w:sz w:val="20"/>
          <w:szCs w:val="20"/>
        </w:rPr>
        <w:t xml:space="preserve">GUÍAS Y MANUALES – Obligatoriedad </w:t>
      </w:r>
    </w:p>
    <w:p w:rsidRPr="00C24CA3" w:rsidR="00C24CA3" w:rsidP="00C24CA3" w:rsidRDefault="00C24CA3" w14:paraId="73E02341" w14:textId="77777777">
      <w:pPr>
        <w:spacing w:line="240" w:lineRule="auto"/>
        <w:jc w:val="both"/>
        <w:rPr>
          <w:rFonts w:ascii="Verdana" w:hAnsi="Verdana" w:eastAsia="Calibri" w:cs="Arial"/>
          <w:color w:val="000000" w:themeColor="text1"/>
          <w:sz w:val="20"/>
          <w:szCs w:val="20"/>
        </w:rPr>
      </w:pPr>
      <w:r w:rsidRPr="00C24CA3">
        <w:rPr>
          <w:rFonts w:ascii="Verdana" w:hAnsi="Verdana" w:eastAsia="Calibri" w:cs="Arial"/>
          <w:color w:val="000000" w:themeColor="text1"/>
          <w:sz w:val="20"/>
          <w:szCs w:val="20"/>
        </w:rPr>
        <w:t xml:space="preserve">[…] la obligatoriedad de las herramientas normativas expedidas por Colombia Compra Eficiente depende de si existe una norma de rango legal o de reglamentario, diferente de la general del Decreto Ley 4170 de 2011, que confiera la competencia para regular determinado aspecto de la contratación estatal. Si la competencia no proviene de la ley o el reglamento, sin importar que se trate de una guía o un manual, su función estará limitada a dar orientaciones o a reproducir normas, esto es, no tendrá fuerza obligatoria y, en consecuencia, no será vinculante para sus destinatarios, con independencia del nombre que tenga. […] En suma, las guías previstas en los numerales 1 y 2 del artículo 2.2.1.2.5.2 del Decreto 1082 de 2015 son de obligatorio cumplimiento. </w:t>
      </w:r>
    </w:p>
    <w:p w:rsidRPr="00C24CA3" w:rsidR="00C24CA3" w:rsidP="00C24CA3" w:rsidRDefault="00C24CA3" w14:paraId="78B5684D" w14:textId="77777777">
      <w:pPr>
        <w:spacing w:line="240" w:lineRule="auto"/>
        <w:jc w:val="both"/>
        <w:rPr>
          <w:rFonts w:ascii="Verdana" w:hAnsi="Verdana" w:eastAsia="Calibri" w:cs="Arial"/>
          <w:color w:val="000000" w:themeColor="text1"/>
          <w:sz w:val="20"/>
          <w:szCs w:val="20"/>
        </w:rPr>
      </w:pPr>
      <w:r w:rsidRPr="00C24CA3">
        <w:rPr>
          <w:rFonts w:ascii="Verdana" w:hAnsi="Verdana" w:eastAsia="Calibri" w:cs="Arial"/>
          <w:color w:val="000000" w:themeColor="text1"/>
          <w:sz w:val="20"/>
          <w:szCs w:val="20"/>
        </w:rPr>
        <w:t>En contraste, las demás guías y manuales expedidos por la Agencia, incluyendo la guía de estudios del sector en los procesos de contratación, son criterios de buenas prácticas y de apoyo a los partícipes de la contratación pública, como se observa en su parte introductoria «[…] Este documento contiene algunas recomendaciones generales de Colombia Compra Eficiente, y no debe ser utilizado de manera mecánica. La profundidad del estudio del sector depende de la complejidad del Proceso de Contratación». Por tanto, para efectos de una planeación adecuada del contrato, la entidad puede acoger las fórmulas que estime pertinentes de acuerdo con el alcance del proyecto.</w:t>
      </w:r>
    </w:p>
    <w:p w:rsidRPr="00C24CA3" w:rsidR="00DB7CAA" w:rsidP="00DB7CAA" w:rsidRDefault="00DB7CAA" w14:paraId="71AF7B31" w14:textId="0F79ABE1">
      <w:pPr>
        <w:spacing w:after="0" w:line="240" w:lineRule="auto"/>
        <w:contextualSpacing/>
        <w:jc w:val="both"/>
        <w:rPr>
          <w:rFonts w:ascii="Verdana" w:hAnsi="Verdana" w:eastAsia="Calibri" w:cs="Arial"/>
          <w:sz w:val="20"/>
          <w:szCs w:val="20"/>
          <w:lang w:val="es-ES" w:eastAsia="es-ES_tradnl"/>
        </w:rPr>
      </w:pPr>
      <w:r w:rsidRPr="00C24CA3">
        <w:rPr>
          <w:rFonts w:ascii="Verdana" w:hAnsi="Verdana" w:eastAsia="Times New Roman" w:cs="Arial"/>
          <w:noProof/>
          <w:sz w:val="20"/>
          <w:szCs w:val="20"/>
          <w:lang w:val="es-ES_tradnl" w:eastAsia="es-ES_tradnl"/>
        </w:rPr>
        <w:br w:type="page"/>
      </w:r>
    </w:p>
    <w:p w:rsidRPr="00A211EE" w:rsidR="00DB7CAA" w:rsidP="00DB7CAA" w:rsidRDefault="00DB7CAA" w14:paraId="07A2C71E" w14:textId="0B286172">
      <w:pPr>
        <w:spacing w:after="0"/>
        <w:rPr>
          <w:rFonts w:ascii="Verdana" w:hAnsi="Verdana"/>
        </w:rPr>
      </w:pPr>
      <w:r w:rsidRPr="008B5C99">
        <w:rPr>
          <w:rFonts w:ascii="Verdana" w:hAnsi="Verdana"/>
        </w:rPr>
        <w:lastRenderedPageBreak/>
        <w:t>Bogotá D.C.,</w:t>
      </w:r>
      <w:r w:rsidR="00511228">
        <w:rPr>
          <w:rFonts w:ascii="Verdana" w:hAnsi="Verdana"/>
        </w:rPr>
        <w:t xml:space="preserve"> 24 de julio de 2024</w:t>
      </w:r>
    </w:p>
    <w:p w:rsidR="00DB7CAA" w:rsidP="00DB7CAA" w:rsidRDefault="00DB7CAA" w14:paraId="094043E8" w14:textId="77777777">
      <w:pPr>
        <w:spacing w:after="0" w:line="240" w:lineRule="auto"/>
        <w:jc w:val="both"/>
        <w:rPr>
          <w:rFonts w:ascii="Verdana" w:hAnsi="Verdana" w:eastAsia="Times New Roman" w:cs="Arial"/>
          <w:noProof/>
          <w:lang w:eastAsia="es-ES_tradnl"/>
        </w:rPr>
      </w:pPr>
    </w:p>
    <w:p w:rsidRPr="00DB7CAA" w:rsidR="00511228" w:rsidP="00511228" w:rsidRDefault="00511228" w14:paraId="6D88B470" w14:textId="27C074B8">
      <w:pPr>
        <w:spacing w:after="0" w:line="240" w:lineRule="auto"/>
        <w:jc w:val="right"/>
        <w:rPr>
          <w:rFonts w:ascii="Verdana" w:hAnsi="Verdana" w:eastAsia="Times New Roman" w:cs="Arial"/>
          <w:noProof/>
          <w:lang w:eastAsia="es-ES_tradnl"/>
        </w:rPr>
      </w:pPr>
      <w:r w:rsidRPr="00511228">
        <w:rPr>
          <w:rFonts w:ascii="Verdana" w:hAnsi="Verdana" w:eastAsia="Times New Roman" w:cs="Arial"/>
          <w:noProof/>
          <w:lang w:eastAsia="es-ES_tradnl"/>
        </w:rPr>
        <w:drawing>
          <wp:inline distT="0" distB="0" distL="0" distR="0" wp14:anchorId="1D4A86CB" wp14:editId="47B20A33">
            <wp:extent cx="3003630" cy="838342"/>
            <wp:effectExtent l="0" t="0" r="6350" b="0"/>
            <wp:docPr id="747734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734031" name=""/>
                    <pic:cNvPicPr/>
                  </pic:nvPicPr>
                  <pic:blipFill>
                    <a:blip r:embed="rId11"/>
                    <a:stretch>
                      <a:fillRect/>
                    </a:stretch>
                  </pic:blipFill>
                  <pic:spPr>
                    <a:xfrm>
                      <a:off x="0" y="0"/>
                      <a:ext cx="3014620" cy="841410"/>
                    </a:xfrm>
                    <a:prstGeom prst="rect">
                      <a:avLst/>
                    </a:prstGeom>
                  </pic:spPr>
                </pic:pic>
              </a:graphicData>
            </a:graphic>
          </wp:inline>
        </w:drawing>
      </w:r>
    </w:p>
    <w:p w:rsidRPr="006D4F5F" w:rsidR="00DB7CAA" w:rsidP="00DB7CAA" w:rsidRDefault="00DB7CAA" w14:paraId="0179E324" w14:textId="77777777">
      <w:pPr>
        <w:spacing w:after="0" w:line="240" w:lineRule="auto"/>
        <w:jc w:val="right"/>
        <w:rPr>
          <w:rFonts w:ascii="Verdana" w:hAnsi="Verdana" w:eastAsia="Times New Roman" w:cs="Arial"/>
          <w:noProof/>
          <w:lang w:val="es-ES_tradnl" w:eastAsia="es-ES_tradnl"/>
        </w:rPr>
      </w:pPr>
    </w:p>
    <w:p w:rsidRPr="006D4F5F" w:rsidR="00DB7CAA" w:rsidP="00DB7CAA" w:rsidRDefault="00DB7CAA" w14:paraId="3C0B96F9" w14:textId="77777777">
      <w:pPr>
        <w:spacing w:after="0" w:line="240" w:lineRule="auto"/>
        <w:jc w:val="both"/>
        <w:rPr>
          <w:rFonts w:ascii="Verdana" w:hAnsi="Verdana" w:eastAsia="Calibri" w:cs="Arial"/>
          <w:lang w:val="es-ES" w:eastAsia="es-ES_tradnl"/>
        </w:rPr>
      </w:pPr>
      <w:r w:rsidRPr="006D4F5F">
        <w:rPr>
          <w:rFonts w:ascii="Verdana" w:hAnsi="Verdana" w:eastAsia="Calibri" w:cs="Arial"/>
          <w:lang w:val="es-ES" w:eastAsia="es-ES_tradnl"/>
        </w:rPr>
        <w:t>Señora</w:t>
      </w:r>
    </w:p>
    <w:p w:rsidRPr="006D4F5F" w:rsidR="00DB7CAA" w:rsidP="00DB7CAA" w:rsidRDefault="00DB7CAA" w14:paraId="23AB9F75" w14:textId="77777777">
      <w:pPr>
        <w:spacing w:after="0" w:line="240" w:lineRule="auto"/>
        <w:rPr>
          <w:rFonts w:ascii="Verdana" w:hAnsi="Verdana" w:eastAsia="Calibri" w:cs="Arial"/>
          <w:b/>
          <w:bCs/>
          <w:lang w:val="es-ES" w:eastAsia="es-ES_tradnl"/>
        </w:rPr>
      </w:pPr>
      <w:r w:rsidRPr="006D4F5F">
        <w:rPr>
          <w:rFonts w:ascii="Verdana" w:hAnsi="Verdana" w:eastAsia="Calibri" w:cs="Arial"/>
          <w:b/>
          <w:bCs/>
          <w:lang w:val="es-ES" w:eastAsia="es-ES_tradnl"/>
        </w:rPr>
        <w:t>Giomar Liliana Gutierrez Sanchez</w:t>
      </w:r>
    </w:p>
    <w:p w:rsidRPr="006D4F5F" w:rsidR="00DB7CAA" w:rsidP="00DB7CAA" w:rsidRDefault="00DB7CAA" w14:paraId="0A111802" w14:textId="77777777">
      <w:pPr>
        <w:spacing w:after="0" w:line="240" w:lineRule="auto"/>
        <w:rPr>
          <w:rFonts w:ascii="Verdana" w:hAnsi="Verdana" w:eastAsia="Calibri" w:cs="Arial"/>
          <w:lang w:val="es-ES_tradnl" w:eastAsia="es-ES_tradnl"/>
        </w:rPr>
      </w:pPr>
      <w:r w:rsidRPr="006D4F5F">
        <w:rPr>
          <w:rFonts w:ascii="Verdana" w:hAnsi="Verdana" w:eastAsia="Calibri" w:cs="Arial"/>
          <w:bCs/>
          <w:lang w:val="es-ES_tradnl" w:eastAsia="es-ES_tradnl"/>
        </w:rPr>
        <w:t>Ciudad</w:t>
      </w:r>
    </w:p>
    <w:p w:rsidRPr="006D4F5F" w:rsidR="00DB7CAA" w:rsidP="00DB7CAA" w:rsidRDefault="00DB7CAA" w14:paraId="4CD2C9A9" w14:textId="77777777">
      <w:pPr>
        <w:spacing w:after="0" w:line="240" w:lineRule="auto"/>
        <w:rPr>
          <w:rFonts w:ascii="Verdana" w:hAnsi="Verdana" w:eastAsia="Calibri" w:cs="Arial"/>
          <w:lang w:val="es-ES_tradnl" w:eastAsia="es-ES_tradnl"/>
        </w:rPr>
      </w:pPr>
    </w:p>
    <w:p w:rsidRPr="006D4F5F" w:rsidR="00DB7CAA" w:rsidP="00DB7CAA" w:rsidRDefault="00DB7CAA" w14:paraId="4D8F366E" w14:textId="77777777">
      <w:pPr>
        <w:spacing w:after="0" w:line="240" w:lineRule="auto"/>
        <w:rPr>
          <w:rFonts w:ascii="Verdana" w:hAnsi="Verdana" w:eastAsia="Calibri" w:cs="Arial"/>
          <w:lang w:val="es-ES_tradnl" w:eastAsia="es-ES_tradnl"/>
        </w:rPr>
      </w:pPr>
    </w:p>
    <w:p w:rsidRPr="006D4F5F" w:rsidR="00DB7CAA" w:rsidP="00DB7CAA" w:rsidRDefault="00DB7CAA" w14:paraId="0A27F23B" w14:textId="77777777">
      <w:pPr>
        <w:spacing w:after="0" w:line="240" w:lineRule="auto"/>
        <w:ind w:left="2694"/>
        <w:rPr>
          <w:rFonts w:ascii="Verdana" w:hAnsi="Verdana" w:eastAsia="Calibri" w:cs="Arial"/>
          <w:b/>
          <w:bCs/>
          <w:lang w:val="es-ES" w:eastAsia="es-ES_tradnl"/>
        </w:rPr>
      </w:pPr>
      <w:r w:rsidRPr="006D4F5F">
        <w:rPr>
          <w:rFonts w:ascii="Verdana" w:hAnsi="Verdana" w:eastAsia="Calibri" w:cs="Arial"/>
          <w:b/>
          <w:bCs/>
          <w:lang w:val="es-ES" w:eastAsia="es-ES_tradnl"/>
        </w:rPr>
        <w:t>Concepto C-124 de 2024</w:t>
      </w:r>
    </w:p>
    <w:p w:rsidRPr="006D4F5F" w:rsidR="00DB7CAA" w:rsidP="00DB7CAA" w:rsidRDefault="00DB7CAA" w14:paraId="398473DC" w14:textId="77777777">
      <w:pPr>
        <w:spacing w:after="0" w:line="240" w:lineRule="auto"/>
        <w:jc w:val="both"/>
        <w:rPr>
          <w:rFonts w:ascii="Verdana" w:hAnsi="Verdana" w:eastAsia="Calibri" w:cs="Arial"/>
          <w:lang w:val="es-ES_tradnl" w:eastAsia="es-ES_tradnl"/>
        </w:rPr>
      </w:pPr>
    </w:p>
    <w:tbl>
      <w:tblPr>
        <w:tblStyle w:val="TableGrid"/>
        <w:tblW w:w="807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38"/>
        <w:gridCol w:w="6237"/>
      </w:tblGrid>
      <w:tr w:rsidRPr="006D4F5F" w:rsidR="00DB7CAA" w:rsidTr="009C1076" w14:paraId="6D55B8C1" w14:textId="77777777">
        <w:trPr>
          <w:jc w:val="right"/>
        </w:trPr>
        <w:tc>
          <w:tcPr>
            <w:tcW w:w="1838" w:type="dxa"/>
          </w:tcPr>
          <w:p w:rsidRPr="006D4F5F" w:rsidR="00DB7CAA" w:rsidP="009C1076" w:rsidRDefault="00DB7CAA" w14:paraId="295DA221" w14:textId="77777777">
            <w:pPr>
              <w:jc w:val="center"/>
              <w:rPr>
                <w:rFonts w:ascii="Verdana" w:hAnsi="Verdana" w:eastAsia="Calibri" w:cs="Arial"/>
                <w:lang w:val="es-ES_tradnl" w:eastAsia="es-ES_tradnl"/>
              </w:rPr>
            </w:pPr>
            <w:r w:rsidRPr="006D4F5F">
              <w:rPr>
                <w:rFonts w:ascii="Verdana" w:hAnsi="Verdana" w:eastAsia="Calibri" w:cs="Arial"/>
                <w:b/>
                <w:lang w:val="es-ES_tradnl" w:eastAsia="es-ES_tradnl"/>
              </w:rPr>
              <w:t>Temas:</w:t>
            </w:r>
          </w:p>
        </w:tc>
        <w:tc>
          <w:tcPr>
            <w:tcW w:w="6237" w:type="dxa"/>
          </w:tcPr>
          <w:p w:rsidRPr="00A34454" w:rsidR="00DB7CAA" w:rsidP="009C1076" w:rsidRDefault="00DB7CAA" w14:paraId="0821925A" w14:textId="5AEE884E">
            <w:pPr>
              <w:jc w:val="both"/>
              <w:textAlignment w:val="baseline"/>
              <w:rPr>
                <w:rFonts w:ascii="Verdana" w:hAnsi="Verdana" w:eastAsia="Times New Roman" w:cs="Arial"/>
                <w:lang w:eastAsia="es-ES_tradnl"/>
              </w:rPr>
            </w:pPr>
            <w:r w:rsidRPr="006D4F5F">
              <w:rPr>
                <w:rFonts w:ascii="Verdana" w:hAnsi="Verdana" w:eastAsia="Times New Roman" w:cs="Arial"/>
                <w:lang w:eastAsia="es-ES_tradnl"/>
              </w:rPr>
              <w:t>PLANEACIÓN – Estudios previos / ESTUDIOS PREVIOS – Análisis del sector – Planeación en los procesos de contratación pública / ESTUDIOS PREVIOS – Estudio del mercado</w:t>
            </w:r>
            <w:r w:rsidR="00A34454">
              <w:rPr>
                <w:rFonts w:ascii="Verdana" w:hAnsi="Verdana" w:eastAsia="Times New Roman" w:cs="Arial"/>
                <w:lang w:eastAsia="es-ES_tradnl"/>
              </w:rPr>
              <w:t xml:space="preserve"> / </w:t>
            </w:r>
            <w:r w:rsidRPr="00A34454" w:rsidR="00A34454">
              <w:rPr>
                <w:rFonts w:ascii="Verdana" w:hAnsi="Verdana" w:eastAsia="Times New Roman" w:cs="Arial"/>
                <w:lang w:eastAsia="es-ES_tradnl"/>
              </w:rPr>
              <w:t>GUÍAS Y MANUALES – Obligatoriedad</w:t>
            </w:r>
          </w:p>
          <w:p w:rsidRPr="006D4F5F" w:rsidR="00DB7CAA" w:rsidP="009C1076" w:rsidRDefault="00DB7CAA" w14:paraId="0AF82951" w14:textId="77777777">
            <w:pPr>
              <w:jc w:val="both"/>
              <w:rPr>
                <w:rFonts w:ascii="Verdana" w:hAnsi="Verdana" w:eastAsia="Times New Roman" w:cs="Arial"/>
                <w:lang w:val="es-ES_tradnl" w:eastAsia="es-ES_tradnl"/>
              </w:rPr>
            </w:pPr>
          </w:p>
        </w:tc>
      </w:tr>
      <w:tr w:rsidRPr="006D4F5F" w:rsidR="00DB7CAA" w:rsidTr="009C1076" w14:paraId="1C863699" w14:textId="77777777">
        <w:trPr>
          <w:jc w:val="right"/>
        </w:trPr>
        <w:tc>
          <w:tcPr>
            <w:tcW w:w="1838" w:type="dxa"/>
          </w:tcPr>
          <w:p w:rsidRPr="006D4F5F" w:rsidR="00DB7CAA" w:rsidP="009C1076" w:rsidRDefault="00DB7CAA" w14:paraId="0C9DA406" w14:textId="77777777">
            <w:pPr>
              <w:jc w:val="center"/>
              <w:rPr>
                <w:rFonts w:ascii="Verdana" w:hAnsi="Verdana" w:eastAsia="Calibri" w:cs="Arial"/>
                <w:b/>
                <w:lang w:val="es-ES" w:eastAsia="es-ES_tradnl"/>
              </w:rPr>
            </w:pPr>
            <w:r w:rsidRPr="006D4F5F">
              <w:rPr>
                <w:rFonts w:ascii="Verdana" w:hAnsi="Verdana" w:eastAsia="Calibri" w:cs="Arial"/>
                <w:b/>
                <w:lang w:val="es-ES" w:eastAsia="es-ES_tradnl"/>
              </w:rPr>
              <w:t>Radicación:</w:t>
            </w:r>
          </w:p>
        </w:tc>
        <w:tc>
          <w:tcPr>
            <w:tcW w:w="6237" w:type="dxa"/>
          </w:tcPr>
          <w:p w:rsidRPr="006D4F5F" w:rsidR="00DB7CAA" w:rsidP="009C1076" w:rsidRDefault="00DB7CAA" w14:paraId="16AA40D7" w14:textId="77777777">
            <w:pPr>
              <w:jc w:val="both"/>
              <w:rPr>
                <w:rFonts w:ascii="Verdana" w:hAnsi="Verdana" w:eastAsia="Calibri" w:cs="Arial"/>
                <w:lang w:val="es-ES" w:eastAsia="es-ES_tradnl"/>
              </w:rPr>
            </w:pPr>
            <w:r w:rsidRPr="006D4F5F">
              <w:rPr>
                <w:rFonts w:ascii="Verdana" w:hAnsi="Verdana" w:eastAsia="Calibri" w:cs="Arial"/>
                <w:lang w:val="es-ES" w:eastAsia="es-ES_tradnl"/>
              </w:rPr>
              <w:t xml:space="preserve">Respuesta a consulta radicado No. </w:t>
            </w:r>
            <w:r w:rsidRPr="006D4F5F">
              <w:rPr>
                <w:rFonts w:ascii="Verdana" w:hAnsi="Verdana" w:eastAsia="Times New Roman" w:cs="Arial"/>
                <w:lang w:eastAsia="es-ES_tradnl"/>
              </w:rPr>
              <w:t>P20240611005999</w:t>
            </w:r>
          </w:p>
        </w:tc>
      </w:tr>
    </w:tbl>
    <w:p w:rsidRPr="006D4F5F" w:rsidR="00DB7CAA" w:rsidP="00DB7CAA" w:rsidRDefault="00DB7CAA" w14:paraId="63E951CA" w14:textId="77777777">
      <w:pPr>
        <w:spacing w:after="0" w:line="240" w:lineRule="auto"/>
        <w:jc w:val="both"/>
        <w:rPr>
          <w:rFonts w:ascii="Verdana" w:hAnsi="Verdana" w:eastAsia="Calibri" w:cs="Arial"/>
          <w:lang w:val="es-ES_tradnl" w:eastAsia="es-ES_tradnl"/>
        </w:rPr>
      </w:pPr>
    </w:p>
    <w:p w:rsidRPr="006D4F5F" w:rsidR="00DB7CAA" w:rsidP="00DB7CAA" w:rsidRDefault="00DB7CAA" w14:paraId="08F393CB" w14:textId="77777777">
      <w:pPr>
        <w:spacing w:after="0" w:line="240" w:lineRule="auto"/>
        <w:jc w:val="both"/>
        <w:rPr>
          <w:rFonts w:ascii="Verdana" w:hAnsi="Verdana" w:eastAsia="Calibri" w:cs="Arial"/>
          <w:lang w:val="es-ES_tradnl" w:eastAsia="es-ES_tradnl"/>
        </w:rPr>
      </w:pPr>
    </w:p>
    <w:p w:rsidRPr="006D4F5F" w:rsidR="00DB7CAA" w:rsidP="00DB7CAA" w:rsidRDefault="00DB7CAA" w14:paraId="03798B52" w14:textId="77777777">
      <w:pPr>
        <w:spacing w:after="0" w:line="276" w:lineRule="auto"/>
        <w:contextualSpacing/>
        <w:jc w:val="both"/>
        <w:rPr>
          <w:rFonts w:ascii="Verdana" w:hAnsi="Verdana" w:eastAsia="Calibri" w:cs="Arial"/>
          <w:lang w:val="es-ES" w:eastAsia="es-ES"/>
        </w:rPr>
      </w:pPr>
      <w:r w:rsidRPr="3A444C6A">
        <w:rPr>
          <w:rFonts w:ascii="Verdana" w:hAnsi="Verdana" w:eastAsia="Calibri" w:cs="Arial"/>
          <w:lang w:val="es-ES" w:eastAsia="es-ES"/>
        </w:rPr>
        <w:t>Estimada señora Gutierrez:</w:t>
      </w:r>
    </w:p>
    <w:p w:rsidRPr="006D4F5F" w:rsidR="00DB7CAA" w:rsidP="00DB7CAA" w:rsidRDefault="00DB7CAA" w14:paraId="68E28195" w14:textId="77777777">
      <w:pPr>
        <w:spacing w:after="0" w:line="276" w:lineRule="auto"/>
        <w:contextualSpacing/>
        <w:jc w:val="both"/>
        <w:rPr>
          <w:rFonts w:ascii="Verdana" w:hAnsi="Verdana" w:eastAsia="Calibri" w:cs="Arial"/>
          <w:lang w:val="es-ES_tradnl" w:eastAsia="es-ES_tradnl"/>
        </w:rPr>
      </w:pPr>
    </w:p>
    <w:p w:rsidRPr="006D4F5F" w:rsidR="00DB7CAA" w:rsidP="00DB7CAA" w:rsidRDefault="00DB7CAA" w14:paraId="54922531" w14:textId="77777777">
      <w:pPr>
        <w:spacing w:after="0" w:line="276" w:lineRule="auto"/>
        <w:contextualSpacing/>
        <w:jc w:val="both"/>
        <w:rPr>
          <w:rFonts w:ascii="Verdana" w:hAnsi="Verdana" w:eastAsia="Calibri" w:cs="Arial"/>
          <w:lang w:val="es-ES" w:eastAsia="es-ES_tradnl"/>
        </w:rPr>
      </w:pPr>
      <w:r w:rsidRPr="006D4F5F">
        <w:rPr>
          <w:rFonts w:ascii="Verdana" w:hAnsi="Verdana" w:eastAsia="Calibri" w:cs="Arial"/>
          <w:lang w:val="es-ES" w:eastAsia="es-ES_tradnl"/>
        </w:rPr>
        <w:t>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su solicitud de consulta de fecha 11 de junio de 2024</w:t>
      </w:r>
      <w:r>
        <w:rPr>
          <w:rFonts w:ascii="Verdana" w:hAnsi="Verdana" w:eastAsia="Calibri" w:cs="Arial"/>
          <w:lang w:val="es-ES" w:eastAsia="es-ES_tradnl"/>
        </w:rPr>
        <w:t>, en la cual manifiesta lo siguiente:</w:t>
      </w:r>
    </w:p>
    <w:p w:rsidRPr="006D4F5F" w:rsidR="00DB7CAA" w:rsidP="00DB7CAA" w:rsidRDefault="00DB7CAA" w14:paraId="05A9B081" w14:textId="77777777">
      <w:pPr>
        <w:spacing w:after="0" w:line="276" w:lineRule="auto"/>
        <w:contextualSpacing/>
        <w:jc w:val="both"/>
        <w:rPr>
          <w:rFonts w:ascii="Verdana" w:hAnsi="Verdana" w:eastAsia="Calibri" w:cs="Arial"/>
          <w:b/>
          <w:szCs w:val="24"/>
          <w:lang w:val="es-ES_tradnl" w:eastAsia="es-ES_tradnl"/>
        </w:rPr>
      </w:pPr>
    </w:p>
    <w:p w:rsidR="00DB7CAA" w:rsidP="00DB7CAA" w:rsidRDefault="00DB7CAA" w14:paraId="59E50753" w14:textId="77777777">
      <w:pPr>
        <w:spacing w:after="0" w:line="240" w:lineRule="auto"/>
        <w:ind w:left="709" w:right="709"/>
        <w:contextualSpacing/>
        <w:jc w:val="both"/>
        <w:rPr>
          <w:rFonts w:ascii="Verdana" w:hAnsi="Verdana" w:eastAsia="Times New Roman" w:cs="Arial"/>
          <w:sz w:val="21"/>
          <w:szCs w:val="21"/>
          <w:lang w:eastAsia="es-ES_tradnl"/>
        </w:rPr>
      </w:pPr>
      <w:r w:rsidRPr="006D4F5F">
        <w:rPr>
          <w:rFonts w:ascii="Verdana" w:hAnsi="Verdana" w:eastAsia="Times New Roman" w:cs="Arial"/>
          <w:sz w:val="21"/>
          <w:szCs w:val="21"/>
          <w:lang w:eastAsia="es-ES_tradnl"/>
        </w:rPr>
        <w:t xml:space="preserve">“¿Cuáles metodologías podrían aplicar las entidades para la realización de estudios de mercado, además de las indicadas en la Guía para la Elaboración de Estudios del Sector y Estudios de Mercado? Teniendo en cuenta lo indicado en la Guía para Elaboración de Estudios del Sector los mecanismos para la determinación de costos son los análisis de precios históricos (análisis de demanda), solicitudes de cotización, consulta de bases de datos especializadas y revisión de precios regulados (si aplican), sin embargo, quisiera consultar si CCE aplica estas metodologías en todos sus procesos de contratación o si cuenta con fuentes adicionales, por ejemplo para determinar si se costea con precios unitarios o globales con factores </w:t>
      </w:r>
      <w:r w:rsidRPr="006D4F5F">
        <w:rPr>
          <w:rFonts w:ascii="Verdana" w:hAnsi="Verdana" w:eastAsia="Times New Roman" w:cs="Arial"/>
          <w:sz w:val="21"/>
          <w:szCs w:val="21"/>
          <w:lang w:eastAsia="es-ES_tradnl"/>
        </w:rPr>
        <w:lastRenderedPageBreak/>
        <w:t>multiplicadores en tipologías diferentes a Obra, como por ejemplo en las interventorías a obras o a contratos de concesión”.</w:t>
      </w:r>
    </w:p>
    <w:p w:rsidR="00DB7CAA" w:rsidP="00DB7CAA" w:rsidRDefault="00DB7CAA" w14:paraId="4256D96A" w14:textId="77777777">
      <w:pPr>
        <w:spacing w:after="0" w:line="240" w:lineRule="auto"/>
        <w:ind w:left="709" w:right="709"/>
        <w:contextualSpacing/>
        <w:jc w:val="both"/>
        <w:rPr>
          <w:rFonts w:ascii="Verdana" w:hAnsi="Verdana" w:eastAsia="Times New Roman" w:cs="Arial"/>
          <w:sz w:val="21"/>
          <w:szCs w:val="21"/>
          <w:lang w:eastAsia="es-ES_tradnl"/>
        </w:rPr>
      </w:pPr>
    </w:p>
    <w:p w:rsidR="00DB7CAA" w:rsidP="00DB7CAA" w:rsidRDefault="00DB7CAA" w14:paraId="18DF7E51" w14:textId="77777777">
      <w:pPr>
        <w:spacing w:after="120" w:line="276" w:lineRule="auto"/>
        <w:ind w:firstLine="709"/>
        <w:jc w:val="both"/>
        <w:rPr>
          <w:rFonts w:ascii="Verdana" w:hAnsi="Verdana" w:eastAsia="Calibri" w:cs="Arial"/>
          <w:color w:val="000000"/>
          <w:szCs w:val="24"/>
          <w:lang w:val="es-ES_tradnl" w:eastAsia="es-ES_tradnl"/>
        </w:rPr>
      </w:pPr>
      <w:r w:rsidRPr="00593A5F">
        <w:rPr>
          <w:rFonts w:ascii="Verdana" w:hAnsi="Verdana" w:eastAsia="Calibri"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hAnsi="Verdana" w:eastAsia="Calibri" w:cs="Arial"/>
          <w:color w:val="000000"/>
          <w:szCs w:val="24"/>
          <w:lang w:val="es-ES_tradnl" w:eastAsia="es-ES_tradnl"/>
        </w:rPr>
        <w:tab/>
      </w:r>
    </w:p>
    <w:p w:rsidRPr="00D96AFA" w:rsidR="00DB7CAA" w:rsidP="00DB7CAA" w:rsidRDefault="00DB7CAA" w14:paraId="50FDB5DA" w14:textId="77777777">
      <w:pPr>
        <w:spacing w:after="0" w:line="276" w:lineRule="auto"/>
        <w:ind w:firstLine="709"/>
        <w:jc w:val="both"/>
        <w:rPr>
          <w:rFonts w:ascii="Verdana" w:hAnsi="Verdana" w:eastAsia="Calibri" w:cs="Arial"/>
          <w:lang w:val="es-ES" w:eastAsia="es-ES"/>
        </w:rPr>
      </w:pPr>
      <w:r w:rsidRPr="00D96AFA">
        <w:rPr>
          <w:rFonts w:ascii="Verdana" w:hAnsi="Verdana" w:eastAsia="Calibri"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Pr>
          <w:rFonts w:ascii="Verdana" w:hAnsi="Verdana" w:eastAsia="Calibri" w:cs="Arial"/>
          <w:lang w:val="es-ES" w:eastAsia="es-ES"/>
        </w:rPr>
        <w:t>los</w:t>
      </w:r>
      <w:r w:rsidRPr="00D96AFA">
        <w:rPr>
          <w:rFonts w:ascii="Verdana" w:hAnsi="Verdana" w:eastAsia="Calibri" w:cs="Arial"/>
          <w:lang w:val="es-ES" w:eastAsia="es-ES"/>
        </w:rPr>
        <w:t xml:space="preserve"> problema</w:t>
      </w:r>
      <w:r>
        <w:rPr>
          <w:rFonts w:ascii="Verdana" w:hAnsi="Verdana" w:eastAsia="Calibri" w:cs="Arial"/>
          <w:lang w:val="es-ES" w:eastAsia="es-ES"/>
        </w:rPr>
        <w:t>s</w:t>
      </w:r>
      <w:r w:rsidRPr="00D96AFA">
        <w:rPr>
          <w:rFonts w:ascii="Verdana" w:hAnsi="Verdana" w:eastAsia="Calibri" w:cs="Arial"/>
          <w:lang w:val="es-ES" w:eastAsia="es-ES"/>
        </w:rPr>
        <w:t xml:space="preserve"> jurídico</w:t>
      </w:r>
      <w:r>
        <w:rPr>
          <w:rFonts w:ascii="Verdana" w:hAnsi="Verdana" w:eastAsia="Calibri" w:cs="Arial"/>
          <w:lang w:val="es-ES" w:eastAsia="es-ES"/>
        </w:rPr>
        <w:t>s</w:t>
      </w:r>
      <w:r w:rsidRPr="00D96AFA">
        <w:rPr>
          <w:rFonts w:ascii="Verdana" w:hAnsi="Verdana" w:eastAsia="Calibri" w:cs="Arial"/>
          <w:lang w:val="es-ES" w:eastAsia="es-ES"/>
        </w:rPr>
        <w:t xml:space="preserve"> de su consulta. </w:t>
      </w:r>
    </w:p>
    <w:p w:rsidRPr="006D4F5F" w:rsidR="00DB7CAA" w:rsidP="00DB7CAA" w:rsidRDefault="00DB7CAA" w14:paraId="30365087" w14:textId="77777777">
      <w:pPr>
        <w:spacing w:after="0" w:line="276" w:lineRule="auto"/>
        <w:contextualSpacing/>
        <w:jc w:val="both"/>
        <w:rPr>
          <w:rFonts w:ascii="Verdana" w:hAnsi="Verdana" w:eastAsia="Times New Roman" w:cs="Arial"/>
          <w:szCs w:val="24"/>
          <w:lang w:val="es-ES_tradnl" w:eastAsia="es-ES_tradnl"/>
        </w:rPr>
      </w:pPr>
    </w:p>
    <w:p w:rsidRPr="006D4F5F" w:rsidR="00DB7CAA" w:rsidP="00DB7CAA" w:rsidRDefault="00DB7CAA" w14:paraId="2EBC06D6" w14:textId="77777777">
      <w:pPr>
        <w:tabs>
          <w:tab w:val="left" w:pos="0"/>
          <w:tab w:val="left" w:pos="284"/>
        </w:tabs>
        <w:spacing w:after="0" w:line="276" w:lineRule="auto"/>
        <w:contextualSpacing/>
        <w:jc w:val="both"/>
        <w:rPr>
          <w:rFonts w:ascii="Verdana" w:hAnsi="Verdana" w:eastAsia="Calibri" w:cs="Arial"/>
          <w:b/>
          <w:lang w:val="es-ES_tradnl"/>
        </w:rPr>
      </w:pPr>
      <w:r>
        <w:rPr>
          <w:rFonts w:ascii="Verdana" w:hAnsi="Verdana" w:eastAsia="Calibri" w:cs="Arial"/>
          <w:b/>
          <w:lang w:val="es-ES_tradnl"/>
        </w:rPr>
        <w:t>1. Problema planteado:</w:t>
      </w:r>
    </w:p>
    <w:p w:rsidRPr="006D4F5F" w:rsidR="00DB7CAA" w:rsidP="00DB7CAA" w:rsidRDefault="00DB7CAA" w14:paraId="7E5F17A1" w14:textId="77777777">
      <w:pPr>
        <w:tabs>
          <w:tab w:val="left" w:pos="0"/>
          <w:tab w:val="left" w:pos="284"/>
        </w:tabs>
        <w:spacing w:after="0" w:line="276" w:lineRule="auto"/>
        <w:contextualSpacing/>
        <w:jc w:val="both"/>
        <w:rPr>
          <w:rFonts w:ascii="Verdana" w:hAnsi="Verdana" w:eastAsia="Calibri" w:cs="Arial"/>
          <w:b/>
          <w:lang w:val="es-ES_tradnl"/>
        </w:rPr>
      </w:pPr>
    </w:p>
    <w:p w:rsidRPr="00D96AFA" w:rsidR="00DB7CAA" w:rsidP="00DB7CAA" w:rsidRDefault="00DB7CAA" w14:paraId="211A7E2A" w14:textId="0040B047">
      <w:pPr>
        <w:spacing w:after="0" w:line="276" w:lineRule="auto"/>
        <w:jc w:val="both"/>
        <w:rPr>
          <w:rFonts w:ascii="Verdana" w:hAnsi="Verdana" w:eastAsia="Century Gothic" w:cs="Century Gothic"/>
        </w:rPr>
      </w:pPr>
      <w:r w:rsidRPr="00D96AFA">
        <w:rPr>
          <w:rFonts w:ascii="Verdana" w:hAnsi="Verdana" w:eastAsia="Century Gothic" w:cs="Century Gothic"/>
        </w:rPr>
        <w:t xml:space="preserve">De acuerdo con el contenido de su solicitud, esta Agencia resolverá </w:t>
      </w:r>
      <w:r>
        <w:rPr>
          <w:rFonts w:ascii="Verdana" w:hAnsi="Verdana" w:eastAsia="Century Gothic" w:cs="Century Gothic"/>
        </w:rPr>
        <w:t xml:space="preserve">los </w:t>
      </w:r>
      <w:r w:rsidRPr="00D96AFA">
        <w:rPr>
          <w:rFonts w:ascii="Verdana" w:hAnsi="Verdana" w:eastAsia="Century Gothic" w:cs="Century Gothic"/>
        </w:rPr>
        <w:t>siguiente</w:t>
      </w:r>
      <w:r>
        <w:rPr>
          <w:rFonts w:ascii="Verdana" w:hAnsi="Verdana" w:eastAsia="Century Gothic" w:cs="Century Gothic"/>
        </w:rPr>
        <w:t>s</w:t>
      </w:r>
      <w:r w:rsidRPr="00D96AFA">
        <w:rPr>
          <w:rFonts w:ascii="Verdana" w:hAnsi="Verdana" w:eastAsia="Century Gothic" w:cs="Century Gothic"/>
        </w:rPr>
        <w:t xml:space="preserve"> problemas jurídic</w:t>
      </w:r>
      <w:r>
        <w:rPr>
          <w:rFonts w:ascii="Verdana" w:hAnsi="Verdana" w:eastAsia="Century Gothic" w:cs="Century Gothic"/>
        </w:rPr>
        <w:t>os</w:t>
      </w:r>
      <w:r w:rsidRPr="00D96AFA">
        <w:rPr>
          <w:rFonts w:ascii="Verdana" w:hAnsi="Verdana" w:eastAsia="Century Gothic" w:cs="Century Gothic"/>
        </w:rPr>
        <w:t>: ¿Existen otras metodologías para realizar estudios del mercado además de las señaladas en la Guía de C</w:t>
      </w:r>
      <w:r w:rsidR="00A900B2">
        <w:rPr>
          <w:rFonts w:ascii="Verdana" w:hAnsi="Verdana" w:eastAsia="Century Gothic" w:cs="Century Gothic"/>
        </w:rPr>
        <w:t>olombia Compra Eficiente</w:t>
      </w:r>
      <w:r w:rsidRPr="00D96AFA">
        <w:rPr>
          <w:rFonts w:ascii="Verdana" w:hAnsi="Verdana" w:eastAsia="Century Gothic" w:cs="Century Gothic"/>
        </w:rPr>
        <w:t xml:space="preserve">? </w:t>
      </w:r>
      <w:r w:rsidR="00A900B2">
        <w:rPr>
          <w:rFonts w:ascii="Verdana" w:hAnsi="Verdana" w:eastAsia="Century Gothic" w:cs="Century Gothic"/>
        </w:rPr>
        <w:t xml:space="preserve">y </w:t>
      </w:r>
      <w:r w:rsidRPr="00D96AFA">
        <w:rPr>
          <w:rFonts w:ascii="Verdana" w:hAnsi="Verdana" w:eastAsia="Century Gothic" w:cs="Century Gothic"/>
        </w:rPr>
        <w:t xml:space="preserve"> ¿Cuáles metodologías aplica C</w:t>
      </w:r>
      <w:r w:rsidR="00A900B2">
        <w:rPr>
          <w:rFonts w:ascii="Verdana" w:hAnsi="Verdana" w:eastAsia="Century Gothic" w:cs="Century Gothic"/>
        </w:rPr>
        <w:t>olombia Compra Eficiente</w:t>
      </w:r>
      <w:r w:rsidRPr="00D96AFA">
        <w:rPr>
          <w:rFonts w:ascii="Verdana" w:hAnsi="Verdana" w:eastAsia="Century Gothic" w:cs="Century Gothic"/>
        </w:rPr>
        <w:t xml:space="preserve"> en sus procesos de contratación para hacer estudios del mercado? </w:t>
      </w:r>
    </w:p>
    <w:p w:rsidR="00DB7CAA" w:rsidP="00DB7CAA" w:rsidRDefault="00DB7CAA" w14:paraId="1066E2B5" w14:textId="77777777">
      <w:pPr>
        <w:spacing w:after="0" w:line="276" w:lineRule="auto"/>
        <w:ind w:firstLine="709"/>
        <w:jc w:val="both"/>
        <w:rPr>
          <w:rFonts w:ascii="Verdana" w:hAnsi="Verdana" w:eastAsia="Calibri" w:cs="Arial"/>
          <w:lang w:val="es-ES" w:eastAsia="es-ES_tradnl"/>
        </w:rPr>
      </w:pPr>
    </w:p>
    <w:p w:rsidRPr="006D4F5F" w:rsidR="00DB7CAA" w:rsidP="00DB7CAA" w:rsidRDefault="00DB7CAA" w14:paraId="5613FE3D" w14:textId="77777777">
      <w:pPr>
        <w:tabs>
          <w:tab w:val="left" w:pos="142"/>
          <w:tab w:val="left" w:pos="284"/>
        </w:tabs>
        <w:spacing w:after="0" w:line="276" w:lineRule="auto"/>
        <w:jc w:val="both"/>
        <w:rPr>
          <w:rFonts w:ascii="Verdana" w:hAnsi="Verdana" w:eastAsia="Century Gothic" w:cs="Century Gothic"/>
          <w:b/>
          <w:bCs/>
        </w:rPr>
      </w:pPr>
      <w:r>
        <w:rPr>
          <w:rFonts w:ascii="Verdana" w:hAnsi="Verdana" w:eastAsia="Century Gothic" w:cs="Century Gothic"/>
          <w:b/>
          <w:bCs/>
        </w:rPr>
        <w:t xml:space="preserve">2. </w:t>
      </w:r>
      <w:r w:rsidRPr="006D4F5F">
        <w:rPr>
          <w:rFonts w:ascii="Verdana" w:hAnsi="Verdana" w:eastAsia="Century Gothic" w:cs="Century Gothic"/>
          <w:b/>
          <w:bCs/>
        </w:rPr>
        <w:t>Respuesta:</w:t>
      </w:r>
    </w:p>
    <w:p w:rsidRPr="00593A5F" w:rsidR="00DB7CAA" w:rsidP="00DB7CAA" w:rsidRDefault="00DB7CAA" w14:paraId="580D44BF" w14:textId="77777777">
      <w:pPr>
        <w:tabs>
          <w:tab w:val="left" w:pos="142"/>
          <w:tab w:val="left" w:pos="284"/>
        </w:tabs>
        <w:spacing w:after="0" w:line="276" w:lineRule="auto"/>
        <w:jc w:val="both"/>
        <w:rPr>
          <w:rFonts w:ascii="Verdana" w:hAnsi="Verdana" w:eastAsia="Century Gothic" w:cs="Century Gothic"/>
          <w:b/>
          <w:bCs/>
          <w:lang w:val="es-ES"/>
        </w:rPr>
      </w:pPr>
    </w:p>
    <w:tbl>
      <w:tblPr>
        <w:tblStyle w:val="TableGrid"/>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593A5F" w:rsidR="00DB7CAA" w:rsidTr="009C1076" w14:paraId="0C9FDEA7" w14:textId="77777777">
        <w:tc>
          <w:tcPr>
            <w:tcW w:w="8828" w:type="dxa"/>
            <w:shd w:val="clear" w:color="auto" w:fill="auto"/>
          </w:tcPr>
          <w:p w:rsidR="008A306B" w:rsidP="00A34454" w:rsidRDefault="00A900B2" w14:paraId="4196C9FE" w14:textId="4EB6DC4B">
            <w:pPr>
              <w:spacing w:after="120" w:line="276" w:lineRule="auto"/>
              <w:jc w:val="both"/>
              <w:rPr>
                <w:rFonts w:ascii="Verdana" w:hAnsi="Verdana" w:eastAsia="Calibri" w:cs="Arial"/>
                <w:szCs w:val="24"/>
                <w:lang w:val="es-ES" w:eastAsia="es-ES_tradnl"/>
              </w:rPr>
            </w:pPr>
            <w:r>
              <w:rPr>
                <w:rFonts w:ascii="Verdana" w:hAnsi="Verdana" w:eastAsia="Calibri" w:cs="Arial"/>
                <w:szCs w:val="24"/>
                <w:lang w:val="es-ES" w:eastAsia="es-ES_tradnl"/>
              </w:rPr>
              <w:t xml:space="preserve">Respecto al primer interrogante, </w:t>
            </w:r>
            <w:r w:rsidRPr="006D4F5F" w:rsidR="00DB7CAA">
              <w:rPr>
                <w:rFonts w:ascii="Verdana" w:hAnsi="Verdana" w:eastAsia="Calibri" w:cs="Arial"/>
                <w:szCs w:val="24"/>
                <w:lang w:val="es-ES" w:eastAsia="es-ES_tradnl"/>
              </w:rPr>
              <w:t xml:space="preserve"> las metodologías señaladas en la Guía </w:t>
            </w:r>
            <w:r w:rsidRPr="006D4F5F">
              <w:rPr>
                <w:rFonts w:ascii="Verdana" w:hAnsi="Verdana" w:eastAsia="Times New Roman" w:cs="Arial"/>
                <w:sz w:val="21"/>
                <w:szCs w:val="21"/>
                <w:lang w:eastAsia="es-ES_tradnl"/>
              </w:rPr>
              <w:t xml:space="preserve">para la Elaboración de Estudios del Sector </w:t>
            </w:r>
            <w:r>
              <w:rPr>
                <w:rFonts w:ascii="Verdana" w:hAnsi="Verdana" w:eastAsia="Times New Roman" w:cs="Arial"/>
                <w:sz w:val="21"/>
                <w:szCs w:val="21"/>
                <w:lang w:eastAsia="es-ES_tradnl"/>
              </w:rPr>
              <w:t xml:space="preserve">expedida por esta entidad, </w:t>
            </w:r>
            <w:r w:rsidRPr="006D4F5F" w:rsidR="00DB7CAA">
              <w:rPr>
                <w:rFonts w:ascii="Verdana" w:hAnsi="Verdana" w:eastAsia="Calibri" w:cs="Arial"/>
                <w:szCs w:val="24"/>
                <w:lang w:val="es-ES" w:eastAsia="es-ES_tradnl"/>
              </w:rPr>
              <w:t xml:space="preserve">son un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w:t>
            </w:r>
            <w:r w:rsidRPr="006D4F5F" w:rsidR="00DB7CAA">
              <w:rPr>
                <w:rFonts w:ascii="Verdana" w:hAnsi="Verdana" w:eastAsia="Calibri" w:cs="Arial"/>
                <w:szCs w:val="24"/>
                <w:lang w:val="es-ES" w:eastAsia="es-ES_tradnl"/>
              </w:rPr>
              <w:lastRenderedPageBreak/>
              <w:t>riesgo</w:t>
            </w:r>
            <w:r w:rsidR="008A306B">
              <w:rPr>
                <w:rFonts w:ascii="Verdana" w:hAnsi="Verdana" w:eastAsia="Calibri" w:cs="Arial"/>
                <w:szCs w:val="24"/>
                <w:lang w:val="es-ES" w:eastAsia="es-ES_tradnl"/>
              </w:rPr>
              <w:t xml:space="preserve">; no obstante, las Entidades Públicas gozan de autonomía </w:t>
            </w:r>
            <w:r w:rsidRPr="008A306B" w:rsidR="008A306B">
              <w:rPr>
                <w:rFonts w:ascii="Verdana" w:hAnsi="Verdana" w:eastAsia="Calibri" w:cs="Arial"/>
                <w:szCs w:val="24"/>
                <w:lang w:eastAsia="es-ES_tradnl"/>
              </w:rPr>
              <w:t xml:space="preserve">razonada, a la hora de </w:t>
            </w:r>
            <w:r w:rsidR="008A306B">
              <w:rPr>
                <w:rFonts w:ascii="Verdana" w:hAnsi="Verdana" w:eastAsia="Calibri" w:cs="Arial"/>
                <w:szCs w:val="24"/>
                <w:lang w:eastAsia="es-ES_tradnl"/>
              </w:rPr>
              <w:t>aplicar una metodología para elaborar el Estudio del Sector, para lo cual dentro de su Manual de Contratación establecerán aquella que consideren pertinente,  siempre y cuando acaten la</w:t>
            </w:r>
            <w:r w:rsidRPr="008A306B" w:rsidR="008A306B">
              <w:rPr>
                <w:rFonts w:ascii="Verdana" w:hAnsi="Verdana" w:eastAsia="Calibri" w:cs="Arial"/>
                <w:szCs w:val="24"/>
                <w:lang w:eastAsia="es-ES_tradnl"/>
              </w:rPr>
              <w:t xml:space="preserve"> Ley 1150 de 2007 y el Decreto 1082 de 2015</w:t>
            </w:r>
            <w:r w:rsidR="008A306B">
              <w:rPr>
                <w:rFonts w:ascii="Verdana" w:hAnsi="Verdana" w:eastAsia="Calibri" w:cs="Arial"/>
                <w:szCs w:val="24"/>
                <w:lang w:val="es-ES" w:eastAsia="es-ES_tradnl"/>
              </w:rPr>
              <w:t xml:space="preserve"> frente a esta materia.</w:t>
            </w:r>
          </w:p>
          <w:p w:rsidRPr="006D4F5F" w:rsidR="00DB7CAA" w:rsidP="009C1076" w:rsidRDefault="007B447C" w14:paraId="188AB1A1" w14:textId="26197717">
            <w:pPr>
              <w:spacing w:after="120" w:line="276" w:lineRule="auto"/>
              <w:ind w:firstLine="851"/>
              <w:jc w:val="both"/>
              <w:rPr>
                <w:rFonts w:ascii="Verdana" w:hAnsi="Verdana" w:eastAsia="Calibri" w:cs="Arial"/>
                <w:szCs w:val="24"/>
                <w:lang w:val="es-ES" w:eastAsia="es-ES_tradnl"/>
              </w:rPr>
            </w:pPr>
            <w:r>
              <w:rPr>
                <w:rFonts w:ascii="Verdana" w:hAnsi="Verdana" w:eastAsia="Calibri" w:cs="Arial"/>
                <w:szCs w:val="24"/>
                <w:lang w:val="es-ES" w:eastAsia="es-ES_tradnl"/>
              </w:rPr>
              <w:t xml:space="preserve">De igual manera, vale la pena señalar que </w:t>
            </w:r>
            <w:r w:rsidRPr="006D4F5F" w:rsidR="00DB7CAA">
              <w:rPr>
                <w:rFonts w:ascii="Verdana" w:hAnsi="Verdana" w:eastAsia="Calibri" w:cs="Arial"/>
                <w:szCs w:val="24"/>
                <w:lang w:val="es-ES" w:eastAsia="es-ES_tradnl"/>
              </w:rPr>
              <w:t>la Guía</w:t>
            </w:r>
            <w:r>
              <w:rPr>
                <w:rFonts w:ascii="Verdana" w:hAnsi="Verdana" w:eastAsia="Calibri" w:cs="Arial"/>
                <w:szCs w:val="24"/>
                <w:lang w:val="es-ES" w:eastAsia="es-ES_tradnl"/>
              </w:rPr>
              <w:t xml:space="preserve"> expedida por esta entidad, </w:t>
            </w:r>
            <w:r w:rsidRPr="006D4F5F" w:rsidR="00DB7CAA">
              <w:rPr>
                <w:rFonts w:ascii="Verdana" w:hAnsi="Verdana" w:eastAsia="Calibri" w:cs="Arial"/>
                <w:szCs w:val="24"/>
                <w:lang w:val="es-ES" w:eastAsia="es-ES_tradnl"/>
              </w:rPr>
              <w:t>contiene recomendaciones generales por lo que no debe aplicarse de manera mecánica, pues la profundidad del estudio del sector depende de la complejidad y particularidades de cada Proceso de Contratación.</w:t>
            </w:r>
          </w:p>
          <w:p w:rsidRPr="00D96AFA" w:rsidR="00DB7CAA" w:rsidP="009C1076" w:rsidRDefault="00DB7CAA" w14:paraId="1BCD3C64" w14:textId="6CF0F923">
            <w:pPr>
              <w:spacing w:after="120" w:line="276" w:lineRule="auto"/>
              <w:ind w:firstLine="851"/>
              <w:jc w:val="both"/>
              <w:rPr>
                <w:rFonts w:ascii="Verdana" w:hAnsi="Verdana" w:eastAsia="Calibri" w:cs="Arial"/>
                <w:szCs w:val="24"/>
                <w:lang w:val="es-ES" w:eastAsia="es-ES_tradnl"/>
              </w:rPr>
            </w:pPr>
            <w:r w:rsidRPr="00D96AFA">
              <w:rPr>
                <w:rFonts w:ascii="Verdana" w:hAnsi="Verdana" w:eastAsia="Calibri" w:cs="Arial"/>
                <w:szCs w:val="24"/>
                <w:lang w:val="es-ES" w:eastAsia="es-ES_tradnl"/>
              </w:rPr>
              <w:t xml:space="preserve">Por otra parte, respecto </w:t>
            </w:r>
            <w:r w:rsidR="007B447C">
              <w:rPr>
                <w:rFonts w:ascii="Verdana" w:hAnsi="Verdana" w:eastAsia="Calibri" w:cs="Arial"/>
                <w:szCs w:val="24"/>
                <w:lang w:val="es-ES" w:eastAsia="es-ES_tradnl"/>
              </w:rPr>
              <w:t xml:space="preserve">al segundo interrogante </w:t>
            </w:r>
            <w:r w:rsidR="009225A7">
              <w:rPr>
                <w:rFonts w:ascii="Verdana" w:hAnsi="Verdana" w:eastAsia="Calibri" w:cs="Arial"/>
                <w:szCs w:val="24"/>
                <w:lang w:val="es-ES" w:eastAsia="es-ES_tradnl"/>
              </w:rPr>
              <w:t xml:space="preserve">planteado, </w:t>
            </w:r>
            <w:r w:rsidRPr="00D96AFA" w:rsidR="009225A7">
              <w:rPr>
                <w:rFonts w:ascii="Verdana" w:hAnsi="Verdana" w:eastAsia="Calibri" w:cs="Arial"/>
                <w:szCs w:val="24"/>
                <w:lang w:val="es-ES" w:eastAsia="es-ES_tradnl"/>
              </w:rPr>
              <w:t>sobre</w:t>
            </w:r>
            <w:r w:rsidRPr="00D96AFA">
              <w:rPr>
                <w:rFonts w:ascii="Verdana" w:hAnsi="Verdana" w:eastAsia="Calibri" w:cs="Arial"/>
                <w:szCs w:val="24"/>
                <w:lang w:val="es-ES" w:eastAsia="es-ES_tradnl"/>
              </w:rPr>
              <w:t xml:space="preserve"> las metodologías que utiliza CCE en sus procesos de contratación para realizar estudios del mercado, la Secretaría General de Colombia Compra Eficiente responde:</w:t>
            </w:r>
          </w:p>
          <w:p w:rsidRPr="006D4F5F" w:rsidR="00DB7CAA" w:rsidP="009C1076" w:rsidRDefault="00DB7CAA" w14:paraId="2B928612" w14:textId="77777777">
            <w:pPr>
              <w:spacing w:line="276" w:lineRule="auto"/>
              <w:ind w:firstLine="851"/>
              <w:jc w:val="both"/>
              <w:rPr>
                <w:rFonts w:ascii="Verdana" w:hAnsi="Verdana" w:eastAsia="Times New Roman" w:cs="Arial"/>
                <w:lang w:eastAsia="es-ES_tradnl"/>
              </w:rPr>
            </w:pPr>
          </w:p>
          <w:p w:rsidRPr="006D4F5F" w:rsidR="00DB7CAA" w:rsidP="009C1076" w:rsidRDefault="00DB7CAA" w14:paraId="2F2E2DCB" w14:textId="77777777">
            <w:pPr>
              <w:ind w:left="1560" w:leftChars="709" w:right="709"/>
              <w:jc w:val="both"/>
              <w:rPr>
                <w:rFonts w:ascii="Verdana" w:hAnsi="Verdana" w:eastAsia="Times New Roman" w:cs="Arial"/>
                <w:sz w:val="21"/>
                <w:szCs w:val="21"/>
                <w:lang w:eastAsia="es-ES_tradnl"/>
              </w:rPr>
            </w:pPr>
            <w:r>
              <w:rPr>
                <w:rFonts w:ascii="Verdana" w:hAnsi="Verdana" w:eastAsia="Times New Roman" w:cs="Arial"/>
                <w:sz w:val="21"/>
                <w:szCs w:val="21"/>
                <w:lang w:eastAsia="es-ES_tradnl"/>
              </w:rPr>
              <w:t>“</w:t>
            </w:r>
            <w:r w:rsidRPr="006D4F5F">
              <w:rPr>
                <w:rFonts w:ascii="Verdana" w:hAnsi="Verdana" w:eastAsia="Times New Roman" w:cs="Arial"/>
                <w:sz w:val="21"/>
                <w:szCs w:val="21"/>
                <w:lang w:eastAsia="es-ES_tradnl"/>
              </w:rPr>
              <w:t>El Grupo Interno de Trabajo de Gestión contractual, asuntos legales y judiciales de la Secretaría General de la Agencia, grupo interno encargado de adelantar todos los procesos de contratación para la adquisición de bienes y servicios que permiten el normal y correcto funcionamiento de la entidad, se apoya en las herramientas metodológicas ofrecidas por el Modelo de Abastecimiento Estratégico para la estructuración del análisis del sector y los estudios del mercado, para la determinación del valor oficial de los procesos de contratación de carácter competitivo, puntualmente, las herramientas utilizadas son:</w:t>
            </w:r>
          </w:p>
          <w:p w:rsidRPr="006D4F5F" w:rsidR="00DB7CAA" w:rsidP="009C1076" w:rsidRDefault="00DB7CAA" w14:paraId="199F82A4" w14:textId="77777777">
            <w:pPr>
              <w:ind w:left="1560" w:leftChars="709" w:right="709" w:firstLine="851"/>
              <w:jc w:val="both"/>
              <w:rPr>
                <w:rFonts w:ascii="Verdana" w:hAnsi="Verdana" w:eastAsia="Times New Roman" w:cs="Arial"/>
                <w:sz w:val="21"/>
                <w:szCs w:val="21"/>
                <w:lang w:eastAsia="es-ES_tradnl"/>
              </w:rPr>
            </w:pPr>
          </w:p>
          <w:p w:rsidRPr="006D4F5F" w:rsidR="00DB7CAA" w:rsidP="009C1076" w:rsidRDefault="00DB7CAA" w14:paraId="17638268" w14:textId="77777777">
            <w:pPr>
              <w:pStyle w:val="ListParagraph"/>
              <w:numPr>
                <w:ilvl w:val="0"/>
                <w:numId w:val="7"/>
              </w:numPr>
              <w:ind w:left="1920" w:leftChars="709" w:right="709"/>
              <w:jc w:val="both"/>
              <w:rPr>
                <w:rFonts w:ascii="Verdana" w:hAnsi="Verdana" w:eastAsia="Times New Roman" w:cs="Arial"/>
                <w:sz w:val="21"/>
                <w:szCs w:val="21"/>
                <w:lang w:eastAsia="es-ES_tradnl"/>
              </w:rPr>
            </w:pPr>
            <w:r w:rsidRPr="006D4F5F">
              <w:rPr>
                <w:rFonts w:ascii="Verdana" w:hAnsi="Verdana" w:eastAsia="Times New Roman" w:cs="Arial"/>
                <w:sz w:val="21"/>
                <w:szCs w:val="21"/>
                <w:lang w:eastAsia="es-ES_tradnl"/>
              </w:rPr>
              <w:t>Análisis del gasto histórico.</w:t>
            </w:r>
          </w:p>
          <w:p w:rsidRPr="006D4F5F" w:rsidR="00DB7CAA" w:rsidP="009C1076" w:rsidRDefault="00DB7CAA" w14:paraId="5F8E856E" w14:textId="77777777">
            <w:pPr>
              <w:pStyle w:val="ListParagraph"/>
              <w:numPr>
                <w:ilvl w:val="0"/>
                <w:numId w:val="7"/>
              </w:numPr>
              <w:ind w:left="1920" w:leftChars="709" w:right="709"/>
              <w:jc w:val="both"/>
              <w:rPr>
                <w:rFonts w:ascii="Verdana" w:hAnsi="Verdana" w:eastAsia="Times New Roman" w:cs="Arial"/>
                <w:sz w:val="21"/>
                <w:szCs w:val="21"/>
                <w:lang w:eastAsia="es-ES_tradnl"/>
              </w:rPr>
            </w:pPr>
            <w:r w:rsidRPr="006D4F5F">
              <w:rPr>
                <w:rFonts w:ascii="Verdana" w:hAnsi="Verdana" w:eastAsia="Times New Roman" w:cs="Arial"/>
                <w:sz w:val="21"/>
                <w:szCs w:val="21"/>
                <w:lang w:eastAsia="es-ES_tradnl"/>
              </w:rPr>
              <w:t>Análisis de la demanda.</w:t>
            </w:r>
          </w:p>
          <w:p w:rsidRPr="006D4F5F" w:rsidR="00DB7CAA" w:rsidP="009C1076" w:rsidRDefault="00DB7CAA" w14:paraId="79A1A8E5" w14:textId="77777777">
            <w:pPr>
              <w:pStyle w:val="ListParagraph"/>
              <w:numPr>
                <w:ilvl w:val="0"/>
                <w:numId w:val="7"/>
              </w:numPr>
              <w:ind w:left="1920" w:leftChars="709" w:right="709"/>
              <w:jc w:val="both"/>
              <w:rPr>
                <w:rFonts w:ascii="Verdana" w:hAnsi="Verdana" w:eastAsia="Times New Roman" w:cs="Arial"/>
                <w:sz w:val="21"/>
                <w:szCs w:val="21"/>
                <w:lang w:eastAsia="es-ES_tradnl"/>
              </w:rPr>
            </w:pPr>
            <w:r w:rsidRPr="006D4F5F">
              <w:rPr>
                <w:rFonts w:ascii="Verdana" w:hAnsi="Verdana" w:eastAsia="Times New Roman" w:cs="Arial"/>
                <w:sz w:val="21"/>
                <w:szCs w:val="21"/>
                <w:lang w:eastAsia="es-ES_tradnl"/>
              </w:rPr>
              <w:t>Análisis de la oferta.</w:t>
            </w:r>
          </w:p>
          <w:p w:rsidRPr="006D4F5F" w:rsidR="00DB7CAA" w:rsidP="009C1076" w:rsidRDefault="00DB7CAA" w14:paraId="49D95486" w14:textId="77777777">
            <w:pPr>
              <w:pStyle w:val="ListParagraph"/>
              <w:numPr>
                <w:ilvl w:val="0"/>
                <w:numId w:val="7"/>
              </w:numPr>
              <w:ind w:left="1920" w:leftChars="709" w:right="709"/>
              <w:jc w:val="both"/>
              <w:rPr>
                <w:rFonts w:ascii="Verdana" w:hAnsi="Verdana" w:eastAsia="Times New Roman" w:cs="Arial"/>
                <w:lang w:eastAsia="es-ES_tradnl"/>
              </w:rPr>
            </w:pPr>
            <w:r w:rsidRPr="006D4F5F">
              <w:rPr>
                <w:rFonts w:ascii="Verdana" w:hAnsi="Verdana" w:eastAsia="Times New Roman" w:cs="Arial"/>
                <w:sz w:val="21"/>
                <w:szCs w:val="21"/>
                <w:lang w:eastAsia="es-ES_tradnl"/>
              </w:rPr>
              <w:t>Estudios del mercado</w:t>
            </w:r>
            <w:r>
              <w:rPr>
                <w:rFonts w:ascii="Verdana" w:hAnsi="Verdana" w:eastAsia="Times New Roman" w:cs="Arial"/>
                <w:sz w:val="21"/>
                <w:szCs w:val="21"/>
                <w:lang w:eastAsia="es-ES_tradnl"/>
              </w:rPr>
              <w:t>”</w:t>
            </w:r>
            <w:r w:rsidRPr="006D4F5F">
              <w:rPr>
                <w:rFonts w:ascii="Verdana" w:hAnsi="Verdana" w:eastAsia="Times New Roman" w:cs="Arial"/>
                <w:lang w:eastAsia="es-ES_tradnl"/>
              </w:rPr>
              <w:t>.</w:t>
            </w:r>
          </w:p>
          <w:p w:rsidRPr="006D4F5F" w:rsidR="00DB7CAA" w:rsidP="009C1076" w:rsidRDefault="00DB7CAA" w14:paraId="318C71EC" w14:textId="77777777">
            <w:pPr>
              <w:spacing w:line="276" w:lineRule="auto"/>
              <w:ind w:firstLine="851"/>
              <w:jc w:val="both"/>
              <w:rPr>
                <w:rFonts w:ascii="Verdana" w:hAnsi="Verdana" w:eastAsia="Times New Roman" w:cs="Arial"/>
                <w:lang w:eastAsia="es-ES_tradnl"/>
              </w:rPr>
            </w:pPr>
          </w:p>
          <w:p w:rsidRPr="00D96AFA" w:rsidR="00DB7CAA" w:rsidP="009225A7" w:rsidRDefault="00DB7CAA" w14:paraId="05AE592E" w14:textId="73929C29">
            <w:pPr>
              <w:spacing w:line="276" w:lineRule="auto"/>
              <w:ind w:firstLine="708"/>
              <w:jc w:val="both"/>
              <w:rPr>
                <w:rFonts w:ascii="Verdana" w:hAnsi="Verdana" w:eastAsia="Calibri" w:cs="Arial"/>
                <w:color w:val="7030A0"/>
              </w:rPr>
            </w:pPr>
            <w:r w:rsidRPr="006D4F5F">
              <w:rPr>
                <w:rFonts w:ascii="Verdana" w:hAnsi="Verdana" w:eastAsia="Times New Roman" w:cs="Arial"/>
                <w:lang w:eastAsia="es-ES_tradnl"/>
              </w:rPr>
              <w:t>Sin perjuicio de las aclaraciones anteriores, debe advertirse que es la entidad contratante, al momento de adelantar su actividad contractual, quien debe determinar lo correspondiente a las metodologías a aplicar en el estudio del mercado. Dado esto, y en atención al alcance la función consultiva atribuida a esta Agencia, lo aquí mencionado no constituye un juicio de valor sobre un proceso contractual particular.</w:t>
            </w:r>
          </w:p>
        </w:tc>
      </w:tr>
    </w:tbl>
    <w:p w:rsidR="00DB7CAA" w:rsidP="00DB7CAA" w:rsidRDefault="00DB7CAA" w14:paraId="6C2D7532" w14:textId="77777777">
      <w:pPr>
        <w:spacing w:after="0" w:line="276" w:lineRule="auto"/>
        <w:contextualSpacing/>
        <w:jc w:val="both"/>
        <w:rPr>
          <w:rFonts w:ascii="Verdana" w:hAnsi="Verdana" w:eastAsia="Times New Roman" w:cs="Arial"/>
          <w:lang w:eastAsia="es-ES_tradnl"/>
        </w:rPr>
      </w:pPr>
    </w:p>
    <w:p w:rsidRPr="00593A5F" w:rsidR="00DB7CAA" w:rsidP="00DB7CAA" w:rsidRDefault="00DB7CAA" w14:paraId="26F5F8C6" w14:textId="77777777">
      <w:pPr>
        <w:pStyle w:val="ListParagraph"/>
        <w:tabs>
          <w:tab w:val="left" w:pos="142"/>
          <w:tab w:val="left" w:pos="284"/>
        </w:tabs>
        <w:spacing w:after="0" w:line="276" w:lineRule="auto"/>
        <w:ind w:left="0"/>
        <w:contextualSpacing w:val="0"/>
        <w:jc w:val="both"/>
        <w:rPr>
          <w:rFonts w:ascii="Verdana" w:hAnsi="Verdana" w:eastAsia="Century Gothic" w:cs="Century Gothic"/>
          <w:b/>
          <w:bCs/>
        </w:rPr>
      </w:pPr>
      <w:r>
        <w:rPr>
          <w:rFonts w:ascii="Verdana" w:hAnsi="Verdana" w:eastAsia="Century Gothic" w:cs="Century Gothic"/>
          <w:b/>
          <w:bCs/>
        </w:rPr>
        <w:lastRenderedPageBreak/>
        <w:t xml:space="preserve">3. </w:t>
      </w:r>
      <w:r w:rsidRPr="00593A5F">
        <w:rPr>
          <w:rFonts w:ascii="Verdana" w:hAnsi="Verdana" w:eastAsia="Century Gothic" w:cs="Century Gothic"/>
          <w:b/>
          <w:bCs/>
        </w:rPr>
        <w:t>Razones de la respuesta:</w:t>
      </w:r>
    </w:p>
    <w:p w:rsidRPr="00593A5F" w:rsidR="00DB7CAA" w:rsidP="00DB7CAA" w:rsidRDefault="00DB7CAA" w14:paraId="45559647" w14:textId="77777777">
      <w:pPr>
        <w:spacing w:after="0" w:line="276" w:lineRule="auto"/>
        <w:jc w:val="both"/>
        <w:rPr>
          <w:rFonts w:ascii="Verdana" w:hAnsi="Verdana" w:eastAsia="Calibri" w:cs="Arial"/>
          <w:color w:val="7030A0"/>
          <w:lang w:val="es-ES"/>
        </w:rPr>
      </w:pPr>
    </w:p>
    <w:p w:rsidRPr="00B96799" w:rsidR="00DB7CAA" w:rsidP="00DB7CAA" w:rsidRDefault="00DB7CAA" w14:paraId="7F72ED2B" w14:textId="77777777">
      <w:pPr>
        <w:spacing w:after="0" w:line="276" w:lineRule="auto"/>
        <w:jc w:val="both"/>
        <w:rPr>
          <w:rFonts w:ascii="Verdana" w:hAnsi="Verdana" w:eastAsia="Calibri" w:cs="Arial"/>
          <w:lang w:val="es-ES"/>
        </w:rPr>
      </w:pPr>
      <w:r w:rsidRPr="00B96799">
        <w:rPr>
          <w:rFonts w:ascii="Verdana" w:hAnsi="Verdana" w:eastAsia="Calibri" w:cs="Arial"/>
          <w:lang w:val="es-ES"/>
        </w:rPr>
        <w:t xml:space="preserve">Lo anterior se sustenta en las siguientes consideraciones: </w:t>
      </w:r>
    </w:p>
    <w:p w:rsidRPr="006D4F5F" w:rsidR="00DB7CAA" w:rsidP="00DB7CAA" w:rsidRDefault="00DB7CAA" w14:paraId="7701807B" w14:textId="77777777">
      <w:pPr>
        <w:spacing w:after="0" w:line="276" w:lineRule="auto"/>
        <w:contextualSpacing/>
        <w:jc w:val="both"/>
        <w:rPr>
          <w:rFonts w:ascii="Verdana" w:hAnsi="Verdana" w:eastAsia="Times New Roman" w:cs="Arial"/>
          <w:lang w:val="es-ES" w:eastAsia="es-ES_tradnl"/>
        </w:rPr>
      </w:pPr>
    </w:p>
    <w:p w:rsidRPr="006D7828" w:rsidR="00DB7CAA" w:rsidP="00DB7CAA" w:rsidRDefault="00DB7CAA" w14:paraId="0FAAE440" w14:textId="77777777">
      <w:pPr>
        <w:pStyle w:val="ListParagraph"/>
        <w:numPr>
          <w:ilvl w:val="0"/>
          <w:numId w:val="9"/>
        </w:numPr>
        <w:spacing w:after="120" w:line="276" w:lineRule="auto"/>
        <w:jc w:val="both"/>
        <w:rPr>
          <w:rFonts w:ascii="Verdana" w:hAnsi="Verdana" w:eastAsia="Times New Roman" w:cs="Arial"/>
          <w:lang w:val="es-ES_tradnl" w:eastAsia="es-MX"/>
        </w:rPr>
      </w:pPr>
      <w:bookmarkStart w:name="_Hlk54011258" w:id="0"/>
      <w:r w:rsidRPr="006D7828">
        <w:rPr>
          <w:rFonts w:ascii="Verdana" w:hAnsi="Verdana" w:eastAsia="Calibri" w:cs="Arial"/>
          <w:bCs/>
          <w:lang w:val="es-ES_tradnl" w:eastAsia="es-MX"/>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bookmarkEnd w:id="0"/>
      <w:r w:rsidRPr="006D7828">
        <w:rPr>
          <w:rFonts w:ascii="Verdana" w:hAnsi="Verdana" w:eastAsia="Calibri" w:cs="Arial"/>
          <w:bCs/>
          <w:lang w:val="es-ES_tradnl" w:eastAsia="es-MX"/>
        </w:rPr>
        <w:t>.</w:t>
      </w:r>
    </w:p>
    <w:p w:rsidRPr="006D7828" w:rsidR="00DB7CAA" w:rsidP="00DB7CAA" w:rsidRDefault="00DB7CAA" w14:paraId="2A031E94" w14:textId="77777777">
      <w:pPr>
        <w:pStyle w:val="ListParagraph"/>
        <w:spacing w:after="120" w:line="276" w:lineRule="auto"/>
        <w:jc w:val="both"/>
        <w:rPr>
          <w:rFonts w:ascii="Verdana" w:hAnsi="Verdana" w:eastAsia="Times New Roman" w:cs="Arial"/>
          <w:lang w:val="es-ES_tradnl" w:eastAsia="es-MX"/>
        </w:rPr>
      </w:pPr>
    </w:p>
    <w:p w:rsidRPr="009225A7" w:rsidR="00DB7CAA" w:rsidP="009225A7" w:rsidRDefault="00DB7CAA" w14:paraId="05328CDE" w14:textId="43DC7132">
      <w:pPr>
        <w:pStyle w:val="ListParagraph"/>
        <w:numPr>
          <w:ilvl w:val="0"/>
          <w:numId w:val="9"/>
        </w:numPr>
        <w:spacing w:after="0" w:line="276" w:lineRule="auto"/>
        <w:jc w:val="both"/>
        <w:rPr>
          <w:rFonts w:ascii="Verdana" w:hAnsi="Verdana" w:eastAsia="Times New Roman" w:cs="Arial"/>
          <w:lang w:val="es-ES_tradnl" w:eastAsia="es-MX"/>
        </w:rPr>
      </w:pPr>
      <w:r w:rsidRPr="009225A7">
        <w:rPr>
          <w:rFonts w:ascii="Verdana" w:hAnsi="Verdana" w:eastAsia="Calibri" w:cs="Arial"/>
          <w:bCs/>
          <w:lang w:val="es-MX" w:eastAsia="es-ES_tradnl"/>
        </w:rPr>
        <w:t xml:space="preserve">El Estatuto General de Contratación de la Administración Pública – EGCAP –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w:t>
      </w:r>
    </w:p>
    <w:p w:rsidRPr="009225A7" w:rsidR="009225A7" w:rsidP="009225A7" w:rsidRDefault="009225A7" w14:paraId="2B3C1587" w14:textId="77777777">
      <w:pPr>
        <w:pStyle w:val="ListParagraph"/>
        <w:rPr>
          <w:rFonts w:ascii="Verdana" w:hAnsi="Verdana" w:eastAsia="Times New Roman" w:cs="Arial"/>
          <w:lang w:val="es-ES_tradnl" w:eastAsia="es-MX"/>
        </w:rPr>
      </w:pPr>
    </w:p>
    <w:p w:rsidR="0036065A" w:rsidP="00DB7CAA" w:rsidRDefault="00DB7CAA" w14:paraId="2FC84100" w14:textId="0416747A">
      <w:pPr>
        <w:pStyle w:val="ListParagraph"/>
        <w:numPr>
          <w:ilvl w:val="0"/>
          <w:numId w:val="10"/>
        </w:numPr>
        <w:spacing w:after="0" w:line="276" w:lineRule="auto"/>
        <w:jc w:val="both"/>
        <w:rPr>
          <w:rFonts w:ascii="Verdana" w:hAnsi="Verdana" w:eastAsia="Times New Roman" w:cs="Arial"/>
          <w:lang w:val="es-ES_tradnl" w:eastAsia="es-MX"/>
        </w:rPr>
      </w:pPr>
      <w:r w:rsidRPr="006D7828">
        <w:rPr>
          <w:rFonts w:ascii="Verdana" w:hAnsi="Verdana" w:eastAsia="Times New Roman" w:cs="Arial"/>
          <w:lang w:val="es-ES_tradnl" w:eastAsia="es-MX"/>
        </w:rPr>
        <w:t>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6D4F5F">
        <w:rPr>
          <w:vertAlign w:val="superscript"/>
          <w:lang w:eastAsia="es-MX"/>
        </w:rPr>
        <w:footnoteReference w:id="2"/>
      </w:r>
      <w:r w:rsidRPr="006D7828">
        <w:rPr>
          <w:rFonts w:ascii="Verdana" w:hAnsi="Verdana" w:eastAsia="Times New Roman" w:cs="Arial"/>
          <w:lang w:val="es-ES_tradnl" w:eastAsia="es-MX"/>
        </w:rPr>
        <w:t xml:space="preserve">. </w:t>
      </w:r>
    </w:p>
    <w:p w:rsidR="009225A7" w:rsidP="009225A7" w:rsidRDefault="009225A7" w14:paraId="782088EC" w14:textId="77777777">
      <w:pPr>
        <w:pStyle w:val="ListParagraph"/>
        <w:spacing w:after="0" w:line="276" w:lineRule="auto"/>
        <w:jc w:val="both"/>
        <w:rPr>
          <w:rFonts w:ascii="Verdana" w:hAnsi="Verdana" w:eastAsia="Times New Roman" w:cs="Arial"/>
          <w:lang w:val="es-ES_tradnl" w:eastAsia="es-MX"/>
        </w:rPr>
      </w:pPr>
    </w:p>
    <w:p w:rsidRPr="006D7828" w:rsidR="00DB7CAA" w:rsidP="15BDDE31" w:rsidRDefault="00DB7CAA" w14:paraId="7F52E295" w14:textId="7669A69B">
      <w:pPr>
        <w:pStyle w:val="ListParagraph"/>
        <w:numPr>
          <w:ilvl w:val="0"/>
          <w:numId w:val="10"/>
        </w:numPr>
        <w:spacing w:after="0" w:line="276" w:lineRule="auto"/>
        <w:jc w:val="both"/>
        <w:rPr>
          <w:rFonts w:ascii="Verdana" w:hAnsi="Verdana" w:eastAsia="Times New Roman" w:cs="Arial"/>
          <w:lang w:val="es-ES" w:eastAsia="es-MX"/>
        </w:rPr>
      </w:pPr>
      <w:r w:rsidRPr="15BDDE31" w:rsidR="00DB7CAA">
        <w:rPr>
          <w:rFonts w:ascii="Verdana" w:hAnsi="Verdana" w:eastAsia="Times New Roman" w:cs="Arial"/>
          <w:lang w:val="es-ES" w:eastAsia="es-MX"/>
        </w:rPr>
        <w:t>E</w:t>
      </w:r>
      <w:r w:rsidRPr="15BDDE31" w:rsidR="0036065A">
        <w:rPr>
          <w:rFonts w:ascii="Verdana" w:hAnsi="Verdana" w:eastAsia="Times New Roman" w:cs="Arial"/>
          <w:lang w:val="es-ES" w:eastAsia="es-MX"/>
        </w:rPr>
        <w:t xml:space="preserve">s por esto </w:t>
      </w:r>
      <w:r w:rsidRPr="15BDDE31" w:rsidR="009225A7">
        <w:rPr>
          <w:rFonts w:ascii="Verdana" w:hAnsi="Verdana" w:eastAsia="Times New Roman" w:cs="Arial"/>
          <w:lang w:val="es-ES" w:eastAsia="es-MX"/>
        </w:rPr>
        <w:t>que</w:t>
      </w:r>
      <w:r w:rsidRPr="15BDDE31" w:rsidR="009225A7">
        <w:rPr>
          <w:rFonts w:ascii="Verdana" w:hAnsi="Verdana" w:eastAsia="Times New Roman" w:cs="Arial"/>
          <w:lang w:val="es-ES" w:eastAsia="es-MX"/>
        </w:rPr>
        <w:t>,</w:t>
      </w:r>
      <w:r w:rsidRPr="15BDDE31" w:rsidR="0036065A">
        <w:rPr>
          <w:rFonts w:ascii="Verdana" w:hAnsi="Verdana" w:eastAsia="Times New Roman" w:cs="Arial"/>
          <w:lang w:val="es-ES" w:eastAsia="es-MX"/>
        </w:rPr>
        <w:t xml:space="preserve"> así como el artículo 2.2.1.1.2.1.1 del </w:t>
      </w:r>
      <w:r w:rsidRPr="15BDDE31" w:rsidR="00DB7CAA">
        <w:rPr>
          <w:rFonts w:ascii="Verdana" w:hAnsi="Verdana" w:eastAsia="Times New Roman" w:cs="Arial"/>
          <w:lang w:val="es-ES" w:eastAsia="es-MX"/>
        </w:rPr>
        <w:t>Decreto 1082 de 2015–, dispone el contenido mínimo de los estudios y documentos previos:</w:t>
      </w:r>
    </w:p>
    <w:p w:rsidRPr="006D4F5F" w:rsidR="00DB7CAA" w:rsidP="00DB7CAA" w:rsidRDefault="00DB7CAA" w14:paraId="29CB6857" w14:textId="77777777">
      <w:pPr>
        <w:spacing w:after="0" w:line="276" w:lineRule="auto"/>
        <w:rPr>
          <w:rFonts w:ascii="Verdana" w:hAnsi="Verdana" w:eastAsia="Times New Roman" w:cs="Arial"/>
          <w:lang w:val="es-ES_tradnl" w:eastAsia="es-CO"/>
        </w:rPr>
      </w:pPr>
    </w:p>
    <w:p w:rsidRPr="00A34454" w:rsidR="00DB7CAA" w:rsidP="00DB7CAA" w:rsidRDefault="00DB7CAA" w14:paraId="7B6E8EF8" w14:textId="77777777">
      <w:pPr>
        <w:spacing w:after="0" w:line="240" w:lineRule="auto"/>
        <w:ind w:left="709" w:right="709"/>
        <w:contextualSpacing/>
        <w:jc w:val="both"/>
        <w:rPr>
          <w:rFonts w:ascii="Verdana" w:hAnsi="Verdana" w:eastAsia="Times New Roman" w:cs="Arial"/>
          <w:i/>
          <w:iCs/>
          <w:sz w:val="21"/>
          <w:szCs w:val="21"/>
          <w:lang w:val="es-ES_tradnl" w:eastAsia="es-MX"/>
        </w:rPr>
      </w:pPr>
      <w:r w:rsidRPr="00A34454">
        <w:rPr>
          <w:rFonts w:ascii="Verdana" w:hAnsi="Verdana" w:eastAsia="Times New Roman" w:cs="Arial"/>
          <w:i/>
          <w:iCs/>
          <w:sz w:val="21"/>
          <w:szCs w:val="21"/>
          <w:lang w:val="es-ES_tradnl" w:eastAsia="es-MX"/>
        </w:rPr>
        <w:t xml:space="preserve">“Artículo 2.2.1.1.2.1.1. Los estudios y documentos previos son el soporte para elaborar el proyecto de pliegos, los pliegos de condiciones y el contrato. Estos deben permanecer a disposición del público durante el desarrollo del </w:t>
      </w:r>
      <w:r w:rsidRPr="00A34454">
        <w:rPr>
          <w:rFonts w:ascii="Verdana" w:hAnsi="Verdana" w:eastAsia="Times New Roman" w:cs="Arial"/>
          <w:i/>
          <w:iCs/>
          <w:sz w:val="21"/>
          <w:szCs w:val="21"/>
          <w:lang w:val="es-ES_tradnl" w:eastAsia="es-MX"/>
        </w:rPr>
        <w:lastRenderedPageBreak/>
        <w:t xml:space="preserve">Proceso de Contratación y contener los siguientes elementos, además de los indicados para cada modalidad de selección: </w:t>
      </w:r>
    </w:p>
    <w:p w:rsidRPr="00A34454" w:rsidR="00DB7CAA" w:rsidP="00DB7CAA" w:rsidRDefault="00DB7CAA" w14:paraId="5B6FB73A" w14:textId="77777777">
      <w:pPr>
        <w:spacing w:after="0" w:line="240" w:lineRule="auto"/>
        <w:ind w:left="709" w:right="709"/>
        <w:contextualSpacing/>
        <w:jc w:val="both"/>
        <w:rPr>
          <w:rFonts w:ascii="Verdana" w:hAnsi="Verdana" w:eastAsia="Times New Roman" w:cs="Arial"/>
          <w:i/>
          <w:iCs/>
          <w:sz w:val="21"/>
          <w:szCs w:val="21"/>
          <w:lang w:val="es-ES_tradnl" w:eastAsia="es-MX"/>
        </w:rPr>
      </w:pPr>
    </w:p>
    <w:p w:rsidRPr="00A34454" w:rsidR="00DB7CAA" w:rsidP="00DB7CAA" w:rsidRDefault="00DB7CAA" w14:paraId="67D52514" w14:textId="77777777">
      <w:pPr>
        <w:spacing w:after="0" w:line="240" w:lineRule="auto"/>
        <w:ind w:left="709" w:right="709"/>
        <w:contextualSpacing/>
        <w:jc w:val="both"/>
        <w:rPr>
          <w:rFonts w:ascii="Verdana" w:hAnsi="Verdana" w:eastAsia="Times New Roman" w:cs="Arial"/>
          <w:i/>
          <w:iCs/>
          <w:sz w:val="21"/>
          <w:szCs w:val="21"/>
          <w:lang w:val="es-ES_tradnl" w:eastAsia="es-MX"/>
        </w:rPr>
      </w:pPr>
      <w:r w:rsidRPr="00A34454">
        <w:rPr>
          <w:rFonts w:ascii="Verdana" w:hAnsi="Verdana" w:eastAsia="Times New Roman" w:cs="Arial"/>
          <w:i/>
          <w:iCs/>
          <w:sz w:val="21"/>
          <w:szCs w:val="21"/>
          <w:lang w:val="es-ES_tradnl" w:eastAsia="es-MX"/>
        </w:rPr>
        <w:t xml:space="preserve">1. La descripción de la necesidad que la Entidad Estatal pretende satisfacer con el Proceso de Contratación. </w:t>
      </w:r>
      <w:r w:rsidRPr="00A34454">
        <w:rPr>
          <w:rFonts w:ascii="Arial" w:hAnsi="Arial" w:eastAsia="Times New Roman" w:cs="Arial"/>
          <w:i/>
          <w:iCs/>
          <w:sz w:val="21"/>
          <w:szCs w:val="21"/>
          <w:lang w:val="es-ES_tradnl" w:eastAsia="es-MX"/>
        </w:rPr>
        <w:t>​</w:t>
      </w:r>
    </w:p>
    <w:p w:rsidRPr="00A34454" w:rsidR="00DB7CAA" w:rsidP="00DB7CAA" w:rsidRDefault="00DB7CAA" w14:paraId="76FC5784" w14:textId="77777777">
      <w:pPr>
        <w:spacing w:after="0" w:line="240" w:lineRule="auto"/>
        <w:ind w:left="709" w:right="709"/>
        <w:contextualSpacing/>
        <w:jc w:val="both"/>
        <w:rPr>
          <w:rFonts w:ascii="Verdana" w:hAnsi="Verdana" w:eastAsia="Times New Roman" w:cs="Arial"/>
          <w:i/>
          <w:iCs/>
          <w:sz w:val="21"/>
          <w:szCs w:val="21"/>
          <w:lang w:val="es-ES_tradnl" w:eastAsia="es-MX"/>
        </w:rPr>
      </w:pPr>
    </w:p>
    <w:p w:rsidRPr="00A34454" w:rsidR="00DB7CAA" w:rsidP="00DB7CAA" w:rsidRDefault="00DB7CAA" w14:paraId="49B64855" w14:textId="77777777">
      <w:pPr>
        <w:spacing w:after="0" w:line="240" w:lineRule="auto"/>
        <w:ind w:left="709" w:right="709"/>
        <w:contextualSpacing/>
        <w:jc w:val="both"/>
        <w:rPr>
          <w:rFonts w:ascii="Verdana" w:hAnsi="Verdana" w:eastAsia="Times New Roman" w:cs="Arial"/>
          <w:i/>
          <w:iCs/>
          <w:sz w:val="21"/>
          <w:szCs w:val="21"/>
          <w:lang w:val="es-ES_tradnl" w:eastAsia="es-MX"/>
        </w:rPr>
      </w:pPr>
      <w:r w:rsidRPr="00A34454">
        <w:rPr>
          <w:rFonts w:ascii="Verdana" w:hAnsi="Verdana" w:eastAsia="Times New Roman" w:cs="Arial"/>
          <w:i/>
          <w:iCs/>
          <w:sz w:val="21"/>
          <w:szCs w:val="21"/>
          <w:lang w:val="es-ES_tradnl" w:eastAsia="es-MX"/>
        </w:rPr>
        <w:t xml:space="preserve">2. El objeto a contratar, con sus especificaciones, las autorizaciones, permisos y licencias requeridos para su ejecución, y cuando el contrato incluye diseño y construcción, los documentos técnicos para el desarrollo del proyecto. </w:t>
      </w:r>
    </w:p>
    <w:p w:rsidRPr="00A34454" w:rsidR="00DB7CAA" w:rsidP="00DB7CAA" w:rsidRDefault="00DB7CAA" w14:paraId="7101B593" w14:textId="77777777">
      <w:pPr>
        <w:spacing w:after="0" w:line="240" w:lineRule="auto"/>
        <w:ind w:left="709" w:right="709"/>
        <w:contextualSpacing/>
        <w:jc w:val="both"/>
        <w:rPr>
          <w:rFonts w:ascii="Verdana" w:hAnsi="Verdana" w:eastAsia="Times New Roman" w:cs="Arial"/>
          <w:i/>
          <w:iCs/>
          <w:sz w:val="21"/>
          <w:szCs w:val="21"/>
          <w:lang w:val="es-ES_tradnl" w:eastAsia="es-MX"/>
        </w:rPr>
      </w:pPr>
    </w:p>
    <w:p w:rsidRPr="00A34454" w:rsidR="00DB7CAA" w:rsidP="00DB7CAA" w:rsidRDefault="00DB7CAA" w14:paraId="699FBA4B" w14:textId="77777777">
      <w:pPr>
        <w:spacing w:after="0" w:line="240" w:lineRule="auto"/>
        <w:ind w:left="709" w:right="709"/>
        <w:contextualSpacing/>
        <w:jc w:val="both"/>
        <w:rPr>
          <w:rFonts w:ascii="Verdana" w:hAnsi="Verdana" w:eastAsia="Times New Roman" w:cs="Arial"/>
          <w:i/>
          <w:iCs/>
          <w:sz w:val="21"/>
          <w:szCs w:val="21"/>
          <w:lang w:val="es-ES_tradnl" w:eastAsia="es-MX"/>
        </w:rPr>
      </w:pPr>
      <w:r w:rsidRPr="00A34454">
        <w:rPr>
          <w:rFonts w:ascii="Verdana" w:hAnsi="Verdana" w:eastAsia="Times New Roman" w:cs="Arial"/>
          <w:i/>
          <w:iCs/>
          <w:sz w:val="21"/>
          <w:szCs w:val="21"/>
          <w:lang w:val="es-ES_tradnl" w:eastAsia="es-MX"/>
        </w:rPr>
        <w:t xml:space="preserve">3. La modalidad de selección del contratista y su justificación, incluyendo los fundamentos jurídicos. </w:t>
      </w:r>
    </w:p>
    <w:p w:rsidRPr="00A34454" w:rsidR="00DB7CAA" w:rsidP="00DB7CAA" w:rsidRDefault="00DB7CAA" w14:paraId="2FBAACAF" w14:textId="77777777">
      <w:pPr>
        <w:spacing w:after="0" w:line="240" w:lineRule="auto"/>
        <w:ind w:left="709" w:right="709"/>
        <w:contextualSpacing/>
        <w:jc w:val="both"/>
        <w:rPr>
          <w:rFonts w:ascii="Verdana" w:hAnsi="Verdana" w:eastAsia="Times New Roman" w:cs="Arial"/>
          <w:i/>
          <w:iCs/>
          <w:sz w:val="21"/>
          <w:szCs w:val="21"/>
          <w:lang w:val="es-ES_tradnl" w:eastAsia="es-MX"/>
        </w:rPr>
      </w:pPr>
    </w:p>
    <w:p w:rsidRPr="00A34454" w:rsidR="00DB7CAA" w:rsidP="00DB7CAA" w:rsidRDefault="00DB7CAA" w14:paraId="277F7C75" w14:textId="77777777">
      <w:pPr>
        <w:spacing w:after="0" w:line="240" w:lineRule="auto"/>
        <w:ind w:left="709" w:right="709"/>
        <w:contextualSpacing/>
        <w:jc w:val="both"/>
        <w:rPr>
          <w:rFonts w:ascii="Verdana" w:hAnsi="Verdana" w:eastAsia="Times New Roman" w:cs="Arial"/>
          <w:i/>
          <w:iCs/>
          <w:sz w:val="21"/>
          <w:szCs w:val="21"/>
          <w:lang w:val="es-ES" w:eastAsia="es-MX"/>
        </w:rPr>
      </w:pPr>
      <w:r w:rsidRPr="00A34454">
        <w:rPr>
          <w:rFonts w:ascii="Verdana" w:hAnsi="Verdana" w:eastAsia="Times New Roman" w:cs="Arial"/>
          <w:i/>
          <w:iCs/>
          <w:sz w:val="21"/>
          <w:szCs w:val="21"/>
          <w:lang w:val="es-ES" w:eastAsia="es-MX"/>
        </w:rPr>
        <w:t xml:space="preserve">4. 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rsidRPr="00A34454" w:rsidR="00DB7CAA" w:rsidP="00DB7CAA" w:rsidRDefault="00DB7CAA" w14:paraId="60D667E6" w14:textId="77777777">
      <w:pPr>
        <w:spacing w:after="0" w:line="240" w:lineRule="auto"/>
        <w:ind w:left="709" w:right="709"/>
        <w:contextualSpacing/>
        <w:jc w:val="both"/>
        <w:rPr>
          <w:rFonts w:ascii="Verdana" w:hAnsi="Verdana" w:eastAsia="Times New Roman" w:cs="Arial"/>
          <w:i/>
          <w:iCs/>
          <w:sz w:val="21"/>
          <w:szCs w:val="21"/>
          <w:lang w:val="es-ES_tradnl" w:eastAsia="es-MX"/>
        </w:rPr>
      </w:pPr>
    </w:p>
    <w:p w:rsidRPr="00A34454" w:rsidR="00DB7CAA" w:rsidP="00DB7CAA" w:rsidRDefault="00DB7CAA" w14:paraId="1C5CC2C4" w14:textId="77777777">
      <w:pPr>
        <w:spacing w:after="0" w:line="240" w:lineRule="auto"/>
        <w:ind w:left="709" w:right="709"/>
        <w:contextualSpacing/>
        <w:jc w:val="both"/>
        <w:rPr>
          <w:rFonts w:ascii="Verdana" w:hAnsi="Verdana" w:eastAsia="Times New Roman" w:cs="Arial"/>
          <w:i/>
          <w:iCs/>
          <w:sz w:val="21"/>
          <w:szCs w:val="21"/>
          <w:lang w:val="es-ES_tradnl" w:eastAsia="es-MX"/>
        </w:rPr>
      </w:pPr>
      <w:r w:rsidRPr="00A34454">
        <w:rPr>
          <w:rFonts w:ascii="Verdana" w:hAnsi="Verdana" w:eastAsia="Times New Roman" w:cs="Arial"/>
          <w:i/>
          <w:iCs/>
          <w:sz w:val="21"/>
          <w:szCs w:val="21"/>
          <w:lang w:val="es-ES_tradnl" w:eastAsia="es-MX"/>
        </w:rPr>
        <w:t xml:space="preserve">5. Los criterios para seleccionar la oferta más favorable. </w:t>
      </w:r>
    </w:p>
    <w:p w:rsidRPr="00A34454" w:rsidR="00DB7CAA" w:rsidP="00DB7CAA" w:rsidRDefault="00DB7CAA" w14:paraId="2DA8955F" w14:textId="77777777">
      <w:pPr>
        <w:spacing w:after="0" w:line="240" w:lineRule="auto"/>
        <w:ind w:left="709" w:right="709"/>
        <w:contextualSpacing/>
        <w:jc w:val="both"/>
        <w:rPr>
          <w:rFonts w:ascii="Verdana" w:hAnsi="Verdana" w:eastAsia="Times New Roman" w:cs="Arial"/>
          <w:i/>
          <w:iCs/>
          <w:sz w:val="21"/>
          <w:szCs w:val="21"/>
          <w:lang w:val="es-ES_tradnl" w:eastAsia="es-MX"/>
        </w:rPr>
      </w:pPr>
    </w:p>
    <w:p w:rsidRPr="00A34454" w:rsidR="00DB7CAA" w:rsidP="00DB7CAA" w:rsidRDefault="00DB7CAA" w14:paraId="377731E2" w14:textId="77777777">
      <w:pPr>
        <w:spacing w:after="0" w:line="240" w:lineRule="auto"/>
        <w:ind w:left="709" w:right="709"/>
        <w:contextualSpacing/>
        <w:jc w:val="both"/>
        <w:rPr>
          <w:rFonts w:ascii="Verdana" w:hAnsi="Verdana" w:eastAsia="Times New Roman" w:cs="Arial"/>
          <w:i/>
          <w:iCs/>
          <w:sz w:val="21"/>
          <w:szCs w:val="21"/>
          <w:lang w:val="es-ES_tradnl" w:eastAsia="es-MX"/>
        </w:rPr>
      </w:pPr>
      <w:r w:rsidRPr="00A34454">
        <w:rPr>
          <w:rFonts w:ascii="Verdana" w:hAnsi="Verdana" w:eastAsia="Times New Roman" w:cs="Arial"/>
          <w:i/>
          <w:iCs/>
          <w:sz w:val="21"/>
          <w:szCs w:val="21"/>
          <w:lang w:val="es-ES_tradnl" w:eastAsia="es-MX"/>
        </w:rPr>
        <w:t xml:space="preserve">6. El análisis de Riesgo y la forma de mitigarlo. </w:t>
      </w:r>
    </w:p>
    <w:p w:rsidRPr="00A34454" w:rsidR="00DB7CAA" w:rsidP="00DB7CAA" w:rsidRDefault="00DB7CAA" w14:paraId="72C172CE" w14:textId="77777777">
      <w:pPr>
        <w:spacing w:after="0" w:line="240" w:lineRule="auto"/>
        <w:ind w:left="709" w:right="709"/>
        <w:contextualSpacing/>
        <w:jc w:val="both"/>
        <w:rPr>
          <w:rFonts w:ascii="Verdana" w:hAnsi="Verdana" w:eastAsia="Times New Roman" w:cs="Arial"/>
          <w:i/>
          <w:iCs/>
          <w:sz w:val="21"/>
          <w:szCs w:val="21"/>
          <w:lang w:val="es-ES_tradnl" w:eastAsia="es-MX"/>
        </w:rPr>
      </w:pPr>
    </w:p>
    <w:p w:rsidRPr="00A34454" w:rsidR="00DB7CAA" w:rsidP="00DB7CAA" w:rsidRDefault="00DB7CAA" w14:paraId="025E4286" w14:textId="77777777">
      <w:pPr>
        <w:spacing w:after="0" w:line="240" w:lineRule="auto"/>
        <w:ind w:left="709" w:right="709"/>
        <w:contextualSpacing/>
        <w:jc w:val="both"/>
        <w:rPr>
          <w:rFonts w:ascii="Verdana" w:hAnsi="Verdana" w:eastAsia="Times New Roman" w:cs="Arial"/>
          <w:i/>
          <w:iCs/>
          <w:sz w:val="21"/>
          <w:szCs w:val="21"/>
          <w:lang w:val="es-ES_tradnl" w:eastAsia="es-MX"/>
        </w:rPr>
      </w:pPr>
      <w:r w:rsidRPr="00A34454">
        <w:rPr>
          <w:rFonts w:ascii="Verdana" w:hAnsi="Verdana" w:eastAsia="Times New Roman" w:cs="Arial"/>
          <w:i/>
          <w:iCs/>
          <w:sz w:val="21"/>
          <w:szCs w:val="21"/>
          <w:lang w:val="es-ES_tradnl" w:eastAsia="es-MX"/>
        </w:rPr>
        <w:t xml:space="preserve">7. Las garantías que la Entidad Estatal contempla exigir en el proceso de contratación. </w:t>
      </w:r>
    </w:p>
    <w:p w:rsidRPr="00A34454" w:rsidR="00DB7CAA" w:rsidP="00DB7CAA" w:rsidRDefault="00DB7CAA" w14:paraId="752AC18E" w14:textId="77777777">
      <w:pPr>
        <w:spacing w:after="0" w:line="240" w:lineRule="auto"/>
        <w:ind w:left="709" w:right="709"/>
        <w:contextualSpacing/>
        <w:jc w:val="both"/>
        <w:rPr>
          <w:rFonts w:ascii="Verdana" w:hAnsi="Verdana" w:eastAsia="Times New Roman" w:cs="Arial"/>
          <w:i/>
          <w:iCs/>
          <w:sz w:val="21"/>
          <w:szCs w:val="21"/>
          <w:lang w:val="es-ES_tradnl" w:eastAsia="es-MX"/>
        </w:rPr>
      </w:pPr>
    </w:p>
    <w:p w:rsidRPr="00A34454" w:rsidR="00DB7CAA" w:rsidP="00DB7CAA" w:rsidRDefault="00DB7CAA" w14:paraId="04504B3E" w14:textId="77777777">
      <w:pPr>
        <w:spacing w:after="0" w:line="240" w:lineRule="auto"/>
        <w:ind w:left="709" w:right="709"/>
        <w:contextualSpacing/>
        <w:jc w:val="both"/>
        <w:rPr>
          <w:rFonts w:ascii="Verdana" w:hAnsi="Verdana" w:eastAsia="Times New Roman" w:cs="Arial"/>
          <w:i/>
          <w:iCs/>
          <w:sz w:val="21"/>
          <w:szCs w:val="21"/>
          <w:lang w:val="es-ES_tradnl" w:eastAsia="es-MX"/>
        </w:rPr>
      </w:pPr>
      <w:r w:rsidRPr="00A34454">
        <w:rPr>
          <w:rFonts w:ascii="Verdana" w:hAnsi="Verdana" w:eastAsia="Times New Roman" w:cs="Arial"/>
          <w:i/>
          <w:iCs/>
          <w:sz w:val="21"/>
          <w:szCs w:val="21"/>
          <w:lang w:val="es-ES_tradnl" w:eastAsia="es-MX"/>
        </w:rPr>
        <w:t xml:space="preserve">8. La indicación de si el proceso de contratación está cobijado por un acuerdo comercial. </w:t>
      </w:r>
    </w:p>
    <w:p w:rsidRPr="00A34454" w:rsidR="00DB7CAA" w:rsidP="00DB7CAA" w:rsidRDefault="00DB7CAA" w14:paraId="17634E3C" w14:textId="77777777">
      <w:pPr>
        <w:spacing w:after="0" w:line="240" w:lineRule="auto"/>
        <w:ind w:left="709" w:right="709"/>
        <w:contextualSpacing/>
        <w:jc w:val="both"/>
        <w:rPr>
          <w:rFonts w:ascii="Verdana" w:hAnsi="Verdana" w:eastAsia="Times New Roman" w:cs="Arial"/>
          <w:i/>
          <w:iCs/>
          <w:sz w:val="21"/>
          <w:szCs w:val="21"/>
          <w:lang w:val="es-ES_tradnl" w:eastAsia="es-MX"/>
        </w:rPr>
      </w:pPr>
    </w:p>
    <w:p w:rsidRPr="00A34454" w:rsidR="00DB7CAA" w:rsidP="00DB7CAA" w:rsidRDefault="00DB7CAA" w14:paraId="57BD1CED" w14:textId="77777777">
      <w:pPr>
        <w:spacing w:after="0" w:line="240" w:lineRule="auto"/>
        <w:ind w:left="709" w:right="709"/>
        <w:contextualSpacing/>
        <w:jc w:val="both"/>
        <w:rPr>
          <w:rFonts w:ascii="Verdana" w:hAnsi="Verdana" w:eastAsia="Times New Roman" w:cs="Arial"/>
          <w:i/>
          <w:iCs/>
          <w:sz w:val="21"/>
          <w:szCs w:val="21"/>
          <w:lang w:val="es-ES_tradnl" w:eastAsia="es-MX"/>
        </w:rPr>
      </w:pPr>
      <w:r w:rsidRPr="00A34454">
        <w:rPr>
          <w:rFonts w:ascii="Verdana" w:hAnsi="Verdana" w:eastAsia="Times New Roman" w:cs="Arial"/>
          <w:i/>
          <w:iCs/>
          <w:sz w:val="21"/>
          <w:szCs w:val="21"/>
          <w:lang w:val="es-ES_tradnl" w:eastAsia="es-MX"/>
        </w:rPr>
        <w:t>El presente artículo no es aplicable a la contratación por mínima cuantía”.</w:t>
      </w:r>
    </w:p>
    <w:p w:rsidRPr="006D4F5F" w:rsidR="00DB7CAA" w:rsidP="00DB7CAA" w:rsidRDefault="00DB7CAA" w14:paraId="0D0B94BB" w14:textId="77777777">
      <w:pPr>
        <w:widowControl w:val="0"/>
        <w:tabs>
          <w:tab w:val="left" w:pos="1305"/>
        </w:tabs>
        <w:autoSpaceDE w:val="0"/>
        <w:autoSpaceDN w:val="0"/>
        <w:spacing w:after="0" w:line="276" w:lineRule="auto"/>
        <w:ind w:left="828" w:right="822"/>
        <w:rPr>
          <w:rFonts w:ascii="Verdana" w:hAnsi="Verdana" w:eastAsia="Calibri" w:cs="Arial"/>
          <w:lang w:val="es-MX" w:eastAsia="es-ES_tradnl"/>
        </w:rPr>
      </w:pPr>
    </w:p>
    <w:p w:rsidRPr="006D7828" w:rsidR="00DB7CAA" w:rsidP="00DB7CAA" w:rsidRDefault="00DB7CAA" w14:paraId="3A659A91" w14:textId="77777777">
      <w:pPr>
        <w:pStyle w:val="ListParagraph"/>
        <w:spacing w:after="120" w:line="276" w:lineRule="auto"/>
        <w:jc w:val="both"/>
        <w:rPr>
          <w:rFonts w:ascii="Verdana" w:hAnsi="Verdana" w:eastAsia="Times New Roman" w:cs="Arial"/>
          <w:lang w:val="es-ES_tradnl" w:eastAsia="es-MX"/>
        </w:rPr>
      </w:pPr>
    </w:p>
    <w:p w:rsidR="00DB7CAA" w:rsidP="00DB7CAA" w:rsidRDefault="00DB7CAA" w14:paraId="66E78A7C" w14:textId="7993A51F">
      <w:pPr>
        <w:pStyle w:val="ListParagraph"/>
        <w:numPr>
          <w:ilvl w:val="0"/>
          <w:numId w:val="10"/>
        </w:numPr>
        <w:spacing w:after="120" w:line="276" w:lineRule="auto"/>
        <w:ind w:right="102"/>
        <w:jc w:val="both"/>
        <w:rPr>
          <w:rFonts w:ascii="Verdana" w:hAnsi="Verdana" w:eastAsia="Times New Roman" w:cs="Arial"/>
          <w:lang w:val="es-ES_tradnl" w:eastAsia="es-MX"/>
        </w:rPr>
      </w:pPr>
      <w:r w:rsidRPr="006D7828">
        <w:rPr>
          <w:rFonts w:ascii="Verdana" w:hAnsi="Verdana" w:eastAsia="Times New Roman" w:cs="Arial"/>
          <w:lang w:val="es-ES_tradnl" w:eastAsia="es-MX"/>
        </w:rPr>
        <w:t>Más allá del cumplimiento de la normativa, “los estudios y documentos previos son el soporte para elaborar el proyecto de pliegos, los pliegos de condiciones, y el contrato”</w:t>
      </w:r>
      <w:r w:rsidRPr="006D4F5F">
        <w:rPr>
          <w:vertAlign w:val="superscript"/>
          <w:lang w:eastAsia="es-MX"/>
        </w:rPr>
        <w:footnoteReference w:id="3"/>
      </w:r>
      <w:r w:rsidRPr="006D7828">
        <w:rPr>
          <w:rFonts w:ascii="Verdana" w:hAnsi="Verdana" w:eastAsia="Times New Roman" w:cs="Arial"/>
          <w:lang w:val="es-ES_tradnl" w:eastAsia="es-MX"/>
        </w:rPr>
        <w:t xml:space="preserve">, por lo que deben publicarse en la etapa precontractual y sirven de motivación para los documentos expedidos unilateralmente por la Entidad </w:t>
      </w:r>
      <w:r w:rsidRPr="006D7828">
        <w:rPr>
          <w:rFonts w:ascii="Verdana" w:hAnsi="Verdana" w:eastAsia="Times New Roman" w:cs="Arial"/>
          <w:lang w:val="es-ES_tradnl" w:eastAsia="es-MX"/>
        </w:rPr>
        <w:lastRenderedPageBreak/>
        <w:t>Estatal tales como el acto administrativo de apertura, los pliegos de condiciones y el acto de adjudicación, entre otros.</w:t>
      </w:r>
    </w:p>
    <w:p w:rsidRPr="006D7828" w:rsidR="00DB7CAA" w:rsidP="00DB7CAA" w:rsidRDefault="00DB7CAA" w14:paraId="5BB8A0C5" w14:textId="77777777">
      <w:pPr>
        <w:pStyle w:val="ListParagraph"/>
        <w:rPr>
          <w:rFonts w:ascii="Verdana" w:hAnsi="Verdana" w:eastAsia="Times New Roman" w:cs="Arial"/>
          <w:lang w:val="es-ES_tradnl" w:eastAsia="es-MX"/>
        </w:rPr>
      </w:pPr>
    </w:p>
    <w:p w:rsidRPr="006D7828" w:rsidR="00DB7CAA" w:rsidP="00DB7CAA" w:rsidRDefault="00DB7CAA" w14:paraId="776296EC" w14:textId="77777777">
      <w:pPr>
        <w:pStyle w:val="ListParagraph"/>
        <w:rPr>
          <w:rFonts w:ascii="Verdana" w:hAnsi="Verdana" w:eastAsia="Times New Roman" w:cs="Arial"/>
          <w:szCs w:val="24"/>
          <w:lang w:eastAsia="es-ES_tradnl"/>
        </w:rPr>
      </w:pPr>
    </w:p>
    <w:p w:rsidR="006A1C43" w:rsidP="15BDDE31" w:rsidRDefault="006A1C43" w14:paraId="70D090D9" w14:textId="1DF459E0">
      <w:pPr>
        <w:pStyle w:val="ListParagraph"/>
        <w:numPr>
          <w:ilvl w:val="0"/>
          <w:numId w:val="10"/>
        </w:numPr>
        <w:spacing w:after="120" w:line="276" w:lineRule="auto"/>
        <w:jc w:val="both"/>
        <w:rPr>
          <w:rFonts w:ascii="Verdana" w:hAnsi="Verdana" w:eastAsia="Calibri" w:cs="Arial"/>
          <w:lang w:val="es-ES" w:eastAsia="es-MX"/>
        </w:rPr>
      </w:pPr>
      <w:r w:rsidRPr="15BDDE31" w:rsidR="006A1C43">
        <w:rPr>
          <w:rFonts w:ascii="Verdana" w:hAnsi="Verdana" w:eastAsia="Times New Roman" w:cs="Arial"/>
          <w:lang w:val="es-ES" w:eastAsia="es-MX"/>
        </w:rPr>
        <w:t>Ahora bien</w:t>
      </w:r>
      <w:r w:rsidRPr="15BDDE31" w:rsidR="00DB7CAA">
        <w:rPr>
          <w:rFonts w:ascii="Verdana" w:hAnsi="Verdana" w:eastAsia="Times New Roman" w:cs="Arial"/>
          <w:lang w:val="es-ES" w:eastAsia="es-MX"/>
        </w:rPr>
        <w:t>, conforme se desprende de los numerales 2 y 4 del artículo 2.2.1.1.2.1.1 del Decreto 1082 de 2015, uno de los aspectos principales que deben abarcar los estudios previos es la determinación del objeto a contratar con sus especificaciones y el valor estimado del contrato aparejado de su respectiva justificación.</w:t>
      </w:r>
      <w:r w:rsidRPr="15BDDE31" w:rsidR="00DB7CAA">
        <w:rPr>
          <w:rFonts w:ascii="Verdana" w:hAnsi="Verdana" w:eastAsia="Times New Roman" w:cs="Arial"/>
          <w:lang w:val="es-ES" w:eastAsia="es-MX"/>
        </w:rPr>
        <w:t xml:space="preserve"> </w:t>
      </w:r>
      <w:r w:rsidRPr="15BDDE31" w:rsidR="00DB7CAA">
        <w:rPr>
          <w:rFonts w:ascii="Verdana" w:hAnsi="Verdana" w:eastAsia="Calibri" w:cs="Arial"/>
          <w:lang w:val="es-ES" w:eastAsia="es-MX"/>
        </w:rPr>
        <w:t xml:space="preserve">Para estos efectos resulta relevante </w:t>
      </w:r>
      <w:bookmarkStart w:name="_Hlk139465916" w:id="2"/>
      <w:r w:rsidRPr="15BDDE31" w:rsidR="00DB7CAA">
        <w:rPr>
          <w:rFonts w:ascii="Verdana" w:hAnsi="Verdana" w:eastAsia="Calibri" w:cs="Arial"/>
          <w:lang w:val="es-ES" w:eastAsia="es-MX"/>
        </w:rPr>
        <w:t xml:space="preserve">la información recolectada en el marco del </w:t>
      </w:r>
      <w:r w:rsidRPr="15BDDE31" w:rsidR="00DB7CAA">
        <w:rPr>
          <w:rFonts w:ascii="Verdana" w:hAnsi="Verdana" w:eastAsia="Calibri" w:cs="Arial"/>
          <w:i w:val="1"/>
          <w:iCs w:val="1"/>
          <w:lang w:val="es-ES" w:eastAsia="es-MX"/>
        </w:rPr>
        <w:t>estudio del mercado</w:t>
      </w:r>
      <w:r w:rsidRPr="15BDDE31" w:rsidR="00DB7CAA">
        <w:rPr>
          <w:rFonts w:ascii="Verdana" w:hAnsi="Verdana" w:eastAsia="Calibri" w:cs="Arial"/>
          <w:lang w:val="es-ES" w:eastAsia="es-MX"/>
        </w:rPr>
        <w:t xml:space="preserve"> y el análisis del sector económico y de los potenciales oferentes, actividades de planeación previa que sirven para identificar aspectos concretos del mercado que pueden afectar el proceso de selección o las condiciones del negocio a realizar mediante el proceso de contratación.</w:t>
      </w:r>
      <w:r w:rsidRPr="15BDDE31" w:rsidR="00DB7CAA">
        <w:rPr>
          <w:rFonts w:ascii="Verdana" w:hAnsi="Verdana" w:eastAsia="Calibri" w:cs="Arial"/>
          <w:lang w:val="es-ES" w:eastAsia="es-MX"/>
        </w:rPr>
        <w:t xml:space="preserve"> </w:t>
      </w:r>
    </w:p>
    <w:p w:rsidRPr="00A34454" w:rsidR="006A1C43" w:rsidP="00A34454" w:rsidRDefault="006A1C43" w14:paraId="0C51BD36" w14:textId="77777777">
      <w:pPr>
        <w:pStyle w:val="ListParagraph"/>
        <w:rPr>
          <w:rFonts w:ascii="Verdana" w:hAnsi="Verdana" w:eastAsia="Calibri" w:cs="Arial"/>
          <w:bCs/>
          <w:lang w:val="es-ES_tradnl" w:eastAsia="es-MX"/>
        </w:rPr>
      </w:pPr>
    </w:p>
    <w:p w:rsidR="00DB7CAA" w:rsidP="00DB7CAA" w:rsidRDefault="00DB7CAA" w14:paraId="1C44D306" w14:textId="473C5689">
      <w:pPr>
        <w:pStyle w:val="ListParagraph"/>
        <w:numPr>
          <w:ilvl w:val="0"/>
          <w:numId w:val="10"/>
        </w:numPr>
        <w:spacing w:after="120" w:line="276" w:lineRule="auto"/>
        <w:jc w:val="both"/>
        <w:rPr>
          <w:rFonts w:ascii="Verdana" w:hAnsi="Verdana" w:eastAsia="Calibri" w:cs="Arial"/>
          <w:bCs/>
          <w:lang w:val="es-ES_tradnl" w:eastAsia="es-MX"/>
        </w:rPr>
      </w:pPr>
      <w:r w:rsidRPr="006D7828">
        <w:rPr>
          <w:rFonts w:ascii="Verdana" w:hAnsi="Verdana" w:eastAsia="Calibri" w:cs="Arial"/>
          <w:bCs/>
          <w:lang w:val="es-ES_tradnl" w:eastAsia="es-MX"/>
        </w:rPr>
        <w:t xml:space="preserve">En este sentido, el análisis del sector de las perspectivas legal, comercial, financiera, organizacional, técnica, y de análisis de Riesgo, al que se refiere el artículo </w:t>
      </w:r>
      <w:bookmarkStart w:name="_Hlk36117416" w:id="3"/>
      <w:r w:rsidRPr="006D7828">
        <w:rPr>
          <w:rFonts w:ascii="Verdana" w:hAnsi="Verdana" w:eastAsia="Calibri" w:cs="Arial"/>
          <w:bCs/>
          <w:lang w:val="es-ES_tradnl" w:eastAsia="es-MX"/>
        </w:rPr>
        <w:t>2.2.1.1.1.6.1 del Decreto 1082 de 2015</w:t>
      </w:r>
      <w:bookmarkEnd w:id="3"/>
      <w:r w:rsidRPr="006D7828">
        <w:rPr>
          <w:rFonts w:ascii="Verdana" w:hAnsi="Verdana" w:eastAsia="Calibri" w:cs="Arial"/>
          <w:bCs/>
          <w:lang w:val="es-ES_tradnl" w:eastAsia="es-MX"/>
        </w:rPr>
        <w:t>, constituye un insumo importante para determinar factores que pudieran determinar el valor del contrato y orientar a la entidad en torno al monto de la disponibilidad presupuestal que requiere para realizar la contratación</w:t>
      </w:r>
      <w:bookmarkEnd w:id="2"/>
      <w:r w:rsidRPr="006D4F5F">
        <w:rPr>
          <w:rFonts w:eastAsia="Calibri"/>
          <w:bCs/>
          <w:vertAlign w:val="superscript"/>
          <w:lang w:eastAsia="es-MX"/>
        </w:rPr>
        <w:footnoteReference w:id="4"/>
      </w:r>
      <w:r w:rsidRPr="006D7828">
        <w:rPr>
          <w:rFonts w:ascii="Verdana" w:hAnsi="Verdana" w:eastAsia="Calibri" w:cs="Arial"/>
          <w:bCs/>
          <w:lang w:val="es-ES_tradnl" w:eastAsia="es-MX"/>
        </w:rPr>
        <w:t xml:space="preserve">. </w:t>
      </w:r>
    </w:p>
    <w:p w:rsidRPr="006D7828" w:rsidR="00DB7CAA" w:rsidP="00DB7CAA" w:rsidRDefault="00DB7CAA" w14:paraId="17604740" w14:textId="77777777">
      <w:pPr>
        <w:pStyle w:val="ListParagraph"/>
        <w:spacing w:after="120" w:line="276" w:lineRule="auto"/>
        <w:jc w:val="both"/>
        <w:rPr>
          <w:rFonts w:ascii="Verdana" w:hAnsi="Verdana" w:eastAsia="Calibri" w:cs="Arial"/>
          <w:bCs/>
          <w:lang w:val="es-ES_tradnl" w:eastAsia="es-MX"/>
        </w:rPr>
      </w:pPr>
      <w:r w:rsidRPr="006D7828">
        <w:rPr>
          <w:rFonts w:ascii="Verdana" w:hAnsi="Verdana" w:eastAsia="Calibri" w:cs="Arial"/>
          <w:bCs/>
          <w:lang w:val="es-ES_tradnl" w:eastAsia="es-MX"/>
        </w:rPr>
        <w:t xml:space="preserve"> </w:t>
      </w:r>
    </w:p>
    <w:p w:rsidR="00C24CA3" w:rsidP="00DB7CAA" w:rsidRDefault="00DB7CAA" w14:paraId="19AC6B22" w14:textId="1B72C046">
      <w:pPr>
        <w:pStyle w:val="ListParagraph"/>
        <w:numPr>
          <w:ilvl w:val="0"/>
          <w:numId w:val="10"/>
        </w:numPr>
        <w:spacing w:after="120" w:line="276" w:lineRule="auto"/>
        <w:jc w:val="both"/>
        <w:rPr>
          <w:rFonts w:ascii="Verdana" w:hAnsi="Verdana" w:eastAsia="Calibri" w:cs="Arial"/>
          <w:lang w:eastAsia="es-MX"/>
        </w:rPr>
      </w:pPr>
      <w:r w:rsidRPr="3A444C6A">
        <w:rPr>
          <w:rFonts w:ascii="Verdana" w:hAnsi="Verdana" w:eastAsia="Calibri" w:cs="Arial"/>
          <w:lang w:eastAsia="es-MX"/>
        </w:rPr>
        <w:t xml:space="preserve">De acuerdo con la </w:t>
      </w:r>
      <w:r w:rsidRPr="3A444C6A" w:rsidR="00C24CA3">
        <w:rPr>
          <w:rFonts w:ascii="Verdana" w:hAnsi="Verdana" w:eastAsia="Calibri" w:cs="Arial"/>
          <w:lang w:eastAsia="es-MX"/>
        </w:rPr>
        <w:t>norma</w:t>
      </w:r>
      <w:r w:rsidR="00C24CA3">
        <w:rPr>
          <w:rFonts w:ascii="Verdana" w:hAnsi="Verdana" w:eastAsia="Calibri" w:cs="Arial"/>
          <w:lang w:eastAsia="es-MX"/>
        </w:rPr>
        <w:t xml:space="preserve"> señalada</w:t>
      </w:r>
      <w:r w:rsidRPr="3A444C6A">
        <w:rPr>
          <w:rFonts w:ascii="Verdana" w:hAnsi="Verdana" w:eastAsia="Calibri" w:cs="Arial"/>
          <w:lang w:eastAsia="es-MX"/>
        </w:rPr>
        <w:t xml:space="preserve">, </w:t>
      </w:r>
      <w:bookmarkStart w:name="_Hlk36140682" w:id="4"/>
      <w:r w:rsidRPr="3A444C6A">
        <w:rPr>
          <w:rFonts w:ascii="Verdana" w:hAnsi="Verdana" w:eastAsia="Calibri" w:cs="Arial"/>
          <w:lang w:eastAsia="es-MX"/>
        </w:rPr>
        <w:t xml:space="preserve">la entidad debe realizar el análisis necesario para conocer el sector relativo al objeto del Proceso de Contratación, sin que sea relevante la modalidad de selección. </w:t>
      </w:r>
    </w:p>
    <w:p w:rsidRPr="00A34454" w:rsidR="00C24CA3" w:rsidP="00A34454" w:rsidRDefault="00C24CA3" w14:paraId="0696BA1E" w14:textId="77777777">
      <w:pPr>
        <w:pStyle w:val="ListParagraph"/>
        <w:rPr>
          <w:rFonts w:ascii="Verdana" w:hAnsi="Verdana" w:eastAsia="Calibri" w:cs="Arial"/>
          <w:lang w:eastAsia="es-MX"/>
        </w:rPr>
      </w:pPr>
    </w:p>
    <w:p w:rsidR="00B46027" w:rsidP="00DB7CAA" w:rsidRDefault="00C24CA3" w14:paraId="4CB32A40" w14:textId="77777777">
      <w:pPr>
        <w:pStyle w:val="ListParagraph"/>
        <w:numPr>
          <w:ilvl w:val="0"/>
          <w:numId w:val="10"/>
        </w:numPr>
        <w:spacing w:after="120" w:line="276" w:lineRule="auto"/>
        <w:jc w:val="both"/>
        <w:rPr>
          <w:rFonts w:ascii="Verdana" w:hAnsi="Verdana" w:eastAsia="Calibri" w:cs="Arial"/>
          <w:lang w:eastAsia="es-MX"/>
        </w:rPr>
      </w:pPr>
      <w:r>
        <w:rPr>
          <w:rFonts w:ascii="Verdana" w:hAnsi="Verdana" w:eastAsia="Calibri" w:cs="Arial"/>
          <w:lang w:eastAsia="es-MX"/>
        </w:rPr>
        <w:t xml:space="preserve">En ese orden de ideas se </w:t>
      </w:r>
      <w:r w:rsidR="00B46027">
        <w:rPr>
          <w:rFonts w:ascii="Verdana" w:hAnsi="Verdana" w:eastAsia="Calibri" w:cs="Arial"/>
          <w:lang w:eastAsia="es-MX"/>
        </w:rPr>
        <w:t>deber hacer un análisis desde las diferentes perspectivas:</w:t>
      </w:r>
    </w:p>
    <w:p w:rsidRPr="00A34454" w:rsidR="00B46027" w:rsidP="00A34454" w:rsidRDefault="00B46027" w14:paraId="1068BC15" w14:textId="77777777">
      <w:pPr>
        <w:pStyle w:val="ListParagraph"/>
        <w:rPr>
          <w:rFonts w:ascii="Verdana" w:hAnsi="Verdana" w:eastAsia="Calibri" w:cs="Arial"/>
          <w:lang w:eastAsia="es-MX"/>
        </w:rPr>
      </w:pPr>
    </w:p>
    <w:p w:rsidR="00B46027" w:rsidP="00B46027" w:rsidRDefault="00DB7CAA" w14:paraId="63B594EA" w14:textId="5BB558CC">
      <w:pPr>
        <w:pStyle w:val="ListParagraph"/>
        <w:numPr>
          <w:ilvl w:val="0"/>
          <w:numId w:val="11"/>
        </w:numPr>
        <w:spacing w:after="120" w:line="276" w:lineRule="auto"/>
        <w:jc w:val="both"/>
        <w:rPr>
          <w:rFonts w:ascii="Verdana" w:hAnsi="Verdana" w:eastAsia="Calibri" w:cs="Arial"/>
          <w:lang w:eastAsia="es-MX"/>
        </w:rPr>
      </w:pPr>
      <w:r w:rsidRPr="3A444C6A">
        <w:rPr>
          <w:rFonts w:ascii="Verdana" w:hAnsi="Verdana" w:eastAsia="Calibri" w:cs="Arial"/>
          <w:lang w:eastAsia="es-MX"/>
        </w:rPr>
        <w:t xml:space="preserve">a </w:t>
      </w:r>
      <w:r w:rsidR="00B46027">
        <w:rPr>
          <w:rFonts w:ascii="Verdana" w:hAnsi="Verdana" w:eastAsia="Calibri" w:cs="Arial"/>
          <w:lang w:eastAsia="es-MX"/>
        </w:rPr>
        <w:t>L</w:t>
      </w:r>
      <w:r w:rsidRPr="3A444C6A">
        <w:rPr>
          <w:rFonts w:ascii="Verdana" w:hAnsi="Verdana" w:eastAsia="Calibri" w:cs="Arial"/>
          <w:lang w:eastAsia="es-MX"/>
        </w:rPr>
        <w:t>egal</w:t>
      </w:r>
      <w:r w:rsidR="00B46027">
        <w:rPr>
          <w:rFonts w:ascii="Verdana" w:hAnsi="Verdana" w:eastAsia="Calibri" w:cs="Arial"/>
          <w:lang w:eastAsia="es-MX"/>
        </w:rPr>
        <w:t xml:space="preserve">: </w:t>
      </w:r>
      <w:r w:rsidRPr="3A444C6A">
        <w:rPr>
          <w:rFonts w:ascii="Verdana" w:hAnsi="Verdana" w:eastAsia="Calibri" w:cs="Arial"/>
          <w:lang w:eastAsia="es-MX"/>
        </w:rPr>
        <w:t xml:space="preserve">implica la revisión de la regulación vigente para el mercado dentro del que se encuentra el objeto del contrato. </w:t>
      </w:r>
    </w:p>
    <w:p w:rsidR="00B46027" w:rsidP="00B46027" w:rsidRDefault="00B46027" w14:paraId="503FFB4D" w14:textId="2AA63247">
      <w:pPr>
        <w:pStyle w:val="ListParagraph"/>
        <w:numPr>
          <w:ilvl w:val="0"/>
          <w:numId w:val="11"/>
        </w:numPr>
        <w:spacing w:after="120" w:line="276" w:lineRule="auto"/>
        <w:jc w:val="both"/>
        <w:rPr>
          <w:rFonts w:ascii="Verdana" w:hAnsi="Verdana" w:eastAsia="Calibri" w:cs="Arial"/>
          <w:lang w:eastAsia="es-MX"/>
        </w:rPr>
      </w:pPr>
      <w:r>
        <w:rPr>
          <w:rFonts w:ascii="Verdana" w:hAnsi="Verdana" w:eastAsia="Calibri" w:cs="Arial"/>
          <w:lang w:eastAsia="es-MX"/>
        </w:rPr>
        <w:t>c</w:t>
      </w:r>
      <w:r w:rsidRPr="3A444C6A" w:rsidR="00DB7CAA">
        <w:rPr>
          <w:rFonts w:ascii="Verdana" w:hAnsi="Verdana" w:eastAsia="Calibri" w:cs="Arial"/>
          <w:lang w:eastAsia="es-MX"/>
        </w:rPr>
        <w:t xml:space="preserve">omercial hace referencia a analizar quiénes pueden ofrecer el bien o servicio que se quiere contratar, cuáles son sus condiciones, si tienen </w:t>
      </w:r>
      <w:r w:rsidRPr="3A444C6A" w:rsidR="00DB7CAA">
        <w:rPr>
          <w:rFonts w:ascii="Verdana" w:hAnsi="Verdana" w:eastAsia="Calibri" w:cs="Arial"/>
          <w:lang w:eastAsia="es-MX"/>
        </w:rPr>
        <w:lastRenderedPageBreak/>
        <w:t>condiciones especiales que sean relevantes para determinar los requisitos habilitantes, entre otros.</w:t>
      </w:r>
    </w:p>
    <w:p w:rsidR="00B46027" w:rsidP="00B46027" w:rsidRDefault="00DB7CAA" w14:paraId="47191B6C" w14:textId="4B06771D">
      <w:pPr>
        <w:pStyle w:val="ListParagraph"/>
        <w:numPr>
          <w:ilvl w:val="0"/>
          <w:numId w:val="11"/>
        </w:numPr>
        <w:spacing w:after="120" w:line="276" w:lineRule="auto"/>
        <w:jc w:val="both"/>
        <w:rPr>
          <w:rFonts w:ascii="Verdana" w:hAnsi="Verdana" w:eastAsia="Calibri" w:cs="Arial"/>
          <w:lang w:eastAsia="es-MX"/>
        </w:rPr>
      </w:pPr>
      <w:r w:rsidRPr="3A444C6A">
        <w:rPr>
          <w:rFonts w:ascii="Verdana" w:hAnsi="Verdana" w:eastAsia="Calibri" w:cs="Arial"/>
          <w:lang w:eastAsia="es-MX"/>
        </w:rPr>
        <w:t xml:space="preserve"> </w:t>
      </w:r>
      <w:r w:rsidR="00B46027">
        <w:rPr>
          <w:rFonts w:ascii="Verdana" w:hAnsi="Verdana" w:eastAsia="Calibri" w:cs="Arial"/>
          <w:lang w:eastAsia="es-MX"/>
        </w:rPr>
        <w:t>f</w:t>
      </w:r>
      <w:r w:rsidRPr="3A444C6A">
        <w:rPr>
          <w:rFonts w:ascii="Verdana" w:hAnsi="Verdana" w:eastAsia="Calibri" w:cs="Arial"/>
          <w:lang w:eastAsia="es-MX"/>
        </w:rPr>
        <w:t>inanciera</w:t>
      </w:r>
      <w:r w:rsidR="00B46027">
        <w:rPr>
          <w:rFonts w:ascii="Verdana" w:hAnsi="Verdana" w:eastAsia="Calibri" w:cs="Arial"/>
          <w:lang w:eastAsia="es-MX"/>
        </w:rPr>
        <w:t>:</w:t>
      </w:r>
      <w:r w:rsidRPr="3A444C6A">
        <w:rPr>
          <w:rFonts w:ascii="Verdana" w:hAnsi="Verdana" w:eastAsia="Calibri" w:cs="Arial"/>
          <w:lang w:eastAsia="es-MX"/>
        </w:rPr>
        <w:t xml:space="preserve">el análisis conlleva una revisión de las características financieras que se presentan dentro del mercado del bien o servicio, como por ejemplo el índice de endeudamiento que tienen las empresas o personas naturales que ofrecen dicho bien o servicio. </w:t>
      </w:r>
    </w:p>
    <w:p w:rsidR="00DB7CAA" w:rsidP="00A34454" w:rsidRDefault="00B46027" w14:paraId="639A3352" w14:textId="6E8D7271">
      <w:pPr>
        <w:pStyle w:val="ListParagraph"/>
        <w:numPr>
          <w:ilvl w:val="0"/>
          <w:numId w:val="11"/>
        </w:numPr>
        <w:spacing w:after="120" w:line="276" w:lineRule="auto"/>
        <w:jc w:val="both"/>
        <w:rPr>
          <w:rFonts w:ascii="Verdana" w:hAnsi="Verdana" w:eastAsia="Calibri" w:cs="Arial"/>
          <w:lang w:eastAsia="es-MX"/>
        </w:rPr>
      </w:pPr>
      <w:r>
        <w:rPr>
          <w:rFonts w:ascii="Verdana" w:hAnsi="Verdana" w:eastAsia="Calibri" w:cs="Arial"/>
          <w:lang w:eastAsia="es-MX"/>
        </w:rPr>
        <w:t>O</w:t>
      </w:r>
      <w:r w:rsidRPr="3A444C6A" w:rsidR="00DB7CAA">
        <w:rPr>
          <w:rFonts w:ascii="Verdana" w:hAnsi="Verdana" w:eastAsia="Calibri" w:cs="Arial"/>
          <w:lang w:eastAsia="es-MX"/>
        </w:rPr>
        <w:t>rganizacional</w:t>
      </w:r>
      <w:r>
        <w:rPr>
          <w:rFonts w:ascii="Verdana" w:hAnsi="Verdana" w:eastAsia="Calibri" w:cs="Arial"/>
          <w:lang w:eastAsia="es-MX"/>
        </w:rPr>
        <w:t>:</w:t>
      </w:r>
      <w:r w:rsidRPr="3A444C6A" w:rsidR="00DB7CAA">
        <w:rPr>
          <w:rFonts w:ascii="Verdana" w:hAnsi="Verdana" w:eastAsia="Calibri" w:cs="Arial"/>
          <w:lang w:eastAsia="es-MX"/>
        </w:rPr>
        <w:t>pretende que la Entidad Estatal entienda cómo están organizados internamente los posibles oferentes y de qué manera realizan sus negocios y operaciones.</w:t>
      </w:r>
    </w:p>
    <w:p w:rsidRPr="006D7828" w:rsidR="00DB7CAA" w:rsidP="00DB7CAA" w:rsidRDefault="00DB7CAA" w14:paraId="6F2BE63E" w14:textId="77777777">
      <w:pPr>
        <w:pStyle w:val="ListParagraph"/>
        <w:rPr>
          <w:rFonts w:ascii="Verdana" w:hAnsi="Verdana" w:eastAsia="Calibri" w:cs="Arial"/>
          <w:bCs/>
          <w:lang w:val="es-ES_tradnl" w:eastAsia="es-MX"/>
        </w:rPr>
      </w:pPr>
    </w:p>
    <w:p w:rsidRPr="006D7828" w:rsidR="00DB7CAA" w:rsidP="00DB7CAA" w:rsidRDefault="00DB7CAA" w14:paraId="022CC46D" w14:textId="77777777">
      <w:pPr>
        <w:pStyle w:val="ListParagraph"/>
        <w:numPr>
          <w:ilvl w:val="0"/>
          <w:numId w:val="10"/>
        </w:numPr>
        <w:spacing w:after="120" w:line="276" w:lineRule="auto"/>
        <w:jc w:val="both"/>
        <w:rPr>
          <w:rFonts w:ascii="Verdana" w:hAnsi="Verdana" w:eastAsia="Calibri" w:cs="Arial"/>
          <w:bCs/>
          <w:lang w:val="es-ES_tradnl" w:eastAsia="es-MX"/>
        </w:rPr>
      </w:pPr>
      <w:r w:rsidRPr="006D7828">
        <w:rPr>
          <w:rFonts w:ascii="Verdana" w:hAnsi="Verdana" w:eastAsia="Calibri" w:cs="Arial"/>
          <w:bCs/>
          <w:lang w:val="es-ES_tradnl" w:eastAsia="es-MX"/>
        </w:rPr>
        <w:t xml:space="preserve">Si bien la normativa en materia de contratación estatal establece la obligatoriedad de realizar el análisis necesario para conocer el sector relativo al objeto del Proceso de Contratación, no determinan un procedimiento específico para efectuar dicho análisis por lo que las entidades </w:t>
      </w:r>
      <w:r w:rsidRPr="006D7828">
        <w:rPr>
          <w:rFonts w:ascii="Verdana" w:hAnsi="Verdana" w:eastAsia="Times New Roman" w:cs="Arial"/>
          <w:lang w:val="es-ES_tradnl" w:eastAsia="es-CO"/>
        </w:rPr>
        <w:t xml:space="preserve">son autónomas para estructurarlo, para lo cual deberán cumplir lo dispuesto en el artículo </w:t>
      </w:r>
      <w:r w:rsidRPr="006D7828">
        <w:rPr>
          <w:rFonts w:ascii="Verdana" w:hAnsi="Verdana" w:eastAsia="Calibri" w:cs="Arial"/>
          <w:bCs/>
          <w:lang w:val="es-ES_tradnl" w:eastAsia="es-MX"/>
        </w:rPr>
        <w:t xml:space="preserve">2.2.1.1.1.6.1 del Decreto 1082 de 2015 y realizar un análisis integral de planeación que </w:t>
      </w:r>
      <w:r w:rsidRPr="006D7828">
        <w:rPr>
          <w:rFonts w:ascii="Verdana" w:hAnsi="Verdana" w:eastAsia="Times New Roman" w:cs="Arial"/>
          <w:lang w:val="es-ES_tradnl" w:eastAsia="es-MX"/>
        </w:rPr>
        <w:t xml:space="preserve">sirva de sustento a la decisión de </w:t>
      </w:r>
      <w:r w:rsidRPr="006D7828">
        <w:rPr>
          <w:rFonts w:ascii="Verdana" w:hAnsi="Verdana" w:eastAsia="Times New Roman" w:cs="Arial"/>
          <w:bCs/>
          <w:lang w:val="es-ES_tradnl" w:eastAsia="es-MX"/>
        </w:rPr>
        <w:t>realizar un Proceso de Contratación.</w:t>
      </w:r>
    </w:p>
    <w:p w:rsidRPr="006D7828" w:rsidR="00DB7CAA" w:rsidP="00DB7CAA" w:rsidRDefault="00DB7CAA" w14:paraId="0A782C4B" w14:textId="77777777">
      <w:pPr>
        <w:pStyle w:val="ListParagraph"/>
        <w:rPr>
          <w:rFonts w:ascii="Verdana" w:hAnsi="Verdana" w:eastAsia="Calibri" w:cs="Arial"/>
          <w:bCs/>
          <w:lang w:val="es-ES_tradnl" w:eastAsia="es-MX"/>
        </w:rPr>
      </w:pPr>
    </w:p>
    <w:p w:rsidRPr="009225A7" w:rsidR="00DB7CAA" w:rsidP="00A34454" w:rsidRDefault="00DB7CAA" w14:paraId="45E3F747" w14:textId="4173A97F">
      <w:pPr>
        <w:pStyle w:val="ListParagraph"/>
        <w:numPr>
          <w:ilvl w:val="0"/>
          <w:numId w:val="10"/>
        </w:numPr>
        <w:spacing w:after="120" w:line="276" w:lineRule="auto"/>
        <w:jc w:val="both"/>
        <w:rPr>
          <w:rFonts w:ascii="Verdana" w:hAnsi="Verdana" w:eastAsia="Calibri" w:cs="Arial"/>
          <w:bCs/>
          <w:szCs w:val="24"/>
          <w:lang w:eastAsia="es-ES_tradnl"/>
        </w:rPr>
      </w:pPr>
      <w:bookmarkStart w:name="_Hlk139466113" w:id="5"/>
      <w:bookmarkEnd w:id="4"/>
      <w:r w:rsidRPr="00B46027">
        <w:rPr>
          <w:rFonts w:ascii="Verdana" w:hAnsi="Verdana" w:eastAsia="Calibri" w:cs="Arial"/>
          <w:bCs/>
          <w:lang w:val="es-ES_tradnl" w:eastAsia="es-MX"/>
        </w:rPr>
        <w:t>La Agencia Nacional de Contratación Pública – Colombia Compra Eficiente dispone de una “Guía para la Elaboración de Estudios del Sector”</w:t>
      </w:r>
      <w:r w:rsidRPr="00B46027">
        <w:rPr>
          <w:rFonts w:ascii="Verdana" w:hAnsi="Verdana" w:eastAsia="Times New Roman" w:cs="Arial"/>
          <w:vertAlign w:val="superscript"/>
          <w:lang w:val="es-ES_tradnl" w:eastAsia="es-CO"/>
        </w:rPr>
        <w:t xml:space="preserve"> </w:t>
      </w:r>
      <w:r w:rsidRPr="006D4F5F">
        <w:rPr>
          <w:rFonts w:eastAsia="Times New Roman"/>
          <w:vertAlign w:val="superscript"/>
          <w:lang w:eastAsia="es-CO"/>
        </w:rPr>
        <w:footnoteReference w:id="5"/>
      </w:r>
      <w:r w:rsidRPr="00B46027">
        <w:rPr>
          <w:rFonts w:ascii="Verdana" w:hAnsi="Verdana" w:eastAsia="Calibri" w:cs="Arial"/>
          <w:bCs/>
          <w:lang w:val="es-ES_tradnl" w:eastAsia="es-MX"/>
        </w:rPr>
        <w:t>,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w:t>
      </w:r>
      <w:bookmarkEnd w:id="5"/>
      <w:r w:rsidRPr="00B46027">
        <w:rPr>
          <w:rFonts w:ascii="Verdana" w:hAnsi="Verdana" w:eastAsia="Calibri" w:cs="Arial"/>
          <w:bCs/>
          <w:lang w:val="es-ES_tradnl" w:eastAsia="es-MX"/>
        </w:rPr>
        <w:t xml:space="preserve"> </w:t>
      </w:r>
      <w:r w:rsidRPr="00B46027">
        <w:rPr>
          <w:rFonts w:ascii="Verdana" w:hAnsi="Verdana" w:eastAsia="Calibri" w:cs="Arial"/>
          <w:bCs/>
          <w:szCs w:val="24"/>
          <w:lang w:val="es-ES_tradnl" w:eastAsia="es-ES_tradnl"/>
        </w:rPr>
        <w:t xml:space="preserve">Esta Guía es un insumo para realizar el estudio del sector relativo al Proceso de Contratación, ya que comprende pautas sobre los aspectos generales del mercado, el análisis de la demanda y de la oferta y constituye un instrumento de orientación, por lo que –al carecer de fuerza vinculante– su aplicación no exime a las entidades de acatar las normas vigentes. </w:t>
      </w:r>
    </w:p>
    <w:p w:rsidRPr="009225A7" w:rsidR="009225A7" w:rsidP="009225A7" w:rsidRDefault="009225A7" w14:paraId="5ABFCD44" w14:textId="77777777">
      <w:pPr>
        <w:pStyle w:val="ListParagraph"/>
        <w:rPr>
          <w:rFonts w:ascii="Verdana" w:hAnsi="Verdana" w:eastAsia="Calibri" w:cs="Arial"/>
          <w:bCs/>
          <w:szCs w:val="24"/>
          <w:lang w:eastAsia="es-ES_tradnl"/>
        </w:rPr>
      </w:pPr>
    </w:p>
    <w:p w:rsidR="00DB7CAA" w:rsidP="00DB7CAA" w:rsidRDefault="00DB7CAA" w14:paraId="559233D6" w14:textId="77777777">
      <w:pPr>
        <w:pStyle w:val="ListParagraph"/>
        <w:numPr>
          <w:ilvl w:val="0"/>
          <w:numId w:val="10"/>
        </w:numPr>
        <w:spacing w:after="120" w:line="276" w:lineRule="auto"/>
        <w:jc w:val="both"/>
        <w:rPr>
          <w:rFonts w:ascii="Verdana" w:hAnsi="Verdana" w:eastAsia="Calibri" w:cs="Arial"/>
          <w:bCs/>
          <w:lang w:val="es-ES_tradnl" w:eastAsia="es-MX"/>
        </w:rPr>
      </w:pPr>
      <w:r w:rsidRPr="006D7828">
        <w:rPr>
          <w:rFonts w:ascii="Verdana" w:hAnsi="Verdana" w:eastAsia="Calibri" w:cs="Arial"/>
          <w:bCs/>
          <w:lang w:val="es-ES_tradnl" w:eastAsia="es-MX"/>
        </w:rPr>
        <w:t xml:space="preserve">En este instrumento se recomienda un análisis integral sobre varios aspectos del mercado –económico, técnico, regulatorio, etc., lo cual permitirá que la entidad delimite con precisión qué bienes y servicios existen, cuáles son las </w:t>
      </w:r>
      <w:r w:rsidRPr="006D7828">
        <w:rPr>
          <w:rFonts w:ascii="Verdana" w:hAnsi="Verdana" w:eastAsia="Calibri" w:cs="Arial"/>
          <w:bCs/>
          <w:lang w:val="es-ES_tradnl" w:eastAsia="es-MX"/>
        </w:rPr>
        <w:lastRenderedPageBreak/>
        <w:t xml:space="preserve">condiciones de su comercialización, cómo es la oferta y la demanda y cuáles son los factores que inciden en el valor del contrato, tales como el análisis de precios, las cargas tributarias, la tasa de cambio, las garantías, los gastos de transporte, etc. </w:t>
      </w:r>
    </w:p>
    <w:p w:rsidRPr="006D7828" w:rsidR="00DB7CAA" w:rsidP="00DB7CAA" w:rsidRDefault="00DB7CAA" w14:paraId="64DB78CC" w14:textId="77777777">
      <w:pPr>
        <w:pStyle w:val="ListParagraph"/>
        <w:rPr>
          <w:rFonts w:ascii="Verdana" w:hAnsi="Verdana" w:eastAsia="Calibri" w:cs="Arial"/>
          <w:bCs/>
          <w:lang w:val="es-ES_tradnl" w:eastAsia="es-MX"/>
        </w:rPr>
      </w:pPr>
    </w:p>
    <w:p w:rsidRPr="009225A7" w:rsidR="00DB7CAA" w:rsidP="009225A7" w:rsidRDefault="00DB7CAA" w14:paraId="1418262F" w14:textId="5CBB4BD6">
      <w:pPr>
        <w:pStyle w:val="ListParagraph"/>
        <w:numPr>
          <w:ilvl w:val="0"/>
          <w:numId w:val="10"/>
        </w:numPr>
        <w:spacing w:after="120" w:line="276" w:lineRule="auto"/>
        <w:jc w:val="both"/>
        <w:rPr>
          <w:rFonts w:ascii="Verdana" w:hAnsi="Verdana"/>
          <w:lang w:val="es-CO" w:eastAsia="es-ES_tradnl"/>
        </w:rPr>
      </w:pPr>
      <w:r w:rsidRPr="009225A7">
        <w:rPr>
          <w:rFonts w:ascii="Verdana" w:hAnsi="Verdana" w:eastAsia="Calibri" w:cs="Arial"/>
          <w:bCs/>
          <w:szCs w:val="24"/>
          <w:lang w:val="es-ES_tradnl" w:eastAsia="es-ES_tradnl"/>
        </w:rPr>
        <w:t xml:space="preserve">Así mismo, en </w:t>
      </w:r>
      <w:bookmarkStart w:name="_Hlk139466181" w:id="6"/>
      <w:r w:rsidRPr="009225A7">
        <w:rPr>
          <w:rFonts w:ascii="Verdana" w:hAnsi="Verdana" w:eastAsia="Calibri" w:cs="Arial"/>
          <w:bCs/>
          <w:szCs w:val="24"/>
          <w:lang w:val="es-ES_tradnl" w:eastAsia="es-ES_tradnl"/>
        </w:rPr>
        <w:t xml:space="preserve">la Guía se indica que como parte de la estructura del estudio del sector se debe realizar un análisis del comportamiento del gasto histórico, el estudio de la oferta y el estudio del mercado. </w:t>
      </w:r>
      <w:bookmarkStart w:name="_Hlk78204338" w:id="7"/>
      <w:bookmarkEnd w:id="6"/>
      <w:r w:rsidRPr="009225A7" w:rsidR="00970935">
        <w:rPr>
          <w:rFonts w:ascii="Verdana" w:hAnsi="Verdana" w:eastAsia="Calibri" w:cs="Arial"/>
          <w:lang w:eastAsia="es-ES_tradnl"/>
        </w:rPr>
        <w:t>D</w:t>
      </w:r>
      <w:r w:rsidRPr="009225A7" w:rsidR="00970935">
        <w:rPr>
          <w:rFonts w:ascii="Verdana" w:hAnsi="Verdana"/>
          <w:lang w:val="es-CO" w:eastAsia="es-ES_tradnl"/>
        </w:rPr>
        <w:t>e forma puntual, l</w:t>
      </w:r>
      <w:r w:rsidRPr="009225A7">
        <w:rPr>
          <w:rFonts w:ascii="Verdana" w:hAnsi="Verdana"/>
          <w:lang w:val="es-CO" w:eastAsia="es-ES_tradnl"/>
        </w:rPr>
        <w:t>a Guía indica que “la Entidad Estatal debe identificar los proveedores en el mercado del bien o servicio, así como sus principales características como tamaño empresarial, ubicación, esquemas de producción y comportamiento financiero”.</w:t>
      </w:r>
      <w:bookmarkEnd w:id="7"/>
      <w:r w:rsidRPr="009225A7">
        <w:rPr>
          <w:rFonts w:ascii="Verdana" w:hAnsi="Verdana"/>
          <w:lang w:val="es-CO" w:eastAsia="es-ES_tradnl"/>
        </w:rPr>
        <w:t xml:space="preserve"> </w:t>
      </w:r>
    </w:p>
    <w:p w:rsidRPr="006D7828" w:rsidR="00DB7CAA" w:rsidP="00DB7CAA" w:rsidRDefault="00DB7CAA" w14:paraId="7D7D95B0" w14:textId="77777777">
      <w:pPr>
        <w:pStyle w:val="ListParagraph"/>
        <w:rPr>
          <w:rFonts w:ascii="Verdana" w:hAnsi="Verdana" w:eastAsia="Calibri" w:cs="Arial"/>
          <w:szCs w:val="24"/>
          <w:lang w:eastAsia="es-ES_tradnl"/>
        </w:rPr>
      </w:pPr>
    </w:p>
    <w:p w:rsidR="009E579A" w:rsidP="00DB7CAA" w:rsidRDefault="00970935" w14:paraId="157E7D65" w14:textId="76657E7C">
      <w:pPr>
        <w:pStyle w:val="ListParagraph"/>
        <w:numPr>
          <w:ilvl w:val="0"/>
          <w:numId w:val="10"/>
        </w:numPr>
        <w:spacing w:after="120" w:line="276" w:lineRule="auto"/>
        <w:jc w:val="both"/>
        <w:rPr>
          <w:rFonts w:ascii="Verdana" w:hAnsi="Verdana" w:eastAsia="Calibri" w:cs="Arial"/>
          <w:szCs w:val="24"/>
          <w:lang w:eastAsia="es-ES_tradnl"/>
        </w:rPr>
      </w:pPr>
      <w:r>
        <w:rPr>
          <w:rFonts w:ascii="Verdana" w:hAnsi="Verdana" w:eastAsia="Calibri" w:cs="Arial"/>
          <w:szCs w:val="24"/>
          <w:lang w:eastAsia="es-ES_tradnl"/>
        </w:rPr>
        <w:t>Ahora bien</w:t>
      </w:r>
      <w:r w:rsidRPr="006D7828" w:rsidR="00DB7CAA">
        <w:rPr>
          <w:rFonts w:ascii="Verdana" w:hAnsi="Verdana" w:eastAsia="Calibri" w:cs="Arial"/>
          <w:szCs w:val="24"/>
          <w:lang w:eastAsia="es-ES_tradnl"/>
        </w:rPr>
        <w:t xml:space="preserve">, </w:t>
      </w:r>
      <w:bookmarkStart w:name="_Hlk139466204" w:id="8"/>
      <w:r>
        <w:rPr>
          <w:rFonts w:ascii="Verdana" w:hAnsi="Verdana" w:eastAsia="Calibri" w:cs="Arial"/>
          <w:szCs w:val="24"/>
          <w:lang w:eastAsia="es-ES_tradnl"/>
        </w:rPr>
        <w:t xml:space="preserve">respecto a </w:t>
      </w:r>
      <w:r w:rsidRPr="006D7828" w:rsidR="00DB7CAA">
        <w:rPr>
          <w:rFonts w:ascii="Verdana" w:hAnsi="Verdana" w:eastAsia="Calibri" w:cs="Arial"/>
          <w:szCs w:val="24"/>
          <w:lang w:eastAsia="es-ES_tradnl"/>
        </w:rPr>
        <w:t xml:space="preserve">el </w:t>
      </w:r>
      <w:r w:rsidRPr="006D7828" w:rsidR="00DB7CAA">
        <w:rPr>
          <w:rFonts w:ascii="Verdana" w:hAnsi="Verdana" w:eastAsia="Calibri" w:cs="Arial"/>
          <w:i/>
          <w:iCs/>
          <w:szCs w:val="24"/>
          <w:lang w:eastAsia="es-ES_tradnl"/>
        </w:rPr>
        <w:t xml:space="preserve">estudio del mercado, </w:t>
      </w:r>
      <w:r w:rsidRPr="006D7828" w:rsidR="00DB7CAA">
        <w:rPr>
          <w:rFonts w:ascii="Verdana" w:hAnsi="Verdana" w:eastAsia="Calibri" w:cs="Arial"/>
          <w:szCs w:val="24"/>
          <w:lang w:eastAsia="es-ES_tradnl"/>
        </w:rPr>
        <w:t xml:space="preserve">al cual hace referencia en su consulta, </w:t>
      </w:r>
      <w:r>
        <w:rPr>
          <w:rFonts w:ascii="Verdana" w:hAnsi="Verdana" w:eastAsia="Calibri" w:cs="Arial"/>
          <w:szCs w:val="24"/>
          <w:lang w:eastAsia="es-ES_tradnl"/>
        </w:rPr>
        <w:t xml:space="preserve">este se encuentra inmerso dentro del análisis del sector y </w:t>
      </w:r>
      <w:r w:rsidRPr="006D7828" w:rsidR="00DB7CAA">
        <w:rPr>
          <w:rFonts w:ascii="Verdana" w:hAnsi="Verdana" w:eastAsia="Calibri" w:cs="Arial"/>
          <w:szCs w:val="24"/>
          <w:lang w:eastAsia="es-ES_tradnl"/>
        </w:rPr>
        <w:t xml:space="preserve">permite comprender la dinámica de los precios y establecer el presupuesto oficial de la contratación, el cual </w:t>
      </w:r>
      <w:r w:rsidR="00E6213D">
        <w:rPr>
          <w:rFonts w:ascii="Verdana" w:hAnsi="Verdana" w:eastAsia="Calibri" w:cs="Arial"/>
          <w:szCs w:val="24"/>
          <w:lang w:eastAsia="es-ES_tradnl"/>
        </w:rPr>
        <w:t>incluye</w:t>
      </w:r>
      <w:r w:rsidRPr="006D7828" w:rsidR="00E6213D">
        <w:rPr>
          <w:rFonts w:ascii="Verdana" w:hAnsi="Verdana" w:eastAsia="Calibri" w:cs="Arial"/>
          <w:szCs w:val="24"/>
          <w:lang w:eastAsia="es-ES_tradnl"/>
        </w:rPr>
        <w:t xml:space="preserve"> </w:t>
      </w:r>
      <w:r w:rsidRPr="006D7828" w:rsidR="00DB7CAA">
        <w:rPr>
          <w:rFonts w:ascii="Verdana" w:hAnsi="Verdana" w:eastAsia="Calibri" w:cs="Arial"/>
          <w:szCs w:val="24"/>
          <w:lang w:eastAsia="es-ES_tradnl"/>
        </w:rPr>
        <w:t>la realización de un análisis de los diferentes precios de los bienes o servicios a contratar que se registran en el mercado, los cuales pueden consultarse a través de mecanismos como</w:t>
      </w:r>
      <w:r w:rsidR="009E579A">
        <w:rPr>
          <w:rFonts w:ascii="Verdana" w:hAnsi="Verdana" w:eastAsia="Calibri" w:cs="Arial"/>
          <w:szCs w:val="24"/>
          <w:lang w:eastAsia="es-ES_tradnl"/>
        </w:rPr>
        <w:t>:</w:t>
      </w:r>
    </w:p>
    <w:p w:rsidR="009E579A" w:rsidP="009E579A" w:rsidRDefault="009E579A" w14:paraId="4F503D17" w14:textId="74FF9DC6">
      <w:pPr>
        <w:pStyle w:val="ListParagraph"/>
        <w:numPr>
          <w:ilvl w:val="0"/>
          <w:numId w:val="12"/>
        </w:numPr>
        <w:spacing w:after="120" w:line="276" w:lineRule="auto"/>
        <w:jc w:val="both"/>
        <w:rPr>
          <w:rFonts w:ascii="Verdana" w:hAnsi="Verdana" w:eastAsia="Calibri" w:cs="Arial"/>
          <w:szCs w:val="24"/>
          <w:lang w:eastAsia="es-ES_tradnl"/>
        </w:rPr>
      </w:pPr>
      <w:r>
        <w:rPr>
          <w:rFonts w:ascii="Verdana" w:hAnsi="Verdana" w:eastAsia="Calibri" w:cs="Arial"/>
          <w:szCs w:val="24"/>
          <w:lang w:eastAsia="es-ES_tradnl"/>
        </w:rPr>
        <w:t>R</w:t>
      </w:r>
      <w:r w:rsidRPr="00A34454">
        <w:rPr>
          <w:rFonts w:ascii="Verdana" w:hAnsi="Verdana" w:eastAsia="Calibri" w:cs="Arial"/>
          <w:szCs w:val="24"/>
          <w:lang w:eastAsia="es-ES_tradnl"/>
        </w:rPr>
        <w:t>evisión de precios</w:t>
      </w:r>
      <w:r w:rsidRPr="006D7828">
        <w:rPr>
          <w:rFonts w:ascii="Verdana" w:hAnsi="Verdana" w:eastAsia="Calibri" w:cs="Arial"/>
          <w:szCs w:val="24"/>
          <w:lang w:eastAsia="es-ES_tradnl"/>
        </w:rPr>
        <w:t xml:space="preserve"> por solicitud de cotizaciones</w:t>
      </w:r>
      <w:r>
        <w:rPr>
          <w:rFonts w:ascii="Verdana" w:hAnsi="Verdana" w:eastAsia="Calibri" w:cs="Arial"/>
          <w:szCs w:val="24"/>
          <w:lang w:eastAsia="es-ES_tradnl"/>
        </w:rPr>
        <w:t xml:space="preserve">: </w:t>
      </w:r>
      <w:r w:rsidRPr="006D7828">
        <w:rPr>
          <w:rFonts w:ascii="Verdana" w:hAnsi="Verdana" w:eastAsia="Calibri" w:cs="Arial"/>
          <w:szCs w:val="24"/>
          <w:lang w:eastAsia="es-ES_tradnl"/>
        </w:rPr>
        <w:t>la Guía recomienda requerir a los potenciales proveedores de los bienes o servicios para que remitan la información necesaria para determinar, entre otros aspectos, el valor del servicio o del bien correspondiente. Para estos efectos, se sugiere incluir en la comunicación toda aquella información pertinente del contrato a ejecutar que permita a los potenciales proveedores estructurar una cotización integral y ajustada a las necesidades de la entidad</w:t>
      </w:r>
      <w:r>
        <w:rPr>
          <w:rFonts w:ascii="Verdana" w:hAnsi="Verdana" w:eastAsia="Calibri" w:cs="Arial"/>
          <w:szCs w:val="24"/>
          <w:lang w:eastAsia="es-ES_tradnl"/>
        </w:rPr>
        <w:t>.</w:t>
      </w:r>
    </w:p>
    <w:p w:rsidRPr="00A34454" w:rsidR="009E579A" w:rsidP="00A34454" w:rsidRDefault="009E579A" w14:paraId="0F4521F5" w14:textId="785AD2A7">
      <w:pPr>
        <w:pStyle w:val="ListParagraph"/>
        <w:spacing w:after="120" w:line="276" w:lineRule="auto"/>
        <w:ind w:left="2220"/>
        <w:jc w:val="both"/>
        <w:rPr>
          <w:rFonts w:ascii="Verdana" w:hAnsi="Verdana" w:eastAsia="Calibri" w:cs="Arial"/>
          <w:szCs w:val="24"/>
          <w:lang w:eastAsia="es-ES_tradnl"/>
        </w:rPr>
      </w:pPr>
      <w:r w:rsidRPr="00A34454">
        <w:rPr>
          <w:rFonts w:ascii="Verdana" w:hAnsi="Verdana" w:eastAsia="Calibri" w:cs="Arial"/>
          <w:szCs w:val="24"/>
          <w:lang w:eastAsia="es-ES_tradnl"/>
        </w:rPr>
        <w:t xml:space="preserve">Así mismo, se indica que, al recibir las cotizaciones, debe verificarse la ocurrencia de circunstancias que eventualmente pueden distorsionar los precios del mercado, como ofertas especiales de almacenes de cadena, fenómenos de escasez o abundancia del producto, entre otros aspectos. </w:t>
      </w:r>
    </w:p>
    <w:p w:rsidR="009E579A" w:rsidP="00A34454" w:rsidRDefault="009E579A" w14:paraId="477E3F29" w14:textId="77777777">
      <w:pPr>
        <w:pStyle w:val="ListParagraph"/>
        <w:spacing w:after="120" w:line="276" w:lineRule="auto"/>
        <w:ind w:left="2220"/>
        <w:jc w:val="both"/>
        <w:rPr>
          <w:rFonts w:ascii="Verdana" w:hAnsi="Verdana" w:eastAsia="Calibri" w:cs="Arial"/>
          <w:szCs w:val="24"/>
          <w:lang w:eastAsia="es-ES_tradnl"/>
        </w:rPr>
      </w:pPr>
    </w:p>
    <w:p w:rsidR="009E579A" w:rsidP="009E579A" w:rsidRDefault="009E579A" w14:paraId="60E5355A" w14:textId="0AF06E01">
      <w:pPr>
        <w:pStyle w:val="ListParagraph"/>
        <w:numPr>
          <w:ilvl w:val="0"/>
          <w:numId w:val="12"/>
        </w:numPr>
        <w:spacing w:after="120" w:line="276" w:lineRule="auto"/>
        <w:jc w:val="both"/>
        <w:rPr>
          <w:rFonts w:ascii="Verdana" w:hAnsi="Verdana" w:eastAsia="Calibri" w:cs="Arial"/>
          <w:szCs w:val="24"/>
          <w:lang w:eastAsia="es-ES_tradnl"/>
        </w:rPr>
      </w:pPr>
      <w:r>
        <w:rPr>
          <w:rFonts w:ascii="Verdana" w:hAnsi="Verdana" w:eastAsia="Calibri" w:cs="Arial"/>
          <w:szCs w:val="24"/>
          <w:lang w:eastAsia="es-ES_tradnl"/>
        </w:rPr>
        <w:t>R</w:t>
      </w:r>
      <w:r w:rsidRPr="00A34454">
        <w:rPr>
          <w:rFonts w:ascii="Verdana" w:hAnsi="Verdana" w:eastAsia="Calibri" w:cs="Arial"/>
          <w:szCs w:val="24"/>
          <w:lang w:eastAsia="es-ES_tradnl"/>
        </w:rPr>
        <w:t>evisión de bases de datos especializadas</w:t>
      </w:r>
      <w:r>
        <w:rPr>
          <w:rFonts w:ascii="Verdana" w:hAnsi="Verdana" w:eastAsia="Calibri" w:cs="Arial"/>
          <w:szCs w:val="24"/>
          <w:lang w:eastAsia="es-ES_tradnl"/>
        </w:rPr>
        <w:t>:</w:t>
      </w:r>
      <w:r w:rsidRPr="006D7828">
        <w:rPr>
          <w:rFonts w:ascii="Verdana" w:hAnsi="Verdana" w:eastAsia="Calibri" w:cs="Arial"/>
          <w:szCs w:val="24"/>
          <w:lang w:eastAsia="es-ES_tradnl"/>
        </w:rPr>
        <w:t xml:space="preserve"> la Guía señala que es conveniente adelantarla cuando por las condiciones del mercado del bien o servicio a contratar se requiera, y el responsable deberá dejar constancia de las consultas realizadas y de los precios que soportan su estudio. Las bases de datos consultadas </w:t>
      </w:r>
      <w:r w:rsidRPr="006D7828">
        <w:rPr>
          <w:rFonts w:ascii="Verdana" w:hAnsi="Verdana" w:eastAsia="Calibri" w:cs="Arial"/>
          <w:szCs w:val="24"/>
          <w:lang w:eastAsia="es-ES_tradnl"/>
        </w:rPr>
        <w:lastRenderedPageBreak/>
        <w:t xml:space="preserve">deben ser especializadas y representativas en el mercado del bien o servicio a contratar. </w:t>
      </w:r>
    </w:p>
    <w:p w:rsidR="009E579A" w:rsidP="00A34454" w:rsidRDefault="009E579A" w14:paraId="45FD1325" w14:textId="77777777">
      <w:pPr>
        <w:pStyle w:val="ListParagraph"/>
        <w:spacing w:after="120" w:line="276" w:lineRule="auto"/>
        <w:ind w:left="2220"/>
        <w:jc w:val="both"/>
        <w:rPr>
          <w:rFonts w:ascii="Verdana" w:hAnsi="Verdana" w:eastAsia="Calibri" w:cs="Arial"/>
          <w:szCs w:val="24"/>
          <w:lang w:eastAsia="es-ES_tradnl"/>
        </w:rPr>
      </w:pPr>
    </w:p>
    <w:p w:rsidR="009E579A" w:rsidP="009E579A" w:rsidRDefault="009E579A" w14:paraId="2F82527F" w14:textId="5332C23B">
      <w:pPr>
        <w:pStyle w:val="ListParagraph"/>
        <w:numPr>
          <w:ilvl w:val="0"/>
          <w:numId w:val="12"/>
        </w:numPr>
        <w:spacing w:after="120" w:line="276" w:lineRule="auto"/>
        <w:jc w:val="both"/>
        <w:rPr>
          <w:rFonts w:ascii="Verdana" w:hAnsi="Verdana" w:eastAsia="Calibri" w:cs="Arial"/>
          <w:szCs w:val="24"/>
          <w:lang w:eastAsia="es-ES_tradnl"/>
        </w:rPr>
      </w:pPr>
      <w:r>
        <w:rPr>
          <w:rFonts w:ascii="Verdana" w:hAnsi="Verdana" w:eastAsia="Calibri" w:cs="Arial"/>
          <w:szCs w:val="24"/>
          <w:lang w:eastAsia="es-ES_tradnl"/>
        </w:rPr>
        <w:t>R</w:t>
      </w:r>
      <w:r w:rsidRPr="006D7828">
        <w:rPr>
          <w:rFonts w:ascii="Verdana" w:hAnsi="Verdana" w:eastAsia="Calibri" w:cs="Arial"/>
          <w:szCs w:val="24"/>
          <w:lang w:eastAsia="es-ES_tradnl"/>
        </w:rPr>
        <w:t xml:space="preserve">evisión de precios históricos se sugiere verificar la variación de los precios históricos derivados del índice de precios al consumidor en cada año, examinando si se han presentado fenómenos económicos que hayan implicado fluctuaciones importantes en el comercio del bien o servicio, siempre que las características del bien o servicio sean las mismas entre una contratación y otra.  </w:t>
      </w:r>
    </w:p>
    <w:bookmarkEnd w:id="8"/>
    <w:p w:rsidRPr="009E579A" w:rsidR="00DB7CAA" w:rsidP="009225A7" w:rsidRDefault="00DB7CAA" w14:paraId="54E1A496" w14:textId="77777777">
      <w:pPr>
        <w:pStyle w:val="ListParagraph"/>
        <w:spacing w:after="120" w:line="276" w:lineRule="auto"/>
        <w:jc w:val="both"/>
        <w:rPr>
          <w:rFonts w:ascii="Verdana" w:hAnsi="Verdana" w:eastAsia="Calibri" w:cs="Arial"/>
          <w:szCs w:val="24"/>
          <w:lang w:eastAsia="es-ES_tradnl"/>
        </w:rPr>
      </w:pPr>
    </w:p>
    <w:p w:rsidR="00DB7CAA" w:rsidP="00DB7CAA" w:rsidRDefault="00DB7CAA" w14:paraId="6F73DF43" w14:textId="77777777">
      <w:pPr>
        <w:pStyle w:val="ListParagraph"/>
        <w:numPr>
          <w:ilvl w:val="0"/>
          <w:numId w:val="10"/>
        </w:numPr>
        <w:spacing w:after="120" w:line="276" w:lineRule="auto"/>
        <w:jc w:val="both"/>
        <w:rPr>
          <w:rFonts w:ascii="Verdana" w:hAnsi="Verdana" w:eastAsia="Calibri" w:cs="Arial"/>
          <w:szCs w:val="24"/>
          <w:lang w:eastAsia="es-ES_tradnl"/>
        </w:rPr>
      </w:pPr>
      <w:bookmarkStart w:name="_Hlk139466471" w:id="9"/>
      <w:r w:rsidRPr="006D7828">
        <w:rPr>
          <w:rFonts w:ascii="Verdana" w:hAnsi="Verdana" w:eastAsia="Calibri" w:cs="Arial"/>
          <w:szCs w:val="24"/>
          <w:lang w:eastAsia="es-ES_tradnl"/>
        </w:rPr>
        <w:t xml:space="preserve">Como se observa, la “Guía de Elaboración de Estudios del Sector” recomienda como mecanismo para la elaboración de </w:t>
      </w:r>
      <w:r w:rsidRPr="006D7828">
        <w:rPr>
          <w:rFonts w:ascii="Verdana" w:hAnsi="Verdana" w:eastAsia="Calibri" w:cs="Arial"/>
          <w:i/>
          <w:iCs/>
          <w:szCs w:val="24"/>
          <w:lang w:eastAsia="es-ES_tradnl"/>
        </w:rPr>
        <w:t>estudios del mercado</w:t>
      </w:r>
      <w:r w:rsidRPr="006D7828">
        <w:rPr>
          <w:rFonts w:ascii="Verdana" w:hAnsi="Verdana" w:eastAsia="Calibri" w:cs="Arial"/>
          <w:szCs w:val="24"/>
          <w:lang w:eastAsia="es-ES_tradnl"/>
        </w:rPr>
        <w:t>, que sirvan para entender la dinámica de los precios y establecer el presupuesto oficial de la contratación, requerir a los potenciales proveedores a fin de que remitan la información necesaria para determinar diversos aspectos de los bienes o servicios a contratar, entre ellos su valor, especificaciones técnicas, el plazo, entre otra información relevante. En principio, que un potencial proveedor participe en estos estudios del mercado, remitiendo cotizaciones por citar un ejemplo, no implica que en el futuro no pueda participar del Proceso de Contratación que se adelante.</w:t>
      </w:r>
      <w:bookmarkEnd w:id="9"/>
    </w:p>
    <w:p w:rsidRPr="006D7828" w:rsidR="00DB7CAA" w:rsidP="00DB7CAA" w:rsidRDefault="00DB7CAA" w14:paraId="4B490633" w14:textId="77777777">
      <w:pPr>
        <w:pStyle w:val="ListParagraph"/>
        <w:rPr>
          <w:rFonts w:ascii="Verdana" w:hAnsi="Verdana" w:eastAsia="Calibri" w:cs="Arial"/>
          <w:szCs w:val="24"/>
          <w:lang w:eastAsia="es-ES_tradnl"/>
        </w:rPr>
      </w:pPr>
    </w:p>
    <w:p w:rsidR="003C2402" w:rsidP="003C2402" w:rsidRDefault="003C2402" w14:paraId="3A3241C8" w14:textId="31E11530">
      <w:pPr>
        <w:pStyle w:val="ListParagraph"/>
        <w:numPr>
          <w:ilvl w:val="0"/>
          <w:numId w:val="10"/>
        </w:numPr>
        <w:spacing w:after="0" w:line="276" w:lineRule="auto"/>
        <w:jc w:val="both"/>
        <w:rPr>
          <w:rFonts w:ascii="Verdana" w:hAnsi="Verdana" w:eastAsia="Times New Roman" w:cs="Arial"/>
          <w:szCs w:val="24"/>
          <w:lang w:eastAsia="es-ES_tradnl"/>
        </w:rPr>
      </w:pPr>
      <w:r>
        <w:rPr>
          <w:rFonts w:ascii="Verdana" w:hAnsi="Verdana" w:eastAsia="Calibri" w:cs="Arial"/>
          <w:szCs w:val="24"/>
          <w:lang w:eastAsia="es-ES_tradnl"/>
        </w:rPr>
        <w:t>En ese orden de ideas,</w:t>
      </w:r>
      <w:r w:rsidRPr="006D7828" w:rsidR="00DB7CAA">
        <w:rPr>
          <w:rFonts w:ascii="Verdana" w:hAnsi="Verdana" w:eastAsia="Calibri" w:cs="Arial"/>
          <w:bCs/>
          <w:szCs w:val="24"/>
          <w:lang w:val="es-ES_tradnl" w:eastAsia="es-ES_tradnl"/>
        </w:rPr>
        <w:t xml:space="preserve"> el análisis del sector </w:t>
      </w:r>
      <w:r w:rsidRPr="006D7828" w:rsidR="00DB7CAA">
        <w:rPr>
          <w:rFonts w:ascii="Verdana" w:hAnsi="Verdana" w:eastAsia="Times New Roman" w:cs="Arial"/>
          <w:bCs/>
          <w:szCs w:val="24"/>
          <w:lang w:val="es-ES_tradnl" w:eastAsia="es-ES_tradnl"/>
        </w:rPr>
        <w:t xml:space="preserve">parte de un estudio desde una perspectiva multidisciplinaria, que implica los aspectos generales del mercado, el análisis de la demanda y de la oferta, así como el estudio del mercado que le permite a la entidad entender el mercado del bien, obra o servicio que pretenden adquirir, así como identificar los factores que inciden en el valor del contrato, tales como el análisis de precios, las cargas tributarias, la tasa de cambio, las garantías, los gastos de transporte, etc. Este análisis se </w:t>
      </w:r>
      <w:r w:rsidRPr="006D7828" w:rsidR="00DB7CAA">
        <w:rPr>
          <w:rFonts w:ascii="Verdana" w:hAnsi="Verdana" w:eastAsia="Times New Roman" w:cs="Arial"/>
          <w:szCs w:val="24"/>
          <w:lang w:eastAsia="es-ES_tradnl"/>
        </w:rPr>
        <w:t xml:space="preserve">debe consignar en los Documentos del Proceso, bien sea en los estudios previos o en la información soporte de </w:t>
      </w:r>
      <w:r w:rsidRPr="006D7828" w:rsidR="009225A7">
        <w:rPr>
          <w:rFonts w:ascii="Verdana" w:hAnsi="Verdana" w:eastAsia="Times New Roman" w:cs="Arial"/>
          <w:szCs w:val="24"/>
          <w:lang w:eastAsia="es-ES_tradnl"/>
        </w:rPr>
        <w:t>estos</w:t>
      </w:r>
      <w:r w:rsidRPr="006D7828" w:rsidR="00DB7CAA">
        <w:rPr>
          <w:rFonts w:ascii="Verdana" w:hAnsi="Verdana" w:eastAsia="Times New Roman" w:cs="Arial"/>
          <w:szCs w:val="24"/>
          <w:lang w:eastAsia="es-ES_tradnl"/>
        </w:rPr>
        <w:t xml:space="preserve">. </w:t>
      </w:r>
    </w:p>
    <w:p w:rsidRPr="00A34454" w:rsidR="003C2402" w:rsidP="00A34454" w:rsidRDefault="003C2402" w14:paraId="35125978" w14:textId="77777777">
      <w:pPr>
        <w:pStyle w:val="ListParagraph"/>
        <w:rPr>
          <w:rFonts w:ascii="Verdana" w:hAnsi="Verdana" w:eastAsia="Times New Roman" w:cs="Arial"/>
          <w:szCs w:val="24"/>
          <w:lang w:val="es-CO" w:eastAsia="es-ES_tradnl"/>
        </w:rPr>
      </w:pPr>
    </w:p>
    <w:p w:rsidRPr="00A34454" w:rsidR="003C2402" w:rsidP="009225A7" w:rsidRDefault="003C2402" w14:paraId="326868BF" w14:textId="68E917BE">
      <w:pPr>
        <w:pStyle w:val="ListParagraph"/>
        <w:numPr>
          <w:ilvl w:val="0"/>
          <w:numId w:val="10"/>
        </w:numPr>
        <w:spacing w:after="0" w:line="276" w:lineRule="auto"/>
        <w:jc w:val="both"/>
        <w:rPr>
          <w:rFonts w:ascii="Verdana" w:hAnsi="Verdana" w:eastAsia="Times New Roman" w:cs="Arial"/>
          <w:szCs w:val="24"/>
          <w:lang w:eastAsia="es-ES_tradnl"/>
        </w:rPr>
      </w:pPr>
      <w:r w:rsidRPr="00A34454">
        <w:rPr>
          <w:rFonts w:ascii="Verdana" w:hAnsi="Verdana" w:eastAsia="Times New Roman" w:cs="Arial"/>
          <w:szCs w:val="24"/>
          <w:lang w:val="es-CO" w:eastAsia="es-ES_tradnl"/>
        </w:rPr>
        <w:t xml:space="preserve">En conclusión, las entidades estales son autónomas para establecer en su Manual de Contratación la </w:t>
      </w:r>
      <w:r w:rsidRPr="00A34454">
        <w:rPr>
          <w:rFonts w:ascii="Verdana" w:hAnsi="Verdana" w:eastAsia="Calibri" w:cs="Arial"/>
          <w:szCs w:val="24"/>
          <w:lang w:eastAsia="es-ES_tradnl"/>
        </w:rPr>
        <w:t xml:space="preserve">metodología para elaborar el Estudio del Sector y en especial la forma como desarrollar los estudios de </w:t>
      </w:r>
      <w:r w:rsidRPr="00A34454" w:rsidR="009225A7">
        <w:rPr>
          <w:rFonts w:ascii="Verdana" w:hAnsi="Verdana" w:eastAsia="Calibri" w:cs="Arial"/>
          <w:szCs w:val="24"/>
          <w:lang w:eastAsia="es-ES_tradnl"/>
        </w:rPr>
        <w:t>mercado, siempre</w:t>
      </w:r>
      <w:r w:rsidRPr="00A34454">
        <w:rPr>
          <w:rFonts w:ascii="Verdana" w:hAnsi="Verdana" w:eastAsia="Calibri" w:cs="Arial"/>
          <w:szCs w:val="24"/>
          <w:lang w:eastAsia="es-ES_tradnl"/>
        </w:rPr>
        <w:t xml:space="preserve"> y cuando acaten la Ley 1150 de 2007 y el Decreto 1082 de 2015 frente a esta materia, </w:t>
      </w:r>
      <w:r w:rsidRPr="00A34454">
        <w:rPr>
          <w:rFonts w:ascii="Verdana" w:hAnsi="Verdana" w:eastAsia="Calibri" w:cs="Arial"/>
          <w:szCs w:val="24"/>
          <w:lang w:eastAsia="es-ES_tradnl"/>
        </w:rPr>
        <w:lastRenderedPageBreak/>
        <w:t xml:space="preserve">estableciendo siempre </w:t>
      </w:r>
      <w:r w:rsidRPr="00A34454">
        <w:rPr>
          <w:rFonts w:ascii="Verdana" w:hAnsi="Verdana" w:eastAsia="Times New Roman" w:cs="Arial"/>
          <w:szCs w:val="24"/>
          <w:lang w:eastAsia="es-ES_tradnl"/>
        </w:rPr>
        <w:t>argumentos financieros que permitirán escoger el mejor precio de conformidad con los criterios establecidos por la misma.</w:t>
      </w:r>
    </w:p>
    <w:p w:rsidR="00DB7CAA" w:rsidP="00DB7CAA" w:rsidRDefault="00DB7CAA" w14:paraId="7BF32498" w14:textId="77777777">
      <w:pPr>
        <w:spacing w:after="0" w:line="276" w:lineRule="auto"/>
        <w:ind w:firstLine="709"/>
        <w:jc w:val="both"/>
        <w:rPr>
          <w:rFonts w:ascii="Verdana" w:hAnsi="Verdana" w:eastAsia="Times New Roman" w:cs="Arial"/>
          <w:szCs w:val="24"/>
          <w:lang w:val="es-ES" w:eastAsia="es-ES_tradnl"/>
        </w:rPr>
      </w:pPr>
    </w:p>
    <w:p w:rsidRPr="006D4F5F" w:rsidR="00DB7CAA" w:rsidP="00DB7CAA" w:rsidRDefault="00DB7CAA" w14:paraId="39CFCD56" w14:textId="77777777">
      <w:pPr>
        <w:tabs>
          <w:tab w:val="left" w:pos="142"/>
          <w:tab w:val="left" w:pos="284"/>
        </w:tabs>
        <w:spacing w:after="0" w:line="276" w:lineRule="auto"/>
        <w:jc w:val="both"/>
        <w:rPr>
          <w:rFonts w:ascii="Verdana" w:hAnsi="Verdana" w:eastAsia="Century Gothic" w:cs="Century Gothic"/>
          <w:b/>
          <w:bCs/>
        </w:rPr>
      </w:pPr>
      <w:r>
        <w:rPr>
          <w:rFonts w:ascii="Verdana" w:hAnsi="Verdana" w:eastAsia="Century Gothic" w:cs="Century Gothic"/>
          <w:b/>
          <w:bCs/>
        </w:rPr>
        <w:t xml:space="preserve">4. </w:t>
      </w:r>
      <w:r w:rsidRPr="006D4F5F">
        <w:rPr>
          <w:rFonts w:ascii="Verdana" w:hAnsi="Verdana" w:eastAsia="Century Gothic" w:cs="Century Gothic"/>
          <w:b/>
          <w:bCs/>
        </w:rPr>
        <w:t>Referencias normativas, jurisprudenciales y otras fuentes:</w:t>
      </w:r>
    </w:p>
    <w:p w:rsidRPr="00593A5F" w:rsidR="00DB7CAA" w:rsidP="00DB7CAA" w:rsidRDefault="00DB7CAA" w14:paraId="7405284B" w14:textId="77777777">
      <w:pPr>
        <w:widowControl w:val="0"/>
        <w:autoSpaceDE w:val="0"/>
        <w:autoSpaceDN w:val="0"/>
        <w:spacing w:after="0" w:line="276" w:lineRule="auto"/>
        <w:jc w:val="both"/>
        <w:rPr>
          <w:rFonts w:ascii="Verdana" w:hAnsi="Verdana" w:cs="Arial"/>
        </w:rPr>
      </w:pPr>
    </w:p>
    <w:tbl>
      <w:tblPr>
        <w:tblStyle w:val="TableGrid"/>
        <w:tblW w:w="8647"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593A5F" w:rsidR="00DB7CAA" w:rsidTr="009C1076" w14:paraId="2786F29E" w14:textId="77777777">
        <w:trPr>
          <w:trHeight w:val="870"/>
        </w:trPr>
        <w:tc>
          <w:tcPr>
            <w:tcW w:w="8647" w:type="dxa"/>
          </w:tcPr>
          <w:p w:rsidR="00DB7CAA" w:rsidP="009C1076" w:rsidRDefault="00DB7CAA" w14:paraId="04E7AD1A" w14:textId="77777777">
            <w:pPr>
              <w:pStyle w:val="ListParagraph"/>
              <w:widowControl w:val="0"/>
              <w:numPr>
                <w:ilvl w:val="0"/>
                <w:numId w:val="8"/>
              </w:numPr>
              <w:autoSpaceDE w:val="0"/>
              <w:autoSpaceDN w:val="0"/>
              <w:spacing w:after="120" w:line="276" w:lineRule="auto"/>
              <w:jc w:val="both"/>
              <w:rPr>
                <w:rFonts w:ascii="Verdana" w:hAnsi="Verdana" w:cs="Arial"/>
              </w:rPr>
            </w:pPr>
            <w:r w:rsidRPr="00E704D7">
              <w:rPr>
                <w:rFonts w:ascii="Verdana" w:hAnsi="Verdana" w:cs="Arial"/>
              </w:rPr>
              <w:t xml:space="preserve">Ley 80 de 1993, artículo 25. </w:t>
            </w:r>
          </w:p>
          <w:p w:rsidR="00DB7CAA" w:rsidP="009C1076" w:rsidRDefault="00DB7CAA" w14:paraId="46E868A1" w14:textId="77777777">
            <w:pPr>
              <w:pStyle w:val="ListParagraph"/>
              <w:widowControl w:val="0"/>
              <w:numPr>
                <w:ilvl w:val="0"/>
                <w:numId w:val="8"/>
              </w:numPr>
              <w:autoSpaceDE w:val="0"/>
              <w:autoSpaceDN w:val="0"/>
              <w:spacing w:after="120" w:line="276" w:lineRule="auto"/>
              <w:jc w:val="both"/>
              <w:rPr>
                <w:rFonts w:ascii="Verdana" w:hAnsi="Verdana" w:cs="Arial"/>
              </w:rPr>
            </w:pPr>
            <w:r w:rsidRPr="00E704D7">
              <w:rPr>
                <w:rFonts w:ascii="Verdana" w:hAnsi="Verdana" w:cs="Arial"/>
              </w:rPr>
              <w:t>Decreto 1082 de 2015</w:t>
            </w:r>
            <w:r>
              <w:rPr>
                <w:rFonts w:ascii="Verdana" w:hAnsi="Verdana" w:cs="Arial"/>
              </w:rPr>
              <w:t>,</w:t>
            </w:r>
            <w:r w:rsidRPr="00E704D7">
              <w:rPr>
                <w:rFonts w:ascii="Verdana" w:hAnsi="Verdana" w:cs="Arial"/>
              </w:rPr>
              <w:t xml:space="preserve"> artículo</w:t>
            </w:r>
            <w:r>
              <w:rPr>
                <w:rFonts w:ascii="Verdana" w:hAnsi="Verdana" w:cs="Arial"/>
              </w:rPr>
              <w:t>s</w:t>
            </w:r>
            <w:r w:rsidRPr="00E704D7">
              <w:rPr>
                <w:rFonts w:ascii="Verdana" w:hAnsi="Verdana" w:cs="Arial"/>
              </w:rPr>
              <w:t xml:space="preserve"> 2.2.1.1.2.1.1</w:t>
            </w:r>
            <w:r>
              <w:rPr>
                <w:rFonts w:ascii="Verdana" w:hAnsi="Verdana" w:cs="Arial"/>
              </w:rPr>
              <w:t xml:space="preserve">. y </w:t>
            </w:r>
            <w:r w:rsidRPr="00E704D7">
              <w:rPr>
                <w:rFonts w:ascii="Verdana" w:hAnsi="Verdana" w:cs="Arial"/>
              </w:rPr>
              <w:t>artículo 2.2.1.1.1.6.1</w:t>
            </w:r>
            <w:r>
              <w:rPr>
                <w:rFonts w:ascii="Verdana" w:hAnsi="Verdana" w:cs="Arial"/>
              </w:rPr>
              <w:t>.</w:t>
            </w:r>
          </w:p>
          <w:p w:rsidR="00DB7CAA" w:rsidP="009C1076" w:rsidRDefault="00DB7CAA" w14:paraId="5D02CC71" w14:textId="77777777">
            <w:pPr>
              <w:pStyle w:val="ListParagraph"/>
              <w:widowControl w:val="0"/>
              <w:numPr>
                <w:ilvl w:val="0"/>
                <w:numId w:val="8"/>
              </w:numPr>
              <w:autoSpaceDE w:val="0"/>
              <w:autoSpaceDN w:val="0"/>
              <w:spacing w:after="120" w:line="276" w:lineRule="auto"/>
              <w:jc w:val="both"/>
              <w:rPr>
                <w:rFonts w:ascii="Verdana" w:hAnsi="Verdana" w:cs="Arial"/>
              </w:rPr>
            </w:pPr>
            <w:r w:rsidRPr="003D37FC">
              <w:rPr>
                <w:rFonts w:ascii="Verdana" w:hAnsi="Verdana" w:cs="Arial"/>
                <w:lang w:val="es-CO"/>
              </w:rPr>
              <w:t>Consejo de Estado. Sección Tercera. Subsección B. Sentencia del 31 de agosto de 2011. Exp. 18.080</w:t>
            </w:r>
            <w:r w:rsidRPr="00E704D7">
              <w:rPr>
                <w:rFonts w:ascii="Verdana" w:hAnsi="Verdana" w:cs="Arial"/>
                <w:lang w:val="es-CO"/>
              </w:rPr>
              <w:t>.</w:t>
            </w:r>
          </w:p>
          <w:p w:rsidR="00DB7CAA" w:rsidP="009C1076" w:rsidRDefault="00DB7CAA" w14:paraId="4F69F0BA" w14:textId="77777777">
            <w:pPr>
              <w:pStyle w:val="ListParagraph"/>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08521E">
              <w:rPr>
                <w:rFonts w:ascii="Verdana" w:hAnsi="Verdana" w:cs="Arial"/>
              </w:rPr>
              <w:t xml:space="preserve">Guía de Elaboración de Estudios de Sector - GEES del 24 de junio de 2022. Disponible en: </w:t>
            </w:r>
            <w:r w:rsidRPr="0008521E">
              <w:t xml:space="preserve"> </w:t>
            </w:r>
            <w:r w:rsidRPr="0008521E">
              <w:rPr>
                <w:rFonts w:ascii="Verdana" w:hAnsi="Verdana" w:cs="Arial"/>
              </w:rPr>
              <w:t>chrome-extension://efaidnbmnnnibpcajpcglclefindmkaj/https://www.colombiacompra.gov.co/sites/cce_public/files/cce_documentos/cce-eicp-gi-18._gees_v.2_2.pdf</w:t>
            </w:r>
          </w:p>
          <w:p w:rsidRPr="00911BC5" w:rsidR="00DB7CAA" w:rsidP="009C1076" w:rsidRDefault="00DB7CAA" w14:paraId="2E44FC11" w14:textId="77777777">
            <w:pPr>
              <w:pStyle w:val="ListParagraph"/>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3D37FC">
              <w:rPr>
                <w:rFonts w:ascii="Verdana" w:hAnsi="Verdana" w:cs="Arial"/>
              </w:rPr>
              <w:t>DEIK ACOSTAMADIEDO, Carolina, Guía de Contratación Estatal: Deber de planeación y modalidades de selección, Buenos Aires, 2015</w:t>
            </w:r>
            <w:r>
              <w:rPr>
                <w:rFonts w:ascii="Verdana" w:hAnsi="Verdana" w:cs="Arial"/>
              </w:rPr>
              <w:t>.</w:t>
            </w:r>
          </w:p>
        </w:tc>
      </w:tr>
    </w:tbl>
    <w:p w:rsidR="00DB7CAA" w:rsidP="00DB7CAA" w:rsidRDefault="00DB7CAA" w14:paraId="7F165416" w14:textId="77777777">
      <w:pPr>
        <w:pStyle w:val="ListParagraph"/>
        <w:tabs>
          <w:tab w:val="left" w:pos="142"/>
          <w:tab w:val="left" w:pos="284"/>
        </w:tabs>
        <w:spacing w:after="0" w:line="276" w:lineRule="auto"/>
        <w:ind w:left="0"/>
        <w:contextualSpacing w:val="0"/>
        <w:jc w:val="both"/>
        <w:rPr>
          <w:rFonts w:ascii="Verdana" w:hAnsi="Verdana" w:eastAsia="Century Gothic" w:cs="Century Gothic"/>
          <w:b/>
          <w:bCs/>
          <w:lang w:val="es-CO"/>
        </w:rPr>
      </w:pPr>
    </w:p>
    <w:p w:rsidRPr="00593A5F" w:rsidR="00DB7CAA" w:rsidP="00DB7CAA" w:rsidRDefault="00DB7CAA" w14:paraId="16A4D525" w14:textId="77777777">
      <w:pPr>
        <w:pStyle w:val="ListParagraph"/>
        <w:tabs>
          <w:tab w:val="left" w:pos="142"/>
          <w:tab w:val="left" w:pos="284"/>
        </w:tabs>
        <w:spacing w:after="0" w:line="276" w:lineRule="auto"/>
        <w:ind w:left="0"/>
        <w:contextualSpacing w:val="0"/>
        <w:jc w:val="both"/>
        <w:rPr>
          <w:rFonts w:ascii="Verdana" w:hAnsi="Verdana" w:eastAsia="Century Gothic" w:cs="Century Gothic"/>
          <w:b/>
          <w:bCs/>
        </w:rPr>
      </w:pPr>
      <w:r>
        <w:rPr>
          <w:rFonts w:ascii="Verdana" w:hAnsi="Verdana" w:eastAsia="Century Gothic" w:cs="Century Gothic"/>
          <w:b/>
          <w:bCs/>
          <w:lang w:val="es-CO"/>
        </w:rPr>
        <w:t xml:space="preserve">5. </w:t>
      </w:r>
      <w:r>
        <w:rPr>
          <w:rFonts w:ascii="Verdana" w:hAnsi="Verdana" w:eastAsia="Century Gothic" w:cs="Century Gothic"/>
          <w:b/>
          <w:bCs/>
        </w:rPr>
        <w:t>Doctrina de la Agencia Nacional de Contratación Pública</w:t>
      </w:r>
      <w:r w:rsidRPr="00593A5F">
        <w:rPr>
          <w:rFonts w:ascii="Verdana" w:hAnsi="Verdana" w:eastAsia="Century Gothic" w:cs="Century Gothic"/>
          <w:b/>
          <w:bCs/>
        </w:rPr>
        <w:t>:</w:t>
      </w:r>
    </w:p>
    <w:p w:rsidR="00DB7CAA" w:rsidP="00DB7CAA" w:rsidRDefault="00DB7CAA" w14:paraId="4C919760" w14:textId="77777777">
      <w:pPr>
        <w:spacing w:after="0" w:line="276" w:lineRule="auto"/>
        <w:ind w:firstLine="709"/>
        <w:jc w:val="both"/>
        <w:rPr>
          <w:rFonts w:ascii="Verdana" w:hAnsi="Verdana" w:eastAsia="Times New Roman" w:cs="Arial"/>
          <w:szCs w:val="24"/>
          <w:lang w:val="es-ES" w:eastAsia="es-ES_tradnl"/>
        </w:rPr>
      </w:pPr>
    </w:p>
    <w:p w:rsidR="00DB7CAA" w:rsidP="00DB7CAA" w:rsidRDefault="00DB7CAA" w14:paraId="08691ACA" w14:textId="77777777">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r>
        <w:rPr>
          <w:rFonts w:ascii="Verdana" w:hAnsi="Verdana" w:eastAsia="Calibri" w:cs="Arial"/>
          <w:lang w:val="es-ES_tradnl" w:eastAsia="es-ES_tradnl"/>
        </w:rPr>
        <w:t>S</w:t>
      </w:r>
      <w:r w:rsidRPr="006D4F5F">
        <w:rPr>
          <w:rFonts w:ascii="Verdana" w:hAnsi="Verdana" w:eastAsia="Calibri" w:cs="Arial"/>
          <w:lang w:val="es-ES_tradnl" w:eastAsia="es-ES_tradnl"/>
        </w:rPr>
        <w:t xml:space="preserve">obre el deber de elaborar análisis del sector frente a procesos de contratación </w:t>
      </w:r>
      <w:r>
        <w:rPr>
          <w:rFonts w:ascii="Verdana" w:hAnsi="Verdana" w:eastAsia="Calibri" w:cs="Arial"/>
          <w:lang w:val="es-ES_tradnl" w:eastAsia="es-ES_tradnl"/>
        </w:rPr>
        <w:t xml:space="preserve">se pronunció esta Subdirección </w:t>
      </w:r>
      <w:r w:rsidRPr="006D4F5F">
        <w:rPr>
          <w:rFonts w:ascii="Verdana" w:hAnsi="Verdana" w:eastAsia="Calibri" w:cs="Arial"/>
          <w:lang w:val="es-ES_tradnl" w:eastAsia="es-ES_tradnl"/>
        </w:rPr>
        <w:t xml:space="preserve">en los conceptos 2202013000000037 del 7 de enero de 2020, C-223 del 29 de abril de 2020 y C-148 de 2021. Igualmente, se reiteran los Conceptos C-387 del 23 de junio de 2020, </w:t>
      </w:r>
      <w:r w:rsidRPr="006D4F5F">
        <w:rPr>
          <w:rFonts w:ascii="Verdana" w:hAnsi="Verdana" w:eastAsia="Calibri" w:cs="Arial"/>
          <w:lang w:eastAsia="es-ES_tradnl"/>
        </w:rPr>
        <w:t xml:space="preserve">C-415 del 7 de julio </w:t>
      </w:r>
      <w:r w:rsidRPr="006D4F5F">
        <w:rPr>
          <w:rFonts w:ascii="Verdana" w:hAnsi="Verdana" w:eastAsia="Calibri" w:cs="Arial"/>
          <w:lang w:val="es-ES_tradnl" w:eastAsia="es-ES_tradnl"/>
        </w:rPr>
        <w:t>de 2020</w:t>
      </w:r>
      <w:r w:rsidRPr="006D4F5F">
        <w:rPr>
          <w:rFonts w:ascii="Verdana" w:hAnsi="Verdana" w:eastAsia="Calibri" w:cs="Arial"/>
          <w:lang w:eastAsia="es-ES_tradnl"/>
        </w:rPr>
        <w:t xml:space="preserve">, C-443 del 7 de julio de 2020, </w:t>
      </w:r>
      <w:r w:rsidRPr="006D4F5F">
        <w:rPr>
          <w:rFonts w:ascii="Verdana" w:hAnsi="Verdana" w:eastAsia="Times New Roman" w:cs="Arial"/>
          <w:lang w:eastAsia="es-ES_tradnl"/>
        </w:rPr>
        <w:t>C-387 del 23 de junio de 2020</w:t>
      </w:r>
      <w:r w:rsidRPr="006D4F5F">
        <w:rPr>
          <w:rFonts w:ascii="Verdana" w:hAnsi="Verdana" w:eastAsia="Calibri" w:cs="Arial"/>
          <w:lang w:val="es-ES_tradnl" w:eastAsia="es-ES_tradnl"/>
        </w:rPr>
        <w:t xml:space="preserve">, C-223 del 29 de abril de 2020, C-671 de 2020 de 23 de noviembre de 2020, C-215 del 12 de mayo de 2021, C-742 del 27 de diciembre de 2021, </w:t>
      </w:r>
      <w:r w:rsidRPr="006D4F5F">
        <w:rPr>
          <w:rFonts w:ascii="Verdana" w:hAnsi="Verdana" w:eastAsia="Calibri" w:cs="Arial"/>
          <w:lang w:val="es-ES" w:eastAsia="es-ES_tradnl"/>
        </w:rPr>
        <w:t>C-519 del 13 de septiembre de 2022, C-716 del 15 de noviembre de 2022, C-856 del 13 de diciembre de 2022, y C-235 del 5 de julio de 202</w:t>
      </w:r>
      <w:r>
        <w:rPr>
          <w:rFonts w:ascii="Verdana" w:hAnsi="Verdana" w:eastAsia="Calibri" w:cs="Arial"/>
          <w:lang w:val="es-ES" w:eastAsia="es-ES_tradnl"/>
        </w:rPr>
        <w:t>3. Estos</w:t>
      </w:r>
      <w:r w:rsidRPr="00435993">
        <w:rPr>
          <w:rFonts w:ascii="Verdana" w:hAnsi="Verdana"/>
        </w:rPr>
        <w:t xml:space="preserve"> </w:t>
      </w:r>
      <w:r w:rsidRPr="00A1554D">
        <w:rPr>
          <w:rFonts w:ascii="Verdana" w:hAnsi="Verdana"/>
        </w:rPr>
        <w:t xml:space="preserve">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w:history="1" r:id="rId12">
        <w:r w:rsidRPr="00A1554D">
          <w:rPr>
            <w:rStyle w:val="Hyperlink"/>
            <w:rFonts w:ascii="Verdana" w:hAnsi="Verdana" w:cs="Arial"/>
            <w:shd w:val="clear" w:color="auto" w:fill="FFFFFF"/>
            <w:lang w:val="es-ES"/>
          </w:rPr>
          <w:t>https://relatoria.colombiacompra.gov.co/busqueda/conceptos</w:t>
        </w:r>
      </w:hyperlink>
    </w:p>
    <w:p w:rsidR="00DB7CAA" w:rsidP="00DB7CAA" w:rsidRDefault="00DB7CAA" w14:paraId="433573DA" w14:textId="77777777">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rsidR="00DB7CAA" w:rsidP="00DB7CAA" w:rsidRDefault="00DB7CAA" w14:paraId="74AA3C12"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w:history="1" r:id="rId13">
        <w:r w:rsidRPr="003705EA">
          <w:rPr>
            <w:rStyle w:val="Hyperlink"/>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rsidR="00DB7CAA" w:rsidP="00DB7CAA" w:rsidRDefault="00DB7CAA" w14:paraId="41CF827D" w14:textId="77777777">
      <w:pPr>
        <w:spacing w:after="0" w:line="240" w:lineRule="auto"/>
        <w:jc w:val="both"/>
        <w:rPr>
          <w:rFonts w:ascii="Verdana" w:hAnsi="Verdana"/>
        </w:rPr>
      </w:pPr>
    </w:p>
    <w:p w:rsidRPr="003E2460" w:rsidR="00DB7CAA" w:rsidP="00DB7CAA" w:rsidRDefault="00DB7CAA" w14:paraId="50CDCA4E" w14:textId="77777777">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rsidRPr="003E2460" w:rsidR="00DB7CAA" w:rsidP="00DB7CAA" w:rsidRDefault="00DB7CAA" w14:paraId="01D6E476" w14:textId="77777777">
      <w:pPr>
        <w:spacing w:after="0" w:line="240" w:lineRule="auto"/>
        <w:jc w:val="both"/>
        <w:rPr>
          <w:rFonts w:ascii="Verdana" w:hAnsi="Verdana"/>
        </w:rPr>
      </w:pPr>
    </w:p>
    <w:p w:rsidRPr="003E2460" w:rsidR="00DB7CAA" w:rsidP="00DB7CAA" w:rsidRDefault="00DB7CAA" w14:paraId="2C073957" w14:textId="77777777">
      <w:pPr>
        <w:spacing w:after="0" w:line="240" w:lineRule="auto"/>
        <w:jc w:val="both"/>
        <w:rPr>
          <w:rFonts w:ascii="Verdana" w:hAnsi="Verdana"/>
        </w:rPr>
      </w:pPr>
      <w:r w:rsidRPr="003E2460">
        <w:rPr>
          <w:rFonts w:ascii="Verdana" w:hAnsi="Verdana"/>
        </w:rPr>
        <w:t xml:space="preserve">Twitter: </w:t>
      </w:r>
      <w:r w:rsidRPr="003E2460">
        <w:rPr>
          <w:rStyle w:val="Hyperlink"/>
          <w:rFonts w:ascii="Verdana" w:hAnsi="Verdana"/>
          <w:color w:val="4472C4" w:themeColor="accent1"/>
        </w:rPr>
        <w:t>@colombiacompra</w:t>
      </w:r>
      <w:r w:rsidRPr="003E2460">
        <w:rPr>
          <w:rFonts w:ascii="Verdana" w:hAnsi="Verdana"/>
          <w:color w:val="4472C4" w:themeColor="accent1"/>
        </w:rPr>
        <w:t xml:space="preserve"> </w:t>
      </w:r>
    </w:p>
    <w:p w:rsidRPr="003E2460" w:rsidR="00DB7CAA" w:rsidP="00DB7CAA" w:rsidRDefault="00DB7CAA" w14:paraId="2C2F9A79" w14:textId="77777777">
      <w:pPr>
        <w:spacing w:after="0" w:line="240" w:lineRule="auto"/>
        <w:jc w:val="both"/>
        <w:rPr>
          <w:rFonts w:ascii="Verdana" w:hAnsi="Verdana"/>
        </w:rPr>
      </w:pPr>
      <w:r w:rsidRPr="003E2460">
        <w:rPr>
          <w:rFonts w:ascii="Verdana" w:hAnsi="Verdana"/>
        </w:rPr>
        <w:t xml:space="preserve">Facebook: </w:t>
      </w:r>
      <w:r w:rsidRPr="003E2460">
        <w:rPr>
          <w:rStyle w:val="Hyperlink"/>
          <w:rFonts w:ascii="Verdana" w:hAnsi="Verdana"/>
          <w:color w:val="4472C4" w:themeColor="accent1"/>
        </w:rPr>
        <w:t>ColombiaCompraEficiente</w:t>
      </w:r>
    </w:p>
    <w:p w:rsidRPr="003E2460" w:rsidR="00DB7CAA" w:rsidP="00DB7CAA" w:rsidRDefault="00DB7CAA" w14:paraId="3945D299" w14:textId="77777777">
      <w:pPr>
        <w:spacing w:after="0" w:line="240" w:lineRule="auto"/>
        <w:jc w:val="both"/>
        <w:rPr>
          <w:rFonts w:ascii="Verdana" w:hAnsi="Verdana"/>
        </w:rPr>
      </w:pPr>
      <w:r w:rsidRPr="003E2460">
        <w:rPr>
          <w:rFonts w:ascii="Verdana" w:hAnsi="Verdana"/>
        </w:rPr>
        <w:t xml:space="preserve">LinkedIn: </w:t>
      </w:r>
      <w:r w:rsidRPr="003E2460">
        <w:rPr>
          <w:rStyle w:val="Hyperlink"/>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yperlink"/>
          <w:rFonts w:ascii="Verdana" w:hAnsi="Verdana"/>
          <w:color w:val="4472C4" w:themeColor="accent1"/>
        </w:rPr>
        <w:t>@colombiacompraeficiente_cce</w:t>
      </w:r>
    </w:p>
    <w:p w:rsidRPr="00593A5F" w:rsidR="00DB7CAA" w:rsidP="00DB7CAA" w:rsidRDefault="00DB7CAA" w14:paraId="46AD0BBA" w14:textId="77777777">
      <w:pPr>
        <w:widowControl w:val="0"/>
        <w:autoSpaceDE w:val="0"/>
        <w:autoSpaceDN w:val="0"/>
        <w:spacing w:after="0" w:line="276" w:lineRule="auto"/>
        <w:jc w:val="both"/>
        <w:rPr>
          <w:rFonts w:ascii="Verdana" w:hAnsi="Verdana" w:cs="Arial"/>
        </w:rPr>
      </w:pPr>
    </w:p>
    <w:p w:rsidRPr="00593A5F" w:rsidR="00DB7CAA" w:rsidP="00DB7CAA" w:rsidRDefault="00DB7CAA" w14:paraId="77A7B7BB" w14:textId="77777777">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rsidRPr="006D4F5F" w:rsidR="00DB7CAA" w:rsidP="00DB7CAA" w:rsidRDefault="00DB7CAA" w14:paraId="784086FA" w14:textId="77777777">
      <w:pPr>
        <w:spacing w:after="0" w:line="276" w:lineRule="auto"/>
        <w:ind w:firstLine="709"/>
        <w:jc w:val="both"/>
        <w:rPr>
          <w:rFonts w:ascii="Verdana" w:hAnsi="Verdana" w:eastAsia="Times New Roman" w:cs="Arial"/>
          <w:szCs w:val="24"/>
          <w:lang w:val="es-ES_tradnl" w:eastAsia="es-ES_tradnl"/>
        </w:rPr>
      </w:pPr>
    </w:p>
    <w:p w:rsidRPr="006D4F5F" w:rsidR="00DB7CAA" w:rsidP="00DB7CAA" w:rsidRDefault="00DB7CAA" w14:paraId="5E87235F" w14:textId="77777777">
      <w:pPr>
        <w:spacing w:after="0" w:line="276" w:lineRule="auto"/>
        <w:jc w:val="both"/>
        <w:rPr>
          <w:rFonts w:ascii="Verdana" w:hAnsi="Verdana" w:eastAsia="Times New Roman" w:cs="Arial"/>
          <w:lang w:val="es-ES_tradnl" w:eastAsia="es-CO"/>
        </w:rPr>
      </w:pPr>
      <w:bookmarkStart w:name="_Hlk117695077" w:id="10"/>
      <w:r w:rsidRPr="006D4F5F">
        <w:rPr>
          <w:rFonts w:ascii="Verdana" w:hAnsi="Verdana" w:eastAsia="Times New Roman" w:cs="Arial"/>
          <w:lang w:val="es-ES_tradnl" w:eastAsia="es-CO"/>
        </w:rPr>
        <w:t>Atentamente,</w:t>
      </w:r>
    </w:p>
    <w:bookmarkEnd w:id="10"/>
    <w:p w:rsidRPr="006D4F5F" w:rsidR="00DB7CAA" w:rsidP="00DB7CAA" w:rsidRDefault="00511228" w14:paraId="0164EBC7" w14:textId="3E39F5E3">
      <w:pPr>
        <w:spacing w:after="18" w:line="240" w:lineRule="auto"/>
        <w:jc w:val="center"/>
        <w:rPr>
          <w:rFonts w:ascii="Verdana" w:hAnsi="Verdana" w:eastAsia="Times New Roman" w:cs="Arial"/>
          <w:sz w:val="24"/>
          <w:szCs w:val="24"/>
          <w:lang w:eastAsia="es-CO"/>
        </w:rPr>
      </w:pPr>
      <w:r>
        <w:rPr>
          <w:noProof/>
        </w:rPr>
        <w:drawing>
          <wp:inline distT="0" distB="0" distL="0" distR="0" wp14:anchorId="509AC813" wp14:editId="5CFA6D19">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p w:rsidRPr="006D4F5F" w:rsidR="00DB7CAA" w:rsidP="00DB7CAA" w:rsidRDefault="00DB7CAA" w14:paraId="17B5D2DD" w14:textId="77777777">
      <w:pPr>
        <w:spacing w:after="18" w:line="240" w:lineRule="auto"/>
        <w:jc w:val="center"/>
        <w:rPr>
          <w:rFonts w:ascii="Verdana" w:hAnsi="Verdana" w:eastAsia="Times New Roman" w:cs="Arial"/>
          <w:sz w:val="24"/>
          <w:szCs w:val="24"/>
          <w:lang w:eastAsia="es-CO"/>
        </w:rPr>
      </w:pPr>
    </w:p>
    <w:tbl>
      <w:tblPr>
        <w:tblStyle w:val="Tablaconcuadrcula1"/>
        <w:tblpPr w:leftFromText="141" w:rightFromText="141" w:vertAnchor="text" w:horzAnchor="margin" w:tblpY="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4217"/>
      </w:tblGrid>
      <w:tr w:rsidRPr="006D4F5F" w:rsidR="00DB7CAA" w:rsidTr="009C1076" w14:paraId="0D0D53A0" w14:textId="77777777">
        <w:trPr>
          <w:trHeight w:val="286"/>
        </w:trPr>
        <w:tc>
          <w:tcPr>
            <w:tcW w:w="886" w:type="dxa"/>
            <w:vAlign w:val="center"/>
            <w:hideMark/>
          </w:tcPr>
          <w:p w:rsidRPr="006D4F5F" w:rsidR="00DB7CAA" w:rsidP="009C1076" w:rsidRDefault="00DB7CAA" w14:paraId="35672A26" w14:textId="77777777">
            <w:pPr>
              <w:rPr>
                <w:rFonts w:ascii="Verdana" w:hAnsi="Verdana" w:eastAsia="Times New Roman" w:cs="Arial"/>
                <w:sz w:val="14"/>
                <w:szCs w:val="14"/>
                <w:lang w:eastAsia="es-ES"/>
              </w:rPr>
            </w:pPr>
            <w:r w:rsidRPr="006D4F5F">
              <w:rPr>
                <w:rFonts w:ascii="Verdana" w:hAnsi="Verdana" w:eastAsia="Times New Roman" w:cs="Arial"/>
                <w:sz w:val="16"/>
                <w:szCs w:val="16"/>
                <w:lang w:eastAsia="es-ES"/>
              </w:rPr>
              <w:t>Elaboró:</w:t>
            </w:r>
          </w:p>
        </w:tc>
        <w:tc>
          <w:tcPr>
            <w:tcW w:w="4217" w:type="dxa"/>
            <w:tcBorders>
              <w:top w:val="nil"/>
              <w:left w:val="nil"/>
              <w:bottom w:val="dotted" w:color="7F7F7F" w:sz="4" w:space="0"/>
              <w:right w:val="nil"/>
            </w:tcBorders>
            <w:vAlign w:val="center"/>
            <w:hideMark/>
          </w:tcPr>
          <w:p w:rsidRPr="006D4F5F" w:rsidR="00DB7CAA" w:rsidP="009C1076" w:rsidRDefault="00DB7CAA" w14:paraId="51C8CC2F" w14:textId="77777777">
            <w:pPr>
              <w:rPr>
                <w:rFonts w:ascii="Verdana" w:hAnsi="Verdana" w:eastAsia="Times New Roman" w:cs="Arial"/>
                <w:sz w:val="16"/>
                <w:szCs w:val="16"/>
                <w:lang w:val="es-ES_tradnl" w:eastAsia="es-ES"/>
              </w:rPr>
            </w:pPr>
            <w:r w:rsidRPr="006D4F5F">
              <w:rPr>
                <w:rFonts w:ascii="Verdana" w:hAnsi="Verdana" w:eastAsia="Times New Roman" w:cs="Arial"/>
                <w:sz w:val="16"/>
                <w:szCs w:val="16"/>
                <w:lang w:val="es-ES_tradnl" w:eastAsia="es-ES"/>
              </w:rPr>
              <w:t>Ximena Ríos López</w:t>
            </w:r>
          </w:p>
          <w:p w:rsidRPr="006D4F5F" w:rsidR="00DB7CAA" w:rsidP="009C1076" w:rsidRDefault="00DB7CAA" w14:paraId="1F4DF71A" w14:textId="77777777">
            <w:pPr>
              <w:rPr>
                <w:rFonts w:ascii="Verdana" w:hAnsi="Verdana" w:eastAsia="Times New Roman" w:cs="Arial"/>
                <w:sz w:val="14"/>
                <w:szCs w:val="14"/>
                <w:lang w:eastAsia="es-ES"/>
              </w:rPr>
            </w:pPr>
            <w:r w:rsidRPr="006D4F5F">
              <w:rPr>
                <w:rFonts w:ascii="Verdana" w:hAnsi="Verdana" w:eastAsia="Times New Roman" w:cs="Arial"/>
                <w:sz w:val="16"/>
                <w:szCs w:val="16"/>
                <w:lang w:eastAsia="es-ES"/>
              </w:rPr>
              <w:t>Gestor T1-11 de la Subdirección de Gestión Contractual</w:t>
            </w:r>
          </w:p>
        </w:tc>
      </w:tr>
      <w:tr w:rsidRPr="006D4F5F" w:rsidR="00DB7CAA" w:rsidTr="009C1076" w14:paraId="1DF668E5" w14:textId="77777777">
        <w:trPr>
          <w:trHeight w:val="299"/>
        </w:trPr>
        <w:tc>
          <w:tcPr>
            <w:tcW w:w="886" w:type="dxa"/>
            <w:vAlign w:val="center"/>
            <w:hideMark/>
          </w:tcPr>
          <w:p w:rsidRPr="006D4F5F" w:rsidR="00DB7CAA" w:rsidP="009C1076" w:rsidRDefault="00DB7CAA" w14:paraId="534DD6EC" w14:textId="77777777">
            <w:pPr>
              <w:rPr>
                <w:rFonts w:ascii="Verdana" w:hAnsi="Verdana" w:eastAsia="Times New Roman" w:cs="Arial"/>
                <w:sz w:val="14"/>
                <w:szCs w:val="14"/>
                <w:lang w:eastAsia="es-ES"/>
              </w:rPr>
            </w:pPr>
            <w:r w:rsidRPr="006D4F5F">
              <w:rPr>
                <w:rFonts w:ascii="Verdana" w:hAnsi="Verdana" w:eastAsia="Times New Roman" w:cs="Arial"/>
                <w:sz w:val="16"/>
                <w:szCs w:val="16"/>
                <w:lang w:eastAsia="es-ES"/>
              </w:rPr>
              <w:t>Revisó:</w:t>
            </w:r>
          </w:p>
        </w:tc>
        <w:tc>
          <w:tcPr>
            <w:tcW w:w="4217" w:type="dxa"/>
            <w:tcBorders>
              <w:top w:val="dotted" w:color="7F7F7F" w:sz="4" w:space="0"/>
              <w:left w:val="nil"/>
              <w:bottom w:val="dotted" w:color="7F7F7F" w:sz="4" w:space="0"/>
              <w:right w:val="nil"/>
            </w:tcBorders>
            <w:vAlign w:val="center"/>
            <w:hideMark/>
          </w:tcPr>
          <w:p w:rsidRPr="006D4F5F" w:rsidR="00DB7CAA" w:rsidP="009C1076" w:rsidRDefault="00DB7CAA" w14:paraId="6C3B059B" w14:textId="77777777">
            <w:pPr>
              <w:rPr>
                <w:rFonts w:ascii="Verdana" w:hAnsi="Verdana" w:eastAsia="Times New Roman" w:cs="Arial"/>
                <w:sz w:val="16"/>
                <w:szCs w:val="16"/>
                <w:lang w:val="es-ES_tradnl" w:eastAsia="es-ES"/>
              </w:rPr>
            </w:pPr>
            <w:r w:rsidRPr="006D4F5F">
              <w:rPr>
                <w:rFonts w:ascii="Verdana" w:hAnsi="Verdana" w:eastAsia="Times New Roman" w:cs="Arial"/>
                <w:sz w:val="16"/>
                <w:szCs w:val="16"/>
                <w:lang w:val="es-ES_tradnl" w:eastAsia="es-ES"/>
              </w:rPr>
              <w:t>Cielo González</w:t>
            </w:r>
          </w:p>
          <w:p w:rsidRPr="006D4F5F" w:rsidR="00DB7CAA" w:rsidP="009C1076" w:rsidRDefault="00DB7CAA" w14:paraId="2F52FE66" w14:textId="77777777">
            <w:pPr>
              <w:rPr>
                <w:rFonts w:ascii="Verdana" w:hAnsi="Verdana" w:eastAsia="Times New Roman" w:cs="Arial"/>
                <w:sz w:val="14"/>
                <w:szCs w:val="14"/>
                <w:lang w:eastAsia="es-ES"/>
              </w:rPr>
            </w:pPr>
            <w:r w:rsidRPr="006D4F5F">
              <w:rPr>
                <w:rFonts w:ascii="Verdana" w:hAnsi="Verdana" w:eastAsia="Times New Roman" w:cs="Arial"/>
                <w:sz w:val="16"/>
                <w:szCs w:val="16"/>
                <w:lang w:eastAsia="es-ES"/>
              </w:rPr>
              <w:t>Contratista de la Subdirección de Gestión Contractual</w:t>
            </w:r>
          </w:p>
        </w:tc>
      </w:tr>
      <w:tr w:rsidRPr="006D4F5F" w:rsidR="00DB7CAA" w:rsidTr="009C1076" w14:paraId="41D414A8" w14:textId="77777777">
        <w:trPr>
          <w:trHeight w:val="272"/>
        </w:trPr>
        <w:tc>
          <w:tcPr>
            <w:tcW w:w="886" w:type="dxa"/>
            <w:vAlign w:val="center"/>
            <w:hideMark/>
          </w:tcPr>
          <w:p w:rsidRPr="006D4F5F" w:rsidR="00DB7CAA" w:rsidP="009C1076" w:rsidRDefault="00DB7CAA" w14:paraId="1122EADE" w14:textId="77777777">
            <w:pPr>
              <w:rPr>
                <w:rFonts w:ascii="Verdana" w:hAnsi="Verdana" w:eastAsia="Times New Roman" w:cs="Arial"/>
                <w:sz w:val="14"/>
                <w:szCs w:val="14"/>
                <w:lang w:eastAsia="es-ES"/>
              </w:rPr>
            </w:pPr>
            <w:r w:rsidRPr="006D4F5F">
              <w:rPr>
                <w:rFonts w:ascii="Verdana" w:hAnsi="Verdana" w:eastAsia="Times New Roman" w:cs="Arial"/>
                <w:sz w:val="16"/>
                <w:szCs w:val="16"/>
                <w:lang w:eastAsia="es-ES"/>
              </w:rPr>
              <w:t>Aprobó:</w:t>
            </w:r>
          </w:p>
        </w:tc>
        <w:tc>
          <w:tcPr>
            <w:tcW w:w="4217" w:type="dxa"/>
            <w:tcBorders>
              <w:top w:val="dotted" w:color="7F7F7F" w:sz="4" w:space="0"/>
              <w:left w:val="nil"/>
              <w:bottom w:val="dotted" w:color="7F7F7F" w:sz="4" w:space="0"/>
              <w:right w:val="nil"/>
            </w:tcBorders>
            <w:vAlign w:val="center"/>
            <w:hideMark/>
          </w:tcPr>
          <w:p w:rsidRPr="006D4F5F" w:rsidR="00DB7CAA" w:rsidP="009C1076" w:rsidRDefault="00DB7CAA" w14:paraId="0398F9AE" w14:textId="77777777">
            <w:pPr>
              <w:rPr>
                <w:rFonts w:ascii="Verdana" w:hAnsi="Verdana" w:eastAsia="Times New Roman" w:cs="Arial"/>
                <w:sz w:val="16"/>
                <w:szCs w:val="16"/>
                <w:lang w:eastAsia="es-ES"/>
              </w:rPr>
            </w:pPr>
            <w:r w:rsidRPr="006D4F5F">
              <w:rPr>
                <w:rFonts w:ascii="Verdana" w:hAnsi="Verdana" w:eastAsia="Times New Roman" w:cs="Arial"/>
                <w:sz w:val="16"/>
                <w:szCs w:val="16"/>
                <w:lang w:eastAsia="es-ES"/>
              </w:rPr>
              <w:t>Carolina Quintero Gacharná</w:t>
            </w:r>
          </w:p>
          <w:p w:rsidRPr="006D4F5F" w:rsidR="00DB7CAA" w:rsidP="009C1076" w:rsidRDefault="00DB7CAA" w14:paraId="1EAF3013" w14:textId="77777777">
            <w:pPr>
              <w:rPr>
                <w:rFonts w:ascii="Verdana" w:hAnsi="Verdana" w:eastAsia="Times New Roman" w:cs="Arial"/>
                <w:sz w:val="14"/>
                <w:szCs w:val="14"/>
                <w:lang w:eastAsia="es-ES"/>
              </w:rPr>
            </w:pPr>
            <w:r w:rsidRPr="006D4F5F">
              <w:rPr>
                <w:rFonts w:ascii="Verdana" w:hAnsi="Verdana" w:eastAsia="Times New Roman" w:cs="Arial"/>
                <w:sz w:val="16"/>
                <w:szCs w:val="16"/>
                <w:lang w:eastAsia="es-ES"/>
              </w:rPr>
              <w:t>Subdirectora de Gestión Contractual ANCP – CCE</w:t>
            </w:r>
          </w:p>
        </w:tc>
      </w:tr>
    </w:tbl>
    <w:p w:rsidRPr="006D4F5F" w:rsidR="00DB7CAA" w:rsidP="00DB7CAA" w:rsidRDefault="00DB7CAA" w14:paraId="00293D03" w14:textId="77777777">
      <w:pPr>
        <w:spacing w:after="0" w:line="276" w:lineRule="auto"/>
        <w:jc w:val="both"/>
        <w:rPr>
          <w:rFonts w:ascii="Verdana" w:hAnsi="Verdana" w:eastAsia="Times New Roman" w:cs="Arial"/>
          <w:lang w:val="es-ES_tradnl"/>
        </w:rPr>
      </w:pPr>
    </w:p>
    <w:p w:rsidRPr="006D4F5F" w:rsidR="00DB7CAA" w:rsidP="00DB7CAA" w:rsidRDefault="00DB7CAA" w14:paraId="4916569C" w14:textId="77777777">
      <w:pPr>
        <w:spacing w:after="0" w:line="240" w:lineRule="auto"/>
        <w:rPr>
          <w:rFonts w:ascii="Verdana" w:hAnsi="Verdana" w:eastAsia="Times New Roman" w:cs="Arial"/>
          <w:sz w:val="24"/>
          <w:szCs w:val="24"/>
          <w:lang w:eastAsia="es-ES_tradnl"/>
        </w:rPr>
      </w:pPr>
    </w:p>
    <w:p w:rsidRPr="006D4F5F" w:rsidR="00DB7CAA" w:rsidP="00DB7CAA" w:rsidRDefault="00DB7CAA" w14:paraId="79057330" w14:textId="77777777">
      <w:pPr>
        <w:rPr>
          <w:rFonts w:ascii="Verdana" w:hAnsi="Verdana"/>
        </w:rPr>
      </w:pPr>
    </w:p>
    <w:p w:rsidRPr="00506765" w:rsidR="00C330EB" w:rsidP="00C330EB" w:rsidRDefault="00C330EB" w14:paraId="6D20F886" w14:textId="77777777">
      <w:pPr>
        <w:pStyle w:val="ListParagraph"/>
        <w:spacing w:after="0"/>
        <w:jc w:val="both"/>
        <w:rPr>
          <w:rFonts w:ascii="Verdana" w:hAnsi="Verdana" w:eastAsia="Times New Roman" w:cs="Arial"/>
          <w:color w:val="4E4D4D"/>
          <w:lang w:val="es-CO" w:eastAsia="es-ES"/>
        </w:rPr>
      </w:pPr>
    </w:p>
    <w:p w:rsidRPr="00A211EE" w:rsidR="00C330EB" w:rsidP="00C330EB" w:rsidRDefault="00C330EB" w14:paraId="24EB2BFC" w14:textId="77777777">
      <w:pPr>
        <w:jc w:val="both"/>
        <w:rPr>
          <w:rFonts w:ascii="Verdana" w:hAnsi="Verdana"/>
        </w:rPr>
      </w:pPr>
    </w:p>
    <w:p w:rsidRPr="00A211EE" w:rsidR="00C330EB" w:rsidP="00C330EB" w:rsidRDefault="00C330EB" w14:paraId="6D032D66" w14:textId="77777777">
      <w:pPr>
        <w:spacing w:after="0" w:line="240" w:lineRule="auto"/>
        <w:rPr>
          <w:rFonts w:ascii="Verdana" w:hAnsi="Verdana"/>
          <w:b/>
          <w:color w:val="404040" w:themeColor="text1" w:themeTint="BF"/>
        </w:rPr>
      </w:pPr>
    </w:p>
    <w:p w:rsidRPr="00A211EE" w:rsidR="008F0EA7" w:rsidP="00C330EB" w:rsidRDefault="008F0EA7" w14:paraId="5003D95C" w14:textId="77777777">
      <w:pPr>
        <w:spacing w:after="0" w:line="240" w:lineRule="auto"/>
        <w:rPr>
          <w:rFonts w:ascii="Verdana" w:hAnsi="Verdana"/>
          <w:b/>
          <w:color w:val="404040" w:themeColor="text1" w:themeTint="BF"/>
        </w:rPr>
      </w:pPr>
    </w:p>
    <w:p w:rsidRPr="00A211EE" w:rsidR="008F0EA7" w:rsidP="00C330EB" w:rsidRDefault="008F0EA7" w14:paraId="7C18F283" w14:textId="77777777">
      <w:pPr>
        <w:spacing w:after="0" w:line="240" w:lineRule="auto"/>
        <w:rPr>
          <w:rFonts w:ascii="Verdana" w:hAnsi="Verdana"/>
          <w:b/>
          <w:color w:val="404040" w:themeColor="text1" w:themeTint="BF"/>
        </w:rPr>
      </w:pPr>
    </w:p>
    <w:tbl>
      <w:tblPr>
        <w:tblW w:w="8931" w:type="dxa"/>
        <w:tblInd w:w="-5" w:type="dxa"/>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Look w:val="04A0" w:firstRow="1" w:lastRow="0" w:firstColumn="1" w:lastColumn="0" w:noHBand="0" w:noVBand="1"/>
      </w:tblPr>
      <w:tblGrid>
        <w:gridCol w:w="970"/>
        <w:gridCol w:w="2188"/>
        <w:gridCol w:w="1157"/>
        <w:gridCol w:w="1068"/>
        <w:gridCol w:w="1585"/>
        <w:gridCol w:w="1963"/>
      </w:tblGrid>
      <w:tr w:rsidRPr="00A211EE" w:rsidR="008F0EA7" w:rsidTr="00A211EE" w14:paraId="6C9A2FCC" w14:textId="77777777">
        <w:trPr>
          <w:trHeight w:val="300"/>
        </w:trPr>
        <w:tc>
          <w:tcPr>
            <w:tcW w:w="8931" w:type="dxa"/>
            <w:gridSpan w:val="6"/>
            <w:shd w:val="clear" w:color="auto" w:fill="7F7F7F" w:themeFill="text1" w:themeFillTint="80"/>
            <w:vAlign w:val="center"/>
            <w:hideMark/>
          </w:tcPr>
          <w:p w:rsidRPr="00A211EE" w:rsidR="008F0EA7" w:rsidP="00B83CFC" w:rsidRDefault="008F0EA7" w14:paraId="644956F7" w14:textId="53572E30">
            <w:pPr>
              <w:spacing w:after="0" w:line="240" w:lineRule="auto"/>
              <w:jc w:val="center"/>
              <w:rPr>
                <w:rFonts w:ascii="Verdana" w:hAnsi="Verdana" w:eastAsia="Times New Roman" w:cs="Calibri"/>
                <w:b/>
                <w:bCs/>
                <w:color w:val="FFFFFF"/>
                <w:sz w:val="16"/>
                <w:szCs w:val="16"/>
                <w:lang w:eastAsia="es-CO"/>
              </w:rPr>
            </w:pPr>
            <w:r w:rsidRPr="00A211EE">
              <w:rPr>
                <w:rFonts w:ascii="Verdana" w:hAnsi="Verdana" w:eastAsia="Times New Roman" w:cs="Calibri"/>
                <w:b/>
                <w:bCs/>
                <w:color w:val="FFFFFF"/>
                <w:sz w:val="16"/>
                <w:szCs w:val="16"/>
                <w:lang w:eastAsia="es-CO"/>
              </w:rPr>
              <w:t>CONTROL DE CAMBIOS</w:t>
            </w:r>
            <w:r w:rsidRPr="00A211EE" w:rsidR="001E4177">
              <w:rPr>
                <w:rFonts w:ascii="Verdana" w:hAnsi="Verdana" w:eastAsia="Times New Roman" w:cs="Calibri"/>
                <w:b/>
                <w:bCs/>
                <w:color w:val="FFFFFF"/>
                <w:sz w:val="16"/>
                <w:szCs w:val="16"/>
                <w:lang w:eastAsia="es-CO"/>
              </w:rPr>
              <w:t xml:space="preserve"> DEL DOCUEMTO </w:t>
            </w:r>
          </w:p>
        </w:tc>
      </w:tr>
      <w:tr w:rsidRPr="00A211EE" w:rsidR="008F0EA7" w:rsidTr="00A211EE" w14:paraId="7B4F5368" w14:textId="77777777">
        <w:trPr>
          <w:trHeight w:val="300"/>
        </w:trPr>
        <w:tc>
          <w:tcPr>
            <w:tcW w:w="810" w:type="dxa"/>
            <w:shd w:val="clear" w:color="auto" w:fill="7F7F7F" w:themeFill="text1" w:themeFillTint="80"/>
            <w:vAlign w:val="center"/>
            <w:hideMark/>
          </w:tcPr>
          <w:p w:rsidRPr="00A211EE" w:rsidR="008F0EA7" w:rsidP="00B83CFC" w:rsidRDefault="008F0EA7" w14:paraId="72289ECA" w14:textId="77777777">
            <w:pPr>
              <w:spacing w:after="0" w:line="240" w:lineRule="auto"/>
              <w:jc w:val="center"/>
              <w:rPr>
                <w:rFonts w:ascii="Verdana" w:hAnsi="Verdana" w:eastAsia="Times New Roman" w:cs="Calibri"/>
                <w:b/>
                <w:bCs/>
                <w:color w:val="FFFFFF"/>
                <w:sz w:val="16"/>
                <w:szCs w:val="16"/>
                <w:lang w:eastAsia="es-CO"/>
              </w:rPr>
            </w:pPr>
            <w:r w:rsidRPr="00A211EE">
              <w:rPr>
                <w:rFonts w:ascii="Verdana" w:hAnsi="Verdana" w:eastAsia="Times New Roman" w:cs="Calibri"/>
                <w:b/>
                <w:bCs/>
                <w:color w:val="FFFFFF"/>
                <w:sz w:val="16"/>
                <w:szCs w:val="16"/>
                <w:lang w:eastAsia="es-CO"/>
              </w:rPr>
              <w:t>VERSION</w:t>
            </w:r>
          </w:p>
        </w:tc>
        <w:tc>
          <w:tcPr>
            <w:tcW w:w="2256" w:type="dxa"/>
            <w:shd w:val="clear" w:color="auto" w:fill="7F7F7F" w:themeFill="text1" w:themeFillTint="80"/>
            <w:vAlign w:val="center"/>
            <w:hideMark/>
          </w:tcPr>
          <w:p w:rsidRPr="00A211EE" w:rsidR="008F0EA7" w:rsidP="00B83CFC" w:rsidRDefault="008F0EA7" w14:paraId="1B60AAFD" w14:textId="77777777">
            <w:pPr>
              <w:spacing w:after="0" w:line="240" w:lineRule="auto"/>
              <w:jc w:val="center"/>
              <w:rPr>
                <w:rFonts w:ascii="Verdana" w:hAnsi="Verdana" w:eastAsia="Times New Roman" w:cs="Calibri"/>
                <w:b/>
                <w:bCs/>
                <w:color w:val="FFFFFF"/>
                <w:sz w:val="16"/>
                <w:szCs w:val="16"/>
                <w:lang w:eastAsia="es-CO"/>
              </w:rPr>
            </w:pPr>
            <w:r w:rsidRPr="00A211EE">
              <w:rPr>
                <w:rFonts w:ascii="Verdana" w:hAnsi="Verdana" w:eastAsia="Times New Roman" w:cs="Calibri"/>
                <w:b/>
                <w:bCs/>
                <w:color w:val="FFFFFF"/>
                <w:sz w:val="16"/>
                <w:szCs w:val="16"/>
                <w:lang w:eastAsia="es-CO"/>
              </w:rPr>
              <w:t>AJUSTES</w:t>
            </w:r>
          </w:p>
        </w:tc>
        <w:tc>
          <w:tcPr>
            <w:tcW w:w="1160" w:type="dxa"/>
            <w:shd w:val="clear" w:color="auto" w:fill="7F7F7F" w:themeFill="text1" w:themeFillTint="80"/>
            <w:vAlign w:val="center"/>
            <w:hideMark/>
          </w:tcPr>
          <w:p w:rsidRPr="00A211EE" w:rsidR="008F0EA7" w:rsidP="00B83CFC" w:rsidRDefault="008F0EA7" w14:paraId="668C6C46" w14:textId="77777777">
            <w:pPr>
              <w:spacing w:after="0" w:line="240" w:lineRule="auto"/>
              <w:jc w:val="center"/>
              <w:rPr>
                <w:rFonts w:ascii="Verdana" w:hAnsi="Verdana" w:eastAsia="Times New Roman" w:cs="Calibri"/>
                <w:b/>
                <w:bCs/>
                <w:color w:val="FFFFFF"/>
                <w:sz w:val="16"/>
                <w:szCs w:val="16"/>
                <w:lang w:eastAsia="es-CO"/>
              </w:rPr>
            </w:pPr>
            <w:r w:rsidRPr="00A211EE">
              <w:rPr>
                <w:rFonts w:ascii="Verdana" w:hAnsi="Verdana" w:eastAsia="Times New Roman" w:cs="Calibri"/>
                <w:b/>
                <w:bCs/>
                <w:color w:val="FFFFFF"/>
                <w:sz w:val="16"/>
                <w:szCs w:val="16"/>
                <w:lang w:eastAsia="es-CO"/>
              </w:rPr>
              <w:t>FECHA</w:t>
            </w:r>
          </w:p>
        </w:tc>
        <w:tc>
          <w:tcPr>
            <w:tcW w:w="2692" w:type="dxa"/>
            <w:gridSpan w:val="2"/>
            <w:shd w:val="clear" w:color="auto" w:fill="7F7F7F" w:themeFill="text1" w:themeFillTint="80"/>
            <w:vAlign w:val="center"/>
            <w:hideMark/>
          </w:tcPr>
          <w:p w:rsidRPr="00A211EE" w:rsidR="008F0EA7" w:rsidP="00B83CFC" w:rsidRDefault="008F0EA7" w14:paraId="34229465" w14:textId="77777777">
            <w:pPr>
              <w:spacing w:after="0" w:line="240" w:lineRule="auto"/>
              <w:jc w:val="center"/>
              <w:rPr>
                <w:rFonts w:ascii="Verdana" w:hAnsi="Verdana" w:eastAsia="Times New Roman" w:cs="Calibri"/>
                <w:b/>
                <w:bCs/>
                <w:color w:val="FFFFFF"/>
                <w:sz w:val="16"/>
                <w:szCs w:val="16"/>
                <w:lang w:eastAsia="es-CO"/>
              </w:rPr>
            </w:pPr>
            <w:r w:rsidRPr="00A211EE">
              <w:rPr>
                <w:rFonts w:ascii="Verdana" w:hAnsi="Verdana" w:eastAsia="Times New Roman" w:cs="Calibri"/>
                <w:b/>
                <w:bCs/>
                <w:color w:val="FFFFFF"/>
                <w:sz w:val="16"/>
                <w:szCs w:val="16"/>
                <w:lang w:eastAsia="es-CO"/>
              </w:rPr>
              <w:t>VERSIÓN</w:t>
            </w:r>
          </w:p>
        </w:tc>
        <w:tc>
          <w:tcPr>
            <w:tcW w:w="2013" w:type="dxa"/>
            <w:shd w:val="clear" w:color="000000" w:fill="FFFFFF"/>
            <w:vAlign w:val="center"/>
            <w:hideMark/>
          </w:tcPr>
          <w:p w:rsidRPr="00A211EE" w:rsidR="008F0EA7" w:rsidP="00B83CFC" w:rsidRDefault="008F0EA7" w14:paraId="2DA3ADCD" w14:textId="18F1D3BF">
            <w:pPr>
              <w:spacing w:after="0" w:line="240" w:lineRule="auto"/>
              <w:jc w:val="center"/>
              <w:rPr>
                <w:rFonts w:ascii="Verdana" w:hAnsi="Verdana" w:eastAsia="Times New Roman" w:cs="Calibri"/>
                <w:b/>
                <w:bCs/>
                <w:color w:val="46589C"/>
                <w:sz w:val="16"/>
                <w:szCs w:val="16"/>
                <w:lang w:eastAsia="es-CO"/>
              </w:rPr>
            </w:pPr>
            <w:r w:rsidRPr="00A211EE">
              <w:rPr>
                <w:rFonts w:ascii="Verdana" w:hAnsi="Verdana" w:eastAsia="Times New Roman" w:cs="Calibri"/>
                <w:b/>
                <w:bCs/>
                <w:sz w:val="16"/>
                <w:szCs w:val="16"/>
                <w:lang w:eastAsia="es-CO"/>
              </w:rPr>
              <w:t>0</w:t>
            </w:r>
            <w:r w:rsidRPr="00A211EE" w:rsidR="003A779E">
              <w:rPr>
                <w:rFonts w:ascii="Verdana" w:hAnsi="Verdana" w:eastAsia="Times New Roman" w:cs="Calibri"/>
                <w:b/>
                <w:bCs/>
                <w:sz w:val="16"/>
                <w:szCs w:val="16"/>
                <w:lang w:eastAsia="es-CO"/>
              </w:rPr>
              <w:t>1</w:t>
            </w:r>
          </w:p>
        </w:tc>
      </w:tr>
      <w:tr w:rsidRPr="00A211EE" w:rsidR="008F0EA7" w:rsidTr="00A211EE" w14:paraId="14E74F51" w14:textId="77777777">
        <w:trPr>
          <w:trHeight w:val="300"/>
        </w:trPr>
        <w:tc>
          <w:tcPr>
            <w:tcW w:w="810" w:type="dxa"/>
            <w:vMerge w:val="restart"/>
            <w:shd w:val="clear" w:color="auto" w:fill="auto"/>
            <w:vAlign w:val="center"/>
            <w:hideMark/>
          </w:tcPr>
          <w:p w:rsidRPr="00A211EE" w:rsidR="008F0EA7" w:rsidP="00B83CFC" w:rsidRDefault="008F0EA7" w14:paraId="2D3FB6FE" w14:textId="7181A92A">
            <w:pPr>
              <w:spacing w:after="0" w:line="240" w:lineRule="auto"/>
              <w:jc w:val="center"/>
              <w:rPr>
                <w:rFonts w:ascii="Verdana" w:hAnsi="Verdana" w:eastAsia="Times New Roman" w:cs="Calibri"/>
                <w:sz w:val="16"/>
                <w:szCs w:val="16"/>
                <w:lang w:eastAsia="es-CO"/>
              </w:rPr>
            </w:pPr>
            <w:r w:rsidRPr="00A211EE">
              <w:rPr>
                <w:rFonts w:ascii="Verdana" w:hAnsi="Verdana"/>
                <w:sz w:val="16"/>
                <w:szCs w:val="16"/>
              </w:rPr>
              <w:t>01</w:t>
            </w:r>
          </w:p>
        </w:tc>
        <w:tc>
          <w:tcPr>
            <w:tcW w:w="2256" w:type="dxa"/>
            <w:vMerge w:val="restart"/>
            <w:shd w:val="clear" w:color="auto" w:fill="auto"/>
            <w:vAlign w:val="center"/>
            <w:hideMark/>
          </w:tcPr>
          <w:p w:rsidRPr="00A211EE" w:rsidR="008F0EA7" w:rsidP="00B83CFC" w:rsidRDefault="008F0EA7" w14:paraId="005BEBA5" w14:textId="4E7936F4">
            <w:pPr>
              <w:spacing w:after="0" w:line="240" w:lineRule="auto"/>
              <w:jc w:val="center"/>
              <w:rPr>
                <w:rFonts w:ascii="Verdana" w:hAnsi="Verdana" w:eastAsia="Times New Roman" w:cs="Calibri"/>
                <w:sz w:val="16"/>
                <w:szCs w:val="16"/>
                <w:lang w:eastAsia="es-CO"/>
              </w:rPr>
            </w:pPr>
            <w:r w:rsidRPr="00A211EE">
              <w:rPr>
                <w:rFonts w:ascii="Verdana" w:hAnsi="Verdana"/>
                <w:sz w:val="16"/>
                <w:szCs w:val="16"/>
              </w:rPr>
              <w:t>Creación de formato</w:t>
            </w:r>
          </w:p>
        </w:tc>
        <w:tc>
          <w:tcPr>
            <w:tcW w:w="1160" w:type="dxa"/>
            <w:vMerge w:val="restart"/>
            <w:shd w:val="clear" w:color="auto" w:fill="auto"/>
            <w:vAlign w:val="center"/>
            <w:hideMark/>
          </w:tcPr>
          <w:p w:rsidRPr="00A211EE" w:rsidR="008F0EA7" w:rsidP="00B83CFC" w:rsidRDefault="008F0EA7" w14:paraId="7E322630" w14:textId="6DDC6998">
            <w:pPr>
              <w:spacing w:after="0" w:line="240" w:lineRule="auto"/>
              <w:jc w:val="center"/>
              <w:rPr>
                <w:rFonts w:ascii="Verdana" w:hAnsi="Verdana" w:eastAsia="Times New Roman" w:cs="Calibri"/>
                <w:sz w:val="16"/>
                <w:szCs w:val="16"/>
                <w:lang w:eastAsia="es-CO"/>
              </w:rPr>
            </w:pPr>
            <w:r w:rsidRPr="00A211EE">
              <w:rPr>
                <w:rFonts w:ascii="Verdana" w:hAnsi="Verdana"/>
                <w:sz w:val="16"/>
                <w:szCs w:val="16"/>
              </w:rPr>
              <w:t>15/06/2023</w:t>
            </w:r>
          </w:p>
        </w:tc>
        <w:tc>
          <w:tcPr>
            <w:tcW w:w="1081" w:type="dxa"/>
            <w:shd w:val="clear" w:color="auto" w:fill="7F7F7F" w:themeFill="text1" w:themeFillTint="80"/>
            <w:vAlign w:val="center"/>
            <w:hideMark/>
          </w:tcPr>
          <w:p w:rsidRPr="00A211EE" w:rsidR="008F0EA7" w:rsidP="00B83CFC" w:rsidRDefault="008F0EA7" w14:paraId="64F00D80" w14:textId="77777777">
            <w:pPr>
              <w:spacing w:after="0" w:line="240" w:lineRule="auto"/>
              <w:jc w:val="center"/>
              <w:rPr>
                <w:rFonts w:ascii="Verdana" w:hAnsi="Verdana" w:eastAsia="Times New Roman" w:cs="Calibri"/>
                <w:b/>
                <w:bCs/>
                <w:color w:val="FFFFFF"/>
                <w:sz w:val="16"/>
                <w:szCs w:val="16"/>
                <w:lang w:eastAsia="es-CO"/>
              </w:rPr>
            </w:pPr>
            <w:r w:rsidRPr="00A211EE">
              <w:rPr>
                <w:rFonts w:ascii="Verdana" w:hAnsi="Verdana" w:eastAsia="Times New Roman" w:cs="Calibri"/>
                <w:b/>
                <w:bCs/>
                <w:color w:val="FFFFFF"/>
                <w:sz w:val="16"/>
                <w:szCs w:val="16"/>
                <w:lang w:eastAsia="es-CO"/>
              </w:rPr>
              <w:t>Elaboró</w:t>
            </w:r>
          </w:p>
        </w:tc>
        <w:tc>
          <w:tcPr>
            <w:tcW w:w="1611" w:type="dxa"/>
            <w:shd w:val="clear" w:color="auto" w:fill="auto"/>
            <w:vAlign w:val="center"/>
            <w:hideMark/>
          </w:tcPr>
          <w:p w:rsidRPr="00A211EE" w:rsidR="008F0EA7" w:rsidP="008F0EA7" w:rsidRDefault="008F0EA7" w14:paraId="16004DEC" w14:textId="77777777">
            <w:pPr>
              <w:spacing w:line="254" w:lineRule="auto"/>
              <w:jc w:val="center"/>
              <w:rPr>
                <w:rFonts w:ascii="Verdana" w:hAnsi="Verdana"/>
                <w:sz w:val="16"/>
                <w:szCs w:val="16"/>
              </w:rPr>
            </w:pPr>
            <w:r w:rsidRPr="00A211EE">
              <w:rPr>
                <w:rFonts w:ascii="Verdana" w:hAnsi="Verdana"/>
                <w:sz w:val="16"/>
                <w:szCs w:val="16"/>
              </w:rPr>
              <w:t xml:space="preserve">Diana Carolina Montenegro </w:t>
            </w:r>
          </w:p>
          <w:p w:rsidRPr="00A211EE" w:rsidR="008F0EA7" w:rsidP="00B83CFC" w:rsidRDefault="008F0EA7" w14:paraId="6842D053" w14:textId="2625DF9D">
            <w:pPr>
              <w:spacing w:after="0" w:line="240" w:lineRule="auto"/>
              <w:jc w:val="center"/>
              <w:rPr>
                <w:rFonts w:ascii="Verdana" w:hAnsi="Verdana" w:eastAsia="Times New Roman" w:cs="Calibri"/>
                <w:sz w:val="16"/>
                <w:szCs w:val="16"/>
                <w:lang w:eastAsia="es-CO"/>
              </w:rPr>
            </w:pPr>
          </w:p>
        </w:tc>
        <w:tc>
          <w:tcPr>
            <w:tcW w:w="2013" w:type="dxa"/>
            <w:shd w:val="clear" w:color="auto" w:fill="auto"/>
            <w:vAlign w:val="center"/>
            <w:hideMark/>
          </w:tcPr>
          <w:p w:rsidRPr="00A211EE" w:rsidR="008F0EA7" w:rsidP="00B83CFC" w:rsidRDefault="008F0EA7" w14:paraId="663EDE69" w14:textId="77777777">
            <w:pPr>
              <w:spacing w:after="0" w:line="240" w:lineRule="auto"/>
              <w:jc w:val="center"/>
              <w:rPr>
                <w:rFonts w:ascii="Verdana" w:hAnsi="Verdana" w:eastAsia="Times New Roman" w:cs="Calibri"/>
                <w:sz w:val="16"/>
                <w:szCs w:val="16"/>
                <w:lang w:eastAsia="es-CO"/>
              </w:rPr>
            </w:pPr>
            <w:r w:rsidRPr="00A211EE">
              <w:rPr>
                <w:rFonts w:ascii="Verdana" w:hAnsi="Verdana" w:eastAsia="Times New Roman" w:cs="Calibri"/>
                <w:sz w:val="16"/>
                <w:szCs w:val="16"/>
                <w:lang w:eastAsia="es-CO"/>
              </w:rPr>
              <w:t>Contratista Dirección General</w:t>
            </w:r>
          </w:p>
        </w:tc>
      </w:tr>
      <w:tr w:rsidRPr="00A211EE" w:rsidR="008F0EA7" w:rsidTr="00A211EE" w14:paraId="5A7D8D21" w14:textId="77777777">
        <w:trPr>
          <w:trHeight w:val="300"/>
        </w:trPr>
        <w:tc>
          <w:tcPr>
            <w:tcW w:w="810" w:type="dxa"/>
            <w:vMerge/>
            <w:vAlign w:val="center"/>
            <w:hideMark/>
          </w:tcPr>
          <w:p w:rsidRPr="00A211EE" w:rsidR="008F0EA7" w:rsidP="00B83CFC" w:rsidRDefault="008F0EA7" w14:paraId="08DAA2DB" w14:textId="77777777">
            <w:pPr>
              <w:spacing w:after="0" w:line="240" w:lineRule="auto"/>
              <w:rPr>
                <w:rFonts w:ascii="Verdana" w:hAnsi="Verdana" w:eastAsia="Times New Roman" w:cs="Calibri"/>
                <w:color w:val="404040"/>
                <w:sz w:val="16"/>
                <w:szCs w:val="16"/>
                <w:lang w:eastAsia="es-CO"/>
              </w:rPr>
            </w:pPr>
          </w:p>
        </w:tc>
        <w:tc>
          <w:tcPr>
            <w:tcW w:w="2256" w:type="dxa"/>
            <w:vMerge/>
            <w:vAlign w:val="center"/>
            <w:hideMark/>
          </w:tcPr>
          <w:p w:rsidRPr="00A211EE" w:rsidR="008F0EA7" w:rsidP="00B83CFC" w:rsidRDefault="008F0EA7" w14:paraId="46A66986" w14:textId="77777777">
            <w:pPr>
              <w:spacing w:after="0" w:line="240" w:lineRule="auto"/>
              <w:rPr>
                <w:rFonts w:ascii="Verdana" w:hAnsi="Verdana" w:eastAsia="Times New Roman" w:cs="Calibri"/>
                <w:color w:val="404040"/>
                <w:sz w:val="16"/>
                <w:szCs w:val="16"/>
                <w:lang w:eastAsia="es-CO"/>
              </w:rPr>
            </w:pPr>
          </w:p>
        </w:tc>
        <w:tc>
          <w:tcPr>
            <w:tcW w:w="1160" w:type="dxa"/>
            <w:vMerge/>
            <w:vAlign w:val="center"/>
            <w:hideMark/>
          </w:tcPr>
          <w:p w:rsidRPr="00A211EE" w:rsidR="008F0EA7" w:rsidP="00B83CFC" w:rsidRDefault="008F0EA7" w14:paraId="792B1BD5" w14:textId="77777777">
            <w:pPr>
              <w:spacing w:after="0" w:line="240" w:lineRule="auto"/>
              <w:rPr>
                <w:rFonts w:ascii="Verdana" w:hAnsi="Verdana" w:eastAsia="Times New Roman" w:cs="Calibri"/>
                <w:color w:val="404040"/>
                <w:sz w:val="16"/>
                <w:szCs w:val="16"/>
                <w:lang w:eastAsia="es-CO"/>
              </w:rPr>
            </w:pPr>
          </w:p>
        </w:tc>
        <w:tc>
          <w:tcPr>
            <w:tcW w:w="1081" w:type="dxa"/>
            <w:shd w:val="clear" w:color="auto" w:fill="7F7F7F" w:themeFill="text1" w:themeFillTint="80"/>
            <w:vAlign w:val="center"/>
            <w:hideMark/>
          </w:tcPr>
          <w:p w:rsidRPr="00A211EE" w:rsidR="008F0EA7" w:rsidP="00B83CFC" w:rsidRDefault="008F0EA7" w14:paraId="05D7B8A3" w14:textId="77777777">
            <w:pPr>
              <w:spacing w:after="0" w:line="240" w:lineRule="auto"/>
              <w:jc w:val="center"/>
              <w:rPr>
                <w:rFonts w:ascii="Verdana" w:hAnsi="Verdana" w:eastAsia="Times New Roman" w:cs="Calibri"/>
                <w:b/>
                <w:bCs/>
                <w:color w:val="FFFFFF"/>
                <w:sz w:val="16"/>
                <w:szCs w:val="16"/>
                <w:lang w:eastAsia="es-CO"/>
              </w:rPr>
            </w:pPr>
            <w:r w:rsidRPr="00A211EE">
              <w:rPr>
                <w:rFonts w:ascii="Verdana" w:hAnsi="Verdana" w:eastAsia="Times New Roman" w:cs="Calibri"/>
                <w:b/>
                <w:bCs/>
                <w:color w:val="FFFFFF"/>
                <w:sz w:val="16"/>
                <w:szCs w:val="16"/>
                <w:lang w:eastAsia="es-CO"/>
              </w:rPr>
              <w:t>Revisó</w:t>
            </w:r>
          </w:p>
        </w:tc>
        <w:tc>
          <w:tcPr>
            <w:tcW w:w="1611" w:type="dxa"/>
            <w:shd w:val="clear" w:color="auto" w:fill="auto"/>
            <w:vAlign w:val="center"/>
            <w:hideMark/>
          </w:tcPr>
          <w:p w:rsidRPr="00A211EE" w:rsidR="003A779E" w:rsidP="003A779E" w:rsidRDefault="003A779E" w14:paraId="17B06C02" w14:textId="77777777">
            <w:pPr>
              <w:spacing w:line="254" w:lineRule="auto"/>
              <w:jc w:val="center"/>
              <w:rPr>
                <w:rFonts w:ascii="Verdana" w:hAnsi="Verdana"/>
                <w:sz w:val="16"/>
                <w:szCs w:val="16"/>
                <w:lang w:val="it-IT"/>
              </w:rPr>
            </w:pPr>
            <w:r w:rsidRPr="00A211EE">
              <w:rPr>
                <w:rFonts w:ascii="Verdana" w:hAnsi="Verdana"/>
                <w:sz w:val="16"/>
                <w:szCs w:val="16"/>
                <w:lang w:val="it-IT"/>
              </w:rPr>
              <w:t xml:space="preserve">Lisseth Tatiana Melo Parra </w:t>
            </w:r>
          </w:p>
          <w:p w:rsidRPr="00A211EE" w:rsidR="008F0EA7" w:rsidP="00B83CFC" w:rsidRDefault="008F0EA7" w14:paraId="3FD2FB3D" w14:textId="7372D709">
            <w:pPr>
              <w:spacing w:after="0" w:line="240" w:lineRule="auto"/>
              <w:jc w:val="center"/>
              <w:rPr>
                <w:rFonts w:ascii="Verdana" w:hAnsi="Verdana" w:eastAsia="Times New Roman" w:cs="Calibri"/>
                <w:sz w:val="16"/>
                <w:szCs w:val="16"/>
                <w:lang w:eastAsia="es-CO"/>
              </w:rPr>
            </w:pPr>
          </w:p>
        </w:tc>
        <w:tc>
          <w:tcPr>
            <w:tcW w:w="2013" w:type="dxa"/>
            <w:shd w:val="clear" w:color="auto" w:fill="auto"/>
            <w:vAlign w:val="center"/>
            <w:hideMark/>
          </w:tcPr>
          <w:p w:rsidRPr="00A211EE" w:rsidR="003A779E" w:rsidP="003A779E" w:rsidRDefault="003A779E" w14:paraId="33773AB9" w14:textId="77777777">
            <w:pPr>
              <w:spacing w:line="254" w:lineRule="auto"/>
              <w:jc w:val="center"/>
              <w:rPr>
                <w:rFonts w:ascii="Verdana" w:hAnsi="Verdana"/>
                <w:sz w:val="16"/>
                <w:szCs w:val="16"/>
                <w:lang w:val="it-IT"/>
              </w:rPr>
            </w:pPr>
            <w:r w:rsidRPr="00A211EE">
              <w:rPr>
                <w:rFonts w:ascii="Verdana" w:hAnsi="Verdana"/>
                <w:sz w:val="16"/>
                <w:szCs w:val="16"/>
                <w:lang w:val="it-IT"/>
              </w:rPr>
              <w:t>Analista T2 - 6</w:t>
            </w:r>
          </w:p>
          <w:p w:rsidRPr="00A211EE" w:rsidR="008F0EA7" w:rsidP="003A779E" w:rsidRDefault="003A779E" w14:paraId="1BFD2B94" w14:textId="0014A101">
            <w:pPr>
              <w:spacing w:after="0" w:line="240" w:lineRule="auto"/>
              <w:jc w:val="center"/>
              <w:rPr>
                <w:rFonts w:ascii="Verdana" w:hAnsi="Verdana" w:eastAsia="Times New Roman" w:cs="Calibri"/>
                <w:sz w:val="16"/>
                <w:szCs w:val="16"/>
                <w:lang w:eastAsia="es-CO"/>
              </w:rPr>
            </w:pPr>
            <w:r w:rsidRPr="00A211EE">
              <w:rPr>
                <w:rFonts w:ascii="Verdana" w:hAnsi="Verdana"/>
                <w:sz w:val="16"/>
                <w:szCs w:val="16"/>
              </w:rPr>
              <w:t>Secretaria General</w:t>
            </w:r>
          </w:p>
        </w:tc>
      </w:tr>
      <w:tr w:rsidRPr="00A211EE" w:rsidR="008F0EA7" w:rsidTr="00A211EE" w14:paraId="6A9D6D27" w14:textId="77777777">
        <w:trPr>
          <w:trHeight w:val="231"/>
        </w:trPr>
        <w:tc>
          <w:tcPr>
            <w:tcW w:w="810" w:type="dxa"/>
            <w:vMerge/>
            <w:vAlign w:val="center"/>
            <w:hideMark/>
          </w:tcPr>
          <w:p w:rsidRPr="00A211EE" w:rsidR="008F0EA7" w:rsidP="00B83CFC" w:rsidRDefault="008F0EA7" w14:paraId="1D9C05F4" w14:textId="77777777">
            <w:pPr>
              <w:spacing w:after="0" w:line="240" w:lineRule="auto"/>
              <w:rPr>
                <w:rFonts w:ascii="Verdana" w:hAnsi="Verdana" w:eastAsia="Times New Roman" w:cs="Calibri"/>
                <w:color w:val="404040"/>
                <w:sz w:val="16"/>
                <w:szCs w:val="16"/>
                <w:lang w:eastAsia="es-CO"/>
              </w:rPr>
            </w:pPr>
          </w:p>
        </w:tc>
        <w:tc>
          <w:tcPr>
            <w:tcW w:w="2256" w:type="dxa"/>
            <w:vMerge/>
            <w:vAlign w:val="center"/>
            <w:hideMark/>
          </w:tcPr>
          <w:p w:rsidRPr="00A211EE" w:rsidR="008F0EA7" w:rsidP="00B83CFC" w:rsidRDefault="008F0EA7" w14:paraId="059D28C0" w14:textId="77777777">
            <w:pPr>
              <w:spacing w:after="0" w:line="240" w:lineRule="auto"/>
              <w:rPr>
                <w:rFonts w:ascii="Verdana" w:hAnsi="Verdana" w:eastAsia="Times New Roman" w:cs="Calibri"/>
                <w:color w:val="404040"/>
                <w:sz w:val="16"/>
                <w:szCs w:val="16"/>
                <w:lang w:eastAsia="es-CO"/>
              </w:rPr>
            </w:pPr>
          </w:p>
        </w:tc>
        <w:tc>
          <w:tcPr>
            <w:tcW w:w="1160" w:type="dxa"/>
            <w:vMerge/>
            <w:vAlign w:val="center"/>
            <w:hideMark/>
          </w:tcPr>
          <w:p w:rsidRPr="00A211EE" w:rsidR="008F0EA7" w:rsidP="00B83CFC" w:rsidRDefault="008F0EA7" w14:paraId="79310FAF" w14:textId="77777777">
            <w:pPr>
              <w:spacing w:after="0" w:line="240" w:lineRule="auto"/>
              <w:rPr>
                <w:rFonts w:ascii="Verdana" w:hAnsi="Verdana" w:eastAsia="Times New Roman" w:cs="Calibri"/>
                <w:color w:val="404040"/>
                <w:sz w:val="16"/>
                <w:szCs w:val="16"/>
                <w:lang w:eastAsia="es-CO"/>
              </w:rPr>
            </w:pPr>
          </w:p>
        </w:tc>
        <w:tc>
          <w:tcPr>
            <w:tcW w:w="1081" w:type="dxa"/>
            <w:shd w:val="clear" w:color="auto" w:fill="7F7F7F" w:themeFill="text1" w:themeFillTint="80"/>
            <w:vAlign w:val="center"/>
            <w:hideMark/>
          </w:tcPr>
          <w:p w:rsidRPr="00A211EE" w:rsidR="008F0EA7" w:rsidP="00B83CFC" w:rsidRDefault="008F0EA7" w14:paraId="6A33A6C8" w14:textId="77777777">
            <w:pPr>
              <w:spacing w:after="0" w:line="240" w:lineRule="auto"/>
              <w:jc w:val="center"/>
              <w:rPr>
                <w:rFonts w:ascii="Verdana" w:hAnsi="Verdana" w:eastAsia="Times New Roman" w:cs="Calibri"/>
                <w:b/>
                <w:bCs/>
                <w:color w:val="FFFFFF"/>
                <w:sz w:val="16"/>
                <w:szCs w:val="16"/>
                <w:lang w:eastAsia="es-CO"/>
              </w:rPr>
            </w:pPr>
            <w:r w:rsidRPr="00A211EE">
              <w:rPr>
                <w:rFonts w:ascii="Verdana" w:hAnsi="Verdana" w:eastAsia="Times New Roman" w:cs="Calibri"/>
                <w:b/>
                <w:bCs/>
                <w:color w:val="FFFFFF"/>
                <w:sz w:val="16"/>
                <w:szCs w:val="16"/>
                <w:lang w:eastAsia="es-CO"/>
              </w:rPr>
              <w:t>Aprobó</w:t>
            </w:r>
          </w:p>
        </w:tc>
        <w:tc>
          <w:tcPr>
            <w:tcW w:w="1611" w:type="dxa"/>
            <w:shd w:val="clear" w:color="auto" w:fill="auto"/>
            <w:vAlign w:val="center"/>
            <w:hideMark/>
          </w:tcPr>
          <w:p w:rsidRPr="00A211EE" w:rsidR="003A779E" w:rsidP="003A779E" w:rsidRDefault="003A779E" w14:paraId="3B3676D5" w14:textId="77777777">
            <w:pPr>
              <w:spacing w:line="254" w:lineRule="auto"/>
              <w:jc w:val="center"/>
              <w:rPr>
                <w:rFonts w:ascii="Verdana" w:hAnsi="Verdana"/>
                <w:sz w:val="16"/>
                <w:szCs w:val="16"/>
              </w:rPr>
            </w:pPr>
            <w:r w:rsidRPr="00A211EE">
              <w:rPr>
                <w:rFonts w:ascii="Verdana" w:hAnsi="Verdana"/>
                <w:sz w:val="16"/>
                <w:szCs w:val="16"/>
              </w:rPr>
              <w:t xml:space="preserve">William Renan Rodriguez </w:t>
            </w:r>
          </w:p>
          <w:p w:rsidRPr="00A211EE" w:rsidR="008F0EA7" w:rsidP="00B83CFC" w:rsidRDefault="008F0EA7" w14:paraId="5A922A62" w14:textId="4B9556F9">
            <w:pPr>
              <w:spacing w:after="0" w:line="240" w:lineRule="auto"/>
              <w:jc w:val="center"/>
              <w:rPr>
                <w:rFonts w:ascii="Verdana" w:hAnsi="Verdana" w:eastAsia="Times New Roman" w:cs="Calibri"/>
                <w:sz w:val="16"/>
                <w:szCs w:val="16"/>
                <w:lang w:eastAsia="es-CO"/>
              </w:rPr>
            </w:pPr>
          </w:p>
        </w:tc>
        <w:tc>
          <w:tcPr>
            <w:tcW w:w="2013" w:type="dxa"/>
            <w:shd w:val="clear" w:color="auto" w:fill="auto"/>
            <w:vAlign w:val="center"/>
            <w:hideMark/>
          </w:tcPr>
          <w:p w:rsidRPr="00A211EE" w:rsidR="008F0EA7" w:rsidP="00B83CFC" w:rsidRDefault="003A779E" w14:paraId="3470E8BD" w14:textId="63349C08">
            <w:pPr>
              <w:spacing w:after="0" w:line="240" w:lineRule="auto"/>
              <w:jc w:val="center"/>
              <w:rPr>
                <w:rFonts w:ascii="Verdana" w:hAnsi="Verdana" w:eastAsia="Times New Roman" w:cs="Calibri"/>
                <w:sz w:val="16"/>
                <w:szCs w:val="16"/>
                <w:lang w:eastAsia="es-CO"/>
              </w:rPr>
            </w:pPr>
            <w:r w:rsidRPr="00A211EE">
              <w:rPr>
                <w:rFonts w:ascii="Verdana" w:hAnsi="Verdana"/>
                <w:sz w:val="16"/>
                <w:szCs w:val="16"/>
              </w:rPr>
              <w:t>Secretario General</w:t>
            </w:r>
          </w:p>
        </w:tc>
      </w:tr>
    </w:tbl>
    <w:p w:rsidRPr="00A211EE" w:rsidR="008F0EA7" w:rsidP="00C330EB" w:rsidRDefault="008F0EA7" w14:paraId="3720116D" w14:textId="77777777">
      <w:pPr>
        <w:spacing w:after="0" w:line="240" w:lineRule="auto"/>
        <w:rPr>
          <w:rFonts w:ascii="Verdana" w:hAnsi="Verdana"/>
          <w:b/>
          <w:color w:val="404040" w:themeColor="text1" w:themeTint="BF"/>
        </w:rPr>
      </w:pPr>
    </w:p>
    <w:p w:rsidRPr="00A211EE" w:rsidR="00C330EB" w:rsidP="00C330EB" w:rsidRDefault="00C330EB" w14:paraId="2DF18D81" w14:textId="77777777">
      <w:pPr>
        <w:pStyle w:val="Default"/>
        <w:tabs>
          <w:tab w:val="left" w:pos="2864"/>
        </w:tabs>
        <w:jc w:val="both"/>
        <w:rPr>
          <w:rFonts w:ascii="Verdana" w:hAnsi="Verdana"/>
          <w:sz w:val="22"/>
          <w:szCs w:val="22"/>
          <w:lang w:val="es-ES"/>
        </w:rPr>
      </w:pPr>
      <w:r w:rsidRPr="00A211EE">
        <w:rPr>
          <w:rFonts w:ascii="Verdana" w:hAnsi="Verdana"/>
          <w:sz w:val="22"/>
          <w:szCs w:val="22"/>
          <w:lang w:val="es-ES"/>
        </w:rPr>
        <w:tab/>
      </w:r>
    </w:p>
    <w:p w:rsidRPr="00A211EE" w:rsidR="00891928" w:rsidP="00891928" w:rsidRDefault="00891928" w14:paraId="7CED3ABA" w14:textId="77777777">
      <w:pPr>
        <w:spacing w:after="0"/>
        <w:jc w:val="both"/>
        <w:rPr>
          <w:rFonts w:ascii="Verdana" w:hAnsi="Verdana"/>
          <w:b/>
          <w:lang w:val="es-MX"/>
        </w:rPr>
      </w:pPr>
    </w:p>
    <w:p w:rsidRPr="00A211EE" w:rsidR="00D7383B" w:rsidP="00E245AB" w:rsidRDefault="00D7383B" w14:paraId="595D4756" w14:textId="77777777">
      <w:pPr>
        <w:spacing w:after="0"/>
        <w:jc w:val="both"/>
        <w:rPr>
          <w:rFonts w:ascii="Verdana" w:hAnsi="Verdana"/>
        </w:rPr>
      </w:pPr>
    </w:p>
    <w:p w:rsidRPr="00A211EE" w:rsidR="00D7383B" w:rsidP="00E245AB" w:rsidRDefault="00D7383B" w14:paraId="5CE21514" w14:textId="77777777">
      <w:pPr>
        <w:spacing w:after="0"/>
        <w:jc w:val="both"/>
        <w:rPr>
          <w:rFonts w:ascii="Verdana" w:hAnsi="Verdana"/>
        </w:rPr>
      </w:pPr>
    </w:p>
    <w:p w:rsidRPr="00A211EE" w:rsidR="00127233" w:rsidP="00665D70" w:rsidRDefault="00E245AB" w14:paraId="0F293BF4" w14:textId="4E630EB9">
      <w:pPr>
        <w:spacing w:after="0"/>
        <w:jc w:val="both"/>
        <w:rPr>
          <w:rFonts w:ascii="Verdana" w:hAnsi="Verdana"/>
        </w:rPr>
      </w:pPr>
      <w:r w:rsidRPr="00A211EE">
        <w:rPr>
          <w:rFonts w:ascii="Verdana" w:hAnsi="Verdana"/>
        </w:rPr>
        <w:t xml:space="preserve"> </w:t>
      </w:r>
    </w:p>
    <w:sectPr w:rsidRPr="00A211EE" w:rsidR="00127233" w:rsidSect="00A211EE">
      <w:headerReference w:type="default" r:id="rId15"/>
      <w:footerReference w:type="default" r:id="rId16"/>
      <w:pgSz w:w="12240" w:h="15840" w:orient="portrait"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2B72" w:rsidP="004A1847" w:rsidRDefault="000E2B72" w14:paraId="1A09442E" w14:textId="77777777">
      <w:pPr>
        <w:spacing w:after="0" w:line="240" w:lineRule="auto"/>
      </w:pPr>
      <w:r>
        <w:separator/>
      </w:r>
    </w:p>
  </w:endnote>
  <w:endnote w:type="continuationSeparator" w:id="0">
    <w:p w:rsidR="000E2B72" w:rsidP="004A1847" w:rsidRDefault="000E2B72" w14:paraId="5DB58530" w14:textId="77777777">
      <w:pPr>
        <w:spacing w:after="0" w:line="240" w:lineRule="auto"/>
      </w:pPr>
      <w:r>
        <w:continuationSeparator/>
      </w:r>
    </w:p>
  </w:endnote>
  <w:endnote w:type="continuationNotice" w:id="1">
    <w:p w:rsidR="000E2B72" w:rsidRDefault="000E2B72" w14:paraId="3CF15EE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11EE" w:rsidP="00A211EE" w:rsidRDefault="00A211EE" w14:paraId="60ADAF56" w14:textId="77777777">
    <w:pPr>
      <w:spacing w:after="0"/>
      <w:rPr>
        <w:rFonts w:ascii="Verdana" w:hAnsi="Verdana"/>
        <w:b/>
        <w:bCs/>
        <w:sz w:val="20"/>
        <w:szCs w:val="20"/>
      </w:rPr>
    </w:pPr>
  </w:p>
  <w:p w:rsidRPr="00174B77" w:rsidR="00A211EE" w:rsidP="00A211EE" w:rsidRDefault="00A211EE" w14:paraId="4DAEE7DC" w14:textId="43FD1F7C">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A211EE" w:rsidP="00A211EE" w:rsidRDefault="00A211EE" w14:paraId="4A01C741"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A211EE" w:rsidP="00A211EE" w:rsidRDefault="00A211EE" w14:paraId="4145D2CB" w14:textId="77777777">
    <w:pPr>
      <w:spacing w:after="0"/>
      <w:jc w:val="both"/>
      <w:rPr>
        <w:rFonts w:ascii="Verdana" w:hAnsi="Verdana"/>
        <w:sz w:val="18"/>
        <w:szCs w:val="18"/>
      </w:rPr>
    </w:pPr>
    <w:r w:rsidRPr="00E41027">
      <w:rPr>
        <w:rFonts w:ascii="Verdana" w:hAnsi="Verdana"/>
        <w:sz w:val="18"/>
        <w:szCs w:val="18"/>
      </w:rPr>
      <w:t>Mesa de servicio: (+57) 601 7456788</w:t>
    </w:r>
  </w:p>
  <w:p w:rsidRPr="00A211EE" w:rsidR="00A211EE" w:rsidP="00A211EE" w:rsidRDefault="00A211EE" w14:paraId="73EB2D37" w14:textId="3BAD4CB6">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hAnsi="Verdana" w:eastAsia="Geo" w:cs="Geo"/>
        <w:bCs/>
        <w:color w:val="000000"/>
        <w:sz w:val="16"/>
        <w:szCs w:val="16"/>
        <w:lang w:eastAsia="es-CO"/>
      </w:rPr>
      <w:t>Código: CCE-REC-FM-13 Versión</w:t>
    </w:r>
    <w:r w:rsidRPr="00A211EE">
      <w:rPr>
        <w:rFonts w:ascii="Verdana" w:hAnsi="Verdana" w:eastAsia="Arial Nova" w:cs="Arial Nova"/>
        <w:bCs/>
        <w:color w:val="000000"/>
        <w:sz w:val="16"/>
        <w:szCs w:val="16"/>
        <w:lang w:eastAsia="es-CO"/>
      </w:rPr>
      <w:t>:</w:t>
    </w:r>
    <w:r w:rsidRPr="00A211EE">
      <w:rPr>
        <w:rFonts w:ascii="Verdana" w:hAnsi="Verdana" w:eastAsia="Arial Nova" w:cs="Arial Nova"/>
        <w:b/>
        <w:color w:val="000000"/>
        <w:sz w:val="16"/>
        <w:szCs w:val="16"/>
        <w:lang w:eastAsia="es-CO"/>
      </w:rPr>
      <w:t xml:space="preserve"> </w:t>
    </w:r>
    <w:r w:rsidRPr="00A211EE">
      <w:rPr>
        <w:rFonts w:ascii="Verdana" w:hAnsi="Verdana" w:eastAsia="Geo" w:cs="Geo"/>
        <w:sz w:val="16"/>
        <w:szCs w:val="16"/>
        <w:lang w:eastAsia="es-CO"/>
      </w:rPr>
      <w:t>01 Fecha:15-06-2023</w:t>
    </w:r>
  </w:p>
  <w:p w:rsidR="006219F8" w:rsidP="00A211EE" w:rsidRDefault="006219F8" w14:paraId="744661F5" w14:textId="20328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2B72" w:rsidP="004A1847" w:rsidRDefault="000E2B72" w14:paraId="6D87E9A8" w14:textId="77777777">
      <w:pPr>
        <w:spacing w:after="0" w:line="240" w:lineRule="auto"/>
      </w:pPr>
      <w:r>
        <w:separator/>
      </w:r>
    </w:p>
  </w:footnote>
  <w:footnote w:type="continuationSeparator" w:id="0">
    <w:p w:rsidR="000E2B72" w:rsidP="004A1847" w:rsidRDefault="000E2B72" w14:paraId="4EB0CCE3" w14:textId="77777777">
      <w:pPr>
        <w:spacing w:after="0" w:line="240" w:lineRule="auto"/>
      </w:pPr>
      <w:r>
        <w:continuationSeparator/>
      </w:r>
    </w:p>
  </w:footnote>
  <w:footnote w:type="continuationNotice" w:id="1">
    <w:p w:rsidR="000E2B72" w:rsidRDefault="000E2B72" w14:paraId="758D5C57" w14:textId="77777777">
      <w:pPr>
        <w:spacing w:after="0" w:line="240" w:lineRule="auto"/>
      </w:pPr>
    </w:p>
  </w:footnote>
  <w:footnote w:id="2">
    <w:p w:rsidRPr="007C130F" w:rsidR="00DB7CAA" w:rsidP="00DB7CAA" w:rsidRDefault="00DB7CAA" w14:paraId="3C0FFAA4" w14:textId="77777777">
      <w:pPr>
        <w:spacing w:after="0" w:line="240" w:lineRule="auto"/>
        <w:ind w:firstLine="707"/>
        <w:contextualSpacing/>
        <w:jc w:val="both"/>
        <w:rPr>
          <w:rFonts w:ascii="Arial" w:hAnsi="Arial" w:cs="Arial"/>
          <w:sz w:val="14"/>
          <w:szCs w:val="14"/>
        </w:rPr>
      </w:pPr>
      <w:r w:rsidRPr="007C130F">
        <w:rPr>
          <w:rStyle w:val="FootnoteReference"/>
          <w:rFonts w:ascii="Arial" w:hAnsi="Arial" w:cs="Arial"/>
          <w:sz w:val="14"/>
          <w:szCs w:val="14"/>
        </w:rPr>
        <w:footnoteRef/>
      </w:r>
      <w:r w:rsidRPr="007C130F">
        <w:rPr>
          <w:rFonts w:ascii="Arial" w:hAnsi="Arial" w:cs="Arial"/>
          <w:position w:val="6"/>
          <w:sz w:val="14"/>
          <w:szCs w:val="14"/>
        </w:rPr>
        <w:t xml:space="preserve"> </w:t>
      </w:r>
      <w:r w:rsidRPr="007C130F">
        <w:rPr>
          <w:rFonts w:ascii="Arial" w:hAnsi="Arial" w:cs="Arial"/>
          <w:sz w:val="14"/>
          <w:szCs w:val="14"/>
        </w:rPr>
        <w:t>DEIK ACOSTAMADIEDO, Carolina, Guía de Contratación Estatal: Deber de planeación y modalidades de selección, Buenos Aires, 2015, p. 59.</w:t>
      </w:r>
    </w:p>
    <w:p w:rsidRPr="007C130F" w:rsidR="00DB7CAA" w:rsidP="00DB7CAA" w:rsidRDefault="00DB7CAA" w14:paraId="4C0F3C45" w14:textId="77777777">
      <w:pPr>
        <w:pStyle w:val="FootnoteText"/>
        <w:contextualSpacing/>
        <w:jc w:val="both"/>
        <w:rPr>
          <w:rFonts w:ascii="Arial" w:hAnsi="Arial" w:cs="Arial"/>
          <w:sz w:val="14"/>
          <w:szCs w:val="14"/>
        </w:rPr>
      </w:pPr>
    </w:p>
  </w:footnote>
  <w:footnote w:id="3">
    <w:p w:rsidR="00DB7CAA" w:rsidP="00DB7CAA" w:rsidRDefault="00DB7CAA" w14:paraId="7F8802F9" w14:textId="77777777">
      <w:pPr>
        <w:pStyle w:val="BodyText"/>
        <w:spacing w:after="0" w:line="240" w:lineRule="auto"/>
        <w:ind w:firstLine="709"/>
        <w:contextualSpacing/>
        <w:jc w:val="both"/>
        <w:rPr>
          <w:rFonts w:ascii="Arial" w:hAnsi="Arial" w:cs="Arial"/>
          <w:sz w:val="14"/>
          <w:szCs w:val="14"/>
        </w:rPr>
      </w:pPr>
      <w:r w:rsidRPr="007C130F">
        <w:rPr>
          <w:rStyle w:val="FootnoteReference"/>
          <w:rFonts w:ascii="Arial" w:hAnsi="Arial" w:cs="Arial"/>
          <w:sz w:val="14"/>
          <w:szCs w:val="14"/>
        </w:rPr>
        <w:footnoteRef/>
      </w:r>
      <w:r w:rsidRPr="007C130F">
        <w:rPr>
          <w:rFonts w:ascii="Arial" w:hAnsi="Arial" w:cs="Arial"/>
          <w:sz w:val="14"/>
          <w:szCs w:val="14"/>
        </w:rPr>
        <w:t xml:space="preserve"> “Artículo </w:t>
      </w:r>
      <w:bookmarkStart w:name="_Hlk54173885" w:id="1"/>
      <w:r w:rsidRPr="007C130F">
        <w:rPr>
          <w:rFonts w:ascii="Arial" w:hAnsi="Arial" w:cs="Arial"/>
          <w:sz w:val="14"/>
          <w:szCs w:val="14"/>
        </w:rPr>
        <w:t>2.2.1.1.2.1.1</w:t>
      </w:r>
      <w:bookmarkEnd w:id="1"/>
      <w:r w:rsidRPr="007C130F">
        <w:rPr>
          <w:rFonts w:ascii="Arial" w:hAnsi="Arial" w:cs="Arial"/>
          <w:sz w:val="14"/>
          <w:szCs w:val="14"/>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p w:rsidRPr="007C130F" w:rsidR="00DB7CAA" w:rsidP="00DB7CAA" w:rsidRDefault="00DB7CAA" w14:paraId="1FE6F77B" w14:textId="77777777">
      <w:pPr>
        <w:pStyle w:val="BodyText"/>
        <w:spacing w:after="0" w:line="240" w:lineRule="auto"/>
        <w:ind w:firstLine="709"/>
        <w:contextualSpacing/>
        <w:jc w:val="both"/>
        <w:rPr>
          <w:rFonts w:ascii="Arial" w:hAnsi="Arial" w:cs="Arial"/>
          <w:sz w:val="14"/>
          <w:szCs w:val="14"/>
        </w:rPr>
      </w:pPr>
    </w:p>
    <w:p w:rsidRPr="007C130F" w:rsidR="00DB7CAA" w:rsidP="00DB7CAA" w:rsidRDefault="00DB7CAA" w14:paraId="7AB0E83F" w14:textId="77777777">
      <w:pPr>
        <w:pStyle w:val="FootnoteText"/>
        <w:ind w:firstLine="709"/>
        <w:contextualSpacing/>
        <w:jc w:val="both"/>
        <w:rPr>
          <w:rFonts w:ascii="Arial" w:hAnsi="Arial" w:cs="Arial"/>
          <w:sz w:val="14"/>
          <w:szCs w:val="14"/>
        </w:rPr>
      </w:pPr>
    </w:p>
  </w:footnote>
  <w:footnote w:id="4">
    <w:p w:rsidRPr="007C130F" w:rsidR="00DB7CAA" w:rsidP="00DB7CAA" w:rsidRDefault="00DB7CAA" w14:paraId="0558B33B" w14:textId="77777777">
      <w:pPr>
        <w:pStyle w:val="FootnoteText"/>
        <w:ind w:firstLine="708"/>
        <w:contextualSpacing/>
        <w:jc w:val="both"/>
        <w:rPr>
          <w:rFonts w:ascii="Arial" w:hAnsi="Arial" w:cs="Arial"/>
          <w:sz w:val="14"/>
          <w:szCs w:val="14"/>
        </w:rPr>
      </w:pPr>
      <w:r w:rsidRPr="007C130F">
        <w:rPr>
          <w:rStyle w:val="FootnoteReference"/>
          <w:rFonts w:ascii="Arial" w:hAnsi="Arial" w:cs="Arial"/>
          <w:sz w:val="14"/>
          <w:szCs w:val="14"/>
        </w:rPr>
        <w:footnoteRef/>
      </w:r>
      <w:r w:rsidRPr="007C130F">
        <w:rPr>
          <w:rFonts w:ascii="Arial" w:hAnsi="Arial" w:cs="Arial"/>
          <w:sz w:val="14"/>
          <w:szCs w:val="14"/>
        </w:rPr>
        <w:t xml:space="preserve"> Decreto 1082 de 2015: “Artículo 2.2.1.1.1.6.1.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footnote>
  <w:footnote w:id="5">
    <w:p w:rsidRPr="007C130F" w:rsidR="00DB7CAA" w:rsidP="00DB7CAA" w:rsidRDefault="00DB7CAA" w14:paraId="36E0926F" w14:textId="77777777">
      <w:pPr>
        <w:pStyle w:val="FootnoteText"/>
        <w:ind w:firstLine="708"/>
        <w:contextualSpacing/>
        <w:jc w:val="both"/>
        <w:rPr>
          <w:rFonts w:ascii="Arial" w:hAnsi="Arial" w:cs="Arial"/>
          <w:sz w:val="14"/>
          <w:szCs w:val="14"/>
        </w:rPr>
      </w:pPr>
      <w:r w:rsidRPr="007C130F">
        <w:rPr>
          <w:rStyle w:val="FootnoteReference"/>
          <w:rFonts w:ascii="Arial" w:hAnsi="Arial" w:cs="Arial"/>
          <w:sz w:val="14"/>
          <w:szCs w:val="14"/>
        </w:rPr>
        <w:footnoteRef/>
      </w:r>
      <w:r w:rsidRPr="007C130F">
        <w:rPr>
          <w:rFonts w:ascii="Arial" w:hAnsi="Arial" w:cs="Arial"/>
          <w:sz w:val="14"/>
          <w:szCs w:val="14"/>
        </w:rPr>
        <w:t xml:space="preserve"> Agencia Nacional de Contratación Pública – Colombia Compra Eficiente. </w:t>
      </w:r>
      <w:r w:rsidRPr="007C130F">
        <w:rPr>
          <w:rFonts w:ascii="Arial" w:hAnsi="Arial" w:eastAsia="Calibri" w:cs="Arial"/>
          <w:bCs/>
          <w:sz w:val="14"/>
          <w:szCs w:val="14"/>
          <w:lang w:val="es-ES_tradnl" w:eastAsia="es-ES_tradnl"/>
        </w:rPr>
        <w:t>Guía de Elaboración de Estudios del Sector</w:t>
      </w:r>
      <w:r w:rsidRPr="007C130F">
        <w:rPr>
          <w:rFonts w:ascii="Arial" w:hAnsi="Arial" w:cs="Arial"/>
          <w:sz w:val="14"/>
          <w:szCs w:val="14"/>
        </w:rPr>
        <w:t xml:space="preserve">. Disponible en: </w:t>
      </w:r>
      <w:hyperlink w:history="1" r:id="rId1">
        <w:r w:rsidRPr="007C130F">
          <w:rPr>
            <w:rStyle w:val="Hyperlink"/>
            <w:rFonts w:ascii="Arial" w:hAnsi="Arial" w:cs="Arial"/>
            <w:sz w:val="14"/>
            <w:szCs w:val="14"/>
          </w:rPr>
          <w:t>https://www.colombiacompra.gov.co/manuales-guias-y-pliegos-tipo/manuales-y-guias</w:t>
        </w:r>
      </w:hyperlink>
      <w:r w:rsidRPr="007C130F">
        <w:rPr>
          <w:rFonts w:ascii="Arial" w:hAnsi="Arial" w:cs="Arial"/>
          <w:sz w:val="14"/>
          <w:szCs w:val="14"/>
        </w:rPr>
        <w:t xml:space="preserve">. </w:t>
      </w:r>
    </w:p>
    <w:p w:rsidRPr="007C130F" w:rsidR="00DB7CAA" w:rsidP="00DB7CAA" w:rsidRDefault="00DB7CAA" w14:paraId="605E8869" w14:textId="77777777">
      <w:pPr>
        <w:pStyle w:val="FootnoteText"/>
        <w:ind w:firstLine="708"/>
        <w:contextualSpacing/>
        <w:jc w:val="both"/>
        <w:rPr>
          <w:rFonts w:ascii="Arial" w:hAnsi="Arial" w:cs="Arial"/>
          <w:sz w:val="14"/>
          <w:szCs w:val="14"/>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A211EE" w14:paraId="6ED12154" w14:textId="26E0CE9D">
    <w:pPr>
      <w:pStyle w:val="Header"/>
    </w:pPr>
    <w:r>
      <w:rPr>
        <w:rFonts w:ascii="Geomanist Bold" w:hAnsi="Geomanist Bold"/>
        <w:b/>
        <w:bCs/>
        <w:noProof/>
        <w:color w:val="002060"/>
        <w:sz w:val="24"/>
        <w:szCs w:val="24"/>
      </w:rPr>
      <w:drawing>
        <wp:anchor distT="0" distB="0" distL="114300" distR="114300" simplePos="0" relativeHeight="251658241" behindDoc="1" locked="0" layoutInCell="1" allowOverlap="1" wp14:anchorId="1963371B" wp14:editId="240CF296">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6AB0A4A3">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P="00A211EE" w:rsidRDefault="00756841" w14:paraId="435F4D03" w14:textId="67DABC48">
    <w:pPr>
      <w:pStyle w:val="Header"/>
      <w:jc w:val="center"/>
    </w:pPr>
  </w:p>
  <w:p w:rsidR="00756841" w:rsidRDefault="00756841" w14:paraId="1BE2B9AE" w14:textId="4B94DB3B">
    <w:pPr>
      <w:pStyle w:val="Header"/>
    </w:pPr>
  </w:p>
  <w:p w:rsidR="00A211EE" w:rsidP="00A211EE" w:rsidRDefault="00A211EE" w14:paraId="66537681" w14:textId="77777777">
    <w:pPr>
      <w:spacing w:after="0"/>
      <w:rPr>
        <w:rFonts w:ascii="Verdana" w:hAnsi="Verdana"/>
        <w:b/>
        <w:bCs/>
        <w:sz w:val="24"/>
        <w:szCs w:val="24"/>
      </w:rPr>
    </w:pPr>
  </w:p>
  <w:p w:rsidR="008A446D" w:rsidP="00A211EE" w:rsidRDefault="004A305D" w14:paraId="1FD1C243" w14:textId="10E3EDD9">
    <w:pPr>
      <w:spacing w:after="0"/>
      <w:rPr>
        <w:rFonts w:ascii="Verdana" w:hAnsi="Verdana"/>
        <w:b/>
        <w:bCs/>
        <w:sz w:val="24"/>
        <w:szCs w:val="24"/>
      </w:rPr>
    </w:pPr>
    <w:r w:rsidRPr="00A211EE">
      <w:rPr>
        <w:rFonts w:ascii="Verdana" w:hAnsi="Verdana"/>
        <w:b/>
        <w:bCs/>
        <w:sz w:val="24"/>
        <w:szCs w:val="24"/>
      </w:rPr>
      <w:t>FORMATO PQRSD</w:t>
    </w:r>
  </w:p>
  <w:p w:rsidRPr="00A211EE" w:rsidR="00A211EE" w:rsidP="00A211EE" w:rsidRDefault="00A211EE" w14:paraId="56E67371" w14:textId="77777777">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07A202F9"/>
    <w:multiLevelType w:val="hybridMultilevel"/>
    <w:tmpl w:val="81F4F0B6"/>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170F4636"/>
    <w:multiLevelType w:val="hybridMultilevel"/>
    <w:tmpl w:val="A404AF7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616F9A"/>
    <w:multiLevelType w:val="hybridMultilevel"/>
    <w:tmpl w:val="48C41F52"/>
    <w:lvl w:ilvl="0" w:tplc="240A0001">
      <w:start w:val="1"/>
      <w:numFmt w:val="bullet"/>
      <w:lvlText w:val=""/>
      <w:lvlJc w:val="left"/>
      <w:pPr>
        <w:ind w:left="1571" w:hanging="360"/>
      </w:pPr>
      <w:rPr>
        <w:rFonts w:hint="default" w:ascii="Symbol" w:hAnsi="Symbol"/>
      </w:rPr>
    </w:lvl>
    <w:lvl w:ilvl="1" w:tplc="240A0003" w:tentative="1">
      <w:start w:val="1"/>
      <w:numFmt w:val="bullet"/>
      <w:lvlText w:val="o"/>
      <w:lvlJc w:val="left"/>
      <w:pPr>
        <w:ind w:left="2291" w:hanging="360"/>
      </w:pPr>
      <w:rPr>
        <w:rFonts w:hint="default" w:ascii="Courier New" w:hAnsi="Courier New" w:cs="Courier New"/>
      </w:rPr>
    </w:lvl>
    <w:lvl w:ilvl="2" w:tplc="240A0005" w:tentative="1">
      <w:start w:val="1"/>
      <w:numFmt w:val="bullet"/>
      <w:lvlText w:val=""/>
      <w:lvlJc w:val="left"/>
      <w:pPr>
        <w:ind w:left="3011" w:hanging="360"/>
      </w:pPr>
      <w:rPr>
        <w:rFonts w:hint="default" w:ascii="Wingdings" w:hAnsi="Wingdings"/>
      </w:rPr>
    </w:lvl>
    <w:lvl w:ilvl="3" w:tplc="240A0001" w:tentative="1">
      <w:start w:val="1"/>
      <w:numFmt w:val="bullet"/>
      <w:lvlText w:val=""/>
      <w:lvlJc w:val="left"/>
      <w:pPr>
        <w:ind w:left="3731" w:hanging="360"/>
      </w:pPr>
      <w:rPr>
        <w:rFonts w:hint="default" w:ascii="Symbol" w:hAnsi="Symbol"/>
      </w:rPr>
    </w:lvl>
    <w:lvl w:ilvl="4" w:tplc="240A0003" w:tentative="1">
      <w:start w:val="1"/>
      <w:numFmt w:val="bullet"/>
      <w:lvlText w:val="o"/>
      <w:lvlJc w:val="left"/>
      <w:pPr>
        <w:ind w:left="4451" w:hanging="360"/>
      </w:pPr>
      <w:rPr>
        <w:rFonts w:hint="default" w:ascii="Courier New" w:hAnsi="Courier New" w:cs="Courier New"/>
      </w:rPr>
    </w:lvl>
    <w:lvl w:ilvl="5" w:tplc="240A0005" w:tentative="1">
      <w:start w:val="1"/>
      <w:numFmt w:val="bullet"/>
      <w:lvlText w:val=""/>
      <w:lvlJc w:val="left"/>
      <w:pPr>
        <w:ind w:left="5171" w:hanging="360"/>
      </w:pPr>
      <w:rPr>
        <w:rFonts w:hint="default" w:ascii="Wingdings" w:hAnsi="Wingdings"/>
      </w:rPr>
    </w:lvl>
    <w:lvl w:ilvl="6" w:tplc="240A0001" w:tentative="1">
      <w:start w:val="1"/>
      <w:numFmt w:val="bullet"/>
      <w:lvlText w:val=""/>
      <w:lvlJc w:val="left"/>
      <w:pPr>
        <w:ind w:left="5891" w:hanging="360"/>
      </w:pPr>
      <w:rPr>
        <w:rFonts w:hint="default" w:ascii="Symbol" w:hAnsi="Symbol"/>
      </w:rPr>
    </w:lvl>
    <w:lvl w:ilvl="7" w:tplc="240A0003" w:tentative="1">
      <w:start w:val="1"/>
      <w:numFmt w:val="bullet"/>
      <w:lvlText w:val="o"/>
      <w:lvlJc w:val="left"/>
      <w:pPr>
        <w:ind w:left="6611" w:hanging="360"/>
      </w:pPr>
      <w:rPr>
        <w:rFonts w:hint="default" w:ascii="Courier New" w:hAnsi="Courier New" w:cs="Courier New"/>
      </w:rPr>
    </w:lvl>
    <w:lvl w:ilvl="8" w:tplc="240A0005" w:tentative="1">
      <w:start w:val="1"/>
      <w:numFmt w:val="bullet"/>
      <w:lvlText w:val=""/>
      <w:lvlJc w:val="left"/>
      <w:pPr>
        <w:ind w:left="7331" w:hanging="360"/>
      </w:pPr>
      <w:rPr>
        <w:rFonts w:hint="default" w:ascii="Wingdings" w:hAnsi="Wingdings"/>
      </w:r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8" w15:restartNumberingAfterBreak="0">
    <w:nsid w:val="4C466FB6"/>
    <w:multiLevelType w:val="hybridMultilevel"/>
    <w:tmpl w:val="E168DEFA"/>
    <w:lvl w:ilvl="0" w:tplc="240A0017">
      <w:start w:val="1"/>
      <w:numFmt w:val="lowerLetter"/>
      <w:lvlText w:val="%1)"/>
      <w:lvlJc w:val="left"/>
      <w:pPr>
        <w:ind w:left="2220" w:hanging="360"/>
      </w:pPr>
    </w:lvl>
    <w:lvl w:ilvl="1" w:tplc="240A0019" w:tentative="1">
      <w:start w:val="1"/>
      <w:numFmt w:val="lowerLetter"/>
      <w:lvlText w:val="%2."/>
      <w:lvlJc w:val="left"/>
      <w:pPr>
        <w:ind w:left="2940" w:hanging="360"/>
      </w:pPr>
    </w:lvl>
    <w:lvl w:ilvl="2" w:tplc="240A001B" w:tentative="1">
      <w:start w:val="1"/>
      <w:numFmt w:val="lowerRoman"/>
      <w:lvlText w:val="%3."/>
      <w:lvlJc w:val="right"/>
      <w:pPr>
        <w:ind w:left="3660" w:hanging="180"/>
      </w:pPr>
    </w:lvl>
    <w:lvl w:ilvl="3" w:tplc="240A000F" w:tentative="1">
      <w:start w:val="1"/>
      <w:numFmt w:val="decimal"/>
      <w:lvlText w:val="%4."/>
      <w:lvlJc w:val="left"/>
      <w:pPr>
        <w:ind w:left="4380" w:hanging="360"/>
      </w:pPr>
    </w:lvl>
    <w:lvl w:ilvl="4" w:tplc="240A0019" w:tentative="1">
      <w:start w:val="1"/>
      <w:numFmt w:val="lowerLetter"/>
      <w:lvlText w:val="%5."/>
      <w:lvlJc w:val="left"/>
      <w:pPr>
        <w:ind w:left="5100" w:hanging="360"/>
      </w:pPr>
    </w:lvl>
    <w:lvl w:ilvl="5" w:tplc="240A001B" w:tentative="1">
      <w:start w:val="1"/>
      <w:numFmt w:val="lowerRoman"/>
      <w:lvlText w:val="%6."/>
      <w:lvlJc w:val="right"/>
      <w:pPr>
        <w:ind w:left="5820" w:hanging="180"/>
      </w:pPr>
    </w:lvl>
    <w:lvl w:ilvl="6" w:tplc="240A000F" w:tentative="1">
      <w:start w:val="1"/>
      <w:numFmt w:val="decimal"/>
      <w:lvlText w:val="%7."/>
      <w:lvlJc w:val="left"/>
      <w:pPr>
        <w:ind w:left="6540" w:hanging="360"/>
      </w:pPr>
    </w:lvl>
    <w:lvl w:ilvl="7" w:tplc="240A0019" w:tentative="1">
      <w:start w:val="1"/>
      <w:numFmt w:val="lowerLetter"/>
      <w:lvlText w:val="%8."/>
      <w:lvlJc w:val="left"/>
      <w:pPr>
        <w:ind w:left="7260" w:hanging="360"/>
      </w:pPr>
    </w:lvl>
    <w:lvl w:ilvl="8" w:tplc="240A001B" w:tentative="1">
      <w:start w:val="1"/>
      <w:numFmt w:val="lowerRoman"/>
      <w:lvlText w:val="%9."/>
      <w:lvlJc w:val="right"/>
      <w:pPr>
        <w:ind w:left="7980" w:hanging="180"/>
      </w:pPr>
    </w:lvl>
  </w:abstractNum>
  <w:abstractNum w:abstractNumId="9" w15:restartNumberingAfterBreak="0">
    <w:nsid w:val="53D97B18"/>
    <w:multiLevelType w:val="hybridMultilevel"/>
    <w:tmpl w:val="7766E76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948779781">
    <w:abstractNumId w:val="6"/>
  </w:num>
  <w:num w:numId="2" w16cid:durableId="19822139">
    <w:abstractNumId w:val="1"/>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14643475">
    <w:abstractNumId w:val="0"/>
  </w:num>
  <w:num w:numId="7" w16cid:durableId="100759801">
    <w:abstractNumId w:val="5"/>
  </w:num>
  <w:num w:numId="8" w16cid:durableId="679089576">
    <w:abstractNumId w:val="7"/>
  </w:num>
  <w:num w:numId="9" w16cid:durableId="986321315">
    <w:abstractNumId w:val="9"/>
  </w:num>
  <w:num w:numId="10" w16cid:durableId="894588073">
    <w:abstractNumId w:val="3"/>
  </w:num>
  <w:num w:numId="11" w16cid:durableId="1502163293">
    <w:abstractNumId w:val="2"/>
  </w:num>
  <w:num w:numId="12" w16cid:durableId="4722185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F50"/>
    <w:rsid w:val="000A683E"/>
    <w:rsid w:val="000B19B9"/>
    <w:rsid w:val="000D0334"/>
    <w:rsid w:val="000E2B72"/>
    <w:rsid w:val="000F6486"/>
    <w:rsid w:val="00127233"/>
    <w:rsid w:val="00186DA7"/>
    <w:rsid w:val="001B52B0"/>
    <w:rsid w:val="001E4177"/>
    <w:rsid w:val="002474A5"/>
    <w:rsid w:val="00252ABD"/>
    <w:rsid w:val="002951A0"/>
    <w:rsid w:val="002962BC"/>
    <w:rsid w:val="002A49AC"/>
    <w:rsid w:val="002A64FD"/>
    <w:rsid w:val="002C7430"/>
    <w:rsid w:val="002C7A84"/>
    <w:rsid w:val="002F3FC8"/>
    <w:rsid w:val="002F4432"/>
    <w:rsid w:val="0036065A"/>
    <w:rsid w:val="00360E7C"/>
    <w:rsid w:val="003A779E"/>
    <w:rsid w:val="003C2402"/>
    <w:rsid w:val="003D0F4D"/>
    <w:rsid w:val="003E0499"/>
    <w:rsid w:val="003F3941"/>
    <w:rsid w:val="004A1847"/>
    <w:rsid w:val="004A305D"/>
    <w:rsid w:val="004B45F3"/>
    <w:rsid w:val="004F21C4"/>
    <w:rsid w:val="004F685F"/>
    <w:rsid w:val="00506765"/>
    <w:rsid w:val="00511228"/>
    <w:rsid w:val="0051587D"/>
    <w:rsid w:val="00516F79"/>
    <w:rsid w:val="005566E8"/>
    <w:rsid w:val="00574867"/>
    <w:rsid w:val="00594DCF"/>
    <w:rsid w:val="005C5CDC"/>
    <w:rsid w:val="005D1F35"/>
    <w:rsid w:val="005D476C"/>
    <w:rsid w:val="005E5DA4"/>
    <w:rsid w:val="005E70D1"/>
    <w:rsid w:val="00601C7C"/>
    <w:rsid w:val="006219F8"/>
    <w:rsid w:val="00665D70"/>
    <w:rsid w:val="006A1C43"/>
    <w:rsid w:val="006D5678"/>
    <w:rsid w:val="006F1A1E"/>
    <w:rsid w:val="006F4E98"/>
    <w:rsid w:val="00706C16"/>
    <w:rsid w:val="00756841"/>
    <w:rsid w:val="007649AB"/>
    <w:rsid w:val="007833AC"/>
    <w:rsid w:val="007B2235"/>
    <w:rsid w:val="007B447C"/>
    <w:rsid w:val="007C3DC2"/>
    <w:rsid w:val="007D375C"/>
    <w:rsid w:val="007E5497"/>
    <w:rsid w:val="00806F5F"/>
    <w:rsid w:val="00820278"/>
    <w:rsid w:val="00840E11"/>
    <w:rsid w:val="008843B6"/>
    <w:rsid w:val="00891928"/>
    <w:rsid w:val="008A306B"/>
    <w:rsid w:val="008A446D"/>
    <w:rsid w:val="008A4FE2"/>
    <w:rsid w:val="008B4D6A"/>
    <w:rsid w:val="008B5C99"/>
    <w:rsid w:val="008F0EA7"/>
    <w:rsid w:val="009225A7"/>
    <w:rsid w:val="00923EEF"/>
    <w:rsid w:val="009419F9"/>
    <w:rsid w:val="00961B09"/>
    <w:rsid w:val="00965334"/>
    <w:rsid w:val="00970935"/>
    <w:rsid w:val="0097093E"/>
    <w:rsid w:val="009C71FA"/>
    <w:rsid w:val="009C72E7"/>
    <w:rsid w:val="009E579A"/>
    <w:rsid w:val="00A01DC7"/>
    <w:rsid w:val="00A17F13"/>
    <w:rsid w:val="00A20739"/>
    <w:rsid w:val="00A211EE"/>
    <w:rsid w:val="00A33C78"/>
    <w:rsid w:val="00A34454"/>
    <w:rsid w:val="00A83396"/>
    <w:rsid w:val="00A900B2"/>
    <w:rsid w:val="00AB0ADB"/>
    <w:rsid w:val="00AB10EC"/>
    <w:rsid w:val="00AF01DF"/>
    <w:rsid w:val="00B46027"/>
    <w:rsid w:val="00B72CD3"/>
    <w:rsid w:val="00B72FFF"/>
    <w:rsid w:val="00BA0B0A"/>
    <w:rsid w:val="00BD7F72"/>
    <w:rsid w:val="00C124F8"/>
    <w:rsid w:val="00C24CA3"/>
    <w:rsid w:val="00C330EB"/>
    <w:rsid w:val="00C754BE"/>
    <w:rsid w:val="00CB6357"/>
    <w:rsid w:val="00CC0B9C"/>
    <w:rsid w:val="00CC1B26"/>
    <w:rsid w:val="00D423A2"/>
    <w:rsid w:val="00D57B68"/>
    <w:rsid w:val="00D63AC2"/>
    <w:rsid w:val="00D7383B"/>
    <w:rsid w:val="00D83831"/>
    <w:rsid w:val="00DA2807"/>
    <w:rsid w:val="00DB7CAA"/>
    <w:rsid w:val="00DD28D8"/>
    <w:rsid w:val="00E05E8D"/>
    <w:rsid w:val="00E10726"/>
    <w:rsid w:val="00E16408"/>
    <w:rsid w:val="00E20894"/>
    <w:rsid w:val="00E245AB"/>
    <w:rsid w:val="00E340BE"/>
    <w:rsid w:val="00E50AFE"/>
    <w:rsid w:val="00E6213D"/>
    <w:rsid w:val="00E771DC"/>
    <w:rsid w:val="00E8772A"/>
    <w:rsid w:val="00E90F6B"/>
    <w:rsid w:val="00E92C27"/>
    <w:rsid w:val="00EA0E3D"/>
    <w:rsid w:val="00EE1AA8"/>
    <w:rsid w:val="00EF4AAB"/>
    <w:rsid w:val="00F3165F"/>
    <w:rsid w:val="00F31EDC"/>
    <w:rsid w:val="00F5664F"/>
    <w:rsid w:val="00F75640"/>
    <w:rsid w:val="00F76AFC"/>
    <w:rsid w:val="00F76FB5"/>
    <w:rsid w:val="00FB5DD1"/>
    <w:rsid w:val="00FC1053"/>
    <w:rsid w:val="00FC2B5D"/>
    <w:rsid w:val="00FF1449"/>
    <w:rsid w:val="00FF4685"/>
    <w:rsid w:val="15BDDE31"/>
    <w:rsid w:val="2DE0BC14"/>
    <w:rsid w:val="3A444C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styleId="HeaderChar" w:customStyle="1">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styleId="FooterChar" w:customStyle="1">
    <w:name w:val="Footer Char"/>
    <w:basedOn w:val="DefaultParagraphFont"/>
    <w:link w:val="Footer"/>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FootnoteTextChar" w:customStyle="1">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styleId="TextonotapieCar1" w:customStyle="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Reference Char3,Texto nota pie Car2,F,R"/>
    <w:basedOn w:val="DefaultParagraphFont"/>
    <w:link w:val="Appelnotedebasde"/>
    <w:uiPriority w:val="99"/>
    <w:unhideWhenUsed/>
    <w:qFormat/>
    <w:rsid w:val="006219F8"/>
    <w:rPr>
      <w:vertAlign w:val="superscript"/>
    </w:rPr>
  </w:style>
  <w:style w:type="character" w:styleId="normaltextrun" w:customStyle="1">
    <w:name w:val="normaltextrun"/>
    <w:basedOn w:val="DefaultParagraphFont"/>
    <w:rsid w:val="006219F8"/>
  </w:style>
  <w:style w:type="table" w:styleId="TableGrid">
    <w:name w:val="Table Grid"/>
    <w:basedOn w:val="Table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itleChar" w:customStyle="1">
    <w:name w:val="Title Char"/>
    <w:basedOn w:val="DefaultParagraphFont"/>
    <w:link w:val="Title"/>
    <w:uiPriority w:val="10"/>
    <w:rsid w:val="005566E8"/>
    <w:rPr>
      <w:rFonts w:ascii="Geomanist" w:hAnsi="Geomanist" w:eastAsiaTheme="majorEastAsia" w:cstheme="majorBidi"/>
      <w:spacing w:val="-10"/>
      <w:kern w:val="28"/>
      <w:szCs w:val="56"/>
      <w:lang w:val="es-ES"/>
    </w:rPr>
  </w:style>
  <w:style w:type="paragraph" w:styleId="BodyText">
    <w:name w:val="Body Text"/>
    <w:basedOn w:val="Normal"/>
    <w:link w:val="BodyTextChar"/>
    <w:uiPriority w:val="99"/>
    <w:semiHidden/>
    <w:unhideWhenUsed/>
    <w:rsid w:val="00506765"/>
    <w:pPr>
      <w:spacing w:after="120"/>
    </w:pPr>
  </w:style>
  <w:style w:type="character" w:styleId="BodyTextChar" w:customStyle="1">
    <w:name w:val="Body Text Char"/>
    <w:basedOn w:val="DefaultParagraphFont"/>
    <w:link w:val="BodyText"/>
    <w:uiPriority w:val="99"/>
    <w:semiHidden/>
    <w:rsid w:val="00506765"/>
  </w:style>
  <w:style w:type="character" w:styleId="Hyperlink">
    <w:name w:val="Hyperlink"/>
    <w:basedOn w:val="DefaultParagraphFont"/>
    <w:uiPriority w:val="99"/>
    <w:unhideWhenUsed/>
    <w:rsid w:val="00506765"/>
    <w:rPr>
      <w:color w:val="0563C1" w:themeColor="hyperlink"/>
      <w:u w:val="single"/>
    </w:rPr>
  </w:style>
  <w:style w:type="table" w:styleId="Tablaconcuadrcula1" w:customStyle="1">
    <w:name w:val="Tabla con cuadrícula1"/>
    <w:basedOn w:val="TableNormal"/>
    <w:next w:val="TableGrid"/>
    <w:uiPriority w:val="59"/>
    <w:rsid w:val="00506765"/>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lnotedebasde" w:customStyle="1">
    <w:name w:val="Appel note de bas de..."/>
    <w:basedOn w:val="Normal"/>
    <w:link w:val="FootnoteReference"/>
    <w:uiPriority w:val="99"/>
    <w:rsid w:val="00506765"/>
    <w:pPr>
      <w:spacing w:line="240" w:lineRule="exact"/>
    </w:pPr>
    <w:rPr>
      <w:vertAlign w:val="superscript"/>
    </w:rPr>
  </w:style>
  <w:style w:type="character" w:styleId="ListParagraphChar" w:customStyle="1">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DB7CAA"/>
    <w:rPr>
      <w:rFonts w:ascii="Geomanist Light" w:hAnsi="Geomanist Light"/>
      <w:lang w:val="es-ES"/>
    </w:rPr>
  </w:style>
  <w:style w:type="paragraph" w:styleId="Revision">
    <w:name w:val="Revision"/>
    <w:hidden/>
    <w:uiPriority w:val="99"/>
    <w:semiHidden/>
    <w:rsid w:val="00A900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50657">
      <w:bodyDiv w:val="1"/>
      <w:marLeft w:val="0"/>
      <w:marRight w:val="0"/>
      <w:marTop w:val="0"/>
      <w:marBottom w:val="0"/>
      <w:divBdr>
        <w:top w:val="none" w:sz="0" w:space="0" w:color="auto"/>
        <w:left w:val="none" w:sz="0" w:space="0" w:color="auto"/>
        <w:bottom w:val="none" w:sz="0" w:space="0" w:color="auto"/>
        <w:right w:val="none" w:sz="0" w:space="0" w:color="auto"/>
      </w:divBdr>
    </w:div>
    <w:div w:id="544220673">
      <w:bodyDiv w:val="1"/>
      <w:marLeft w:val="0"/>
      <w:marRight w:val="0"/>
      <w:marTop w:val="0"/>
      <w:marBottom w:val="0"/>
      <w:divBdr>
        <w:top w:val="none" w:sz="0" w:space="0" w:color="auto"/>
        <w:left w:val="none" w:sz="0" w:space="0" w:color="auto"/>
        <w:bottom w:val="none" w:sz="0" w:space="0" w:color="auto"/>
        <w:right w:val="none" w:sz="0" w:space="0" w:color="auto"/>
      </w:divBdr>
    </w:div>
    <w:div w:id="837841387">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4475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olombiacompra.gov.co/sala-de-prensa/boletin-digital"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relatoria.colombiacompra.gov.co/busqueda/concepto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SharedWithUsers xmlns="a6cb9e4b-f1d1-4245-83ec-6cad768d538a">
      <UserInfo>
        <DisplayName>Ximena Ríos López</DisplayName>
        <AccountId>48</AccountId>
        <AccountType/>
      </UserInfo>
      <UserInfo>
        <DisplayName>Cielo Victoria Gonzalez Meza</DisplayName>
        <AccountId>7679</AccountId>
        <AccountType/>
      </UserInfo>
    </SharedWithUsers>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4BE9437C-BE28-401D-BD25-37E547383D12}"/>
</file>

<file path=customXml/itemProps4.xml><?xml version="1.0" encoding="utf-8"?>
<ds:datastoreItem xmlns:ds="http://schemas.openxmlformats.org/officeDocument/2006/customXml" ds:itemID="{848F9745-127E-4933-99DE-9A0D963E03A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Sergio Enrique Caballero Lesmes</lastModifiedBy>
  <revision>4</revision>
  <lastPrinted>2023-01-10T21:18:00.0000000Z</lastPrinted>
  <dcterms:created xsi:type="dcterms:W3CDTF">2024-07-24T16:20:00.0000000Z</dcterms:created>
  <dcterms:modified xsi:type="dcterms:W3CDTF">2024-08-02T18:27:39.3002543Z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