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4367EB" w:rsidR="003873F6" w:rsidP="003873F6" w:rsidRDefault="003873F6" w14:paraId="05F3A781" w14:textId="77777777">
      <w:pPr>
        <w:spacing w:after="0" w:line="240" w:lineRule="auto"/>
        <w:jc w:val="both"/>
        <w:rPr>
          <w:rFonts w:ascii="Century Gothic" w:hAnsi="Century Gothic" w:eastAsia="Calibri" w:cs="Arial"/>
          <w:b/>
          <w:sz w:val="20"/>
          <w:szCs w:val="20"/>
          <w:lang w:val="es-ES_tradnl"/>
        </w:rPr>
      </w:pPr>
      <w:bookmarkStart w:name="_Hlk94281581" w:id="0"/>
      <w:bookmarkStart w:name="_Hlk102489058" w:id="1"/>
      <w:bookmarkStart w:name="_Hlk34951122" w:id="2"/>
    </w:p>
    <w:p w:rsidRPr="00C96FA1" w:rsidR="003873F6" w:rsidP="003873F6" w:rsidRDefault="003873F6" w14:paraId="6F6DA387" w14:textId="77777777">
      <w:pPr>
        <w:spacing w:after="0" w:line="240" w:lineRule="auto"/>
        <w:jc w:val="both"/>
        <w:rPr>
          <w:rFonts w:ascii="Century Gothic" w:hAnsi="Century Gothic" w:eastAsia="Calibri" w:cs="Arial"/>
          <w:b/>
          <w:lang w:val="es-ES_tradnl"/>
        </w:rPr>
      </w:pPr>
      <w:r w:rsidRPr="004367EB">
        <w:rPr>
          <w:rFonts w:ascii="Century Gothic" w:hAnsi="Century Gothic" w:eastAsia="Calibri" w:cs="Arial"/>
          <w:b/>
          <w:lang w:val="es-ES_tradnl"/>
        </w:rPr>
        <w:t>DOCUMENTOS TIPO – Fundamento normativo</w:t>
      </w:r>
    </w:p>
    <w:p w:rsidRPr="004367EB" w:rsidR="003873F6" w:rsidP="003873F6" w:rsidRDefault="003873F6" w14:paraId="5C275D90" w14:textId="77777777">
      <w:pPr>
        <w:spacing w:after="0" w:line="240" w:lineRule="auto"/>
        <w:jc w:val="both"/>
        <w:rPr>
          <w:rFonts w:ascii="Century Gothic" w:hAnsi="Century Gothic" w:cs="Arial"/>
          <w:noProof/>
          <w:sz w:val="20"/>
          <w:szCs w:val="20"/>
          <w:highlight w:val="yellow"/>
          <w:lang w:val="es-ES_tradnl"/>
        </w:rPr>
      </w:pPr>
    </w:p>
    <w:p w:rsidR="003873F6" w:rsidP="003873F6" w:rsidRDefault="003873F6" w14:paraId="6D3D5053" w14:textId="77777777">
      <w:pPr>
        <w:spacing w:after="0" w:line="240" w:lineRule="auto"/>
        <w:jc w:val="both"/>
        <w:rPr>
          <w:rFonts w:ascii="Century Gothic" w:hAnsi="Century Gothic" w:eastAsia="Calibri" w:cs="Arial"/>
          <w:sz w:val="20"/>
          <w:szCs w:val="20"/>
          <w:lang w:val="es-ES_tradnl"/>
        </w:rPr>
      </w:pPr>
      <w:r w:rsidRPr="004367EB">
        <w:rPr>
          <w:rFonts w:ascii="Century Gothic" w:hAnsi="Century Gothic" w:eastAsia="Calibri" w:cs="Arial"/>
          <w:sz w:val="20"/>
          <w:szCs w:val="20"/>
          <w:lang w:val="es-ES_tradnl"/>
        </w:rPr>
        <w:t xml:space="preserve">La adopción de los documentos tipo obligatorios en el ordenamiento jurídico colombiano se incluyó por primera vez en el parágrafo 3 del artículo 2 de la Ley 1150 de 2007, que facultó al gobierno nacional para expedirlos, pero solo cuando se tratara de la adquisición o suministro de bienes y servicios de características técnicas uniformes y de común utilización; facultad que no ha sido ejercida hasta la actualidad. </w:t>
      </w:r>
    </w:p>
    <w:p w:rsidRPr="004367EB" w:rsidR="003873F6" w:rsidP="003873F6" w:rsidRDefault="003873F6" w14:paraId="643F7962" w14:textId="77777777">
      <w:pPr>
        <w:spacing w:after="0" w:line="240" w:lineRule="auto"/>
        <w:jc w:val="both"/>
        <w:rPr>
          <w:rFonts w:ascii="Century Gothic" w:hAnsi="Century Gothic" w:eastAsia="Calibri" w:cs="Arial"/>
          <w:sz w:val="20"/>
          <w:szCs w:val="20"/>
          <w:lang w:val="es-ES_tradnl"/>
        </w:rPr>
      </w:pPr>
    </w:p>
    <w:p w:rsidR="003873F6" w:rsidP="003873F6" w:rsidRDefault="003873F6" w14:paraId="7220A0E8" w14:textId="77777777">
      <w:pPr>
        <w:spacing w:after="0" w:line="240" w:lineRule="auto"/>
        <w:jc w:val="both"/>
        <w:rPr>
          <w:rFonts w:ascii="Century Gothic" w:hAnsi="Century Gothic" w:eastAsia="Calibri" w:cs="Arial"/>
          <w:sz w:val="20"/>
          <w:szCs w:val="20"/>
          <w:lang w:val="es-ES_tradnl"/>
        </w:rPr>
      </w:pPr>
      <w:r w:rsidRPr="004367EB">
        <w:rPr>
          <w:rFonts w:ascii="Century Gothic" w:hAnsi="Century Gothic" w:eastAsia="Calibri" w:cs="Arial"/>
          <w:sz w:val="20"/>
          <w:szCs w:val="20"/>
          <w:lang w:val="es-ES_tradnl"/>
        </w:rPr>
        <w:t>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w:t>
      </w:r>
    </w:p>
    <w:p w:rsidR="003873F6" w:rsidP="003873F6" w:rsidRDefault="003873F6" w14:paraId="68C9CB3B" w14:textId="77777777">
      <w:pPr>
        <w:spacing w:after="0" w:line="240" w:lineRule="auto"/>
        <w:jc w:val="both"/>
        <w:rPr>
          <w:rFonts w:ascii="Century Gothic" w:hAnsi="Century Gothic" w:eastAsia="Calibri" w:cs="Arial"/>
          <w:sz w:val="20"/>
          <w:szCs w:val="20"/>
          <w:lang w:val="es-ES_tradnl"/>
        </w:rPr>
      </w:pPr>
    </w:p>
    <w:p w:rsidR="003873F6" w:rsidP="1E0BBDB4" w:rsidRDefault="003873F6" w14:paraId="20868674" w14:textId="77777777" w14:noSpellErr="1">
      <w:pPr>
        <w:spacing w:after="0" w:line="240" w:lineRule="auto"/>
        <w:jc w:val="both"/>
        <w:rPr>
          <w:rFonts w:ascii="Century Gothic" w:hAnsi="Century Gothic" w:eastAsia="Calibri" w:cs="Arial"/>
          <w:sz w:val="20"/>
          <w:szCs w:val="20"/>
          <w:lang w:val="es-ES"/>
        </w:rPr>
      </w:pPr>
      <w:r w:rsidRPr="1E0BBDB4" w:rsidR="003873F6">
        <w:rPr>
          <w:rFonts w:ascii="Century Gothic" w:hAnsi="Century Gothic" w:eastAsia="Calibri" w:cs="Arial"/>
          <w:sz w:val="20"/>
          <w:szCs w:val="20"/>
          <w:lang w:val="es-ES"/>
        </w:rPr>
        <w:t>En la actualidad</w:t>
      </w:r>
      <w:r w:rsidRPr="1E0BBDB4" w:rsidR="003873F6">
        <w:rPr>
          <w:rFonts w:ascii="Century Gothic" w:hAnsi="Century Gothic" w:eastAsia="Calibri" w:cs="Arial"/>
          <w:sz w:val="20"/>
          <w:szCs w:val="20"/>
          <w:lang w:val="es-ES"/>
        </w:rPr>
        <w:t xml:space="preserve">, debe tenerse en cuenta que la Ley 2022 de 2020 fue sancionada por el </w:t>
      </w:r>
      <w:r w:rsidRPr="1E0BBDB4" w:rsidR="003873F6">
        <w:rPr>
          <w:rFonts w:ascii="Century Gothic" w:hAnsi="Century Gothic" w:eastAsia="Calibri" w:cs="Arial"/>
          <w:sz w:val="20"/>
          <w:szCs w:val="20"/>
          <w:lang w:val="es-ES"/>
        </w:rPr>
        <w:t>Presidente</w:t>
      </w:r>
      <w:r w:rsidRPr="1E0BBDB4" w:rsidR="003873F6">
        <w:rPr>
          <w:rFonts w:ascii="Century Gothic" w:hAnsi="Century Gothic" w:eastAsia="Calibri" w:cs="Arial"/>
          <w:sz w:val="20"/>
          <w:szCs w:val="20"/>
          <w:lang w:val="es-ES"/>
        </w:rPr>
        <w:t xml:space="preserv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w:t>
      </w:r>
    </w:p>
    <w:p w:rsidRPr="00C96FA1" w:rsidR="003873F6" w:rsidP="003873F6" w:rsidRDefault="003873F6" w14:paraId="63E0D8D2" w14:textId="77777777">
      <w:pPr>
        <w:spacing w:after="0" w:line="240" w:lineRule="auto"/>
        <w:jc w:val="both"/>
        <w:rPr>
          <w:rFonts w:ascii="Century Gothic" w:hAnsi="Century Gothic" w:eastAsia="Calibri" w:cs="Arial"/>
          <w:b/>
          <w:highlight w:val="yellow"/>
          <w:lang w:val="es-ES_tradnl"/>
        </w:rPr>
      </w:pPr>
    </w:p>
    <w:p w:rsidRPr="00C96FA1" w:rsidR="003873F6" w:rsidP="003873F6" w:rsidRDefault="003873F6" w14:paraId="43EAD179" w14:textId="77777777">
      <w:pPr>
        <w:spacing w:after="0" w:line="240" w:lineRule="auto"/>
        <w:jc w:val="both"/>
        <w:rPr>
          <w:rFonts w:ascii="Century Gothic" w:hAnsi="Century Gothic" w:eastAsia="Calibri" w:cs="Arial"/>
          <w:b/>
          <w:lang w:val="es-ES_tradnl"/>
        </w:rPr>
      </w:pPr>
      <w:r w:rsidRPr="004367EB">
        <w:rPr>
          <w:rFonts w:ascii="Century Gothic" w:hAnsi="Century Gothic" w:eastAsia="Calibri" w:cs="Arial"/>
          <w:b/>
          <w:lang w:val="es-ES_tradnl"/>
        </w:rPr>
        <w:t xml:space="preserve">DOCUMENTOS TIPO – </w:t>
      </w:r>
      <w:r>
        <w:rPr>
          <w:rFonts w:ascii="Century Gothic" w:hAnsi="Century Gothic" w:eastAsia="Calibri" w:cs="Arial"/>
          <w:b/>
          <w:lang w:val="es-ES_tradnl"/>
        </w:rPr>
        <w:t>Interventoría de</w:t>
      </w:r>
      <w:r w:rsidRPr="004367EB">
        <w:rPr>
          <w:rFonts w:ascii="Century Gothic" w:hAnsi="Century Gothic" w:eastAsia="Calibri" w:cs="Arial"/>
          <w:b/>
          <w:lang w:val="es-ES_tradnl"/>
        </w:rPr>
        <w:t xml:space="preserve"> infraestructura de transporte – </w:t>
      </w:r>
      <w:r>
        <w:rPr>
          <w:rFonts w:ascii="Century Gothic" w:hAnsi="Century Gothic" w:eastAsia="Calibri" w:cs="Arial"/>
          <w:b/>
          <w:lang w:val="es-ES_tradnl"/>
        </w:rPr>
        <w:t>Matriz 1 –</w:t>
      </w:r>
      <w:r w:rsidRPr="004367EB">
        <w:rPr>
          <w:rFonts w:ascii="Century Gothic" w:hAnsi="Century Gothic" w:eastAsia="Calibri" w:cs="Arial"/>
          <w:b/>
          <w:lang w:val="es-ES_tradnl"/>
        </w:rPr>
        <w:t>Acreditación de la experiencia</w:t>
      </w:r>
    </w:p>
    <w:p w:rsidRPr="004367EB" w:rsidR="003873F6" w:rsidP="003873F6" w:rsidRDefault="003873F6" w14:paraId="2272D8FD" w14:textId="77777777">
      <w:pPr>
        <w:spacing w:after="0" w:line="240" w:lineRule="auto"/>
        <w:jc w:val="both"/>
        <w:rPr>
          <w:rFonts w:ascii="Century Gothic" w:hAnsi="Century Gothic" w:eastAsia="Calibri" w:cs="Arial"/>
          <w:b/>
          <w:sz w:val="20"/>
          <w:szCs w:val="20"/>
          <w:highlight w:val="yellow"/>
          <w:lang w:val="es-ES_tradnl"/>
        </w:rPr>
      </w:pPr>
    </w:p>
    <w:p w:rsidRPr="00C96FA1" w:rsidR="003873F6" w:rsidP="1E0BBDB4" w:rsidRDefault="003873F6" w14:paraId="2AFB2712" w14:textId="77777777">
      <w:pPr>
        <w:spacing w:after="0" w:line="240" w:lineRule="auto"/>
        <w:jc w:val="both"/>
        <w:rPr>
          <w:rFonts w:ascii="Century Gothic" w:hAnsi="Century Gothic" w:eastAsia="Calibri" w:cs="Arial"/>
          <w:sz w:val="20"/>
          <w:szCs w:val="20"/>
          <w:lang w:val="es-ES"/>
        </w:rPr>
      </w:pPr>
      <w:r w:rsidRPr="1E0BBDB4" w:rsidR="003873F6">
        <w:rPr>
          <w:rFonts w:ascii="Century Gothic" w:hAnsi="Century Gothic" w:eastAsia="Calibri" w:cs="Arial"/>
          <w:sz w:val="20"/>
          <w:szCs w:val="20"/>
          <w:lang w:val="es-ES"/>
        </w:rPr>
        <w:t xml:space="preserve">Para que un proponente pueda habilitarse en lo referente a la experiencia debe demostrar haber ejecutado en los contratos con los que la acredita, determinado porcentaje del presupuesto oficial, lo cual, de conformidad con los literales C y D del numeral 10.1.1 podrá demostrar con mínimo uno (1) y máximo cinco (5) contratos, que debieron terminar antes de la fecha de cierre del proceso de contratación, los cuales podrán aumentarse a seis (6) o siete (7) en función de los incentivos de la Ley 2069 de 2020 para </w:t>
      </w:r>
      <w:r w:rsidRPr="1E0BBDB4" w:rsidR="003873F6">
        <w:rPr>
          <w:rFonts w:ascii="Century Gothic" w:hAnsi="Century Gothic" w:eastAsia="Calibri" w:cs="Arial"/>
          <w:sz w:val="20"/>
          <w:szCs w:val="20"/>
          <w:lang w:val="es-ES"/>
        </w:rPr>
        <w:t>mipymes</w:t>
      </w:r>
      <w:r w:rsidRPr="1E0BBDB4" w:rsidR="003873F6">
        <w:rPr>
          <w:rFonts w:ascii="Century Gothic" w:hAnsi="Century Gothic" w:eastAsia="Calibri" w:cs="Arial"/>
          <w:sz w:val="20"/>
          <w:szCs w:val="20"/>
          <w:lang w:val="es-ES"/>
        </w:rPr>
        <w:t>, emprendimientos y empresas de mujeres. El número de contratos aportados por el proponente debe certificar un valor mínimo correspondiente al 100% del presupuesto oficial del proceso expresado en SMMLV en los términos del numeral 3.8.1, cuya verificación se hará con base en la sumatoria de los valores totales ejecutados de los contratos que cumplan con los requisitos establecidos en el pliego de condiciones. Mediante estos contratos además deberá demostrarse que la experiencia satisface las particularidades del requisito de experiencia determinadas por la matriz 1 y el numeral 10.1 del documento base.</w:t>
      </w:r>
    </w:p>
    <w:p w:rsidRPr="004367EB" w:rsidR="003873F6" w:rsidP="003873F6" w:rsidRDefault="003873F6" w14:paraId="0016AA1F" w14:textId="77777777">
      <w:pPr>
        <w:spacing w:after="0" w:line="240" w:lineRule="auto"/>
        <w:jc w:val="both"/>
        <w:rPr>
          <w:rFonts w:ascii="Century Gothic" w:hAnsi="Century Gothic" w:eastAsia="Calibri" w:cs="Arial"/>
          <w:b/>
          <w:sz w:val="20"/>
          <w:szCs w:val="20"/>
          <w:lang w:val="es-ES_tradnl"/>
        </w:rPr>
      </w:pPr>
    </w:p>
    <w:p w:rsidRPr="00C96FA1" w:rsidR="003873F6" w:rsidP="003873F6" w:rsidRDefault="003873F6" w14:paraId="00890CCE" w14:textId="77777777">
      <w:pPr>
        <w:spacing w:after="0" w:line="240" w:lineRule="auto"/>
        <w:jc w:val="both"/>
        <w:rPr>
          <w:rFonts w:ascii="Century Gothic" w:hAnsi="Century Gothic" w:eastAsia="Calibri" w:cs="Arial"/>
          <w:b/>
          <w:lang w:val="es-ES_tradnl"/>
        </w:rPr>
      </w:pPr>
      <w:r w:rsidRPr="00141028">
        <w:rPr>
          <w:rFonts w:ascii="Century Gothic" w:hAnsi="Century Gothic" w:eastAsia="Calibri" w:cs="Arial"/>
          <w:b/>
          <w:lang w:val="es-ES_tradnl"/>
        </w:rPr>
        <w:t>ACREDITACIÓN DE EXPERIENCIA –</w:t>
      </w:r>
      <w:r>
        <w:rPr>
          <w:rFonts w:ascii="Century Gothic" w:hAnsi="Century Gothic" w:eastAsia="Calibri" w:cs="Arial"/>
          <w:b/>
          <w:lang w:val="es-ES_tradnl"/>
        </w:rPr>
        <w:t xml:space="preserve"> Documentos tipo de interventoría –</w:t>
      </w:r>
      <w:r w:rsidRPr="00141028">
        <w:rPr>
          <w:rFonts w:ascii="Century Gothic" w:hAnsi="Century Gothic" w:eastAsia="Calibri" w:cs="Arial"/>
          <w:b/>
          <w:lang w:val="es-ES_tradnl"/>
        </w:rPr>
        <w:t xml:space="preserve"> Contratos con pluralidad de actividades</w:t>
      </w:r>
    </w:p>
    <w:p w:rsidRPr="00141028" w:rsidR="003873F6" w:rsidP="003873F6" w:rsidRDefault="003873F6" w14:paraId="24BCEE64" w14:textId="77777777">
      <w:pPr>
        <w:spacing w:after="0" w:line="240" w:lineRule="auto"/>
        <w:jc w:val="both"/>
        <w:rPr>
          <w:rFonts w:ascii="Century Gothic" w:hAnsi="Century Gothic" w:cs="Arial"/>
          <w:sz w:val="20"/>
          <w:szCs w:val="20"/>
          <w:highlight w:val="yellow"/>
          <w:lang w:val="es-ES_tradnl"/>
        </w:rPr>
      </w:pPr>
    </w:p>
    <w:p w:rsidR="003873F6" w:rsidP="1E0BBDB4" w:rsidRDefault="003873F6" w14:paraId="7F123242" w14:textId="77777777" w14:noSpellErr="1">
      <w:pPr>
        <w:spacing w:after="0"/>
        <w:jc w:val="both"/>
        <w:rPr>
          <w:rFonts w:ascii="Century Gothic" w:hAnsi="Century Gothic" w:eastAsia="Calibri" w:cs="Arial"/>
          <w:sz w:val="20"/>
          <w:szCs w:val="20"/>
          <w:lang w:val="es-ES"/>
        </w:rPr>
      </w:pPr>
      <w:r w:rsidRPr="1E0BBDB4" w:rsidR="003873F6">
        <w:rPr>
          <w:rFonts w:ascii="Century Gothic" w:hAnsi="Century Gothic" w:eastAsia="Calibri" w:cs="Arial"/>
          <w:sz w:val="20"/>
          <w:szCs w:val="20"/>
          <w:lang w:val="es-ES"/>
        </w:rPr>
        <w:t xml:space="preserve">[…] </w:t>
      </w:r>
      <w:r w:rsidRPr="1E0BBDB4" w:rsidR="003873F6">
        <w:rPr>
          <w:rFonts w:ascii="Century Gothic" w:hAnsi="Century Gothic" w:eastAsia="Calibri" w:cs="Arial"/>
          <w:sz w:val="20"/>
          <w:szCs w:val="20"/>
          <w:lang w:val="es-ES"/>
        </w:rPr>
        <w:t xml:space="preserve">de conformidad con el literal A del numeral 10.1.1 los contratos que sean aportados por un proponente deben dar cuenta de la ejecución de las actividades establecidas como requisitos de experiencia general y específica. </w:t>
      </w:r>
      <w:r w:rsidRPr="1E0BBDB4" w:rsidR="003873F6">
        <w:rPr>
          <w:rFonts w:ascii="Century Gothic" w:hAnsi="Century Gothic" w:eastAsia="Calibri" w:cs="Arial"/>
          <w:sz w:val="20"/>
          <w:szCs w:val="20"/>
          <w:lang w:val="es-ES"/>
        </w:rPr>
        <w:t>Sin embargo, conforme a lo dicho en el párrafo precedente, cuando el contrato aportado para cumplir el requisito contiene actividades relacionadas con la experiencia exigida, y otras que no, la entidad debe fraccionar la evaluación de la experiencia a efectos de solo tener en cuenta lo atinente a la parte del objeto contractual que sí cumple con el requisito habilitante, empleando para tal fin los documentos soporte allegados por el proponente.</w:t>
      </w:r>
      <w:r w:rsidRPr="1E0BBDB4" w:rsidR="003873F6">
        <w:rPr>
          <w:rFonts w:ascii="Century Gothic" w:hAnsi="Century Gothic" w:eastAsia="Calibri" w:cs="Arial"/>
          <w:sz w:val="20"/>
          <w:szCs w:val="20"/>
          <w:lang w:val="es-ES"/>
        </w:rPr>
        <w:t xml:space="preserve"> Esta tesis fue expuesta por la Agencia en el Concepto 2201913000007824 del 21 de octubre de 2019, al cual se le dio alcance mediante el Concepto C-531 del 21 de agosto de 2020, expedido en relación con los “Documentos Tipo – Versión 2” de licitación de obra pública de infraestructura de transporte, respecto al fraccionamiento de la valoración de la experiencia acreditada con contratos con pluralidad de actividades, regla que también es aplicable al documento tipo de concurso de méritos de interventoría de infraestructura de transporte. </w:t>
      </w:r>
    </w:p>
    <w:p w:rsidRPr="00141028" w:rsidR="003873F6" w:rsidP="003873F6" w:rsidRDefault="003873F6" w14:paraId="781EFE41" w14:textId="77777777">
      <w:pPr>
        <w:spacing w:after="0"/>
        <w:jc w:val="both"/>
        <w:rPr>
          <w:rFonts w:ascii="Century Gothic" w:hAnsi="Century Gothic" w:eastAsia="Calibri" w:cs="Arial"/>
          <w:sz w:val="20"/>
          <w:szCs w:val="20"/>
          <w:lang w:val="es-ES_tradnl"/>
        </w:rPr>
      </w:pPr>
    </w:p>
    <w:p w:rsidRPr="00035110" w:rsidR="003873F6" w:rsidP="003873F6" w:rsidRDefault="003873F6" w14:paraId="580CF7FA" w14:textId="77777777">
      <w:pPr>
        <w:spacing w:after="0"/>
        <w:jc w:val="both"/>
        <w:rPr>
          <w:rFonts w:ascii="Century Gothic" w:hAnsi="Century Gothic" w:eastAsia="Geomanist Light" w:cs="Arial"/>
          <w:color w:val="201F1E"/>
          <w:lang w:val="es-MX"/>
        </w:rPr>
      </w:pPr>
      <w:r w:rsidRPr="00141028">
        <w:rPr>
          <w:rFonts w:ascii="Century Gothic" w:hAnsi="Century Gothic" w:eastAsia="Calibri" w:cs="Arial"/>
          <w:sz w:val="20"/>
          <w:szCs w:val="20"/>
          <w:lang w:val="es-ES_tradnl"/>
        </w:rPr>
        <w:t>En tales términos, se considera que la evaluación del requisito de experiencia, en los casos en los que esta se acredita con contratos que contienen pluralidad de actividades de las cuales solo algunas cumplen con el requisito de experiencia, debe hacerse únicamente respecto de las actividades que se ajustan al requisito de experiencia exigible según la matriz 1 y el literal A del numeral 10.1.1 del documento base. De otra parte, esta Agencia considera que el mismo razonamiento, según el cual la evaluación de la experiencia acreditada mediante un contrato con variadas actividades debe ser fraccionada en función de las actividades que sí se ajustan a las características de la experiencia exigida, es aplicable en lo relacionado a los requisitos de experiencia en términos de dimensionamiento.</w:t>
      </w:r>
    </w:p>
    <w:p w:rsidR="003873F6" w:rsidP="00A56864" w:rsidRDefault="003873F6" w14:paraId="69818AD6" w14:textId="77777777">
      <w:pPr>
        <w:spacing w:after="0"/>
        <w:rPr>
          <w:rFonts w:ascii="Century Gothic" w:hAnsi="Century Gothic" w:eastAsia="Geomanist Light" w:cs="Arial"/>
          <w:color w:val="201F1E"/>
          <w:lang w:val="es-MX"/>
        </w:rPr>
      </w:pPr>
    </w:p>
    <w:p w:rsidR="003873F6" w:rsidP="00A56864" w:rsidRDefault="003873F6" w14:paraId="31CCEF68" w14:textId="77777777">
      <w:pPr>
        <w:spacing w:after="0"/>
        <w:rPr>
          <w:rFonts w:ascii="Century Gothic" w:hAnsi="Century Gothic" w:eastAsia="Geomanist Light" w:cs="Arial"/>
          <w:color w:val="201F1E"/>
          <w:lang w:val="es-MX"/>
        </w:rPr>
      </w:pPr>
    </w:p>
    <w:p w:rsidR="003873F6" w:rsidP="00A56864" w:rsidRDefault="003873F6" w14:paraId="63258CC1" w14:textId="77777777">
      <w:pPr>
        <w:spacing w:after="0"/>
        <w:rPr>
          <w:rFonts w:ascii="Century Gothic" w:hAnsi="Century Gothic" w:eastAsia="Geomanist Light" w:cs="Arial"/>
          <w:color w:val="201F1E"/>
          <w:lang w:val="es-MX"/>
        </w:rPr>
      </w:pPr>
    </w:p>
    <w:p w:rsidR="003873F6" w:rsidP="00A56864" w:rsidRDefault="003873F6" w14:paraId="31C07BD2" w14:textId="77777777">
      <w:pPr>
        <w:spacing w:after="0"/>
        <w:rPr>
          <w:rFonts w:ascii="Century Gothic" w:hAnsi="Century Gothic" w:eastAsia="Geomanist Light" w:cs="Arial"/>
          <w:color w:val="201F1E"/>
          <w:lang w:val="es-MX"/>
        </w:rPr>
      </w:pPr>
    </w:p>
    <w:p w:rsidR="003873F6" w:rsidP="00A56864" w:rsidRDefault="003873F6" w14:paraId="7EC87AD6" w14:textId="77777777">
      <w:pPr>
        <w:spacing w:after="0"/>
        <w:rPr>
          <w:rFonts w:ascii="Century Gothic" w:hAnsi="Century Gothic" w:eastAsia="Geomanist Light" w:cs="Arial"/>
          <w:color w:val="201F1E"/>
          <w:lang w:val="es-MX"/>
        </w:rPr>
      </w:pPr>
    </w:p>
    <w:p w:rsidR="003873F6" w:rsidP="00A56864" w:rsidRDefault="003873F6" w14:paraId="3F732285" w14:textId="77777777">
      <w:pPr>
        <w:spacing w:after="0"/>
        <w:rPr>
          <w:rFonts w:ascii="Century Gothic" w:hAnsi="Century Gothic" w:eastAsia="Geomanist Light" w:cs="Arial"/>
          <w:color w:val="201F1E"/>
          <w:lang w:val="es-MX"/>
        </w:rPr>
      </w:pPr>
    </w:p>
    <w:p w:rsidR="003873F6" w:rsidP="00A56864" w:rsidRDefault="003873F6" w14:paraId="0267B300" w14:textId="77777777">
      <w:pPr>
        <w:spacing w:after="0"/>
        <w:rPr>
          <w:rFonts w:ascii="Century Gothic" w:hAnsi="Century Gothic" w:eastAsia="Geomanist Light" w:cs="Arial"/>
          <w:color w:val="201F1E"/>
          <w:lang w:val="es-MX"/>
        </w:rPr>
      </w:pPr>
    </w:p>
    <w:p w:rsidR="003873F6" w:rsidP="00A56864" w:rsidRDefault="003873F6" w14:paraId="528FD898" w14:textId="77777777">
      <w:pPr>
        <w:spacing w:after="0"/>
        <w:rPr>
          <w:rFonts w:ascii="Century Gothic" w:hAnsi="Century Gothic" w:eastAsia="Geomanist Light" w:cs="Arial"/>
          <w:color w:val="201F1E"/>
          <w:lang w:val="es-MX"/>
        </w:rPr>
      </w:pPr>
    </w:p>
    <w:p w:rsidR="003873F6" w:rsidP="00A56864" w:rsidRDefault="003873F6" w14:paraId="7109A6B1" w14:textId="77777777">
      <w:pPr>
        <w:spacing w:after="0"/>
        <w:rPr>
          <w:rFonts w:ascii="Century Gothic" w:hAnsi="Century Gothic" w:eastAsia="Geomanist Light" w:cs="Arial"/>
          <w:color w:val="201F1E"/>
          <w:lang w:val="es-MX"/>
        </w:rPr>
      </w:pPr>
    </w:p>
    <w:p w:rsidR="003873F6" w:rsidP="00A56864" w:rsidRDefault="003873F6" w14:paraId="0FDA721D" w14:textId="77777777">
      <w:pPr>
        <w:spacing w:after="0"/>
        <w:rPr>
          <w:rFonts w:ascii="Century Gothic" w:hAnsi="Century Gothic" w:eastAsia="Geomanist Light" w:cs="Arial"/>
          <w:color w:val="201F1E"/>
          <w:lang w:val="es-MX"/>
        </w:rPr>
      </w:pPr>
    </w:p>
    <w:p w:rsidR="003873F6" w:rsidP="00A56864" w:rsidRDefault="003873F6" w14:paraId="41016840" w14:textId="77777777">
      <w:pPr>
        <w:spacing w:after="0"/>
        <w:rPr>
          <w:rFonts w:ascii="Century Gothic" w:hAnsi="Century Gothic" w:eastAsia="Geomanist Light" w:cs="Arial"/>
          <w:color w:val="201F1E"/>
          <w:lang w:val="es-MX"/>
        </w:rPr>
      </w:pPr>
    </w:p>
    <w:p w:rsidR="003873F6" w:rsidP="00A56864" w:rsidRDefault="003873F6" w14:paraId="72AF1B39" w14:textId="77777777">
      <w:pPr>
        <w:spacing w:after="0"/>
        <w:rPr>
          <w:rFonts w:ascii="Century Gothic" w:hAnsi="Century Gothic" w:eastAsia="Geomanist Light" w:cs="Arial"/>
          <w:color w:val="201F1E"/>
          <w:lang w:val="es-MX"/>
        </w:rPr>
      </w:pPr>
    </w:p>
    <w:p w:rsidR="003873F6" w:rsidP="00A56864" w:rsidRDefault="003873F6" w14:paraId="1ADBDD8D" w14:textId="77777777">
      <w:pPr>
        <w:spacing w:after="0"/>
        <w:rPr>
          <w:rFonts w:ascii="Century Gothic" w:hAnsi="Century Gothic" w:eastAsia="Geomanist Light" w:cs="Arial"/>
          <w:color w:val="201F1E"/>
          <w:lang w:val="es-MX"/>
        </w:rPr>
      </w:pPr>
    </w:p>
    <w:p w:rsidR="003873F6" w:rsidP="00A56864" w:rsidRDefault="003873F6" w14:paraId="493CFBFB" w14:textId="77777777">
      <w:pPr>
        <w:spacing w:after="0"/>
        <w:rPr>
          <w:rFonts w:ascii="Century Gothic" w:hAnsi="Century Gothic" w:eastAsia="Geomanist Light" w:cs="Arial"/>
          <w:color w:val="201F1E"/>
          <w:lang w:val="es-MX"/>
        </w:rPr>
      </w:pPr>
    </w:p>
    <w:p w:rsidR="003873F6" w:rsidP="00A56864" w:rsidRDefault="003873F6" w14:paraId="34A7C83D" w14:textId="77777777">
      <w:pPr>
        <w:spacing w:after="0"/>
        <w:rPr>
          <w:rFonts w:ascii="Century Gothic" w:hAnsi="Century Gothic" w:eastAsia="Geomanist Light" w:cs="Arial"/>
          <w:color w:val="201F1E"/>
          <w:lang w:val="es-MX"/>
        </w:rPr>
      </w:pPr>
    </w:p>
    <w:p w:rsidR="003873F6" w:rsidP="00A56864" w:rsidRDefault="003873F6" w14:paraId="2389C687" w14:textId="77777777">
      <w:pPr>
        <w:spacing w:after="0"/>
        <w:rPr>
          <w:rFonts w:ascii="Century Gothic" w:hAnsi="Century Gothic" w:eastAsia="Geomanist Light" w:cs="Arial"/>
          <w:color w:val="201F1E"/>
          <w:lang w:val="es-MX"/>
        </w:rPr>
      </w:pPr>
    </w:p>
    <w:p w:rsidR="003873F6" w:rsidP="00A56864" w:rsidRDefault="003873F6" w14:paraId="1840B886" w14:textId="77777777">
      <w:pPr>
        <w:spacing w:after="0"/>
        <w:rPr>
          <w:rFonts w:ascii="Century Gothic" w:hAnsi="Century Gothic" w:eastAsia="Geomanist Light" w:cs="Arial"/>
          <w:color w:val="201F1E"/>
          <w:lang w:val="es-MX"/>
        </w:rPr>
      </w:pPr>
    </w:p>
    <w:p w:rsidRPr="00035110" w:rsidR="00A56864" w:rsidP="00A56864" w:rsidRDefault="00A56864" w14:paraId="23B763F8" w14:textId="29B823C3">
      <w:pPr>
        <w:spacing w:after="0"/>
        <w:rPr>
          <w:rFonts w:ascii="Century Gothic" w:hAnsi="Century Gothic" w:eastAsia="Geomanist Light" w:cs="Arial"/>
          <w:color w:val="201F1E"/>
          <w:lang w:val="es-MX"/>
        </w:rPr>
      </w:pPr>
      <w:r w:rsidRPr="00035110">
        <w:rPr>
          <w:rFonts w:ascii="Century Gothic" w:hAnsi="Century Gothic" w:eastAsia="Geomanist Light" w:cs="Arial"/>
          <w:color w:val="201F1E"/>
          <w:lang w:val="es-MX"/>
        </w:rPr>
        <w:t xml:space="preserve">Bogotá D.C., </w:t>
      </w:r>
      <w:r w:rsidRPr="003873F6" w:rsidR="003873F6">
        <w:rPr>
          <w:rFonts w:ascii="Century Gothic" w:hAnsi="Century Gothic" w:eastAsia="Geomanist Light" w:cs="Arial"/>
          <w:color w:val="201F1E"/>
          <w:lang w:val="es-MX"/>
        </w:rPr>
        <w:t xml:space="preserve">28 de </w:t>
      </w:r>
      <w:proofErr w:type="gramStart"/>
      <w:r w:rsidRPr="003873F6" w:rsidR="003873F6">
        <w:rPr>
          <w:rFonts w:ascii="Century Gothic" w:hAnsi="Century Gothic" w:eastAsia="Geomanist Light" w:cs="Arial"/>
          <w:color w:val="201F1E"/>
          <w:lang w:val="es-MX"/>
        </w:rPr>
        <w:t>Junio</w:t>
      </w:r>
      <w:proofErr w:type="gramEnd"/>
      <w:r w:rsidRPr="003873F6" w:rsidR="003873F6">
        <w:rPr>
          <w:rFonts w:ascii="Century Gothic" w:hAnsi="Century Gothic" w:eastAsia="Geomanist Light" w:cs="Arial"/>
          <w:color w:val="201F1E"/>
          <w:lang w:val="es-MX"/>
        </w:rPr>
        <w:t xml:space="preserve"> de 2024</w:t>
      </w:r>
    </w:p>
    <w:p w:rsidR="00A56864" w:rsidP="00A56864" w:rsidRDefault="00A56864" w14:paraId="4D82E86D" w14:textId="77777777">
      <w:pPr>
        <w:spacing w:after="0"/>
        <w:rPr>
          <w:rFonts w:ascii="Century Gothic" w:hAnsi="Century Gothic" w:eastAsia="Times New Roman" w:cs="Arial"/>
          <w:lang w:val="es-MX" w:eastAsia="es-ES"/>
        </w:rPr>
      </w:pPr>
    </w:p>
    <w:p w:rsidRPr="00035110" w:rsidR="003873F6" w:rsidP="003873F6" w:rsidRDefault="003873F6" w14:paraId="329930C8" w14:textId="389DF224">
      <w:pPr>
        <w:spacing w:after="0"/>
        <w:jc w:val="right"/>
        <w:rPr>
          <w:rFonts w:ascii="Century Gothic" w:hAnsi="Century Gothic" w:eastAsia="Times New Roman" w:cs="Arial"/>
          <w:lang w:val="es-MX" w:eastAsia="es-ES"/>
        </w:rPr>
      </w:pPr>
      <w:r>
        <w:rPr>
          <w:noProof/>
        </w:rPr>
        <w:drawing>
          <wp:inline distT="0" distB="0" distL="0" distR="0" wp14:anchorId="1E5F10F1" wp14:editId="4019BA6D">
            <wp:extent cx="3253476" cy="904813"/>
            <wp:effectExtent l="0" t="0" r="4445" b="0"/>
            <wp:docPr id="12985235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23556" name=""/>
                    <pic:cNvPicPr/>
                  </pic:nvPicPr>
                  <pic:blipFill>
                    <a:blip r:embed="rId10"/>
                    <a:stretch>
                      <a:fillRect/>
                    </a:stretch>
                  </pic:blipFill>
                  <pic:spPr>
                    <a:xfrm>
                      <a:off x="0" y="0"/>
                      <a:ext cx="3253476" cy="904813"/>
                    </a:xfrm>
                    <a:prstGeom prst="rect">
                      <a:avLst/>
                    </a:prstGeom>
                  </pic:spPr>
                </pic:pic>
              </a:graphicData>
            </a:graphic>
          </wp:inline>
        </w:drawing>
      </w:r>
    </w:p>
    <w:p w:rsidRPr="00035110" w:rsidR="00A56864" w:rsidP="00A56864" w:rsidRDefault="00A56864" w14:paraId="321B7471" w14:textId="77777777">
      <w:pPr>
        <w:spacing w:after="0"/>
        <w:contextualSpacing/>
        <w:jc w:val="both"/>
        <w:rPr>
          <w:rFonts w:ascii="Century Gothic" w:hAnsi="Century Gothic" w:eastAsia="Calibri" w:cs="Arial"/>
          <w:lang w:val="es-ES_tradnl" w:eastAsia="es-ES_tradnl"/>
        </w:rPr>
      </w:pPr>
    </w:p>
    <w:p w:rsidRPr="00035110" w:rsidR="00A56864" w:rsidP="00A56864" w:rsidRDefault="00A56864" w14:paraId="624EDA88" w14:textId="77777777">
      <w:pPr>
        <w:contextualSpacing/>
        <w:jc w:val="both"/>
        <w:rPr>
          <w:rFonts w:ascii="Century Gothic" w:hAnsi="Century Gothic" w:eastAsia="Calibri" w:cs="Arial"/>
          <w:lang w:eastAsia="es-ES_tradnl"/>
        </w:rPr>
      </w:pPr>
      <w:r w:rsidRPr="00035110">
        <w:rPr>
          <w:rFonts w:ascii="Century Gothic" w:hAnsi="Century Gothic" w:eastAsia="Calibri" w:cs="Arial"/>
          <w:lang w:eastAsia="es-ES_tradnl"/>
        </w:rPr>
        <w:t>Señor</w:t>
      </w:r>
      <w:r>
        <w:rPr>
          <w:rFonts w:ascii="Century Gothic" w:hAnsi="Century Gothic" w:eastAsia="Calibri" w:cs="Arial"/>
          <w:lang w:eastAsia="es-ES_tradnl"/>
        </w:rPr>
        <w:t>a</w:t>
      </w:r>
    </w:p>
    <w:p w:rsidRPr="00035110" w:rsidR="00A56864" w:rsidP="00A56864" w:rsidRDefault="00A56864" w14:paraId="06227830" w14:textId="77777777">
      <w:pPr>
        <w:contextualSpacing/>
        <w:jc w:val="both"/>
        <w:rPr>
          <w:rFonts w:ascii="Century Gothic" w:hAnsi="Century Gothic" w:eastAsia="Calibri" w:cs="Arial"/>
          <w:b/>
          <w:lang w:eastAsia="es-ES_tradnl"/>
        </w:rPr>
      </w:pPr>
      <w:r>
        <w:rPr>
          <w:rFonts w:ascii="Century Gothic" w:hAnsi="Century Gothic" w:eastAsia="Calibri" w:cs="Arial"/>
          <w:b/>
          <w:lang w:eastAsia="es-ES_tradnl"/>
        </w:rPr>
        <w:t xml:space="preserve">Adriana Gordillo </w:t>
      </w:r>
    </w:p>
    <w:p w:rsidRPr="00035110" w:rsidR="00A56864" w:rsidP="00A56864" w:rsidRDefault="00A56864" w14:paraId="736988AD" w14:textId="77777777">
      <w:pPr>
        <w:contextualSpacing/>
        <w:jc w:val="both"/>
        <w:rPr>
          <w:rFonts w:ascii="Century Gothic" w:hAnsi="Century Gothic" w:eastAsia="Calibri" w:cs="Arial"/>
          <w:lang w:eastAsia="es-ES_tradnl"/>
        </w:rPr>
      </w:pPr>
      <w:r>
        <w:rPr>
          <w:rFonts w:ascii="Century Gothic" w:hAnsi="Century Gothic" w:eastAsia="Calibri" w:cs="Arial"/>
          <w:lang w:eastAsia="es-ES_tradnl"/>
        </w:rPr>
        <w:t xml:space="preserve">Neiva, Huila </w:t>
      </w:r>
    </w:p>
    <w:p w:rsidRPr="00035110" w:rsidR="00A56864" w:rsidP="00A56864" w:rsidRDefault="00A56864" w14:paraId="32AD3A60" w14:textId="77777777">
      <w:pPr>
        <w:contextualSpacing/>
        <w:jc w:val="both"/>
        <w:rPr>
          <w:rFonts w:ascii="Century Gothic" w:hAnsi="Century Gothic" w:eastAsia="Calibri" w:cs="Arial"/>
          <w:lang w:val="es-ES_tradnl" w:eastAsia="es-ES_tradnl"/>
        </w:rPr>
      </w:pPr>
    </w:p>
    <w:p w:rsidRPr="00035110" w:rsidR="00A56864" w:rsidP="00A56864" w:rsidRDefault="00A56864" w14:paraId="3AA55383" w14:textId="77777777">
      <w:pPr>
        <w:contextualSpacing/>
        <w:rPr>
          <w:rFonts w:ascii="Century Gothic" w:hAnsi="Century Gothic" w:eastAsia="Calibri" w:cs="Arial"/>
          <w:b/>
          <w:lang w:val="es-ES_tradnl" w:eastAsia="es-ES_tradnl"/>
        </w:rPr>
      </w:pPr>
    </w:p>
    <w:p w:rsidRPr="00035110" w:rsidR="00A56864" w:rsidP="00A56864" w:rsidRDefault="00A56864" w14:paraId="73818BDF" w14:textId="77777777">
      <w:pPr>
        <w:ind w:left="2124" w:firstLine="570"/>
        <w:contextualSpacing/>
        <w:rPr>
          <w:rFonts w:ascii="Century Gothic" w:hAnsi="Century Gothic" w:eastAsia="Calibri" w:cs="Arial"/>
          <w:b/>
          <w:lang w:val="es-ES_tradnl" w:eastAsia="es-ES_tradnl"/>
        </w:rPr>
      </w:pPr>
      <w:r w:rsidRPr="00035110">
        <w:rPr>
          <w:rFonts w:ascii="Century Gothic" w:hAnsi="Century Gothic" w:eastAsia="Calibri" w:cs="Arial"/>
          <w:b/>
          <w:lang w:val="es-ES_tradnl" w:eastAsia="es-ES_tradnl"/>
        </w:rPr>
        <w:t xml:space="preserve">Concepto C – </w:t>
      </w:r>
      <w:r>
        <w:rPr>
          <w:rFonts w:ascii="Century Gothic" w:hAnsi="Century Gothic" w:eastAsia="Calibri" w:cs="Arial"/>
          <w:b/>
          <w:lang w:val="es-ES_tradnl" w:eastAsia="es-ES_tradnl"/>
        </w:rPr>
        <w:t>127</w:t>
      </w:r>
      <w:r w:rsidRPr="00035110">
        <w:rPr>
          <w:rFonts w:ascii="Century Gothic" w:hAnsi="Century Gothic" w:eastAsia="Calibri" w:cs="Arial"/>
          <w:b/>
          <w:lang w:val="es-ES_tradnl" w:eastAsia="es-ES_tradnl"/>
        </w:rPr>
        <w:t xml:space="preserve"> de 2024</w:t>
      </w:r>
    </w:p>
    <w:p w:rsidRPr="00035110" w:rsidR="00A56864" w:rsidP="00A56864" w:rsidRDefault="00A56864" w14:paraId="4BDFEE8F" w14:textId="77777777">
      <w:pPr>
        <w:contextualSpacing/>
        <w:jc w:val="both"/>
        <w:rPr>
          <w:rFonts w:ascii="Century Gothic" w:hAnsi="Century Gothic" w:eastAsia="Calibri" w:cs="Arial"/>
          <w:lang w:val="es-ES_tradnl" w:eastAsia="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035110" w:rsidR="00A56864" w:rsidTr="00784BB3" w14:paraId="377BC235" w14:textId="77777777">
        <w:tc>
          <w:tcPr>
            <w:tcW w:w="2689" w:type="dxa"/>
          </w:tcPr>
          <w:p w:rsidRPr="00035110" w:rsidR="00A56864" w:rsidP="00784BB3" w:rsidRDefault="00A56864" w14:paraId="68CFCA39" w14:textId="77777777">
            <w:pPr>
              <w:contextualSpacing/>
              <w:jc w:val="both"/>
              <w:rPr>
                <w:rFonts w:ascii="Century Gothic" w:hAnsi="Century Gothic" w:eastAsia="Calibri" w:cs="Arial"/>
                <w:lang w:val="es-ES_tradnl" w:eastAsia="es-ES_tradnl"/>
              </w:rPr>
            </w:pPr>
            <w:r w:rsidRPr="00035110">
              <w:rPr>
                <w:rFonts w:ascii="Century Gothic" w:hAnsi="Century Gothic" w:eastAsia="Calibri" w:cs="Arial"/>
                <w:b/>
                <w:lang w:val="es-ES_tradnl" w:eastAsia="es-ES_tradnl"/>
              </w:rPr>
              <w:t>Temas:</w:t>
            </w:r>
            <w:r>
              <w:rPr>
                <w:rFonts w:ascii="Century Gothic" w:hAnsi="Century Gothic" w:eastAsia="Calibri" w:cs="Arial"/>
                <w:lang w:val="es-ES_tradnl" w:eastAsia="es-ES_tradnl"/>
              </w:rPr>
              <w:t xml:space="preserve">          </w:t>
            </w:r>
          </w:p>
        </w:tc>
        <w:tc>
          <w:tcPr>
            <w:tcW w:w="6237" w:type="dxa"/>
          </w:tcPr>
          <w:p w:rsidRPr="00035110" w:rsidR="00A56864" w:rsidP="00784BB3" w:rsidRDefault="00A56864" w14:paraId="068DEA97" w14:textId="77777777">
            <w:pPr>
              <w:spacing w:after="120"/>
              <w:contextualSpacing/>
              <w:jc w:val="both"/>
              <w:rPr>
                <w:rFonts w:ascii="Century Gothic" w:hAnsi="Century Gothic" w:eastAsia="Calibri" w:cs="Arial"/>
                <w:lang w:val="es-MX" w:eastAsia="es-ES_tradnl"/>
              </w:rPr>
            </w:pPr>
            <w:r w:rsidRPr="00141028">
              <w:rPr>
                <w:rFonts w:ascii="Century Gothic" w:hAnsi="Century Gothic" w:eastAsia="Calibri" w:cs="Arial"/>
                <w:lang w:val="es-MX" w:eastAsia="es-ES_tradnl"/>
              </w:rPr>
              <w:t>DOCUMENTOS TIPO – Fundamento normativo</w:t>
            </w:r>
            <w:r>
              <w:rPr>
                <w:rFonts w:ascii="Century Gothic" w:hAnsi="Century Gothic" w:eastAsia="Calibri" w:cs="Arial"/>
                <w:lang w:val="es-MX" w:eastAsia="es-ES_tradnl"/>
              </w:rPr>
              <w:t xml:space="preserve"> / </w:t>
            </w:r>
            <w:r w:rsidRPr="00141028">
              <w:rPr>
                <w:rFonts w:ascii="Century Gothic" w:hAnsi="Century Gothic" w:eastAsia="Calibri" w:cs="Arial"/>
                <w:lang w:val="es-MX" w:eastAsia="es-ES_tradnl"/>
              </w:rPr>
              <w:t>DOCUMENTOS TIPO – Interventoría de infraestructura de transporte – Matriz 1 –Acreditación de la experiencia</w:t>
            </w:r>
            <w:r>
              <w:rPr>
                <w:rFonts w:ascii="Century Gothic" w:hAnsi="Century Gothic" w:eastAsia="Calibri" w:cs="Arial"/>
                <w:lang w:val="es-MX" w:eastAsia="es-ES_tradnl"/>
              </w:rPr>
              <w:t xml:space="preserve"> / </w:t>
            </w:r>
            <w:r w:rsidRPr="00141028">
              <w:rPr>
                <w:rFonts w:ascii="Century Gothic" w:hAnsi="Century Gothic" w:eastAsia="Calibri" w:cs="Arial"/>
                <w:lang w:val="es-MX" w:eastAsia="es-ES_tradnl"/>
              </w:rPr>
              <w:t>ACREDITACIÓN DE EXPERIENCIA – Documentos tipo de interventoría – Contratos con pluralidad de actividades</w:t>
            </w:r>
            <w:r>
              <w:rPr>
                <w:rFonts w:ascii="Century Gothic" w:hAnsi="Century Gothic" w:eastAsia="Calibri" w:cs="Arial"/>
                <w:lang w:val="es-MX" w:eastAsia="es-ES_tradnl"/>
              </w:rPr>
              <w:t xml:space="preserve"> </w:t>
            </w:r>
          </w:p>
          <w:p w:rsidRPr="00035110" w:rsidR="00A56864" w:rsidP="00784BB3" w:rsidRDefault="00A56864" w14:paraId="0D6D5C54" w14:textId="77777777">
            <w:pPr>
              <w:spacing w:after="120"/>
              <w:contextualSpacing/>
              <w:jc w:val="both"/>
              <w:rPr>
                <w:rFonts w:ascii="Century Gothic" w:hAnsi="Century Gothic" w:eastAsia="Calibri" w:cs="Arial"/>
                <w:sz w:val="12"/>
                <w:szCs w:val="12"/>
                <w:lang w:val="es-ES_tradnl" w:eastAsia="es-ES_tradnl"/>
              </w:rPr>
            </w:pPr>
          </w:p>
        </w:tc>
      </w:tr>
      <w:tr w:rsidRPr="00035110" w:rsidR="00A56864" w:rsidTr="00784BB3" w14:paraId="13B74A9D" w14:textId="77777777">
        <w:trPr>
          <w:trHeight w:val="227"/>
        </w:trPr>
        <w:tc>
          <w:tcPr>
            <w:tcW w:w="2689" w:type="dxa"/>
          </w:tcPr>
          <w:p w:rsidRPr="00035110" w:rsidR="00A56864" w:rsidP="00784BB3" w:rsidRDefault="00A56864" w14:paraId="21D62DDE" w14:textId="77777777">
            <w:pPr>
              <w:contextualSpacing/>
              <w:jc w:val="both"/>
              <w:rPr>
                <w:rFonts w:ascii="Century Gothic" w:hAnsi="Century Gothic" w:eastAsia="Calibri" w:cs="Arial"/>
                <w:b/>
                <w:lang w:val="es-ES_tradnl" w:eastAsia="es-ES_tradnl"/>
              </w:rPr>
            </w:pPr>
            <w:r w:rsidRPr="00035110">
              <w:rPr>
                <w:rFonts w:ascii="Century Gothic" w:hAnsi="Century Gothic" w:eastAsia="Calibri" w:cs="Arial"/>
                <w:b/>
                <w:lang w:val="es-ES_tradnl" w:eastAsia="es-ES_tradnl"/>
              </w:rPr>
              <w:t>Radicación:</w:t>
            </w:r>
            <w:r>
              <w:rPr>
                <w:rFonts w:ascii="Century Gothic" w:hAnsi="Century Gothic" w:eastAsia="Calibri" w:cs="Arial"/>
                <w:lang w:val="es-ES_tradnl" w:eastAsia="es-ES_tradnl"/>
              </w:rPr>
              <w:t xml:space="preserve">       </w:t>
            </w:r>
            <w:r w:rsidRPr="00035110">
              <w:rPr>
                <w:rFonts w:ascii="Century Gothic" w:hAnsi="Century Gothic" w:eastAsia="Calibri" w:cs="Arial"/>
                <w:lang w:val="es-ES_tradnl" w:eastAsia="es-ES_tradnl"/>
              </w:rPr>
              <w:t xml:space="preserve"> </w:t>
            </w:r>
          </w:p>
        </w:tc>
        <w:tc>
          <w:tcPr>
            <w:tcW w:w="6237" w:type="dxa"/>
          </w:tcPr>
          <w:p w:rsidRPr="00035110" w:rsidR="00A56864" w:rsidP="00784BB3" w:rsidRDefault="00A56864" w14:paraId="30AA637C" w14:textId="77777777">
            <w:pPr>
              <w:contextualSpacing/>
              <w:jc w:val="both"/>
              <w:rPr>
                <w:rFonts w:ascii="Century Gothic" w:hAnsi="Century Gothic" w:eastAsia="Calibri" w:cs="Arial"/>
                <w:lang w:val="es-ES_tradnl" w:eastAsia="es-ES_tradnl"/>
              </w:rPr>
            </w:pPr>
            <w:r w:rsidRPr="00035110">
              <w:rPr>
                <w:rFonts w:ascii="Century Gothic" w:hAnsi="Century Gothic" w:eastAsia="Calibri" w:cs="Arial"/>
                <w:lang w:val="es-ES_tradnl" w:eastAsia="es-ES_tradnl"/>
              </w:rPr>
              <w:t xml:space="preserve">Respuesta a la consulta </w:t>
            </w:r>
            <w:r w:rsidRPr="00714AC8">
              <w:rPr>
                <w:rFonts w:ascii="Century Gothic" w:hAnsi="Century Gothic" w:eastAsia="Calibri" w:cs="Arial"/>
                <w:lang w:val="es-ES_tradnl" w:eastAsia="es-ES_tradnl"/>
              </w:rPr>
              <w:t>P20240612006032</w:t>
            </w:r>
          </w:p>
        </w:tc>
      </w:tr>
    </w:tbl>
    <w:p w:rsidRPr="00035110" w:rsidR="00A56864" w:rsidP="00A56864" w:rsidRDefault="00A56864" w14:paraId="79B63635" w14:textId="77777777">
      <w:pPr>
        <w:contextualSpacing/>
        <w:jc w:val="both"/>
        <w:rPr>
          <w:rFonts w:ascii="Century Gothic" w:hAnsi="Century Gothic" w:eastAsia="Calibri" w:cs="Arial"/>
          <w:lang w:val="es-ES_tradnl" w:eastAsia="es-ES_tradnl"/>
        </w:rPr>
      </w:pPr>
    </w:p>
    <w:p w:rsidRPr="00035110" w:rsidR="00A56864" w:rsidP="00A56864" w:rsidRDefault="00A56864" w14:paraId="5E4A92E7" w14:textId="77777777">
      <w:pPr>
        <w:contextualSpacing/>
        <w:jc w:val="both"/>
        <w:rPr>
          <w:rFonts w:ascii="Century Gothic" w:hAnsi="Century Gothic" w:eastAsia="Calibri" w:cs="Arial"/>
          <w:lang w:val="es-ES_tradnl" w:eastAsia="es-ES_tradnl"/>
        </w:rPr>
      </w:pPr>
    </w:p>
    <w:p w:rsidRPr="00035110" w:rsidR="00A56864" w:rsidP="00A56864" w:rsidRDefault="00A56864" w14:paraId="6DF2874D" w14:textId="77777777">
      <w:pPr>
        <w:contextualSpacing/>
        <w:jc w:val="both"/>
        <w:rPr>
          <w:rFonts w:ascii="Century Gothic" w:hAnsi="Century Gothic" w:eastAsia="Calibri" w:cs="Arial"/>
          <w:lang w:val="es-ES" w:eastAsia="es-ES"/>
        </w:rPr>
      </w:pPr>
      <w:r w:rsidRPr="00035110">
        <w:rPr>
          <w:rFonts w:ascii="Century Gothic" w:hAnsi="Century Gothic" w:eastAsia="Calibri" w:cs="Arial"/>
          <w:lang w:val="es-ES" w:eastAsia="es-ES"/>
        </w:rPr>
        <w:t>Respetad</w:t>
      </w:r>
      <w:r>
        <w:rPr>
          <w:rFonts w:ascii="Century Gothic" w:hAnsi="Century Gothic" w:eastAsia="Calibri" w:cs="Arial"/>
          <w:lang w:val="es-ES" w:eastAsia="es-ES"/>
        </w:rPr>
        <w:t>a</w:t>
      </w:r>
      <w:r w:rsidRPr="00035110">
        <w:rPr>
          <w:rFonts w:ascii="Century Gothic" w:hAnsi="Century Gothic" w:eastAsia="Calibri" w:cs="Arial"/>
          <w:lang w:val="es-ES" w:eastAsia="es-ES"/>
        </w:rPr>
        <w:t xml:space="preserve"> señor</w:t>
      </w:r>
      <w:r>
        <w:rPr>
          <w:rFonts w:ascii="Century Gothic" w:hAnsi="Century Gothic" w:eastAsia="Calibri" w:cs="Arial"/>
          <w:lang w:val="es-ES" w:eastAsia="es-ES"/>
        </w:rPr>
        <w:t>a</w:t>
      </w:r>
      <w:r w:rsidRPr="00035110">
        <w:rPr>
          <w:rFonts w:ascii="Century Gothic" w:hAnsi="Century Gothic" w:eastAsia="Calibri" w:cs="Arial"/>
          <w:lang w:val="es-ES" w:eastAsia="es-ES"/>
        </w:rPr>
        <w:t xml:space="preserve"> </w:t>
      </w:r>
      <w:r>
        <w:rPr>
          <w:rFonts w:ascii="Century Gothic" w:hAnsi="Century Gothic" w:eastAsia="Times New Roman" w:cs="Arial"/>
          <w:lang w:eastAsia="es-ES"/>
        </w:rPr>
        <w:t>Gordillo</w:t>
      </w:r>
      <w:r w:rsidRPr="00035110">
        <w:rPr>
          <w:rFonts w:ascii="Century Gothic" w:hAnsi="Century Gothic" w:eastAsia="Calibri" w:cs="Arial"/>
          <w:lang w:val="es-ES" w:eastAsia="es-ES"/>
        </w:rPr>
        <w:t xml:space="preserve">: </w:t>
      </w:r>
    </w:p>
    <w:p w:rsidRPr="00035110" w:rsidR="00A56864" w:rsidP="00A56864" w:rsidRDefault="00A56864" w14:paraId="0C3D7795" w14:textId="77777777">
      <w:pPr>
        <w:spacing w:line="276" w:lineRule="auto"/>
        <w:contextualSpacing/>
        <w:jc w:val="both"/>
        <w:rPr>
          <w:rFonts w:ascii="Century Gothic" w:hAnsi="Century Gothic" w:eastAsia="Calibri" w:cs="Arial"/>
          <w:szCs w:val="24"/>
          <w:lang w:val="es-ES_tradnl" w:eastAsia="es-ES_tradnl"/>
        </w:rPr>
      </w:pPr>
    </w:p>
    <w:bookmarkEnd w:id="0"/>
    <w:bookmarkEnd w:id="1"/>
    <w:p w:rsidRPr="00035110" w:rsidR="00A56864" w:rsidP="00A56864" w:rsidRDefault="00A56864" w14:paraId="2D21441B" w14:textId="77777777">
      <w:pPr>
        <w:spacing w:after="0" w:line="276" w:lineRule="auto"/>
        <w:jc w:val="both"/>
        <w:rPr>
          <w:rFonts w:ascii="Century Gothic" w:hAnsi="Century Gothic" w:eastAsia="Calibri" w:cs="Arial"/>
          <w:color w:val="000000" w:themeColor="text1"/>
          <w:lang w:val="es-ES_tradnl"/>
        </w:rPr>
      </w:pPr>
      <w:r w:rsidRPr="00035110">
        <w:rPr>
          <w:rFonts w:ascii="Century Gothic" w:hAnsi="Century Gothic" w:eastAsia="Calibri" w:cs="Arial"/>
          <w:color w:val="000000" w:themeColor="text1"/>
          <w:lang w:val="es-ES_tradnl"/>
        </w:rPr>
        <w:t>En ejercicio de la competencia otorgada por el numeral 8 del artículo 11 y el numeral 5 del artículo 3 del Decreto Ley 4170 de 2011</w:t>
      </w:r>
      <w:bookmarkStart w:name="_Hlk99120496" w:id="3"/>
      <w:r w:rsidRPr="00035110">
        <w:rPr>
          <w:rFonts w:ascii="Century Gothic" w:hAnsi="Century Gothic" w:eastAsia="Arial MT" w:cs="Arial"/>
          <w:lang w:val="es-ES"/>
        </w:rPr>
        <w:t xml:space="preserve">, </w:t>
      </w:r>
      <w:bookmarkEnd w:id="3"/>
      <w:r w:rsidRPr="00035110">
        <w:rPr>
          <w:rFonts w:ascii="Century Gothic" w:hAnsi="Century Gothic" w:eastAsia="Calibri" w:cs="Arial"/>
          <w:color w:val="000000" w:themeColor="text1"/>
          <w:lang w:val="es-ES_tradnl"/>
        </w:rPr>
        <w:t xml:space="preserve">la Agencia Nacional de Contratación Pública – Colombia Compra Eficiente responde la petición radicada el </w:t>
      </w:r>
      <w:r>
        <w:rPr>
          <w:rFonts w:ascii="Century Gothic" w:hAnsi="Century Gothic" w:eastAsia="Calibri" w:cs="Arial"/>
          <w:color w:val="000000" w:themeColor="text1"/>
          <w:lang w:val="es-ES_tradnl"/>
        </w:rPr>
        <w:t>12 de junio</w:t>
      </w:r>
      <w:r w:rsidRPr="00035110">
        <w:rPr>
          <w:rFonts w:ascii="Century Gothic" w:hAnsi="Century Gothic" w:eastAsia="Calibri" w:cs="Arial"/>
          <w:color w:val="000000" w:themeColor="text1"/>
          <w:lang w:val="es-ES_tradnl"/>
        </w:rPr>
        <w:t xml:space="preserve"> de 2024.</w:t>
      </w:r>
    </w:p>
    <w:p w:rsidRPr="00035110" w:rsidR="00A56864" w:rsidP="00A56864" w:rsidRDefault="00A56864" w14:paraId="703E8364" w14:textId="77777777">
      <w:pPr>
        <w:spacing w:after="0" w:line="276" w:lineRule="auto"/>
        <w:jc w:val="both"/>
        <w:rPr>
          <w:rFonts w:ascii="Century Gothic" w:hAnsi="Century Gothic" w:eastAsia="Calibri" w:cs="Arial"/>
          <w:b/>
          <w:color w:val="000000" w:themeColor="text1"/>
          <w:lang w:val="es-ES_tradnl"/>
        </w:rPr>
      </w:pPr>
    </w:p>
    <w:p w:rsidRPr="00035110" w:rsidR="00A56864" w:rsidP="00A56864" w:rsidRDefault="00A56864" w14:paraId="29438D63" w14:textId="77777777">
      <w:pPr>
        <w:pStyle w:val="Prrafodelista"/>
        <w:numPr>
          <w:ilvl w:val="0"/>
          <w:numId w:val="6"/>
        </w:numPr>
        <w:tabs>
          <w:tab w:val="left" w:pos="0"/>
          <w:tab w:val="left" w:pos="142"/>
          <w:tab w:val="left" w:pos="284"/>
        </w:tabs>
        <w:spacing w:after="0" w:line="276" w:lineRule="auto"/>
        <w:ind w:left="0" w:firstLine="0"/>
        <w:jc w:val="both"/>
        <w:rPr>
          <w:rFonts w:ascii="Century Gothic" w:hAnsi="Century Gothic" w:eastAsia="Calibri" w:cs="Arial"/>
          <w:b/>
          <w:color w:val="000000" w:themeColor="text1"/>
          <w:lang w:val="es-ES_tradnl"/>
        </w:rPr>
      </w:pPr>
      <w:r w:rsidRPr="00035110">
        <w:rPr>
          <w:rFonts w:ascii="Century Gothic" w:hAnsi="Century Gothic" w:eastAsia="Calibri" w:cs="Arial"/>
          <w:b/>
          <w:color w:val="000000" w:themeColor="text1"/>
          <w:lang w:val="es-ES_tradnl"/>
        </w:rPr>
        <w:t>Problema</w:t>
      </w:r>
      <w:r>
        <w:rPr>
          <w:rFonts w:ascii="Century Gothic" w:hAnsi="Century Gothic" w:eastAsia="Calibri" w:cs="Arial"/>
          <w:b/>
          <w:color w:val="000000" w:themeColor="text1"/>
          <w:lang w:val="es-ES_tradnl"/>
        </w:rPr>
        <w:t>s</w:t>
      </w:r>
      <w:r w:rsidRPr="00035110">
        <w:rPr>
          <w:rFonts w:ascii="Century Gothic" w:hAnsi="Century Gothic" w:eastAsia="Calibri" w:cs="Arial"/>
          <w:b/>
          <w:color w:val="000000" w:themeColor="text1"/>
          <w:lang w:val="es-ES_tradnl"/>
        </w:rPr>
        <w:t xml:space="preserve"> planteado</w:t>
      </w:r>
      <w:r>
        <w:rPr>
          <w:rFonts w:ascii="Century Gothic" w:hAnsi="Century Gothic" w:eastAsia="Calibri" w:cs="Arial"/>
          <w:b/>
          <w:color w:val="000000" w:themeColor="text1"/>
          <w:lang w:val="es-ES_tradnl"/>
        </w:rPr>
        <w:t>s</w:t>
      </w:r>
      <w:r w:rsidRPr="00035110">
        <w:rPr>
          <w:rFonts w:ascii="Century Gothic" w:hAnsi="Century Gothic" w:eastAsia="Calibri" w:cs="Arial"/>
          <w:b/>
          <w:color w:val="000000" w:themeColor="text1"/>
          <w:lang w:val="es-ES_tradnl"/>
        </w:rPr>
        <w:t xml:space="preserve"> </w:t>
      </w:r>
    </w:p>
    <w:p w:rsidRPr="00035110" w:rsidR="00A56864" w:rsidP="00A56864" w:rsidRDefault="00A56864" w14:paraId="1F93E4C3" w14:textId="77777777">
      <w:pPr>
        <w:tabs>
          <w:tab w:val="left" w:pos="426"/>
        </w:tabs>
        <w:spacing w:after="0" w:line="276" w:lineRule="auto"/>
        <w:jc w:val="both"/>
        <w:rPr>
          <w:rFonts w:ascii="Century Gothic" w:hAnsi="Century Gothic" w:eastAsia="Calibri" w:cs="Arial"/>
          <w:b/>
          <w:color w:val="000000" w:themeColor="text1"/>
          <w:lang w:val="es-ES_tradnl"/>
        </w:rPr>
      </w:pPr>
    </w:p>
    <w:p w:rsidR="00A56864" w:rsidP="00A56864" w:rsidRDefault="00A56864" w14:paraId="07BBBF7F" w14:textId="77777777">
      <w:pPr>
        <w:spacing w:after="0" w:line="276" w:lineRule="auto"/>
        <w:jc w:val="both"/>
        <w:rPr>
          <w:rFonts w:ascii="Century Gothic" w:hAnsi="Century Gothic" w:cs="Arial"/>
          <w:color w:val="000000" w:themeColor="text1"/>
          <w:lang w:val="es-ES_tradnl"/>
        </w:rPr>
      </w:pPr>
      <w:bookmarkStart w:name="_Hlk132728388" w:id="4"/>
      <w:bookmarkStart w:name="_Hlk142917142" w:id="5"/>
      <w:r w:rsidRPr="00035110">
        <w:rPr>
          <w:rFonts w:ascii="Century Gothic" w:hAnsi="Century Gothic" w:cs="Arial"/>
          <w:color w:val="000000" w:themeColor="text1"/>
          <w:lang w:val="es-ES_tradnl"/>
        </w:rPr>
        <w:t>Usted realiza la</w:t>
      </w:r>
      <w:r>
        <w:rPr>
          <w:rFonts w:ascii="Century Gothic" w:hAnsi="Century Gothic" w:cs="Arial"/>
          <w:color w:val="000000" w:themeColor="text1"/>
          <w:lang w:val="es-ES_tradnl"/>
        </w:rPr>
        <w:t>s</w:t>
      </w:r>
      <w:r w:rsidRPr="00035110">
        <w:rPr>
          <w:rFonts w:ascii="Century Gothic" w:hAnsi="Century Gothic" w:cs="Arial"/>
          <w:color w:val="000000" w:themeColor="text1"/>
          <w:lang w:val="es-ES_tradnl"/>
        </w:rPr>
        <w:t xml:space="preserve"> siguiente</w:t>
      </w:r>
      <w:r>
        <w:rPr>
          <w:rFonts w:ascii="Century Gothic" w:hAnsi="Century Gothic" w:cs="Arial"/>
          <w:color w:val="000000" w:themeColor="text1"/>
          <w:lang w:val="es-ES_tradnl"/>
        </w:rPr>
        <w:t>s</w:t>
      </w:r>
      <w:r w:rsidRPr="00035110">
        <w:rPr>
          <w:rFonts w:ascii="Century Gothic" w:hAnsi="Century Gothic" w:cs="Arial"/>
          <w:color w:val="000000" w:themeColor="text1"/>
          <w:lang w:val="es-ES_tradnl"/>
        </w:rPr>
        <w:t xml:space="preserve"> pregunta</w:t>
      </w:r>
      <w:r>
        <w:rPr>
          <w:rFonts w:ascii="Century Gothic" w:hAnsi="Century Gothic" w:cs="Arial"/>
          <w:color w:val="000000" w:themeColor="text1"/>
          <w:lang w:val="es-ES_tradnl"/>
        </w:rPr>
        <w:t>s</w:t>
      </w:r>
      <w:r w:rsidRPr="00035110">
        <w:rPr>
          <w:rFonts w:ascii="Century Gothic" w:hAnsi="Century Gothic" w:cs="Arial"/>
          <w:color w:val="000000" w:themeColor="text1"/>
          <w:lang w:val="es-ES_tradnl"/>
        </w:rPr>
        <w:t>:</w:t>
      </w:r>
      <w:r>
        <w:rPr>
          <w:rFonts w:ascii="Century Gothic" w:hAnsi="Century Gothic" w:cs="Arial"/>
          <w:color w:val="000000" w:themeColor="text1"/>
          <w:lang w:val="es-ES_tradnl"/>
        </w:rPr>
        <w:t xml:space="preserve"> </w:t>
      </w:r>
    </w:p>
    <w:p w:rsidR="00A56864" w:rsidP="00A56864" w:rsidRDefault="00A56864" w14:paraId="48AE1685" w14:textId="77777777">
      <w:pPr>
        <w:spacing w:after="0" w:line="276" w:lineRule="auto"/>
        <w:jc w:val="both"/>
        <w:rPr>
          <w:rFonts w:ascii="Century Gothic" w:hAnsi="Century Gothic" w:cs="Arial"/>
          <w:color w:val="000000" w:themeColor="text1"/>
          <w:lang w:val="es-ES_tradnl"/>
        </w:rPr>
      </w:pPr>
    </w:p>
    <w:p w:rsidRPr="00C578DA" w:rsidR="00A56864" w:rsidP="00A56864" w:rsidRDefault="00A56864" w14:paraId="59A2CCAC" w14:textId="77777777">
      <w:pPr>
        <w:spacing w:after="0" w:line="240" w:lineRule="auto"/>
        <w:ind w:left="709" w:right="709"/>
        <w:jc w:val="both"/>
        <w:rPr>
          <w:rFonts w:ascii="Century Gothic" w:hAnsi="Century Gothic" w:cs="Arial"/>
          <w:color w:val="000000" w:themeColor="text1"/>
          <w:sz w:val="21"/>
          <w:szCs w:val="21"/>
          <w:lang w:val="es-ES"/>
        </w:rPr>
      </w:pPr>
      <w:bookmarkStart w:name="_Hlk169533075" w:id="6"/>
      <w:r w:rsidRPr="74ADE260">
        <w:rPr>
          <w:rFonts w:ascii="Century Gothic" w:hAnsi="Century Gothic" w:cs="Arial"/>
          <w:color w:val="000000" w:themeColor="text1"/>
          <w:sz w:val="21"/>
          <w:szCs w:val="21"/>
          <w:lang w:val="es-ES"/>
        </w:rPr>
        <w:t xml:space="preserve">“En un proceso de selección de concurso de méritos, específicamente para una interventoría de infraestructura de transporte, es viable, para un contrato con pluralidad de actividades con el que un oferente pretende acreditar la experiencia general del proceso, determinar el valor ejecutado por interventoría a las obras que cumplen con la experiencia requerida de conformidad con la matriz de experiencia, realizar regla de </w:t>
      </w:r>
      <w:r w:rsidRPr="74ADE260">
        <w:rPr>
          <w:rFonts w:ascii="Century Gothic" w:hAnsi="Century Gothic" w:cs="Arial"/>
          <w:color w:val="000000" w:themeColor="text1"/>
          <w:sz w:val="21"/>
          <w:szCs w:val="21"/>
          <w:lang w:val="es-ES"/>
        </w:rPr>
        <w:t xml:space="preserve">tres, tomando como valor total ejecutado el 100% del contrato de obra objeto de la interventoría, el porcentaje de obra ejecutada o actividades que si cumplen con la experiencia solicitada para finalmente determinar el valor de las actividades de interventoría que cumplen con las estipuladas en la matriz de experiencia?. ¿Es válido que la entidad, durante el proceso de evaluación realice cálculos con datos aportados por el oferente a fin de determinar el valor ejecutado por concepto de interventoría que cumplen con lo señalado en la matriz de experiencia? Por ejemplo, reglas de tres, ¿si se tienen todos los datos como valores ejecutados en los contratos de obra por ejemplo las actas de recibo del contrato de obra? ¿O que el oferente indique los porcentajes ejecutados? Para lo cual, se debería asumir que el valor de interventoría corresponde a un porcentaje del valor de la obra y que, a su vez, este porcentaje es igual para todas las actividades del contrato, es decir para las que cumplen con la matriz de experiencia y para las que no. ¿Es viable realizar esta operación en un contrato de interventoría que incluyó la interventoría a varios contratos de obra o proyectos de manera independiente? ¿Se puede hacer a un solo contrato con varias actividades? ¿Es obligación del oferente, presentar los respectivos documentos expedidos por la entidad contratante en donde se especifique el valor de la interventoría que cumple con el literal A del numeral 10.1.1 - CARACTERÍSTICAS DE LOS CONTRATOS PRESENTADOS PARA ACREDITAR LA EXPERIENCIA DEL PROPONENTE del documento base en contratos con pluralidad de actividades? ¿Cuándo un solo contrato de interventoría presentado para acreditar la experiencia general incluye actividades que cumplen y otras que no con la matriz de experiencia es deber de la entidad descontar las que no cumplen? </w:t>
      </w:r>
      <w:proofErr w:type="gramStart"/>
      <w:r w:rsidRPr="74ADE260">
        <w:rPr>
          <w:rFonts w:ascii="Century Gothic" w:hAnsi="Century Gothic" w:cs="Arial"/>
          <w:color w:val="000000" w:themeColor="text1"/>
          <w:sz w:val="21"/>
          <w:szCs w:val="21"/>
          <w:lang w:val="es-ES"/>
        </w:rPr>
        <w:t>En caso que</w:t>
      </w:r>
      <w:proofErr w:type="gramEnd"/>
      <w:r w:rsidRPr="74ADE260">
        <w:rPr>
          <w:rFonts w:ascii="Century Gothic" w:hAnsi="Century Gothic" w:cs="Arial"/>
          <w:color w:val="000000" w:themeColor="text1"/>
          <w:sz w:val="21"/>
          <w:szCs w:val="21"/>
          <w:lang w:val="es-ES"/>
        </w:rPr>
        <w:t xml:space="preserve"> no se especifiquen los valores ejecutados por concepto de interventoría para cada actividad se debe requerir al oferente teniendo claro que al tener que presentar un documento adicional con dichos valores no se puede tener en cuenta el contrato para asignación de puntaje?”.</w:t>
      </w:r>
      <w:bookmarkEnd w:id="6"/>
    </w:p>
    <w:p w:rsidRPr="00C96FA1" w:rsidR="00A56864" w:rsidP="00A56864" w:rsidRDefault="00A56864" w14:paraId="5592D2F3" w14:textId="77777777">
      <w:pPr>
        <w:spacing w:after="0" w:line="276" w:lineRule="auto"/>
        <w:jc w:val="both"/>
        <w:rPr>
          <w:rFonts w:ascii="Century Gothic" w:hAnsi="Century Gothic" w:cs="Arial"/>
          <w:color w:val="000000" w:themeColor="text1"/>
          <w:lang w:val="es-ES_tradnl"/>
        </w:rPr>
      </w:pPr>
    </w:p>
    <w:bookmarkEnd w:id="4"/>
    <w:bookmarkEnd w:id="5"/>
    <w:p w:rsidRPr="00C96FA1" w:rsidR="00A56864" w:rsidP="00A56864" w:rsidRDefault="00A56864" w14:paraId="7CB3A6C4" w14:textId="77777777">
      <w:pPr>
        <w:pStyle w:val="Prrafodelista"/>
        <w:numPr>
          <w:ilvl w:val="0"/>
          <w:numId w:val="6"/>
        </w:numPr>
        <w:tabs>
          <w:tab w:val="left" w:pos="0"/>
          <w:tab w:val="left" w:pos="284"/>
        </w:tabs>
        <w:spacing w:after="0" w:line="240" w:lineRule="auto"/>
        <w:ind w:left="0" w:firstLine="0"/>
        <w:jc w:val="both"/>
        <w:rPr>
          <w:rFonts w:ascii="Century Gothic" w:hAnsi="Century Gothic" w:eastAsia="Calibri" w:cs="Arial"/>
          <w:b/>
          <w:color w:val="000000" w:themeColor="text1"/>
          <w:lang w:val="es-ES_tradnl"/>
        </w:rPr>
      </w:pPr>
      <w:r w:rsidRPr="00C96FA1">
        <w:rPr>
          <w:rFonts w:ascii="Century Gothic" w:hAnsi="Century Gothic" w:eastAsia="Calibri" w:cs="Arial"/>
          <w:b/>
          <w:color w:val="000000" w:themeColor="text1"/>
          <w:lang w:val="es-ES_tradnl"/>
        </w:rPr>
        <w:t>Consideraciones</w:t>
      </w:r>
    </w:p>
    <w:p w:rsidRPr="00C96FA1" w:rsidR="00A56864" w:rsidP="00A56864" w:rsidRDefault="00A56864" w14:paraId="13119C06" w14:textId="77777777">
      <w:pPr>
        <w:spacing w:after="0" w:line="276" w:lineRule="auto"/>
        <w:jc w:val="both"/>
        <w:rPr>
          <w:rFonts w:ascii="Century Gothic" w:hAnsi="Century Gothic" w:eastAsia="Calibri" w:cs="Arial"/>
          <w:color w:val="000000" w:themeColor="text1"/>
          <w:lang w:val="es-ES"/>
        </w:rPr>
      </w:pPr>
    </w:p>
    <w:p w:rsidRPr="00D61C11" w:rsidR="00A56864" w:rsidP="00A56864" w:rsidRDefault="00A56864" w14:paraId="259B5E89" w14:textId="798B3350">
      <w:pPr>
        <w:spacing w:after="120" w:line="276" w:lineRule="auto"/>
        <w:jc w:val="both"/>
        <w:rPr>
          <w:rFonts w:ascii="Century Gothic" w:hAnsi="Century Gothic" w:cs="Arial"/>
          <w:bCs/>
        </w:rPr>
      </w:pPr>
      <w:r w:rsidRPr="00D61C11">
        <w:rPr>
          <w:rFonts w:ascii="Century Gothic" w:hAnsi="Century Gothic" w:cs="Arial"/>
          <w:bCs/>
        </w:rPr>
        <w:t>En ejercicio de las competencias establecidas en los artículos 3</w:t>
      </w:r>
      <w:r w:rsidR="008E7161">
        <w:rPr>
          <w:rFonts w:ascii="Century Gothic" w:hAnsi="Century Gothic" w:cs="Arial"/>
          <w:bCs/>
        </w:rPr>
        <w:t xml:space="preserve">, numeral </w:t>
      </w:r>
      <w:r w:rsidRPr="00D61C11">
        <w:rPr>
          <w:rFonts w:ascii="Century Gothic" w:hAnsi="Century Gothic" w:cs="Arial"/>
          <w:bCs/>
        </w:rPr>
        <w:t>5 y 11</w:t>
      </w:r>
      <w:r w:rsidR="008E7161">
        <w:rPr>
          <w:rFonts w:ascii="Century Gothic" w:hAnsi="Century Gothic" w:cs="Arial"/>
          <w:bCs/>
        </w:rPr>
        <w:t xml:space="preserve">, numeral </w:t>
      </w:r>
      <w:r w:rsidRPr="00D61C11">
        <w:rPr>
          <w:rFonts w:ascii="Century Gothic" w:hAnsi="Century Gothic" w:cs="Arial"/>
          <w:bCs/>
        </w:rPr>
        <w:t>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name="_Hlk61701014" w:id="7"/>
      <w:bookmarkStart w:name="_Hlk62136649" w:id="8"/>
      <w:r w:rsidRPr="00D61C11">
        <w:rPr>
          <w:rFonts w:ascii="Century Gothic" w:hAnsi="Century Gothic" w:cs="Arial"/>
          <w:bCs/>
        </w:rPr>
        <w:t xml:space="preserve"> </w:t>
      </w:r>
      <w:r w:rsidRPr="00D61C11">
        <w:rPr>
          <w:rFonts w:ascii="Century Gothic" w:hAnsi="Century Gothic" w:cs="Arial"/>
          <w:lang w:val="es-ES"/>
        </w:rPr>
        <w:t xml:space="preserve">Es necesario tener en cuenta que </w:t>
      </w:r>
      <w:bookmarkStart w:name="_Hlk61026958" w:id="9"/>
      <w:r w:rsidRPr="00D61C11">
        <w:rPr>
          <w:rFonts w:ascii="Century Gothic" w:hAnsi="Century Gothic" w:cs="Arial"/>
          <w:lang w:val="es-ES"/>
        </w:rPr>
        <w:t xml:space="preserve">esta entidad solo tiene competencia para responder solicitudes sobre la aplicación de normas de carácter general en materia de compras y contratación pública. En ese sentido, resolver casos particulares desborda las atribuciones asignadas por el </w:t>
      </w:r>
      <w:r w:rsidRPr="00D61C11">
        <w:rPr>
          <w:rFonts w:ascii="Century Gothic" w:hAnsi="Century Gothic" w:cs="Arial"/>
          <w:lang w:val="es-ES"/>
        </w:rPr>
        <w:t>legislador extraordinario, que no concibió a Colombia Compra Eficiente como una autoridad para solucionar problemas jurídicos particulares</w:t>
      </w:r>
      <w:r w:rsidRPr="00D61C11">
        <w:rPr>
          <w:rFonts w:ascii="Century Gothic" w:hAnsi="Century Gothic" w:cs="Arial"/>
          <w:bCs/>
        </w:rPr>
        <w:t xml:space="preserve"> de todos los partícipes de la contratación estatal.</w:t>
      </w:r>
    </w:p>
    <w:p w:rsidRPr="00D61C11" w:rsidR="00A56864" w:rsidP="00A56864" w:rsidRDefault="00A56864" w14:paraId="548664C4" w14:textId="77777777">
      <w:pPr>
        <w:spacing w:after="120" w:line="276" w:lineRule="auto"/>
        <w:ind w:firstLine="708"/>
        <w:jc w:val="both"/>
        <w:rPr>
          <w:rFonts w:ascii="Century Gothic" w:hAnsi="Century Gothic" w:cs="Arial"/>
          <w:lang w:val="es-ES"/>
        </w:rPr>
      </w:pPr>
      <w:r w:rsidRPr="00D61C11">
        <w:rPr>
          <w:rFonts w:ascii="Century Gothic"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D61C11">
        <w:rPr>
          <w:rFonts w:ascii="Century Gothic" w:hAnsi="Century Gothic" w:cs="Arial"/>
          <w:vertAlign w:val="superscript"/>
          <w:lang w:val="es-ES"/>
        </w:rPr>
        <w:footnoteReference w:id="2"/>
      </w:r>
      <w:r w:rsidRPr="00D61C11">
        <w:rPr>
          <w:rFonts w:ascii="Century Gothic" w:hAnsi="Century Gothic" w:cs="Arial"/>
          <w:lang w:val="es-ES"/>
        </w:rPr>
        <w:t>. Esta competencia de interpretación de normas generales, por definición, no puede extenderse a la resolución de controversias, ni a brindar asesorías sobre casos puntuales</w:t>
      </w:r>
      <w:bookmarkEnd w:id="9"/>
      <w:r w:rsidRPr="00D61C11">
        <w:rPr>
          <w:rFonts w:ascii="Century Gothic" w:hAnsi="Century Gothic" w:cs="Arial"/>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7"/>
    </w:p>
    <w:bookmarkEnd w:id="8"/>
    <w:p w:rsidR="00A56864" w:rsidP="00A56864" w:rsidRDefault="00A56864" w14:paraId="42D4997B" w14:textId="77777777">
      <w:pPr>
        <w:spacing w:after="120" w:line="276" w:lineRule="auto"/>
        <w:ind w:firstLine="709"/>
        <w:jc w:val="both"/>
        <w:rPr>
          <w:rFonts w:ascii="Century Gothic" w:hAnsi="Century Gothic" w:eastAsia="Calibri" w:cs="Arial"/>
          <w:color w:val="000000" w:themeColor="text1"/>
          <w:lang w:val="es-ES"/>
        </w:rPr>
      </w:pPr>
      <w:r w:rsidRPr="00D61C11">
        <w:rPr>
          <w:rFonts w:ascii="Century Gothic" w:hAnsi="Century Gothic" w:eastAsia="Calibri" w:cs="Arial"/>
          <w:color w:val="000000" w:themeColor="text1"/>
        </w:rPr>
        <w:t xml:space="preserve">De esta manera, </w:t>
      </w:r>
      <w:r w:rsidRPr="00D61C11">
        <w:rPr>
          <w:rFonts w:ascii="Century Gothic" w:hAnsi="Century Gothic" w:eastAsia="Calibri" w:cs="Arial"/>
          <w:color w:val="000000" w:themeColor="text1"/>
          <w:lang w:val="es-ES"/>
        </w:rPr>
        <w:t>la Subdirección</w:t>
      </w:r>
      <w:r>
        <w:rPr>
          <w:rFonts w:ascii="Century Gothic" w:hAnsi="Century Gothic" w:eastAsia="Calibri" w:cs="Arial"/>
          <w:color w:val="000000" w:themeColor="text1"/>
          <w:lang w:val="es-ES"/>
        </w:rPr>
        <w:t xml:space="preserve"> –dentro de los límites de su competencia, es decir, haciendo abstracción de las circunstancias particulares planteadas en la solicitud–</w:t>
      </w:r>
      <w:r w:rsidRPr="00D61C11">
        <w:rPr>
          <w:rFonts w:ascii="Century Gothic" w:hAnsi="Century Gothic" w:eastAsia="Calibri" w:cs="Arial"/>
          <w:color w:val="000000" w:themeColor="text1"/>
          <w:lang w:val="es-ES"/>
        </w:rPr>
        <w:t xml:space="preserve"> resolverá la consulta conforme a las normas generales en materia de contratación estatal. </w:t>
      </w:r>
      <w:r w:rsidRPr="00D61C11">
        <w:rPr>
          <w:rFonts w:ascii="Century Gothic" w:hAnsi="Century Gothic" w:cs="Arial"/>
        </w:rPr>
        <w:t>Con este objetivo</w:t>
      </w:r>
      <w:r>
        <w:rPr>
          <w:rFonts w:ascii="Century Gothic" w:hAnsi="Century Gothic" w:cs="Arial"/>
        </w:rPr>
        <w:t xml:space="preserve">, teniendo en cuenta que la peticionaria se refiere al numeral 10.1.1 del pliego de condiciones de los “Documentos Tipo – Versión 2” </w:t>
      </w:r>
      <w:r w:rsidRPr="00472E2C">
        <w:rPr>
          <w:rFonts w:ascii="Century Gothic" w:hAnsi="Century Gothic" w:cs="Arial"/>
        </w:rPr>
        <w:t>de concurso de méritos para contratar la interventoría de obras públicas de infraestructura de transporte</w:t>
      </w:r>
      <w:r>
        <w:rPr>
          <w:rFonts w:ascii="Century Gothic" w:hAnsi="Century Gothic" w:cs="Arial"/>
        </w:rPr>
        <w:t>,</w:t>
      </w:r>
      <w:r w:rsidRPr="00D61C11">
        <w:rPr>
          <w:rFonts w:ascii="Century Gothic" w:hAnsi="Century Gothic" w:eastAsia="Calibri" w:cs="Arial"/>
          <w:color w:val="000000" w:themeColor="text1"/>
          <w:lang w:val="es-ES"/>
        </w:rPr>
        <w:t xml:space="preserve"> se analizará</w:t>
      </w:r>
      <w:r>
        <w:rPr>
          <w:rFonts w:ascii="Century Gothic" w:hAnsi="Century Gothic" w:eastAsia="Calibri" w:cs="Arial"/>
          <w:color w:val="000000" w:themeColor="text1"/>
          <w:lang w:val="es-ES"/>
        </w:rPr>
        <w:t xml:space="preserve"> los siguientes temas: i) fundamento normativo de los documentos tipo adoptados por la Agencia, </w:t>
      </w:r>
      <w:proofErr w:type="spellStart"/>
      <w:r>
        <w:rPr>
          <w:rFonts w:ascii="Century Gothic" w:hAnsi="Century Gothic" w:eastAsia="Calibri" w:cs="Arial"/>
          <w:color w:val="000000" w:themeColor="text1"/>
          <w:lang w:val="es-ES"/>
        </w:rPr>
        <w:t>ii</w:t>
      </w:r>
      <w:proofErr w:type="spellEnd"/>
      <w:r>
        <w:rPr>
          <w:rFonts w:ascii="Century Gothic" w:hAnsi="Century Gothic" w:eastAsia="Calibri" w:cs="Arial"/>
          <w:color w:val="000000" w:themeColor="text1"/>
          <w:lang w:val="es-ES"/>
        </w:rPr>
        <w:t xml:space="preserve">) experiencia en los documentos tipo de interventoría y </w:t>
      </w:r>
      <w:proofErr w:type="spellStart"/>
      <w:r>
        <w:rPr>
          <w:rFonts w:ascii="Century Gothic" w:hAnsi="Century Gothic" w:eastAsia="Calibri" w:cs="Arial"/>
          <w:color w:val="000000" w:themeColor="text1"/>
          <w:lang w:val="es-ES"/>
        </w:rPr>
        <w:t>iii</w:t>
      </w:r>
      <w:proofErr w:type="spellEnd"/>
      <w:r>
        <w:rPr>
          <w:rFonts w:ascii="Century Gothic" w:hAnsi="Century Gothic" w:eastAsia="Calibri" w:cs="Arial"/>
          <w:color w:val="000000" w:themeColor="text1"/>
          <w:lang w:val="es-ES"/>
        </w:rPr>
        <w:t>) a</w:t>
      </w:r>
      <w:r w:rsidRPr="00472E2C">
        <w:rPr>
          <w:rFonts w:ascii="Century Gothic" w:hAnsi="Century Gothic" w:eastAsia="Calibri" w:cs="Arial"/>
          <w:color w:val="000000" w:themeColor="text1"/>
          <w:lang w:val="es-ES"/>
        </w:rPr>
        <w:t>creditación de experiencia mediante contratos con pluralidad de actividades</w:t>
      </w:r>
      <w:r>
        <w:rPr>
          <w:rFonts w:ascii="Century Gothic" w:hAnsi="Century Gothic" w:eastAsia="Calibri" w:cs="Arial"/>
          <w:color w:val="000000" w:themeColor="text1"/>
          <w:lang w:val="es-ES"/>
        </w:rPr>
        <w:t>.</w:t>
      </w:r>
      <w:r w:rsidRPr="00472E2C">
        <w:rPr>
          <w:rFonts w:ascii="Century Gothic" w:hAnsi="Century Gothic" w:eastAsia="Calibri" w:cs="Arial"/>
          <w:color w:val="000000" w:themeColor="text1"/>
          <w:lang w:val="es-ES"/>
        </w:rPr>
        <w:t xml:space="preserve"> </w:t>
      </w:r>
      <w:r>
        <w:rPr>
          <w:rFonts w:ascii="Century Gothic" w:hAnsi="Century Gothic" w:eastAsia="Calibri" w:cs="Arial"/>
          <w:color w:val="000000" w:themeColor="text1"/>
          <w:lang w:val="es-ES"/>
        </w:rPr>
        <w:t xml:space="preserve"> </w:t>
      </w:r>
    </w:p>
    <w:p w:rsidRPr="00C96FA1" w:rsidR="00A56864" w:rsidP="00A56864" w:rsidRDefault="00A56864" w14:paraId="7110DB32" w14:textId="77777777">
      <w:pPr>
        <w:spacing w:after="0" w:line="276" w:lineRule="auto"/>
        <w:ind w:firstLine="709"/>
        <w:jc w:val="both"/>
        <w:rPr>
          <w:rFonts w:ascii="Century Gothic" w:hAnsi="Century Gothic" w:eastAsia="Calibri" w:cs="Arial"/>
          <w:lang w:val="es-ES_tradnl"/>
        </w:rPr>
      </w:pPr>
      <w:r w:rsidRPr="00C96FA1">
        <w:rPr>
          <w:rFonts w:ascii="Century Gothic" w:hAnsi="Century Gothic" w:eastAsia="Calibri" w:cs="Arial"/>
          <w:lang w:val="es-ES_tradnl"/>
        </w:rPr>
        <w:t xml:space="preserve">Colombia Compra Eficiente se pronunció, en términos generales, sobre </w:t>
      </w:r>
      <w:r>
        <w:rPr>
          <w:rFonts w:ascii="Century Gothic" w:hAnsi="Century Gothic" w:eastAsia="Calibri" w:cs="Arial"/>
          <w:lang w:val="es-ES_tradnl"/>
        </w:rPr>
        <w:t>este último punto</w:t>
      </w:r>
      <w:r w:rsidRPr="00C96FA1">
        <w:rPr>
          <w:rFonts w:ascii="Century Gothic" w:hAnsi="Century Gothic" w:eastAsia="Calibri" w:cs="Arial"/>
          <w:lang w:val="es-ES_tradnl"/>
        </w:rPr>
        <w:t xml:space="preserve"> en los </w:t>
      </w:r>
      <w:r>
        <w:rPr>
          <w:rFonts w:ascii="Century Gothic" w:hAnsi="Century Gothic" w:eastAsia="Calibri" w:cs="Arial"/>
          <w:lang w:val="es-ES_tradnl"/>
        </w:rPr>
        <w:t>C</w:t>
      </w:r>
      <w:r w:rsidRPr="00C96FA1">
        <w:rPr>
          <w:rFonts w:ascii="Century Gothic" w:hAnsi="Century Gothic" w:eastAsia="Calibri" w:cs="Arial"/>
          <w:lang w:val="es-ES_tradnl"/>
        </w:rPr>
        <w:t>onceptos</w:t>
      </w:r>
      <w:r>
        <w:rPr>
          <w:rFonts w:ascii="Century Gothic" w:hAnsi="Century Gothic" w:eastAsia="Calibri" w:cs="Arial"/>
          <w:lang w:val="es-ES_tradnl"/>
        </w:rPr>
        <w:t xml:space="preserve"> </w:t>
      </w:r>
      <w:r w:rsidRPr="006F567D">
        <w:rPr>
          <w:rFonts w:ascii="Century Gothic" w:hAnsi="Century Gothic" w:eastAsia="Calibri" w:cs="Arial"/>
          <w:lang w:val="es-ES_tradnl"/>
        </w:rPr>
        <w:t>2201913000007824 del 21 de octubre de 2019</w:t>
      </w:r>
      <w:r>
        <w:rPr>
          <w:rFonts w:ascii="Century Gothic" w:hAnsi="Century Gothic" w:eastAsia="Calibri" w:cs="Arial"/>
          <w:lang w:val="es-ES_tradnl"/>
        </w:rPr>
        <w:t xml:space="preserve">, C-531 del 21 de agosto de 2020, C-020 del 25 de febrero de 2021, C-082 del 18 de marzo de 2021, C-283 del 15 de junio de 2021, C-301 del 16 de junio de 2021, C-212 del 12 de julio de 2021, </w:t>
      </w:r>
      <w:r w:rsidRPr="005C69B5">
        <w:rPr>
          <w:rFonts w:ascii="Century Gothic" w:hAnsi="Century Gothic" w:eastAsia="Calibri" w:cs="Arial"/>
          <w:lang w:val="es-ES_tradnl"/>
        </w:rPr>
        <w:t>C-454 del 31 de agosto de 2021</w:t>
      </w:r>
      <w:r>
        <w:rPr>
          <w:rFonts w:ascii="Century Gothic" w:hAnsi="Century Gothic" w:eastAsia="Calibri" w:cs="Arial"/>
          <w:lang w:val="es-ES_tradnl"/>
        </w:rPr>
        <w:t xml:space="preserve">, C-507 del 19 de septiembre de 2021, C-058 del 8 de marzo de 2022, C-192 del 12 de abril de 2022, C-848 del 9 de </w:t>
      </w:r>
      <w:r>
        <w:rPr>
          <w:rFonts w:ascii="Century Gothic" w:hAnsi="Century Gothic" w:eastAsia="Calibri" w:cs="Arial"/>
          <w:lang w:val="es-ES_tradnl"/>
        </w:rPr>
        <w:t>diciembre de 2022, C-085 del 10 de abril de 2023 y C-186 del 21 de junio de 2023</w:t>
      </w:r>
      <w:r w:rsidRPr="00C96FA1">
        <w:rPr>
          <w:rStyle w:val="Refdenotaalpie"/>
          <w:rFonts w:ascii="Century Gothic" w:hAnsi="Century Gothic" w:eastAsia="Calibri" w:cs="Arial"/>
        </w:rPr>
        <w:footnoteReference w:id="3"/>
      </w:r>
      <w:r>
        <w:rPr>
          <w:rFonts w:ascii="Century Gothic" w:hAnsi="Century Gothic" w:cs="Arial"/>
          <w:color w:val="000000" w:themeColor="text1"/>
          <w:lang w:val="es-ES_tradnl"/>
        </w:rPr>
        <w:t>.</w:t>
      </w:r>
      <w:r>
        <w:rPr>
          <w:rFonts w:ascii="Century Gothic" w:hAnsi="Century Gothic" w:eastAsia="Calibri" w:cs="Arial"/>
          <w:lang w:val="es-ES_tradnl"/>
        </w:rPr>
        <w:t xml:space="preserve"> Dichas consideraciones</w:t>
      </w:r>
      <w:r w:rsidRPr="00C96FA1">
        <w:rPr>
          <w:rFonts w:ascii="Century Gothic" w:hAnsi="Century Gothic" w:eastAsia="Calibri" w:cs="Arial"/>
          <w:lang w:val="es-ES_tradnl"/>
        </w:rPr>
        <w:t xml:space="preserve"> se reiteran a continuación y se complementan en lo pertinente.</w:t>
      </w:r>
    </w:p>
    <w:p w:rsidRPr="00C96FA1" w:rsidR="00A56864" w:rsidP="00A56864" w:rsidRDefault="00A56864" w14:paraId="2EB6135D" w14:textId="77777777">
      <w:pPr>
        <w:spacing w:after="0" w:line="276" w:lineRule="auto"/>
        <w:jc w:val="both"/>
        <w:rPr>
          <w:rFonts w:ascii="Century Gothic" w:hAnsi="Century Gothic" w:eastAsia="Calibri" w:cs="Arial"/>
          <w:lang w:val="es-ES_tradnl"/>
        </w:rPr>
      </w:pPr>
    </w:p>
    <w:p w:rsidRPr="00C96FA1" w:rsidR="00A56864" w:rsidP="00A56864" w:rsidRDefault="00A56864" w14:paraId="1A11968D" w14:textId="77777777">
      <w:pPr>
        <w:spacing w:after="0" w:line="276" w:lineRule="auto"/>
        <w:jc w:val="both"/>
        <w:rPr>
          <w:rFonts w:ascii="Century Gothic" w:hAnsi="Century Gothic" w:eastAsia="Calibri" w:cs="Arial"/>
          <w:b/>
          <w:bCs/>
          <w:lang w:val="es-ES_tradnl"/>
        </w:rPr>
      </w:pPr>
      <w:r w:rsidRPr="00C96FA1">
        <w:rPr>
          <w:rFonts w:ascii="Century Gothic" w:hAnsi="Century Gothic" w:eastAsia="Calibri" w:cs="Arial"/>
          <w:b/>
          <w:bCs/>
          <w:lang w:val="es-ES_tradnl"/>
        </w:rPr>
        <w:t xml:space="preserve">2.1. </w:t>
      </w:r>
      <w:r w:rsidRPr="006F567D">
        <w:rPr>
          <w:rFonts w:ascii="Century Gothic" w:hAnsi="Century Gothic" w:eastAsia="Calibri" w:cs="Arial"/>
          <w:b/>
          <w:bCs/>
          <w:lang w:val="es-ES_tradnl"/>
        </w:rPr>
        <w:t>Fundamento normativo de los documentos tipo adoptados</w:t>
      </w:r>
      <w:r>
        <w:rPr>
          <w:rFonts w:ascii="Century Gothic" w:hAnsi="Century Gothic" w:eastAsia="Calibri" w:cs="Arial"/>
          <w:b/>
          <w:bCs/>
          <w:lang w:val="es-ES_tradnl"/>
        </w:rPr>
        <w:t xml:space="preserve"> por Colombia Compra Eficiente</w:t>
      </w:r>
    </w:p>
    <w:p w:rsidRPr="006F567D" w:rsidR="00A56864" w:rsidP="00A56864" w:rsidRDefault="00A56864" w14:paraId="2FC968CE" w14:textId="77777777">
      <w:pPr>
        <w:spacing w:after="0" w:line="276" w:lineRule="auto"/>
        <w:jc w:val="both"/>
        <w:rPr>
          <w:rFonts w:ascii="Century Gothic" w:hAnsi="Century Gothic" w:eastAsia="Calibri" w:cs="Arial"/>
          <w:lang w:val="es-ES_tradnl"/>
        </w:rPr>
      </w:pPr>
    </w:p>
    <w:p w:rsidRPr="006F567D" w:rsidR="00A56864" w:rsidP="00A56864" w:rsidRDefault="00A56864" w14:paraId="5CC6688C" w14:textId="77777777">
      <w:pPr>
        <w:spacing w:after="120" w:line="276" w:lineRule="auto"/>
        <w:jc w:val="both"/>
        <w:rPr>
          <w:rFonts w:ascii="Century Gothic" w:hAnsi="Century Gothic" w:eastAsia="Calibri" w:cs="Arial"/>
          <w:color w:val="000000"/>
          <w:szCs w:val="24"/>
          <w:lang w:val="es-ES" w:eastAsia="es-ES_tradnl"/>
        </w:rPr>
      </w:pPr>
      <w:r w:rsidRPr="006F567D">
        <w:rPr>
          <w:rFonts w:ascii="Century Gothic" w:hAnsi="Century Gothic" w:eastAsia="Calibri" w:cs="Arial"/>
          <w:color w:val="000000"/>
          <w:szCs w:val="24"/>
          <w:lang w:val="es-ES" w:eastAsia="es-ES_tradnl"/>
        </w:rPr>
        <w:t>La adopción de los documentos tipo obligatorios en el ordenamiento jurídico colombiano se incluyó por primera vez en el parágrafo 3 del artículo 2 de la Ley 1150 de 2007</w:t>
      </w:r>
      <w:r w:rsidRPr="006F567D">
        <w:rPr>
          <w:rFonts w:ascii="Century Gothic" w:hAnsi="Century Gothic" w:eastAsia="Calibri" w:cs="Arial"/>
          <w:color w:val="000000"/>
          <w:szCs w:val="24"/>
          <w:vertAlign w:val="superscript"/>
          <w:lang w:val="es-ES" w:eastAsia="es-ES_tradnl"/>
        </w:rPr>
        <w:footnoteReference w:id="4"/>
      </w:r>
      <w:r w:rsidRPr="006F567D">
        <w:rPr>
          <w:rFonts w:ascii="Century Gothic" w:hAnsi="Century Gothic" w:eastAsia="Calibri" w:cs="Arial"/>
          <w:color w:val="000000"/>
          <w:szCs w:val="24"/>
          <w:lang w:val="es-ES" w:eastAsia="es-ES_tradnl"/>
        </w:rPr>
        <w:t xml:space="preserve">, que facultó al gobierno nacional para expedirlos, pero solo cuando se tratara de la adquisición o suministro de bienes y servicios de características técnicas uniformes y de común utilización; facultad que no ha sido ejercida hasta la actualidad. </w:t>
      </w:r>
    </w:p>
    <w:p w:rsidRPr="006F567D" w:rsidR="00A56864" w:rsidP="00A56864" w:rsidRDefault="00A56864" w14:paraId="42A5A82A" w14:textId="77777777">
      <w:pPr>
        <w:spacing w:after="120" w:line="276" w:lineRule="auto"/>
        <w:ind w:firstLine="708"/>
        <w:jc w:val="both"/>
        <w:rPr>
          <w:rFonts w:ascii="Century Gothic" w:hAnsi="Century Gothic" w:eastAsia="Calibri" w:cs="Arial"/>
          <w:color w:val="000000"/>
          <w:szCs w:val="24"/>
          <w:lang w:val="es-ES" w:eastAsia="es-ES_tradnl"/>
        </w:rPr>
      </w:pPr>
      <w:r w:rsidRPr="006F567D">
        <w:rPr>
          <w:rFonts w:ascii="Century Gothic" w:hAnsi="Century Gothic" w:eastAsia="Calibri" w:cs="Arial"/>
          <w:color w:val="000000"/>
          <w:szCs w:val="24"/>
          <w:lang w:val="es-ES" w:eastAsia="es-ES_tradnl"/>
        </w:rPr>
        <w:t>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w:t>
      </w:r>
    </w:p>
    <w:p w:rsidRPr="006F567D" w:rsidR="00A56864" w:rsidP="00A56864" w:rsidRDefault="00A56864" w14:paraId="68311CE9" w14:textId="77777777">
      <w:pPr>
        <w:spacing w:before="120" w:after="120" w:line="276" w:lineRule="auto"/>
        <w:ind w:firstLine="708"/>
        <w:jc w:val="both"/>
        <w:rPr>
          <w:rFonts w:ascii="Century Gothic" w:hAnsi="Century Gothic" w:eastAsia="Calibri" w:cs="Arial"/>
          <w:color w:val="000000"/>
          <w:szCs w:val="24"/>
          <w:lang w:val="es-ES" w:eastAsia="es-ES_tradnl"/>
        </w:rPr>
      </w:pPr>
      <w:r w:rsidRPr="006F567D">
        <w:rPr>
          <w:rFonts w:ascii="Century Gothic" w:hAnsi="Century Gothic" w:eastAsia="Calibri" w:cs="Arial"/>
          <w:color w:val="000000"/>
          <w:szCs w:val="24"/>
          <w:lang w:val="es-ES" w:eastAsia="es-ES_tradnl"/>
        </w:rPr>
        <w:t>El artículo 4 de la Ley 1882 de 2018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6F567D">
        <w:rPr>
          <w:rFonts w:ascii="Century Gothic" w:hAnsi="Century Gothic" w:eastAsia="Calibri" w:cs="Arial"/>
          <w:color w:val="000000"/>
          <w:szCs w:val="24"/>
          <w:vertAlign w:val="superscript"/>
          <w:lang w:val="es-ES" w:eastAsia="es-ES_tradnl"/>
        </w:rPr>
        <w:footnoteReference w:id="5"/>
      </w:r>
      <w:r w:rsidRPr="006F567D">
        <w:rPr>
          <w:rFonts w:ascii="Century Gothic" w:hAnsi="Century Gothic" w:eastAsia="Calibri" w:cs="Arial"/>
          <w:color w:val="000000"/>
          <w:szCs w:val="24"/>
          <w:lang w:val="es-ES" w:eastAsia="es-ES_tradnl"/>
        </w:rPr>
        <w:t>.</w:t>
      </w:r>
    </w:p>
    <w:p w:rsidRPr="006F567D" w:rsidR="00A56864" w:rsidP="00A56864" w:rsidRDefault="00A56864" w14:paraId="3F2F05B0" w14:textId="77777777">
      <w:pPr>
        <w:spacing w:before="120" w:after="120" w:line="276" w:lineRule="auto"/>
        <w:jc w:val="both"/>
        <w:rPr>
          <w:rFonts w:ascii="Century Gothic" w:hAnsi="Century Gothic" w:eastAsia="Calibri" w:cs="Arial"/>
          <w:color w:val="000000"/>
          <w:szCs w:val="24"/>
          <w:lang w:val="es-ES" w:eastAsia="es-ES_tradnl"/>
        </w:rPr>
      </w:pPr>
      <w:r w:rsidRPr="006F567D">
        <w:rPr>
          <w:rFonts w:ascii="Century Gothic" w:hAnsi="Century Gothic" w:eastAsia="Calibri" w:cs="Arial"/>
          <w:color w:val="000000"/>
          <w:szCs w:val="24"/>
          <w:lang w:val="es-ES" w:eastAsia="es-ES_tradnl"/>
        </w:rPr>
        <w:tab/>
      </w:r>
      <w:r w:rsidRPr="006F567D">
        <w:rPr>
          <w:rFonts w:ascii="Century Gothic" w:hAnsi="Century Gothic" w:eastAsia="Calibri" w:cs="Arial"/>
          <w:color w:val="000000"/>
          <w:szCs w:val="24"/>
          <w:lang w:val="es-ES" w:eastAsia="es-ES_tradnl"/>
        </w:rPr>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rsidRPr="006F567D" w:rsidR="00A56864" w:rsidP="00A56864" w:rsidRDefault="00A56864" w14:paraId="09FA1220" w14:textId="77777777">
      <w:pPr>
        <w:spacing w:before="120" w:after="120" w:line="276" w:lineRule="auto"/>
        <w:jc w:val="both"/>
        <w:rPr>
          <w:rFonts w:ascii="Century Gothic" w:hAnsi="Century Gothic" w:eastAsia="Calibri" w:cs="Arial"/>
          <w:color w:val="000000"/>
          <w:szCs w:val="24"/>
          <w:lang w:val="es-ES" w:eastAsia="es-ES_tradnl"/>
        </w:rPr>
      </w:pPr>
      <w:r w:rsidRPr="006F567D">
        <w:rPr>
          <w:rFonts w:ascii="Century Gothic" w:hAnsi="Century Gothic" w:eastAsia="Calibri" w:cs="Arial"/>
          <w:color w:val="000000"/>
          <w:szCs w:val="24"/>
          <w:lang w:val="es-ES" w:eastAsia="es-ES_tradnl"/>
        </w:rPr>
        <w:tab/>
      </w:r>
      <w:r w:rsidRPr="006F567D">
        <w:rPr>
          <w:rFonts w:ascii="Century Gothic" w:hAnsi="Century Gothic" w:eastAsia="Calibri" w:cs="Arial"/>
          <w:color w:val="000000"/>
          <w:szCs w:val="24"/>
          <w:lang w:val="es-ES" w:eastAsia="es-ES_tradnl"/>
        </w:rPr>
        <w:t xml:space="preserve">De la norma descrita se concluía lo siguiente: i) la adopción de los documentos tipo estaba en cabeza del gobierno nacional; </w:t>
      </w:r>
      <w:proofErr w:type="spellStart"/>
      <w:r w:rsidRPr="006F567D">
        <w:rPr>
          <w:rFonts w:ascii="Century Gothic" w:hAnsi="Century Gothic" w:eastAsia="Calibri" w:cs="Arial"/>
          <w:color w:val="000000"/>
          <w:szCs w:val="24"/>
          <w:lang w:val="es-ES" w:eastAsia="es-ES_tradnl"/>
        </w:rPr>
        <w:t>ii</w:t>
      </w:r>
      <w:proofErr w:type="spellEnd"/>
      <w:r w:rsidRPr="006F567D">
        <w:rPr>
          <w:rFonts w:ascii="Century Gothic" w:hAnsi="Century Gothic" w:eastAsia="Calibri" w:cs="Arial"/>
          <w:color w:val="000000"/>
          <w:szCs w:val="24"/>
          <w:lang w:val="es-ES" w:eastAsia="es-ES_tradnl"/>
        </w:rPr>
        <w:t xml:space="preserve">) estos debían relacionarse con procesos de obra públicas, interventoría para las obras públicas, interventoría para consultoría de estudios y diseños y, finalmente, consultoría en ingeniería para obras; </w:t>
      </w:r>
      <w:proofErr w:type="spellStart"/>
      <w:r w:rsidRPr="006F567D">
        <w:rPr>
          <w:rFonts w:ascii="Century Gothic" w:hAnsi="Century Gothic" w:eastAsia="Calibri" w:cs="Arial"/>
          <w:color w:val="000000"/>
          <w:szCs w:val="24"/>
          <w:lang w:val="es-ES" w:eastAsia="es-ES_tradnl"/>
        </w:rPr>
        <w:t>iii</w:t>
      </w:r>
      <w:proofErr w:type="spellEnd"/>
      <w:r w:rsidRPr="006F567D">
        <w:rPr>
          <w:rFonts w:ascii="Century Gothic" w:hAnsi="Century Gothic" w:eastAsia="Calibri" w:cs="Arial"/>
          <w:color w:val="000000"/>
          <w:szCs w:val="24"/>
          <w:lang w:val="es-ES" w:eastAsia="es-ES_tradnl"/>
        </w:rPr>
        <w:t xml:space="preserve">) eran de obligatorio cumplimiento por parte de todas las entidades sometidas al Estatuto General de Contratación de la Administración Pública; </w:t>
      </w:r>
      <w:proofErr w:type="spellStart"/>
      <w:r w:rsidRPr="006F567D">
        <w:rPr>
          <w:rFonts w:ascii="Century Gothic" w:hAnsi="Century Gothic" w:eastAsia="Calibri" w:cs="Arial"/>
          <w:color w:val="000000"/>
          <w:szCs w:val="24"/>
          <w:lang w:val="es-ES" w:eastAsia="es-ES_tradnl"/>
        </w:rPr>
        <w:t>iv</w:t>
      </w:r>
      <w:proofErr w:type="spellEnd"/>
      <w:r w:rsidRPr="006F567D">
        <w:rPr>
          <w:rFonts w:ascii="Century Gothic" w:hAnsi="Century Gothic" w:eastAsia="Calibri" w:cs="Arial"/>
          <w:color w:val="000000"/>
          <w:szCs w:val="24"/>
          <w:lang w:val="es-ES" w:eastAsia="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rsidRPr="006F567D" w:rsidR="00A56864" w:rsidP="00A56864" w:rsidRDefault="00A56864" w14:paraId="5995F94A" w14:textId="77777777">
      <w:pPr>
        <w:spacing w:before="120" w:after="120" w:line="276" w:lineRule="auto"/>
        <w:jc w:val="both"/>
        <w:rPr>
          <w:rFonts w:ascii="Century Gothic" w:hAnsi="Century Gothic" w:eastAsia="Calibri" w:cs="Arial"/>
          <w:color w:val="000000"/>
          <w:szCs w:val="24"/>
          <w:lang w:val="es-ES" w:eastAsia="es-ES_tradnl"/>
        </w:rPr>
      </w:pPr>
      <w:r w:rsidRPr="006F567D">
        <w:rPr>
          <w:rFonts w:ascii="Century Gothic" w:hAnsi="Century Gothic" w:eastAsia="Calibri" w:cs="Arial"/>
          <w:color w:val="000000"/>
          <w:szCs w:val="24"/>
          <w:lang w:val="es-ES" w:eastAsia="es-ES_tradnl"/>
        </w:rPr>
        <w:tab/>
      </w:r>
      <w:r w:rsidRPr="006F567D">
        <w:rPr>
          <w:rFonts w:ascii="Century Gothic" w:hAnsi="Century Gothic" w:eastAsia="Calibri" w:cs="Arial"/>
          <w:color w:val="000000"/>
          <w:szCs w:val="24"/>
          <w:lang w:val="es-ES" w:eastAsia="es-ES_tradnl"/>
        </w:rPr>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w:t>
      </w:r>
      <w:r w:rsidRPr="006F567D">
        <w:rPr>
          <w:rFonts w:ascii="Century Gothic" w:hAnsi="Century Gothic" w:eastAsia="Calibri" w:cs="Arial"/>
          <w:color w:val="000000"/>
          <w:szCs w:val="24"/>
          <w:lang w:val="es-ES" w:eastAsia="es-ES_tradnl"/>
        </w:rPr>
        <w:t>garantiza con la identificación autónoma de sus necesidades y la configuración de los elementos del contrato</w:t>
      </w:r>
      <w:r w:rsidRPr="006F567D">
        <w:rPr>
          <w:rFonts w:ascii="Century Gothic" w:hAnsi="Century Gothic" w:eastAsia="Calibri" w:cs="Arial"/>
          <w:color w:val="000000"/>
          <w:szCs w:val="24"/>
          <w:vertAlign w:val="superscript"/>
          <w:lang w:val="es-ES" w:eastAsia="es-ES_tradnl"/>
        </w:rPr>
        <w:footnoteReference w:id="6"/>
      </w:r>
      <w:r w:rsidRPr="006F567D">
        <w:rPr>
          <w:rFonts w:ascii="Century Gothic" w:hAnsi="Century Gothic" w:eastAsia="Calibri" w:cs="Arial"/>
          <w:color w:val="000000"/>
          <w:szCs w:val="24"/>
          <w:lang w:val="es-ES" w:eastAsia="es-ES_tradnl"/>
        </w:rPr>
        <w:t>.</w:t>
      </w:r>
    </w:p>
    <w:p w:rsidRPr="006F567D" w:rsidR="00A56864" w:rsidP="00A56864" w:rsidRDefault="00A56864" w14:paraId="69897767" w14:textId="77777777">
      <w:pPr>
        <w:spacing w:before="120" w:after="120" w:line="276" w:lineRule="auto"/>
        <w:jc w:val="both"/>
        <w:rPr>
          <w:rFonts w:ascii="Century Gothic" w:hAnsi="Century Gothic" w:eastAsia="Calibri" w:cs="Arial"/>
          <w:color w:val="000000"/>
          <w:szCs w:val="24"/>
          <w:lang w:val="es-ES" w:eastAsia="es-ES_tradnl"/>
        </w:rPr>
      </w:pPr>
      <w:r w:rsidRPr="006F567D">
        <w:rPr>
          <w:rFonts w:ascii="Century Gothic" w:hAnsi="Century Gothic" w:eastAsia="Calibri" w:cs="Arial"/>
          <w:color w:val="000000"/>
          <w:szCs w:val="24"/>
          <w:lang w:val="es-ES" w:eastAsia="es-ES_tradnl"/>
        </w:rPr>
        <w:tab/>
      </w:r>
      <w:r w:rsidRPr="006F567D">
        <w:rPr>
          <w:rFonts w:ascii="Century Gothic" w:hAnsi="Century Gothic" w:eastAsia="Calibri" w:cs="Arial"/>
          <w:color w:val="000000"/>
          <w:szCs w:val="24"/>
          <w:lang w:val="es-ES" w:eastAsia="es-ES_tradnl"/>
        </w:rPr>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rsidRPr="006F567D" w:rsidR="00A56864" w:rsidP="00A56864" w:rsidRDefault="00A56864" w14:paraId="59B69D5B" w14:textId="77777777">
      <w:pPr>
        <w:spacing w:before="120" w:after="120" w:line="276" w:lineRule="auto"/>
        <w:jc w:val="both"/>
        <w:rPr>
          <w:rFonts w:ascii="Century Gothic" w:hAnsi="Century Gothic" w:eastAsia="Calibri" w:cs="Arial"/>
          <w:lang w:val="es-ES"/>
        </w:rPr>
      </w:pPr>
      <w:r w:rsidRPr="006F567D">
        <w:rPr>
          <w:rFonts w:ascii="Century Gothic" w:hAnsi="Century Gothic" w:eastAsia="Calibri" w:cs="Arial"/>
          <w:color w:val="000000"/>
          <w:lang w:val="es-ES" w:eastAsia="es-ES_tradnl"/>
        </w:rPr>
        <w:tab/>
      </w:r>
      <w:r w:rsidRPr="006F567D">
        <w:rPr>
          <w:rFonts w:ascii="Century Gothic" w:hAnsi="Century Gothic" w:eastAsia="Calibri" w:cs="Arial"/>
          <w:color w:val="000000"/>
          <w:lang w:val="es-ES" w:eastAsia="es-ES_tradnl"/>
        </w:rPr>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6F567D">
        <w:rPr>
          <w:rFonts w:ascii="Century Gothic" w:hAnsi="Century Gothic" w:eastAsia="Calibri" w:cs="Arial"/>
          <w:lang w:val="es-E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rsidRPr="006F567D" w:rsidR="00A56864" w:rsidP="00A56864" w:rsidRDefault="00A56864" w14:paraId="4DBF9E53" w14:textId="77777777">
      <w:pPr>
        <w:spacing w:before="120" w:after="120" w:line="276" w:lineRule="auto"/>
        <w:jc w:val="both"/>
        <w:rPr>
          <w:rFonts w:ascii="Century Gothic" w:hAnsi="Century Gothic" w:eastAsia="Calibri" w:cs="Arial"/>
          <w:color w:val="000000"/>
          <w:lang w:val="es-ES" w:eastAsia="es-ES_tradnl"/>
        </w:rPr>
      </w:pPr>
      <w:r w:rsidRPr="006F567D">
        <w:rPr>
          <w:rFonts w:ascii="Century Gothic" w:hAnsi="Century Gothic" w:eastAsia="Calibri" w:cs="Arial"/>
          <w:lang w:val="es-ES"/>
        </w:rPr>
        <w:tab/>
      </w:r>
      <w:r w:rsidRPr="006F567D">
        <w:rPr>
          <w:rFonts w:ascii="Century Gothic" w:hAnsi="Century Gothic" w:eastAsia="Calibri" w:cs="Arial"/>
          <w:lang w:val="es-ES"/>
        </w:rPr>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6F567D" w:rsidDel="00A434AB">
        <w:rPr>
          <w:rFonts w:ascii="Century Gothic" w:hAnsi="Century Gothic" w:eastAsia="Calibri" w:cs="Arial"/>
          <w:lang w:val="es-ES"/>
        </w:rPr>
        <w:t xml:space="preserve"> </w:t>
      </w:r>
      <w:r w:rsidRPr="006F567D">
        <w:rPr>
          <w:rFonts w:ascii="Century Gothic" w:hAnsi="Century Gothic" w:eastAsia="Calibri" w:cs="Arial"/>
          <w:lang w:val="es-ES"/>
        </w:rPr>
        <w:t xml:space="preserve">de infraestructura de transporte que se surtieran por la modalidad de mínima cuantía. Estos documentos fueron implementados y desarrollados por la Agencia Nacional de Contratación Pública – Colombia </w:t>
      </w:r>
      <w:r w:rsidRPr="006F567D">
        <w:rPr>
          <w:rFonts w:ascii="Century Gothic" w:hAnsi="Century Gothic" w:eastAsia="Calibri" w:cs="Arial"/>
          <w:lang w:val="es-ES"/>
        </w:rPr>
        <w:t>Compra Eficiente, por medio de la Resolución 1798 de 1 de abril de 2019 –derogada por la Resolución 045 del 14 de febrero de 2020–, la Resolución 044 del 14 de febrero de 2020 y la Resolución 094 del 21 de mayo de 2020.</w:t>
      </w:r>
    </w:p>
    <w:p w:rsidRPr="006F567D" w:rsidR="00A56864" w:rsidP="00A56864" w:rsidRDefault="00A56864" w14:paraId="4B29B011" w14:textId="77777777">
      <w:pPr>
        <w:spacing w:before="120" w:after="120" w:line="276" w:lineRule="auto"/>
        <w:ind w:firstLine="709"/>
        <w:jc w:val="both"/>
        <w:rPr>
          <w:rFonts w:ascii="Century Gothic" w:hAnsi="Century Gothic" w:eastAsia="Calibri" w:cs="Arial"/>
          <w:bdr w:val="none" w:color="auto" w:sz="0" w:space="0" w:frame="1"/>
        </w:rPr>
      </w:pPr>
      <w:bookmarkStart w:name="_Hlk169534409" w:id="10"/>
      <w:r w:rsidRPr="006F567D">
        <w:rPr>
          <w:rFonts w:ascii="Century Gothic" w:hAnsi="Century Gothic" w:eastAsia="Calibri" w:cs="Arial"/>
          <w:color w:val="000000"/>
          <w:lang w:val="es-ES" w:eastAsia="es-ES"/>
        </w:rPr>
        <w:t>Por otra parte</w:t>
      </w:r>
      <w:r w:rsidRPr="006F567D">
        <w:rPr>
          <w:rFonts w:ascii="Century Gothic" w:hAnsi="Century Gothic" w:eastAsia="Calibri" w:cs="Arial"/>
          <w:i/>
          <w:iCs/>
          <w:color w:val="000000"/>
          <w:lang w:val="es-ES" w:eastAsia="es-ES"/>
        </w:rPr>
        <w:t>,</w:t>
      </w:r>
      <w:r w:rsidRPr="006F567D">
        <w:rPr>
          <w:rFonts w:ascii="Century Gothic" w:hAnsi="Century Gothic" w:eastAsia="Calibri" w:cs="Arial"/>
          <w:color w:val="000000"/>
          <w:lang w:val="es-ES" w:eastAsia="es-ES"/>
        </w:rPr>
        <w:t xml:space="preserve"> debe tenerse en cuenta que la Ley 2022 de 2020 fue sancionada por el </w:t>
      </w:r>
      <w:proofErr w:type="gramStart"/>
      <w:r w:rsidRPr="006F567D">
        <w:rPr>
          <w:rFonts w:ascii="Century Gothic" w:hAnsi="Century Gothic" w:eastAsia="Calibri" w:cs="Arial"/>
          <w:color w:val="000000"/>
          <w:lang w:val="es-ES" w:eastAsia="es-ES"/>
        </w:rPr>
        <w:t>Presidente</w:t>
      </w:r>
      <w:proofErr w:type="gramEnd"/>
      <w:r w:rsidRPr="006F567D">
        <w:rPr>
          <w:rFonts w:ascii="Century Gothic" w:hAnsi="Century Gothic" w:eastAsia="Calibri" w:cs="Arial"/>
          <w:color w:val="000000"/>
          <w:lang w:val="es-ES" w:eastAsia="es-ES"/>
        </w:rPr>
        <w:t xml:space="preserv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6F567D">
        <w:rPr>
          <w:rFonts w:ascii="Century Gothic" w:hAnsi="Century Gothic" w:eastAsia="Calibri" w:cs="Arial"/>
          <w:color w:val="000000"/>
          <w:vertAlign w:val="superscript"/>
          <w:lang w:val="es-ES" w:eastAsia="es-ES"/>
        </w:rPr>
        <w:footnoteReference w:id="7"/>
      </w:r>
      <w:r w:rsidRPr="006F567D">
        <w:rPr>
          <w:rFonts w:ascii="Century Gothic" w:hAnsi="Century Gothic" w:eastAsia="Calibri" w:cs="Arial"/>
          <w:color w:val="000000"/>
          <w:lang w:val="es-ES" w:eastAsia="es-ES"/>
        </w:rPr>
        <w:t>.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w:t>
      </w:r>
      <w:bookmarkEnd w:id="10"/>
      <w:r w:rsidRPr="006F567D">
        <w:rPr>
          <w:rFonts w:ascii="Century Gothic" w:hAnsi="Century Gothic" w:eastAsia="Calibri" w:cs="Arial"/>
          <w:color w:val="000000"/>
          <w:lang w:val="es-ES" w:eastAsia="es-ES"/>
        </w:rPr>
        <w:t xml:space="preserve"> </w:t>
      </w:r>
    </w:p>
    <w:p w:rsidRPr="006F567D" w:rsidR="00A56864" w:rsidP="00A56864" w:rsidRDefault="00A56864" w14:paraId="195454D2" w14:textId="77777777">
      <w:pPr>
        <w:spacing w:before="120" w:after="120" w:line="276" w:lineRule="auto"/>
        <w:ind w:firstLine="709"/>
        <w:jc w:val="both"/>
        <w:rPr>
          <w:rFonts w:ascii="Century Gothic" w:hAnsi="Century Gothic" w:eastAsia="Calibri" w:cs="Arial"/>
          <w:lang w:val="es-ES" w:eastAsia="es-ES"/>
        </w:rPr>
      </w:pPr>
      <w:r w:rsidRPr="006F567D">
        <w:rPr>
          <w:rFonts w:ascii="Century Gothic" w:hAnsi="Century Gothic" w:eastAsia="Calibri" w:cs="Arial"/>
          <w:lang w:val="es-ES"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w:t>
      </w:r>
      <w:r w:rsidRPr="006F567D">
        <w:rPr>
          <w:rFonts w:ascii="Century Gothic" w:hAnsi="Century Gothic" w:eastAsia="Calibri" w:cs="Arial"/>
          <w:lang w:val="es-ES" w:eastAsia="es-ES"/>
        </w:rPr>
        <w:t xml:space="preserve">2020”. Adicionalmente, entró en vigor la Resolución 256 de 2020, “Por la cual se adoptan los documentos tipo para los procesos de selección de concursos de méritos, para contratar la interventoría de obras públicas de infraestructura de transporte”. </w:t>
      </w:r>
    </w:p>
    <w:p w:rsidRPr="006F567D" w:rsidR="00A56864" w:rsidP="00A56864" w:rsidRDefault="00A56864" w14:paraId="5346AB31" w14:textId="77777777">
      <w:pPr>
        <w:spacing w:before="120" w:after="120" w:line="276" w:lineRule="auto"/>
        <w:ind w:firstLine="709"/>
        <w:jc w:val="both"/>
        <w:rPr>
          <w:rFonts w:ascii="Century Gothic" w:hAnsi="Century Gothic" w:eastAsia="Calibri" w:cs="Arial"/>
          <w:lang w:val="es-ES" w:eastAsia="es-ES"/>
        </w:rPr>
      </w:pPr>
      <w:r w:rsidRPr="006F567D">
        <w:rPr>
          <w:rFonts w:ascii="Century Gothic" w:hAnsi="Century Gothic" w:eastAsia="Calibri" w:cs="Arial"/>
          <w:lang w:val="es-ES" w:eastAsia="es-ES"/>
        </w:rPr>
        <w:t xml:space="preserve">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 </w:t>
      </w:r>
    </w:p>
    <w:p w:rsidRPr="006F567D" w:rsidR="00A56864" w:rsidP="00A56864" w:rsidRDefault="00A56864" w14:paraId="59226BC3" w14:textId="77777777">
      <w:pPr>
        <w:spacing w:before="120" w:after="120" w:line="276" w:lineRule="auto"/>
        <w:ind w:firstLine="709"/>
        <w:jc w:val="both"/>
        <w:rPr>
          <w:rFonts w:ascii="Century Gothic" w:hAnsi="Century Gothic" w:cs="Arial"/>
        </w:rPr>
      </w:pPr>
      <w:r w:rsidRPr="006F567D">
        <w:rPr>
          <w:rFonts w:ascii="Century Gothic" w:hAnsi="Century Gothic" w:eastAsia="Calibri" w:cs="Arial"/>
          <w:color w:val="000000"/>
          <w:lang w:val="es-ES" w:eastAsia="es-ES"/>
        </w:rPr>
        <w:t xml:space="preserve">Asimismo, en el transcurso del año 2021, esta Agencia expidió la Resolución 193 del 14 de julio de 2021, “Por la cual se adoptan los documentos tipo para los procesos de </w:t>
      </w:r>
      <w:r w:rsidRPr="006F567D">
        <w:rPr>
          <w:rFonts w:ascii="Century Gothic" w:hAnsi="Century Gothic" w:eastAsia="Calibri" w:cs="Arial"/>
          <w:lang w:val="es-ES" w:eastAsia="es-ES"/>
        </w:rPr>
        <w:t>selección de concurso de méritos, para contratar la consultoría de estudios de ingeniería de infraestructura de transporte”. De igual forma, el 6 de agosto de 2021, se adoptaron las Resoluciones 219 de 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serán utilizados en forma transversal en los sectores de educación, salud y recreación, cultura y deporte. En esta línea, se expidió la Resolución 392 del 18 de noviembre de 2021, “</w:t>
      </w:r>
      <w:r w:rsidRPr="006F567D">
        <w:rPr>
          <w:rFonts w:ascii="Century Gothic" w:hAnsi="Century Gothic" w:cs="Arial"/>
          <w:bCs/>
          <w:iCs/>
          <w:shd w:val="clear" w:color="auto" w:fill="FFFFFF"/>
        </w:rPr>
        <w:t>Por la cual se adoptan los documentos tipo complementarios para los procesos de licitación de obra pública de infraestructura social relacionados con el sector salud</w:t>
      </w:r>
      <w:r w:rsidRPr="006F567D">
        <w:rPr>
          <w:rFonts w:ascii="Century Gothic" w:hAnsi="Century Gothic" w:eastAsia="Calibri" w:cs="Arial"/>
          <w:lang w:val="es-ES" w:eastAsia="es-ES"/>
        </w:rPr>
        <w:t>”. Luego, se expidió la Resolución 454 del 16 de diciembre de 2021, “</w:t>
      </w:r>
      <w:r w:rsidRPr="006F567D">
        <w:rPr>
          <w:rFonts w:ascii="Century Gothic" w:hAnsi="Century Gothic" w:cs="Arial"/>
        </w:rPr>
        <w:t>Por la cual se adoptan los documentos tipo complementarios para los procesos de licitación de obra pública de infraestructura social relacionados con el sector cultura, recreación y deporte</w:t>
      </w:r>
      <w:r w:rsidRPr="006F567D">
        <w:rPr>
          <w:rFonts w:ascii="Century Gothic" w:hAnsi="Century Gothic" w:eastAsia="Calibri" w:cs="Arial"/>
          <w:lang w:val="es-ES" w:eastAsia="es-ES"/>
        </w:rPr>
        <w:t>”</w:t>
      </w:r>
      <w:r w:rsidRPr="006F567D">
        <w:rPr>
          <w:rFonts w:ascii="Century Gothic" w:hAnsi="Century Gothic" w:cs="Arial"/>
        </w:rPr>
        <w:t>.</w:t>
      </w:r>
    </w:p>
    <w:p w:rsidRPr="006F567D" w:rsidR="00A56864" w:rsidP="00A56864" w:rsidRDefault="00A56864" w14:paraId="188D0670" w14:textId="77777777">
      <w:pPr>
        <w:spacing w:before="120" w:after="120" w:line="276" w:lineRule="auto"/>
        <w:ind w:firstLine="709"/>
        <w:jc w:val="both"/>
        <w:rPr>
          <w:rFonts w:ascii="Century Gothic" w:hAnsi="Century Gothic" w:eastAsia="Times New Roman" w:cs="Arial"/>
          <w:bdr w:val="none" w:color="auto" w:sz="0" w:space="0" w:frame="1"/>
          <w:lang w:val="es-ES_tradnl" w:eastAsia="es-CO"/>
        </w:rPr>
      </w:pPr>
      <w:r w:rsidRPr="006F567D">
        <w:rPr>
          <w:rFonts w:ascii="Century Gothic" w:hAnsi="Century Gothic" w:eastAsia="Times New Roman" w:cs="Arial"/>
          <w:bdr w:val="none" w:color="auto" w:sz="0" w:space="0" w:frame="1"/>
          <w:lang w:val="es-ES_tradnl" w:eastAsia="es-CO"/>
        </w:rPr>
        <w:t xml:space="preserve">No obstante, con la expedición de la Ley de Emprendimiento, se modificaron varios documentos tipo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rsidRPr="006F567D" w:rsidR="00A56864" w:rsidP="00A56864" w:rsidRDefault="00A56864" w14:paraId="753CAE0E" w14:textId="77777777">
      <w:pPr>
        <w:spacing w:before="120" w:after="120" w:line="276" w:lineRule="auto"/>
        <w:ind w:firstLine="709"/>
        <w:jc w:val="both"/>
        <w:rPr>
          <w:rFonts w:ascii="Century Gothic" w:hAnsi="Century Gothic" w:eastAsia="Calibri" w:cs="Arial"/>
          <w:lang w:val="es-ES" w:eastAsia="es-ES"/>
        </w:rPr>
      </w:pPr>
      <w:r w:rsidRPr="74ADE260">
        <w:rPr>
          <w:rFonts w:ascii="Century Gothic" w:hAnsi="Century Gothic" w:eastAsia="Calibri" w:cs="Arial"/>
          <w:lang w:val="es-ES" w:eastAsia="es-ES"/>
        </w:rPr>
        <w:t>Es importante resaltar que la Agencia Nacional de Contratación Pública – Colombia Compra Eficiente, el 13 de octubre de 2021, expidió la Resolución 304 mediante la cual se modifican los documentos tipo de licitación de obra pública de infraestructura de transporte, agua potable y saneamiento básico, y los de infraestructura social para adecuarlos al Decreto 680 de 2021. La principal modificación realizada en esta resolución consiste en la modificación al factor de evaluación de apoyo a la industria nacional.</w:t>
      </w:r>
    </w:p>
    <w:p w:rsidRPr="006F567D" w:rsidR="00A56864" w:rsidP="00A56864" w:rsidRDefault="00A56864" w14:paraId="33EE5835" w14:textId="77777777">
      <w:pPr>
        <w:spacing w:after="0" w:line="276" w:lineRule="auto"/>
        <w:ind w:firstLine="709"/>
        <w:jc w:val="both"/>
        <w:rPr>
          <w:rFonts w:ascii="Century Gothic" w:hAnsi="Century Gothic" w:cs="Arial"/>
          <w:spacing w:val="2"/>
          <w:lang w:eastAsia="es-CO"/>
        </w:rPr>
      </w:pPr>
      <w:r w:rsidRPr="006F567D">
        <w:rPr>
          <w:rFonts w:ascii="Century Gothic" w:hAnsi="Century Gothic" w:cs="Arial"/>
          <w:spacing w:val="2"/>
          <w:lang w:eastAsia="es-CO"/>
        </w:rPr>
        <w:t xml:space="preserve">Con posterioridad, el Decreto 1860 de 2021 modificó </w:t>
      </w:r>
      <w:r w:rsidRPr="006F567D">
        <w:rPr>
          <w:rFonts w:ascii="Century Gothic" w:hAnsi="Century Gothic" w:eastAsia="Arial" w:cs="Arial"/>
          <w:szCs w:val="24"/>
          <w:lang w:eastAsia="es-CO"/>
        </w:rPr>
        <w:t xml:space="preserve">el Decreto 1082 de 2015, Único Reglamentario del Sector Administrativo de Planeación Nacional, incorporando una regulación detallada de la Ley 2069 de 2020 para su efectiva implementación en el sistema de compras y contratación pública, </w:t>
      </w:r>
      <w:r w:rsidRPr="006F567D">
        <w:rPr>
          <w:rFonts w:ascii="Century Gothic" w:hAnsi="Century Gothic" w:eastAsia="Times New Roman" w:cs="Arial"/>
          <w:szCs w:val="24"/>
          <w:lang w:eastAsia="es-MX"/>
        </w:rPr>
        <w:t>además de incluir algunas disposiciones adicionales para la reglamentación efectiva de la citada Ley.</w:t>
      </w:r>
      <w:r w:rsidRPr="006F567D">
        <w:rPr>
          <w:rFonts w:ascii="Century Gothic" w:hAnsi="Century Gothic" w:eastAsia="Arial" w:cs="Arial"/>
          <w:szCs w:val="24"/>
          <w:lang w:eastAsia="es-CO"/>
        </w:rPr>
        <w:t xml:space="preserve"> </w:t>
      </w:r>
      <w:r w:rsidRPr="006F567D">
        <w:rPr>
          <w:rFonts w:ascii="Century Gothic" w:hAnsi="Century Gothic" w:eastAsia="Times New Roman" w:cs="Arial"/>
          <w:spacing w:val="2"/>
          <w:lang w:eastAsia="es-CO"/>
        </w:rPr>
        <w:t xml:space="preserve">En este sentido, el parágrafo del artículo 8 del Decreto 1860 de 2021 otorgó un plazo de seis (6) meses contados a partir de su expedición, para que la Agencia Nacional de Contratación Pública – Colombia Compra Eficiente adecuara los Documentos Tipo a las disposiciones previstas en dicho decreto. </w:t>
      </w:r>
      <w:r w:rsidRPr="006F567D">
        <w:rPr>
          <w:rFonts w:ascii="Century Gothic" w:hAnsi="Century Gothic" w:cs="Arial"/>
          <w:spacing w:val="2"/>
          <w:lang w:eastAsia="es-CO"/>
        </w:rPr>
        <w:t>Ante este cambio normativo, se expidió la Resolución No. 275 del 24 de junio de 2022, la cual modificó los documentos tipo, adecuándolos a las nuevas reglas contenidas en el decreto en comento. Sin embargo, dichas modificaciones aplicarán para los procedimientos de selección cuyo aviso de convocatoria se publique a partir del 29 de agosto de 2022, como se establece en el artículo 179 de dicha resolución.</w:t>
      </w:r>
    </w:p>
    <w:p w:rsidR="00A56864" w:rsidP="00A56864" w:rsidRDefault="00A56864" w14:paraId="59BAAC50" w14:textId="77777777">
      <w:pPr>
        <w:spacing w:before="120" w:after="0" w:line="276" w:lineRule="auto"/>
        <w:ind w:firstLine="709"/>
        <w:jc w:val="both"/>
        <w:rPr>
          <w:rFonts w:ascii="Century Gothic" w:hAnsi="Century Gothic" w:cs="Arial"/>
          <w:spacing w:val="2"/>
          <w:lang w:eastAsia="es-CO"/>
        </w:rPr>
      </w:pPr>
      <w:r w:rsidRPr="006F567D">
        <w:rPr>
          <w:rFonts w:ascii="Century Gothic" w:hAnsi="Century Gothic" w:cs="Arial"/>
          <w:spacing w:val="2"/>
          <w:lang w:eastAsia="es-CO"/>
        </w:rPr>
        <w:t xml:space="preserve">Por lo demás, se expidió la Resolución No. 326 del 22 de julio de 2022, “Por la cual se actualizan los documentos tipo para los procesos de contratación de concurso de méritos para contratar la interventoría de obras públicas de infraestructura de transporte y se deroga la Resolución 256 de 2020”. Asimismo, se expidió la Resolución No. 333 del 27 de julio de 2022, “Por la cual se adoptan los documentos tipo para los procesos de selección de concurso de méritos para contratar la interventoría de obras públicas de infraestructura de agua potable y saneamiento básico”, y la Resolución 625 del 16 de diciembre del 2022, "Por la cual se actualizan los documentos tipo para los procesos de obra pública de infraestructura de transporte que se adelanten por la modalidad de mínima cuantía y se deroga la Resolución 094 de 2020". </w:t>
      </w:r>
    </w:p>
    <w:p w:rsidRPr="006F567D" w:rsidR="00A56864" w:rsidP="00A56864" w:rsidRDefault="00A56864" w14:paraId="697168B4" w14:textId="77777777">
      <w:pPr>
        <w:spacing w:before="120" w:after="0" w:line="276" w:lineRule="auto"/>
        <w:ind w:firstLine="709"/>
        <w:jc w:val="both"/>
        <w:rPr>
          <w:rFonts w:ascii="Century Gothic" w:hAnsi="Century Gothic" w:cs="Arial"/>
          <w:spacing w:val="2"/>
          <w:lang w:eastAsia="es-CO"/>
        </w:rPr>
      </w:pPr>
      <w:r>
        <w:rPr>
          <w:rFonts w:ascii="Century Gothic" w:hAnsi="Century Gothic" w:cs="Arial"/>
          <w:spacing w:val="2"/>
          <w:lang w:eastAsia="es-CO"/>
        </w:rPr>
        <w:t xml:space="preserve">Finalmente, se expidió la </w:t>
      </w:r>
      <w:r w:rsidRPr="00D304AD">
        <w:rPr>
          <w:rFonts w:ascii="Century Gothic" w:hAnsi="Century Gothic" w:cs="Arial"/>
          <w:spacing w:val="2"/>
          <w:lang w:eastAsia="es-CO"/>
        </w:rPr>
        <w:t xml:space="preserve">Resolución </w:t>
      </w:r>
      <w:r>
        <w:rPr>
          <w:rFonts w:ascii="Century Gothic" w:hAnsi="Century Gothic" w:cs="Arial"/>
          <w:spacing w:val="2"/>
          <w:lang w:eastAsia="es-CO"/>
        </w:rPr>
        <w:t xml:space="preserve">No. </w:t>
      </w:r>
      <w:r w:rsidRPr="00D304AD">
        <w:rPr>
          <w:rFonts w:ascii="Century Gothic" w:hAnsi="Century Gothic" w:cs="Arial"/>
          <w:spacing w:val="2"/>
          <w:lang w:eastAsia="es-CO"/>
        </w:rPr>
        <w:t>358 del 30 de junio de 2023</w:t>
      </w:r>
      <w:r>
        <w:rPr>
          <w:rFonts w:ascii="Century Gothic" w:hAnsi="Century Gothic" w:cs="Arial"/>
          <w:spacing w:val="2"/>
          <w:lang w:eastAsia="es-CO"/>
        </w:rPr>
        <w:t>,</w:t>
      </w:r>
      <w:r w:rsidRPr="00D304AD">
        <w:rPr>
          <w:rFonts w:ascii="Century Gothic" w:hAnsi="Century Gothic" w:cs="Arial"/>
          <w:spacing w:val="2"/>
          <w:lang w:eastAsia="es-CO"/>
        </w:rPr>
        <w:t xml:space="preserve"> “Por la cual se adopta el documento tipo para la contratación directa de convenios solidarios para la ejecución de obras hasta la menor cuantía con organismos de </w:t>
      </w:r>
      <w:r w:rsidRPr="00D304AD">
        <w:rPr>
          <w:rFonts w:ascii="Century Gothic" w:hAnsi="Century Gothic" w:cs="Arial"/>
          <w:spacing w:val="2"/>
          <w:lang w:eastAsia="es-CO"/>
        </w:rPr>
        <w:t>acción comunal”</w:t>
      </w:r>
      <w:r>
        <w:rPr>
          <w:rFonts w:ascii="Century Gothic" w:hAnsi="Century Gothic" w:cs="Arial"/>
          <w:spacing w:val="2"/>
          <w:lang w:eastAsia="es-CO"/>
        </w:rPr>
        <w:t xml:space="preserve">, así como la </w:t>
      </w:r>
      <w:r w:rsidRPr="00D304AD">
        <w:rPr>
          <w:rFonts w:ascii="Century Gothic" w:hAnsi="Century Gothic" w:cs="Arial"/>
          <w:spacing w:val="2"/>
          <w:lang w:eastAsia="es-CO"/>
        </w:rPr>
        <w:t xml:space="preserve">Resolución </w:t>
      </w:r>
      <w:r>
        <w:rPr>
          <w:rFonts w:ascii="Century Gothic" w:hAnsi="Century Gothic" w:cs="Arial"/>
          <w:spacing w:val="2"/>
          <w:lang w:eastAsia="es-CO"/>
        </w:rPr>
        <w:t xml:space="preserve">No. </w:t>
      </w:r>
      <w:r w:rsidRPr="00D304AD">
        <w:rPr>
          <w:rFonts w:ascii="Century Gothic" w:hAnsi="Century Gothic" w:cs="Arial"/>
          <w:spacing w:val="2"/>
          <w:lang w:eastAsia="es-CO"/>
        </w:rPr>
        <w:t>798 del 29 de diciembre del 2023</w:t>
      </w:r>
      <w:r>
        <w:rPr>
          <w:rFonts w:ascii="Century Gothic" w:hAnsi="Century Gothic" w:cs="Arial"/>
          <w:spacing w:val="2"/>
          <w:lang w:eastAsia="es-CO"/>
        </w:rPr>
        <w:t>,</w:t>
      </w:r>
      <w:r w:rsidRPr="00D304AD">
        <w:rPr>
          <w:rFonts w:ascii="Century Gothic" w:hAnsi="Century Gothic" w:cs="Arial"/>
          <w:spacing w:val="2"/>
          <w:lang w:eastAsia="es-CO"/>
        </w:rPr>
        <w:t xml:space="preserve"> “Por la cual se adoptan los documentos tipo para los procesos de concurso de méritos para contratar la interventoría de obras públicas de infraestructura social; que agrupa los sectores de educación, salud, cultura, recreación y deporte”</w:t>
      </w:r>
      <w:r>
        <w:rPr>
          <w:rFonts w:ascii="Century Gothic" w:hAnsi="Century Gothic" w:cs="Arial"/>
          <w:spacing w:val="2"/>
          <w:lang w:eastAsia="es-CO"/>
        </w:rPr>
        <w:t xml:space="preserve">. </w:t>
      </w:r>
      <w:r w:rsidRPr="006F567D">
        <w:rPr>
          <w:rFonts w:ascii="Century Gothic" w:hAnsi="Century Gothic" w:cs="Arial"/>
          <w:spacing w:val="2"/>
          <w:lang w:eastAsia="es-CO"/>
        </w:rPr>
        <w:t xml:space="preserve">Para </w:t>
      </w:r>
      <w:proofErr w:type="gramStart"/>
      <w:r w:rsidRPr="006F567D">
        <w:rPr>
          <w:rFonts w:ascii="Century Gothic" w:hAnsi="Century Gothic" w:cs="Arial"/>
          <w:spacing w:val="2"/>
          <w:lang w:eastAsia="es-CO"/>
        </w:rPr>
        <w:t>mayor información</w:t>
      </w:r>
      <w:proofErr w:type="gramEnd"/>
      <w:r w:rsidRPr="006F567D">
        <w:rPr>
          <w:rFonts w:ascii="Century Gothic" w:hAnsi="Century Gothic" w:cs="Arial"/>
          <w:spacing w:val="2"/>
          <w:lang w:eastAsia="es-CO"/>
        </w:rPr>
        <w:t xml:space="preserve"> sobre los actos administrativos que han implementado documentos tipo en el ordenamiento jurídico puede consultar el siguiente enlace: </w:t>
      </w:r>
      <w:hyperlink w:history="1" r:id="rId11">
        <w:r w:rsidRPr="006F567D">
          <w:rPr>
            <w:rStyle w:val="Hipervnculo"/>
            <w:rFonts w:ascii="Century Gothic" w:hAnsi="Century Gothic" w:cs="Arial"/>
            <w:spacing w:val="2"/>
            <w:lang w:eastAsia="es-CO"/>
          </w:rPr>
          <w:t>https://www.colombiacompra.gov.co/documentos-tipo/documentos-tipo</w:t>
        </w:r>
      </w:hyperlink>
      <w:r w:rsidRPr="006F567D">
        <w:rPr>
          <w:rFonts w:ascii="Century Gothic" w:hAnsi="Century Gothic" w:cs="Arial"/>
          <w:spacing w:val="2"/>
          <w:lang w:eastAsia="es-CO"/>
        </w:rPr>
        <w:t xml:space="preserve">. </w:t>
      </w:r>
    </w:p>
    <w:p w:rsidRPr="00C96FA1" w:rsidR="00A56864" w:rsidP="00A56864" w:rsidRDefault="00A56864" w14:paraId="3ECAB3F5" w14:textId="77777777">
      <w:pPr>
        <w:spacing w:after="0" w:line="276" w:lineRule="auto"/>
        <w:jc w:val="both"/>
        <w:rPr>
          <w:rFonts w:ascii="Century Gothic" w:hAnsi="Century Gothic" w:eastAsia="Calibri" w:cs="Arial"/>
          <w:lang w:val="es-ES_tradnl"/>
        </w:rPr>
      </w:pPr>
    </w:p>
    <w:p w:rsidRPr="00C96FA1" w:rsidR="00A56864" w:rsidP="00A56864" w:rsidRDefault="00A56864" w14:paraId="01668D6F" w14:textId="77777777">
      <w:pPr>
        <w:spacing w:after="0" w:line="276" w:lineRule="auto"/>
        <w:jc w:val="both"/>
        <w:rPr>
          <w:rFonts w:ascii="Century Gothic" w:hAnsi="Century Gothic" w:eastAsia="Calibri" w:cs="Arial"/>
          <w:b/>
          <w:bCs/>
          <w:lang w:val="es-ES_tradnl"/>
        </w:rPr>
      </w:pPr>
      <w:r w:rsidRPr="00C96FA1">
        <w:rPr>
          <w:rFonts w:ascii="Century Gothic" w:hAnsi="Century Gothic" w:eastAsia="Calibri" w:cs="Arial"/>
          <w:b/>
          <w:bCs/>
          <w:lang w:val="es-ES_tradnl"/>
        </w:rPr>
        <w:t xml:space="preserve">2.2. </w:t>
      </w:r>
      <w:r>
        <w:rPr>
          <w:rFonts w:ascii="Century Gothic" w:hAnsi="Century Gothic" w:eastAsia="Calibri" w:cs="Arial"/>
          <w:b/>
          <w:bCs/>
          <w:lang w:val="es-ES_tradnl"/>
        </w:rPr>
        <w:t xml:space="preserve">Experiencia en </w:t>
      </w:r>
      <w:r w:rsidRPr="00CF4E0E">
        <w:rPr>
          <w:rFonts w:ascii="Century Gothic" w:hAnsi="Century Gothic" w:eastAsia="Calibri" w:cs="Arial"/>
          <w:b/>
          <w:bCs/>
          <w:lang w:val="es-ES_tradnl"/>
        </w:rPr>
        <w:t>los “Documentos Tipo – Versión 2” de concurso de méritos para contratar la interventoría de obras públicas de infraestructura de transporte</w:t>
      </w:r>
      <w:r w:rsidRPr="00C96FA1">
        <w:rPr>
          <w:rFonts w:ascii="Century Gothic" w:hAnsi="Century Gothic" w:eastAsia="Calibri" w:cs="Arial"/>
          <w:b/>
          <w:bCs/>
          <w:lang w:val="es-ES_tradnl"/>
        </w:rPr>
        <w:t xml:space="preserve"> </w:t>
      </w:r>
    </w:p>
    <w:p w:rsidRPr="00C96FA1" w:rsidR="00A56864" w:rsidP="00A56864" w:rsidRDefault="00A56864" w14:paraId="564C7D1E" w14:textId="77777777">
      <w:pPr>
        <w:spacing w:after="0" w:line="276" w:lineRule="auto"/>
        <w:jc w:val="both"/>
        <w:rPr>
          <w:rFonts w:ascii="Century Gothic" w:hAnsi="Century Gothic" w:eastAsia="Calibri" w:cs="Arial"/>
          <w:lang w:val="es-ES_tradnl"/>
        </w:rPr>
      </w:pPr>
    </w:p>
    <w:p w:rsidRPr="009D6045" w:rsidR="00A56864" w:rsidP="00A56864" w:rsidRDefault="00A56864" w14:paraId="4F68BEAA" w14:textId="77777777">
      <w:pPr>
        <w:spacing w:after="120" w:line="276" w:lineRule="auto"/>
        <w:ind w:right="51"/>
        <w:jc w:val="both"/>
        <w:rPr>
          <w:rFonts w:ascii="Century Gothic" w:hAnsi="Century Gothic" w:cs="Arial"/>
        </w:rPr>
      </w:pPr>
      <w:r w:rsidRPr="009D6045">
        <w:rPr>
          <w:rFonts w:ascii="Century Gothic" w:hAnsi="Century Gothic" w:cs="Arial"/>
        </w:rPr>
        <w:t xml:space="preserve">La Agencia Nacional de Contratación Pública – Colombia Compra Eficiente expidió la Resolución No. 326 del 22 de julio de 2022, “Por la cual se actualizan los documentos tipo para los procesos de contratación de concurso de méritos para contratar la interventoría de obras públicas de infraestructura de transporte y se deroga la Resolución 256 de 2020”. El documento base adoptado por dicho acto administrativo creó el numeral “10.1 Acreditación de la experiencia del proponente”, en el cual la entidad debe justificar, expresa y suficientemente la complejidad del proyecto, determinando si es de baja, media o alta complejidad, y en función de ello implementar alguna de las variantes de la “Matriz 1 – Experiencia”, ya sea la de proyectos de baja–media, o la elaborada para proyectos de alta complejidad técnica. En otras palabras, el pliego de condiciones se refiere a dos (2) matrices de experiencia: i) una para proyectos de baja o mediana complejidad técnica y </w:t>
      </w:r>
      <w:proofErr w:type="spellStart"/>
      <w:r w:rsidRPr="009D6045">
        <w:rPr>
          <w:rFonts w:ascii="Century Gothic" w:hAnsi="Century Gothic" w:cs="Arial"/>
        </w:rPr>
        <w:t>ii</w:t>
      </w:r>
      <w:proofErr w:type="spellEnd"/>
      <w:r w:rsidRPr="009D6045">
        <w:rPr>
          <w:rFonts w:ascii="Century Gothic" w:hAnsi="Century Gothic" w:cs="Arial"/>
        </w:rPr>
        <w:t>) otra para proyectos de alta complejidad técnica.</w:t>
      </w:r>
    </w:p>
    <w:p w:rsidRPr="009D6045" w:rsidR="00A56864" w:rsidP="00A56864" w:rsidRDefault="00A56864" w14:paraId="0067721A" w14:textId="77777777">
      <w:pPr>
        <w:spacing w:after="120" w:line="276" w:lineRule="auto"/>
        <w:ind w:right="51"/>
        <w:jc w:val="both"/>
        <w:rPr>
          <w:rFonts w:ascii="Century Gothic" w:hAnsi="Century Gothic" w:cs="Arial"/>
        </w:rPr>
      </w:pPr>
      <w:r w:rsidRPr="009D6045">
        <w:rPr>
          <w:rFonts w:ascii="Century Gothic" w:hAnsi="Century Gothic" w:cs="Arial"/>
        </w:rPr>
        <w:tab/>
      </w:r>
      <w:r w:rsidRPr="009D6045">
        <w:rPr>
          <w:rFonts w:ascii="Century Gothic" w:hAnsi="Century Gothic" w:cs="Arial"/>
        </w:rPr>
        <w:t xml:space="preserve">Desde esta perspectiva, el método para determinar los requisitos de experiencia estandarizados a partir de la matriz 1 sigue siendo el mismo, con la salvedad de que ahora, antes de proceder a acotar el requisito a exigirse, la entidad debe determinar y justificar si el proyecto es de baja, media o alta complejidad técnica y, en función de ello, aplicar alguna de las matrices 1. En ese orden, la entidad deberá establecer si aplica la matriz 1 de proyectos de complejidad media-baja o la de proyectos de complejidad alta, para luego subsumir el objeto contractual en alguno de los tipos de obra y actividades incluidos en la matriz, estableciendo los requisitos de experiencia exigibles según la cantidad de SMMLV del presupuesto oficial del respectivo proceso de contratación. </w:t>
      </w:r>
    </w:p>
    <w:p w:rsidRPr="009D6045" w:rsidR="00A56864" w:rsidP="00A56864" w:rsidRDefault="00A56864" w14:paraId="1B9109F8" w14:textId="77777777">
      <w:pPr>
        <w:spacing w:before="120" w:line="276" w:lineRule="auto"/>
        <w:ind w:firstLine="709"/>
        <w:jc w:val="both"/>
        <w:rPr>
          <w:rFonts w:ascii="Century Gothic" w:hAnsi="Century Gothic" w:cs="Arial"/>
        </w:rPr>
      </w:pPr>
      <w:r w:rsidRPr="009D6045">
        <w:rPr>
          <w:rFonts w:ascii="Century Gothic" w:hAnsi="Century Gothic" w:cs="Arial"/>
        </w:rPr>
        <w:t>De esta manera, la entidad estatal que adelanta un concurso de méritos para contratar la interventoría de obras públicas de infraestructura de transporte debe definir la experiencia exigible teniendo en cuenta las condiciones fijadas en la matriz de experiencia, de acuerdo con los siguientes pasos:</w:t>
      </w:r>
    </w:p>
    <w:p w:rsidRPr="009D6045" w:rsidR="00A56864" w:rsidP="00A56864" w:rsidRDefault="00A56864" w14:paraId="26381D41" w14:textId="77777777">
      <w:pPr>
        <w:spacing w:before="120" w:line="276" w:lineRule="auto"/>
        <w:ind w:firstLine="708"/>
        <w:jc w:val="both"/>
        <w:rPr>
          <w:rFonts w:ascii="Century Gothic" w:hAnsi="Century Gothic" w:cs="Arial"/>
        </w:rPr>
      </w:pPr>
      <w:r w:rsidRPr="009D6045">
        <w:rPr>
          <w:rFonts w:ascii="Century Gothic" w:hAnsi="Century Gothic" w:cs="Arial"/>
        </w:rPr>
        <w:t>a) Establecer si se trata de un proyecto de complejidad baja-media o alta, y en función de ello establecer la matriz de experiencia aplicable.</w:t>
      </w:r>
    </w:p>
    <w:p w:rsidRPr="009D6045" w:rsidR="00A56864" w:rsidP="00A56864" w:rsidRDefault="00A56864" w14:paraId="51C70447" w14:textId="77777777">
      <w:pPr>
        <w:spacing w:before="120" w:line="276" w:lineRule="auto"/>
        <w:ind w:firstLine="708"/>
        <w:jc w:val="both"/>
        <w:rPr>
          <w:rFonts w:ascii="Century Gothic" w:hAnsi="Century Gothic" w:cs="Arial"/>
        </w:rPr>
      </w:pPr>
      <w:r w:rsidRPr="009D6045">
        <w:rPr>
          <w:rFonts w:ascii="Century Gothic" w:hAnsi="Century Gothic" w:cs="Arial"/>
        </w:rPr>
        <w:t xml:space="preserve"> b) Identificada la respectiva matriz 1, la entidad deberá determinar el tipo de infraestructura sobre el cual recae la interventoría a ejecutar. Al respecto esta matriz contiene ocho (8) secciones que corresponden a los tipos de infraestructura estandarizados.</w:t>
      </w:r>
    </w:p>
    <w:p w:rsidRPr="009D6045" w:rsidR="00A56864" w:rsidP="00A56864" w:rsidRDefault="00A56864" w14:paraId="5AFC0470" w14:textId="77777777">
      <w:pPr>
        <w:spacing w:before="120" w:line="276" w:lineRule="auto"/>
        <w:ind w:firstLine="708"/>
        <w:jc w:val="both"/>
        <w:rPr>
          <w:rFonts w:ascii="Century Gothic" w:hAnsi="Century Gothic" w:cs="Arial"/>
        </w:rPr>
      </w:pPr>
      <w:r w:rsidRPr="009D6045">
        <w:rPr>
          <w:rFonts w:ascii="Century Gothic" w:hAnsi="Century Gothic" w:cs="Arial"/>
        </w:rPr>
        <w:t xml:space="preserve">c) Definido el tipo de infraestructura, identificar la </w:t>
      </w:r>
      <w:r>
        <w:rPr>
          <w:rFonts w:ascii="Century Gothic" w:hAnsi="Century Gothic" w:eastAsia="Calibri" w:cs="Arial"/>
        </w:rPr>
        <w:t>“</w:t>
      </w:r>
      <w:r w:rsidRPr="009D6045">
        <w:rPr>
          <w:rFonts w:ascii="Century Gothic" w:hAnsi="Century Gothic" w:cs="Arial"/>
        </w:rPr>
        <w:t>ACTIVIDAD A CONTRATAR</w:t>
      </w:r>
      <w:r>
        <w:rPr>
          <w:rFonts w:ascii="Century Gothic" w:hAnsi="Century Gothic" w:eastAsia="Calibri" w:cs="Arial"/>
        </w:rPr>
        <w:t>”</w:t>
      </w:r>
      <w:r w:rsidRPr="009D6045">
        <w:rPr>
          <w:rFonts w:ascii="Century Gothic" w:hAnsi="Century Gothic" w:cs="Arial"/>
        </w:rPr>
        <w:t xml:space="preserve"> acorde con la matriz 1. </w:t>
      </w:r>
    </w:p>
    <w:p w:rsidRPr="009D6045" w:rsidR="00A56864" w:rsidP="00A56864" w:rsidRDefault="00A56864" w14:paraId="11432511" w14:textId="77777777">
      <w:pPr>
        <w:spacing w:before="120" w:line="276" w:lineRule="auto"/>
        <w:ind w:firstLine="708"/>
        <w:jc w:val="both"/>
        <w:rPr>
          <w:rFonts w:ascii="Century Gothic" w:hAnsi="Century Gothic" w:cs="Arial"/>
        </w:rPr>
      </w:pPr>
      <w:r w:rsidRPr="009D6045">
        <w:rPr>
          <w:rFonts w:ascii="Century Gothic" w:hAnsi="Century Gothic" w:cs="Arial"/>
        </w:rPr>
        <w:t xml:space="preserve">c) Identificar el rango en el cual se encuentra el proceso de contratación de acuerdo con el presupuesto oficial. </w:t>
      </w:r>
    </w:p>
    <w:p w:rsidRPr="009D6045" w:rsidR="00A56864" w:rsidP="00A56864" w:rsidRDefault="00A56864" w14:paraId="57F1B1A0" w14:textId="77777777">
      <w:pPr>
        <w:spacing w:before="120" w:after="120" w:line="276" w:lineRule="auto"/>
        <w:ind w:firstLine="709"/>
        <w:jc w:val="both"/>
        <w:rPr>
          <w:rFonts w:ascii="Century Gothic" w:hAnsi="Century Gothic" w:cs="Arial"/>
        </w:rPr>
      </w:pPr>
      <w:r w:rsidRPr="009D6045">
        <w:rPr>
          <w:rFonts w:ascii="Century Gothic" w:hAnsi="Century Gothic" w:cs="Arial"/>
        </w:rPr>
        <w:t xml:space="preserve">d) Identificar la </w:t>
      </w:r>
      <w:r w:rsidRPr="009D6045">
        <w:rPr>
          <w:rFonts w:ascii="Century Gothic" w:hAnsi="Century Gothic" w:eastAsia="Calibri" w:cs="Arial"/>
        </w:rPr>
        <w:t>“</w:t>
      </w:r>
      <w:r w:rsidRPr="009D6045">
        <w:rPr>
          <w:rFonts w:ascii="Century Gothic" w:hAnsi="Century Gothic" w:cs="Arial"/>
        </w:rPr>
        <w:t>experiencia general</w:t>
      </w:r>
      <w:r w:rsidRPr="009D6045">
        <w:rPr>
          <w:rFonts w:ascii="Century Gothic" w:hAnsi="Century Gothic" w:eastAsia="Calibri" w:cs="Arial"/>
        </w:rPr>
        <w:t>”</w:t>
      </w:r>
      <w:r w:rsidRPr="009D6045">
        <w:rPr>
          <w:rFonts w:ascii="Century Gothic" w:hAnsi="Century Gothic" w:cs="Arial"/>
        </w:rPr>
        <w:t xml:space="preserve"> exigible acorde con la matriz 1 teniendo en cuenta la actividad a contratar y el rango de la cuantía del proceso de contratación. </w:t>
      </w:r>
    </w:p>
    <w:p w:rsidRPr="009D6045" w:rsidR="00A56864" w:rsidP="00A56864" w:rsidRDefault="00A56864" w14:paraId="6E3826A8" w14:textId="77777777">
      <w:pPr>
        <w:spacing w:after="120" w:line="276" w:lineRule="auto"/>
        <w:ind w:firstLine="709"/>
        <w:jc w:val="both"/>
        <w:rPr>
          <w:rFonts w:ascii="Century Gothic" w:hAnsi="Century Gothic" w:cs="Arial"/>
        </w:rPr>
      </w:pPr>
      <w:r w:rsidRPr="009D6045">
        <w:rPr>
          <w:rFonts w:ascii="Century Gothic" w:hAnsi="Century Gothic" w:cs="Arial"/>
        </w:rPr>
        <w:t xml:space="preserve">e) Identificar la </w:t>
      </w:r>
      <w:r w:rsidRPr="009D6045">
        <w:rPr>
          <w:rFonts w:ascii="Century Gothic" w:hAnsi="Century Gothic" w:eastAsia="Calibri" w:cs="Arial"/>
        </w:rPr>
        <w:t>“</w:t>
      </w:r>
      <w:r w:rsidRPr="009D6045">
        <w:rPr>
          <w:rFonts w:ascii="Century Gothic" w:hAnsi="Century Gothic" w:cs="Arial"/>
        </w:rPr>
        <w:t>experiencia específica</w:t>
      </w:r>
      <w:r w:rsidRPr="009D6045">
        <w:rPr>
          <w:rFonts w:ascii="Century Gothic" w:hAnsi="Century Gothic" w:eastAsia="Calibri" w:cs="Arial"/>
        </w:rPr>
        <w:t>”</w:t>
      </w:r>
      <w:r w:rsidRPr="009D6045">
        <w:rPr>
          <w:rFonts w:ascii="Century Gothic" w:hAnsi="Century Gothic" w:cs="Arial"/>
        </w:rPr>
        <w:t xml:space="preserve"> exigible y el porcentaje de dimensionamiento que se puede solicitar acorde con la longitud a ejecutar, de acuerdo con la cuantía del proceso de contratación. Cuando en la </w:t>
      </w:r>
      <w:r w:rsidRPr="009D6045">
        <w:rPr>
          <w:rFonts w:ascii="Century Gothic" w:hAnsi="Century Gothic" w:eastAsia="Calibri" w:cs="Arial"/>
        </w:rPr>
        <w:t>“</w:t>
      </w:r>
      <w:r w:rsidRPr="009D6045">
        <w:rPr>
          <w:rFonts w:ascii="Century Gothic" w:hAnsi="Century Gothic" w:cs="Arial"/>
        </w:rPr>
        <w:t>experiencia específica</w:t>
      </w:r>
      <w:r w:rsidRPr="009D6045">
        <w:rPr>
          <w:rFonts w:ascii="Century Gothic" w:hAnsi="Century Gothic" w:eastAsia="Calibri" w:cs="Arial"/>
        </w:rPr>
        <w:t>”</w:t>
      </w:r>
      <w:r w:rsidRPr="009D6045">
        <w:rPr>
          <w:rFonts w:ascii="Century Gothic" w:hAnsi="Century Gothic" w:cs="Arial"/>
        </w:rPr>
        <w:t xml:space="preserve"> se indiquen las siglas </w:t>
      </w:r>
      <w:r w:rsidRPr="009D6045">
        <w:rPr>
          <w:rFonts w:ascii="Century Gothic" w:hAnsi="Century Gothic" w:cs="Arial"/>
          <w:i/>
          <w:iCs/>
        </w:rPr>
        <w:t>N.A</w:t>
      </w:r>
      <w:r w:rsidRPr="009D6045">
        <w:rPr>
          <w:rFonts w:ascii="Century Gothic" w:hAnsi="Century Gothic" w:cs="Arial"/>
        </w:rPr>
        <w:t xml:space="preserve"> significa que la entidad estatal no puede exigir a los proponentes experiencia específica en los procesos de contratación. </w:t>
      </w:r>
    </w:p>
    <w:p w:rsidRPr="009D6045" w:rsidR="00A56864" w:rsidP="00A56864" w:rsidRDefault="00A56864" w14:paraId="7B2FEB92" w14:textId="77777777">
      <w:pPr>
        <w:spacing w:after="120" w:line="276" w:lineRule="auto"/>
        <w:ind w:firstLine="709"/>
        <w:jc w:val="both"/>
        <w:rPr>
          <w:rFonts w:ascii="Century Gothic" w:hAnsi="Century Gothic" w:cs="Arial"/>
        </w:rPr>
      </w:pPr>
      <w:r w:rsidRPr="009D6045">
        <w:rPr>
          <w:rFonts w:ascii="Century Gothic" w:hAnsi="Century Gothic" w:cs="Arial"/>
        </w:rPr>
        <w:t>f) Establecidos los requisitos de experiencia exigibles, la entidad deberá consignarlos en los apartados grises entre corchetes del literal A del numeral 10.1.1 del pliego de condiciones, para que los oferentes puedan conocer los requisitos de experiencia general y especifica exigidos por la entidad.</w:t>
      </w:r>
    </w:p>
    <w:p w:rsidRPr="009D6045" w:rsidR="00A56864" w:rsidP="00A56864" w:rsidRDefault="00A56864" w14:paraId="786D39A5" w14:textId="77777777">
      <w:pPr>
        <w:spacing w:before="120" w:after="120" w:line="276" w:lineRule="auto"/>
        <w:ind w:firstLine="709"/>
        <w:jc w:val="both"/>
        <w:rPr>
          <w:rFonts w:ascii="Century Gothic" w:hAnsi="Century Gothic" w:cs="Arial"/>
        </w:rPr>
      </w:pPr>
      <w:r w:rsidRPr="009D6045">
        <w:rPr>
          <w:rFonts w:ascii="Century Gothic" w:hAnsi="Century Gothic" w:cs="Arial"/>
        </w:rPr>
        <w:t xml:space="preserve">Varios de los requisitos de experiencia general y específica contemplados en la matriz 1 exigen que los contratos que se aporten para acreditarlos den cuenta de la ejecución de cierto porcentaje de dimensionamiento respecto del proyecto ofertado, o un porcentaje del presupuesto oficial del mismo. </w:t>
      </w:r>
    </w:p>
    <w:p w:rsidRPr="009D6045" w:rsidR="00A56864" w:rsidP="00A56864" w:rsidRDefault="00A56864" w14:paraId="114967A7" w14:textId="77777777">
      <w:pPr>
        <w:spacing w:before="120" w:after="120" w:line="276" w:lineRule="auto"/>
        <w:ind w:firstLine="709"/>
        <w:jc w:val="both"/>
        <w:rPr>
          <w:rFonts w:ascii="Century Gothic" w:hAnsi="Century Gothic" w:cs="Arial"/>
        </w:rPr>
      </w:pPr>
      <w:r w:rsidRPr="009D6045">
        <w:rPr>
          <w:rFonts w:ascii="Century Gothic" w:hAnsi="Century Gothic" w:cs="Arial"/>
        </w:rPr>
        <w:t xml:space="preserve">El dimensionamiento supone que la experiencia a exigirse estará determinada por la longitud –u otra magnitud– que se pretende intervenir, de tal manera que a quienes estén interesados en participar se le exigirá, por ejemplo, </w:t>
      </w:r>
      <w:r w:rsidRPr="009D6045">
        <w:rPr>
          <w:rFonts w:ascii="Century Gothic" w:hAnsi="Century Gothic" w:cs="Arial"/>
        </w:rPr>
        <w:t>acreditar experiencia específica en proyectos en donde hayan intervenido un porcentaje de dicha longitud establecida en kilómetros (km) en la Matriz 1. De igual forma, cuando se exijan requisitos en función del porcentaje del presupuesto oficial, el valor del o los contratos que se aporten deberán igualar o superar la equivalencia del porcentaje exigible expresado en SMMLV.</w:t>
      </w:r>
    </w:p>
    <w:p w:rsidRPr="009D6045" w:rsidR="00A56864" w:rsidP="00A56864" w:rsidRDefault="00A56864" w14:paraId="481A3D1F" w14:textId="77777777">
      <w:pPr>
        <w:spacing w:after="120" w:line="276" w:lineRule="auto"/>
        <w:ind w:right="51" w:firstLine="709"/>
        <w:jc w:val="both"/>
        <w:rPr>
          <w:rFonts w:ascii="Century Gothic" w:hAnsi="Century Gothic" w:cs="Arial"/>
        </w:rPr>
      </w:pPr>
      <w:r w:rsidRPr="009D6045">
        <w:rPr>
          <w:rFonts w:ascii="Century Gothic" w:hAnsi="Century Gothic" w:cs="Arial"/>
        </w:rPr>
        <w:t xml:space="preserve">Para que un proponente pueda habilitarse en lo referente a la experiencia debe demostrar haber ejecutado en los contratos con los que la acredita, determinado porcentaje del presupuesto oficial, lo cual, de conformidad con los literales C y D del numeral 10.1.1 podrá demostrar con mínimo uno (1) y máximo cinco (5) contratos, que debieron terminar antes de la fecha de cierre del proceso de contratación, los cuales podrán aumentarse a seis (6) o siete (7) en función de los incentivos de la Ley 2069 de 2020 para </w:t>
      </w:r>
      <w:proofErr w:type="spellStart"/>
      <w:r w:rsidRPr="009D6045">
        <w:rPr>
          <w:rFonts w:ascii="Century Gothic" w:hAnsi="Century Gothic" w:cs="Arial"/>
        </w:rPr>
        <w:t>mipymes</w:t>
      </w:r>
      <w:proofErr w:type="spellEnd"/>
      <w:r w:rsidRPr="009D6045">
        <w:rPr>
          <w:rFonts w:ascii="Century Gothic" w:hAnsi="Century Gothic" w:cs="Arial"/>
        </w:rPr>
        <w:t xml:space="preserve">, emprendimientos y empresas de mujeres. El número de contratos aportados por el proponente debe certificar un valor mínimo correspondiente al 100% del presupuesto oficial del proceso expresado en SMMLV en los términos del numeral 3.8.1, cuya verificación se hará con base en la sumatoria de los valores totales ejecutados de los contratos que cumplan con los requisitos establecidos en el pliego de condiciones. Mediante estos contratos además deberá demostrarse que la experiencia satisface las particularidades del requisito de experiencia determinadas por la matriz 1 y el numeral 10.1 del documento base. </w:t>
      </w:r>
    </w:p>
    <w:p w:rsidRPr="009D6045" w:rsidR="00A56864" w:rsidP="00A56864" w:rsidRDefault="00A56864" w14:paraId="31A7A4BB" w14:textId="77777777">
      <w:pPr>
        <w:spacing w:after="0" w:line="276" w:lineRule="auto"/>
        <w:ind w:right="51" w:firstLine="709"/>
        <w:jc w:val="both"/>
        <w:rPr>
          <w:rFonts w:ascii="Century Gothic" w:hAnsi="Century Gothic" w:cs="Arial"/>
        </w:rPr>
      </w:pPr>
      <w:r w:rsidRPr="009D6045">
        <w:rPr>
          <w:rFonts w:ascii="Century Gothic" w:hAnsi="Century Gothic" w:cs="Arial"/>
        </w:rPr>
        <w:t>Respecto de cada uno de estos contratos, conforme lo indica el numeral 10.1.4 del pliego, los proponentes deberán acreditar: a) contratante; b) objeto del contrato; c) principales actividades ejecutadas; d) las longitudes, volúmenes, dimensiones, tipologías y demás condiciones de experiencia establecidas en la matriz 1; e) la fecha de iniciación de la ejecución del contrato; f) la fecha de terminación de la ejecución del contrato; g) nombre y cargo de la persona que expide la certificación; h) el porcentaje de participación del integrante del contratista plural; i) el porcentaje de participación en el valor ejecutado en el caso de contratistas plurales; j) valor total ejecutado. Si bien de conformidad con el artículo 6 de la Ley 1150 de 2007 el requisito habilitante de experiencia debe acreditarse mediante el RUP, en la medida que éste no registra toda la información relacionada en el numeral 10.1.4, los proponentes deberán acudir a los documentos del numeral 10.1.5 para acreditar dicha información.</w:t>
      </w:r>
    </w:p>
    <w:p w:rsidRPr="00C96FA1" w:rsidR="00A56864" w:rsidP="00A56864" w:rsidRDefault="00A56864" w14:paraId="076764F1" w14:textId="77777777">
      <w:pPr>
        <w:spacing w:after="0" w:line="276" w:lineRule="auto"/>
        <w:jc w:val="both"/>
        <w:rPr>
          <w:rFonts w:ascii="Century Gothic" w:hAnsi="Century Gothic" w:cs="Arial"/>
          <w:lang w:eastAsia="es-CO"/>
        </w:rPr>
      </w:pPr>
    </w:p>
    <w:p w:rsidR="00A56864" w:rsidP="00A56864" w:rsidRDefault="00A56864" w14:paraId="24981E36" w14:textId="77777777">
      <w:pPr>
        <w:spacing w:after="0" w:line="276" w:lineRule="auto"/>
        <w:jc w:val="both"/>
        <w:rPr>
          <w:rFonts w:ascii="Century Gothic" w:hAnsi="Century Gothic" w:eastAsia="Calibri" w:cs="Arial"/>
          <w:b/>
          <w:iCs/>
          <w:lang w:val="es-ES_tradnl"/>
        </w:rPr>
      </w:pPr>
      <w:r w:rsidRPr="00C96FA1">
        <w:rPr>
          <w:rFonts w:ascii="Century Gothic" w:hAnsi="Century Gothic" w:eastAsia="Calibri" w:cs="Arial"/>
          <w:b/>
          <w:bCs/>
          <w:lang w:val="es-ES_tradnl"/>
        </w:rPr>
        <w:t>2.3.</w:t>
      </w:r>
      <w:r>
        <w:rPr>
          <w:rFonts w:ascii="Century Gothic" w:hAnsi="Century Gothic" w:eastAsia="Calibri" w:cs="Arial"/>
          <w:b/>
          <w:bCs/>
          <w:lang w:val="es-ES_tradnl"/>
        </w:rPr>
        <w:t xml:space="preserve"> </w:t>
      </w:r>
      <w:r>
        <w:rPr>
          <w:rFonts w:ascii="Century Gothic" w:hAnsi="Century Gothic" w:eastAsia="Calibri" w:cs="Arial"/>
          <w:b/>
          <w:iCs/>
          <w:lang w:val="es-ES_tradnl"/>
        </w:rPr>
        <w:t>A</w:t>
      </w:r>
      <w:r w:rsidRPr="00DA73DB">
        <w:rPr>
          <w:rFonts w:ascii="Century Gothic" w:hAnsi="Century Gothic" w:eastAsia="Calibri" w:cs="Arial"/>
          <w:b/>
          <w:iCs/>
          <w:lang w:val="es-ES_tradnl"/>
        </w:rPr>
        <w:t>creditación de experiencia mediante contratos con pluralidad de actividades</w:t>
      </w:r>
      <w:r>
        <w:rPr>
          <w:rFonts w:ascii="Century Gothic" w:hAnsi="Century Gothic" w:eastAsia="Calibri" w:cs="Arial"/>
          <w:b/>
          <w:iCs/>
          <w:lang w:val="es-ES_tradnl"/>
        </w:rPr>
        <w:t xml:space="preserve"> en los documentos tipo de interventoría de infraestructura de transporte</w:t>
      </w:r>
    </w:p>
    <w:p w:rsidR="00A56864" w:rsidP="00A56864" w:rsidRDefault="00A56864" w14:paraId="7ACBBAFB" w14:textId="77777777">
      <w:pPr>
        <w:spacing w:after="0" w:line="276" w:lineRule="auto"/>
        <w:jc w:val="both"/>
        <w:rPr>
          <w:rFonts w:ascii="Century Gothic" w:hAnsi="Century Gothic" w:eastAsia="Calibri" w:cs="Arial"/>
          <w:bCs/>
          <w:iCs/>
          <w:lang w:val="es-ES_tradnl"/>
        </w:rPr>
      </w:pPr>
    </w:p>
    <w:p w:rsidRPr="00A77AA4" w:rsidR="00A56864" w:rsidP="00A56864" w:rsidRDefault="00A56864" w14:paraId="74D12651" w14:textId="77777777">
      <w:pPr>
        <w:spacing w:after="0" w:line="276" w:lineRule="auto"/>
        <w:jc w:val="both"/>
        <w:rPr>
          <w:rFonts w:ascii="Century Gothic" w:hAnsi="Century Gothic" w:eastAsia="Calibri" w:cs="Arial"/>
          <w:b/>
          <w:bCs/>
          <w:color w:val="000000" w:themeColor="text1"/>
          <w:lang w:val="es-ES_tradnl"/>
        </w:rPr>
      </w:pPr>
      <w:bookmarkStart w:name="_Hlk168563157" w:id="11"/>
      <w:r w:rsidRPr="00A77AA4">
        <w:rPr>
          <w:rFonts w:ascii="Century Gothic" w:hAnsi="Century Gothic" w:eastAsia="Calibri" w:cs="Arial"/>
          <w:color w:val="000000" w:themeColor="text1"/>
          <w:lang w:val="es-ES_tradnl" w:eastAsia="es-ES"/>
        </w:rPr>
        <w:t>La Resolución No. 326 del 22 de julio de 2022, “Por la cual se actualizan los documentos tipo para los procesos de contratación de concurso de méritos para contratar la interventoría de obras públicas de infraestructura de transporte y se deroga la Resolución 256 de 2020”, se expidió en vigencia de la Ley 2022 de 2020. En tal sentido, sin perjuicio de lo dispuesto en el artículo 56 de la Ley 2195 de 2022, este documento tipo es obligatorio para todas las entidades sometidas al Estatuto General de Contratación de la Administración Pública, que adelanten procesos de concursos de méritos para contratar la interventoría de cualquiera de los proyectos señalados en la “Matriz 1 – Experiencia”. Lo anterior deriva del pliego de condiciones del documento tipo de interventoría, pues prescribe lo siguiente:</w:t>
      </w:r>
    </w:p>
    <w:p w:rsidRPr="00A77AA4" w:rsidR="00A56864" w:rsidP="00A56864" w:rsidRDefault="00A56864" w14:paraId="16B7EA70" w14:textId="77777777">
      <w:pPr>
        <w:spacing w:after="0" w:line="276" w:lineRule="auto"/>
        <w:ind w:firstLine="709"/>
        <w:jc w:val="both"/>
        <w:rPr>
          <w:rFonts w:ascii="Century Gothic" w:hAnsi="Century Gothic" w:eastAsia="Calibri" w:cs="Arial"/>
          <w:color w:val="C00000"/>
          <w:lang w:val="es-ES_tradnl" w:eastAsia="es-ES"/>
        </w:rPr>
      </w:pPr>
    </w:p>
    <w:p w:rsidRPr="00A77AA4" w:rsidR="00A56864" w:rsidP="00A56864" w:rsidRDefault="00A56864" w14:paraId="28A98BA7" w14:textId="77777777">
      <w:pPr>
        <w:spacing w:after="0" w:line="240" w:lineRule="auto"/>
        <w:ind w:left="709" w:right="709"/>
        <w:jc w:val="both"/>
        <w:rPr>
          <w:rFonts w:ascii="Century Gothic" w:hAnsi="Century Gothic" w:eastAsia="Calibri" w:cs="Arial"/>
          <w:color w:val="000000" w:themeColor="text1"/>
          <w:sz w:val="21"/>
          <w:szCs w:val="21"/>
          <w:lang w:val="es-ES_tradnl" w:eastAsia="es-ES"/>
        </w:rPr>
      </w:pPr>
      <w:r w:rsidRPr="00A77AA4">
        <w:rPr>
          <w:rFonts w:ascii="Century Gothic" w:hAnsi="Century Gothic" w:eastAsia="Calibri" w:cs="Arial"/>
          <w:color w:val="000000" w:themeColor="text1"/>
          <w:sz w:val="21"/>
          <w:szCs w:val="21"/>
          <w:lang w:val="es-ES_tradnl" w:eastAsia="es-ES"/>
        </w:rPr>
        <w:t>“Estos Documentos Tipo aplican a los procesos de interventoría de obra pública de infraestructura de transporte celebrados en la modalidad de concurso de méritos, que correspondan con las “actividades” definidas en la “Matriz 1 – Experiencia”. En consecuencia, las actividades de infraestructura de transporte no contempladas en la “Matriz 1 – Experiencia” no tienen que emplearlos; sin perjuicio de lo previsto en el artículo 3 de la resolución que adopta los Documentos Tipo de interventoría de obra pública de infraestructura de transporte – versión 2”.</w:t>
      </w:r>
    </w:p>
    <w:p w:rsidRPr="00A77AA4" w:rsidR="00A56864" w:rsidP="00A56864" w:rsidRDefault="00A56864" w14:paraId="0B5F4BA8" w14:textId="77777777">
      <w:pPr>
        <w:spacing w:after="0" w:line="276" w:lineRule="auto"/>
        <w:jc w:val="both"/>
        <w:rPr>
          <w:rFonts w:ascii="Century Gothic" w:hAnsi="Century Gothic" w:eastAsia="Calibri" w:cs="Arial"/>
          <w:color w:val="C00000"/>
          <w:lang w:val="es-ES_tradnl" w:eastAsia="es-ES"/>
        </w:rPr>
      </w:pPr>
    </w:p>
    <w:p w:rsidRPr="00A77AA4" w:rsidR="00A56864" w:rsidP="00A56864" w:rsidRDefault="00A56864" w14:paraId="61E6122B" w14:textId="77777777">
      <w:pPr>
        <w:spacing w:after="120" w:line="276" w:lineRule="auto"/>
        <w:ind w:firstLine="709"/>
        <w:jc w:val="both"/>
        <w:rPr>
          <w:rFonts w:ascii="Century Gothic" w:hAnsi="Century Gothic" w:eastAsia="Calibri" w:cs="Arial"/>
          <w:color w:val="000000" w:themeColor="text1"/>
          <w:lang w:eastAsia="es-ES"/>
        </w:rPr>
      </w:pPr>
      <w:bookmarkStart w:name="_Hlk85634478" w:id="12"/>
      <w:r w:rsidRPr="00A77AA4">
        <w:rPr>
          <w:rFonts w:ascii="Century Gothic" w:hAnsi="Century Gothic" w:eastAsia="Calibri" w:cs="Arial"/>
          <w:color w:val="000000" w:themeColor="text1"/>
          <w:lang w:val="es-ES_tradnl" w:eastAsia="es-ES"/>
        </w:rPr>
        <w:t xml:space="preserve">De esta manera, siempre que se vaya a contratar la interventoría de alguno de los proyectos señalados en la “Matriz 1 – Experiencia” y la modalidad de selección aplicable sea el concurso de méritos, las entidades estatales deben aplicar este documento tipo, acatando su contenido, el cual es obligatorio. </w:t>
      </w:r>
      <w:r w:rsidRPr="00A77AA4">
        <w:rPr>
          <w:rFonts w:ascii="Century Gothic" w:hAnsi="Century Gothic" w:eastAsia="Calibri" w:cs="Arial"/>
          <w:color w:val="000000" w:themeColor="text1"/>
          <w:lang w:eastAsia="es-ES"/>
        </w:rPr>
        <w:t>En consecuencia, la “Matriz 1 – Experiencia”, entre otras finalidades, sirve como criterio para establecer el ámbito de aplicación de los documentos tipo, en los términos explicados con anterioridad.</w:t>
      </w:r>
    </w:p>
    <w:p w:rsidRPr="00A77AA4" w:rsidR="00A56864" w:rsidP="00A56864" w:rsidRDefault="00A56864" w14:paraId="5253E6EB" w14:textId="77777777">
      <w:pPr>
        <w:spacing w:after="120" w:line="276" w:lineRule="auto"/>
        <w:ind w:firstLine="708"/>
        <w:jc w:val="both"/>
        <w:rPr>
          <w:rFonts w:ascii="Century Gothic" w:hAnsi="Century Gothic" w:eastAsia="Calibri" w:cs="Arial"/>
          <w:color w:val="000000" w:themeColor="text1"/>
          <w:lang w:val="es-MX"/>
        </w:rPr>
      </w:pPr>
      <w:r w:rsidRPr="00A77AA4">
        <w:rPr>
          <w:rFonts w:ascii="Century Gothic" w:hAnsi="Century Gothic" w:eastAsia="Calibri" w:cs="Arial"/>
          <w:color w:val="000000" w:themeColor="text1"/>
        </w:rPr>
        <w:t xml:space="preserve">En este sentido, es importante destacar </w:t>
      </w:r>
      <w:r w:rsidRPr="00A77AA4">
        <w:rPr>
          <w:rFonts w:ascii="Century Gothic" w:hAnsi="Century Gothic" w:eastAsia="Calibri" w:cs="Arial"/>
          <w:color w:val="000000" w:themeColor="text1"/>
          <w:lang w:val="es-MX"/>
        </w:rPr>
        <w:t xml:space="preserve">qué tratamiento debe otorgarse en la evaluación, a los supuestos en los que un proponente pretende cumplir el requisito de experiencia con contratos que involucraron la ejecución de pluralidad de actividades. En tal perspectiva, debe determinarse si la totalidad de las actividades ejecutadas son susceptibles de ser tenidas en cuenta para cumplir el requisito de experiencia establecido en la matriz 1. Esto considerando que puede que existan actividades que, sin perjuicio de que hayan sido efectivamente ejecutadas por el proponente, no correspondan materialmente con las actividades a las que se refieren los requisitos de experiencia exigibles en aplicación de la matriz 1, cuestión que debe ser tenida en cuenta para su valoración. </w:t>
      </w:r>
    </w:p>
    <w:p w:rsidRPr="00A77AA4" w:rsidR="00A56864" w:rsidP="00A56864" w:rsidRDefault="00A56864" w14:paraId="77CEA367" w14:textId="77777777">
      <w:pPr>
        <w:spacing w:before="120" w:after="120" w:line="276" w:lineRule="auto"/>
        <w:ind w:firstLine="708"/>
        <w:jc w:val="both"/>
        <w:rPr>
          <w:rFonts w:ascii="Century Gothic" w:hAnsi="Century Gothic" w:eastAsia="Calibri" w:cs="Arial"/>
          <w:color w:val="000000" w:themeColor="text1"/>
          <w:lang w:val="es-MX"/>
        </w:rPr>
      </w:pPr>
      <w:r w:rsidRPr="00A77AA4">
        <w:rPr>
          <w:rFonts w:ascii="Century Gothic" w:hAnsi="Century Gothic" w:eastAsia="Calibri" w:cs="Arial"/>
          <w:color w:val="000000" w:themeColor="text1"/>
          <w:lang w:val="es-MX"/>
        </w:rPr>
        <w:t xml:space="preserve">En ese sentido, de conformidad con el literal A del numeral 10.1.1 los contratos que sean aportados por un proponente deben dar cuenta de la ejecución de las actividades establecidas como requisitos de experiencia general y específica. Sin embargo, conforme a lo dicho en el párrafo precedente, cuando el contrato aportado para cumplir el requisito contiene actividades relacionadas con la experiencia exigida, y otras que no, la entidad debe fraccionar la evaluación de la experiencia a efectos de solo tener en cuenta lo atinente a la parte del objeto contractual que sí cumple con el requisito habilitante, empleando para tal fin los documentos soporte allegados por el proponente. Esta tesis fue expuesta por la Agencia en el Concepto </w:t>
      </w:r>
      <w:r w:rsidRPr="00A77AA4">
        <w:rPr>
          <w:rFonts w:ascii="Century Gothic" w:hAnsi="Century Gothic" w:eastAsia="Calibri" w:cs="Arial"/>
          <w:color w:val="000000" w:themeColor="text1"/>
          <w:shd w:val="clear" w:color="auto" w:fill="FFFFFF"/>
          <w:lang w:val="es-MX"/>
        </w:rPr>
        <w:t xml:space="preserve">2201913000007824 del 21 de octubre de 2019, al cual se le dio alcance mediante el Concepto C-531 del 21 de agosto de 2020, expedido en relación con los “Documentos Tipo – Versión 2” de licitación de obra pública de infraestructura de transporte, respecto al fraccionamiento de la valoración de la experiencia acreditada con contratos con pluralidad de actividades, regla que también es aplicable al documento tipo de concurso de méritos de interventoría de infraestructura de transporte. </w:t>
      </w:r>
    </w:p>
    <w:p w:rsidRPr="00A77AA4" w:rsidR="00A56864" w:rsidP="00A56864" w:rsidRDefault="00A56864" w14:paraId="4D5FA50C" w14:textId="77777777">
      <w:pPr>
        <w:spacing w:after="120" w:line="276" w:lineRule="auto"/>
        <w:ind w:firstLine="709"/>
        <w:jc w:val="both"/>
        <w:rPr>
          <w:rFonts w:ascii="Century Gothic" w:hAnsi="Century Gothic" w:eastAsia="Calibri" w:cs="Arial"/>
          <w:color w:val="000000" w:themeColor="text1"/>
          <w:lang w:val="es-MX"/>
        </w:rPr>
      </w:pPr>
      <w:r w:rsidRPr="00A77AA4">
        <w:rPr>
          <w:rFonts w:ascii="Century Gothic" w:hAnsi="Century Gothic" w:eastAsia="Calibri" w:cs="Arial"/>
          <w:color w:val="000000" w:themeColor="text1"/>
          <w:lang w:val="es-MX"/>
        </w:rPr>
        <w:t>En tales términos, se considera que la evaluación del requisito de experiencia, en los casos en los que esta se acredita con contratos que contienen pluralidad de actividades de las cuales solo algunas cumplen con el requisito de experiencia, debe hacerse únicamente respecto de las actividades que se ajustan al requisito de experiencia exigible según la matriz 1 y el literal A del numeral 10.1.1 del documento base. De otra parte, esta Agencia considera que el mismo razonamiento, según el cual la evaluación de la experiencia acreditada mediante un contrato con variadas actividades debe ser fraccionada en función de las actividades que sí se ajustan a las características de la experiencia exigida, es aplicable en lo relacionado a los requisitos de experiencia en términos de dimensionamiento</w:t>
      </w:r>
      <w:r>
        <w:rPr>
          <w:rFonts w:ascii="Century Gothic" w:hAnsi="Century Gothic" w:eastAsia="Calibri" w:cs="Arial"/>
          <w:color w:val="000000" w:themeColor="text1"/>
          <w:lang w:val="es-MX"/>
        </w:rPr>
        <w:t>.</w:t>
      </w:r>
    </w:p>
    <w:p w:rsidRPr="00A77AA4" w:rsidR="00A56864" w:rsidP="00A56864" w:rsidRDefault="00A56864" w14:paraId="694B964C" w14:textId="77777777">
      <w:pPr>
        <w:spacing w:after="120" w:line="276" w:lineRule="auto"/>
        <w:ind w:firstLine="709"/>
        <w:jc w:val="both"/>
        <w:rPr>
          <w:rFonts w:ascii="Century Gothic" w:hAnsi="Century Gothic" w:eastAsia="Calibri" w:cs="Arial"/>
          <w:color w:val="000000" w:themeColor="text1"/>
          <w:lang w:eastAsia="es-ES"/>
        </w:rPr>
      </w:pPr>
      <w:r w:rsidRPr="00A77AA4">
        <w:rPr>
          <w:rFonts w:ascii="Century Gothic" w:hAnsi="Century Gothic" w:eastAsia="Calibri" w:cs="Arial"/>
          <w:color w:val="000000" w:themeColor="text1"/>
          <w:spacing w:val="2"/>
          <w:lang w:val="es-MX"/>
        </w:rPr>
        <w:t xml:space="preserve">Así las cosas, </w:t>
      </w:r>
      <w:r w:rsidRPr="00A77AA4">
        <w:rPr>
          <w:rFonts w:ascii="Century Gothic" w:hAnsi="Century Gothic" w:cs="Arial"/>
          <w:color w:val="000000" w:themeColor="text1"/>
        </w:rPr>
        <w:t>la Agencia Nacional de Contratación Pública – Colombia Compra Eficiente tiene una postura clara frente a la forma en que se acredita la experiencia cuando se ejecutan varias actividades y algunas de ellas no se relacionan con lo previsto en la “Matriz 1 – Experiencia</w:t>
      </w:r>
      <w:r w:rsidRPr="00A77AA4">
        <w:rPr>
          <w:rFonts w:ascii="Century Gothic" w:hAnsi="Century Gothic" w:eastAsia="Calibri" w:cs="Arial"/>
          <w:color w:val="000000" w:themeColor="text1"/>
        </w:rPr>
        <w:t>”,</w:t>
      </w:r>
      <w:r w:rsidRPr="00A77AA4">
        <w:rPr>
          <w:rFonts w:ascii="Century Gothic" w:hAnsi="Century Gothic" w:cs="Arial"/>
          <w:color w:val="000000" w:themeColor="text1"/>
        </w:rPr>
        <w:t xml:space="preserve"> por lo que se considera necesario y oportuno concretar </w:t>
      </w:r>
      <w:r>
        <w:rPr>
          <w:rFonts w:ascii="Century Gothic" w:hAnsi="Century Gothic" w:cs="Arial"/>
          <w:color w:val="000000" w:themeColor="text1"/>
        </w:rPr>
        <w:t>dicha</w:t>
      </w:r>
      <w:r w:rsidRPr="00A77AA4">
        <w:rPr>
          <w:rFonts w:ascii="Century Gothic" w:hAnsi="Century Gothic" w:cs="Arial"/>
          <w:color w:val="000000" w:themeColor="text1"/>
        </w:rPr>
        <w:t xml:space="preserve"> regla. Esto para determinar la conducta de las entidades ante estas circunstancias, y, por tanto, evitar confusiones o dobles interpretaciones en la aplicación del documento base.</w:t>
      </w:r>
      <w:bookmarkEnd w:id="12"/>
    </w:p>
    <w:p w:rsidRPr="00A77AA4" w:rsidR="00A56864" w:rsidP="00A56864" w:rsidRDefault="00A56864" w14:paraId="13D1D2C1" w14:textId="77777777">
      <w:pPr>
        <w:spacing w:after="120" w:line="276" w:lineRule="auto"/>
        <w:ind w:firstLine="709"/>
        <w:jc w:val="both"/>
        <w:rPr>
          <w:rFonts w:ascii="Century Gothic" w:hAnsi="Century Gothic" w:eastAsia="Calibri" w:cs="Arial"/>
          <w:color w:val="000000" w:themeColor="text1"/>
          <w:lang w:eastAsia="es-ES"/>
        </w:rPr>
      </w:pPr>
      <w:r w:rsidRPr="00A77AA4">
        <w:rPr>
          <w:rFonts w:ascii="Century Gothic" w:hAnsi="Century Gothic" w:eastAsia="Calibri" w:cs="Arial"/>
          <w:color w:val="000000" w:themeColor="text1"/>
          <w:lang w:eastAsia="es-ES"/>
        </w:rPr>
        <w:t xml:space="preserve">Asimismo, es bueno señalar que, de conformidad con lo dispuesto en el pliego de condiciones de los documentos tipo de interventoría de obra pública de </w:t>
      </w:r>
      <w:r w:rsidRPr="00A77AA4">
        <w:rPr>
          <w:rFonts w:ascii="Century Gothic" w:hAnsi="Century Gothic" w:eastAsia="Calibri" w:cs="Arial"/>
          <w:color w:val="000000" w:themeColor="text1"/>
          <w:lang w:eastAsia="es-ES"/>
        </w:rPr>
        <w:t xml:space="preserve">infraestructura de transporte, su uso no exime a las entidades estatales de utilizar la normatividad y la jurisprudencia que resulte aplicable al respectivo proceso de contratación. También, dicho pliego precisa que “[…] este documento tipo no aplica a las interventorías de los contratos de que trata la Ley 1508 de 2012, esto es, para la Asociaciones </w:t>
      </w:r>
      <w:proofErr w:type="gramStart"/>
      <w:r w:rsidRPr="00A77AA4">
        <w:rPr>
          <w:rFonts w:ascii="Century Gothic" w:hAnsi="Century Gothic" w:eastAsia="Calibri" w:cs="Arial"/>
          <w:color w:val="000000" w:themeColor="text1"/>
          <w:lang w:eastAsia="es-ES"/>
        </w:rPr>
        <w:t>Público Privadas</w:t>
      </w:r>
      <w:proofErr w:type="gramEnd"/>
      <w:r w:rsidRPr="00A77AA4">
        <w:rPr>
          <w:rFonts w:ascii="Century Gothic" w:hAnsi="Century Gothic" w:eastAsia="Calibri" w:cs="Arial"/>
          <w:color w:val="000000" w:themeColor="text1"/>
          <w:lang w:eastAsia="es-ES"/>
        </w:rPr>
        <w:t>, debido a la naturaleza y especialidad de dichos contratos”.</w:t>
      </w:r>
    </w:p>
    <w:p w:rsidR="00A56864" w:rsidP="00A56864" w:rsidRDefault="00A56864" w14:paraId="738EF43A" w14:textId="77777777">
      <w:pPr>
        <w:spacing w:after="120" w:line="276" w:lineRule="auto"/>
        <w:ind w:firstLine="709"/>
        <w:jc w:val="both"/>
        <w:rPr>
          <w:rFonts w:ascii="Century Gothic" w:hAnsi="Century Gothic" w:eastAsia="Calibri" w:cs="Arial"/>
          <w:color w:val="000000" w:themeColor="text1"/>
          <w:lang w:val="es-ES_tradnl" w:eastAsia="es-ES"/>
        </w:rPr>
      </w:pPr>
      <w:r w:rsidRPr="00A77AA4">
        <w:rPr>
          <w:rFonts w:ascii="Century Gothic" w:hAnsi="Century Gothic" w:eastAsia="Calibri" w:cs="Arial"/>
          <w:color w:val="000000" w:themeColor="text1"/>
          <w:lang w:val="es-ES_tradnl" w:eastAsia="es-ES"/>
        </w:rPr>
        <w:t xml:space="preserve">En todo caso, debe destacarse que, sin perjuicio de la competencia de esta Agencia para la expedición de documentos tipos otorgada por la Ley 2022 de 2020, son las entidades estatales encargadas de aplicarlos quienes deben analizar el objeto que pretenden contratar, para determinar si el mismo es subsumible dentro de alguna actividad cobijada por un documento tipo, y si los certificados de experiencia allegados con las actividades ejecutadas por un proponente cumplen con lo establecido en la “Matriz 1 – Experiencia”, ya sea de forma parcial o total. Al respecto, las especificaciones y particularidades del objeto a contratar, así como su relación de correspondencia con lo señalado en la matriz 1, indicarán si el certificado de experiencia cumple con lo establecido o, si es del caso, revisar si alguna(s) de las actividades ejecutadas debe(n) tenerse en cuenta por parte de la entidad. </w:t>
      </w:r>
    </w:p>
    <w:p w:rsidRPr="00912806" w:rsidR="00A56864" w:rsidP="00A56864" w:rsidRDefault="00A56864" w14:paraId="4E3C452A" w14:textId="77777777">
      <w:pPr>
        <w:spacing w:after="120" w:line="276" w:lineRule="auto"/>
        <w:ind w:firstLine="709"/>
        <w:jc w:val="both"/>
        <w:rPr>
          <w:rFonts w:ascii="Century Gothic" w:hAnsi="Century Gothic" w:eastAsia="Calibri" w:cs="Arial"/>
          <w:color w:val="000000" w:themeColor="text1"/>
          <w:lang w:eastAsia="es-ES"/>
        </w:rPr>
      </w:pPr>
      <w:r>
        <w:rPr>
          <w:rFonts w:ascii="Century Gothic" w:hAnsi="Century Gothic" w:eastAsia="Calibri" w:cs="Arial"/>
          <w:color w:val="000000" w:themeColor="text1"/>
          <w:lang w:val="es-ES_tradnl" w:eastAsia="es-ES"/>
        </w:rPr>
        <w:t xml:space="preserve">Por lo demás, en los términos del numeral 3.8.1 del pliego, es necesario considerar las reglas de </w:t>
      </w:r>
      <w:proofErr w:type="spellStart"/>
      <w:r>
        <w:rPr>
          <w:rFonts w:ascii="Century Gothic" w:hAnsi="Century Gothic" w:eastAsia="Calibri" w:cs="Arial"/>
          <w:color w:val="000000" w:themeColor="text1"/>
          <w:lang w:val="es-ES_tradnl" w:eastAsia="es-ES"/>
        </w:rPr>
        <w:t>subsanabilidad</w:t>
      </w:r>
      <w:proofErr w:type="spellEnd"/>
      <w:r>
        <w:rPr>
          <w:rFonts w:ascii="Century Gothic" w:hAnsi="Century Gothic" w:eastAsia="Calibri" w:cs="Arial"/>
          <w:color w:val="000000" w:themeColor="text1"/>
          <w:lang w:val="es-ES_tradnl" w:eastAsia="es-ES"/>
        </w:rPr>
        <w:t xml:space="preserve"> del concurso de méritos. En consecuencia, “[…] </w:t>
      </w:r>
      <w:r w:rsidRPr="00912806">
        <w:rPr>
          <w:rFonts w:ascii="Century Gothic" w:hAnsi="Century Gothic" w:eastAsia="Calibri" w:cs="Arial"/>
          <w:color w:val="000000" w:themeColor="text1"/>
          <w:lang w:val="es-ES_tradnl" w:eastAsia="es-ES"/>
        </w:rPr>
        <w:t>Si el Proponente subsana el requisito mínimo de experiencia se habilitará en el Proceso de Contratación, pero no se tendrán en cuenta estos contratos para la asignación del puntaje. En otras palabras, el otorgamiento de puntaje se realizará con los contratos válidos allegados en su oferta y que no fueron objeto de subsanación por parte del Proponente</w:t>
      </w:r>
      <w:r>
        <w:rPr>
          <w:rFonts w:ascii="Century Gothic" w:hAnsi="Century Gothic" w:eastAsia="Calibri" w:cs="Arial"/>
          <w:color w:val="000000" w:themeColor="text1"/>
          <w:lang w:val="es-ES_tradnl" w:eastAsia="es-ES"/>
        </w:rPr>
        <w:t xml:space="preserve">”. </w:t>
      </w:r>
    </w:p>
    <w:p w:rsidR="00A56864" w:rsidP="00A56864" w:rsidRDefault="00A56864" w14:paraId="79362BE7" w14:textId="77777777">
      <w:pPr>
        <w:spacing w:after="0" w:line="276" w:lineRule="auto"/>
        <w:ind w:firstLine="709"/>
        <w:jc w:val="both"/>
        <w:rPr>
          <w:rFonts w:ascii="Century Gothic" w:hAnsi="Century Gothic" w:eastAsia="Calibri" w:cs="Arial"/>
          <w:color w:val="000000" w:themeColor="text1"/>
        </w:rPr>
      </w:pPr>
      <w:r w:rsidRPr="00EE42BB">
        <w:rPr>
          <w:rFonts w:ascii="Century Gothic" w:hAnsi="Century Gothic" w:eastAsia="Calibri" w:cs="Arial"/>
          <w:color w:val="000000" w:themeColor="text1"/>
        </w:rPr>
        <w:t xml:space="preserve">Dentro de este marco, la entidad contratante definirá en cada caso concreto </w:t>
      </w:r>
      <w:r>
        <w:rPr>
          <w:rFonts w:ascii="Century Gothic" w:hAnsi="Century Gothic" w:eastAsia="Calibri" w:cs="Arial"/>
          <w:color w:val="000000" w:themeColor="text1"/>
        </w:rPr>
        <w:t>lo atinente a la evaluación de las ofertas respecto a las hipótesis objeto de consulta</w:t>
      </w:r>
      <w:r w:rsidRPr="00EE42BB">
        <w:rPr>
          <w:rFonts w:ascii="Century Gothic" w:hAnsi="Century Gothic" w:eastAsia="Calibri" w:cs="Arial"/>
          <w:color w:val="000000" w:themeColor="text1"/>
        </w:rPr>
        <w:t xml:space="preserve">. Al tratarse de un análisis que debe realizarse en el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De esta manera, cada entidad definirá la forma de adelantar su gestión contractual, sin que sea atribución de Colombia Compra Eficiente validar </w:t>
      </w:r>
      <w:r>
        <w:rPr>
          <w:rFonts w:ascii="Century Gothic" w:hAnsi="Century Gothic" w:eastAsia="Calibri" w:cs="Arial"/>
          <w:color w:val="000000" w:themeColor="text1"/>
        </w:rPr>
        <w:t>sus actuaciones</w:t>
      </w:r>
      <w:r w:rsidRPr="00EE42BB">
        <w:rPr>
          <w:rFonts w:ascii="Century Gothic" w:hAnsi="Century Gothic" w:eastAsia="Calibri" w:cs="Arial"/>
          <w:color w:val="000000" w:themeColor="text1"/>
        </w:rPr>
        <w:t>.</w:t>
      </w:r>
    </w:p>
    <w:bookmarkEnd w:id="11"/>
    <w:p w:rsidRPr="00C3794A" w:rsidR="00A56864" w:rsidP="00A56864" w:rsidRDefault="00A56864" w14:paraId="2E3F4058" w14:textId="77777777">
      <w:pPr>
        <w:pStyle w:val="Textoindependiente"/>
        <w:spacing w:before="120" w:line="276" w:lineRule="auto"/>
        <w:jc w:val="both"/>
        <w:rPr>
          <w:rFonts w:ascii="Century Gothic" w:hAnsi="Century Gothic" w:eastAsia="Calibri"/>
          <w:bCs/>
          <w:noProof/>
        </w:rPr>
      </w:pPr>
    </w:p>
    <w:p w:rsidRPr="00C96FA1" w:rsidR="00A56864" w:rsidP="00A56864" w:rsidRDefault="00A56864" w14:paraId="4B943A86" w14:textId="77777777">
      <w:pPr>
        <w:tabs>
          <w:tab w:val="left" w:pos="0"/>
        </w:tabs>
        <w:spacing w:after="0"/>
        <w:jc w:val="both"/>
        <w:rPr>
          <w:rFonts w:ascii="Century Gothic" w:hAnsi="Century Gothic" w:eastAsia="Calibri" w:cs="Arial"/>
          <w:b/>
          <w:color w:val="000000" w:themeColor="text1"/>
          <w:lang w:val="es-ES_tradnl"/>
        </w:rPr>
      </w:pPr>
      <w:r w:rsidRPr="00C96FA1">
        <w:rPr>
          <w:rFonts w:ascii="Century Gothic" w:hAnsi="Century Gothic" w:eastAsia="Calibri" w:cs="Arial"/>
          <w:b/>
          <w:color w:val="000000" w:themeColor="text1"/>
          <w:lang w:val="es-ES_tradnl"/>
        </w:rPr>
        <w:t>3. Respuesta</w:t>
      </w:r>
    </w:p>
    <w:p w:rsidRPr="00035110" w:rsidR="00A56864" w:rsidP="00A56864" w:rsidRDefault="00A56864" w14:paraId="1095F642" w14:textId="77777777">
      <w:pPr>
        <w:spacing w:after="0" w:line="276" w:lineRule="auto"/>
        <w:ind w:firstLine="709"/>
        <w:jc w:val="both"/>
        <w:rPr>
          <w:rFonts w:ascii="Century Gothic" w:hAnsi="Century Gothic" w:eastAsia="Times New Roman" w:cs="Arial"/>
          <w:lang w:eastAsia="es-CO"/>
        </w:rPr>
      </w:pPr>
      <w:bookmarkStart w:name="_Hlk131064197" w:id="13"/>
    </w:p>
    <w:p w:rsidRPr="00035110" w:rsidR="00A56864" w:rsidP="00A56864" w:rsidRDefault="00A56864" w14:paraId="6414F1B4" w14:textId="77777777">
      <w:pPr>
        <w:spacing w:after="0" w:line="240" w:lineRule="auto"/>
        <w:ind w:left="709" w:right="709"/>
        <w:jc w:val="both"/>
        <w:rPr>
          <w:rFonts w:ascii="Century Gothic" w:hAnsi="Century Gothic" w:cs="Arial"/>
          <w:color w:val="000000" w:themeColor="text1"/>
          <w:sz w:val="21"/>
          <w:szCs w:val="21"/>
          <w:lang w:val="es-ES"/>
        </w:rPr>
      </w:pPr>
      <w:r w:rsidRPr="74ADE260">
        <w:rPr>
          <w:rFonts w:ascii="Century Gothic" w:hAnsi="Century Gothic" w:cs="Arial"/>
          <w:color w:val="000000" w:themeColor="text1"/>
          <w:sz w:val="21"/>
          <w:szCs w:val="21"/>
          <w:lang w:val="es-ES"/>
        </w:rPr>
        <w:t xml:space="preserve">“En un proceso de selección de concurso de méritos, específicamente para una interventoría de infraestructura de transporte, es viable, para un contrato con pluralidad de actividades con el que un oferente pretende acreditar la experiencia general del proceso, determinar el valor ejecutado por interventoría a las obras que cumplen con la experiencia requerida de conformidad con la matriz de experiencia, realizar regla de tres, tomando como valor total ejecutado el 100% del contrato de obra objeto de la interventoría, el porcentaje de obra ejecutada o actividades que si cumplen con la experiencia solicitada para finalmente determinar el valor de las actividades de interventoría que cumplen con las estipuladas en la matriz de experiencia?. ¿Es válido que la entidad, durante el proceso de evaluación realice cálculos con datos aportados por el oferente a fin de determinar el valor ejecutado por concepto de interventoría que cumplen con lo señalado en la matriz de experiencia? Por ejemplo, reglas de tres, ¿si se tienen todos los datos como valores ejecutados en los contratos de obra por ejemplo las actas de recibo del contrato de obra? ¿O que el oferente indique los porcentajes ejecutados? Para lo cual, se debería asumir que el valor de interventoría corresponde a un porcentaje del valor de la obra y que, a su vez, este porcentaje es igual para todas las actividades del contrato, es decir para las que cumplen con la matriz de experiencia y para las que no. ¿Es viable realizar esta operación en un contrato de interventoría que incluyó la interventoría a varios contratos de obra o proyectos de manera independiente? ¿Se puede hacer a un solo contrato con varias actividades? ¿Es obligación del oferente, presentar los respectivos documentos expedidos por la entidad contratante en donde se especifique el valor de la interventoría que cumple con el literal A del numeral 10.1.1 - CARACTERÍSTICAS DE LOS CONTRATOS PRESENTADOS PARA ACREDITAR LA EXPERIENCIA DEL PROPONENTE del documento base en contratos con pluralidad de actividades? ¿Cuándo un solo contrato de interventoría presentado para acreditar la experiencia general incluye actividades que cumplen y otras que no con la matriz de experiencia es deber de la entidad descontar las que no cumplen? </w:t>
      </w:r>
      <w:proofErr w:type="gramStart"/>
      <w:r w:rsidRPr="74ADE260">
        <w:rPr>
          <w:rFonts w:ascii="Century Gothic" w:hAnsi="Century Gothic" w:cs="Arial"/>
          <w:color w:val="000000" w:themeColor="text1"/>
          <w:sz w:val="21"/>
          <w:szCs w:val="21"/>
          <w:lang w:val="es-ES"/>
        </w:rPr>
        <w:t>En caso que</w:t>
      </w:r>
      <w:proofErr w:type="gramEnd"/>
      <w:r w:rsidRPr="74ADE260">
        <w:rPr>
          <w:rFonts w:ascii="Century Gothic" w:hAnsi="Century Gothic" w:cs="Arial"/>
          <w:color w:val="000000" w:themeColor="text1"/>
          <w:sz w:val="21"/>
          <w:szCs w:val="21"/>
          <w:lang w:val="es-ES"/>
        </w:rPr>
        <w:t xml:space="preserve"> no se especifiquen los valores ejecutados por concepto de interventoría para cada actividad se debe requerir al oferente teniendo claro que al tener que presentar un documento adicional con dichos valores no se puede tener en cuenta el contrato para asignación de puntaje?”.</w:t>
      </w:r>
    </w:p>
    <w:p w:rsidRPr="00035110" w:rsidR="00A56864" w:rsidP="00A56864" w:rsidRDefault="00A56864" w14:paraId="12897B48" w14:textId="77777777">
      <w:pPr>
        <w:spacing w:after="0" w:line="276" w:lineRule="auto"/>
        <w:jc w:val="both"/>
        <w:rPr>
          <w:rFonts w:ascii="Century Gothic" w:hAnsi="Century Gothic" w:cs="Arial"/>
          <w:color w:val="000000" w:themeColor="text1"/>
          <w:lang w:val="es-ES_tradnl"/>
        </w:rPr>
      </w:pPr>
    </w:p>
    <w:p w:rsidRPr="00A77AA4" w:rsidR="00A56864" w:rsidP="00A56864" w:rsidRDefault="00A56864" w14:paraId="3F4B3A6B" w14:textId="77777777">
      <w:pPr>
        <w:spacing w:after="120" w:line="276" w:lineRule="auto"/>
        <w:jc w:val="both"/>
        <w:rPr>
          <w:rFonts w:ascii="Century Gothic" w:hAnsi="Century Gothic" w:eastAsia="Calibri" w:cs="Arial"/>
          <w:color w:val="000000" w:themeColor="text1"/>
          <w:lang w:val="es-MX"/>
        </w:rPr>
      </w:pPr>
      <w:bookmarkStart w:name="_Hlk164174895" w:id="14"/>
      <w:bookmarkEnd w:id="13"/>
      <w:r>
        <w:rPr>
          <w:rFonts w:ascii="Century Gothic" w:hAnsi="Century Gothic" w:eastAsia="Calibri"/>
          <w:bCs/>
          <w:noProof/>
        </w:rPr>
        <w:t xml:space="preserve">Conforme a la interpetación de las reglas generales del sistema de compras públicas, </w:t>
      </w:r>
      <w:r w:rsidRPr="00A77AA4">
        <w:rPr>
          <w:rFonts w:ascii="Century Gothic" w:hAnsi="Century Gothic" w:eastAsia="Calibri" w:cs="Arial"/>
          <w:color w:val="000000" w:themeColor="text1"/>
        </w:rPr>
        <w:t xml:space="preserve">es importante destacar </w:t>
      </w:r>
      <w:r w:rsidRPr="00A77AA4">
        <w:rPr>
          <w:rFonts w:ascii="Century Gothic" w:hAnsi="Century Gothic" w:eastAsia="Calibri" w:cs="Arial"/>
          <w:color w:val="000000" w:themeColor="text1"/>
          <w:lang w:val="es-MX"/>
        </w:rPr>
        <w:t xml:space="preserve">qué tratamiento debe otorgarse en la evaluación, a los supuestos en los que un proponente pretende cumplir el requisito de experiencia con contratos que involucraron la ejecución de pluralidad de </w:t>
      </w:r>
      <w:r w:rsidRPr="00A77AA4">
        <w:rPr>
          <w:rFonts w:ascii="Century Gothic" w:hAnsi="Century Gothic" w:eastAsia="Calibri" w:cs="Arial"/>
          <w:color w:val="000000" w:themeColor="text1"/>
          <w:lang w:val="es-MX"/>
        </w:rPr>
        <w:t xml:space="preserve">actividades. En tal perspectiva, debe determinarse si la totalidad de las actividades ejecutadas son susceptibles de ser tenidas en cuenta para cumplir el requisito de experiencia establecido en la matriz 1. Esto considerando que puede que existan actividades que, sin perjuicio de que hayan sido efectivamente ejecutadas por el proponente, no correspondan materialmente con las actividades a las que se refieren los requisitos de experiencia exigibles en aplicación de la matriz 1, cuestión que debe ser tenida en cuenta para su valoración. </w:t>
      </w:r>
    </w:p>
    <w:p w:rsidRPr="00A77AA4" w:rsidR="00A56864" w:rsidP="00A56864" w:rsidRDefault="00A56864" w14:paraId="440CFCBA" w14:textId="77777777">
      <w:pPr>
        <w:spacing w:before="120" w:after="120" w:line="276" w:lineRule="auto"/>
        <w:ind w:firstLine="708"/>
        <w:jc w:val="both"/>
        <w:rPr>
          <w:rFonts w:ascii="Century Gothic" w:hAnsi="Century Gothic" w:eastAsia="Calibri" w:cs="Arial"/>
          <w:color w:val="000000" w:themeColor="text1"/>
          <w:lang w:val="es-MX"/>
        </w:rPr>
      </w:pPr>
      <w:r w:rsidRPr="00A77AA4">
        <w:rPr>
          <w:rFonts w:ascii="Century Gothic" w:hAnsi="Century Gothic" w:eastAsia="Calibri" w:cs="Arial"/>
          <w:color w:val="000000" w:themeColor="text1"/>
          <w:lang w:val="es-MX"/>
        </w:rPr>
        <w:t xml:space="preserve">En ese sentido, de conformidad con el literal A del numeral 10.1.1 los contratos que sean aportados por un proponente deben dar cuenta de la ejecución de las actividades establecidas como requisitos de experiencia general y específica. Sin embargo, conforme a lo dicho en el párrafo precedente, cuando el contrato aportado para cumplir el requisito contiene actividades relacionadas con la experiencia exigida, y otras que no, la entidad debe fraccionar la evaluación de la experiencia a efectos de solo tener en cuenta lo atinente a la parte del objeto contractual que sí cumple con el requisito habilitante, empleando para tal fin los documentos soporte allegados por el proponente. Esta tesis fue expuesta por la Agencia en el Concepto </w:t>
      </w:r>
      <w:r w:rsidRPr="00A77AA4">
        <w:rPr>
          <w:rFonts w:ascii="Century Gothic" w:hAnsi="Century Gothic" w:eastAsia="Calibri" w:cs="Arial"/>
          <w:color w:val="000000" w:themeColor="text1"/>
          <w:shd w:val="clear" w:color="auto" w:fill="FFFFFF"/>
          <w:lang w:val="es-MX"/>
        </w:rPr>
        <w:t xml:space="preserve">2201913000007824 del 21 de octubre de 2019, al cual se le dio alcance mediante el Concepto C-531 del 21 de agosto de 2020, expedido en relación con los “Documentos Tipo – Versión 2” de licitación de obra pública de infraestructura de transporte, respecto al fraccionamiento de la valoración de la experiencia acreditada con contratos con pluralidad de actividades, regla que también es aplicable al documento tipo de concurso de méritos de interventoría de infraestructura de transporte. </w:t>
      </w:r>
    </w:p>
    <w:p w:rsidRPr="00A77AA4" w:rsidR="00A56864" w:rsidP="00A56864" w:rsidRDefault="00A56864" w14:paraId="41484DF4" w14:textId="77777777">
      <w:pPr>
        <w:spacing w:after="120" w:line="276" w:lineRule="auto"/>
        <w:ind w:firstLine="709"/>
        <w:jc w:val="both"/>
        <w:rPr>
          <w:rFonts w:ascii="Century Gothic" w:hAnsi="Century Gothic" w:eastAsia="Calibri" w:cs="Arial"/>
          <w:color w:val="000000" w:themeColor="text1"/>
          <w:lang w:val="es-MX"/>
        </w:rPr>
      </w:pPr>
      <w:r w:rsidRPr="00A77AA4">
        <w:rPr>
          <w:rFonts w:ascii="Century Gothic" w:hAnsi="Century Gothic" w:eastAsia="Calibri" w:cs="Arial"/>
          <w:color w:val="000000" w:themeColor="text1"/>
          <w:lang w:val="es-MX"/>
        </w:rPr>
        <w:t>En tales términos, se considera que la evaluación del requisito de experiencia, en los casos en los que esta se acredita con contratos que contienen pluralidad de actividades de las cuales solo algunas cumplen con el requisito de experiencia, debe hacerse únicamente respecto de las actividades que se ajustan al requisito de experiencia exigible según la matriz 1 y el literal A del numeral 10.1.1 del documento base. De otra parte, esta Agencia considera que el mismo razonamiento, según el cual la evaluación de la experiencia acreditada mediante un contrato con variadas actividades debe ser fraccionada en función de las actividades que sí se ajustan a las características de la experiencia exigida, es aplicable en lo relacionado a los requisitos de experiencia en términos de dimensionamiento</w:t>
      </w:r>
      <w:r>
        <w:rPr>
          <w:rFonts w:ascii="Century Gothic" w:hAnsi="Century Gothic" w:eastAsia="Calibri" w:cs="Arial"/>
          <w:color w:val="000000" w:themeColor="text1"/>
          <w:lang w:val="es-MX"/>
        </w:rPr>
        <w:t>.</w:t>
      </w:r>
    </w:p>
    <w:p w:rsidR="00A56864" w:rsidP="00A56864" w:rsidRDefault="00A56864" w14:paraId="0DE35014" w14:textId="77777777">
      <w:pPr>
        <w:spacing w:after="120" w:line="276" w:lineRule="auto"/>
        <w:ind w:firstLine="709"/>
        <w:jc w:val="both"/>
        <w:rPr>
          <w:rFonts w:ascii="Century Gothic" w:hAnsi="Century Gothic" w:cs="Arial"/>
          <w:color w:val="000000" w:themeColor="text1"/>
        </w:rPr>
      </w:pPr>
      <w:r w:rsidRPr="00A77AA4">
        <w:rPr>
          <w:rFonts w:ascii="Century Gothic" w:hAnsi="Century Gothic" w:eastAsia="Calibri" w:cs="Arial"/>
          <w:color w:val="000000" w:themeColor="text1"/>
          <w:spacing w:val="2"/>
          <w:lang w:val="es-MX"/>
        </w:rPr>
        <w:t xml:space="preserve">Así las cosas, </w:t>
      </w:r>
      <w:r w:rsidRPr="00A77AA4">
        <w:rPr>
          <w:rFonts w:ascii="Century Gothic" w:hAnsi="Century Gothic" w:cs="Arial"/>
          <w:color w:val="000000" w:themeColor="text1"/>
        </w:rPr>
        <w:t xml:space="preserve">la Agencia Nacional de Contratación Pública – Colombia Compra Eficiente tiene una postura clara frente a la forma en que se acredita la </w:t>
      </w:r>
      <w:r w:rsidRPr="00A77AA4">
        <w:rPr>
          <w:rFonts w:ascii="Century Gothic" w:hAnsi="Century Gothic" w:cs="Arial"/>
          <w:color w:val="000000" w:themeColor="text1"/>
        </w:rPr>
        <w:t>experiencia cuando se ejecutan varias actividades y algunas de ellas no se relacionan con lo previsto en la “Matriz 1 – Experiencia</w:t>
      </w:r>
      <w:r w:rsidRPr="00A77AA4">
        <w:rPr>
          <w:rFonts w:ascii="Century Gothic" w:hAnsi="Century Gothic" w:eastAsia="Calibri" w:cs="Arial"/>
          <w:color w:val="000000" w:themeColor="text1"/>
        </w:rPr>
        <w:t>”,</w:t>
      </w:r>
      <w:r w:rsidRPr="00A77AA4">
        <w:rPr>
          <w:rFonts w:ascii="Century Gothic" w:hAnsi="Century Gothic" w:cs="Arial"/>
          <w:color w:val="000000" w:themeColor="text1"/>
        </w:rPr>
        <w:t xml:space="preserve"> por lo que se considera necesario y oportuno concretar </w:t>
      </w:r>
      <w:r>
        <w:rPr>
          <w:rFonts w:ascii="Century Gothic" w:hAnsi="Century Gothic" w:cs="Arial"/>
          <w:color w:val="000000" w:themeColor="text1"/>
        </w:rPr>
        <w:t>dicha</w:t>
      </w:r>
      <w:r w:rsidRPr="00A77AA4">
        <w:rPr>
          <w:rFonts w:ascii="Century Gothic" w:hAnsi="Century Gothic" w:cs="Arial"/>
          <w:color w:val="000000" w:themeColor="text1"/>
        </w:rPr>
        <w:t xml:space="preserve"> regla. Esto para determinar la conducta de las entidades ante estas circunstancias, y, por tanto, evitar confusiones o dobles interpretaciones en la aplicación del documento base.</w:t>
      </w:r>
    </w:p>
    <w:p w:rsidRPr="00A77AA4" w:rsidR="00A56864" w:rsidP="00A56864" w:rsidRDefault="00A56864" w14:paraId="6483B8D9" w14:textId="77777777">
      <w:pPr>
        <w:spacing w:after="120" w:line="276" w:lineRule="auto"/>
        <w:ind w:firstLine="709"/>
        <w:jc w:val="both"/>
        <w:rPr>
          <w:rFonts w:ascii="Century Gothic" w:hAnsi="Century Gothic" w:eastAsia="Calibri" w:cs="Arial"/>
          <w:color w:val="000000" w:themeColor="text1"/>
          <w:lang w:eastAsia="es-ES"/>
        </w:rPr>
      </w:pPr>
      <w:r w:rsidRPr="00A77AA4">
        <w:rPr>
          <w:rFonts w:ascii="Century Gothic" w:hAnsi="Century Gothic" w:eastAsia="Calibri" w:cs="Arial"/>
          <w:color w:val="000000" w:themeColor="text1"/>
          <w:lang w:eastAsia="es-ES"/>
        </w:rPr>
        <w:t xml:space="preserve">Asimismo, es bueno señalar que, de conformidad con lo dispuesto en el pliego de condiciones de los documentos tipo de interventoría de obra pública de infraestructura de transporte, su uso no exime a las entidades estatales de utilizar la normatividad y la jurisprudencia que resulte aplicable al respectivo proceso de contratación. También, dicho pliego precisa que “[…] este documento tipo no aplica a las interventorías de los contratos de que trata la Ley 1508 de 2012, esto es, para la Asociaciones </w:t>
      </w:r>
      <w:proofErr w:type="gramStart"/>
      <w:r w:rsidRPr="00A77AA4">
        <w:rPr>
          <w:rFonts w:ascii="Century Gothic" w:hAnsi="Century Gothic" w:eastAsia="Calibri" w:cs="Arial"/>
          <w:color w:val="000000" w:themeColor="text1"/>
          <w:lang w:eastAsia="es-ES"/>
        </w:rPr>
        <w:t>Público Privadas</w:t>
      </w:r>
      <w:proofErr w:type="gramEnd"/>
      <w:r w:rsidRPr="00A77AA4">
        <w:rPr>
          <w:rFonts w:ascii="Century Gothic" w:hAnsi="Century Gothic" w:eastAsia="Calibri" w:cs="Arial"/>
          <w:color w:val="000000" w:themeColor="text1"/>
          <w:lang w:eastAsia="es-ES"/>
        </w:rPr>
        <w:t>, debido a la naturaleza y especialidad de dichos contratos”.</w:t>
      </w:r>
    </w:p>
    <w:p w:rsidR="00A56864" w:rsidP="00A56864" w:rsidRDefault="00A56864" w14:paraId="2C5755C5" w14:textId="77777777">
      <w:pPr>
        <w:spacing w:after="120" w:line="276" w:lineRule="auto"/>
        <w:ind w:firstLine="709"/>
        <w:jc w:val="both"/>
        <w:rPr>
          <w:rFonts w:ascii="Century Gothic" w:hAnsi="Century Gothic" w:eastAsia="Calibri" w:cs="Arial"/>
          <w:color w:val="000000" w:themeColor="text1"/>
          <w:lang w:val="es-ES_tradnl" w:eastAsia="es-ES"/>
        </w:rPr>
      </w:pPr>
      <w:r w:rsidRPr="00A77AA4">
        <w:rPr>
          <w:rFonts w:ascii="Century Gothic" w:hAnsi="Century Gothic" w:eastAsia="Calibri" w:cs="Arial"/>
          <w:color w:val="000000" w:themeColor="text1"/>
          <w:lang w:val="es-ES_tradnl" w:eastAsia="es-ES"/>
        </w:rPr>
        <w:t xml:space="preserve">En todo caso, debe destacarse que, sin perjuicio de la competencia de esta Agencia para la expedición de documentos tipos otorgada por la Ley 2022 de 2020, son las entidades estatales encargadas de aplicarlos quienes deben analizar el objeto que pretenden contratar, para determinar si el mismo es subsumible dentro de alguna actividad cobijada por un documento tipo, y si los certificados de experiencia allegados con las actividades ejecutadas por un proponente cumplen con lo establecido en la “Matriz 1 – Experiencia”, ya sea de forma parcial o total. Al respecto, las especificaciones y particularidades del objeto a contratar, así como su relación de correspondencia con lo señalado en la matriz 1, indicarán si el certificado de experiencia cumple con lo establecido o, si es del caso, revisar si alguna(s) de las actividades ejecutadas debe(n) tenerse en cuenta por parte de la entidad. </w:t>
      </w:r>
    </w:p>
    <w:p w:rsidR="00A56864" w:rsidP="00A56864" w:rsidRDefault="00A56864" w14:paraId="2D82207D" w14:textId="77777777">
      <w:pPr>
        <w:spacing w:after="120" w:line="276" w:lineRule="auto"/>
        <w:ind w:firstLine="709"/>
        <w:jc w:val="both"/>
        <w:rPr>
          <w:rFonts w:ascii="Century Gothic" w:hAnsi="Century Gothic" w:eastAsia="Calibri" w:cs="Arial"/>
          <w:color w:val="000000" w:themeColor="text1"/>
          <w:lang w:val="es-ES_tradnl" w:eastAsia="es-ES"/>
        </w:rPr>
      </w:pPr>
      <w:r>
        <w:rPr>
          <w:rFonts w:ascii="Century Gothic" w:hAnsi="Century Gothic" w:eastAsia="Calibri" w:cs="Arial"/>
          <w:color w:val="000000" w:themeColor="text1"/>
          <w:lang w:val="es-ES_tradnl" w:eastAsia="es-ES"/>
        </w:rPr>
        <w:t xml:space="preserve">Por lo demás, en los términos del numeral 3.8.1 del pliego, es necesario considerar las reglas de </w:t>
      </w:r>
      <w:proofErr w:type="spellStart"/>
      <w:r>
        <w:rPr>
          <w:rFonts w:ascii="Century Gothic" w:hAnsi="Century Gothic" w:eastAsia="Calibri" w:cs="Arial"/>
          <w:color w:val="000000" w:themeColor="text1"/>
          <w:lang w:val="es-ES_tradnl" w:eastAsia="es-ES"/>
        </w:rPr>
        <w:t>subsanabilidad</w:t>
      </w:r>
      <w:proofErr w:type="spellEnd"/>
      <w:r>
        <w:rPr>
          <w:rFonts w:ascii="Century Gothic" w:hAnsi="Century Gothic" w:eastAsia="Calibri" w:cs="Arial"/>
          <w:color w:val="000000" w:themeColor="text1"/>
          <w:lang w:val="es-ES_tradnl" w:eastAsia="es-ES"/>
        </w:rPr>
        <w:t xml:space="preserve"> del concurso de méritos. En consecuencia, “[…] </w:t>
      </w:r>
      <w:r w:rsidRPr="00912806">
        <w:rPr>
          <w:rFonts w:ascii="Century Gothic" w:hAnsi="Century Gothic" w:eastAsia="Calibri" w:cs="Arial"/>
          <w:color w:val="000000" w:themeColor="text1"/>
          <w:lang w:val="es-ES_tradnl" w:eastAsia="es-ES"/>
        </w:rPr>
        <w:t>Si el Proponente subsana el requisito mínimo de experiencia se habilitará en el Proceso de Contratación, pero no se tendrán en cuenta estos contratos para la asignación del puntaje. En otras palabras, el otorgamiento de puntaje se realizará con los contratos válidos allegados en su oferta y que no fueron objeto de subsanación por parte del Proponente</w:t>
      </w:r>
      <w:r>
        <w:rPr>
          <w:rFonts w:ascii="Century Gothic" w:hAnsi="Century Gothic" w:eastAsia="Calibri" w:cs="Arial"/>
          <w:color w:val="000000" w:themeColor="text1"/>
          <w:lang w:val="es-ES_tradnl" w:eastAsia="es-ES"/>
        </w:rPr>
        <w:t xml:space="preserve">”. </w:t>
      </w:r>
    </w:p>
    <w:p w:rsidR="00A56864" w:rsidP="00A56864" w:rsidRDefault="00A56864" w14:paraId="74251E8B" w14:textId="77777777">
      <w:pPr>
        <w:spacing w:after="0" w:line="276" w:lineRule="auto"/>
        <w:ind w:firstLine="709"/>
        <w:jc w:val="both"/>
        <w:rPr>
          <w:rFonts w:ascii="Century Gothic" w:hAnsi="Century Gothic" w:eastAsia="Calibri" w:cs="Arial"/>
          <w:color w:val="000000" w:themeColor="text1"/>
        </w:rPr>
      </w:pPr>
      <w:r w:rsidRPr="00EE42BB">
        <w:rPr>
          <w:rFonts w:ascii="Century Gothic" w:hAnsi="Century Gothic" w:eastAsia="Calibri" w:cs="Arial"/>
          <w:color w:val="000000" w:themeColor="text1"/>
        </w:rPr>
        <w:t xml:space="preserve">Dentro de este marco, la entidad contratante definirá en cada caso concreto </w:t>
      </w:r>
      <w:r>
        <w:rPr>
          <w:rFonts w:ascii="Century Gothic" w:hAnsi="Century Gothic" w:eastAsia="Calibri" w:cs="Arial"/>
          <w:color w:val="000000" w:themeColor="text1"/>
        </w:rPr>
        <w:t>lo atinente a la evaluación de las ofertas respecto a las hipótesis objeto de consulta</w:t>
      </w:r>
      <w:r w:rsidRPr="00EE42BB">
        <w:rPr>
          <w:rFonts w:ascii="Century Gothic" w:hAnsi="Century Gothic" w:eastAsia="Calibri" w:cs="Arial"/>
          <w:color w:val="000000" w:themeColor="text1"/>
        </w:rPr>
        <w:t xml:space="preserve">. Al tratarse de un análisis que debe realizarse en el procedimiento contractual específico, la Agencia no puede definir un criterio universal y absoluto </w:t>
      </w:r>
      <w:r w:rsidRPr="00EE42BB">
        <w:rPr>
          <w:rFonts w:ascii="Century Gothic" w:hAnsi="Century Gothic" w:eastAsia="Calibri" w:cs="Arial"/>
          <w:color w:val="000000" w:themeColor="text1"/>
        </w:rPr>
        <w:t xml:space="preserve">por vía consultiva, sino que brinda elementos de carácter general para que los partícipes del sistema de compras y contratación pública adopten la decisión que corresponda, lo cual es acorde con el principio de juridicidad. De esta manera, cada entidad definirá la forma de adelantar su gestión contractual, sin que sea atribución de Colombia Compra Eficiente validar </w:t>
      </w:r>
      <w:r>
        <w:rPr>
          <w:rFonts w:ascii="Century Gothic" w:hAnsi="Century Gothic" w:eastAsia="Calibri" w:cs="Arial"/>
          <w:color w:val="000000" w:themeColor="text1"/>
        </w:rPr>
        <w:t>sus actuaciones</w:t>
      </w:r>
      <w:r w:rsidRPr="00EE42BB">
        <w:rPr>
          <w:rFonts w:ascii="Century Gothic" w:hAnsi="Century Gothic" w:eastAsia="Calibri" w:cs="Arial"/>
          <w:color w:val="000000" w:themeColor="text1"/>
        </w:rPr>
        <w:t>.</w:t>
      </w:r>
    </w:p>
    <w:p w:rsidRPr="00806396" w:rsidR="00A56864" w:rsidP="00A56864" w:rsidRDefault="00A56864" w14:paraId="4F11B11B" w14:textId="77777777">
      <w:pPr>
        <w:spacing w:after="120" w:line="276" w:lineRule="auto"/>
        <w:jc w:val="both"/>
        <w:rPr>
          <w:rFonts w:ascii="Century Gothic" w:hAnsi="Century Gothic" w:eastAsia="Times New Roman" w:cs="Arial"/>
          <w:color w:val="000000"/>
          <w:lang w:val="es-ES_tradnl" w:eastAsia="es-ES_tradnl"/>
        </w:rPr>
      </w:pPr>
      <w:r>
        <w:rPr>
          <w:rFonts w:ascii="Century Gothic" w:hAnsi="Century Gothic" w:eastAsia="Calibri" w:cs="Arial"/>
          <w:color w:val="000000" w:themeColor="text1"/>
          <w:lang w:val="es-ES_tradnl"/>
        </w:rPr>
        <w:t xml:space="preserve"> </w:t>
      </w:r>
      <w:bookmarkEnd w:id="14"/>
    </w:p>
    <w:p w:rsidRPr="00035110" w:rsidR="00A56864" w:rsidP="00A56864" w:rsidRDefault="00A56864" w14:paraId="74C44753" w14:textId="77777777">
      <w:pPr>
        <w:widowControl w:val="0"/>
        <w:autoSpaceDE w:val="0"/>
        <w:autoSpaceDN w:val="0"/>
        <w:spacing w:after="0" w:line="276" w:lineRule="auto"/>
        <w:jc w:val="both"/>
        <w:rPr>
          <w:rFonts w:ascii="Century Gothic" w:hAnsi="Century Gothic" w:cs="Arial"/>
          <w:color w:val="000000" w:themeColor="text1"/>
          <w:lang w:val="es-ES_tradnl" w:bidi="es-ES"/>
        </w:rPr>
      </w:pPr>
      <w:r w:rsidRPr="00035110">
        <w:rPr>
          <w:rFonts w:ascii="Century Gothic" w:hAnsi="Century Gothic" w:cs="Arial"/>
          <w:color w:val="000000" w:themeColor="text1"/>
          <w:lang w:val="es-ES_tradnl"/>
        </w:rPr>
        <w:t>Este concepto tiene el alcance previsto en el artículo 28 del Código de Procedimiento Administrativo y de lo Contencioso Administrativo.</w:t>
      </w:r>
      <w:r>
        <w:rPr>
          <w:rFonts w:ascii="Century Gothic" w:hAnsi="Century Gothic" w:cs="Arial"/>
          <w:color w:val="000000" w:themeColor="text1"/>
          <w:lang w:val="es-ES_tradnl"/>
        </w:rPr>
        <w:t xml:space="preserve"> </w:t>
      </w:r>
    </w:p>
    <w:p w:rsidRPr="00035110" w:rsidR="00A56864" w:rsidP="00A56864" w:rsidRDefault="00A56864" w14:paraId="28F13849" w14:textId="77777777">
      <w:pPr>
        <w:widowControl w:val="0"/>
        <w:autoSpaceDE w:val="0"/>
        <w:autoSpaceDN w:val="0"/>
        <w:spacing w:after="0" w:line="276" w:lineRule="auto"/>
        <w:jc w:val="both"/>
        <w:rPr>
          <w:rFonts w:ascii="Century Gothic" w:hAnsi="Century Gothic" w:cs="Arial"/>
          <w:color w:val="000000" w:themeColor="text1"/>
          <w:lang w:val="es-ES_tradnl" w:bidi="es-ES"/>
        </w:rPr>
      </w:pPr>
    </w:p>
    <w:p w:rsidRPr="00035110" w:rsidR="00A56864" w:rsidP="00A56864" w:rsidRDefault="00A56864" w14:paraId="4909092F" w14:textId="77777777">
      <w:pPr>
        <w:tabs>
          <w:tab w:val="left" w:pos="426"/>
        </w:tabs>
        <w:spacing w:line="276" w:lineRule="auto"/>
        <w:jc w:val="both"/>
        <w:rPr>
          <w:rFonts w:ascii="Century Gothic" w:hAnsi="Century Gothic" w:eastAsia="Times New Roman" w:cs="Arial"/>
          <w:color w:val="000000" w:themeColor="text1"/>
        </w:rPr>
      </w:pPr>
      <w:r w:rsidRPr="00035110">
        <w:rPr>
          <w:rFonts w:ascii="Century Gothic" w:hAnsi="Century Gothic" w:eastAsia="Times New Roman" w:cs="Arial"/>
          <w:color w:val="000000" w:themeColor="text1"/>
        </w:rPr>
        <w:t>Atentamente,</w:t>
      </w:r>
    </w:p>
    <w:p w:rsidRPr="00035110" w:rsidR="00A56864" w:rsidP="00A56864" w:rsidRDefault="003873F6" w14:paraId="7AB2208B" w14:textId="035DB8B9">
      <w:pPr>
        <w:jc w:val="center"/>
        <w:rPr>
          <w:rFonts w:ascii="Century Gothic" w:hAnsi="Century Gothic" w:eastAsia="Times New Roman" w:cs="Arial"/>
          <w:lang w:eastAsia="es-CO"/>
        </w:rPr>
      </w:pPr>
      <w:r w:rsidRPr="002C3AD6">
        <w:rPr>
          <w:rFonts w:ascii="Century Gothic" w:hAnsi="Century Gothic"/>
          <w:noProof/>
        </w:rPr>
        <w:drawing>
          <wp:inline distT="0" distB="0" distL="0" distR="0" wp14:anchorId="3D84426F" wp14:editId="15F58321">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2"/>
                    <a:stretch>
                      <a:fillRect/>
                    </a:stretch>
                  </pic:blipFill>
                  <pic:spPr>
                    <a:xfrm>
                      <a:off x="0" y="0"/>
                      <a:ext cx="3772426" cy="1400370"/>
                    </a:xfrm>
                    <a:prstGeom prst="rect">
                      <a:avLst/>
                    </a:prstGeom>
                  </pic:spPr>
                </pic:pic>
              </a:graphicData>
            </a:graphic>
          </wp:inline>
        </w:drawing>
      </w:r>
    </w:p>
    <w:tbl>
      <w:tblPr>
        <w:tblW w:w="575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7"/>
        <w:gridCol w:w="4937"/>
      </w:tblGrid>
      <w:tr w:rsidRPr="00035110" w:rsidR="00A56864" w:rsidTr="00784BB3" w14:paraId="4EA2ED81" w14:textId="77777777">
        <w:trPr>
          <w:trHeight w:val="409"/>
        </w:trPr>
        <w:tc>
          <w:tcPr>
            <w:tcW w:w="817" w:type="dxa"/>
            <w:tcBorders>
              <w:top w:val="nil"/>
              <w:left w:val="nil"/>
              <w:bottom w:val="nil"/>
              <w:right w:val="nil"/>
            </w:tcBorders>
            <w:vAlign w:val="center"/>
            <w:hideMark/>
          </w:tcPr>
          <w:p w:rsidRPr="00035110" w:rsidR="00A56864" w:rsidP="00784BB3" w:rsidRDefault="00A56864" w14:paraId="1E9777D9" w14:textId="77777777">
            <w:pPr>
              <w:spacing w:after="0" w:line="240" w:lineRule="auto"/>
              <w:jc w:val="both"/>
              <w:rPr>
                <w:rFonts w:ascii="Century Gothic" w:hAnsi="Century Gothic" w:cs="Arial"/>
                <w:sz w:val="16"/>
                <w:szCs w:val="16"/>
              </w:rPr>
            </w:pPr>
            <w:r w:rsidRPr="00035110">
              <w:rPr>
                <w:rFonts w:ascii="Century Gothic" w:hAnsi="Century Gothic" w:cs="Arial"/>
                <w:sz w:val="16"/>
                <w:szCs w:val="16"/>
              </w:rPr>
              <w:t>Elaboró: </w:t>
            </w:r>
          </w:p>
        </w:tc>
        <w:tc>
          <w:tcPr>
            <w:tcW w:w="4937" w:type="dxa"/>
            <w:tcBorders>
              <w:top w:val="nil"/>
              <w:left w:val="nil"/>
              <w:bottom w:val="dotted" w:color="7F7F7F" w:themeColor="text1" w:themeTint="80" w:sz="6" w:space="0"/>
              <w:right w:val="nil"/>
            </w:tcBorders>
            <w:vAlign w:val="center"/>
            <w:hideMark/>
          </w:tcPr>
          <w:p w:rsidRPr="00035110" w:rsidR="00A56864" w:rsidP="00784BB3" w:rsidRDefault="00A56864" w14:paraId="33DD8358" w14:textId="77777777">
            <w:pPr>
              <w:spacing w:after="0" w:line="240" w:lineRule="auto"/>
              <w:jc w:val="both"/>
              <w:rPr>
                <w:rFonts w:ascii="Century Gothic" w:hAnsi="Century Gothic" w:cs="Arial"/>
                <w:sz w:val="16"/>
                <w:szCs w:val="16"/>
              </w:rPr>
            </w:pPr>
            <w:r w:rsidRPr="00035110">
              <w:rPr>
                <w:rFonts w:ascii="Century Gothic" w:hAnsi="Century Gothic" w:cs="Arial"/>
                <w:sz w:val="16"/>
                <w:szCs w:val="16"/>
              </w:rPr>
              <w:t>Juan David Montoya Penagos</w:t>
            </w:r>
          </w:p>
          <w:p w:rsidRPr="00035110" w:rsidR="00A56864" w:rsidP="00784BB3" w:rsidRDefault="00A56864" w14:paraId="540493B2" w14:textId="77777777">
            <w:pPr>
              <w:spacing w:after="0" w:line="240" w:lineRule="auto"/>
              <w:jc w:val="both"/>
              <w:rPr>
                <w:rFonts w:ascii="Century Gothic" w:hAnsi="Century Gothic" w:cs="Arial"/>
                <w:sz w:val="16"/>
                <w:szCs w:val="16"/>
              </w:rPr>
            </w:pPr>
            <w:r w:rsidRPr="00035110">
              <w:rPr>
                <w:rFonts w:ascii="Century Gothic" w:hAnsi="Century Gothic" w:cs="Arial"/>
                <w:sz w:val="16"/>
                <w:szCs w:val="16"/>
              </w:rPr>
              <w:t>Contratista de la Subdirección de Gestión Contractual</w:t>
            </w:r>
          </w:p>
        </w:tc>
      </w:tr>
      <w:tr w:rsidRPr="00035110" w:rsidR="00A56864" w:rsidTr="00784BB3" w14:paraId="69871C03" w14:textId="77777777">
        <w:trPr>
          <w:trHeight w:val="409"/>
        </w:trPr>
        <w:tc>
          <w:tcPr>
            <w:tcW w:w="817" w:type="dxa"/>
            <w:tcBorders>
              <w:top w:val="nil"/>
              <w:left w:val="nil"/>
              <w:right w:val="nil"/>
            </w:tcBorders>
            <w:vAlign w:val="center"/>
          </w:tcPr>
          <w:p w:rsidRPr="00035110" w:rsidR="00A56864" w:rsidP="00784BB3" w:rsidRDefault="00A56864" w14:paraId="5B7E3F89" w14:textId="77777777">
            <w:pPr>
              <w:jc w:val="both"/>
              <w:rPr>
                <w:rFonts w:ascii="Century Gothic" w:hAnsi="Century Gothic" w:cs="Arial"/>
                <w:sz w:val="16"/>
                <w:szCs w:val="16"/>
              </w:rPr>
            </w:pPr>
            <w:r w:rsidRPr="00035110">
              <w:rPr>
                <w:rFonts w:ascii="Century Gothic" w:hAnsi="Century Gothic" w:cs="Arial"/>
                <w:sz w:val="16"/>
                <w:szCs w:val="16"/>
              </w:rPr>
              <w:t>Revisó</w:t>
            </w:r>
          </w:p>
        </w:tc>
        <w:tc>
          <w:tcPr>
            <w:tcW w:w="4937" w:type="dxa"/>
            <w:tcBorders>
              <w:top w:val="dotted" w:color="7F7F7F" w:themeColor="text1" w:themeTint="80" w:sz="6" w:space="0"/>
              <w:left w:val="nil"/>
              <w:bottom w:val="dotted" w:color="7F7F7F" w:themeColor="text1" w:themeTint="80" w:sz="6" w:space="0"/>
              <w:right w:val="nil"/>
            </w:tcBorders>
            <w:vAlign w:val="center"/>
          </w:tcPr>
          <w:p w:rsidRPr="00A82FA2" w:rsidR="00A56864" w:rsidP="00784BB3" w:rsidRDefault="00A56864" w14:paraId="15584429" w14:textId="77777777">
            <w:pPr>
              <w:spacing w:after="0" w:line="240" w:lineRule="auto"/>
              <w:jc w:val="both"/>
              <w:rPr>
                <w:rFonts w:ascii="Century Gothic" w:hAnsi="Century Gothic" w:cs="Arial"/>
                <w:sz w:val="16"/>
                <w:szCs w:val="16"/>
              </w:rPr>
            </w:pPr>
            <w:r w:rsidRPr="00A82FA2">
              <w:rPr>
                <w:rFonts w:ascii="Century Gothic" w:hAnsi="Century Gothic" w:cs="Arial"/>
                <w:sz w:val="16"/>
                <w:szCs w:val="16"/>
              </w:rPr>
              <w:t>Alejandro Sarmiento Cantillo</w:t>
            </w:r>
          </w:p>
          <w:p w:rsidRPr="00035110" w:rsidR="00A56864" w:rsidP="00784BB3" w:rsidRDefault="00A56864" w14:paraId="763BA71E" w14:textId="77777777">
            <w:pPr>
              <w:spacing w:after="0" w:line="240" w:lineRule="auto"/>
              <w:jc w:val="both"/>
              <w:rPr>
                <w:rFonts w:ascii="Century Gothic" w:hAnsi="Century Gothic" w:cs="Arial"/>
                <w:sz w:val="16"/>
                <w:szCs w:val="16"/>
              </w:rPr>
            </w:pPr>
            <w:r w:rsidRPr="00A82FA2">
              <w:rPr>
                <w:rFonts w:ascii="Century Gothic" w:hAnsi="Century Gothic" w:cs="Arial"/>
                <w:sz w:val="16"/>
                <w:szCs w:val="16"/>
              </w:rPr>
              <w:t xml:space="preserve">Gestor T1 </w:t>
            </w:r>
            <w:r w:rsidRPr="00A82FA2">
              <w:rPr>
                <w:rFonts w:ascii="Arial" w:hAnsi="Arial" w:cs="Arial"/>
                <w:sz w:val="16"/>
                <w:szCs w:val="16"/>
              </w:rPr>
              <w:t>‒</w:t>
            </w:r>
            <w:r w:rsidRPr="00A82FA2">
              <w:rPr>
                <w:rFonts w:ascii="Century Gothic" w:hAnsi="Century Gothic" w:cs="Arial"/>
                <w:sz w:val="16"/>
                <w:szCs w:val="16"/>
              </w:rPr>
              <w:t xml:space="preserve"> 15 de la Subdirecci</w:t>
            </w:r>
            <w:r w:rsidRPr="00A82FA2">
              <w:rPr>
                <w:rFonts w:ascii="Century Gothic" w:hAnsi="Century Gothic" w:cs="Century Gothic"/>
                <w:sz w:val="16"/>
                <w:szCs w:val="16"/>
              </w:rPr>
              <w:t>ó</w:t>
            </w:r>
            <w:r w:rsidRPr="00A82FA2">
              <w:rPr>
                <w:rFonts w:ascii="Century Gothic" w:hAnsi="Century Gothic" w:cs="Arial"/>
                <w:sz w:val="16"/>
                <w:szCs w:val="16"/>
              </w:rPr>
              <w:t>n de Gesti</w:t>
            </w:r>
            <w:r w:rsidRPr="00A82FA2">
              <w:rPr>
                <w:rFonts w:ascii="Century Gothic" w:hAnsi="Century Gothic" w:cs="Century Gothic"/>
                <w:sz w:val="16"/>
                <w:szCs w:val="16"/>
              </w:rPr>
              <w:t>ó</w:t>
            </w:r>
            <w:r w:rsidRPr="00A82FA2">
              <w:rPr>
                <w:rFonts w:ascii="Century Gothic" w:hAnsi="Century Gothic" w:cs="Arial"/>
                <w:sz w:val="16"/>
                <w:szCs w:val="16"/>
              </w:rPr>
              <w:t>n Contractual</w:t>
            </w:r>
          </w:p>
        </w:tc>
      </w:tr>
      <w:tr w:rsidRPr="00035110" w:rsidR="00A56864" w:rsidTr="00784BB3" w14:paraId="0F120A80" w14:textId="77777777">
        <w:trPr>
          <w:trHeight w:val="389"/>
        </w:trPr>
        <w:tc>
          <w:tcPr>
            <w:tcW w:w="817" w:type="dxa"/>
            <w:tcBorders>
              <w:top w:val="nil"/>
              <w:left w:val="nil"/>
              <w:bottom w:val="nil"/>
              <w:right w:val="nil"/>
            </w:tcBorders>
            <w:vAlign w:val="center"/>
            <w:hideMark/>
          </w:tcPr>
          <w:p w:rsidRPr="00035110" w:rsidR="00A56864" w:rsidP="00784BB3" w:rsidRDefault="00A56864" w14:paraId="7F4A9180" w14:textId="77777777">
            <w:pPr>
              <w:spacing w:after="0" w:line="240" w:lineRule="auto"/>
              <w:jc w:val="both"/>
              <w:rPr>
                <w:rFonts w:ascii="Century Gothic" w:hAnsi="Century Gothic" w:cs="Arial"/>
                <w:sz w:val="16"/>
                <w:szCs w:val="16"/>
              </w:rPr>
            </w:pPr>
            <w:r w:rsidRPr="00035110">
              <w:rPr>
                <w:rFonts w:ascii="Century Gothic" w:hAnsi="Century Gothic" w:cs="Arial"/>
                <w:sz w:val="16"/>
                <w:szCs w:val="16"/>
              </w:rPr>
              <w:t>Aprobó: </w:t>
            </w:r>
          </w:p>
        </w:tc>
        <w:tc>
          <w:tcPr>
            <w:tcW w:w="4937" w:type="dxa"/>
            <w:tcBorders>
              <w:top w:val="dotted" w:color="7F7F7F" w:themeColor="text1" w:themeTint="80" w:sz="6" w:space="0"/>
              <w:left w:val="nil"/>
              <w:bottom w:val="dotted" w:color="7F7F7F" w:themeColor="text1" w:themeTint="80" w:sz="6" w:space="0"/>
              <w:right w:val="nil"/>
            </w:tcBorders>
            <w:vAlign w:val="center"/>
            <w:hideMark/>
          </w:tcPr>
          <w:p w:rsidRPr="00035110" w:rsidR="00A56864" w:rsidP="00784BB3" w:rsidRDefault="00A56864" w14:paraId="6ABCE9B6" w14:textId="4D1CBE56">
            <w:pPr>
              <w:spacing w:after="0" w:line="240" w:lineRule="auto"/>
              <w:jc w:val="both"/>
              <w:rPr>
                <w:rFonts w:ascii="Century Gothic" w:hAnsi="Century Gothic" w:cs="Arial"/>
                <w:sz w:val="16"/>
                <w:szCs w:val="16"/>
              </w:rPr>
            </w:pPr>
            <w:r>
              <w:rPr>
                <w:rFonts w:ascii="Century Gothic" w:hAnsi="Century Gothic" w:cs="Arial"/>
                <w:sz w:val="16"/>
                <w:szCs w:val="16"/>
              </w:rPr>
              <w:t>Carolina Quintero Gacharn</w:t>
            </w:r>
            <w:r w:rsidR="00374241">
              <w:rPr>
                <w:rFonts w:ascii="Century Gothic" w:hAnsi="Century Gothic" w:cs="Arial"/>
                <w:sz w:val="16"/>
                <w:szCs w:val="16"/>
              </w:rPr>
              <w:t>á</w:t>
            </w:r>
            <w:r>
              <w:rPr>
                <w:rFonts w:ascii="Century Gothic" w:hAnsi="Century Gothic" w:cs="Arial"/>
                <w:sz w:val="16"/>
                <w:szCs w:val="16"/>
              </w:rPr>
              <w:t xml:space="preserve"> </w:t>
            </w:r>
          </w:p>
          <w:p w:rsidRPr="00035110" w:rsidR="00A56864" w:rsidP="00784BB3" w:rsidRDefault="00A56864" w14:paraId="6C5EE207" w14:textId="77777777">
            <w:pPr>
              <w:spacing w:after="0" w:line="240" w:lineRule="auto"/>
              <w:jc w:val="both"/>
              <w:rPr>
                <w:rFonts w:ascii="Century Gothic" w:hAnsi="Century Gothic" w:cs="Arial"/>
                <w:sz w:val="16"/>
                <w:szCs w:val="16"/>
              </w:rPr>
            </w:pPr>
            <w:r w:rsidRPr="00035110">
              <w:rPr>
                <w:rFonts w:ascii="Century Gothic" w:hAnsi="Century Gothic" w:cs="Arial"/>
                <w:sz w:val="16"/>
                <w:szCs w:val="16"/>
              </w:rPr>
              <w:t>Subdirectora de Gestión Contractual ANCP</w:t>
            </w:r>
            <w:r>
              <w:rPr>
                <w:rFonts w:ascii="Century Gothic" w:hAnsi="Century Gothic" w:cs="Arial"/>
                <w:sz w:val="16"/>
                <w:szCs w:val="16"/>
              </w:rPr>
              <w:t>-</w:t>
            </w:r>
            <w:r w:rsidRPr="00035110">
              <w:rPr>
                <w:rFonts w:ascii="Century Gothic" w:hAnsi="Century Gothic" w:cs="Arial"/>
                <w:sz w:val="16"/>
                <w:szCs w:val="16"/>
              </w:rPr>
              <w:t>CCE</w:t>
            </w:r>
          </w:p>
        </w:tc>
      </w:tr>
      <w:bookmarkEnd w:id="2"/>
    </w:tbl>
    <w:p w:rsidRPr="00035110" w:rsidR="00A56864" w:rsidP="00A56864" w:rsidRDefault="00A56864" w14:paraId="42298FF7" w14:textId="77777777">
      <w:pPr>
        <w:tabs>
          <w:tab w:val="left" w:pos="0"/>
        </w:tabs>
        <w:spacing w:line="276" w:lineRule="auto"/>
        <w:contextualSpacing/>
        <w:jc w:val="both"/>
        <w:rPr>
          <w:rFonts w:ascii="Century Gothic" w:hAnsi="Century Gothic" w:cs="Arial"/>
          <w:lang w:val="es-MX"/>
        </w:rPr>
      </w:pPr>
    </w:p>
    <w:p w:rsidRPr="00035110" w:rsidR="00A56864" w:rsidP="00A56864" w:rsidRDefault="00A56864" w14:paraId="4F84CACD" w14:textId="77777777">
      <w:pPr>
        <w:rPr>
          <w:rFonts w:ascii="Century Gothic" w:hAnsi="Century Gothic"/>
        </w:rPr>
      </w:pPr>
      <w:r w:rsidRPr="00035110">
        <w:rPr>
          <w:rFonts w:ascii="Century Gothic" w:hAnsi="Century Gothic"/>
        </w:rPr>
        <w:t xml:space="preserve"> </w:t>
      </w:r>
    </w:p>
    <w:p w:rsidRPr="00DB6337" w:rsidR="00127233" w:rsidP="00DB6337" w:rsidRDefault="00E245AB" w14:paraId="0F293BF4" w14:textId="4E630EB9">
      <w:r w:rsidRPr="00DB6337">
        <w:t xml:space="preserve"> </w:t>
      </w:r>
    </w:p>
    <w:sectPr w:rsidRPr="00DB6337" w:rsidR="00127233" w:rsidSect="004368BC">
      <w:headerReference w:type="default" r:id="rId13"/>
      <w:footerReference w:type="default" r:id="rId14"/>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06B9" w:rsidP="004A1847" w:rsidRDefault="001A06B9" w14:paraId="0ACE561D" w14:textId="77777777">
      <w:pPr>
        <w:spacing w:after="0" w:line="240" w:lineRule="auto"/>
      </w:pPr>
      <w:r>
        <w:separator/>
      </w:r>
    </w:p>
  </w:endnote>
  <w:endnote w:type="continuationSeparator" w:id="0">
    <w:p w:rsidR="001A06B9" w:rsidP="004A1847" w:rsidRDefault="001A06B9" w14:paraId="750FF50B" w14:textId="77777777">
      <w:pPr>
        <w:spacing w:after="0" w:line="240" w:lineRule="auto"/>
      </w:pPr>
      <w:r>
        <w:continuationSeparator/>
      </w:r>
    </w:p>
  </w:endnote>
  <w:endnote w:type="continuationNotice" w:id="1">
    <w:p w:rsidR="001A06B9" w:rsidRDefault="001A06B9" w14:paraId="1442F19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A1847" w:rsidRDefault="009419F9" w14:paraId="18911A32" w14:textId="3BA5BB2D">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71D456F" w14:textId="2A942425">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52F9643A">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w:t>
          </w:r>
          <w:r w:rsidR="00F613A2">
            <w:rPr>
              <w:rFonts w:ascii="Century Gothic" w:hAnsi="Century Gothic" w:eastAsia="Geo" w:cs="Geo"/>
              <w:b/>
              <w:color w:val="000000"/>
              <w:sz w:val="16"/>
              <w:szCs w:val="16"/>
              <w:lang w:eastAsia="es-CO"/>
            </w:rPr>
            <w:t>7</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3EF9ACCC">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27B7F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00BD15D4">
            <w:rPr>
              <w:rFonts w:ascii="Century Gothic" w:hAnsi="Century Gothic"/>
              <w:b/>
              <w:bCs/>
              <w:noProof/>
              <w:sz w:val="16"/>
              <w:szCs w:val="16"/>
            </w:rPr>
            <w:t>2</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00BD15D4">
            <w:rPr>
              <w:rFonts w:ascii="Century Gothic" w:hAnsi="Century Gothic"/>
              <w:b/>
              <w:bCs/>
              <w:noProof/>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06B9" w:rsidP="004A1847" w:rsidRDefault="001A06B9" w14:paraId="24E92D56" w14:textId="77777777">
      <w:pPr>
        <w:spacing w:after="0" w:line="240" w:lineRule="auto"/>
      </w:pPr>
      <w:r>
        <w:separator/>
      </w:r>
    </w:p>
  </w:footnote>
  <w:footnote w:type="continuationSeparator" w:id="0">
    <w:p w:rsidR="001A06B9" w:rsidP="004A1847" w:rsidRDefault="001A06B9" w14:paraId="7691BA28" w14:textId="77777777">
      <w:pPr>
        <w:spacing w:after="0" w:line="240" w:lineRule="auto"/>
      </w:pPr>
      <w:r>
        <w:continuationSeparator/>
      </w:r>
    </w:p>
  </w:footnote>
  <w:footnote w:type="continuationNotice" w:id="1">
    <w:p w:rsidR="001A06B9" w:rsidRDefault="001A06B9" w14:paraId="3538C839" w14:textId="77777777">
      <w:pPr>
        <w:spacing w:after="0" w:line="240" w:lineRule="auto"/>
      </w:pPr>
    </w:p>
  </w:footnote>
  <w:footnote w:id="2">
    <w:p w:rsidRPr="006F567D" w:rsidR="00A56864" w:rsidP="00A56864" w:rsidRDefault="00A56864" w14:paraId="69193ED6" w14:textId="77777777">
      <w:pPr>
        <w:pStyle w:val="Textonotapie"/>
        <w:ind w:firstLine="708"/>
        <w:jc w:val="both"/>
        <w:rPr>
          <w:rFonts w:ascii="Century Gothic" w:hAnsi="Century Gothic" w:cs="Arial"/>
          <w:sz w:val="16"/>
          <w:szCs w:val="16"/>
          <w:lang w:val="es-ES"/>
        </w:rPr>
      </w:pPr>
      <w:r w:rsidRPr="006F567D">
        <w:rPr>
          <w:rStyle w:val="Refdenotaalpie"/>
          <w:rFonts w:ascii="Century Gothic" w:hAnsi="Century Gothic" w:cs="Arial"/>
          <w:sz w:val="16"/>
          <w:szCs w:val="16"/>
        </w:rPr>
        <w:footnoteRef/>
      </w:r>
      <w:r w:rsidRPr="006F567D">
        <w:rPr>
          <w:rFonts w:ascii="Century Gothic" w:hAnsi="Century Gothic" w:cs="Arial"/>
          <w:sz w:val="16"/>
          <w:szCs w:val="16"/>
        </w:rPr>
        <w:t xml:space="preserve"> La Agencia Nacional de Contratación Pública </w:t>
      </w:r>
      <w:r w:rsidRPr="006F567D">
        <w:rPr>
          <w:rFonts w:ascii="Arial" w:hAnsi="Arial" w:cs="Arial"/>
          <w:sz w:val="16"/>
          <w:szCs w:val="16"/>
        </w:rPr>
        <w:t>‒</w:t>
      </w:r>
      <w:r w:rsidRPr="006F567D">
        <w:rPr>
          <w:rFonts w:ascii="Century Gothic" w:hAnsi="Century Gothic" w:cs="Arial"/>
          <w:sz w:val="16"/>
          <w:szCs w:val="16"/>
        </w:rPr>
        <w:t xml:space="preserve"> Colombia Compra Eficiente fue creada por el Decreto Ley 4170 de 2011. Su objetivo es servir como ente rector de la pol</w:t>
      </w:r>
      <w:r w:rsidRPr="006F567D">
        <w:rPr>
          <w:rFonts w:ascii="Century Gothic" w:hAnsi="Century Gothic" w:cs="Century Gothic"/>
          <w:sz w:val="16"/>
          <w:szCs w:val="16"/>
        </w:rPr>
        <w:t>í</w:t>
      </w:r>
      <w:r w:rsidRPr="006F567D">
        <w:rPr>
          <w:rFonts w:ascii="Century Gothic" w:hAnsi="Century Gothic" w:cs="Arial"/>
          <w:sz w:val="16"/>
          <w:szCs w:val="16"/>
        </w:rPr>
        <w:t>tica de compras y contrataci</w:t>
      </w:r>
      <w:r w:rsidRPr="006F567D">
        <w:rPr>
          <w:rFonts w:ascii="Century Gothic" w:hAnsi="Century Gothic" w:cs="Century Gothic"/>
          <w:sz w:val="16"/>
          <w:szCs w:val="16"/>
        </w:rPr>
        <w:t>ó</w:t>
      </w:r>
      <w:r w:rsidRPr="006F567D">
        <w:rPr>
          <w:rFonts w:ascii="Century Gothic" w:hAnsi="Century Gothic" w:cs="Arial"/>
          <w:sz w:val="16"/>
          <w:szCs w:val="16"/>
        </w:rPr>
        <w:t xml:space="preserve">n del Estado. Para tales fines, como </w:t>
      </w:r>
      <w:r w:rsidRPr="006F567D">
        <w:rPr>
          <w:rFonts w:ascii="Century Gothic" w:hAnsi="Century Gothic" w:cs="Century Gothic"/>
          <w:sz w:val="16"/>
          <w:szCs w:val="16"/>
        </w:rPr>
        <w:t>ó</w:t>
      </w:r>
      <w:r w:rsidRPr="006F567D">
        <w:rPr>
          <w:rFonts w:ascii="Century Gothic" w:hAnsi="Century Gothic" w:cs="Arial"/>
          <w:sz w:val="16"/>
          <w:szCs w:val="16"/>
        </w:rPr>
        <w:t>rgano t</w:t>
      </w:r>
      <w:r w:rsidRPr="006F567D">
        <w:rPr>
          <w:rFonts w:ascii="Century Gothic" w:hAnsi="Century Gothic" w:cs="Century Gothic"/>
          <w:sz w:val="16"/>
          <w:szCs w:val="16"/>
        </w:rPr>
        <w:t>é</w:t>
      </w:r>
      <w:r w:rsidRPr="006F567D">
        <w:rPr>
          <w:rFonts w:ascii="Century Gothic" w:hAnsi="Century Gothic" w:cs="Arial"/>
          <w:sz w:val="16"/>
          <w:szCs w:val="16"/>
        </w:rPr>
        <w:t>cnico especializado, le corresponde formular pol</w:t>
      </w:r>
      <w:r w:rsidRPr="006F567D">
        <w:rPr>
          <w:rFonts w:ascii="Century Gothic" w:hAnsi="Century Gothic" w:cs="Century Gothic"/>
          <w:sz w:val="16"/>
          <w:szCs w:val="16"/>
        </w:rPr>
        <w:t>í</w:t>
      </w:r>
      <w:r w:rsidRPr="006F567D">
        <w:rPr>
          <w:rFonts w:ascii="Century Gothic" w:hAnsi="Century Gothic" w:cs="Arial"/>
          <w:sz w:val="16"/>
          <w:szCs w:val="16"/>
        </w:rPr>
        <w:t>ticas p</w:t>
      </w:r>
      <w:r w:rsidRPr="006F567D">
        <w:rPr>
          <w:rFonts w:ascii="Century Gothic" w:hAnsi="Century Gothic" w:cs="Century Gothic"/>
          <w:sz w:val="16"/>
          <w:szCs w:val="16"/>
        </w:rPr>
        <w:t>ú</w:t>
      </w:r>
      <w:r w:rsidRPr="006F567D">
        <w:rPr>
          <w:rFonts w:ascii="Century Gothic" w:hAnsi="Century Gothic" w:cs="Arial"/>
          <w:sz w:val="16"/>
          <w:szCs w:val="16"/>
        </w:rPr>
        <w:t>blicas y normas y unificar los procesos de contrataci</w:t>
      </w:r>
      <w:r w:rsidRPr="006F567D">
        <w:rPr>
          <w:rFonts w:ascii="Century Gothic" w:hAnsi="Century Gothic" w:cs="Century Gothic"/>
          <w:sz w:val="16"/>
          <w:szCs w:val="16"/>
        </w:rPr>
        <w:t>ó</w:t>
      </w:r>
      <w:r w:rsidRPr="006F567D">
        <w:rPr>
          <w:rFonts w:ascii="Century Gothic" w:hAnsi="Century Gothic" w:cs="Arial"/>
          <w:sz w:val="16"/>
          <w:szCs w:val="16"/>
        </w:rPr>
        <w:t>n estatal, con el fin de lograr una mayor eficiencia, transparencia y optimizaci</w:t>
      </w:r>
      <w:r w:rsidRPr="006F567D">
        <w:rPr>
          <w:rFonts w:ascii="Century Gothic" w:hAnsi="Century Gothic" w:cs="Century Gothic"/>
          <w:sz w:val="16"/>
          <w:szCs w:val="16"/>
        </w:rPr>
        <w:t>ó</w:t>
      </w:r>
      <w:r w:rsidRPr="006F567D">
        <w:rPr>
          <w:rFonts w:ascii="Century Gothic" w:hAnsi="Century Gothic" w:cs="Arial"/>
          <w:sz w:val="16"/>
          <w:szCs w:val="16"/>
        </w:rPr>
        <w:t>n de los recursos del Estado. El art</w:t>
      </w:r>
      <w:r w:rsidRPr="006F567D">
        <w:rPr>
          <w:rFonts w:ascii="Century Gothic" w:hAnsi="Century Gothic" w:cs="Century Gothic"/>
          <w:sz w:val="16"/>
          <w:szCs w:val="16"/>
        </w:rPr>
        <w:t>í</w:t>
      </w:r>
      <w:r w:rsidRPr="006F567D">
        <w:rPr>
          <w:rFonts w:ascii="Century Gothic" w:hAnsi="Century Gothic" w:cs="Arial"/>
          <w:sz w:val="16"/>
          <w:szCs w:val="16"/>
        </w:rPr>
        <w:t xml:space="preserve">culo 3 </w:t>
      </w:r>
      <w:r w:rsidRPr="006F567D">
        <w:rPr>
          <w:rFonts w:ascii="Century Gothic" w:hAnsi="Century Gothic" w:cs="Arial"/>
          <w:i/>
          <w:iCs/>
          <w:sz w:val="16"/>
          <w:szCs w:val="16"/>
        </w:rPr>
        <w:t xml:space="preserve">ibidem </w:t>
      </w:r>
      <w:r w:rsidRPr="006F567D">
        <w:rPr>
          <w:rFonts w:ascii="Century Gothic" w:hAnsi="Century Gothic"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rsidRPr="006F567D" w:rsidR="00A56864" w:rsidP="00A56864" w:rsidRDefault="00A56864" w14:paraId="088C8C7C" w14:textId="77777777">
      <w:pPr>
        <w:pStyle w:val="Textonotapie"/>
        <w:ind w:firstLine="708"/>
        <w:jc w:val="both"/>
        <w:rPr>
          <w:rFonts w:ascii="Century Gothic" w:hAnsi="Century Gothic" w:cs="Arial"/>
          <w:sz w:val="16"/>
          <w:szCs w:val="16"/>
        </w:rPr>
      </w:pPr>
      <w:r w:rsidRPr="006F567D">
        <w:rPr>
          <w:rStyle w:val="Refdenotaalpie"/>
          <w:rFonts w:ascii="Century Gothic" w:hAnsi="Century Gothic" w:cs="Arial"/>
          <w:sz w:val="16"/>
          <w:szCs w:val="16"/>
        </w:rPr>
        <w:footnoteRef/>
      </w:r>
      <w:r w:rsidRPr="006F567D">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w:history="1" r:id="rId1">
        <w:r w:rsidRPr="006F567D">
          <w:rPr>
            <w:rStyle w:val="Hipervnculo"/>
            <w:rFonts w:ascii="Century Gothic" w:hAnsi="Century Gothic" w:cs="Arial"/>
            <w:sz w:val="16"/>
            <w:szCs w:val="16"/>
          </w:rPr>
          <w:t>https://relatoria.colombiacompra.gov.co/busqueda/conceptos</w:t>
        </w:r>
      </w:hyperlink>
      <w:r w:rsidRPr="006F567D">
        <w:rPr>
          <w:rStyle w:val="Hipervnculo"/>
          <w:rFonts w:ascii="Century Gothic" w:hAnsi="Century Gothic" w:cs="Arial"/>
          <w:sz w:val="16"/>
          <w:szCs w:val="16"/>
        </w:rPr>
        <w:t xml:space="preserve">. </w:t>
      </w:r>
    </w:p>
  </w:footnote>
  <w:footnote w:id="4">
    <w:p w:rsidRPr="006F567D" w:rsidR="00A56864" w:rsidP="00A56864" w:rsidRDefault="00A56864" w14:paraId="12F62460" w14:textId="77777777">
      <w:pPr>
        <w:pStyle w:val="Textonotapie"/>
        <w:ind w:firstLine="709"/>
        <w:jc w:val="both"/>
        <w:rPr>
          <w:rFonts w:ascii="Century Gothic" w:hAnsi="Century Gothic" w:cs="Arial"/>
          <w:color w:val="000000"/>
          <w:sz w:val="16"/>
          <w:szCs w:val="16"/>
          <w:lang w:val="es-CO"/>
        </w:rPr>
      </w:pPr>
      <w:r w:rsidRPr="006F567D">
        <w:rPr>
          <w:rStyle w:val="Refdenotaalpie"/>
          <w:rFonts w:ascii="Century Gothic" w:hAnsi="Century Gothic" w:cs="Arial"/>
          <w:color w:val="000000"/>
          <w:sz w:val="16"/>
          <w:szCs w:val="16"/>
        </w:rPr>
        <w:footnoteRef/>
      </w:r>
      <w:r w:rsidRPr="006F567D">
        <w:rPr>
          <w:rFonts w:ascii="Century Gothic" w:hAnsi="Century Gothic" w:cs="Arial"/>
          <w:color w:val="000000"/>
          <w:sz w:val="16"/>
          <w:szCs w:val="16"/>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5">
    <w:p w:rsidRPr="006F567D" w:rsidR="00A56864" w:rsidP="00A56864" w:rsidRDefault="00A56864" w14:paraId="07DE3A9D" w14:textId="77777777">
      <w:pPr>
        <w:pStyle w:val="Textonotapie"/>
        <w:ind w:firstLine="709"/>
        <w:jc w:val="both"/>
        <w:rPr>
          <w:rFonts w:ascii="Century Gothic" w:hAnsi="Century Gothic" w:cs="Arial"/>
          <w:color w:val="000000"/>
          <w:sz w:val="16"/>
          <w:szCs w:val="16"/>
        </w:rPr>
      </w:pPr>
      <w:r w:rsidRPr="006F567D">
        <w:rPr>
          <w:rStyle w:val="Refdenotaalpie"/>
          <w:rFonts w:ascii="Century Gothic" w:hAnsi="Century Gothic" w:cs="Arial"/>
          <w:color w:val="000000"/>
          <w:sz w:val="16"/>
          <w:szCs w:val="16"/>
        </w:rPr>
        <w:footnoteRef/>
      </w:r>
      <w:r w:rsidRPr="006F567D">
        <w:rPr>
          <w:rFonts w:ascii="Century Gothic" w:hAnsi="Century Gothic" w:cs="Arial"/>
          <w:color w:val="000000"/>
          <w:sz w:val="16"/>
          <w:szCs w:val="16"/>
        </w:rPr>
        <w:t xml:space="preserve"> </w:t>
      </w:r>
      <w:r w:rsidRPr="006F567D">
        <w:rPr>
          <w:rFonts w:ascii="Century Gothic" w:hAnsi="Century Gothic" w:cs="Arial"/>
          <w:color w:val="000000"/>
          <w:sz w:val="16"/>
          <w:szCs w:val="16"/>
          <w:lang w:val="es-CO"/>
        </w:rPr>
        <w:t xml:space="preserve">Ley 1882 de 2018: “Artículo 4. </w:t>
      </w:r>
      <w:r w:rsidRPr="006F567D">
        <w:rPr>
          <w:rFonts w:ascii="Century Gothic" w:hAnsi="Century Gothic" w:cs="Arial"/>
          <w:color w:val="000000"/>
          <w:sz w:val="16"/>
          <w:szCs w:val="16"/>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rsidRPr="006F567D" w:rsidR="00A56864" w:rsidP="00A56864" w:rsidRDefault="00A56864" w14:paraId="737B544D" w14:textId="77777777">
      <w:pPr>
        <w:pStyle w:val="Textonotapie"/>
        <w:ind w:firstLine="709"/>
        <w:jc w:val="both"/>
        <w:rPr>
          <w:rFonts w:ascii="Century Gothic" w:hAnsi="Century Gothic" w:cs="Arial"/>
          <w:color w:val="000000"/>
          <w:sz w:val="16"/>
          <w:szCs w:val="16"/>
          <w:lang w:val="es-CO"/>
        </w:rPr>
      </w:pPr>
      <w:r w:rsidRPr="006F567D">
        <w:rPr>
          <w:rFonts w:ascii="Century Gothic" w:hAnsi="Century Gothic" w:cs="Arial"/>
          <w:color w:val="000000"/>
          <w:sz w:val="16"/>
          <w:szCs w:val="16"/>
          <w:lang w:val="es-CO"/>
        </w:rPr>
        <w:t>La facultad de adoptar documentos tipo la tendrá el Gobierno nacional, cuando lo considere necesario, en relación con otros contratos o procesos de selección.</w:t>
      </w:r>
    </w:p>
    <w:p w:rsidRPr="006F567D" w:rsidR="00A56864" w:rsidP="00A56864" w:rsidRDefault="00A56864" w14:paraId="5D5E01CF" w14:textId="77777777">
      <w:pPr>
        <w:pStyle w:val="Textonotapie"/>
        <w:ind w:firstLine="709"/>
        <w:jc w:val="both"/>
        <w:rPr>
          <w:rFonts w:ascii="Century Gothic" w:hAnsi="Century Gothic" w:cs="Arial"/>
          <w:color w:val="000000"/>
          <w:sz w:val="16"/>
          <w:szCs w:val="16"/>
          <w:lang w:val="es-CO"/>
        </w:rPr>
      </w:pPr>
      <w:r w:rsidRPr="006F567D">
        <w:rPr>
          <w:rFonts w:ascii="Century Gothic" w:hAnsi="Century Gothic" w:cs="Arial"/>
          <w:color w:val="000000"/>
          <w:sz w:val="16"/>
          <w:szCs w:val="16"/>
          <w:lang w:val="es-CO"/>
        </w:rPr>
        <w:t>Los pliegos tipo se adoptarán por categorías de acuerdo con la cuantía de la contratación, según la reglamentación que expida el Gobierno nacional”.</w:t>
      </w:r>
    </w:p>
  </w:footnote>
  <w:footnote w:id="6">
    <w:p w:rsidRPr="006F567D" w:rsidR="00A56864" w:rsidP="00A56864" w:rsidRDefault="00A56864" w14:paraId="7A785B81" w14:textId="77777777">
      <w:pPr>
        <w:pStyle w:val="Textonotapie"/>
        <w:ind w:firstLine="709"/>
        <w:jc w:val="both"/>
        <w:rPr>
          <w:rFonts w:ascii="Century Gothic" w:hAnsi="Century Gothic" w:cs="Arial"/>
          <w:color w:val="000000"/>
          <w:sz w:val="16"/>
          <w:szCs w:val="16"/>
        </w:rPr>
      </w:pPr>
      <w:r w:rsidRPr="006F567D">
        <w:rPr>
          <w:rStyle w:val="Refdenotaalpie"/>
          <w:rFonts w:ascii="Century Gothic" w:hAnsi="Century Gothic" w:cs="Arial"/>
          <w:color w:val="000000"/>
          <w:sz w:val="16"/>
          <w:szCs w:val="16"/>
        </w:rPr>
        <w:footnoteRef/>
      </w:r>
      <w:r w:rsidRPr="006F567D">
        <w:rPr>
          <w:rFonts w:ascii="Century Gothic" w:hAnsi="Century Gothic" w:cs="Arial"/>
          <w:color w:val="000000"/>
          <w:sz w:val="16"/>
          <w:szCs w:val="16"/>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7">
    <w:p w:rsidRPr="006F567D" w:rsidR="00A56864" w:rsidP="00A56864" w:rsidRDefault="00A56864" w14:paraId="765B66FC" w14:textId="77777777">
      <w:pPr>
        <w:pStyle w:val="Textonotapie"/>
        <w:ind w:firstLine="708"/>
        <w:jc w:val="both"/>
        <w:rPr>
          <w:rFonts w:ascii="Century Gothic" w:hAnsi="Century Gothic" w:cs="Arial"/>
          <w:color w:val="000000"/>
          <w:sz w:val="16"/>
          <w:szCs w:val="16"/>
        </w:rPr>
      </w:pPr>
      <w:r w:rsidRPr="006F567D">
        <w:rPr>
          <w:rStyle w:val="Refdenotaalpie"/>
          <w:rFonts w:ascii="Century Gothic" w:hAnsi="Century Gothic" w:cs="Arial"/>
          <w:color w:val="000000"/>
          <w:sz w:val="16"/>
          <w:szCs w:val="16"/>
        </w:rPr>
        <w:footnoteRef/>
      </w:r>
      <w:r w:rsidRPr="006F567D">
        <w:rPr>
          <w:rFonts w:ascii="Century Gothic" w:hAnsi="Century Gothic" w:cs="Arial"/>
          <w:color w:val="000000"/>
          <w:sz w:val="16"/>
          <w:szCs w:val="16"/>
        </w:rPr>
        <w:t xml:space="preserve"> Sin perjuicio de la extensión del ámbito de aplicación de acuerdo con el artículo 56 de la Ley 2195 de 2022, la norma citada en el cuerpo del concepto dispone lo siguiente: “ARTÍCULO 1o. Modifíquese el artículo 4o de la Ley 1882 de 2018, el cual quedará así:</w:t>
      </w:r>
    </w:p>
    <w:p w:rsidRPr="006F567D" w:rsidR="00A56864" w:rsidP="00A56864" w:rsidRDefault="00A56864" w14:paraId="2B8ACCF5" w14:textId="77777777">
      <w:pPr>
        <w:pStyle w:val="Textonotapie"/>
        <w:ind w:firstLine="708"/>
        <w:jc w:val="both"/>
        <w:rPr>
          <w:rFonts w:ascii="Century Gothic" w:hAnsi="Century Gothic" w:cs="Arial"/>
          <w:color w:val="000000"/>
          <w:sz w:val="16"/>
          <w:szCs w:val="16"/>
        </w:rPr>
      </w:pPr>
      <w:r w:rsidRPr="006F567D">
        <w:rPr>
          <w:rFonts w:ascii="Century Gothic" w:hAnsi="Century Gothic" w:cs="Arial"/>
          <w:color w:val="000000"/>
          <w:sz w:val="16"/>
          <w:szCs w:val="16"/>
        </w:rPr>
        <w:t>Artículo 4o. Adiciónese el siguiente parágrafo al artículo 2o de la Ley 1150 de 2007.</w:t>
      </w:r>
    </w:p>
    <w:p w:rsidRPr="006F567D" w:rsidR="00A56864" w:rsidP="00A56864" w:rsidRDefault="00A56864" w14:paraId="06E58CC7" w14:textId="77777777">
      <w:pPr>
        <w:pStyle w:val="Textonotapie"/>
        <w:ind w:firstLine="708"/>
        <w:jc w:val="both"/>
        <w:rPr>
          <w:rFonts w:ascii="Century Gothic" w:hAnsi="Century Gothic" w:cs="Arial"/>
          <w:color w:val="000000"/>
          <w:sz w:val="16"/>
          <w:szCs w:val="16"/>
        </w:rPr>
      </w:pPr>
      <w:r w:rsidRPr="006F567D">
        <w:rPr>
          <w:rFonts w:ascii="Century Gothic" w:hAnsi="Century Gothic" w:cs="Arial"/>
          <w:color w:val="000000"/>
          <w:sz w:val="16"/>
          <w:szCs w:val="16"/>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rsidRPr="006F567D" w:rsidR="00A56864" w:rsidP="00A56864" w:rsidRDefault="00A56864" w14:paraId="2F56637E" w14:textId="77777777">
      <w:pPr>
        <w:pStyle w:val="Textonotapie"/>
        <w:ind w:firstLine="708"/>
        <w:jc w:val="both"/>
        <w:rPr>
          <w:rFonts w:ascii="Century Gothic" w:hAnsi="Century Gothic" w:cs="Arial"/>
          <w:color w:val="000000"/>
          <w:sz w:val="16"/>
          <w:szCs w:val="16"/>
        </w:rPr>
      </w:pPr>
      <w:r w:rsidRPr="006F567D">
        <w:rPr>
          <w:rFonts w:ascii="Century Gothic" w:hAnsi="Century Gothic" w:cs="Arial"/>
          <w:color w:val="000000"/>
          <w:sz w:val="16"/>
          <w:szCs w:val="16"/>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rsidRPr="006F567D" w:rsidR="00A56864" w:rsidP="00A56864" w:rsidRDefault="00A56864" w14:paraId="2033B144" w14:textId="77777777">
      <w:pPr>
        <w:pStyle w:val="Textonotapie"/>
        <w:ind w:firstLine="708"/>
        <w:jc w:val="both"/>
        <w:rPr>
          <w:rFonts w:ascii="Century Gothic" w:hAnsi="Century Gothic" w:cs="Arial"/>
          <w:color w:val="000000"/>
          <w:sz w:val="16"/>
          <w:szCs w:val="16"/>
        </w:rPr>
      </w:pPr>
      <w:r w:rsidRPr="006F567D">
        <w:rPr>
          <w:rFonts w:ascii="Century Gothic" w:hAnsi="Century Gothic" w:cs="Arial"/>
          <w:color w:val="000000"/>
          <w:sz w:val="16"/>
          <w:szCs w:val="16"/>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rsidRPr="006F567D" w:rsidR="00A56864" w:rsidP="00A56864" w:rsidRDefault="00A56864" w14:paraId="7A244508" w14:textId="77777777">
      <w:pPr>
        <w:pStyle w:val="Textonotapie"/>
        <w:ind w:firstLine="708"/>
        <w:jc w:val="both"/>
        <w:rPr>
          <w:rFonts w:ascii="Century Gothic" w:hAnsi="Century Gothic" w:cs="Arial"/>
          <w:color w:val="000000"/>
          <w:sz w:val="16"/>
          <w:szCs w:val="16"/>
        </w:rPr>
      </w:pPr>
      <w:r w:rsidRPr="006F567D">
        <w:rPr>
          <w:rFonts w:ascii="Century Gothic" w:hAnsi="Century Gothic" w:cs="Arial"/>
          <w:color w:val="000000"/>
          <w:sz w:val="16"/>
          <w:szCs w:val="16"/>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rsidRPr="006F567D" w:rsidR="00A56864" w:rsidP="00A56864" w:rsidRDefault="00A56864" w14:paraId="5C79411C" w14:textId="77777777">
      <w:pPr>
        <w:pStyle w:val="Textonotapie"/>
        <w:ind w:firstLine="708"/>
        <w:jc w:val="both"/>
        <w:rPr>
          <w:rFonts w:ascii="Century Gothic" w:hAnsi="Century Gothic" w:cs="Arial"/>
          <w:color w:val="000000"/>
          <w:sz w:val="16"/>
          <w:szCs w:val="16"/>
        </w:rPr>
      </w:pPr>
      <w:r w:rsidRPr="006F567D">
        <w:rPr>
          <w:rFonts w:ascii="Century Gothic" w:hAnsi="Century Gothic" w:cs="Arial"/>
          <w:color w:val="000000"/>
          <w:sz w:val="16"/>
          <w:szCs w:val="16"/>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BD15D4" w14:paraId="6ED12154" w14:textId="5D0C20C7">
    <w:pPr>
      <w:pStyle w:val="Encabezado"/>
    </w:pPr>
    <w:r>
      <w:rPr>
        <w:noProof/>
        <w:lang w:eastAsia="es-CO"/>
      </w:rPr>
      <w:drawing>
        <wp:anchor distT="0" distB="0" distL="114300" distR="114300" simplePos="0" relativeHeight="251658240"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56BAF314">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BD15D4" w:rsidRDefault="004A305D" w14:paraId="7B0A8834" w14:textId="3B0E5F1B">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w:t>
    </w:r>
    <w:r w:rsidR="005B5D8B">
      <w:rPr>
        <w:rFonts w:ascii="Century Gothic" w:hAnsi="Century Gothic" w:eastAsia="Geo" w:cs="Geo"/>
        <w:bCs/>
        <w:color w:val="000000"/>
        <w:sz w:val="16"/>
        <w:szCs w:val="16"/>
        <w:lang w:eastAsia="es-CO"/>
      </w:rPr>
      <w:t>7</w:t>
    </w:r>
  </w:p>
  <w:p w:rsidRPr="00DB6337" w:rsidR="005B5D8B" w:rsidP="00DB6337" w:rsidRDefault="004A305D" w14:paraId="3DBCDD3E" w14:textId="26340E84">
    <w:pPr>
      <w:spacing w:after="12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sidR="005B5D8B">
      <w:rPr>
        <w:rFonts w:ascii="Century Gothic" w:hAnsi="Century Gothic" w:eastAsia="Geo" w:cs="Geo"/>
        <w:sz w:val="16"/>
        <w:szCs w:val="16"/>
        <w:lang w:eastAsia="es-CO"/>
      </w:rPr>
      <w:t>0</w:t>
    </w:r>
    <w:r w:rsidR="005B5D8B">
      <w:rPr>
        <w:rFonts w:ascii="Century Gothic" w:hAnsi="Century Gothic" w:eastAsia="Geo" w:cs="Geo"/>
        <w:sz w:val="16"/>
        <w:szCs w:val="16"/>
        <w:lang w:eastAsia="es-CO"/>
      </w:rPr>
      <w:t>2</w:t>
    </w:r>
    <w:r w:rsidRPr="004A305D" w:rsidR="005B5D8B">
      <w:rPr>
        <w:rFonts w:ascii="Century Gothic" w:hAnsi="Century Gothic" w:eastAsia="Geo" w:cs="Geo"/>
        <w:sz w:val="16"/>
        <w:szCs w:val="16"/>
        <w:lang w:eastAsia="es-CO"/>
      </w:rPr>
      <w:t xml:space="preserve"> DEL </w:t>
    </w:r>
    <w:r w:rsidR="005B5D8B">
      <w:rPr>
        <w:rFonts w:ascii="Century Gothic" w:hAnsi="Century Gothic" w:eastAsia="Geo" w:cs="Geo"/>
        <w:sz w:val="16"/>
        <w:szCs w:val="16"/>
        <w:lang w:eastAsia="es-CO"/>
      </w:rPr>
      <w:t xml:space="preserve">22 </w:t>
    </w:r>
    <w:r w:rsidRPr="004A305D" w:rsidR="005B5D8B">
      <w:rPr>
        <w:rFonts w:ascii="Century Gothic" w:hAnsi="Century Gothic" w:eastAsia="Geo" w:cs="Geo"/>
        <w:sz w:val="16"/>
        <w:szCs w:val="16"/>
        <w:lang w:eastAsia="es-CO"/>
      </w:rPr>
      <w:t xml:space="preserve">DE </w:t>
    </w:r>
    <w:r w:rsidR="005B5D8B">
      <w:rPr>
        <w:rFonts w:ascii="Century Gothic" w:hAnsi="Century Gothic" w:eastAsia="Geo" w:cs="Geo"/>
        <w:sz w:val="16"/>
        <w:szCs w:val="16"/>
        <w:lang w:eastAsia="es-CO"/>
      </w:rPr>
      <w:t>AGOSTO</w:t>
    </w:r>
    <w:r w:rsidRPr="004A305D" w:rsidR="005B5D8B">
      <w:rPr>
        <w:rFonts w:ascii="Century Gothic" w:hAnsi="Century Gothic" w:eastAsia="Geo" w:cs="Geo"/>
        <w:sz w:val="16"/>
        <w:szCs w:val="16"/>
        <w:lang w:eastAsia="es-CO"/>
      </w:rPr>
      <w:t xml:space="preserve"> DE 202</w:t>
    </w:r>
    <w:r w:rsidR="005B5D8B">
      <w:rPr>
        <w:rFonts w:ascii="Century Gothic" w:hAnsi="Century Gothic" w:eastAsia="Geo" w:cs="Geo"/>
        <w:sz w:val="16"/>
        <w:szCs w:val="16"/>
        <w:lang w:eastAsia="es-CO"/>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76391123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A683E"/>
    <w:rsid w:val="000B19B9"/>
    <w:rsid w:val="000D0334"/>
    <w:rsid w:val="000E4714"/>
    <w:rsid w:val="000F6486"/>
    <w:rsid w:val="00125105"/>
    <w:rsid w:val="00127233"/>
    <w:rsid w:val="001A06B9"/>
    <w:rsid w:val="001E4177"/>
    <w:rsid w:val="00223FF7"/>
    <w:rsid w:val="00266B0E"/>
    <w:rsid w:val="002951A0"/>
    <w:rsid w:val="002962BC"/>
    <w:rsid w:val="002A093D"/>
    <w:rsid w:val="002A49AC"/>
    <w:rsid w:val="002A64FD"/>
    <w:rsid w:val="002C7A84"/>
    <w:rsid w:val="003448F4"/>
    <w:rsid w:val="00374241"/>
    <w:rsid w:val="003873F6"/>
    <w:rsid w:val="003A779E"/>
    <w:rsid w:val="003D0F4D"/>
    <w:rsid w:val="003E0499"/>
    <w:rsid w:val="003F3941"/>
    <w:rsid w:val="00400548"/>
    <w:rsid w:val="004368BC"/>
    <w:rsid w:val="00471FCA"/>
    <w:rsid w:val="00493705"/>
    <w:rsid w:val="004A1847"/>
    <w:rsid w:val="004A305D"/>
    <w:rsid w:val="004F21C4"/>
    <w:rsid w:val="004F685F"/>
    <w:rsid w:val="00533E8F"/>
    <w:rsid w:val="005566E8"/>
    <w:rsid w:val="00574867"/>
    <w:rsid w:val="005A6AA1"/>
    <w:rsid w:val="005B5D8B"/>
    <w:rsid w:val="005C5CDC"/>
    <w:rsid w:val="005D476C"/>
    <w:rsid w:val="0061404B"/>
    <w:rsid w:val="006219F8"/>
    <w:rsid w:val="0063508C"/>
    <w:rsid w:val="00654B49"/>
    <w:rsid w:val="00665D70"/>
    <w:rsid w:val="00706423"/>
    <w:rsid w:val="00706C16"/>
    <w:rsid w:val="00727370"/>
    <w:rsid w:val="00731B47"/>
    <w:rsid w:val="00756841"/>
    <w:rsid w:val="00763C80"/>
    <w:rsid w:val="007649AB"/>
    <w:rsid w:val="007833AC"/>
    <w:rsid w:val="007B7171"/>
    <w:rsid w:val="007C3DC2"/>
    <w:rsid w:val="007E5497"/>
    <w:rsid w:val="00806F5F"/>
    <w:rsid w:val="00820278"/>
    <w:rsid w:val="008843B6"/>
    <w:rsid w:val="00891928"/>
    <w:rsid w:val="008A446D"/>
    <w:rsid w:val="008E40F9"/>
    <w:rsid w:val="008E4DED"/>
    <w:rsid w:val="008E7161"/>
    <w:rsid w:val="008F0EA7"/>
    <w:rsid w:val="009161EF"/>
    <w:rsid w:val="00923EEF"/>
    <w:rsid w:val="009419F9"/>
    <w:rsid w:val="00952524"/>
    <w:rsid w:val="00961B09"/>
    <w:rsid w:val="00965334"/>
    <w:rsid w:val="0097093E"/>
    <w:rsid w:val="009C71FA"/>
    <w:rsid w:val="009C72E7"/>
    <w:rsid w:val="009F36FB"/>
    <w:rsid w:val="00A17F13"/>
    <w:rsid w:val="00A20739"/>
    <w:rsid w:val="00A33C78"/>
    <w:rsid w:val="00A56864"/>
    <w:rsid w:val="00AB0ADB"/>
    <w:rsid w:val="00AD5E99"/>
    <w:rsid w:val="00AF45C4"/>
    <w:rsid w:val="00B72CD3"/>
    <w:rsid w:val="00B72FFF"/>
    <w:rsid w:val="00B93F29"/>
    <w:rsid w:val="00BB07EF"/>
    <w:rsid w:val="00BB397E"/>
    <w:rsid w:val="00BD15D4"/>
    <w:rsid w:val="00BD2E7A"/>
    <w:rsid w:val="00BD7F72"/>
    <w:rsid w:val="00BE4C67"/>
    <w:rsid w:val="00C04FB3"/>
    <w:rsid w:val="00C330EB"/>
    <w:rsid w:val="00C754BE"/>
    <w:rsid w:val="00CB6357"/>
    <w:rsid w:val="00CC1B26"/>
    <w:rsid w:val="00D423A2"/>
    <w:rsid w:val="00D63AC2"/>
    <w:rsid w:val="00D7383B"/>
    <w:rsid w:val="00DA231B"/>
    <w:rsid w:val="00DB6337"/>
    <w:rsid w:val="00E16408"/>
    <w:rsid w:val="00E20894"/>
    <w:rsid w:val="00E245AB"/>
    <w:rsid w:val="00E50AFE"/>
    <w:rsid w:val="00E771DC"/>
    <w:rsid w:val="00E8772A"/>
    <w:rsid w:val="00E90F6B"/>
    <w:rsid w:val="00E92C27"/>
    <w:rsid w:val="00EA0E3D"/>
    <w:rsid w:val="00EE1AA8"/>
    <w:rsid w:val="00F17039"/>
    <w:rsid w:val="00F204AB"/>
    <w:rsid w:val="00F31EDC"/>
    <w:rsid w:val="00F32FC0"/>
    <w:rsid w:val="00F5664F"/>
    <w:rsid w:val="00F613A2"/>
    <w:rsid w:val="00F76AFC"/>
    <w:rsid w:val="00FB5DD1"/>
    <w:rsid w:val="00FC2B5D"/>
    <w:rsid w:val="00FF1449"/>
    <w:rsid w:val="1E0BBDB4"/>
    <w:rsid w:val="687B05C8"/>
    <w:rsid w:val="74ADE260"/>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Appelnotedebasde" w:customStyle="1">
    <w:name w:val="Appel note de bas de..."/>
    <w:basedOn w:val="Normal"/>
    <w:link w:val="Refdenotaalpie"/>
    <w:uiPriority w:val="99"/>
    <w:rsid w:val="00A56864"/>
    <w:pPr>
      <w:spacing w:line="240" w:lineRule="exact"/>
    </w:pPr>
    <w:rPr>
      <w:vertAlign w:val="superscript"/>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A56864"/>
    <w:rPr>
      <w:rFonts w:ascii="Geomanist Light" w:hAnsi="Geomanist Light"/>
      <w:lang w:val="es-ES"/>
    </w:rPr>
  </w:style>
  <w:style w:type="paragraph" w:styleId="Textoindependiente">
    <w:name w:val="Body Text"/>
    <w:basedOn w:val="Normal"/>
    <w:link w:val="TextoindependienteCar"/>
    <w:uiPriority w:val="1"/>
    <w:qFormat/>
    <w:rsid w:val="00A56864"/>
    <w:pPr>
      <w:widowControl w:val="0"/>
      <w:autoSpaceDE w:val="0"/>
      <w:autoSpaceDN w:val="0"/>
      <w:spacing w:after="0" w:line="240" w:lineRule="auto"/>
    </w:pPr>
    <w:rPr>
      <w:rFonts w:ascii="Arial" w:hAnsi="Arial" w:eastAsia="Arial" w:cs="Arial"/>
      <w:lang w:val="es-ES"/>
    </w:rPr>
  </w:style>
  <w:style w:type="character" w:styleId="TextoindependienteCar" w:customStyle="1">
    <w:name w:val="Texto independiente Car"/>
    <w:basedOn w:val="Fuentedeprrafopredeter"/>
    <w:link w:val="Textoindependiente"/>
    <w:uiPriority w:val="1"/>
    <w:rsid w:val="00A56864"/>
    <w:rPr>
      <w:rFonts w:ascii="Arial" w:hAnsi="Arial" w:eastAsia="Arial" w:cs="Arial"/>
      <w:lang w:val="es-ES"/>
    </w:rPr>
  </w:style>
  <w:style w:type="paragraph" w:styleId="Revisin">
    <w:name w:val="Revision"/>
    <w:hidden/>
    <w:uiPriority w:val="99"/>
    <w:semiHidden/>
    <w:rsid w:val="00223F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olombiacompra.gov.co/documentos-tipo/documentos-tipo"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Juan David Montoya Penagos</DisplayName>
        <AccountId>697</AccountId>
        <AccountType/>
      </UserInfo>
      <UserInfo>
        <DisplayName>Alejandro Sarmiento</DisplayName>
        <AccountId>119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B51DA269-49AC-41BC-AC9E-903817FF2805}"/>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Rey David Saido Quintero</lastModifiedBy>
  <revision>4</revision>
  <lastPrinted>2023-01-10T21:18:00.0000000Z</lastPrinted>
  <dcterms:created xsi:type="dcterms:W3CDTF">2024-06-28T19:08:00.0000000Z</dcterms:created>
  <dcterms:modified xsi:type="dcterms:W3CDTF">2024-08-05T04:31:29.7200875Z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