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8E5B1" w14:textId="77777777" w:rsidR="0030303B" w:rsidRPr="00D05D5B" w:rsidRDefault="0030303B" w:rsidP="00211D2E">
      <w:pPr>
        <w:spacing w:after="0" w:line="240" w:lineRule="auto"/>
        <w:ind w:right="709"/>
        <w:jc w:val="both"/>
        <w:rPr>
          <w:rFonts w:ascii="Verdana" w:hAnsi="Verdana"/>
          <w:b/>
          <w:bCs/>
          <w:sz w:val="20"/>
          <w:szCs w:val="20"/>
          <w:lang w:val="es-ES"/>
        </w:rPr>
      </w:pPr>
    </w:p>
    <w:p w14:paraId="69BE8E9A" w14:textId="77777777" w:rsidR="000B5F3E" w:rsidRPr="00D05D5B" w:rsidRDefault="00211D2E" w:rsidP="00211D2E">
      <w:pPr>
        <w:spacing w:after="0" w:line="240" w:lineRule="auto"/>
        <w:jc w:val="both"/>
        <w:rPr>
          <w:rFonts w:ascii="Verdana" w:eastAsia="Calibri" w:hAnsi="Verdana" w:cs="Arial"/>
          <w:b/>
          <w:bCs/>
          <w:sz w:val="20"/>
          <w:szCs w:val="20"/>
          <w:lang w:eastAsia="es-ES"/>
        </w:rPr>
      </w:pPr>
      <w:r w:rsidRPr="00D05D5B">
        <w:rPr>
          <w:rFonts w:ascii="Verdana" w:eastAsia="Calibri" w:hAnsi="Verdana" w:cs="Arial"/>
          <w:b/>
          <w:bCs/>
          <w:sz w:val="20"/>
          <w:szCs w:val="20"/>
          <w:lang w:eastAsia="es-ES"/>
        </w:rPr>
        <w:t xml:space="preserve">LIQUIDACIÓN DEL CONTRATO – Noción – Clases / ACTA LIQUIDACIÓN - Definición – Objetivo / </w:t>
      </w:r>
    </w:p>
    <w:p w14:paraId="79544894" w14:textId="77777777" w:rsidR="000B5F3E" w:rsidRPr="00D05D5B" w:rsidRDefault="000B5F3E" w:rsidP="00211D2E">
      <w:pPr>
        <w:spacing w:after="0" w:line="240" w:lineRule="auto"/>
        <w:jc w:val="both"/>
        <w:rPr>
          <w:rFonts w:ascii="Verdana" w:eastAsia="Calibri" w:hAnsi="Verdana" w:cs="Arial"/>
          <w:b/>
          <w:bCs/>
          <w:sz w:val="20"/>
          <w:szCs w:val="20"/>
          <w:lang w:eastAsia="es-ES"/>
        </w:rPr>
      </w:pPr>
    </w:p>
    <w:p w14:paraId="65E4C549" w14:textId="6314F405" w:rsidR="00C975D2" w:rsidRPr="00D05D5B" w:rsidRDefault="001915EB" w:rsidP="00907A28">
      <w:pPr>
        <w:spacing w:line="240" w:lineRule="auto"/>
        <w:jc w:val="both"/>
        <w:rPr>
          <w:rFonts w:ascii="Verdana" w:hAnsi="Verdana" w:cs="Arial"/>
          <w:sz w:val="20"/>
          <w:szCs w:val="20"/>
        </w:rPr>
      </w:pPr>
      <w:r w:rsidRPr="00D05D5B">
        <w:rPr>
          <w:rFonts w:ascii="Verdana" w:hAnsi="Verdana" w:cs="Arial"/>
          <w:sz w:val="20"/>
          <w:szCs w:val="20"/>
        </w:rPr>
        <w:t>“</w:t>
      </w:r>
      <w:r w:rsidR="00983472" w:rsidRPr="00D05D5B">
        <w:rPr>
          <w:rFonts w:ascii="Verdana" w:hAnsi="Verdana" w:cs="Arial"/>
          <w:sz w:val="20"/>
          <w:szCs w:val="20"/>
        </w:rPr>
        <w:t xml:space="preserve">[…] </w:t>
      </w:r>
      <w:r w:rsidR="00C04B3C" w:rsidRPr="00D05D5B">
        <w:rPr>
          <w:rFonts w:ascii="Verdana" w:hAnsi="Verdana" w:cs="Arial"/>
          <w:sz w:val="20"/>
          <w:szCs w:val="20"/>
        </w:rPr>
        <w:t>L</w:t>
      </w:r>
      <w:r w:rsidR="00C975D2" w:rsidRPr="00D05D5B">
        <w:rPr>
          <w:rFonts w:ascii="Verdana" w:hAnsi="Verdana" w:cs="Arial"/>
          <w:sz w:val="20"/>
          <w:szCs w:val="20"/>
        </w:rPr>
        <w:t xml:space="preserve">a liquidación es el momento en el cual, una vez concluido el contrato estatal, las partes cruzan cuentas respecto de sus obligaciones. El objetivo de la liquidación es determinar si las partes pueden declararse a paz y salvo o si existen obligaciones por cumplir, y con ocasión de aquella se puede acordar la forma en que deben ser cumplidas. Por esta razón, la liquidación solo procede con posterioridad a la terminación de la ejecución del contrato. </w:t>
      </w:r>
    </w:p>
    <w:p w14:paraId="566420BF" w14:textId="77777777" w:rsidR="00364E2F" w:rsidRPr="00D05D5B" w:rsidRDefault="00C975D2" w:rsidP="00907A28">
      <w:pPr>
        <w:spacing w:after="120" w:line="240" w:lineRule="auto"/>
        <w:jc w:val="both"/>
        <w:rPr>
          <w:rFonts w:ascii="Verdana" w:hAnsi="Verdana" w:cs="Arial"/>
          <w:sz w:val="20"/>
          <w:szCs w:val="20"/>
        </w:rPr>
      </w:pPr>
      <w:r w:rsidRPr="00D05D5B">
        <w:rPr>
          <w:rFonts w:ascii="Verdana" w:hAnsi="Verdana" w:cs="Arial"/>
          <w:sz w:val="20"/>
          <w:szCs w:val="20"/>
        </w:rPr>
        <w:t>Las disposiciones legales que norman la etapa de liquidación de los contratos estatales son el artículo 60 de la Ley 80 de 1993, modificado por el artículo 217 del Decreto 019 de 2012, y el artículo 11 de la Ley 1150 de 2007. El primero de estos artículos se refiere al alcance sustantivo de la liquidación, mientras que el segundo contiene reglas procedimentales para su manejo.</w:t>
      </w:r>
      <w:r w:rsidR="00983472" w:rsidRPr="00D05D5B">
        <w:rPr>
          <w:rFonts w:ascii="Verdana" w:hAnsi="Verdana" w:cs="Arial"/>
          <w:sz w:val="20"/>
          <w:szCs w:val="20"/>
        </w:rPr>
        <w:t xml:space="preserve"> </w:t>
      </w:r>
    </w:p>
    <w:p w14:paraId="37CE660A" w14:textId="4091AB17" w:rsidR="00C975D2" w:rsidRPr="00D05D5B" w:rsidRDefault="00364E2F" w:rsidP="00907A28">
      <w:pPr>
        <w:spacing w:after="120" w:line="240" w:lineRule="auto"/>
        <w:jc w:val="both"/>
        <w:rPr>
          <w:rFonts w:ascii="Verdana" w:hAnsi="Verdana" w:cs="Arial"/>
          <w:sz w:val="20"/>
          <w:szCs w:val="20"/>
        </w:rPr>
      </w:pPr>
      <w:r w:rsidRPr="00D05D5B">
        <w:rPr>
          <w:rFonts w:ascii="Verdana" w:hAnsi="Verdana" w:cs="Arial"/>
          <w:sz w:val="20"/>
          <w:szCs w:val="20"/>
        </w:rPr>
        <w:t xml:space="preserve">De acuerdo con el artículo 60 de la Ley 80 de 1993, los contratos de tracto sucesivo, aquellos cuyo cumplimiento o ejecución se prolongue en el tiempo y los demás que lo requieran “serán objeto de liquidación”. El mismo artículo prescribe que no será obligatoria la liquidación en los contratos de prestación de servicios profesionales y de apoyo a la gestión. Esta norma al referirse a la liquidación del contrato establece que esta es la etapa del Proceso de Contratación, en la que las partes pueden acordar los ajustes, revisiones y reconocimientos a que haya lugar. A estos efectos, dicha norma establece que en el acta de liquidación debe dejarse constancia de todos los acuerdos, conciliaciones y transacciones a que llegaren las partes para poner fin a las divergencias presentadas y poder declararse a paz y salvo. </w:t>
      </w:r>
      <w:r w:rsidR="00983472" w:rsidRPr="00D05D5B">
        <w:rPr>
          <w:rFonts w:ascii="Verdana" w:hAnsi="Verdana" w:cs="Arial"/>
          <w:sz w:val="20"/>
          <w:szCs w:val="20"/>
        </w:rPr>
        <w:t>[…]</w:t>
      </w:r>
      <w:r w:rsidR="001915EB" w:rsidRPr="00D05D5B">
        <w:rPr>
          <w:rFonts w:ascii="Verdana" w:hAnsi="Verdana" w:cs="Arial"/>
          <w:sz w:val="20"/>
          <w:szCs w:val="20"/>
        </w:rPr>
        <w:t>”</w:t>
      </w:r>
    </w:p>
    <w:p w14:paraId="71A6270E" w14:textId="77777777" w:rsidR="00364E2F" w:rsidRPr="00D05D5B" w:rsidRDefault="00364E2F" w:rsidP="00211D2E">
      <w:pPr>
        <w:spacing w:after="0" w:line="240" w:lineRule="auto"/>
        <w:jc w:val="both"/>
        <w:rPr>
          <w:rFonts w:ascii="Verdana" w:hAnsi="Verdana" w:cs="Arial"/>
          <w:sz w:val="20"/>
          <w:szCs w:val="20"/>
        </w:rPr>
      </w:pPr>
    </w:p>
    <w:p w14:paraId="4919C911" w14:textId="3773D459" w:rsidR="00B53206" w:rsidRPr="00D05D5B" w:rsidRDefault="00211D2E" w:rsidP="00211D2E">
      <w:pPr>
        <w:spacing w:after="0" w:line="240" w:lineRule="auto"/>
        <w:jc w:val="both"/>
        <w:rPr>
          <w:rFonts w:ascii="Verdana" w:eastAsia="Calibri" w:hAnsi="Verdana" w:cs="Arial"/>
          <w:b/>
          <w:bCs/>
          <w:sz w:val="20"/>
          <w:szCs w:val="20"/>
          <w:lang w:eastAsia="es-ES"/>
        </w:rPr>
      </w:pPr>
      <w:r w:rsidRPr="00D05D5B">
        <w:rPr>
          <w:rFonts w:ascii="Verdana" w:eastAsia="Calibri" w:hAnsi="Verdana" w:cs="Arial"/>
          <w:b/>
          <w:bCs/>
          <w:sz w:val="20"/>
          <w:szCs w:val="20"/>
          <w:lang w:eastAsia="es-ES"/>
        </w:rPr>
        <w:t>ACTA DE TERMINACIÓN – Noción – Finalidad</w:t>
      </w:r>
      <w:r w:rsidR="000B5F3E" w:rsidRPr="00D05D5B">
        <w:rPr>
          <w:rFonts w:ascii="Verdana" w:eastAsia="Calibri" w:hAnsi="Verdana" w:cs="Arial"/>
          <w:b/>
          <w:bCs/>
          <w:sz w:val="20"/>
          <w:szCs w:val="20"/>
          <w:lang w:eastAsia="es-ES"/>
        </w:rPr>
        <w:t xml:space="preserve"> </w:t>
      </w:r>
    </w:p>
    <w:p w14:paraId="51E24099" w14:textId="77777777" w:rsidR="00FD46B4" w:rsidRPr="00D05D5B" w:rsidRDefault="00FD46B4" w:rsidP="00211D2E">
      <w:pPr>
        <w:spacing w:after="0" w:line="240" w:lineRule="auto"/>
        <w:jc w:val="both"/>
        <w:rPr>
          <w:rFonts w:ascii="Verdana" w:eastAsia="Calibri" w:hAnsi="Verdana" w:cs="Arial"/>
          <w:b/>
          <w:bCs/>
          <w:sz w:val="20"/>
          <w:szCs w:val="20"/>
          <w:lang w:eastAsia="es-ES"/>
        </w:rPr>
      </w:pPr>
    </w:p>
    <w:p w14:paraId="59C9F492" w14:textId="08CAADEE" w:rsidR="00FD46B4" w:rsidRPr="00D05D5B" w:rsidRDefault="00FD46B4" w:rsidP="00211D2E">
      <w:pPr>
        <w:spacing w:after="0" w:line="240" w:lineRule="auto"/>
        <w:jc w:val="both"/>
        <w:rPr>
          <w:rFonts w:ascii="Verdana" w:eastAsia="Calibri" w:hAnsi="Verdana" w:cs="Arial"/>
          <w:b/>
          <w:bCs/>
          <w:sz w:val="20"/>
          <w:szCs w:val="20"/>
          <w:lang w:eastAsia="es-ES"/>
        </w:rPr>
      </w:pPr>
      <w:r w:rsidRPr="00D05D5B">
        <w:rPr>
          <w:rFonts w:ascii="Verdana" w:hAnsi="Verdana" w:cs="Arial"/>
          <w:sz w:val="20"/>
          <w:szCs w:val="20"/>
        </w:rPr>
        <w:t>“[…] Hace referencia a un documento que suele utilizarse en contratos de tracto sucesivo como una suerte de constancia de la terminación del plazo de ejecución del contrato, en la que bien se puede dejar constancia de circunstancias de tiempo, modo y lugar alusivas al desarrollo del contrato, sin que ello necesariamente suponga la liquidación del contrato. […]”</w:t>
      </w:r>
    </w:p>
    <w:p w14:paraId="6CDC898B" w14:textId="77777777" w:rsidR="00211D2E" w:rsidRPr="00D05D5B" w:rsidRDefault="00211D2E" w:rsidP="00211D2E">
      <w:pPr>
        <w:spacing w:after="0" w:line="240" w:lineRule="auto"/>
        <w:jc w:val="both"/>
        <w:rPr>
          <w:rFonts w:ascii="Verdana" w:eastAsia="Calibri" w:hAnsi="Verdana" w:cs="Arial"/>
          <w:b/>
          <w:bCs/>
          <w:sz w:val="20"/>
          <w:szCs w:val="20"/>
          <w:lang w:eastAsia="es-ES"/>
        </w:rPr>
      </w:pPr>
    </w:p>
    <w:p w14:paraId="09B6AC69" w14:textId="5A900444" w:rsidR="00211D2E" w:rsidRPr="00D05D5B" w:rsidRDefault="00211D2E" w:rsidP="00211D2E">
      <w:pPr>
        <w:spacing w:after="0" w:line="240" w:lineRule="auto"/>
        <w:jc w:val="both"/>
        <w:rPr>
          <w:rFonts w:ascii="Verdana" w:hAnsi="Verdana"/>
          <w:b/>
          <w:bCs/>
          <w:sz w:val="20"/>
          <w:szCs w:val="20"/>
        </w:rPr>
      </w:pPr>
      <w:r w:rsidRPr="00D05D5B">
        <w:rPr>
          <w:rFonts w:ascii="Verdana" w:hAnsi="Verdana"/>
          <w:b/>
          <w:bCs/>
          <w:sz w:val="20"/>
          <w:szCs w:val="20"/>
        </w:rPr>
        <w:t>ACTAS DEL CONTRATO – Acta de liquidación – Acta de terminación – Constancia de cierre – Diferencias</w:t>
      </w:r>
    </w:p>
    <w:p w14:paraId="12CDF23B" w14:textId="77777777" w:rsidR="00C04B3C" w:rsidRPr="00D05D5B" w:rsidRDefault="00C04B3C" w:rsidP="00211D2E">
      <w:pPr>
        <w:spacing w:after="0" w:line="240" w:lineRule="auto"/>
        <w:jc w:val="both"/>
        <w:rPr>
          <w:rFonts w:ascii="Verdana" w:hAnsi="Verdana"/>
          <w:b/>
          <w:bCs/>
          <w:sz w:val="20"/>
          <w:szCs w:val="20"/>
        </w:rPr>
      </w:pPr>
    </w:p>
    <w:p w14:paraId="36F4F3D9" w14:textId="5B31F069" w:rsidR="00C04B3C" w:rsidRPr="00D05D5B" w:rsidRDefault="00FD46B4" w:rsidP="00C04B3C">
      <w:pPr>
        <w:spacing w:after="120" w:line="240" w:lineRule="auto"/>
        <w:jc w:val="both"/>
        <w:rPr>
          <w:rFonts w:ascii="Verdana" w:hAnsi="Verdana" w:cs="Arial"/>
          <w:sz w:val="20"/>
          <w:szCs w:val="20"/>
        </w:rPr>
      </w:pPr>
      <w:r w:rsidRPr="00D05D5B">
        <w:rPr>
          <w:rFonts w:ascii="Verdana" w:hAnsi="Verdana" w:cs="Arial"/>
          <w:sz w:val="20"/>
          <w:szCs w:val="20"/>
        </w:rPr>
        <w:t>“</w:t>
      </w:r>
      <w:r w:rsidR="00C04B3C" w:rsidRPr="00D05D5B">
        <w:rPr>
          <w:rFonts w:ascii="Verdana" w:hAnsi="Verdana" w:cs="Arial"/>
          <w:sz w:val="20"/>
          <w:szCs w:val="20"/>
        </w:rPr>
        <w:t>[…]</w:t>
      </w:r>
      <w:r w:rsidRPr="00D05D5B">
        <w:rPr>
          <w:rFonts w:ascii="Verdana" w:hAnsi="Verdana" w:cs="Arial"/>
          <w:sz w:val="20"/>
          <w:szCs w:val="20"/>
        </w:rPr>
        <w:t xml:space="preserve"> T</w:t>
      </w:r>
      <w:r w:rsidR="00C04B3C" w:rsidRPr="00D05D5B">
        <w:rPr>
          <w:rFonts w:ascii="Verdana" w:hAnsi="Verdana" w:cs="Arial"/>
          <w:sz w:val="20"/>
          <w:szCs w:val="20"/>
        </w:rPr>
        <w:t xml:space="preserve">anto el </w:t>
      </w:r>
      <w:r w:rsidR="00C04B3C" w:rsidRPr="00D05D5B">
        <w:rPr>
          <w:rFonts w:ascii="Verdana" w:hAnsi="Verdana" w:cs="Arial"/>
          <w:i/>
          <w:iCs/>
          <w:sz w:val="20"/>
          <w:szCs w:val="20"/>
        </w:rPr>
        <w:t>“acta de liquidación”</w:t>
      </w:r>
      <w:r w:rsidR="00C04B3C" w:rsidRPr="00D05D5B">
        <w:rPr>
          <w:rFonts w:ascii="Verdana" w:hAnsi="Verdana" w:cs="Arial"/>
          <w:sz w:val="20"/>
          <w:szCs w:val="20"/>
        </w:rPr>
        <w:t xml:space="preserve"> como el </w:t>
      </w:r>
      <w:r w:rsidR="00C04B3C" w:rsidRPr="00D05D5B">
        <w:rPr>
          <w:rFonts w:ascii="Verdana" w:hAnsi="Verdana" w:cs="Arial"/>
          <w:i/>
          <w:iCs/>
          <w:sz w:val="20"/>
          <w:szCs w:val="20"/>
        </w:rPr>
        <w:t>“acta de terminación”</w:t>
      </w:r>
      <w:r w:rsidR="00C04B3C" w:rsidRPr="00D05D5B">
        <w:rPr>
          <w:rFonts w:ascii="Verdana" w:hAnsi="Verdana" w:cs="Arial"/>
          <w:sz w:val="20"/>
          <w:szCs w:val="20"/>
        </w:rPr>
        <w:t xml:space="preserve"> son documentos que sobrevienen al plazo de ejecución del contrato, sin embargo, no resultan </w:t>
      </w:r>
      <w:r w:rsidR="00C04B3C" w:rsidRPr="00D05D5B">
        <w:rPr>
          <w:rFonts w:ascii="Verdana" w:hAnsi="Verdana" w:cs="Arial"/>
          <w:i/>
          <w:iCs/>
          <w:sz w:val="20"/>
          <w:szCs w:val="20"/>
        </w:rPr>
        <w:t>per se</w:t>
      </w:r>
      <w:r w:rsidR="00C04B3C" w:rsidRPr="00D05D5B">
        <w:rPr>
          <w:rFonts w:ascii="Verdana" w:hAnsi="Verdana" w:cs="Arial"/>
          <w:sz w:val="20"/>
          <w:szCs w:val="20"/>
        </w:rPr>
        <w:t xml:space="preserve"> homologables. Sin embargo, es importante precisar que, una vez vencido el plazo de ejecución, dentro del plazo convenido por las partes en el término supletivo establecido en el artículo 11 de la Ley 1150 de 2007, bien podrían las partes de un contrato estatal concurrir a la suscripción de un “acta de terminación”, en el que se realice el cruce de cuentas al que hace referencia el artículo 60 de la Ley 80 de 1993, de tal manera que en el acta de terminación se realice la liquidación del contrato. […]</w:t>
      </w:r>
      <w:r w:rsidRPr="00D05D5B">
        <w:rPr>
          <w:rFonts w:ascii="Verdana" w:hAnsi="Verdana" w:cs="Arial"/>
          <w:sz w:val="20"/>
          <w:szCs w:val="20"/>
        </w:rPr>
        <w:t>”</w:t>
      </w:r>
    </w:p>
    <w:p w14:paraId="5AD5295C" w14:textId="77777777" w:rsidR="00211D2E" w:rsidRPr="00D05D5B" w:rsidRDefault="00211D2E" w:rsidP="00211D2E">
      <w:pPr>
        <w:spacing w:after="0" w:line="240" w:lineRule="auto"/>
        <w:jc w:val="both"/>
        <w:rPr>
          <w:rFonts w:ascii="Verdana" w:hAnsi="Verdana"/>
          <w:b/>
          <w:bCs/>
          <w:sz w:val="20"/>
          <w:szCs w:val="20"/>
        </w:rPr>
      </w:pPr>
    </w:p>
    <w:p w14:paraId="34246FA3" w14:textId="0FEEC14E" w:rsidR="00211D2E" w:rsidRPr="00D05D5B" w:rsidRDefault="00211D2E" w:rsidP="00211D2E">
      <w:pPr>
        <w:spacing w:after="0" w:line="240" w:lineRule="auto"/>
        <w:jc w:val="both"/>
        <w:rPr>
          <w:rFonts w:ascii="Verdana" w:hAnsi="Verdana"/>
          <w:b/>
          <w:bCs/>
          <w:sz w:val="20"/>
          <w:szCs w:val="20"/>
        </w:rPr>
      </w:pPr>
      <w:r w:rsidRPr="00D05D5B">
        <w:rPr>
          <w:rFonts w:ascii="Verdana" w:hAnsi="Verdana"/>
          <w:b/>
          <w:bCs/>
          <w:sz w:val="20"/>
          <w:szCs w:val="20"/>
        </w:rPr>
        <w:t>CIERRE DEL EXPEDIENTE DEL PROCESO – Constancia administrativa</w:t>
      </w:r>
    </w:p>
    <w:p w14:paraId="50B0483E" w14:textId="77777777" w:rsidR="0095023A" w:rsidRPr="00D05D5B" w:rsidRDefault="0095023A" w:rsidP="00211D2E">
      <w:pPr>
        <w:spacing w:after="0" w:line="240" w:lineRule="auto"/>
        <w:jc w:val="both"/>
        <w:rPr>
          <w:rFonts w:ascii="Verdana" w:hAnsi="Verdana"/>
          <w:b/>
          <w:bCs/>
          <w:sz w:val="20"/>
          <w:szCs w:val="20"/>
        </w:rPr>
      </w:pPr>
    </w:p>
    <w:p w14:paraId="02B4D010" w14:textId="52114E90" w:rsidR="0095023A" w:rsidRPr="00D05D5B" w:rsidRDefault="001B42ED" w:rsidP="00E54C6C">
      <w:pPr>
        <w:spacing w:after="120" w:line="240" w:lineRule="auto"/>
        <w:jc w:val="both"/>
        <w:rPr>
          <w:rFonts w:ascii="Verdana" w:hAnsi="Verdana" w:cs="Arial"/>
          <w:sz w:val="20"/>
          <w:szCs w:val="20"/>
        </w:rPr>
      </w:pPr>
      <w:r w:rsidRPr="00D05D5B">
        <w:rPr>
          <w:rFonts w:ascii="Verdana" w:hAnsi="Verdana" w:cs="Arial"/>
          <w:sz w:val="20"/>
          <w:szCs w:val="20"/>
        </w:rPr>
        <w:t>“</w:t>
      </w:r>
      <w:r w:rsidR="0095023A" w:rsidRPr="00D05D5B">
        <w:rPr>
          <w:rFonts w:ascii="Verdana" w:hAnsi="Verdana" w:cs="Arial"/>
          <w:sz w:val="20"/>
          <w:szCs w:val="20"/>
        </w:rPr>
        <w:t xml:space="preserve">[…] Es importante distinguir las referidas actas de la constancia de cierre del expediente contractual a la que se refiere el artículo 2.2.1.1.2.4.3 del Decreto 1082 de 2015, la cual se </w:t>
      </w:r>
      <w:r w:rsidR="0095023A" w:rsidRPr="00D05D5B">
        <w:rPr>
          <w:rFonts w:ascii="Verdana" w:hAnsi="Verdana" w:cs="Arial"/>
          <w:sz w:val="20"/>
          <w:szCs w:val="20"/>
        </w:rPr>
        <w:lastRenderedPageBreak/>
        <w:t>trata de una constancia administrativa que culmina las actuaciones contractuales El “</w:t>
      </w:r>
      <w:r w:rsidR="0095023A" w:rsidRPr="00D05D5B">
        <w:rPr>
          <w:rFonts w:ascii="Verdana" w:hAnsi="Verdana" w:cs="Arial"/>
          <w:i/>
          <w:iCs/>
          <w:sz w:val="20"/>
          <w:szCs w:val="20"/>
        </w:rPr>
        <w:t>cierre del expediente”</w:t>
      </w:r>
      <w:r w:rsidR="0095023A" w:rsidRPr="00D05D5B">
        <w:rPr>
          <w:rFonts w:ascii="Verdana" w:hAnsi="Verdana" w:cs="Arial"/>
          <w:sz w:val="20"/>
          <w:szCs w:val="20"/>
        </w:rPr>
        <w:t xml:space="preserve"> al que se refiere este artículo es acto de trámite que realiza la Entidad Estatal siempre que se hubiera configurado alguno de los supuestos del artículo 2.2.1.1.2.4.3. del Decreto 1082 de 2015, esto es: i) cuando la administración establece condiciones de disposición final o recuperación ambiental de las obras o bienes; o </w:t>
      </w:r>
      <w:proofErr w:type="spellStart"/>
      <w:r w:rsidR="0095023A" w:rsidRPr="00D05D5B">
        <w:rPr>
          <w:rFonts w:ascii="Verdana" w:hAnsi="Verdana" w:cs="Arial"/>
          <w:sz w:val="20"/>
          <w:szCs w:val="20"/>
        </w:rPr>
        <w:t>ii</w:t>
      </w:r>
      <w:proofErr w:type="spellEnd"/>
      <w:r w:rsidR="0095023A" w:rsidRPr="00D05D5B">
        <w:rPr>
          <w:rFonts w:ascii="Verdana" w:hAnsi="Verdana" w:cs="Arial"/>
          <w:sz w:val="20"/>
          <w:szCs w:val="20"/>
        </w:rPr>
        <w:t>) una vez vencidos los términos de las garantías de calidad, estabilidad y mantenimiento ─solo estas─. […]</w:t>
      </w:r>
      <w:r w:rsidRPr="00D05D5B">
        <w:rPr>
          <w:rFonts w:ascii="Verdana" w:hAnsi="Verdana" w:cs="Arial"/>
          <w:sz w:val="20"/>
          <w:szCs w:val="20"/>
        </w:rPr>
        <w:t>”</w:t>
      </w:r>
    </w:p>
    <w:p w14:paraId="5128EC15" w14:textId="77777777" w:rsidR="00211D2E" w:rsidRPr="00D05D5B" w:rsidRDefault="00211D2E" w:rsidP="00211D2E">
      <w:pPr>
        <w:spacing w:after="0" w:line="240" w:lineRule="auto"/>
        <w:jc w:val="both"/>
        <w:rPr>
          <w:rFonts w:ascii="Verdana" w:hAnsi="Verdana"/>
          <w:b/>
          <w:bCs/>
          <w:sz w:val="20"/>
          <w:szCs w:val="20"/>
        </w:rPr>
      </w:pPr>
    </w:p>
    <w:p w14:paraId="54D7C8BD" w14:textId="27744DED" w:rsidR="00211D2E" w:rsidRPr="00D05D5B" w:rsidRDefault="00211D2E" w:rsidP="00211D2E">
      <w:pPr>
        <w:spacing w:after="0" w:line="240" w:lineRule="auto"/>
        <w:jc w:val="both"/>
        <w:rPr>
          <w:rFonts w:ascii="Verdana" w:hAnsi="Verdana"/>
          <w:b/>
          <w:bCs/>
          <w:sz w:val="20"/>
          <w:szCs w:val="20"/>
        </w:rPr>
      </w:pPr>
      <w:r w:rsidRPr="00D05D5B">
        <w:rPr>
          <w:rFonts w:ascii="Verdana" w:hAnsi="Verdana"/>
          <w:b/>
          <w:bCs/>
          <w:sz w:val="20"/>
          <w:szCs w:val="20"/>
        </w:rPr>
        <w:t>INSTITUCIONES EDUCATIVAS OFICIALES – Naturaleza jurídica –Régimen de Contratación</w:t>
      </w:r>
    </w:p>
    <w:p w14:paraId="6F762825" w14:textId="77777777" w:rsidR="00211D2E" w:rsidRPr="00D05D5B" w:rsidRDefault="00211D2E" w:rsidP="00211D2E">
      <w:pPr>
        <w:spacing w:after="0" w:line="240" w:lineRule="auto"/>
        <w:jc w:val="both"/>
        <w:rPr>
          <w:rFonts w:ascii="Verdana" w:hAnsi="Verdana"/>
          <w:b/>
          <w:bCs/>
          <w:sz w:val="20"/>
          <w:szCs w:val="20"/>
        </w:rPr>
      </w:pPr>
    </w:p>
    <w:p w14:paraId="66010E20" w14:textId="23B3B8E6" w:rsidR="00211D2E" w:rsidRPr="00D05D5B" w:rsidRDefault="00E262DA" w:rsidP="00C975D2">
      <w:pPr>
        <w:spacing w:line="240" w:lineRule="auto"/>
        <w:jc w:val="both"/>
        <w:rPr>
          <w:rFonts w:ascii="Verdana" w:hAnsi="Verdana" w:cs="Arial"/>
          <w:sz w:val="20"/>
          <w:szCs w:val="20"/>
        </w:rPr>
      </w:pPr>
      <w:r w:rsidRPr="00D05D5B">
        <w:rPr>
          <w:rFonts w:ascii="Verdana" w:hAnsi="Verdana" w:cs="Arial"/>
          <w:sz w:val="20"/>
          <w:szCs w:val="20"/>
        </w:rPr>
        <w:t xml:space="preserve">“[…] </w:t>
      </w:r>
      <w:r w:rsidR="00211D2E" w:rsidRPr="00D05D5B">
        <w:rPr>
          <w:rFonts w:ascii="Verdana" w:hAnsi="Verdana" w:cs="Arial"/>
          <w:sz w:val="20"/>
          <w:szCs w:val="20"/>
        </w:rPr>
        <w:t>Respecto de la capacidad para contratar con la que cuentan las instituciones educativas por medio de los fondos de servicios educativos, hay que precisar que cuando se trate de actos y contratos cuya cuantía no exceda los veinte (20) salarios mínimos mensuales legales vigentes, se sujetarán a las condiciones previstas en el reglamento de contratación que expida el consejo directivo de la institución, de conformidad con lo dispuesto en el artículo 13 de la Ley 715 de 2001.</w:t>
      </w:r>
    </w:p>
    <w:p w14:paraId="5187D90F" w14:textId="0E3BB37C" w:rsidR="00211D2E" w:rsidRPr="00D05D5B" w:rsidRDefault="00211D2E" w:rsidP="00C975D2">
      <w:pPr>
        <w:spacing w:line="240" w:lineRule="auto"/>
        <w:jc w:val="both"/>
        <w:rPr>
          <w:rFonts w:ascii="Verdana" w:hAnsi="Verdana" w:cs="Arial"/>
          <w:sz w:val="20"/>
          <w:szCs w:val="20"/>
        </w:rPr>
      </w:pPr>
      <w:r w:rsidRPr="00D05D5B">
        <w:rPr>
          <w:rFonts w:ascii="Verdana" w:hAnsi="Verdana" w:cs="Arial"/>
          <w:sz w:val="20"/>
          <w:szCs w:val="20"/>
        </w:rPr>
        <w:t>Por el contrario, cuando la celebración de contratos a que haya lugar con recursos del fondo de servicios educativos supere la cuantía de los veinte (20) salarios mínimos legales mensuales vigentes, debe hacerse con estricta sujeción a lo dispuesto en la Ley 80 de 1993, por lo que las reglas a las que deben sujetarse los procedimientos dentro de los que se enmarque esta contratación son las del Estatuto General de Contratación de la Administración Pública, procediendo la aplicación de las modalidades de selección definidas en la Ley 1150 de 2007, así como los requisitos y formalidades establecidas en el Decreto 1082 del 2015 y demás normatividad integrante del referido estatuto.</w:t>
      </w:r>
      <w:r w:rsidR="00E262DA" w:rsidRPr="00D05D5B">
        <w:rPr>
          <w:rFonts w:ascii="Verdana" w:hAnsi="Verdana" w:cs="Arial"/>
          <w:sz w:val="20"/>
          <w:szCs w:val="20"/>
        </w:rPr>
        <w:t xml:space="preserve"> […]”</w:t>
      </w:r>
    </w:p>
    <w:p w14:paraId="7A71522C" w14:textId="6318E233" w:rsidR="00211D2E" w:rsidRPr="00D05D5B" w:rsidRDefault="00211D2E" w:rsidP="00211D2E">
      <w:pPr>
        <w:spacing w:after="0" w:line="240" w:lineRule="auto"/>
        <w:jc w:val="both"/>
        <w:rPr>
          <w:rFonts w:ascii="Verdana" w:hAnsi="Verdana"/>
          <w:b/>
          <w:bCs/>
          <w:sz w:val="20"/>
          <w:szCs w:val="20"/>
        </w:rPr>
      </w:pPr>
      <w:r w:rsidRPr="00D05D5B">
        <w:rPr>
          <w:rFonts w:ascii="Verdana" w:hAnsi="Verdana"/>
          <w:b/>
          <w:bCs/>
          <w:sz w:val="20"/>
          <w:szCs w:val="20"/>
        </w:rPr>
        <w:t>PUBLICIDAD SECOP –</w:t>
      </w:r>
      <w:r w:rsidR="00AB243D" w:rsidRPr="00D05D5B">
        <w:rPr>
          <w:rFonts w:ascii="Verdana" w:hAnsi="Verdana"/>
          <w:b/>
          <w:bCs/>
          <w:sz w:val="20"/>
          <w:szCs w:val="20"/>
        </w:rPr>
        <w:t xml:space="preserve"> </w:t>
      </w:r>
      <w:r w:rsidRPr="00D05D5B">
        <w:rPr>
          <w:rFonts w:ascii="Verdana" w:hAnsi="Verdana"/>
          <w:b/>
          <w:bCs/>
          <w:sz w:val="20"/>
          <w:szCs w:val="20"/>
        </w:rPr>
        <w:t>Fundamento normativo – Documentos sin firma</w:t>
      </w:r>
    </w:p>
    <w:p w14:paraId="2B9C86A5" w14:textId="77777777" w:rsidR="00600ED2" w:rsidRPr="00D05D5B" w:rsidRDefault="00600ED2" w:rsidP="00211D2E">
      <w:pPr>
        <w:spacing w:after="0" w:line="240" w:lineRule="auto"/>
        <w:jc w:val="both"/>
        <w:rPr>
          <w:rFonts w:ascii="Verdana" w:hAnsi="Verdana"/>
          <w:b/>
          <w:bCs/>
          <w:sz w:val="20"/>
          <w:szCs w:val="20"/>
        </w:rPr>
      </w:pPr>
    </w:p>
    <w:p w14:paraId="45726061" w14:textId="2E4628A0" w:rsidR="00600ED2" w:rsidRPr="00D05D5B" w:rsidRDefault="00A624DA" w:rsidP="00600ED2">
      <w:pPr>
        <w:jc w:val="both"/>
        <w:rPr>
          <w:rFonts w:ascii="Verdana" w:hAnsi="Verdana" w:cs="Arial"/>
          <w:sz w:val="20"/>
          <w:szCs w:val="20"/>
        </w:rPr>
      </w:pPr>
      <w:r w:rsidRPr="00D05D5B">
        <w:rPr>
          <w:rFonts w:ascii="Verdana" w:hAnsi="Verdana" w:cs="Arial"/>
          <w:sz w:val="20"/>
          <w:szCs w:val="20"/>
        </w:rPr>
        <w:t>“</w:t>
      </w:r>
      <w:r w:rsidR="00600ED2" w:rsidRPr="00D05D5B">
        <w:rPr>
          <w:rFonts w:ascii="Verdana" w:hAnsi="Verdana" w:cs="Arial"/>
          <w:sz w:val="20"/>
          <w:szCs w:val="20"/>
        </w:rPr>
        <w:t>[…] aunque la publicación en el SECOP de los documentos relacionados con la actividad contractual ya era obligatoria –lo sigue siendo– para las entidades que cuentan con un régimen especial, el artículo 53 de la Ley 2195 de 2022 –que modifica el artículo 13 de la Ley 1150 de 2007– establece con mayor precisión este deber y lo complementa con la exigencia de emplear el SECOP II. En otras palabras, en el artículo 53 de la Ley 2195 de 2022 el Congreso de la República dispone que las entidades estatales exceptuadas del Estatuto General de Contratación de la Administración Pública deben publicar en el SECOP II –es decir en la plataforma transaccional vigente– su actividad contractual.</w:t>
      </w:r>
    </w:p>
    <w:p w14:paraId="6EE57EB8" w14:textId="77777777" w:rsidR="000124A6" w:rsidRPr="00D05D5B" w:rsidRDefault="00600ED2" w:rsidP="000124A6">
      <w:pPr>
        <w:jc w:val="both"/>
        <w:rPr>
          <w:rFonts w:ascii="Verdana" w:hAnsi="Verdana" w:cs="Arial"/>
          <w:sz w:val="20"/>
          <w:szCs w:val="20"/>
        </w:rPr>
      </w:pPr>
      <w:r w:rsidRPr="00D05D5B">
        <w:rPr>
          <w:rFonts w:ascii="Verdana" w:hAnsi="Verdana" w:cs="Arial"/>
          <w:sz w:val="20"/>
          <w:szCs w:val="20"/>
        </w:rPr>
        <w:t>[…]</w:t>
      </w:r>
    </w:p>
    <w:p w14:paraId="4FE027E6" w14:textId="458C6645" w:rsidR="000124A6" w:rsidRPr="00D05D5B" w:rsidRDefault="000124A6" w:rsidP="000124A6">
      <w:pPr>
        <w:jc w:val="both"/>
        <w:rPr>
          <w:rFonts w:ascii="Verdana" w:hAnsi="Verdana" w:cs="Arial"/>
          <w:sz w:val="20"/>
          <w:szCs w:val="20"/>
        </w:rPr>
      </w:pPr>
      <w:r w:rsidRPr="00D05D5B">
        <w:rPr>
          <w:rFonts w:ascii="Verdana" w:hAnsi="Verdana" w:cs="Arial"/>
          <w:sz w:val="20"/>
          <w:szCs w:val="20"/>
        </w:rPr>
        <w:t>L</w:t>
      </w:r>
      <w:r w:rsidRPr="00D05D5B">
        <w:rPr>
          <w:rFonts w:ascii="Verdana" w:hAnsi="Verdana" w:cs="Arial"/>
          <w:sz w:val="20"/>
          <w:szCs w:val="20"/>
          <w:lang w:val="es-ES"/>
        </w:rPr>
        <w:t>os artículos 2.1.1.2.1.7 del Decreto 1081 de 2015 y 2.2.1.1.1.7.1 del Decreto 1082 de 2015, establecen el deber de publicar en el SECOP los Documentos del Proceso dentro del plazo de tres (3) días siguientes la expedición de los mismos. De esta, manera independientemente de si el documento se ha producido un documento de manera manuscrita, electrónica o digital, una vez expedido el mismo, la Entidad Estatal está obligada a publicarlo tan pronto se expide el mismo.</w:t>
      </w:r>
    </w:p>
    <w:p w14:paraId="2A839705" w14:textId="2B31C34F" w:rsidR="00600ED2" w:rsidRPr="00D05D5B" w:rsidRDefault="000124A6" w:rsidP="000124A6">
      <w:pPr>
        <w:jc w:val="both"/>
        <w:rPr>
          <w:rFonts w:ascii="Verdana" w:hAnsi="Verdana" w:cs="Arial"/>
          <w:sz w:val="20"/>
          <w:szCs w:val="20"/>
        </w:rPr>
      </w:pPr>
      <w:r w:rsidRPr="00D05D5B">
        <w:rPr>
          <w:rFonts w:ascii="Verdana" w:hAnsi="Verdana" w:cs="Arial"/>
          <w:sz w:val="20"/>
          <w:szCs w:val="20"/>
          <w:lang w:val="es-ES"/>
        </w:rPr>
        <w:t xml:space="preserve">Este deber se extiende a todas versiones definitivas de todos los Documentos del Proceso expedidos por la Entidad Estatal durante el Proceso de Contratación, por lo que para cumplir con el mismo se deben publicar los documentos debidamente expedidos con su </w:t>
      </w:r>
      <w:r w:rsidRPr="00D05D5B">
        <w:rPr>
          <w:rFonts w:ascii="Verdana" w:hAnsi="Verdana" w:cs="Arial"/>
          <w:sz w:val="20"/>
          <w:szCs w:val="20"/>
          <w:lang w:val="es-ES"/>
        </w:rPr>
        <w:lastRenderedPageBreak/>
        <w:t>correspondiente firma. Esto sin perjuicio de las publicaciones de borradores de los pliegos de condiciones y anexos para la recepción de observaciones de conformidad con lo establecido en el 2.2.1.1.2.1.4 del Decreto 1082 de 2015.  En ese orden, fuera de los proyectos y borradores preliminares que se publican para recibir observaciones de la ciudadanía, es importante que los documentos que se publican en el SECOP se encuentren debidamente suscritos ya sea de forma manuscrita, digital o electrónica, ya que esto es lo que permite dar certeza de su autoría y su contenido de cara al desarrollo del proceso y la satisfacción del deber de publicidad.</w:t>
      </w:r>
      <w:r w:rsidR="00AB243D" w:rsidRPr="00D05D5B">
        <w:rPr>
          <w:rFonts w:ascii="Verdana" w:hAnsi="Verdana" w:cs="Arial"/>
          <w:sz w:val="20"/>
          <w:szCs w:val="20"/>
        </w:rPr>
        <w:t xml:space="preserve"> […]</w:t>
      </w:r>
      <w:r w:rsidR="00A624DA" w:rsidRPr="00D05D5B">
        <w:rPr>
          <w:rFonts w:ascii="Verdana" w:hAnsi="Verdana" w:cs="Arial"/>
          <w:sz w:val="20"/>
          <w:szCs w:val="20"/>
        </w:rPr>
        <w:t>”</w:t>
      </w:r>
    </w:p>
    <w:p w14:paraId="502C1019" w14:textId="77777777" w:rsidR="00600ED2" w:rsidRPr="00D05D5B" w:rsidRDefault="00600ED2" w:rsidP="00211D2E">
      <w:pPr>
        <w:spacing w:after="0" w:line="240" w:lineRule="auto"/>
        <w:jc w:val="both"/>
        <w:rPr>
          <w:rFonts w:ascii="Verdana" w:hAnsi="Verdana"/>
          <w:b/>
          <w:bCs/>
          <w:sz w:val="20"/>
          <w:szCs w:val="20"/>
        </w:rPr>
      </w:pPr>
    </w:p>
    <w:p w14:paraId="1FCBC3E2" w14:textId="77777777" w:rsidR="00211D2E" w:rsidRDefault="00211D2E" w:rsidP="00B53206">
      <w:pPr>
        <w:spacing w:after="0"/>
        <w:rPr>
          <w:rFonts w:ascii="Verdana" w:hAnsi="Verdana"/>
        </w:rPr>
      </w:pPr>
    </w:p>
    <w:p w14:paraId="5EE26A35" w14:textId="77777777" w:rsidR="005D072A" w:rsidRDefault="005D072A" w:rsidP="00B53206">
      <w:pPr>
        <w:spacing w:after="0"/>
        <w:rPr>
          <w:rFonts w:ascii="Verdana" w:hAnsi="Verdana"/>
        </w:rPr>
      </w:pPr>
    </w:p>
    <w:p w14:paraId="4754118B" w14:textId="77777777" w:rsidR="005D072A" w:rsidRDefault="005D072A" w:rsidP="00B53206">
      <w:pPr>
        <w:spacing w:after="0"/>
        <w:rPr>
          <w:rFonts w:ascii="Verdana" w:hAnsi="Verdana"/>
        </w:rPr>
      </w:pPr>
    </w:p>
    <w:p w14:paraId="37A9B90D" w14:textId="77777777" w:rsidR="005D072A" w:rsidRDefault="005D072A" w:rsidP="00B53206">
      <w:pPr>
        <w:spacing w:after="0"/>
        <w:rPr>
          <w:rFonts w:ascii="Verdana" w:hAnsi="Verdana"/>
        </w:rPr>
      </w:pPr>
    </w:p>
    <w:p w14:paraId="2A6E0550" w14:textId="77777777" w:rsidR="005D072A" w:rsidRDefault="005D072A" w:rsidP="00B53206">
      <w:pPr>
        <w:spacing w:after="0"/>
        <w:rPr>
          <w:rFonts w:ascii="Verdana" w:hAnsi="Verdana"/>
        </w:rPr>
      </w:pPr>
    </w:p>
    <w:p w14:paraId="67991FC3" w14:textId="77777777" w:rsidR="005D072A" w:rsidRDefault="005D072A" w:rsidP="00B53206">
      <w:pPr>
        <w:spacing w:after="0"/>
        <w:rPr>
          <w:rFonts w:ascii="Verdana" w:hAnsi="Verdana"/>
        </w:rPr>
      </w:pPr>
    </w:p>
    <w:p w14:paraId="3DDB7300" w14:textId="77777777" w:rsidR="005D072A" w:rsidRDefault="005D072A" w:rsidP="00B53206">
      <w:pPr>
        <w:spacing w:after="0"/>
        <w:rPr>
          <w:rFonts w:ascii="Verdana" w:hAnsi="Verdana"/>
        </w:rPr>
      </w:pPr>
    </w:p>
    <w:p w14:paraId="3B02959A" w14:textId="77777777" w:rsidR="005D072A" w:rsidRDefault="005D072A" w:rsidP="00B53206">
      <w:pPr>
        <w:spacing w:after="0"/>
        <w:rPr>
          <w:rFonts w:ascii="Verdana" w:hAnsi="Verdana"/>
        </w:rPr>
      </w:pPr>
    </w:p>
    <w:p w14:paraId="35C1376F" w14:textId="77777777" w:rsidR="005D072A" w:rsidRDefault="005D072A" w:rsidP="00B53206">
      <w:pPr>
        <w:spacing w:after="0"/>
        <w:rPr>
          <w:rFonts w:ascii="Verdana" w:hAnsi="Verdana"/>
        </w:rPr>
      </w:pPr>
    </w:p>
    <w:p w14:paraId="348C8574" w14:textId="77777777" w:rsidR="005D072A" w:rsidRDefault="005D072A" w:rsidP="00B53206">
      <w:pPr>
        <w:spacing w:after="0"/>
        <w:rPr>
          <w:rFonts w:ascii="Verdana" w:hAnsi="Verdana"/>
        </w:rPr>
      </w:pPr>
    </w:p>
    <w:p w14:paraId="2C50180C" w14:textId="77777777" w:rsidR="005D072A" w:rsidRDefault="005D072A" w:rsidP="00B53206">
      <w:pPr>
        <w:spacing w:after="0"/>
        <w:rPr>
          <w:rFonts w:ascii="Verdana" w:hAnsi="Verdana"/>
        </w:rPr>
      </w:pPr>
    </w:p>
    <w:p w14:paraId="70551FD1" w14:textId="77777777" w:rsidR="005D072A" w:rsidRDefault="005D072A" w:rsidP="00B53206">
      <w:pPr>
        <w:spacing w:after="0"/>
        <w:rPr>
          <w:rFonts w:ascii="Verdana" w:hAnsi="Verdana"/>
        </w:rPr>
      </w:pPr>
    </w:p>
    <w:p w14:paraId="3A0A24FF" w14:textId="77777777" w:rsidR="005D072A" w:rsidRDefault="005D072A" w:rsidP="00B53206">
      <w:pPr>
        <w:spacing w:after="0"/>
        <w:rPr>
          <w:rFonts w:ascii="Verdana" w:hAnsi="Verdana"/>
        </w:rPr>
      </w:pPr>
    </w:p>
    <w:p w14:paraId="780CB6BA" w14:textId="77777777" w:rsidR="005D072A" w:rsidRDefault="005D072A" w:rsidP="00B53206">
      <w:pPr>
        <w:spacing w:after="0"/>
        <w:rPr>
          <w:rFonts w:ascii="Verdana" w:hAnsi="Verdana"/>
        </w:rPr>
      </w:pPr>
    </w:p>
    <w:p w14:paraId="7776921C" w14:textId="77777777" w:rsidR="005D072A" w:rsidRDefault="005D072A" w:rsidP="00B53206">
      <w:pPr>
        <w:spacing w:after="0"/>
        <w:rPr>
          <w:rFonts w:ascii="Verdana" w:hAnsi="Verdana"/>
        </w:rPr>
      </w:pPr>
    </w:p>
    <w:p w14:paraId="3F10FE6C" w14:textId="77777777" w:rsidR="005D072A" w:rsidRDefault="005D072A" w:rsidP="00B53206">
      <w:pPr>
        <w:spacing w:after="0"/>
        <w:rPr>
          <w:rFonts w:ascii="Verdana" w:hAnsi="Verdana"/>
        </w:rPr>
      </w:pPr>
    </w:p>
    <w:p w14:paraId="54AD0AA3" w14:textId="77777777" w:rsidR="005D072A" w:rsidRDefault="005D072A" w:rsidP="00B53206">
      <w:pPr>
        <w:spacing w:after="0"/>
        <w:rPr>
          <w:rFonts w:ascii="Verdana" w:hAnsi="Verdana"/>
        </w:rPr>
      </w:pPr>
    </w:p>
    <w:p w14:paraId="3173FA7E" w14:textId="77777777" w:rsidR="005D072A" w:rsidRDefault="005D072A" w:rsidP="00B53206">
      <w:pPr>
        <w:spacing w:after="0"/>
        <w:rPr>
          <w:rFonts w:ascii="Verdana" w:hAnsi="Verdana"/>
        </w:rPr>
      </w:pPr>
    </w:p>
    <w:p w14:paraId="2481B80C" w14:textId="77777777" w:rsidR="005D072A" w:rsidRDefault="005D072A" w:rsidP="00B53206">
      <w:pPr>
        <w:spacing w:after="0"/>
        <w:rPr>
          <w:rFonts w:ascii="Verdana" w:hAnsi="Verdana"/>
        </w:rPr>
      </w:pPr>
    </w:p>
    <w:p w14:paraId="4E6F4DBB" w14:textId="77777777" w:rsidR="005D072A" w:rsidRDefault="005D072A" w:rsidP="00B53206">
      <w:pPr>
        <w:spacing w:after="0"/>
        <w:rPr>
          <w:rFonts w:ascii="Verdana" w:hAnsi="Verdana"/>
        </w:rPr>
      </w:pPr>
    </w:p>
    <w:p w14:paraId="3F1A8CF0" w14:textId="77777777" w:rsidR="005D072A" w:rsidRDefault="005D072A" w:rsidP="00B53206">
      <w:pPr>
        <w:spacing w:after="0"/>
        <w:rPr>
          <w:rFonts w:ascii="Verdana" w:hAnsi="Verdana"/>
        </w:rPr>
      </w:pPr>
    </w:p>
    <w:p w14:paraId="52D0250D" w14:textId="77777777" w:rsidR="005D072A" w:rsidRDefault="005D072A" w:rsidP="00B53206">
      <w:pPr>
        <w:spacing w:after="0"/>
        <w:rPr>
          <w:rFonts w:ascii="Verdana" w:hAnsi="Verdana"/>
        </w:rPr>
      </w:pPr>
    </w:p>
    <w:p w14:paraId="70516EE9" w14:textId="77777777" w:rsidR="005D072A" w:rsidRDefault="005D072A" w:rsidP="00B53206">
      <w:pPr>
        <w:spacing w:after="0"/>
        <w:rPr>
          <w:rFonts w:ascii="Verdana" w:hAnsi="Verdana"/>
        </w:rPr>
      </w:pPr>
    </w:p>
    <w:p w14:paraId="74B6A1C5" w14:textId="77777777" w:rsidR="005D072A" w:rsidRDefault="005D072A" w:rsidP="00B53206">
      <w:pPr>
        <w:spacing w:after="0"/>
        <w:rPr>
          <w:rFonts w:ascii="Verdana" w:hAnsi="Verdana"/>
        </w:rPr>
      </w:pPr>
    </w:p>
    <w:p w14:paraId="60E6CDF3" w14:textId="77777777" w:rsidR="005D072A" w:rsidRDefault="005D072A" w:rsidP="00B53206">
      <w:pPr>
        <w:spacing w:after="0"/>
        <w:rPr>
          <w:rFonts w:ascii="Verdana" w:hAnsi="Verdana"/>
        </w:rPr>
      </w:pPr>
    </w:p>
    <w:p w14:paraId="3BC9C09C" w14:textId="77777777" w:rsidR="005D072A" w:rsidRDefault="005D072A" w:rsidP="00B53206">
      <w:pPr>
        <w:spacing w:after="0"/>
        <w:rPr>
          <w:rFonts w:ascii="Verdana" w:hAnsi="Verdana"/>
        </w:rPr>
      </w:pPr>
    </w:p>
    <w:p w14:paraId="7D85D451" w14:textId="77777777" w:rsidR="005D072A" w:rsidRDefault="005D072A" w:rsidP="00B53206">
      <w:pPr>
        <w:spacing w:after="0"/>
        <w:rPr>
          <w:rFonts w:ascii="Verdana" w:hAnsi="Verdana"/>
        </w:rPr>
      </w:pPr>
    </w:p>
    <w:p w14:paraId="359482B9" w14:textId="77777777" w:rsidR="005D072A" w:rsidRDefault="005D072A" w:rsidP="00B53206">
      <w:pPr>
        <w:spacing w:after="0"/>
        <w:rPr>
          <w:rFonts w:ascii="Verdana" w:hAnsi="Verdana"/>
        </w:rPr>
      </w:pPr>
    </w:p>
    <w:p w14:paraId="2FF05107" w14:textId="77777777" w:rsidR="005D072A" w:rsidRDefault="005D072A" w:rsidP="00B53206">
      <w:pPr>
        <w:spacing w:after="0"/>
        <w:rPr>
          <w:rFonts w:ascii="Verdana" w:hAnsi="Verdana"/>
        </w:rPr>
      </w:pPr>
    </w:p>
    <w:p w14:paraId="7B5EA413" w14:textId="77777777" w:rsidR="005D072A" w:rsidRDefault="005D072A" w:rsidP="00B53206">
      <w:pPr>
        <w:spacing w:after="0"/>
        <w:rPr>
          <w:rFonts w:ascii="Verdana" w:hAnsi="Verdana"/>
        </w:rPr>
      </w:pPr>
    </w:p>
    <w:p w14:paraId="62E710EB" w14:textId="77777777" w:rsidR="005D072A" w:rsidRDefault="005D072A" w:rsidP="00B53206">
      <w:pPr>
        <w:spacing w:after="0"/>
        <w:rPr>
          <w:rFonts w:ascii="Verdana" w:hAnsi="Verdana"/>
        </w:rPr>
      </w:pPr>
    </w:p>
    <w:p w14:paraId="4E6ECDB7" w14:textId="77777777" w:rsidR="005D072A" w:rsidRPr="00623C09" w:rsidRDefault="005D072A" w:rsidP="00B53206">
      <w:pPr>
        <w:spacing w:after="0"/>
        <w:rPr>
          <w:rFonts w:ascii="Verdana" w:hAnsi="Verdana"/>
        </w:rPr>
      </w:pPr>
    </w:p>
    <w:p w14:paraId="37D65A7A" w14:textId="0EEE1C73" w:rsidR="00B53206" w:rsidRPr="00623C09" w:rsidRDefault="00B53206" w:rsidP="00B53206">
      <w:pPr>
        <w:spacing w:after="0"/>
        <w:rPr>
          <w:rFonts w:ascii="Verdana" w:hAnsi="Verdana"/>
        </w:rPr>
      </w:pPr>
      <w:r w:rsidRPr="00623C09">
        <w:rPr>
          <w:rFonts w:ascii="Verdana" w:hAnsi="Verdana"/>
        </w:rPr>
        <w:lastRenderedPageBreak/>
        <w:t xml:space="preserve">Bogotá D.C., </w:t>
      </w:r>
      <w:r w:rsidR="00B11748">
        <w:rPr>
          <w:rFonts w:ascii="Verdana" w:hAnsi="Verdana"/>
        </w:rPr>
        <w:t>29 de julio del 2024</w:t>
      </w:r>
    </w:p>
    <w:p w14:paraId="3559BD3B" w14:textId="77777777" w:rsidR="00B53206" w:rsidRDefault="00B53206" w:rsidP="00B53206">
      <w:pPr>
        <w:spacing w:after="0"/>
        <w:rPr>
          <w:rFonts w:ascii="Verdana" w:hAnsi="Verdana"/>
        </w:rPr>
      </w:pPr>
    </w:p>
    <w:p w14:paraId="0CE0D9E9" w14:textId="2E2355B0" w:rsidR="00B471B0" w:rsidRDefault="00B471B0" w:rsidP="00B471B0">
      <w:pPr>
        <w:spacing w:after="0"/>
        <w:jc w:val="right"/>
        <w:rPr>
          <w:rFonts w:ascii="Verdana" w:hAnsi="Verdana"/>
        </w:rPr>
      </w:pPr>
      <w:r w:rsidRPr="00B471B0">
        <w:rPr>
          <w:rFonts w:ascii="Verdana" w:hAnsi="Verdana"/>
          <w:noProof/>
        </w:rPr>
        <w:drawing>
          <wp:inline distT="0" distB="0" distL="0" distR="0" wp14:anchorId="1C9AFA1C" wp14:editId="55230C59">
            <wp:extent cx="3485400" cy="982345"/>
            <wp:effectExtent l="0" t="0" r="0" b="0"/>
            <wp:docPr id="2132665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665791" name=""/>
                    <pic:cNvPicPr/>
                  </pic:nvPicPr>
                  <pic:blipFill>
                    <a:blip r:embed="rId11"/>
                    <a:stretch>
                      <a:fillRect/>
                    </a:stretch>
                  </pic:blipFill>
                  <pic:spPr>
                    <a:xfrm>
                      <a:off x="0" y="0"/>
                      <a:ext cx="3547798" cy="999932"/>
                    </a:xfrm>
                    <a:prstGeom prst="rect">
                      <a:avLst/>
                    </a:prstGeom>
                  </pic:spPr>
                </pic:pic>
              </a:graphicData>
            </a:graphic>
          </wp:inline>
        </w:drawing>
      </w:r>
    </w:p>
    <w:p w14:paraId="4EBD6224" w14:textId="3C9D85F4" w:rsidR="00B53206" w:rsidRPr="00623C09" w:rsidRDefault="00B53206" w:rsidP="00B53206">
      <w:pPr>
        <w:spacing w:after="0"/>
        <w:rPr>
          <w:rFonts w:ascii="Verdana" w:hAnsi="Verdana"/>
          <w:lang w:val="es-MX"/>
        </w:rPr>
      </w:pPr>
      <w:r w:rsidRPr="00623C09">
        <w:rPr>
          <w:rFonts w:ascii="Verdana" w:hAnsi="Verdana"/>
          <w:lang w:val="es-MX"/>
        </w:rPr>
        <w:t>Señora</w:t>
      </w:r>
    </w:p>
    <w:p w14:paraId="526AD386" w14:textId="77777777" w:rsidR="00B53206" w:rsidRPr="00623C09" w:rsidRDefault="00B53206" w:rsidP="00B53206">
      <w:pPr>
        <w:pStyle w:val="NoSpacing"/>
        <w:rPr>
          <w:rFonts w:ascii="Verdana" w:hAnsi="Verdana"/>
          <w:b/>
          <w:bCs/>
          <w:lang w:val="es-MX"/>
        </w:rPr>
      </w:pPr>
      <w:r w:rsidRPr="00623C09">
        <w:rPr>
          <w:rFonts w:ascii="Verdana" w:hAnsi="Verdana"/>
          <w:b/>
          <w:bCs/>
          <w:lang w:val="es-MX"/>
        </w:rPr>
        <w:t>Xiomara del Rocío Torra Gómez</w:t>
      </w:r>
    </w:p>
    <w:p w14:paraId="67418A5A" w14:textId="77777777" w:rsidR="00B53206" w:rsidRPr="00623C09" w:rsidRDefault="001E474F" w:rsidP="00B53206">
      <w:pPr>
        <w:pStyle w:val="NoSpacing"/>
        <w:rPr>
          <w:rFonts w:ascii="Verdana" w:hAnsi="Verdana"/>
          <w:lang w:val="es-MX"/>
        </w:rPr>
      </w:pPr>
      <w:hyperlink r:id="rId12" w:history="1">
        <w:r w:rsidR="00B53206" w:rsidRPr="00623C09">
          <w:rPr>
            <w:rStyle w:val="Hyperlink"/>
            <w:rFonts w:ascii="Verdana" w:hAnsi="Verdana"/>
            <w:lang w:val="es-MX"/>
          </w:rPr>
          <w:t>ca.xtorra.giron@santander.edu.co</w:t>
        </w:r>
      </w:hyperlink>
      <w:r w:rsidR="00B53206" w:rsidRPr="00623C09">
        <w:rPr>
          <w:rFonts w:ascii="Verdana" w:hAnsi="Verdana"/>
          <w:lang w:val="es-MX"/>
        </w:rPr>
        <w:t xml:space="preserve"> </w:t>
      </w:r>
    </w:p>
    <w:p w14:paraId="58659442" w14:textId="77777777" w:rsidR="00B53206" w:rsidRPr="00623C09" w:rsidRDefault="00B53206" w:rsidP="00B53206">
      <w:pPr>
        <w:pStyle w:val="NoSpacing"/>
        <w:rPr>
          <w:rFonts w:ascii="Verdana" w:hAnsi="Verdana"/>
          <w:lang w:val="es-MX"/>
        </w:rPr>
      </w:pPr>
      <w:r w:rsidRPr="00623C09">
        <w:rPr>
          <w:rFonts w:ascii="Verdana" w:hAnsi="Verdana"/>
          <w:lang w:val="es-MX"/>
        </w:rPr>
        <w:t>Girón, Santander</w:t>
      </w:r>
    </w:p>
    <w:p w14:paraId="1D40A758" w14:textId="77777777" w:rsidR="00BE7B22" w:rsidRPr="00623C09" w:rsidRDefault="00BE7B22" w:rsidP="00B53206">
      <w:pPr>
        <w:pStyle w:val="NoSpacing"/>
        <w:rPr>
          <w:rFonts w:ascii="Verdana" w:hAnsi="Verdana"/>
          <w:lang w:val="es-MX"/>
        </w:rPr>
      </w:pPr>
    </w:p>
    <w:tbl>
      <w:tblPr>
        <w:tblStyle w:val="TableGrid"/>
        <w:tblW w:w="9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51"/>
        <w:gridCol w:w="6468"/>
      </w:tblGrid>
      <w:tr w:rsidR="00E647FA" w:rsidRPr="00700F5C" w14:paraId="5D21063D" w14:textId="77777777" w:rsidTr="0077577D">
        <w:trPr>
          <w:trHeight w:val="902"/>
        </w:trPr>
        <w:tc>
          <w:tcPr>
            <w:tcW w:w="2851" w:type="dxa"/>
          </w:tcPr>
          <w:p w14:paraId="4F5C4D75" w14:textId="77777777" w:rsidR="00E647FA" w:rsidRPr="00623C09" w:rsidRDefault="00E647FA" w:rsidP="002B1BF9">
            <w:pPr>
              <w:jc w:val="both"/>
              <w:rPr>
                <w:rFonts w:ascii="Verdana" w:eastAsia="Calibri" w:hAnsi="Verdana" w:cs="Arial"/>
                <w:b/>
                <w:bCs/>
                <w:lang w:val="es-ES_tradnl" w:eastAsia="es-ES_tradnl"/>
              </w:rPr>
            </w:pPr>
          </w:p>
        </w:tc>
        <w:tc>
          <w:tcPr>
            <w:tcW w:w="6468" w:type="dxa"/>
          </w:tcPr>
          <w:p w14:paraId="23144ED5" w14:textId="793E0A7D" w:rsidR="00E647FA" w:rsidRPr="00623C09" w:rsidRDefault="00E647FA" w:rsidP="002B1BF9">
            <w:pPr>
              <w:jc w:val="both"/>
              <w:rPr>
                <w:rFonts w:ascii="Verdana" w:eastAsia="Calibri" w:hAnsi="Verdana" w:cs="Arial"/>
                <w:b/>
                <w:bCs/>
                <w:lang w:val="es-ES" w:eastAsia="es-ES"/>
              </w:rPr>
            </w:pPr>
            <w:r w:rsidRPr="00623C09">
              <w:rPr>
                <w:rFonts w:ascii="Verdana" w:eastAsia="Calibri" w:hAnsi="Verdana" w:cs="Arial"/>
                <w:b/>
                <w:bCs/>
                <w:lang w:val="es-ES" w:eastAsia="es-ES"/>
              </w:rPr>
              <w:t>Concepto C</w:t>
            </w:r>
            <w:r w:rsidR="00BE7B22" w:rsidRPr="00623C09">
              <w:rPr>
                <w:rFonts w:ascii="Verdana" w:eastAsia="Calibri" w:hAnsi="Verdana" w:cs="Arial"/>
                <w:b/>
                <w:bCs/>
                <w:lang w:val="es-ES" w:eastAsia="es-ES"/>
              </w:rPr>
              <w:t xml:space="preserve"> - 129</w:t>
            </w:r>
            <w:r w:rsidRPr="00623C09">
              <w:rPr>
                <w:rFonts w:ascii="Verdana" w:eastAsia="Calibri" w:hAnsi="Verdana" w:cs="Arial"/>
                <w:b/>
                <w:bCs/>
                <w:lang w:val="es-ES" w:eastAsia="es-ES"/>
              </w:rPr>
              <w:t xml:space="preserve"> de 2024</w:t>
            </w:r>
          </w:p>
        </w:tc>
      </w:tr>
      <w:tr w:rsidR="00E647FA" w:rsidRPr="00700F5C" w14:paraId="7D638018" w14:textId="77777777" w:rsidTr="0077577D">
        <w:trPr>
          <w:trHeight w:val="902"/>
        </w:trPr>
        <w:tc>
          <w:tcPr>
            <w:tcW w:w="2851" w:type="dxa"/>
          </w:tcPr>
          <w:p w14:paraId="56F9293A" w14:textId="77777777" w:rsidR="00E647FA" w:rsidRPr="00623C09" w:rsidRDefault="00E647FA" w:rsidP="002B1BF9">
            <w:pPr>
              <w:jc w:val="both"/>
              <w:rPr>
                <w:rFonts w:ascii="Verdana" w:eastAsia="Calibri" w:hAnsi="Verdana" w:cs="Arial"/>
                <w:lang w:val="es-ES_tradnl" w:eastAsia="es-ES_tradnl"/>
              </w:rPr>
            </w:pPr>
            <w:r w:rsidRPr="00623C09">
              <w:rPr>
                <w:rFonts w:ascii="Verdana" w:eastAsia="Calibri" w:hAnsi="Verdana" w:cs="Arial"/>
                <w:b/>
                <w:lang w:val="es-ES_tradnl" w:eastAsia="es-ES_tradnl"/>
              </w:rPr>
              <w:t>Temas:</w:t>
            </w:r>
            <w:r w:rsidRPr="00623C09">
              <w:rPr>
                <w:rFonts w:ascii="Verdana" w:eastAsia="Calibri" w:hAnsi="Verdana" w:cs="Arial"/>
                <w:lang w:val="es-ES_tradnl" w:eastAsia="es-ES_tradnl"/>
              </w:rPr>
              <w:t xml:space="preserve">                   </w:t>
            </w:r>
          </w:p>
        </w:tc>
        <w:tc>
          <w:tcPr>
            <w:tcW w:w="6468" w:type="dxa"/>
          </w:tcPr>
          <w:p w14:paraId="002B0614" w14:textId="3275A6D0" w:rsidR="00AA772C" w:rsidRPr="00623C09" w:rsidRDefault="0020151E" w:rsidP="00A157F9">
            <w:pPr>
              <w:spacing w:line="276" w:lineRule="auto"/>
              <w:jc w:val="both"/>
              <w:rPr>
                <w:rFonts w:ascii="Verdana" w:eastAsia="Calibri" w:hAnsi="Verdana" w:cs="Arial"/>
                <w:lang w:eastAsia="es-ES"/>
              </w:rPr>
            </w:pPr>
            <w:r>
              <w:rPr>
                <w:rFonts w:ascii="Verdana" w:eastAsia="Calibri" w:hAnsi="Verdana" w:cs="Arial"/>
                <w:lang w:eastAsia="es-ES"/>
              </w:rPr>
              <w:t xml:space="preserve">LIQUIDACIÓN DEL CONTRATO – Noción – Clases / ACTA </w:t>
            </w:r>
            <w:r w:rsidR="00AA772C" w:rsidRPr="00623C09">
              <w:rPr>
                <w:rFonts w:ascii="Verdana" w:eastAsia="Calibri" w:hAnsi="Verdana" w:cs="Arial"/>
                <w:lang w:eastAsia="es-ES"/>
              </w:rPr>
              <w:t xml:space="preserve">LIQUIDACIÓN - Definición – Objetivo / </w:t>
            </w:r>
            <w:r>
              <w:rPr>
                <w:rFonts w:ascii="Verdana" w:eastAsia="Calibri" w:hAnsi="Verdana" w:cs="Arial"/>
                <w:lang w:eastAsia="es-ES"/>
              </w:rPr>
              <w:t>ACTA DE TERMINACIÓN – Noción – Finalidad</w:t>
            </w:r>
            <w:r w:rsidR="008A037B">
              <w:rPr>
                <w:rFonts w:ascii="Verdana" w:eastAsia="Calibri" w:hAnsi="Verdana" w:cs="Arial"/>
                <w:lang w:eastAsia="es-ES"/>
              </w:rPr>
              <w:t xml:space="preserve"> /ACTAS DEL CONTRATO – Acta de liquidación – Acta de terminación – Constancia de cierre – Diferencias</w:t>
            </w:r>
            <w:r>
              <w:rPr>
                <w:rFonts w:ascii="Verdana" w:eastAsia="Calibri" w:hAnsi="Verdana" w:cs="Arial"/>
                <w:lang w:eastAsia="es-ES"/>
              </w:rPr>
              <w:t xml:space="preserve"> / </w:t>
            </w:r>
            <w:r w:rsidR="00AA772C" w:rsidRPr="00623C09">
              <w:rPr>
                <w:rFonts w:ascii="Verdana" w:eastAsia="Calibri" w:hAnsi="Verdana" w:cs="Arial"/>
                <w:lang w:eastAsia="es-ES"/>
              </w:rPr>
              <w:t xml:space="preserve">CIERRE DEL EXPEDIENTE DEL PROCESO – </w:t>
            </w:r>
            <w:r>
              <w:rPr>
                <w:rFonts w:ascii="Verdana" w:eastAsia="Calibri" w:hAnsi="Verdana" w:cs="Arial"/>
                <w:lang w:eastAsia="es-ES"/>
              </w:rPr>
              <w:t>C</w:t>
            </w:r>
            <w:r w:rsidR="00AA772C" w:rsidRPr="00623C09">
              <w:rPr>
                <w:rFonts w:ascii="Verdana" w:eastAsia="Calibri" w:hAnsi="Verdana" w:cs="Arial"/>
                <w:lang w:eastAsia="es-ES"/>
              </w:rPr>
              <w:t>onstancia administrativa INSTITUCIONES EDUCATIVAS OFICIALES – Naturaleza jurídica –</w:t>
            </w:r>
            <w:r>
              <w:rPr>
                <w:rFonts w:ascii="Verdana" w:eastAsia="Calibri" w:hAnsi="Verdana" w:cs="Arial"/>
                <w:lang w:eastAsia="es-ES"/>
              </w:rPr>
              <w:t xml:space="preserve">Régimen de Contratación </w:t>
            </w:r>
            <w:r w:rsidR="0080507E" w:rsidRPr="00623C09">
              <w:rPr>
                <w:rFonts w:ascii="Verdana" w:eastAsia="Calibri" w:hAnsi="Verdana" w:cs="Arial"/>
                <w:lang w:eastAsia="es-ES"/>
              </w:rPr>
              <w:t xml:space="preserve">/ </w:t>
            </w:r>
            <w:r w:rsidR="0080507E" w:rsidRPr="00623C09">
              <w:rPr>
                <w:rFonts w:ascii="Verdana" w:eastAsia="Calibri" w:hAnsi="Verdana" w:cs="Arial"/>
                <w:lang w:val="es-ES_tradnl" w:eastAsia="es-ES"/>
              </w:rPr>
              <w:t>PUBLICIDAD SECOP –– Fundamento normativo</w:t>
            </w:r>
            <w:r>
              <w:rPr>
                <w:rFonts w:ascii="Verdana" w:eastAsia="Calibri" w:hAnsi="Verdana" w:cs="Arial"/>
                <w:lang w:val="es-ES_tradnl" w:eastAsia="es-ES"/>
              </w:rPr>
              <w:t xml:space="preserve"> – Documentos sin firma</w:t>
            </w:r>
          </w:p>
          <w:p w14:paraId="78C6CAEB" w14:textId="31475D98" w:rsidR="00AA772C" w:rsidRPr="00623C09" w:rsidRDefault="00AA772C" w:rsidP="002B1BF9">
            <w:pPr>
              <w:spacing w:line="276" w:lineRule="auto"/>
              <w:jc w:val="both"/>
              <w:rPr>
                <w:rFonts w:ascii="Verdana" w:eastAsia="Calibri" w:hAnsi="Verdana" w:cs="Arial"/>
                <w:highlight w:val="cyan"/>
                <w:lang w:eastAsia="es-ES"/>
              </w:rPr>
            </w:pPr>
          </w:p>
        </w:tc>
      </w:tr>
      <w:tr w:rsidR="00E647FA" w:rsidRPr="00700F5C" w14:paraId="1E31D85F" w14:textId="77777777" w:rsidTr="0077577D">
        <w:trPr>
          <w:trHeight w:val="260"/>
        </w:trPr>
        <w:tc>
          <w:tcPr>
            <w:tcW w:w="2851" w:type="dxa"/>
          </w:tcPr>
          <w:p w14:paraId="6D361A1E" w14:textId="77777777" w:rsidR="00E647FA" w:rsidRPr="00623C09" w:rsidRDefault="00E647FA" w:rsidP="002B1BF9">
            <w:pPr>
              <w:jc w:val="both"/>
              <w:rPr>
                <w:rFonts w:ascii="Verdana" w:eastAsia="Calibri" w:hAnsi="Verdana" w:cs="Arial"/>
                <w:b/>
                <w:lang w:val="es-ES_tradnl" w:eastAsia="es-ES_tradnl"/>
              </w:rPr>
            </w:pPr>
            <w:r w:rsidRPr="00623C09">
              <w:rPr>
                <w:rFonts w:ascii="Verdana" w:eastAsia="Calibri" w:hAnsi="Verdana" w:cs="Arial"/>
                <w:b/>
                <w:lang w:val="es-ES_tradnl" w:eastAsia="es-ES_tradnl"/>
              </w:rPr>
              <w:t>Radicación:</w:t>
            </w:r>
            <w:r w:rsidRPr="00623C09">
              <w:rPr>
                <w:rFonts w:ascii="Verdana" w:eastAsia="Calibri" w:hAnsi="Verdana" w:cs="Arial"/>
                <w:lang w:val="es-ES_tradnl" w:eastAsia="es-ES_tradnl"/>
              </w:rPr>
              <w:t xml:space="preserve">               </w:t>
            </w:r>
          </w:p>
        </w:tc>
        <w:tc>
          <w:tcPr>
            <w:tcW w:w="6468" w:type="dxa"/>
          </w:tcPr>
          <w:p w14:paraId="4F94E569" w14:textId="476A98A6" w:rsidR="00E647FA" w:rsidRPr="00623C09" w:rsidRDefault="00E647FA" w:rsidP="002B1BF9">
            <w:pPr>
              <w:jc w:val="both"/>
              <w:rPr>
                <w:rFonts w:ascii="Verdana" w:eastAsia="Calibri" w:hAnsi="Verdana" w:cs="Arial"/>
                <w:lang w:val="es-ES_tradnl" w:eastAsia="es-ES_tradnl"/>
              </w:rPr>
            </w:pPr>
            <w:r w:rsidRPr="00623C09">
              <w:rPr>
                <w:rFonts w:ascii="Verdana" w:eastAsia="Calibri" w:hAnsi="Verdana" w:cs="Arial"/>
                <w:lang w:val="es-ES_tradnl" w:eastAsia="es-ES_tradnl"/>
              </w:rPr>
              <w:t>Respuesta a consulta con radicado No.</w:t>
            </w:r>
            <w:r w:rsidR="008874CA" w:rsidRPr="00623C09">
              <w:rPr>
                <w:rFonts w:ascii="Verdana" w:eastAsia="Calibri" w:hAnsi="Verdana" w:cs="Arial"/>
                <w:lang w:val="es-ES_tradnl" w:eastAsia="es-ES_tradnl"/>
              </w:rPr>
              <w:t xml:space="preserve"> P20240531005683</w:t>
            </w:r>
            <w:r w:rsidR="00E219F7" w:rsidRPr="00623C09">
              <w:rPr>
                <w:rFonts w:ascii="Verdana" w:eastAsia="Calibri" w:hAnsi="Verdana" w:cs="Arial"/>
                <w:lang w:val="es-ES_tradnl" w:eastAsia="es-ES_tradnl"/>
              </w:rPr>
              <w:t>.</w:t>
            </w:r>
          </w:p>
        </w:tc>
      </w:tr>
    </w:tbl>
    <w:p w14:paraId="79466536" w14:textId="77777777" w:rsidR="00E647FA" w:rsidRPr="00623C09" w:rsidRDefault="00E647FA" w:rsidP="00E647FA">
      <w:pPr>
        <w:spacing w:after="0" w:line="240" w:lineRule="auto"/>
        <w:jc w:val="both"/>
        <w:rPr>
          <w:rFonts w:ascii="Verdana" w:eastAsia="Calibri" w:hAnsi="Verdana" w:cs="Arial"/>
          <w:highlight w:val="cyan"/>
          <w:lang w:val="es-ES_tradnl" w:eastAsia="es-ES_tradnl"/>
        </w:rPr>
      </w:pPr>
    </w:p>
    <w:p w14:paraId="1CA5CB5F" w14:textId="77777777" w:rsidR="00E647FA" w:rsidRPr="00623C09" w:rsidRDefault="00E647FA" w:rsidP="00E647FA">
      <w:pPr>
        <w:spacing w:after="0" w:line="240" w:lineRule="auto"/>
        <w:jc w:val="both"/>
        <w:rPr>
          <w:rFonts w:ascii="Verdana" w:eastAsia="Calibri" w:hAnsi="Verdana" w:cs="Arial"/>
          <w:highlight w:val="cyan"/>
          <w:lang w:val="es-ES_tradnl" w:eastAsia="es-ES_tradnl"/>
        </w:rPr>
      </w:pPr>
    </w:p>
    <w:p w14:paraId="1F77ADA4" w14:textId="0A1C8048" w:rsidR="00E647FA" w:rsidRPr="00623C09" w:rsidRDefault="00E647FA" w:rsidP="00E647FA">
      <w:pPr>
        <w:spacing w:after="0" w:line="276" w:lineRule="auto"/>
        <w:jc w:val="both"/>
        <w:rPr>
          <w:rFonts w:ascii="Verdana" w:eastAsia="Calibri" w:hAnsi="Verdana" w:cs="Arial"/>
          <w:lang w:val="es-ES" w:eastAsia="es-ES"/>
        </w:rPr>
      </w:pPr>
      <w:r w:rsidRPr="00623C09">
        <w:rPr>
          <w:rFonts w:ascii="Verdana" w:eastAsia="Calibri" w:hAnsi="Verdana" w:cs="Arial"/>
          <w:lang w:val="es-ES" w:eastAsia="es-ES"/>
        </w:rPr>
        <w:t>Estimad</w:t>
      </w:r>
      <w:r w:rsidR="00BE7B22" w:rsidRPr="00623C09">
        <w:rPr>
          <w:rFonts w:ascii="Verdana" w:eastAsia="Calibri" w:hAnsi="Verdana" w:cs="Arial"/>
          <w:lang w:val="es-ES" w:eastAsia="es-ES"/>
        </w:rPr>
        <w:t>a</w:t>
      </w:r>
      <w:r w:rsidRPr="00623C09">
        <w:rPr>
          <w:rFonts w:ascii="Verdana" w:eastAsia="Calibri" w:hAnsi="Verdana" w:cs="Arial"/>
          <w:lang w:val="es-ES" w:eastAsia="es-ES"/>
        </w:rPr>
        <w:t xml:space="preserve"> señora </w:t>
      </w:r>
      <w:r w:rsidR="00BE7B22" w:rsidRPr="00623C09">
        <w:rPr>
          <w:rFonts w:ascii="Verdana" w:eastAsia="Calibri" w:hAnsi="Verdana" w:cs="Arial"/>
          <w:lang w:val="es-MX" w:eastAsia="es-ES"/>
        </w:rPr>
        <w:t>Torra</w:t>
      </w:r>
      <w:r w:rsidRPr="00623C09">
        <w:rPr>
          <w:rFonts w:ascii="Verdana" w:eastAsia="Calibri" w:hAnsi="Verdana" w:cs="Arial"/>
          <w:lang w:val="es-ES" w:eastAsia="es-ES"/>
        </w:rPr>
        <w:t xml:space="preserve">: </w:t>
      </w:r>
    </w:p>
    <w:p w14:paraId="4D4D33E9" w14:textId="77777777" w:rsidR="00E647FA" w:rsidRPr="00623C09" w:rsidRDefault="00E647FA" w:rsidP="00E647FA">
      <w:pPr>
        <w:tabs>
          <w:tab w:val="left" w:pos="3768"/>
        </w:tabs>
        <w:spacing w:after="0" w:line="276" w:lineRule="auto"/>
        <w:jc w:val="both"/>
        <w:rPr>
          <w:rFonts w:ascii="Verdana" w:eastAsia="Calibri" w:hAnsi="Verdana" w:cs="Arial"/>
          <w:lang w:val="es-ES" w:eastAsia="es-ES"/>
        </w:rPr>
      </w:pPr>
      <w:r w:rsidRPr="00623C09">
        <w:rPr>
          <w:rFonts w:ascii="Verdana" w:eastAsia="Calibri" w:hAnsi="Verdana" w:cs="Arial"/>
          <w:lang w:val="es-ES" w:eastAsia="es-ES"/>
        </w:rPr>
        <w:tab/>
      </w:r>
    </w:p>
    <w:p w14:paraId="29A55E16" w14:textId="412558EB" w:rsidR="006C779D" w:rsidRPr="00623C09" w:rsidRDefault="00E647FA" w:rsidP="006C779D">
      <w:pPr>
        <w:spacing w:after="0" w:line="276" w:lineRule="auto"/>
        <w:jc w:val="both"/>
        <w:rPr>
          <w:rFonts w:ascii="Verdana" w:eastAsia="Calibri" w:hAnsi="Verdana" w:cs="Arial"/>
          <w:lang w:val="es-ES" w:eastAsia="es-ES"/>
        </w:rPr>
      </w:pPr>
      <w:r w:rsidRPr="00623C09">
        <w:rPr>
          <w:rFonts w:ascii="Verdana" w:eastAsia="Calibri" w:hAnsi="Verdana" w:cs="Arial"/>
          <w:lang w:val="es-ES" w:eastAsia="es-ES"/>
        </w:rPr>
        <w:t>En ejercicio de la competencia otorgada por los artículos 3, numeral 5º, y 11, numeral 8º, del Decreto Ley 4170 de 2011,</w:t>
      </w:r>
      <w:r w:rsidRPr="00623C09">
        <w:rPr>
          <w:rFonts w:ascii="Verdana" w:eastAsia="Arial MT" w:hAnsi="Verdana" w:cs="Arial MT"/>
          <w:lang w:val="es-ES" w:eastAsia="es-ES"/>
        </w:rPr>
        <w:t xml:space="preserve"> </w:t>
      </w:r>
      <w:r w:rsidRPr="00623C09">
        <w:rPr>
          <w:rFonts w:ascii="Verdana" w:hAnsi="Verdana" w:cs="Arial"/>
        </w:rPr>
        <w:t xml:space="preserve">así como lo establecido en el artículo 4 de la Resolución 1707 de 2018 expedida por esta Entidad, </w:t>
      </w:r>
      <w:r w:rsidRPr="00623C09">
        <w:rPr>
          <w:rFonts w:ascii="Verdana" w:eastAsia="Calibri" w:hAnsi="Verdana" w:cs="Arial"/>
          <w:lang w:val="es-ES" w:eastAsia="es-ES"/>
        </w:rPr>
        <w:t xml:space="preserve">la Agencia Nacional de Contratación Pública – Colombia Compra Eficiente– responde su solicitud de consulta de fecha </w:t>
      </w:r>
      <w:r w:rsidR="004547BF" w:rsidRPr="00623C09">
        <w:rPr>
          <w:rFonts w:ascii="Verdana" w:eastAsia="Calibri" w:hAnsi="Verdana" w:cs="Arial"/>
          <w:lang w:val="es-ES" w:eastAsia="es-ES"/>
        </w:rPr>
        <w:t>24</w:t>
      </w:r>
      <w:r w:rsidRPr="00623C09">
        <w:rPr>
          <w:rFonts w:ascii="Verdana" w:eastAsia="Calibri" w:hAnsi="Verdana" w:cs="Arial"/>
          <w:lang w:val="es-ES" w:eastAsia="es-ES"/>
        </w:rPr>
        <w:t xml:space="preserve"> de </w:t>
      </w:r>
      <w:r w:rsidR="004547BF" w:rsidRPr="00623C09">
        <w:rPr>
          <w:rFonts w:ascii="Verdana" w:eastAsia="Calibri" w:hAnsi="Verdana" w:cs="Arial"/>
          <w:lang w:val="es-ES" w:eastAsia="es-ES"/>
        </w:rPr>
        <w:t>mayo</w:t>
      </w:r>
      <w:r w:rsidRPr="00623C09">
        <w:rPr>
          <w:rFonts w:ascii="Verdana" w:eastAsia="Calibri" w:hAnsi="Verdana" w:cs="Arial"/>
          <w:lang w:val="es-ES" w:eastAsia="es-ES"/>
        </w:rPr>
        <w:t xml:space="preserve"> de </w:t>
      </w:r>
      <w:r w:rsidR="004547BF" w:rsidRPr="00623C09">
        <w:rPr>
          <w:rFonts w:ascii="Verdana" w:eastAsia="Calibri" w:hAnsi="Verdana" w:cs="Arial"/>
          <w:lang w:val="es-ES" w:eastAsia="es-ES"/>
        </w:rPr>
        <w:t>2024</w:t>
      </w:r>
      <w:r w:rsidRPr="00623C09">
        <w:rPr>
          <w:rFonts w:ascii="Verdana" w:eastAsia="Calibri" w:hAnsi="Verdana" w:cs="Arial"/>
          <w:lang w:val="es-ES" w:eastAsia="es-ES"/>
        </w:rPr>
        <w:t>,</w:t>
      </w:r>
      <w:r w:rsidR="004547BF" w:rsidRPr="00623C09">
        <w:rPr>
          <w:rFonts w:ascii="Verdana" w:eastAsia="Calibri" w:hAnsi="Verdana" w:cs="Arial"/>
          <w:lang w:val="es-ES" w:eastAsia="es-ES"/>
        </w:rPr>
        <w:t xml:space="preserve"> trasladada por la Contraloría General de la Republica mediante oficio Nro. </w:t>
      </w:r>
      <w:r w:rsidR="006C779D" w:rsidRPr="00623C09">
        <w:rPr>
          <w:rFonts w:ascii="Verdana" w:eastAsia="Calibri" w:hAnsi="Verdana" w:cs="Arial"/>
          <w:lang w:val="es-ES" w:eastAsia="es-ES"/>
        </w:rPr>
        <w:t>2024EE0099825</w:t>
      </w:r>
      <w:r w:rsidR="004352B3" w:rsidRPr="00623C09">
        <w:rPr>
          <w:rFonts w:ascii="Verdana" w:eastAsia="Calibri" w:hAnsi="Verdana" w:cs="Arial"/>
          <w:lang w:val="es-ES" w:eastAsia="es-ES"/>
        </w:rPr>
        <w:t xml:space="preserve">, </w:t>
      </w:r>
      <w:r w:rsidR="00E6167B" w:rsidRPr="00623C09">
        <w:rPr>
          <w:rFonts w:ascii="Verdana" w:eastAsia="Calibri" w:hAnsi="Verdana" w:cs="Arial"/>
          <w:lang w:val="es-ES" w:eastAsia="es-ES"/>
        </w:rPr>
        <w:t xml:space="preserve">radicado </w:t>
      </w:r>
      <w:r w:rsidR="004352B3" w:rsidRPr="00623C09">
        <w:rPr>
          <w:rFonts w:ascii="Verdana" w:eastAsia="Calibri" w:hAnsi="Verdana" w:cs="Arial"/>
          <w:lang w:val="es-ES" w:eastAsia="es-ES"/>
        </w:rPr>
        <w:t>el</w:t>
      </w:r>
      <w:r w:rsidR="006C779D" w:rsidRPr="00623C09">
        <w:rPr>
          <w:rFonts w:ascii="Verdana" w:eastAsia="Calibri" w:hAnsi="Verdana" w:cs="Arial"/>
          <w:lang w:val="es-ES" w:eastAsia="es-ES"/>
        </w:rPr>
        <w:t xml:space="preserve"> 30 de mayo de 2024, en el cual manifiesta lo siguiente: </w:t>
      </w:r>
    </w:p>
    <w:p w14:paraId="7799ED9B" w14:textId="481740D1" w:rsidR="004547BF" w:rsidRPr="00623C09" w:rsidRDefault="004547BF" w:rsidP="00E647FA">
      <w:pPr>
        <w:spacing w:after="0" w:line="276" w:lineRule="auto"/>
        <w:jc w:val="both"/>
        <w:rPr>
          <w:rFonts w:ascii="Verdana" w:eastAsia="Calibri" w:hAnsi="Verdana" w:cs="Arial"/>
          <w:lang w:val="es-ES" w:eastAsia="es-ES"/>
        </w:rPr>
      </w:pPr>
    </w:p>
    <w:p w14:paraId="147002C5" w14:textId="77777777" w:rsidR="00A00D98" w:rsidRPr="00623C09" w:rsidRDefault="00483BAB" w:rsidP="00A00D98">
      <w:pPr>
        <w:spacing w:after="0" w:line="240" w:lineRule="auto"/>
        <w:ind w:left="709" w:right="709"/>
        <w:jc w:val="both"/>
        <w:rPr>
          <w:rStyle w:val="normaltextrun"/>
          <w:rFonts w:ascii="Verdana" w:hAnsi="Verdana" w:cs="Arial"/>
          <w:sz w:val="20"/>
          <w:szCs w:val="20"/>
          <w:shd w:val="clear" w:color="auto" w:fill="FFFFFF"/>
        </w:rPr>
      </w:pPr>
      <w:bookmarkStart w:id="0" w:name="_Hlk95313578"/>
      <w:r w:rsidRPr="00623C09">
        <w:rPr>
          <w:rFonts w:ascii="Verdana" w:eastAsia="Century Gothic" w:hAnsi="Verdana" w:cs="Century Gothic"/>
          <w:sz w:val="20"/>
          <w:szCs w:val="20"/>
          <w:lang w:val="es-ES"/>
        </w:rPr>
        <w:t>“</w:t>
      </w:r>
      <w:r w:rsidRPr="00623C09">
        <w:rPr>
          <w:rStyle w:val="normaltextrun"/>
          <w:rFonts w:ascii="Verdana" w:hAnsi="Verdana" w:cs="Arial"/>
          <w:sz w:val="20"/>
          <w:szCs w:val="20"/>
          <w:shd w:val="clear" w:color="auto" w:fill="FFFFFF"/>
        </w:rPr>
        <w:t xml:space="preserve">[…] </w:t>
      </w:r>
      <w:r w:rsidR="00A00D98" w:rsidRPr="00623C09">
        <w:rPr>
          <w:rStyle w:val="normaltextrun"/>
          <w:rFonts w:ascii="Verdana" w:hAnsi="Verdana" w:cs="Arial"/>
          <w:sz w:val="20"/>
          <w:szCs w:val="20"/>
          <w:shd w:val="clear" w:color="auto" w:fill="FFFFFF"/>
        </w:rPr>
        <w:t>1. ¿El acta de terminación, reemplaza el acta de liquidación?</w:t>
      </w:r>
    </w:p>
    <w:p w14:paraId="7CB936F6" w14:textId="77777777" w:rsidR="00A00D98" w:rsidRPr="00623C09" w:rsidRDefault="00A00D98" w:rsidP="00A00D98">
      <w:pPr>
        <w:spacing w:after="0" w:line="240" w:lineRule="auto"/>
        <w:ind w:left="709" w:right="709"/>
        <w:jc w:val="both"/>
        <w:rPr>
          <w:rStyle w:val="normaltextrun"/>
          <w:rFonts w:ascii="Verdana" w:hAnsi="Verdana" w:cs="Arial"/>
          <w:sz w:val="20"/>
          <w:szCs w:val="20"/>
          <w:shd w:val="clear" w:color="auto" w:fill="FFFFFF"/>
        </w:rPr>
      </w:pPr>
    </w:p>
    <w:p w14:paraId="2B688707" w14:textId="6BD39825" w:rsidR="00A358A7" w:rsidRPr="00623C09" w:rsidRDefault="00A00D98" w:rsidP="00A00D98">
      <w:pPr>
        <w:spacing w:after="0" w:line="240" w:lineRule="auto"/>
        <w:ind w:left="709" w:right="709"/>
        <w:jc w:val="both"/>
        <w:rPr>
          <w:rStyle w:val="normaltextrun"/>
          <w:rFonts w:ascii="Verdana" w:hAnsi="Verdana" w:cs="Arial"/>
          <w:sz w:val="20"/>
          <w:szCs w:val="20"/>
          <w:shd w:val="clear" w:color="auto" w:fill="FFFFFF"/>
        </w:rPr>
      </w:pPr>
      <w:r w:rsidRPr="00623C09">
        <w:rPr>
          <w:rStyle w:val="normaltextrun"/>
          <w:rFonts w:ascii="Verdana" w:hAnsi="Verdana" w:cs="Arial"/>
          <w:sz w:val="20"/>
          <w:szCs w:val="20"/>
          <w:shd w:val="clear" w:color="auto" w:fill="FFFFFF"/>
        </w:rPr>
        <w:lastRenderedPageBreak/>
        <w:t xml:space="preserve">2. </w:t>
      </w:r>
      <w:r w:rsidR="00A358A7" w:rsidRPr="00623C09">
        <w:rPr>
          <w:rStyle w:val="normaltextrun"/>
          <w:rFonts w:ascii="Verdana" w:hAnsi="Verdana" w:cs="Arial"/>
          <w:sz w:val="20"/>
          <w:szCs w:val="20"/>
          <w:shd w:val="clear" w:color="auto" w:fill="FFFFFF"/>
        </w:rPr>
        <w:t>¿Pueden los establecimientos Oficiales, subir al</w:t>
      </w:r>
      <w:r w:rsidR="00B45A2A" w:rsidRPr="00623C09">
        <w:rPr>
          <w:rStyle w:val="normaltextrun"/>
          <w:rFonts w:ascii="Verdana" w:hAnsi="Verdana" w:cs="Arial"/>
          <w:sz w:val="20"/>
          <w:szCs w:val="20"/>
          <w:shd w:val="clear" w:color="auto" w:fill="FFFFFF"/>
        </w:rPr>
        <w:t xml:space="preserve"> </w:t>
      </w:r>
      <w:r w:rsidR="00A358A7" w:rsidRPr="00623C09">
        <w:rPr>
          <w:rStyle w:val="normaltextrun"/>
          <w:rFonts w:ascii="Verdana" w:hAnsi="Verdana" w:cs="Arial"/>
          <w:sz w:val="20"/>
          <w:szCs w:val="20"/>
          <w:shd w:val="clear" w:color="auto" w:fill="FFFFFF"/>
        </w:rPr>
        <w:t>SECOP II, el contrato en PDF sin firmas y manifestar en las auditorias de los entes de control, que el físico u original, se encuentra firmado?</w:t>
      </w:r>
    </w:p>
    <w:p w14:paraId="77628148" w14:textId="77777777" w:rsidR="00A358A7" w:rsidRPr="00623C09" w:rsidRDefault="00A358A7" w:rsidP="00A00D98">
      <w:pPr>
        <w:spacing w:after="0" w:line="240" w:lineRule="auto"/>
        <w:ind w:left="709" w:right="709"/>
        <w:jc w:val="both"/>
        <w:rPr>
          <w:rStyle w:val="normaltextrun"/>
          <w:rFonts w:ascii="Verdana" w:hAnsi="Verdana" w:cs="Arial"/>
          <w:sz w:val="20"/>
          <w:szCs w:val="20"/>
          <w:shd w:val="clear" w:color="auto" w:fill="FFFFFF"/>
        </w:rPr>
      </w:pPr>
    </w:p>
    <w:p w14:paraId="4B89E0A1" w14:textId="77777777" w:rsidR="000C1820" w:rsidRPr="00623C09" w:rsidRDefault="00A358A7" w:rsidP="00A00D98">
      <w:pPr>
        <w:spacing w:after="0" w:line="240" w:lineRule="auto"/>
        <w:ind w:left="709" w:right="709"/>
        <w:jc w:val="both"/>
        <w:rPr>
          <w:rStyle w:val="normaltextrun"/>
          <w:rFonts w:ascii="Verdana" w:hAnsi="Verdana" w:cs="Arial"/>
          <w:sz w:val="20"/>
          <w:szCs w:val="20"/>
          <w:shd w:val="clear" w:color="auto" w:fill="FFFFFF"/>
        </w:rPr>
      </w:pPr>
      <w:r w:rsidRPr="00623C09">
        <w:rPr>
          <w:rStyle w:val="normaltextrun"/>
          <w:rFonts w:ascii="Verdana" w:hAnsi="Verdana" w:cs="Arial"/>
          <w:sz w:val="20"/>
          <w:szCs w:val="20"/>
          <w:shd w:val="clear" w:color="auto" w:fill="FFFFFF"/>
        </w:rPr>
        <w:t xml:space="preserve">3. </w:t>
      </w:r>
      <w:r w:rsidR="00B45A2A" w:rsidRPr="00623C09">
        <w:rPr>
          <w:rStyle w:val="normaltextrun"/>
          <w:rFonts w:ascii="Verdana" w:hAnsi="Verdana" w:cs="Arial"/>
          <w:sz w:val="20"/>
          <w:szCs w:val="20"/>
          <w:shd w:val="clear" w:color="auto" w:fill="FFFFFF"/>
        </w:rPr>
        <w:t>¿Los Establecimientos Educativos, no están obligados, a elaborar acta de liquidación, para los contratos de prestación de servicios profesionales?</w:t>
      </w:r>
    </w:p>
    <w:p w14:paraId="2D53A50D" w14:textId="77777777" w:rsidR="000C1820" w:rsidRPr="00623C09" w:rsidRDefault="000C1820" w:rsidP="00A00D98">
      <w:pPr>
        <w:spacing w:after="0" w:line="240" w:lineRule="auto"/>
        <w:ind w:left="709" w:right="709"/>
        <w:jc w:val="both"/>
        <w:rPr>
          <w:rStyle w:val="normaltextrun"/>
          <w:rFonts w:ascii="Verdana" w:hAnsi="Verdana" w:cs="Arial"/>
          <w:sz w:val="20"/>
          <w:szCs w:val="20"/>
          <w:shd w:val="clear" w:color="auto" w:fill="FFFFFF"/>
        </w:rPr>
      </w:pPr>
    </w:p>
    <w:p w14:paraId="3EC51FC7" w14:textId="77777777" w:rsidR="000C1820" w:rsidRPr="00623C09" w:rsidRDefault="000C1820" w:rsidP="00A00D98">
      <w:pPr>
        <w:spacing w:after="0" w:line="240" w:lineRule="auto"/>
        <w:ind w:left="709" w:right="709"/>
        <w:jc w:val="both"/>
        <w:rPr>
          <w:rStyle w:val="normaltextrun"/>
          <w:rFonts w:ascii="Verdana" w:hAnsi="Verdana" w:cs="Arial"/>
          <w:sz w:val="20"/>
          <w:szCs w:val="20"/>
          <w:shd w:val="clear" w:color="auto" w:fill="FFFFFF"/>
        </w:rPr>
      </w:pPr>
      <w:r w:rsidRPr="00623C09">
        <w:rPr>
          <w:rStyle w:val="normaltextrun"/>
          <w:rFonts w:ascii="Verdana" w:hAnsi="Verdana" w:cs="Arial"/>
          <w:sz w:val="20"/>
          <w:szCs w:val="20"/>
          <w:shd w:val="clear" w:color="auto" w:fill="FFFFFF"/>
        </w:rPr>
        <w:t>4. ¿Pueden entonces los Establecimientos Educativos, elegir, que contratos liquidan o no?</w:t>
      </w:r>
    </w:p>
    <w:p w14:paraId="41BFB1A5" w14:textId="77777777" w:rsidR="000C1820" w:rsidRPr="00623C09" w:rsidRDefault="000C1820" w:rsidP="00A00D98">
      <w:pPr>
        <w:spacing w:after="0" w:line="240" w:lineRule="auto"/>
        <w:ind w:left="709" w:right="709"/>
        <w:jc w:val="both"/>
        <w:rPr>
          <w:rStyle w:val="normaltextrun"/>
          <w:rFonts w:ascii="Verdana" w:hAnsi="Verdana" w:cs="Arial"/>
          <w:sz w:val="20"/>
          <w:szCs w:val="20"/>
          <w:shd w:val="clear" w:color="auto" w:fill="FFFFFF"/>
        </w:rPr>
      </w:pPr>
    </w:p>
    <w:p w14:paraId="476B4575" w14:textId="237C3186" w:rsidR="00483BAB" w:rsidRPr="00623C09" w:rsidRDefault="000C1820" w:rsidP="00A00D98">
      <w:pPr>
        <w:spacing w:after="0" w:line="240" w:lineRule="auto"/>
        <w:ind w:left="709" w:right="709"/>
        <w:jc w:val="both"/>
        <w:rPr>
          <w:rFonts w:ascii="Verdana" w:hAnsi="Verdana" w:cs="Arial"/>
          <w:sz w:val="20"/>
          <w:szCs w:val="20"/>
          <w:shd w:val="clear" w:color="auto" w:fill="FFFFFF"/>
        </w:rPr>
      </w:pPr>
      <w:r w:rsidRPr="00623C09">
        <w:rPr>
          <w:rStyle w:val="normaltextrun"/>
          <w:rFonts w:ascii="Verdana" w:hAnsi="Verdana" w:cs="Arial"/>
          <w:sz w:val="20"/>
          <w:szCs w:val="20"/>
          <w:shd w:val="clear" w:color="auto" w:fill="FFFFFF"/>
        </w:rPr>
        <w:t xml:space="preserve">5. </w:t>
      </w:r>
      <w:r w:rsidR="00F0434D" w:rsidRPr="00623C09">
        <w:rPr>
          <w:rStyle w:val="normaltextrun"/>
          <w:rFonts w:ascii="Verdana" w:hAnsi="Verdana" w:cs="Arial"/>
          <w:sz w:val="20"/>
          <w:szCs w:val="20"/>
          <w:shd w:val="clear" w:color="auto" w:fill="FFFFFF"/>
        </w:rPr>
        <w:t>¿La ley 80 de 1993, exime a los Establecimientos Educativos, de liquidar ciertos contratos?</w:t>
      </w:r>
      <w:r w:rsidR="00483BAB" w:rsidRPr="00623C09">
        <w:rPr>
          <w:rStyle w:val="normaltextrun"/>
          <w:rFonts w:ascii="Verdana" w:hAnsi="Verdana" w:cs="Arial"/>
          <w:sz w:val="20"/>
          <w:szCs w:val="20"/>
          <w:shd w:val="clear" w:color="auto" w:fill="FFFFFF"/>
        </w:rPr>
        <w:t xml:space="preserve"> […]</w:t>
      </w:r>
      <w:r w:rsidR="00483BAB" w:rsidRPr="00623C09">
        <w:rPr>
          <w:rFonts w:ascii="Verdana" w:eastAsia="Century Gothic" w:hAnsi="Verdana" w:cs="Century Gothic"/>
          <w:sz w:val="20"/>
          <w:szCs w:val="20"/>
          <w:lang w:val="es-ES"/>
        </w:rPr>
        <w:t>”</w:t>
      </w:r>
      <w:bookmarkEnd w:id="0"/>
      <w:r w:rsidR="00483BAB" w:rsidRPr="00623C09">
        <w:rPr>
          <w:rFonts w:ascii="Verdana" w:eastAsia="Century Gothic" w:hAnsi="Verdana" w:cs="Century Gothic"/>
          <w:sz w:val="20"/>
          <w:szCs w:val="20"/>
          <w:lang w:val="es-ES"/>
        </w:rPr>
        <w:t>.</w:t>
      </w:r>
    </w:p>
    <w:p w14:paraId="341058EA" w14:textId="77777777" w:rsidR="004547BF" w:rsidRPr="00623C09" w:rsidRDefault="004547BF" w:rsidP="00E647FA">
      <w:pPr>
        <w:spacing w:after="0" w:line="276" w:lineRule="auto"/>
        <w:jc w:val="both"/>
        <w:rPr>
          <w:rFonts w:ascii="Verdana" w:eastAsia="Calibri" w:hAnsi="Verdana" w:cs="Arial"/>
          <w:highlight w:val="cyan"/>
          <w:lang w:val="es-ES" w:eastAsia="es-ES"/>
        </w:rPr>
      </w:pPr>
    </w:p>
    <w:p w14:paraId="422DA331" w14:textId="77777777" w:rsidR="004F7262" w:rsidRPr="00623C09" w:rsidRDefault="00D17843" w:rsidP="004F7262">
      <w:pPr>
        <w:spacing w:after="120" w:line="276" w:lineRule="auto"/>
        <w:ind w:firstLine="709"/>
        <w:jc w:val="both"/>
        <w:rPr>
          <w:rFonts w:ascii="Verdana" w:eastAsia="Calibri" w:hAnsi="Verdana" w:cs="Arial"/>
          <w:color w:val="000000"/>
          <w:lang w:val="es-ES" w:eastAsia="es-ES"/>
        </w:rPr>
      </w:pPr>
      <w:r w:rsidRPr="00623C09">
        <w:rPr>
          <w:rFonts w:ascii="Verdana" w:eastAsia="Calibri" w:hAnsi="Verdana" w:cs="Arial"/>
          <w:color w:val="000000"/>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w14:paraId="7C113B79" w14:textId="0F8DBF44" w:rsidR="00D17843" w:rsidRPr="00623C09" w:rsidRDefault="00D17843" w:rsidP="004F7262">
      <w:pPr>
        <w:spacing w:after="120" w:line="276" w:lineRule="auto"/>
        <w:ind w:firstLine="709"/>
        <w:jc w:val="both"/>
        <w:rPr>
          <w:rFonts w:ascii="Verdana" w:eastAsia="Calibri" w:hAnsi="Verdana" w:cs="Arial"/>
          <w:lang w:val="es-ES_tradnl" w:eastAsia="es-ES_tradnl"/>
        </w:rPr>
      </w:pPr>
      <w:r w:rsidRPr="00623C09">
        <w:rPr>
          <w:rFonts w:ascii="Verdana" w:eastAsia="Calibri" w:hAnsi="Verdana" w:cs="Arial"/>
          <w:color w:val="000000"/>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w:t>
      </w:r>
      <w:r w:rsidRPr="00623C09">
        <w:rPr>
          <w:rFonts w:ascii="Verdana" w:eastAsia="Calibri" w:hAnsi="Verdana" w:cs="Arial"/>
          <w:lang w:val="es-ES" w:eastAsia="es-ES"/>
        </w:rPr>
        <w:t xml:space="preserve">en su petición, pero haciendo unas consideraciones sobre las normas generales relacionadas con </w:t>
      </w:r>
      <w:r w:rsidR="004F7262" w:rsidRPr="00623C09">
        <w:rPr>
          <w:rFonts w:ascii="Verdana" w:eastAsia="Calibri" w:hAnsi="Verdana" w:cs="Arial"/>
          <w:lang w:val="es-ES" w:eastAsia="es-ES"/>
        </w:rPr>
        <w:t xml:space="preserve">los </w:t>
      </w:r>
      <w:r w:rsidRPr="00623C09">
        <w:rPr>
          <w:rFonts w:ascii="Verdana" w:eastAsia="Calibri" w:hAnsi="Verdana" w:cs="Arial"/>
          <w:lang w:val="es-ES" w:eastAsia="es-ES"/>
        </w:rPr>
        <w:t>problem</w:t>
      </w:r>
      <w:r w:rsidR="004F7262" w:rsidRPr="00623C09">
        <w:rPr>
          <w:rFonts w:ascii="Verdana" w:eastAsia="Calibri" w:hAnsi="Verdana" w:cs="Arial"/>
          <w:lang w:val="es-ES" w:eastAsia="es-ES"/>
        </w:rPr>
        <w:t>as</w:t>
      </w:r>
      <w:r w:rsidR="002B1BF9" w:rsidRPr="00623C09">
        <w:rPr>
          <w:rFonts w:ascii="Verdana" w:eastAsia="Calibri" w:hAnsi="Verdana" w:cs="Arial"/>
          <w:lang w:val="es-ES" w:eastAsia="es-ES"/>
        </w:rPr>
        <w:t xml:space="preserve"> </w:t>
      </w:r>
      <w:r w:rsidRPr="00623C09">
        <w:rPr>
          <w:rFonts w:ascii="Verdana" w:eastAsia="Calibri" w:hAnsi="Verdana" w:cs="Arial"/>
          <w:lang w:val="es-ES" w:eastAsia="es-ES"/>
        </w:rPr>
        <w:t>jurídic</w:t>
      </w:r>
      <w:r w:rsidR="004F7262" w:rsidRPr="00623C09">
        <w:rPr>
          <w:rFonts w:ascii="Verdana" w:eastAsia="Calibri" w:hAnsi="Verdana" w:cs="Arial"/>
          <w:lang w:val="es-ES" w:eastAsia="es-ES"/>
        </w:rPr>
        <w:t>os</w:t>
      </w:r>
      <w:r w:rsidRPr="00623C09">
        <w:rPr>
          <w:rFonts w:ascii="Verdana" w:eastAsia="Calibri" w:hAnsi="Verdana" w:cs="Arial"/>
          <w:lang w:val="es-ES" w:eastAsia="es-ES"/>
        </w:rPr>
        <w:t xml:space="preserve"> de su consulta. </w:t>
      </w:r>
    </w:p>
    <w:p w14:paraId="019F2B73" w14:textId="77777777" w:rsidR="00E3360F" w:rsidRPr="00623C09" w:rsidRDefault="00E3360F" w:rsidP="00E3360F">
      <w:pPr>
        <w:pStyle w:val="ListParagraph"/>
        <w:numPr>
          <w:ilvl w:val="0"/>
          <w:numId w:val="10"/>
        </w:numPr>
        <w:tabs>
          <w:tab w:val="left" w:pos="142"/>
          <w:tab w:val="left" w:pos="284"/>
        </w:tabs>
        <w:spacing w:after="0" w:line="276" w:lineRule="auto"/>
        <w:ind w:left="0" w:firstLine="0"/>
        <w:jc w:val="both"/>
        <w:rPr>
          <w:rFonts w:ascii="Verdana" w:eastAsia="Century Gothic" w:hAnsi="Verdana" w:cs="Century Gothic"/>
          <w:b/>
          <w:bCs/>
        </w:rPr>
      </w:pPr>
      <w:r w:rsidRPr="00623C09">
        <w:rPr>
          <w:rFonts w:ascii="Verdana" w:eastAsia="Century Gothic" w:hAnsi="Verdana" w:cs="Century Gothic"/>
          <w:b/>
          <w:bCs/>
        </w:rPr>
        <w:t>Problema planteado:</w:t>
      </w:r>
    </w:p>
    <w:p w14:paraId="525280B1" w14:textId="77777777" w:rsidR="00E3360F" w:rsidRPr="00623C09" w:rsidRDefault="00E3360F" w:rsidP="00E3360F">
      <w:pPr>
        <w:tabs>
          <w:tab w:val="left" w:pos="426"/>
        </w:tabs>
        <w:spacing w:after="0" w:line="276" w:lineRule="auto"/>
        <w:jc w:val="both"/>
        <w:rPr>
          <w:rFonts w:ascii="Verdana" w:eastAsia="Century Gothic" w:hAnsi="Verdana" w:cs="Century Gothic"/>
          <w:lang w:val="es-ES"/>
        </w:rPr>
      </w:pPr>
    </w:p>
    <w:p w14:paraId="55EDDD58" w14:textId="41926B9F" w:rsidR="008C15A0" w:rsidRPr="00623C09" w:rsidRDefault="00E3360F" w:rsidP="00E3360F">
      <w:pPr>
        <w:spacing w:after="0" w:line="276" w:lineRule="auto"/>
        <w:jc w:val="both"/>
        <w:rPr>
          <w:rFonts w:ascii="Verdana" w:eastAsia="Century Gothic" w:hAnsi="Verdana" w:cs="Century Gothic"/>
        </w:rPr>
      </w:pPr>
      <w:r w:rsidRPr="00623C09">
        <w:rPr>
          <w:rFonts w:ascii="Verdana" w:eastAsia="Century Gothic" w:hAnsi="Verdana" w:cs="Century Gothic"/>
        </w:rPr>
        <w:t xml:space="preserve">De acuerdo con el contenido de su solicitud, esta Agencia resolverá </w:t>
      </w:r>
      <w:r w:rsidR="001B3991" w:rsidRPr="00623C09">
        <w:rPr>
          <w:rFonts w:ascii="Verdana" w:eastAsia="Century Gothic" w:hAnsi="Verdana" w:cs="Century Gothic"/>
        </w:rPr>
        <w:t>los</w:t>
      </w:r>
      <w:r w:rsidRPr="00623C09">
        <w:rPr>
          <w:rFonts w:ascii="Verdana" w:eastAsia="Century Gothic" w:hAnsi="Verdana" w:cs="Century Gothic"/>
        </w:rPr>
        <w:t xml:space="preserve"> siguiente</w:t>
      </w:r>
      <w:r w:rsidR="001B3991" w:rsidRPr="00623C09">
        <w:rPr>
          <w:rFonts w:ascii="Verdana" w:eastAsia="Century Gothic" w:hAnsi="Verdana" w:cs="Century Gothic"/>
        </w:rPr>
        <w:t>s</w:t>
      </w:r>
      <w:r w:rsidRPr="00623C09">
        <w:rPr>
          <w:rFonts w:ascii="Verdana" w:eastAsia="Century Gothic" w:hAnsi="Verdana" w:cs="Century Gothic"/>
        </w:rPr>
        <w:t xml:space="preserve"> problemas jurídic</w:t>
      </w:r>
      <w:r w:rsidR="001B3991" w:rsidRPr="00623C09">
        <w:rPr>
          <w:rFonts w:ascii="Verdana" w:eastAsia="Century Gothic" w:hAnsi="Verdana" w:cs="Century Gothic"/>
        </w:rPr>
        <w:t>os</w:t>
      </w:r>
      <w:r w:rsidRPr="00623C09">
        <w:rPr>
          <w:rFonts w:ascii="Verdana" w:eastAsia="Century Gothic" w:hAnsi="Verdana" w:cs="Century Gothic"/>
        </w:rPr>
        <w:t xml:space="preserve">: </w:t>
      </w:r>
      <w:r w:rsidR="008C15A0" w:rsidRPr="00623C09">
        <w:rPr>
          <w:rFonts w:ascii="Verdana" w:eastAsia="Century Gothic" w:hAnsi="Verdana" w:cs="Century Gothic"/>
        </w:rPr>
        <w:t>i)</w:t>
      </w:r>
      <w:r w:rsidR="0020151E" w:rsidRPr="00623C09">
        <w:rPr>
          <w:rStyle w:val="normaltextrun"/>
          <w:rFonts w:ascii="Verdana" w:hAnsi="Verdana" w:cs="Arial"/>
          <w:shd w:val="clear" w:color="auto" w:fill="FFFFFF"/>
        </w:rPr>
        <w:t xml:space="preserve"> ¿cuál es régimen de liquidación de los contratos celebrados las Instituciones Educativas Oficiales?</w:t>
      </w:r>
      <w:r w:rsidR="008C15A0" w:rsidRPr="00623C09">
        <w:rPr>
          <w:rFonts w:ascii="Verdana" w:eastAsia="Century Gothic" w:hAnsi="Verdana" w:cs="Century Gothic"/>
        </w:rPr>
        <w:t xml:space="preserve"> </w:t>
      </w:r>
      <w:r w:rsidR="00436E75" w:rsidRPr="00623C09">
        <w:rPr>
          <w:rFonts w:ascii="Verdana" w:eastAsia="Century Gothic" w:hAnsi="Verdana" w:cs="Century Gothic"/>
        </w:rPr>
        <w:t xml:space="preserve"> </w:t>
      </w:r>
      <w:proofErr w:type="spellStart"/>
      <w:r w:rsidR="00436E75" w:rsidRPr="00623C09">
        <w:rPr>
          <w:rFonts w:ascii="Verdana" w:eastAsia="Century Gothic" w:hAnsi="Verdana" w:cs="Century Gothic"/>
        </w:rPr>
        <w:t>ii</w:t>
      </w:r>
      <w:proofErr w:type="spellEnd"/>
      <w:r w:rsidR="00436E75" w:rsidRPr="00623C09">
        <w:rPr>
          <w:rFonts w:ascii="Verdana" w:eastAsia="Century Gothic" w:hAnsi="Verdana" w:cs="Century Gothic"/>
        </w:rPr>
        <w:t>)</w:t>
      </w:r>
      <w:r w:rsidR="0020151E" w:rsidRPr="00623C09">
        <w:rPr>
          <w:rFonts w:ascii="Verdana" w:eastAsia="Century Gothic" w:hAnsi="Verdana" w:cs="Century Gothic"/>
        </w:rPr>
        <w:t xml:space="preserve"> ¿</w:t>
      </w:r>
      <w:r w:rsidR="00A52950" w:rsidRPr="00623C09">
        <w:rPr>
          <w:rFonts w:ascii="Verdana" w:eastAsia="Century Gothic" w:hAnsi="Verdana" w:cs="Century Gothic"/>
        </w:rPr>
        <w:t>e</w:t>
      </w:r>
      <w:r w:rsidR="0020151E" w:rsidRPr="00623C09">
        <w:rPr>
          <w:rFonts w:ascii="Verdana" w:eastAsia="Century Gothic" w:hAnsi="Verdana" w:cs="Century Gothic"/>
        </w:rPr>
        <w:t>l “acta de terminación” reemplaza el “acta de liquidación”?;</w:t>
      </w:r>
      <w:r w:rsidR="003E3F74" w:rsidRPr="00A157F9">
        <w:rPr>
          <w:rFonts w:ascii="Verdana" w:eastAsia="Century Gothic" w:hAnsi="Verdana" w:cs="Century Gothic"/>
        </w:rPr>
        <w:t xml:space="preserve"> </w:t>
      </w:r>
      <w:proofErr w:type="spellStart"/>
      <w:r w:rsidR="003E3F74" w:rsidRPr="00A157F9">
        <w:rPr>
          <w:rFonts w:ascii="Verdana" w:eastAsia="Century Gothic" w:hAnsi="Verdana" w:cs="Century Gothic"/>
        </w:rPr>
        <w:t>iii</w:t>
      </w:r>
      <w:proofErr w:type="spellEnd"/>
      <w:r w:rsidR="003E3F74" w:rsidRPr="00A157F9">
        <w:rPr>
          <w:rFonts w:ascii="Verdana" w:eastAsia="Century Gothic" w:hAnsi="Verdana" w:cs="Century Gothic"/>
        </w:rPr>
        <w:t>)</w:t>
      </w:r>
      <w:r w:rsidR="00575F78" w:rsidRPr="00A157F9">
        <w:rPr>
          <w:rFonts w:ascii="Verdana" w:eastAsia="Century Gothic" w:hAnsi="Verdana" w:cs="Century Gothic"/>
        </w:rPr>
        <w:t xml:space="preserve"> </w:t>
      </w:r>
      <w:r w:rsidR="00436E75" w:rsidRPr="00623C09">
        <w:rPr>
          <w:rFonts w:ascii="Verdana" w:eastAsia="Century Gothic" w:hAnsi="Verdana" w:cs="Century Gothic"/>
        </w:rPr>
        <w:t>¿</w:t>
      </w:r>
      <w:r w:rsidR="00780450" w:rsidRPr="00623C09">
        <w:rPr>
          <w:rFonts w:ascii="Verdana" w:eastAsia="Century Gothic" w:hAnsi="Verdana" w:cs="Century Gothic"/>
        </w:rPr>
        <w:t>las</w:t>
      </w:r>
      <w:r w:rsidR="00436E75" w:rsidRPr="00623C09">
        <w:rPr>
          <w:rFonts w:ascii="Verdana" w:eastAsia="Century Gothic" w:hAnsi="Verdana" w:cs="Century Gothic"/>
        </w:rPr>
        <w:t xml:space="preserve"> </w:t>
      </w:r>
      <w:r w:rsidR="00780450" w:rsidRPr="00623C09">
        <w:rPr>
          <w:rFonts w:ascii="Verdana" w:eastAsia="Century Gothic" w:hAnsi="Verdana" w:cs="Century Gothic"/>
        </w:rPr>
        <w:t>Instituciones Educativas Oficiales deben</w:t>
      </w:r>
      <w:r w:rsidR="00436E75" w:rsidRPr="00623C09">
        <w:rPr>
          <w:rFonts w:ascii="Verdana" w:eastAsia="Century Gothic" w:hAnsi="Verdana" w:cs="Century Gothic"/>
        </w:rPr>
        <w:t xml:space="preserve"> elaborar </w:t>
      </w:r>
      <w:r w:rsidR="00780450" w:rsidRPr="00623C09">
        <w:rPr>
          <w:rFonts w:ascii="Verdana" w:eastAsia="Century Gothic" w:hAnsi="Verdana" w:cs="Century Gothic"/>
          <w:i/>
          <w:iCs/>
        </w:rPr>
        <w:t>“</w:t>
      </w:r>
      <w:r w:rsidR="00436E75" w:rsidRPr="00623C09">
        <w:rPr>
          <w:rFonts w:ascii="Verdana" w:eastAsia="Century Gothic" w:hAnsi="Verdana" w:cs="Century Gothic"/>
          <w:i/>
          <w:iCs/>
        </w:rPr>
        <w:t>acta de liquidación</w:t>
      </w:r>
      <w:r w:rsidR="00780450" w:rsidRPr="00623C09">
        <w:rPr>
          <w:rFonts w:ascii="Verdana" w:eastAsia="Century Gothic" w:hAnsi="Verdana" w:cs="Century Gothic"/>
          <w:i/>
          <w:iCs/>
        </w:rPr>
        <w:t>”</w:t>
      </w:r>
      <w:r w:rsidR="00436E75" w:rsidRPr="00623C09">
        <w:rPr>
          <w:rFonts w:ascii="Verdana" w:eastAsia="Century Gothic" w:hAnsi="Verdana" w:cs="Century Gothic"/>
          <w:i/>
          <w:iCs/>
        </w:rPr>
        <w:t xml:space="preserve"> </w:t>
      </w:r>
      <w:r w:rsidR="00436E75" w:rsidRPr="00623C09">
        <w:rPr>
          <w:rFonts w:ascii="Verdana" w:eastAsia="Century Gothic" w:hAnsi="Verdana" w:cs="Century Gothic"/>
        </w:rPr>
        <w:t xml:space="preserve">para los contratos de prestación de servicios profesionales?; </w:t>
      </w:r>
      <w:proofErr w:type="spellStart"/>
      <w:r w:rsidR="0020151E" w:rsidRPr="00623C09">
        <w:rPr>
          <w:rStyle w:val="normaltextrun"/>
          <w:rFonts w:ascii="Verdana" w:hAnsi="Verdana" w:cs="Arial"/>
          <w:shd w:val="clear" w:color="auto" w:fill="FFFFFF"/>
        </w:rPr>
        <w:t>i</w:t>
      </w:r>
      <w:r w:rsidR="00575F78" w:rsidRPr="00623C09">
        <w:rPr>
          <w:rStyle w:val="normaltextrun"/>
          <w:rFonts w:ascii="Verdana" w:hAnsi="Verdana" w:cs="Arial"/>
          <w:shd w:val="clear" w:color="auto" w:fill="FFFFFF"/>
        </w:rPr>
        <w:t>v</w:t>
      </w:r>
      <w:proofErr w:type="spellEnd"/>
      <w:r w:rsidR="00D7085F" w:rsidRPr="00623C09">
        <w:rPr>
          <w:rStyle w:val="normaltextrun"/>
          <w:rFonts w:ascii="Verdana" w:hAnsi="Verdana" w:cs="Arial"/>
          <w:shd w:val="clear" w:color="auto" w:fill="FFFFFF"/>
        </w:rPr>
        <w:t xml:space="preserve">) </w:t>
      </w:r>
      <w:r w:rsidR="00D7085F" w:rsidRPr="00623C09">
        <w:rPr>
          <w:rFonts w:ascii="Verdana" w:eastAsia="Century Gothic" w:hAnsi="Verdana" w:cs="Century Gothic"/>
        </w:rPr>
        <w:t>¿Pueden l</w:t>
      </w:r>
      <w:r w:rsidR="00575F78" w:rsidRPr="00A157F9">
        <w:rPr>
          <w:rFonts w:ascii="Verdana" w:eastAsia="Century Gothic" w:hAnsi="Verdana" w:cs="Century Gothic"/>
        </w:rPr>
        <w:t>as Instituciones Educativas</w:t>
      </w:r>
      <w:r w:rsidR="00D7085F" w:rsidRPr="00623C09">
        <w:rPr>
          <w:rFonts w:ascii="Verdana" w:eastAsia="Century Gothic" w:hAnsi="Verdana" w:cs="Century Gothic"/>
        </w:rPr>
        <w:t xml:space="preserve"> </w:t>
      </w:r>
      <w:r w:rsidR="00780450" w:rsidRPr="00623C09">
        <w:rPr>
          <w:rFonts w:ascii="Verdana" w:eastAsia="Century Gothic" w:hAnsi="Verdana" w:cs="Century Gothic"/>
        </w:rPr>
        <w:t>publicar en</w:t>
      </w:r>
      <w:r w:rsidR="00D7085F" w:rsidRPr="00623C09">
        <w:rPr>
          <w:rFonts w:ascii="Verdana" w:eastAsia="Century Gothic" w:hAnsi="Verdana" w:cs="Century Gothic"/>
        </w:rPr>
        <w:t xml:space="preserve"> </w:t>
      </w:r>
      <w:r w:rsidR="00780450" w:rsidRPr="00623C09">
        <w:rPr>
          <w:rFonts w:ascii="Verdana" w:eastAsia="Century Gothic" w:hAnsi="Verdana" w:cs="Century Gothic"/>
        </w:rPr>
        <w:t>e</w:t>
      </w:r>
      <w:r w:rsidR="00D7085F" w:rsidRPr="00623C09">
        <w:rPr>
          <w:rFonts w:ascii="Verdana" w:eastAsia="Century Gothic" w:hAnsi="Verdana" w:cs="Century Gothic"/>
        </w:rPr>
        <w:t>l SECOP</w:t>
      </w:r>
      <w:r w:rsidR="0020151E" w:rsidRPr="00A157F9">
        <w:rPr>
          <w:rFonts w:ascii="Verdana" w:eastAsia="Century Gothic" w:hAnsi="Verdana" w:cs="Century Gothic"/>
        </w:rPr>
        <w:t xml:space="preserve"> </w:t>
      </w:r>
      <w:r w:rsidR="00780450" w:rsidRPr="00623C09">
        <w:rPr>
          <w:rFonts w:ascii="Verdana" w:eastAsia="Century Gothic" w:hAnsi="Verdana" w:cs="Century Gothic"/>
        </w:rPr>
        <w:t>documentos</w:t>
      </w:r>
      <w:r w:rsidR="00D7085F" w:rsidRPr="00623C09">
        <w:rPr>
          <w:rFonts w:ascii="Verdana" w:eastAsia="Century Gothic" w:hAnsi="Verdana" w:cs="Century Gothic"/>
        </w:rPr>
        <w:t xml:space="preserve"> sin firma</w:t>
      </w:r>
      <w:r w:rsidR="00780450" w:rsidRPr="00623C09">
        <w:rPr>
          <w:rFonts w:ascii="Verdana" w:eastAsia="Century Gothic" w:hAnsi="Verdana" w:cs="Century Gothic"/>
        </w:rPr>
        <w:t xml:space="preserve"> en lugar de lo</w:t>
      </w:r>
      <w:r w:rsidR="005636A6" w:rsidRPr="00623C09">
        <w:rPr>
          <w:rFonts w:ascii="Verdana" w:eastAsia="Century Gothic" w:hAnsi="Verdana" w:cs="Century Gothic"/>
        </w:rPr>
        <w:t>s</w:t>
      </w:r>
      <w:r w:rsidR="00780450" w:rsidRPr="00623C09">
        <w:rPr>
          <w:rFonts w:ascii="Verdana" w:eastAsia="Century Gothic" w:hAnsi="Verdana" w:cs="Century Gothic"/>
        </w:rPr>
        <w:t xml:space="preserve"> originales firmados</w:t>
      </w:r>
      <w:r w:rsidR="005636A6" w:rsidRPr="00623C09">
        <w:rPr>
          <w:rFonts w:ascii="Verdana" w:eastAsia="Century Gothic" w:hAnsi="Verdana" w:cs="Century Gothic"/>
        </w:rPr>
        <w:t>?</w:t>
      </w:r>
    </w:p>
    <w:p w14:paraId="71246AC8" w14:textId="77777777" w:rsidR="00A11A4B" w:rsidRPr="00623C09" w:rsidRDefault="00A11A4B" w:rsidP="00C3449C">
      <w:pPr>
        <w:spacing w:after="0"/>
        <w:ind w:right="709"/>
        <w:jc w:val="both"/>
        <w:rPr>
          <w:rFonts w:ascii="Verdana" w:hAnsi="Verdana"/>
          <w:b/>
          <w:bCs/>
        </w:rPr>
      </w:pPr>
    </w:p>
    <w:p w14:paraId="241CF642" w14:textId="77777777" w:rsidR="002123BA" w:rsidRPr="00623C09" w:rsidRDefault="002123BA" w:rsidP="002123BA">
      <w:pPr>
        <w:pStyle w:val="ListParagraph"/>
        <w:numPr>
          <w:ilvl w:val="0"/>
          <w:numId w:val="10"/>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23C09">
        <w:rPr>
          <w:rFonts w:ascii="Verdana" w:eastAsia="Century Gothic" w:hAnsi="Verdana" w:cs="Century Gothic"/>
          <w:b/>
          <w:bCs/>
        </w:rPr>
        <w:lastRenderedPageBreak/>
        <w:t>Respuesta:</w:t>
      </w:r>
    </w:p>
    <w:p w14:paraId="062009FD" w14:textId="77777777" w:rsidR="002123BA" w:rsidRPr="00623C09" w:rsidRDefault="002123BA" w:rsidP="002123BA">
      <w:pPr>
        <w:tabs>
          <w:tab w:val="left" w:pos="142"/>
          <w:tab w:val="left" w:pos="284"/>
        </w:tabs>
        <w:spacing w:after="0" w:line="276" w:lineRule="auto"/>
        <w:jc w:val="both"/>
        <w:rPr>
          <w:rFonts w:ascii="Verdana" w:eastAsia="Century Gothic" w:hAnsi="Verdana" w:cs="Century Gothic"/>
          <w:b/>
          <w:bCs/>
          <w:lang w:val="es-ES"/>
        </w:rPr>
      </w:pPr>
    </w:p>
    <w:tbl>
      <w:tblPr>
        <w:tblStyle w:val="TableGrid"/>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2123BA" w:rsidRPr="00700F5C" w14:paraId="2A0C3EFF" w14:textId="77777777" w:rsidTr="008A114B">
        <w:trPr>
          <w:jc w:val="center"/>
        </w:trPr>
        <w:tc>
          <w:tcPr>
            <w:tcW w:w="8828" w:type="dxa"/>
            <w:shd w:val="clear" w:color="auto" w:fill="auto"/>
          </w:tcPr>
          <w:p w14:paraId="06A93CF8" w14:textId="5AE6B070" w:rsidR="00B07A47" w:rsidRPr="00623C09" w:rsidRDefault="00D039F4" w:rsidP="00B31ACA">
            <w:pPr>
              <w:spacing w:line="276" w:lineRule="auto"/>
              <w:jc w:val="both"/>
              <w:rPr>
                <w:rFonts w:ascii="Verdana" w:eastAsia="Calibri" w:hAnsi="Verdana" w:cs="Arial"/>
                <w:lang w:val="es-ES"/>
              </w:rPr>
            </w:pPr>
            <w:r w:rsidRPr="00623C09">
              <w:rPr>
                <w:rFonts w:ascii="Verdana" w:eastAsia="Calibri" w:hAnsi="Verdana" w:cs="Arial"/>
                <w:lang w:val="es-ES"/>
              </w:rPr>
              <w:t>En respuesta a los problemas antes planteados</w:t>
            </w:r>
            <w:r w:rsidR="008D0169" w:rsidRPr="00623C09">
              <w:rPr>
                <w:rFonts w:ascii="Verdana" w:eastAsia="Calibri" w:hAnsi="Verdana" w:cs="Arial"/>
                <w:lang w:val="es-ES"/>
              </w:rPr>
              <w:t xml:space="preserve"> esta Subdirección manifiesta:</w:t>
            </w:r>
          </w:p>
          <w:p w14:paraId="5117F048" w14:textId="77777777" w:rsidR="00B07A47" w:rsidRPr="00623C09" w:rsidRDefault="00B07A47" w:rsidP="00B31ACA">
            <w:pPr>
              <w:spacing w:line="276" w:lineRule="auto"/>
              <w:jc w:val="both"/>
              <w:rPr>
                <w:rFonts w:ascii="Verdana" w:eastAsia="Calibri" w:hAnsi="Verdana" w:cs="Arial"/>
                <w:lang w:val="es-ES"/>
              </w:rPr>
            </w:pPr>
          </w:p>
          <w:p w14:paraId="63829F6E" w14:textId="27D91881" w:rsidR="00575F78" w:rsidRDefault="008D0169" w:rsidP="008D0169">
            <w:pPr>
              <w:spacing w:line="276" w:lineRule="auto"/>
              <w:jc w:val="both"/>
              <w:rPr>
                <w:rFonts w:ascii="Verdana" w:eastAsia="Calibri" w:hAnsi="Verdana" w:cs="Arial"/>
                <w:lang w:val="es-ES"/>
              </w:rPr>
            </w:pPr>
            <w:r w:rsidRPr="00623C09">
              <w:rPr>
                <w:rFonts w:ascii="Verdana" w:eastAsia="Calibri" w:hAnsi="Verdana" w:cs="Arial"/>
                <w:lang w:val="es-ES"/>
              </w:rPr>
              <w:t xml:space="preserve">i) </w:t>
            </w:r>
            <w:r w:rsidR="00575F78">
              <w:rPr>
                <w:rFonts w:ascii="Verdana" w:eastAsia="Calibri" w:hAnsi="Verdana" w:cs="Arial"/>
                <w:lang w:val="es-ES"/>
              </w:rPr>
              <w:t>E</w:t>
            </w:r>
            <w:r w:rsidR="00575F78" w:rsidRPr="00575F78">
              <w:rPr>
                <w:rFonts w:ascii="Verdana" w:eastAsia="Calibri" w:hAnsi="Verdana" w:cs="Arial"/>
                <w:lang w:val="es-ES"/>
              </w:rPr>
              <w:t xml:space="preserve">n lo relativo a la liquidación de contratos estatales que deban celebrar por encima del umbral los veinte (20) salarios mínimos legales mensuales vigentes, las Instituciones Educativas Oficiales deben a aplicar lo dispuesto en los artículos 60 de la Ley 80 de 1993 y 11 de la Ley 1150 de 2007, disposiciones en virtud de las cuales están llamadas a liquidar los contratos de tracto sucesivo, aquellos cuya ejecución se prolongue en el tiempo y los demás en lo que hayan estimado como necesaria la liquidación. De otra parte, en lo relativo a los </w:t>
            </w:r>
            <w:r w:rsidR="00030678" w:rsidRPr="00575F78">
              <w:rPr>
                <w:rFonts w:ascii="Verdana" w:eastAsia="Calibri" w:hAnsi="Verdana" w:cs="Arial"/>
                <w:lang w:val="es-ES"/>
              </w:rPr>
              <w:t>contratos celebrados</w:t>
            </w:r>
            <w:r w:rsidR="00575F78" w:rsidRPr="00575F78">
              <w:rPr>
                <w:rFonts w:ascii="Verdana" w:eastAsia="Calibri" w:hAnsi="Verdana" w:cs="Arial"/>
                <w:lang w:val="es-ES"/>
              </w:rPr>
              <w:t xml:space="preserve"> por debajo del referido umbral, las Instituciones Educativa Oficiales deberán establecer la procedencia de la liquidación del contrato a partir de lo dispuesto en el reglamento expedido en el respectivo consejo directivo y lo estipulado en </w:t>
            </w:r>
            <w:r w:rsidR="00366D01" w:rsidRPr="00575F78">
              <w:rPr>
                <w:rFonts w:ascii="Verdana" w:eastAsia="Calibri" w:hAnsi="Verdana" w:cs="Arial"/>
                <w:lang w:val="es-ES"/>
              </w:rPr>
              <w:t>las cláusulas</w:t>
            </w:r>
            <w:r w:rsidR="00575F78" w:rsidRPr="00575F78">
              <w:rPr>
                <w:rFonts w:ascii="Verdana" w:eastAsia="Calibri" w:hAnsi="Verdana" w:cs="Arial"/>
                <w:lang w:val="es-ES"/>
              </w:rPr>
              <w:t xml:space="preserve"> del contrato. </w:t>
            </w:r>
          </w:p>
          <w:p w14:paraId="65F8C923" w14:textId="77777777" w:rsidR="00B31ACA" w:rsidRPr="00623C09" w:rsidRDefault="00B31ACA" w:rsidP="00B31ACA">
            <w:pPr>
              <w:spacing w:line="276" w:lineRule="auto"/>
              <w:jc w:val="both"/>
              <w:rPr>
                <w:rFonts w:ascii="Verdana" w:eastAsia="Calibri" w:hAnsi="Verdana" w:cs="Arial"/>
                <w:lang w:val="es-ES"/>
              </w:rPr>
            </w:pPr>
          </w:p>
          <w:p w14:paraId="7AD6A415" w14:textId="20156725" w:rsidR="00F26EAA" w:rsidRDefault="007720A7" w:rsidP="007011A4">
            <w:pPr>
              <w:spacing w:line="276" w:lineRule="auto"/>
              <w:jc w:val="both"/>
              <w:rPr>
                <w:rFonts w:ascii="Verdana" w:eastAsia="Calibri" w:hAnsi="Verdana" w:cs="Arial"/>
                <w:lang w:val="es-ES"/>
              </w:rPr>
            </w:pPr>
            <w:proofErr w:type="spellStart"/>
            <w:r w:rsidRPr="00623C09">
              <w:rPr>
                <w:rFonts w:ascii="Verdana" w:eastAsia="Calibri" w:hAnsi="Verdana" w:cs="Arial"/>
                <w:lang w:val="es-ES"/>
              </w:rPr>
              <w:t>ii</w:t>
            </w:r>
            <w:proofErr w:type="spellEnd"/>
            <w:r w:rsidRPr="00623C09">
              <w:rPr>
                <w:rFonts w:ascii="Verdana" w:eastAsia="Calibri" w:hAnsi="Verdana" w:cs="Arial"/>
                <w:lang w:val="es-ES"/>
              </w:rPr>
              <w:t>)</w:t>
            </w:r>
            <w:r w:rsidR="007903F1" w:rsidRPr="00623C09">
              <w:rPr>
                <w:rFonts w:ascii="Verdana" w:eastAsia="Calibri" w:hAnsi="Verdana" w:cs="Arial"/>
                <w:lang w:val="es-ES"/>
              </w:rPr>
              <w:t xml:space="preserve"> </w:t>
            </w:r>
            <w:r w:rsidR="0016074A">
              <w:rPr>
                <w:rFonts w:ascii="Verdana" w:eastAsia="Calibri" w:hAnsi="Verdana" w:cs="Arial"/>
                <w:lang w:val="es-ES"/>
              </w:rPr>
              <w:t>En el contexto de la contratación,</w:t>
            </w:r>
            <w:r w:rsidR="00A52950" w:rsidRPr="00A52950">
              <w:rPr>
                <w:rFonts w:ascii="Verdana" w:eastAsia="Calibri" w:hAnsi="Verdana" w:cs="Arial"/>
                <w:lang w:val="es-ES"/>
              </w:rPr>
              <w:t xml:space="preserve"> l</w:t>
            </w:r>
            <w:r w:rsidR="0016074A">
              <w:rPr>
                <w:rFonts w:ascii="Verdana" w:eastAsia="Calibri" w:hAnsi="Verdana" w:cs="Arial"/>
                <w:lang w:val="es-ES"/>
              </w:rPr>
              <w:t xml:space="preserve">as expresiones </w:t>
            </w:r>
            <w:r w:rsidR="00A52950" w:rsidRPr="00A52950">
              <w:rPr>
                <w:rFonts w:ascii="Verdana" w:eastAsia="Calibri" w:hAnsi="Verdana" w:cs="Arial"/>
                <w:lang w:val="es-ES"/>
              </w:rPr>
              <w:t>“acta de liquidación” y “acta de terminación”, no resultan sinónimos</w:t>
            </w:r>
            <w:r w:rsidR="0016074A">
              <w:rPr>
                <w:rFonts w:ascii="Verdana" w:eastAsia="Calibri" w:hAnsi="Verdana" w:cs="Arial"/>
                <w:lang w:val="es-ES"/>
              </w:rPr>
              <w:t>.</w:t>
            </w:r>
            <w:r w:rsidR="00A52950" w:rsidRPr="00A52950">
              <w:rPr>
                <w:rFonts w:ascii="Verdana" w:eastAsia="Calibri" w:hAnsi="Verdana" w:cs="Arial"/>
                <w:lang w:val="es-ES"/>
              </w:rPr>
              <w:t xml:space="preserve"> Mientras que l</w:t>
            </w:r>
            <w:r w:rsidR="0016074A">
              <w:rPr>
                <w:rFonts w:ascii="Verdana" w:eastAsia="Calibri" w:hAnsi="Verdana" w:cs="Arial"/>
                <w:lang w:val="es-ES"/>
              </w:rPr>
              <w:t>a</w:t>
            </w:r>
            <w:r w:rsidR="00A52950" w:rsidRPr="00A52950">
              <w:rPr>
                <w:rFonts w:ascii="Verdana" w:eastAsia="Calibri" w:hAnsi="Verdana" w:cs="Arial"/>
                <w:lang w:val="es-ES"/>
              </w:rPr>
              <w:t xml:space="preserve"> primer</w:t>
            </w:r>
            <w:r w:rsidR="0016074A">
              <w:rPr>
                <w:rFonts w:ascii="Verdana" w:eastAsia="Calibri" w:hAnsi="Verdana" w:cs="Arial"/>
                <w:lang w:val="es-ES"/>
              </w:rPr>
              <w:t>a</w:t>
            </w:r>
            <w:r w:rsidR="00A52950" w:rsidRPr="00A52950">
              <w:rPr>
                <w:rFonts w:ascii="Verdana" w:eastAsia="Calibri" w:hAnsi="Verdana" w:cs="Arial"/>
                <w:lang w:val="es-ES"/>
              </w:rPr>
              <w:t xml:space="preserve"> </w:t>
            </w:r>
            <w:r w:rsidR="0016074A">
              <w:rPr>
                <w:rFonts w:ascii="Verdana" w:eastAsia="Calibri" w:hAnsi="Verdana" w:cs="Arial"/>
                <w:lang w:val="es-ES"/>
              </w:rPr>
              <w:t>hace referencia</w:t>
            </w:r>
            <w:r w:rsidR="00A52950" w:rsidRPr="00A52950">
              <w:rPr>
                <w:rFonts w:ascii="Verdana" w:eastAsia="Calibri" w:hAnsi="Verdana" w:cs="Arial"/>
                <w:lang w:val="es-ES"/>
              </w:rPr>
              <w:t xml:space="preserve"> refiere a la liquidación</w:t>
            </w:r>
            <w:r w:rsidR="0016074A">
              <w:rPr>
                <w:rFonts w:ascii="Verdana" w:eastAsia="Calibri" w:hAnsi="Verdana" w:cs="Arial"/>
                <w:lang w:val="es-ES"/>
              </w:rPr>
              <w:t xml:space="preserve"> del contrato</w:t>
            </w:r>
            <w:r w:rsidR="00A52950" w:rsidRPr="00A52950">
              <w:rPr>
                <w:rFonts w:ascii="Verdana" w:eastAsia="Calibri" w:hAnsi="Verdana" w:cs="Arial"/>
                <w:lang w:val="es-ES"/>
              </w:rPr>
              <w:t xml:space="preserve"> en los términos regulados por los artículos 60 de la Ley 80 de 1993 y 11 Ley 1150 de 2007, </w:t>
            </w:r>
            <w:r w:rsidR="0016074A">
              <w:rPr>
                <w:rFonts w:ascii="Verdana" w:eastAsia="Calibri" w:hAnsi="Verdana" w:cs="Arial"/>
                <w:lang w:val="es-ES"/>
              </w:rPr>
              <w:t>la</w:t>
            </w:r>
            <w:r w:rsidR="00A52950" w:rsidRPr="00A52950">
              <w:rPr>
                <w:rFonts w:ascii="Verdana" w:eastAsia="Calibri" w:hAnsi="Verdana" w:cs="Arial"/>
                <w:lang w:val="es-ES"/>
              </w:rPr>
              <w:t xml:space="preserve"> segund</w:t>
            </w:r>
            <w:r w:rsidR="0016074A">
              <w:rPr>
                <w:rFonts w:ascii="Verdana" w:eastAsia="Calibri" w:hAnsi="Verdana" w:cs="Arial"/>
                <w:lang w:val="es-ES"/>
              </w:rPr>
              <w:t>a</w:t>
            </w:r>
            <w:r w:rsidR="00A52950" w:rsidRPr="00A52950">
              <w:rPr>
                <w:rFonts w:ascii="Verdana" w:eastAsia="Calibri" w:hAnsi="Verdana" w:cs="Arial"/>
                <w:lang w:val="es-ES"/>
              </w:rPr>
              <w:t xml:space="preserve"> </w:t>
            </w:r>
            <w:r w:rsidR="0016074A">
              <w:rPr>
                <w:rFonts w:ascii="Verdana" w:eastAsia="Calibri" w:hAnsi="Verdana" w:cs="Arial"/>
                <w:lang w:val="es-ES"/>
              </w:rPr>
              <w:t>alude</w:t>
            </w:r>
            <w:r w:rsidR="00A52950" w:rsidRPr="00A52950">
              <w:rPr>
                <w:rFonts w:ascii="Verdana" w:eastAsia="Calibri" w:hAnsi="Verdana" w:cs="Arial"/>
                <w:lang w:val="es-ES"/>
              </w:rPr>
              <w:t xml:space="preserve"> un documento que suele utilizarse en contratos de tracto sucesivo como una suerte de constancia de la terminación del plazo de ejecución del contrato, en la que bien se puede dejar constancia de circunstancias de tiempo, modo y lugar alusivas al desarrollo del contrato, sin que ello necesariamente suponga la liquidación del contrato</w:t>
            </w:r>
            <w:r w:rsidR="007011A4">
              <w:rPr>
                <w:rFonts w:ascii="Verdana" w:eastAsia="Calibri" w:hAnsi="Verdana" w:cs="Arial"/>
                <w:lang w:val="es-ES"/>
              </w:rPr>
              <w:t xml:space="preserve">. </w:t>
            </w:r>
          </w:p>
          <w:p w14:paraId="06F4ED6B" w14:textId="77777777" w:rsidR="007011A4" w:rsidRPr="00623C09" w:rsidRDefault="007011A4" w:rsidP="007011A4">
            <w:pPr>
              <w:spacing w:line="276" w:lineRule="auto"/>
              <w:jc w:val="both"/>
              <w:rPr>
                <w:rFonts w:ascii="Verdana" w:eastAsia="Calibri" w:hAnsi="Verdana" w:cs="Arial"/>
                <w:lang w:val="es-ES"/>
              </w:rPr>
            </w:pPr>
          </w:p>
          <w:p w14:paraId="5DFE6C15" w14:textId="024830B6" w:rsidR="002A4F3F" w:rsidRPr="00623C09" w:rsidRDefault="00A52950" w:rsidP="002B1BF9">
            <w:pPr>
              <w:spacing w:line="276" w:lineRule="auto"/>
              <w:jc w:val="both"/>
              <w:rPr>
                <w:rFonts w:ascii="Verdana" w:eastAsia="Calibri" w:hAnsi="Verdana" w:cs="Arial"/>
              </w:rPr>
            </w:pPr>
            <w:proofErr w:type="spellStart"/>
            <w:r>
              <w:rPr>
                <w:rFonts w:ascii="Verdana" w:eastAsia="Calibri" w:hAnsi="Verdana" w:cs="Arial"/>
                <w:lang w:val="es-ES"/>
              </w:rPr>
              <w:t>iii</w:t>
            </w:r>
            <w:proofErr w:type="spellEnd"/>
            <w:r>
              <w:rPr>
                <w:rFonts w:ascii="Verdana" w:eastAsia="Calibri" w:hAnsi="Verdana" w:cs="Arial"/>
                <w:lang w:val="es-ES"/>
              </w:rPr>
              <w:t xml:space="preserve">) </w:t>
            </w:r>
            <w:r w:rsidR="00051D1B">
              <w:rPr>
                <w:rFonts w:ascii="Verdana" w:eastAsia="Calibri" w:hAnsi="Verdana" w:cs="Arial"/>
                <w:lang w:val="es-ES"/>
              </w:rPr>
              <w:t xml:space="preserve">En atención </w:t>
            </w:r>
            <w:r w:rsidR="00051D1B">
              <w:rPr>
                <w:rFonts w:ascii="Verdana" w:eastAsia="Calibri" w:hAnsi="Verdana" w:cs="Arial"/>
              </w:rPr>
              <w:t>a</w:t>
            </w:r>
            <w:r w:rsidR="00630268">
              <w:rPr>
                <w:rFonts w:ascii="Verdana" w:eastAsia="Calibri" w:hAnsi="Verdana" w:cs="Arial"/>
              </w:rPr>
              <w:t xml:space="preserve"> lo dispuesto en el inciso final del artículo 60 de la Ley 80 de 1993, no resulta obligatoria la liquidación de los contratos de prestación de servicios. En ese orden, la necesidad de </w:t>
            </w:r>
            <w:r w:rsidR="00236764">
              <w:rPr>
                <w:rFonts w:ascii="Verdana" w:eastAsia="Calibri" w:hAnsi="Verdana" w:cs="Arial"/>
              </w:rPr>
              <w:t xml:space="preserve">liquidar un contrato de prestación de servicios profesionales en específico debe ser precisada a partir de lo establecido en los Documentos del Proceso, especialmente, con sustento en lo que se haya indicado en el clausulado del contrato. </w:t>
            </w:r>
          </w:p>
          <w:p w14:paraId="5655A7ED" w14:textId="77777777" w:rsidR="00AC66F1" w:rsidRDefault="00AC66F1" w:rsidP="002B1BF9">
            <w:pPr>
              <w:spacing w:line="276" w:lineRule="auto"/>
              <w:jc w:val="both"/>
              <w:rPr>
                <w:rFonts w:ascii="Verdana" w:eastAsia="Calibri" w:hAnsi="Verdana" w:cs="Arial"/>
                <w:lang w:val="es-ES"/>
              </w:rPr>
            </w:pPr>
          </w:p>
          <w:p w14:paraId="500E9C64" w14:textId="551647D0" w:rsidR="00236764" w:rsidRPr="00623C09" w:rsidRDefault="00236764" w:rsidP="002B1BF9">
            <w:pPr>
              <w:spacing w:line="276" w:lineRule="auto"/>
              <w:jc w:val="both"/>
              <w:rPr>
                <w:rFonts w:ascii="Verdana" w:eastAsia="Calibri" w:hAnsi="Verdana" w:cs="Arial"/>
                <w:lang w:val="es-ES"/>
              </w:rPr>
            </w:pPr>
            <w:proofErr w:type="spellStart"/>
            <w:r>
              <w:rPr>
                <w:rFonts w:ascii="Verdana" w:eastAsia="Calibri" w:hAnsi="Verdana" w:cs="Arial"/>
                <w:lang w:val="es-ES"/>
              </w:rPr>
              <w:t>iv</w:t>
            </w:r>
            <w:proofErr w:type="spellEnd"/>
            <w:r>
              <w:rPr>
                <w:rFonts w:ascii="Verdana" w:eastAsia="Calibri" w:hAnsi="Verdana" w:cs="Arial"/>
                <w:lang w:val="es-ES"/>
              </w:rPr>
              <w:t xml:space="preserve">) Con excepción de los borradores publicados para </w:t>
            </w:r>
            <w:r w:rsidR="00E11295">
              <w:rPr>
                <w:rFonts w:ascii="Verdana" w:eastAsia="Calibri" w:hAnsi="Verdana" w:cs="Arial"/>
                <w:lang w:val="es-ES"/>
              </w:rPr>
              <w:t xml:space="preserve">recibir observaciones de la ciudadanía y con independencia del régimen contractual que apliquen, las Entidades Estatales están obligadas a publicar en el SECOP las versiones originales de los Documentos del Proceso que expidan a lo largo de toda la </w:t>
            </w:r>
            <w:r w:rsidR="00E11295">
              <w:rPr>
                <w:rFonts w:ascii="Verdana" w:eastAsia="Calibri" w:hAnsi="Verdana" w:cs="Arial"/>
                <w:lang w:val="es-ES"/>
              </w:rPr>
              <w:lastRenderedPageBreak/>
              <w:t xml:space="preserve">actuación contractual. Dichos documentos deben estar debidamente expedidos y suscritos, ya sea con firma manuscrita, </w:t>
            </w:r>
            <w:r w:rsidR="006743C0">
              <w:rPr>
                <w:rFonts w:ascii="Verdana" w:eastAsia="Calibri" w:hAnsi="Verdana" w:cs="Arial"/>
                <w:lang w:val="es-ES"/>
              </w:rPr>
              <w:t xml:space="preserve">digital o electrónica. </w:t>
            </w:r>
          </w:p>
          <w:p w14:paraId="162BD161" w14:textId="2CB5227F" w:rsidR="00ED651E" w:rsidRPr="00623C09" w:rsidRDefault="00ED651E" w:rsidP="002B1BF9">
            <w:pPr>
              <w:spacing w:line="276" w:lineRule="auto"/>
              <w:jc w:val="both"/>
              <w:rPr>
                <w:rFonts w:ascii="Verdana" w:eastAsia="Calibri" w:hAnsi="Verdana" w:cs="Arial"/>
                <w:lang w:val="es-ES"/>
              </w:rPr>
            </w:pPr>
          </w:p>
        </w:tc>
      </w:tr>
    </w:tbl>
    <w:p w14:paraId="07DC28FC" w14:textId="77777777" w:rsidR="002123BA" w:rsidRPr="00623C09" w:rsidRDefault="002123BA" w:rsidP="00C3449C">
      <w:pPr>
        <w:spacing w:after="0"/>
        <w:ind w:right="709"/>
        <w:jc w:val="both"/>
        <w:rPr>
          <w:rFonts w:ascii="Verdana" w:hAnsi="Verdana"/>
          <w:b/>
          <w:bCs/>
        </w:rPr>
      </w:pPr>
    </w:p>
    <w:p w14:paraId="2CC1AC04" w14:textId="77777777" w:rsidR="00553394" w:rsidRPr="00623C09" w:rsidRDefault="00553394" w:rsidP="00553394">
      <w:pPr>
        <w:pStyle w:val="ListParagraph"/>
        <w:numPr>
          <w:ilvl w:val="0"/>
          <w:numId w:val="10"/>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23C09">
        <w:rPr>
          <w:rFonts w:ascii="Verdana" w:eastAsia="Century Gothic" w:hAnsi="Verdana" w:cs="Century Gothic"/>
          <w:b/>
          <w:bCs/>
        </w:rPr>
        <w:t>Razones de la respuesta:</w:t>
      </w:r>
    </w:p>
    <w:p w14:paraId="1CF0DC0A" w14:textId="77777777" w:rsidR="00553394" w:rsidRPr="00623C09" w:rsidRDefault="00553394" w:rsidP="00553394">
      <w:pPr>
        <w:spacing w:after="0" w:line="276" w:lineRule="auto"/>
        <w:jc w:val="both"/>
        <w:rPr>
          <w:rFonts w:ascii="Verdana" w:eastAsia="Calibri" w:hAnsi="Verdana" w:cs="Arial"/>
          <w:color w:val="7030A0"/>
          <w:lang w:val="es-ES"/>
        </w:rPr>
      </w:pPr>
    </w:p>
    <w:p w14:paraId="5F362327" w14:textId="77777777" w:rsidR="00553394" w:rsidRPr="00623C09" w:rsidRDefault="00553394" w:rsidP="00553394">
      <w:pPr>
        <w:spacing w:after="0" w:line="276" w:lineRule="auto"/>
        <w:jc w:val="both"/>
        <w:rPr>
          <w:rFonts w:ascii="Verdana" w:eastAsia="Calibri" w:hAnsi="Verdana" w:cs="Arial"/>
          <w:lang w:val="es-ES"/>
        </w:rPr>
      </w:pPr>
      <w:r w:rsidRPr="00623C09">
        <w:rPr>
          <w:rFonts w:ascii="Verdana" w:eastAsia="Calibri" w:hAnsi="Verdana" w:cs="Arial"/>
          <w:lang w:val="es-ES"/>
        </w:rPr>
        <w:t xml:space="preserve">Lo anterior se sustenta en las siguientes consideraciones: </w:t>
      </w:r>
    </w:p>
    <w:p w14:paraId="47607ECD" w14:textId="77777777" w:rsidR="006E6864" w:rsidRPr="00623C09" w:rsidRDefault="006E6864" w:rsidP="006E6864">
      <w:pPr>
        <w:pStyle w:val="ListParagraph"/>
        <w:rPr>
          <w:rFonts w:ascii="Verdana" w:hAnsi="Verdana" w:cs="Arial"/>
          <w:color w:val="000000"/>
        </w:rPr>
      </w:pPr>
    </w:p>
    <w:p w14:paraId="464FA568" w14:textId="0D6B3E30" w:rsidR="006E5332" w:rsidRPr="00623C09" w:rsidRDefault="00544C8B" w:rsidP="006E5332">
      <w:pPr>
        <w:pStyle w:val="ListParagraph"/>
        <w:numPr>
          <w:ilvl w:val="0"/>
          <w:numId w:val="13"/>
        </w:numPr>
        <w:spacing w:after="120" w:line="276" w:lineRule="auto"/>
        <w:jc w:val="both"/>
        <w:rPr>
          <w:rFonts w:ascii="Verdana" w:hAnsi="Verdana" w:cs="Arial"/>
        </w:rPr>
      </w:pPr>
      <w:r>
        <w:rPr>
          <w:rFonts w:ascii="Verdana" w:hAnsi="Verdana" w:cs="Arial"/>
          <w:color w:val="000000"/>
        </w:rPr>
        <w:t>E</w:t>
      </w:r>
      <w:r w:rsidR="00FB0CA2" w:rsidRPr="00623C09">
        <w:rPr>
          <w:rFonts w:ascii="Verdana" w:hAnsi="Verdana" w:cs="Arial"/>
        </w:rPr>
        <w:t>n cuanto al régimen de contratación de las Instituciones Educativas Oficiales</w:t>
      </w:r>
      <w:r w:rsidR="00B63035" w:rsidRPr="00623C09">
        <w:rPr>
          <w:rFonts w:ascii="Verdana" w:hAnsi="Verdana" w:cs="Arial"/>
        </w:rPr>
        <w:t>, es importante comenzar por explicar que,</w:t>
      </w:r>
      <w:r w:rsidR="00FB0CA2" w:rsidRPr="00623C09">
        <w:rPr>
          <w:rFonts w:ascii="Verdana" w:hAnsi="Verdana" w:cs="Arial"/>
        </w:rPr>
        <w:t xml:space="preserve"> </w:t>
      </w:r>
      <w:r w:rsidR="00B63035" w:rsidRPr="00623C09">
        <w:rPr>
          <w:rFonts w:ascii="Verdana" w:hAnsi="Verdana" w:cs="Arial"/>
        </w:rPr>
        <w:t>l</w:t>
      </w:r>
      <w:r w:rsidR="00C53636" w:rsidRPr="00623C09">
        <w:rPr>
          <w:rFonts w:ascii="Verdana" w:hAnsi="Verdana" w:cs="Arial"/>
        </w:rPr>
        <w:t xml:space="preserve">as Leyes 60 de 1993 y 715 de 2001 descentralizaron el sistema educativo en Colombia, asignándoles a los departamentos, distritos y municipios las competencias y los recursos para dirigir las instituciones educativas. Es decir, el sistema educativo está descentralizado por las competencias propias que se les ha otorgado a las entidades territoriales para administrar las instituciones educativas. Estas pueden hacer parte de los diferentes niveles, pero no por ello son entidades descentralizadas. </w:t>
      </w:r>
      <w:r w:rsidR="00C35ED6" w:rsidRPr="00623C09">
        <w:rPr>
          <w:rFonts w:ascii="Verdana" w:hAnsi="Verdana" w:cs="Arial"/>
        </w:rPr>
        <w:t xml:space="preserve">Conforme a lo anterior, las </w:t>
      </w:r>
      <w:r w:rsidR="00B63035" w:rsidRPr="00623C09">
        <w:rPr>
          <w:rFonts w:ascii="Verdana" w:hAnsi="Verdana" w:cs="Arial"/>
        </w:rPr>
        <w:t>I</w:t>
      </w:r>
      <w:r w:rsidR="00C35ED6" w:rsidRPr="00623C09">
        <w:rPr>
          <w:rFonts w:ascii="Verdana" w:hAnsi="Verdana" w:cs="Arial"/>
        </w:rPr>
        <w:t xml:space="preserve">nstituciones </w:t>
      </w:r>
      <w:r w:rsidR="00B63035" w:rsidRPr="00623C09">
        <w:rPr>
          <w:rFonts w:ascii="Verdana" w:hAnsi="Verdana" w:cs="Arial"/>
        </w:rPr>
        <w:t>E</w:t>
      </w:r>
      <w:r w:rsidR="00C35ED6" w:rsidRPr="00623C09">
        <w:rPr>
          <w:rFonts w:ascii="Verdana" w:hAnsi="Verdana" w:cs="Arial"/>
        </w:rPr>
        <w:t>ducativas</w:t>
      </w:r>
      <w:r w:rsidR="00B63035" w:rsidRPr="00623C09">
        <w:rPr>
          <w:rFonts w:ascii="Verdana" w:hAnsi="Verdana" w:cs="Arial"/>
        </w:rPr>
        <w:t xml:space="preserve"> Oficiales</w:t>
      </w:r>
      <w:r w:rsidR="00C35ED6" w:rsidRPr="00623C09">
        <w:rPr>
          <w:rFonts w:ascii="Verdana" w:hAnsi="Verdana" w:cs="Arial"/>
        </w:rPr>
        <w:t xml:space="preserve"> pertenecen a la entidad territorial que haya efectuado su reconocimiento de carácter oficial. No obstante, carecen de personería jurídica. Sin embargo, tienen capacidad para contratar. Esta se concreta en la competencia que les otorgó el legislador en la Ley 715 de 2001 para administrar los fondos de servicios educativos, siendo cuentas contables que permiten a las instituciones realizar la gestión y ejecución presupuestal de los recursos que reciben los establecimientos educativos</w:t>
      </w:r>
      <w:r w:rsidR="00C35ED6" w:rsidRPr="00623C09">
        <w:rPr>
          <w:rStyle w:val="FootnoteReference"/>
          <w:rFonts w:ascii="Verdana" w:hAnsi="Verdana" w:cs="Arial"/>
        </w:rPr>
        <w:footnoteReference w:id="2"/>
      </w:r>
      <w:r w:rsidR="00C35ED6" w:rsidRPr="00623C09">
        <w:rPr>
          <w:rFonts w:ascii="Verdana" w:hAnsi="Verdana" w:cs="Arial"/>
        </w:rPr>
        <w:t xml:space="preserve"> </w:t>
      </w:r>
      <w:r w:rsidR="00C35ED6" w:rsidRPr="00623C09">
        <w:rPr>
          <w:rStyle w:val="FootnoteReference"/>
          <w:rFonts w:ascii="Verdana" w:hAnsi="Verdana" w:cs="Arial"/>
        </w:rPr>
        <w:footnoteReference w:id="3"/>
      </w:r>
      <w:r w:rsidR="00C35ED6" w:rsidRPr="00623C09">
        <w:rPr>
          <w:rFonts w:ascii="Verdana" w:hAnsi="Verdana" w:cs="Arial"/>
        </w:rPr>
        <w:t>.</w:t>
      </w:r>
    </w:p>
    <w:p w14:paraId="78896C28" w14:textId="77777777" w:rsidR="006E5332" w:rsidRPr="00623C09" w:rsidRDefault="006E5332" w:rsidP="006E5332">
      <w:pPr>
        <w:pStyle w:val="ListParagraph"/>
        <w:rPr>
          <w:rFonts w:ascii="Verdana" w:hAnsi="Verdana" w:cs="Arial"/>
        </w:rPr>
      </w:pPr>
    </w:p>
    <w:p w14:paraId="2B317F62" w14:textId="55E1C645" w:rsidR="00201AFE" w:rsidRPr="00623C09" w:rsidRDefault="006E5332" w:rsidP="00201AFE">
      <w:pPr>
        <w:pStyle w:val="ListParagraph"/>
        <w:numPr>
          <w:ilvl w:val="0"/>
          <w:numId w:val="13"/>
        </w:numPr>
        <w:spacing w:after="120" w:line="276" w:lineRule="auto"/>
        <w:jc w:val="both"/>
        <w:rPr>
          <w:rFonts w:ascii="Verdana" w:hAnsi="Verdana" w:cs="Arial"/>
        </w:rPr>
      </w:pPr>
      <w:r w:rsidRPr="00623C09">
        <w:rPr>
          <w:rFonts w:ascii="Verdana" w:hAnsi="Verdana" w:cs="Arial"/>
        </w:rPr>
        <w:t xml:space="preserve">Respecto de la capacidad para contratar con la que cuentan las instituciones educativas, por medio de los </w:t>
      </w:r>
      <w:r w:rsidR="00A047D4" w:rsidRPr="00623C09">
        <w:rPr>
          <w:rFonts w:ascii="Verdana" w:hAnsi="Verdana" w:cs="Arial"/>
        </w:rPr>
        <w:t xml:space="preserve">Fondos de Servicios Educativos, </w:t>
      </w:r>
      <w:r w:rsidRPr="00623C09">
        <w:rPr>
          <w:rFonts w:ascii="Verdana" w:hAnsi="Verdana" w:cs="Arial"/>
        </w:rPr>
        <w:t xml:space="preserve">hay que precisar que cuando se trate de actos y contratos cuya cuantía no exceda los veinte (20) salarios mínimos mensuales legales vigentes, se sujetarán a las condiciones previstas en el reglamento de contratación que expida el consejo </w:t>
      </w:r>
      <w:r w:rsidRPr="00623C09">
        <w:rPr>
          <w:rFonts w:ascii="Verdana" w:hAnsi="Verdana" w:cs="Arial"/>
        </w:rPr>
        <w:lastRenderedPageBreak/>
        <w:t>directivo de la institución, de conformidad con lo dispuesto en el artículo 13 de la Ley 715 de 2001</w:t>
      </w:r>
      <w:r w:rsidRPr="00623C09">
        <w:rPr>
          <w:rStyle w:val="FootnoteReference"/>
          <w:rFonts w:ascii="Verdana" w:hAnsi="Verdana" w:cs="Arial"/>
        </w:rPr>
        <w:footnoteReference w:id="4"/>
      </w:r>
      <w:r w:rsidRPr="00623C09">
        <w:rPr>
          <w:rFonts w:ascii="Verdana" w:hAnsi="Verdana" w:cs="Arial"/>
        </w:rPr>
        <w:t xml:space="preserve">. </w:t>
      </w:r>
    </w:p>
    <w:p w14:paraId="24F0AA6B" w14:textId="77777777" w:rsidR="00201AFE" w:rsidRPr="00623C09" w:rsidRDefault="00201AFE" w:rsidP="00201AFE">
      <w:pPr>
        <w:pStyle w:val="ListParagraph"/>
        <w:rPr>
          <w:rFonts w:ascii="Verdana" w:hAnsi="Verdana" w:cs="Arial"/>
        </w:rPr>
      </w:pPr>
    </w:p>
    <w:p w14:paraId="3AC628A9" w14:textId="77777777" w:rsidR="00FC4CC8" w:rsidRPr="00623C09" w:rsidRDefault="00201AFE" w:rsidP="00FC4CC8">
      <w:pPr>
        <w:pStyle w:val="ListParagraph"/>
        <w:numPr>
          <w:ilvl w:val="0"/>
          <w:numId w:val="13"/>
        </w:numPr>
        <w:spacing w:after="120" w:line="276" w:lineRule="auto"/>
        <w:jc w:val="both"/>
        <w:rPr>
          <w:rFonts w:ascii="Verdana" w:hAnsi="Verdana" w:cs="Arial"/>
        </w:rPr>
      </w:pPr>
      <w:r w:rsidRPr="00623C09">
        <w:rPr>
          <w:rFonts w:ascii="Verdana" w:hAnsi="Verdana" w:cs="Arial"/>
        </w:rPr>
        <w:t xml:space="preserve">Esto significa que la contratación que realicen las instituciones educativas, siempre que se ubique por debajo del referido umbral, no deberá ceñirse a las reglas del Estatuto General de Contratación de la Administración Pública, sino a las determinadas por el reglamento expedido por el consejo directivo de la institución educativa conforme al artículo 13 de la Ley 715 de 2001, que implica que tales reglamentos se expidan de conformidad con los principios de igualdad, moralidad, imparcialidad y publicidad,  así como de acuerdo con en la experiencia y el análisis concreto de las necesidades del establecimiento, determinando los trámites, garantías y constancias que deben cumplirse para que el rector o director celebre cualquier acto o contrato que cree, extinga o modifique obligaciones con cargo al respectivo fondo de servicios educativos. </w:t>
      </w:r>
    </w:p>
    <w:p w14:paraId="5F12B84E" w14:textId="77777777" w:rsidR="00FC4CC8" w:rsidRPr="00623C09" w:rsidRDefault="00FC4CC8" w:rsidP="00FC4CC8">
      <w:pPr>
        <w:pStyle w:val="ListParagraph"/>
        <w:rPr>
          <w:rFonts w:ascii="Verdana" w:eastAsia="Times New Roman" w:hAnsi="Verdana" w:cs="Arial"/>
          <w:szCs w:val="24"/>
          <w:lang w:eastAsia="es-MX"/>
        </w:rPr>
      </w:pPr>
    </w:p>
    <w:p w14:paraId="608AC754" w14:textId="4C88A7DF" w:rsidR="004B0C69" w:rsidRPr="00623C09" w:rsidRDefault="00FC4CC8" w:rsidP="004B0C69">
      <w:pPr>
        <w:pStyle w:val="ListParagraph"/>
        <w:numPr>
          <w:ilvl w:val="0"/>
          <w:numId w:val="13"/>
        </w:numPr>
        <w:spacing w:after="120" w:line="276" w:lineRule="auto"/>
        <w:jc w:val="both"/>
        <w:rPr>
          <w:rFonts w:ascii="Verdana" w:hAnsi="Verdana" w:cs="Arial"/>
        </w:rPr>
      </w:pPr>
      <w:r w:rsidRPr="00623C09">
        <w:rPr>
          <w:rFonts w:ascii="Verdana" w:eastAsia="Times New Roman" w:hAnsi="Verdana" w:cs="Arial"/>
          <w:szCs w:val="24"/>
          <w:lang w:eastAsia="es-MX"/>
        </w:rPr>
        <w:t xml:space="preserve">En ese sentido, tratándose de la contratación realizada por dichas instituciones por debajo de la cuantía de veinte (20) salarios mínimos legales mensuales vigentes, es el consejo directivo quien tiene la competencia para establecer las reglas conforme a las cuales debe realizarse la adquisición de bienes, obras y servicios, incluidos los procedimientos, mecanismos, requisitos y formalidades que deben respetarse en estos procesos de contratación. </w:t>
      </w:r>
      <w:r w:rsidR="0099249D" w:rsidRPr="00623C09">
        <w:rPr>
          <w:rFonts w:ascii="Verdana" w:eastAsia="Times New Roman" w:hAnsi="Verdana" w:cs="Arial"/>
          <w:szCs w:val="24"/>
          <w:lang w:eastAsia="es-MX"/>
        </w:rPr>
        <w:t xml:space="preserve">El régimen sustantivo de los contratos celebrados es principalmente el derecho privado. Dado que el artículo 13 de la Ley 715 de 2001, en concordancia con el artículo 2.3.1.6.3.17. del Decreto 1075 de 2015, permite que el consejo directivo regule </w:t>
      </w:r>
      <w:r w:rsidR="0099249D" w:rsidRPr="00623C09">
        <w:rPr>
          <w:rFonts w:ascii="Verdana" w:eastAsia="Times New Roman" w:hAnsi="Verdana" w:cs="Arial"/>
          <w:i/>
          <w:iCs/>
          <w:szCs w:val="24"/>
          <w:lang w:eastAsia="es-MX"/>
        </w:rPr>
        <w:lastRenderedPageBreak/>
        <w:t>“[…] los trámites, garantías y constancias que deben cumplirse para que el rector o director celebre cualquier acto o contrato que cree, extinga o modifique obligaciones que deban registrarse en el Fondo […]”</w:t>
      </w:r>
      <w:r w:rsidR="0099249D" w:rsidRPr="00623C09">
        <w:rPr>
          <w:rFonts w:ascii="Verdana" w:eastAsia="Times New Roman" w:hAnsi="Verdana" w:cs="Arial"/>
          <w:szCs w:val="24"/>
          <w:lang w:eastAsia="es-MX"/>
        </w:rPr>
        <w:t>, el reglamento que defina los procedimientos aplicables complementa las normas civiles y comerciales, sin que este acto administrativo pueda modificar o derogar estas últimas, por tratarse de aspectos regulados en la ley.</w:t>
      </w:r>
    </w:p>
    <w:p w14:paraId="470DC3F9" w14:textId="77777777" w:rsidR="004B0C69" w:rsidRPr="00623C09" w:rsidRDefault="004B0C69" w:rsidP="004B0C69">
      <w:pPr>
        <w:pStyle w:val="ListParagraph"/>
        <w:rPr>
          <w:rFonts w:ascii="Verdana" w:eastAsia="Times New Roman" w:hAnsi="Verdana" w:cs="Arial"/>
          <w:szCs w:val="24"/>
          <w:lang w:eastAsia="es-MX"/>
        </w:rPr>
      </w:pPr>
    </w:p>
    <w:p w14:paraId="666EB940" w14:textId="5B7AF8DA" w:rsidR="0039155A" w:rsidRPr="00623C09" w:rsidRDefault="004B0C69" w:rsidP="00623C09">
      <w:pPr>
        <w:pStyle w:val="ListParagraph"/>
        <w:spacing w:after="120" w:line="276" w:lineRule="auto"/>
        <w:jc w:val="both"/>
        <w:rPr>
          <w:rFonts w:ascii="Verdana" w:hAnsi="Verdana" w:cs="Arial"/>
        </w:rPr>
      </w:pPr>
      <w:r w:rsidRPr="00623C09">
        <w:rPr>
          <w:rFonts w:ascii="Verdana" w:eastAsia="Times New Roman" w:hAnsi="Verdana" w:cs="Arial"/>
          <w:szCs w:val="24"/>
          <w:lang w:eastAsia="es-MX"/>
        </w:rPr>
        <w:t xml:space="preserve">Por el contrario, cuando la celebración de contratos a que haya lugar con recursos del fondo de servicios educativos supere la cuantía de los veinte (20) salarios mínimos legales mensuales vigentes, debe hacerse con estricta sujeción a lo dispuesto en la Ley 80 de 1993. Es decir, las reglas a las que deben sujetarse los procedimientos dentro de los que se enmarque esta contratación son las del Estatuto General de Contratación de la Administración Pública, procediendo la aplicación de las modalidades de selección definidas en la Ley 1150 de 2007, </w:t>
      </w:r>
      <w:r w:rsidR="008A0157" w:rsidRPr="00623C09">
        <w:rPr>
          <w:rFonts w:ascii="Verdana" w:eastAsia="Times New Roman" w:hAnsi="Verdana" w:cs="Arial"/>
          <w:szCs w:val="24"/>
          <w:lang w:eastAsia="es-MX"/>
        </w:rPr>
        <w:t xml:space="preserve">así como el régimen de liquidación del contrato estatal </w:t>
      </w:r>
      <w:r w:rsidR="007C5B97">
        <w:rPr>
          <w:rFonts w:ascii="Verdana" w:eastAsia="Times New Roman" w:hAnsi="Verdana" w:cs="Arial"/>
          <w:szCs w:val="24"/>
          <w:lang w:eastAsia="es-MX"/>
        </w:rPr>
        <w:t>establecido en los artículos 60 de la Ley 80 de 1993 y 11 de la Ley 1150 de 2007.</w:t>
      </w:r>
    </w:p>
    <w:p w14:paraId="73DB6FE7" w14:textId="77777777" w:rsidR="00ED19A5" w:rsidRPr="00623C09" w:rsidRDefault="00ED19A5" w:rsidP="00623C09">
      <w:pPr>
        <w:pStyle w:val="ListParagraph"/>
        <w:spacing w:after="120" w:line="276" w:lineRule="auto"/>
        <w:jc w:val="both"/>
        <w:rPr>
          <w:rFonts w:ascii="Verdana" w:hAnsi="Verdana" w:cs="Arial"/>
        </w:rPr>
      </w:pPr>
    </w:p>
    <w:p w14:paraId="272E7F3F" w14:textId="00121700" w:rsidR="00ED19A5" w:rsidRPr="007E2DF6" w:rsidRDefault="00192707" w:rsidP="00ED19A5">
      <w:pPr>
        <w:pStyle w:val="ListParagraph"/>
        <w:numPr>
          <w:ilvl w:val="0"/>
          <w:numId w:val="13"/>
        </w:numPr>
        <w:spacing w:after="120" w:line="276" w:lineRule="auto"/>
        <w:jc w:val="both"/>
        <w:rPr>
          <w:rFonts w:ascii="Verdana" w:hAnsi="Verdana" w:cs="Arial"/>
        </w:rPr>
      </w:pPr>
      <w:r>
        <w:rPr>
          <w:rFonts w:ascii="Verdana" w:hAnsi="Verdana" w:cs="Arial"/>
        </w:rPr>
        <w:t>Ahora bien</w:t>
      </w:r>
      <w:r w:rsidR="00ED19A5">
        <w:rPr>
          <w:rFonts w:ascii="Verdana" w:hAnsi="Verdana" w:cs="Arial"/>
        </w:rPr>
        <w:t>, para responder a su consulta es necesario explicar que l</w:t>
      </w:r>
      <w:r w:rsidR="00ED19A5" w:rsidRPr="007E2DF6">
        <w:rPr>
          <w:rFonts w:ascii="Verdana" w:hAnsi="Verdana" w:cs="Arial"/>
        </w:rPr>
        <w:t xml:space="preserve">a liquidación es el momento en el cual, una vez concluido el contrato estatal, las partes cruzan cuentas respecto de sus obligaciones. El objetivo de la liquidación es determinar si las partes pueden declararse a paz y salvo o si existen obligaciones por cumplir, y con ocasión de aquella se puede acordar la forma en que deben ser cumplidas. Por esta razón, la liquidación solo procede con posterioridad a la terminación de la ejecución del contrato. </w:t>
      </w:r>
    </w:p>
    <w:p w14:paraId="3DD4523A" w14:textId="77777777" w:rsidR="00ED19A5" w:rsidRPr="007E2DF6" w:rsidRDefault="00ED19A5" w:rsidP="00ED19A5">
      <w:pPr>
        <w:pStyle w:val="ListParagraph"/>
        <w:spacing w:after="120" w:line="276" w:lineRule="auto"/>
        <w:jc w:val="both"/>
        <w:rPr>
          <w:rFonts w:ascii="Verdana" w:hAnsi="Verdana" w:cs="Arial"/>
        </w:rPr>
      </w:pPr>
    </w:p>
    <w:p w14:paraId="156359B5" w14:textId="77777777" w:rsidR="00ED19A5" w:rsidRPr="007E2DF6" w:rsidRDefault="00ED19A5" w:rsidP="00ED19A5">
      <w:pPr>
        <w:pStyle w:val="ListParagraph"/>
        <w:numPr>
          <w:ilvl w:val="0"/>
          <w:numId w:val="13"/>
        </w:numPr>
        <w:spacing w:after="120" w:line="276" w:lineRule="auto"/>
        <w:jc w:val="both"/>
        <w:rPr>
          <w:rFonts w:ascii="Verdana" w:hAnsi="Verdana" w:cs="Arial"/>
        </w:rPr>
      </w:pPr>
      <w:r w:rsidRPr="007E2DF6">
        <w:rPr>
          <w:rFonts w:ascii="Verdana" w:hAnsi="Verdana" w:cs="Arial"/>
        </w:rPr>
        <w:t xml:space="preserve">Las disposiciones legales que norman la etapa de liquidación de los contratos estatales son el artículo 60 de la Ley 80 de 1993, modificado por el artículo 217 del Decreto 019 de 2012, y el artículo 11 de la Ley 1150 de 2007. El primero de estos artículos se refiere al alcance sustantivo de la liquidación, mientras que el segundo contiene reglas procedimentales para su manejo. </w:t>
      </w:r>
    </w:p>
    <w:p w14:paraId="1F75380B" w14:textId="77777777" w:rsidR="00ED19A5" w:rsidRPr="007E2DF6" w:rsidRDefault="00ED19A5" w:rsidP="00ED19A5">
      <w:pPr>
        <w:pStyle w:val="ListParagraph"/>
        <w:rPr>
          <w:rFonts w:ascii="Verdana" w:hAnsi="Verdana" w:cs="Arial"/>
        </w:rPr>
      </w:pPr>
    </w:p>
    <w:p w14:paraId="6EF3B5D1" w14:textId="77777777" w:rsidR="00ED19A5" w:rsidRPr="007E2DF6" w:rsidRDefault="00ED19A5" w:rsidP="00ED19A5">
      <w:pPr>
        <w:pStyle w:val="ListParagraph"/>
        <w:numPr>
          <w:ilvl w:val="0"/>
          <w:numId w:val="13"/>
        </w:numPr>
        <w:spacing w:after="120" w:line="276" w:lineRule="auto"/>
        <w:jc w:val="both"/>
        <w:rPr>
          <w:rFonts w:ascii="Verdana" w:hAnsi="Verdana" w:cs="Arial"/>
        </w:rPr>
      </w:pPr>
      <w:r w:rsidRPr="007E2DF6">
        <w:rPr>
          <w:rFonts w:ascii="Verdana" w:hAnsi="Verdana" w:cs="Arial"/>
        </w:rPr>
        <w:t xml:space="preserve">De acuerdo con el artículo 60 de la Ley 80 de 1993, los contratos de tracto sucesivo, aquellos cuyo cumplimiento o ejecución se prolongue en el tiempo y los demás que lo requieran </w:t>
      </w:r>
      <w:r w:rsidRPr="007E2DF6">
        <w:rPr>
          <w:rFonts w:ascii="Verdana" w:hAnsi="Verdana" w:cs="Arial"/>
          <w:i/>
          <w:iCs/>
        </w:rPr>
        <w:t>“serán objeto de liquidación”.</w:t>
      </w:r>
      <w:r w:rsidRPr="007E2DF6">
        <w:rPr>
          <w:rFonts w:ascii="Verdana" w:hAnsi="Verdana" w:cs="Arial"/>
        </w:rPr>
        <w:t xml:space="preserve"> El mismo artículo prescribe que no será obligatoria la liquidación en los contratos de prestación de servicios profesionales y de apoyo a la gestión. Esta norma al referirse a la liquidación del contrato establece que esta es la e</w:t>
      </w:r>
      <w:r w:rsidRPr="007E2DF6">
        <w:rPr>
          <w:rFonts w:ascii="Verdana" w:hAnsi="Verdana" w:cs="Arial"/>
          <w:lang w:val="es-CO"/>
        </w:rPr>
        <w:t xml:space="preserve">tapa del Proceso de Contratación, en la que las partes pueden acordar los ajustes, revisiones y </w:t>
      </w:r>
      <w:r w:rsidRPr="007E2DF6">
        <w:rPr>
          <w:rFonts w:ascii="Verdana" w:hAnsi="Verdana" w:cs="Arial"/>
          <w:lang w:val="es-CO"/>
        </w:rPr>
        <w:lastRenderedPageBreak/>
        <w:t>reconocimientos a que haya lugar. A estos efectos, dicha norma establece que en el acta de liquidación debe dejarse constancia de todos los acuerdos, conciliaciones y transacciones a que llegaren las partes para poner fin a las divergencias presentadas y poder declararse a paz y salvo.  </w:t>
      </w:r>
      <w:r w:rsidRPr="007E2DF6">
        <w:rPr>
          <w:rFonts w:ascii="Verdana" w:hAnsi="Verdana" w:cs="Arial"/>
        </w:rPr>
        <w:t xml:space="preserve"> </w:t>
      </w:r>
    </w:p>
    <w:p w14:paraId="1692F921" w14:textId="77777777" w:rsidR="00ED19A5" w:rsidRPr="007E2DF6" w:rsidRDefault="00ED19A5" w:rsidP="00ED19A5">
      <w:pPr>
        <w:pStyle w:val="ListParagraph"/>
        <w:rPr>
          <w:rFonts w:ascii="Verdana" w:hAnsi="Verdana" w:cs="Arial"/>
        </w:rPr>
      </w:pPr>
    </w:p>
    <w:p w14:paraId="1F6C378A" w14:textId="77777777" w:rsidR="00ED19A5" w:rsidRPr="007E2DF6" w:rsidRDefault="00ED19A5" w:rsidP="00ED19A5">
      <w:pPr>
        <w:pStyle w:val="ListParagraph"/>
        <w:numPr>
          <w:ilvl w:val="0"/>
          <w:numId w:val="13"/>
        </w:numPr>
        <w:spacing w:after="120" w:line="276" w:lineRule="auto"/>
        <w:jc w:val="both"/>
        <w:rPr>
          <w:rFonts w:ascii="Verdana" w:hAnsi="Verdana" w:cs="Arial"/>
        </w:rPr>
      </w:pPr>
      <w:r w:rsidRPr="007E2DF6">
        <w:rPr>
          <w:rFonts w:ascii="Verdana" w:hAnsi="Verdana" w:cs="Arial"/>
        </w:rPr>
        <w:t xml:space="preserve">Adicionalmente, el artículo 60 de la Ley 80 de 1993 establece que la liquidación no resulta obligatoria en los </w:t>
      </w:r>
      <w:r w:rsidRPr="007E2DF6">
        <w:rPr>
          <w:rFonts w:ascii="Verdana" w:hAnsi="Verdana" w:cs="Arial"/>
          <w:lang w:val="es-CO"/>
        </w:rPr>
        <w:t>contratos de prestación de servicios profesionales y de apoyo a la gestión.</w:t>
      </w:r>
      <w:r w:rsidRPr="007E2DF6">
        <w:rPr>
          <w:rFonts w:ascii="Verdana" w:hAnsi="Verdana" w:cs="Arial"/>
        </w:rPr>
        <w:t xml:space="preserve"> En ese orden, frente a este tipo de contratos las Entidades Estatales deben definir la oportunidad y forma de recibir el objeto contratado y, en cada caso, si un contrato requiere o no de liquidación, con arreglo a criterios tales como la naturaleza, objeto y plazo del contrato</w:t>
      </w:r>
      <w:r w:rsidRPr="007E2DF6">
        <w:rPr>
          <w:rFonts w:ascii="Verdana" w:hAnsi="Verdana"/>
          <w:vertAlign w:val="superscript"/>
        </w:rPr>
        <w:footnoteReference w:id="5"/>
      </w:r>
      <w:r w:rsidRPr="007E2DF6">
        <w:rPr>
          <w:rFonts w:ascii="Verdana" w:hAnsi="Verdana" w:cs="Arial"/>
        </w:rPr>
        <w:t xml:space="preserve">, así como la probabilidad de que puedan surgir diferencias durante la ejecución del contrato.  </w:t>
      </w:r>
    </w:p>
    <w:p w14:paraId="159B66BA" w14:textId="77777777" w:rsidR="00ED19A5" w:rsidRPr="007E2DF6" w:rsidRDefault="00ED19A5" w:rsidP="00ED19A5">
      <w:pPr>
        <w:pStyle w:val="ListParagraph"/>
        <w:rPr>
          <w:rFonts w:ascii="Verdana" w:hAnsi="Verdana" w:cs="Arial"/>
        </w:rPr>
      </w:pPr>
    </w:p>
    <w:p w14:paraId="05C0ACE3" w14:textId="77777777" w:rsidR="00ED19A5" w:rsidRPr="007E2DF6" w:rsidRDefault="00ED19A5" w:rsidP="00ED19A5">
      <w:pPr>
        <w:pStyle w:val="ListParagraph"/>
        <w:numPr>
          <w:ilvl w:val="0"/>
          <w:numId w:val="13"/>
        </w:numPr>
        <w:spacing w:after="120" w:line="276" w:lineRule="auto"/>
        <w:jc w:val="both"/>
        <w:rPr>
          <w:rFonts w:ascii="Verdana" w:hAnsi="Verdana" w:cs="Arial"/>
        </w:rPr>
      </w:pPr>
      <w:r w:rsidRPr="007E2DF6">
        <w:rPr>
          <w:rFonts w:ascii="Verdana" w:hAnsi="Verdana" w:cs="Arial"/>
        </w:rPr>
        <w:t xml:space="preserve">De </w:t>
      </w:r>
      <w:r w:rsidRPr="007E2DF6">
        <w:rPr>
          <w:rFonts w:ascii="Verdana" w:hAnsi="Verdana" w:cs="Arial"/>
          <w:iCs/>
        </w:rPr>
        <w:t xml:space="preserve">acuerdo con el artículo 11 de la Ley 1150 de 2007, existen tres tipos de liquidación: i) bilateral, </w:t>
      </w:r>
      <w:proofErr w:type="spellStart"/>
      <w:r w:rsidRPr="007E2DF6">
        <w:rPr>
          <w:rFonts w:ascii="Verdana" w:hAnsi="Verdana" w:cs="Arial"/>
          <w:iCs/>
        </w:rPr>
        <w:t>ii</w:t>
      </w:r>
      <w:proofErr w:type="spellEnd"/>
      <w:r w:rsidRPr="007E2DF6">
        <w:rPr>
          <w:rFonts w:ascii="Verdana" w:hAnsi="Verdana" w:cs="Arial"/>
          <w:iCs/>
        </w:rPr>
        <w:t xml:space="preserve">) unilateral y </w:t>
      </w:r>
      <w:proofErr w:type="spellStart"/>
      <w:r w:rsidRPr="007E2DF6">
        <w:rPr>
          <w:rFonts w:ascii="Verdana" w:hAnsi="Verdana" w:cs="Arial"/>
          <w:iCs/>
        </w:rPr>
        <w:t>iii</w:t>
      </w:r>
      <w:proofErr w:type="spellEnd"/>
      <w:r w:rsidRPr="007E2DF6">
        <w:rPr>
          <w:rFonts w:ascii="Verdana" w:hAnsi="Verdana" w:cs="Arial"/>
          <w:iCs/>
        </w:rPr>
        <w:t>) judicial. En términos generales, la primera, que puede ser total o parcial, debe hacerse en el término que estipulen las partes o, en su defecto, dentro del término supletivo de cuatro meses. La segunda se debe practicar d</w:t>
      </w:r>
      <w:r w:rsidRPr="007E2DF6">
        <w:rPr>
          <w:rFonts w:ascii="Verdana" w:hAnsi="Verdana" w:cs="Arial"/>
        </w:rPr>
        <w:t>entro de los dos meses siguientes al vencimiento del término que acuerden las partes, o ante el silencio de estas, luego de los cuatro meses para realizar la liquidación bilateral, sin que esta se efectúe. Finalmente, la tercera la realiza el juez contencioso administrativo o un tribunal arbitral dentro de un proceso judicial de controversias contractuales y puede darse con ocasión de una demanda del interesado solicitando dicha liquidación y para ello existe un plazo máximo de 2 años contados a partir de los dos meses establecidos en la Ley para realizar la liquidación unilateral, de conformidad con la citada sentencia de unificación del Consejo de Estado.</w:t>
      </w:r>
    </w:p>
    <w:p w14:paraId="4BB54699" w14:textId="77777777" w:rsidR="00ED19A5" w:rsidRPr="007E2DF6" w:rsidRDefault="00ED19A5" w:rsidP="00ED19A5">
      <w:pPr>
        <w:pStyle w:val="ListParagraph"/>
        <w:rPr>
          <w:rFonts w:ascii="Verdana" w:hAnsi="Verdana" w:cs="Arial"/>
        </w:rPr>
      </w:pPr>
    </w:p>
    <w:p w14:paraId="04623606" w14:textId="48E0F908" w:rsidR="00ED19A5" w:rsidRDefault="00ED19A5" w:rsidP="00ED19A5">
      <w:pPr>
        <w:pStyle w:val="ListParagraph"/>
        <w:numPr>
          <w:ilvl w:val="0"/>
          <w:numId w:val="13"/>
        </w:numPr>
        <w:spacing w:after="120" w:line="276" w:lineRule="auto"/>
        <w:jc w:val="both"/>
        <w:rPr>
          <w:rFonts w:ascii="Verdana" w:hAnsi="Verdana" w:cs="Arial"/>
        </w:rPr>
      </w:pPr>
      <w:r w:rsidRPr="007E2DF6">
        <w:rPr>
          <w:rFonts w:ascii="Verdana" w:hAnsi="Verdana" w:cs="Arial"/>
        </w:rPr>
        <w:t xml:space="preserve">De acuerdo con esto, cuando la liquidación se da de manera bilateral, ya sea en el plazo acordado por </w:t>
      </w:r>
      <w:r w:rsidR="00623C09" w:rsidRPr="007E2DF6">
        <w:rPr>
          <w:rFonts w:ascii="Verdana" w:hAnsi="Verdana" w:cs="Arial"/>
        </w:rPr>
        <w:t>las partes</w:t>
      </w:r>
      <w:r w:rsidRPr="007E2DF6">
        <w:rPr>
          <w:rFonts w:ascii="Verdana" w:hAnsi="Verdana" w:cs="Arial"/>
        </w:rPr>
        <w:t xml:space="preserve"> o dentro del término supletivo establecido en el artículo 11 de la Ley 1150 de 2007, dicha actuación suele materializarse en un documento de denominado acta de liquidación, en el que se refleja el cruce de cuentas avalado por ambos extremos de la relación contractual quienes concurren a su suscripción. En todo caso, la liquidación del contrato solo puede ocurrir una vez vencido el periodo de ejecución, en la medida en que el vencimiento de este periodo es un presupuesto para verificar el cumplimiento de las obligaciones tendientes a la ejecución del objeto </w:t>
      </w:r>
      <w:r w:rsidRPr="007E2DF6">
        <w:rPr>
          <w:rFonts w:ascii="Verdana" w:hAnsi="Verdana" w:cs="Arial"/>
        </w:rPr>
        <w:lastRenderedPageBreak/>
        <w:t xml:space="preserve">contractual, de tal manera que las partes pueden realizar el cruce de cuentos a efectos de declararse a paz y salvo.  </w:t>
      </w:r>
    </w:p>
    <w:p w14:paraId="5AE3DBE7" w14:textId="77777777" w:rsidR="00A52950" w:rsidRPr="00623C09" w:rsidRDefault="00A52950" w:rsidP="00623C09">
      <w:pPr>
        <w:pStyle w:val="ListParagraph"/>
        <w:rPr>
          <w:rFonts w:ascii="Verdana" w:hAnsi="Verdana" w:cs="Arial"/>
        </w:rPr>
      </w:pPr>
    </w:p>
    <w:p w14:paraId="6F6DEC09" w14:textId="5C20A0F5" w:rsidR="00A52950" w:rsidRPr="007E2DF6" w:rsidRDefault="00A52950" w:rsidP="00A52950">
      <w:pPr>
        <w:pStyle w:val="ListParagraph"/>
        <w:numPr>
          <w:ilvl w:val="0"/>
          <w:numId w:val="13"/>
        </w:numPr>
        <w:spacing w:after="120" w:line="276" w:lineRule="auto"/>
        <w:jc w:val="both"/>
        <w:rPr>
          <w:rFonts w:ascii="Verdana" w:hAnsi="Verdana" w:cs="Arial"/>
        </w:rPr>
      </w:pPr>
      <w:r w:rsidRPr="007E2DF6">
        <w:rPr>
          <w:rFonts w:ascii="Verdana" w:hAnsi="Verdana" w:cs="Arial"/>
        </w:rPr>
        <w:t xml:space="preserve">Conforme a esto, en lo relativo a la liquidación de contratos estatales que deban celebrar por encima del umbral los veinte (20) </w:t>
      </w:r>
      <w:r w:rsidRPr="007E2DF6">
        <w:rPr>
          <w:rFonts w:ascii="Verdana" w:eastAsia="Times New Roman" w:hAnsi="Verdana" w:cs="Arial"/>
          <w:szCs w:val="24"/>
          <w:lang w:eastAsia="es-MX"/>
        </w:rPr>
        <w:t xml:space="preserve">salarios mínimos legales mensuales vigentes, las Instituciones Educativas Oficiales deben a aplicar lo dispuesto en los artículos 60 de la Ley 80 de 1993 y 11 de la Ley 1150 de 2007, disposiciones en virtud de las cuales están llamadas a liquidar los contratos de tracto sucesivo, aquellos cuya ejecución se prolongue en el tiempo y los demás en lo que hayan estimado como necesaria la liquidación. De otra parte, en lo relativo a los </w:t>
      </w:r>
      <w:r w:rsidR="00351CE9" w:rsidRPr="007E2DF6">
        <w:rPr>
          <w:rFonts w:ascii="Verdana" w:eastAsia="Times New Roman" w:hAnsi="Verdana" w:cs="Arial"/>
          <w:szCs w:val="24"/>
          <w:lang w:eastAsia="es-MX"/>
        </w:rPr>
        <w:t>contratos celebrados</w:t>
      </w:r>
      <w:r w:rsidRPr="007E2DF6">
        <w:rPr>
          <w:rFonts w:ascii="Verdana" w:eastAsia="Times New Roman" w:hAnsi="Verdana" w:cs="Arial"/>
          <w:szCs w:val="24"/>
          <w:lang w:eastAsia="es-MX"/>
        </w:rPr>
        <w:t xml:space="preserve"> por debajo del referido umbral, las Instituciones Educativa Oficiales deberán establecer la procedencia de la liquidación del contrato a partir de lo dispuesto en el reglamento expedido en el respectivo consejo directivo y lo estipulado en </w:t>
      </w:r>
      <w:r w:rsidR="001E474F" w:rsidRPr="007E2DF6">
        <w:rPr>
          <w:rFonts w:ascii="Verdana" w:eastAsia="Times New Roman" w:hAnsi="Verdana" w:cs="Arial"/>
          <w:szCs w:val="24"/>
          <w:lang w:eastAsia="es-MX"/>
        </w:rPr>
        <w:t>las cláusulas</w:t>
      </w:r>
      <w:r w:rsidRPr="007E2DF6">
        <w:rPr>
          <w:rFonts w:ascii="Verdana" w:eastAsia="Times New Roman" w:hAnsi="Verdana" w:cs="Arial"/>
          <w:szCs w:val="24"/>
          <w:lang w:eastAsia="es-MX"/>
        </w:rPr>
        <w:t xml:space="preserve"> del contrato. </w:t>
      </w:r>
    </w:p>
    <w:p w14:paraId="46BF40DF" w14:textId="77777777" w:rsidR="00ED19A5" w:rsidRPr="007E2DF6" w:rsidRDefault="00ED19A5" w:rsidP="00ED19A5">
      <w:pPr>
        <w:pStyle w:val="ListParagraph"/>
        <w:rPr>
          <w:rFonts w:ascii="Verdana" w:hAnsi="Verdana" w:cs="Arial"/>
        </w:rPr>
      </w:pPr>
    </w:p>
    <w:p w14:paraId="322889CC" w14:textId="3749DC02" w:rsidR="00ED19A5" w:rsidRPr="007E2DF6" w:rsidRDefault="00ED19A5" w:rsidP="00ED19A5">
      <w:pPr>
        <w:pStyle w:val="ListParagraph"/>
        <w:numPr>
          <w:ilvl w:val="0"/>
          <w:numId w:val="13"/>
        </w:numPr>
        <w:spacing w:after="120" w:line="276" w:lineRule="auto"/>
        <w:jc w:val="both"/>
        <w:rPr>
          <w:rFonts w:ascii="Verdana" w:hAnsi="Verdana" w:cs="Arial"/>
        </w:rPr>
      </w:pPr>
      <w:r w:rsidRPr="007E2DF6">
        <w:rPr>
          <w:rFonts w:ascii="Verdana" w:hAnsi="Verdana" w:cs="Arial"/>
        </w:rPr>
        <w:t>Explicado lo anterior, en aras de responder su</w:t>
      </w:r>
      <w:r w:rsidR="00A52950">
        <w:rPr>
          <w:rFonts w:ascii="Verdana" w:hAnsi="Verdana" w:cs="Arial"/>
        </w:rPr>
        <w:t xml:space="preserve"> el segundo problema</w:t>
      </w:r>
      <w:r w:rsidRPr="007E2DF6">
        <w:rPr>
          <w:rFonts w:ascii="Verdana" w:hAnsi="Verdana" w:cs="Arial"/>
        </w:rPr>
        <w:t xml:space="preserve"> </w:t>
      </w:r>
      <w:r w:rsidR="00A52950">
        <w:rPr>
          <w:rFonts w:ascii="Verdana" w:hAnsi="Verdana" w:cs="Arial"/>
        </w:rPr>
        <w:t xml:space="preserve">planteado </w:t>
      </w:r>
      <w:r w:rsidRPr="007E2DF6">
        <w:rPr>
          <w:rFonts w:ascii="Verdana" w:hAnsi="Verdana" w:cs="Arial"/>
        </w:rPr>
        <w:t xml:space="preserve">es necesario aclarar que los términos </w:t>
      </w:r>
      <w:r w:rsidRPr="007E2DF6">
        <w:rPr>
          <w:rFonts w:ascii="Verdana" w:hAnsi="Verdana" w:cs="Arial"/>
          <w:i/>
          <w:iCs/>
        </w:rPr>
        <w:t>“acta de liquidación”</w:t>
      </w:r>
      <w:r w:rsidRPr="007E2DF6">
        <w:rPr>
          <w:rFonts w:ascii="Verdana" w:hAnsi="Verdana" w:cs="Arial"/>
        </w:rPr>
        <w:t xml:space="preserve"> y</w:t>
      </w:r>
      <w:r w:rsidRPr="007E2DF6">
        <w:rPr>
          <w:rFonts w:ascii="Verdana" w:hAnsi="Verdana" w:cs="Arial"/>
          <w:i/>
          <w:iCs/>
        </w:rPr>
        <w:t xml:space="preserve"> “acta de terminación”</w:t>
      </w:r>
      <w:r w:rsidRPr="007E2DF6">
        <w:rPr>
          <w:rFonts w:ascii="Verdana" w:hAnsi="Verdana" w:cs="Arial"/>
        </w:rPr>
        <w:t>, no resulta</w:t>
      </w:r>
      <w:r w:rsidR="00A52950">
        <w:rPr>
          <w:rFonts w:ascii="Verdana" w:hAnsi="Verdana" w:cs="Arial"/>
        </w:rPr>
        <w:t>n</w:t>
      </w:r>
      <w:r w:rsidRPr="007E2DF6">
        <w:rPr>
          <w:rFonts w:ascii="Verdana" w:hAnsi="Verdana" w:cs="Arial"/>
        </w:rPr>
        <w:t xml:space="preserve"> sinónimos en el contexto de la contratación estatal. Mientras que el primero se refiere a la liquidación en los términos regulados por los artículos 60 de la Ley 80 de 1993 y 11 Ley 1150 de 2007, el segundo hace referencia a un documento que suele utilizarse en contratos de tracto sucesivo como una suerte de constancia de la terminación del plazo de ejecución del contrato, en la que bien se puede dejar constancia de circunstancias de tiempo, modo y lugar alusivas al desarrollo del contrato, sin que ello necesariamente suponga la liquidación del contrato.  </w:t>
      </w:r>
    </w:p>
    <w:p w14:paraId="583B2855" w14:textId="77777777" w:rsidR="00ED19A5" w:rsidRPr="007E2DF6" w:rsidRDefault="00ED19A5" w:rsidP="00ED19A5">
      <w:pPr>
        <w:pStyle w:val="ListParagraph"/>
        <w:rPr>
          <w:rFonts w:ascii="Verdana" w:hAnsi="Verdana" w:cs="Arial"/>
        </w:rPr>
      </w:pPr>
    </w:p>
    <w:p w14:paraId="70871AD2" w14:textId="77777777" w:rsidR="00ED19A5" w:rsidRPr="007E2DF6" w:rsidRDefault="00ED19A5" w:rsidP="00ED19A5">
      <w:pPr>
        <w:pStyle w:val="ListParagraph"/>
        <w:numPr>
          <w:ilvl w:val="0"/>
          <w:numId w:val="13"/>
        </w:numPr>
        <w:spacing w:after="120" w:line="276" w:lineRule="auto"/>
        <w:jc w:val="both"/>
        <w:rPr>
          <w:rFonts w:ascii="Verdana" w:hAnsi="Verdana" w:cs="Arial"/>
        </w:rPr>
      </w:pPr>
      <w:r w:rsidRPr="007E2DF6">
        <w:rPr>
          <w:rFonts w:ascii="Verdana" w:hAnsi="Verdana" w:cs="Arial"/>
        </w:rPr>
        <w:t xml:space="preserve">En ese orden, tanto el </w:t>
      </w:r>
      <w:r w:rsidRPr="007E2DF6">
        <w:rPr>
          <w:rFonts w:ascii="Verdana" w:hAnsi="Verdana" w:cs="Arial"/>
          <w:i/>
          <w:iCs/>
        </w:rPr>
        <w:t>“acta de liquidación”</w:t>
      </w:r>
      <w:r w:rsidRPr="007E2DF6">
        <w:rPr>
          <w:rFonts w:ascii="Verdana" w:hAnsi="Verdana" w:cs="Arial"/>
        </w:rPr>
        <w:t xml:space="preserve"> como el </w:t>
      </w:r>
      <w:r w:rsidRPr="007E2DF6">
        <w:rPr>
          <w:rFonts w:ascii="Verdana" w:hAnsi="Verdana" w:cs="Arial"/>
          <w:i/>
          <w:iCs/>
        </w:rPr>
        <w:t>“acta de terminación”</w:t>
      </w:r>
      <w:r w:rsidRPr="007E2DF6">
        <w:rPr>
          <w:rFonts w:ascii="Verdana" w:hAnsi="Verdana" w:cs="Arial"/>
        </w:rPr>
        <w:t xml:space="preserve"> son documentos que sobrevienen al plazo de ejecución del contrato, sin embargo, no resultan </w:t>
      </w:r>
      <w:r w:rsidRPr="007E2DF6">
        <w:rPr>
          <w:rFonts w:ascii="Verdana" w:hAnsi="Verdana" w:cs="Arial"/>
          <w:i/>
          <w:iCs/>
        </w:rPr>
        <w:t>per se</w:t>
      </w:r>
      <w:r w:rsidRPr="007E2DF6">
        <w:rPr>
          <w:rFonts w:ascii="Verdana" w:hAnsi="Verdana" w:cs="Arial"/>
        </w:rPr>
        <w:t xml:space="preserve"> homologables. Sin embargo, es importante precisar que, una vez vencido el plazo de ejecución, dentro del plazo convenido por las partes en el término supletivo establecido en el artículo 11 de la Ley 1150 de 2007, bien podrían las partes de un contrato estatal concurrir a la suscripción de un “acta de terminación”, en el que se realice el cruce de cuentas al que hace referencia el artículo 60 de la Ley 80 de 1993, de tal manera que en el acta de terminación se realice la liquidación del contrato.   </w:t>
      </w:r>
    </w:p>
    <w:p w14:paraId="0A1CD13F" w14:textId="77777777" w:rsidR="00ED19A5" w:rsidRPr="007E2DF6" w:rsidRDefault="00ED19A5" w:rsidP="00ED19A5">
      <w:pPr>
        <w:pStyle w:val="ListParagraph"/>
        <w:rPr>
          <w:rFonts w:ascii="Verdana" w:hAnsi="Verdana" w:cs="Arial"/>
        </w:rPr>
      </w:pPr>
    </w:p>
    <w:p w14:paraId="0E94012E" w14:textId="5EF5C475" w:rsidR="00ED19A5" w:rsidRPr="007E2DF6" w:rsidRDefault="00ED19A5" w:rsidP="00ED19A5">
      <w:pPr>
        <w:pStyle w:val="ListParagraph"/>
        <w:numPr>
          <w:ilvl w:val="0"/>
          <w:numId w:val="13"/>
        </w:numPr>
        <w:spacing w:after="120" w:line="276" w:lineRule="auto"/>
        <w:jc w:val="both"/>
        <w:rPr>
          <w:rFonts w:ascii="Verdana" w:hAnsi="Verdana" w:cs="Arial"/>
        </w:rPr>
      </w:pPr>
      <w:r w:rsidRPr="007E2DF6">
        <w:rPr>
          <w:rFonts w:ascii="Verdana" w:hAnsi="Verdana" w:cs="Arial"/>
        </w:rPr>
        <w:t xml:space="preserve">En todo caso, es importante distinguir las referidas actas de la constancia de cierre del expediente contractual a la que se refiere el artículo 2.2.1.1.2.4.3 del Decreto 1082 de 2015, la cual se trata de una constancia administrativa que </w:t>
      </w:r>
      <w:r w:rsidRPr="007E2DF6">
        <w:rPr>
          <w:rFonts w:ascii="Verdana" w:hAnsi="Verdana" w:cs="Arial"/>
        </w:rPr>
        <w:lastRenderedPageBreak/>
        <w:t>culmina las actuaciones contractuales El “</w:t>
      </w:r>
      <w:r w:rsidRPr="007E2DF6">
        <w:rPr>
          <w:rFonts w:ascii="Verdana" w:hAnsi="Verdana" w:cs="Arial"/>
          <w:i/>
          <w:iCs/>
        </w:rPr>
        <w:t>cierre del expediente”</w:t>
      </w:r>
      <w:r w:rsidRPr="007E2DF6">
        <w:rPr>
          <w:rFonts w:ascii="Verdana" w:hAnsi="Verdana" w:cs="Arial"/>
        </w:rPr>
        <w:t xml:space="preserve"> al que se refiere este artículo es acto de trámite que realiza la Entidad Estatal </w:t>
      </w:r>
      <w:r w:rsidRPr="007E2DF6">
        <w:rPr>
          <w:rFonts w:ascii="Verdana" w:hAnsi="Verdana" w:cs="Arial"/>
          <w:color w:val="000000"/>
        </w:rPr>
        <w:t xml:space="preserve">siempre que se hubiera configurado alguno de los supuestos del artículo 2.2.1.1.2.4.3. del Decreto 1082 de 2015, esto es: i) cuando la administración establece condiciones de disposición final o recuperación ambiental de las obras o bienes; o </w:t>
      </w:r>
      <w:proofErr w:type="spellStart"/>
      <w:r w:rsidRPr="007E2DF6">
        <w:rPr>
          <w:rFonts w:ascii="Verdana" w:hAnsi="Verdana" w:cs="Arial"/>
          <w:color w:val="000000"/>
        </w:rPr>
        <w:t>ii</w:t>
      </w:r>
      <w:proofErr w:type="spellEnd"/>
      <w:r w:rsidRPr="007E2DF6">
        <w:rPr>
          <w:rFonts w:ascii="Verdana" w:hAnsi="Verdana" w:cs="Arial"/>
          <w:color w:val="000000"/>
        </w:rPr>
        <w:t xml:space="preserve">) una vez vencidos los términos de las garantías de calidad, estabilidad y mantenimiento ─solo estas─. </w:t>
      </w:r>
    </w:p>
    <w:p w14:paraId="41C2AFFD" w14:textId="77777777" w:rsidR="0055497B" w:rsidRPr="00623C09" w:rsidRDefault="0055497B" w:rsidP="00623C09">
      <w:pPr>
        <w:pStyle w:val="ListParagraph"/>
        <w:spacing w:after="120" w:line="276" w:lineRule="auto"/>
        <w:jc w:val="both"/>
        <w:rPr>
          <w:rFonts w:ascii="Verdana" w:eastAsia="Times New Roman" w:hAnsi="Verdana" w:cs="Arial"/>
          <w:szCs w:val="24"/>
          <w:lang w:eastAsia="es-MX"/>
        </w:rPr>
      </w:pPr>
    </w:p>
    <w:p w14:paraId="4C6AEC6F" w14:textId="0EB6BB5A" w:rsidR="00087DF6" w:rsidRPr="00623C09" w:rsidRDefault="005636A6" w:rsidP="00087DF6">
      <w:pPr>
        <w:pStyle w:val="ListParagraph"/>
        <w:numPr>
          <w:ilvl w:val="0"/>
          <w:numId w:val="13"/>
        </w:numPr>
        <w:spacing w:after="120" w:line="276" w:lineRule="auto"/>
        <w:jc w:val="both"/>
        <w:rPr>
          <w:rFonts w:ascii="Verdana" w:hAnsi="Verdana" w:cs="Arial"/>
        </w:rPr>
      </w:pPr>
      <w:r w:rsidRPr="00623C09">
        <w:rPr>
          <w:rFonts w:ascii="Verdana" w:eastAsia="Geomanist Light" w:hAnsi="Verdana" w:cs="Arial"/>
        </w:rPr>
        <w:t>De otra parte, en lo relativo al deber de publicidad de los Documentos del Proceso</w:t>
      </w:r>
      <w:r w:rsidR="008F3B55" w:rsidRPr="00623C09">
        <w:rPr>
          <w:rFonts w:ascii="Verdana" w:eastAsia="Geomanist Light" w:hAnsi="Verdana" w:cs="Arial"/>
        </w:rPr>
        <w:t>, es importante explicar que el mismo se sustentado</w:t>
      </w:r>
      <w:r w:rsidR="0088600D" w:rsidRPr="00623C09">
        <w:rPr>
          <w:rFonts w:ascii="Verdana" w:eastAsia="Geomanist Light" w:hAnsi="Verdana" w:cs="Arial"/>
        </w:rPr>
        <w:t xml:space="preserve"> a nivel legal</w:t>
      </w:r>
      <w:r w:rsidR="008F3B55" w:rsidRPr="00623C09">
        <w:rPr>
          <w:rFonts w:ascii="Verdana" w:eastAsia="Geomanist Light" w:hAnsi="Verdana" w:cs="Arial"/>
        </w:rPr>
        <w:t xml:space="preserve"> en disposiciones de orden legal como </w:t>
      </w:r>
      <w:r w:rsidR="004B4223" w:rsidRPr="00623C09">
        <w:rPr>
          <w:rFonts w:ascii="Verdana" w:eastAsia="Geomanist Light" w:hAnsi="Verdana" w:cs="Arial"/>
        </w:rPr>
        <w:t>los artículos 3 de la Ley 1150 de 2007</w:t>
      </w:r>
      <w:r w:rsidR="009D6D00" w:rsidRPr="00623C09">
        <w:rPr>
          <w:rFonts w:ascii="Verdana" w:eastAsia="Geomanist Light" w:hAnsi="Verdana" w:cs="Arial"/>
        </w:rPr>
        <w:t>, 9–literal e)– y 11 –literal g)– de la Ley 1712 de 2014</w:t>
      </w:r>
      <w:r w:rsidR="0088600D" w:rsidRPr="00623C09">
        <w:rPr>
          <w:rFonts w:ascii="Verdana" w:eastAsia="Geomanist Light" w:hAnsi="Verdana" w:cs="Arial"/>
        </w:rPr>
        <w:t xml:space="preserve">. </w:t>
      </w:r>
      <w:r w:rsidR="00087DF6">
        <w:rPr>
          <w:rFonts w:ascii="Verdana" w:eastAsia="Geomanist Light" w:hAnsi="Verdana" w:cs="Arial"/>
        </w:rPr>
        <w:t xml:space="preserve">Este deber no </w:t>
      </w:r>
      <w:r w:rsidR="00E5681C">
        <w:rPr>
          <w:rFonts w:ascii="Verdana" w:eastAsia="Geomanist Light" w:hAnsi="Verdana" w:cs="Arial"/>
        </w:rPr>
        <w:t>se predica de las Entidades Estatales sometidas al Estatuto General de Contratación de la Administración Pública, sino que</w:t>
      </w:r>
      <w:r w:rsidR="00CF6805">
        <w:rPr>
          <w:rFonts w:ascii="Verdana" w:eastAsia="Geomanist Light" w:hAnsi="Verdana" w:cs="Arial"/>
        </w:rPr>
        <w:t xml:space="preserve"> también se extiende a las entidades exceptuadas con </w:t>
      </w:r>
      <w:r w:rsidR="00211DB2">
        <w:rPr>
          <w:rFonts w:ascii="Verdana" w:eastAsia="Geomanist Light" w:hAnsi="Verdana" w:cs="Arial"/>
        </w:rPr>
        <w:t>regímenes</w:t>
      </w:r>
      <w:r w:rsidR="00CF6805">
        <w:rPr>
          <w:rFonts w:ascii="Verdana" w:eastAsia="Geomanist Light" w:hAnsi="Verdana" w:cs="Arial"/>
        </w:rPr>
        <w:t xml:space="preserve"> especiales de contratación, al tenor de lo dispuesto en el artículo 13 de la Ley 1150 de 2007, adicionado por el artículo 53 de la Ley 2195 de 202</w:t>
      </w:r>
      <w:r w:rsidR="003565C6">
        <w:rPr>
          <w:rFonts w:ascii="Verdana" w:eastAsia="Geomanist Light" w:hAnsi="Verdana" w:cs="Arial"/>
        </w:rPr>
        <w:t>2.</w:t>
      </w:r>
    </w:p>
    <w:p w14:paraId="2817F9F0" w14:textId="77777777" w:rsidR="003565C6" w:rsidRPr="00623C09" w:rsidRDefault="003565C6" w:rsidP="00623C09">
      <w:pPr>
        <w:pStyle w:val="ListParagraph"/>
        <w:spacing w:after="120" w:line="276" w:lineRule="auto"/>
        <w:jc w:val="both"/>
        <w:rPr>
          <w:rFonts w:ascii="Verdana" w:hAnsi="Verdana" w:cs="Arial"/>
        </w:rPr>
      </w:pPr>
    </w:p>
    <w:p w14:paraId="3F71FFB9" w14:textId="77777777" w:rsidR="00C576FE" w:rsidRPr="00623C09" w:rsidRDefault="0088600D" w:rsidP="00087DF6">
      <w:pPr>
        <w:pStyle w:val="ListParagraph"/>
        <w:numPr>
          <w:ilvl w:val="0"/>
          <w:numId w:val="13"/>
        </w:numPr>
        <w:spacing w:after="120" w:line="276" w:lineRule="auto"/>
        <w:jc w:val="both"/>
        <w:rPr>
          <w:rFonts w:ascii="Verdana" w:hAnsi="Verdana" w:cs="Arial"/>
        </w:rPr>
      </w:pPr>
      <w:r w:rsidRPr="00623C09">
        <w:rPr>
          <w:rFonts w:ascii="Verdana" w:eastAsia="Geomanist Light" w:hAnsi="Verdana" w:cs="Arial"/>
        </w:rPr>
        <w:t xml:space="preserve">En atención a lo establecido en estas disposiciones, </w:t>
      </w:r>
      <w:r w:rsidR="00624DEE" w:rsidRPr="00623C09">
        <w:rPr>
          <w:rFonts w:ascii="Verdana" w:eastAsia="Geomanist Light" w:hAnsi="Verdana" w:cs="Arial"/>
        </w:rPr>
        <w:t>los artículos</w:t>
      </w:r>
      <w:r w:rsidR="00BC5B8E" w:rsidRPr="00623C09">
        <w:rPr>
          <w:rFonts w:ascii="Verdana" w:eastAsia="Geomanist Light" w:hAnsi="Verdana" w:cs="Arial"/>
        </w:rPr>
        <w:t xml:space="preserve"> </w:t>
      </w:r>
      <w:r w:rsidR="00BC5B8E" w:rsidRPr="00623C09">
        <w:rPr>
          <w:rFonts w:ascii="Verdana" w:eastAsia="Geomanist Light" w:hAnsi="Verdana" w:cs="Arial"/>
          <w:lang w:val="es-CO"/>
        </w:rPr>
        <w:t xml:space="preserve">2.1.1.2.1.7 del Decreto 1081 de 2015 y </w:t>
      </w:r>
      <w:r w:rsidR="00624DEE" w:rsidRPr="00623C09">
        <w:rPr>
          <w:rFonts w:ascii="Verdana" w:eastAsia="Geomanist Light" w:hAnsi="Verdana" w:cs="Arial"/>
          <w:lang w:val="es-CO"/>
        </w:rPr>
        <w:t>2.2.1.1.1.7.1 del Decreto 1082 de 2015</w:t>
      </w:r>
      <w:r w:rsidR="00624DEE" w:rsidRPr="00623C09">
        <w:rPr>
          <w:rStyle w:val="FootnoteReference"/>
          <w:rFonts w:ascii="Verdana" w:eastAsia="Geomanist Light" w:hAnsi="Verdana" w:cs="Arial"/>
          <w:lang w:val="es-CO"/>
        </w:rPr>
        <w:footnoteReference w:id="6"/>
      </w:r>
      <w:r w:rsidR="007F7D1D" w:rsidRPr="00623C09">
        <w:rPr>
          <w:rFonts w:ascii="Verdana" w:eastAsia="Geomanist Light" w:hAnsi="Verdana" w:cs="Arial"/>
          <w:lang w:val="es-CO"/>
        </w:rPr>
        <w:t xml:space="preserve">, establecen el deber de publicar en el SECOP los Documentos del Proceso dentro del plazo de tres (3) días siguientes la expedición de </w:t>
      </w:r>
      <w:proofErr w:type="gramStart"/>
      <w:r w:rsidR="007F7D1D" w:rsidRPr="00623C09">
        <w:rPr>
          <w:rFonts w:ascii="Verdana" w:eastAsia="Geomanist Light" w:hAnsi="Verdana" w:cs="Arial"/>
          <w:lang w:val="es-CO"/>
        </w:rPr>
        <w:t>los mismos</w:t>
      </w:r>
      <w:proofErr w:type="gramEnd"/>
      <w:r w:rsidR="00897B24" w:rsidRPr="00623C09">
        <w:rPr>
          <w:rStyle w:val="FootnoteReference"/>
          <w:rFonts w:ascii="Verdana" w:eastAsia="Geomanist Light" w:hAnsi="Verdana" w:cs="Arial"/>
          <w:lang w:val="es-CO"/>
        </w:rPr>
        <w:footnoteReference w:id="7"/>
      </w:r>
      <w:r w:rsidR="007F7D1D" w:rsidRPr="00623C09">
        <w:rPr>
          <w:rFonts w:ascii="Verdana" w:eastAsia="Geomanist Light" w:hAnsi="Verdana" w:cs="Arial"/>
          <w:lang w:val="es-CO"/>
        </w:rPr>
        <w:t>. De esta</w:t>
      </w:r>
      <w:r w:rsidR="00897B24" w:rsidRPr="00623C09">
        <w:rPr>
          <w:rFonts w:ascii="Verdana" w:eastAsia="Geomanist Light" w:hAnsi="Verdana" w:cs="Arial"/>
          <w:lang w:val="es-CO"/>
        </w:rPr>
        <w:t xml:space="preserve">, manera independientemente de si </w:t>
      </w:r>
      <w:r w:rsidR="007269EF" w:rsidRPr="00087DF6">
        <w:rPr>
          <w:rFonts w:ascii="Verdana" w:eastAsia="Geomanist Light" w:hAnsi="Verdana" w:cs="Arial"/>
          <w:lang w:val="es-CO"/>
        </w:rPr>
        <w:t>el documento</w:t>
      </w:r>
      <w:r w:rsidR="00700F5C" w:rsidRPr="00087DF6">
        <w:rPr>
          <w:rFonts w:ascii="Verdana" w:eastAsia="Geomanist Light" w:hAnsi="Verdana" w:cs="Arial"/>
          <w:lang w:val="es-CO"/>
        </w:rPr>
        <w:t xml:space="preserve"> </w:t>
      </w:r>
      <w:r w:rsidR="007269EF" w:rsidRPr="00087DF6">
        <w:rPr>
          <w:rFonts w:ascii="Verdana" w:eastAsia="Geomanist Light" w:hAnsi="Verdana" w:cs="Arial"/>
          <w:lang w:val="es-CO"/>
        </w:rPr>
        <w:t xml:space="preserve">se </w:t>
      </w:r>
      <w:r w:rsidR="00700F5C" w:rsidRPr="00087DF6">
        <w:rPr>
          <w:rFonts w:ascii="Verdana" w:eastAsia="Geomanist Light" w:hAnsi="Verdana" w:cs="Arial"/>
          <w:lang w:val="es-CO"/>
        </w:rPr>
        <w:t xml:space="preserve">ha producido un documento de manera manuscrita, </w:t>
      </w:r>
      <w:r w:rsidR="00643493" w:rsidRPr="00087DF6">
        <w:rPr>
          <w:rFonts w:ascii="Verdana" w:eastAsia="Geomanist Light" w:hAnsi="Verdana" w:cs="Arial"/>
          <w:lang w:val="es-CO"/>
        </w:rPr>
        <w:t xml:space="preserve">electrónica o digital, </w:t>
      </w:r>
      <w:r w:rsidR="00087DF6" w:rsidRPr="00087DF6">
        <w:rPr>
          <w:rFonts w:ascii="Verdana" w:eastAsia="Geomanist Light" w:hAnsi="Verdana" w:cs="Arial"/>
          <w:lang w:val="es-CO"/>
        </w:rPr>
        <w:t xml:space="preserve">una vez expedido el mismo, la Entidad Estatal está obligada a </w:t>
      </w:r>
      <w:r w:rsidR="00087DF6">
        <w:rPr>
          <w:rFonts w:ascii="Verdana" w:eastAsia="Geomanist Light" w:hAnsi="Verdana" w:cs="Arial"/>
          <w:lang w:val="es-CO"/>
        </w:rPr>
        <w:t>publicarlo tan pronto se expide el mismo.</w:t>
      </w:r>
    </w:p>
    <w:p w14:paraId="136C29D6" w14:textId="77777777" w:rsidR="00C576FE" w:rsidRPr="00623C09" w:rsidRDefault="00C576FE" w:rsidP="00623C09">
      <w:pPr>
        <w:pStyle w:val="ListParagraph"/>
        <w:rPr>
          <w:rFonts w:ascii="Verdana" w:eastAsia="Geomanist Light" w:hAnsi="Verdana" w:cs="Arial"/>
          <w:lang w:val="es-CO"/>
        </w:rPr>
      </w:pPr>
    </w:p>
    <w:p w14:paraId="0DAE11D1" w14:textId="730ACB4E" w:rsidR="000A46BC" w:rsidRDefault="00D226FB" w:rsidP="00853239">
      <w:pPr>
        <w:pStyle w:val="ListParagraph"/>
        <w:numPr>
          <w:ilvl w:val="0"/>
          <w:numId w:val="13"/>
        </w:numPr>
        <w:spacing w:after="120" w:line="276" w:lineRule="auto"/>
        <w:jc w:val="both"/>
        <w:rPr>
          <w:rFonts w:ascii="Verdana" w:hAnsi="Verdana" w:cs="Arial"/>
        </w:rPr>
      </w:pPr>
      <w:r w:rsidRPr="00853239">
        <w:rPr>
          <w:rFonts w:ascii="Verdana" w:eastAsia="Geomanist Light" w:hAnsi="Verdana" w:cs="Arial"/>
          <w:lang w:val="es-CO"/>
        </w:rPr>
        <w:t>Este deber se extiende a todas versiones definitivas de todos los Documentos del Proceso expedidos por</w:t>
      </w:r>
      <w:r w:rsidR="00CA3698" w:rsidRPr="00853239">
        <w:rPr>
          <w:rFonts w:ascii="Verdana" w:eastAsia="Geomanist Light" w:hAnsi="Verdana" w:cs="Arial"/>
          <w:lang w:val="es-CO"/>
        </w:rPr>
        <w:t xml:space="preserve"> la Entidad Estatal durante el Proceso de Contratación, por lo que </w:t>
      </w:r>
      <w:r w:rsidR="00862733" w:rsidRPr="00853239">
        <w:rPr>
          <w:rFonts w:ascii="Verdana" w:eastAsia="Geomanist Light" w:hAnsi="Verdana" w:cs="Arial"/>
          <w:lang w:val="es-CO"/>
        </w:rPr>
        <w:t xml:space="preserve">para cumplir con el mismo se deben publicar los documentos debidamente </w:t>
      </w:r>
      <w:r w:rsidR="00EE2617" w:rsidRPr="00853239">
        <w:rPr>
          <w:rFonts w:ascii="Verdana" w:eastAsia="Geomanist Light" w:hAnsi="Verdana" w:cs="Arial"/>
          <w:lang w:val="es-CO"/>
        </w:rPr>
        <w:t xml:space="preserve">expedidos con su correspondiente firma. Esto sin perjuicio de la publicaciones de borradores de </w:t>
      </w:r>
      <w:r w:rsidR="006E7D11" w:rsidRPr="00853239">
        <w:rPr>
          <w:rFonts w:ascii="Verdana" w:eastAsia="Geomanist Light" w:hAnsi="Verdana" w:cs="Arial"/>
          <w:lang w:val="es-CO"/>
        </w:rPr>
        <w:t xml:space="preserve">los pliegos de condiciones y anexos para la recepción de observaciones </w:t>
      </w:r>
      <w:r w:rsidR="0037404B" w:rsidRPr="00853239">
        <w:rPr>
          <w:rFonts w:ascii="Verdana" w:eastAsia="Geomanist Light" w:hAnsi="Verdana" w:cs="Arial"/>
          <w:lang w:val="es-CO"/>
        </w:rPr>
        <w:t>de conformidad con lo establecido en el 2.2.1.1.2.1.4 del Decreto 1082 de 2015</w:t>
      </w:r>
      <w:r w:rsidR="00084D3A">
        <w:rPr>
          <w:rStyle w:val="FootnoteReference"/>
          <w:rFonts w:ascii="Verdana" w:eastAsia="Geomanist Light" w:hAnsi="Verdana" w:cs="Arial"/>
          <w:lang w:val="es-CO"/>
        </w:rPr>
        <w:footnoteReference w:id="8"/>
      </w:r>
      <w:r w:rsidR="0037404B" w:rsidRPr="00853239">
        <w:rPr>
          <w:rFonts w:ascii="Verdana" w:eastAsia="Geomanist Light" w:hAnsi="Verdana" w:cs="Arial"/>
          <w:lang w:val="es-CO"/>
        </w:rPr>
        <w:t>.</w:t>
      </w:r>
      <w:r w:rsidRPr="00853239">
        <w:rPr>
          <w:rFonts w:ascii="Verdana" w:eastAsia="Geomanist Light" w:hAnsi="Verdana" w:cs="Arial"/>
          <w:lang w:val="es-CO"/>
        </w:rPr>
        <w:t xml:space="preserve"> </w:t>
      </w:r>
      <w:r w:rsidR="000A1CC8" w:rsidRPr="00853239">
        <w:rPr>
          <w:rFonts w:ascii="Verdana" w:eastAsia="Geomanist Light" w:hAnsi="Verdana" w:cs="Arial"/>
          <w:lang w:val="es-CO"/>
        </w:rPr>
        <w:t xml:space="preserve"> </w:t>
      </w:r>
      <w:r w:rsidR="000A46BC" w:rsidRPr="00853239">
        <w:rPr>
          <w:rFonts w:ascii="Verdana" w:hAnsi="Verdana" w:cs="Arial"/>
        </w:rPr>
        <w:t xml:space="preserve">En ese orden, fuera de los proyectos y borradores </w:t>
      </w:r>
      <w:r w:rsidR="00853239">
        <w:rPr>
          <w:rFonts w:ascii="Verdana" w:hAnsi="Verdana" w:cs="Arial"/>
        </w:rPr>
        <w:t>preliminares</w:t>
      </w:r>
      <w:r w:rsidR="0020151E">
        <w:rPr>
          <w:rFonts w:ascii="Verdana" w:hAnsi="Verdana" w:cs="Arial"/>
        </w:rPr>
        <w:t xml:space="preserve"> que se publican para recibir observaciones de la ciudadanía,</w:t>
      </w:r>
      <w:r w:rsidR="009934CE" w:rsidRPr="00853239">
        <w:rPr>
          <w:rFonts w:ascii="Verdana" w:hAnsi="Verdana" w:cs="Arial"/>
        </w:rPr>
        <w:t xml:space="preserve"> es importante que los documentos</w:t>
      </w:r>
      <w:r w:rsidR="0020151E">
        <w:rPr>
          <w:rFonts w:ascii="Verdana" w:hAnsi="Verdana" w:cs="Arial"/>
        </w:rPr>
        <w:t xml:space="preserve"> que s</w:t>
      </w:r>
      <w:r w:rsidR="009934CE" w:rsidRPr="00853239">
        <w:rPr>
          <w:rFonts w:ascii="Verdana" w:hAnsi="Verdana" w:cs="Arial"/>
        </w:rPr>
        <w:t>e</w:t>
      </w:r>
      <w:r w:rsidR="0020151E">
        <w:rPr>
          <w:rFonts w:ascii="Verdana" w:hAnsi="Verdana" w:cs="Arial"/>
        </w:rPr>
        <w:t xml:space="preserve"> publican en el SECOP se</w:t>
      </w:r>
      <w:r w:rsidR="009934CE" w:rsidRPr="00853239">
        <w:rPr>
          <w:rFonts w:ascii="Verdana" w:hAnsi="Verdana" w:cs="Arial"/>
        </w:rPr>
        <w:t xml:space="preserve"> encuentren </w:t>
      </w:r>
      <w:r w:rsidR="006737E8" w:rsidRPr="00853239">
        <w:rPr>
          <w:rFonts w:ascii="Verdana" w:hAnsi="Verdana" w:cs="Arial"/>
        </w:rPr>
        <w:t xml:space="preserve">debidamente </w:t>
      </w:r>
      <w:r w:rsidR="009B0E06" w:rsidRPr="00853239">
        <w:rPr>
          <w:rFonts w:ascii="Verdana" w:hAnsi="Verdana" w:cs="Arial"/>
        </w:rPr>
        <w:t>suscritos</w:t>
      </w:r>
      <w:r w:rsidR="009934CE" w:rsidRPr="00853239">
        <w:rPr>
          <w:rFonts w:ascii="Verdana" w:hAnsi="Verdana" w:cs="Arial"/>
        </w:rPr>
        <w:t xml:space="preserve"> ya sea de forma</w:t>
      </w:r>
      <w:r w:rsidR="000A225B" w:rsidRPr="00853239">
        <w:rPr>
          <w:rFonts w:ascii="Verdana" w:hAnsi="Verdana" w:cs="Arial"/>
        </w:rPr>
        <w:t xml:space="preserve"> </w:t>
      </w:r>
      <w:r w:rsidR="000A225B" w:rsidRPr="00623C09">
        <w:rPr>
          <w:rFonts w:ascii="Verdana" w:hAnsi="Verdana" w:cs="Arial"/>
          <w:i/>
          <w:iCs/>
        </w:rPr>
        <w:t>manuscrita</w:t>
      </w:r>
      <w:r w:rsidR="002E195E">
        <w:rPr>
          <w:rStyle w:val="FootnoteReference"/>
          <w:rFonts w:ascii="Verdana" w:hAnsi="Verdana" w:cs="Arial"/>
          <w:i/>
          <w:iCs/>
        </w:rPr>
        <w:footnoteReference w:id="9"/>
      </w:r>
      <w:r w:rsidR="000A225B" w:rsidRPr="00853239">
        <w:rPr>
          <w:rFonts w:ascii="Verdana" w:hAnsi="Verdana" w:cs="Arial"/>
        </w:rPr>
        <w:t xml:space="preserve">, </w:t>
      </w:r>
      <w:r w:rsidR="000A225B" w:rsidRPr="00623C09">
        <w:rPr>
          <w:rFonts w:ascii="Verdana" w:hAnsi="Verdana" w:cs="Arial"/>
          <w:i/>
          <w:iCs/>
        </w:rPr>
        <w:t>digital</w:t>
      </w:r>
      <w:r w:rsidR="002E195E">
        <w:rPr>
          <w:rStyle w:val="FootnoteReference"/>
          <w:rFonts w:ascii="Verdana" w:hAnsi="Verdana" w:cs="Arial"/>
          <w:i/>
          <w:iCs/>
        </w:rPr>
        <w:footnoteReference w:id="10"/>
      </w:r>
      <w:r w:rsidR="000A225B" w:rsidRPr="00853239">
        <w:rPr>
          <w:rFonts w:ascii="Verdana" w:hAnsi="Verdana" w:cs="Arial"/>
        </w:rPr>
        <w:t xml:space="preserve"> o </w:t>
      </w:r>
      <w:r w:rsidR="009B0E06" w:rsidRPr="00623C09">
        <w:rPr>
          <w:rFonts w:ascii="Verdana" w:hAnsi="Verdana" w:cs="Arial"/>
          <w:i/>
          <w:iCs/>
        </w:rPr>
        <w:t>electrónica</w:t>
      </w:r>
      <w:r w:rsidR="00350E5A">
        <w:rPr>
          <w:rStyle w:val="FootnoteReference"/>
          <w:rFonts w:ascii="Verdana" w:hAnsi="Verdana" w:cs="Arial"/>
          <w:i/>
          <w:iCs/>
        </w:rPr>
        <w:footnoteReference w:id="11"/>
      </w:r>
      <w:r w:rsidR="000A225B" w:rsidRPr="00853239">
        <w:rPr>
          <w:rFonts w:ascii="Verdana" w:hAnsi="Verdana" w:cs="Arial"/>
        </w:rPr>
        <w:t xml:space="preserve">, </w:t>
      </w:r>
      <w:r w:rsidR="006737E8" w:rsidRPr="00853239">
        <w:rPr>
          <w:rFonts w:ascii="Verdana" w:hAnsi="Verdana" w:cs="Arial"/>
        </w:rPr>
        <w:t xml:space="preserve">ya que esto es lo que permite dar certeza de su autoría y su contenido de cara </w:t>
      </w:r>
      <w:r w:rsidR="00687C95" w:rsidRPr="00853239">
        <w:rPr>
          <w:rFonts w:ascii="Verdana" w:hAnsi="Verdana" w:cs="Arial"/>
        </w:rPr>
        <w:t>al desarrollo del proceso y la satisfacción del deber de publicidad</w:t>
      </w:r>
      <w:r w:rsidR="0020151E">
        <w:rPr>
          <w:rFonts w:ascii="Verdana" w:hAnsi="Verdana" w:cs="Arial"/>
        </w:rPr>
        <w:t>.</w:t>
      </w:r>
      <w:r w:rsidR="000A46BC" w:rsidRPr="00853239">
        <w:rPr>
          <w:rFonts w:ascii="Verdana" w:hAnsi="Verdana" w:cs="Arial"/>
        </w:rPr>
        <w:t xml:space="preserve"> </w:t>
      </w:r>
    </w:p>
    <w:p w14:paraId="38856338" w14:textId="77777777" w:rsidR="00A157F9" w:rsidRDefault="00A157F9" w:rsidP="00623C09">
      <w:pPr>
        <w:pStyle w:val="ListParagraph"/>
        <w:spacing w:after="120" w:line="276" w:lineRule="auto"/>
        <w:jc w:val="both"/>
        <w:rPr>
          <w:rFonts w:ascii="Verdana" w:hAnsi="Verdana" w:cs="Arial"/>
        </w:rPr>
      </w:pPr>
    </w:p>
    <w:p w14:paraId="04960323" w14:textId="10BB4AAB" w:rsidR="00B009E6" w:rsidRPr="00623C09" w:rsidRDefault="005636A6" w:rsidP="00B009E6">
      <w:pPr>
        <w:pStyle w:val="ListParagraph"/>
        <w:numPr>
          <w:ilvl w:val="0"/>
          <w:numId w:val="10"/>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23C09">
        <w:rPr>
          <w:rFonts w:ascii="Verdana" w:eastAsia="Geomanist Light" w:hAnsi="Verdana" w:cs="Arial"/>
        </w:rPr>
        <w:t xml:space="preserve"> </w:t>
      </w:r>
      <w:r w:rsidR="007E466B" w:rsidRPr="00623C09">
        <w:rPr>
          <w:rFonts w:ascii="Verdana" w:eastAsia="Geomanist Light" w:hAnsi="Verdana" w:cs="Arial"/>
        </w:rPr>
        <w:t xml:space="preserve"> </w:t>
      </w:r>
      <w:r w:rsidR="00B009E6" w:rsidRPr="00623C09">
        <w:rPr>
          <w:rFonts w:ascii="Verdana" w:eastAsia="Century Gothic" w:hAnsi="Verdana" w:cs="Century Gothic"/>
          <w:b/>
          <w:bCs/>
        </w:rPr>
        <w:t>Referencias normativas, jurisprudenciales y otras fuentes:</w:t>
      </w:r>
    </w:p>
    <w:p w14:paraId="0A031A6D" w14:textId="77777777" w:rsidR="00B009E6" w:rsidRPr="00623C09" w:rsidRDefault="00B009E6" w:rsidP="00B009E6">
      <w:pPr>
        <w:widowControl w:val="0"/>
        <w:autoSpaceDE w:val="0"/>
        <w:autoSpaceDN w:val="0"/>
        <w:spacing w:after="0" w:line="276" w:lineRule="auto"/>
        <w:jc w:val="both"/>
        <w:rPr>
          <w:rFonts w:ascii="Verdana" w:hAnsi="Verdana" w:cs="Arial"/>
        </w:rPr>
      </w:pPr>
    </w:p>
    <w:tbl>
      <w:tblPr>
        <w:tblStyle w:val="TableGrid"/>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B009E6" w:rsidRPr="00700F5C" w14:paraId="4E3459BE" w14:textId="77777777" w:rsidTr="008A114B">
        <w:trPr>
          <w:trHeight w:val="870"/>
          <w:jc w:val="center"/>
        </w:trPr>
        <w:tc>
          <w:tcPr>
            <w:tcW w:w="8647" w:type="dxa"/>
          </w:tcPr>
          <w:p w14:paraId="125FB2DB" w14:textId="7079BA76" w:rsidR="000A1CC8" w:rsidRDefault="000A1CC8" w:rsidP="00B61CBC">
            <w:pPr>
              <w:pStyle w:val="ListParagraph"/>
              <w:widowControl w:val="0"/>
              <w:numPr>
                <w:ilvl w:val="0"/>
                <w:numId w:val="12"/>
              </w:numPr>
              <w:autoSpaceDE w:val="0"/>
              <w:autoSpaceDN w:val="0"/>
              <w:spacing w:after="120" w:line="276" w:lineRule="auto"/>
              <w:contextualSpacing w:val="0"/>
              <w:jc w:val="both"/>
              <w:rPr>
                <w:rFonts w:ascii="Verdana" w:hAnsi="Verdana" w:cs="Arial"/>
              </w:rPr>
            </w:pPr>
            <w:r w:rsidRPr="007E2DF6">
              <w:rPr>
                <w:rFonts w:ascii="Verdana" w:hAnsi="Verdana" w:cs="Arial"/>
              </w:rPr>
              <w:t>Ley 60 de 1993</w:t>
            </w:r>
            <w:r>
              <w:rPr>
                <w:rFonts w:ascii="Verdana" w:hAnsi="Verdana" w:cs="Arial"/>
              </w:rPr>
              <w:t>.</w:t>
            </w:r>
          </w:p>
          <w:p w14:paraId="5DE1E921" w14:textId="7C2C4687" w:rsidR="000A1CC8" w:rsidRDefault="00385CB6" w:rsidP="00B61CBC">
            <w:pPr>
              <w:pStyle w:val="ListParagraph"/>
              <w:widowControl w:val="0"/>
              <w:numPr>
                <w:ilvl w:val="0"/>
                <w:numId w:val="12"/>
              </w:numPr>
              <w:autoSpaceDE w:val="0"/>
              <w:autoSpaceDN w:val="0"/>
              <w:spacing w:after="120" w:line="276" w:lineRule="auto"/>
              <w:contextualSpacing w:val="0"/>
              <w:jc w:val="both"/>
              <w:rPr>
                <w:rFonts w:ascii="Verdana" w:hAnsi="Verdana" w:cs="Arial"/>
              </w:rPr>
            </w:pPr>
            <w:r w:rsidRPr="00623C09">
              <w:rPr>
                <w:rFonts w:ascii="Verdana" w:hAnsi="Verdana" w:cs="Arial"/>
              </w:rPr>
              <w:t>Ley 80 de 1993, artículo 60</w:t>
            </w:r>
            <w:r w:rsidR="000A1CC8">
              <w:rPr>
                <w:rFonts w:ascii="Verdana" w:hAnsi="Verdana" w:cs="Arial"/>
              </w:rPr>
              <w:t>.</w:t>
            </w:r>
            <w:r w:rsidRPr="00623C09">
              <w:rPr>
                <w:rFonts w:ascii="Verdana" w:hAnsi="Verdana" w:cs="Arial"/>
              </w:rPr>
              <w:t xml:space="preserve"> </w:t>
            </w:r>
          </w:p>
          <w:p w14:paraId="0EE7BC69" w14:textId="77777777" w:rsidR="000A1CC8" w:rsidRDefault="000A1CC8" w:rsidP="000A1CC8">
            <w:pPr>
              <w:pStyle w:val="ListParagraph"/>
              <w:widowControl w:val="0"/>
              <w:numPr>
                <w:ilvl w:val="0"/>
                <w:numId w:val="12"/>
              </w:numPr>
              <w:autoSpaceDE w:val="0"/>
              <w:autoSpaceDN w:val="0"/>
              <w:spacing w:after="120" w:line="276" w:lineRule="auto"/>
              <w:contextualSpacing w:val="0"/>
              <w:jc w:val="both"/>
              <w:rPr>
                <w:rFonts w:ascii="Verdana" w:hAnsi="Verdana" w:cs="Arial"/>
              </w:rPr>
            </w:pPr>
            <w:r w:rsidRPr="007E2DF6">
              <w:rPr>
                <w:rFonts w:ascii="Verdana" w:hAnsi="Verdana" w:cs="Arial"/>
              </w:rPr>
              <w:t xml:space="preserve">Ley 715 de 2001, articulo 13; </w:t>
            </w:r>
          </w:p>
          <w:p w14:paraId="39F4E18B" w14:textId="53207E58" w:rsidR="000A1CC8" w:rsidRDefault="000A1CC8" w:rsidP="00B61CBC">
            <w:pPr>
              <w:pStyle w:val="ListParagraph"/>
              <w:widowControl w:val="0"/>
              <w:numPr>
                <w:ilvl w:val="0"/>
                <w:numId w:val="12"/>
              </w:numPr>
              <w:autoSpaceDE w:val="0"/>
              <w:autoSpaceDN w:val="0"/>
              <w:spacing w:after="120" w:line="276" w:lineRule="auto"/>
              <w:contextualSpacing w:val="0"/>
              <w:jc w:val="both"/>
              <w:rPr>
                <w:rFonts w:ascii="Verdana" w:hAnsi="Verdana" w:cs="Arial"/>
              </w:rPr>
            </w:pPr>
            <w:r w:rsidRPr="007E2DF6">
              <w:rPr>
                <w:rFonts w:ascii="Verdana" w:hAnsi="Verdana" w:cs="Arial"/>
              </w:rPr>
              <w:lastRenderedPageBreak/>
              <w:t>Ley 1150 de 2007, artículo</w:t>
            </w:r>
            <w:r>
              <w:rPr>
                <w:rFonts w:ascii="Verdana" w:hAnsi="Verdana" w:cs="Arial"/>
              </w:rPr>
              <w:t>s</w:t>
            </w:r>
            <w:r w:rsidRPr="007E2DF6">
              <w:rPr>
                <w:rFonts w:ascii="Verdana" w:hAnsi="Verdana" w:cs="Arial"/>
              </w:rPr>
              <w:t xml:space="preserve"> 11</w:t>
            </w:r>
            <w:r>
              <w:rPr>
                <w:rFonts w:ascii="Verdana" w:hAnsi="Verdana" w:cs="Arial"/>
              </w:rPr>
              <w:t xml:space="preserve"> y 13.</w:t>
            </w:r>
          </w:p>
          <w:p w14:paraId="00CFF78E" w14:textId="1712066B" w:rsidR="0096403D" w:rsidRDefault="0096403D" w:rsidP="00B61CBC">
            <w:pPr>
              <w:pStyle w:val="ListParagraph"/>
              <w:widowControl w:val="0"/>
              <w:numPr>
                <w:ilvl w:val="0"/>
                <w:numId w:val="12"/>
              </w:numPr>
              <w:autoSpaceDE w:val="0"/>
              <w:autoSpaceDN w:val="0"/>
              <w:spacing w:after="120" w:line="276" w:lineRule="auto"/>
              <w:contextualSpacing w:val="0"/>
              <w:jc w:val="both"/>
              <w:rPr>
                <w:rFonts w:ascii="Verdana" w:hAnsi="Verdana" w:cs="Arial"/>
              </w:rPr>
            </w:pPr>
            <w:r>
              <w:rPr>
                <w:rFonts w:ascii="Verdana" w:hAnsi="Verdana" w:cs="Arial"/>
              </w:rPr>
              <w:t>Ley 1712 de 2014, artículos 9 y 11.</w:t>
            </w:r>
          </w:p>
          <w:p w14:paraId="0B3C698F" w14:textId="499AA307" w:rsidR="000A1CC8" w:rsidRDefault="00385CB6" w:rsidP="00B61CBC">
            <w:pPr>
              <w:pStyle w:val="ListParagraph"/>
              <w:widowControl w:val="0"/>
              <w:numPr>
                <w:ilvl w:val="0"/>
                <w:numId w:val="12"/>
              </w:numPr>
              <w:autoSpaceDE w:val="0"/>
              <w:autoSpaceDN w:val="0"/>
              <w:spacing w:after="120" w:line="276" w:lineRule="auto"/>
              <w:contextualSpacing w:val="0"/>
              <w:jc w:val="both"/>
              <w:rPr>
                <w:rFonts w:ascii="Verdana" w:hAnsi="Verdana" w:cs="Arial"/>
              </w:rPr>
            </w:pPr>
            <w:r w:rsidRPr="00623C09">
              <w:rPr>
                <w:rFonts w:ascii="Verdana" w:hAnsi="Verdana" w:cs="Arial"/>
              </w:rPr>
              <w:t>Decreto</w:t>
            </w:r>
            <w:r w:rsidR="000A1CC8">
              <w:rPr>
                <w:rFonts w:ascii="Verdana" w:hAnsi="Verdana" w:cs="Arial"/>
              </w:rPr>
              <w:t>-ley</w:t>
            </w:r>
            <w:r w:rsidRPr="00623C09">
              <w:rPr>
                <w:rFonts w:ascii="Verdana" w:hAnsi="Verdana" w:cs="Arial"/>
              </w:rPr>
              <w:t xml:space="preserve"> 019 de 2012, artículo 217</w:t>
            </w:r>
            <w:r w:rsidR="000A1CC8">
              <w:rPr>
                <w:rFonts w:ascii="Verdana" w:hAnsi="Verdana" w:cs="Arial"/>
              </w:rPr>
              <w:t>.</w:t>
            </w:r>
            <w:r w:rsidRPr="00623C09">
              <w:rPr>
                <w:rFonts w:ascii="Verdana" w:hAnsi="Verdana" w:cs="Arial"/>
              </w:rPr>
              <w:t xml:space="preserve"> </w:t>
            </w:r>
          </w:p>
          <w:p w14:paraId="5FCA9EF5" w14:textId="2BD5BED9" w:rsidR="000A1CC8" w:rsidRPr="007E2DF6" w:rsidRDefault="000A1CC8" w:rsidP="000A1CC8">
            <w:pPr>
              <w:pStyle w:val="ListParagraph"/>
              <w:widowControl w:val="0"/>
              <w:numPr>
                <w:ilvl w:val="0"/>
                <w:numId w:val="12"/>
              </w:numPr>
              <w:autoSpaceDE w:val="0"/>
              <w:autoSpaceDN w:val="0"/>
              <w:spacing w:after="120" w:line="276" w:lineRule="auto"/>
              <w:contextualSpacing w:val="0"/>
              <w:jc w:val="both"/>
              <w:rPr>
                <w:rFonts w:ascii="Verdana" w:hAnsi="Verdana" w:cs="Arial"/>
              </w:rPr>
            </w:pPr>
            <w:r w:rsidRPr="007E2DF6">
              <w:rPr>
                <w:rFonts w:ascii="Verdana" w:eastAsia="Calibri" w:hAnsi="Verdana" w:cs="Arial"/>
                <w:color w:val="000000"/>
                <w:lang w:val="es-ES_tradnl"/>
              </w:rPr>
              <w:t>Ley 2195 de 2022, artículo 53</w:t>
            </w:r>
            <w:r w:rsidR="0096403D">
              <w:rPr>
                <w:rFonts w:ascii="Verdana" w:eastAsia="Calibri" w:hAnsi="Verdana" w:cs="Arial"/>
                <w:color w:val="000000"/>
                <w:lang w:val="es-ES_tradnl"/>
              </w:rPr>
              <w:t>.</w:t>
            </w:r>
            <w:r w:rsidRPr="007E2DF6">
              <w:rPr>
                <w:rFonts w:ascii="Verdana" w:eastAsia="Calibri" w:hAnsi="Verdana" w:cs="Arial"/>
                <w:color w:val="000000"/>
                <w:lang w:val="es-ES_tradnl"/>
              </w:rPr>
              <w:t xml:space="preserve"> </w:t>
            </w:r>
          </w:p>
          <w:p w14:paraId="3417FA3C" w14:textId="3B251D62" w:rsidR="000A1CC8" w:rsidRPr="00623C09" w:rsidRDefault="000A1CC8" w:rsidP="000A1CC8">
            <w:pPr>
              <w:pStyle w:val="ListParagraph"/>
              <w:widowControl w:val="0"/>
              <w:numPr>
                <w:ilvl w:val="0"/>
                <w:numId w:val="12"/>
              </w:numPr>
              <w:autoSpaceDE w:val="0"/>
              <w:autoSpaceDN w:val="0"/>
              <w:spacing w:after="120" w:line="276" w:lineRule="auto"/>
              <w:contextualSpacing w:val="0"/>
              <w:jc w:val="both"/>
              <w:rPr>
                <w:rFonts w:ascii="Verdana" w:hAnsi="Verdana" w:cs="Arial"/>
              </w:rPr>
            </w:pPr>
            <w:r w:rsidRPr="007E2DF6">
              <w:rPr>
                <w:rFonts w:ascii="Verdana" w:eastAsia="Times New Roman" w:hAnsi="Verdana" w:cs="Arial"/>
                <w:szCs w:val="24"/>
                <w:lang w:eastAsia="es-MX"/>
              </w:rPr>
              <w:t>Decreto 1075 de 2015, artículo 2.3.1.6.3.17</w:t>
            </w:r>
            <w:r w:rsidR="0096403D">
              <w:rPr>
                <w:rFonts w:ascii="Verdana" w:eastAsia="Times New Roman" w:hAnsi="Verdana" w:cs="Arial"/>
                <w:szCs w:val="24"/>
                <w:lang w:eastAsia="es-MX"/>
              </w:rPr>
              <w:t>.</w:t>
            </w:r>
            <w:r w:rsidRPr="007E2DF6">
              <w:rPr>
                <w:rFonts w:ascii="Verdana" w:eastAsia="Times New Roman" w:hAnsi="Verdana" w:cs="Arial"/>
                <w:szCs w:val="24"/>
                <w:lang w:eastAsia="es-MX"/>
              </w:rPr>
              <w:t xml:space="preserve"> </w:t>
            </w:r>
          </w:p>
          <w:p w14:paraId="46A4394A" w14:textId="40940D6B" w:rsidR="0096403D" w:rsidRPr="007E2DF6" w:rsidRDefault="0096403D" w:rsidP="000A1CC8">
            <w:pPr>
              <w:pStyle w:val="ListParagraph"/>
              <w:widowControl w:val="0"/>
              <w:numPr>
                <w:ilvl w:val="0"/>
                <w:numId w:val="12"/>
              </w:numPr>
              <w:autoSpaceDE w:val="0"/>
              <w:autoSpaceDN w:val="0"/>
              <w:spacing w:after="120" w:line="276" w:lineRule="auto"/>
              <w:contextualSpacing w:val="0"/>
              <w:jc w:val="both"/>
              <w:rPr>
                <w:rFonts w:ascii="Verdana" w:hAnsi="Verdana" w:cs="Arial"/>
              </w:rPr>
            </w:pPr>
            <w:r>
              <w:rPr>
                <w:rFonts w:ascii="Verdana" w:eastAsia="Times New Roman" w:hAnsi="Verdana" w:cs="Arial"/>
                <w:szCs w:val="24"/>
                <w:lang w:eastAsia="es-MX"/>
              </w:rPr>
              <w:t xml:space="preserve">Decreto 1081 de 2014, artículo </w:t>
            </w:r>
            <w:r w:rsidRPr="0096403D">
              <w:rPr>
                <w:rFonts w:ascii="Verdana" w:eastAsia="Times New Roman" w:hAnsi="Verdana" w:cs="Arial"/>
                <w:szCs w:val="24"/>
                <w:lang w:eastAsia="es-MX"/>
              </w:rPr>
              <w:t>2.1.1.2.1.7</w:t>
            </w:r>
            <w:r>
              <w:rPr>
                <w:rFonts w:ascii="Verdana" w:eastAsia="Times New Roman" w:hAnsi="Verdana" w:cs="Arial"/>
                <w:szCs w:val="24"/>
                <w:lang w:eastAsia="es-MX"/>
              </w:rPr>
              <w:t>.</w:t>
            </w:r>
          </w:p>
          <w:p w14:paraId="281817B5" w14:textId="0F639D6B" w:rsidR="000A1CC8" w:rsidRDefault="00055C87" w:rsidP="00B61CBC">
            <w:pPr>
              <w:pStyle w:val="ListParagraph"/>
              <w:widowControl w:val="0"/>
              <w:numPr>
                <w:ilvl w:val="0"/>
                <w:numId w:val="12"/>
              </w:numPr>
              <w:autoSpaceDE w:val="0"/>
              <w:autoSpaceDN w:val="0"/>
              <w:spacing w:after="120" w:line="276" w:lineRule="auto"/>
              <w:contextualSpacing w:val="0"/>
              <w:jc w:val="both"/>
              <w:rPr>
                <w:rFonts w:ascii="Verdana" w:hAnsi="Verdana" w:cs="Arial"/>
              </w:rPr>
            </w:pPr>
            <w:r w:rsidRPr="00623C09">
              <w:rPr>
                <w:rFonts w:ascii="Verdana" w:hAnsi="Verdana" w:cs="Arial"/>
              </w:rPr>
              <w:t>Decreto 1082 de 2015, artículo 2.2.1.1.2.4.3</w:t>
            </w:r>
            <w:r w:rsidR="0096403D">
              <w:rPr>
                <w:rFonts w:ascii="Verdana" w:hAnsi="Verdana" w:cs="Arial"/>
              </w:rPr>
              <w:t>.</w:t>
            </w:r>
          </w:p>
          <w:p w14:paraId="12DE05F4" w14:textId="767D6705" w:rsidR="0096403D" w:rsidRDefault="0096403D" w:rsidP="00B61CBC">
            <w:pPr>
              <w:pStyle w:val="ListParagraph"/>
              <w:widowControl w:val="0"/>
              <w:numPr>
                <w:ilvl w:val="0"/>
                <w:numId w:val="12"/>
              </w:numPr>
              <w:autoSpaceDE w:val="0"/>
              <w:autoSpaceDN w:val="0"/>
              <w:spacing w:after="120" w:line="276" w:lineRule="auto"/>
              <w:contextualSpacing w:val="0"/>
              <w:jc w:val="both"/>
              <w:rPr>
                <w:rFonts w:ascii="Verdana" w:hAnsi="Verdana" w:cs="Arial"/>
              </w:rPr>
            </w:pPr>
            <w:r w:rsidRPr="0096403D">
              <w:rPr>
                <w:rFonts w:ascii="Verdana" w:hAnsi="Verdana" w:cs="Arial"/>
              </w:rPr>
              <w:t>CONSEJO DE ESTADO, Sala de Consulta y Servicio Civil. Radicado No. 1453. Concepto de 6 de agosto de 2003. M</w:t>
            </w:r>
            <w:r w:rsidR="00B81698">
              <w:rPr>
                <w:rFonts w:ascii="Verdana" w:hAnsi="Verdana" w:cs="Arial"/>
              </w:rPr>
              <w:t>.</w:t>
            </w:r>
            <w:r w:rsidRPr="0096403D">
              <w:rPr>
                <w:rFonts w:ascii="Verdana" w:hAnsi="Verdana" w:cs="Arial"/>
              </w:rPr>
              <w:t>P. Augusto Trejos.</w:t>
            </w:r>
          </w:p>
          <w:p w14:paraId="50037443" w14:textId="6DE01714" w:rsidR="00C148F9" w:rsidRDefault="00C148F9" w:rsidP="00B61CBC">
            <w:pPr>
              <w:pStyle w:val="ListParagraph"/>
              <w:widowControl w:val="0"/>
              <w:numPr>
                <w:ilvl w:val="0"/>
                <w:numId w:val="12"/>
              </w:numPr>
              <w:autoSpaceDE w:val="0"/>
              <w:autoSpaceDN w:val="0"/>
              <w:spacing w:after="120" w:line="276" w:lineRule="auto"/>
              <w:contextualSpacing w:val="0"/>
              <w:jc w:val="both"/>
              <w:rPr>
                <w:rFonts w:ascii="Verdana" w:hAnsi="Verdana" w:cs="Arial"/>
              </w:rPr>
            </w:pPr>
            <w:r w:rsidRPr="00C148F9">
              <w:rPr>
                <w:rFonts w:ascii="Verdana" w:hAnsi="Verdana" w:cs="Arial"/>
              </w:rPr>
              <w:t xml:space="preserve">Consejo de Estado. Sección Tercera Subsección A. Sentencia del 12 de octubre de 2017. M.P. Marta Nubia Velásquez Rico. </w:t>
            </w:r>
            <w:proofErr w:type="spellStart"/>
            <w:r w:rsidRPr="00C148F9">
              <w:rPr>
                <w:rFonts w:ascii="Verdana" w:hAnsi="Verdana" w:cs="Arial"/>
              </w:rPr>
              <w:t>Exp</w:t>
            </w:r>
            <w:proofErr w:type="spellEnd"/>
            <w:r w:rsidRPr="00C148F9">
              <w:rPr>
                <w:rFonts w:ascii="Verdana" w:hAnsi="Verdana" w:cs="Arial"/>
              </w:rPr>
              <w:t>. No. 51.634.</w:t>
            </w:r>
          </w:p>
          <w:p w14:paraId="7D9B69BC" w14:textId="11B7A7DA" w:rsidR="00B009E6" w:rsidRPr="00623C09" w:rsidRDefault="00B009E6" w:rsidP="00B61CBC">
            <w:pPr>
              <w:pStyle w:val="ListParagraph"/>
              <w:widowControl w:val="0"/>
              <w:numPr>
                <w:ilvl w:val="0"/>
                <w:numId w:val="12"/>
              </w:numPr>
              <w:autoSpaceDE w:val="0"/>
              <w:autoSpaceDN w:val="0"/>
              <w:spacing w:after="120" w:line="276" w:lineRule="auto"/>
              <w:contextualSpacing w:val="0"/>
              <w:jc w:val="both"/>
              <w:rPr>
                <w:rFonts w:ascii="Verdana" w:hAnsi="Verdana" w:cs="Arial"/>
              </w:rPr>
            </w:pPr>
            <w:r w:rsidRPr="00623C09">
              <w:rPr>
                <w:rFonts w:ascii="Verdana" w:hAnsi="Verdana" w:cs="Arial"/>
              </w:rPr>
              <w:t>Guías y manuales expedidos por la ANCP-CCE. Disponible en:</w:t>
            </w:r>
            <w:r w:rsidRPr="00623C09">
              <w:rPr>
                <w:rFonts w:ascii="Verdana" w:hAnsi="Verdana"/>
              </w:rPr>
              <w:t xml:space="preserve"> </w:t>
            </w:r>
            <w:hyperlink r:id="rId13" w:history="1">
              <w:r w:rsidRPr="00623C09">
                <w:rPr>
                  <w:rStyle w:val="Hyperlink"/>
                  <w:rFonts w:ascii="Verdana" w:hAnsi="Verdana" w:cs="Arial"/>
                </w:rPr>
                <w:t>https://www.colombiacompra.gov.co/manuales-guias-y-pliegos-tipo/manuales-y-guias</w:t>
              </w:r>
            </w:hyperlink>
            <w:r w:rsidRPr="00623C09">
              <w:rPr>
                <w:rFonts w:ascii="Verdana" w:hAnsi="Verdana" w:cs="Arial"/>
              </w:rPr>
              <w:t xml:space="preserve"> </w:t>
            </w:r>
          </w:p>
        </w:tc>
      </w:tr>
    </w:tbl>
    <w:p w14:paraId="7F0B8FC8" w14:textId="77777777" w:rsidR="00044B19" w:rsidRPr="00623C09" w:rsidRDefault="00044B19" w:rsidP="00044B19">
      <w:pPr>
        <w:widowControl w:val="0"/>
        <w:autoSpaceDE w:val="0"/>
        <w:autoSpaceDN w:val="0"/>
        <w:spacing w:after="0" w:line="276" w:lineRule="auto"/>
        <w:jc w:val="both"/>
        <w:rPr>
          <w:rFonts w:ascii="Verdana" w:hAnsi="Verdana" w:cs="Arial"/>
        </w:rPr>
      </w:pPr>
    </w:p>
    <w:p w14:paraId="7997E1F7" w14:textId="77777777" w:rsidR="00044B19" w:rsidRPr="00623C09" w:rsidRDefault="00044B19" w:rsidP="00044B19">
      <w:pPr>
        <w:pStyle w:val="ListParagraph"/>
        <w:numPr>
          <w:ilvl w:val="0"/>
          <w:numId w:val="10"/>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23C09">
        <w:rPr>
          <w:rFonts w:ascii="Verdana" w:eastAsia="Century Gothic" w:hAnsi="Verdana" w:cs="Century Gothic"/>
          <w:b/>
          <w:bCs/>
        </w:rPr>
        <w:t>Doctrina de la Agencia Nacional de Contratación Pública:</w:t>
      </w:r>
    </w:p>
    <w:p w14:paraId="52C4B9BD" w14:textId="77777777" w:rsidR="00044B19" w:rsidRPr="00623C09" w:rsidRDefault="00044B19" w:rsidP="00044B19">
      <w:pPr>
        <w:widowControl w:val="0"/>
        <w:autoSpaceDE w:val="0"/>
        <w:autoSpaceDN w:val="0"/>
        <w:spacing w:after="0" w:line="276" w:lineRule="auto"/>
        <w:jc w:val="both"/>
        <w:rPr>
          <w:rFonts w:ascii="Verdana" w:hAnsi="Verdana" w:cs="Arial"/>
        </w:rPr>
      </w:pPr>
    </w:p>
    <w:p w14:paraId="60166EFC" w14:textId="6AE0C4D6" w:rsidR="00044B19" w:rsidRPr="00623C09" w:rsidRDefault="00044B19" w:rsidP="00044B19">
      <w:pPr>
        <w:widowControl w:val="0"/>
        <w:autoSpaceDE w:val="0"/>
        <w:autoSpaceDN w:val="0"/>
        <w:spacing w:after="0" w:line="276" w:lineRule="auto"/>
        <w:jc w:val="both"/>
        <w:rPr>
          <w:rStyle w:val="normaltextrun"/>
          <w:rFonts w:ascii="Verdana" w:hAnsi="Verdana" w:cs="Arial"/>
          <w:shd w:val="clear" w:color="auto" w:fill="FFFFFF"/>
        </w:rPr>
      </w:pPr>
      <w:r w:rsidRPr="00623C09">
        <w:rPr>
          <w:rStyle w:val="normaltextrun"/>
          <w:rFonts w:ascii="Verdana" w:hAnsi="Verdana" w:cs="Arial"/>
          <w:shd w:val="clear" w:color="auto" w:fill="FFFFFF"/>
        </w:rPr>
        <w:t xml:space="preserve">Sobre </w:t>
      </w:r>
      <w:r w:rsidR="00893A41" w:rsidRPr="00623C09">
        <w:rPr>
          <w:rStyle w:val="normaltextrun"/>
          <w:rFonts w:ascii="Verdana" w:hAnsi="Verdana" w:cs="Arial"/>
          <w:shd w:val="clear" w:color="auto" w:fill="FFFFFF"/>
        </w:rPr>
        <w:t xml:space="preserve">la liquidación de los contratos estatales </w:t>
      </w:r>
      <w:r w:rsidR="00FA3B68" w:rsidRPr="00623C09">
        <w:rPr>
          <w:rStyle w:val="normaltextrun"/>
          <w:rFonts w:ascii="Verdana" w:hAnsi="Verdana" w:cs="Arial"/>
          <w:shd w:val="clear" w:color="auto" w:fill="FFFFFF"/>
        </w:rPr>
        <w:t xml:space="preserve">esta Subdirección se </w:t>
      </w:r>
      <w:r w:rsidR="00FD0459" w:rsidRPr="00623C09">
        <w:rPr>
          <w:rStyle w:val="normaltextrun"/>
          <w:rFonts w:ascii="Verdana" w:hAnsi="Verdana" w:cs="Arial"/>
          <w:shd w:val="clear" w:color="auto" w:fill="FFFFFF"/>
        </w:rPr>
        <w:t>pronunció</w:t>
      </w:r>
      <w:r w:rsidR="00FA3B68" w:rsidRPr="00623C09">
        <w:rPr>
          <w:rStyle w:val="normaltextrun"/>
          <w:rFonts w:ascii="Verdana" w:hAnsi="Verdana" w:cs="Arial"/>
          <w:shd w:val="clear" w:color="auto" w:fill="FFFFFF"/>
        </w:rPr>
        <w:t xml:space="preserve"> en los conceptos </w:t>
      </w:r>
      <w:r w:rsidR="00FD0459" w:rsidRPr="00623C09">
        <w:rPr>
          <w:rStyle w:val="normaltextrun"/>
          <w:rFonts w:ascii="Verdana" w:hAnsi="Verdana" w:cs="Arial"/>
          <w:shd w:val="clear" w:color="auto" w:fill="FFFFFF"/>
        </w:rPr>
        <w:t>No. 4201912000004908 del 27 de septiembre de 2019</w:t>
      </w:r>
      <w:r w:rsidR="007A6D8E" w:rsidRPr="00623C09">
        <w:rPr>
          <w:rStyle w:val="normaltextrun"/>
          <w:rFonts w:ascii="Verdana" w:hAnsi="Verdana" w:cs="Arial"/>
          <w:shd w:val="clear" w:color="auto" w:fill="FFFFFF"/>
        </w:rPr>
        <w:t xml:space="preserve">, </w:t>
      </w:r>
      <w:r w:rsidR="00FD0459" w:rsidRPr="00623C09">
        <w:rPr>
          <w:rStyle w:val="normaltextrun"/>
          <w:rFonts w:ascii="Verdana" w:hAnsi="Verdana" w:cs="Arial"/>
          <w:shd w:val="clear" w:color="auto" w:fill="FFFFFF"/>
        </w:rPr>
        <w:t>CU-028 de 25 de febrero de 2020, C-221 de 21 de abril de 2020, C-078 del 17 de marzo de 2021 y C-220 del 18 de mayo de 2021, C-739 del 29 de noviembre del 2022</w:t>
      </w:r>
      <w:r w:rsidR="00226893" w:rsidRPr="00623C09">
        <w:rPr>
          <w:rStyle w:val="normaltextrun"/>
          <w:rFonts w:ascii="Verdana" w:hAnsi="Verdana" w:cs="Arial"/>
          <w:shd w:val="clear" w:color="auto" w:fill="FFFFFF"/>
        </w:rPr>
        <w:t xml:space="preserve">, </w:t>
      </w:r>
      <w:r w:rsidR="00113F6A" w:rsidRPr="00623C09">
        <w:rPr>
          <w:rStyle w:val="normaltextrun"/>
          <w:rFonts w:ascii="Verdana" w:hAnsi="Verdana" w:cs="Arial"/>
          <w:shd w:val="clear" w:color="auto" w:fill="FFFFFF"/>
        </w:rPr>
        <w:t>C-015 del 24 de febrero del 202</w:t>
      </w:r>
      <w:r w:rsidR="006F39B1" w:rsidRPr="00623C09">
        <w:rPr>
          <w:rStyle w:val="normaltextrun"/>
          <w:rFonts w:ascii="Verdana" w:hAnsi="Verdana" w:cs="Arial"/>
          <w:shd w:val="clear" w:color="auto" w:fill="FFFFFF"/>
        </w:rPr>
        <w:t>3</w:t>
      </w:r>
      <w:r w:rsidR="00113F6A" w:rsidRPr="00623C09">
        <w:rPr>
          <w:rStyle w:val="normaltextrun"/>
          <w:rFonts w:ascii="Verdana" w:hAnsi="Verdana" w:cs="Arial"/>
          <w:shd w:val="clear" w:color="auto" w:fill="FFFFFF"/>
        </w:rPr>
        <w:t>, C-</w:t>
      </w:r>
      <w:r w:rsidR="006F39B1" w:rsidRPr="00623C09">
        <w:rPr>
          <w:rStyle w:val="normaltextrun"/>
          <w:rFonts w:ascii="Verdana" w:hAnsi="Verdana" w:cs="Arial"/>
          <w:shd w:val="clear" w:color="auto" w:fill="FFFFFF"/>
        </w:rPr>
        <w:t xml:space="preserve">158 del 06 de junio del 2023, C-176 del </w:t>
      </w:r>
      <w:r w:rsidR="00A94E60" w:rsidRPr="00623C09">
        <w:rPr>
          <w:rStyle w:val="normaltextrun"/>
          <w:rFonts w:ascii="Verdana" w:hAnsi="Verdana" w:cs="Arial"/>
          <w:shd w:val="clear" w:color="auto" w:fill="FFFFFF"/>
        </w:rPr>
        <w:t>03 de mayo del 2023</w:t>
      </w:r>
      <w:r w:rsidR="00610FA4" w:rsidRPr="00623C09">
        <w:rPr>
          <w:rStyle w:val="normaltextrun"/>
          <w:rFonts w:ascii="Verdana" w:hAnsi="Verdana" w:cs="Arial"/>
          <w:shd w:val="clear" w:color="auto" w:fill="FFFFFF"/>
        </w:rPr>
        <w:t xml:space="preserve"> y </w:t>
      </w:r>
      <w:r w:rsidR="00A94E60" w:rsidRPr="00623C09">
        <w:rPr>
          <w:rStyle w:val="normaltextrun"/>
          <w:rFonts w:ascii="Verdana" w:hAnsi="Verdana" w:cs="Arial"/>
          <w:shd w:val="clear" w:color="auto" w:fill="FFFFFF"/>
        </w:rPr>
        <w:t>C-427 del 27 de noviembre del 2023</w:t>
      </w:r>
      <w:r w:rsidR="00610FA4" w:rsidRPr="00623C09">
        <w:rPr>
          <w:rStyle w:val="normaltextrun"/>
          <w:rFonts w:ascii="Verdana" w:hAnsi="Verdana" w:cs="Arial"/>
          <w:shd w:val="clear" w:color="auto" w:fill="FFFFFF"/>
        </w:rPr>
        <w:t>. Igualmente ha an</w:t>
      </w:r>
      <w:r w:rsidR="001B77EB" w:rsidRPr="00623C09">
        <w:rPr>
          <w:rStyle w:val="normaltextrun"/>
          <w:rFonts w:ascii="Verdana" w:hAnsi="Verdana" w:cs="Arial"/>
          <w:shd w:val="clear" w:color="auto" w:fill="FFFFFF"/>
        </w:rPr>
        <w:t xml:space="preserve">alizado </w:t>
      </w:r>
      <w:r w:rsidR="00C029C9" w:rsidRPr="00623C09">
        <w:rPr>
          <w:rStyle w:val="normaltextrun"/>
          <w:rFonts w:ascii="Verdana" w:hAnsi="Verdana" w:cs="Arial"/>
          <w:shd w:val="clear" w:color="auto" w:fill="FFFFFF"/>
        </w:rPr>
        <w:t xml:space="preserve">la naturaleza jurídica de las instituciones educativas y su régimen de contratación en los conceptos con radicado </w:t>
      </w:r>
      <w:r w:rsidR="00C65A1B" w:rsidRPr="00623C09">
        <w:rPr>
          <w:rStyle w:val="normaltextrun"/>
          <w:rFonts w:ascii="Verdana" w:hAnsi="Verdana" w:cs="Arial"/>
          <w:shd w:val="clear" w:color="auto" w:fill="FFFFFF"/>
        </w:rPr>
        <w:t xml:space="preserve">Nro. </w:t>
      </w:r>
      <w:r w:rsidR="00C029C9" w:rsidRPr="00623C09">
        <w:rPr>
          <w:rStyle w:val="normaltextrun"/>
          <w:rFonts w:ascii="Verdana" w:hAnsi="Verdana" w:cs="Arial"/>
          <w:shd w:val="clear" w:color="auto" w:fill="FFFFFF"/>
        </w:rPr>
        <w:t>2201913000006285 del 27 de agosto de 2019, No. 2201913000006068 del 28 de agosto de 2019, 2201913000008174 del 31 de octubre de 2019,  2201913000008197 del 1 de noviembre de 2019, C-181 del 6 de abril de 2020, C-272 del 27 de abril de 2020, C-284 del 27 de mayo de 2010, C-399 del 23 de junio de 2020, C-574 del 28 de agosto de 2020, C-355 del 2 de junio de 2022</w:t>
      </w:r>
      <w:r w:rsidR="00C65A1B" w:rsidRPr="00623C09">
        <w:rPr>
          <w:rStyle w:val="normaltextrun"/>
          <w:rFonts w:ascii="Verdana" w:hAnsi="Verdana" w:cs="Arial"/>
          <w:shd w:val="clear" w:color="auto" w:fill="FFFFFF"/>
        </w:rPr>
        <w:t xml:space="preserve">, </w:t>
      </w:r>
      <w:r w:rsidR="00C029C9" w:rsidRPr="00623C09">
        <w:rPr>
          <w:rStyle w:val="normaltextrun"/>
          <w:rFonts w:ascii="Verdana" w:hAnsi="Verdana" w:cs="Arial"/>
          <w:shd w:val="clear" w:color="auto" w:fill="FFFFFF"/>
        </w:rPr>
        <w:t>C</w:t>
      </w:r>
      <w:r w:rsidR="00C65A1B" w:rsidRPr="00623C09">
        <w:rPr>
          <w:rStyle w:val="normaltextrun"/>
          <w:rFonts w:ascii="Verdana" w:hAnsi="Verdana" w:cs="Arial"/>
          <w:shd w:val="clear" w:color="auto" w:fill="FFFFFF"/>
        </w:rPr>
        <w:t>-</w:t>
      </w:r>
      <w:r w:rsidR="00C029C9" w:rsidRPr="00623C09">
        <w:rPr>
          <w:rStyle w:val="normaltextrun"/>
          <w:rFonts w:ascii="Verdana" w:hAnsi="Verdana" w:cs="Arial"/>
          <w:shd w:val="clear" w:color="auto" w:fill="FFFFFF"/>
        </w:rPr>
        <w:t>475 del 26 de julio de 2022</w:t>
      </w:r>
      <w:r w:rsidR="00C65A1B" w:rsidRPr="00623C09">
        <w:rPr>
          <w:rStyle w:val="normaltextrun"/>
          <w:rFonts w:ascii="Verdana" w:hAnsi="Verdana" w:cs="Arial"/>
          <w:shd w:val="clear" w:color="auto" w:fill="FFFFFF"/>
        </w:rPr>
        <w:t xml:space="preserve"> y </w:t>
      </w:r>
      <w:r w:rsidR="004C2F1B" w:rsidRPr="00623C09">
        <w:rPr>
          <w:rStyle w:val="normaltextrun"/>
          <w:rFonts w:ascii="Verdana" w:hAnsi="Verdana" w:cs="Arial"/>
          <w:shd w:val="clear" w:color="auto" w:fill="FFFFFF"/>
        </w:rPr>
        <w:t xml:space="preserve">C-195 del 24 de agosto del 2023. </w:t>
      </w:r>
      <w:r w:rsidRPr="00623C09">
        <w:rPr>
          <w:rStyle w:val="normaltextrun"/>
          <w:rFonts w:ascii="Verdana" w:hAnsi="Verdana" w:cs="Arial"/>
          <w:shd w:val="clear" w:color="auto" w:fill="FFFFFF"/>
        </w:rPr>
        <w:t>Es</w:t>
      </w:r>
      <w:r w:rsidRPr="00623C09">
        <w:rPr>
          <w:rFonts w:ascii="Verdana" w:hAnsi="Verdana"/>
        </w:rPr>
        <w:t>tos y otros conceptos se encuentran disponibles para consulta en el Sistema de relatoría de la Agencia, al cual se puede acceder a través del siguiente enlace:</w:t>
      </w:r>
      <w:r w:rsidRPr="00623C09">
        <w:rPr>
          <w:rStyle w:val="normaltextrun"/>
          <w:rFonts w:ascii="Verdana" w:hAnsi="Verdana" w:cs="Arial"/>
          <w:shd w:val="clear" w:color="auto" w:fill="FFFFFF"/>
        </w:rPr>
        <w:t xml:space="preserve"> </w:t>
      </w:r>
      <w:hyperlink r:id="rId14" w:history="1">
        <w:r w:rsidRPr="00623C09">
          <w:rPr>
            <w:rStyle w:val="Hyperlink"/>
            <w:rFonts w:ascii="Verdana" w:hAnsi="Verdana" w:cs="Arial"/>
            <w:shd w:val="clear" w:color="auto" w:fill="FFFFFF"/>
            <w:lang w:val="es-ES"/>
          </w:rPr>
          <w:t>https://relatoria.colombiacompra.gov.co/busqueda/conceptos</w:t>
        </w:r>
      </w:hyperlink>
      <w:r w:rsidRPr="00623C09">
        <w:rPr>
          <w:rStyle w:val="normaltextrun"/>
          <w:rFonts w:ascii="Verdana" w:hAnsi="Verdana" w:cs="Arial"/>
          <w:color w:val="FF0000"/>
          <w:shd w:val="clear" w:color="auto" w:fill="FFFFFF"/>
        </w:rPr>
        <w:t xml:space="preserve">. </w:t>
      </w:r>
    </w:p>
    <w:p w14:paraId="57ACA5E4" w14:textId="77777777" w:rsidR="00044B19" w:rsidRPr="00623C09" w:rsidRDefault="00044B19" w:rsidP="00044B19">
      <w:pPr>
        <w:widowControl w:val="0"/>
        <w:autoSpaceDE w:val="0"/>
        <w:autoSpaceDN w:val="0"/>
        <w:spacing w:after="0" w:line="276" w:lineRule="auto"/>
        <w:jc w:val="both"/>
        <w:rPr>
          <w:rStyle w:val="normaltextrun"/>
          <w:rFonts w:ascii="Verdana" w:hAnsi="Verdana" w:cs="Arial"/>
          <w:color w:val="FF0000"/>
          <w:shd w:val="clear" w:color="auto" w:fill="FFFFFF"/>
        </w:rPr>
      </w:pPr>
    </w:p>
    <w:p w14:paraId="15650EB2" w14:textId="77777777" w:rsidR="00044B19" w:rsidRPr="00623C09" w:rsidRDefault="00044B19" w:rsidP="00044B19">
      <w:pPr>
        <w:widowControl w:val="0"/>
        <w:autoSpaceDE w:val="0"/>
        <w:autoSpaceDN w:val="0"/>
        <w:spacing w:after="0" w:line="276" w:lineRule="auto"/>
        <w:jc w:val="both"/>
        <w:rPr>
          <w:rStyle w:val="normaltextrun"/>
          <w:rFonts w:ascii="Verdana" w:hAnsi="Verdana" w:cs="Arial"/>
          <w:color w:val="FF0000"/>
          <w:shd w:val="clear" w:color="auto" w:fill="FFFFFF"/>
        </w:rPr>
      </w:pPr>
      <w:r w:rsidRPr="00623C09">
        <w:rPr>
          <w:rStyle w:val="normaltextrun"/>
          <w:rFonts w:ascii="Verdana" w:hAnsi="Verdana" w:cs="Arial"/>
          <w:color w:val="000000" w:themeColor="text1"/>
          <w:shd w:val="clear" w:color="auto" w:fill="FFFFFF"/>
        </w:rPr>
        <w:lastRenderedPageBreak/>
        <w:t>También le invitamos a consultar las versiones I y II de 2024 del Boletín de Relatoría de la Subdirección de Gestión Contractual, las cuales puede descargar en la página web de la Agencia:</w:t>
      </w:r>
      <w:r w:rsidRPr="00623C09">
        <w:rPr>
          <w:rStyle w:val="normaltextrun"/>
          <w:rFonts w:ascii="Verdana" w:hAnsi="Verdana" w:cs="Arial"/>
          <w:color w:val="FF0000"/>
          <w:shd w:val="clear" w:color="auto" w:fill="FFFFFF"/>
        </w:rPr>
        <w:t xml:space="preserve"> </w:t>
      </w:r>
      <w:hyperlink r:id="rId15" w:history="1">
        <w:r w:rsidRPr="00623C09">
          <w:rPr>
            <w:rStyle w:val="Hyperlink"/>
            <w:rFonts w:ascii="Verdana" w:hAnsi="Verdana" w:cs="Arial"/>
            <w:shd w:val="clear" w:color="auto" w:fill="FFFFFF"/>
            <w:lang w:val="es-ES"/>
          </w:rPr>
          <w:t>https://www.colombiacompra.gov.co/sala-de-prensa/boletin-digital</w:t>
        </w:r>
      </w:hyperlink>
      <w:r w:rsidRPr="00623C09">
        <w:rPr>
          <w:rStyle w:val="normaltextrun"/>
          <w:rFonts w:ascii="Verdana" w:hAnsi="Verdana" w:cs="Arial"/>
          <w:color w:val="FF0000"/>
          <w:shd w:val="clear" w:color="auto" w:fill="FFFFFF"/>
        </w:rPr>
        <w:t xml:space="preserve">      </w:t>
      </w:r>
    </w:p>
    <w:p w14:paraId="006DBF52" w14:textId="77777777" w:rsidR="00626FC2" w:rsidRPr="00623C09" w:rsidRDefault="00626FC2" w:rsidP="00044B19">
      <w:pPr>
        <w:widowControl w:val="0"/>
        <w:autoSpaceDE w:val="0"/>
        <w:autoSpaceDN w:val="0"/>
        <w:spacing w:after="0" w:line="276" w:lineRule="auto"/>
        <w:jc w:val="both"/>
        <w:rPr>
          <w:rStyle w:val="normaltextrun"/>
          <w:rFonts w:ascii="Verdana" w:hAnsi="Verdana" w:cs="Arial"/>
          <w:color w:val="FF0000"/>
          <w:shd w:val="clear" w:color="auto" w:fill="FFFFFF"/>
        </w:rPr>
      </w:pPr>
    </w:p>
    <w:p w14:paraId="60F18799" w14:textId="77777777" w:rsidR="00044B19" w:rsidRPr="00623C09" w:rsidRDefault="00044B19" w:rsidP="00044B19">
      <w:pPr>
        <w:spacing w:after="0" w:line="240" w:lineRule="auto"/>
        <w:jc w:val="both"/>
        <w:rPr>
          <w:rFonts w:ascii="Verdana" w:hAnsi="Verdana"/>
        </w:rPr>
      </w:pPr>
      <w:r w:rsidRPr="00623C09">
        <w:rPr>
          <w:rFonts w:ascii="Verdana" w:hAnsi="Verdana"/>
        </w:rPr>
        <w:t xml:space="preserve">Por último, lo invitamos a seguirnos en las redes sociales en las cuales se difunde información institucional: </w:t>
      </w:r>
    </w:p>
    <w:p w14:paraId="2CEBD69E" w14:textId="77777777" w:rsidR="00044B19" w:rsidRPr="00623C09" w:rsidRDefault="00044B19" w:rsidP="00044B19">
      <w:pPr>
        <w:spacing w:after="0" w:line="240" w:lineRule="auto"/>
        <w:jc w:val="both"/>
        <w:rPr>
          <w:rFonts w:ascii="Verdana" w:hAnsi="Verdana"/>
        </w:rPr>
      </w:pPr>
    </w:p>
    <w:p w14:paraId="6E9543A9" w14:textId="77777777" w:rsidR="00044B19" w:rsidRPr="00623C09" w:rsidRDefault="00044B19" w:rsidP="00044B19">
      <w:pPr>
        <w:spacing w:after="0" w:line="240" w:lineRule="auto"/>
        <w:jc w:val="both"/>
        <w:rPr>
          <w:rFonts w:ascii="Verdana" w:hAnsi="Verdana"/>
        </w:rPr>
      </w:pPr>
      <w:r w:rsidRPr="00623C09">
        <w:rPr>
          <w:rFonts w:ascii="Verdana" w:hAnsi="Verdana"/>
        </w:rPr>
        <w:t xml:space="preserve">Twitter: </w:t>
      </w:r>
      <w:r w:rsidRPr="00623C09">
        <w:rPr>
          <w:rStyle w:val="Hyperlink"/>
          <w:rFonts w:ascii="Verdana" w:hAnsi="Verdana"/>
          <w:color w:val="4472C4" w:themeColor="accent1"/>
        </w:rPr>
        <w:t>@colombiacompra</w:t>
      </w:r>
      <w:r w:rsidRPr="00623C09">
        <w:rPr>
          <w:rFonts w:ascii="Verdana" w:hAnsi="Verdana"/>
          <w:color w:val="4472C4" w:themeColor="accent1"/>
        </w:rPr>
        <w:t xml:space="preserve"> </w:t>
      </w:r>
    </w:p>
    <w:p w14:paraId="6F51A98C" w14:textId="77777777" w:rsidR="00044B19" w:rsidRPr="00623C09" w:rsidRDefault="00044B19" w:rsidP="00044B19">
      <w:pPr>
        <w:spacing w:after="0" w:line="240" w:lineRule="auto"/>
        <w:jc w:val="both"/>
        <w:rPr>
          <w:rFonts w:ascii="Verdana" w:hAnsi="Verdana"/>
        </w:rPr>
      </w:pPr>
      <w:r w:rsidRPr="00623C09">
        <w:rPr>
          <w:rFonts w:ascii="Verdana" w:hAnsi="Verdana"/>
        </w:rPr>
        <w:t xml:space="preserve">Facebook: </w:t>
      </w:r>
      <w:proofErr w:type="spellStart"/>
      <w:r w:rsidRPr="00623C09">
        <w:rPr>
          <w:rStyle w:val="Hyperlink"/>
          <w:rFonts w:ascii="Verdana" w:hAnsi="Verdana"/>
          <w:color w:val="4472C4" w:themeColor="accent1"/>
        </w:rPr>
        <w:t>ColombiaCompraEficiente</w:t>
      </w:r>
      <w:proofErr w:type="spellEnd"/>
    </w:p>
    <w:p w14:paraId="2AE24324" w14:textId="77777777" w:rsidR="00044B19" w:rsidRPr="00623C09" w:rsidRDefault="00044B19" w:rsidP="00044B19">
      <w:pPr>
        <w:spacing w:after="0" w:line="240" w:lineRule="auto"/>
        <w:jc w:val="both"/>
        <w:rPr>
          <w:rFonts w:ascii="Verdana" w:hAnsi="Verdana"/>
        </w:rPr>
      </w:pPr>
      <w:r w:rsidRPr="00623C09">
        <w:rPr>
          <w:rFonts w:ascii="Verdana" w:hAnsi="Verdana"/>
        </w:rPr>
        <w:t xml:space="preserve">LinkedIn: </w:t>
      </w:r>
      <w:r w:rsidRPr="00623C09">
        <w:rPr>
          <w:rStyle w:val="Hyperlink"/>
          <w:rFonts w:ascii="Verdana" w:hAnsi="Verdana"/>
          <w:color w:val="4472C4" w:themeColor="accent1"/>
        </w:rPr>
        <w:t>Agencia Nacional de Contratación Pública - Colombia Compra Eficiente</w:t>
      </w:r>
      <w:r w:rsidRPr="00623C09">
        <w:rPr>
          <w:rFonts w:ascii="Verdana" w:hAnsi="Verdana"/>
          <w:color w:val="4472C4" w:themeColor="accent1"/>
        </w:rPr>
        <w:t xml:space="preserve"> </w:t>
      </w:r>
      <w:r w:rsidRPr="00623C09">
        <w:rPr>
          <w:rFonts w:ascii="Verdana" w:hAnsi="Verdana"/>
        </w:rPr>
        <w:t xml:space="preserve">Instagram: </w:t>
      </w:r>
      <w:r w:rsidRPr="00623C09">
        <w:rPr>
          <w:rStyle w:val="Hyperlink"/>
          <w:rFonts w:ascii="Verdana" w:hAnsi="Verdana"/>
          <w:color w:val="4472C4" w:themeColor="accent1"/>
        </w:rPr>
        <w:t>@colombiacompraeficiente_cce</w:t>
      </w:r>
    </w:p>
    <w:p w14:paraId="4536897B" w14:textId="77777777" w:rsidR="00044B19" w:rsidRPr="00623C09" w:rsidRDefault="00044B19" w:rsidP="00044B19">
      <w:pPr>
        <w:widowControl w:val="0"/>
        <w:autoSpaceDE w:val="0"/>
        <w:autoSpaceDN w:val="0"/>
        <w:spacing w:after="0" w:line="276" w:lineRule="auto"/>
        <w:jc w:val="both"/>
        <w:rPr>
          <w:rFonts w:ascii="Verdana" w:hAnsi="Verdana" w:cs="Arial"/>
        </w:rPr>
      </w:pPr>
    </w:p>
    <w:p w14:paraId="5844FF83" w14:textId="77777777" w:rsidR="00044B19" w:rsidRPr="00623C09" w:rsidRDefault="00044B19" w:rsidP="00044B19">
      <w:pPr>
        <w:widowControl w:val="0"/>
        <w:autoSpaceDE w:val="0"/>
        <w:autoSpaceDN w:val="0"/>
        <w:spacing w:after="0" w:line="276" w:lineRule="auto"/>
        <w:jc w:val="both"/>
        <w:rPr>
          <w:rFonts w:ascii="Verdana" w:hAnsi="Verdana" w:cs="Arial"/>
          <w:lang w:val="es-ES_tradnl"/>
        </w:rPr>
      </w:pPr>
      <w:r w:rsidRPr="00623C09">
        <w:rPr>
          <w:rFonts w:ascii="Verdana" w:hAnsi="Verdana" w:cs="Arial"/>
        </w:rPr>
        <w:t xml:space="preserve">Este concepto tiene el alcance previsto en el artículo 28 del Código de Procedimiento Administrativo y de lo Contencioso Administrativo </w:t>
      </w:r>
      <w:r w:rsidRPr="00623C09">
        <w:rPr>
          <w:rFonts w:ascii="Verdana" w:hAnsi="Verdana" w:cs="Arial"/>
          <w:lang w:val="es-ES_tradnl"/>
        </w:rPr>
        <w:t>y las expresiones aquí utilizadas con mayúscula inicial deben ser entendidas con el significado que les otorga el artículo 2.2.1.1.1.3.1. del Decreto 1082 de 2015.</w:t>
      </w:r>
    </w:p>
    <w:p w14:paraId="6A0B1789" w14:textId="77777777" w:rsidR="00044B19" w:rsidRPr="00623C09" w:rsidRDefault="00044B19" w:rsidP="00044B19">
      <w:pPr>
        <w:widowControl w:val="0"/>
        <w:autoSpaceDE w:val="0"/>
        <w:autoSpaceDN w:val="0"/>
        <w:spacing w:after="0" w:line="276" w:lineRule="auto"/>
        <w:jc w:val="both"/>
        <w:rPr>
          <w:rFonts w:ascii="Verdana" w:hAnsi="Verdana" w:cs="Arial"/>
        </w:rPr>
      </w:pPr>
    </w:p>
    <w:p w14:paraId="4692BF88" w14:textId="77777777" w:rsidR="00044B19" w:rsidRPr="00623C09" w:rsidRDefault="00044B19" w:rsidP="00044B19">
      <w:pPr>
        <w:spacing w:after="0" w:line="240" w:lineRule="auto"/>
        <w:rPr>
          <w:rFonts w:ascii="Verdana" w:hAnsi="Verdana" w:cs="Arial"/>
          <w:lang w:eastAsia="es-CO"/>
        </w:rPr>
      </w:pPr>
      <w:r w:rsidRPr="00623C09">
        <w:rPr>
          <w:rFonts w:ascii="Verdana" w:eastAsia="Times New Roman" w:hAnsi="Verdana" w:cs="Arial"/>
          <w:lang w:eastAsia="es-CO"/>
        </w:rPr>
        <w:t>Atentamente,</w:t>
      </w:r>
      <w:r w:rsidRPr="00623C09">
        <w:rPr>
          <w:rFonts w:ascii="Verdana" w:hAnsi="Verdana" w:cs="Arial"/>
          <w:lang w:eastAsia="es-CO"/>
        </w:rPr>
        <w:t xml:space="preserve"> </w:t>
      </w:r>
    </w:p>
    <w:p w14:paraId="06CA994E" w14:textId="0893AF85" w:rsidR="00044B19" w:rsidRPr="00623C09" w:rsidRDefault="000359BD" w:rsidP="00044B19">
      <w:pPr>
        <w:spacing w:line="276" w:lineRule="auto"/>
        <w:jc w:val="center"/>
        <w:rPr>
          <w:rFonts w:ascii="Verdana" w:hAnsi="Verdana" w:cs="Arial"/>
          <w:color w:val="000000"/>
          <w:lang w:val="es-ES_tradnl" w:eastAsia="es-CO"/>
        </w:rPr>
      </w:pPr>
      <w:r w:rsidRPr="004D5C25">
        <w:rPr>
          <w:rFonts w:ascii="Century Gothic" w:hAnsi="Century Gothic"/>
          <w:noProof/>
        </w:rPr>
        <w:drawing>
          <wp:inline distT="0" distB="0" distL="0" distR="0" wp14:anchorId="24C1450E" wp14:editId="2582E55B">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6"/>
                    <a:stretch>
                      <a:fillRect/>
                    </a:stretch>
                  </pic:blipFill>
                  <pic:spPr>
                    <a:xfrm>
                      <a:off x="0" y="0"/>
                      <a:ext cx="3705742" cy="1590897"/>
                    </a:xfrm>
                    <a:prstGeom prst="rect">
                      <a:avLst/>
                    </a:prstGeom>
                  </pic:spPr>
                </pic:pic>
              </a:graphicData>
            </a:graphic>
          </wp:inline>
        </w:drawing>
      </w:r>
    </w:p>
    <w:tbl>
      <w:tblPr>
        <w:tblStyle w:val="TableGrid"/>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044B19" w:rsidRPr="00700F5C" w14:paraId="4B5352C7" w14:textId="77777777" w:rsidTr="002B1BF9">
        <w:trPr>
          <w:trHeight w:val="315"/>
        </w:trPr>
        <w:tc>
          <w:tcPr>
            <w:tcW w:w="893" w:type="dxa"/>
            <w:vAlign w:val="center"/>
            <w:hideMark/>
          </w:tcPr>
          <w:p w14:paraId="2567F119" w14:textId="77777777" w:rsidR="00044B19" w:rsidRPr="00623C09" w:rsidRDefault="00044B19" w:rsidP="002B1BF9">
            <w:pPr>
              <w:contextualSpacing/>
              <w:rPr>
                <w:rFonts w:ascii="Verdana" w:hAnsi="Verdana" w:cs="Arial"/>
                <w:sz w:val="16"/>
                <w:szCs w:val="16"/>
                <w:lang w:val="es-ES" w:eastAsia="es-ES"/>
              </w:rPr>
            </w:pPr>
            <w:r w:rsidRPr="00623C09">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1F99028F" w14:textId="75747BC9" w:rsidR="00044B19" w:rsidRPr="00623C09" w:rsidRDefault="00044B19" w:rsidP="002B1BF9">
            <w:pPr>
              <w:contextualSpacing/>
              <w:rPr>
                <w:rFonts w:ascii="Verdana" w:eastAsia="Arial" w:hAnsi="Verdana" w:cs="Arial"/>
                <w:sz w:val="16"/>
                <w:szCs w:val="16"/>
              </w:rPr>
            </w:pPr>
            <w:r w:rsidRPr="00623C09">
              <w:rPr>
                <w:rStyle w:val="normaltextrun"/>
                <w:rFonts w:ascii="Verdana" w:hAnsi="Verdana"/>
                <w:sz w:val="16"/>
                <w:szCs w:val="16"/>
              </w:rPr>
              <w:t>Ana María Ortiz Ballesteros</w:t>
            </w:r>
          </w:p>
          <w:p w14:paraId="4C03DD73" w14:textId="0D3B72E9" w:rsidR="00044B19" w:rsidRPr="00623C09" w:rsidRDefault="00044B19" w:rsidP="002B1BF9">
            <w:pPr>
              <w:contextualSpacing/>
              <w:rPr>
                <w:rFonts w:ascii="Verdana" w:eastAsia="Arial" w:hAnsi="Verdana" w:cs="Arial"/>
                <w:sz w:val="16"/>
                <w:szCs w:val="16"/>
              </w:rPr>
            </w:pPr>
            <w:r w:rsidRPr="00623C09">
              <w:rPr>
                <w:rStyle w:val="normaltextrun"/>
                <w:rFonts w:ascii="Verdana" w:eastAsia="Arial" w:hAnsi="Verdana" w:cs="Arial"/>
                <w:sz w:val="16"/>
                <w:szCs w:val="16"/>
              </w:rPr>
              <w:t>C</w:t>
            </w:r>
            <w:r w:rsidRPr="00623C09">
              <w:rPr>
                <w:rStyle w:val="normaltextrun"/>
                <w:rFonts w:ascii="Verdana" w:eastAsia="Arial" w:hAnsi="Verdana"/>
                <w:sz w:val="16"/>
                <w:szCs w:val="16"/>
              </w:rPr>
              <w:t>ontratista</w:t>
            </w:r>
            <w:r w:rsidRPr="00623C09">
              <w:rPr>
                <w:rStyle w:val="normaltextrun"/>
                <w:rFonts w:ascii="Verdana" w:eastAsia="Arial" w:hAnsi="Verdana" w:cs="Arial"/>
                <w:sz w:val="16"/>
                <w:szCs w:val="16"/>
              </w:rPr>
              <w:t xml:space="preserve"> de la Subdirección de Gestión Contractual</w:t>
            </w:r>
          </w:p>
        </w:tc>
      </w:tr>
      <w:tr w:rsidR="00044B19" w:rsidRPr="00700F5C" w14:paraId="05F13364" w14:textId="77777777" w:rsidTr="002B1BF9">
        <w:trPr>
          <w:trHeight w:val="330"/>
        </w:trPr>
        <w:tc>
          <w:tcPr>
            <w:tcW w:w="893" w:type="dxa"/>
            <w:vAlign w:val="center"/>
            <w:hideMark/>
          </w:tcPr>
          <w:p w14:paraId="569B7981" w14:textId="77777777" w:rsidR="00044B19" w:rsidRPr="00623C09" w:rsidRDefault="00044B19" w:rsidP="002B1BF9">
            <w:pPr>
              <w:contextualSpacing/>
              <w:rPr>
                <w:rFonts w:ascii="Verdana" w:hAnsi="Verdana" w:cs="Arial"/>
                <w:sz w:val="16"/>
                <w:szCs w:val="16"/>
                <w:lang w:val="es-ES" w:eastAsia="es-ES"/>
              </w:rPr>
            </w:pPr>
            <w:r w:rsidRPr="00623C09">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1BD075E5" w14:textId="77777777" w:rsidR="00652CAE" w:rsidRPr="00623C09" w:rsidRDefault="00652CAE" w:rsidP="00652CAE">
            <w:pPr>
              <w:pStyle w:val="paragraph"/>
              <w:contextualSpacing/>
              <w:textAlignment w:val="baseline"/>
              <w:rPr>
                <w:rFonts w:ascii="Verdana" w:hAnsi="Verdana" w:cs="Arial"/>
                <w:sz w:val="16"/>
                <w:szCs w:val="16"/>
              </w:rPr>
            </w:pPr>
            <w:r w:rsidRPr="00623C09">
              <w:rPr>
                <w:rFonts w:ascii="Verdana" w:hAnsi="Verdana" w:cs="Arial"/>
                <w:sz w:val="16"/>
                <w:szCs w:val="16"/>
              </w:rPr>
              <w:t>Alejandro Sarmiento Cantillo</w:t>
            </w:r>
          </w:p>
          <w:p w14:paraId="4BDA04A6" w14:textId="27479CE6" w:rsidR="00044B19" w:rsidRPr="00623C09" w:rsidRDefault="00652CAE" w:rsidP="00652CAE">
            <w:pPr>
              <w:pStyle w:val="paragraph"/>
              <w:spacing w:before="0" w:beforeAutospacing="0" w:after="0" w:afterAutospacing="0"/>
              <w:contextualSpacing/>
              <w:textAlignment w:val="baseline"/>
              <w:rPr>
                <w:rFonts w:ascii="Verdana" w:hAnsi="Verdana" w:cs="Segoe UI"/>
                <w:sz w:val="16"/>
                <w:szCs w:val="16"/>
              </w:rPr>
            </w:pPr>
            <w:r w:rsidRPr="00623C09">
              <w:rPr>
                <w:rFonts w:ascii="Verdana" w:hAnsi="Verdana" w:cs="Arial"/>
                <w:sz w:val="16"/>
                <w:szCs w:val="16"/>
              </w:rPr>
              <w:t>Gestor T1-15 de la Subdirección de Gestión Contractual</w:t>
            </w:r>
          </w:p>
        </w:tc>
      </w:tr>
      <w:tr w:rsidR="00044B19" w:rsidRPr="00700F5C" w14:paraId="22E6C1BD" w14:textId="77777777" w:rsidTr="002B1BF9">
        <w:trPr>
          <w:trHeight w:val="300"/>
        </w:trPr>
        <w:tc>
          <w:tcPr>
            <w:tcW w:w="893" w:type="dxa"/>
            <w:vAlign w:val="center"/>
          </w:tcPr>
          <w:p w14:paraId="114D4A10" w14:textId="77777777" w:rsidR="00044B19" w:rsidRPr="00623C09" w:rsidRDefault="00044B19" w:rsidP="002B1BF9">
            <w:pPr>
              <w:contextualSpacing/>
              <w:rPr>
                <w:rFonts w:ascii="Verdana" w:hAnsi="Verdana" w:cs="Arial"/>
                <w:sz w:val="16"/>
                <w:szCs w:val="16"/>
                <w:lang w:val="es-ES" w:eastAsia="es-ES"/>
              </w:rPr>
            </w:pPr>
            <w:r w:rsidRPr="00623C09">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5D1F0D45" w14:textId="77777777" w:rsidR="00044B19" w:rsidRPr="00623C09" w:rsidRDefault="00044B19" w:rsidP="002B1BF9">
            <w:pPr>
              <w:contextualSpacing/>
              <w:rPr>
                <w:rFonts w:ascii="Verdana" w:eastAsia="Calibri" w:hAnsi="Verdana" w:cs="Arial"/>
                <w:sz w:val="16"/>
                <w:szCs w:val="16"/>
                <w:lang w:val="pt-BR" w:eastAsia="es-ES"/>
              </w:rPr>
            </w:pPr>
            <w:r w:rsidRPr="00623C09">
              <w:rPr>
                <w:rFonts w:ascii="Verdana" w:eastAsia="Calibri" w:hAnsi="Verdana" w:cs="Arial"/>
                <w:sz w:val="16"/>
                <w:szCs w:val="16"/>
                <w:lang w:val="pt-BR" w:eastAsia="es-ES"/>
              </w:rPr>
              <w:t xml:space="preserve">Carolina Quintero </w:t>
            </w:r>
            <w:proofErr w:type="spellStart"/>
            <w:r w:rsidRPr="00623C09">
              <w:rPr>
                <w:rFonts w:ascii="Verdana" w:eastAsia="Calibri" w:hAnsi="Verdana" w:cs="Arial"/>
                <w:sz w:val="16"/>
                <w:szCs w:val="16"/>
                <w:lang w:val="pt-BR" w:eastAsia="es-ES"/>
              </w:rPr>
              <w:t>Gacharná</w:t>
            </w:r>
            <w:proofErr w:type="spellEnd"/>
          </w:p>
          <w:p w14:paraId="0B4CF885" w14:textId="77777777" w:rsidR="00044B19" w:rsidRPr="00623C09" w:rsidRDefault="00044B19" w:rsidP="002B1BF9">
            <w:pPr>
              <w:contextualSpacing/>
              <w:rPr>
                <w:rFonts w:ascii="Verdana" w:eastAsia="Calibri" w:hAnsi="Verdana" w:cs="Arial"/>
                <w:sz w:val="16"/>
                <w:szCs w:val="16"/>
                <w:lang w:val="pt-BR" w:eastAsia="es-ES"/>
              </w:rPr>
            </w:pPr>
            <w:r w:rsidRPr="00623C09">
              <w:rPr>
                <w:rFonts w:ascii="Verdana" w:eastAsia="Calibri" w:hAnsi="Verdana" w:cs="Arial"/>
                <w:sz w:val="16"/>
                <w:szCs w:val="16"/>
                <w:lang w:eastAsia="es-ES"/>
              </w:rPr>
              <w:t>Subdirectora</w:t>
            </w:r>
            <w:r w:rsidRPr="00623C09">
              <w:rPr>
                <w:rFonts w:ascii="Verdana" w:eastAsia="Calibri" w:hAnsi="Verdana" w:cs="Arial"/>
                <w:sz w:val="16"/>
                <w:szCs w:val="16"/>
                <w:lang w:val="pt-BR" w:eastAsia="es-ES"/>
              </w:rPr>
              <w:t xml:space="preserve"> de Gestión </w:t>
            </w:r>
            <w:proofErr w:type="spellStart"/>
            <w:r w:rsidRPr="00623C09">
              <w:rPr>
                <w:rFonts w:ascii="Verdana" w:eastAsia="Calibri" w:hAnsi="Verdana" w:cs="Arial"/>
                <w:sz w:val="16"/>
                <w:szCs w:val="16"/>
                <w:lang w:val="pt-BR" w:eastAsia="es-ES"/>
              </w:rPr>
              <w:t>Contractual</w:t>
            </w:r>
            <w:proofErr w:type="spellEnd"/>
            <w:r w:rsidRPr="00623C09">
              <w:rPr>
                <w:rFonts w:ascii="Verdana" w:eastAsia="Calibri" w:hAnsi="Verdana" w:cs="Arial"/>
                <w:sz w:val="16"/>
                <w:szCs w:val="16"/>
                <w:lang w:val="pt-BR" w:eastAsia="es-ES"/>
              </w:rPr>
              <w:t xml:space="preserve"> ANCP – CCE</w:t>
            </w:r>
          </w:p>
        </w:tc>
      </w:tr>
    </w:tbl>
    <w:p w14:paraId="2D97B730" w14:textId="77777777" w:rsidR="00793E30" w:rsidRPr="00623C09" w:rsidRDefault="00793E30" w:rsidP="00C3449C">
      <w:pPr>
        <w:spacing w:after="0"/>
        <w:ind w:right="709"/>
        <w:jc w:val="both"/>
        <w:rPr>
          <w:rFonts w:ascii="Verdana" w:hAnsi="Verdana"/>
          <w:b/>
          <w:bCs/>
          <w:sz w:val="16"/>
          <w:szCs w:val="16"/>
        </w:rPr>
      </w:pPr>
    </w:p>
    <w:sectPr w:rsidR="00793E30" w:rsidRPr="00623C09" w:rsidSect="00A211EE">
      <w:headerReference w:type="default" r:id="rId17"/>
      <w:footerReference w:type="default" r:id="rId18"/>
      <w:pgSz w:w="12240" w:h="15840" w:code="1"/>
      <w:pgMar w:top="1418"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74644" w14:textId="77777777" w:rsidR="00F5472F" w:rsidRDefault="00F5472F" w:rsidP="004A1847">
      <w:pPr>
        <w:spacing w:after="0" w:line="240" w:lineRule="auto"/>
      </w:pPr>
      <w:r>
        <w:separator/>
      </w:r>
    </w:p>
  </w:endnote>
  <w:endnote w:type="continuationSeparator" w:id="0">
    <w:p w14:paraId="66CD9876" w14:textId="77777777" w:rsidR="00F5472F" w:rsidRDefault="00F5472F" w:rsidP="004A1847">
      <w:pPr>
        <w:spacing w:after="0" w:line="240" w:lineRule="auto"/>
      </w:pPr>
      <w:r>
        <w:continuationSeparator/>
      </w:r>
    </w:p>
  </w:endnote>
  <w:endnote w:type="continuationNotice" w:id="1">
    <w:p w14:paraId="66950B9B" w14:textId="77777777" w:rsidR="00F5472F" w:rsidRDefault="00F547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manist Light">
    <w:altName w:val="Calibri"/>
    <w:panose1 w:val="020B0604020202020204"/>
    <w:charset w:val="00"/>
    <w:family w:val="auto"/>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10006FF" w:usb1="4000205B" w:usb2="00000010" w:usb3="00000000" w:csb0="0000019F" w:csb1="00000000"/>
  </w:font>
  <w:font w:name="Arial MT">
    <w:altName w:val="Arial"/>
    <w:panose1 w:val="020B0604020202020204"/>
    <w:charset w:val="00"/>
    <w:family w:val="auto"/>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EE7DC" w14:textId="43FD1F7C" w:rsidR="00A211EE" w:rsidRPr="00174B77" w:rsidRDefault="00A211EE" w:rsidP="00A211EE">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4A01C741" w14:textId="77777777" w:rsidR="00A211EE" w:rsidRDefault="00A211EE" w:rsidP="00A211EE">
    <w:pPr>
      <w:spacing w:after="0"/>
      <w:jc w:val="both"/>
      <w:rPr>
        <w:rFonts w:ascii="Verdana" w:hAnsi="Verdana"/>
        <w:sz w:val="18"/>
        <w:szCs w:val="18"/>
      </w:rPr>
    </w:pPr>
    <w:r w:rsidRPr="00E41027">
      <w:rPr>
        <w:rFonts w:ascii="Verdana" w:hAnsi="Verdana"/>
        <w:sz w:val="18"/>
        <w:szCs w:val="18"/>
      </w:rPr>
      <w:t>Dirección: Carrera 7 # 26 – 20 - Bogotá, Colombia</w:t>
    </w:r>
  </w:p>
  <w:p w14:paraId="4145D2CB" w14:textId="77777777" w:rsidR="00A211EE" w:rsidRPr="00E41027" w:rsidRDefault="00A211EE" w:rsidP="00A211EE">
    <w:pPr>
      <w:spacing w:after="0"/>
      <w:jc w:val="both"/>
      <w:rPr>
        <w:rFonts w:ascii="Verdana" w:hAnsi="Verdana"/>
        <w:sz w:val="18"/>
        <w:szCs w:val="18"/>
      </w:rPr>
    </w:pPr>
    <w:r w:rsidRPr="00E41027">
      <w:rPr>
        <w:rFonts w:ascii="Verdana" w:hAnsi="Verdana"/>
        <w:sz w:val="18"/>
        <w:szCs w:val="18"/>
      </w:rPr>
      <w:t>Mesa de servicio: (+57) 601 7456788</w:t>
    </w:r>
  </w:p>
  <w:p w14:paraId="73EB2D37" w14:textId="3BAD4CB6" w:rsidR="00A211EE" w:rsidRPr="00A211EE" w:rsidRDefault="00A211EE" w:rsidP="00A211EE">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r w:rsidRPr="00A211EE">
      <w:rPr>
        <w:rFonts w:ascii="Verdana" w:eastAsia="Geo" w:hAnsi="Verdana" w:cs="Geo"/>
        <w:bCs/>
        <w:color w:val="000000"/>
        <w:sz w:val="16"/>
        <w:szCs w:val="16"/>
        <w:lang w:eastAsia="es-CO"/>
      </w:rPr>
      <w:t>Código: CCE-REC-FM-13 Versión</w:t>
    </w:r>
    <w:r w:rsidRPr="00A211EE">
      <w:rPr>
        <w:rFonts w:ascii="Verdana" w:eastAsia="Arial Nova" w:hAnsi="Verdana" w:cs="Arial Nova"/>
        <w:bCs/>
        <w:color w:val="000000"/>
        <w:sz w:val="16"/>
        <w:szCs w:val="16"/>
        <w:lang w:eastAsia="es-CO"/>
      </w:rPr>
      <w:t>:</w:t>
    </w:r>
    <w:r w:rsidRPr="00A211EE">
      <w:rPr>
        <w:rFonts w:ascii="Verdana" w:eastAsia="Arial Nova" w:hAnsi="Verdana" w:cs="Arial Nova"/>
        <w:b/>
        <w:color w:val="000000"/>
        <w:sz w:val="16"/>
        <w:szCs w:val="16"/>
        <w:lang w:eastAsia="es-CO"/>
      </w:rPr>
      <w:t xml:space="preserve"> </w:t>
    </w:r>
    <w:r w:rsidRPr="00A211EE">
      <w:rPr>
        <w:rFonts w:ascii="Verdana" w:eastAsia="Geo" w:hAnsi="Verdana" w:cs="Geo"/>
        <w:sz w:val="16"/>
        <w:szCs w:val="16"/>
        <w:lang w:eastAsia="es-CO"/>
      </w:rPr>
      <w:t>01 Fecha:15-06-2023</w:t>
    </w:r>
  </w:p>
  <w:p w14:paraId="744661F5" w14:textId="20328581" w:rsidR="006219F8" w:rsidRDefault="006219F8" w:rsidP="00A21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375CB" w14:textId="77777777" w:rsidR="00F5472F" w:rsidRDefault="00F5472F" w:rsidP="004A1847">
      <w:pPr>
        <w:spacing w:after="0" w:line="240" w:lineRule="auto"/>
      </w:pPr>
      <w:r>
        <w:separator/>
      </w:r>
    </w:p>
  </w:footnote>
  <w:footnote w:type="continuationSeparator" w:id="0">
    <w:p w14:paraId="5817F490" w14:textId="77777777" w:rsidR="00F5472F" w:rsidRDefault="00F5472F" w:rsidP="004A1847">
      <w:pPr>
        <w:spacing w:after="0" w:line="240" w:lineRule="auto"/>
      </w:pPr>
      <w:r>
        <w:continuationSeparator/>
      </w:r>
    </w:p>
  </w:footnote>
  <w:footnote w:type="continuationNotice" w:id="1">
    <w:p w14:paraId="794B4ECB" w14:textId="77777777" w:rsidR="00F5472F" w:rsidRDefault="00F5472F">
      <w:pPr>
        <w:spacing w:after="0" w:line="240" w:lineRule="auto"/>
      </w:pPr>
    </w:p>
  </w:footnote>
  <w:footnote w:id="2">
    <w:p w14:paraId="0E61F6EF" w14:textId="122B81D8" w:rsidR="00C35ED6" w:rsidRPr="00623C09" w:rsidRDefault="00C35ED6" w:rsidP="002E195E">
      <w:pPr>
        <w:pStyle w:val="FootnoteText"/>
        <w:ind w:firstLine="708"/>
        <w:jc w:val="both"/>
        <w:rPr>
          <w:rFonts w:ascii="Verdana" w:hAnsi="Verdana" w:cs="Arial"/>
          <w:color w:val="000000" w:themeColor="text1"/>
          <w:sz w:val="16"/>
          <w:szCs w:val="16"/>
        </w:rPr>
      </w:pPr>
      <w:r w:rsidRPr="00623C09">
        <w:rPr>
          <w:rStyle w:val="FootnoteReference"/>
          <w:rFonts w:ascii="Verdana" w:hAnsi="Verdana" w:cs="Arial"/>
          <w:color w:val="000000" w:themeColor="text1"/>
          <w:sz w:val="16"/>
          <w:szCs w:val="16"/>
        </w:rPr>
        <w:footnoteRef/>
      </w:r>
      <w:r w:rsidRPr="00623C09">
        <w:rPr>
          <w:rFonts w:ascii="Verdana" w:hAnsi="Verdana" w:cs="Arial"/>
          <w:color w:val="000000" w:themeColor="text1"/>
          <w:sz w:val="16"/>
          <w:szCs w:val="16"/>
        </w:rPr>
        <w:t xml:space="preserve"> </w:t>
      </w:r>
      <w:r w:rsidR="00454668">
        <w:rPr>
          <w:rFonts w:ascii="Verdana" w:hAnsi="Verdana" w:cs="Arial"/>
          <w:color w:val="000000" w:themeColor="text1"/>
          <w:sz w:val="16"/>
          <w:szCs w:val="16"/>
        </w:rPr>
        <w:t xml:space="preserve">Ley 715 de 2001: </w:t>
      </w:r>
      <w:r w:rsidRPr="00623C09">
        <w:rPr>
          <w:rFonts w:ascii="Verdana" w:hAnsi="Verdana" w:cs="Arial"/>
          <w:color w:val="000000" w:themeColor="text1"/>
          <w:sz w:val="16"/>
          <w:szCs w:val="16"/>
        </w:rPr>
        <w:t>“Artículo 11. Fondos De Servicios Educativos. Las instituciones educativas estatales podrán administrar Fondos de Servicios Educativos en los cuales se manejarán los recursos destinados a financiar gastos distintos a los de personal, que faciliten el funcionamiento de la institución”.</w:t>
      </w:r>
    </w:p>
    <w:p w14:paraId="5F4AE18D" w14:textId="77777777" w:rsidR="00C35ED6" w:rsidRPr="00623C09" w:rsidRDefault="00C35ED6" w:rsidP="002E195E">
      <w:pPr>
        <w:pStyle w:val="FootnoteText"/>
        <w:jc w:val="both"/>
        <w:rPr>
          <w:rFonts w:ascii="Verdana" w:hAnsi="Verdana" w:cs="Arial"/>
          <w:color w:val="000000" w:themeColor="text1"/>
          <w:sz w:val="16"/>
          <w:szCs w:val="16"/>
        </w:rPr>
      </w:pPr>
    </w:p>
  </w:footnote>
  <w:footnote w:id="3">
    <w:p w14:paraId="56BBB6F0" w14:textId="0897AEB8" w:rsidR="00C35ED6" w:rsidRPr="00623C09" w:rsidRDefault="00C35ED6" w:rsidP="002E195E">
      <w:pPr>
        <w:pStyle w:val="FootnoteText"/>
        <w:ind w:firstLine="708"/>
        <w:jc w:val="both"/>
        <w:rPr>
          <w:rFonts w:ascii="Verdana" w:hAnsi="Verdana" w:cs="Arial"/>
          <w:color w:val="000000" w:themeColor="text1"/>
          <w:sz w:val="16"/>
          <w:szCs w:val="16"/>
        </w:rPr>
      </w:pPr>
      <w:r w:rsidRPr="00623C09">
        <w:rPr>
          <w:rStyle w:val="FootnoteReference"/>
          <w:rFonts w:ascii="Verdana" w:hAnsi="Verdana" w:cs="Arial"/>
          <w:color w:val="000000" w:themeColor="text1"/>
          <w:sz w:val="16"/>
          <w:szCs w:val="16"/>
        </w:rPr>
        <w:footnoteRef/>
      </w:r>
      <w:r w:rsidRPr="00623C09">
        <w:rPr>
          <w:rStyle w:val="FootnoteReference"/>
          <w:rFonts w:ascii="Verdana" w:hAnsi="Verdana" w:cs="Arial"/>
          <w:color w:val="000000" w:themeColor="text1"/>
          <w:sz w:val="16"/>
          <w:szCs w:val="16"/>
        </w:rPr>
        <w:t xml:space="preserve"> </w:t>
      </w:r>
      <w:r w:rsidRPr="00623C09">
        <w:rPr>
          <w:rFonts w:ascii="Verdana" w:hAnsi="Verdana" w:cs="Arial"/>
          <w:color w:val="000000" w:themeColor="text1"/>
          <w:sz w:val="16"/>
          <w:szCs w:val="16"/>
        </w:rPr>
        <w:t xml:space="preserve">Consejo de Estado. Sección Tercera Subsección A. Sentencia del 12 de octubre de 2017. </w:t>
      </w:r>
      <w:r w:rsidR="00192707">
        <w:rPr>
          <w:rFonts w:ascii="Verdana" w:hAnsi="Verdana" w:cs="Arial"/>
          <w:color w:val="000000" w:themeColor="text1"/>
          <w:sz w:val="16"/>
          <w:szCs w:val="16"/>
        </w:rPr>
        <w:t xml:space="preserve">M.P. </w:t>
      </w:r>
      <w:r w:rsidRPr="00623C09">
        <w:rPr>
          <w:rFonts w:ascii="Verdana" w:hAnsi="Verdana" w:cs="Arial"/>
          <w:color w:val="000000" w:themeColor="text1"/>
          <w:sz w:val="16"/>
          <w:szCs w:val="16"/>
        </w:rPr>
        <w:t xml:space="preserve">Marta Nubia Velásquez Rico. </w:t>
      </w:r>
      <w:r w:rsidR="00192707">
        <w:rPr>
          <w:rFonts w:ascii="Verdana" w:hAnsi="Verdana" w:cs="Arial"/>
          <w:color w:val="000000" w:themeColor="text1"/>
          <w:sz w:val="16"/>
          <w:szCs w:val="16"/>
        </w:rPr>
        <w:t xml:space="preserve">Exp. No. </w:t>
      </w:r>
      <w:r w:rsidR="00192707" w:rsidRPr="007E2DF6">
        <w:rPr>
          <w:rFonts w:ascii="Verdana" w:hAnsi="Verdana" w:cs="Arial"/>
          <w:color w:val="000000" w:themeColor="text1"/>
          <w:sz w:val="16"/>
          <w:szCs w:val="16"/>
        </w:rPr>
        <w:t>51.634.</w:t>
      </w:r>
    </w:p>
    <w:p w14:paraId="7A65F16C" w14:textId="77777777" w:rsidR="00C35ED6" w:rsidRPr="00623C09" w:rsidRDefault="00C35ED6" w:rsidP="002E195E">
      <w:pPr>
        <w:pStyle w:val="FootnoteText"/>
        <w:jc w:val="both"/>
        <w:rPr>
          <w:rFonts w:ascii="Verdana" w:hAnsi="Verdana" w:cs="Arial"/>
          <w:color w:val="000000" w:themeColor="text1"/>
          <w:sz w:val="16"/>
          <w:szCs w:val="16"/>
        </w:rPr>
      </w:pPr>
    </w:p>
  </w:footnote>
  <w:footnote w:id="4">
    <w:p w14:paraId="0210F078" w14:textId="060E3CCB" w:rsidR="006E5332" w:rsidRPr="00623C09" w:rsidRDefault="006E5332" w:rsidP="002E195E">
      <w:pPr>
        <w:pStyle w:val="NormalWeb"/>
        <w:spacing w:before="0" w:beforeAutospacing="0" w:after="0" w:afterAutospacing="0"/>
        <w:ind w:firstLine="708"/>
        <w:jc w:val="both"/>
        <w:rPr>
          <w:rFonts w:ascii="Verdana" w:hAnsi="Verdana" w:cs="Arial"/>
          <w:sz w:val="16"/>
          <w:szCs w:val="16"/>
        </w:rPr>
      </w:pPr>
      <w:r w:rsidRPr="00623C09">
        <w:rPr>
          <w:rStyle w:val="FootnoteReference"/>
          <w:rFonts w:ascii="Verdana" w:hAnsi="Verdana" w:cs="Arial"/>
          <w:sz w:val="16"/>
          <w:szCs w:val="16"/>
        </w:rPr>
        <w:footnoteRef/>
      </w:r>
      <w:r w:rsidRPr="00623C09">
        <w:rPr>
          <w:rStyle w:val="FootnoteReference"/>
          <w:rFonts w:ascii="Verdana" w:hAnsi="Verdana" w:cs="Arial"/>
          <w:sz w:val="16"/>
          <w:szCs w:val="16"/>
        </w:rPr>
        <w:t xml:space="preserve"> </w:t>
      </w:r>
      <w:r w:rsidR="00454668">
        <w:rPr>
          <w:rFonts w:ascii="Verdana" w:hAnsi="Verdana" w:cs="Arial"/>
          <w:sz w:val="16"/>
          <w:szCs w:val="16"/>
        </w:rPr>
        <w:t xml:space="preserve"> Ley 715 de 2001: </w:t>
      </w:r>
      <w:r w:rsidRPr="00623C09">
        <w:rPr>
          <w:rFonts w:ascii="Verdana" w:hAnsi="Verdana" w:cs="Arial"/>
          <w:sz w:val="16"/>
          <w:szCs w:val="16"/>
        </w:rPr>
        <w:t>“Artículo 13. Procedimientos de contratación de los fondos de servicios educativos. Todos los actos y contratos que tengan por objeto bienes y obligaciones que hayan de registrarse en la contabilidad de los Fondos de servicios educativos a los que se refiere el artículo anterior, se harán respetando los principios de igualdad, moralidad, imparcialidad y publicidad, aplicados en forma razonable a las circunstancias concretas en las que hayan de celebrarse. Se harán con el propósito fundamental de proteger los derechos de los niños y de los jóvenes, y de conseguir eficacia y celeridad en la atención del servicio educativo, y economía en el uso de los recursos públicos.</w:t>
      </w:r>
    </w:p>
    <w:p w14:paraId="5EE5D195" w14:textId="77777777" w:rsidR="006E5332" w:rsidRPr="00623C09" w:rsidRDefault="006E5332" w:rsidP="00623C09">
      <w:pPr>
        <w:spacing w:line="240" w:lineRule="auto"/>
        <w:ind w:firstLine="708"/>
        <w:jc w:val="both"/>
        <w:rPr>
          <w:rFonts w:ascii="Verdana" w:eastAsia="Times New Roman" w:hAnsi="Verdana" w:cs="Arial"/>
          <w:sz w:val="16"/>
          <w:szCs w:val="16"/>
          <w:lang w:eastAsia="es-CO"/>
        </w:rPr>
      </w:pPr>
      <w:r w:rsidRPr="00623C09">
        <w:rPr>
          <w:rFonts w:ascii="Verdana" w:eastAsia="Times New Roman" w:hAnsi="Verdana" w:cs="Arial"/>
          <w:sz w:val="16"/>
          <w:szCs w:val="16"/>
          <w:lang w:eastAsia="es-CO"/>
        </w:rPr>
        <w:t>“</w:t>
      </w:r>
      <w:r w:rsidRPr="00623C09">
        <w:rPr>
          <w:rFonts w:ascii="Verdana" w:eastAsia="Times New Roman" w:hAnsi="Verdana" w:cs="Arial"/>
          <w:i/>
          <w:iCs/>
          <w:sz w:val="16"/>
          <w:szCs w:val="16"/>
          <w:lang w:eastAsia="es-CO"/>
        </w:rPr>
        <w:t>Los actos y contratos de cuantía superior a veinte (20) salarios mínimos mensuales se regirán por las reglas de la contratación estatal</w:t>
      </w:r>
      <w:r w:rsidRPr="00623C09">
        <w:rPr>
          <w:rFonts w:ascii="Verdana" w:eastAsia="Times New Roman" w:hAnsi="Verdana" w:cs="Arial"/>
          <w:sz w:val="16"/>
          <w:szCs w:val="16"/>
          <w:lang w:eastAsia="es-CO"/>
        </w:rPr>
        <w:t xml:space="preserve">, teniendo en cuenta su valor y naturaleza, y las circunstancias en las que se celebren. El Gobierno Nacional podrá indicar los casos en los cuales la cuantía señalada en el presente inciso será menor. </w:t>
      </w:r>
    </w:p>
    <w:p w14:paraId="31A61E7E" w14:textId="77777777" w:rsidR="006E5332" w:rsidRPr="00623C09" w:rsidRDefault="006E5332" w:rsidP="00623C09">
      <w:pPr>
        <w:spacing w:line="240" w:lineRule="auto"/>
        <w:ind w:firstLine="708"/>
        <w:jc w:val="both"/>
        <w:rPr>
          <w:rFonts w:ascii="Verdana" w:eastAsia="Times New Roman" w:hAnsi="Verdana" w:cs="Arial"/>
          <w:sz w:val="16"/>
          <w:szCs w:val="16"/>
          <w:lang w:eastAsia="es-CO"/>
        </w:rPr>
      </w:pPr>
      <w:r w:rsidRPr="00623C09">
        <w:rPr>
          <w:rFonts w:ascii="Verdana" w:eastAsia="Times New Roman" w:hAnsi="Verdana" w:cs="Arial"/>
          <w:sz w:val="16"/>
          <w:szCs w:val="16"/>
          <w:lang w:eastAsia="es-CO"/>
        </w:rPr>
        <w:t>“El rector o director celebrará los contratos que hayan de pagarse con cargo a los recursos vinculados a los Fondos, en las condiciones y dentro de los límites que fijen los reglamentos.</w:t>
      </w:r>
    </w:p>
    <w:p w14:paraId="4CEC9EB1" w14:textId="77777777" w:rsidR="006E5332" w:rsidRPr="00623C09" w:rsidRDefault="006E5332" w:rsidP="00623C09">
      <w:pPr>
        <w:spacing w:line="240" w:lineRule="auto"/>
        <w:ind w:firstLine="708"/>
        <w:jc w:val="both"/>
        <w:rPr>
          <w:rFonts w:ascii="Verdana" w:eastAsia="Times New Roman" w:hAnsi="Verdana" w:cs="Arial"/>
          <w:sz w:val="16"/>
          <w:szCs w:val="16"/>
          <w:lang w:eastAsia="es-CO"/>
        </w:rPr>
      </w:pPr>
      <w:r w:rsidRPr="00623C09">
        <w:rPr>
          <w:rFonts w:ascii="Verdana" w:eastAsia="Times New Roman" w:hAnsi="Verdana" w:cs="Arial"/>
          <w:sz w:val="16"/>
          <w:szCs w:val="16"/>
          <w:u w:val="single"/>
          <w:lang w:eastAsia="es-CO"/>
        </w:rPr>
        <w:t>“</w:t>
      </w:r>
      <w:r w:rsidRPr="00623C09">
        <w:rPr>
          <w:rFonts w:ascii="Verdana" w:eastAsia="Times New Roman" w:hAnsi="Verdana" w:cs="Arial"/>
          <w:i/>
          <w:iCs/>
          <w:sz w:val="16"/>
          <w:szCs w:val="16"/>
          <w:lang w:eastAsia="es-CO"/>
        </w:rPr>
        <w:t>Con estricta sujeción a los principios y propósitos enunciados en el primer inciso de este artículo, y a los reglamentos de esta Ley, el Consejo Directivo de cada establecimiento podrá señalar, con base en la experiencia y en el análisis concreto de las necesidades del establecimiento, los trámites, garantías y constancias que deben cumplirse para que el rector o director celebre cualquier acto o contrato que cree, extinga o modifique obligaciones que deban registrarse en el Fondo, y cuya cuantía sea inferior a veinte (20) salarios mínimos mensuales. El Consejo puede exigir, además, que ciertos actos o contratos requieran una autorización suya específica</w:t>
      </w:r>
      <w:r w:rsidRPr="00623C09">
        <w:rPr>
          <w:rFonts w:ascii="Verdana" w:eastAsia="Times New Roman" w:hAnsi="Verdana" w:cs="Arial"/>
          <w:sz w:val="16"/>
          <w:szCs w:val="16"/>
          <w:lang w:eastAsia="es-CO"/>
        </w:rPr>
        <w:t>”</w:t>
      </w:r>
    </w:p>
    <w:p w14:paraId="44D5D3C2" w14:textId="07C5D5E2" w:rsidR="006E5332" w:rsidRPr="00623C09" w:rsidRDefault="006E5332" w:rsidP="002E195E">
      <w:pPr>
        <w:pStyle w:val="FootnoteText"/>
        <w:ind w:firstLine="708"/>
        <w:jc w:val="both"/>
        <w:rPr>
          <w:rFonts w:ascii="Verdana" w:hAnsi="Verdana" w:cs="Arial"/>
          <w:color w:val="000000" w:themeColor="text1"/>
          <w:sz w:val="16"/>
          <w:szCs w:val="16"/>
        </w:rPr>
      </w:pPr>
      <w:r w:rsidRPr="00623C09">
        <w:rPr>
          <w:rFonts w:ascii="Verdana" w:hAnsi="Verdana" w:cs="Arial"/>
          <w:color w:val="000000" w:themeColor="text1"/>
          <w:sz w:val="16"/>
          <w:szCs w:val="16"/>
        </w:rPr>
        <w:t>Decreto 1075 de 2015: “Artículo 2.3.1.6.3.5. Funciones del Consejo Directivo. (…) 6. Reglamentar mediante acuerdo los procedimientos, formalidades y garantías para toda contratación que no supere los veinte (20) salarios mínimos legales mensuales vigentes (SMLMV)”.</w:t>
      </w:r>
    </w:p>
  </w:footnote>
  <w:footnote w:id="5">
    <w:p w14:paraId="5EFE0A64" w14:textId="77777777" w:rsidR="00ED19A5" w:rsidRPr="007E2DF6" w:rsidRDefault="00ED19A5" w:rsidP="00ED19A5">
      <w:pPr>
        <w:pStyle w:val="FootnoteText"/>
        <w:ind w:firstLine="709"/>
        <w:jc w:val="both"/>
        <w:rPr>
          <w:rFonts w:ascii="Verdana" w:hAnsi="Verdana" w:cs="Arial"/>
          <w:sz w:val="16"/>
          <w:szCs w:val="16"/>
        </w:rPr>
      </w:pPr>
      <w:r w:rsidRPr="007E2DF6">
        <w:rPr>
          <w:rStyle w:val="FootnoteReference"/>
          <w:rFonts w:ascii="Verdana" w:hAnsi="Verdana" w:cs="Arial"/>
          <w:sz w:val="16"/>
          <w:szCs w:val="16"/>
        </w:rPr>
        <w:footnoteRef/>
      </w:r>
      <w:r w:rsidRPr="007E2DF6">
        <w:rPr>
          <w:rFonts w:ascii="Verdana" w:hAnsi="Verdana" w:cs="Arial"/>
          <w:sz w:val="16"/>
          <w:szCs w:val="16"/>
        </w:rPr>
        <w:t xml:space="preserve"> CONSEJO DE ESTADO, Sala de Consulta y Servicio Civil. Radicado No. 1453. Concepto de 6 de agosto de 2003. MP. Augusto Trejos.</w:t>
      </w:r>
    </w:p>
  </w:footnote>
  <w:footnote w:id="6">
    <w:p w14:paraId="554244B9" w14:textId="78E487B3" w:rsidR="00624DEE" w:rsidRPr="00623C09" w:rsidRDefault="00624DEE" w:rsidP="00623C09">
      <w:pPr>
        <w:pStyle w:val="FootnoteText"/>
        <w:ind w:firstLine="708"/>
        <w:jc w:val="both"/>
        <w:rPr>
          <w:rFonts w:ascii="Verdana" w:hAnsi="Verdana"/>
          <w:sz w:val="16"/>
          <w:szCs w:val="16"/>
        </w:rPr>
      </w:pPr>
      <w:r w:rsidRPr="00623C09">
        <w:rPr>
          <w:rStyle w:val="FootnoteReference"/>
          <w:rFonts w:ascii="Verdana" w:hAnsi="Verdana"/>
          <w:sz w:val="16"/>
          <w:szCs w:val="16"/>
        </w:rPr>
        <w:footnoteRef/>
      </w:r>
      <w:r w:rsidRPr="00623C09">
        <w:rPr>
          <w:rFonts w:ascii="Verdana" w:hAnsi="Verdana"/>
          <w:sz w:val="16"/>
          <w:szCs w:val="16"/>
        </w:rPr>
        <w:t xml:space="preserve"> Decret</w:t>
      </w:r>
      <w:r w:rsidR="00842906" w:rsidRPr="00623C09">
        <w:rPr>
          <w:rFonts w:ascii="Verdana" w:hAnsi="Verdana"/>
          <w:sz w:val="16"/>
          <w:szCs w:val="16"/>
        </w:rPr>
        <w:t xml:space="preserve">o 1082 de 2015. </w:t>
      </w:r>
      <w:r w:rsidRPr="00623C09">
        <w:rPr>
          <w:rFonts w:ascii="Verdana" w:hAnsi="Verdana"/>
          <w:sz w:val="16"/>
          <w:szCs w:val="16"/>
        </w:rPr>
        <w:t xml:space="preserve">“Artículo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 </w:t>
      </w:r>
    </w:p>
    <w:p w14:paraId="64EF6607" w14:textId="42D1F154" w:rsidR="00624DEE" w:rsidRPr="00623C09" w:rsidRDefault="00624DEE" w:rsidP="00623C09">
      <w:pPr>
        <w:pStyle w:val="FootnoteText"/>
        <w:ind w:firstLine="708"/>
        <w:jc w:val="both"/>
        <w:rPr>
          <w:rFonts w:ascii="Verdana" w:hAnsi="Verdana"/>
          <w:sz w:val="16"/>
          <w:szCs w:val="16"/>
        </w:rPr>
      </w:pPr>
      <w:r w:rsidRPr="00623C09">
        <w:rPr>
          <w:rFonts w:ascii="Verdana" w:hAnsi="Verdana"/>
          <w:sz w:val="16"/>
          <w:szCs w:val="16"/>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footnote>
  <w:footnote w:id="7">
    <w:p w14:paraId="1592D43C" w14:textId="77777777" w:rsidR="00897B24" w:rsidRPr="00623C09" w:rsidRDefault="00897B24" w:rsidP="002E195E">
      <w:pPr>
        <w:pStyle w:val="FootnoteText"/>
        <w:ind w:firstLine="708"/>
        <w:rPr>
          <w:rFonts w:ascii="Verdana" w:hAnsi="Verdana"/>
          <w:sz w:val="16"/>
          <w:szCs w:val="16"/>
        </w:rPr>
      </w:pPr>
    </w:p>
    <w:p w14:paraId="2EE53BFD" w14:textId="44B9DCD2" w:rsidR="00897B24" w:rsidRPr="00623C09" w:rsidRDefault="00897B24" w:rsidP="00623C09">
      <w:pPr>
        <w:pStyle w:val="FootnoteText"/>
        <w:ind w:firstLine="708"/>
        <w:jc w:val="both"/>
        <w:rPr>
          <w:rFonts w:ascii="Verdana" w:hAnsi="Verdana"/>
          <w:sz w:val="16"/>
          <w:szCs w:val="16"/>
        </w:rPr>
      </w:pPr>
      <w:r w:rsidRPr="00623C09">
        <w:rPr>
          <w:rStyle w:val="FootnoteReference"/>
          <w:rFonts w:ascii="Verdana" w:hAnsi="Verdana"/>
          <w:sz w:val="16"/>
          <w:szCs w:val="16"/>
        </w:rPr>
        <w:footnoteRef/>
      </w:r>
      <w:r w:rsidRPr="00623C09">
        <w:rPr>
          <w:rFonts w:ascii="Verdana" w:hAnsi="Verdana"/>
          <w:sz w:val="16"/>
          <w:szCs w:val="16"/>
        </w:rPr>
        <w:t xml:space="preserve"> Decreto 1081 de 2015: “Artículo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6FF29CF1" w14:textId="77777777" w:rsidR="00897B24" w:rsidRPr="00623C09" w:rsidRDefault="00897B24" w:rsidP="00623C09">
      <w:pPr>
        <w:pStyle w:val="FootnoteText"/>
        <w:ind w:firstLine="708"/>
        <w:jc w:val="both"/>
        <w:rPr>
          <w:rFonts w:ascii="Verdana" w:hAnsi="Verdana"/>
          <w:sz w:val="16"/>
          <w:szCs w:val="16"/>
        </w:rPr>
      </w:pPr>
      <w:r w:rsidRPr="00623C09">
        <w:rPr>
          <w:rFonts w:ascii="Verdana" w:hAnsi="Verdana"/>
          <w:sz w:val="16"/>
          <w:szCs w:val="16"/>
        </w:rPr>
        <w:t xml:space="preserve">Los sujetos obligados que contratan con cargo a recursos públicos deben publicar la información de su gestión contractual en el plazo previsto en el artículo 19 del Decreto 1510 de 2013, o el que lo modifique, sustituya o adicione. </w:t>
      </w:r>
    </w:p>
    <w:p w14:paraId="4D2A9094" w14:textId="77777777" w:rsidR="00084D3A" w:rsidRPr="00623C09" w:rsidRDefault="00897B24" w:rsidP="002E195E">
      <w:pPr>
        <w:pStyle w:val="FootnoteText"/>
        <w:ind w:firstLine="708"/>
        <w:jc w:val="both"/>
        <w:rPr>
          <w:rFonts w:ascii="Verdana" w:hAnsi="Verdana"/>
          <w:sz w:val="16"/>
          <w:szCs w:val="16"/>
        </w:rPr>
      </w:pPr>
      <w:r w:rsidRPr="00623C09">
        <w:rPr>
          <w:rFonts w:ascii="Verdana" w:hAnsi="Verdana"/>
          <w:sz w:val="16"/>
          <w:szCs w:val="16"/>
        </w:rPr>
        <w:t xml:space="preserve">Los sujetos obligados que contratan con recursos públicos y recursos privados, deben publicar la información de su gestión contractual con cargo a recursos públicos en el Sistema Electrónico para la Contratación Pública (SECOP)”. </w:t>
      </w:r>
    </w:p>
    <w:p w14:paraId="44E2D378" w14:textId="51D756D2" w:rsidR="00897B24" w:rsidRPr="00623C09" w:rsidRDefault="00897B24" w:rsidP="00623C09">
      <w:pPr>
        <w:pStyle w:val="FootnoteText"/>
        <w:ind w:firstLine="708"/>
        <w:jc w:val="both"/>
        <w:rPr>
          <w:rFonts w:ascii="Verdana" w:hAnsi="Verdana"/>
          <w:sz w:val="16"/>
          <w:szCs w:val="16"/>
        </w:rPr>
      </w:pPr>
      <w:r w:rsidRPr="00623C09">
        <w:rPr>
          <w:rFonts w:ascii="Verdana" w:hAnsi="Verdana"/>
          <w:sz w:val="16"/>
          <w:szCs w:val="16"/>
        </w:rPr>
        <w:t xml:space="preserve"> </w:t>
      </w:r>
    </w:p>
  </w:footnote>
  <w:footnote w:id="8">
    <w:p w14:paraId="61B99E60" w14:textId="624EE775" w:rsidR="00084D3A" w:rsidRPr="00623C09" w:rsidRDefault="00084D3A" w:rsidP="00623C09">
      <w:pPr>
        <w:pStyle w:val="FootnoteText"/>
        <w:ind w:firstLine="708"/>
        <w:jc w:val="both"/>
        <w:rPr>
          <w:rFonts w:ascii="Verdana" w:hAnsi="Verdana"/>
          <w:sz w:val="16"/>
          <w:szCs w:val="16"/>
        </w:rPr>
      </w:pPr>
      <w:r w:rsidRPr="00623C09">
        <w:rPr>
          <w:rStyle w:val="FootnoteReference"/>
          <w:rFonts w:ascii="Verdana" w:hAnsi="Verdana"/>
          <w:sz w:val="16"/>
          <w:szCs w:val="16"/>
        </w:rPr>
        <w:footnoteRef/>
      </w:r>
      <w:r w:rsidRPr="00623C09">
        <w:rPr>
          <w:rFonts w:ascii="Verdana" w:hAnsi="Verdana"/>
          <w:sz w:val="16"/>
          <w:szCs w:val="16"/>
        </w:rPr>
        <w:t xml:space="preserve"> Decreto 1082 de 2015: “Artículo 2.2.1.1.2.1.4. Observaciones al proyecto de pliegos de condiciones. Los interesados pueden hacer comentarios al proyecto de pliegos de condiciones a partir de la fecha de publicación de los mismos: (a) durante un término de diez (10) días hábiles en la licitación pública; y (b) durante un término de cinco (5) días hábiles en la selección abreviada y el concurso de méritos”.  </w:t>
      </w:r>
    </w:p>
  </w:footnote>
  <w:footnote w:id="9">
    <w:p w14:paraId="2D46CB33" w14:textId="77777777" w:rsidR="002E195E" w:rsidRPr="00623C09" w:rsidRDefault="002E195E" w:rsidP="002E195E">
      <w:pPr>
        <w:pStyle w:val="FootnoteText"/>
        <w:ind w:firstLine="708"/>
        <w:rPr>
          <w:rFonts w:ascii="Verdana" w:hAnsi="Verdana"/>
          <w:sz w:val="16"/>
          <w:szCs w:val="16"/>
        </w:rPr>
      </w:pPr>
    </w:p>
    <w:p w14:paraId="22CAD2C9" w14:textId="6BBF2772" w:rsidR="002E195E" w:rsidRPr="00623C09" w:rsidRDefault="002E195E" w:rsidP="002E195E">
      <w:pPr>
        <w:pStyle w:val="FootnoteText"/>
        <w:ind w:firstLine="708"/>
        <w:jc w:val="both"/>
        <w:rPr>
          <w:rFonts w:ascii="Verdana" w:hAnsi="Verdana" w:cs="Arial"/>
          <w:color w:val="000000" w:themeColor="text1"/>
          <w:sz w:val="16"/>
          <w:szCs w:val="16"/>
          <w:lang w:val="es-ES"/>
        </w:rPr>
      </w:pPr>
      <w:r w:rsidRPr="00623C09">
        <w:rPr>
          <w:rStyle w:val="FootnoteReference"/>
          <w:rFonts w:ascii="Verdana" w:hAnsi="Verdana"/>
          <w:sz w:val="16"/>
          <w:szCs w:val="16"/>
        </w:rPr>
        <w:footnoteRef/>
      </w:r>
      <w:r w:rsidRPr="00623C09">
        <w:rPr>
          <w:rFonts w:ascii="Verdana" w:hAnsi="Verdana"/>
          <w:sz w:val="16"/>
          <w:szCs w:val="16"/>
        </w:rPr>
        <w:t xml:space="preserve"> El </w:t>
      </w:r>
      <w:r w:rsidRPr="00623C09">
        <w:rPr>
          <w:rFonts w:ascii="Verdana" w:eastAsia="Calibri" w:hAnsi="Verdana" w:cs="Arial"/>
          <w:color w:val="000000" w:themeColor="text1"/>
          <w:sz w:val="16"/>
          <w:szCs w:val="16"/>
          <w:lang w:val="es-ES_tradnl"/>
        </w:rPr>
        <w:t xml:space="preserve">artículo 836 del Código de Comercio define la </w:t>
      </w:r>
      <w:r w:rsidRPr="00623C09">
        <w:rPr>
          <w:rFonts w:ascii="Verdana" w:eastAsia="Calibri" w:hAnsi="Verdana" w:cs="Arial"/>
          <w:i/>
          <w:iCs/>
          <w:color w:val="000000" w:themeColor="text1"/>
          <w:sz w:val="16"/>
          <w:szCs w:val="16"/>
          <w:lang w:val="es-ES_tradnl"/>
        </w:rPr>
        <w:t>firma</w:t>
      </w:r>
      <w:r w:rsidRPr="00623C09">
        <w:rPr>
          <w:rFonts w:ascii="Verdana" w:eastAsia="Calibri" w:hAnsi="Verdana" w:cs="Arial"/>
          <w:color w:val="000000" w:themeColor="text1"/>
          <w:sz w:val="16"/>
          <w:szCs w:val="16"/>
          <w:lang w:val="es-ES_tradnl"/>
        </w:rPr>
        <w:t xml:space="preserve"> como “la expresión del nombre del suscriptor o de alguno de los elementos que la integren o de un signo o símbolo empleado como medio de identificación personal”, es decir, la forma por la cual se identifica a una persona ya sea con el nombre del suscriptor, un símbolo o signo.  Dentro del concepto general, la </w:t>
      </w:r>
      <w:r w:rsidRPr="00623C09">
        <w:rPr>
          <w:rFonts w:ascii="Verdana" w:eastAsia="Calibri" w:hAnsi="Verdana" w:cs="Arial"/>
          <w:i/>
          <w:iCs/>
          <w:color w:val="000000" w:themeColor="text1"/>
          <w:sz w:val="16"/>
          <w:szCs w:val="16"/>
          <w:lang w:val="es-ES_tradnl"/>
        </w:rPr>
        <w:t>firma manuscrita</w:t>
      </w:r>
      <w:r w:rsidRPr="00623C09">
        <w:rPr>
          <w:rFonts w:ascii="Verdana" w:eastAsia="Calibri" w:hAnsi="Verdana" w:cs="Arial"/>
          <w:color w:val="000000" w:themeColor="text1"/>
          <w:sz w:val="16"/>
          <w:szCs w:val="16"/>
          <w:lang w:val="es-ES_tradnl"/>
        </w:rPr>
        <w:t xml:space="preserve"> </w:t>
      </w:r>
      <w:r w:rsidRPr="00623C09">
        <w:rPr>
          <w:rFonts w:ascii="Verdana" w:eastAsia="Calibri" w:hAnsi="Verdana" w:cs="Arial"/>
          <w:color w:val="000000" w:themeColor="text1"/>
          <w:sz w:val="16"/>
          <w:szCs w:val="16"/>
        </w:rPr>
        <w:t>es “[…] un rasgo o signo impuesto del puño y letra de una persona, con el cual, de forma general y reiterada, se compromete con el contenido de los documentos que la consignan, o da fe de que lo allí registrado obedece a la realidad”</w:t>
      </w:r>
      <w:r w:rsidRPr="00623C09">
        <w:rPr>
          <w:rFonts w:ascii="Verdana" w:hAnsi="Verdana" w:cs="Arial"/>
          <w:color w:val="000000" w:themeColor="text1"/>
          <w:sz w:val="16"/>
          <w:szCs w:val="16"/>
          <w:lang w:val="es-ES"/>
        </w:rPr>
        <w:t xml:space="preserve"> REMOLINA, Nelson y PEÑA, Lisandro De los títulos valores y de los valores en el contexto digital. Bogotá: Temis, 2011. p. 120.</w:t>
      </w:r>
    </w:p>
    <w:p w14:paraId="576D19DF" w14:textId="0CE44646" w:rsidR="002E195E" w:rsidRPr="00623C09" w:rsidRDefault="002E195E" w:rsidP="00623C09">
      <w:pPr>
        <w:pStyle w:val="FootnoteText"/>
        <w:ind w:firstLine="708"/>
        <w:rPr>
          <w:rFonts w:ascii="Verdana" w:hAnsi="Verdana"/>
          <w:sz w:val="16"/>
          <w:szCs w:val="16"/>
        </w:rPr>
      </w:pPr>
    </w:p>
  </w:footnote>
  <w:footnote w:id="10">
    <w:p w14:paraId="2942BEB8" w14:textId="45715986" w:rsidR="002E195E" w:rsidRPr="00623C09" w:rsidRDefault="002E195E" w:rsidP="00623C09">
      <w:pPr>
        <w:spacing w:after="0" w:line="240" w:lineRule="auto"/>
        <w:ind w:firstLine="708"/>
        <w:jc w:val="both"/>
        <w:rPr>
          <w:rFonts w:ascii="Verdana" w:hAnsi="Verdana"/>
          <w:sz w:val="16"/>
          <w:szCs w:val="16"/>
        </w:rPr>
      </w:pPr>
      <w:r w:rsidRPr="00623C09">
        <w:rPr>
          <w:rStyle w:val="FootnoteReference"/>
          <w:rFonts w:ascii="Verdana" w:hAnsi="Verdana"/>
          <w:sz w:val="16"/>
          <w:szCs w:val="16"/>
        </w:rPr>
        <w:footnoteRef/>
      </w:r>
      <w:r w:rsidRPr="00623C09">
        <w:rPr>
          <w:rFonts w:ascii="Verdana" w:hAnsi="Verdana"/>
          <w:sz w:val="16"/>
          <w:szCs w:val="16"/>
        </w:rPr>
        <w:t xml:space="preserve">  </w:t>
      </w:r>
      <w:r w:rsidRPr="00623C09">
        <w:rPr>
          <w:rFonts w:ascii="Verdana" w:eastAsia="Calibri" w:hAnsi="Verdana" w:cs="Arial"/>
          <w:color w:val="000000" w:themeColor="text1"/>
          <w:sz w:val="16"/>
          <w:szCs w:val="16"/>
        </w:rPr>
        <w:t xml:space="preserve">El artículo 1 del Decreto 2364 de 2012 define a </w:t>
      </w:r>
      <w:r w:rsidRPr="00623C09">
        <w:rPr>
          <w:rFonts w:ascii="Verdana" w:eastAsia="Calibri" w:hAnsi="Verdana" w:cs="Arial"/>
          <w:i/>
          <w:iCs/>
          <w:color w:val="000000" w:themeColor="text1"/>
          <w:sz w:val="16"/>
          <w:szCs w:val="16"/>
        </w:rPr>
        <w:t>firma electrónica</w:t>
      </w:r>
      <w:r w:rsidRPr="00623C09">
        <w:rPr>
          <w:rFonts w:ascii="Verdana" w:eastAsia="Calibri" w:hAnsi="Verdana" w:cs="Arial"/>
          <w:color w:val="000000" w:themeColor="text1"/>
          <w:sz w:val="16"/>
          <w:szCs w:val="16"/>
        </w:rPr>
        <w:t xml:space="preserve">, como “aquella que se realiza a través de métodos tales como, códigos, contraseñas, datos biométricos, o claves criptográficas privadas, que permite identificar a una persona, en relación con un mensaje de datos, siempre y cuando el mismo sea confiable y apropiado respecto de los fines para los que se utiliza la firma, atendidas todas las circunstancias del caso, así como cualquier acuerdo pertinente”. En este sentido, los atributos jurídicos que debe tener la firma electrónica son: i) identificar el firmante, </w:t>
      </w:r>
      <w:proofErr w:type="spellStart"/>
      <w:r w:rsidRPr="00623C09">
        <w:rPr>
          <w:rFonts w:ascii="Verdana" w:eastAsia="Calibri" w:hAnsi="Verdana" w:cs="Arial"/>
          <w:color w:val="000000" w:themeColor="text1"/>
          <w:sz w:val="16"/>
          <w:szCs w:val="16"/>
        </w:rPr>
        <w:t>ii</w:t>
      </w:r>
      <w:proofErr w:type="spellEnd"/>
      <w:r w:rsidRPr="00623C09">
        <w:rPr>
          <w:rFonts w:ascii="Verdana" w:eastAsia="Calibri" w:hAnsi="Verdana" w:cs="Arial"/>
          <w:color w:val="000000" w:themeColor="text1"/>
          <w:sz w:val="16"/>
          <w:szCs w:val="16"/>
        </w:rPr>
        <w:t xml:space="preserve">) asegurar que el documento firmado es exactamente el mismo que el original y </w:t>
      </w:r>
      <w:proofErr w:type="spellStart"/>
      <w:r w:rsidRPr="00623C09">
        <w:rPr>
          <w:rFonts w:ascii="Verdana" w:eastAsia="Calibri" w:hAnsi="Verdana" w:cs="Arial"/>
          <w:color w:val="000000" w:themeColor="text1"/>
          <w:sz w:val="16"/>
          <w:szCs w:val="16"/>
        </w:rPr>
        <w:t>iii</w:t>
      </w:r>
      <w:proofErr w:type="spellEnd"/>
      <w:r w:rsidRPr="00623C09">
        <w:rPr>
          <w:rFonts w:ascii="Verdana" w:eastAsia="Calibri" w:hAnsi="Verdana" w:cs="Arial"/>
          <w:color w:val="000000" w:themeColor="text1"/>
          <w:sz w:val="16"/>
          <w:szCs w:val="16"/>
        </w:rPr>
        <w:t xml:space="preserve">) asegurar que los datos que utiliza el firmante para realizar la firma son únicos y exclusivos. </w:t>
      </w:r>
    </w:p>
  </w:footnote>
  <w:footnote w:id="11">
    <w:p w14:paraId="48114D76" w14:textId="77777777" w:rsidR="00350E5A" w:rsidRPr="00623C09" w:rsidRDefault="00350E5A" w:rsidP="002E195E">
      <w:pPr>
        <w:pStyle w:val="FootnoteText"/>
        <w:ind w:firstLine="708"/>
        <w:rPr>
          <w:rFonts w:ascii="Verdana" w:hAnsi="Verdana"/>
          <w:sz w:val="16"/>
          <w:szCs w:val="16"/>
        </w:rPr>
      </w:pPr>
    </w:p>
    <w:p w14:paraId="5E8CB5C2" w14:textId="6564F854" w:rsidR="00350E5A" w:rsidRPr="00623C09" w:rsidRDefault="00350E5A" w:rsidP="00623C09">
      <w:pPr>
        <w:pStyle w:val="FootnoteText"/>
        <w:ind w:firstLine="708"/>
        <w:jc w:val="both"/>
        <w:rPr>
          <w:rFonts w:ascii="Verdana" w:hAnsi="Verdana"/>
          <w:sz w:val="16"/>
          <w:szCs w:val="16"/>
        </w:rPr>
      </w:pPr>
      <w:r w:rsidRPr="00623C09">
        <w:rPr>
          <w:rStyle w:val="FootnoteReference"/>
          <w:rFonts w:ascii="Verdana" w:hAnsi="Verdana"/>
          <w:sz w:val="16"/>
          <w:szCs w:val="16"/>
        </w:rPr>
        <w:footnoteRef/>
      </w:r>
      <w:r w:rsidRPr="00623C09">
        <w:rPr>
          <w:rFonts w:ascii="Verdana" w:hAnsi="Verdana"/>
          <w:sz w:val="16"/>
          <w:szCs w:val="16"/>
        </w:rPr>
        <w:t xml:space="preserve"> </w:t>
      </w:r>
      <w:r w:rsidR="001616AE" w:rsidRPr="00623C09">
        <w:rPr>
          <w:rFonts w:ascii="Verdana" w:eastAsia="Calibri" w:hAnsi="Verdana" w:cs="Arial"/>
          <w:color w:val="000000" w:themeColor="text1"/>
          <w:sz w:val="16"/>
          <w:szCs w:val="16"/>
        </w:rPr>
        <w:t>E</w:t>
      </w:r>
      <w:r w:rsidRPr="00623C09">
        <w:rPr>
          <w:rFonts w:ascii="Verdana" w:eastAsia="Calibri" w:hAnsi="Verdana" w:cs="Arial"/>
          <w:color w:val="000000" w:themeColor="text1"/>
          <w:sz w:val="16"/>
          <w:szCs w:val="16"/>
        </w:rPr>
        <w:t xml:space="preserve">l artículo 2 de la Ley 527 de 1999 define la </w:t>
      </w:r>
      <w:r w:rsidRPr="00623C09">
        <w:rPr>
          <w:rFonts w:ascii="Verdana" w:eastAsia="Calibri" w:hAnsi="Verdana" w:cs="Arial"/>
          <w:i/>
          <w:iCs/>
          <w:color w:val="000000" w:themeColor="text1"/>
          <w:sz w:val="16"/>
          <w:szCs w:val="16"/>
        </w:rPr>
        <w:t>firma digital</w:t>
      </w:r>
      <w:r w:rsidRPr="00623C09">
        <w:rPr>
          <w:rFonts w:ascii="Verdana" w:eastAsia="Calibri" w:hAnsi="Verdana" w:cs="Arial"/>
          <w:color w:val="000000" w:themeColor="text1"/>
          <w:sz w:val="16"/>
          <w:szCs w:val="16"/>
        </w:rPr>
        <w:t xml:space="preserve">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w:t>
      </w:r>
      <w:r w:rsidRPr="00623C09">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12154" w14:textId="26E0CE9D" w:rsidR="00756841" w:rsidRDefault="00A211EE">
    <w:pPr>
      <w:pStyle w:val="Header"/>
    </w:pPr>
    <w:r>
      <w:rPr>
        <w:rFonts w:ascii="Geomanist Bold" w:hAnsi="Geomanist Bold"/>
        <w:b/>
        <w:bCs/>
        <w:noProof/>
        <w:color w:val="002060"/>
        <w:sz w:val="24"/>
        <w:szCs w:val="24"/>
      </w:rPr>
      <w:drawing>
        <wp:anchor distT="0" distB="0" distL="114300" distR="114300" simplePos="0" relativeHeight="251658241" behindDoc="1" locked="0" layoutInCell="1" allowOverlap="1" wp14:anchorId="1963371B" wp14:editId="240CF296">
          <wp:simplePos x="0" y="0"/>
          <wp:positionH relativeFrom="margin">
            <wp:align>center</wp:align>
          </wp:positionH>
          <wp:positionV relativeFrom="paragraph">
            <wp:posOffset>-250190</wp:posOffset>
          </wp:positionV>
          <wp:extent cx="1924050" cy="856004"/>
          <wp:effectExtent l="0" t="0" r="0" b="1270"/>
          <wp:wrapNone/>
          <wp:docPr id="1309089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309089902"/>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6AB0A4A3">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435F4D03" w14:textId="67DABC48" w:rsidR="00756841" w:rsidRDefault="00756841" w:rsidP="00A211EE">
    <w:pPr>
      <w:pStyle w:val="Header"/>
      <w:jc w:val="center"/>
    </w:pPr>
  </w:p>
  <w:p w14:paraId="1BE2B9AE" w14:textId="4B94DB3B" w:rsidR="00756841" w:rsidRDefault="00756841">
    <w:pPr>
      <w:pStyle w:val="Header"/>
    </w:pPr>
  </w:p>
  <w:p w14:paraId="66537681" w14:textId="77777777" w:rsidR="00A211EE" w:rsidRDefault="00A211EE" w:rsidP="00A211EE">
    <w:pPr>
      <w:spacing w:after="0"/>
      <w:rPr>
        <w:rFonts w:ascii="Verdana" w:hAnsi="Verdana"/>
        <w:b/>
        <w:bCs/>
        <w:sz w:val="24"/>
        <w:szCs w:val="24"/>
      </w:rPr>
    </w:pPr>
  </w:p>
  <w:p w14:paraId="56E67371" w14:textId="77777777" w:rsidR="00A211EE" w:rsidRPr="00A211EE" w:rsidRDefault="00A211EE" w:rsidP="00A211EE">
    <w:pPr>
      <w:spacing w:after="0" w:line="120" w:lineRule="auto"/>
      <w:rPr>
        <w:rFonts w:ascii="Verdana" w:hAnsi="Verdana"/>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2061" w:hanging="360"/>
      </w:pPr>
      <w:rPr>
        <w:b/>
        <w:color w:val="000000" w:themeColor="text1"/>
      </w:rPr>
    </w:lvl>
    <w:lvl w:ilvl="1">
      <w:start w:val="2"/>
      <w:numFmt w:val="decimal"/>
      <w:isLgl/>
      <w:lvlText w:val="%1.%2"/>
      <w:lvlJc w:val="left"/>
      <w:pPr>
        <w:ind w:left="1701" w:hanging="360"/>
      </w:pPr>
    </w:lvl>
    <w:lvl w:ilvl="2">
      <w:start w:val="1"/>
      <w:numFmt w:val="decimal"/>
      <w:isLgl/>
      <w:lvlText w:val="%1.%2.%3"/>
      <w:lvlJc w:val="left"/>
      <w:pPr>
        <w:ind w:left="2421" w:hanging="720"/>
      </w:pPr>
    </w:lvl>
    <w:lvl w:ilvl="3">
      <w:start w:val="1"/>
      <w:numFmt w:val="decimal"/>
      <w:isLgl/>
      <w:lvlText w:val="%1.%2.%3.%4"/>
      <w:lvlJc w:val="left"/>
      <w:pPr>
        <w:ind w:left="2421" w:hanging="720"/>
      </w:pPr>
    </w:lvl>
    <w:lvl w:ilvl="4">
      <w:start w:val="1"/>
      <w:numFmt w:val="decimal"/>
      <w:isLgl/>
      <w:lvlText w:val="%1.%2.%3.%4.%5"/>
      <w:lvlJc w:val="left"/>
      <w:pPr>
        <w:ind w:left="2781" w:hanging="1080"/>
      </w:pPr>
    </w:lvl>
    <w:lvl w:ilvl="5">
      <w:start w:val="1"/>
      <w:numFmt w:val="decimal"/>
      <w:isLgl/>
      <w:lvlText w:val="%1.%2.%3.%4.%5.%6"/>
      <w:lvlJc w:val="left"/>
      <w:pPr>
        <w:ind w:left="2781" w:hanging="1080"/>
      </w:pPr>
    </w:lvl>
    <w:lvl w:ilvl="6">
      <w:start w:val="1"/>
      <w:numFmt w:val="decimal"/>
      <w:isLgl/>
      <w:lvlText w:val="%1.%2.%3.%4.%5.%6.%7"/>
      <w:lvlJc w:val="left"/>
      <w:pPr>
        <w:ind w:left="3141" w:hanging="1440"/>
      </w:pPr>
    </w:lvl>
    <w:lvl w:ilvl="7">
      <w:start w:val="1"/>
      <w:numFmt w:val="decimal"/>
      <w:isLgl/>
      <w:lvlText w:val="%1.%2.%3.%4.%5.%6.%7.%8"/>
      <w:lvlJc w:val="left"/>
      <w:pPr>
        <w:ind w:left="3141" w:hanging="1440"/>
      </w:pPr>
    </w:lvl>
    <w:lvl w:ilvl="8">
      <w:start w:val="1"/>
      <w:numFmt w:val="decimal"/>
      <w:isLgl/>
      <w:lvlText w:val="%1.%2.%3.%4.%5.%6.%7.%8.%9"/>
      <w:lvlJc w:val="left"/>
      <w:pPr>
        <w:ind w:left="350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29060D4A"/>
    <w:multiLevelType w:val="hybridMultilevel"/>
    <w:tmpl w:val="06DEAFD2"/>
    <w:lvl w:ilvl="0" w:tplc="B6AED670">
      <w:start w:val="1"/>
      <w:numFmt w:val="bullet"/>
      <w:lvlText w:val=""/>
      <w:lvlJc w:val="left"/>
      <w:pPr>
        <w:ind w:left="720" w:hanging="360"/>
      </w:pPr>
      <w:rPr>
        <w:rFonts w:ascii="Wingdings" w:hAnsi="Wingdings" w:hint="default"/>
        <w:color w:val="404040" w:themeColor="text1" w:themeTint="B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D576C3D"/>
    <w:multiLevelType w:val="hybridMultilevel"/>
    <w:tmpl w:val="8B8AA1E6"/>
    <w:lvl w:ilvl="0" w:tplc="A7724C60">
      <w:start w:val="1"/>
      <w:numFmt w:val="lowerRoman"/>
      <w:lvlText w:val="%1."/>
      <w:lvlJc w:val="left"/>
      <w:pPr>
        <w:ind w:left="1004" w:hanging="720"/>
      </w:pPr>
      <w:rPr>
        <w:rFonts w:hint="default"/>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8" w15:restartNumberingAfterBreak="0">
    <w:nsid w:val="587B1F6E"/>
    <w:multiLevelType w:val="hybridMultilevel"/>
    <w:tmpl w:val="0258624A"/>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9" w15:restartNumberingAfterBreak="0">
    <w:nsid w:val="590C79DB"/>
    <w:multiLevelType w:val="hybridMultilevel"/>
    <w:tmpl w:val="3D8479E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BA16D5E"/>
    <w:multiLevelType w:val="hybridMultilevel"/>
    <w:tmpl w:val="F766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91028A"/>
    <w:multiLevelType w:val="hybridMultilevel"/>
    <w:tmpl w:val="3B5A4626"/>
    <w:lvl w:ilvl="0" w:tplc="240A001B">
      <w:start w:val="1"/>
      <w:numFmt w:val="lowerRoman"/>
      <w:lvlText w:val="%1."/>
      <w:lvlJc w:val="right"/>
      <w:pPr>
        <w:ind w:left="1789" w:hanging="72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2" w15:restartNumberingAfterBreak="0">
    <w:nsid w:val="726E2424"/>
    <w:multiLevelType w:val="hybridMultilevel"/>
    <w:tmpl w:val="27AE9A22"/>
    <w:lvl w:ilvl="0" w:tplc="6F64C002">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64C1182"/>
    <w:multiLevelType w:val="hybridMultilevel"/>
    <w:tmpl w:val="4B4860F6"/>
    <w:lvl w:ilvl="0" w:tplc="16B8DA34">
      <w:start w:val="1"/>
      <w:numFmt w:val="decimal"/>
      <w:lvlText w:val="%1."/>
      <w:lvlJc w:val="left"/>
      <w:pPr>
        <w:ind w:left="1068" w:hanging="360"/>
      </w:pPr>
      <w:rPr>
        <w:rFonts w:hint="default"/>
        <w:b/>
        <w:bCs/>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16cid:durableId="948779781">
    <w:abstractNumId w:val="5"/>
  </w:num>
  <w:num w:numId="2" w16cid:durableId="19822139">
    <w:abstractNumId w:val="1"/>
  </w:num>
  <w:num w:numId="3" w16cid:durableId="876742304">
    <w:abstractNumId w:val="3"/>
  </w:num>
  <w:num w:numId="4" w16cid:durableId="2451864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1"/>
  </w:num>
  <w:num w:numId="6" w16cid:durableId="1239246843">
    <w:abstractNumId w:val="13"/>
  </w:num>
  <w:num w:numId="7" w16cid:durableId="272320471">
    <w:abstractNumId w:val="8"/>
  </w:num>
  <w:num w:numId="8" w16cid:durableId="419496100">
    <w:abstractNumId w:val="11"/>
  </w:num>
  <w:num w:numId="9" w16cid:durableId="1214317289">
    <w:abstractNumId w:val="7"/>
  </w:num>
  <w:num w:numId="10" w16cid:durableId="341274352">
    <w:abstractNumId w:val="0"/>
  </w:num>
  <w:num w:numId="11" w16cid:durableId="1492209491">
    <w:abstractNumId w:val="4"/>
  </w:num>
  <w:num w:numId="12" w16cid:durableId="679089576">
    <w:abstractNumId w:val="6"/>
  </w:num>
  <w:num w:numId="13" w16cid:durableId="1757287200">
    <w:abstractNumId w:val="10"/>
  </w:num>
  <w:num w:numId="14" w16cid:durableId="1790932795">
    <w:abstractNumId w:val="9"/>
  </w:num>
  <w:num w:numId="15" w16cid:durableId="1570771606">
    <w:abstractNumId w:val="12"/>
  </w:num>
  <w:num w:numId="16" w16cid:durableId="1846477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05A1"/>
    <w:rsid w:val="0000102B"/>
    <w:rsid w:val="00001F2C"/>
    <w:rsid w:val="00006817"/>
    <w:rsid w:val="000124A6"/>
    <w:rsid w:val="00014FA6"/>
    <w:rsid w:val="00016E46"/>
    <w:rsid w:val="000219C5"/>
    <w:rsid w:val="000220ED"/>
    <w:rsid w:val="000270D8"/>
    <w:rsid w:val="00030678"/>
    <w:rsid w:val="00034F00"/>
    <w:rsid w:val="000359AB"/>
    <w:rsid w:val="000359BD"/>
    <w:rsid w:val="0003686C"/>
    <w:rsid w:val="00040F84"/>
    <w:rsid w:val="0004102D"/>
    <w:rsid w:val="0004186B"/>
    <w:rsid w:val="00044B19"/>
    <w:rsid w:val="00045D9F"/>
    <w:rsid w:val="0004696F"/>
    <w:rsid w:val="00051D1B"/>
    <w:rsid w:val="00053393"/>
    <w:rsid w:val="00055C87"/>
    <w:rsid w:val="00056F34"/>
    <w:rsid w:val="00064D58"/>
    <w:rsid w:val="000705F9"/>
    <w:rsid w:val="00071973"/>
    <w:rsid w:val="00072169"/>
    <w:rsid w:val="00076D92"/>
    <w:rsid w:val="00083466"/>
    <w:rsid w:val="00084D3A"/>
    <w:rsid w:val="00085EF0"/>
    <w:rsid w:val="00087DF6"/>
    <w:rsid w:val="0009040E"/>
    <w:rsid w:val="00091173"/>
    <w:rsid w:val="000951A5"/>
    <w:rsid w:val="00097B98"/>
    <w:rsid w:val="000A1CC8"/>
    <w:rsid w:val="000A225B"/>
    <w:rsid w:val="000A45EB"/>
    <w:rsid w:val="000A46BC"/>
    <w:rsid w:val="000A683E"/>
    <w:rsid w:val="000B19B9"/>
    <w:rsid w:val="000B37EA"/>
    <w:rsid w:val="000B5F3E"/>
    <w:rsid w:val="000B6462"/>
    <w:rsid w:val="000C156A"/>
    <w:rsid w:val="000C1820"/>
    <w:rsid w:val="000C5170"/>
    <w:rsid w:val="000D0334"/>
    <w:rsid w:val="000D058C"/>
    <w:rsid w:val="000D250F"/>
    <w:rsid w:val="000D4694"/>
    <w:rsid w:val="000D7C5D"/>
    <w:rsid w:val="000E19CC"/>
    <w:rsid w:val="000E2C94"/>
    <w:rsid w:val="000E521B"/>
    <w:rsid w:val="000E626B"/>
    <w:rsid w:val="000E7480"/>
    <w:rsid w:val="000F01EF"/>
    <w:rsid w:val="000F05E8"/>
    <w:rsid w:val="000F5C4B"/>
    <w:rsid w:val="000F6486"/>
    <w:rsid w:val="00106288"/>
    <w:rsid w:val="001075F5"/>
    <w:rsid w:val="00111D7A"/>
    <w:rsid w:val="00113F6A"/>
    <w:rsid w:val="0011619E"/>
    <w:rsid w:val="00122923"/>
    <w:rsid w:val="0012469F"/>
    <w:rsid w:val="00124BAB"/>
    <w:rsid w:val="001266CB"/>
    <w:rsid w:val="00127233"/>
    <w:rsid w:val="00130FBD"/>
    <w:rsid w:val="00131E2F"/>
    <w:rsid w:val="00132176"/>
    <w:rsid w:val="00135724"/>
    <w:rsid w:val="00144870"/>
    <w:rsid w:val="00146E41"/>
    <w:rsid w:val="001471EA"/>
    <w:rsid w:val="00152100"/>
    <w:rsid w:val="001526E2"/>
    <w:rsid w:val="00152D64"/>
    <w:rsid w:val="001538BA"/>
    <w:rsid w:val="00155A73"/>
    <w:rsid w:val="001566DE"/>
    <w:rsid w:val="0016074A"/>
    <w:rsid w:val="001616AE"/>
    <w:rsid w:val="0016242E"/>
    <w:rsid w:val="00176891"/>
    <w:rsid w:val="00176E2F"/>
    <w:rsid w:val="001818EF"/>
    <w:rsid w:val="00183899"/>
    <w:rsid w:val="0018505B"/>
    <w:rsid w:val="001865A8"/>
    <w:rsid w:val="001875DA"/>
    <w:rsid w:val="001915EB"/>
    <w:rsid w:val="00192707"/>
    <w:rsid w:val="0019366C"/>
    <w:rsid w:val="00195B34"/>
    <w:rsid w:val="001A0AF4"/>
    <w:rsid w:val="001A164F"/>
    <w:rsid w:val="001A47D2"/>
    <w:rsid w:val="001A7EE1"/>
    <w:rsid w:val="001B0306"/>
    <w:rsid w:val="001B2C4C"/>
    <w:rsid w:val="001B3991"/>
    <w:rsid w:val="001B42ED"/>
    <w:rsid w:val="001B52B0"/>
    <w:rsid w:val="001B77EB"/>
    <w:rsid w:val="001B7A4E"/>
    <w:rsid w:val="001B7F70"/>
    <w:rsid w:val="001C130D"/>
    <w:rsid w:val="001C48C4"/>
    <w:rsid w:val="001D0165"/>
    <w:rsid w:val="001D49A0"/>
    <w:rsid w:val="001D6026"/>
    <w:rsid w:val="001E0204"/>
    <w:rsid w:val="001E2383"/>
    <w:rsid w:val="001E354D"/>
    <w:rsid w:val="001E4177"/>
    <w:rsid w:val="001E474F"/>
    <w:rsid w:val="001E4EFC"/>
    <w:rsid w:val="001E5977"/>
    <w:rsid w:val="001F1229"/>
    <w:rsid w:val="001F157A"/>
    <w:rsid w:val="001F7E81"/>
    <w:rsid w:val="00200A4D"/>
    <w:rsid w:val="002012A7"/>
    <w:rsid w:val="0020151E"/>
    <w:rsid w:val="00201AFE"/>
    <w:rsid w:val="00201CAE"/>
    <w:rsid w:val="00204820"/>
    <w:rsid w:val="00206480"/>
    <w:rsid w:val="002070B8"/>
    <w:rsid w:val="00211D2E"/>
    <w:rsid w:val="00211DB2"/>
    <w:rsid w:val="002123BA"/>
    <w:rsid w:val="00214CCB"/>
    <w:rsid w:val="0022114E"/>
    <w:rsid w:val="00221AF7"/>
    <w:rsid w:val="00223025"/>
    <w:rsid w:val="00223AA5"/>
    <w:rsid w:val="002253F2"/>
    <w:rsid w:val="00226893"/>
    <w:rsid w:val="0023088D"/>
    <w:rsid w:val="00232B95"/>
    <w:rsid w:val="0023309F"/>
    <w:rsid w:val="00234194"/>
    <w:rsid w:val="0023596B"/>
    <w:rsid w:val="00236764"/>
    <w:rsid w:val="002407E1"/>
    <w:rsid w:val="0024414A"/>
    <w:rsid w:val="00244283"/>
    <w:rsid w:val="0024532E"/>
    <w:rsid w:val="0024736B"/>
    <w:rsid w:val="00251812"/>
    <w:rsid w:val="002526CB"/>
    <w:rsid w:val="00252C86"/>
    <w:rsid w:val="00252F8A"/>
    <w:rsid w:val="002532F2"/>
    <w:rsid w:val="00254431"/>
    <w:rsid w:val="002565E0"/>
    <w:rsid w:val="00270A29"/>
    <w:rsid w:val="0027140B"/>
    <w:rsid w:val="002810B1"/>
    <w:rsid w:val="00281C91"/>
    <w:rsid w:val="00283E57"/>
    <w:rsid w:val="00284D23"/>
    <w:rsid w:val="00291DE9"/>
    <w:rsid w:val="00294798"/>
    <w:rsid w:val="002951A0"/>
    <w:rsid w:val="002953E6"/>
    <w:rsid w:val="002962BC"/>
    <w:rsid w:val="002965F7"/>
    <w:rsid w:val="0029724E"/>
    <w:rsid w:val="002A49AC"/>
    <w:rsid w:val="002A4F3F"/>
    <w:rsid w:val="002A64FD"/>
    <w:rsid w:val="002B1BF9"/>
    <w:rsid w:val="002B3D75"/>
    <w:rsid w:val="002B73B1"/>
    <w:rsid w:val="002C7232"/>
    <w:rsid w:val="002C7430"/>
    <w:rsid w:val="002C7A84"/>
    <w:rsid w:val="002D4106"/>
    <w:rsid w:val="002D4A6C"/>
    <w:rsid w:val="002E195E"/>
    <w:rsid w:val="002E3E6B"/>
    <w:rsid w:val="002E78F4"/>
    <w:rsid w:val="002F04B6"/>
    <w:rsid w:val="002F227F"/>
    <w:rsid w:val="002F3FC8"/>
    <w:rsid w:val="002F4432"/>
    <w:rsid w:val="0030303B"/>
    <w:rsid w:val="00307DFD"/>
    <w:rsid w:val="00310899"/>
    <w:rsid w:val="00310E78"/>
    <w:rsid w:val="00313979"/>
    <w:rsid w:val="00314D8B"/>
    <w:rsid w:val="00315C1E"/>
    <w:rsid w:val="003175F4"/>
    <w:rsid w:val="00317F3D"/>
    <w:rsid w:val="00320527"/>
    <w:rsid w:val="003328ED"/>
    <w:rsid w:val="00332D57"/>
    <w:rsid w:val="0033782D"/>
    <w:rsid w:val="00345BCF"/>
    <w:rsid w:val="00350E5A"/>
    <w:rsid w:val="003518D8"/>
    <w:rsid w:val="00351CE9"/>
    <w:rsid w:val="00354E2F"/>
    <w:rsid w:val="00355AD1"/>
    <w:rsid w:val="003565C6"/>
    <w:rsid w:val="0036136C"/>
    <w:rsid w:val="0036293E"/>
    <w:rsid w:val="00363B9B"/>
    <w:rsid w:val="00364E2F"/>
    <w:rsid w:val="00366D01"/>
    <w:rsid w:val="0037404B"/>
    <w:rsid w:val="003847BE"/>
    <w:rsid w:val="00384990"/>
    <w:rsid w:val="00385CB6"/>
    <w:rsid w:val="00385FDA"/>
    <w:rsid w:val="00387079"/>
    <w:rsid w:val="003903FA"/>
    <w:rsid w:val="0039155A"/>
    <w:rsid w:val="003A45EB"/>
    <w:rsid w:val="003A5AF8"/>
    <w:rsid w:val="003A737A"/>
    <w:rsid w:val="003A7489"/>
    <w:rsid w:val="003A74C9"/>
    <w:rsid w:val="003A779E"/>
    <w:rsid w:val="003B2F9F"/>
    <w:rsid w:val="003C046A"/>
    <w:rsid w:val="003C0E12"/>
    <w:rsid w:val="003C0FE8"/>
    <w:rsid w:val="003C1209"/>
    <w:rsid w:val="003C543F"/>
    <w:rsid w:val="003C5F58"/>
    <w:rsid w:val="003C608E"/>
    <w:rsid w:val="003D0ED3"/>
    <w:rsid w:val="003D0F4D"/>
    <w:rsid w:val="003D5633"/>
    <w:rsid w:val="003E0499"/>
    <w:rsid w:val="003E059C"/>
    <w:rsid w:val="003E3F74"/>
    <w:rsid w:val="003F3941"/>
    <w:rsid w:val="003F3FD0"/>
    <w:rsid w:val="003F597A"/>
    <w:rsid w:val="003F66F4"/>
    <w:rsid w:val="003F6921"/>
    <w:rsid w:val="003F7309"/>
    <w:rsid w:val="003F7494"/>
    <w:rsid w:val="0040007A"/>
    <w:rsid w:val="0040103A"/>
    <w:rsid w:val="00401B68"/>
    <w:rsid w:val="00405A48"/>
    <w:rsid w:val="00407200"/>
    <w:rsid w:val="0041009C"/>
    <w:rsid w:val="00411E25"/>
    <w:rsid w:val="00417998"/>
    <w:rsid w:val="004249DC"/>
    <w:rsid w:val="004334E5"/>
    <w:rsid w:val="004352B3"/>
    <w:rsid w:val="00436E75"/>
    <w:rsid w:val="00447607"/>
    <w:rsid w:val="0045117D"/>
    <w:rsid w:val="00454173"/>
    <w:rsid w:val="00454668"/>
    <w:rsid w:val="004547BF"/>
    <w:rsid w:val="00456D47"/>
    <w:rsid w:val="00463105"/>
    <w:rsid w:val="00465F9A"/>
    <w:rsid w:val="00466639"/>
    <w:rsid w:val="00471D93"/>
    <w:rsid w:val="00475A51"/>
    <w:rsid w:val="00475ECF"/>
    <w:rsid w:val="004815D3"/>
    <w:rsid w:val="00481F5C"/>
    <w:rsid w:val="00483855"/>
    <w:rsid w:val="00483BAB"/>
    <w:rsid w:val="004900BD"/>
    <w:rsid w:val="004916B7"/>
    <w:rsid w:val="004940AC"/>
    <w:rsid w:val="00495615"/>
    <w:rsid w:val="00496745"/>
    <w:rsid w:val="00497D37"/>
    <w:rsid w:val="004A1847"/>
    <w:rsid w:val="004A305D"/>
    <w:rsid w:val="004A56E0"/>
    <w:rsid w:val="004A5DEC"/>
    <w:rsid w:val="004B0C69"/>
    <w:rsid w:val="004B16B7"/>
    <w:rsid w:val="004B4223"/>
    <w:rsid w:val="004B58A1"/>
    <w:rsid w:val="004B70E9"/>
    <w:rsid w:val="004C1D15"/>
    <w:rsid w:val="004C2F1B"/>
    <w:rsid w:val="004C5F74"/>
    <w:rsid w:val="004D0073"/>
    <w:rsid w:val="004D11CF"/>
    <w:rsid w:val="004D5B9D"/>
    <w:rsid w:val="004D7479"/>
    <w:rsid w:val="004E0F16"/>
    <w:rsid w:val="004E298B"/>
    <w:rsid w:val="004E5546"/>
    <w:rsid w:val="004F0C7F"/>
    <w:rsid w:val="004F0FF9"/>
    <w:rsid w:val="004F21C4"/>
    <w:rsid w:val="004F685F"/>
    <w:rsid w:val="004F7262"/>
    <w:rsid w:val="004F7A76"/>
    <w:rsid w:val="00506190"/>
    <w:rsid w:val="00507E9D"/>
    <w:rsid w:val="00511999"/>
    <w:rsid w:val="00514CC5"/>
    <w:rsid w:val="00515C9B"/>
    <w:rsid w:val="00516F79"/>
    <w:rsid w:val="00520F61"/>
    <w:rsid w:val="00523C88"/>
    <w:rsid w:val="00527252"/>
    <w:rsid w:val="005314A1"/>
    <w:rsid w:val="00531616"/>
    <w:rsid w:val="00537286"/>
    <w:rsid w:val="00541C18"/>
    <w:rsid w:val="00544C8B"/>
    <w:rsid w:val="00545C0C"/>
    <w:rsid w:val="00546419"/>
    <w:rsid w:val="00552806"/>
    <w:rsid w:val="00552FFE"/>
    <w:rsid w:val="00553394"/>
    <w:rsid w:val="0055497B"/>
    <w:rsid w:val="00554D54"/>
    <w:rsid w:val="00555253"/>
    <w:rsid w:val="005566E8"/>
    <w:rsid w:val="005636A6"/>
    <w:rsid w:val="00563A10"/>
    <w:rsid w:val="00564DD4"/>
    <w:rsid w:val="00566824"/>
    <w:rsid w:val="0056731D"/>
    <w:rsid w:val="0057093F"/>
    <w:rsid w:val="00574867"/>
    <w:rsid w:val="00575F78"/>
    <w:rsid w:val="005801E7"/>
    <w:rsid w:val="00580FBA"/>
    <w:rsid w:val="00584536"/>
    <w:rsid w:val="00585293"/>
    <w:rsid w:val="00586A29"/>
    <w:rsid w:val="00594DCF"/>
    <w:rsid w:val="00597047"/>
    <w:rsid w:val="005A113B"/>
    <w:rsid w:val="005A3C3D"/>
    <w:rsid w:val="005B5D15"/>
    <w:rsid w:val="005C00F8"/>
    <w:rsid w:val="005C3464"/>
    <w:rsid w:val="005C47C5"/>
    <w:rsid w:val="005C5CDC"/>
    <w:rsid w:val="005C5DA8"/>
    <w:rsid w:val="005C71F3"/>
    <w:rsid w:val="005D04A6"/>
    <w:rsid w:val="005D072A"/>
    <w:rsid w:val="005D1765"/>
    <w:rsid w:val="005D2D0A"/>
    <w:rsid w:val="005D470D"/>
    <w:rsid w:val="005D476C"/>
    <w:rsid w:val="005D499A"/>
    <w:rsid w:val="005E2F21"/>
    <w:rsid w:val="005E4924"/>
    <w:rsid w:val="005E5DA4"/>
    <w:rsid w:val="005F4C31"/>
    <w:rsid w:val="00600ED2"/>
    <w:rsid w:val="00603C6D"/>
    <w:rsid w:val="00610354"/>
    <w:rsid w:val="00610FA4"/>
    <w:rsid w:val="00611034"/>
    <w:rsid w:val="006125BA"/>
    <w:rsid w:val="006150C6"/>
    <w:rsid w:val="006219F8"/>
    <w:rsid w:val="00623C09"/>
    <w:rsid w:val="00624DEE"/>
    <w:rsid w:val="00626FC2"/>
    <w:rsid w:val="00630268"/>
    <w:rsid w:val="00631A30"/>
    <w:rsid w:val="006326DF"/>
    <w:rsid w:val="0063302A"/>
    <w:rsid w:val="00636768"/>
    <w:rsid w:val="0063763C"/>
    <w:rsid w:val="00642B3C"/>
    <w:rsid w:val="00643493"/>
    <w:rsid w:val="00647A71"/>
    <w:rsid w:val="00652CAE"/>
    <w:rsid w:val="00652EBC"/>
    <w:rsid w:val="00655173"/>
    <w:rsid w:val="006619B3"/>
    <w:rsid w:val="00662550"/>
    <w:rsid w:val="00662B99"/>
    <w:rsid w:val="00665D70"/>
    <w:rsid w:val="0066710C"/>
    <w:rsid w:val="00670E03"/>
    <w:rsid w:val="006737E8"/>
    <w:rsid w:val="006743C0"/>
    <w:rsid w:val="006751B7"/>
    <w:rsid w:val="00675542"/>
    <w:rsid w:val="00676409"/>
    <w:rsid w:val="00676F00"/>
    <w:rsid w:val="00681CAD"/>
    <w:rsid w:val="0068264C"/>
    <w:rsid w:val="00682DE0"/>
    <w:rsid w:val="006853E6"/>
    <w:rsid w:val="0068655F"/>
    <w:rsid w:val="0068707B"/>
    <w:rsid w:val="00687C95"/>
    <w:rsid w:val="00693EC1"/>
    <w:rsid w:val="00695741"/>
    <w:rsid w:val="006A4D8D"/>
    <w:rsid w:val="006B2562"/>
    <w:rsid w:val="006B3B8A"/>
    <w:rsid w:val="006B3F13"/>
    <w:rsid w:val="006C1C9B"/>
    <w:rsid w:val="006C38DF"/>
    <w:rsid w:val="006C5343"/>
    <w:rsid w:val="006C779D"/>
    <w:rsid w:val="006C7A50"/>
    <w:rsid w:val="006D3345"/>
    <w:rsid w:val="006E1874"/>
    <w:rsid w:val="006E298E"/>
    <w:rsid w:val="006E3221"/>
    <w:rsid w:val="006E4B0F"/>
    <w:rsid w:val="006E5332"/>
    <w:rsid w:val="006E5B5B"/>
    <w:rsid w:val="006E609B"/>
    <w:rsid w:val="006E6864"/>
    <w:rsid w:val="006E7D11"/>
    <w:rsid w:val="006F1A1E"/>
    <w:rsid w:val="006F1E74"/>
    <w:rsid w:val="006F39B1"/>
    <w:rsid w:val="006F5F94"/>
    <w:rsid w:val="006F65DC"/>
    <w:rsid w:val="00700F5C"/>
    <w:rsid w:val="007011A4"/>
    <w:rsid w:val="0070637A"/>
    <w:rsid w:val="00706C16"/>
    <w:rsid w:val="007156C0"/>
    <w:rsid w:val="00715BEC"/>
    <w:rsid w:val="007230A4"/>
    <w:rsid w:val="007256B3"/>
    <w:rsid w:val="007269EF"/>
    <w:rsid w:val="00727EE6"/>
    <w:rsid w:val="007315B9"/>
    <w:rsid w:val="007316A8"/>
    <w:rsid w:val="00731EE2"/>
    <w:rsid w:val="007339F8"/>
    <w:rsid w:val="00733FFA"/>
    <w:rsid w:val="00740176"/>
    <w:rsid w:val="00746990"/>
    <w:rsid w:val="00746B3F"/>
    <w:rsid w:val="0074712C"/>
    <w:rsid w:val="00747435"/>
    <w:rsid w:val="007522D0"/>
    <w:rsid w:val="007526FA"/>
    <w:rsid w:val="00756841"/>
    <w:rsid w:val="00761661"/>
    <w:rsid w:val="00763E5D"/>
    <w:rsid w:val="007649AB"/>
    <w:rsid w:val="00765111"/>
    <w:rsid w:val="00765EE5"/>
    <w:rsid w:val="007673CE"/>
    <w:rsid w:val="007674E2"/>
    <w:rsid w:val="007707BC"/>
    <w:rsid w:val="0077193E"/>
    <w:rsid w:val="007720A7"/>
    <w:rsid w:val="007750AD"/>
    <w:rsid w:val="0077577D"/>
    <w:rsid w:val="00780450"/>
    <w:rsid w:val="00782384"/>
    <w:rsid w:val="007833AC"/>
    <w:rsid w:val="00783C9F"/>
    <w:rsid w:val="00786B8F"/>
    <w:rsid w:val="00787727"/>
    <w:rsid w:val="00790210"/>
    <w:rsid w:val="007903F1"/>
    <w:rsid w:val="007936DA"/>
    <w:rsid w:val="00793E30"/>
    <w:rsid w:val="0079644B"/>
    <w:rsid w:val="007978FA"/>
    <w:rsid w:val="007A436E"/>
    <w:rsid w:val="007A4A9C"/>
    <w:rsid w:val="007A6C22"/>
    <w:rsid w:val="007A6D8E"/>
    <w:rsid w:val="007B2E82"/>
    <w:rsid w:val="007B49AC"/>
    <w:rsid w:val="007B4A85"/>
    <w:rsid w:val="007B529A"/>
    <w:rsid w:val="007B6EF4"/>
    <w:rsid w:val="007C15F0"/>
    <w:rsid w:val="007C1A81"/>
    <w:rsid w:val="007C3DC2"/>
    <w:rsid w:val="007C5B97"/>
    <w:rsid w:val="007C6591"/>
    <w:rsid w:val="007D03A8"/>
    <w:rsid w:val="007D1286"/>
    <w:rsid w:val="007D375C"/>
    <w:rsid w:val="007D5933"/>
    <w:rsid w:val="007E466B"/>
    <w:rsid w:val="007E5497"/>
    <w:rsid w:val="007E5F3B"/>
    <w:rsid w:val="007E65BC"/>
    <w:rsid w:val="007E6813"/>
    <w:rsid w:val="007F13BE"/>
    <w:rsid w:val="007F1A07"/>
    <w:rsid w:val="007F5E2D"/>
    <w:rsid w:val="007F7D1D"/>
    <w:rsid w:val="0080273C"/>
    <w:rsid w:val="00804478"/>
    <w:rsid w:val="00804749"/>
    <w:rsid w:val="0080507E"/>
    <w:rsid w:val="00806243"/>
    <w:rsid w:val="00806F5F"/>
    <w:rsid w:val="00812A82"/>
    <w:rsid w:val="0081498E"/>
    <w:rsid w:val="0081744B"/>
    <w:rsid w:val="00820278"/>
    <w:rsid w:val="00823F9A"/>
    <w:rsid w:val="00826E60"/>
    <w:rsid w:val="00830472"/>
    <w:rsid w:val="00833758"/>
    <w:rsid w:val="00835D1C"/>
    <w:rsid w:val="00842906"/>
    <w:rsid w:val="008458BB"/>
    <w:rsid w:val="00846419"/>
    <w:rsid w:val="00847899"/>
    <w:rsid w:val="00847D4E"/>
    <w:rsid w:val="00852F12"/>
    <w:rsid w:val="00853239"/>
    <w:rsid w:val="00854F3C"/>
    <w:rsid w:val="0086267F"/>
    <w:rsid w:val="00862733"/>
    <w:rsid w:val="00862D03"/>
    <w:rsid w:val="00863F46"/>
    <w:rsid w:val="00864DDE"/>
    <w:rsid w:val="00866739"/>
    <w:rsid w:val="0086688D"/>
    <w:rsid w:val="008733B9"/>
    <w:rsid w:val="0087379B"/>
    <w:rsid w:val="008755E2"/>
    <w:rsid w:val="00875CC6"/>
    <w:rsid w:val="0087761A"/>
    <w:rsid w:val="0088122B"/>
    <w:rsid w:val="00881516"/>
    <w:rsid w:val="00883230"/>
    <w:rsid w:val="008843B6"/>
    <w:rsid w:val="00884C0B"/>
    <w:rsid w:val="0088600D"/>
    <w:rsid w:val="008874CA"/>
    <w:rsid w:val="00890B9F"/>
    <w:rsid w:val="00891928"/>
    <w:rsid w:val="00892585"/>
    <w:rsid w:val="00892AF7"/>
    <w:rsid w:val="00893A41"/>
    <w:rsid w:val="0089677F"/>
    <w:rsid w:val="00897B24"/>
    <w:rsid w:val="008A0157"/>
    <w:rsid w:val="008A037B"/>
    <w:rsid w:val="008A0B37"/>
    <w:rsid w:val="008A114B"/>
    <w:rsid w:val="008A1F35"/>
    <w:rsid w:val="008A2872"/>
    <w:rsid w:val="008A3789"/>
    <w:rsid w:val="008A3868"/>
    <w:rsid w:val="008A3E35"/>
    <w:rsid w:val="008A446D"/>
    <w:rsid w:val="008A6BC9"/>
    <w:rsid w:val="008A6F41"/>
    <w:rsid w:val="008B1686"/>
    <w:rsid w:val="008B19E3"/>
    <w:rsid w:val="008B434A"/>
    <w:rsid w:val="008B5C99"/>
    <w:rsid w:val="008C0BFF"/>
    <w:rsid w:val="008C15A0"/>
    <w:rsid w:val="008C4600"/>
    <w:rsid w:val="008C5078"/>
    <w:rsid w:val="008C6C62"/>
    <w:rsid w:val="008C776C"/>
    <w:rsid w:val="008D0169"/>
    <w:rsid w:val="008D28CE"/>
    <w:rsid w:val="008D7D86"/>
    <w:rsid w:val="008E032E"/>
    <w:rsid w:val="008E6E25"/>
    <w:rsid w:val="008F0EA7"/>
    <w:rsid w:val="008F3679"/>
    <w:rsid w:val="008F3B55"/>
    <w:rsid w:val="008F4214"/>
    <w:rsid w:val="008F4395"/>
    <w:rsid w:val="0090320C"/>
    <w:rsid w:val="00905F83"/>
    <w:rsid w:val="00907A28"/>
    <w:rsid w:val="0091547A"/>
    <w:rsid w:val="009162B0"/>
    <w:rsid w:val="009166A7"/>
    <w:rsid w:val="00917B10"/>
    <w:rsid w:val="009216DB"/>
    <w:rsid w:val="00923EEF"/>
    <w:rsid w:val="009276CF"/>
    <w:rsid w:val="009277A5"/>
    <w:rsid w:val="00931B13"/>
    <w:rsid w:val="009351E8"/>
    <w:rsid w:val="00936491"/>
    <w:rsid w:val="009419F9"/>
    <w:rsid w:val="00941D57"/>
    <w:rsid w:val="0095023A"/>
    <w:rsid w:val="009549AE"/>
    <w:rsid w:val="00954BC4"/>
    <w:rsid w:val="009551FF"/>
    <w:rsid w:val="00961B09"/>
    <w:rsid w:val="0096403D"/>
    <w:rsid w:val="00965334"/>
    <w:rsid w:val="0096557D"/>
    <w:rsid w:val="00967743"/>
    <w:rsid w:val="0097093E"/>
    <w:rsid w:val="0097187B"/>
    <w:rsid w:val="00973476"/>
    <w:rsid w:val="00973A16"/>
    <w:rsid w:val="00983472"/>
    <w:rsid w:val="00985014"/>
    <w:rsid w:val="009872FB"/>
    <w:rsid w:val="00991537"/>
    <w:rsid w:val="0099193E"/>
    <w:rsid w:val="0099249D"/>
    <w:rsid w:val="009926B2"/>
    <w:rsid w:val="009934CE"/>
    <w:rsid w:val="00996474"/>
    <w:rsid w:val="009A3028"/>
    <w:rsid w:val="009B0E06"/>
    <w:rsid w:val="009B27A0"/>
    <w:rsid w:val="009B342C"/>
    <w:rsid w:val="009B764D"/>
    <w:rsid w:val="009C1399"/>
    <w:rsid w:val="009C270D"/>
    <w:rsid w:val="009C44AD"/>
    <w:rsid w:val="009C71FA"/>
    <w:rsid w:val="009C72E7"/>
    <w:rsid w:val="009D04F1"/>
    <w:rsid w:val="009D2A29"/>
    <w:rsid w:val="009D3195"/>
    <w:rsid w:val="009D5F83"/>
    <w:rsid w:val="009D6D00"/>
    <w:rsid w:val="009D6E3B"/>
    <w:rsid w:val="009E20BA"/>
    <w:rsid w:val="009E320C"/>
    <w:rsid w:val="009E610D"/>
    <w:rsid w:val="009F0385"/>
    <w:rsid w:val="009F6A32"/>
    <w:rsid w:val="00A00D98"/>
    <w:rsid w:val="00A047D4"/>
    <w:rsid w:val="00A0586A"/>
    <w:rsid w:val="00A06068"/>
    <w:rsid w:val="00A075B6"/>
    <w:rsid w:val="00A1008D"/>
    <w:rsid w:val="00A11A4B"/>
    <w:rsid w:val="00A13884"/>
    <w:rsid w:val="00A157F9"/>
    <w:rsid w:val="00A17C1D"/>
    <w:rsid w:val="00A17E9A"/>
    <w:rsid w:val="00A17F13"/>
    <w:rsid w:val="00A20739"/>
    <w:rsid w:val="00A211EE"/>
    <w:rsid w:val="00A2284C"/>
    <w:rsid w:val="00A33C78"/>
    <w:rsid w:val="00A34CA5"/>
    <w:rsid w:val="00A358A7"/>
    <w:rsid w:val="00A4262D"/>
    <w:rsid w:val="00A46AB6"/>
    <w:rsid w:val="00A47169"/>
    <w:rsid w:val="00A50D2D"/>
    <w:rsid w:val="00A51375"/>
    <w:rsid w:val="00A52950"/>
    <w:rsid w:val="00A624DA"/>
    <w:rsid w:val="00A63797"/>
    <w:rsid w:val="00A64733"/>
    <w:rsid w:val="00A64949"/>
    <w:rsid w:val="00A7329A"/>
    <w:rsid w:val="00A77E60"/>
    <w:rsid w:val="00A80A45"/>
    <w:rsid w:val="00A8274F"/>
    <w:rsid w:val="00A87A93"/>
    <w:rsid w:val="00A90BC3"/>
    <w:rsid w:val="00A94E60"/>
    <w:rsid w:val="00A97E10"/>
    <w:rsid w:val="00AA057F"/>
    <w:rsid w:val="00AA564C"/>
    <w:rsid w:val="00AA772C"/>
    <w:rsid w:val="00AB0ADB"/>
    <w:rsid w:val="00AB0EF3"/>
    <w:rsid w:val="00AB243D"/>
    <w:rsid w:val="00AC36F6"/>
    <w:rsid w:val="00AC60C8"/>
    <w:rsid w:val="00AC66F1"/>
    <w:rsid w:val="00AC715E"/>
    <w:rsid w:val="00AD27A4"/>
    <w:rsid w:val="00AD407F"/>
    <w:rsid w:val="00AE085C"/>
    <w:rsid w:val="00AE3E66"/>
    <w:rsid w:val="00AE653A"/>
    <w:rsid w:val="00AE6EBA"/>
    <w:rsid w:val="00AF1238"/>
    <w:rsid w:val="00AF40AA"/>
    <w:rsid w:val="00B009E6"/>
    <w:rsid w:val="00B037D9"/>
    <w:rsid w:val="00B06C3A"/>
    <w:rsid w:val="00B078EC"/>
    <w:rsid w:val="00B07A47"/>
    <w:rsid w:val="00B11748"/>
    <w:rsid w:val="00B12AAF"/>
    <w:rsid w:val="00B14B1E"/>
    <w:rsid w:val="00B171CE"/>
    <w:rsid w:val="00B20835"/>
    <w:rsid w:val="00B21D65"/>
    <w:rsid w:val="00B23D33"/>
    <w:rsid w:val="00B308FA"/>
    <w:rsid w:val="00B31060"/>
    <w:rsid w:val="00B31ACA"/>
    <w:rsid w:val="00B32501"/>
    <w:rsid w:val="00B360CC"/>
    <w:rsid w:val="00B3749C"/>
    <w:rsid w:val="00B45A2A"/>
    <w:rsid w:val="00B471B0"/>
    <w:rsid w:val="00B5238D"/>
    <w:rsid w:val="00B53206"/>
    <w:rsid w:val="00B571F2"/>
    <w:rsid w:val="00B6065A"/>
    <w:rsid w:val="00B61CBC"/>
    <w:rsid w:val="00B63035"/>
    <w:rsid w:val="00B63153"/>
    <w:rsid w:val="00B65002"/>
    <w:rsid w:val="00B71311"/>
    <w:rsid w:val="00B72CD3"/>
    <w:rsid w:val="00B72FFF"/>
    <w:rsid w:val="00B74F81"/>
    <w:rsid w:val="00B756C4"/>
    <w:rsid w:val="00B771A3"/>
    <w:rsid w:val="00B7773E"/>
    <w:rsid w:val="00B77E98"/>
    <w:rsid w:val="00B81698"/>
    <w:rsid w:val="00B81766"/>
    <w:rsid w:val="00B835F5"/>
    <w:rsid w:val="00B83A33"/>
    <w:rsid w:val="00B843DC"/>
    <w:rsid w:val="00B871A0"/>
    <w:rsid w:val="00B879D6"/>
    <w:rsid w:val="00B87E8C"/>
    <w:rsid w:val="00B91CB7"/>
    <w:rsid w:val="00BA026C"/>
    <w:rsid w:val="00BA2516"/>
    <w:rsid w:val="00BA3FEF"/>
    <w:rsid w:val="00BA74F7"/>
    <w:rsid w:val="00BB5BA4"/>
    <w:rsid w:val="00BB5CCF"/>
    <w:rsid w:val="00BB6379"/>
    <w:rsid w:val="00BC5B8E"/>
    <w:rsid w:val="00BC6833"/>
    <w:rsid w:val="00BD0389"/>
    <w:rsid w:val="00BD3C6A"/>
    <w:rsid w:val="00BD7F72"/>
    <w:rsid w:val="00BE1201"/>
    <w:rsid w:val="00BE7B22"/>
    <w:rsid w:val="00BE7FDC"/>
    <w:rsid w:val="00BF5ADF"/>
    <w:rsid w:val="00C029C9"/>
    <w:rsid w:val="00C04B3C"/>
    <w:rsid w:val="00C068C5"/>
    <w:rsid w:val="00C11780"/>
    <w:rsid w:val="00C12762"/>
    <w:rsid w:val="00C148F9"/>
    <w:rsid w:val="00C216EC"/>
    <w:rsid w:val="00C220B0"/>
    <w:rsid w:val="00C2469E"/>
    <w:rsid w:val="00C2560B"/>
    <w:rsid w:val="00C26985"/>
    <w:rsid w:val="00C270EF"/>
    <w:rsid w:val="00C27B3D"/>
    <w:rsid w:val="00C330EB"/>
    <w:rsid w:val="00C3449C"/>
    <w:rsid w:val="00C35ED6"/>
    <w:rsid w:val="00C37F59"/>
    <w:rsid w:val="00C41DA2"/>
    <w:rsid w:val="00C444FA"/>
    <w:rsid w:val="00C47C95"/>
    <w:rsid w:val="00C501B6"/>
    <w:rsid w:val="00C53636"/>
    <w:rsid w:val="00C545AC"/>
    <w:rsid w:val="00C576FE"/>
    <w:rsid w:val="00C60486"/>
    <w:rsid w:val="00C62AE8"/>
    <w:rsid w:val="00C62F13"/>
    <w:rsid w:val="00C65A1B"/>
    <w:rsid w:val="00C67202"/>
    <w:rsid w:val="00C67CD4"/>
    <w:rsid w:val="00C725DA"/>
    <w:rsid w:val="00C754BE"/>
    <w:rsid w:val="00C77693"/>
    <w:rsid w:val="00C81952"/>
    <w:rsid w:val="00C83DEA"/>
    <w:rsid w:val="00C90DFB"/>
    <w:rsid w:val="00C95AC4"/>
    <w:rsid w:val="00C975D2"/>
    <w:rsid w:val="00C977F8"/>
    <w:rsid w:val="00CA1071"/>
    <w:rsid w:val="00CA2A0D"/>
    <w:rsid w:val="00CA3698"/>
    <w:rsid w:val="00CB16C6"/>
    <w:rsid w:val="00CB2C6E"/>
    <w:rsid w:val="00CB386E"/>
    <w:rsid w:val="00CB6357"/>
    <w:rsid w:val="00CB6DD6"/>
    <w:rsid w:val="00CC1B26"/>
    <w:rsid w:val="00CC2874"/>
    <w:rsid w:val="00CC29FA"/>
    <w:rsid w:val="00CC3795"/>
    <w:rsid w:val="00CD0276"/>
    <w:rsid w:val="00CD222D"/>
    <w:rsid w:val="00CD4618"/>
    <w:rsid w:val="00CD4CB9"/>
    <w:rsid w:val="00CE0784"/>
    <w:rsid w:val="00CE0D49"/>
    <w:rsid w:val="00CE229F"/>
    <w:rsid w:val="00CE3078"/>
    <w:rsid w:val="00CE6357"/>
    <w:rsid w:val="00CF0844"/>
    <w:rsid w:val="00CF0F0E"/>
    <w:rsid w:val="00CF1563"/>
    <w:rsid w:val="00CF3C8B"/>
    <w:rsid w:val="00CF3D6E"/>
    <w:rsid w:val="00CF6805"/>
    <w:rsid w:val="00D00038"/>
    <w:rsid w:val="00D012E6"/>
    <w:rsid w:val="00D02556"/>
    <w:rsid w:val="00D032CC"/>
    <w:rsid w:val="00D03415"/>
    <w:rsid w:val="00D039F4"/>
    <w:rsid w:val="00D0427E"/>
    <w:rsid w:val="00D043DA"/>
    <w:rsid w:val="00D05D5B"/>
    <w:rsid w:val="00D06F74"/>
    <w:rsid w:val="00D11B52"/>
    <w:rsid w:val="00D12E7B"/>
    <w:rsid w:val="00D14E08"/>
    <w:rsid w:val="00D161B0"/>
    <w:rsid w:val="00D17843"/>
    <w:rsid w:val="00D226FB"/>
    <w:rsid w:val="00D24834"/>
    <w:rsid w:val="00D258D4"/>
    <w:rsid w:val="00D30BC3"/>
    <w:rsid w:val="00D30BF4"/>
    <w:rsid w:val="00D33901"/>
    <w:rsid w:val="00D41156"/>
    <w:rsid w:val="00D423A2"/>
    <w:rsid w:val="00D438CB"/>
    <w:rsid w:val="00D46797"/>
    <w:rsid w:val="00D46864"/>
    <w:rsid w:val="00D51D0C"/>
    <w:rsid w:val="00D52F40"/>
    <w:rsid w:val="00D60E2F"/>
    <w:rsid w:val="00D61112"/>
    <w:rsid w:val="00D63AC2"/>
    <w:rsid w:val="00D657EB"/>
    <w:rsid w:val="00D70255"/>
    <w:rsid w:val="00D7085F"/>
    <w:rsid w:val="00D7383B"/>
    <w:rsid w:val="00D76773"/>
    <w:rsid w:val="00D80400"/>
    <w:rsid w:val="00D80AAA"/>
    <w:rsid w:val="00D867C8"/>
    <w:rsid w:val="00D91764"/>
    <w:rsid w:val="00D95519"/>
    <w:rsid w:val="00DA027B"/>
    <w:rsid w:val="00DA18DB"/>
    <w:rsid w:val="00DA4685"/>
    <w:rsid w:val="00DA7051"/>
    <w:rsid w:val="00DB07E6"/>
    <w:rsid w:val="00DB474F"/>
    <w:rsid w:val="00DC0AE4"/>
    <w:rsid w:val="00DC356A"/>
    <w:rsid w:val="00DC6EFB"/>
    <w:rsid w:val="00DC7C0D"/>
    <w:rsid w:val="00DD1A0B"/>
    <w:rsid w:val="00DD28D8"/>
    <w:rsid w:val="00DD70DE"/>
    <w:rsid w:val="00DE2A49"/>
    <w:rsid w:val="00DE2EEB"/>
    <w:rsid w:val="00DE2F50"/>
    <w:rsid w:val="00DE3DA0"/>
    <w:rsid w:val="00DE6BEE"/>
    <w:rsid w:val="00DE7C66"/>
    <w:rsid w:val="00DF0092"/>
    <w:rsid w:val="00DF0E49"/>
    <w:rsid w:val="00DF0FF4"/>
    <w:rsid w:val="00DF34F5"/>
    <w:rsid w:val="00E00151"/>
    <w:rsid w:val="00E10726"/>
    <w:rsid w:val="00E11295"/>
    <w:rsid w:val="00E14ACB"/>
    <w:rsid w:val="00E16408"/>
    <w:rsid w:val="00E20894"/>
    <w:rsid w:val="00E219F7"/>
    <w:rsid w:val="00E245AB"/>
    <w:rsid w:val="00E262DA"/>
    <w:rsid w:val="00E3196D"/>
    <w:rsid w:val="00E3360F"/>
    <w:rsid w:val="00E403CC"/>
    <w:rsid w:val="00E457F0"/>
    <w:rsid w:val="00E50AFE"/>
    <w:rsid w:val="00E54C6C"/>
    <w:rsid w:val="00E55658"/>
    <w:rsid w:val="00E55789"/>
    <w:rsid w:val="00E562AF"/>
    <w:rsid w:val="00E5681C"/>
    <w:rsid w:val="00E6167B"/>
    <w:rsid w:val="00E619E4"/>
    <w:rsid w:val="00E63251"/>
    <w:rsid w:val="00E642E3"/>
    <w:rsid w:val="00E6450C"/>
    <w:rsid w:val="00E647FA"/>
    <w:rsid w:val="00E66968"/>
    <w:rsid w:val="00E75518"/>
    <w:rsid w:val="00E771DC"/>
    <w:rsid w:val="00E77F30"/>
    <w:rsid w:val="00E838FE"/>
    <w:rsid w:val="00E83FF1"/>
    <w:rsid w:val="00E85150"/>
    <w:rsid w:val="00E862E5"/>
    <w:rsid w:val="00E8772A"/>
    <w:rsid w:val="00E87D05"/>
    <w:rsid w:val="00E90F6B"/>
    <w:rsid w:val="00E92C27"/>
    <w:rsid w:val="00E940F1"/>
    <w:rsid w:val="00E95DFF"/>
    <w:rsid w:val="00E96837"/>
    <w:rsid w:val="00E97696"/>
    <w:rsid w:val="00EA0E3D"/>
    <w:rsid w:val="00EA309D"/>
    <w:rsid w:val="00EA6420"/>
    <w:rsid w:val="00EB0613"/>
    <w:rsid w:val="00EB0818"/>
    <w:rsid w:val="00EB0E7E"/>
    <w:rsid w:val="00EB0E8F"/>
    <w:rsid w:val="00EB1ED1"/>
    <w:rsid w:val="00EB3455"/>
    <w:rsid w:val="00EC0687"/>
    <w:rsid w:val="00EC6E6E"/>
    <w:rsid w:val="00EC6F8E"/>
    <w:rsid w:val="00ED19A5"/>
    <w:rsid w:val="00ED1A36"/>
    <w:rsid w:val="00ED6122"/>
    <w:rsid w:val="00ED651E"/>
    <w:rsid w:val="00ED6692"/>
    <w:rsid w:val="00ED753C"/>
    <w:rsid w:val="00ED7585"/>
    <w:rsid w:val="00EE1AA8"/>
    <w:rsid w:val="00EE2617"/>
    <w:rsid w:val="00EE3B9B"/>
    <w:rsid w:val="00EE4152"/>
    <w:rsid w:val="00EE59F8"/>
    <w:rsid w:val="00EF0B71"/>
    <w:rsid w:val="00EF0BE1"/>
    <w:rsid w:val="00EF300D"/>
    <w:rsid w:val="00EF4AAB"/>
    <w:rsid w:val="00EF565D"/>
    <w:rsid w:val="00F00114"/>
    <w:rsid w:val="00F0434D"/>
    <w:rsid w:val="00F06274"/>
    <w:rsid w:val="00F075EC"/>
    <w:rsid w:val="00F077C7"/>
    <w:rsid w:val="00F11C79"/>
    <w:rsid w:val="00F17641"/>
    <w:rsid w:val="00F24231"/>
    <w:rsid w:val="00F26EAA"/>
    <w:rsid w:val="00F300E7"/>
    <w:rsid w:val="00F31EDC"/>
    <w:rsid w:val="00F42BD5"/>
    <w:rsid w:val="00F42DF5"/>
    <w:rsid w:val="00F437AB"/>
    <w:rsid w:val="00F43D00"/>
    <w:rsid w:val="00F44240"/>
    <w:rsid w:val="00F46AC2"/>
    <w:rsid w:val="00F46F60"/>
    <w:rsid w:val="00F526B4"/>
    <w:rsid w:val="00F53310"/>
    <w:rsid w:val="00F5472F"/>
    <w:rsid w:val="00F557B2"/>
    <w:rsid w:val="00F55BCA"/>
    <w:rsid w:val="00F5664F"/>
    <w:rsid w:val="00F6620D"/>
    <w:rsid w:val="00F71BC2"/>
    <w:rsid w:val="00F73C4A"/>
    <w:rsid w:val="00F76AFC"/>
    <w:rsid w:val="00F76FB5"/>
    <w:rsid w:val="00F777D1"/>
    <w:rsid w:val="00F8240D"/>
    <w:rsid w:val="00F9293E"/>
    <w:rsid w:val="00F97501"/>
    <w:rsid w:val="00F9764D"/>
    <w:rsid w:val="00FA051E"/>
    <w:rsid w:val="00FA3739"/>
    <w:rsid w:val="00FA3B68"/>
    <w:rsid w:val="00FA51E7"/>
    <w:rsid w:val="00FA57FC"/>
    <w:rsid w:val="00FA7DDF"/>
    <w:rsid w:val="00FB01E0"/>
    <w:rsid w:val="00FB0CA2"/>
    <w:rsid w:val="00FB5DD1"/>
    <w:rsid w:val="00FB61BC"/>
    <w:rsid w:val="00FB67AC"/>
    <w:rsid w:val="00FB735C"/>
    <w:rsid w:val="00FC1761"/>
    <w:rsid w:val="00FC2B5D"/>
    <w:rsid w:val="00FC4CC8"/>
    <w:rsid w:val="00FC57B3"/>
    <w:rsid w:val="00FD0459"/>
    <w:rsid w:val="00FD46B4"/>
    <w:rsid w:val="00FD6514"/>
    <w:rsid w:val="00FE10A1"/>
    <w:rsid w:val="00FE2F8B"/>
    <w:rsid w:val="00FE5CC8"/>
    <w:rsid w:val="00FE7ADD"/>
    <w:rsid w:val="00FF1449"/>
    <w:rsid w:val="00FF7F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8B519E9C-8406-471F-A04D-7B332C403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550"/>
  </w:style>
  <w:style w:type="paragraph" w:styleId="Heading1">
    <w:name w:val="heading 1"/>
    <w:basedOn w:val="Normal"/>
    <w:next w:val="Normal"/>
    <w:link w:val="Heading1Char"/>
    <w:uiPriority w:val="9"/>
    <w:qFormat/>
    <w:rsid w:val="007707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847"/>
    <w:pPr>
      <w:tabs>
        <w:tab w:val="center" w:pos="4419"/>
        <w:tab w:val="right" w:pos="8838"/>
      </w:tabs>
      <w:spacing w:after="0" w:line="240" w:lineRule="auto"/>
    </w:pPr>
  </w:style>
  <w:style w:type="character" w:customStyle="1" w:styleId="HeaderChar">
    <w:name w:val="Header Char"/>
    <w:basedOn w:val="DefaultParagraphFont"/>
    <w:link w:val="Header"/>
    <w:uiPriority w:val="99"/>
    <w:rsid w:val="004A1847"/>
  </w:style>
  <w:style w:type="paragraph" w:styleId="Footer">
    <w:name w:val="footer"/>
    <w:basedOn w:val="Normal"/>
    <w:link w:val="FooterChar"/>
    <w:uiPriority w:val="99"/>
    <w:unhideWhenUsed/>
    <w:rsid w:val="004A1847"/>
    <w:pPr>
      <w:tabs>
        <w:tab w:val="center" w:pos="4419"/>
        <w:tab w:val="right" w:pos="8838"/>
      </w:tabs>
      <w:spacing w:after="0" w:line="240" w:lineRule="auto"/>
    </w:pPr>
  </w:style>
  <w:style w:type="character" w:customStyle="1" w:styleId="FooterChar">
    <w:name w:val="Footer Char"/>
    <w:basedOn w:val="DefaultParagraphFont"/>
    <w:link w:val="Footer"/>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FootnoteTextChar">
    <w:name w:val="Footnote Text Char"/>
    <w:aliases w:val="Ref. de nota al pie1 Char,Texto de nota al pie Char,referencia nota al pie Char,Appel note de bas de page Char,Footnotes refss Char,Footnote number Char,BVI fnr Char,Footnote Text Char Char Char Char Char Char,Footnote reference Char"/>
    <w:basedOn w:val="DefaultParagraphFont"/>
    <w:link w:val="FootnoteText"/>
    <w:uiPriority w:val="99"/>
    <w:qFormat/>
    <w:locked/>
    <w:rsid w:val="006219F8"/>
    <w:rPr>
      <w:sz w:val="20"/>
      <w:szCs w:val="20"/>
      <w:lang w:val="es-MX"/>
    </w:rPr>
  </w:style>
  <w:style w:type="paragraph" w:styleId="FootnoteText">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FootnoteTextChar"/>
    <w:uiPriority w:val="99"/>
    <w:unhideWhenUsed/>
    <w:qFormat/>
    <w:rsid w:val="006219F8"/>
    <w:pPr>
      <w:spacing w:after="0" w:line="240" w:lineRule="auto"/>
    </w:pPr>
    <w:rPr>
      <w:sz w:val="20"/>
      <w:szCs w:val="20"/>
      <w:lang w:val="es-MX"/>
    </w:rPr>
  </w:style>
  <w:style w:type="character" w:customStyle="1" w:styleId="TextonotapieCar1">
    <w:name w:val="Texto nota pie Car1"/>
    <w:basedOn w:val="DefaultParagraphFont"/>
    <w:uiPriority w:val="99"/>
    <w:semiHidden/>
    <w:rsid w:val="006219F8"/>
    <w:rPr>
      <w:sz w:val="20"/>
      <w:szCs w:val="20"/>
    </w:rPr>
  </w:style>
  <w:style w:type="character" w:styleId="FootnoteReference">
    <w:name w:val="footnote reference"/>
    <w:aliases w:val="Ref. de nota al pie 2,Ref,de nota al pie,FC,Appel note de bas de p,f,4_G,16 Point,Superscript 6 Point,Texto nota al pie,Pie de Página,Texto de nota al pi,Nota de pie,Texto de nota al p,Footnote symbol,Footnote,Ref. de nota al pie2,Re"/>
    <w:basedOn w:val="DefaultParagraphFont"/>
    <w:link w:val="Appelnotedebasde"/>
    <w:uiPriority w:val="99"/>
    <w:unhideWhenUsed/>
    <w:qFormat/>
    <w:rsid w:val="006219F8"/>
    <w:rPr>
      <w:vertAlign w:val="superscript"/>
    </w:rPr>
  </w:style>
  <w:style w:type="character" w:customStyle="1" w:styleId="normaltextrun">
    <w:name w:val="normaltextrun"/>
    <w:basedOn w:val="DefaultParagraphFont"/>
    <w:rsid w:val="006219F8"/>
  </w:style>
  <w:style w:type="table" w:styleId="TableGrid">
    <w:name w:val="Table Grid"/>
    <w:basedOn w:val="Table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tografía,Párrafo de lista1,Bullet List,FooterText,numbered,Paragraphe de liste1,lp1,Scitum normal,HOJA,Bolita,Párrafo de lista4,BOLADEF,Párrafo de lista3,Párrafo de lista21,BOLA,Nivel 1 OS,Colorful List Accent 1,Foot"/>
    <w:basedOn w:val="Normal"/>
    <w:link w:val="ListParagraphChar"/>
    <w:uiPriority w:val="34"/>
    <w:qFormat/>
    <w:rsid w:val="005566E8"/>
    <w:pPr>
      <w:ind w:left="720"/>
      <w:contextualSpacing/>
    </w:pPr>
    <w:rPr>
      <w:rFonts w:ascii="Geomanist Light" w:hAnsi="Geomanist Light"/>
      <w:lang w:val="es-ES"/>
    </w:rPr>
  </w:style>
  <w:style w:type="paragraph" w:styleId="Title">
    <w:name w:val="Title"/>
    <w:basedOn w:val="Normal"/>
    <w:next w:val="Normal"/>
    <w:link w:val="TitleCh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itleChar">
    <w:name w:val="Title Char"/>
    <w:basedOn w:val="DefaultParagraphFont"/>
    <w:link w:val="Title"/>
    <w:uiPriority w:val="10"/>
    <w:rsid w:val="005566E8"/>
    <w:rPr>
      <w:rFonts w:ascii="Geomanist" w:eastAsiaTheme="majorEastAsia" w:hAnsi="Geomanist" w:cstheme="majorBidi"/>
      <w:spacing w:val="-10"/>
      <w:kern w:val="28"/>
      <w:szCs w:val="56"/>
      <w:lang w:val="es-ES"/>
    </w:rPr>
  </w:style>
  <w:style w:type="paragraph" w:styleId="NoSpacing">
    <w:name w:val="No Spacing"/>
    <w:uiPriority w:val="1"/>
    <w:qFormat/>
    <w:rsid w:val="000705F9"/>
    <w:pPr>
      <w:spacing w:after="0" w:line="240" w:lineRule="auto"/>
    </w:pPr>
  </w:style>
  <w:style w:type="character" w:styleId="Hyperlink">
    <w:name w:val="Hyperlink"/>
    <w:basedOn w:val="DefaultParagraphFont"/>
    <w:uiPriority w:val="99"/>
    <w:unhideWhenUsed/>
    <w:rsid w:val="00954BC4"/>
    <w:rPr>
      <w:color w:val="0563C1" w:themeColor="hyperlink"/>
      <w:u w:val="single"/>
    </w:rPr>
  </w:style>
  <w:style w:type="character" w:styleId="UnresolvedMention">
    <w:name w:val="Unresolved Mention"/>
    <w:basedOn w:val="DefaultParagraphFont"/>
    <w:uiPriority w:val="99"/>
    <w:semiHidden/>
    <w:unhideWhenUsed/>
    <w:rsid w:val="00954BC4"/>
    <w:rPr>
      <w:color w:val="605E5C"/>
      <w:shd w:val="clear" w:color="auto" w:fill="E1DFDD"/>
    </w:rPr>
  </w:style>
  <w:style w:type="character" w:customStyle="1" w:styleId="Heading1Char">
    <w:name w:val="Heading 1 Char"/>
    <w:basedOn w:val="DefaultParagraphFont"/>
    <w:link w:val="Heading1"/>
    <w:uiPriority w:val="9"/>
    <w:rsid w:val="007707BC"/>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B12AAF"/>
    <w:rPr>
      <w:sz w:val="16"/>
      <w:szCs w:val="16"/>
    </w:rPr>
  </w:style>
  <w:style w:type="paragraph" w:styleId="CommentText">
    <w:name w:val="annotation text"/>
    <w:basedOn w:val="Normal"/>
    <w:link w:val="CommentTextChar"/>
    <w:uiPriority w:val="99"/>
    <w:unhideWhenUsed/>
    <w:rsid w:val="00B12AAF"/>
    <w:pPr>
      <w:spacing w:line="240" w:lineRule="auto"/>
    </w:pPr>
    <w:rPr>
      <w:sz w:val="20"/>
      <w:szCs w:val="20"/>
    </w:rPr>
  </w:style>
  <w:style w:type="character" w:customStyle="1" w:styleId="CommentTextChar">
    <w:name w:val="Comment Text Char"/>
    <w:basedOn w:val="DefaultParagraphFont"/>
    <w:link w:val="CommentText"/>
    <w:uiPriority w:val="99"/>
    <w:rsid w:val="00B12AAF"/>
    <w:rPr>
      <w:sz w:val="20"/>
      <w:szCs w:val="20"/>
    </w:rPr>
  </w:style>
  <w:style w:type="character" w:customStyle="1" w:styleId="ListParagraphChar">
    <w:name w:val="List Paragraph Char"/>
    <w:aliases w:val="Fotografía Char,Párrafo de lista1 Char,Bullet List Char,FooterText Char,numbered Char,Paragraphe de liste1 Char,lp1 Char,Scitum normal Char,HOJA Char,Bolita Char,Párrafo de lista4 Char,BOLADEF Char,Párrafo de lista3 Char,BOLA Char"/>
    <w:link w:val="ListParagraph"/>
    <w:uiPriority w:val="34"/>
    <w:qFormat/>
    <w:locked/>
    <w:rsid w:val="00E647FA"/>
    <w:rPr>
      <w:rFonts w:ascii="Geomanist Light" w:hAnsi="Geomanist Light"/>
      <w:lang w:val="es-ES"/>
    </w:rPr>
  </w:style>
  <w:style w:type="character" w:customStyle="1" w:styleId="eop">
    <w:name w:val="eop"/>
    <w:basedOn w:val="DefaultParagraphFont"/>
    <w:rsid w:val="00044B19"/>
  </w:style>
  <w:style w:type="paragraph" w:customStyle="1" w:styleId="paragraph">
    <w:name w:val="paragraph"/>
    <w:basedOn w:val="Normal"/>
    <w:rsid w:val="00044B19"/>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Appelnotedebasde">
    <w:name w:val="Appel note de bas de..."/>
    <w:basedOn w:val="Normal"/>
    <w:link w:val="FootnoteReference"/>
    <w:uiPriority w:val="99"/>
    <w:rsid w:val="00787727"/>
    <w:pPr>
      <w:spacing w:line="240" w:lineRule="exact"/>
      <w:jc w:val="both"/>
    </w:pPr>
    <w:rPr>
      <w:vertAlign w:val="superscript"/>
    </w:rPr>
  </w:style>
  <w:style w:type="paragraph" w:styleId="NormalWeb">
    <w:name w:val="Normal (Web)"/>
    <w:basedOn w:val="Normal"/>
    <w:link w:val="NormalWebChar"/>
    <w:uiPriority w:val="99"/>
    <w:unhideWhenUsed/>
    <w:rsid w:val="006E533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har">
    <w:name w:val="Normal (Web) Char"/>
    <w:link w:val="NormalWeb"/>
    <w:uiPriority w:val="99"/>
    <w:rsid w:val="006E5332"/>
    <w:rPr>
      <w:rFonts w:ascii="Times New Roman" w:eastAsia="Times New Roman" w:hAnsi="Times New Roman" w:cs="Times New Roman"/>
      <w:sz w:val="24"/>
      <w:szCs w:val="24"/>
      <w:lang w:eastAsia="es-CO"/>
    </w:rPr>
  </w:style>
  <w:style w:type="paragraph" w:styleId="Revision">
    <w:name w:val="Revision"/>
    <w:hidden/>
    <w:uiPriority w:val="99"/>
    <w:semiHidden/>
    <w:rsid w:val="00B14B1E"/>
    <w:pPr>
      <w:spacing w:after="0" w:line="240" w:lineRule="auto"/>
    </w:pPr>
  </w:style>
  <w:style w:type="paragraph" w:styleId="CommentSubject">
    <w:name w:val="annotation subject"/>
    <w:basedOn w:val="CommentText"/>
    <w:next w:val="CommentText"/>
    <w:link w:val="CommentSubjectChar"/>
    <w:uiPriority w:val="99"/>
    <w:semiHidden/>
    <w:unhideWhenUsed/>
    <w:rsid w:val="00C47C95"/>
    <w:rPr>
      <w:b/>
      <w:bCs/>
    </w:rPr>
  </w:style>
  <w:style w:type="character" w:customStyle="1" w:styleId="CommentSubjectChar">
    <w:name w:val="Comment Subject Char"/>
    <w:basedOn w:val="CommentTextChar"/>
    <w:link w:val="CommentSubject"/>
    <w:uiPriority w:val="99"/>
    <w:semiHidden/>
    <w:rsid w:val="00C47C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67758">
      <w:bodyDiv w:val="1"/>
      <w:marLeft w:val="0"/>
      <w:marRight w:val="0"/>
      <w:marTop w:val="0"/>
      <w:marBottom w:val="0"/>
      <w:divBdr>
        <w:top w:val="none" w:sz="0" w:space="0" w:color="auto"/>
        <w:left w:val="none" w:sz="0" w:space="0" w:color="auto"/>
        <w:bottom w:val="none" w:sz="0" w:space="0" w:color="auto"/>
        <w:right w:val="none" w:sz="0" w:space="0" w:color="auto"/>
      </w:divBdr>
    </w:div>
    <w:div w:id="315450657">
      <w:bodyDiv w:val="1"/>
      <w:marLeft w:val="0"/>
      <w:marRight w:val="0"/>
      <w:marTop w:val="0"/>
      <w:marBottom w:val="0"/>
      <w:divBdr>
        <w:top w:val="none" w:sz="0" w:space="0" w:color="auto"/>
        <w:left w:val="none" w:sz="0" w:space="0" w:color="auto"/>
        <w:bottom w:val="none" w:sz="0" w:space="0" w:color="auto"/>
        <w:right w:val="none" w:sz="0" w:space="0" w:color="auto"/>
      </w:divBdr>
    </w:div>
    <w:div w:id="340350659">
      <w:bodyDiv w:val="1"/>
      <w:marLeft w:val="0"/>
      <w:marRight w:val="0"/>
      <w:marTop w:val="0"/>
      <w:marBottom w:val="0"/>
      <w:divBdr>
        <w:top w:val="none" w:sz="0" w:space="0" w:color="auto"/>
        <w:left w:val="none" w:sz="0" w:space="0" w:color="auto"/>
        <w:bottom w:val="none" w:sz="0" w:space="0" w:color="auto"/>
        <w:right w:val="none" w:sz="0" w:space="0" w:color="auto"/>
      </w:divBdr>
    </w:div>
    <w:div w:id="423767582">
      <w:bodyDiv w:val="1"/>
      <w:marLeft w:val="0"/>
      <w:marRight w:val="0"/>
      <w:marTop w:val="0"/>
      <w:marBottom w:val="0"/>
      <w:divBdr>
        <w:top w:val="none" w:sz="0" w:space="0" w:color="auto"/>
        <w:left w:val="none" w:sz="0" w:space="0" w:color="auto"/>
        <w:bottom w:val="none" w:sz="0" w:space="0" w:color="auto"/>
        <w:right w:val="none" w:sz="0" w:space="0" w:color="auto"/>
      </w:divBdr>
    </w:div>
    <w:div w:id="544220673">
      <w:bodyDiv w:val="1"/>
      <w:marLeft w:val="0"/>
      <w:marRight w:val="0"/>
      <w:marTop w:val="0"/>
      <w:marBottom w:val="0"/>
      <w:divBdr>
        <w:top w:val="none" w:sz="0" w:space="0" w:color="auto"/>
        <w:left w:val="none" w:sz="0" w:space="0" w:color="auto"/>
        <w:bottom w:val="none" w:sz="0" w:space="0" w:color="auto"/>
        <w:right w:val="none" w:sz="0" w:space="0" w:color="auto"/>
      </w:divBdr>
    </w:div>
    <w:div w:id="837841387">
      <w:bodyDiv w:val="1"/>
      <w:marLeft w:val="0"/>
      <w:marRight w:val="0"/>
      <w:marTop w:val="0"/>
      <w:marBottom w:val="0"/>
      <w:divBdr>
        <w:top w:val="none" w:sz="0" w:space="0" w:color="auto"/>
        <w:left w:val="none" w:sz="0" w:space="0" w:color="auto"/>
        <w:bottom w:val="none" w:sz="0" w:space="0" w:color="auto"/>
        <w:right w:val="none" w:sz="0" w:space="0" w:color="auto"/>
      </w:divBdr>
    </w:div>
    <w:div w:id="913517001">
      <w:bodyDiv w:val="1"/>
      <w:marLeft w:val="0"/>
      <w:marRight w:val="0"/>
      <w:marTop w:val="0"/>
      <w:marBottom w:val="0"/>
      <w:divBdr>
        <w:top w:val="none" w:sz="0" w:space="0" w:color="auto"/>
        <w:left w:val="none" w:sz="0" w:space="0" w:color="auto"/>
        <w:bottom w:val="none" w:sz="0" w:space="0" w:color="auto"/>
        <w:right w:val="none" w:sz="0" w:space="0" w:color="auto"/>
      </w:divBdr>
    </w:div>
    <w:div w:id="1031564221">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447582299">
      <w:bodyDiv w:val="1"/>
      <w:marLeft w:val="0"/>
      <w:marRight w:val="0"/>
      <w:marTop w:val="0"/>
      <w:marBottom w:val="0"/>
      <w:divBdr>
        <w:top w:val="none" w:sz="0" w:space="0" w:color="auto"/>
        <w:left w:val="none" w:sz="0" w:space="0" w:color="auto"/>
        <w:bottom w:val="none" w:sz="0" w:space="0" w:color="auto"/>
        <w:right w:val="none" w:sz="0" w:space="0" w:color="auto"/>
      </w:divBdr>
    </w:div>
    <w:div w:id="163205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manuales-guias-y-pliegos-tipo/manuales-y-guia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xtorra.giron@santander.edu.c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olombiacompra.gov.co/sala-de-prensa/boletin-digita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SharedWithUsers xmlns="a6cb9e4b-f1d1-4245-83ec-6cad768d538a">
      <UserInfo>
        <DisplayName>Kelmis Yimara Bruges Alvarado</DisplayName>
        <AccountId>739</AccountId>
        <AccountType/>
      </UserInfo>
    </SharedWithUsers>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E0F32964D9B84EA054B84E5D4157A0" ma:contentTypeVersion="20" ma:contentTypeDescription="Create a new document." ma:contentTypeScope="" ma:versionID="f2aded54591a7fd7c71e00322775124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8225e9d864fb3b86d94084293229f75"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7DD0FE-87D6-4D43-A185-671A1FE68415}">
  <ds:schemaRefs>
    <ds:schemaRef ds:uri="http://schemas.openxmlformats.org/officeDocument/2006/bibliography"/>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36c82cfe-0eda-494d-b392-a9281b89aaf0"/>
    <ds:schemaRef ds:uri="8ae15d26-076e-464e-81a7-6f76a0fb3917"/>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2D129C33-81B4-4E51-9BDA-994712783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15</Pages>
  <Words>4557</Words>
  <Characters>25978</Characters>
  <Application>Microsoft Office Word</Application>
  <DocSecurity>0</DocSecurity>
  <Lines>216</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30475</CharactersWithSpaces>
  <SharedDoc>false</SharedDoc>
  <HLinks>
    <vt:vector size="72" baseType="variant">
      <vt:variant>
        <vt:i4>5439494</vt:i4>
      </vt:variant>
      <vt:variant>
        <vt:i4>33</vt:i4>
      </vt:variant>
      <vt:variant>
        <vt:i4>0</vt:i4>
      </vt:variant>
      <vt:variant>
        <vt:i4>5</vt:i4>
      </vt:variant>
      <vt:variant>
        <vt:lpwstr>https://www.colombiacompra.gov.co/sala-de-prensa/boletin-digital</vt:lpwstr>
      </vt:variant>
      <vt:variant>
        <vt:lpwstr/>
      </vt:variant>
      <vt:variant>
        <vt:i4>7471218</vt:i4>
      </vt:variant>
      <vt:variant>
        <vt:i4>30</vt:i4>
      </vt:variant>
      <vt:variant>
        <vt:i4>0</vt:i4>
      </vt:variant>
      <vt:variant>
        <vt:i4>5</vt:i4>
      </vt:variant>
      <vt:variant>
        <vt:lpwstr>https://relatoria.colombiacompra.gov.co/busqueda/conceptos</vt:lpwstr>
      </vt:variant>
      <vt:variant>
        <vt:lpwstr/>
      </vt:variant>
      <vt:variant>
        <vt:i4>5111895</vt:i4>
      </vt:variant>
      <vt:variant>
        <vt:i4>27</vt:i4>
      </vt:variant>
      <vt:variant>
        <vt:i4>0</vt:i4>
      </vt:variant>
      <vt:variant>
        <vt:i4>5</vt:i4>
      </vt:variant>
      <vt:variant>
        <vt:lpwstr>https://www.colombiacompra.gov.co/manuales-guias-y-pliegos-tipo/manuales-y-guias</vt:lpwstr>
      </vt:variant>
      <vt:variant>
        <vt:lpwstr/>
      </vt:variant>
      <vt:variant>
        <vt:i4>3801145</vt:i4>
      </vt:variant>
      <vt:variant>
        <vt:i4>24</vt:i4>
      </vt:variant>
      <vt:variant>
        <vt:i4>0</vt:i4>
      </vt:variant>
      <vt:variant>
        <vt:i4>5</vt:i4>
      </vt:variant>
      <vt:variant>
        <vt:lpwstr>https://relatoria.colombiacompra.gov.co/providencias-consejo-de-estado/</vt:lpwstr>
      </vt:variant>
      <vt:variant>
        <vt:lpwstr/>
      </vt:variant>
      <vt:variant>
        <vt:i4>2555973</vt:i4>
      </vt:variant>
      <vt:variant>
        <vt:i4>21</vt:i4>
      </vt:variant>
      <vt:variant>
        <vt:i4>0</vt:i4>
      </vt:variant>
      <vt:variant>
        <vt:i4>5</vt:i4>
      </vt:variant>
      <vt:variant>
        <vt:lpwstr>https://www.colombiacompra.gov.co/sites/cce_public/files/cce_circulares/anexo_no._1_circular_externa_005_de_2022.pdf</vt:lpwstr>
      </vt:variant>
      <vt:variant>
        <vt:lpwstr/>
      </vt:variant>
      <vt:variant>
        <vt:i4>65631</vt:i4>
      </vt:variant>
      <vt:variant>
        <vt:i4>18</vt:i4>
      </vt:variant>
      <vt:variant>
        <vt:i4>0</vt:i4>
      </vt:variant>
      <vt:variant>
        <vt:i4>5</vt:i4>
      </vt:variant>
      <vt:variant>
        <vt:lpwstr>https://www.colombiacompra.gov.co/sites/cce_public/files/cce_circulares/circular_externa_005_de_2022.pdf</vt:lpwstr>
      </vt:variant>
      <vt:variant>
        <vt:lpwstr/>
      </vt:variant>
      <vt:variant>
        <vt:i4>3801090</vt:i4>
      </vt:variant>
      <vt:variant>
        <vt:i4>15</vt:i4>
      </vt:variant>
      <vt:variant>
        <vt:i4>0</vt:i4>
      </vt:variant>
      <vt:variant>
        <vt:i4>5</vt:i4>
      </vt:variant>
      <vt:variant>
        <vt:lpwstr>https://colombiacompra.gov.co/sites/cce_public/files/cce_circulares/circular_externa_002_2022.pdf</vt:lpwstr>
      </vt:variant>
      <vt:variant>
        <vt:lpwstr/>
      </vt:variant>
      <vt:variant>
        <vt:i4>6684774</vt:i4>
      </vt:variant>
      <vt:variant>
        <vt:i4>12</vt:i4>
      </vt:variant>
      <vt:variant>
        <vt:i4>0</vt:i4>
      </vt:variant>
      <vt:variant>
        <vt:i4>5</vt:i4>
      </vt:variant>
      <vt:variant>
        <vt:lpwstr>https://www.colombiacompra.gov.co/sites/cce_public/files/cce_circulares/ciurcular_externa_001_-_2021.pdf</vt:lpwstr>
      </vt:variant>
      <vt:variant>
        <vt:lpwstr/>
      </vt:variant>
      <vt:variant>
        <vt:i4>2555907</vt:i4>
      </vt:variant>
      <vt:variant>
        <vt:i4>9</vt:i4>
      </vt:variant>
      <vt:variant>
        <vt:i4>0</vt:i4>
      </vt:variant>
      <vt:variant>
        <vt:i4>5</vt:i4>
      </vt:variant>
      <vt:variant>
        <vt:lpwstr>https://www.colombiacompra.gov.co/sites/cce_public/files/cce_documentos/circular_no._3_-_secop_-.pdf</vt:lpwstr>
      </vt:variant>
      <vt:variant>
        <vt:lpwstr/>
      </vt:variant>
      <vt:variant>
        <vt:i4>1572893</vt:i4>
      </vt:variant>
      <vt:variant>
        <vt:i4>6</vt:i4>
      </vt:variant>
      <vt:variant>
        <vt:i4>0</vt:i4>
      </vt:variant>
      <vt:variant>
        <vt:i4>5</vt:i4>
      </vt:variant>
      <vt:variant>
        <vt:lpwstr>https://www.colombiacompra.gov.co/sites/cce_public/files/cce_circulares/circular_externa_no.2_de_2019_-_0.pdf</vt:lpwstr>
      </vt:variant>
      <vt:variant>
        <vt:lpwstr/>
      </vt:variant>
      <vt:variant>
        <vt:i4>8257628</vt:i4>
      </vt:variant>
      <vt:variant>
        <vt:i4>3</vt:i4>
      </vt:variant>
      <vt:variant>
        <vt:i4>0</vt:i4>
      </vt:variant>
      <vt:variant>
        <vt:i4>5</vt:i4>
      </vt:variant>
      <vt:variant>
        <vt:lpwstr>https://www.colombiacompra.gov.co/sites/cce_public/files/cce_circulares/circular_externa_no._1_de_2019.pdf</vt:lpwstr>
      </vt:variant>
      <vt:variant>
        <vt:lpwstr/>
      </vt:variant>
      <vt:variant>
        <vt:i4>2752604</vt:i4>
      </vt:variant>
      <vt:variant>
        <vt:i4>0</vt:i4>
      </vt:variant>
      <vt:variant>
        <vt:i4>0</vt:i4>
      </vt:variant>
      <vt:variant>
        <vt:i4>5</vt:i4>
      </vt:variant>
      <vt:variant>
        <vt:lpwstr>mailto:ca.xtorra.giron@santander.edu.co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Ortiz Ballesteros</cp:lastModifiedBy>
  <cp:revision>185</cp:revision>
  <cp:lastPrinted>2023-01-11T00:18:00Z</cp:lastPrinted>
  <dcterms:created xsi:type="dcterms:W3CDTF">2024-07-29T19:10:00Z</dcterms:created>
  <dcterms:modified xsi:type="dcterms:W3CDTF">2024-07-29T19:46:00Z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