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6EBA2" w14:textId="77777777" w:rsidR="00A070B6" w:rsidRPr="00A070B6" w:rsidRDefault="00A070B6" w:rsidP="00A070B6">
      <w:pPr>
        <w:spacing w:after="0" w:line="276" w:lineRule="auto"/>
        <w:jc w:val="both"/>
        <w:rPr>
          <w:rFonts w:ascii="Verdana" w:eastAsia="Aptos" w:hAnsi="Verdana" w:cs="Arial"/>
          <w:b/>
          <w:bCs/>
          <w:kern w:val="2"/>
          <w:lang w:val="es-MX"/>
          <w14:ligatures w14:val="standardContextual"/>
        </w:rPr>
      </w:pPr>
      <w:bookmarkStart w:id="0" w:name="_Hlk143780582"/>
      <w:r w:rsidRPr="00A070B6">
        <w:rPr>
          <w:rFonts w:ascii="Verdana" w:eastAsia="Aptos" w:hAnsi="Verdana" w:cs="Arial"/>
          <w:b/>
          <w:bCs/>
          <w:kern w:val="2"/>
          <w:lang w:val="es-MX"/>
          <w14:ligatures w14:val="standardContextual"/>
        </w:rPr>
        <w:t>DOCUMENTOS TIPO – Formulario 1 – Presupuesto Oficial – Propuesta económica </w:t>
      </w:r>
    </w:p>
    <w:p w14:paraId="397A75F3" w14:textId="77777777" w:rsidR="00A070B6" w:rsidRPr="00A070B6" w:rsidRDefault="00A070B6" w:rsidP="00A070B6">
      <w:pPr>
        <w:spacing w:after="0" w:line="276" w:lineRule="auto"/>
        <w:jc w:val="both"/>
        <w:rPr>
          <w:rFonts w:ascii="Verdana" w:eastAsia="Aptos" w:hAnsi="Verdana" w:cs="Arial"/>
          <w:b/>
          <w:bCs/>
          <w:kern w:val="2"/>
          <w:lang w:val="es-MX"/>
          <w14:ligatures w14:val="standardContextual"/>
        </w:rPr>
      </w:pPr>
    </w:p>
    <w:p w14:paraId="26172E83" w14:textId="60C5C079" w:rsidR="000D5612" w:rsidRPr="000D5612" w:rsidRDefault="000D5612" w:rsidP="000D5612">
      <w:pPr>
        <w:spacing w:after="0" w:line="240" w:lineRule="auto"/>
        <w:jc w:val="both"/>
        <w:rPr>
          <w:rFonts w:ascii="Verdana" w:eastAsia="Aptos" w:hAnsi="Verdana" w:cs="Arial"/>
          <w:kern w:val="2"/>
          <w:sz w:val="20"/>
          <w:szCs w:val="20"/>
          <w:lang w:val="es-MX"/>
          <w14:ligatures w14:val="standardContextual"/>
        </w:rPr>
      </w:pPr>
      <w:r w:rsidRPr="000D5612">
        <w:rPr>
          <w:rFonts w:ascii="Verdana" w:eastAsia="Aptos" w:hAnsi="Verdana" w:cs="Arial"/>
          <w:kern w:val="2"/>
          <w:sz w:val="20"/>
          <w:szCs w:val="20"/>
          <w:lang w:val="es-MX"/>
          <w14:ligatures w14:val="standardContextual"/>
        </w:rPr>
        <w:t xml:space="preserve">Ahora bien, los documentos tipo de infraestructura de transporte, contemplan el “Formulario 1 – Formulario de Presupuesto Oficial”, empleado por la entidad para elaborar y presentar el presupuesto oficial, y mediante el cual el proponente estructura la oferta económica. </w:t>
      </w:r>
    </w:p>
    <w:p w14:paraId="1E1CD149" w14:textId="77777777" w:rsidR="000D5612" w:rsidRDefault="000D5612" w:rsidP="000D5612">
      <w:pPr>
        <w:spacing w:after="0" w:line="240" w:lineRule="auto"/>
        <w:jc w:val="both"/>
        <w:rPr>
          <w:rFonts w:ascii="Verdana" w:eastAsia="Aptos" w:hAnsi="Verdana" w:cs="Arial"/>
          <w:kern w:val="2"/>
          <w:sz w:val="20"/>
          <w:szCs w:val="20"/>
          <w:lang w:val="es-MX"/>
          <w14:ligatures w14:val="standardContextual"/>
        </w:rPr>
      </w:pPr>
    </w:p>
    <w:p w14:paraId="077647B4" w14:textId="2B2AA586" w:rsidR="00A070B6" w:rsidRPr="00A070B6" w:rsidRDefault="000D5612" w:rsidP="000D5612">
      <w:pPr>
        <w:spacing w:after="0" w:line="240" w:lineRule="auto"/>
        <w:jc w:val="both"/>
        <w:rPr>
          <w:rFonts w:ascii="Verdana" w:eastAsia="Aptos" w:hAnsi="Verdana" w:cs="Arial"/>
          <w:kern w:val="2"/>
          <w:sz w:val="20"/>
          <w:szCs w:val="20"/>
          <w:lang w:val="es-MX"/>
          <w14:ligatures w14:val="standardContextual"/>
        </w:rPr>
      </w:pPr>
      <w:r w:rsidRPr="000D5612">
        <w:rPr>
          <w:rFonts w:ascii="Verdana" w:eastAsia="Aptos" w:hAnsi="Verdana" w:cs="Arial"/>
          <w:kern w:val="2"/>
          <w:sz w:val="20"/>
          <w:szCs w:val="20"/>
          <w:lang w:val="es-MX"/>
          <w14:ligatures w14:val="standardContextual"/>
        </w:rPr>
        <w:t>Este formulario lo prepara la entidad en la etapa de planeación y le permite definir el valor oficial estimado del proceso de contratación. Por tanto, las entidades estatales para su elaboración deben tener en cuenta diferentes variables , como el objeto, alcance, obras a ejecutar, actividades, cantidades, particularidades de la zona de ejecución del proyecto, disponibilidad y distancia de fuentes de materiales, entre otros.</w:t>
      </w:r>
    </w:p>
    <w:p w14:paraId="5FA9673B" w14:textId="77777777" w:rsidR="00A070B6" w:rsidRPr="00A070B6" w:rsidRDefault="00A070B6" w:rsidP="00A070B6">
      <w:pPr>
        <w:spacing w:after="0" w:line="276" w:lineRule="auto"/>
        <w:jc w:val="both"/>
        <w:rPr>
          <w:rFonts w:ascii="Verdana" w:eastAsia="Aptos" w:hAnsi="Verdana" w:cs="Arial"/>
          <w:b/>
          <w:bCs/>
          <w:kern w:val="2"/>
          <w:lang w:val="es-MX"/>
          <w14:ligatures w14:val="standardContextual"/>
        </w:rPr>
      </w:pPr>
    </w:p>
    <w:p w14:paraId="00EA2E09" w14:textId="77777777" w:rsidR="00A070B6" w:rsidRPr="00A070B6" w:rsidRDefault="00A070B6" w:rsidP="00A070B6">
      <w:pPr>
        <w:spacing w:after="0" w:line="276" w:lineRule="auto"/>
        <w:jc w:val="both"/>
        <w:rPr>
          <w:rFonts w:ascii="Verdana" w:eastAsia="Aptos" w:hAnsi="Verdana" w:cs="Arial"/>
          <w:b/>
          <w:bCs/>
          <w:kern w:val="2"/>
          <w:lang w:val="es-MX"/>
          <w14:ligatures w14:val="standardContextual"/>
        </w:rPr>
      </w:pPr>
      <w:r w:rsidRPr="00A070B6">
        <w:rPr>
          <w:rFonts w:ascii="Verdana" w:eastAsia="Aptos" w:hAnsi="Verdana" w:cs="Arial"/>
          <w:b/>
          <w:bCs/>
          <w:kern w:val="2"/>
          <w:lang w:val="es-MX"/>
          <w14:ligatures w14:val="standardContextual"/>
        </w:rPr>
        <w:t>INALTERABILIDAD – Documentos Tipo – Alcance</w:t>
      </w:r>
    </w:p>
    <w:p w14:paraId="32F4BC74" w14:textId="77777777" w:rsidR="00A070B6" w:rsidRPr="00A070B6" w:rsidRDefault="00A070B6" w:rsidP="00A070B6">
      <w:pPr>
        <w:spacing w:after="0" w:line="276" w:lineRule="auto"/>
        <w:jc w:val="both"/>
        <w:rPr>
          <w:rFonts w:ascii="Verdana" w:eastAsia="Geomanist Light" w:hAnsi="Verdana" w:cs="Arial"/>
          <w:lang w:val="es-MX"/>
        </w:rPr>
      </w:pPr>
    </w:p>
    <w:p w14:paraId="71EE75EC" w14:textId="172A8339" w:rsidR="00A070B6" w:rsidRPr="00A070B6" w:rsidRDefault="000D5612" w:rsidP="00A070B6">
      <w:pPr>
        <w:spacing w:after="0" w:line="240" w:lineRule="auto"/>
        <w:jc w:val="both"/>
        <w:rPr>
          <w:rFonts w:ascii="Verdana" w:eastAsia="Geomanist Light" w:hAnsi="Verdana" w:cs="Arial"/>
          <w:sz w:val="20"/>
          <w:szCs w:val="20"/>
          <w:lang w:val="es-MX"/>
        </w:rPr>
      </w:pPr>
      <w:r w:rsidRPr="000D5612">
        <w:rPr>
          <w:rFonts w:ascii="Verdana" w:eastAsia="Geomanist Light" w:hAnsi="Verdana" w:cs="Arial"/>
          <w:sz w:val="20"/>
          <w:szCs w:val="20"/>
          <w:lang w:val="es-MX"/>
        </w:rPr>
        <w:t xml:space="preserve">Todas las resoluciones expedidas por la Agencia Nacional de Contratación Pública – Colombia Compra Eficiente, mediante las cuales se han adoptado los documentos tipo, consagran la regla de la inalterabilidad . Esta prohibición consiste en que las entidades estatales no pueden incluir o modificar en los </w:t>
      </w:r>
      <w:r w:rsidRPr="00CC677D">
        <w:rPr>
          <w:rFonts w:ascii="Verdana" w:eastAsia="Geomanist Light" w:hAnsi="Verdana" w:cs="Arial"/>
          <w:i/>
          <w:iCs/>
          <w:sz w:val="20"/>
          <w:szCs w:val="20"/>
          <w:lang w:val="es-MX"/>
        </w:rPr>
        <w:t>Documentos del Proceso</w:t>
      </w:r>
      <w:r w:rsidRPr="000D5612">
        <w:rPr>
          <w:rFonts w:ascii="Verdana" w:eastAsia="Geomanist Light" w:hAnsi="Verdana" w:cs="Arial"/>
          <w:sz w:val="20"/>
          <w:szCs w:val="20"/>
          <w:lang w:val="es-MX"/>
        </w:rPr>
        <w:t xml:space="preserve"> condiciones habilitantes, factores técnicos y económicos de escogencia y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642EC486" w14:textId="77777777" w:rsidR="00A070B6" w:rsidRPr="00A070B6" w:rsidRDefault="00A070B6" w:rsidP="00A070B6">
      <w:pPr>
        <w:spacing w:after="0" w:line="276" w:lineRule="auto"/>
        <w:jc w:val="both"/>
        <w:rPr>
          <w:rFonts w:ascii="Verdana" w:eastAsia="Geomanist Light" w:hAnsi="Verdana" w:cs="Arial"/>
          <w:lang w:val="es-MX"/>
        </w:rPr>
      </w:pPr>
    </w:p>
    <w:p w14:paraId="71362C8E" w14:textId="77777777" w:rsidR="00A070B6" w:rsidRPr="00A070B6" w:rsidRDefault="00A070B6" w:rsidP="00A070B6">
      <w:pPr>
        <w:spacing w:after="0" w:line="240" w:lineRule="auto"/>
        <w:rPr>
          <w:rFonts w:ascii="Verdana" w:eastAsia="Geomanist Light" w:hAnsi="Verdana" w:cs="Arial"/>
          <w:lang w:val="es-MX"/>
        </w:rPr>
      </w:pPr>
    </w:p>
    <w:p w14:paraId="465848A9" w14:textId="77777777" w:rsidR="00A070B6" w:rsidRPr="00A070B6" w:rsidRDefault="00A070B6" w:rsidP="00A070B6">
      <w:pPr>
        <w:spacing w:after="0" w:line="240" w:lineRule="auto"/>
        <w:jc w:val="both"/>
        <w:rPr>
          <w:rFonts w:ascii="Verdana" w:eastAsia="Geomanist Light" w:hAnsi="Verdana" w:cs="Arial"/>
          <w:lang w:val="es-MX"/>
        </w:rPr>
      </w:pPr>
    </w:p>
    <w:p w14:paraId="43E845A6" w14:textId="77777777" w:rsidR="00A070B6" w:rsidRPr="00A070B6" w:rsidRDefault="00A070B6" w:rsidP="00A070B6">
      <w:pPr>
        <w:spacing w:after="0" w:line="240" w:lineRule="auto"/>
        <w:jc w:val="both"/>
        <w:rPr>
          <w:rFonts w:ascii="Verdana" w:eastAsia="Calibri" w:hAnsi="Verdana" w:cs="Times New Roman"/>
        </w:rPr>
      </w:pPr>
    </w:p>
    <w:p w14:paraId="40C4CB5E" w14:textId="77777777" w:rsidR="00A070B6" w:rsidRPr="00A070B6" w:rsidRDefault="00A070B6" w:rsidP="00A070B6">
      <w:pPr>
        <w:spacing w:after="0" w:line="240" w:lineRule="auto"/>
        <w:jc w:val="both"/>
        <w:rPr>
          <w:rFonts w:ascii="Verdana" w:eastAsia="Calibri" w:hAnsi="Verdana" w:cs="Times New Roman"/>
        </w:rPr>
      </w:pPr>
    </w:p>
    <w:p w14:paraId="58BABBB9" w14:textId="77777777" w:rsidR="00A070B6" w:rsidRPr="00A070B6" w:rsidRDefault="00A070B6" w:rsidP="00A070B6">
      <w:pPr>
        <w:spacing w:after="0" w:line="240" w:lineRule="auto"/>
        <w:jc w:val="both"/>
        <w:rPr>
          <w:rFonts w:ascii="Verdana" w:eastAsia="Calibri" w:hAnsi="Verdana" w:cs="Times New Roman"/>
        </w:rPr>
      </w:pPr>
    </w:p>
    <w:p w14:paraId="0EC09B9A" w14:textId="77777777" w:rsidR="00A070B6" w:rsidRPr="00A070B6" w:rsidRDefault="00A070B6" w:rsidP="00A070B6">
      <w:pPr>
        <w:spacing w:after="0" w:line="240" w:lineRule="auto"/>
        <w:jc w:val="both"/>
        <w:rPr>
          <w:rFonts w:ascii="Verdana" w:eastAsia="Calibri" w:hAnsi="Verdana" w:cs="Times New Roman"/>
        </w:rPr>
      </w:pPr>
    </w:p>
    <w:p w14:paraId="0E1E0BEF" w14:textId="77777777" w:rsidR="00A070B6" w:rsidRPr="00A070B6" w:rsidRDefault="00A070B6" w:rsidP="00A070B6">
      <w:pPr>
        <w:spacing w:after="0" w:line="240" w:lineRule="auto"/>
        <w:jc w:val="both"/>
        <w:rPr>
          <w:rFonts w:ascii="Verdana" w:eastAsia="Calibri" w:hAnsi="Verdana" w:cs="Times New Roman"/>
        </w:rPr>
      </w:pPr>
    </w:p>
    <w:p w14:paraId="31BC9103" w14:textId="77777777" w:rsidR="00A070B6" w:rsidRPr="00A070B6" w:rsidRDefault="00A070B6" w:rsidP="00A070B6">
      <w:pPr>
        <w:spacing w:after="0" w:line="240" w:lineRule="auto"/>
        <w:jc w:val="both"/>
        <w:rPr>
          <w:rFonts w:ascii="Verdana" w:eastAsia="Calibri" w:hAnsi="Verdana" w:cs="Times New Roman"/>
        </w:rPr>
      </w:pPr>
    </w:p>
    <w:p w14:paraId="2A13FAFB" w14:textId="77777777" w:rsidR="00A070B6" w:rsidRPr="00A070B6" w:rsidRDefault="00A070B6" w:rsidP="00A070B6">
      <w:pPr>
        <w:spacing w:after="0" w:line="240" w:lineRule="auto"/>
        <w:jc w:val="both"/>
        <w:rPr>
          <w:rFonts w:ascii="Verdana" w:eastAsia="Calibri" w:hAnsi="Verdana" w:cs="Times New Roman"/>
        </w:rPr>
      </w:pPr>
    </w:p>
    <w:p w14:paraId="5B902F52" w14:textId="77777777" w:rsidR="00A070B6" w:rsidRPr="00A070B6" w:rsidRDefault="00A070B6" w:rsidP="00A070B6">
      <w:pPr>
        <w:spacing w:after="0" w:line="240" w:lineRule="auto"/>
        <w:jc w:val="both"/>
        <w:rPr>
          <w:rFonts w:ascii="Verdana" w:eastAsia="Calibri" w:hAnsi="Verdana" w:cs="Times New Roman"/>
        </w:rPr>
      </w:pPr>
    </w:p>
    <w:p w14:paraId="45744936" w14:textId="77777777" w:rsidR="00A070B6" w:rsidRPr="00A070B6" w:rsidRDefault="00A070B6" w:rsidP="00A070B6">
      <w:pPr>
        <w:spacing w:after="0" w:line="240" w:lineRule="auto"/>
        <w:jc w:val="both"/>
        <w:rPr>
          <w:rFonts w:ascii="Verdana" w:eastAsia="Calibri" w:hAnsi="Verdana" w:cs="Times New Roman"/>
        </w:rPr>
      </w:pPr>
    </w:p>
    <w:p w14:paraId="19297017" w14:textId="77777777" w:rsidR="00A070B6" w:rsidRPr="00A070B6" w:rsidRDefault="00A070B6" w:rsidP="00A070B6">
      <w:pPr>
        <w:spacing w:after="0" w:line="240" w:lineRule="auto"/>
        <w:jc w:val="both"/>
        <w:rPr>
          <w:rFonts w:ascii="Verdana" w:eastAsia="Calibri" w:hAnsi="Verdana" w:cs="Times New Roman"/>
        </w:rPr>
      </w:pPr>
    </w:p>
    <w:p w14:paraId="65BDE32B" w14:textId="77777777" w:rsidR="00A070B6" w:rsidRPr="00A070B6" w:rsidRDefault="00A070B6" w:rsidP="00A070B6">
      <w:pPr>
        <w:spacing w:after="0" w:line="240" w:lineRule="auto"/>
        <w:jc w:val="both"/>
        <w:rPr>
          <w:rFonts w:ascii="Verdana" w:eastAsia="Calibri" w:hAnsi="Verdana" w:cs="Times New Roman"/>
        </w:rPr>
      </w:pPr>
    </w:p>
    <w:p w14:paraId="40C0C708" w14:textId="77777777" w:rsidR="00A070B6" w:rsidRPr="00A070B6" w:rsidRDefault="00A070B6" w:rsidP="00A070B6">
      <w:pPr>
        <w:spacing w:after="0" w:line="240" w:lineRule="auto"/>
        <w:jc w:val="both"/>
        <w:rPr>
          <w:rFonts w:ascii="Verdana" w:eastAsia="Calibri" w:hAnsi="Verdana" w:cs="Times New Roman"/>
        </w:rPr>
      </w:pPr>
    </w:p>
    <w:p w14:paraId="3EA052A7" w14:textId="77777777" w:rsidR="00A070B6" w:rsidRPr="00A070B6" w:rsidRDefault="00A070B6" w:rsidP="00A070B6">
      <w:pPr>
        <w:spacing w:after="0" w:line="240" w:lineRule="auto"/>
        <w:jc w:val="both"/>
        <w:rPr>
          <w:rFonts w:ascii="Verdana" w:eastAsia="Calibri" w:hAnsi="Verdana" w:cs="Times New Roman"/>
        </w:rPr>
      </w:pPr>
    </w:p>
    <w:p w14:paraId="278F94DB" w14:textId="77777777" w:rsidR="00A070B6" w:rsidRPr="00A070B6" w:rsidRDefault="00A070B6" w:rsidP="00A070B6">
      <w:pPr>
        <w:spacing w:after="0" w:line="240" w:lineRule="auto"/>
        <w:jc w:val="both"/>
        <w:rPr>
          <w:rFonts w:ascii="Verdana" w:eastAsia="Calibri" w:hAnsi="Verdana" w:cs="Times New Roman"/>
        </w:rPr>
      </w:pPr>
    </w:p>
    <w:p w14:paraId="3A03DC8B" w14:textId="169D002E" w:rsidR="00A070B6" w:rsidRPr="00A070B6" w:rsidRDefault="00A070B6" w:rsidP="00A070B6">
      <w:pPr>
        <w:spacing w:after="0" w:line="240" w:lineRule="auto"/>
        <w:jc w:val="both"/>
        <w:rPr>
          <w:rFonts w:ascii="Verdana" w:eastAsia="Calibri" w:hAnsi="Verdana" w:cs="Arial"/>
          <w:lang w:val="es-ES"/>
        </w:rPr>
      </w:pPr>
      <w:r w:rsidRPr="0044528D">
        <w:rPr>
          <w:rFonts w:ascii="Verdana" w:hAnsi="Verdana"/>
        </w:rPr>
        <w:lastRenderedPageBreak/>
        <w:t>Bogotá D.C.</w:t>
      </w:r>
    </w:p>
    <w:p w14:paraId="4130958A" w14:textId="77777777" w:rsidR="00A070B6" w:rsidRDefault="00A070B6" w:rsidP="00A070B6">
      <w:pPr>
        <w:spacing w:after="0" w:line="240" w:lineRule="auto"/>
        <w:jc w:val="both"/>
        <w:rPr>
          <w:rFonts w:ascii="Verdana" w:eastAsia="Calibri" w:hAnsi="Verdana" w:cs="Arial"/>
          <w:lang w:val="es-ES"/>
        </w:rPr>
      </w:pPr>
    </w:p>
    <w:p w14:paraId="62C7289A" w14:textId="0175B24C" w:rsidR="00A070B6" w:rsidRPr="00A070B6" w:rsidRDefault="0062055B" w:rsidP="0062055B">
      <w:pPr>
        <w:spacing w:after="0" w:line="240" w:lineRule="auto"/>
        <w:jc w:val="right"/>
        <w:rPr>
          <w:rFonts w:ascii="Verdana" w:eastAsia="Calibri" w:hAnsi="Verdana" w:cs="Arial"/>
          <w:lang w:val="es-ES"/>
        </w:rPr>
      </w:pPr>
      <w:r>
        <w:rPr>
          <w:rFonts w:ascii="Verdana" w:eastAsia="Calibri" w:hAnsi="Verdana" w:cs="Arial"/>
          <w:noProof/>
          <w:lang w:val="es-ES"/>
        </w:rPr>
        <w:drawing>
          <wp:inline distT="0" distB="0" distL="0" distR="0" wp14:anchorId="1B45CC2D" wp14:editId="201CA6CD">
            <wp:extent cx="3946616" cy="1154334"/>
            <wp:effectExtent l="0" t="0" r="3175" b="1905"/>
            <wp:docPr id="2499404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40410" name="Imagen 2499404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63103" cy="1159156"/>
                    </a:xfrm>
                    <a:prstGeom prst="rect">
                      <a:avLst/>
                    </a:prstGeom>
                  </pic:spPr>
                </pic:pic>
              </a:graphicData>
            </a:graphic>
          </wp:inline>
        </w:drawing>
      </w:r>
    </w:p>
    <w:p w14:paraId="7FE5AF30" w14:textId="77777777" w:rsidR="00A070B6" w:rsidRPr="00A070B6" w:rsidRDefault="00A070B6" w:rsidP="00A070B6">
      <w:pPr>
        <w:spacing w:after="0" w:line="240" w:lineRule="auto"/>
        <w:jc w:val="both"/>
        <w:rPr>
          <w:rFonts w:ascii="Verdana" w:eastAsia="Calibri" w:hAnsi="Verdana" w:cs="Arial"/>
          <w:lang w:val="es-ES" w:eastAsia="es-ES"/>
        </w:rPr>
      </w:pPr>
      <w:r w:rsidRPr="00A070B6">
        <w:rPr>
          <w:rFonts w:ascii="Verdana" w:eastAsia="Calibri" w:hAnsi="Verdana" w:cs="Arial"/>
          <w:lang w:val="es-ES" w:eastAsia="es-ES"/>
        </w:rPr>
        <w:t>Señora</w:t>
      </w:r>
    </w:p>
    <w:p w14:paraId="297EBF66" w14:textId="77777777" w:rsidR="00A070B6" w:rsidRPr="00A070B6" w:rsidRDefault="00A070B6" w:rsidP="00A070B6">
      <w:pPr>
        <w:spacing w:after="0" w:line="240" w:lineRule="auto"/>
        <w:rPr>
          <w:rFonts w:ascii="Verdana" w:eastAsia="Calibri" w:hAnsi="Verdana" w:cs="Arial"/>
          <w:b/>
          <w:lang w:val="es-ES_tradnl" w:eastAsia="es-ES_tradnl"/>
        </w:rPr>
      </w:pPr>
      <w:r w:rsidRPr="00A070B6">
        <w:rPr>
          <w:rFonts w:ascii="Verdana" w:eastAsia="Calibri" w:hAnsi="Verdana" w:cs="Arial"/>
          <w:b/>
          <w:lang w:val="es-ES_tradnl" w:eastAsia="es-ES_tradnl"/>
        </w:rPr>
        <w:t>Sandra Forero Ramírez</w:t>
      </w:r>
    </w:p>
    <w:p w14:paraId="7E816260" w14:textId="77777777" w:rsidR="00A070B6" w:rsidRPr="00A070B6" w:rsidRDefault="00A070B6" w:rsidP="00A070B6">
      <w:pPr>
        <w:spacing w:after="0" w:line="240" w:lineRule="auto"/>
        <w:rPr>
          <w:rFonts w:ascii="Verdana" w:eastAsia="Calibri" w:hAnsi="Verdana" w:cs="Arial"/>
          <w:bCs/>
          <w:lang w:val="es-ES_tradnl" w:eastAsia="es-ES_tradnl"/>
        </w:rPr>
      </w:pPr>
      <w:r w:rsidRPr="00A070B6">
        <w:rPr>
          <w:rFonts w:ascii="Verdana" w:eastAsia="Calibri" w:hAnsi="Verdana" w:cs="Arial"/>
          <w:bCs/>
          <w:lang w:val="es-ES_tradnl" w:eastAsia="es-ES_tradnl"/>
        </w:rPr>
        <w:t>Concejal de Bogotá D.C.</w:t>
      </w:r>
    </w:p>
    <w:p w14:paraId="44A7F12A" w14:textId="77777777" w:rsidR="00A070B6" w:rsidRPr="00A070B6" w:rsidRDefault="00A070B6" w:rsidP="00A070B6">
      <w:pPr>
        <w:spacing w:after="0" w:line="240" w:lineRule="auto"/>
        <w:rPr>
          <w:rFonts w:ascii="Verdana" w:eastAsia="Calibri" w:hAnsi="Verdana" w:cs="Arial"/>
          <w:b/>
          <w:bCs/>
          <w:lang w:val="es-ES_tradnl" w:eastAsia="es-ES_tradnl"/>
        </w:rPr>
      </w:pPr>
      <w:r w:rsidRPr="00A070B6">
        <w:rPr>
          <w:rFonts w:ascii="Verdana" w:eastAsia="Calibri" w:hAnsi="Verdana" w:cs="Arial"/>
          <w:lang w:val="es-ES" w:eastAsia="es-ES"/>
        </w:rPr>
        <w:t>Bogotá, D.C.</w:t>
      </w:r>
    </w:p>
    <w:p w14:paraId="79DBAE7F" w14:textId="77777777" w:rsidR="00A070B6" w:rsidRPr="00A070B6" w:rsidRDefault="00A070B6" w:rsidP="00A070B6">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070B6" w:rsidRPr="00A070B6" w14:paraId="32ECF42C" w14:textId="77777777">
        <w:trPr>
          <w:trHeight w:val="884"/>
        </w:trPr>
        <w:tc>
          <w:tcPr>
            <w:tcW w:w="2689" w:type="dxa"/>
          </w:tcPr>
          <w:p w14:paraId="7BC240F5" w14:textId="77777777" w:rsidR="00A070B6" w:rsidRPr="00A070B6" w:rsidRDefault="00A070B6" w:rsidP="00A070B6">
            <w:pPr>
              <w:jc w:val="both"/>
              <w:rPr>
                <w:rFonts w:ascii="Verdana" w:eastAsia="Calibri" w:hAnsi="Verdana" w:cs="Arial"/>
                <w:b/>
                <w:bCs/>
                <w:lang w:val="es-ES_tradnl" w:eastAsia="es-ES_tradnl"/>
              </w:rPr>
            </w:pPr>
          </w:p>
        </w:tc>
        <w:tc>
          <w:tcPr>
            <w:tcW w:w="6100" w:type="dxa"/>
          </w:tcPr>
          <w:p w14:paraId="6642FCE6" w14:textId="77777777" w:rsidR="00A070B6" w:rsidRPr="00A070B6" w:rsidRDefault="00A070B6" w:rsidP="00A070B6">
            <w:pPr>
              <w:jc w:val="both"/>
              <w:rPr>
                <w:rFonts w:ascii="Verdana" w:eastAsia="Calibri" w:hAnsi="Verdana" w:cs="Arial"/>
                <w:b/>
                <w:bCs/>
                <w:lang w:val="es-ES" w:eastAsia="es-ES"/>
              </w:rPr>
            </w:pPr>
            <w:r w:rsidRPr="00A070B6">
              <w:rPr>
                <w:rFonts w:ascii="Verdana" w:eastAsia="Calibri" w:hAnsi="Verdana" w:cs="Arial"/>
                <w:b/>
                <w:bCs/>
                <w:lang w:val="es-ES" w:eastAsia="es-ES"/>
              </w:rPr>
              <w:t>Concepto C – 131 de 2024</w:t>
            </w:r>
          </w:p>
        </w:tc>
      </w:tr>
      <w:tr w:rsidR="00A070B6" w:rsidRPr="00A070B6" w14:paraId="36E87155" w14:textId="77777777">
        <w:trPr>
          <w:trHeight w:val="884"/>
        </w:trPr>
        <w:tc>
          <w:tcPr>
            <w:tcW w:w="2689" w:type="dxa"/>
          </w:tcPr>
          <w:p w14:paraId="4760160C" w14:textId="77777777" w:rsidR="00A070B6" w:rsidRPr="00A070B6" w:rsidRDefault="00A070B6" w:rsidP="00A070B6">
            <w:pPr>
              <w:jc w:val="both"/>
              <w:rPr>
                <w:rFonts w:ascii="Verdana" w:eastAsia="Calibri" w:hAnsi="Verdana" w:cs="Arial"/>
                <w:lang w:val="es-ES_tradnl" w:eastAsia="es-ES_tradnl"/>
              </w:rPr>
            </w:pPr>
            <w:r w:rsidRPr="00A070B6">
              <w:rPr>
                <w:rFonts w:ascii="Verdana" w:eastAsia="Calibri" w:hAnsi="Verdana" w:cs="Arial"/>
                <w:b/>
                <w:lang w:val="es-ES_tradnl" w:eastAsia="es-ES_tradnl"/>
              </w:rPr>
              <w:t>Temas:</w:t>
            </w:r>
            <w:r w:rsidRPr="00A070B6">
              <w:rPr>
                <w:rFonts w:ascii="Verdana" w:eastAsia="Calibri" w:hAnsi="Verdana" w:cs="Arial"/>
                <w:lang w:val="es-ES_tradnl" w:eastAsia="es-ES_tradnl"/>
              </w:rPr>
              <w:t xml:space="preserve">                   </w:t>
            </w:r>
          </w:p>
        </w:tc>
        <w:tc>
          <w:tcPr>
            <w:tcW w:w="6100" w:type="dxa"/>
          </w:tcPr>
          <w:p w14:paraId="4C3AB0F0" w14:textId="77777777" w:rsidR="00A070B6" w:rsidRPr="00A070B6" w:rsidRDefault="00A070B6" w:rsidP="00A070B6">
            <w:pPr>
              <w:spacing w:line="276" w:lineRule="auto"/>
              <w:jc w:val="both"/>
              <w:rPr>
                <w:rFonts w:ascii="Verdana" w:eastAsia="Aptos" w:hAnsi="Verdana" w:cs="Arial"/>
                <w:lang w:val="es-MX"/>
              </w:rPr>
            </w:pPr>
            <w:r w:rsidRPr="00A070B6">
              <w:rPr>
                <w:rFonts w:ascii="Verdana" w:eastAsia="Aptos" w:hAnsi="Verdana" w:cs="Arial"/>
                <w:lang w:val="es-MX"/>
              </w:rPr>
              <w:t>DOCUMENTOS TIPO – Formulario 1 – Presupuesto Oficial – Propuesta económica / INALTERABILIDAD – Documentos Tipo – Alcance</w:t>
            </w:r>
          </w:p>
          <w:p w14:paraId="02A2B438" w14:textId="77777777" w:rsidR="00A070B6" w:rsidRPr="00A070B6" w:rsidRDefault="00A070B6" w:rsidP="00A070B6">
            <w:pPr>
              <w:tabs>
                <w:tab w:val="left" w:pos="0"/>
              </w:tabs>
              <w:spacing w:line="276" w:lineRule="auto"/>
              <w:jc w:val="both"/>
              <w:rPr>
                <w:rFonts w:ascii="Verdana" w:eastAsia="Calibri" w:hAnsi="Verdana" w:cs="Arial"/>
                <w:lang w:val="es-ES" w:eastAsia="es-ES"/>
              </w:rPr>
            </w:pPr>
          </w:p>
        </w:tc>
      </w:tr>
      <w:tr w:rsidR="00A070B6" w:rsidRPr="00A070B6" w14:paraId="2540529D" w14:textId="77777777">
        <w:tc>
          <w:tcPr>
            <w:tcW w:w="2689" w:type="dxa"/>
          </w:tcPr>
          <w:p w14:paraId="0E508B12" w14:textId="77777777" w:rsidR="00A070B6" w:rsidRPr="00A070B6" w:rsidRDefault="00A070B6" w:rsidP="00A070B6">
            <w:pPr>
              <w:jc w:val="both"/>
              <w:rPr>
                <w:rFonts w:ascii="Verdana" w:eastAsia="Calibri" w:hAnsi="Verdana" w:cs="Arial"/>
                <w:b/>
                <w:lang w:val="es-ES_tradnl" w:eastAsia="es-ES_tradnl"/>
              </w:rPr>
            </w:pPr>
            <w:r w:rsidRPr="00A070B6">
              <w:rPr>
                <w:rFonts w:ascii="Verdana" w:eastAsia="Calibri" w:hAnsi="Verdana" w:cs="Arial"/>
                <w:b/>
                <w:lang w:val="es-ES_tradnl" w:eastAsia="es-ES_tradnl"/>
              </w:rPr>
              <w:t>Radicación:</w:t>
            </w:r>
            <w:r w:rsidRPr="00A070B6">
              <w:rPr>
                <w:rFonts w:ascii="Verdana" w:eastAsia="Calibri" w:hAnsi="Verdana" w:cs="Arial"/>
                <w:lang w:val="es-ES_tradnl" w:eastAsia="es-ES_tradnl"/>
              </w:rPr>
              <w:t xml:space="preserve">               </w:t>
            </w:r>
          </w:p>
        </w:tc>
        <w:tc>
          <w:tcPr>
            <w:tcW w:w="6100" w:type="dxa"/>
          </w:tcPr>
          <w:p w14:paraId="42F3FD11" w14:textId="77777777" w:rsidR="00A070B6" w:rsidRPr="00A070B6" w:rsidRDefault="00A070B6" w:rsidP="00A070B6">
            <w:pPr>
              <w:jc w:val="both"/>
              <w:rPr>
                <w:rFonts w:ascii="Verdana" w:eastAsia="Calibri" w:hAnsi="Verdana" w:cs="Arial"/>
                <w:lang w:val="es-ES_tradnl" w:eastAsia="es-ES_tradnl"/>
              </w:rPr>
            </w:pPr>
            <w:r w:rsidRPr="00A070B6">
              <w:rPr>
                <w:rFonts w:ascii="Verdana" w:eastAsia="Calibri" w:hAnsi="Verdana" w:cs="Arial"/>
                <w:lang w:val="es-ES_tradnl" w:eastAsia="es-ES_tradnl"/>
              </w:rPr>
              <w:t>Respuesta a consulta con radicado No. P20240617006145</w:t>
            </w:r>
          </w:p>
        </w:tc>
      </w:tr>
    </w:tbl>
    <w:p w14:paraId="2FAE17EB" w14:textId="77777777" w:rsidR="00A070B6" w:rsidRPr="00A070B6" w:rsidRDefault="00A070B6" w:rsidP="00A070B6">
      <w:pPr>
        <w:spacing w:after="0" w:line="240" w:lineRule="auto"/>
        <w:jc w:val="both"/>
        <w:rPr>
          <w:rFonts w:ascii="Verdana" w:eastAsia="Calibri" w:hAnsi="Verdana" w:cs="Arial"/>
          <w:lang w:val="es-ES_tradnl" w:eastAsia="es-ES_tradnl"/>
        </w:rPr>
      </w:pPr>
    </w:p>
    <w:p w14:paraId="44D865C4" w14:textId="77777777" w:rsidR="00A070B6" w:rsidRPr="00A070B6" w:rsidRDefault="00A070B6" w:rsidP="00A070B6">
      <w:pPr>
        <w:spacing w:after="0" w:line="240" w:lineRule="auto"/>
        <w:jc w:val="both"/>
        <w:rPr>
          <w:rFonts w:ascii="Verdana" w:eastAsia="Calibri" w:hAnsi="Verdana" w:cs="Arial"/>
          <w:lang w:val="es-ES_tradnl" w:eastAsia="es-ES_tradnl"/>
        </w:rPr>
      </w:pPr>
    </w:p>
    <w:p w14:paraId="3CC4F069" w14:textId="77777777" w:rsidR="00A070B6" w:rsidRPr="00A070B6" w:rsidRDefault="00A070B6" w:rsidP="00A070B6">
      <w:pPr>
        <w:spacing w:after="0" w:line="276" w:lineRule="auto"/>
        <w:jc w:val="both"/>
        <w:rPr>
          <w:rFonts w:ascii="Verdana" w:eastAsia="Calibri" w:hAnsi="Verdana" w:cs="Arial"/>
          <w:lang w:val="es-ES" w:eastAsia="es-ES"/>
        </w:rPr>
      </w:pPr>
      <w:r w:rsidRPr="00A070B6">
        <w:rPr>
          <w:rFonts w:ascii="Verdana" w:eastAsia="Calibri" w:hAnsi="Verdana" w:cs="Arial"/>
          <w:lang w:val="es-ES" w:eastAsia="es-ES"/>
        </w:rPr>
        <w:t xml:space="preserve">Estimada señora Forero Ramírez: </w:t>
      </w:r>
    </w:p>
    <w:p w14:paraId="6A47CEAC" w14:textId="77777777" w:rsidR="00A070B6" w:rsidRPr="00A070B6" w:rsidRDefault="00A070B6" w:rsidP="00A070B6">
      <w:pPr>
        <w:tabs>
          <w:tab w:val="left" w:pos="3768"/>
        </w:tabs>
        <w:spacing w:after="0" w:line="276" w:lineRule="auto"/>
        <w:jc w:val="both"/>
        <w:rPr>
          <w:rFonts w:ascii="Verdana" w:eastAsia="Calibri" w:hAnsi="Verdana" w:cs="Arial"/>
          <w:lang w:val="es-ES" w:eastAsia="es-ES"/>
        </w:rPr>
      </w:pPr>
      <w:r w:rsidRPr="00A070B6">
        <w:rPr>
          <w:rFonts w:ascii="Verdana" w:eastAsia="Calibri" w:hAnsi="Verdana" w:cs="Arial"/>
          <w:lang w:val="es-ES" w:eastAsia="es-ES"/>
        </w:rPr>
        <w:tab/>
      </w:r>
    </w:p>
    <w:p w14:paraId="5FD09737" w14:textId="77777777" w:rsidR="00A070B6" w:rsidRPr="00A070B6" w:rsidRDefault="00A070B6" w:rsidP="00A070B6">
      <w:pPr>
        <w:spacing w:after="0" w:line="276" w:lineRule="auto"/>
        <w:jc w:val="both"/>
        <w:rPr>
          <w:rFonts w:ascii="Verdana" w:eastAsia="Calibri" w:hAnsi="Verdana" w:cs="Arial"/>
          <w:lang w:val="es-ES" w:eastAsia="es-ES"/>
        </w:rPr>
      </w:pPr>
      <w:r w:rsidRPr="00A070B6">
        <w:rPr>
          <w:rFonts w:ascii="Verdana" w:eastAsia="Calibri" w:hAnsi="Verdana" w:cs="Arial"/>
          <w:lang w:val="es-ES" w:eastAsia="es-ES"/>
        </w:rPr>
        <w:t>En ejercicio de la competencia otorgada por los artículos 3, numeral 5º, y 11, numeral 8º, del Decreto Ley 4170 de 2011,</w:t>
      </w:r>
      <w:r w:rsidRPr="00A070B6">
        <w:rPr>
          <w:rFonts w:ascii="Verdana" w:eastAsia="Arial MT" w:hAnsi="Verdana" w:cs="Arial MT"/>
          <w:lang w:val="es-ES" w:eastAsia="es-ES"/>
        </w:rPr>
        <w:t xml:space="preserve"> </w:t>
      </w:r>
      <w:r w:rsidRPr="00A070B6">
        <w:rPr>
          <w:rFonts w:ascii="Verdana" w:eastAsia="Calibri" w:hAnsi="Verdana" w:cs="Arial"/>
        </w:rPr>
        <w:t xml:space="preserve">así como lo establecido en el artículo 4 de la Resolución 1707 de 2018 expedida por esta Entidad, </w:t>
      </w:r>
      <w:r w:rsidRPr="00A070B6">
        <w:rPr>
          <w:rFonts w:ascii="Verdana" w:eastAsia="Calibri" w:hAnsi="Verdana" w:cs="Arial"/>
          <w:lang w:val="es-ES" w:eastAsia="es-ES"/>
        </w:rPr>
        <w:t>la Agencia Nacional de Contratación Pública – Colombia Compra Eficiente– responde su solicitud de consulta de fecha 17 de junio de 2024. En relación con los documentos tipo de licitación de obra pública de infraestructura de transporte, usted manifiesta lo siguiente:</w:t>
      </w:r>
    </w:p>
    <w:p w14:paraId="6046070C" w14:textId="77777777" w:rsidR="00A070B6" w:rsidRPr="00A070B6" w:rsidRDefault="00A070B6" w:rsidP="00A070B6">
      <w:pPr>
        <w:tabs>
          <w:tab w:val="left" w:pos="142"/>
          <w:tab w:val="left" w:pos="284"/>
        </w:tabs>
        <w:spacing w:line="276" w:lineRule="auto"/>
        <w:contextualSpacing/>
        <w:jc w:val="both"/>
        <w:rPr>
          <w:rFonts w:ascii="Verdana" w:eastAsia="Century Gothic" w:hAnsi="Verdana" w:cs="Century Gothic"/>
          <w:b/>
          <w:bCs/>
          <w:lang w:val="es-ES"/>
        </w:rPr>
      </w:pPr>
    </w:p>
    <w:p w14:paraId="7989510A" w14:textId="77777777" w:rsidR="00A070B6" w:rsidRPr="00A070B6" w:rsidRDefault="00A070B6" w:rsidP="00A070B6">
      <w:pPr>
        <w:spacing w:after="0" w:line="240" w:lineRule="auto"/>
        <w:ind w:left="709" w:right="709"/>
        <w:jc w:val="both"/>
        <w:rPr>
          <w:rFonts w:ascii="Verdana" w:eastAsia="Century Gothic" w:hAnsi="Verdana" w:cs="Century Gothic"/>
          <w:sz w:val="20"/>
          <w:szCs w:val="20"/>
          <w:lang w:val="es-ES"/>
        </w:rPr>
      </w:pPr>
      <w:r w:rsidRPr="00A070B6">
        <w:rPr>
          <w:rFonts w:ascii="Verdana" w:eastAsia="Century Gothic" w:hAnsi="Verdana" w:cs="Century Gothic"/>
          <w:sz w:val="20"/>
          <w:szCs w:val="20"/>
          <w:lang w:val="es-ES"/>
        </w:rPr>
        <w:t>“1. ¿Qué tanta libertad permite el Formulario 1 – Propuesta Económica (en todas sus pestañas del archivo Excel) a las Entidades obligadas a implementar los documentos tipo de licitación de obra pública de infraestructura de transporte para establecer notas que limiten la participación y que estén en contravía de las premisas de la adopción de estos documentos tipo?</w:t>
      </w:r>
    </w:p>
    <w:p w14:paraId="23F6EC3D" w14:textId="77777777" w:rsidR="00A070B6" w:rsidRPr="00A070B6" w:rsidRDefault="00A070B6" w:rsidP="00A070B6">
      <w:pPr>
        <w:spacing w:after="0" w:line="240" w:lineRule="auto"/>
        <w:ind w:left="709" w:right="709"/>
        <w:jc w:val="both"/>
        <w:rPr>
          <w:rFonts w:ascii="Verdana" w:eastAsia="Century Gothic" w:hAnsi="Verdana" w:cs="Century Gothic"/>
          <w:sz w:val="20"/>
          <w:szCs w:val="20"/>
          <w:lang w:val="es-ES"/>
        </w:rPr>
      </w:pPr>
    </w:p>
    <w:p w14:paraId="52D1A086" w14:textId="77777777" w:rsidR="00A070B6" w:rsidRPr="00A070B6" w:rsidRDefault="00A070B6" w:rsidP="00A070B6">
      <w:pPr>
        <w:spacing w:after="0" w:line="240" w:lineRule="auto"/>
        <w:ind w:left="709" w:right="709"/>
        <w:jc w:val="both"/>
        <w:rPr>
          <w:rFonts w:ascii="Verdana" w:eastAsia="Century Gothic" w:hAnsi="Verdana" w:cs="Century Gothic"/>
          <w:sz w:val="20"/>
          <w:szCs w:val="20"/>
          <w:lang w:val="es-ES"/>
        </w:rPr>
      </w:pPr>
      <w:r w:rsidRPr="00A070B6">
        <w:rPr>
          <w:rFonts w:ascii="Verdana" w:eastAsia="Century Gothic" w:hAnsi="Verdana" w:cs="Century Gothic"/>
          <w:sz w:val="20"/>
          <w:szCs w:val="20"/>
          <w:lang w:val="es-ES"/>
        </w:rPr>
        <w:lastRenderedPageBreak/>
        <w:t>2. ¿Las notas 1, 2 y 3 del formulario propuesto por la ANCP-CCE son de obligatoria inclusión en los procesos que sean adelantados bajo la modalidad de precios unitarios? ¿Estás notas pueden ser modificadas y/o eliminadas?</w:t>
      </w:r>
    </w:p>
    <w:p w14:paraId="4F080FA4" w14:textId="77777777" w:rsidR="00A070B6" w:rsidRPr="00A070B6" w:rsidRDefault="00A070B6" w:rsidP="00A070B6">
      <w:pPr>
        <w:spacing w:after="0" w:line="240" w:lineRule="auto"/>
        <w:ind w:left="709" w:right="709"/>
        <w:jc w:val="both"/>
        <w:rPr>
          <w:rFonts w:ascii="Verdana" w:eastAsia="Century Gothic" w:hAnsi="Verdana" w:cs="Century Gothic"/>
          <w:sz w:val="20"/>
          <w:szCs w:val="20"/>
          <w:lang w:val="es-ES"/>
        </w:rPr>
      </w:pPr>
      <w:r w:rsidRPr="00A070B6">
        <w:rPr>
          <w:rFonts w:ascii="Verdana" w:eastAsia="Century Gothic" w:hAnsi="Verdana" w:cs="Century Gothic"/>
          <w:sz w:val="20"/>
          <w:szCs w:val="20"/>
          <w:lang w:val="es-ES"/>
        </w:rPr>
        <w:t>3. Bajo las normas de interpretación del pliego de condiciones, ¿las notas incluidas por las entidades estatales en el Formulario 1 pueden estar por encima de lo dispuesto en el Documento Base?</w:t>
      </w:r>
    </w:p>
    <w:p w14:paraId="034CF40D" w14:textId="77777777" w:rsidR="00A070B6" w:rsidRPr="00A070B6" w:rsidRDefault="00A070B6" w:rsidP="00A070B6">
      <w:pPr>
        <w:spacing w:after="0" w:line="240" w:lineRule="auto"/>
        <w:ind w:left="709" w:right="709"/>
        <w:jc w:val="both"/>
        <w:rPr>
          <w:rFonts w:ascii="Verdana" w:eastAsia="Century Gothic" w:hAnsi="Verdana" w:cs="Century Gothic"/>
          <w:sz w:val="20"/>
          <w:szCs w:val="20"/>
          <w:lang w:val="es-ES"/>
        </w:rPr>
      </w:pPr>
    </w:p>
    <w:p w14:paraId="3A3B58A9" w14:textId="77777777" w:rsidR="00A070B6" w:rsidRPr="00A070B6" w:rsidRDefault="00A070B6" w:rsidP="00A070B6">
      <w:pPr>
        <w:spacing w:after="0" w:line="240" w:lineRule="auto"/>
        <w:ind w:left="709" w:right="709"/>
        <w:jc w:val="both"/>
        <w:rPr>
          <w:rFonts w:ascii="Verdana" w:eastAsia="Century Gothic" w:hAnsi="Verdana" w:cs="Century Gothic"/>
          <w:sz w:val="20"/>
          <w:szCs w:val="20"/>
          <w:lang w:val="es-ES"/>
        </w:rPr>
      </w:pPr>
      <w:r w:rsidRPr="00A070B6">
        <w:rPr>
          <w:rFonts w:ascii="Verdana" w:eastAsia="Century Gothic" w:hAnsi="Verdana" w:cs="Century Gothic"/>
          <w:sz w:val="20"/>
          <w:szCs w:val="20"/>
          <w:lang w:val="es-ES"/>
        </w:rPr>
        <w:t>4. ¿La entidad bajo las reglas del numeral 4?1.2. ¿CORRECCIONES ARITMÉTICAS puede hacerlas extensivas a una interpretación diferente a la consagrada en el Documento Base? Es decir, establecer que bajo la condición de aproximación o corrección aritmética más allá de su noción matemática las emplee como una regla restrictiva que limite y/o direccione el proceso a algún proponente en particular.</w:t>
      </w:r>
    </w:p>
    <w:p w14:paraId="11C51F3F" w14:textId="77777777" w:rsidR="00A070B6" w:rsidRPr="00A070B6" w:rsidRDefault="00A070B6" w:rsidP="00A070B6">
      <w:pPr>
        <w:spacing w:after="0" w:line="240" w:lineRule="auto"/>
        <w:ind w:left="709" w:right="709"/>
        <w:jc w:val="both"/>
        <w:rPr>
          <w:rFonts w:ascii="Verdana" w:eastAsia="Century Gothic" w:hAnsi="Verdana" w:cs="Century Gothic"/>
          <w:sz w:val="20"/>
          <w:szCs w:val="20"/>
          <w:lang w:val="es-ES"/>
        </w:rPr>
      </w:pPr>
    </w:p>
    <w:p w14:paraId="524C61D1" w14:textId="77777777" w:rsidR="00A070B6" w:rsidRPr="00A070B6" w:rsidRDefault="00A070B6" w:rsidP="00A070B6">
      <w:pPr>
        <w:spacing w:after="0" w:line="240" w:lineRule="auto"/>
        <w:ind w:left="709" w:right="709"/>
        <w:jc w:val="both"/>
        <w:rPr>
          <w:rFonts w:ascii="Verdana" w:eastAsia="Century Gothic" w:hAnsi="Verdana" w:cs="Century Gothic"/>
          <w:sz w:val="20"/>
          <w:szCs w:val="20"/>
          <w:lang w:val="es-ES"/>
        </w:rPr>
      </w:pPr>
      <w:r w:rsidRPr="00A070B6">
        <w:rPr>
          <w:rFonts w:ascii="Verdana" w:eastAsia="Century Gothic" w:hAnsi="Verdana" w:cs="Century Gothic"/>
          <w:sz w:val="20"/>
          <w:szCs w:val="20"/>
          <w:lang w:val="es-ES"/>
        </w:rPr>
        <w:t>5. Al establecerse reglas de aproximación y/o correcciones aritméticas bajo una interpretación distinta a la del numeral 4.1.2., las entidades están empleando la libertad de configuración del Formulario 1 como una ventana que limite la participación con reglas, cantidad de decimales, ítems que son objeto de corrección, otros que no, para limitar la participación y aparentemente direccionar los procesos. ¿La ANCP-CCE y las entidades del sector que coadyuvan a la construcción de los documentos de infraestructura de transporte han analizado estas condiciones? ¿Desde el observatorio oficial de contratación de la Subdirección de EMAE se ha alertado sobre el particular?</w:t>
      </w:r>
    </w:p>
    <w:p w14:paraId="57517607" w14:textId="77777777" w:rsidR="00A070B6" w:rsidRPr="00A070B6" w:rsidRDefault="00A070B6" w:rsidP="00A070B6">
      <w:pPr>
        <w:spacing w:after="0" w:line="240" w:lineRule="auto"/>
        <w:ind w:left="709" w:right="709"/>
        <w:jc w:val="both"/>
        <w:rPr>
          <w:rFonts w:ascii="Verdana" w:eastAsia="Century Gothic" w:hAnsi="Verdana" w:cs="Century Gothic"/>
          <w:sz w:val="20"/>
          <w:szCs w:val="20"/>
          <w:lang w:val="es-ES"/>
        </w:rPr>
      </w:pPr>
    </w:p>
    <w:p w14:paraId="6B29C1FB" w14:textId="77777777" w:rsidR="00A070B6" w:rsidRPr="00A070B6" w:rsidRDefault="00A070B6" w:rsidP="00A070B6">
      <w:pPr>
        <w:spacing w:after="0" w:line="240" w:lineRule="auto"/>
        <w:ind w:left="709" w:right="709"/>
        <w:jc w:val="both"/>
        <w:rPr>
          <w:rFonts w:ascii="Verdana" w:eastAsia="Century Gothic" w:hAnsi="Verdana" w:cs="Century Gothic"/>
          <w:sz w:val="20"/>
          <w:szCs w:val="20"/>
          <w:lang w:val="es-ES"/>
        </w:rPr>
      </w:pPr>
      <w:r w:rsidRPr="00A070B6">
        <w:rPr>
          <w:rFonts w:ascii="Verdana" w:eastAsia="Century Gothic" w:hAnsi="Verdana" w:cs="Century Gothic"/>
          <w:sz w:val="20"/>
          <w:szCs w:val="20"/>
          <w:lang w:val="es-ES"/>
        </w:rPr>
        <w:t>6. Las entidades estatales en su obligación que le asiste como parte de la etapa previa de planeación, ¿puede establecer condiciones confusas en cuanto a la estimación del presupuesto oficial que induzcan al error al proponente, o, por el contrario, sea una ventana para direccionar el proceso de selección? Esto en el caso que, al establecer el presupuesto oficial, los precios unitarios y cantidades que se empleen para el formulario económico sean diferentes, y que por un lado se estimó un presupuesto y precios unitarios que en la evaluación NO corresponden a los que se evaluarán.”</w:t>
      </w:r>
    </w:p>
    <w:p w14:paraId="3C03B96A" w14:textId="77777777" w:rsidR="00A070B6" w:rsidRPr="00A070B6" w:rsidRDefault="00A070B6" w:rsidP="00A070B6">
      <w:pPr>
        <w:spacing w:after="0" w:line="240" w:lineRule="auto"/>
        <w:ind w:right="709"/>
        <w:jc w:val="both"/>
        <w:rPr>
          <w:rFonts w:ascii="Verdana" w:eastAsia="Century Gothic" w:hAnsi="Verdana" w:cs="Century Gothic"/>
          <w:lang w:val="es-ES"/>
        </w:rPr>
      </w:pPr>
    </w:p>
    <w:p w14:paraId="75ECDB77" w14:textId="77777777" w:rsidR="00A070B6" w:rsidRPr="00A070B6" w:rsidRDefault="00A070B6" w:rsidP="00A070B6">
      <w:pPr>
        <w:spacing w:after="120" w:line="276" w:lineRule="auto"/>
        <w:ind w:firstLine="709"/>
        <w:jc w:val="both"/>
        <w:rPr>
          <w:rFonts w:ascii="Verdana" w:eastAsia="Calibri" w:hAnsi="Verdana" w:cs="Arial"/>
          <w:szCs w:val="24"/>
          <w:lang w:val="es-ES_tradnl" w:eastAsia="es-ES_tradnl"/>
        </w:rPr>
      </w:pPr>
      <w:r w:rsidRPr="00A070B6">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w:t>
      </w:r>
      <w:r w:rsidRPr="00A070B6">
        <w:rPr>
          <w:rFonts w:ascii="Verdana" w:eastAsia="Calibri" w:hAnsi="Verdana" w:cs="Arial"/>
          <w:lang w:val="es-ES" w:eastAsia="es-ES"/>
        </w:rPr>
        <w:lastRenderedPageBreak/>
        <w:t xml:space="preserve">interpretación de normas generales, por definición, no puede extenderse a la resolución de controversias, ni a brindar asesorías sobre casos puntuales. </w:t>
      </w:r>
      <w:r w:rsidRPr="00A070B6">
        <w:rPr>
          <w:rFonts w:ascii="Verdana" w:eastAsia="Calibri" w:hAnsi="Verdana" w:cs="Arial"/>
          <w:szCs w:val="24"/>
          <w:lang w:val="es-ES_tradnl" w:eastAsia="es-ES_tradnl"/>
        </w:rPr>
        <w:tab/>
      </w:r>
    </w:p>
    <w:p w14:paraId="1AAC5AC5" w14:textId="77777777" w:rsidR="00A070B6" w:rsidRPr="00A070B6" w:rsidRDefault="00A070B6" w:rsidP="00A070B6">
      <w:pPr>
        <w:spacing w:after="0" w:line="276" w:lineRule="auto"/>
        <w:ind w:firstLine="709"/>
        <w:jc w:val="both"/>
        <w:rPr>
          <w:rFonts w:ascii="Verdana" w:eastAsia="Calibri" w:hAnsi="Verdana" w:cs="Arial"/>
          <w:lang w:val="es-ES" w:eastAsia="es-ES"/>
        </w:rPr>
      </w:pPr>
      <w:r w:rsidRPr="00A070B6">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6122F8D4" w14:textId="77777777" w:rsidR="00A070B6" w:rsidRPr="00A070B6" w:rsidRDefault="00A070B6" w:rsidP="00A070B6">
      <w:pPr>
        <w:spacing w:after="0" w:line="276" w:lineRule="auto"/>
        <w:ind w:firstLine="709"/>
        <w:jc w:val="both"/>
        <w:rPr>
          <w:rFonts w:ascii="Verdana" w:eastAsia="Calibri" w:hAnsi="Verdana" w:cs="Arial"/>
          <w:lang w:val="es-ES" w:eastAsia="es-ES"/>
        </w:rPr>
      </w:pPr>
    </w:p>
    <w:p w14:paraId="15B0BEE0" w14:textId="77777777" w:rsidR="00A070B6" w:rsidRPr="00A070B6" w:rsidRDefault="00A070B6" w:rsidP="00A070B6">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A070B6">
        <w:rPr>
          <w:rFonts w:ascii="Verdana" w:eastAsia="Century Gothic" w:hAnsi="Verdana" w:cs="Century Gothic"/>
          <w:b/>
          <w:bCs/>
          <w:lang w:val="es-ES"/>
        </w:rPr>
        <w:t>Problema planteado:</w:t>
      </w:r>
    </w:p>
    <w:p w14:paraId="38975365" w14:textId="77777777" w:rsidR="00A070B6" w:rsidRPr="00A070B6" w:rsidRDefault="00A070B6" w:rsidP="00A070B6">
      <w:pPr>
        <w:tabs>
          <w:tab w:val="left" w:pos="426"/>
        </w:tabs>
        <w:spacing w:after="0" w:line="276" w:lineRule="auto"/>
        <w:jc w:val="both"/>
        <w:rPr>
          <w:rFonts w:ascii="Verdana" w:eastAsia="Century Gothic" w:hAnsi="Verdana" w:cs="Century Gothic"/>
          <w:lang w:val="es-ES"/>
        </w:rPr>
      </w:pPr>
    </w:p>
    <w:p w14:paraId="20671020" w14:textId="77777777" w:rsidR="00A070B6" w:rsidRPr="00A070B6" w:rsidRDefault="00A070B6" w:rsidP="00A070B6">
      <w:pPr>
        <w:snapToGrid w:val="0"/>
        <w:spacing w:after="0" w:line="276" w:lineRule="auto"/>
        <w:jc w:val="both"/>
        <w:rPr>
          <w:rFonts w:ascii="Verdana" w:eastAsia="Century Gothic" w:hAnsi="Verdana" w:cs="Century Gothic"/>
        </w:rPr>
      </w:pPr>
      <w:r w:rsidRPr="00A070B6">
        <w:rPr>
          <w:rFonts w:ascii="Verdana" w:eastAsia="Century Gothic" w:hAnsi="Verdana" w:cs="Century Gothic"/>
        </w:rPr>
        <w:t>De acuerdo con el contenido de su solicitud, esta Agencia resolverá el siguiente problema jurídico: ¿cuál es el alcance de la posibilidad de modificar el contenido del Formulario 1 y de las reglas sobre correcciones aritméticas de los documentos tipo de licitación de obra pública de infraestructura de transporte?</w:t>
      </w:r>
    </w:p>
    <w:p w14:paraId="2CE26B93" w14:textId="77777777" w:rsidR="00A070B6" w:rsidRPr="00A070B6" w:rsidRDefault="00A070B6" w:rsidP="00A070B6">
      <w:pPr>
        <w:snapToGrid w:val="0"/>
        <w:spacing w:after="0" w:line="276" w:lineRule="auto"/>
        <w:jc w:val="both"/>
        <w:rPr>
          <w:rFonts w:ascii="Verdana" w:eastAsia="Calibri" w:hAnsi="Verdana" w:cs="Arial"/>
          <w:lang w:val="es-ES"/>
        </w:rPr>
      </w:pPr>
    </w:p>
    <w:p w14:paraId="0545B8FA" w14:textId="77777777" w:rsidR="00A070B6" w:rsidRPr="00A070B6" w:rsidRDefault="00A070B6" w:rsidP="00A070B6">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A070B6">
        <w:rPr>
          <w:rFonts w:ascii="Verdana" w:eastAsia="Century Gothic" w:hAnsi="Verdana" w:cs="Century Gothic"/>
          <w:b/>
          <w:bCs/>
          <w:lang w:val="es-ES"/>
        </w:rPr>
        <w:t>Respuesta:</w:t>
      </w:r>
    </w:p>
    <w:p w14:paraId="5ED608BD" w14:textId="77777777" w:rsidR="00A070B6" w:rsidRPr="00A070B6" w:rsidRDefault="00A070B6" w:rsidP="00A070B6">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070B6" w:rsidRPr="00A070B6" w14:paraId="45C64E77" w14:textId="77777777" w:rsidTr="2297D838">
        <w:tc>
          <w:tcPr>
            <w:tcW w:w="8828" w:type="dxa"/>
            <w:shd w:val="clear" w:color="auto" w:fill="auto"/>
          </w:tcPr>
          <w:p w14:paraId="541A2429" w14:textId="77777777" w:rsidR="00A070B6" w:rsidRPr="00A070B6" w:rsidRDefault="00A070B6" w:rsidP="2297D838">
            <w:pPr>
              <w:spacing w:line="276" w:lineRule="auto"/>
              <w:jc w:val="both"/>
              <w:rPr>
                <w:rFonts w:ascii="Verdana" w:eastAsia="Times New Roman" w:hAnsi="Verdana" w:cs="Arial"/>
                <w:kern w:val="2"/>
                <w:shd w:val="clear" w:color="auto" w:fill="FFFFFF"/>
                <w:lang w:val="es-ES" w:eastAsia="es-ES"/>
                <w14:ligatures w14:val="standardContextual"/>
              </w:rPr>
            </w:pPr>
            <w:r w:rsidRPr="2297D838">
              <w:rPr>
                <w:rFonts w:ascii="Verdana" w:eastAsia="Times New Roman" w:hAnsi="Verdana" w:cs="Arial"/>
                <w:kern w:val="2"/>
                <w:shd w:val="clear" w:color="auto" w:fill="FFFFFF"/>
                <w:lang w:val="es-ES" w:eastAsia="es-ES"/>
                <w14:ligatures w14:val="standardContextual"/>
              </w:rPr>
              <w:t xml:space="preserve">En virtud de la regla de inalterabilidad aludida, los Documentos Tipo solo pueden ser modificados en los aspectos en que estos lo permitan. Esto corresponde a aquellos aspectos que se encuentran entre corchetes y resaltados en gris </w:t>
            </w:r>
            <w:r w:rsidRPr="2297D838">
              <w:rPr>
                <w:rFonts w:ascii="Verdana" w:eastAsia="Times New Roman" w:hAnsi="Verdana" w:cs="Arial"/>
                <w:kern w:val="2"/>
                <w:highlight w:val="lightGray"/>
                <w:shd w:val="clear" w:color="auto" w:fill="FFFFFF"/>
                <w:lang w:val="es-ES" w:eastAsia="es-ES"/>
                <w14:ligatures w14:val="standardContextual"/>
              </w:rPr>
              <w:t>–[texto]–</w:t>
            </w:r>
            <w:r w:rsidRPr="2297D838">
              <w:rPr>
                <w:rFonts w:ascii="Verdana" w:eastAsia="Times New Roman" w:hAnsi="Verdana" w:cs="Arial"/>
                <w:kern w:val="2"/>
                <w:shd w:val="clear" w:color="auto" w:fill="FFFFFF"/>
                <w:lang w:val="es-ES" w:eastAsia="es-ES"/>
                <w14:ligatures w14:val="standardContextual"/>
              </w:rPr>
              <w:t>, para lo cual deberán observarse las instrucciones contenidas en los mismos para su diligenciamiento.</w:t>
            </w:r>
          </w:p>
          <w:p w14:paraId="09EA0925" w14:textId="77777777" w:rsidR="00A070B6" w:rsidRPr="00A070B6" w:rsidRDefault="00A070B6" w:rsidP="00A070B6">
            <w:pPr>
              <w:spacing w:line="276" w:lineRule="auto"/>
              <w:jc w:val="both"/>
              <w:rPr>
                <w:rFonts w:ascii="Verdana" w:eastAsia="Calibri" w:hAnsi="Verdana" w:cs="Arial"/>
                <w:bCs/>
                <w:lang w:val="es-ES_tradnl" w:eastAsia="es-CO"/>
              </w:rPr>
            </w:pPr>
          </w:p>
          <w:p w14:paraId="726D9885" w14:textId="77777777" w:rsidR="00A070B6" w:rsidRPr="00A070B6" w:rsidRDefault="00A070B6" w:rsidP="00A070B6">
            <w:pPr>
              <w:snapToGrid w:val="0"/>
              <w:spacing w:line="276" w:lineRule="auto"/>
              <w:jc w:val="both"/>
              <w:rPr>
                <w:rFonts w:ascii="Verdana" w:eastAsia="Aptos" w:hAnsi="Verdana" w:cs="Arial"/>
                <w:lang w:val="es-ES_tradnl"/>
              </w:rPr>
            </w:pPr>
            <w:r w:rsidRPr="00A070B6">
              <w:rPr>
                <w:rFonts w:ascii="Verdana" w:eastAsia="Aptos" w:hAnsi="Verdana" w:cs="Arial"/>
                <w:lang w:val="es-ES_tradnl"/>
              </w:rPr>
              <w:t xml:space="preserve">Respecto al “Formulario 1” de los documentos tipo de infraestructura de transporte objeto de su consulta, es importante señalar que la entidad puede modificarlo o establecer la presentación de la oferta económica con un formulario distinto al indicado. Sin embargo, cuando el proceso de contratación es estructurado por precios unitarios, la entidad deberá aplicar las notas 1, 2 y 3 del formulario en comento. </w:t>
            </w:r>
          </w:p>
          <w:p w14:paraId="71811C7A" w14:textId="77777777" w:rsidR="00A070B6" w:rsidRPr="00A070B6" w:rsidRDefault="00A070B6" w:rsidP="00A070B6">
            <w:pPr>
              <w:snapToGrid w:val="0"/>
              <w:spacing w:line="276" w:lineRule="auto"/>
              <w:jc w:val="both"/>
              <w:rPr>
                <w:rFonts w:ascii="Verdana" w:eastAsia="Aptos" w:hAnsi="Verdana" w:cs="Arial"/>
                <w:lang w:val="es-ES_tradnl"/>
              </w:rPr>
            </w:pPr>
          </w:p>
          <w:p w14:paraId="012E5F66" w14:textId="77777777" w:rsidR="00A070B6" w:rsidRPr="00A070B6" w:rsidRDefault="00A070B6" w:rsidP="00A070B6">
            <w:pPr>
              <w:snapToGrid w:val="0"/>
              <w:spacing w:line="276" w:lineRule="auto"/>
              <w:jc w:val="both"/>
              <w:rPr>
                <w:rFonts w:ascii="Verdana" w:eastAsia="Aptos" w:hAnsi="Verdana" w:cs="Arial"/>
                <w:lang w:val="es-ES_tradnl"/>
              </w:rPr>
            </w:pPr>
            <w:r w:rsidRPr="00A070B6">
              <w:rPr>
                <w:rFonts w:ascii="Verdana" w:eastAsia="Aptos" w:hAnsi="Verdana" w:cs="Arial"/>
                <w:lang w:val="es-ES_tradnl"/>
              </w:rPr>
              <w:t>Por otra parte, el numeral “4.1.2. CORRECCIONES ARITMÉTICAS” del Documento Base señala las situaciones en las cuales la entidad efectuará correcciones aritméticas. En todo caso, cuando la entidad realice modificaciones o incluya aspectos que puedan interpretar de forma diferente lo definido en el pliego tipo, primará lo señalado en los documentos tipo, conforme al literal “E” del numeral 1.17 del Documento Base.</w:t>
            </w:r>
          </w:p>
          <w:p w14:paraId="6B0E6EE5" w14:textId="77777777" w:rsidR="00A070B6" w:rsidRPr="00A070B6" w:rsidRDefault="00A070B6" w:rsidP="00A070B6">
            <w:pPr>
              <w:snapToGrid w:val="0"/>
              <w:spacing w:line="276" w:lineRule="auto"/>
              <w:jc w:val="both"/>
              <w:rPr>
                <w:rFonts w:ascii="Verdana" w:eastAsia="Aptos" w:hAnsi="Verdana" w:cs="Times New Roman"/>
                <w:lang w:val="es-ES_tradnl"/>
              </w:rPr>
            </w:pPr>
          </w:p>
          <w:p w14:paraId="23C132CB" w14:textId="77777777" w:rsidR="00A070B6" w:rsidRPr="00A070B6" w:rsidRDefault="00A070B6" w:rsidP="7916B96F">
            <w:pPr>
              <w:snapToGrid w:val="0"/>
              <w:spacing w:line="276" w:lineRule="auto"/>
              <w:jc w:val="both"/>
              <w:rPr>
                <w:rFonts w:ascii="Verdana" w:eastAsia="Aptos" w:hAnsi="Verdana" w:cs="Arial"/>
                <w:b/>
                <w:bCs/>
                <w:kern w:val="2"/>
                <w:lang w:val="es-ES"/>
                <w14:ligatures w14:val="standardContextual"/>
              </w:rPr>
            </w:pPr>
            <w:r w:rsidRPr="7916B96F">
              <w:rPr>
                <w:rFonts w:ascii="Verdana" w:eastAsia="Aptos" w:hAnsi="Verdana" w:cs="Times New Roman"/>
                <w:lang w:val="es-ES"/>
              </w:rPr>
              <w:lastRenderedPageBreak/>
              <w:t>Finalmente, respecto a sus observaciones, le informamos que serán tenidas en cuenta para la actualización de los documentos tipo que adelanta esta Agencia en la actualidad.</w:t>
            </w:r>
          </w:p>
        </w:tc>
      </w:tr>
    </w:tbl>
    <w:p w14:paraId="63BD1853" w14:textId="77777777" w:rsidR="00A070B6" w:rsidRPr="00A070B6" w:rsidRDefault="00A070B6" w:rsidP="00A070B6">
      <w:pPr>
        <w:tabs>
          <w:tab w:val="left" w:pos="142"/>
          <w:tab w:val="left" w:pos="284"/>
        </w:tabs>
        <w:snapToGrid w:val="0"/>
        <w:spacing w:after="0" w:line="276" w:lineRule="auto"/>
        <w:jc w:val="both"/>
        <w:rPr>
          <w:rFonts w:ascii="Verdana" w:eastAsia="Century Gothic" w:hAnsi="Verdana" w:cs="Century Gothic"/>
          <w:b/>
          <w:bCs/>
          <w:lang w:val="es-ES"/>
        </w:rPr>
      </w:pPr>
    </w:p>
    <w:p w14:paraId="685B13F9" w14:textId="77777777" w:rsidR="00A070B6" w:rsidRPr="00A070B6" w:rsidRDefault="00A070B6" w:rsidP="00A070B6">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A070B6">
        <w:rPr>
          <w:rFonts w:ascii="Verdana" w:eastAsia="Century Gothic" w:hAnsi="Verdana" w:cs="Century Gothic"/>
          <w:b/>
          <w:bCs/>
          <w:lang w:val="es-ES"/>
        </w:rPr>
        <w:t>Razones de la respuesta:</w:t>
      </w:r>
    </w:p>
    <w:p w14:paraId="091A1FE9" w14:textId="77777777" w:rsidR="00A070B6" w:rsidRPr="00A070B6" w:rsidRDefault="00A070B6" w:rsidP="00A070B6">
      <w:pPr>
        <w:tabs>
          <w:tab w:val="left" w:pos="142"/>
          <w:tab w:val="left" w:pos="284"/>
        </w:tabs>
        <w:snapToGrid w:val="0"/>
        <w:spacing w:after="0" w:line="276" w:lineRule="auto"/>
        <w:ind w:left="357"/>
        <w:jc w:val="both"/>
        <w:rPr>
          <w:rFonts w:ascii="Verdana" w:eastAsia="Century Gothic" w:hAnsi="Verdana" w:cs="Century Gothic"/>
          <w:b/>
          <w:bCs/>
          <w:lang w:val="es-ES"/>
        </w:rPr>
      </w:pPr>
    </w:p>
    <w:p w14:paraId="4A46E910" w14:textId="77777777" w:rsidR="00A070B6" w:rsidRPr="00A070B6" w:rsidRDefault="00A070B6" w:rsidP="00A070B6">
      <w:pPr>
        <w:snapToGrid w:val="0"/>
        <w:spacing w:after="0" w:line="276" w:lineRule="auto"/>
        <w:jc w:val="both"/>
        <w:rPr>
          <w:rFonts w:ascii="Verdana" w:eastAsia="Calibri" w:hAnsi="Verdana" w:cs="Arial"/>
          <w:lang w:val="es-ES"/>
        </w:rPr>
      </w:pPr>
      <w:r w:rsidRPr="00A070B6">
        <w:rPr>
          <w:rFonts w:ascii="Verdana" w:eastAsia="Calibri" w:hAnsi="Verdana" w:cs="Arial"/>
          <w:lang w:val="es-ES"/>
        </w:rPr>
        <w:t>Lo anterior se sustenta en las siguientes consideraciones:</w:t>
      </w:r>
    </w:p>
    <w:p w14:paraId="1D67E63A" w14:textId="77777777" w:rsidR="00A070B6" w:rsidRPr="00A070B6" w:rsidRDefault="00A070B6" w:rsidP="00A070B6">
      <w:pPr>
        <w:snapToGrid w:val="0"/>
        <w:spacing w:after="0" w:line="276" w:lineRule="auto"/>
        <w:jc w:val="both"/>
        <w:rPr>
          <w:rFonts w:ascii="Verdana" w:eastAsia="Calibri" w:hAnsi="Verdana" w:cs="Arial"/>
          <w:lang w:val="es-ES"/>
        </w:rPr>
      </w:pPr>
      <w:r w:rsidRPr="00A070B6">
        <w:rPr>
          <w:rFonts w:ascii="Verdana" w:eastAsia="Calibri" w:hAnsi="Verdana" w:cs="Arial"/>
          <w:lang w:val="es-ES"/>
        </w:rPr>
        <w:t xml:space="preserve"> </w:t>
      </w:r>
    </w:p>
    <w:p w14:paraId="35F809A0" w14:textId="77777777" w:rsidR="00A070B6" w:rsidRPr="00A070B6" w:rsidRDefault="00A070B6" w:rsidP="00A070B6">
      <w:pPr>
        <w:numPr>
          <w:ilvl w:val="0"/>
          <w:numId w:val="18"/>
        </w:numPr>
        <w:snapToGrid w:val="0"/>
        <w:spacing w:after="0" w:line="276" w:lineRule="auto"/>
        <w:jc w:val="both"/>
        <w:rPr>
          <w:rFonts w:ascii="Verdana" w:eastAsia="Calibri" w:hAnsi="Verdana" w:cs="Arial"/>
          <w:kern w:val="2"/>
          <w:lang w:val="es-ES"/>
          <w14:ligatures w14:val="standardContextual"/>
        </w:rPr>
      </w:pPr>
      <w:r w:rsidRPr="00A070B6">
        <w:rPr>
          <w:rFonts w:ascii="Verdana" w:eastAsia="Calibri" w:hAnsi="Verdana" w:cs="Arial"/>
          <w:kern w:val="2"/>
          <w:lang w:val="es-ES"/>
          <w14:ligatures w14:val="standardContextua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07960EB4" w14:textId="77777777" w:rsidR="00A070B6" w:rsidRPr="00A070B6" w:rsidRDefault="00A070B6" w:rsidP="00A070B6">
      <w:pPr>
        <w:snapToGrid w:val="0"/>
        <w:spacing w:after="0" w:line="276" w:lineRule="auto"/>
        <w:ind w:left="720"/>
        <w:jc w:val="both"/>
        <w:rPr>
          <w:rFonts w:ascii="Verdana" w:eastAsia="Calibri" w:hAnsi="Verdana" w:cs="Arial"/>
          <w:kern w:val="2"/>
          <w:lang w:val="es-ES"/>
          <w14:ligatures w14:val="standardContextual"/>
        </w:rPr>
      </w:pPr>
    </w:p>
    <w:p w14:paraId="22BEBF1F" w14:textId="77777777" w:rsidR="00A070B6" w:rsidRPr="00A070B6" w:rsidRDefault="00A070B6" w:rsidP="00A070B6">
      <w:pPr>
        <w:numPr>
          <w:ilvl w:val="0"/>
          <w:numId w:val="18"/>
        </w:numPr>
        <w:snapToGrid w:val="0"/>
        <w:spacing w:after="0" w:line="276" w:lineRule="auto"/>
        <w:jc w:val="both"/>
        <w:rPr>
          <w:rFonts w:ascii="Verdana" w:eastAsia="Calibri" w:hAnsi="Verdana" w:cs="Arial"/>
          <w:kern w:val="2"/>
          <w:lang w:val="es-ES" w:eastAsia="es-ES"/>
          <w14:ligatures w14:val="standardContextual"/>
        </w:rPr>
      </w:pPr>
      <w:r w:rsidRPr="00A070B6">
        <w:rPr>
          <w:rFonts w:ascii="Verdana" w:eastAsia="Times New Roman" w:hAnsi="Verdana" w:cs="Arial"/>
          <w:kern w:val="2"/>
          <w:shd w:val="clear" w:color="auto" w:fill="FFFFFF"/>
          <w:lang w:val="es-ES_tradnl" w:eastAsia="es-ES_tradnl"/>
          <w14:ligatures w14:val="standardContextual"/>
        </w:rPr>
        <w:t>Todas las resoluciones expedidas por la Agencia Nacional de Contratación Pública – Colombia Compra Eficiente, mediante las cuales se han adoptado los documentos tipo, consagran la regla de la inalterabilidad</w:t>
      </w:r>
      <w:r w:rsidRPr="00A070B6">
        <w:rPr>
          <w:rFonts w:ascii="Verdana" w:eastAsia="Aptos" w:hAnsi="Verdana" w:cs="Times New Roman"/>
          <w:kern w:val="2"/>
          <w:shd w:val="clear" w:color="auto" w:fill="FFFFFF"/>
          <w:vertAlign w:val="superscript"/>
          <w:lang w:val="es-ES_tradnl" w:eastAsia="es-ES_tradnl"/>
          <w14:ligatures w14:val="standardContextual"/>
        </w:rPr>
        <w:footnoteReference w:id="2"/>
      </w:r>
      <w:r w:rsidRPr="00A070B6">
        <w:rPr>
          <w:rFonts w:ascii="Verdana" w:eastAsia="Times New Roman" w:hAnsi="Verdana" w:cs="Arial"/>
          <w:kern w:val="2"/>
          <w:shd w:val="clear" w:color="auto" w:fill="FFFFFF"/>
          <w:lang w:val="es-ES_tradnl" w:eastAsia="es-ES_tradnl"/>
          <w14:ligatures w14:val="standardContextual"/>
        </w:rPr>
        <w:t xml:space="preserve">. Esta prohibición consiste en que las entidades estatales no pueden incluir o modificar en los </w:t>
      </w:r>
      <w:r w:rsidRPr="00A070B6">
        <w:rPr>
          <w:rFonts w:ascii="Verdana" w:eastAsia="Times New Roman" w:hAnsi="Verdana" w:cs="Arial"/>
          <w:i/>
          <w:iCs/>
          <w:kern w:val="2"/>
          <w:shd w:val="clear" w:color="auto" w:fill="FFFFFF"/>
          <w:lang w:val="es-ES_tradnl" w:eastAsia="es-ES_tradnl"/>
          <w14:ligatures w14:val="standardContextual"/>
        </w:rPr>
        <w:t>Documentos del Proceso</w:t>
      </w:r>
      <w:r w:rsidRPr="00A070B6">
        <w:rPr>
          <w:rFonts w:ascii="Verdana" w:eastAsia="Times New Roman" w:hAnsi="Verdana" w:cs="Arial"/>
          <w:kern w:val="2"/>
          <w:shd w:val="clear" w:color="auto" w:fill="FFFFFF"/>
          <w:lang w:val="es-ES_tradnl" w:eastAsia="es-ES_tradnl"/>
          <w14:ligatures w14:val="standardContextual"/>
        </w:rPr>
        <w:t xml:space="preserve"> condiciones habilitantes, factores técnicos y económicos de escogencia y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0AB6D6CA" w14:textId="77777777" w:rsidR="00A070B6" w:rsidRPr="00A070B6" w:rsidRDefault="00A070B6" w:rsidP="00A070B6">
      <w:pPr>
        <w:snapToGrid w:val="0"/>
        <w:spacing w:after="0" w:line="276" w:lineRule="auto"/>
        <w:jc w:val="both"/>
        <w:rPr>
          <w:rFonts w:ascii="Verdana" w:eastAsia="Calibri" w:hAnsi="Verdana" w:cs="Arial"/>
          <w:kern w:val="2"/>
          <w:lang w:val="es-ES" w:eastAsia="es-ES"/>
          <w14:ligatures w14:val="standardContextual"/>
        </w:rPr>
      </w:pPr>
    </w:p>
    <w:p w14:paraId="235AC4A6" w14:textId="77777777" w:rsidR="00A070B6" w:rsidRPr="00A070B6" w:rsidRDefault="00A070B6" w:rsidP="00A070B6">
      <w:pPr>
        <w:numPr>
          <w:ilvl w:val="0"/>
          <w:numId w:val="18"/>
        </w:num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r w:rsidRPr="00A070B6">
        <w:rPr>
          <w:rFonts w:ascii="Verdana" w:eastAsia="Times New Roman" w:hAnsi="Verdana" w:cs="Arial"/>
          <w:kern w:val="2"/>
          <w:shd w:val="clear" w:color="auto" w:fill="FFFFFF"/>
          <w:lang w:val="es-ES_tradnl" w:eastAsia="es-ES_tradnl"/>
          <w14:ligatures w14:val="standardContextual"/>
        </w:rPr>
        <w:t>El fundamento legal vigente de la regla de inalterabilidad se encuentra en el artículo 1 de la Ley 2022 de 2020, según el cual “</w:t>
      </w:r>
      <w:r w:rsidRPr="00A070B6">
        <w:rPr>
          <w:rFonts w:ascii="Verdana" w:eastAsia="Times New Roman" w:hAnsi="Verdana" w:cs="Arial"/>
          <w:kern w:val="2"/>
          <w:lang w:val="es-ES_tradnl" w:eastAsia="es-ES_tradnl"/>
          <w14:ligatures w14:val="standardContextual"/>
        </w:rPr>
        <w:t xml:space="preserve">[…] </w:t>
      </w:r>
      <w:r w:rsidRPr="00A070B6">
        <w:rPr>
          <w:rFonts w:ascii="Verdana" w:eastAsia="Times New Roman" w:hAnsi="Verdana" w:cs="Arial"/>
          <w:kern w:val="2"/>
          <w:shd w:val="clear" w:color="auto" w:fill="FFFFFF"/>
          <w:lang w:val="es-ES_tradnl" w:eastAsia="es-ES_tradnl"/>
          <w14:ligatures w14:val="standardContextual"/>
        </w:rPr>
        <w:t xml:space="preserve">serán de obligatorio cumplimiento en la actividad contractual de todas las entidades sometidas al Estatuto General de Contratación de la Administración </w:t>
      </w:r>
      <w:r w:rsidRPr="00A070B6">
        <w:rPr>
          <w:rFonts w:ascii="Verdana" w:eastAsia="Times New Roman" w:hAnsi="Verdana" w:cs="Arial"/>
          <w:kern w:val="2"/>
          <w:shd w:val="clear" w:color="auto" w:fill="FFFFFF"/>
          <w:lang w:val="es-ES_tradnl" w:eastAsia="es-ES_tradnl"/>
          <w14:ligatures w14:val="standardContextual"/>
        </w:rPr>
        <w:lastRenderedPageBreak/>
        <w:t>Pública”. Pero eso no significa que antes no rigiera, pues así también lo disponía el artículo 4 de la Ley 1882 de 2018. Incluso por vía reglamentaria también se dispuso el carácter inmodificable de los pliegos tipo en el artículo 1 de los Decretos 342 de 2019 y 594 de 2020, que adicionaron, respectivamente, los artículos 2.2.1.2.6.1.4. y 2.2.1.2.6.3.4 al Decreto 1082 de 2015.</w:t>
      </w:r>
    </w:p>
    <w:p w14:paraId="6C36CFCC" w14:textId="77777777" w:rsidR="00A070B6" w:rsidRPr="00A070B6" w:rsidRDefault="00A070B6" w:rsidP="00A070B6">
      <w:p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p>
    <w:p w14:paraId="0DCEA77E" w14:textId="77777777" w:rsidR="00A070B6" w:rsidRPr="00A070B6" w:rsidRDefault="00A070B6" w:rsidP="2297D838">
      <w:pPr>
        <w:numPr>
          <w:ilvl w:val="0"/>
          <w:numId w:val="18"/>
        </w:numPr>
        <w:snapToGrid w:val="0"/>
        <w:spacing w:after="0" w:line="276" w:lineRule="auto"/>
        <w:jc w:val="both"/>
        <w:rPr>
          <w:rFonts w:ascii="Verdana" w:eastAsia="Times New Roman" w:hAnsi="Verdana" w:cs="Arial"/>
          <w:kern w:val="2"/>
          <w:shd w:val="clear" w:color="auto" w:fill="FFFFFF"/>
          <w:lang w:val="es-ES" w:eastAsia="es-ES"/>
          <w14:ligatures w14:val="standardContextual"/>
        </w:rPr>
      </w:pPr>
      <w:r w:rsidRPr="2297D838">
        <w:rPr>
          <w:rFonts w:ascii="Verdana" w:eastAsia="Times New Roman" w:hAnsi="Verdana" w:cs="Arial"/>
          <w:kern w:val="2"/>
          <w:shd w:val="clear" w:color="auto" w:fill="FFFFFF"/>
          <w:lang w:val="es-ES" w:eastAsia="es-ES"/>
          <w14:ligatures w14:val="standardContextual"/>
        </w:rPr>
        <w:t xml:space="preserve">En consecuencia, en virtud de la regla de inalterabilidad aludida, los Documentos Tipo solo pueden ser modificados en los aspectos en que estos lo permitan. Esto corresponde a aquellos aspectos que se encuentran entre corchetes y resaltados en gris </w:t>
      </w:r>
      <w:r w:rsidRPr="2297D838">
        <w:rPr>
          <w:rFonts w:ascii="Verdana" w:eastAsia="Times New Roman" w:hAnsi="Verdana" w:cs="Arial"/>
          <w:kern w:val="2"/>
          <w:highlight w:val="lightGray"/>
          <w:shd w:val="clear" w:color="auto" w:fill="FFFFFF"/>
          <w:lang w:val="es-ES" w:eastAsia="es-ES"/>
          <w14:ligatures w14:val="standardContextual"/>
        </w:rPr>
        <w:t>–[texto]–</w:t>
      </w:r>
      <w:r w:rsidRPr="2297D838">
        <w:rPr>
          <w:rFonts w:ascii="Verdana" w:eastAsia="Times New Roman" w:hAnsi="Verdana" w:cs="Arial"/>
          <w:kern w:val="2"/>
          <w:shd w:val="clear" w:color="auto" w:fill="FFFFFF"/>
          <w:lang w:val="es-ES" w:eastAsia="es-ES"/>
          <w14:ligatures w14:val="standardContextual"/>
        </w:rPr>
        <w:t>, para lo cual deberán observarse las instrucciones contenidas en los mismos para su diligenciamiento.</w:t>
      </w:r>
    </w:p>
    <w:p w14:paraId="4BFC5348" w14:textId="77777777" w:rsidR="00A070B6" w:rsidRPr="00A070B6" w:rsidRDefault="00A070B6" w:rsidP="00A070B6">
      <w:p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r w:rsidRPr="00A070B6">
        <w:rPr>
          <w:rFonts w:ascii="Verdana" w:eastAsia="Times New Roman" w:hAnsi="Verdana" w:cs="Arial"/>
          <w:kern w:val="2"/>
          <w:shd w:val="clear" w:color="auto" w:fill="FFFFFF"/>
          <w:lang w:val="es-ES_tradnl" w:eastAsia="es-ES_tradnl"/>
          <w14:ligatures w14:val="standardContextual"/>
        </w:rPr>
        <w:t xml:space="preserve"> </w:t>
      </w:r>
    </w:p>
    <w:p w14:paraId="2A13C813" w14:textId="77777777" w:rsidR="00A070B6" w:rsidRPr="00A070B6" w:rsidRDefault="00A070B6" w:rsidP="00A070B6">
      <w:pPr>
        <w:numPr>
          <w:ilvl w:val="0"/>
          <w:numId w:val="18"/>
        </w:num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r w:rsidRPr="00A070B6">
        <w:rPr>
          <w:rFonts w:ascii="Verdana" w:eastAsia="Times New Roman" w:hAnsi="Verdana" w:cs="Arial"/>
          <w:kern w:val="2"/>
          <w:shd w:val="clear" w:color="auto" w:fill="FFFFFF"/>
          <w:lang w:val="es-ES_tradnl" w:eastAsia="es-ES_tradnl"/>
          <w14:ligatures w14:val="standardContextual"/>
        </w:rPr>
        <w:t xml:space="preserve">Por lo tanto, una entidad solo podrá modificar aspectos de los Documentos Tipo cuando así esté permitido, en los términos expuestos. Lo anterior implica que, en los apartes en que los documentos tipo no lo permitan, la entidad deberá integrar el contenido de estos a su Proceso de Contratación sin ningún tipo de alteración. </w:t>
      </w:r>
    </w:p>
    <w:p w14:paraId="53EF4F5A" w14:textId="77777777" w:rsidR="00A070B6" w:rsidRPr="00A070B6" w:rsidRDefault="00A070B6" w:rsidP="00A070B6">
      <w:pPr>
        <w:snapToGrid w:val="0"/>
        <w:spacing w:after="0" w:line="276" w:lineRule="auto"/>
        <w:ind w:left="720"/>
        <w:rPr>
          <w:rFonts w:ascii="Verdana" w:eastAsia="Times New Roman" w:hAnsi="Verdana" w:cs="Arial"/>
          <w:kern w:val="2"/>
          <w:shd w:val="clear" w:color="auto" w:fill="FFFFFF"/>
          <w:lang w:val="es-ES_tradnl" w:eastAsia="es-ES_tradnl"/>
          <w14:ligatures w14:val="standardContextual"/>
        </w:rPr>
      </w:pPr>
    </w:p>
    <w:p w14:paraId="1EC4105B" w14:textId="77777777" w:rsidR="00A070B6" w:rsidRPr="00A070B6" w:rsidRDefault="00A070B6" w:rsidP="00A070B6">
      <w:pPr>
        <w:numPr>
          <w:ilvl w:val="0"/>
          <w:numId w:val="18"/>
        </w:numPr>
        <w:snapToGrid w:val="0"/>
        <w:spacing w:after="0" w:line="276" w:lineRule="auto"/>
        <w:jc w:val="both"/>
        <w:rPr>
          <w:rFonts w:ascii="Verdana" w:eastAsia="Calibri" w:hAnsi="Verdana" w:cs="Arial"/>
          <w:kern w:val="2"/>
          <w:lang w:val="es-ES" w:eastAsia="es-ES"/>
          <w14:ligatures w14:val="standardContextual"/>
        </w:rPr>
      </w:pPr>
      <w:r w:rsidRPr="00A070B6">
        <w:rPr>
          <w:rFonts w:ascii="Verdana" w:eastAsia="Calibri" w:hAnsi="Verdana" w:cs="Arial"/>
          <w:kern w:val="2"/>
          <w:lang w:val="es-MX" w:eastAsia="es-MX"/>
          <w14:ligatures w14:val="standardContextual"/>
        </w:rPr>
        <w:t xml:space="preserve">Ahora bien, los documentos tipo de infraestructura de transporte, contemplan el “Formulario 1 – Formulario de Presupuesto Oficial”, empleado por la entidad para elaborar y presentar el presupuesto oficial, y mediante el cual el proponente estructura la oferta económica. </w:t>
      </w:r>
    </w:p>
    <w:p w14:paraId="62B432AC" w14:textId="77777777" w:rsidR="00A070B6" w:rsidRPr="00A070B6" w:rsidRDefault="00A070B6" w:rsidP="00A070B6">
      <w:pPr>
        <w:snapToGrid w:val="0"/>
        <w:spacing w:after="0" w:line="276" w:lineRule="auto"/>
        <w:jc w:val="both"/>
        <w:rPr>
          <w:rFonts w:ascii="Verdana" w:eastAsia="Calibri" w:hAnsi="Verdana" w:cs="Arial"/>
          <w:kern w:val="2"/>
          <w:lang w:val="es-ES" w:eastAsia="es-ES"/>
          <w14:ligatures w14:val="standardContextual"/>
        </w:rPr>
      </w:pPr>
    </w:p>
    <w:p w14:paraId="3608D27E" w14:textId="77777777" w:rsidR="00A070B6" w:rsidRPr="00A070B6" w:rsidRDefault="00A070B6" w:rsidP="00A070B6">
      <w:pPr>
        <w:numPr>
          <w:ilvl w:val="0"/>
          <w:numId w:val="18"/>
        </w:numPr>
        <w:snapToGrid w:val="0"/>
        <w:spacing w:after="0" w:line="276" w:lineRule="auto"/>
        <w:jc w:val="both"/>
        <w:rPr>
          <w:rFonts w:ascii="Verdana" w:eastAsia="Calibri" w:hAnsi="Verdana" w:cs="Arial"/>
          <w:kern w:val="2"/>
          <w:lang w:val="es-ES" w:eastAsia="es-ES"/>
          <w14:ligatures w14:val="standardContextual"/>
        </w:rPr>
      </w:pPr>
      <w:r w:rsidRPr="00A070B6">
        <w:rPr>
          <w:rFonts w:ascii="Verdana" w:eastAsia="Calibri" w:hAnsi="Verdana" w:cs="Arial"/>
          <w:kern w:val="2"/>
          <w:lang w:val="es-MX" w:eastAsia="es-MX"/>
          <w14:ligatures w14:val="standardContextual"/>
        </w:rPr>
        <w:t>Este formulario lo prepara la entidad en la etapa de planeación y le permite definir el valor oficial estimado del proceso de contratación. Por tanto, las entidades estatales para su elaboración deben tener en cuenta diferentes variables</w:t>
      </w:r>
      <w:r w:rsidRPr="00A070B6">
        <w:rPr>
          <w:rFonts w:ascii="Verdana" w:eastAsia="Aptos" w:hAnsi="Verdana" w:cs="Times New Roman"/>
          <w:kern w:val="2"/>
          <w:vertAlign w:val="superscript"/>
          <w:lang w:val="es-ES" w:eastAsia="es-MX"/>
          <w14:ligatures w14:val="standardContextual"/>
        </w:rPr>
        <w:footnoteReference w:id="3"/>
      </w:r>
      <w:r w:rsidRPr="00A070B6">
        <w:rPr>
          <w:rFonts w:ascii="Verdana" w:eastAsia="Calibri" w:hAnsi="Verdana" w:cs="Arial"/>
          <w:kern w:val="2"/>
          <w:lang w:val="es-ES" w:eastAsia="es-MX"/>
          <w14:ligatures w14:val="standardContextual"/>
        </w:rPr>
        <w:t xml:space="preserve">, </w:t>
      </w:r>
      <w:r w:rsidRPr="00A070B6">
        <w:rPr>
          <w:rFonts w:ascii="Verdana" w:eastAsia="Calibri" w:hAnsi="Verdana" w:cs="Arial"/>
          <w:kern w:val="2"/>
          <w:lang w:val="es-MX" w:eastAsia="es-MX"/>
          <w14:ligatures w14:val="standardContextual"/>
        </w:rPr>
        <w:t>como el objeto, alcance, obras a ejecutar, actividades, cantidades, particularidades de la zona de ejecución del proyecto, disponibilidad y distancia de fuentes de materiales, entre otros.</w:t>
      </w:r>
    </w:p>
    <w:p w14:paraId="0B7FF5BB" w14:textId="77777777" w:rsidR="00A070B6" w:rsidRPr="00A070B6" w:rsidRDefault="00A070B6" w:rsidP="00A070B6">
      <w:pPr>
        <w:snapToGrid w:val="0"/>
        <w:spacing w:after="0" w:line="276" w:lineRule="auto"/>
        <w:jc w:val="both"/>
        <w:rPr>
          <w:rFonts w:ascii="Verdana" w:eastAsia="Calibri" w:hAnsi="Verdana" w:cs="Arial"/>
          <w:kern w:val="2"/>
          <w:lang w:val="es-ES" w:eastAsia="es-ES"/>
          <w14:ligatures w14:val="standardContextual"/>
        </w:rPr>
      </w:pPr>
    </w:p>
    <w:p w14:paraId="4702C520" w14:textId="77777777" w:rsidR="00A070B6" w:rsidRPr="00A070B6" w:rsidRDefault="00A070B6" w:rsidP="00A070B6">
      <w:pPr>
        <w:widowControl w:val="0"/>
        <w:numPr>
          <w:ilvl w:val="0"/>
          <w:numId w:val="18"/>
        </w:numPr>
        <w:autoSpaceDE w:val="0"/>
        <w:autoSpaceDN w:val="0"/>
        <w:snapToGrid w:val="0"/>
        <w:spacing w:after="0" w:line="276" w:lineRule="auto"/>
        <w:jc w:val="both"/>
        <w:rPr>
          <w:rFonts w:ascii="Verdana" w:eastAsia="Calibri" w:hAnsi="Verdana" w:cs="Arial"/>
          <w:kern w:val="2"/>
          <w:lang w:val="es-MX" w:eastAsia="es-MX"/>
          <w14:ligatures w14:val="standardContextual"/>
        </w:rPr>
      </w:pPr>
      <w:r w:rsidRPr="00A070B6">
        <w:rPr>
          <w:rFonts w:ascii="Verdana" w:eastAsia="Calibri" w:hAnsi="Verdana" w:cs="Arial"/>
          <w:kern w:val="2"/>
          <w:lang w:val="es-MX" w:eastAsia="es-MX"/>
          <w14:ligatures w14:val="standardContextual"/>
        </w:rPr>
        <w:t xml:space="preserve">En los documentos tipo de obra de infraestructura de transporte, el “Formulario 1 – Formulario de Presupuesto Oficial” tiene dos connotaciones: i) por un lado, es el formulario sobre el cual la entidad estructura y presenta el presupuesto oficial del procedimiento de </w:t>
      </w:r>
      <w:r w:rsidRPr="00A070B6">
        <w:rPr>
          <w:rFonts w:ascii="Verdana" w:eastAsia="Calibri" w:hAnsi="Verdana" w:cs="Arial"/>
          <w:kern w:val="2"/>
          <w:lang w:val="es-MX" w:eastAsia="es-MX"/>
          <w14:ligatures w14:val="standardContextual"/>
        </w:rPr>
        <w:lastRenderedPageBreak/>
        <w:t>contratación; y ii) por el otro, es el formulario sobre el cual los proponentes elaboran y presentan su oferta económica. Específicamente, frente a la propuesta económica, el documento base señala que la misma se debe elaborar a partir del “Formulario 1– Formulario de Presupuesto Oficial” y la presentación debe hacerse con sujeción a lo dispuesto en los numerales “2.3. ELABORACIÓN Y PRESENTACIÓN DE LA OFERTA” y “4.1. OFERTA ECONÓMICA” del referido documento base.</w:t>
      </w:r>
      <w:r w:rsidRPr="00A070B6">
        <w:rPr>
          <w:rFonts w:ascii="Verdana" w:eastAsia="Calibri" w:hAnsi="Verdana" w:cs="Arial"/>
          <w:kern w:val="2"/>
          <w:lang w:val="es-ES" w:eastAsia="es-MX"/>
          <w14:ligatures w14:val="standardContextual"/>
        </w:rPr>
        <w:t xml:space="preserve"> </w:t>
      </w:r>
      <w:r w:rsidRPr="00A070B6">
        <w:rPr>
          <w:rFonts w:ascii="Verdana" w:eastAsia="Calibri" w:hAnsi="Verdana" w:cs="Arial"/>
          <w:kern w:val="2"/>
          <w:lang w:val="es-MX" w:eastAsia="es-MX"/>
          <w14:ligatures w14:val="standardContextual"/>
        </w:rPr>
        <w:t>El propósito de esto es evitar la duplicidad de información y permitir que las propuestas económicas sean evaluadas con las variables, cantidades, unidades de medida y reglas consideradas por la entidad al estructurar su presupuesto oficial.</w:t>
      </w:r>
    </w:p>
    <w:p w14:paraId="50512D52" w14:textId="77777777" w:rsidR="00A070B6" w:rsidRPr="00A070B6" w:rsidRDefault="00A070B6" w:rsidP="00A070B6">
      <w:pPr>
        <w:widowControl w:val="0"/>
        <w:autoSpaceDE w:val="0"/>
        <w:autoSpaceDN w:val="0"/>
        <w:snapToGrid w:val="0"/>
        <w:spacing w:after="0" w:line="276" w:lineRule="auto"/>
        <w:ind w:left="720"/>
        <w:jc w:val="both"/>
        <w:rPr>
          <w:rFonts w:ascii="Verdana" w:eastAsia="Calibri" w:hAnsi="Verdana" w:cs="Arial"/>
          <w:kern w:val="2"/>
          <w:lang w:val="es-MX" w:eastAsia="es-MX"/>
          <w14:ligatures w14:val="standardContextual"/>
        </w:rPr>
      </w:pPr>
    </w:p>
    <w:p w14:paraId="554494AE" w14:textId="77777777" w:rsidR="00A070B6" w:rsidRPr="00A070B6" w:rsidRDefault="00A070B6" w:rsidP="00A070B6">
      <w:pPr>
        <w:widowControl w:val="0"/>
        <w:numPr>
          <w:ilvl w:val="0"/>
          <w:numId w:val="18"/>
        </w:numPr>
        <w:autoSpaceDE w:val="0"/>
        <w:autoSpaceDN w:val="0"/>
        <w:snapToGrid w:val="0"/>
        <w:spacing w:after="0" w:line="276" w:lineRule="auto"/>
        <w:jc w:val="both"/>
        <w:rPr>
          <w:rFonts w:ascii="Verdana" w:eastAsia="Arial" w:hAnsi="Verdana" w:cs="Arial"/>
          <w:iCs/>
          <w:kern w:val="2"/>
          <w:lang w:val="es-ES" w:eastAsia="es-ES" w:bidi="es-ES"/>
          <w14:ligatures w14:val="standardContextual"/>
        </w:rPr>
      </w:pPr>
      <w:r w:rsidRPr="00A070B6">
        <w:rPr>
          <w:rFonts w:ascii="Verdana" w:eastAsia="Arial" w:hAnsi="Verdana" w:cs="Arial"/>
          <w:kern w:val="2"/>
          <w:lang w:val="es-MX" w:eastAsia="es-ES" w:bidi="es-ES"/>
          <w14:ligatures w14:val="standardContextual"/>
        </w:rPr>
        <w:t xml:space="preserve">En ese contexto, se tiene que, en </w:t>
      </w:r>
      <w:r w:rsidRPr="00A070B6">
        <w:rPr>
          <w:rFonts w:ascii="Verdana" w:eastAsia="Arial" w:hAnsi="Verdana" w:cs="Arial"/>
          <w:kern w:val="2"/>
          <w:lang w:val="es-ES" w:eastAsia="es-ES" w:bidi="es-ES"/>
          <w14:ligatures w14:val="standardContextual"/>
        </w:rPr>
        <w:t xml:space="preserve">la primera hoja del Formulario 1, que corresponde al presupuesto oficial, la entidad debe enlistar los </w:t>
      </w:r>
      <w:r w:rsidRPr="00A070B6">
        <w:rPr>
          <w:rFonts w:ascii="Verdana" w:eastAsia="Arial" w:hAnsi="Verdana" w:cs="Arial"/>
          <w:i/>
          <w:kern w:val="2"/>
          <w:lang w:val="es-ES" w:eastAsia="es-ES" w:bidi="es-ES"/>
          <w14:ligatures w14:val="standardContextual"/>
        </w:rPr>
        <w:t xml:space="preserve">ítems de pago </w:t>
      </w:r>
      <w:r w:rsidRPr="00A070B6">
        <w:rPr>
          <w:rFonts w:ascii="Verdana" w:eastAsia="Arial" w:hAnsi="Verdana" w:cs="Arial"/>
          <w:kern w:val="2"/>
          <w:lang w:val="es-ES" w:eastAsia="es-ES" w:bidi="es-ES"/>
          <w14:ligatures w14:val="standardContextual"/>
        </w:rPr>
        <w:t xml:space="preserve">de los bienes, obras o servicios que se requieren para la ejecución de la obra pública de infraestructura de transporte. Además, es posible establecer: i) sus especificaciones generales y particulares, </w:t>
      </w:r>
      <w:proofErr w:type="spellStart"/>
      <w:r w:rsidRPr="00A070B6">
        <w:rPr>
          <w:rFonts w:ascii="Verdana" w:eastAsia="Arial" w:hAnsi="Verdana" w:cs="Arial"/>
          <w:kern w:val="2"/>
          <w:lang w:val="es-ES" w:eastAsia="es-ES" w:bidi="es-ES"/>
          <w14:ligatures w14:val="standardContextual"/>
        </w:rPr>
        <w:t>ii</w:t>
      </w:r>
      <w:proofErr w:type="spellEnd"/>
      <w:r w:rsidRPr="00A070B6">
        <w:rPr>
          <w:rFonts w:ascii="Verdana" w:eastAsia="Arial" w:hAnsi="Verdana" w:cs="Arial"/>
          <w:kern w:val="2"/>
          <w:lang w:val="es-ES" w:eastAsia="es-ES" w:bidi="es-ES"/>
          <w14:ligatures w14:val="standardContextual"/>
        </w:rPr>
        <w:t xml:space="preserve">) la descripción, </w:t>
      </w:r>
      <w:proofErr w:type="spellStart"/>
      <w:r w:rsidRPr="00A070B6">
        <w:rPr>
          <w:rFonts w:ascii="Verdana" w:eastAsia="Arial" w:hAnsi="Verdana" w:cs="Arial"/>
          <w:kern w:val="2"/>
          <w:lang w:val="es-ES" w:eastAsia="es-ES" w:bidi="es-ES"/>
          <w14:ligatures w14:val="standardContextual"/>
        </w:rPr>
        <w:t>iii</w:t>
      </w:r>
      <w:proofErr w:type="spellEnd"/>
      <w:r w:rsidRPr="00A070B6">
        <w:rPr>
          <w:rFonts w:ascii="Verdana" w:eastAsia="Arial" w:hAnsi="Verdana" w:cs="Arial"/>
          <w:kern w:val="2"/>
          <w:lang w:val="es-ES" w:eastAsia="es-ES" w:bidi="es-ES"/>
          <w14:ligatures w14:val="standardContextual"/>
        </w:rPr>
        <w:t xml:space="preserve">) la unidad de medida, </w:t>
      </w:r>
      <w:proofErr w:type="spellStart"/>
      <w:r w:rsidRPr="00A070B6">
        <w:rPr>
          <w:rFonts w:ascii="Verdana" w:eastAsia="Arial" w:hAnsi="Verdana" w:cs="Arial"/>
          <w:kern w:val="2"/>
          <w:lang w:val="es-ES" w:eastAsia="es-ES" w:bidi="es-ES"/>
          <w14:ligatures w14:val="standardContextual"/>
        </w:rPr>
        <w:t>iv</w:t>
      </w:r>
      <w:proofErr w:type="spellEnd"/>
      <w:r w:rsidRPr="00A070B6">
        <w:rPr>
          <w:rFonts w:ascii="Verdana" w:eastAsia="Arial" w:hAnsi="Verdana" w:cs="Arial"/>
          <w:kern w:val="2"/>
          <w:lang w:val="es-ES" w:eastAsia="es-ES" w:bidi="es-ES"/>
          <w14:ligatures w14:val="standardContextual"/>
        </w:rPr>
        <w:t xml:space="preserve">) la cantidad, v) el valor unitario y vi) el valor total de los </w:t>
      </w:r>
      <w:r w:rsidRPr="00A070B6">
        <w:rPr>
          <w:rFonts w:ascii="Verdana" w:eastAsia="Arial" w:hAnsi="Verdana" w:cs="Arial"/>
          <w:i/>
          <w:kern w:val="2"/>
          <w:lang w:val="es-ES" w:eastAsia="es-ES" w:bidi="es-ES"/>
          <w14:ligatures w14:val="standardContextual"/>
        </w:rPr>
        <w:t>ítems.</w:t>
      </w:r>
    </w:p>
    <w:p w14:paraId="4308B4A6" w14:textId="77777777" w:rsidR="00A070B6" w:rsidRPr="00A070B6" w:rsidRDefault="00A070B6" w:rsidP="00A070B6">
      <w:pPr>
        <w:widowControl w:val="0"/>
        <w:autoSpaceDE w:val="0"/>
        <w:autoSpaceDN w:val="0"/>
        <w:snapToGrid w:val="0"/>
        <w:spacing w:after="0" w:line="276" w:lineRule="auto"/>
        <w:jc w:val="both"/>
        <w:rPr>
          <w:rFonts w:ascii="Verdana" w:eastAsia="Arial" w:hAnsi="Verdana" w:cs="Arial"/>
          <w:iCs/>
          <w:kern w:val="2"/>
          <w:lang w:val="es-ES" w:eastAsia="es-ES" w:bidi="es-ES"/>
          <w14:ligatures w14:val="standardContextual"/>
        </w:rPr>
      </w:pPr>
    </w:p>
    <w:p w14:paraId="40070B30" w14:textId="77777777" w:rsidR="00A070B6" w:rsidRPr="00A070B6" w:rsidRDefault="00A070B6" w:rsidP="00A070B6">
      <w:pPr>
        <w:widowControl w:val="0"/>
        <w:numPr>
          <w:ilvl w:val="0"/>
          <w:numId w:val="18"/>
        </w:numPr>
        <w:autoSpaceDE w:val="0"/>
        <w:autoSpaceDN w:val="0"/>
        <w:snapToGrid w:val="0"/>
        <w:spacing w:after="0" w:line="276" w:lineRule="auto"/>
        <w:jc w:val="both"/>
        <w:rPr>
          <w:rFonts w:ascii="Verdana" w:eastAsia="Calibri" w:hAnsi="Verdana" w:cs="Arial"/>
          <w:kern w:val="2"/>
          <w:lang w:val="es-MX" w:eastAsia="es-MX"/>
          <w14:ligatures w14:val="standardContextual"/>
        </w:rPr>
      </w:pPr>
      <w:r w:rsidRPr="00A070B6">
        <w:rPr>
          <w:rFonts w:ascii="Verdana" w:eastAsia="Calibri" w:hAnsi="Verdana" w:cs="Arial"/>
          <w:kern w:val="2"/>
          <w:lang w:val="es-MX" w:eastAsia="es-MX"/>
          <w14:ligatures w14:val="standardContextual"/>
        </w:rPr>
        <w:t xml:space="preserve">De otra parte, en los documentos tipo para procesos de obras de infraestructura de transporte, el “Formulario 1” en su </w:t>
      </w:r>
      <w:r w:rsidRPr="00A070B6">
        <w:rPr>
          <w:rFonts w:ascii="Verdana" w:eastAsia="Calibri" w:hAnsi="Verdana" w:cs="Arial"/>
          <w:i/>
          <w:iCs/>
          <w:kern w:val="2"/>
          <w:lang w:val="es-MX" w:eastAsia="es-MX"/>
          <w14:ligatures w14:val="standardContextual"/>
        </w:rPr>
        <w:t>segunda pestaña</w:t>
      </w:r>
      <w:r w:rsidRPr="00A070B6">
        <w:rPr>
          <w:rFonts w:ascii="Verdana" w:eastAsia="Calibri" w:hAnsi="Verdana" w:cs="Arial"/>
          <w:kern w:val="2"/>
          <w:lang w:val="es-MX" w:eastAsia="es-MX"/>
          <w14:ligatures w14:val="standardContextual"/>
        </w:rPr>
        <w:t xml:space="preserve"> en Excel, titulada “Formulario 1 propuesta económica”, señala en la parte superior derecha: </w:t>
      </w:r>
      <w:r w:rsidRPr="00A070B6">
        <w:rPr>
          <w:rFonts w:ascii="Verdana" w:eastAsia="Calibri" w:hAnsi="Verdana" w:cs="Arial"/>
          <w:i/>
          <w:iCs/>
          <w:kern w:val="2"/>
          <w:lang w:val="es-MX" w:eastAsia="es-MX"/>
          <w14:ligatures w14:val="standardContextual"/>
        </w:rPr>
        <w:t xml:space="preserve">“[La entidad puede utilizar este formulario de presentación de </w:t>
      </w:r>
      <w:r w:rsidRPr="00A070B6">
        <w:rPr>
          <w:rFonts w:ascii="Verdana" w:eastAsia="Calibri" w:hAnsi="Verdana" w:cs="Arial"/>
          <w:b/>
          <w:bCs/>
          <w:i/>
          <w:iCs/>
          <w:kern w:val="2"/>
          <w:u w:val="single"/>
          <w:lang w:val="es-MX" w:eastAsia="es-MX"/>
          <w14:ligatures w14:val="standardContextual"/>
        </w:rPr>
        <w:t>propuesta económica</w:t>
      </w:r>
      <w:r w:rsidRPr="00A070B6">
        <w:rPr>
          <w:rFonts w:ascii="Verdana" w:eastAsia="Calibri" w:hAnsi="Verdana" w:cs="Arial"/>
          <w:i/>
          <w:iCs/>
          <w:kern w:val="2"/>
          <w:lang w:val="es-MX" w:eastAsia="es-MX"/>
          <w14:ligatures w14:val="standardContextual"/>
        </w:rPr>
        <w:t xml:space="preserve"> de forma detallada, sin perjuicio que la entidad pueda modificarlo o establecer la presentación de la oferta económica con un formulario distinto al indicado.]”.</w:t>
      </w:r>
      <w:r w:rsidRPr="00A070B6">
        <w:rPr>
          <w:rFonts w:ascii="Verdana" w:eastAsia="Calibri" w:hAnsi="Verdana" w:cs="Arial"/>
          <w:kern w:val="2"/>
          <w:lang w:val="es-MX" w:eastAsia="es-MX"/>
          <w14:ligatures w14:val="standardContextual"/>
        </w:rPr>
        <w:t xml:space="preserve"> Igualmente, se indica que los proponentes emplearán el formulario establecido por la entidad para determinar su propuesta económica conforme al Formulario 1 - Presupuesto Oficial publicado por la Entidad. Esto significa que las entidades pueden diseñar un formulario para que los proponentes presenten su oferta económica, sin que sea obligatorio sujetarse al formulario que los documentos tipo proponen para el efecto. </w:t>
      </w:r>
    </w:p>
    <w:p w14:paraId="694503D5" w14:textId="77777777" w:rsidR="00A070B6" w:rsidRPr="00A070B6" w:rsidRDefault="00A070B6" w:rsidP="00A070B6">
      <w:pPr>
        <w:widowControl w:val="0"/>
        <w:autoSpaceDE w:val="0"/>
        <w:autoSpaceDN w:val="0"/>
        <w:snapToGrid w:val="0"/>
        <w:spacing w:after="0" w:line="276" w:lineRule="auto"/>
        <w:jc w:val="both"/>
        <w:rPr>
          <w:rFonts w:ascii="Verdana" w:eastAsia="Calibri" w:hAnsi="Verdana" w:cs="Arial"/>
          <w:kern w:val="2"/>
          <w:lang w:val="es-MX" w:eastAsia="es-MX"/>
          <w14:ligatures w14:val="standardContextual"/>
        </w:rPr>
      </w:pPr>
    </w:p>
    <w:p w14:paraId="17B0E297" w14:textId="77777777" w:rsidR="00A070B6" w:rsidRPr="00A070B6" w:rsidRDefault="00A070B6" w:rsidP="00A070B6">
      <w:pPr>
        <w:widowControl w:val="0"/>
        <w:numPr>
          <w:ilvl w:val="0"/>
          <w:numId w:val="18"/>
        </w:numPr>
        <w:autoSpaceDE w:val="0"/>
        <w:autoSpaceDN w:val="0"/>
        <w:snapToGrid w:val="0"/>
        <w:spacing w:after="0" w:line="276" w:lineRule="auto"/>
        <w:jc w:val="both"/>
        <w:rPr>
          <w:rFonts w:ascii="Verdana" w:eastAsia="Calibri" w:hAnsi="Verdana" w:cs="Arial"/>
          <w:kern w:val="2"/>
          <w:lang w:val="es-MX" w:eastAsia="es-MX"/>
          <w14:ligatures w14:val="standardContextual"/>
        </w:rPr>
      </w:pPr>
      <w:r w:rsidRPr="00A070B6">
        <w:rPr>
          <w:rFonts w:ascii="Verdana" w:eastAsia="Calibri" w:hAnsi="Verdana" w:cs="Arial"/>
          <w:kern w:val="2"/>
          <w:lang w:val="es-MX" w:eastAsia="es-MX"/>
          <w14:ligatures w14:val="standardContextual"/>
        </w:rPr>
        <w:t xml:space="preserve">Lo anterior es concordante con lo dispuesto en el numeral 4.1 del Documento Base, que establece que la entidad </w:t>
      </w:r>
      <w:r w:rsidRPr="00A070B6">
        <w:rPr>
          <w:rFonts w:ascii="Verdana" w:eastAsia="Calibri" w:hAnsi="Verdana" w:cs="Arial"/>
          <w:i/>
          <w:iCs/>
          <w:kern w:val="2"/>
          <w:lang w:val="es-MX" w:eastAsia="es-MX"/>
          <w14:ligatures w14:val="standardContextual"/>
        </w:rPr>
        <w:t xml:space="preserve">“debe configurar el formato de oferta económica que se encuentra en el Formulario 1 – Formulario de Presupuesto Oficial, para que sea diligenciado por los </w:t>
      </w:r>
      <w:r w:rsidRPr="00A070B6">
        <w:rPr>
          <w:rFonts w:ascii="Verdana" w:eastAsia="Calibri" w:hAnsi="Verdana" w:cs="Arial"/>
          <w:i/>
          <w:iCs/>
          <w:kern w:val="2"/>
          <w:lang w:val="es-MX" w:eastAsia="es-MX"/>
          <w14:ligatures w14:val="standardContextual"/>
        </w:rPr>
        <w:lastRenderedPageBreak/>
        <w:t>proponentes”.</w:t>
      </w:r>
      <w:r w:rsidRPr="00A070B6">
        <w:rPr>
          <w:rFonts w:ascii="Verdana" w:eastAsia="Calibri" w:hAnsi="Verdana" w:cs="Arial"/>
          <w:kern w:val="2"/>
          <w:lang w:val="es-MX" w:eastAsia="es-MX"/>
          <w14:ligatures w14:val="standardContextual"/>
        </w:rPr>
        <w:t xml:space="preserve"> En tales términos, la presentación de la oferta económica por parte del proponente se realizará teniendo en cuenta el formato determinado por la entidad, sea el que configure de acuerdo con el Formulario 1 o aquel que disponga sobre el particular.</w:t>
      </w:r>
    </w:p>
    <w:p w14:paraId="77F17705" w14:textId="77777777" w:rsidR="00A070B6" w:rsidRPr="00A070B6" w:rsidRDefault="00A070B6" w:rsidP="00A070B6">
      <w:pPr>
        <w:widowControl w:val="0"/>
        <w:autoSpaceDE w:val="0"/>
        <w:autoSpaceDN w:val="0"/>
        <w:snapToGrid w:val="0"/>
        <w:spacing w:after="0" w:line="276" w:lineRule="auto"/>
        <w:jc w:val="both"/>
        <w:rPr>
          <w:rFonts w:ascii="Verdana" w:eastAsia="Calibri" w:hAnsi="Verdana" w:cs="Arial"/>
          <w:kern w:val="2"/>
          <w:lang w:val="es-MX" w:eastAsia="es-MX"/>
          <w14:ligatures w14:val="standardContextual"/>
        </w:rPr>
      </w:pPr>
    </w:p>
    <w:p w14:paraId="056FF58E" w14:textId="77777777" w:rsidR="00A070B6" w:rsidRPr="00A070B6" w:rsidRDefault="00A070B6" w:rsidP="00A070B6">
      <w:pPr>
        <w:numPr>
          <w:ilvl w:val="0"/>
          <w:numId w:val="18"/>
        </w:numPr>
        <w:snapToGrid w:val="0"/>
        <w:spacing w:after="0" w:line="276" w:lineRule="auto"/>
        <w:jc w:val="both"/>
        <w:rPr>
          <w:rFonts w:ascii="Verdana" w:eastAsia="Aptos" w:hAnsi="Verdana" w:cs="Arial"/>
          <w:kern w:val="2"/>
          <w:lang w:val="es-ES_tradnl"/>
          <w14:ligatures w14:val="standardContextual"/>
        </w:rPr>
      </w:pPr>
      <w:r w:rsidRPr="00A070B6">
        <w:rPr>
          <w:rFonts w:ascii="Verdana" w:eastAsia="Aptos" w:hAnsi="Verdana" w:cs="Arial"/>
          <w:kern w:val="2"/>
          <w:lang w:val="es-ES_tradnl"/>
          <w14:ligatures w14:val="standardContextual"/>
        </w:rPr>
        <w:t>Por otra parte, conforme a lo definido en el literal “I” del numeral “1.17 NORMAS DE INTERPRETACIÓN DEL PLIEGO DE CONDICIONES”</w:t>
      </w:r>
      <w:r w:rsidRPr="00A070B6">
        <w:rPr>
          <w:rFonts w:ascii="Verdana" w:eastAsia="Aptos" w:hAnsi="Verdana" w:cs="Arial"/>
          <w:b/>
          <w:bCs/>
          <w:kern w:val="2"/>
          <w:lang w:val="es-ES_tradnl"/>
          <w14:ligatures w14:val="standardContextual"/>
        </w:rPr>
        <w:t xml:space="preserve"> </w:t>
      </w:r>
      <w:r w:rsidRPr="00A070B6">
        <w:rPr>
          <w:rFonts w:ascii="Verdana" w:eastAsia="Aptos" w:hAnsi="Verdana" w:cs="Arial"/>
          <w:kern w:val="2"/>
          <w:lang w:val="es-ES_tradnl"/>
          <w14:ligatures w14:val="standardContextual"/>
        </w:rPr>
        <w:t xml:space="preserve">del Documento Base de los documentos tipo en comento, </w:t>
      </w:r>
      <w:r w:rsidRPr="00A070B6">
        <w:rPr>
          <w:rFonts w:ascii="Verdana" w:eastAsia="Aptos" w:hAnsi="Verdana" w:cs="Arial"/>
          <w:i/>
          <w:iCs/>
          <w:kern w:val="2"/>
          <w:lang w:val="es-ES_tradnl"/>
          <w14:ligatures w14:val="standardContextual"/>
        </w:rPr>
        <w:t>“[l]os Documentos Tipo son inalterables y no se podrán incluir o modificar los Anexos, Formatos y Formularios, ni exigir soportes o requisitos adicionales; salvo cuando se permita en forma expresa, es decir, en los aspectos incluidos en corchetes y resaltados en gris”.</w:t>
      </w:r>
      <w:r w:rsidRPr="00A070B6">
        <w:rPr>
          <w:rFonts w:ascii="Verdana" w:eastAsia="Aptos" w:hAnsi="Verdana" w:cs="Arial"/>
          <w:kern w:val="2"/>
          <w:lang w:val="es-ES_tradnl"/>
          <w14:ligatures w14:val="standardContextual"/>
        </w:rPr>
        <w:t xml:space="preserve"> Esto, en concordancia con la regla de inalterabilidad de los documentos tipo.</w:t>
      </w:r>
    </w:p>
    <w:p w14:paraId="332BEA14" w14:textId="77777777" w:rsidR="00A070B6" w:rsidRPr="00A070B6" w:rsidRDefault="00A070B6" w:rsidP="00A070B6">
      <w:pPr>
        <w:snapToGrid w:val="0"/>
        <w:spacing w:after="0" w:line="276" w:lineRule="auto"/>
        <w:jc w:val="both"/>
        <w:rPr>
          <w:rFonts w:ascii="Verdana" w:eastAsia="Aptos" w:hAnsi="Verdana" w:cs="Arial"/>
          <w:kern w:val="2"/>
          <w:lang w:val="es-ES_tradnl"/>
          <w14:ligatures w14:val="standardContextual"/>
        </w:rPr>
      </w:pPr>
    </w:p>
    <w:p w14:paraId="36BFE286" w14:textId="77777777" w:rsidR="00A070B6" w:rsidRPr="00A070B6" w:rsidRDefault="00A070B6" w:rsidP="7916B96F">
      <w:pPr>
        <w:numPr>
          <w:ilvl w:val="0"/>
          <w:numId w:val="18"/>
        </w:numPr>
        <w:snapToGrid w:val="0"/>
        <w:spacing w:after="0" w:line="276" w:lineRule="auto"/>
        <w:jc w:val="both"/>
        <w:rPr>
          <w:rFonts w:ascii="Verdana" w:eastAsia="Aptos" w:hAnsi="Verdana" w:cs="Arial"/>
          <w:kern w:val="2"/>
          <w:lang w:val="es-ES"/>
          <w14:ligatures w14:val="standardContextual"/>
        </w:rPr>
      </w:pPr>
      <w:r w:rsidRPr="7916B96F">
        <w:rPr>
          <w:rFonts w:ascii="Verdana" w:eastAsia="Aptos" w:hAnsi="Verdana" w:cs="Arial"/>
          <w:kern w:val="2"/>
          <w:lang w:val="es-ES"/>
          <w14:ligatures w14:val="standardContextual"/>
        </w:rPr>
        <w:t xml:space="preserve">Sin embargo, las notas 1, 2 y 3 del “Formulario 1” objeto de su consulta no se encuentran dentro de la excepción anteriormente señalada, toda vez que se establece, de forma expresa, que cuando el proceso de contratación es estructurado por </w:t>
      </w:r>
      <w:r w:rsidRPr="7916B96F">
        <w:rPr>
          <w:rFonts w:ascii="Verdana" w:eastAsia="Aptos" w:hAnsi="Verdana" w:cs="Arial"/>
          <w:i/>
          <w:iCs/>
          <w:kern w:val="2"/>
          <w:lang w:val="es-ES"/>
          <w14:ligatures w14:val="standardContextual"/>
        </w:rPr>
        <w:t>precios unitarios,</w:t>
      </w:r>
      <w:r w:rsidRPr="7916B96F">
        <w:rPr>
          <w:rFonts w:ascii="Verdana" w:eastAsia="Aptos" w:hAnsi="Verdana" w:cs="Arial"/>
          <w:kern w:val="2"/>
          <w:lang w:val="es-ES"/>
          <w14:ligatures w14:val="standardContextual"/>
        </w:rPr>
        <w:t xml:space="preserve"> </w:t>
      </w:r>
      <w:r w:rsidRPr="7916B96F">
        <w:rPr>
          <w:rFonts w:ascii="Verdana" w:eastAsia="Aptos" w:hAnsi="Verdana" w:cs="Arial"/>
          <w:i/>
          <w:iCs/>
          <w:kern w:val="2"/>
          <w:lang w:val="es-ES"/>
          <w14:ligatures w14:val="standardContextual"/>
        </w:rPr>
        <w:t xml:space="preserve">“la Entidad debe aplicar las notas 1, 2 y 3 del presente formato y las casillas de "Descripción", "Porcentaje" de la Administración, Imprevisto, </w:t>
      </w:r>
      <w:proofErr w:type="gramStart"/>
      <w:r w:rsidRPr="7916B96F">
        <w:rPr>
          <w:rFonts w:ascii="Verdana" w:eastAsia="Aptos" w:hAnsi="Verdana" w:cs="Arial"/>
          <w:i/>
          <w:iCs/>
          <w:kern w:val="2"/>
          <w:lang w:val="es-ES"/>
          <w14:ligatures w14:val="standardContextual"/>
        </w:rPr>
        <w:t>Utilidad  y</w:t>
      </w:r>
      <w:proofErr w:type="gramEnd"/>
      <w:r w:rsidRPr="7916B96F">
        <w:rPr>
          <w:rFonts w:ascii="Verdana" w:eastAsia="Aptos" w:hAnsi="Verdana" w:cs="Arial"/>
          <w:i/>
          <w:iCs/>
          <w:kern w:val="2"/>
          <w:lang w:val="es-ES"/>
          <w14:ligatures w14:val="standardContextual"/>
        </w:rPr>
        <w:t xml:space="preserve"> total  A.I.U.  resaltadas en color amarillo.” </w:t>
      </w:r>
      <w:r w:rsidRPr="7916B96F">
        <w:rPr>
          <w:rFonts w:ascii="Verdana" w:eastAsia="Aptos" w:hAnsi="Verdana" w:cs="Arial"/>
          <w:kern w:val="2"/>
          <w:lang w:val="es-ES"/>
          <w14:ligatures w14:val="standardContextual"/>
        </w:rPr>
        <w:t xml:space="preserve">De esta manera, cuando se trate de otras </w:t>
      </w:r>
      <w:r w:rsidRPr="7916B96F">
        <w:rPr>
          <w:rFonts w:ascii="Verdana" w:eastAsia="Aptos" w:hAnsi="Verdana" w:cs="Arial"/>
          <w:i/>
          <w:iCs/>
          <w:kern w:val="2"/>
          <w:lang w:val="es-ES"/>
          <w14:ligatures w14:val="standardContextual"/>
        </w:rPr>
        <w:t>modalidades</w:t>
      </w:r>
      <w:r w:rsidRPr="7916B96F">
        <w:rPr>
          <w:rFonts w:ascii="Verdana" w:eastAsia="Aptos" w:hAnsi="Verdana" w:cs="Arial"/>
          <w:kern w:val="2"/>
          <w:lang w:val="es-ES"/>
          <w14:ligatures w14:val="standardContextual"/>
        </w:rPr>
        <w:t xml:space="preserve"> de precio, la entidad puede o no configurar los mismos aspectos.</w:t>
      </w:r>
    </w:p>
    <w:p w14:paraId="7A61FFAD" w14:textId="77777777" w:rsidR="00A070B6" w:rsidRPr="00A070B6" w:rsidRDefault="00A070B6" w:rsidP="00A070B6">
      <w:pPr>
        <w:snapToGrid w:val="0"/>
        <w:spacing w:after="0" w:line="276" w:lineRule="auto"/>
        <w:jc w:val="both"/>
        <w:rPr>
          <w:rFonts w:ascii="Verdana" w:eastAsia="Aptos" w:hAnsi="Verdana" w:cs="Arial"/>
          <w:kern w:val="2"/>
          <w:lang w:val="es-ES_tradnl"/>
          <w14:ligatures w14:val="standardContextual"/>
        </w:rPr>
      </w:pPr>
    </w:p>
    <w:p w14:paraId="1C9A7740" w14:textId="77777777" w:rsidR="00A070B6" w:rsidRPr="00A070B6" w:rsidRDefault="00A070B6" w:rsidP="00A070B6">
      <w:pPr>
        <w:numPr>
          <w:ilvl w:val="0"/>
          <w:numId w:val="18"/>
        </w:numPr>
        <w:snapToGrid w:val="0"/>
        <w:spacing w:after="0" w:line="276" w:lineRule="auto"/>
        <w:jc w:val="both"/>
        <w:rPr>
          <w:rFonts w:ascii="Verdana" w:eastAsia="Aptos" w:hAnsi="Verdana" w:cs="Arial"/>
          <w:kern w:val="2"/>
          <w:lang w:val="es-ES_tradnl"/>
          <w14:ligatures w14:val="standardContextual"/>
        </w:rPr>
      </w:pPr>
      <w:r w:rsidRPr="00A070B6">
        <w:rPr>
          <w:rFonts w:ascii="Verdana" w:eastAsia="Aptos" w:hAnsi="Verdana" w:cs="Arial"/>
          <w:kern w:val="2"/>
          <w:lang w:val="es-ES_tradnl"/>
          <w14:ligatures w14:val="standardContextual"/>
        </w:rPr>
        <w:t>En consecuencia, para procesos de contratación estructurados por precios unitarios, las notas 1, 2 y 3 del “Formulario 1” son de obligatoria inclusión. Así mismo, en el evento que la entidad determine realizar la inclusión de nuevas notas, las mismas no pueden contrariar lo definido en el pliego tipo, y en el evento en que esta situación se presente, primará lo señalado en los documentos tipo, de acuerdo con lo definido en el literal “E” del numeral “1.17. NORMAS DE INTERPRETACIÓN DEL PLIEGO DE CONDICIONES”</w:t>
      </w:r>
      <w:r w:rsidRPr="00A070B6">
        <w:rPr>
          <w:rFonts w:ascii="Verdana" w:eastAsia="Aptos" w:hAnsi="Verdana" w:cs="Arial"/>
          <w:b/>
          <w:bCs/>
          <w:kern w:val="2"/>
          <w:lang w:val="es-ES_tradnl"/>
          <w14:ligatures w14:val="standardContextual"/>
        </w:rPr>
        <w:t xml:space="preserve"> </w:t>
      </w:r>
      <w:r w:rsidRPr="00A070B6">
        <w:rPr>
          <w:rFonts w:ascii="Verdana" w:eastAsia="Aptos" w:hAnsi="Verdana" w:cs="Arial"/>
          <w:kern w:val="2"/>
          <w:lang w:val="es-ES_tradnl"/>
          <w14:ligatures w14:val="standardContextual"/>
        </w:rPr>
        <w:t>del Documento Base</w:t>
      </w:r>
      <w:r w:rsidRPr="00A070B6">
        <w:rPr>
          <w:rFonts w:ascii="Verdana" w:eastAsia="Aptos" w:hAnsi="Verdana" w:cs="Arial"/>
          <w:b/>
          <w:bCs/>
          <w:kern w:val="2"/>
          <w:lang w:val="es-ES_tradnl"/>
          <w14:ligatures w14:val="standardContextual"/>
        </w:rPr>
        <w:t>.</w:t>
      </w:r>
    </w:p>
    <w:p w14:paraId="6CDD9F33" w14:textId="77777777" w:rsidR="00A070B6" w:rsidRPr="00A070B6" w:rsidRDefault="00A070B6" w:rsidP="00A070B6">
      <w:pPr>
        <w:snapToGrid w:val="0"/>
        <w:spacing w:after="0" w:line="276" w:lineRule="auto"/>
        <w:jc w:val="both"/>
        <w:rPr>
          <w:rFonts w:ascii="Verdana" w:eastAsia="Aptos" w:hAnsi="Verdana" w:cs="Arial"/>
          <w:kern w:val="2"/>
          <w:lang w:val="es-ES_tradnl"/>
          <w14:ligatures w14:val="standardContextual"/>
        </w:rPr>
      </w:pPr>
    </w:p>
    <w:p w14:paraId="0D315646" w14:textId="77777777" w:rsidR="00A070B6" w:rsidRPr="00A070B6" w:rsidRDefault="00A070B6" w:rsidP="00A070B6">
      <w:pPr>
        <w:numPr>
          <w:ilvl w:val="0"/>
          <w:numId w:val="18"/>
        </w:numPr>
        <w:snapToGrid w:val="0"/>
        <w:spacing w:after="0" w:line="276" w:lineRule="auto"/>
        <w:jc w:val="both"/>
        <w:rPr>
          <w:rFonts w:ascii="Verdana" w:eastAsia="Aptos" w:hAnsi="Verdana" w:cs="Arial"/>
          <w:kern w:val="2"/>
          <w:lang w:val="es-ES_tradnl"/>
          <w14:ligatures w14:val="standardContextual"/>
        </w:rPr>
      </w:pPr>
      <w:r w:rsidRPr="00A070B6">
        <w:rPr>
          <w:rFonts w:ascii="Verdana" w:eastAsia="Aptos" w:hAnsi="Verdana" w:cs="Arial"/>
          <w:kern w:val="2"/>
          <w:lang w:val="es-ES_tradnl"/>
          <w14:ligatures w14:val="standardContextual"/>
        </w:rPr>
        <w:t>Adicionalmente, es importante señalar que</w:t>
      </w:r>
      <w:r w:rsidRPr="00A070B6">
        <w:rPr>
          <w:rFonts w:ascii="Verdana" w:eastAsia="Aptos" w:hAnsi="Verdana" w:cs="Arial"/>
          <w:b/>
          <w:bCs/>
          <w:kern w:val="2"/>
          <w:lang w:val="es-ES_tradnl"/>
          <w14:ligatures w14:val="standardContextual"/>
        </w:rPr>
        <w:t xml:space="preserve"> </w:t>
      </w:r>
      <w:r w:rsidRPr="00A070B6">
        <w:rPr>
          <w:rFonts w:ascii="Verdana" w:eastAsia="Aptos" w:hAnsi="Verdana" w:cs="Arial"/>
          <w:kern w:val="2"/>
          <w:lang w:val="es-ES_tradnl"/>
          <w14:ligatures w14:val="standardContextual"/>
        </w:rPr>
        <w:t>el numeral “4.1.2. CORRECCIONES ARITMÉTICAS” del Documento Base, indica claramente que la entidad solo efectuará correcciones aritméticas originadas por las siguientes situaciones:</w:t>
      </w:r>
    </w:p>
    <w:p w14:paraId="38C780E4" w14:textId="77777777" w:rsidR="00A070B6" w:rsidRPr="00A070B6" w:rsidRDefault="00A070B6" w:rsidP="00A070B6">
      <w:pPr>
        <w:snapToGrid w:val="0"/>
        <w:spacing w:after="0" w:line="276" w:lineRule="auto"/>
        <w:jc w:val="both"/>
        <w:rPr>
          <w:rFonts w:ascii="Verdana" w:eastAsia="Aptos" w:hAnsi="Verdana" w:cs="Arial"/>
          <w:kern w:val="2"/>
          <w:lang w:val="es-ES_tradnl"/>
          <w14:ligatures w14:val="standardContextual"/>
        </w:rPr>
      </w:pPr>
    </w:p>
    <w:p w14:paraId="58A86CEA" w14:textId="77777777" w:rsidR="00A070B6" w:rsidRPr="00A070B6" w:rsidRDefault="00A070B6" w:rsidP="00A070B6">
      <w:pPr>
        <w:snapToGrid w:val="0"/>
        <w:spacing w:after="0" w:line="240" w:lineRule="auto"/>
        <w:ind w:left="709" w:right="709"/>
        <w:jc w:val="both"/>
        <w:rPr>
          <w:rFonts w:ascii="Verdana" w:eastAsia="Aptos" w:hAnsi="Verdana" w:cs="Arial"/>
          <w:kern w:val="2"/>
          <w:sz w:val="21"/>
          <w:szCs w:val="21"/>
          <w:lang w:val="es-ES_tradnl"/>
          <w14:ligatures w14:val="standardContextual"/>
        </w:rPr>
      </w:pPr>
      <w:r w:rsidRPr="00A070B6">
        <w:rPr>
          <w:rFonts w:ascii="Verdana" w:eastAsia="Aptos" w:hAnsi="Verdana" w:cs="Arial"/>
          <w:kern w:val="2"/>
          <w:sz w:val="21"/>
          <w:szCs w:val="21"/>
          <w:lang w:val="es-ES_tradnl"/>
          <w14:ligatures w14:val="standardContextual"/>
        </w:rPr>
        <w:lastRenderedPageBreak/>
        <w:t>A.</w:t>
      </w:r>
      <w:r w:rsidRPr="00A070B6">
        <w:rPr>
          <w:rFonts w:ascii="Verdana" w:eastAsia="Aptos" w:hAnsi="Verdana" w:cs="Arial"/>
          <w:kern w:val="2"/>
          <w:sz w:val="21"/>
          <w:szCs w:val="21"/>
          <w:lang w:val="es-ES_tradnl"/>
          <w14:ligatures w14:val="standardContextual"/>
        </w:rPr>
        <w:tab/>
        <w:t>Las operaciones aritméticas a que haya lugar en la propuesta económica, cuando exista un error que surja de un cálculo meramente aritmético cuando la operación ha sido erróneamente realizada.</w:t>
      </w:r>
    </w:p>
    <w:p w14:paraId="50672ECA" w14:textId="77777777" w:rsidR="00A070B6" w:rsidRPr="00A070B6" w:rsidRDefault="00A070B6" w:rsidP="00A070B6">
      <w:pPr>
        <w:snapToGrid w:val="0"/>
        <w:spacing w:after="0" w:line="240" w:lineRule="auto"/>
        <w:ind w:left="709" w:right="709"/>
        <w:jc w:val="both"/>
        <w:rPr>
          <w:rFonts w:ascii="Verdana" w:eastAsia="Aptos" w:hAnsi="Verdana" w:cs="Arial"/>
          <w:kern w:val="2"/>
          <w:sz w:val="21"/>
          <w:szCs w:val="21"/>
          <w:lang w:val="es-ES_tradnl"/>
          <w14:ligatures w14:val="standardContextual"/>
        </w:rPr>
      </w:pPr>
    </w:p>
    <w:p w14:paraId="217AD6CC" w14:textId="77777777" w:rsidR="00A070B6" w:rsidRPr="00A070B6" w:rsidRDefault="00A070B6" w:rsidP="00A070B6">
      <w:pPr>
        <w:snapToGrid w:val="0"/>
        <w:spacing w:after="0" w:line="240" w:lineRule="auto"/>
        <w:ind w:left="709" w:right="709"/>
        <w:jc w:val="both"/>
        <w:rPr>
          <w:rFonts w:ascii="Verdana" w:eastAsia="Aptos" w:hAnsi="Verdana" w:cs="Arial"/>
          <w:kern w:val="2"/>
          <w:sz w:val="21"/>
          <w:szCs w:val="21"/>
          <w:lang w:val="es-ES_tradnl"/>
          <w14:ligatures w14:val="standardContextual"/>
        </w:rPr>
      </w:pPr>
      <w:r w:rsidRPr="00A070B6">
        <w:rPr>
          <w:rFonts w:ascii="Verdana" w:eastAsia="Aptos" w:hAnsi="Verdana" w:cs="Arial"/>
          <w:kern w:val="2"/>
          <w:sz w:val="21"/>
          <w:szCs w:val="21"/>
          <w:lang w:val="es-ES_tradnl"/>
          <w14:ligatures w14:val="standardContextual"/>
        </w:rPr>
        <w:t>B.</w:t>
      </w:r>
      <w:r w:rsidRPr="00A070B6">
        <w:rPr>
          <w:rFonts w:ascii="Verdana" w:eastAsia="Aptos" w:hAnsi="Verdana" w:cs="Arial"/>
          <w:kern w:val="2"/>
          <w:sz w:val="21"/>
          <w:szCs w:val="21"/>
          <w:lang w:val="es-ES_tradnl"/>
          <w14:ligatures w14:val="standardContextual"/>
        </w:rPr>
        <w:tab/>
        <w:t>El ajuste al peso ya sea por exceso o por defecto de los precios unitarios contenidos en la propuesta económica y del valor del IVA, así: cuando la fracción decimal del peso sea igual o superior a punto cinco (0.5) se aproximará por exceso al número entero siguiente del peso y cuando la fracción decimal del peso sea inferior a punto cinco (0.5) se aproximará por defecto al número entero.</w:t>
      </w:r>
    </w:p>
    <w:p w14:paraId="008F1AAB" w14:textId="77777777" w:rsidR="00A070B6" w:rsidRPr="00A070B6" w:rsidRDefault="00A070B6" w:rsidP="00A070B6">
      <w:pPr>
        <w:snapToGrid w:val="0"/>
        <w:spacing w:after="0" w:line="276" w:lineRule="auto"/>
        <w:jc w:val="both"/>
        <w:rPr>
          <w:rFonts w:ascii="Verdana" w:eastAsia="Aptos" w:hAnsi="Verdana" w:cs="Arial"/>
          <w:kern w:val="2"/>
          <w:lang w:val="es-ES_tradnl"/>
          <w14:ligatures w14:val="standardContextual"/>
        </w:rPr>
      </w:pPr>
    </w:p>
    <w:p w14:paraId="0CFEBB56" w14:textId="77777777" w:rsidR="00A070B6" w:rsidRPr="00A070B6" w:rsidRDefault="00A070B6" w:rsidP="00A070B6">
      <w:pPr>
        <w:numPr>
          <w:ilvl w:val="0"/>
          <w:numId w:val="19"/>
        </w:numPr>
        <w:snapToGrid w:val="0"/>
        <w:spacing w:after="0" w:line="276" w:lineRule="auto"/>
        <w:jc w:val="both"/>
        <w:rPr>
          <w:rFonts w:ascii="Verdana" w:eastAsia="Aptos" w:hAnsi="Verdana" w:cs="Arial"/>
          <w:b/>
          <w:bCs/>
          <w:kern w:val="2"/>
          <w:lang w:val="es-ES_tradnl"/>
          <w14:ligatures w14:val="standardContextual"/>
        </w:rPr>
      </w:pPr>
      <w:r w:rsidRPr="00A070B6">
        <w:rPr>
          <w:rFonts w:ascii="Verdana" w:eastAsia="Aptos" w:hAnsi="Verdana" w:cs="Arial"/>
          <w:kern w:val="2"/>
          <w:lang w:val="es-ES_tradnl"/>
          <w14:ligatures w14:val="standardContextual"/>
        </w:rPr>
        <w:t>Por lo anterior, en concordancia con lo establecido en el literal “E” del numeral 1.17 del Documento Base,</w:t>
      </w:r>
      <w:r w:rsidRPr="00A070B6">
        <w:rPr>
          <w:rFonts w:ascii="Verdana" w:eastAsia="Aptos" w:hAnsi="Verdana" w:cs="Arial"/>
          <w:b/>
          <w:bCs/>
          <w:kern w:val="2"/>
          <w:lang w:val="es-ES_tradnl"/>
          <w14:ligatures w14:val="standardContextual"/>
        </w:rPr>
        <w:t xml:space="preserve"> </w:t>
      </w:r>
      <w:r w:rsidRPr="00A070B6">
        <w:rPr>
          <w:rFonts w:ascii="Verdana" w:eastAsia="Aptos" w:hAnsi="Verdana" w:cs="Arial"/>
          <w:kern w:val="2"/>
          <w:lang w:val="es-ES_tradnl"/>
          <w14:ligatures w14:val="standardContextual"/>
        </w:rPr>
        <w:t>cuando la entidad realice modificaciones que puedan interpretar de forma diferente lo definido en el pliego tipo, primará lo señalado en los documentos tipo.</w:t>
      </w:r>
    </w:p>
    <w:p w14:paraId="236581FA" w14:textId="77777777" w:rsidR="00A070B6" w:rsidRPr="00A070B6" w:rsidRDefault="00A070B6" w:rsidP="00A070B6">
      <w:pPr>
        <w:spacing w:after="0" w:line="276" w:lineRule="auto"/>
        <w:ind w:left="720"/>
        <w:contextualSpacing/>
        <w:jc w:val="both"/>
        <w:rPr>
          <w:rFonts w:ascii="Verdana" w:eastAsia="Calibri" w:hAnsi="Verdana" w:cs="Arial"/>
          <w:b/>
          <w:kern w:val="2"/>
          <w:lang w:val="es-ES_tradnl" w:eastAsia="es-CO"/>
          <w14:ligatures w14:val="standardContextual"/>
        </w:rPr>
      </w:pPr>
    </w:p>
    <w:p w14:paraId="0838077D" w14:textId="77777777" w:rsidR="00A070B6" w:rsidRPr="00A070B6" w:rsidRDefault="00A070B6" w:rsidP="00A070B6">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A070B6">
        <w:rPr>
          <w:rFonts w:ascii="Verdana" w:eastAsia="Century Gothic" w:hAnsi="Verdana" w:cs="Century Gothic"/>
          <w:b/>
          <w:bCs/>
          <w:lang w:val="es-ES"/>
        </w:rPr>
        <w:t>Referencias normativas, jurisprudenciales y otras fuentes:</w:t>
      </w:r>
    </w:p>
    <w:p w14:paraId="6883EFF5" w14:textId="77777777" w:rsidR="00A070B6" w:rsidRPr="00A070B6" w:rsidRDefault="00A070B6" w:rsidP="00A070B6">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A070B6" w:rsidRPr="00A070B6" w14:paraId="5E1AF8AF" w14:textId="77777777">
        <w:trPr>
          <w:trHeight w:val="870"/>
        </w:trPr>
        <w:tc>
          <w:tcPr>
            <w:tcW w:w="8647" w:type="dxa"/>
          </w:tcPr>
          <w:p w14:paraId="28996C46" w14:textId="77777777" w:rsidR="00A070B6" w:rsidRPr="00A070B6" w:rsidRDefault="00A070B6" w:rsidP="00A070B6">
            <w:pPr>
              <w:widowControl w:val="0"/>
              <w:numPr>
                <w:ilvl w:val="0"/>
                <w:numId w:val="17"/>
              </w:numPr>
              <w:autoSpaceDE w:val="0"/>
              <w:autoSpaceDN w:val="0"/>
              <w:spacing w:after="120" w:line="276" w:lineRule="auto"/>
              <w:jc w:val="both"/>
              <w:rPr>
                <w:rFonts w:ascii="Verdana" w:eastAsia="Calibri" w:hAnsi="Verdana" w:cs="Arial"/>
              </w:rPr>
            </w:pPr>
            <w:r w:rsidRPr="00A070B6">
              <w:rPr>
                <w:rFonts w:ascii="Verdana" w:eastAsia="Calibri" w:hAnsi="Verdana" w:cs="Arial"/>
              </w:rPr>
              <w:t>Ley 2022 de 2020, artículo 1.</w:t>
            </w:r>
          </w:p>
          <w:p w14:paraId="20DB888E" w14:textId="77777777" w:rsidR="00A070B6" w:rsidRPr="00A070B6" w:rsidRDefault="00A070B6" w:rsidP="00A070B6">
            <w:pPr>
              <w:widowControl w:val="0"/>
              <w:numPr>
                <w:ilvl w:val="0"/>
                <w:numId w:val="17"/>
              </w:numPr>
              <w:autoSpaceDE w:val="0"/>
              <w:autoSpaceDN w:val="0"/>
              <w:spacing w:after="120" w:line="276" w:lineRule="auto"/>
              <w:jc w:val="both"/>
              <w:rPr>
                <w:rFonts w:ascii="Verdana" w:eastAsia="Calibri" w:hAnsi="Verdana" w:cs="Arial"/>
              </w:rPr>
            </w:pPr>
            <w:r w:rsidRPr="00A070B6">
              <w:rPr>
                <w:rFonts w:ascii="Verdana" w:eastAsia="Aptos" w:hAnsi="Verdana" w:cs="Arial"/>
                <w:color w:val="000000"/>
                <w:lang w:val="es-ES_tradnl"/>
              </w:rPr>
              <w:t>Decreto 1082 de 2015, articulo 2.2.1.1.2.1.1.</w:t>
            </w:r>
          </w:p>
          <w:p w14:paraId="2112823C" w14:textId="77777777" w:rsidR="00A070B6" w:rsidRPr="00A070B6" w:rsidRDefault="00A070B6" w:rsidP="00A070B6">
            <w:pPr>
              <w:widowControl w:val="0"/>
              <w:numPr>
                <w:ilvl w:val="0"/>
                <w:numId w:val="17"/>
              </w:numPr>
              <w:autoSpaceDE w:val="0"/>
              <w:autoSpaceDN w:val="0"/>
              <w:spacing w:after="120" w:line="276" w:lineRule="auto"/>
              <w:jc w:val="both"/>
              <w:rPr>
                <w:rFonts w:ascii="Verdana" w:eastAsia="Calibri" w:hAnsi="Verdana" w:cs="Arial"/>
              </w:rPr>
            </w:pPr>
            <w:r w:rsidRPr="00A070B6">
              <w:rPr>
                <w:rFonts w:ascii="Verdana" w:eastAsia="Calibri" w:hAnsi="Verdana" w:cs="Arial"/>
              </w:rPr>
              <w:t>Documentos tipo de licitación de obra pública de infraestructura de transporte –versión 3–. Resolución 240 de 2020 de la Agencia Nacional de Contratación Pública – Colombia Compra Eficiente. Disponible en:</w:t>
            </w:r>
            <w:r w:rsidRPr="00A070B6">
              <w:rPr>
                <w:rFonts w:ascii="Aptos" w:eastAsia="Aptos" w:hAnsi="Aptos" w:cs="Times New Roman"/>
                <w:lang w:val="es-ES_tradnl"/>
              </w:rPr>
              <w:t xml:space="preserve"> </w:t>
            </w:r>
            <w:hyperlink r:id="rId11" w:history="1">
              <w:r w:rsidRPr="00A070B6">
                <w:rPr>
                  <w:rFonts w:ascii="Verdana" w:eastAsia="Calibri" w:hAnsi="Verdana" w:cs="Arial"/>
                  <w:color w:val="0000FF"/>
                  <w:u w:val="single"/>
                </w:rPr>
                <w:t>https://www.colombiacompra.gov.co/content/04-documentos-tipo-para-licitacion-de-obra-publica-de-infraestructura-de-transporte-version</w:t>
              </w:r>
            </w:hyperlink>
            <w:r w:rsidRPr="00A070B6">
              <w:rPr>
                <w:rFonts w:ascii="Verdana" w:eastAsia="Calibri" w:hAnsi="Verdana" w:cs="Arial"/>
              </w:rPr>
              <w:t xml:space="preserve"> </w:t>
            </w:r>
          </w:p>
        </w:tc>
      </w:tr>
    </w:tbl>
    <w:p w14:paraId="4BC336F4" w14:textId="77777777" w:rsidR="00A070B6" w:rsidRPr="00A070B6" w:rsidRDefault="00A070B6" w:rsidP="00A070B6">
      <w:pPr>
        <w:widowControl w:val="0"/>
        <w:autoSpaceDE w:val="0"/>
        <w:autoSpaceDN w:val="0"/>
        <w:spacing w:after="0" w:line="276" w:lineRule="auto"/>
        <w:jc w:val="both"/>
        <w:rPr>
          <w:rFonts w:ascii="Verdana" w:eastAsia="Calibri" w:hAnsi="Verdana" w:cs="Arial"/>
        </w:rPr>
      </w:pPr>
    </w:p>
    <w:p w14:paraId="1B1FFF44" w14:textId="77777777" w:rsidR="00A070B6" w:rsidRPr="00A070B6" w:rsidRDefault="00A070B6" w:rsidP="00A070B6">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A070B6">
        <w:rPr>
          <w:rFonts w:ascii="Verdana" w:eastAsia="Century Gothic" w:hAnsi="Verdana" w:cs="Century Gothic"/>
          <w:b/>
          <w:bCs/>
          <w:lang w:val="es-ES"/>
        </w:rPr>
        <w:t>Doctrina de la Agencia Nacional de Contratación Pública:</w:t>
      </w:r>
    </w:p>
    <w:p w14:paraId="35909843" w14:textId="77777777" w:rsidR="00A070B6" w:rsidRPr="00A070B6" w:rsidRDefault="00A070B6" w:rsidP="00A070B6">
      <w:pPr>
        <w:widowControl w:val="0"/>
        <w:autoSpaceDE w:val="0"/>
        <w:autoSpaceDN w:val="0"/>
        <w:spacing w:after="0" w:line="276" w:lineRule="auto"/>
        <w:jc w:val="both"/>
        <w:rPr>
          <w:rFonts w:ascii="Verdana" w:eastAsia="Calibri" w:hAnsi="Verdana" w:cs="Arial"/>
        </w:rPr>
      </w:pPr>
    </w:p>
    <w:p w14:paraId="072E23E6" w14:textId="77777777" w:rsidR="00A070B6" w:rsidRPr="00A070B6" w:rsidRDefault="00A070B6" w:rsidP="00A070B6">
      <w:pPr>
        <w:widowControl w:val="0"/>
        <w:autoSpaceDE w:val="0"/>
        <w:autoSpaceDN w:val="0"/>
        <w:spacing w:after="0" w:line="276" w:lineRule="auto"/>
        <w:jc w:val="both"/>
        <w:rPr>
          <w:rFonts w:ascii="Verdana" w:eastAsia="Calibri" w:hAnsi="Verdana" w:cs="Arial"/>
          <w:shd w:val="clear" w:color="auto" w:fill="FFFFFF"/>
          <w:lang w:val="es-ES"/>
        </w:rPr>
      </w:pPr>
      <w:r w:rsidRPr="00A070B6">
        <w:rPr>
          <w:rFonts w:ascii="Verdana" w:eastAsia="Calibri" w:hAnsi="Verdana" w:cs="Arial"/>
          <w:shd w:val="clear" w:color="auto" w:fill="FFFFFF"/>
          <w:lang w:val="es-ES"/>
        </w:rPr>
        <w:t xml:space="preserve">La Agencia Nacional de Contratación Pública − Colombia Compra Eficiente se pronunció acerca del Formulario 1 – Formulario de Presupuesto Oficial de los Documentos Tipo, en los conceptos con radicado No. 4201912000004987 del 14 de agosto de 2019, 4201913000005675 del 25 de septiembre de 2019, 4201912000005852 del 25 de septiembre de 2019, 4201912000006447 del 10 de octubre de 2019, 4201912000006498 del 7 de octubre de 2019, 4201912000007471 del 13 de noviembre de 2019, C – 016 de 2020 del 21 de abril de 2020, C – 037 de 2020 del 28 de enero de 2020, C – 038 de 2020 del 28 de enero de 2020, C – 093 de 2020 del 28 de febrero de 2020, C – 133 del 30 de marzo de 2020, C – 153 del 1 de abril de 2020, C – 704 del 11 de diciembre </w:t>
      </w:r>
      <w:r w:rsidRPr="00A070B6">
        <w:rPr>
          <w:rFonts w:ascii="Verdana" w:eastAsia="Calibri" w:hAnsi="Verdana" w:cs="Arial"/>
          <w:shd w:val="clear" w:color="auto" w:fill="FFFFFF"/>
          <w:lang w:val="es-ES"/>
        </w:rPr>
        <w:lastRenderedPageBreak/>
        <w:t>del 2020, C – 070 del 16 de marzo de 2021, C – 204 del 6 de mayo de 2021, C – 435 de 1 de septiembre de 2021, C – 640 del 12 de noviembre de 2021 y C – 121 del 13 de junio de 2024. Es</w:t>
      </w:r>
      <w:r w:rsidRPr="00A070B6">
        <w:rPr>
          <w:rFonts w:ascii="Verdana" w:eastAsia="Calibri" w:hAnsi="Verdana" w:cs="Times New Roman"/>
        </w:rPr>
        <w:t>tos y otros conceptos se encuentran disponibles para consulta en el sistema de relatoría de la Agencia, al cual se puede acceder a través del siguiente enlace:</w:t>
      </w:r>
      <w:r w:rsidRPr="00A070B6">
        <w:rPr>
          <w:rFonts w:ascii="Verdana" w:eastAsia="Calibri" w:hAnsi="Verdana" w:cs="Arial"/>
          <w:shd w:val="clear" w:color="auto" w:fill="FFFFFF"/>
          <w:lang w:val="es-ES"/>
        </w:rPr>
        <w:t xml:space="preserve"> </w:t>
      </w:r>
      <w:hyperlink r:id="rId12" w:history="1">
        <w:r w:rsidRPr="00A070B6">
          <w:rPr>
            <w:rFonts w:ascii="Verdana" w:eastAsia="Calibri" w:hAnsi="Verdana" w:cs="Arial"/>
            <w:u w:val="single"/>
            <w:shd w:val="clear" w:color="auto" w:fill="FFFFFF"/>
            <w:lang w:val="es-ES"/>
          </w:rPr>
          <w:t>https://relatoria.colombiacompra.gov.co/busqueda/conceptos</w:t>
        </w:r>
      </w:hyperlink>
      <w:r w:rsidRPr="00A070B6">
        <w:rPr>
          <w:rFonts w:ascii="Verdana" w:eastAsia="Calibri" w:hAnsi="Verdana" w:cs="Arial"/>
          <w:shd w:val="clear" w:color="auto" w:fill="FFFFFF"/>
          <w:lang w:val="es-ES"/>
        </w:rPr>
        <w:t xml:space="preserve">. </w:t>
      </w:r>
    </w:p>
    <w:p w14:paraId="1023F511" w14:textId="77777777" w:rsidR="00A070B6" w:rsidRPr="00A070B6" w:rsidRDefault="00A070B6" w:rsidP="00A070B6">
      <w:pPr>
        <w:widowControl w:val="0"/>
        <w:autoSpaceDE w:val="0"/>
        <w:autoSpaceDN w:val="0"/>
        <w:spacing w:after="0" w:line="276" w:lineRule="auto"/>
        <w:jc w:val="both"/>
        <w:rPr>
          <w:rFonts w:ascii="Verdana" w:eastAsia="Calibri" w:hAnsi="Verdana" w:cs="Arial"/>
          <w:shd w:val="clear" w:color="auto" w:fill="FFFFFF"/>
          <w:lang w:val="es-ES"/>
        </w:rPr>
      </w:pPr>
    </w:p>
    <w:p w14:paraId="4E7D3DBB" w14:textId="77777777" w:rsidR="00A070B6" w:rsidRPr="00A070B6" w:rsidRDefault="00A070B6" w:rsidP="00A070B6">
      <w:pPr>
        <w:widowControl w:val="0"/>
        <w:autoSpaceDE w:val="0"/>
        <w:autoSpaceDN w:val="0"/>
        <w:spacing w:after="0" w:line="276" w:lineRule="auto"/>
        <w:jc w:val="both"/>
        <w:rPr>
          <w:rFonts w:ascii="Verdana" w:eastAsia="Calibri" w:hAnsi="Verdana" w:cs="Arial"/>
          <w:shd w:val="clear" w:color="auto" w:fill="FFFFFF"/>
          <w:lang w:val="es-ES"/>
        </w:rPr>
      </w:pPr>
      <w:r w:rsidRPr="00A070B6">
        <w:rPr>
          <w:rFonts w:ascii="Verdana" w:eastAsia="Calibri" w:hAnsi="Verdana" w:cs="Arial"/>
          <w:shd w:val="clear" w:color="auto" w:fill="FFFFFF"/>
          <w:lang w:val="es-ES"/>
        </w:rPr>
        <w:t xml:space="preserve">También, le recomendamos consultar las versiones I y II de 2024 del Boletín de Relatoría de la Subdirección de Gestión Contractual, las cuales puede descargar en la página web de la Agencia: </w:t>
      </w:r>
      <w:hyperlink r:id="rId13" w:history="1">
        <w:r w:rsidRPr="00A070B6">
          <w:rPr>
            <w:rFonts w:ascii="Verdana" w:eastAsia="Calibri" w:hAnsi="Verdana" w:cs="Arial"/>
            <w:u w:val="single"/>
            <w:shd w:val="clear" w:color="auto" w:fill="FFFFFF"/>
            <w:lang w:val="es-ES"/>
          </w:rPr>
          <w:t>https://www.colombiacompra.gov.co/sala-de-prensa/boletin-digital</w:t>
        </w:r>
      </w:hyperlink>
      <w:r w:rsidRPr="00A070B6">
        <w:rPr>
          <w:rFonts w:ascii="Verdana" w:eastAsia="Calibri" w:hAnsi="Verdana" w:cs="Arial"/>
          <w:shd w:val="clear" w:color="auto" w:fill="FFFFFF"/>
          <w:lang w:val="es-ES"/>
        </w:rPr>
        <w:t xml:space="preserve">   </w:t>
      </w:r>
    </w:p>
    <w:p w14:paraId="35B5FD62" w14:textId="77777777" w:rsidR="00A070B6" w:rsidRPr="00A070B6" w:rsidRDefault="00A070B6" w:rsidP="00A070B6">
      <w:pPr>
        <w:widowControl w:val="0"/>
        <w:autoSpaceDE w:val="0"/>
        <w:autoSpaceDN w:val="0"/>
        <w:spacing w:after="0" w:line="276" w:lineRule="auto"/>
        <w:jc w:val="both"/>
        <w:rPr>
          <w:rFonts w:ascii="Verdana" w:eastAsia="Calibri" w:hAnsi="Verdana" w:cs="Arial"/>
          <w:shd w:val="clear" w:color="auto" w:fill="FFFFFF"/>
          <w:lang w:val="es-ES"/>
        </w:rPr>
      </w:pPr>
    </w:p>
    <w:p w14:paraId="21C67943" w14:textId="77777777" w:rsidR="00A070B6" w:rsidRPr="00A070B6" w:rsidRDefault="00A070B6" w:rsidP="00A070B6">
      <w:pPr>
        <w:spacing w:after="0" w:line="240" w:lineRule="auto"/>
        <w:jc w:val="both"/>
        <w:rPr>
          <w:rFonts w:ascii="Verdana" w:eastAsia="Calibri" w:hAnsi="Verdana" w:cs="Times New Roman"/>
        </w:rPr>
      </w:pPr>
      <w:r w:rsidRPr="00A070B6">
        <w:rPr>
          <w:rFonts w:ascii="Verdana" w:eastAsia="Calibri" w:hAnsi="Verdana" w:cs="Times New Roman"/>
        </w:rPr>
        <w:t xml:space="preserve">Por último, los invitamos a seguirnos en las redes sociales, en las cuales se difunde información institucional: </w:t>
      </w:r>
    </w:p>
    <w:p w14:paraId="5626BEF4" w14:textId="77777777" w:rsidR="00A070B6" w:rsidRPr="00A070B6" w:rsidRDefault="00A070B6" w:rsidP="00A070B6">
      <w:pPr>
        <w:spacing w:after="0" w:line="240" w:lineRule="auto"/>
        <w:jc w:val="both"/>
        <w:rPr>
          <w:rFonts w:ascii="Verdana" w:eastAsia="Calibri" w:hAnsi="Verdana" w:cs="Times New Roman"/>
        </w:rPr>
      </w:pPr>
    </w:p>
    <w:p w14:paraId="277878A6" w14:textId="77777777" w:rsidR="00A070B6" w:rsidRPr="00A070B6" w:rsidRDefault="00A070B6" w:rsidP="00A070B6">
      <w:pPr>
        <w:spacing w:after="0" w:line="240" w:lineRule="auto"/>
        <w:jc w:val="both"/>
        <w:rPr>
          <w:rFonts w:ascii="Verdana" w:eastAsia="Calibri" w:hAnsi="Verdana" w:cs="Times New Roman"/>
        </w:rPr>
      </w:pPr>
      <w:r w:rsidRPr="00A070B6">
        <w:rPr>
          <w:rFonts w:ascii="Verdana" w:eastAsia="Calibri" w:hAnsi="Verdana" w:cs="Times New Roman"/>
        </w:rPr>
        <w:t xml:space="preserve">Twitter: </w:t>
      </w:r>
      <w:r w:rsidRPr="00A070B6">
        <w:rPr>
          <w:rFonts w:ascii="Verdana" w:eastAsia="Calibri" w:hAnsi="Verdana" w:cs="Times New Roman"/>
          <w:u w:val="single"/>
        </w:rPr>
        <w:t>@colombiacompra</w:t>
      </w:r>
      <w:r w:rsidRPr="00A070B6">
        <w:rPr>
          <w:rFonts w:ascii="Verdana" w:eastAsia="Calibri" w:hAnsi="Verdana" w:cs="Times New Roman"/>
        </w:rPr>
        <w:t xml:space="preserve"> </w:t>
      </w:r>
    </w:p>
    <w:p w14:paraId="53B94242" w14:textId="77777777" w:rsidR="00A070B6" w:rsidRPr="00A070B6" w:rsidRDefault="00A070B6" w:rsidP="00A070B6">
      <w:pPr>
        <w:spacing w:after="0" w:line="240" w:lineRule="auto"/>
        <w:jc w:val="both"/>
        <w:rPr>
          <w:rFonts w:ascii="Verdana" w:eastAsia="Calibri" w:hAnsi="Verdana" w:cs="Times New Roman"/>
        </w:rPr>
      </w:pPr>
      <w:r w:rsidRPr="00A070B6">
        <w:rPr>
          <w:rFonts w:ascii="Verdana" w:eastAsia="Calibri" w:hAnsi="Verdana" w:cs="Times New Roman"/>
        </w:rPr>
        <w:t xml:space="preserve">Facebook: </w:t>
      </w:r>
      <w:proofErr w:type="spellStart"/>
      <w:r w:rsidRPr="00A070B6">
        <w:rPr>
          <w:rFonts w:ascii="Verdana" w:eastAsia="Calibri" w:hAnsi="Verdana" w:cs="Times New Roman"/>
          <w:u w:val="single"/>
        </w:rPr>
        <w:t>ColombiaCompraEficiente</w:t>
      </w:r>
      <w:proofErr w:type="spellEnd"/>
    </w:p>
    <w:p w14:paraId="052FC289" w14:textId="77777777" w:rsidR="00A070B6" w:rsidRPr="00A070B6" w:rsidRDefault="00A070B6" w:rsidP="00A070B6">
      <w:pPr>
        <w:spacing w:after="0" w:line="240" w:lineRule="auto"/>
        <w:jc w:val="both"/>
        <w:rPr>
          <w:rFonts w:ascii="Verdana" w:eastAsia="Calibri" w:hAnsi="Verdana" w:cs="Times New Roman"/>
        </w:rPr>
      </w:pPr>
      <w:r w:rsidRPr="00A070B6">
        <w:rPr>
          <w:rFonts w:ascii="Verdana" w:eastAsia="Calibri" w:hAnsi="Verdana" w:cs="Times New Roman"/>
        </w:rPr>
        <w:t xml:space="preserve">LinkedIn: </w:t>
      </w:r>
      <w:r w:rsidRPr="00A070B6">
        <w:rPr>
          <w:rFonts w:ascii="Verdana" w:eastAsia="Calibri" w:hAnsi="Verdana" w:cs="Times New Roman"/>
          <w:u w:val="single"/>
        </w:rPr>
        <w:t>Agencia Nacional de Contratación Pública - Colombia Compra Eficiente</w:t>
      </w:r>
      <w:r w:rsidRPr="00A070B6">
        <w:rPr>
          <w:rFonts w:ascii="Verdana" w:eastAsia="Calibri" w:hAnsi="Verdana" w:cs="Times New Roman"/>
        </w:rPr>
        <w:t xml:space="preserve"> Instagram: </w:t>
      </w:r>
      <w:r w:rsidRPr="00A070B6">
        <w:rPr>
          <w:rFonts w:ascii="Verdana" w:eastAsia="Calibri" w:hAnsi="Verdana" w:cs="Times New Roman"/>
          <w:u w:val="single"/>
        </w:rPr>
        <w:t>@colombiacompraeficiente_cce</w:t>
      </w:r>
    </w:p>
    <w:p w14:paraId="1446AC1B" w14:textId="77777777" w:rsidR="00A070B6" w:rsidRPr="00A070B6" w:rsidRDefault="00A070B6" w:rsidP="00A070B6">
      <w:pPr>
        <w:widowControl w:val="0"/>
        <w:autoSpaceDE w:val="0"/>
        <w:autoSpaceDN w:val="0"/>
        <w:spacing w:after="0" w:line="276" w:lineRule="auto"/>
        <w:jc w:val="both"/>
        <w:rPr>
          <w:rFonts w:ascii="Verdana" w:eastAsia="Calibri" w:hAnsi="Verdana" w:cs="Arial"/>
        </w:rPr>
      </w:pPr>
    </w:p>
    <w:p w14:paraId="76455355" w14:textId="77777777" w:rsidR="00A070B6" w:rsidRPr="00A070B6" w:rsidRDefault="00A070B6" w:rsidP="00A070B6">
      <w:pPr>
        <w:widowControl w:val="0"/>
        <w:autoSpaceDE w:val="0"/>
        <w:autoSpaceDN w:val="0"/>
        <w:spacing w:after="0" w:line="276" w:lineRule="auto"/>
        <w:jc w:val="both"/>
        <w:rPr>
          <w:rFonts w:ascii="Verdana" w:eastAsia="Calibri" w:hAnsi="Verdana" w:cs="Arial"/>
          <w:lang w:val="es-ES_tradnl"/>
        </w:rPr>
      </w:pPr>
      <w:r w:rsidRPr="00A070B6">
        <w:rPr>
          <w:rFonts w:ascii="Verdana" w:eastAsia="Calibri" w:hAnsi="Verdana" w:cs="Arial"/>
        </w:rPr>
        <w:t xml:space="preserve">Este concepto tiene el alcance previsto en el artículo 28 del Código de Procedimiento Administrativo y de lo Contencioso Administrativo </w:t>
      </w:r>
      <w:r w:rsidRPr="00A070B6">
        <w:rPr>
          <w:rFonts w:ascii="Verdana" w:eastAsia="Calibri" w:hAnsi="Verdana" w:cs="Arial"/>
          <w:lang w:val="es-ES_tradnl"/>
        </w:rPr>
        <w:t>y las expresiones aquí utilizadas con mayúscula inicial deben ser entendidas con el significado que les otorga el artículo 2.2.1.1.1.3.1. del Decreto 1082 de 2015.</w:t>
      </w:r>
    </w:p>
    <w:p w14:paraId="5C9AE7AD" w14:textId="77777777" w:rsidR="00A070B6" w:rsidRPr="00A070B6" w:rsidRDefault="00A070B6" w:rsidP="00A070B6">
      <w:pPr>
        <w:widowControl w:val="0"/>
        <w:autoSpaceDE w:val="0"/>
        <w:autoSpaceDN w:val="0"/>
        <w:spacing w:after="0" w:line="276" w:lineRule="auto"/>
        <w:jc w:val="both"/>
        <w:rPr>
          <w:rFonts w:ascii="Verdana" w:eastAsia="Calibri" w:hAnsi="Verdana" w:cs="Arial"/>
        </w:rPr>
      </w:pPr>
    </w:p>
    <w:p w14:paraId="3DB6C52B" w14:textId="77777777" w:rsidR="00A070B6" w:rsidRPr="00A070B6" w:rsidRDefault="00A070B6" w:rsidP="00A070B6">
      <w:pPr>
        <w:spacing w:after="0" w:line="240" w:lineRule="auto"/>
        <w:rPr>
          <w:rFonts w:ascii="Verdana" w:eastAsia="Calibri" w:hAnsi="Verdana" w:cs="Arial"/>
          <w:lang w:eastAsia="es-CO"/>
        </w:rPr>
      </w:pPr>
      <w:r w:rsidRPr="00A070B6">
        <w:rPr>
          <w:rFonts w:ascii="Verdana" w:eastAsia="Times New Roman" w:hAnsi="Verdana" w:cs="Arial"/>
          <w:lang w:eastAsia="es-CO"/>
        </w:rPr>
        <w:t>Atentamente,</w:t>
      </w:r>
      <w:r w:rsidRPr="00A070B6">
        <w:rPr>
          <w:rFonts w:ascii="Verdana" w:eastAsia="Calibri" w:hAnsi="Verdana" w:cs="Arial"/>
          <w:lang w:eastAsia="es-CO"/>
        </w:rPr>
        <w:t xml:space="preserve"> </w:t>
      </w:r>
    </w:p>
    <w:p w14:paraId="27B6DCFD" w14:textId="6C532906" w:rsidR="00A070B6" w:rsidRPr="00A070B6" w:rsidRDefault="00081BA8" w:rsidP="00A070B6">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4D59C457" wp14:editId="07CE0C82">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070B6" w:rsidRPr="00A070B6" w14:paraId="0EADB0DB" w14:textId="77777777">
        <w:trPr>
          <w:trHeight w:val="315"/>
        </w:trPr>
        <w:tc>
          <w:tcPr>
            <w:tcW w:w="893" w:type="dxa"/>
            <w:vAlign w:val="center"/>
            <w:hideMark/>
          </w:tcPr>
          <w:p w14:paraId="2D488BA3" w14:textId="77777777" w:rsidR="00A070B6" w:rsidRPr="00A070B6" w:rsidRDefault="00A070B6" w:rsidP="00A070B6">
            <w:pPr>
              <w:rPr>
                <w:rFonts w:ascii="Verdana" w:eastAsia="Calibri" w:hAnsi="Verdana" w:cs="Arial"/>
                <w:sz w:val="16"/>
                <w:szCs w:val="16"/>
                <w:lang w:val="es-ES" w:eastAsia="es-ES"/>
              </w:rPr>
            </w:pPr>
            <w:r w:rsidRPr="00A070B6">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5321A8C2" w14:textId="77777777" w:rsidR="00A070B6" w:rsidRPr="00A070B6" w:rsidRDefault="00A070B6" w:rsidP="00A070B6">
            <w:pPr>
              <w:rPr>
                <w:rFonts w:ascii="Verdana" w:eastAsia="Arial" w:hAnsi="Verdana" w:cs="Arial"/>
                <w:sz w:val="16"/>
                <w:szCs w:val="16"/>
              </w:rPr>
            </w:pPr>
            <w:r w:rsidRPr="00A070B6">
              <w:rPr>
                <w:rFonts w:ascii="Verdana" w:eastAsia="Arial" w:hAnsi="Verdana" w:cs="Arial"/>
                <w:sz w:val="16"/>
                <w:szCs w:val="16"/>
              </w:rPr>
              <w:t xml:space="preserve">Kevin </w:t>
            </w:r>
            <w:proofErr w:type="spellStart"/>
            <w:r w:rsidRPr="00A070B6">
              <w:rPr>
                <w:rFonts w:ascii="Verdana" w:eastAsia="Arial" w:hAnsi="Verdana" w:cs="Arial"/>
                <w:sz w:val="16"/>
                <w:szCs w:val="16"/>
              </w:rPr>
              <w:t>Arlid</w:t>
            </w:r>
            <w:proofErr w:type="spellEnd"/>
            <w:r w:rsidRPr="00A070B6">
              <w:rPr>
                <w:rFonts w:ascii="Verdana" w:eastAsia="Arial" w:hAnsi="Verdana" w:cs="Arial"/>
                <w:sz w:val="16"/>
                <w:szCs w:val="16"/>
              </w:rPr>
              <w:t xml:space="preserve"> Herrera Santa</w:t>
            </w:r>
          </w:p>
          <w:p w14:paraId="4D53EB53" w14:textId="77777777" w:rsidR="00A070B6" w:rsidRPr="00A070B6" w:rsidRDefault="00A070B6" w:rsidP="00A070B6">
            <w:pPr>
              <w:rPr>
                <w:rFonts w:ascii="Verdana" w:eastAsia="Arial" w:hAnsi="Verdana" w:cs="Arial"/>
                <w:sz w:val="16"/>
                <w:szCs w:val="16"/>
              </w:rPr>
            </w:pPr>
            <w:r w:rsidRPr="00A070B6">
              <w:rPr>
                <w:rFonts w:ascii="Verdana" w:eastAsia="Arial" w:hAnsi="Verdana" w:cs="Arial"/>
                <w:sz w:val="16"/>
                <w:szCs w:val="16"/>
              </w:rPr>
              <w:t>Contratista de la Subdirección de Gestión Contractual</w:t>
            </w:r>
          </w:p>
          <w:p w14:paraId="2777A89E" w14:textId="77777777" w:rsidR="00A070B6" w:rsidRPr="00A070B6" w:rsidRDefault="00A070B6" w:rsidP="00A070B6">
            <w:pPr>
              <w:rPr>
                <w:rFonts w:ascii="Verdana" w:eastAsia="Arial" w:hAnsi="Verdana" w:cs="Arial"/>
                <w:sz w:val="16"/>
                <w:szCs w:val="16"/>
              </w:rPr>
            </w:pPr>
            <w:r w:rsidRPr="00A070B6">
              <w:rPr>
                <w:rFonts w:ascii="Verdana" w:eastAsia="Arial" w:hAnsi="Verdana" w:cs="Arial"/>
                <w:sz w:val="16"/>
                <w:szCs w:val="16"/>
              </w:rPr>
              <w:t>Alejandro Gamboa Cárdenas</w:t>
            </w:r>
          </w:p>
          <w:p w14:paraId="348C8A98" w14:textId="77777777" w:rsidR="00A070B6" w:rsidRPr="00A070B6" w:rsidRDefault="00A070B6" w:rsidP="00A070B6">
            <w:pPr>
              <w:rPr>
                <w:rFonts w:ascii="Verdana" w:eastAsia="Arial" w:hAnsi="Verdana" w:cs="Arial"/>
                <w:sz w:val="16"/>
                <w:szCs w:val="16"/>
              </w:rPr>
            </w:pPr>
            <w:r w:rsidRPr="00A070B6">
              <w:rPr>
                <w:rFonts w:ascii="Verdana" w:eastAsia="Arial" w:hAnsi="Verdana" w:cs="Arial"/>
                <w:sz w:val="16"/>
                <w:szCs w:val="16"/>
              </w:rPr>
              <w:t>Contratista de la Subdirección de Gestión Contractual</w:t>
            </w:r>
          </w:p>
        </w:tc>
      </w:tr>
      <w:tr w:rsidR="00A070B6" w:rsidRPr="00A070B6" w14:paraId="0C5F2848" w14:textId="77777777">
        <w:trPr>
          <w:trHeight w:val="330"/>
        </w:trPr>
        <w:tc>
          <w:tcPr>
            <w:tcW w:w="893" w:type="dxa"/>
            <w:vAlign w:val="center"/>
            <w:hideMark/>
          </w:tcPr>
          <w:p w14:paraId="3866678C" w14:textId="77777777" w:rsidR="00A070B6" w:rsidRPr="00A070B6" w:rsidRDefault="00A070B6" w:rsidP="00A070B6">
            <w:pPr>
              <w:rPr>
                <w:rFonts w:ascii="Verdana" w:eastAsia="Calibri" w:hAnsi="Verdana" w:cs="Arial"/>
                <w:sz w:val="16"/>
                <w:szCs w:val="16"/>
                <w:lang w:val="es-ES" w:eastAsia="es-ES"/>
              </w:rPr>
            </w:pPr>
            <w:r w:rsidRPr="00A070B6">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4B9F4338" w14:textId="77777777" w:rsidR="00A070B6" w:rsidRPr="00A070B6" w:rsidRDefault="00A070B6" w:rsidP="00A070B6">
            <w:pPr>
              <w:textAlignment w:val="baseline"/>
              <w:rPr>
                <w:rFonts w:ascii="Verdana" w:eastAsia="Times New Roman" w:hAnsi="Verdana" w:cs="Segoe UI"/>
                <w:sz w:val="16"/>
                <w:szCs w:val="16"/>
                <w:lang w:eastAsia="es-ES_tradnl"/>
              </w:rPr>
            </w:pPr>
            <w:r w:rsidRPr="00A070B6">
              <w:rPr>
                <w:rFonts w:ascii="Verdana" w:eastAsia="Times New Roman" w:hAnsi="Verdana" w:cs="Segoe UI"/>
                <w:sz w:val="16"/>
                <w:szCs w:val="16"/>
                <w:lang w:eastAsia="es-ES_tradnl"/>
              </w:rPr>
              <w:t xml:space="preserve">Adriana </w:t>
            </w:r>
            <w:proofErr w:type="spellStart"/>
            <w:r w:rsidRPr="00A070B6">
              <w:rPr>
                <w:rFonts w:ascii="Verdana" w:eastAsia="Times New Roman" w:hAnsi="Verdana" w:cs="Segoe UI"/>
                <w:sz w:val="16"/>
                <w:szCs w:val="16"/>
                <w:lang w:eastAsia="es-ES_tradnl"/>
              </w:rPr>
              <w:t>Katerine</w:t>
            </w:r>
            <w:proofErr w:type="spellEnd"/>
            <w:r w:rsidRPr="00A070B6">
              <w:rPr>
                <w:rFonts w:ascii="Verdana" w:eastAsia="Times New Roman" w:hAnsi="Verdana" w:cs="Segoe UI"/>
                <w:sz w:val="16"/>
                <w:szCs w:val="16"/>
                <w:lang w:eastAsia="es-ES_tradnl"/>
              </w:rPr>
              <w:t xml:space="preserve"> López Rodríguez</w:t>
            </w:r>
          </w:p>
          <w:p w14:paraId="37E2A19F" w14:textId="77777777" w:rsidR="00A070B6" w:rsidRPr="00A070B6" w:rsidRDefault="00A070B6" w:rsidP="00A070B6">
            <w:pPr>
              <w:textAlignment w:val="baseline"/>
              <w:rPr>
                <w:rFonts w:ascii="Verdana" w:eastAsia="Times New Roman" w:hAnsi="Verdana" w:cs="Segoe UI"/>
                <w:sz w:val="16"/>
                <w:szCs w:val="16"/>
                <w:lang w:eastAsia="es-ES_tradnl"/>
              </w:rPr>
            </w:pPr>
            <w:r w:rsidRPr="00A070B6">
              <w:rPr>
                <w:rFonts w:ascii="Verdana" w:eastAsia="Times New Roman" w:hAnsi="Verdana" w:cs="Arial"/>
                <w:sz w:val="16"/>
                <w:szCs w:val="16"/>
                <w:lang w:val="es-ES" w:eastAsia="es-ES_tradnl"/>
              </w:rPr>
              <w:t>Contratista de la Subdirección de Gestión Contractual</w:t>
            </w:r>
            <w:r w:rsidRPr="00A070B6">
              <w:rPr>
                <w:rFonts w:ascii="Verdana" w:eastAsia="Times New Roman" w:hAnsi="Verdana" w:cs="Arial"/>
                <w:sz w:val="16"/>
                <w:szCs w:val="16"/>
                <w:lang w:eastAsia="es-ES_tradnl"/>
              </w:rPr>
              <w:t> </w:t>
            </w:r>
          </w:p>
        </w:tc>
      </w:tr>
      <w:tr w:rsidR="00A070B6" w:rsidRPr="00A070B6" w14:paraId="46EFF7FC" w14:textId="77777777">
        <w:trPr>
          <w:trHeight w:val="300"/>
        </w:trPr>
        <w:tc>
          <w:tcPr>
            <w:tcW w:w="893" w:type="dxa"/>
            <w:vAlign w:val="center"/>
          </w:tcPr>
          <w:p w14:paraId="39990BA1" w14:textId="77777777" w:rsidR="00A070B6" w:rsidRPr="00A070B6" w:rsidRDefault="00A070B6" w:rsidP="00A070B6">
            <w:pPr>
              <w:rPr>
                <w:rFonts w:ascii="Verdana" w:eastAsia="Calibri" w:hAnsi="Verdana" w:cs="Arial"/>
                <w:sz w:val="16"/>
                <w:szCs w:val="16"/>
                <w:lang w:val="es-ES" w:eastAsia="es-ES"/>
              </w:rPr>
            </w:pPr>
            <w:r w:rsidRPr="00A070B6">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3F5FDF2D" w14:textId="77777777" w:rsidR="00A070B6" w:rsidRPr="00A070B6" w:rsidRDefault="00A070B6" w:rsidP="00A070B6">
            <w:pPr>
              <w:rPr>
                <w:rFonts w:ascii="Verdana" w:eastAsia="Calibri" w:hAnsi="Verdana" w:cs="Arial"/>
                <w:sz w:val="16"/>
                <w:szCs w:val="16"/>
                <w:lang w:val="pt-BR" w:eastAsia="es-ES"/>
              </w:rPr>
            </w:pPr>
            <w:r w:rsidRPr="00A070B6">
              <w:rPr>
                <w:rFonts w:ascii="Verdana" w:eastAsia="Calibri" w:hAnsi="Verdana" w:cs="Arial"/>
                <w:sz w:val="16"/>
                <w:szCs w:val="16"/>
                <w:lang w:val="pt-BR" w:eastAsia="es-ES"/>
              </w:rPr>
              <w:t xml:space="preserve">Carolina Quintero </w:t>
            </w:r>
            <w:proofErr w:type="spellStart"/>
            <w:r w:rsidRPr="00A070B6">
              <w:rPr>
                <w:rFonts w:ascii="Verdana" w:eastAsia="Calibri" w:hAnsi="Verdana" w:cs="Arial"/>
                <w:sz w:val="16"/>
                <w:szCs w:val="16"/>
                <w:lang w:val="pt-BR" w:eastAsia="es-ES"/>
              </w:rPr>
              <w:t>Gacharná</w:t>
            </w:r>
            <w:proofErr w:type="spellEnd"/>
          </w:p>
          <w:p w14:paraId="5C01AA52" w14:textId="77777777" w:rsidR="00A070B6" w:rsidRPr="00A070B6" w:rsidRDefault="00A070B6" w:rsidP="00A070B6">
            <w:pPr>
              <w:rPr>
                <w:rFonts w:ascii="Verdana" w:eastAsia="Calibri" w:hAnsi="Verdana" w:cs="Arial"/>
                <w:sz w:val="16"/>
                <w:szCs w:val="16"/>
                <w:lang w:val="pt-BR" w:eastAsia="es-ES"/>
              </w:rPr>
            </w:pPr>
            <w:r w:rsidRPr="00A070B6">
              <w:rPr>
                <w:rFonts w:ascii="Verdana" w:eastAsia="Calibri" w:hAnsi="Verdana" w:cs="Arial"/>
                <w:sz w:val="16"/>
                <w:szCs w:val="16"/>
                <w:lang w:eastAsia="es-ES"/>
              </w:rPr>
              <w:t>Subdirectora</w:t>
            </w:r>
            <w:r w:rsidRPr="00A070B6">
              <w:rPr>
                <w:rFonts w:ascii="Verdana" w:eastAsia="Calibri" w:hAnsi="Verdana" w:cs="Arial"/>
                <w:sz w:val="16"/>
                <w:szCs w:val="16"/>
                <w:lang w:val="pt-BR" w:eastAsia="es-ES"/>
              </w:rPr>
              <w:t xml:space="preserve"> de Gestión Contratual ANCP – CCE</w:t>
            </w:r>
          </w:p>
        </w:tc>
      </w:tr>
      <w:bookmarkEnd w:id="0"/>
    </w:tbl>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B7B17" w14:textId="77777777" w:rsidR="00B3026C" w:rsidRDefault="00B3026C" w:rsidP="004A1847">
      <w:pPr>
        <w:spacing w:after="0" w:line="240" w:lineRule="auto"/>
      </w:pPr>
      <w:r>
        <w:separator/>
      </w:r>
    </w:p>
  </w:endnote>
  <w:endnote w:type="continuationSeparator" w:id="0">
    <w:p w14:paraId="7BC66C0A" w14:textId="77777777" w:rsidR="00B3026C" w:rsidRDefault="00B3026C" w:rsidP="004A1847">
      <w:pPr>
        <w:spacing w:after="0" w:line="240" w:lineRule="auto"/>
      </w:pPr>
      <w:r>
        <w:continuationSeparator/>
      </w:r>
    </w:p>
  </w:endnote>
  <w:endnote w:type="continuationNotice" w:id="1">
    <w:p w14:paraId="57840A78" w14:textId="77777777" w:rsidR="00B3026C" w:rsidRDefault="00B30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Yu Mincho">
    <w:panose1 w:val="02020400000000000000"/>
    <w:charset w:val="80"/>
    <w:family w:val="roman"/>
    <w:pitch w:val="variable"/>
    <w:sig w:usb0="800002E7" w:usb1="2AC7FCFF" w:usb2="00000012" w:usb3="00000000" w:csb0="0002009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ADA83" w14:textId="77777777" w:rsidR="00B3026C" w:rsidRDefault="00B3026C" w:rsidP="004A1847">
      <w:pPr>
        <w:spacing w:after="0" w:line="240" w:lineRule="auto"/>
      </w:pPr>
      <w:r>
        <w:separator/>
      </w:r>
    </w:p>
  </w:footnote>
  <w:footnote w:type="continuationSeparator" w:id="0">
    <w:p w14:paraId="2C8A8938" w14:textId="77777777" w:rsidR="00B3026C" w:rsidRDefault="00B3026C" w:rsidP="004A1847">
      <w:pPr>
        <w:spacing w:after="0" w:line="240" w:lineRule="auto"/>
      </w:pPr>
      <w:r>
        <w:continuationSeparator/>
      </w:r>
    </w:p>
  </w:footnote>
  <w:footnote w:type="continuationNotice" w:id="1">
    <w:p w14:paraId="0FA50DDB" w14:textId="77777777" w:rsidR="00B3026C" w:rsidRDefault="00B3026C">
      <w:pPr>
        <w:spacing w:after="0" w:line="240" w:lineRule="auto"/>
      </w:pPr>
    </w:p>
  </w:footnote>
  <w:footnote w:id="2">
    <w:p w14:paraId="6DECCB37" w14:textId="77777777" w:rsidR="00A070B6" w:rsidRPr="006556CC" w:rsidRDefault="00A070B6" w:rsidP="00A070B6">
      <w:pPr>
        <w:pStyle w:val="Textonotapie"/>
        <w:ind w:firstLine="709"/>
        <w:jc w:val="both"/>
        <w:rPr>
          <w:rFonts w:ascii="Verdana" w:hAnsi="Verdana" w:cs="Arial"/>
          <w:sz w:val="18"/>
          <w:szCs w:val="18"/>
          <w:lang w:val="es-ES"/>
        </w:rPr>
      </w:pPr>
      <w:r w:rsidRPr="006556CC">
        <w:rPr>
          <w:rStyle w:val="Refdenotaalpie"/>
          <w:rFonts w:ascii="Verdana" w:hAnsi="Verdana" w:cs="Arial"/>
          <w:sz w:val="18"/>
          <w:szCs w:val="18"/>
        </w:rPr>
        <w:footnoteRef/>
      </w:r>
      <w:r w:rsidRPr="006556CC">
        <w:rPr>
          <w:rFonts w:ascii="Verdana" w:hAnsi="Verdana" w:cs="Arial"/>
          <w:sz w:val="18"/>
          <w:szCs w:val="18"/>
        </w:rPr>
        <w:t xml:space="preserve"> </w:t>
      </w:r>
      <w:r w:rsidRPr="006556CC">
        <w:rPr>
          <w:rFonts w:ascii="Verdana" w:hAnsi="Verdana" w:cs="Arial"/>
          <w:sz w:val="18"/>
          <w:szCs w:val="18"/>
          <w:lang w:val="es-ES"/>
        </w:rPr>
        <w:t>En cuanto a las resoluciones expedidas, dicha regla se observa en el artículo 3 de las Resoluciones 240, 241, 248, 249, 256 y 269 de 2020, así como en el artículo 2 de la Resolución 094 de 2020 y de la Resolución 326 de 2022, entre otras.</w:t>
      </w:r>
    </w:p>
  </w:footnote>
  <w:footnote w:id="3">
    <w:p w14:paraId="303CDF83" w14:textId="77777777" w:rsidR="00A070B6" w:rsidRPr="006556CC" w:rsidRDefault="00A070B6" w:rsidP="00A070B6">
      <w:pPr>
        <w:pStyle w:val="Textonotapie"/>
        <w:ind w:firstLine="708"/>
        <w:jc w:val="both"/>
        <w:rPr>
          <w:rFonts w:ascii="Verdana" w:hAnsi="Verdana" w:cs="Arial"/>
          <w:color w:val="000000"/>
          <w:sz w:val="18"/>
          <w:szCs w:val="18"/>
        </w:rPr>
      </w:pPr>
      <w:r w:rsidRPr="006556CC">
        <w:rPr>
          <w:rStyle w:val="Refdenotaalpie"/>
          <w:rFonts w:ascii="Verdana" w:hAnsi="Verdana" w:cs="Arial"/>
          <w:color w:val="000000"/>
          <w:sz w:val="18"/>
          <w:szCs w:val="18"/>
        </w:rPr>
        <w:footnoteRef/>
      </w:r>
      <w:r w:rsidRPr="006556CC">
        <w:rPr>
          <w:rFonts w:ascii="Verdana" w:hAnsi="Verdana" w:cs="Arial"/>
          <w:color w:val="000000"/>
          <w:sz w:val="18"/>
          <w:szCs w:val="18"/>
        </w:rPr>
        <w:t xml:space="preserve"> </w:t>
      </w:r>
      <w:r w:rsidRPr="006556CC">
        <w:rPr>
          <w:rFonts w:ascii="Verdana" w:hAnsi="Verdana" w:cs="Arial"/>
          <w:color w:val="000000"/>
          <w:sz w:val="18"/>
          <w:szCs w:val="18"/>
        </w:rPr>
        <w:t>Artículo 2.2.1.1.2.1.1. del Decreto 1082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0A9589B"/>
    <w:multiLevelType w:val="hybridMultilevel"/>
    <w:tmpl w:val="1C6E0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7"/>
  </w:num>
  <w:num w:numId="8" w16cid:durableId="152644682">
    <w:abstractNumId w:val="14"/>
  </w:num>
  <w:num w:numId="9" w16cid:durableId="1317221377">
    <w:abstractNumId w:val="9"/>
  </w:num>
  <w:num w:numId="10" w16cid:durableId="1471245386">
    <w:abstractNumId w:val="13"/>
  </w:num>
  <w:num w:numId="11" w16cid:durableId="289172385">
    <w:abstractNumId w:val="10"/>
  </w:num>
  <w:num w:numId="12" w16cid:durableId="1470781324">
    <w:abstractNumId w:val="1"/>
  </w:num>
  <w:num w:numId="13" w16cid:durableId="1512908409">
    <w:abstractNumId w:val="4"/>
  </w:num>
  <w:num w:numId="14" w16cid:durableId="895897244">
    <w:abstractNumId w:val="16"/>
  </w:num>
  <w:num w:numId="15" w16cid:durableId="390349800">
    <w:abstractNumId w:val="12"/>
  </w:num>
  <w:num w:numId="16" w16cid:durableId="341274352">
    <w:abstractNumId w:val="0"/>
  </w:num>
  <w:num w:numId="17" w16cid:durableId="679089576">
    <w:abstractNumId w:val="11"/>
  </w:num>
  <w:num w:numId="18" w16cid:durableId="1492209491">
    <w:abstractNumId w:val="6"/>
  </w:num>
  <w:num w:numId="19" w16cid:durableId="1557931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70B5"/>
    <w:rsid w:val="00061B2A"/>
    <w:rsid w:val="00081BA8"/>
    <w:rsid w:val="00082362"/>
    <w:rsid w:val="000A02B8"/>
    <w:rsid w:val="000A1F64"/>
    <w:rsid w:val="000A683E"/>
    <w:rsid w:val="000B19B9"/>
    <w:rsid w:val="000D0334"/>
    <w:rsid w:val="000D5612"/>
    <w:rsid w:val="000F6486"/>
    <w:rsid w:val="00125105"/>
    <w:rsid w:val="00127233"/>
    <w:rsid w:val="00194DB2"/>
    <w:rsid w:val="001D2A88"/>
    <w:rsid w:val="001E4177"/>
    <w:rsid w:val="001F7DC6"/>
    <w:rsid w:val="002421BB"/>
    <w:rsid w:val="0025796E"/>
    <w:rsid w:val="002707A2"/>
    <w:rsid w:val="002951A0"/>
    <w:rsid w:val="002962BC"/>
    <w:rsid w:val="002A093D"/>
    <w:rsid w:val="002A0DD0"/>
    <w:rsid w:val="002A49AC"/>
    <w:rsid w:val="002A64FD"/>
    <w:rsid w:val="002C7A84"/>
    <w:rsid w:val="002E4FD9"/>
    <w:rsid w:val="003210D0"/>
    <w:rsid w:val="00322A85"/>
    <w:rsid w:val="00324168"/>
    <w:rsid w:val="003448F4"/>
    <w:rsid w:val="00374F5E"/>
    <w:rsid w:val="00377E3E"/>
    <w:rsid w:val="003A26D1"/>
    <w:rsid w:val="003A779E"/>
    <w:rsid w:val="003D0F4D"/>
    <w:rsid w:val="003D5B0D"/>
    <w:rsid w:val="003E0499"/>
    <w:rsid w:val="003F3941"/>
    <w:rsid w:val="00406575"/>
    <w:rsid w:val="0042722E"/>
    <w:rsid w:val="0044528D"/>
    <w:rsid w:val="00486583"/>
    <w:rsid w:val="004A1847"/>
    <w:rsid w:val="004A305D"/>
    <w:rsid w:val="004F21C4"/>
    <w:rsid w:val="004F685F"/>
    <w:rsid w:val="005308C9"/>
    <w:rsid w:val="005566E8"/>
    <w:rsid w:val="00574867"/>
    <w:rsid w:val="00591460"/>
    <w:rsid w:val="00592628"/>
    <w:rsid w:val="005C3777"/>
    <w:rsid w:val="005C5CDC"/>
    <w:rsid w:val="005D476C"/>
    <w:rsid w:val="00610812"/>
    <w:rsid w:val="0062055B"/>
    <w:rsid w:val="006219F8"/>
    <w:rsid w:val="00650FF7"/>
    <w:rsid w:val="00657876"/>
    <w:rsid w:val="00665D70"/>
    <w:rsid w:val="00671DAC"/>
    <w:rsid w:val="006900D9"/>
    <w:rsid w:val="006D038A"/>
    <w:rsid w:val="006D12F8"/>
    <w:rsid w:val="00706C16"/>
    <w:rsid w:val="00756841"/>
    <w:rsid w:val="007649AB"/>
    <w:rsid w:val="00771D0C"/>
    <w:rsid w:val="007833AC"/>
    <w:rsid w:val="007B268C"/>
    <w:rsid w:val="007B7171"/>
    <w:rsid w:val="007C0C0F"/>
    <w:rsid w:val="007C3DC2"/>
    <w:rsid w:val="007E5497"/>
    <w:rsid w:val="008020FC"/>
    <w:rsid w:val="00806F5F"/>
    <w:rsid w:val="00820278"/>
    <w:rsid w:val="00864FB7"/>
    <w:rsid w:val="008843B6"/>
    <w:rsid w:val="00891928"/>
    <w:rsid w:val="008A446D"/>
    <w:rsid w:val="008D180B"/>
    <w:rsid w:val="008F0EA7"/>
    <w:rsid w:val="00923EEF"/>
    <w:rsid w:val="009419F9"/>
    <w:rsid w:val="0095685E"/>
    <w:rsid w:val="00961B09"/>
    <w:rsid w:val="00965334"/>
    <w:rsid w:val="0097093E"/>
    <w:rsid w:val="00973B4A"/>
    <w:rsid w:val="009A0DFA"/>
    <w:rsid w:val="009B2D26"/>
    <w:rsid w:val="009C71FA"/>
    <w:rsid w:val="009C72E7"/>
    <w:rsid w:val="009D3058"/>
    <w:rsid w:val="009D5BB0"/>
    <w:rsid w:val="009F3A13"/>
    <w:rsid w:val="00A070B6"/>
    <w:rsid w:val="00A122D3"/>
    <w:rsid w:val="00A17F13"/>
    <w:rsid w:val="00A20739"/>
    <w:rsid w:val="00A33C78"/>
    <w:rsid w:val="00A764F4"/>
    <w:rsid w:val="00AB0ADB"/>
    <w:rsid w:val="00AB7560"/>
    <w:rsid w:val="00AF4DF3"/>
    <w:rsid w:val="00B01B1A"/>
    <w:rsid w:val="00B3026C"/>
    <w:rsid w:val="00B72CD3"/>
    <w:rsid w:val="00B72FFF"/>
    <w:rsid w:val="00BA327E"/>
    <w:rsid w:val="00BB2810"/>
    <w:rsid w:val="00BC3D36"/>
    <w:rsid w:val="00BD7F72"/>
    <w:rsid w:val="00C04FB3"/>
    <w:rsid w:val="00C330EB"/>
    <w:rsid w:val="00C754BE"/>
    <w:rsid w:val="00C76B1C"/>
    <w:rsid w:val="00CB6357"/>
    <w:rsid w:val="00CC1B26"/>
    <w:rsid w:val="00CC677D"/>
    <w:rsid w:val="00D423A2"/>
    <w:rsid w:val="00D520D8"/>
    <w:rsid w:val="00D63AC2"/>
    <w:rsid w:val="00D7383B"/>
    <w:rsid w:val="00D77415"/>
    <w:rsid w:val="00D900A3"/>
    <w:rsid w:val="00DA231B"/>
    <w:rsid w:val="00DA23A0"/>
    <w:rsid w:val="00DC39FC"/>
    <w:rsid w:val="00DF5254"/>
    <w:rsid w:val="00E05393"/>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664F"/>
    <w:rsid w:val="00F666C4"/>
    <w:rsid w:val="00F76AFC"/>
    <w:rsid w:val="00FA47C0"/>
    <w:rsid w:val="00FB5DD1"/>
    <w:rsid w:val="00FC2B5D"/>
    <w:rsid w:val="00FF1449"/>
    <w:rsid w:val="2297D838"/>
    <w:rsid w:val="5CEADB7B"/>
    <w:rsid w:val="7916B96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7969E09A-D0E5-4654-AFDE-E92D0943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A070B6"/>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04-documentos-tipo-para-licitacion-de-obra-publica-de-infraestructura-de-transporte-vers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B6E4258F-9483-410F-ABA7-1DE39D4558ED}"/>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3176</Words>
  <Characters>17280</Characters>
  <Application>Microsoft Office Word</Application>
  <DocSecurity>0</DocSecurity>
  <Lines>384</Lines>
  <Paragraphs>84</Paragraphs>
  <ScaleCrop>false</ScaleCrop>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Kevin Arlid Herrera Santa</cp:lastModifiedBy>
  <cp:revision>4</cp:revision>
  <cp:lastPrinted>2023-01-10T21:18:00Z</cp:lastPrinted>
  <dcterms:created xsi:type="dcterms:W3CDTF">2024-08-04T00:15:00Z</dcterms:created>
  <dcterms:modified xsi:type="dcterms:W3CDTF">2024-08-04T00:17:00Z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