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E1216" w14:textId="220400C8" w:rsidR="000C78CA" w:rsidRDefault="000C78CA" w:rsidP="000C78CA">
      <w:pPr>
        <w:spacing w:after="0" w:line="240" w:lineRule="auto"/>
        <w:jc w:val="both"/>
        <w:rPr>
          <w:rFonts w:ascii="Verdana" w:eastAsia="Geomanist Light" w:hAnsi="Verdana" w:cs="Arial"/>
          <w:b/>
          <w:bCs/>
        </w:rPr>
      </w:pPr>
      <w:bookmarkStart w:id="0" w:name="_Hlk171380654"/>
      <w:bookmarkStart w:id="1" w:name="_Hlk172910794"/>
      <w:r w:rsidRPr="000C78CA">
        <w:rPr>
          <w:rFonts w:ascii="Verdana" w:eastAsia="Geomanist Light" w:hAnsi="Verdana" w:cs="Arial"/>
          <w:b/>
          <w:bCs/>
        </w:rPr>
        <w:t>PUBLICIDAD SECOP– Estatuto general de contratación – Modificación del artículo 53 – Ley 2195 de 2022</w:t>
      </w:r>
    </w:p>
    <w:p w14:paraId="78698415" w14:textId="77777777" w:rsidR="000C78CA" w:rsidRPr="000C78CA" w:rsidRDefault="000C78CA" w:rsidP="000C78CA">
      <w:pPr>
        <w:spacing w:after="0" w:line="240" w:lineRule="auto"/>
        <w:rPr>
          <w:rFonts w:ascii="Verdana" w:eastAsia="Geomanist Light" w:hAnsi="Verdana" w:cs="Arial"/>
          <w:b/>
          <w:bCs/>
        </w:rPr>
      </w:pPr>
    </w:p>
    <w:p w14:paraId="1DDC1558" w14:textId="5409460A" w:rsidR="000C78CA" w:rsidRPr="000C78CA" w:rsidRDefault="000C78CA" w:rsidP="000C78CA">
      <w:pPr>
        <w:spacing w:after="0" w:line="240" w:lineRule="auto"/>
        <w:jc w:val="both"/>
        <w:rPr>
          <w:rFonts w:ascii="Verdana" w:eastAsia="Geomanist Light" w:hAnsi="Verdana" w:cs="Arial"/>
          <w:sz w:val="20"/>
          <w:szCs w:val="20"/>
        </w:rPr>
      </w:pPr>
      <w:r w:rsidRPr="000C78CA">
        <w:rPr>
          <w:rFonts w:ascii="Verdana" w:eastAsia="Geomanist Light" w:hAnsi="Verdana" w:cs="Arial"/>
          <w:sz w:val="20"/>
          <w:szCs w:val="20"/>
        </w:rPr>
        <w:t>El principio de publicidad impone a las autoridades el deber de dar a conocer sus actos, contratos y decisiones, para que se divulguen y eventualmente se controlen dichas actuaciones. Es por eso que, en materia de la contratación estatal, el literal c) del artículo 3 de la Ley 1150 de 2007 establece el Sistema Electrónico para la Contratación Pública – SECOP– como un mecanismo que “contará con la información oficial de la contratación realizada con dineros públicos, para lo cual establecerá los patrones a que haya lugar y se encargará de su difusión a través de canales electrónicos”.</w:t>
      </w:r>
    </w:p>
    <w:p w14:paraId="1F2B810A" w14:textId="77777777" w:rsidR="000C78CA" w:rsidRPr="000C78CA" w:rsidRDefault="000C78CA" w:rsidP="000C78CA">
      <w:pPr>
        <w:spacing w:after="0" w:line="240" w:lineRule="auto"/>
        <w:jc w:val="both"/>
        <w:rPr>
          <w:rFonts w:ascii="Verdana" w:eastAsia="Geomanist Light" w:hAnsi="Verdana" w:cs="Arial"/>
          <w:sz w:val="20"/>
          <w:szCs w:val="20"/>
        </w:rPr>
      </w:pPr>
      <w:r w:rsidRPr="000C78CA">
        <w:rPr>
          <w:rFonts w:ascii="Verdana" w:eastAsia="Geomanist Light" w:hAnsi="Verdana" w:cs="Arial"/>
          <w:sz w:val="20"/>
          <w:szCs w:val="20"/>
        </w:rPr>
        <w:t> </w:t>
      </w:r>
    </w:p>
    <w:p w14:paraId="630210F8" w14:textId="77777777" w:rsidR="000C78CA" w:rsidRPr="000C78CA" w:rsidRDefault="000C78CA" w:rsidP="000C78CA">
      <w:pPr>
        <w:spacing w:after="0" w:line="240" w:lineRule="auto"/>
        <w:jc w:val="both"/>
        <w:rPr>
          <w:rFonts w:ascii="Verdana" w:eastAsia="Geomanist Light" w:hAnsi="Verdana" w:cs="Arial"/>
          <w:sz w:val="20"/>
          <w:szCs w:val="20"/>
        </w:rPr>
      </w:pPr>
      <w:r w:rsidRPr="000C78CA">
        <w:rPr>
          <w:rFonts w:ascii="Verdana" w:eastAsia="Geomanist Light" w:hAnsi="Verdana" w:cs="Arial"/>
          <w:sz w:val="20"/>
          <w:szCs w:val="20"/>
        </w:rPr>
        <w:t>La Ley 2195 de 2022, por medio de la cual se adoptan medidas en materia de transparencia, prevención y lucha contra la corrupción. Según lo dispone su artículo 1, esta Ley “[…] tiene por objeto adoptar disposiciones tendientes a prevenir los actos de corrupción, a reforzar la articulación y coordinación de las entidades del Estado y a recuperar los daños ocasionados por dichos actos con el fin de asegurar promover la cultura de la legalidad e integridad y recuperar la confianza ciudadana y el respeto por lo público». Dentro del capítulo VIII de esta Ley, que lleva por título “Disposiciones en materia contractual para la moralización y la transparencia», se ubica el artículo 53, mediante el cual se adiciona el artículo 13 de la Ley 1150 de 2007. La referida disposición les asigna la obligación a las entidades estatales que por disposición legal cuenten con un régimen contractual excepcional al del Estatuto General de Contratación de la Administración Pública de publicar los documentos relacionados con su actividad contractual en el Sistema Electrónico para la Contratación Pública –SECOP II- o la plataforma transaccional que haga sus veces</w:t>
      </w:r>
      <w:r w:rsidRPr="000C78CA">
        <w:rPr>
          <w:rFonts w:ascii="Verdana" w:eastAsia="Geomanist Light" w:hAnsi="Verdana" w:cs="Arial"/>
          <w:b/>
          <w:bCs/>
          <w:sz w:val="20"/>
          <w:szCs w:val="20"/>
        </w:rPr>
        <w:t>.</w:t>
      </w:r>
    </w:p>
    <w:p w14:paraId="6151E25B" w14:textId="77777777" w:rsidR="000C78CA" w:rsidRPr="000C78CA" w:rsidRDefault="000C78CA" w:rsidP="000C78CA">
      <w:pPr>
        <w:spacing w:after="0" w:line="240" w:lineRule="auto"/>
        <w:jc w:val="both"/>
        <w:rPr>
          <w:rFonts w:ascii="Verdana" w:eastAsia="Geomanist Light" w:hAnsi="Verdana" w:cs="Arial"/>
          <w:sz w:val="20"/>
          <w:szCs w:val="20"/>
        </w:rPr>
      </w:pPr>
      <w:r w:rsidRPr="000C78CA">
        <w:rPr>
          <w:rFonts w:ascii="Verdana" w:eastAsia="Geomanist Light" w:hAnsi="Verdana" w:cs="Arial"/>
          <w:b/>
          <w:bCs/>
          <w:sz w:val="20"/>
          <w:szCs w:val="20"/>
        </w:rPr>
        <w:t> </w:t>
      </w:r>
    </w:p>
    <w:p w14:paraId="1D65A091" w14:textId="77777777" w:rsidR="000C78CA" w:rsidRPr="000C78CA" w:rsidRDefault="000C78CA" w:rsidP="000C78CA">
      <w:pPr>
        <w:spacing w:after="0" w:line="240" w:lineRule="auto"/>
        <w:jc w:val="both"/>
        <w:rPr>
          <w:rFonts w:ascii="Verdana" w:eastAsia="Geomanist Light" w:hAnsi="Verdana" w:cs="Arial"/>
          <w:sz w:val="20"/>
          <w:szCs w:val="20"/>
        </w:rPr>
      </w:pPr>
      <w:r w:rsidRPr="000C78CA">
        <w:rPr>
          <w:rFonts w:ascii="Verdana" w:eastAsia="Geomanist Light" w:hAnsi="Verdana" w:cs="Arial"/>
          <w:sz w:val="20"/>
          <w:szCs w:val="20"/>
        </w:rPr>
        <w:t xml:space="preserve">Los “Lineamientos Generales para la Expedición de Manuales de Contratación” expedido por La Agencia Nacional de Contratación </w:t>
      </w:r>
      <w:proofErr w:type="spellStart"/>
      <w:r w:rsidRPr="000C78CA">
        <w:rPr>
          <w:rFonts w:ascii="Verdana" w:eastAsia="Geomanist Light" w:hAnsi="Verdana" w:cs="Arial"/>
          <w:sz w:val="20"/>
          <w:szCs w:val="20"/>
        </w:rPr>
        <w:t>Publica</w:t>
      </w:r>
      <w:proofErr w:type="spellEnd"/>
      <w:r w:rsidRPr="000C78CA">
        <w:rPr>
          <w:rFonts w:ascii="Verdana" w:eastAsia="Geomanist Light" w:hAnsi="Verdana" w:cs="Arial"/>
          <w:sz w:val="20"/>
          <w:szCs w:val="20"/>
        </w:rPr>
        <w:t xml:space="preserve"> – Colombia Compra eficiente, indican que los manuales“ (… ) deben definir las funciones y las responsabilidades de quien realiza la actuación, de tal manera que, de forma discrecional es la entidad contratante en su Manual de Contratación, quien definirá el procedimiento relacionado con el estudio del sector y análisis del mercado, dentro de los cuales se encuentra la necesidad de realizar cotizaciones.</w:t>
      </w:r>
    </w:p>
    <w:p w14:paraId="6CD1C503" w14:textId="77777777" w:rsidR="00020A5F" w:rsidRPr="000C78CA" w:rsidRDefault="00020A5F" w:rsidP="00871B59">
      <w:pPr>
        <w:spacing w:after="0" w:line="240" w:lineRule="auto"/>
        <w:rPr>
          <w:rFonts w:ascii="Verdana" w:eastAsia="Geomanist Light" w:hAnsi="Verdana" w:cs="Arial"/>
        </w:rPr>
      </w:pPr>
    </w:p>
    <w:p w14:paraId="654C4CA3" w14:textId="77777777" w:rsidR="000C78CA" w:rsidRDefault="000C78CA" w:rsidP="00871B59">
      <w:pPr>
        <w:spacing w:after="0" w:line="240" w:lineRule="auto"/>
        <w:rPr>
          <w:rFonts w:ascii="Verdana" w:eastAsia="Geomanist Light" w:hAnsi="Verdana" w:cs="Arial"/>
          <w:lang w:val="es-MX"/>
        </w:rPr>
      </w:pPr>
    </w:p>
    <w:p w14:paraId="14495DAE" w14:textId="77777777" w:rsidR="000C78CA" w:rsidRDefault="000C78CA" w:rsidP="00871B59">
      <w:pPr>
        <w:spacing w:after="0" w:line="240" w:lineRule="auto"/>
        <w:rPr>
          <w:rFonts w:ascii="Verdana" w:eastAsia="Geomanist Light" w:hAnsi="Verdana" w:cs="Arial"/>
          <w:lang w:val="es-MX"/>
        </w:rPr>
      </w:pPr>
    </w:p>
    <w:p w14:paraId="33FE0372" w14:textId="77777777" w:rsidR="000C78CA" w:rsidRDefault="000C78CA" w:rsidP="00871B59">
      <w:pPr>
        <w:spacing w:after="0" w:line="240" w:lineRule="auto"/>
        <w:rPr>
          <w:rFonts w:ascii="Verdana" w:eastAsia="Geomanist Light" w:hAnsi="Verdana" w:cs="Arial"/>
          <w:lang w:val="es-MX"/>
        </w:rPr>
      </w:pPr>
    </w:p>
    <w:p w14:paraId="7E375BDC" w14:textId="77777777" w:rsidR="000C78CA" w:rsidRDefault="000C78CA" w:rsidP="00871B59">
      <w:pPr>
        <w:spacing w:after="0" w:line="240" w:lineRule="auto"/>
        <w:rPr>
          <w:rFonts w:ascii="Verdana" w:eastAsia="Geomanist Light" w:hAnsi="Verdana" w:cs="Arial"/>
          <w:lang w:val="es-MX"/>
        </w:rPr>
      </w:pPr>
    </w:p>
    <w:p w14:paraId="291D951A" w14:textId="77777777" w:rsidR="000C78CA" w:rsidRDefault="000C78CA" w:rsidP="00871B59">
      <w:pPr>
        <w:spacing w:after="0" w:line="240" w:lineRule="auto"/>
        <w:rPr>
          <w:rFonts w:ascii="Verdana" w:eastAsia="Geomanist Light" w:hAnsi="Verdana" w:cs="Arial"/>
          <w:lang w:val="es-MX"/>
        </w:rPr>
      </w:pPr>
    </w:p>
    <w:p w14:paraId="34975B27" w14:textId="77777777" w:rsidR="000C78CA" w:rsidRDefault="000C78CA" w:rsidP="00871B59">
      <w:pPr>
        <w:spacing w:after="0" w:line="240" w:lineRule="auto"/>
        <w:rPr>
          <w:rFonts w:ascii="Verdana" w:eastAsia="Geomanist Light" w:hAnsi="Verdana" w:cs="Arial"/>
          <w:lang w:val="es-MX"/>
        </w:rPr>
      </w:pPr>
    </w:p>
    <w:p w14:paraId="23B10DC4" w14:textId="77777777" w:rsidR="000C78CA" w:rsidRDefault="000C78CA" w:rsidP="00871B59">
      <w:pPr>
        <w:spacing w:after="0" w:line="240" w:lineRule="auto"/>
        <w:rPr>
          <w:rFonts w:ascii="Verdana" w:eastAsia="Geomanist Light" w:hAnsi="Verdana" w:cs="Arial"/>
          <w:lang w:val="es-MX"/>
        </w:rPr>
      </w:pPr>
    </w:p>
    <w:p w14:paraId="29244DB7" w14:textId="77777777" w:rsidR="000C78CA" w:rsidRDefault="000C78CA" w:rsidP="00871B59">
      <w:pPr>
        <w:spacing w:after="0" w:line="240" w:lineRule="auto"/>
        <w:rPr>
          <w:rFonts w:ascii="Verdana" w:eastAsia="Geomanist Light" w:hAnsi="Verdana" w:cs="Arial"/>
          <w:lang w:val="es-MX"/>
        </w:rPr>
      </w:pPr>
    </w:p>
    <w:p w14:paraId="6700D6DA" w14:textId="6B9408D9" w:rsidR="00871B59" w:rsidRPr="00B9032A" w:rsidRDefault="00871B59" w:rsidP="00871B59">
      <w:pPr>
        <w:spacing w:after="0" w:line="240" w:lineRule="auto"/>
        <w:rPr>
          <w:rFonts w:ascii="Verdana" w:eastAsia="Geomanist Light" w:hAnsi="Verdana" w:cs="Arial"/>
          <w:lang w:val="es-MX"/>
        </w:rPr>
      </w:pPr>
      <w:r w:rsidRPr="00B9032A">
        <w:rPr>
          <w:rFonts w:ascii="Verdana" w:eastAsia="Geomanist Light" w:hAnsi="Verdana" w:cs="Arial"/>
          <w:lang w:val="es-MX"/>
        </w:rPr>
        <w:lastRenderedPageBreak/>
        <w:t>Bogotá D.C., [Día] de [</w:t>
      </w:r>
      <w:proofErr w:type="spellStart"/>
      <w:r w:rsidRPr="00B9032A">
        <w:rPr>
          <w:rFonts w:ascii="Verdana" w:eastAsia="Geomanist Light" w:hAnsi="Verdana" w:cs="Arial"/>
          <w:lang w:val="es-MX"/>
        </w:rPr>
        <w:t>Mes.NombreCapitalizado</w:t>
      </w:r>
      <w:proofErr w:type="spellEnd"/>
      <w:r w:rsidRPr="00B9032A">
        <w:rPr>
          <w:rFonts w:ascii="Verdana" w:eastAsia="Geomanist Light" w:hAnsi="Verdana" w:cs="Arial"/>
          <w:lang w:val="es-MX"/>
        </w:rPr>
        <w:t>] de [Año]</w:t>
      </w:r>
    </w:p>
    <w:p w14:paraId="263F56BE" w14:textId="5FB3C678" w:rsidR="00871B59" w:rsidRDefault="00082CD1" w:rsidP="00871B59">
      <w:pPr>
        <w:spacing w:after="0" w:line="240" w:lineRule="auto"/>
        <w:jc w:val="both"/>
        <w:rPr>
          <w:rFonts w:ascii="Verdana" w:eastAsia="Calibri" w:hAnsi="Verdana" w:cs="Arial"/>
          <w:lang w:val="es-ES"/>
        </w:rPr>
      </w:pPr>
      <w:r w:rsidRPr="00082CD1">
        <w:rPr>
          <w:rFonts w:ascii="Verdana" w:eastAsia="Calibri" w:hAnsi="Verdana" w:cs="Arial"/>
          <w:noProof/>
          <w:lang w:val="es-ES"/>
        </w:rPr>
        <w:drawing>
          <wp:anchor distT="0" distB="0" distL="114300" distR="114300" simplePos="0" relativeHeight="251658240" behindDoc="1" locked="0" layoutInCell="1" allowOverlap="1" wp14:anchorId="26C74C43" wp14:editId="0013CA4C">
            <wp:simplePos x="0" y="0"/>
            <wp:positionH relativeFrom="column">
              <wp:posOffset>2779639</wp:posOffset>
            </wp:positionH>
            <wp:positionV relativeFrom="paragraph">
              <wp:posOffset>33313</wp:posOffset>
            </wp:positionV>
            <wp:extent cx="3390900" cy="962025"/>
            <wp:effectExtent l="0" t="0" r="0" b="9525"/>
            <wp:wrapTight wrapText="bothSides">
              <wp:wrapPolygon edited="0">
                <wp:start x="0" y="0"/>
                <wp:lineTo x="0" y="21386"/>
                <wp:lineTo x="21479" y="21386"/>
                <wp:lineTo x="21479" y="0"/>
                <wp:lineTo x="0" y="0"/>
              </wp:wrapPolygon>
            </wp:wrapTight>
            <wp:docPr id="32710684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106840" name="Imagen 1" descr="Texto&#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3390900" cy="962025"/>
                    </a:xfrm>
                    <a:prstGeom prst="rect">
                      <a:avLst/>
                    </a:prstGeom>
                  </pic:spPr>
                </pic:pic>
              </a:graphicData>
            </a:graphic>
          </wp:anchor>
        </w:drawing>
      </w:r>
    </w:p>
    <w:p w14:paraId="344F8BD0" w14:textId="627C902C" w:rsidR="00082CD1" w:rsidRDefault="00082CD1" w:rsidP="00871B59">
      <w:pPr>
        <w:spacing w:after="0" w:line="240" w:lineRule="auto"/>
        <w:jc w:val="both"/>
        <w:rPr>
          <w:rFonts w:ascii="Verdana" w:eastAsia="Calibri" w:hAnsi="Verdana" w:cs="Arial"/>
          <w:lang w:val="es-ES"/>
        </w:rPr>
      </w:pPr>
    </w:p>
    <w:p w14:paraId="015332F8" w14:textId="77777777" w:rsidR="00082CD1" w:rsidRDefault="00082CD1" w:rsidP="00871B59">
      <w:pPr>
        <w:spacing w:after="0" w:line="240" w:lineRule="auto"/>
        <w:jc w:val="both"/>
        <w:rPr>
          <w:rFonts w:ascii="Verdana" w:eastAsia="Calibri" w:hAnsi="Verdana" w:cs="Arial"/>
          <w:lang w:val="es-ES"/>
        </w:rPr>
      </w:pPr>
    </w:p>
    <w:p w14:paraId="2627EAC7" w14:textId="77777777" w:rsidR="00082CD1" w:rsidRDefault="00082CD1" w:rsidP="00871B59">
      <w:pPr>
        <w:spacing w:after="0" w:line="240" w:lineRule="auto"/>
        <w:jc w:val="both"/>
        <w:rPr>
          <w:rFonts w:ascii="Verdana" w:eastAsia="Calibri" w:hAnsi="Verdana" w:cs="Arial"/>
          <w:lang w:val="es-ES"/>
        </w:rPr>
      </w:pPr>
    </w:p>
    <w:p w14:paraId="4D4258ED" w14:textId="77777777" w:rsidR="00082CD1" w:rsidRDefault="00082CD1" w:rsidP="00871B59">
      <w:pPr>
        <w:spacing w:after="0" w:line="240" w:lineRule="auto"/>
        <w:jc w:val="both"/>
        <w:rPr>
          <w:rFonts w:ascii="Verdana" w:eastAsia="Calibri" w:hAnsi="Verdana" w:cs="Arial"/>
          <w:lang w:val="es-ES"/>
        </w:rPr>
      </w:pPr>
    </w:p>
    <w:p w14:paraId="7715590B" w14:textId="77777777" w:rsidR="00082CD1" w:rsidRDefault="00082CD1" w:rsidP="00871B59">
      <w:pPr>
        <w:spacing w:after="0" w:line="240" w:lineRule="auto"/>
        <w:jc w:val="both"/>
        <w:rPr>
          <w:rFonts w:ascii="Verdana" w:eastAsia="Calibri" w:hAnsi="Verdana" w:cs="Arial"/>
          <w:lang w:val="es-ES"/>
        </w:rPr>
      </w:pPr>
    </w:p>
    <w:p w14:paraId="45A523B9" w14:textId="77777777" w:rsidR="00082CD1" w:rsidRPr="00B9032A" w:rsidRDefault="00082CD1" w:rsidP="00871B59">
      <w:pPr>
        <w:spacing w:after="0" w:line="240" w:lineRule="auto"/>
        <w:jc w:val="both"/>
        <w:rPr>
          <w:rFonts w:ascii="Verdana" w:eastAsia="Calibri" w:hAnsi="Verdana" w:cs="Arial"/>
          <w:lang w:val="es-ES"/>
        </w:rPr>
      </w:pPr>
    </w:p>
    <w:p w14:paraId="208B27C4" w14:textId="77777777" w:rsidR="00082CD1" w:rsidRDefault="00082CD1" w:rsidP="00871B59">
      <w:pPr>
        <w:spacing w:after="0" w:line="240" w:lineRule="auto"/>
        <w:jc w:val="both"/>
        <w:rPr>
          <w:rFonts w:ascii="Verdana" w:eastAsia="Calibri" w:hAnsi="Verdana" w:cs="Arial"/>
          <w:lang w:val="es-ES" w:eastAsia="es-ES"/>
        </w:rPr>
      </w:pPr>
    </w:p>
    <w:p w14:paraId="66EF7FED" w14:textId="0ED1C54F" w:rsidR="00871B59" w:rsidRPr="00B9032A" w:rsidRDefault="00871B59" w:rsidP="00871B59">
      <w:pPr>
        <w:spacing w:after="0" w:line="240" w:lineRule="auto"/>
        <w:jc w:val="both"/>
        <w:rPr>
          <w:rFonts w:ascii="Verdana" w:eastAsia="Calibri" w:hAnsi="Verdana" w:cs="Arial"/>
          <w:lang w:val="es-ES" w:eastAsia="es-ES"/>
        </w:rPr>
      </w:pPr>
      <w:r w:rsidRPr="00B9032A">
        <w:rPr>
          <w:rFonts w:ascii="Verdana" w:eastAsia="Calibri" w:hAnsi="Verdana" w:cs="Arial"/>
          <w:lang w:val="es-ES" w:eastAsia="es-ES"/>
        </w:rPr>
        <w:t>Señor</w:t>
      </w:r>
      <w:r w:rsidR="001E6B63">
        <w:rPr>
          <w:rFonts w:ascii="Verdana" w:eastAsia="Calibri" w:hAnsi="Verdana" w:cs="Arial"/>
          <w:lang w:val="es-ES" w:eastAsia="es-ES"/>
        </w:rPr>
        <w:t>a</w:t>
      </w:r>
    </w:p>
    <w:p w14:paraId="0D0B9D30" w14:textId="01DEEFE5" w:rsidR="00871B59" w:rsidRPr="00082CD1" w:rsidRDefault="001E6B63" w:rsidP="00871B59">
      <w:pPr>
        <w:spacing w:after="0" w:line="240" w:lineRule="auto"/>
        <w:rPr>
          <w:rFonts w:ascii="Verdana" w:eastAsia="Calibri" w:hAnsi="Verdana" w:cs="Arial"/>
          <w:b/>
          <w:lang w:eastAsia="es-ES_tradnl"/>
        </w:rPr>
      </w:pPr>
      <w:proofErr w:type="spellStart"/>
      <w:r w:rsidRPr="00082CD1">
        <w:rPr>
          <w:rFonts w:ascii="Verdana" w:eastAsia="Calibri" w:hAnsi="Verdana" w:cs="Arial"/>
          <w:b/>
          <w:lang w:eastAsia="es-ES_tradnl"/>
        </w:rPr>
        <w:t>Nicolle</w:t>
      </w:r>
      <w:proofErr w:type="spellEnd"/>
      <w:r w:rsidRPr="00082CD1">
        <w:rPr>
          <w:rFonts w:ascii="Verdana" w:eastAsia="Calibri" w:hAnsi="Verdana" w:cs="Arial"/>
          <w:b/>
          <w:lang w:eastAsia="es-ES_tradnl"/>
        </w:rPr>
        <w:t xml:space="preserve"> Daniela Rueda </w:t>
      </w:r>
      <w:proofErr w:type="spellStart"/>
      <w:r w:rsidRPr="00082CD1">
        <w:rPr>
          <w:rFonts w:ascii="Verdana" w:eastAsia="Calibri" w:hAnsi="Verdana" w:cs="Arial"/>
          <w:b/>
          <w:lang w:eastAsia="es-ES_tradnl"/>
        </w:rPr>
        <w:t>Fernandez</w:t>
      </w:r>
      <w:proofErr w:type="spellEnd"/>
    </w:p>
    <w:p w14:paraId="24FE3D88" w14:textId="302F41D6" w:rsidR="00D03284" w:rsidRDefault="00102BED" w:rsidP="00871B59">
      <w:pPr>
        <w:spacing w:after="0" w:line="240" w:lineRule="auto"/>
        <w:rPr>
          <w:rFonts w:ascii="Verdana" w:hAnsi="Verdana"/>
        </w:rPr>
      </w:pPr>
      <w:hyperlink r:id="rId12" w:history="1">
        <w:r w:rsidR="001E6B63" w:rsidRPr="004565D4">
          <w:rPr>
            <w:rStyle w:val="Hipervnculo"/>
            <w:rFonts w:ascii="Verdana" w:hAnsi="Verdana"/>
          </w:rPr>
          <w:t>nrueda266@unab.edu.co</w:t>
        </w:r>
      </w:hyperlink>
    </w:p>
    <w:p w14:paraId="5ACFEA17" w14:textId="6D602C4E" w:rsidR="00871B59" w:rsidRPr="00B9032A" w:rsidRDefault="001E6B63" w:rsidP="00871B59">
      <w:pPr>
        <w:spacing w:after="0" w:line="240" w:lineRule="auto"/>
        <w:rPr>
          <w:rFonts w:ascii="Verdana" w:eastAsia="Calibri" w:hAnsi="Verdana" w:cs="Arial"/>
          <w:b/>
          <w:bCs/>
          <w:lang w:val="es-ES" w:eastAsia="es-ES"/>
        </w:rPr>
      </w:pPr>
      <w:r>
        <w:rPr>
          <w:rFonts w:ascii="Verdana" w:eastAsia="Calibri" w:hAnsi="Verdana" w:cs="Arial"/>
          <w:lang w:val="es-ES" w:eastAsia="es-ES"/>
        </w:rPr>
        <w:t>Bucaramanga, Santander</w:t>
      </w:r>
    </w:p>
    <w:p w14:paraId="75545CBA" w14:textId="77777777" w:rsidR="00871B59" w:rsidRPr="00B9032A" w:rsidRDefault="00871B59" w:rsidP="00871B59">
      <w:pPr>
        <w:spacing w:after="0" w:line="240" w:lineRule="auto"/>
        <w:rPr>
          <w:rFonts w:ascii="Verdana" w:eastAsia="Calibri" w:hAnsi="Verdana" w:cs="Arial"/>
          <w:b/>
          <w:bCs/>
          <w:lang w:val="es-ES_tradnl" w:eastAsia="es-ES_tradnl"/>
        </w:rPr>
      </w:pPr>
    </w:p>
    <w:p w14:paraId="40764CBF" w14:textId="77777777" w:rsidR="00871B59" w:rsidRPr="00B9032A" w:rsidRDefault="00871B59" w:rsidP="00871B59">
      <w:pPr>
        <w:spacing w:after="0" w:line="240" w:lineRule="auto"/>
        <w:rPr>
          <w:rFonts w:ascii="Verdana" w:eastAsia="Calibri" w:hAnsi="Verdana" w:cs="Arial"/>
          <w:b/>
          <w:bCs/>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52"/>
        <w:gridCol w:w="6237"/>
      </w:tblGrid>
      <w:tr w:rsidR="00B9032A" w:rsidRPr="00B9032A" w14:paraId="6AC1791A" w14:textId="77777777" w:rsidTr="00082CD1">
        <w:trPr>
          <w:trHeight w:val="884"/>
        </w:trPr>
        <w:tc>
          <w:tcPr>
            <w:tcW w:w="2552" w:type="dxa"/>
          </w:tcPr>
          <w:p w14:paraId="156B1AEC" w14:textId="77777777" w:rsidR="00871B59" w:rsidRPr="00B9032A" w:rsidRDefault="00871B59">
            <w:pPr>
              <w:jc w:val="both"/>
              <w:rPr>
                <w:rFonts w:ascii="Verdana" w:eastAsia="Calibri" w:hAnsi="Verdana" w:cs="Arial"/>
                <w:b/>
                <w:bCs/>
                <w:lang w:val="es-ES_tradnl" w:eastAsia="es-ES_tradnl"/>
              </w:rPr>
            </w:pPr>
          </w:p>
        </w:tc>
        <w:tc>
          <w:tcPr>
            <w:tcW w:w="6237" w:type="dxa"/>
          </w:tcPr>
          <w:p w14:paraId="48F499EA" w14:textId="6548090F" w:rsidR="00871B59" w:rsidRPr="00B9032A" w:rsidRDefault="00871B59">
            <w:pPr>
              <w:jc w:val="both"/>
              <w:rPr>
                <w:rFonts w:ascii="Verdana" w:eastAsia="Calibri" w:hAnsi="Verdana" w:cs="Arial"/>
                <w:b/>
                <w:bCs/>
                <w:lang w:val="es-ES" w:eastAsia="es-ES"/>
              </w:rPr>
            </w:pPr>
            <w:r w:rsidRPr="00A05D8B">
              <w:rPr>
                <w:rFonts w:ascii="Verdana" w:eastAsia="Calibri" w:hAnsi="Verdana" w:cs="Arial"/>
                <w:b/>
                <w:bCs/>
                <w:lang w:val="es-ES" w:eastAsia="es-ES"/>
              </w:rPr>
              <w:t xml:space="preserve">Concepto C- </w:t>
            </w:r>
            <w:r w:rsidR="001E6B63">
              <w:rPr>
                <w:rFonts w:ascii="Verdana" w:eastAsia="Calibri" w:hAnsi="Verdana" w:cs="Arial"/>
                <w:b/>
                <w:bCs/>
                <w:lang w:val="es-ES" w:eastAsia="es-ES"/>
              </w:rPr>
              <w:t>134</w:t>
            </w:r>
            <w:r w:rsidRPr="00A05D8B">
              <w:rPr>
                <w:rFonts w:ascii="Verdana" w:eastAsia="Calibri" w:hAnsi="Verdana" w:cs="Arial"/>
                <w:b/>
                <w:bCs/>
                <w:lang w:val="es-ES" w:eastAsia="es-ES"/>
              </w:rPr>
              <w:t xml:space="preserve"> de 2024</w:t>
            </w:r>
          </w:p>
        </w:tc>
      </w:tr>
      <w:tr w:rsidR="00B9032A" w:rsidRPr="00B9032A" w14:paraId="0DD246A7" w14:textId="77777777" w:rsidTr="00082CD1">
        <w:trPr>
          <w:trHeight w:val="884"/>
        </w:trPr>
        <w:tc>
          <w:tcPr>
            <w:tcW w:w="2552" w:type="dxa"/>
          </w:tcPr>
          <w:p w14:paraId="1B4FC525" w14:textId="77777777" w:rsidR="00871B59" w:rsidRPr="00B9032A" w:rsidRDefault="00871B59">
            <w:pPr>
              <w:jc w:val="both"/>
              <w:rPr>
                <w:rFonts w:ascii="Verdana" w:eastAsia="Calibri" w:hAnsi="Verdana" w:cs="Arial"/>
                <w:lang w:val="es-ES_tradnl" w:eastAsia="es-ES_tradnl"/>
              </w:rPr>
            </w:pPr>
            <w:r w:rsidRPr="00B9032A">
              <w:rPr>
                <w:rFonts w:ascii="Verdana" w:eastAsia="Calibri" w:hAnsi="Verdana" w:cs="Arial"/>
                <w:b/>
                <w:lang w:val="es-ES_tradnl" w:eastAsia="es-ES_tradnl"/>
              </w:rPr>
              <w:t>Temas:</w:t>
            </w:r>
            <w:r w:rsidRPr="00B9032A">
              <w:rPr>
                <w:rFonts w:ascii="Verdana" w:eastAsia="Calibri" w:hAnsi="Verdana" w:cs="Arial"/>
                <w:lang w:val="es-ES_tradnl" w:eastAsia="es-ES_tradnl"/>
              </w:rPr>
              <w:t xml:space="preserve">                   </w:t>
            </w:r>
          </w:p>
        </w:tc>
        <w:tc>
          <w:tcPr>
            <w:tcW w:w="6237" w:type="dxa"/>
          </w:tcPr>
          <w:p w14:paraId="06234199" w14:textId="3BD90803" w:rsidR="00860DEA" w:rsidRPr="00860DEA" w:rsidRDefault="001E6B63" w:rsidP="00860DEA">
            <w:pPr>
              <w:spacing w:line="276" w:lineRule="auto"/>
              <w:jc w:val="both"/>
              <w:rPr>
                <w:rFonts w:ascii="Verdana" w:eastAsia="Calibri" w:hAnsi="Verdana" w:cs="Arial"/>
                <w:bCs/>
                <w:lang w:val="es-MX" w:eastAsia="es-ES"/>
              </w:rPr>
            </w:pPr>
            <w:r w:rsidRPr="001E6B63">
              <w:rPr>
                <w:rFonts w:ascii="Verdana" w:eastAsia="Calibri" w:hAnsi="Verdana" w:cs="Arial"/>
                <w:bCs/>
                <w:lang w:val="es-MX" w:eastAsia="es-ES"/>
              </w:rPr>
              <w:t>PUBLICIDAD SECOP – Entidades exceptuadas – Estatuto general de contratación – Modificación del artículo 53 – Ley 2195 de 2022 /</w:t>
            </w:r>
            <w:r w:rsidRPr="001E6B63">
              <w:rPr>
                <w:rFonts w:ascii="Verdana" w:eastAsia="Calibri" w:hAnsi="Verdana" w:cs="Arial"/>
                <w:bCs/>
                <w:lang w:eastAsia="es-ES"/>
              </w:rPr>
              <w:t xml:space="preserve"> </w:t>
            </w:r>
            <w:r w:rsidRPr="001E6B63">
              <w:rPr>
                <w:rFonts w:ascii="Verdana" w:eastAsia="Calibri" w:hAnsi="Verdana" w:cs="Arial"/>
                <w:bCs/>
                <w:lang w:val="es-MX" w:eastAsia="es-ES"/>
              </w:rPr>
              <w:t>SECOP II – Deber de publicidad – Entidades exceptuadas – Documentos relacionados con la actividad contractual</w:t>
            </w:r>
          </w:p>
          <w:p w14:paraId="7DABEBAB" w14:textId="119834C5" w:rsidR="00871B59" w:rsidRDefault="00871B59">
            <w:pPr>
              <w:spacing w:line="276" w:lineRule="auto"/>
              <w:jc w:val="both"/>
              <w:rPr>
                <w:rFonts w:ascii="Verdana" w:eastAsia="Calibri" w:hAnsi="Verdana" w:cs="Arial"/>
                <w:bCs/>
                <w:lang w:val="es-MX" w:eastAsia="es-ES"/>
              </w:rPr>
            </w:pPr>
          </w:p>
          <w:p w14:paraId="7ADD1096" w14:textId="1F6BA4EC" w:rsidR="0019549F" w:rsidRPr="00B9032A" w:rsidRDefault="0019549F">
            <w:pPr>
              <w:spacing w:line="276" w:lineRule="auto"/>
              <w:jc w:val="both"/>
              <w:rPr>
                <w:rFonts w:ascii="Verdana" w:eastAsia="Calibri" w:hAnsi="Verdana" w:cs="Arial"/>
                <w:lang w:val="es-ES_tradnl" w:eastAsia="es-ES"/>
              </w:rPr>
            </w:pPr>
          </w:p>
        </w:tc>
      </w:tr>
      <w:tr w:rsidR="00871B59" w:rsidRPr="00B9032A" w14:paraId="0A874006" w14:textId="77777777" w:rsidTr="00082CD1">
        <w:tc>
          <w:tcPr>
            <w:tcW w:w="2552" w:type="dxa"/>
          </w:tcPr>
          <w:p w14:paraId="56ED2765" w14:textId="77777777" w:rsidR="00871B59" w:rsidRPr="00D85F7B" w:rsidRDefault="00871B59">
            <w:pPr>
              <w:jc w:val="both"/>
              <w:rPr>
                <w:rFonts w:ascii="Verdana" w:eastAsia="Calibri" w:hAnsi="Verdana" w:cs="Arial"/>
                <w:b/>
                <w:lang w:val="es-ES_tradnl" w:eastAsia="es-ES_tradnl"/>
              </w:rPr>
            </w:pPr>
            <w:r w:rsidRPr="00D85F7B">
              <w:rPr>
                <w:rFonts w:ascii="Verdana" w:eastAsia="Calibri" w:hAnsi="Verdana" w:cs="Arial"/>
                <w:b/>
                <w:lang w:val="es-ES_tradnl" w:eastAsia="es-ES_tradnl"/>
              </w:rPr>
              <w:t xml:space="preserve">Radicación:               </w:t>
            </w:r>
          </w:p>
        </w:tc>
        <w:tc>
          <w:tcPr>
            <w:tcW w:w="6237" w:type="dxa"/>
          </w:tcPr>
          <w:p w14:paraId="32FE922C" w14:textId="16E56E6B" w:rsidR="00D03284" w:rsidRPr="00D85F7B" w:rsidRDefault="00871B59" w:rsidP="00D03284">
            <w:pPr>
              <w:jc w:val="both"/>
              <w:rPr>
                <w:rFonts w:ascii="Verdana" w:eastAsia="Calibri" w:hAnsi="Verdana"/>
                <w:bCs/>
                <w:lang w:eastAsia="es-ES_tradnl"/>
              </w:rPr>
            </w:pPr>
            <w:r w:rsidRPr="00D85F7B">
              <w:rPr>
                <w:rFonts w:ascii="Verdana" w:eastAsia="Calibri" w:hAnsi="Verdana" w:cs="Arial"/>
                <w:bCs/>
                <w:lang w:val="es-ES_tradnl" w:eastAsia="es-ES_tradnl"/>
              </w:rPr>
              <w:t xml:space="preserve">Respuesta a consulta con radicado No. </w:t>
            </w:r>
            <w:r w:rsidR="00D03284" w:rsidRPr="00D85F7B">
              <w:rPr>
                <w:rFonts w:ascii="Verdana" w:eastAsia="Calibri" w:hAnsi="Verdana"/>
                <w:bCs/>
                <w:lang w:eastAsia="es-ES_tradnl"/>
              </w:rPr>
              <w:t>P20240</w:t>
            </w:r>
            <w:r w:rsidR="001E6B63" w:rsidRPr="00D85F7B">
              <w:rPr>
                <w:rFonts w:ascii="Verdana" w:eastAsia="Calibri" w:hAnsi="Verdana"/>
                <w:bCs/>
                <w:lang w:eastAsia="es-ES_tradnl"/>
              </w:rPr>
              <w:t>61</w:t>
            </w:r>
            <w:r w:rsidR="00D03284" w:rsidRPr="00D85F7B">
              <w:rPr>
                <w:rFonts w:ascii="Verdana" w:eastAsia="Calibri" w:hAnsi="Verdana"/>
                <w:bCs/>
                <w:lang w:eastAsia="es-ES_tradnl"/>
              </w:rPr>
              <w:t>800</w:t>
            </w:r>
            <w:r w:rsidR="001E6B63" w:rsidRPr="00D85F7B">
              <w:rPr>
                <w:rFonts w:ascii="Verdana" w:eastAsia="Calibri" w:hAnsi="Verdana"/>
                <w:bCs/>
                <w:lang w:eastAsia="es-ES_tradnl"/>
              </w:rPr>
              <w:t>6203</w:t>
            </w:r>
          </w:p>
          <w:p w14:paraId="630D2668" w14:textId="6B3A753A" w:rsidR="00871B59" w:rsidRPr="00D85F7B" w:rsidRDefault="00871B59">
            <w:pPr>
              <w:jc w:val="both"/>
              <w:rPr>
                <w:rFonts w:ascii="Verdana" w:eastAsia="Calibri" w:hAnsi="Verdana" w:cs="Arial"/>
                <w:bCs/>
                <w:lang w:val="es-ES_tradnl" w:eastAsia="es-ES_tradnl"/>
              </w:rPr>
            </w:pPr>
          </w:p>
        </w:tc>
      </w:tr>
    </w:tbl>
    <w:p w14:paraId="01AFCA4D" w14:textId="77777777" w:rsidR="00871B59" w:rsidRPr="00B9032A" w:rsidRDefault="00871B59" w:rsidP="00871B59">
      <w:pPr>
        <w:spacing w:after="0" w:line="240" w:lineRule="auto"/>
        <w:jc w:val="both"/>
        <w:rPr>
          <w:rFonts w:ascii="Verdana" w:eastAsia="Calibri" w:hAnsi="Verdana" w:cs="Arial"/>
          <w:lang w:val="es-ES_tradnl" w:eastAsia="es-ES_tradnl"/>
        </w:rPr>
      </w:pPr>
    </w:p>
    <w:p w14:paraId="4FF08E37" w14:textId="77777777" w:rsidR="00871B59" w:rsidRPr="00B9032A" w:rsidRDefault="00871B59" w:rsidP="00871B59">
      <w:pPr>
        <w:spacing w:after="0" w:line="240" w:lineRule="auto"/>
        <w:jc w:val="both"/>
        <w:rPr>
          <w:rFonts w:ascii="Verdana" w:eastAsia="Calibri" w:hAnsi="Verdana" w:cs="Arial"/>
          <w:lang w:val="es-ES_tradnl" w:eastAsia="es-ES_tradnl"/>
        </w:rPr>
      </w:pPr>
    </w:p>
    <w:p w14:paraId="5A8CAE32" w14:textId="31EAB107" w:rsidR="00871B59" w:rsidRPr="00B9032A" w:rsidRDefault="00871B59" w:rsidP="00871B59">
      <w:pPr>
        <w:spacing w:after="0" w:line="276" w:lineRule="auto"/>
        <w:jc w:val="both"/>
        <w:rPr>
          <w:rFonts w:ascii="Verdana" w:eastAsia="Calibri" w:hAnsi="Verdana" w:cs="Arial"/>
          <w:lang w:val="es-ES" w:eastAsia="es-ES"/>
        </w:rPr>
      </w:pPr>
      <w:r w:rsidRPr="00B9032A">
        <w:rPr>
          <w:rFonts w:ascii="Verdana" w:eastAsia="Calibri" w:hAnsi="Verdana" w:cs="Arial"/>
          <w:lang w:val="es-ES" w:eastAsia="es-ES"/>
        </w:rPr>
        <w:t>Estimad</w:t>
      </w:r>
      <w:r w:rsidR="001E6B63">
        <w:rPr>
          <w:rFonts w:ascii="Verdana" w:eastAsia="Calibri" w:hAnsi="Verdana" w:cs="Arial"/>
          <w:lang w:val="es-ES" w:eastAsia="es-ES"/>
        </w:rPr>
        <w:t>a</w:t>
      </w:r>
      <w:r w:rsidRPr="00B9032A">
        <w:rPr>
          <w:rFonts w:ascii="Verdana" w:eastAsia="Calibri" w:hAnsi="Verdana" w:cs="Arial"/>
          <w:lang w:val="es-ES" w:eastAsia="es-ES"/>
        </w:rPr>
        <w:t xml:space="preserve"> señor</w:t>
      </w:r>
      <w:r w:rsidR="001E6B63">
        <w:rPr>
          <w:rFonts w:ascii="Verdana" w:eastAsia="Calibri" w:hAnsi="Verdana" w:cs="Arial"/>
          <w:lang w:val="es-ES" w:eastAsia="es-ES"/>
        </w:rPr>
        <w:t>a</w:t>
      </w:r>
      <w:r w:rsidRPr="00B9032A">
        <w:rPr>
          <w:rFonts w:ascii="Verdana" w:eastAsia="Calibri" w:hAnsi="Verdana" w:cs="Arial"/>
          <w:lang w:val="es-ES" w:eastAsia="es-ES"/>
        </w:rPr>
        <w:t xml:space="preserve"> </w:t>
      </w:r>
      <w:r w:rsidR="0019549F">
        <w:rPr>
          <w:rFonts w:ascii="Verdana" w:eastAsia="Calibri" w:hAnsi="Verdana" w:cs="Arial"/>
          <w:lang w:val="es-ES" w:eastAsia="es-ES"/>
        </w:rPr>
        <w:t>R</w:t>
      </w:r>
      <w:r w:rsidR="001E6B63">
        <w:rPr>
          <w:rFonts w:ascii="Verdana" w:eastAsia="Calibri" w:hAnsi="Verdana" w:cs="Arial"/>
          <w:lang w:val="es-ES" w:eastAsia="es-ES"/>
        </w:rPr>
        <w:t>ueda</w:t>
      </w:r>
      <w:r w:rsidRPr="00B9032A">
        <w:rPr>
          <w:rFonts w:ascii="Verdana" w:eastAsia="Calibri" w:hAnsi="Verdana" w:cs="Arial"/>
          <w:lang w:val="es-ES" w:eastAsia="es-ES"/>
        </w:rPr>
        <w:t xml:space="preserve">: </w:t>
      </w:r>
    </w:p>
    <w:p w14:paraId="62039951" w14:textId="77777777" w:rsidR="00871B59" w:rsidRPr="00B9032A" w:rsidRDefault="00871B59" w:rsidP="00871B59">
      <w:pPr>
        <w:tabs>
          <w:tab w:val="left" w:pos="3768"/>
        </w:tabs>
        <w:spacing w:after="0" w:line="276" w:lineRule="auto"/>
        <w:jc w:val="both"/>
        <w:rPr>
          <w:rFonts w:ascii="Verdana" w:eastAsia="Calibri" w:hAnsi="Verdana" w:cs="Arial"/>
          <w:lang w:val="es-ES" w:eastAsia="es-ES"/>
        </w:rPr>
      </w:pPr>
      <w:r w:rsidRPr="00B9032A">
        <w:rPr>
          <w:rFonts w:ascii="Verdana" w:eastAsia="Calibri" w:hAnsi="Verdana" w:cs="Arial"/>
          <w:lang w:val="es-ES" w:eastAsia="es-ES"/>
        </w:rPr>
        <w:tab/>
      </w:r>
    </w:p>
    <w:p w14:paraId="3F1D9A82" w14:textId="67A767B2" w:rsidR="00871B59" w:rsidRPr="00B9032A" w:rsidRDefault="00871B59" w:rsidP="00871B59">
      <w:pPr>
        <w:spacing w:after="0" w:line="276" w:lineRule="auto"/>
        <w:jc w:val="both"/>
        <w:rPr>
          <w:rFonts w:ascii="Verdana" w:eastAsia="Calibri" w:hAnsi="Verdana" w:cs="Arial"/>
          <w:lang w:val="es-ES" w:eastAsia="es-ES"/>
        </w:rPr>
      </w:pPr>
      <w:r w:rsidRPr="00B9032A">
        <w:rPr>
          <w:rFonts w:ascii="Verdana" w:eastAsia="Calibri" w:hAnsi="Verdana" w:cs="Arial"/>
          <w:lang w:val="es-ES" w:eastAsia="es-ES"/>
        </w:rPr>
        <w:t>En ejercicio de la competencia otorgada por los artículos 3, numeral 5º, y 11, numeral 8º, del Decreto Ley 4170 de 2011,</w:t>
      </w:r>
      <w:r w:rsidRPr="00B9032A">
        <w:rPr>
          <w:rFonts w:ascii="Verdana" w:eastAsia="Arial MT" w:hAnsi="Verdana" w:cs="Arial MT"/>
          <w:lang w:val="es-ES" w:eastAsia="es-ES"/>
        </w:rPr>
        <w:t xml:space="preserve"> </w:t>
      </w:r>
      <w:r w:rsidRPr="00B9032A">
        <w:rPr>
          <w:rFonts w:ascii="Verdana" w:hAnsi="Verdana" w:cs="Arial"/>
        </w:rPr>
        <w:t xml:space="preserve">así como lo establecido en el artículo 4 de la Resolución 1707 de 2018 expedida por esta Entidad, </w:t>
      </w:r>
      <w:r w:rsidRPr="00B9032A">
        <w:rPr>
          <w:rFonts w:ascii="Verdana" w:eastAsia="Calibri" w:hAnsi="Verdana" w:cs="Arial"/>
          <w:lang w:val="es-ES" w:eastAsia="es-ES"/>
        </w:rPr>
        <w:t xml:space="preserve">la Agencia Nacional de Contratación Pública – Colombia Compra Eficiente– responde su solicitud de consulta de fecha </w:t>
      </w:r>
      <w:r w:rsidR="00C50198">
        <w:rPr>
          <w:rFonts w:ascii="Verdana" w:eastAsia="Calibri" w:hAnsi="Verdana" w:cs="Arial"/>
          <w:lang w:val="es-ES" w:eastAsia="es-ES"/>
        </w:rPr>
        <w:t>18</w:t>
      </w:r>
      <w:r w:rsidRPr="00B9032A">
        <w:rPr>
          <w:rFonts w:ascii="Verdana" w:eastAsia="Calibri" w:hAnsi="Verdana" w:cs="Arial"/>
          <w:lang w:val="es-ES" w:eastAsia="es-ES"/>
        </w:rPr>
        <w:t xml:space="preserve"> de </w:t>
      </w:r>
      <w:r w:rsidR="00C50198">
        <w:rPr>
          <w:rFonts w:ascii="Verdana" w:eastAsia="Calibri" w:hAnsi="Verdana" w:cs="Arial"/>
          <w:lang w:val="es-ES" w:eastAsia="es-ES"/>
        </w:rPr>
        <w:t>juni</w:t>
      </w:r>
      <w:r w:rsidR="0066261C" w:rsidRPr="00B9032A">
        <w:rPr>
          <w:rFonts w:ascii="Verdana" w:eastAsia="Calibri" w:hAnsi="Verdana" w:cs="Arial"/>
          <w:lang w:val="es-ES" w:eastAsia="es-ES"/>
        </w:rPr>
        <w:t>o</w:t>
      </w:r>
      <w:r w:rsidRPr="00B9032A">
        <w:rPr>
          <w:rFonts w:ascii="Verdana" w:eastAsia="Calibri" w:hAnsi="Verdana" w:cs="Arial"/>
          <w:lang w:val="es-ES" w:eastAsia="es-ES"/>
        </w:rPr>
        <w:t xml:space="preserve"> de 20</w:t>
      </w:r>
      <w:r w:rsidR="0066261C" w:rsidRPr="00B9032A">
        <w:rPr>
          <w:rFonts w:ascii="Verdana" w:eastAsia="Calibri" w:hAnsi="Verdana" w:cs="Arial"/>
          <w:lang w:val="es-ES" w:eastAsia="es-ES"/>
        </w:rPr>
        <w:t>24</w:t>
      </w:r>
      <w:r w:rsidRPr="00B9032A">
        <w:rPr>
          <w:rFonts w:ascii="Verdana" w:eastAsia="Calibri" w:hAnsi="Verdana" w:cs="Arial"/>
          <w:lang w:val="es-ES" w:eastAsia="es-ES"/>
        </w:rPr>
        <w:t xml:space="preserve">, en la cual manifiesta lo siguiente: </w:t>
      </w:r>
    </w:p>
    <w:p w14:paraId="6EC96892" w14:textId="77777777" w:rsidR="00CB5253" w:rsidRDefault="00CB5253" w:rsidP="00A05D8B">
      <w:pPr>
        <w:spacing w:after="0" w:line="240" w:lineRule="auto"/>
        <w:ind w:left="709" w:right="709"/>
        <w:jc w:val="both"/>
        <w:rPr>
          <w:rFonts w:ascii="Verdana" w:eastAsia="Century Gothic" w:hAnsi="Verdana" w:cs="Century Gothic"/>
          <w:sz w:val="20"/>
          <w:szCs w:val="20"/>
          <w:lang w:val="es-ES"/>
        </w:rPr>
      </w:pPr>
      <w:bookmarkStart w:id="2" w:name="_Hlk95313578"/>
    </w:p>
    <w:p w14:paraId="60ADC0C9" w14:textId="2F2D17F9" w:rsidR="00C50198" w:rsidRPr="00C50198" w:rsidRDefault="00C50198" w:rsidP="00C50198">
      <w:pPr>
        <w:numPr>
          <w:ilvl w:val="0"/>
          <w:numId w:val="15"/>
        </w:numPr>
        <w:spacing w:after="0" w:line="240" w:lineRule="auto"/>
        <w:ind w:right="709"/>
        <w:jc w:val="both"/>
        <w:rPr>
          <w:rFonts w:ascii="Verdana" w:eastAsia="Century Gothic" w:hAnsi="Verdana" w:cs="Century Gothic"/>
          <w:sz w:val="20"/>
          <w:szCs w:val="20"/>
        </w:rPr>
      </w:pPr>
      <w:r w:rsidRPr="00C50198">
        <w:rPr>
          <w:rFonts w:ascii="Verdana" w:eastAsia="Century Gothic" w:hAnsi="Verdana" w:cs="Century Gothic"/>
          <w:sz w:val="20"/>
          <w:szCs w:val="20"/>
        </w:rPr>
        <w:t>¿Las Entidades Públicas de régimen especial de contratación pública a partir de qué momento deben publicar en el SECOP sus procesos de contratación? ¿paso por paso, acto por acto? o debe ser apenas concluye el proceso de contratación?  </w:t>
      </w:r>
    </w:p>
    <w:p w14:paraId="04C9C6CD" w14:textId="77777777" w:rsidR="00C50198" w:rsidRPr="00C50198" w:rsidRDefault="00C50198" w:rsidP="00C50198">
      <w:pPr>
        <w:spacing w:after="0" w:line="240" w:lineRule="auto"/>
        <w:ind w:left="709" w:right="709"/>
        <w:jc w:val="both"/>
        <w:rPr>
          <w:rFonts w:ascii="Verdana" w:eastAsia="Century Gothic" w:hAnsi="Verdana" w:cs="Century Gothic"/>
          <w:sz w:val="20"/>
          <w:szCs w:val="20"/>
        </w:rPr>
      </w:pPr>
      <w:r w:rsidRPr="00C50198">
        <w:rPr>
          <w:rFonts w:ascii="Verdana" w:eastAsia="Century Gothic" w:hAnsi="Verdana" w:cs="Century Gothic"/>
          <w:sz w:val="20"/>
          <w:szCs w:val="20"/>
        </w:rPr>
        <w:t> </w:t>
      </w:r>
    </w:p>
    <w:p w14:paraId="4BDC57ED" w14:textId="77777777" w:rsidR="00C50198" w:rsidRPr="00C50198" w:rsidRDefault="00C50198" w:rsidP="00C50198">
      <w:pPr>
        <w:spacing w:after="0" w:line="240" w:lineRule="auto"/>
        <w:ind w:left="709" w:right="709"/>
        <w:jc w:val="both"/>
        <w:rPr>
          <w:rFonts w:ascii="Verdana" w:eastAsia="Century Gothic" w:hAnsi="Verdana" w:cs="Century Gothic"/>
          <w:sz w:val="20"/>
          <w:szCs w:val="20"/>
        </w:rPr>
      </w:pPr>
      <w:r w:rsidRPr="00C50198">
        <w:rPr>
          <w:rFonts w:ascii="Verdana" w:eastAsia="Century Gothic" w:hAnsi="Verdana" w:cs="Century Gothic"/>
          <w:sz w:val="20"/>
          <w:szCs w:val="20"/>
        </w:rPr>
        <w:t>Es decir, ¿se debe publicar una invitación abierta o si el manual de contratación señala que existe una invitación privada a un listado de proveedores u oferentes una vez concluya el proceso, debo publicarlo? </w:t>
      </w:r>
    </w:p>
    <w:p w14:paraId="5F25F470" w14:textId="77777777" w:rsidR="00C50198" w:rsidRPr="00C50198" w:rsidRDefault="00C50198" w:rsidP="00C50198">
      <w:pPr>
        <w:spacing w:after="0" w:line="240" w:lineRule="auto"/>
        <w:ind w:left="709" w:right="709"/>
        <w:jc w:val="both"/>
        <w:rPr>
          <w:rFonts w:ascii="Verdana" w:eastAsia="Century Gothic" w:hAnsi="Verdana" w:cs="Century Gothic"/>
          <w:sz w:val="20"/>
          <w:szCs w:val="20"/>
        </w:rPr>
      </w:pPr>
      <w:r w:rsidRPr="00C50198">
        <w:rPr>
          <w:rFonts w:ascii="Verdana" w:eastAsia="Century Gothic" w:hAnsi="Verdana" w:cs="Century Gothic"/>
          <w:sz w:val="20"/>
          <w:szCs w:val="20"/>
        </w:rPr>
        <w:t> </w:t>
      </w:r>
    </w:p>
    <w:p w14:paraId="1006183E" w14:textId="68D998DB" w:rsidR="00871B59" w:rsidRPr="00C50198" w:rsidRDefault="00C50198" w:rsidP="00C50198">
      <w:pPr>
        <w:numPr>
          <w:ilvl w:val="0"/>
          <w:numId w:val="16"/>
        </w:numPr>
        <w:spacing w:after="0" w:line="240" w:lineRule="auto"/>
        <w:ind w:right="709"/>
        <w:jc w:val="both"/>
        <w:rPr>
          <w:rFonts w:ascii="Verdana" w:eastAsia="Century Gothic" w:hAnsi="Verdana" w:cs="Century Gothic"/>
          <w:sz w:val="20"/>
          <w:szCs w:val="20"/>
        </w:rPr>
      </w:pPr>
      <w:r w:rsidRPr="00C50198">
        <w:rPr>
          <w:rFonts w:ascii="Verdana" w:eastAsia="Century Gothic" w:hAnsi="Verdana" w:cs="Century Gothic"/>
          <w:sz w:val="20"/>
          <w:szCs w:val="20"/>
        </w:rPr>
        <w:t>En virtud del artículo 53 de la ley 2195 de 2022, en el entendido de ¿cómo debe de entenderse la publicidad? ¿A partir de la presentación de ofertas debe publicarse o solamente a partir del contrato?</w:t>
      </w:r>
      <w:r>
        <w:rPr>
          <w:rFonts w:ascii="Verdana" w:eastAsia="Century Gothic" w:hAnsi="Verdana" w:cs="Century Gothic"/>
          <w:sz w:val="20"/>
          <w:szCs w:val="20"/>
        </w:rPr>
        <w:t xml:space="preserve"> </w:t>
      </w:r>
      <w:r w:rsidR="00871B59" w:rsidRPr="00C50198">
        <w:rPr>
          <w:rStyle w:val="normaltextrun"/>
          <w:rFonts w:ascii="Verdana" w:hAnsi="Verdana" w:cs="Arial"/>
          <w:sz w:val="20"/>
          <w:szCs w:val="20"/>
          <w:shd w:val="clear" w:color="auto" w:fill="FFFFFF"/>
          <w:lang w:val="es-ES"/>
        </w:rPr>
        <w:t>[…]</w:t>
      </w:r>
      <w:r w:rsidR="00871B59" w:rsidRPr="00C50198">
        <w:rPr>
          <w:rFonts w:ascii="Verdana" w:eastAsia="Century Gothic" w:hAnsi="Verdana" w:cs="Century Gothic"/>
          <w:sz w:val="20"/>
          <w:szCs w:val="20"/>
          <w:lang w:val="es-ES"/>
        </w:rPr>
        <w:t>”</w:t>
      </w:r>
      <w:bookmarkEnd w:id="2"/>
      <w:r w:rsidR="00871B59" w:rsidRPr="00C50198">
        <w:rPr>
          <w:rFonts w:ascii="Verdana" w:eastAsia="Century Gothic" w:hAnsi="Verdana" w:cs="Century Gothic"/>
          <w:sz w:val="20"/>
          <w:szCs w:val="20"/>
          <w:lang w:val="es-ES"/>
        </w:rPr>
        <w:t>.</w:t>
      </w:r>
    </w:p>
    <w:p w14:paraId="54DCAD4E" w14:textId="77777777" w:rsidR="00871B59" w:rsidRPr="00B9032A" w:rsidRDefault="00871B59" w:rsidP="00871B59">
      <w:pPr>
        <w:pStyle w:val="Prrafodelista"/>
        <w:tabs>
          <w:tab w:val="left" w:pos="142"/>
          <w:tab w:val="left" w:pos="284"/>
        </w:tabs>
        <w:spacing w:line="276" w:lineRule="auto"/>
        <w:ind w:left="0"/>
        <w:jc w:val="both"/>
        <w:rPr>
          <w:rFonts w:ascii="Verdana" w:eastAsia="Century Gothic" w:hAnsi="Verdana" w:cs="Century Gothic"/>
          <w:b/>
          <w:bCs/>
          <w:lang w:val="es-ES"/>
        </w:rPr>
      </w:pPr>
    </w:p>
    <w:bookmarkEnd w:id="0"/>
    <w:p w14:paraId="57B2987E" w14:textId="77777777" w:rsidR="00F7242F" w:rsidRPr="008A48B1" w:rsidRDefault="00F7242F" w:rsidP="00F7242F">
      <w:pPr>
        <w:spacing w:after="120" w:line="276" w:lineRule="auto"/>
        <w:ind w:firstLine="709"/>
        <w:jc w:val="both"/>
        <w:rPr>
          <w:rFonts w:ascii="Verdana" w:eastAsia="Calibri" w:hAnsi="Verdana" w:cs="Arial"/>
          <w:szCs w:val="24"/>
          <w:lang w:val="es-ES_tradnl" w:eastAsia="es-ES_tradnl"/>
        </w:rPr>
      </w:pPr>
      <w:r w:rsidRPr="008A48B1">
        <w:rPr>
          <w:rFonts w:ascii="Verdana" w:eastAsia="Calibri" w:hAnsi="Verdana" w:cs="Arial"/>
          <w:lang w:val="es-ES" w:eastAsia="es-ES"/>
        </w:rPr>
        <w:t xml:space="preserve">De manera preliminar, resulta necesario </w:t>
      </w:r>
      <w:r>
        <w:rPr>
          <w:rFonts w:ascii="Verdana" w:eastAsia="Calibri" w:hAnsi="Verdana" w:cs="Arial"/>
          <w:lang w:val="es-ES" w:eastAsia="es-ES"/>
        </w:rPr>
        <w:t>resaltar</w:t>
      </w:r>
      <w:r w:rsidRPr="008A48B1">
        <w:rPr>
          <w:rFonts w:ascii="Verdana" w:eastAsia="Calibri" w:hAnsi="Verdana" w:cs="Arial"/>
          <w:lang w:val="es-ES" w:eastAsia="es-ES"/>
        </w:rPr>
        <w:t xml:space="preserve">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8A48B1">
        <w:rPr>
          <w:rFonts w:ascii="Verdana" w:eastAsia="Calibri" w:hAnsi="Verdana" w:cs="Arial"/>
          <w:szCs w:val="24"/>
          <w:lang w:val="es-ES_tradnl" w:eastAsia="es-ES_tradnl"/>
        </w:rPr>
        <w:tab/>
      </w:r>
    </w:p>
    <w:p w14:paraId="7990F94E" w14:textId="77777777" w:rsidR="00F7242F" w:rsidRPr="008A48B1" w:rsidRDefault="00F7242F" w:rsidP="00F7242F">
      <w:pPr>
        <w:spacing w:after="0" w:line="276" w:lineRule="auto"/>
        <w:ind w:firstLine="709"/>
        <w:jc w:val="both"/>
        <w:rPr>
          <w:rFonts w:ascii="Verdana" w:eastAsia="Calibri" w:hAnsi="Verdana" w:cs="Arial"/>
          <w:lang w:val="es-ES" w:eastAsia="es-ES"/>
        </w:rPr>
      </w:pPr>
      <w:r w:rsidRPr="008A48B1">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 </w:t>
      </w:r>
    </w:p>
    <w:p w14:paraId="49B915E1" w14:textId="77777777" w:rsidR="00F7242F" w:rsidRPr="008A48B1" w:rsidRDefault="00F7242F" w:rsidP="00F7242F">
      <w:pPr>
        <w:spacing w:after="0" w:line="276" w:lineRule="auto"/>
        <w:ind w:firstLine="709"/>
        <w:jc w:val="both"/>
        <w:rPr>
          <w:rFonts w:ascii="Verdana" w:eastAsia="Calibri" w:hAnsi="Verdana" w:cs="Arial"/>
          <w:lang w:val="es-ES" w:eastAsia="es-ES"/>
        </w:rPr>
      </w:pPr>
    </w:p>
    <w:p w14:paraId="5C892BFB" w14:textId="77777777" w:rsidR="00F7242F" w:rsidRPr="008A48B1" w:rsidRDefault="00F7242F" w:rsidP="00F7242F">
      <w:pPr>
        <w:numPr>
          <w:ilvl w:val="0"/>
          <w:numId w:val="17"/>
        </w:numPr>
        <w:tabs>
          <w:tab w:val="left" w:pos="142"/>
          <w:tab w:val="left" w:pos="284"/>
        </w:tabs>
        <w:spacing w:after="0" w:line="276" w:lineRule="auto"/>
        <w:ind w:left="0" w:firstLine="0"/>
        <w:contextualSpacing/>
        <w:jc w:val="both"/>
        <w:rPr>
          <w:rFonts w:ascii="Verdana" w:eastAsia="Century Gothic" w:hAnsi="Verdana" w:cs="Century Gothic"/>
          <w:b/>
          <w:bCs/>
          <w:lang w:val="es-ES"/>
        </w:rPr>
      </w:pPr>
      <w:r>
        <w:rPr>
          <w:rFonts w:ascii="Verdana" w:eastAsia="Century Gothic" w:hAnsi="Verdana" w:cs="Century Gothic"/>
          <w:b/>
          <w:bCs/>
          <w:lang w:val="es-ES"/>
        </w:rPr>
        <w:t>Cuestión</w:t>
      </w:r>
      <w:r w:rsidRPr="008A48B1">
        <w:rPr>
          <w:rFonts w:ascii="Verdana" w:eastAsia="Century Gothic" w:hAnsi="Verdana" w:cs="Century Gothic"/>
          <w:b/>
          <w:bCs/>
          <w:lang w:val="es-ES"/>
        </w:rPr>
        <w:t xml:space="preserve"> plantead</w:t>
      </w:r>
      <w:r>
        <w:rPr>
          <w:rFonts w:ascii="Verdana" w:eastAsia="Century Gothic" w:hAnsi="Verdana" w:cs="Century Gothic"/>
          <w:b/>
          <w:bCs/>
          <w:lang w:val="es-ES"/>
        </w:rPr>
        <w:t>a</w:t>
      </w:r>
      <w:r w:rsidRPr="008A48B1">
        <w:rPr>
          <w:rFonts w:ascii="Verdana" w:eastAsia="Century Gothic" w:hAnsi="Verdana" w:cs="Century Gothic"/>
          <w:b/>
          <w:bCs/>
          <w:lang w:val="es-ES"/>
        </w:rPr>
        <w:t>:</w:t>
      </w:r>
    </w:p>
    <w:p w14:paraId="156934D2" w14:textId="77777777" w:rsidR="00F7242F" w:rsidRPr="008A48B1" w:rsidRDefault="00F7242F" w:rsidP="00F7242F">
      <w:pPr>
        <w:tabs>
          <w:tab w:val="left" w:pos="426"/>
        </w:tabs>
        <w:spacing w:after="0" w:line="276" w:lineRule="auto"/>
        <w:jc w:val="both"/>
        <w:rPr>
          <w:rFonts w:ascii="Verdana" w:eastAsia="Century Gothic" w:hAnsi="Verdana" w:cs="Century Gothic"/>
          <w:lang w:val="es-ES"/>
        </w:rPr>
      </w:pPr>
    </w:p>
    <w:p w14:paraId="001C20B4" w14:textId="4ED0AC36" w:rsidR="00F7242F" w:rsidRPr="008A48B1" w:rsidRDefault="00F7242F" w:rsidP="00F7242F">
      <w:pPr>
        <w:spacing w:after="0" w:line="276" w:lineRule="auto"/>
        <w:jc w:val="both"/>
        <w:rPr>
          <w:rFonts w:ascii="Verdana" w:eastAsia="Century Gothic" w:hAnsi="Verdana" w:cs="Century Gothic"/>
        </w:rPr>
      </w:pPr>
      <w:r w:rsidRPr="008A48B1">
        <w:rPr>
          <w:rFonts w:ascii="Verdana" w:eastAsia="Century Gothic" w:hAnsi="Verdana" w:cs="Century Gothic"/>
        </w:rPr>
        <w:t xml:space="preserve">De acuerdo con el contenido de su solicitud, esta Agencia resolverá los siguientes problemas jurídicos: </w:t>
      </w:r>
      <w:r w:rsidRPr="00997094">
        <w:rPr>
          <w:rFonts w:ascii="Verdana" w:eastAsia="Century Gothic" w:hAnsi="Verdana" w:cs="Century Gothic"/>
        </w:rPr>
        <w:t>¿</w:t>
      </w:r>
      <w:r w:rsidR="00997094">
        <w:rPr>
          <w:rFonts w:ascii="Verdana" w:eastAsia="Century Gothic" w:hAnsi="Verdana" w:cs="Century Gothic"/>
        </w:rPr>
        <w:t xml:space="preserve">Es necesaria la publicación de los procesos contractuales </w:t>
      </w:r>
      <w:r w:rsidR="00997094">
        <w:rPr>
          <w:rFonts w:ascii="Verdana" w:eastAsia="Century Gothic" w:hAnsi="Verdana" w:cs="Century Gothic"/>
        </w:rPr>
        <w:lastRenderedPageBreak/>
        <w:t>en la plataforma SECOPII en los procesos contractuales de las entidades públicas de régimen especial</w:t>
      </w:r>
      <w:r w:rsidRPr="00997094">
        <w:rPr>
          <w:rFonts w:ascii="Verdana" w:eastAsia="Century Gothic" w:hAnsi="Verdana" w:cs="Century Gothic"/>
        </w:rPr>
        <w:t>?</w:t>
      </w:r>
    </w:p>
    <w:p w14:paraId="521F46A6" w14:textId="77777777" w:rsidR="00F7242F" w:rsidRPr="008A48B1" w:rsidRDefault="00F7242F" w:rsidP="00F7242F">
      <w:pPr>
        <w:spacing w:after="0" w:line="276" w:lineRule="auto"/>
        <w:jc w:val="both"/>
        <w:rPr>
          <w:rFonts w:ascii="Verdana" w:eastAsia="Calibri" w:hAnsi="Verdana" w:cs="Arial"/>
          <w:lang w:val="es-ES"/>
        </w:rPr>
      </w:pPr>
    </w:p>
    <w:p w14:paraId="14E61D0F" w14:textId="77777777" w:rsidR="00F7242F" w:rsidRPr="008A48B1" w:rsidRDefault="00F7242F" w:rsidP="00F7242F">
      <w:pPr>
        <w:numPr>
          <w:ilvl w:val="0"/>
          <w:numId w:val="17"/>
        </w:numPr>
        <w:tabs>
          <w:tab w:val="left" w:pos="142"/>
          <w:tab w:val="left" w:pos="284"/>
        </w:tabs>
        <w:spacing w:after="0" w:line="276" w:lineRule="auto"/>
        <w:ind w:left="0" w:firstLine="0"/>
        <w:contextualSpacing/>
        <w:jc w:val="both"/>
        <w:rPr>
          <w:rFonts w:ascii="Verdana" w:eastAsia="Century Gothic" w:hAnsi="Verdana" w:cs="Century Gothic"/>
          <w:b/>
          <w:bCs/>
          <w:lang w:val="es-ES"/>
        </w:rPr>
      </w:pPr>
      <w:r w:rsidRPr="008A48B1">
        <w:rPr>
          <w:rFonts w:ascii="Verdana" w:eastAsia="Century Gothic" w:hAnsi="Verdana" w:cs="Century Gothic"/>
          <w:b/>
          <w:bCs/>
          <w:lang w:val="es-ES"/>
        </w:rPr>
        <w:t>Respuesta:</w:t>
      </w:r>
    </w:p>
    <w:p w14:paraId="5AF586A3" w14:textId="77777777" w:rsidR="00F7242F" w:rsidRPr="008A48B1" w:rsidRDefault="00F7242F" w:rsidP="00F7242F">
      <w:pPr>
        <w:tabs>
          <w:tab w:val="left" w:pos="142"/>
          <w:tab w:val="left" w:pos="284"/>
        </w:tabs>
        <w:spacing w:after="0" w:line="276" w:lineRule="auto"/>
        <w:jc w:val="both"/>
        <w:rPr>
          <w:rFonts w:ascii="Verdana" w:eastAsia="Century Gothic" w:hAnsi="Verdana" w:cs="Century Gothic"/>
          <w:b/>
          <w:bCs/>
          <w:lang w:val="es-ES"/>
        </w:rPr>
      </w:pPr>
    </w:p>
    <w:tbl>
      <w:tblPr>
        <w:tblStyle w:val="Tablaconcuadrcula1"/>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F7242F" w:rsidRPr="008A48B1" w14:paraId="78888195" w14:textId="77777777" w:rsidTr="00901ADF">
        <w:tc>
          <w:tcPr>
            <w:tcW w:w="8828" w:type="dxa"/>
            <w:tcBorders>
              <w:top w:val="dotted" w:sz="4" w:space="0" w:color="auto"/>
              <w:left w:val="dotted" w:sz="4" w:space="0" w:color="auto"/>
              <w:bottom w:val="dotted" w:sz="4" w:space="0" w:color="auto"/>
              <w:right w:val="dotted" w:sz="4" w:space="0" w:color="auto"/>
            </w:tcBorders>
          </w:tcPr>
          <w:p w14:paraId="4A296C1E" w14:textId="77777777" w:rsidR="00C65E24" w:rsidRDefault="00C65E24" w:rsidP="00C65E24">
            <w:pPr>
              <w:spacing w:line="276" w:lineRule="auto"/>
              <w:jc w:val="both"/>
              <w:rPr>
                <w:rFonts w:ascii="Verdana" w:hAnsi="Verdana" w:cs="Arial"/>
                <w:b/>
                <w:bCs/>
              </w:rPr>
            </w:pPr>
          </w:p>
          <w:p w14:paraId="334D3E73" w14:textId="77777777" w:rsidR="00CB72C1" w:rsidRDefault="00082CD1" w:rsidP="00CB72C1">
            <w:pPr>
              <w:spacing w:line="276" w:lineRule="auto"/>
              <w:ind w:firstLine="709"/>
              <w:jc w:val="both"/>
              <w:rPr>
                <w:rFonts w:ascii="Verdana" w:eastAsia="Calibri" w:hAnsi="Verdana" w:cs="Arial"/>
              </w:rPr>
            </w:pPr>
            <w:r w:rsidRPr="00082CD1">
              <w:rPr>
                <w:rFonts w:ascii="Verdana" w:eastAsia="Calibri" w:hAnsi="Verdana" w:cs="Arial"/>
              </w:rPr>
              <w:t>El artículo 53 de la Ley 2195 de 2022 establece que, el deber de publicidad debe cumplirse en el SECOP II o “la plataforma transaccional que haga sus veces”, esta expresión debe interpretarse bajo el entendido de que si bien el SECOP II es la plataforma oficial que actualmente se utiliza como mecanismo transaccional, en caso de que en el futuro dicha plataforma sea remplazada por otra que tenga una denominación distinta, las entidades que tienen un régimen exceptuado deben continuar publicando la documentación</w:t>
            </w:r>
            <w:r>
              <w:rPr>
                <w:rFonts w:ascii="Verdana" w:eastAsia="Calibri" w:hAnsi="Verdana" w:cs="Arial"/>
              </w:rPr>
              <w:t xml:space="preserve"> </w:t>
            </w:r>
            <w:r w:rsidRPr="00082CD1">
              <w:rPr>
                <w:rFonts w:ascii="Verdana" w:eastAsia="Calibri" w:hAnsi="Verdana" w:cs="Arial"/>
              </w:rPr>
              <w:t xml:space="preserve">de su actividad contractual en la nueva plataforma transaccional que para el efecto se cree. En ese sentido, la locución “la plataforma que haga sus veces” no puede interpretarse como una autorización para que las entidades obligadas en virtud del artículo 53 de la Ley 2195 de 2022 empleen sus páginas web o sus propios portales electrónicos para cumplir con el deber de publicidad que les asiste. Con esto se logra que la ciudadanía pueda encontrar en un mismo sistema la gestión de la actividad contractual del Estado, garantizándose en mayor grado la transparencia y el acceso a la documentación pública. </w:t>
            </w:r>
          </w:p>
          <w:p w14:paraId="7CA74D8D" w14:textId="77777777" w:rsidR="00CB72C1" w:rsidRDefault="00CB72C1" w:rsidP="00CB72C1">
            <w:pPr>
              <w:spacing w:line="276" w:lineRule="auto"/>
              <w:ind w:firstLine="709"/>
              <w:jc w:val="both"/>
              <w:rPr>
                <w:rFonts w:ascii="Verdana" w:eastAsia="Calibri" w:hAnsi="Verdana" w:cs="Arial"/>
              </w:rPr>
            </w:pPr>
          </w:p>
          <w:p w14:paraId="5B13F692" w14:textId="77777777" w:rsidR="00CB72C1" w:rsidRDefault="00082CD1" w:rsidP="00CB72C1">
            <w:pPr>
              <w:spacing w:line="276" w:lineRule="auto"/>
              <w:ind w:firstLine="709"/>
              <w:jc w:val="both"/>
              <w:rPr>
                <w:rFonts w:ascii="Verdana" w:eastAsia="Calibri" w:hAnsi="Verdana" w:cs="Arial"/>
              </w:rPr>
            </w:pPr>
            <w:r w:rsidRPr="00082CD1">
              <w:rPr>
                <w:rFonts w:ascii="Verdana" w:eastAsia="Calibri" w:hAnsi="Verdana" w:cs="Arial"/>
              </w:rPr>
              <w:t xml:space="preserve">En cuanto a los documentos que deben ser publicados en el SECOP II a efectos de dar cumplimiento al mandato consagrado en el artículo 53 de la Ley 2195 de 2022, es preciso advertir que la disposición hace referencia a los documentos relacionados con su actividad contractual, la cual define como “[…] los documentos, contratos, actos e información generada por oferentes, contratista, contratante, supervisor o interventor, tanto en la etapa precontractual, como en la contractual y la postcontractual”. En ese sentido, el artículo 53 de la Ley 2195 de 2022 establece el deber de publicar toda aquella información relacionada con el respectivo contrato, sin incluir ninguna excepción relacionada con la naturaleza u objeto contractual. Por lo tanto, para que las entidades exceptuadas cumplan con el deber de publicidad consagrado </w:t>
            </w:r>
            <w:r w:rsidRPr="00082CD1">
              <w:rPr>
                <w:rFonts w:ascii="Verdana" w:eastAsia="Calibri" w:hAnsi="Verdana" w:cs="Arial"/>
              </w:rPr>
              <w:lastRenderedPageBreak/>
              <w:t>en el artículo 53 de la Ley 2195 de 2022, se requiere que publiquen en el SECOP II todo documento expedido durante las diferentes etapas del proceso contractual, abarcando desde la fase previa a su celebración, pasando por la ejecución y hasta la fase posterior a su ejecución.</w:t>
            </w:r>
            <w:r>
              <w:rPr>
                <w:rFonts w:ascii="Verdana" w:eastAsia="Calibri" w:hAnsi="Verdana" w:cs="Arial"/>
              </w:rPr>
              <w:t xml:space="preserve">   </w:t>
            </w:r>
          </w:p>
          <w:p w14:paraId="4F28E482" w14:textId="3957097E" w:rsidR="00082CD1" w:rsidRDefault="00082CD1" w:rsidP="00CB72C1">
            <w:pPr>
              <w:spacing w:line="276" w:lineRule="auto"/>
              <w:ind w:firstLine="709"/>
              <w:jc w:val="both"/>
              <w:rPr>
                <w:rFonts w:ascii="Verdana" w:eastAsia="Calibri" w:hAnsi="Verdana" w:cs="Arial"/>
              </w:rPr>
            </w:pPr>
            <w:r>
              <w:rPr>
                <w:rFonts w:ascii="Verdana" w:eastAsia="Calibri" w:hAnsi="Verdana" w:cs="Arial"/>
              </w:rPr>
              <w:t xml:space="preserve">                                    </w:t>
            </w:r>
          </w:p>
          <w:p w14:paraId="410C2391" w14:textId="65824EEA" w:rsidR="00816A9C" w:rsidRDefault="00082CD1" w:rsidP="00CB72C1">
            <w:pPr>
              <w:spacing w:line="276" w:lineRule="auto"/>
              <w:ind w:firstLine="709"/>
              <w:jc w:val="both"/>
              <w:rPr>
                <w:rFonts w:ascii="Verdana" w:eastAsia="Calibri" w:hAnsi="Verdana" w:cs="Arial"/>
              </w:rPr>
            </w:pPr>
            <w:r w:rsidRPr="00082CD1">
              <w:rPr>
                <w:rFonts w:ascii="Verdana" w:eastAsia="Calibri" w:hAnsi="Verdana" w:cs="Arial"/>
              </w:rPr>
              <w:t xml:space="preserve">Sin Perjuicio de lo anterior, </w:t>
            </w:r>
            <w:r w:rsidRPr="00082CD1">
              <w:rPr>
                <w:rFonts w:ascii="Verdana" w:hAnsi="Verdana"/>
              </w:rPr>
              <w:t>vale la pena aclarar que el cumplimiento del deber de publicación de la documentación contractual debe armonizarse con las normas aplicables al tipo de información que estas contienen</w:t>
            </w:r>
            <w:r w:rsidR="00CB72C1">
              <w:rPr>
                <w:rFonts w:ascii="Verdana" w:hAnsi="Verdana"/>
              </w:rPr>
              <w:t xml:space="preserve">. Lo anterior </w:t>
            </w:r>
            <w:r w:rsidR="00CB72C1" w:rsidRPr="00082CD1">
              <w:rPr>
                <w:rFonts w:ascii="Verdana" w:eastAsia="Calibri" w:hAnsi="Verdana" w:cs="Arial"/>
              </w:rPr>
              <w:t>significa</w:t>
            </w:r>
            <w:r w:rsidRPr="00082CD1">
              <w:rPr>
                <w:rFonts w:ascii="Verdana" w:eastAsia="Calibri" w:hAnsi="Verdana" w:cs="Arial"/>
              </w:rPr>
              <w:t xml:space="preserve"> que, respecto de datos sensibles, información sometida a reserva o de la cual proceda un tratamiento especial que impida su publicidad, las entidades deberán proceder de conformidad con el tratamiento que impongan tales normas.</w:t>
            </w:r>
          </w:p>
          <w:p w14:paraId="6A4483CB" w14:textId="77777777" w:rsidR="00CB72C1" w:rsidRDefault="00CB72C1" w:rsidP="00CB72C1">
            <w:pPr>
              <w:spacing w:line="276" w:lineRule="auto"/>
              <w:ind w:firstLine="709"/>
              <w:jc w:val="both"/>
              <w:rPr>
                <w:rFonts w:ascii="Verdana" w:eastAsia="Calibri" w:hAnsi="Verdana" w:cs="Arial"/>
              </w:rPr>
            </w:pPr>
          </w:p>
          <w:p w14:paraId="228A5E9E" w14:textId="77777777" w:rsidR="00CB72C1" w:rsidRDefault="00CB72C1" w:rsidP="00CB72C1">
            <w:pPr>
              <w:spacing w:line="276" w:lineRule="auto"/>
              <w:ind w:firstLine="709"/>
              <w:jc w:val="both"/>
              <w:rPr>
                <w:rFonts w:ascii="Verdana" w:eastAsia="Calibri" w:hAnsi="Verdana" w:cs="Arial"/>
              </w:rPr>
            </w:pPr>
            <w:r w:rsidRPr="00CB72C1">
              <w:rPr>
                <w:rFonts w:ascii="Verdana" w:eastAsia="Calibri" w:hAnsi="Verdana" w:cs="Arial"/>
              </w:rPr>
              <w:t>Es posible establecer que la obligación de publicar la actividad contractual siempre ha estado encaminada a que se publique aquella información relacionada con la ejecución de dineros públicos. Por tal razón, puede concluirse, a la luz de las disposiciones que regulan la materia, que el artículo 53 –al ampliar la obligación de las entidades con regímenes especiales de publicar su actividad contractual en el SECOP II– se refiere a aquella actividad contractual cuya fuente de financiación provenga de recursos públicos.</w:t>
            </w:r>
            <w:r>
              <w:rPr>
                <w:rFonts w:ascii="Verdana" w:eastAsia="Calibri" w:hAnsi="Verdana" w:cs="Arial"/>
              </w:rPr>
              <w:t xml:space="preserve"> </w:t>
            </w:r>
          </w:p>
          <w:p w14:paraId="69EC17E3" w14:textId="77777777" w:rsidR="00CB72C1" w:rsidRDefault="00CB72C1" w:rsidP="00CB72C1">
            <w:pPr>
              <w:spacing w:line="276" w:lineRule="auto"/>
              <w:ind w:firstLine="709"/>
              <w:jc w:val="both"/>
              <w:rPr>
                <w:rFonts w:ascii="Verdana" w:eastAsia="Calibri" w:hAnsi="Verdana" w:cs="Arial"/>
              </w:rPr>
            </w:pPr>
          </w:p>
          <w:p w14:paraId="2DDFA9F9" w14:textId="41C058DC" w:rsidR="00CB72C1" w:rsidRPr="008A48B1" w:rsidRDefault="00CB72C1" w:rsidP="00CB72C1">
            <w:pPr>
              <w:spacing w:line="276" w:lineRule="auto"/>
              <w:ind w:firstLine="709"/>
              <w:jc w:val="both"/>
              <w:rPr>
                <w:rFonts w:ascii="Verdana" w:eastAsia="Calibri" w:hAnsi="Verdana" w:cs="Arial"/>
                <w:lang w:val="es-ES"/>
              </w:rPr>
            </w:pPr>
            <w:r w:rsidRPr="00CB72C1">
              <w:rPr>
                <w:rFonts w:ascii="Verdana" w:eastAsia="Calibri" w:hAnsi="Verdana" w:cs="Arial"/>
              </w:rPr>
              <w:t>Finalmente se remite la Guía para la Contratación de Régimen Especial de en el link que se encuentra referenciado en el numeral referencias normativas y jurisprudenciales en el presente documento</w:t>
            </w:r>
            <w:r>
              <w:rPr>
                <w:rFonts w:ascii="Verdana" w:eastAsia="Calibri" w:hAnsi="Verdana" w:cs="Arial"/>
              </w:rPr>
              <w:t>.</w:t>
            </w:r>
          </w:p>
        </w:tc>
      </w:tr>
    </w:tbl>
    <w:p w14:paraId="27E01FF3" w14:textId="77777777" w:rsidR="00F7242F" w:rsidRPr="008A48B1" w:rsidRDefault="00F7242F" w:rsidP="00F7242F">
      <w:pPr>
        <w:tabs>
          <w:tab w:val="left" w:pos="142"/>
          <w:tab w:val="left" w:pos="284"/>
        </w:tabs>
        <w:spacing w:after="0" w:line="276" w:lineRule="auto"/>
        <w:jc w:val="both"/>
        <w:rPr>
          <w:rFonts w:ascii="Verdana" w:eastAsia="Century Gothic" w:hAnsi="Verdana" w:cs="Century Gothic"/>
          <w:b/>
          <w:bCs/>
          <w:lang w:val="es-ES"/>
        </w:rPr>
      </w:pPr>
    </w:p>
    <w:p w14:paraId="5C3679A1" w14:textId="77777777" w:rsidR="00F7242F" w:rsidRPr="008A48B1" w:rsidRDefault="00F7242F" w:rsidP="00F7242F">
      <w:pPr>
        <w:tabs>
          <w:tab w:val="left" w:pos="142"/>
          <w:tab w:val="left" w:pos="284"/>
        </w:tabs>
        <w:spacing w:after="0" w:line="276" w:lineRule="auto"/>
        <w:jc w:val="both"/>
        <w:rPr>
          <w:rFonts w:ascii="Verdana" w:eastAsia="Century Gothic" w:hAnsi="Verdana" w:cs="Century Gothic"/>
          <w:b/>
          <w:bCs/>
          <w:lang w:val="es-ES"/>
        </w:rPr>
      </w:pPr>
    </w:p>
    <w:p w14:paraId="30E4F2DA" w14:textId="77777777" w:rsidR="00F7242F" w:rsidRPr="008A48B1" w:rsidRDefault="00F7242F" w:rsidP="00F7242F">
      <w:pPr>
        <w:numPr>
          <w:ilvl w:val="0"/>
          <w:numId w:val="17"/>
        </w:numPr>
        <w:tabs>
          <w:tab w:val="left" w:pos="142"/>
          <w:tab w:val="left" w:pos="284"/>
        </w:tabs>
        <w:spacing w:after="0" w:line="276" w:lineRule="auto"/>
        <w:ind w:left="0" w:firstLine="0"/>
        <w:contextualSpacing/>
        <w:jc w:val="both"/>
        <w:rPr>
          <w:rFonts w:ascii="Verdana" w:eastAsia="Century Gothic" w:hAnsi="Verdana" w:cs="Century Gothic"/>
          <w:b/>
          <w:bCs/>
          <w:lang w:val="es-ES"/>
        </w:rPr>
      </w:pPr>
      <w:r w:rsidRPr="008A48B1">
        <w:rPr>
          <w:rFonts w:ascii="Verdana" w:eastAsia="Century Gothic" w:hAnsi="Verdana" w:cs="Century Gothic"/>
          <w:b/>
          <w:bCs/>
          <w:lang w:val="es-ES"/>
        </w:rPr>
        <w:t>Razones de la respuesta:</w:t>
      </w:r>
    </w:p>
    <w:p w14:paraId="5A45551C" w14:textId="77777777" w:rsidR="00F7242F" w:rsidRPr="008A48B1" w:rsidRDefault="00F7242F" w:rsidP="00F7242F">
      <w:pPr>
        <w:spacing w:after="0" w:line="276" w:lineRule="auto"/>
        <w:jc w:val="both"/>
        <w:rPr>
          <w:rFonts w:ascii="Verdana" w:eastAsia="Calibri" w:hAnsi="Verdana" w:cs="Arial"/>
          <w:lang w:val="es-ES"/>
        </w:rPr>
      </w:pPr>
    </w:p>
    <w:p w14:paraId="30DEEAB0" w14:textId="77777777" w:rsidR="00F7242F" w:rsidRPr="008A48B1" w:rsidRDefault="00F7242F" w:rsidP="00F7242F">
      <w:pPr>
        <w:spacing w:after="0" w:line="276" w:lineRule="auto"/>
        <w:jc w:val="both"/>
        <w:rPr>
          <w:rFonts w:ascii="Verdana" w:eastAsia="Calibri" w:hAnsi="Verdana" w:cs="Arial"/>
          <w:lang w:val="es-ES"/>
        </w:rPr>
      </w:pPr>
      <w:r w:rsidRPr="008A48B1">
        <w:rPr>
          <w:rFonts w:ascii="Verdana" w:eastAsia="Calibri" w:hAnsi="Verdana" w:cs="Arial"/>
          <w:lang w:val="es-ES"/>
        </w:rPr>
        <w:t xml:space="preserve">Lo anterior se sustenta en las siguientes consideraciones: </w:t>
      </w:r>
    </w:p>
    <w:p w14:paraId="72DE41C5" w14:textId="77777777" w:rsidR="00F7242F" w:rsidRPr="008A48B1" w:rsidRDefault="00F7242F" w:rsidP="00F7242F">
      <w:pPr>
        <w:spacing w:after="0" w:line="276" w:lineRule="auto"/>
        <w:jc w:val="both"/>
        <w:rPr>
          <w:rFonts w:ascii="Verdana" w:eastAsia="Calibri" w:hAnsi="Verdana" w:cs="Arial"/>
          <w:lang w:val="es-ES"/>
        </w:rPr>
      </w:pPr>
    </w:p>
    <w:p w14:paraId="0AED7E87" w14:textId="37CA26A6" w:rsidR="00F7242F" w:rsidRDefault="00D7170E" w:rsidP="00D7170E">
      <w:pPr>
        <w:pStyle w:val="Prrafodelista"/>
        <w:numPr>
          <w:ilvl w:val="0"/>
          <w:numId w:val="24"/>
        </w:numPr>
        <w:jc w:val="both"/>
        <w:rPr>
          <w:rFonts w:ascii="Verdana" w:eastAsia="Calibri" w:hAnsi="Verdana" w:cs="Arial"/>
        </w:rPr>
      </w:pPr>
      <w:r w:rsidRPr="00D7170E">
        <w:rPr>
          <w:rFonts w:ascii="Verdana" w:eastAsia="Calibri" w:hAnsi="Verdana" w:cs="Arial"/>
        </w:rPr>
        <w:t>El principio de publicidad obliga a las autoridades a divulgar sus actos, contratos y decisiones para que puedan ser controlados</w:t>
      </w:r>
      <w:r>
        <w:rPr>
          <w:rFonts w:ascii="Verdana" w:eastAsia="Calibri" w:hAnsi="Verdana" w:cs="Arial"/>
        </w:rPr>
        <w:t xml:space="preserve"> y divulgadas</w:t>
      </w:r>
      <w:r w:rsidRPr="00D7170E">
        <w:rPr>
          <w:rFonts w:ascii="Verdana" w:eastAsia="Calibri" w:hAnsi="Verdana" w:cs="Arial"/>
        </w:rPr>
        <w:t xml:space="preserve">. La </w:t>
      </w:r>
      <w:r w:rsidRPr="00D7170E">
        <w:rPr>
          <w:rFonts w:ascii="Verdana" w:eastAsia="Calibri" w:hAnsi="Verdana" w:cs="Arial"/>
        </w:rPr>
        <w:lastRenderedPageBreak/>
        <w:t>Ley 1150 de 2007</w:t>
      </w:r>
      <w:r>
        <w:rPr>
          <w:rStyle w:val="Refdenotaalpie"/>
          <w:rFonts w:ascii="Verdana" w:eastAsia="Calibri" w:hAnsi="Verdana" w:cs="Arial"/>
        </w:rPr>
        <w:footnoteReference w:id="2"/>
      </w:r>
      <w:r w:rsidRPr="00D7170E">
        <w:rPr>
          <w:rFonts w:ascii="Verdana" w:eastAsia="Calibri" w:hAnsi="Verdana" w:cs="Arial"/>
        </w:rPr>
        <w:t xml:space="preserve"> establece el Sistema Electrónico para la Contratación Pública (SECOP) para difundir información oficial sobre la contratación con dineros públicos. Además, la Ley 1712 de 2014</w:t>
      </w:r>
      <w:r>
        <w:rPr>
          <w:rStyle w:val="Refdenotaalpie"/>
          <w:rFonts w:ascii="Verdana" w:eastAsia="Calibri" w:hAnsi="Verdana" w:cs="Arial"/>
        </w:rPr>
        <w:footnoteReference w:id="3"/>
      </w:r>
      <w:r w:rsidRPr="00D7170E">
        <w:rPr>
          <w:rFonts w:ascii="Verdana" w:eastAsia="Calibri" w:hAnsi="Verdana" w:cs="Arial"/>
        </w:rPr>
        <w:t>, conocida como la Ley de Transparencia, establece los principios de máxima publicidad, transparencia en la información y buena fe. Estos principios garantizan que toda la información pública sea accesible, se proporcione de manera amplia y se cumplan las obligaciones con honestidad y lealtad.</w:t>
      </w:r>
    </w:p>
    <w:p w14:paraId="363F65EE" w14:textId="77777777" w:rsidR="00D7170E" w:rsidRDefault="00D7170E" w:rsidP="00D7170E">
      <w:pPr>
        <w:pStyle w:val="Prrafodelista"/>
        <w:jc w:val="both"/>
        <w:rPr>
          <w:rFonts w:ascii="Verdana" w:eastAsia="Calibri" w:hAnsi="Verdana" w:cs="Arial"/>
        </w:rPr>
      </w:pPr>
    </w:p>
    <w:p w14:paraId="2FCC8A9D" w14:textId="50EC810C" w:rsidR="00D7170E" w:rsidRPr="00D7170E" w:rsidRDefault="00D7170E" w:rsidP="00D7170E">
      <w:pPr>
        <w:pStyle w:val="Prrafodelista"/>
        <w:numPr>
          <w:ilvl w:val="0"/>
          <w:numId w:val="24"/>
        </w:numPr>
        <w:jc w:val="both"/>
        <w:rPr>
          <w:rFonts w:ascii="Verdana" w:eastAsia="Calibri" w:hAnsi="Verdana" w:cs="Arial"/>
        </w:rPr>
      </w:pPr>
      <w:r w:rsidRPr="00D7170E">
        <w:rPr>
          <w:rFonts w:ascii="Verdana" w:eastAsia="Calibri" w:hAnsi="Verdana" w:cs="Arial"/>
        </w:rPr>
        <w:lastRenderedPageBreak/>
        <w:t>La Ley</w:t>
      </w:r>
      <w:r>
        <w:rPr>
          <w:rFonts w:ascii="Verdana" w:eastAsia="Calibri" w:hAnsi="Verdana" w:cs="Arial"/>
        </w:rPr>
        <w:t xml:space="preserve"> 1712 de 2014</w:t>
      </w:r>
      <w:r w:rsidRPr="00D7170E">
        <w:rPr>
          <w:rFonts w:ascii="Verdana" w:eastAsia="Calibri" w:hAnsi="Verdana" w:cs="Arial"/>
        </w:rPr>
        <w:t xml:space="preserve"> establece en el literal e) del artículo 9</w:t>
      </w:r>
      <w:r w:rsidR="007307F7">
        <w:rPr>
          <w:rStyle w:val="Refdenotaalpie"/>
          <w:rFonts w:ascii="Verdana" w:eastAsia="Calibri" w:hAnsi="Verdana" w:cs="Arial"/>
        </w:rPr>
        <w:footnoteReference w:id="4"/>
      </w:r>
      <w:r w:rsidRPr="00D7170E">
        <w:rPr>
          <w:rFonts w:ascii="Verdana" w:eastAsia="Calibri" w:hAnsi="Verdana" w:cs="Arial"/>
        </w:rPr>
        <w:t xml:space="preserve"> que los sujetos obligados deben publicar la información sobre su contratación. El artículo 5 define a los sujetos obligados como cualquier entidad, órgano, organismo o persona natural que desempeñe funciones públicas o administre recursos públicos, incluyendo empresas públicas, del Estado y sociedades con participación estatal, sin importar el monto. Además, el literal g) del artículo 11 exige que todos los sujetos de la ley de transparencia publiquen sus procedimientos, políticas de adquisiciones y compras, y datos de adjudicación y ejecución de contratos en el SECOP.</w:t>
      </w:r>
    </w:p>
    <w:p w14:paraId="536B15E6" w14:textId="77777777" w:rsidR="00D7170E" w:rsidRDefault="00D7170E" w:rsidP="00F7242F">
      <w:pPr>
        <w:pStyle w:val="Prrafodelista"/>
        <w:rPr>
          <w:rFonts w:ascii="Verdana" w:eastAsia="Calibri" w:hAnsi="Verdana" w:cs="Arial"/>
        </w:rPr>
      </w:pPr>
    </w:p>
    <w:p w14:paraId="2733C90E" w14:textId="77777777" w:rsidR="007307F7" w:rsidRDefault="007307F7" w:rsidP="007307F7">
      <w:pPr>
        <w:pStyle w:val="Prrafodelista"/>
        <w:numPr>
          <w:ilvl w:val="0"/>
          <w:numId w:val="24"/>
        </w:numPr>
        <w:jc w:val="both"/>
        <w:rPr>
          <w:rFonts w:ascii="Verdana" w:eastAsia="Calibri" w:hAnsi="Verdana" w:cs="Arial"/>
        </w:rPr>
      </w:pPr>
      <w:r w:rsidRPr="007307F7">
        <w:rPr>
          <w:rFonts w:ascii="Verdana" w:eastAsia="Calibri" w:hAnsi="Verdana" w:cs="Arial"/>
        </w:rPr>
        <w:t>El artículo 2.1.1.2.1.7. del Decreto Único Reglamentario 1081 de 2015 establece que la información contractual de los sujetos obligados que usan recursos públicos debe publicarse en el Sistema Electrónico para la Contratación Pública (SECOP). La Ley 2195 de 2022 complementa estas disposiciones, enfocándose en la transparencia y la lucha contra la corrupción. Su artículo 53 añade al artículo 13 de la Ley 1150 de 2007 la obligación para las entidades estatales con regímenes contractuales excepcionales de publicar sus documentos contractuales en el SECOP II o una plataforma transaccional equivalente.</w:t>
      </w:r>
    </w:p>
    <w:p w14:paraId="53ECF2FD" w14:textId="77777777" w:rsidR="007307F7" w:rsidRPr="007307F7" w:rsidRDefault="007307F7" w:rsidP="007307F7">
      <w:pPr>
        <w:pStyle w:val="Prrafodelista"/>
        <w:rPr>
          <w:rFonts w:ascii="Verdana" w:eastAsia="Calibri" w:hAnsi="Verdana" w:cs="Arial"/>
        </w:rPr>
      </w:pPr>
    </w:p>
    <w:p w14:paraId="5EA0AF45" w14:textId="77777777" w:rsidR="007307F7" w:rsidRPr="007307F7" w:rsidRDefault="007307F7" w:rsidP="007307F7">
      <w:pPr>
        <w:pStyle w:val="Prrafodelista"/>
        <w:numPr>
          <w:ilvl w:val="0"/>
          <w:numId w:val="24"/>
        </w:numPr>
        <w:jc w:val="both"/>
        <w:rPr>
          <w:rFonts w:ascii="Verdana" w:eastAsia="Calibri" w:hAnsi="Verdana" w:cs="Arial"/>
        </w:rPr>
      </w:pPr>
      <w:r w:rsidRPr="007307F7">
        <w:rPr>
          <w:rFonts w:ascii="Verdana" w:eastAsia="Calibri" w:hAnsi="Verdana" w:cs="Arial"/>
        </w:rPr>
        <w:t>Al respecto, la norma citada, de manera expresa, señala:</w:t>
      </w:r>
    </w:p>
    <w:p w14:paraId="5570E300" w14:textId="77777777" w:rsidR="007307F7" w:rsidRPr="007307F7" w:rsidRDefault="007307F7" w:rsidP="007307F7">
      <w:pPr>
        <w:pStyle w:val="Prrafodelista"/>
        <w:jc w:val="both"/>
        <w:rPr>
          <w:rFonts w:ascii="Verdana" w:eastAsia="Calibri" w:hAnsi="Verdana" w:cs="Arial"/>
        </w:rPr>
      </w:pPr>
    </w:p>
    <w:p w14:paraId="66C15748" w14:textId="77777777" w:rsidR="007307F7" w:rsidRPr="007307F7" w:rsidRDefault="007307F7" w:rsidP="007307F7">
      <w:pPr>
        <w:pStyle w:val="Prrafodelista"/>
        <w:ind w:left="1416"/>
        <w:jc w:val="both"/>
        <w:rPr>
          <w:rFonts w:ascii="Verdana" w:eastAsia="Calibri" w:hAnsi="Verdana" w:cs="Arial"/>
          <w:sz w:val="21"/>
          <w:szCs w:val="21"/>
        </w:rPr>
      </w:pPr>
      <w:r w:rsidRPr="007307F7">
        <w:rPr>
          <w:rFonts w:ascii="Verdana" w:eastAsia="Calibri" w:hAnsi="Verdana" w:cs="Arial"/>
          <w:sz w:val="21"/>
          <w:szCs w:val="21"/>
        </w:rPr>
        <w:t>“Adiciónese los siguientes incisos al artículo 13 de la Ley 1150 de 2007, el cual quedará así:</w:t>
      </w:r>
    </w:p>
    <w:p w14:paraId="223E4EA8" w14:textId="77777777" w:rsidR="007307F7" w:rsidRPr="007307F7" w:rsidRDefault="007307F7" w:rsidP="007307F7">
      <w:pPr>
        <w:pStyle w:val="Prrafodelista"/>
        <w:jc w:val="both"/>
        <w:rPr>
          <w:rFonts w:ascii="Verdana" w:eastAsia="Calibri" w:hAnsi="Verdana" w:cs="Arial"/>
          <w:sz w:val="21"/>
          <w:szCs w:val="21"/>
        </w:rPr>
      </w:pPr>
    </w:p>
    <w:p w14:paraId="4B5C5347" w14:textId="77777777" w:rsidR="007307F7" w:rsidRPr="007307F7" w:rsidRDefault="007307F7" w:rsidP="007307F7">
      <w:pPr>
        <w:pStyle w:val="Prrafodelista"/>
        <w:ind w:left="1416"/>
        <w:jc w:val="both"/>
        <w:rPr>
          <w:rFonts w:ascii="Verdana" w:eastAsia="Calibri" w:hAnsi="Verdana" w:cs="Arial"/>
          <w:sz w:val="21"/>
          <w:szCs w:val="21"/>
        </w:rPr>
      </w:pPr>
      <w:r w:rsidRPr="007307F7">
        <w:rPr>
          <w:rFonts w:ascii="Verdana" w:eastAsia="Calibri" w:hAnsi="Verdana" w:cs="Arial"/>
          <w:sz w:val="21"/>
          <w:szCs w:val="21"/>
        </w:rPr>
        <w:t xml:space="preserve">Artículo 13. PRINCIPIOS GENERALES DE LA ACTIVIDAD CONTRACTUAL PARA ENTIDADES NO SOMETIDAS AL ESTATUTO GENERAL DE </w:t>
      </w:r>
      <w:r w:rsidRPr="007307F7">
        <w:rPr>
          <w:rFonts w:ascii="Verdana" w:eastAsia="Calibri" w:hAnsi="Verdana" w:cs="Arial"/>
          <w:sz w:val="21"/>
          <w:szCs w:val="21"/>
        </w:rPr>
        <w:lastRenderedPageBreak/>
        <w:t>CONTRATACIÓN DE LA ADMINISTRACIÓN PÚBLICA. 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p>
    <w:p w14:paraId="2FF3B93D" w14:textId="77777777" w:rsidR="007307F7" w:rsidRPr="007307F7" w:rsidRDefault="007307F7" w:rsidP="007307F7">
      <w:pPr>
        <w:pStyle w:val="Prrafodelista"/>
        <w:jc w:val="both"/>
        <w:rPr>
          <w:rFonts w:ascii="Verdana" w:eastAsia="Calibri" w:hAnsi="Verdana" w:cs="Arial"/>
          <w:sz w:val="21"/>
          <w:szCs w:val="21"/>
        </w:rPr>
      </w:pPr>
    </w:p>
    <w:p w14:paraId="341628F6" w14:textId="77777777" w:rsidR="007307F7" w:rsidRPr="007307F7" w:rsidRDefault="007307F7" w:rsidP="007307F7">
      <w:pPr>
        <w:pStyle w:val="Prrafodelista"/>
        <w:ind w:left="1416"/>
        <w:jc w:val="both"/>
        <w:rPr>
          <w:rFonts w:ascii="Verdana" w:eastAsia="Calibri" w:hAnsi="Verdana" w:cs="Arial"/>
          <w:sz w:val="21"/>
          <w:szCs w:val="21"/>
        </w:rPr>
      </w:pPr>
      <w:r w:rsidRPr="007307F7">
        <w:rPr>
          <w:rFonts w:ascii="Verdana" w:eastAsia="Calibri" w:hAnsi="Verdana" w:cs="Arial"/>
          <w:sz w:val="21"/>
          <w:szCs w:val="21"/>
        </w:rPr>
        <w:t>En desarrollo de los anteriores principios, deberán publicar los documentos relacionados con su actividad contractual en el Sistema Electrónico para la Contratación Pública –SECOP II– o la plataforma transaccional que haga sus veces. Para los efectos de este artículo, se entiende por actividad contractual los documentos, contratos, actos e información generada por oferentes, contratista, contratante, supervisor o interventor, tanto en la etapa precontractual, como en la contractual y la postcontractual.</w:t>
      </w:r>
    </w:p>
    <w:p w14:paraId="512E2A00" w14:textId="77777777" w:rsidR="007307F7" w:rsidRPr="007307F7" w:rsidRDefault="007307F7" w:rsidP="007307F7">
      <w:pPr>
        <w:pStyle w:val="Prrafodelista"/>
        <w:jc w:val="both"/>
        <w:rPr>
          <w:rFonts w:ascii="Verdana" w:eastAsia="Calibri" w:hAnsi="Verdana" w:cs="Arial"/>
          <w:sz w:val="21"/>
          <w:szCs w:val="21"/>
        </w:rPr>
      </w:pPr>
    </w:p>
    <w:p w14:paraId="61C4B755" w14:textId="7ECB2E0E" w:rsidR="007307F7" w:rsidRDefault="007307F7" w:rsidP="007307F7">
      <w:pPr>
        <w:pStyle w:val="Prrafodelista"/>
        <w:ind w:left="1416"/>
        <w:jc w:val="both"/>
        <w:rPr>
          <w:rFonts w:ascii="Verdana" w:eastAsia="Calibri" w:hAnsi="Verdana" w:cs="Arial"/>
          <w:sz w:val="21"/>
          <w:szCs w:val="21"/>
        </w:rPr>
      </w:pPr>
      <w:r w:rsidRPr="007307F7">
        <w:rPr>
          <w:rFonts w:ascii="Verdana" w:eastAsia="Calibri" w:hAnsi="Verdana" w:cs="Arial"/>
          <w:sz w:val="21"/>
          <w:szCs w:val="21"/>
        </w:rPr>
        <w:t xml:space="preserve">A partir de la entrada en vigor de la presente Ley, se establecerá un periodo de transición de seis (6) meses, para que las entidades den cumplimiento efectivo a lo aquí establecido”. </w:t>
      </w:r>
    </w:p>
    <w:p w14:paraId="474DC2CB" w14:textId="77777777" w:rsidR="00F07CB0" w:rsidRDefault="00F07CB0" w:rsidP="007307F7">
      <w:pPr>
        <w:pStyle w:val="Prrafodelista"/>
        <w:ind w:left="1416"/>
        <w:jc w:val="both"/>
        <w:rPr>
          <w:rFonts w:ascii="Verdana" w:eastAsia="Calibri" w:hAnsi="Verdana" w:cs="Arial"/>
          <w:sz w:val="21"/>
          <w:szCs w:val="21"/>
        </w:rPr>
      </w:pPr>
    </w:p>
    <w:p w14:paraId="38582678" w14:textId="309FF3CE" w:rsidR="00F07CB0" w:rsidRDefault="00F07CB0" w:rsidP="00F07CB0">
      <w:pPr>
        <w:pStyle w:val="Prrafodelista"/>
        <w:numPr>
          <w:ilvl w:val="0"/>
          <w:numId w:val="27"/>
        </w:numPr>
        <w:jc w:val="both"/>
        <w:rPr>
          <w:rFonts w:ascii="Verdana" w:eastAsia="Calibri" w:hAnsi="Verdana" w:cs="Arial"/>
        </w:rPr>
      </w:pPr>
      <w:r w:rsidRPr="00F07CB0">
        <w:rPr>
          <w:rFonts w:ascii="Verdana" w:eastAsia="Calibri" w:hAnsi="Verdana" w:cs="Arial"/>
        </w:rPr>
        <w:t>El artículo 53 de la Ley 2195 de 2022, que modifica el artículo 13 de la Ley 1150 de 2007, precisa que las entidades estatales con régimen especial deben publicar su actividad contractual en el SECOP II. Esta obligación se mantiene incluso si el SECOP II es reemplazado por otra plataforma transaccional en el futuro. La norma no permite el uso de páginas web propias para cumplir con este deber, asegurando así que toda la información contractual del Estado esté centralizada y accesible para la ciudadanía, promoviendo la transparencia.</w:t>
      </w:r>
    </w:p>
    <w:p w14:paraId="0071C7C7" w14:textId="77777777" w:rsidR="00F07CB0" w:rsidRDefault="00F07CB0" w:rsidP="00F07CB0">
      <w:pPr>
        <w:pStyle w:val="Prrafodelista"/>
        <w:jc w:val="both"/>
        <w:rPr>
          <w:rFonts w:ascii="Verdana" w:eastAsia="Calibri" w:hAnsi="Verdana" w:cs="Arial"/>
        </w:rPr>
      </w:pPr>
    </w:p>
    <w:p w14:paraId="46D10E6C" w14:textId="77777777" w:rsidR="00F07CB0" w:rsidRDefault="00F07CB0" w:rsidP="00F07CB0">
      <w:pPr>
        <w:pStyle w:val="Prrafodelista"/>
        <w:numPr>
          <w:ilvl w:val="0"/>
          <w:numId w:val="27"/>
        </w:numPr>
        <w:jc w:val="both"/>
        <w:rPr>
          <w:rFonts w:ascii="Verdana" w:eastAsia="Calibri" w:hAnsi="Verdana" w:cs="Arial"/>
        </w:rPr>
      </w:pPr>
      <w:r w:rsidRPr="00F07CB0">
        <w:rPr>
          <w:rFonts w:ascii="Verdana" w:eastAsia="Calibri" w:hAnsi="Verdana" w:cs="Arial"/>
        </w:rPr>
        <w:t xml:space="preserve">En cuanto a los documentos que deben ser publicados en el SECOP II a efectos de dar cumplimiento al mandato consagrado en el artículo 53 de la Ley 2195 de 2022, es preciso advertir que la disposición hace referencia a los documentos relacionados con su actividad contractual, la cual define como “[…] los documentos, contratos, actos e información generada por </w:t>
      </w:r>
      <w:r w:rsidRPr="00F07CB0">
        <w:rPr>
          <w:rFonts w:ascii="Verdana" w:eastAsia="Calibri" w:hAnsi="Verdana" w:cs="Arial"/>
        </w:rPr>
        <w:lastRenderedPageBreak/>
        <w:t xml:space="preserve">oferentes, contratista, contratante, supervisor o interventor, tanto en la etapa precontractual, como en la contractual y la postcontractual”. En ese sentido, el artículo 53 de la Ley 2195 de 2022 establece el deber de publicar toda aquella información relacionada con el respectivo contrato, sin incluir ninguna excepción relacionada con la naturaleza u objeto contractual. Por lo tanto, para que las entidades exceptuadas cumplan con el deber de publicidad consagrado en el artículo 53 de la Ley 2195 de 2022, se requiere que publiquen en el SECOP II todo documento expedido durante las diferentes etapas del proceso contractual, abarcando desde la fase previa a su celebración, pasando por la ejecución y hasta la fase posterior a su ejecución. </w:t>
      </w:r>
    </w:p>
    <w:p w14:paraId="1B83E847" w14:textId="77777777" w:rsidR="00F07CB0" w:rsidRPr="00F07CB0" w:rsidRDefault="00F07CB0" w:rsidP="00F07CB0">
      <w:pPr>
        <w:pStyle w:val="Prrafodelista"/>
        <w:jc w:val="both"/>
        <w:rPr>
          <w:rFonts w:ascii="Verdana" w:eastAsia="Calibri" w:hAnsi="Verdana" w:cs="Arial"/>
        </w:rPr>
      </w:pPr>
    </w:p>
    <w:p w14:paraId="05B8E75F" w14:textId="1C5B06CC" w:rsidR="00F07CB0" w:rsidRPr="00CB72C1" w:rsidRDefault="00F07CB0" w:rsidP="00CB72C1">
      <w:pPr>
        <w:pStyle w:val="Prrafodelista"/>
        <w:numPr>
          <w:ilvl w:val="0"/>
          <w:numId w:val="27"/>
        </w:numPr>
        <w:jc w:val="both"/>
        <w:rPr>
          <w:rFonts w:ascii="Verdana" w:eastAsia="Calibri" w:hAnsi="Verdana" w:cs="Arial"/>
        </w:rPr>
      </w:pPr>
      <w:r w:rsidRPr="00F07CB0">
        <w:rPr>
          <w:rFonts w:ascii="Verdana" w:eastAsia="Calibri" w:hAnsi="Verdana" w:cs="Arial"/>
        </w:rPr>
        <w:t>Sin perjuicio de lo anterior, vale la pena aclarar que el cumplimiento del deber de publicación de la documentación contractual debe armonizarse con las normas aplicables al tipo de información que estas contienen. Lo anterior significa que, respecto de datos sensibles, información sometida a reserva o de la cual proceda un tratamiento especial que impida su publicidad, las entidades deberán proceder de conformidad con el tratamiento que impongan tales normas.</w:t>
      </w:r>
    </w:p>
    <w:p w14:paraId="43077B69" w14:textId="77777777" w:rsidR="00BB6E25" w:rsidRPr="00BB6E25" w:rsidRDefault="00BB6E25" w:rsidP="00BB6E25">
      <w:pPr>
        <w:pStyle w:val="Prrafodelista"/>
        <w:rPr>
          <w:rFonts w:ascii="Verdana" w:eastAsia="Calibri" w:hAnsi="Verdana" w:cs="Arial"/>
        </w:rPr>
      </w:pPr>
    </w:p>
    <w:p w14:paraId="7A484EE4" w14:textId="05878054" w:rsidR="00BB6E25" w:rsidRDefault="00ED416C" w:rsidP="00F07CB0">
      <w:pPr>
        <w:pStyle w:val="Prrafodelista"/>
        <w:numPr>
          <w:ilvl w:val="0"/>
          <w:numId w:val="27"/>
        </w:numPr>
        <w:jc w:val="both"/>
        <w:rPr>
          <w:rFonts w:ascii="Verdana" w:eastAsia="Calibri" w:hAnsi="Verdana" w:cs="Arial"/>
        </w:rPr>
      </w:pPr>
      <w:r w:rsidRPr="00ED416C">
        <w:rPr>
          <w:rFonts w:ascii="Verdana" w:eastAsia="Calibri" w:hAnsi="Verdana" w:cs="Arial"/>
        </w:rPr>
        <w:t>El artículo 53 de la Ley 2195 de 2022 establece que las entidades con regímenes especiales deben publicar los documentos relacionados con su actividad contractual en el SECOP II o la plataforma transaccional correspondiente. Sin embargo, la norma no especifica si esta obligación aplica a todos los contratos o solo a aquellos financiados con recursos públicos. Existen dos interpretaciones posibles: una exegética, que sugiere que la obligación aplica a toda la actividad contractual, y una sistemática, que indica que solo se refiere a contratos financiados con recursos públicos, en armonía con la Ley 1150 de 2007.</w:t>
      </w:r>
    </w:p>
    <w:p w14:paraId="6ADA9D12" w14:textId="77777777" w:rsidR="00ED416C" w:rsidRPr="00ED416C" w:rsidRDefault="00ED416C" w:rsidP="00ED416C">
      <w:pPr>
        <w:pStyle w:val="Prrafodelista"/>
        <w:rPr>
          <w:rFonts w:ascii="Verdana" w:eastAsia="Calibri" w:hAnsi="Verdana" w:cs="Arial"/>
        </w:rPr>
      </w:pPr>
    </w:p>
    <w:p w14:paraId="7822D1E1" w14:textId="015E825F" w:rsidR="00ED416C" w:rsidRDefault="00ED416C" w:rsidP="00F07CB0">
      <w:pPr>
        <w:pStyle w:val="Prrafodelista"/>
        <w:numPr>
          <w:ilvl w:val="0"/>
          <w:numId w:val="27"/>
        </w:numPr>
        <w:jc w:val="both"/>
        <w:rPr>
          <w:rFonts w:ascii="Verdana" w:eastAsia="Calibri" w:hAnsi="Verdana" w:cs="Arial"/>
        </w:rPr>
      </w:pPr>
      <w:r w:rsidRPr="00ED416C">
        <w:rPr>
          <w:rFonts w:ascii="Verdana" w:eastAsia="Calibri" w:hAnsi="Verdana" w:cs="Arial"/>
        </w:rPr>
        <w:t xml:space="preserve">Esta Agencia considera que, la obligación de publicar en el SECOP II todos los documentos relacionados con la actividad contractual de las entidades con regímenes especiales contenida en el artículo 53 de la Ley 2195 de 2022 debe interpretarse de forma sistemática con los preceptos que existen sobre la materia, como, entre otros, los siguientes enunciados normativos: i) los artículos 74 y 209 de la Constitución, </w:t>
      </w:r>
      <w:proofErr w:type="spellStart"/>
      <w:r w:rsidRPr="00ED416C">
        <w:rPr>
          <w:rFonts w:ascii="Verdana" w:eastAsia="Calibri" w:hAnsi="Verdana" w:cs="Arial"/>
        </w:rPr>
        <w:t>ii</w:t>
      </w:r>
      <w:proofErr w:type="spellEnd"/>
      <w:r w:rsidRPr="00ED416C">
        <w:rPr>
          <w:rFonts w:ascii="Verdana" w:eastAsia="Calibri" w:hAnsi="Verdana" w:cs="Arial"/>
        </w:rPr>
        <w:t xml:space="preserve">) el artículo 3, </w:t>
      </w:r>
      <w:r w:rsidRPr="00ED416C">
        <w:rPr>
          <w:rFonts w:ascii="Verdana" w:eastAsia="Calibri" w:hAnsi="Verdana" w:cs="Arial"/>
        </w:rPr>
        <w:lastRenderedPageBreak/>
        <w:t xml:space="preserve">literal c) de la Ley 1150 de 2007, </w:t>
      </w:r>
      <w:proofErr w:type="spellStart"/>
      <w:r w:rsidRPr="00ED416C">
        <w:rPr>
          <w:rFonts w:ascii="Verdana" w:eastAsia="Calibri" w:hAnsi="Verdana" w:cs="Arial"/>
        </w:rPr>
        <w:t>iii</w:t>
      </w:r>
      <w:proofErr w:type="spellEnd"/>
      <w:r w:rsidRPr="00ED416C">
        <w:rPr>
          <w:rFonts w:ascii="Verdana" w:eastAsia="Calibri" w:hAnsi="Verdana" w:cs="Arial"/>
        </w:rPr>
        <w:t xml:space="preserve">) los artículos 3, 9, literal e) y 11, literal g), de la Ley 1712 de 2014, y </w:t>
      </w:r>
      <w:proofErr w:type="spellStart"/>
      <w:r w:rsidRPr="00ED416C">
        <w:rPr>
          <w:rFonts w:ascii="Verdana" w:eastAsia="Calibri" w:hAnsi="Verdana" w:cs="Arial"/>
        </w:rPr>
        <w:t>iv</w:t>
      </w:r>
      <w:proofErr w:type="spellEnd"/>
      <w:r w:rsidRPr="00ED416C">
        <w:rPr>
          <w:rFonts w:ascii="Verdana" w:eastAsia="Calibri" w:hAnsi="Verdana" w:cs="Arial"/>
        </w:rPr>
        <w:t>) los artículos 7 al 10 del Decreto 103 de 2015 –compilado en los artículos 2.1.1.1.1. al 2.1.1.6.1. del Decreto 1081 de 2015–.</w:t>
      </w:r>
    </w:p>
    <w:p w14:paraId="140DEF22" w14:textId="77777777" w:rsidR="00ED416C" w:rsidRPr="00ED416C" w:rsidRDefault="00ED416C" w:rsidP="00ED416C">
      <w:pPr>
        <w:pStyle w:val="Prrafodelista"/>
        <w:rPr>
          <w:rFonts w:ascii="Verdana" w:eastAsia="Calibri" w:hAnsi="Verdana" w:cs="Arial"/>
        </w:rPr>
      </w:pPr>
    </w:p>
    <w:p w14:paraId="4AA0C0B6" w14:textId="1D3A3605" w:rsidR="00ED416C" w:rsidRDefault="00ED416C" w:rsidP="00F07CB0">
      <w:pPr>
        <w:pStyle w:val="Prrafodelista"/>
        <w:numPr>
          <w:ilvl w:val="0"/>
          <w:numId w:val="27"/>
        </w:numPr>
        <w:jc w:val="both"/>
        <w:rPr>
          <w:rFonts w:ascii="Verdana" w:eastAsia="Calibri" w:hAnsi="Verdana" w:cs="Arial"/>
        </w:rPr>
      </w:pPr>
      <w:r w:rsidRPr="00ED416C">
        <w:rPr>
          <w:rFonts w:ascii="Verdana" w:eastAsia="Calibri" w:hAnsi="Verdana" w:cs="Arial"/>
        </w:rPr>
        <w:t>Así las cosas, dado que el artículo 53 de la Ley 2195 de 2022 complementó las disposiciones ya establecidas en la Ley 1150 de 2007, la lectura que se haga de dicho artículo debe efectuarse de forma sistemática.  En este sentido, debe señalarse que contratación con cargo a recursos públicos es un concepto al que alude expresamente la Ley 1150 de 2007, incluso desde el mismo título, pues este indica que dicha Ley es “Por medio de la cual se introducen medidas para la eficiencia y la transparencia en la Ley 80 de 1993 y se dictan otras disposiciones generales sobre la contratación con Recursos Públicos”. Asimismo, la terminología contratación con cargo recursos públicos se encuentra en el artículo primero, al definir el ámbito de aplicación de sus disposiciones y en el literal c) del artículo 3 –del que surge el deber de publicar en el SECOP–, que expresamente establece que ese aparte del artículo se aplica a la “contratación realizada con dineros públicos”. Esta interpretación concuerda con el ámbito al que se encuentran destinadas las disposiciones del Título II de dicha norma, titulado “DISPOSICIONES GENERALES PARA LA CONTRATACION CON RECURSOS PUBLICOS”, en el cual se ubica el artículo 13 que fue modificado por el artículo 53 de la Ley 2195 de 2022.</w:t>
      </w:r>
    </w:p>
    <w:p w14:paraId="566AE2C8" w14:textId="77777777" w:rsidR="00C65E24" w:rsidRDefault="00C65E24" w:rsidP="00C65E24">
      <w:pPr>
        <w:pStyle w:val="Prrafodelista"/>
        <w:jc w:val="both"/>
        <w:rPr>
          <w:rFonts w:ascii="Verdana" w:eastAsia="Calibri" w:hAnsi="Verdana" w:cs="Arial"/>
        </w:rPr>
      </w:pPr>
    </w:p>
    <w:p w14:paraId="10CC0DA0" w14:textId="77777777" w:rsidR="00C65E24" w:rsidRPr="00C65E24" w:rsidRDefault="00C65E24" w:rsidP="00C65E24">
      <w:pPr>
        <w:pStyle w:val="Prrafodelista"/>
        <w:numPr>
          <w:ilvl w:val="0"/>
          <w:numId w:val="27"/>
        </w:numPr>
        <w:jc w:val="both"/>
        <w:rPr>
          <w:rFonts w:ascii="Verdana" w:eastAsia="Calibri" w:hAnsi="Verdana" w:cs="Arial"/>
        </w:rPr>
      </w:pPr>
      <w:r w:rsidRPr="00C65E24">
        <w:rPr>
          <w:rFonts w:ascii="Verdana" w:eastAsia="Calibri" w:hAnsi="Verdana" w:cs="Arial"/>
        </w:rPr>
        <w:t>Por otro lado, el Decreto 103, mediante el cual se reglamentó la Ley 1712 de 2014, y que fue compilado en los artículos 2.1.1.1.1. al 2.1.1.6.1. del Decreto 1081 de 2015–.  señala:</w:t>
      </w:r>
    </w:p>
    <w:p w14:paraId="7F3374C2" w14:textId="77777777" w:rsidR="00C65E24" w:rsidRPr="00C65E24" w:rsidRDefault="00C65E24" w:rsidP="00C65E24">
      <w:pPr>
        <w:pStyle w:val="Prrafodelista"/>
        <w:jc w:val="both"/>
        <w:rPr>
          <w:rFonts w:ascii="Verdana" w:eastAsia="Calibri" w:hAnsi="Verdana" w:cs="Arial"/>
        </w:rPr>
      </w:pPr>
      <w:r w:rsidRPr="00C65E24">
        <w:rPr>
          <w:rFonts w:ascii="Verdana" w:eastAsia="Calibri" w:hAnsi="Verdana" w:cs="Arial"/>
        </w:rPr>
        <w:t xml:space="preserve"> </w:t>
      </w:r>
    </w:p>
    <w:p w14:paraId="74133B2C" w14:textId="77777777" w:rsidR="00C65E24" w:rsidRPr="00CB72C1" w:rsidRDefault="00C65E24" w:rsidP="00CB72C1">
      <w:pPr>
        <w:pStyle w:val="Prrafodelista"/>
        <w:spacing w:after="0" w:line="240" w:lineRule="auto"/>
        <w:ind w:left="1134" w:right="357"/>
        <w:jc w:val="both"/>
        <w:rPr>
          <w:rFonts w:ascii="Verdana" w:eastAsia="Calibri" w:hAnsi="Verdana" w:cs="Arial"/>
          <w:i/>
          <w:iCs/>
          <w:sz w:val="20"/>
          <w:szCs w:val="20"/>
        </w:rPr>
      </w:pPr>
      <w:r w:rsidRPr="00CB72C1">
        <w:rPr>
          <w:rFonts w:ascii="Verdana" w:eastAsia="Calibri" w:hAnsi="Verdana" w:cs="Arial"/>
          <w:i/>
          <w:iCs/>
          <w:sz w:val="20"/>
          <w:szCs w:val="20"/>
        </w:rPr>
        <w:t xml:space="preserve">“Artículo 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20D1FB33" w14:textId="77777777" w:rsidR="00C65E24" w:rsidRPr="00CB72C1" w:rsidRDefault="00C65E24" w:rsidP="00CB72C1">
      <w:pPr>
        <w:pStyle w:val="Prrafodelista"/>
        <w:spacing w:after="0" w:line="240" w:lineRule="auto"/>
        <w:ind w:left="1134" w:right="357"/>
        <w:jc w:val="both"/>
        <w:rPr>
          <w:rFonts w:ascii="Verdana" w:eastAsia="Calibri" w:hAnsi="Verdana" w:cs="Arial"/>
          <w:i/>
          <w:iCs/>
          <w:sz w:val="20"/>
          <w:szCs w:val="20"/>
        </w:rPr>
      </w:pPr>
      <w:r w:rsidRPr="00CB72C1">
        <w:rPr>
          <w:rFonts w:ascii="Verdana" w:eastAsia="Calibri" w:hAnsi="Verdana" w:cs="Arial"/>
          <w:i/>
          <w:iCs/>
          <w:sz w:val="20"/>
          <w:szCs w:val="20"/>
        </w:rPr>
        <w:t xml:space="preserve">  </w:t>
      </w:r>
    </w:p>
    <w:p w14:paraId="329EA2E1" w14:textId="77777777" w:rsidR="00C65E24" w:rsidRPr="00CB72C1" w:rsidRDefault="00C65E24" w:rsidP="00CB72C1">
      <w:pPr>
        <w:pStyle w:val="Prrafodelista"/>
        <w:spacing w:after="0" w:line="240" w:lineRule="auto"/>
        <w:ind w:left="1134" w:right="357"/>
        <w:jc w:val="both"/>
        <w:rPr>
          <w:rFonts w:ascii="Verdana" w:eastAsia="Calibri" w:hAnsi="Verdana" w:cs="Arial"/>
          <w:i/>
          <w:iCs/>
          <w:sz w:val="20"/>
          <w:szCs w:val="20"/>
        </w:rPr>
      </w:pPr>
      <w:r w:rsidRPr="00CB72C1">
        <w:rPr>
          <w:rFonts w:ascii="Verdana" w:eastAsia="Calibri" w:hAnsi="Verdana" w:cs="Arial"/>
          <w:i/>
          <w:iCs/>
          <w:sz w:val="20"/>
          <w:szCs w:val="20"/>
        </w:rPr>
        <w:t xml:space="preserve">Los sujetos obligados que contratan con cargo a recursos públicos deben publicar la información de su gestión contractual en el plazo previsto en </w:t>
      </w:r>
      <w:r w:rsidRPr="00CB72C1">
        <w:rPr>
          <w:rFonts w:ascii="Verdana" w:eastAsia="Calibri" w:hAnsi="Verdana" w:cs="Arial"/>
          <w:i/>
          <w:iCs/>
          <w:sz w:val="20"/>
          <w:szCs w:val="20"/>
        </w:rPr>
        <w:lastRenderedPageBreak/>
        <w:t xml:space="preserve">el artículo 19 del Decreto 1510 de 2013, o el que lo modifique, sustituya o adicione. </w:t>
      </w:r>
    </w:p>
    <w:p w14:paraId="0ADB52EE" w14:textId="77777777" w:rsidR="00C65E24" w:rsidRPr="00CB72C1" w:rsidRDefault="00C65E24" w:rsidP="00CB72C1">
      <w:pPr>
        <w:pStyle w:val="Prrafodelista"/>
        <w:spacing w:after="0" w:line="240" w:lineRule="auto"/>
        <w:ind w:left="1134" w:right="357"/>
        <w:jc w:val="both"/>
        <w:rPr>
          <w:rFonts w:ascii="Verdana" w:eastAsia="Calibri" w:hAnsi="Verdana" w:cs="Arial"/>
          <w:i/>
          <w:iCs/>
          <w:sz w:val="20"/>
          <w:szCs w:val="20"/>
        </w:rPr>
      </w:pPr>
      <w:r w:rsidRPr="00CB72C1">
        <w:rPr>
          <w:rFonts w:ascii="Verdana" w:eastAsia="Calibri" w:hAnsi="Verdana" w:cs="Arial"/>
          <w:i/>
          <w:iCs/>
          <w:sz w:val="20"/>
          <w:szCs w:val="20"/>
        </w:rPr>
        <w:t xml:space="preserve">  </w:t>
      </w:r>
    </w:p>
    <w:p w14:paraId="308B389B" w14:textId="34AB40CD" w:rsidR="00C65E24" w:rsidRPr="00CB72C1" w:rsidRDefault="00C65E24" w:rsidP="00CB72C1">
      <w:pPr>
        <w:pStyle w:val="Prrafodelista"/>
        <w:spacing w:after="0" w:line="240" w:lineRule="auto"/>
        <w:ind w:left="1134" w:right="357"/>
        <w:jc w:val="both"/>
        <w:rPr>
          <w:rFonts w:ascii="Verdana" w:eastAsia="Calibri" w:hAnsi="Verdana" w:cs="Arial"/>
          <w:i/>
          <w:iCs/>
          <w:sz w:val="20"/>
          <w:szCs w:val="20"/>
        </w:rPr>
      </w:pPr>
      <w:r w:rsidRPr="00CB72C1">
        <w:rPr>
          <w:rFonts w:ascii="Verdana" w:eastAsia="Calibri" w:hAnsi="Verdana" w:cs="Arial"/>
          <w:i/>
          <w:iCs/>
          <w:sz w:val="20"/>
          <w:szCs w:val="20"/>
        </w:rPr>
        <w:t>Los sujetos obligados que contratan con recursos públicos y recursos privados deben publicar la información de su gestión contractual con cargo a recursos públicos en el Sistema Electrónico para la Contratación Pública (Secop)”.</w:t>
      </w:r>
    </w:p>
    <w:p w14:paraId="6CCE9196" w14:textId="77777777" w:rsidR="00C65E24" w:rsidRDefault="00C65E24" w:rsidP="00C65E24">
      <w:pPr>
        <w:pStyle w:val="Prrafodelista"/>
        <w:ind w:left="1416"/>
        <w:jc w:val="both"/>
        <w:rPr>
          <w:rFonts w:ascii="Verdana" w:eastAsia="Calibri" w:hAnsi="Verdana" w:cs="Arial"/>
          <w:sz w:val="21"/>
          <w:szCs w:val="21"/>
        </w:rPr>
      </w:pPr>
    </w:p>
    <w:p w14:paraId="072E94A7" w14:textId="1A4CE03A" w:rsidR="00F7242F" w:rsidRDefault="00C65E24" w:rsidP="00C65E24">
      <w:pPr>
        <w:pStyle w:val="Prrafodelista"/>
        <w:numPr>
          <w:ilvl w:val="0"/>
          <w:numId w:val="29"/>
        </w:numPr>
        <w:jc w:val="both"/>
        <w:rPr>
          <w:rFonts w:ascii="Verdana" w:eastAsia="Calibri" w:hAnsi="Verdana" w:cs="Arial"/>
        </w:rPr>
      </w:pPr>
      <w:r w:rsidRPr="00C65E24">
        <w:rPr>
          <w:rFonts w:ascii="Verdana" w:eastAsia="Calibri" w:hAnsi="Verdana" w:cs="Arial"/>
        </w:rPr>
        <w:t>El artículo 53 de la Ley 2195 de 2022 complementa el artículo 3 de la Ley 1150 de 2007, indicando que la información contractual que debe publicarse en el SECOP II es aquella relacionada con contratos financiados con recursos públicos. La Agencia Nacional de Contratación Pública – Colombia Compra Eficiente sostiene que esta modificación no cambia la interpretación vigente: solo se debe publicar en el SECOP la información de contratos financiados con recursos públicos.</w:t>
      </w:r>
    </w:p>
    <w:p w14:paraId="50B955A4" w14:textId="77777777" w:rsidR="00997094" w:rsidRDefault="00997094" w:rsidP="00997094">
      <w:pPr>
        <w:pStyle w:val="Prrafodelista"/>
        <w:jc w:val="both"/>
        <w:rPr>
          <w:rFonts w:ascii="Verdana" w:eastAsia="Calibri" w:hAnsi="Verdana" w:cs="Arial"/>
        </w:rPr>
      </w:pPr>
    </w:p>
    <w:p w14:paraId="286156F0" w14:textId="1D9956DD" w:rsidR="00997094" w:rsidRPr="00997094" w:rsidRDefault="00997094" w:rsidP="00997094">
      <w:pPr>
        <w:jc w:val="both"/>
        <w:rPr>
          <w:rFonts w:ascii="Verdana" w:eastAsia="Calibri" w:hAnsi="Verdana" w:cs="Arial"/>
          <w:b/>
          <w:bCs/>
        </w:rPr>
      </w:pPr>
      <w:r w:rsidRPr="00B81A1E">
        <w:rPr>
          <w:rFonts w:ascii="Verdana" w:eastAsia="Calibri" w:hAnsi="Verdana" w:cs="Arial"/>
          <w:b/>
          <w:bCs/>
        </w:rPr>
        <w:t>4. Referencias normativas, jurisprudenciales y otras fuentes:</w:t>
      </w:r>
    </w:p>
    <w:tbl>
      <w:tblPr>
        <w:tblStyle w:val="Tablaconcuadrcula1"/>
        <w:tblW w:w="864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0"/>
      </w:tblGrid>
      <w:tr w:rsidR="00F7242F" w:rsidRPr="008A48B1" w14:paraId="7CC315D7" w14:textId="77777777" w:rsidTr="00901ADF">
        <w:trPr>
          <w:trHeight w:val="870"/>
        </w:trPr>
        <w:tc>
          <w:tcPr>
            <w:tcW w:w="8647" w:type="dxa"/>
            <w:tcBorders>
              <w:top w:val="dotted" w:sz="4" w:space="0" w:color="auto"/>
              <w:left w:val="dotted" w:sz="4" w:space="0" w:color="auto"/>
              <w:bottom w:val="dotted" w:sz="4" w:space="0" w:color="auto"/>
              <w:right w:val="dotted" w:sz="4" w:space="0" w:color="auto"/>
            </w:tcBorders>
          </w:tcPr>
          <w:p w14:paraId="6A9AC212" w14:textId="083AEEF6" w:rsidR="00050FF9" w:rsidRDefault="00050FF9" w:rsidP="00050FF9">
            <w:pPr>
              <w:widowControl w:val="0"/>
              <w:numPr>
                <w:ilvl w:val="0"/>
                <w:numId w:val="19"/>
              </w:numPr>
              <w:autoSpaceDE w:val="0"/>
              <w:autoSpaceDN w:val="0"/>
              <w:spacing w:line="276" w:lineRule="auto"/>
              <w:contextualSpacing/>
              <w:jc w:val="both"/>
              <w:rPr>
                <w:rFonts w:ascii="Verdana" w:hAnsi="Verdana" w:cs="Arial"/>
              </w:rPr>
            </w:pPr>
            <w:r>
              <w:rPr>
                <w:rFonts w:ascii="Verdana" w:hAnsi="Verdana" w:cs="Arial"/>
              </w:rPr>
              <w:t>Ley 2195 de 2022,</w:t>
            </w:r>
            <w:r w:rsidR="00CC2AFE">
              <w:rPr>
                <w:rFonts w:ascii="Verdana" w:hAnsi="Verdana" w:cs="Arial"/>
              </w:rPr>
              <w:t xml:space="preserve"> articulo 53.</w:t>
            </w:r>
          </w:p>
          <w:p w14:paraId="523E81F1" w14:textId="29712D8F" w:rsidR="00050FF9" w:rsidRDefault="00050FF9" w:rsidP="00050FF9">
            <w:pPr>
              <w:widowControl w:val="0"/>
              <w:numPr>
                <w:ilvl w:val="0"/>
                <w:numId w:val="19"/>
              </w:numPr>
              <w:autoSpaceDE w:val="0"/>
              <w:autoSpaceDN w:val="0"/>
              <w:spacing w:line="276" w:lineRule="auto"/>
              <w:contextualSpacing/>
              <w:jc w:val="both"/>
              <w:rPr>
                <w:rFonts w:ascii="Verdana" w:hAnsi="Verdana" w:cs="Arial"/>
              </w:rPr>
            </w:pPr>
            <w:r>
              <w:rPr>
                <w:rFonts w:ascii="Verdana" w:hAnsi="Verdana" w:cs="Arial"/>
              </w:rPr>
              <w:t xml:space="preserve">Ley 80 de 1993, </w:t>
            </w:r>
            <w:r w:rsidR="00CC2AFE">
              <w:rPr>
                <w:rFonts w:ascii="Verdana" w:hAnsi="Verdana" w:cs="Arial"/>
              </w:rPr>
              <w:t>articulo 3 numeral 30.</w:t>
            </w:r>
          </w:p>
          <w:p w14:paraId="5262B759" w14:textId="2DB2E9FB" w:rsidR="00050FF9" w:rsidRDefault="00050FF9" w:rsidP="00050FF9">
            <w:pPr>
              <w:widowControl w:val="0"/>
              <w:numPr>
                <w:ilvl w:val="0"/>
                <w:numId w:val="19"/>
              </w:numPr>
              <w:autoSpaceDE w:val="0"/>
              <w:autoSpaceDN w:val="0"/>
              <w:spacing w:line="276" w:lineRule="auto"/>
              <w:contextualSpacing/>
              <w:jc w:val="both"/>
              <w:rPr>
                <w:rFonts w:ascii="Verdana" w:hAnsi="Verdana" w:cs="Arial"/>
              </w:rPr>
            </w:pPr>
            <w:r>
              <w:rPr>
                <w:rFonts w:ascii="Verdana" w:hAnsi="Verdana" w:cs="Arial"/>
              </w:rPr>
              <w:t>Ley 1150 de 2007,</w:t>
            </w:r>
            <w:r w:rsidR="00CC2AFE">
              <w:rPr>
                <w:rFonts w:ascii="Verdana" w:hAnsi="Verdana" w:cs="Arial"/>
              </w:rPr>
              <w:t xml:space="preserve"> articulo 3, articulo 13, articulo 9 literal e, articulo 11 literal g.</w:t>
            </w:r>
          </w:p>
          <w:p w14:paraId="08BBB7AB" w14:textId="5CAE0ECF" w:rsidR="00050FF9" w:rsidRDefault="00050FF9" w:rsidP="00050FF9">
            <w:pPr>
              <w:widowControl w:val="0"/>
              <w:numPr>
                <w:ilvl w:val="0"/>
                <w:numId w:val="19"/>
              </w:numPr>
              <w:autoSpaceDE w:val="0"/>
              <w:autoSpaceDN w:val="0"/>
              <w:spacing w:line="276" w:lineRule="auto"/>
              <w:contextualSpacing/>
              <w:jc w:val="both"/>
              <w:rPr>
                <w:rFonts w:ascii="Verdana" w:hAnsi="Verdana" w:cs="Arial"/>
              </w:rPr>
            </w:pPr>
            <w:r w:rsidRPr="00050FF9">
              <w:rPr>
                <w:rFonts w:ascii="Verdana" w:hAnsi="Verdana" w:cs="Arial"/>
              </w:rPr>
              <w:t xml:space="preserve">Ley </w:t>
            </w:r>
            <w:r>
              <w:rPr>
                <w:rFonts w:ascii="Verdana" w:hAnsi="Verdana" w:cs="Arial"/>
              </w:rPr>
              <w:t>1712 de 2014,</w:t>
            </w:r>
            <w:r w:rsidR="00CC2AFE">
              <w:rPr>
                <w:rFonts w:ascii="Verdana" w:hAnsi="Verdana" w:cs="Arial"/>
              </w:rPr>
              <w:t xml:space="preserve"> </w:t>
            </w:r>
            <w:r w:rsidR="008C5945">
              <w:rPr>
                <w:rFonts w:ascii="Verdana" w:hAnsi="Verdana" w:cs="Arial"/>
              </w:rPr>
              <w:t>articulo 2, articulo 3, articulo 9 literal e, articulo 5, articulo 11 literal g.</w:t>
            </w:r>
          </w:p>
          <w:p w14:paraId="692C1565" w14:textId="77777777" w:rsidR="008C5945" w:rsidRDefault="00CC2AFE" w:rsidP="008C5945">
            <w:pPr>
              <w:widowControl w:val="0"/>
              <w:numPr>
                <w:ilvl w:val="0"/>
                <w:numId w:val="19"/>
              </w:numPr>
              <w:autoSpaceDE w:val="0"/>
              <w:autoSpaceDN w:val="0"/>
              <w:spacing w:line="276" w:lineRule="auto"/>
              <w:contextualSpacing/>
              <w:jc w:val="both"/>
              <w:rPr>
                <w:rFonts w:ascii="Verdana" w:hAnsi="Verdana" w:cs="Arial"/>
              </w:rPr>
            </w:pPr>
            <w:r>
              <w:rPr>
                <w:rFonts w:ascii="Verdana" w:hAnsi="Verdana" w:cs="Arial"/>
              </w:rPr>
              <w:t xml:space="preserve">Decreto 1081 de 2015, </w:t>
            </w:r>
            <w:r w:rsidR="008C5945">
              <w:rPr>
                <w:rFonts w:ascii="Verdana" w:hAnsi="Verdana" w:cs="Arial"/>
              </w:rPr>
              <w:t>articulo 2.1.1.2.1.7., articulo 2.1.1.1.1., articulo 2.1.1.6.1.</w:t>
            </w:r>
          </w:p>
          <w:p w14:paraId="7EB3EEE7" w14:textId="77777777" w:rsidR="008C5945" w:rsidRDefault="008C5945" w:rsidP="008C5945">
            <w:pPr>
              <w:widowControl w:val="0"/>
              <w:numPr>
                <w:ilvl w:val="0"/>
                <w:numId w:val="19"/>
              </w:numPr>
              <w:autoSpaceDE w:val="0"/>
              <w:autoSpaceDN w:val="0"/>
              <w:spacing w:line="276" w:lineRule="auto"/>
              <w:contextualSpacing/>
              <w:jc w:val="both"/>
              <w:rPr>
                <w:rFonts w:ascii="Verdana" w:hAnsi="Verdana" w:cs="Arial"/>
              </w:rPr>
            </w:pPr>
            <w:r>
              <w:rPr>
                <w:rFonts w:ascii="Verdana" w:hAnsi="Verdana" w:cs="Arial"/>
              </w:rPr>
              <w:t xml:space="preserve">“Guía para las entidades estatales con régimen especial de contratación” de la Agencia Nacional de Contratación Pública – Colombia compra eficiente – el cual se puede encontrar en el siguiente link: </w:t>
            </w:r>
          </w:p>
          <w:p w14:paraId="24B055D1" w14:textId="77777777" w:rsidR="008C5945" w:rsidRDefault="00102BED" w:rsidP="008C5945">
            <w:pPr>
              <w:widowControl w:val="0"/>
              <w:autoSpaceDE w:val="0"/>
              <w:autoSpaceDN w:val="0"/>
              <w:spacing w:line="276" w:lineRule="auto"/>
              <w:ind w:left="720"/>
              <w:contextualSpacing/>
              <w:jc w:val="both"/>
              <w:rPr>
                <w:rFonts w:ascii="Verdana" w:hAnsi="Verdana" w:cs="Arial"/>
              </w:rPr>
            </w:pPr>
            <w:hyperlink r:id="rId13" w:history="1">
              <w:r w:rsidR="008C5945" w:rsidRPr="00841B97">
                <w:rPr>
                  <w:rStyle w:val="Hipervnculo"/>
                  <w:rFonts w:ascii="Verdana" w:hAnsi="Verdana" w:cs="Arial"/>
                </w:rPr>
                <w:t>https://colombiacompra.gov.co/sites/cce_public/files/cce_documents/cce_guia_regimen_especial.pdf</w:t>
              </w:r>
            </w:hyperlink>
            <w:r w:rsidR="008C5945">
              <w:rPr>
                <w:rFonts w:ascii="Verdana" w:hAnsi="Verdana" w:cs="Arial"/>
              </w:rPr>
              <w:t xml:space="preserve"> </w:t>
            </w:r>
          </w:p>
          <w:p w14:paraId="6D878E96" w14:textId="70306A64" w:rsidR="008C5945" w:rsidRDefault="008C5945" w:rsidP="008C5945">
            <w:pPr>
              <w:pStyle w:val="Prrafodelista"/>
              <w:widowControl w:val="0"/>
              <w:numPr>
                <w:ilvl w:val="0"/>
                <w:numId w:val="19"/>
              </w:numPr>
              <w:autoSpaceDE w:val="0"/>
              <w:autoSpaceDN w:val="0"/>
              <w:spacing w:line="276" w:lineRule="auto"/>
              <w:jc w:val="both"/>
              <w:rPr>
                <w:rFonts w:ascii="Verdana" w:hAnsi="Verdana" w:cs="Arial"/>
              </w:rPr>
            </w:pPr>
            <w:r>
              <w:rPr>
                <w:rFonts w:ascii="Verdana" w:hAnsi="Verdana" w:cs="Arial"/>
              </w:rPr>
              <w:t xml:space="preserve">“Circular 02 de 2022 de la función pública” la cual se puede encontrar en el siguiente link: </w:t>
            </w:r>
          </w:p>
          <w:p w14:paraId="696C59EF" w14:textId="3D9FB113" w:rsidR="008C5945" w:rsidRPr="008C5945" w:rsidRDefault="00102BED" w:rsidP="008C5945">
            <w:pPr>
              <w:pStyle w:val="Prrafodelista"/>
              <w:widowControl w:val="0"/>
              <w:autoSpaceDE w:val="0"/>
              <w:autoSpaceDN w:val="0"/>
              <w:spacing w:line="276" w:lineRule="auto"/>
              <w:jc w:val="both"/>
              <w:rPr>
                <w:rFonts w:ascii="Verdana" w:hAnsi="Verdana" w:cs="Arial"/>
              </w:rPr>
            </w:pPr>
            <w:hyperlink r:id="rId14" w:history="1">
              <w:r w:rsidR="008C5945" w:rsidRPr="00841B97">
                <w:rPr>
                  <w:rStyle w:val="Hipervnculo"/>
                  <w:rFonts w:ascii="Verdana" w:hAnsi="Verdana" w:cs="Arial"/>
                </w:rPr>
                <w:t>https://www.funcionpublica.gov.co/eva/gestornormativo/norma_pdf.php?i=187447</w:t>
              </w:r>
            </w:hyperlink>
            <w:r w:rsidR="008C5945">
              <w:rPr>
                <w:rFonts w:ascii="Verdana" w:hAnsi="Verdana" w:cs="Arial"/>
              </w:rPr>
              <w:t xml:space="preserve"> </w:t>
            </w:r>
          </w:p>
        </w:tc>
      </w:tr>
    </w:tbl>
    <w:p w14:paraId="6329C826" w14:textId="77777777" w:rsidR="00F7242F" w:rsidRPr="008A48B1" w:rsidRDefault="00F7242F" w:rsidP="00F7242F">
      <w:pPr>
        <w:widowControl w:val="0"/>
        <w:autoSpaceDE w:val="0"/>
        <w:autoSpaceDN w:val="0"/>
        <w:spacing w:after="0" w:line="276" w:lineRule="auto"/>
        <w:jc w:val="both"/>
        <w:rPr>
          <w:rFonts w:ascii="Verdana" w:eastAsia="Calibri" w:hAnsi="Verdana" w:cs="Arial"/>
        </w:rPr>
      </w:pPr>
    </w:p>
    <w:p w14:paraId="54F03B23" w14:textId="77777777" w:rsidR="00F7242F" w:rsidRPr="008A48B1" w:rsidRDefault="00F7242F" w:rsidP="00F7242F">
      <w:pPr>
        <w:numPr>
          <w:ilvl w:val="0"/>
          <w:numId w:val="18"/>
        </w:numPr>
        <w:tabs>
          <w:tab w:val="left" w:pos="142"/>
          <w:tab w:val="left" w:pos="284"/>
        </w:tabs>
        <w:spacing w:after="0" w:line="276" w:lineRule="auto"/>
        <w:ind w:left="0" w:firstLine="0"/>
        <w:contextualSpacing/>
        <w:jc w:val="both"/>
        <w:rPr>
          <w:rFonts w:ascii="Verdana" w:eastAsia="Century Gothic" w:hAnsi="Verdana" w:cs="Century Gothic"/>
          <w:b/>
          <w:bCs/>
          <w:lang w:val="es-ES"/>
        </w:rPr>
      </w:pPr>
      <w:r w:rsidRPr="008A48B1">
        <w:rPr>
          <w:rFonts w:ascii="Verdana" w:eastAsia="Century Gothic" w:hAnsi="Verdana" w:cs="Century Gothic"/>
          <w:b/>
          <w:bCs/>
          <w:lang w:val="es-ES"/>
        </w:rPr>
        <w:t>Doctrina de la Agencia Nacional de Contratación Pública:</w:t>
      </w:r>
    </w:p>
    <w:p w14:paraId="1F1985AF" w14:textId="77777777" w:rsidR="00F7242F" w:rsidRPr="008A48B1" w:rsidRDefault="00F7242F" w:rsidP="00F7242F">
      <w:pPr>
        <w:widowControl w:val="0"/>
        <w:autoSpaceDE w:val="0"/>
        <w:autoSpaceDN w:val="0"/>
        <w:spacing w:after="0" w:line="276" w:lineRule="auto"/>
        <w:jc w:val="both"/>
        <w:rPr>
          <w:rFonts w:ascii="Verdana" w:eastAsia="Calibri" w:hAnsi="Verdana" w:cs="Arial"/>
        </w:rPr>
      </w:pPr>
    </w:p>
    <w:p w14:paraId="75ED17A3" w14:textId="469F0209" w:rsidR="00F7242F" w:rsidRDefault="00F7242F" w:rsidP="00F7242F">
      <w:pPr>
        <w:widowControl w:val="0"/>
        <w:autoSpaceDE w:val="0"/>
        <w:autoSpaceDN w:val="0"/>
        <w:spacing w:after="0" w:line="276" w:lineRule="auto"/>
        <w:jc w:val="both"/>
        <w:rPr>
          <w:rFonts w:ascii="Verdana" w:eastAsia="Calibri" w:hAnsi="Verdana" w:cs="Arial"/>
          <w:shd w:val="clear" w:color="auto" w:fill="FFFFFF"/>
          <w:lang w:val="es-ES"/>
        </w:rPr>
      </w:pPr>
      <w:r w:rsidRPr="004C7017">
        <w:rPr>
          <w:rFonts w:ascii="Verdana" w:eastAsia="Calibri" w:hAnsi="Verdana" w:cs="Arial"/>
          <w:shd w:val="clear" w:color="auto" w:fill="FFFFFF"/>
        </w:rPr>
        <w:t xml:space="preserve">La Agencia Nacional de Contratación Pública − Colombia Compra Eficiente se ha pronunciado sobre </w:t>
      </w:r>
      <w:r>
        <w:rPr>
          <w:rFonts w:ascii="Verdana" w:eastAsia="Calibri" w:hAnsi="Verdana" w:cs="Arial"/>
          <w:shd w:val="clear" w:color="auto" w:fill="FFFFFF"/>
          <w:lang w:val="es-ES"/>
        </w:rPr>
        <w:t>e</w:t>
      </w:r>
      <w:r w:rsidRPr="00F7242F">
        <w:rPr>
          <w:rFonts w:ascii="Verdana" w:eastAsia="Calibri" w:hAnsi="Verdana" w:cs="Arial"/>
          <w:shd w:val="clear" w:color="auto" w:fill="FFFFFF"/>
          <w:lang w:val="es-ES"/>
        </w:rPr>
        <w:t xml:space="preserve">l deber y alcance de las entidades exceptuadas del Estatuto General de Contratación de la Administración Pública de publicar </w:t>
      </w:r>
      <w:r w:rsidRPr="00F7242F">
        <w:rPr>
          <w:rFonts w:ascii="Verdana" w:eastAsia="Calibri" w:hAnsi="Verdana" w:cs="Arial"/>
          <w:bCs/>
          <w:shd w:val="clear" w:color="auto" w:fill="FFFFFF"/>
          <w:lang w:val="es-MX"/>
        </w:rPr>
        <w:t>los documentos relacionados con su actividad contractual en el SECOP II</w:t>
      </w:r>
      <w:r w:rsidRPr="00F7242F">
        <w:rPr>
          <w:rFonts w:ascii="Verdana" w:eastAsia="Calibri" w:hAnsi="Verdana" w:cs="Arial"/>
          <w:bCs/>
          <w:shd w:val="clear" w:color="auto" w:fill="FFFFFF"/>
          <w:lang w:val="es-ES"/>
        </w:rPr>
        <w:t>,</w:t>
      </w:r>
      <w:r w:rsidRPr="00F7242F">
        <w:rPr>
          <w:rFonts w:ascii="Verdana" w:eastAsia="Calibri" w:hAnsi="Verdana" w:cs="Arial"/>
          <w:shd w:val="clear" w:color="auto" w:fill="FFFFFF"/>
          <w:lang w:val="es-ES"/>
        </w:rPr>
        <w:t xml:space="preserve"> estos fueron objeto de análisis y de estudio en los siguientes conceptos por parte de esta agencia:</w:t>
      </w:r>
    </w:p>
    <w:p w14:paraId="62A1FFDF" w14:textId="77777777" w:rsidR="00F7242F" w:rsidRPr="00F7242F" w:rsidRDefault="00F7242F" w:rsidP="00F7242F">
      <w:pPr>
        <w:widowControl w:val="0"/>
        <w:autoSpaceDE w:val="0"/>
        <w:autoSpaceDN w:val="0"/>
        <w:spacing w:after="0" w:line="276" w:lineRule="auto"/>
        <w:jc w:val="both"/>
        <w:rPr>
          <w:rFonts w:ascii="Verdana" w:eastAsia="Calibri" w:hAnsi="Verdana" w:cs="Arial"/>
          <w:shd w:val="clear" w:color="auto" w:fill="FFFFFF"/>
          <w:lang w:val="es-ES"/>
        </w:rPr>
      </w:pPr>
    </w:p>
    <w:p w14:paraId="312A477E" w14:textId="6F70BD2D" w:rsidR="00F7242F" w:rsidRPr="008A48B1" w:rsidRDefault="00F7242F" w:rsidP="00F7242F">
      <w:pPr>
        <w:widowControl w:val="0"/>
        <w:autoSpaceDE w:val="0"/>
        <w:autoSpaceDN w:val="0"/>
        <w:spacing w:after="0" w:line="276" w:lineRule="auto"/>
        <w:jc w:val="both"/>
        <w:rPr>
          <w:rFonts w:ascii="Verdana" w:eastAsia="Calibri" w:hAnsi="Verdana" w:cs="Arial"/>
          <w:shd w:val="clear" w:color="auto" w:fill="FFFFFF"/>
          <w:lang w:val="es-ES_tradnl"/>
        </w:rPr>
      </w:pPr>
      <w:r w:rsidRPr="00F7242F">
        <w:rPr>
          <w:rFonts w:ascii="Verdana" w:eastAsia="Calibri" w:hAnsi="Verdana" w:cs="Arial"/>
          <w:shd w:val="clear" w:color="auto" w:fill="FFFFFF"/>
          <w:lang w:val="es-ES"/>
        </w:rPr>
        <w:t>C- 909 del 05 de enero de 2023, C- 071 del 28 de marzo de 2023, C- 055 del 19 de abril de 2023, C- 130 del 18 de mayo de 2023, C- 196 del 15 de junio de 2023, C- 260 del 10 de julio de 2023, C- 270 del 12 de julio de 2023, C- 284 del 17 de julio de 2023, C- 229 del 27 de julio de 2023, C- 326 del 11 de agosto de 2023, C- 195 del 24 de agosto de 2023, C- 422 del 10 de octubre de 2023, C- 457 del 24 de octubre de 2023, C- 438 del 31 de octubre de 2023, C- 391 del 14 de noviembre de 2023, C- 460 del 30 de noviembre de 2023, CU- 007 del 16 de enero de 2024, C- 294 del 18 de enero de 2024, C- 017 del 26 de febrero de 2024, C- 041 del 29 de mayo de 2024, C- 055 del 09 de junio de 202</w:t>
      </w:r>
      <w:r>
        <w:rPr>
          <w:rFonts w:ascii="Verdana" w:eastAsia="Calibri" w:hAnsi="Verdana" w:cs="Arial"/>
          <w:shd w:val="clear" w:color="auto" w:fill="FFFFFF"/>
          <w:lang w:val="es-ES"/>
        </w:rPr>
        <w:t>4 y C-083 de 2024</w:t>
      </w:r>
      <w:r w:rsidRPr="008A48B1">
        <w:rPr>
          <w:rFonts w:ascii="Verdana" w:eastAsia="Calibri" w:hAnsi="Verdana" w:cs="Arial"/>
          <w:shd w:val="clear" w:color="auto" w:fill="FFFFFF"/>
        </w:rPr>
        <w:t xml:space="preserve">. </w:t>
      </w:r>
      <w:r w:rsidRPr="008A48B1">
        <w:rPr>
          <w:rFonts w:ascii="Verdana" w:eastAsia="Calibri" w:hAnsi="Verdana" w:cs="Arial"/>
          <w:shd w:val="clear" w:color="auto" w:fill="FFFFFF"/>
          <w:lang w:val="es-ES_tradnl"/>
        </w:rPr>
        <w:t>Algunas de las consideraciones de estos conceptos se reiteran y se complementan en lo pertinente para dar respuesta a su consulta.</w:t>
      </w:r>
    </w:p>
    <w:p w14:paraId="3E057A1A" w14:textId="77777777" w:rsidR="00F7242F" w:rsidRPr="008A48B1" w:rsidRDefault="00F7242F" w:rsidP="00F7242F">
      <w:pPr>
        <w:widowControl w:val="0"/>
        <w:autoSpaceDE w:val="0"/>
        <w:autoSpaceDN w:val="0"/>
        <w:spacing w:after="0" w:line="276" w:lineRule="auto"/>
        <w:jc w:val="both"/>
        <w:rPr>
          <w:rFonts w:ascii="Verdana" w:eastAsia="Calibri" w:hAnsi="Verdana" w:cs="Arial"/>
          <w:shd w:val="clear" w:color="auto" w:fill="FFFFFF"/>
          <w:lang w:val="es-ES_tradnl"/>
        </w:rPr>
      </w:pPr>
    </w:p>
    <w:p w14:paraId="7329FC4D" w14:textId="77777777" w:rsidR="00F7242F" w:rsidRPr="008A48B1" w:rsidRDefault="00F7242F" w:rsidP="00F7242F">
      <w:pPr>
        <w:widowControl w:val="0"/>
        <w:autoSpaceDE w:val="0"/>
        <w:autoSpaceDN w:val="0"/>
        <w:spacing w:after="0" w:line="276" w:lineRule="auto"/>
        <w:jc w:val="both"/>
        <w:rPr>
          <w:rFonts w:ascii="Calibri" w:eastAsia="Calibri" w:hAnsi="Calibri" w:cs="Times New Roman"/>
          <w:color w:val="FF0000"/>
          <w:lang w:val="es-ES"/>
        </w:rPr>
      </w:pPr>
      <w:r w:rsidRPr="008A48B1">
        <w:rPr>
          <w:rFonts w:ascii="Verdana" w:eastAsia="Calibri" w:hAnsi="Verdana" w:cs="Arial"/>
          <w:shd w:val="clear" w:color="auto" w:fill="FFFFFF"/>
          <w:lang w:val="es-ES"/>
        </w:rPr>
        <w:t>Es</w:t>
      </w:r>
      <w:r w:rsidRPr="008A48B1">
        <w:rPr>
          <w:rFonts w:ascii="Verdana" w:eastAsia="Calibri" w:hAnsi="Verdana" w:cs="Times New Roman"/>
        </w:rPr>
        <w:t>tos y otros conceptos se encuentran disponibles para consulta en el Sistema de relatoría de la Agencia, al cual se puede acceder a través del siguiente enlace:</w:t>
      </w:r>
      <w:r w:rsidRPr="008A48B1">
        <w:rPr>
          <w:rFonts w:ascii="Verdana" w:eastAsia="Calibri" w:hAnsi="Verdana" w:cs="Arial"/>
          <w:shd w:val="clear" w:color="auto" w:fill="FFFFFF"/>
          <w:lang w:val="es-ES"/>
        </w:rPr>
        <w:t xml:space="preserve"> </w:t>
      </w:r>
      <w:hyperlink r:id="rId15" w:history="1">
        <w:r w:rsidRPr="008A48B1">
          <w:rPr>
            <w:rFonts w:ascii="Verdana" w:eastAsia="Calibri" w:hAnsi="Verdana" w:cs="Arial"/>
            <w:color w:val="0563C1" w:themeColor="hyperlink"/>
            <w:u w:val="single"/>
            <w:shd w:val="clear" w:color="auto" w:fill="FFFFFF"/>
            <w:lang w:val="es-ES"/>
          </w:rPr>
          <w:t>https://relatoria.colombiacompra.gov.co/busqueda/conceptos</w:t>
        </w:r>
      </w:hyperlink>
      <w:r w:rsidRPr="008A48B1">
        <w:rPr>
          <w:rFonts w:ascii="Verdana" w:eastAsia="Calibri" w:hAnsi="Verdana" w:cs="Arial"/>
          <w:color w:val="FF0000"/>
          <w:shd w:val="clear" w:color="auto" w:fill="FFFFFF"/>
          <w:lang w:val="es-ES"/>
        </w:rPr>
        <w:t xml:space="preserve">. </w:t>
      </w:r>
    </w:p>
    <w:p w14:paraId="2CC11367" w14:textId="77777777" w:rsidR="00F7242F" w:rsidRPr="008A48B1" w:rsidRDefault="00F7242F" w:rsidP="00F7242F">
      <w:pPr>
        <w:spacing w:after="0" w:line="240" w:lineRule="auto"/>
        <w:jc w:val="both"/>
        <w:rPr>
          <w:rFonts w:ascii="Verdana" w:eastAsia="Calibri" w:hAnsi="Verdana" w:cs="Arial"/>
          <w:highlight w:val="yellow"/>
          <w:shd w:val="clear" w:color="auto" w:fill="FFFFFF"/>
        </w:rPr>
      </w:pPr>
    </w:p>
    <w:p w14:paraId="061232F5" w14:textId="77777777" w:rsidR="00F7242F" w:rsidRPr="008A48B1" w:rsidRDefault="00F7242F" w:rsidP="00F7242F">
      <w:pPr>
        <w:spacing w:after="0" w:line="240" w:lineRule="auto"/>
        <w:jc w:val="both"/>
        <w:rPr>
          <w:rFonts w:ascii="Verdana" w:eastAsia="Calibri" w:hAnsi="Verdana" w:cs="Arial"/>
          <w:shd w:val="clear" w:color="auto" w:fill="FFFFFF"/>
        </w:rPr>
      </w:pPr>
      <w:r w:rsidRPr="008A48B1">
        <w:rPr>
          <w:rFonts w:ascii="Verdana" w:eastAsia="Calibri" w:hAnsi="Verdana" w:cs="Arial"/>
          <w:shd w:val="clear" w:color="auto" w:fill="FFFFFF"/>
        </w:rPr>
        <w:t>"También le recomendamos consultar las versiones I y II de 2024 del Boletín de Relatoría de la Subdirección de Gestión Contractual, las cuales puede descargar en la página web de la Agencia: </w:t>
      </w:r>
      <w:hyperlink r:id="rId16" w:tgtFrame="_blank" w:tooltip="Dirección URL original: https://www.colombiacompra.gov.co/sala-de-prensa/boletin-digital. Haga clic o pulse si confía en este vínculo." w:history="1">
        <w:r w:rsidRPr="008A48B1">
          <w:rPr>
            <w:rFonts w:ascii="Verdana" w:eastAsia="Calibri" w:hAnsi="Verdana" w:cs="Arial"/>
            <w:u w:val="single"/>
            <w:shd w:val="clear" w:color="auto" w:fill="FFFFFF"/>
          </w:rPr>
          <w:t>https://www.colombiacompra.gov.co/sala-de-prensa/boletin-digital</w:t>
        </w:r>
      </w:hyperlink>
      <w:r w:rsidRPr="008A48B1">
        <w:rPr>
          <w:rFonts w:ascii="Verdana" w:eastAsia="Calibri" w:hAnsi="Verdana" w:cs="Arial"/>
          <w:shd w:val="clear" w:color="auto" w:fill="FFFFFF"/>
        </w:rPr>
        <w:t>."  </w:t>
      </w:r>
    </w:p>
    <w:p w14:paraId="0339A0FF" w14:textId="77777777" w:rsidR="00F7242F" w:rsidRPr="008A48B1" w:rsidRDefault="00F7242F" w:rsidP="00F7242F">
      <w:pPr>
        <w:spacing w:after="0" w:line="240" w:lineRule="auto"/>
        <w:jc w:val="both"/>
        <w:rPr>
          <w:rFonts w:ascii="Verdana" w:eastAsia="Calibri" w:hAnsi="Verdana" w:cs="Arial"/>
          <w:color w:val="FF0000"/>
          <w:shd w:val="clear" w:color="auto" w:fill="FFFFFF"/>
        </w:rPr>
      </w:pPr>
    </w:p>
    <w:p w14:paraId="54E20EC2" w14:textId="77777777" w:rsidR="00F7242F" w:rsidRPr="008A48B1" w:rsidRDefault="00F7242F" w:rsidP="00F7242F">
      <w:pPr>
        <w:spacing w:after="0" w:line="240" w:lineRule="auto"/>
        <w:jc w:val="both"/>
        <w:rPr>
          <w:rFonts w:ascii="Calibri" w:eastAsia="Calibri" w:hAnsi="Calibri" w:cs="Times New Roman"/>
        </w:rPr>
      </w:pPr>
      <w:r w:rsidRPr="008A48B1">
        <w:rPr>
          <w:rFonts w:ascii="Verdana" w:eastAsia="Calibri" w:hAnsi="Verdana" w:cs="Times New Roman"/>
        </w:rPr>
        <w:t xml:space="preserve">Por último, lo invitamos a seguirnos en las redes sociales en las cuales se difunde información institucional: </w:t>
      </w:r>
    </w:p>
    <w:p w14:paraId="7F5D0430" w14:textId="77777777" w:rsidR="00F7242F" w:rsidRPr="008A48B1" w:rsidRDefault="00F7242F" w:rsidP="00F7242F">
      <w:pPr>
        <w:spacing w:after="0" w:line="240" w:lineRule="auto"/>
        <w:jc w:val="both"/>
        <w:rPr>
          <w:rFonts w:ascii="Verdana" w:eastAsia="Calibri" w:hAnsi="Verdana" w:cs="Times New Roman"/>
        </w:rPr>
      </w:pPr>
    </w:p>
    <w:p w14:paraId="2E76A2DE" w14:textId="77777777" w:rsidR="00F7242F" w:rsidRPr="008A48B1" w:rsidRDefault="00F7242F" w:rsidP="00F7242F">
      <w:pPr>
        <w:spacing w:after="0" w:line="240" w:lineRule="auto"/>
        <w:jc w:val="both"/>
        <w:rPr>
          <w:rFonts w:ascii="Verdana" w:eastAsia="Calibri" w:hAnsi="Verdana" w:cs="Times New Roman"/>
        </w:rPr>
      </w:pPr>
      <w:r w:rsidRPr="008A48B1">
        <w:rPr>
          <w:rFonts w:ascii="Verdana" w:eastAsia="Calibri" w:hAnsi="Verdana" w:cs="Times New Roman"/>
        </w:rPr>
        <w:t xml:space="preserve">Twitter: </w:t>
      </w:r>
      <w:r w:rsidRPr="008A48B1">
        <w:rPr>
          <w:rFonts w:ascii="Verdana" w:eastAsia="Calibri" w:hAnsi="Verdana" w:cs="Times New Roman"/>
          <w:color w:val="4472C4" w:themeColor="accent1"/>
          <w:u w:val="single"/>
        </w:rPr>
        <w:t>@colombiacompra</w:t>
      </w:r>
      <w:r w:rsidRPr="008A48B1">
        <w:rPr>
          <w:rFonts w:ascii="Verdana" w:eastAsia="Calibri" w:hAnsi="Verdana" w:cs="Times New Roman"/>
          <w:color w:val="4472C4" w:themeColor="accent1"/>
        </w:rPr>
        <w:t xml:space="preserve"> </w:t>
      </w:r>
    </w:p>
    <w:p w14:paraId="1852FB30" w14:textId="77777777" w:rsidR="00F7242F" w:rsidRPr="008A48B1" w:rsidRDefault="00F7242F" w:rsidP="00F7242F">
      <w:pPr>
        <w:spacing w:after="0" w:line="240" w:lineRule="auto"/>
        <w:jc w:val="both"/>
        <w:rPr>
          <w:rFonts w:ascii="Verdana" w:eastAsia="Calibri" w:hAnsi="Verdana" w:cs="Times New Roman"/>
        </w:rPr>
      </w:pPr>
      <w:r w:rsidRPr="008A48B1">
        <w:rPr>
          <w:rFonts w:ascii="Verdana" w:eastAsia="Calibri" w:hAnsi="Verdana" w:cs="Times New Roman"/>
        </w:rPr>
        <w:t xml:space="preserve">Facebook: </w:t>
      </w:r>
      <w:proofErr w:type="spellStart"/>
      <w:r w:rsidRPr="008A48B1">
        <w:rPr>
          <w:rFonts w:ascii="Verdana" w:eastAsia="Calibri" w:hAnsi="Verdana" w:cs="Times New Roman"/>
          <w:color w:val="4472C4" w:themeColor="accent1"/>
          <w:u w:val="single"/>
        </w:rPr>
        <w:t>ColombiaCompraEficiente</w:t>
      </w:r>
      <w:proofErr w:type="spellEnd"/>
    </w:p>
    <w:p w14:paraId="427B206D" w14:textId="77777777" w:rsidR="00F7242F" w:rsidRPr="008A48B1" w:rsidRDefault="00F7242F" w:rsidP="00F7242F">
      <w:pPr>
        <w:spacing w:after="0" w:line="240" w:lineRule="auto"/>
        <w:jc w:val="both"/>
        <w:rPr>
          <w:rFonts w:ascii="Verdana" w:eastAsia="Calibri" w:hAnsi="Verdana" w:cs="Times New Roman"/>
        </w:rPr>
      </w:pPr>
      <w:r w:rsidRPr="008A48B1">
        <w:rPr>
          <w:rFonts w:ascii="Verdana" w:eastAsia="Calibri" w:hAnsi="Verdana" w:cs="Times New Roman"/>
        </w:rPr>
        <w:lastRenderedPageBreak/>
        <w:t xml:space="preserve">LinkedIn: </w:t>
      </w:r>
      <w:r w:rsidRPr="008A48B1">
        <w:rPr>
          <w:rFonts w:ascii="Verdana" w:eastAsia="Calibri" w:hAnsi="Verdana" w:cs="Times New Roman"/>
          <w:color w:val="4472C4" w:themeColor="accent1"/>
          <w:u w:val="single"/>
        </w:rPr>
        <w:t>Agencia Nacional de Contratación Pública - Colombia Compra Eficiente</w:t>
      </w:r>
      <w:r w:rsidRPr="008A48B1">
        <w:rPr>
          <w:rFonts w:ascii="Verdana" w:eastAsia="Calibri" w:hAnsi="Verdana" w:cs="Times New Roman"/>
          <w:color w:val="4472C4" w:themeColor="accent1"/>
        </w:rPr>
        <w:t xml:space="preserve"> </w:t>
      </w:r>
      <w:r w:rsidRPr="008A48B1">
        <w:rPr>
          <w:rFonts w:ascii="Verdana" w:eastAsia="Calibri" w:hAnsi="Verdana" w:cs="Times New Roman"/>
        </w:rPr>
        <w:t xml:space="preserve">Instagram: </w:t>
      </w:r>
      <w:r w:rsidRPr="008A48B1">
        <w:rPr>
          <w:rFonts w:ascii="Verdana" w:eastAsia="Calibri" w:hAnsi="Verdana" w:cs="Times New Roman"/>
          <w:color w:val="4472C4" w:themeColor="accent1"/>
          <w:u w:val="single"/>
        </w:rPr>
        <w:t>@colombiacompraeficiente_cce</w:t>
      </w:r>
    </w:p>
    <w:p w14:paraId="0897D416" w14:textId="77777777" w:rsidR="00F7242F" w:rsidRPr="008A48B1" w:rsidRDefault="00F7242F" w:rsidP="00F7242F">
      <w:pPr>
        <w:widowControl w:val="0"/>
        <w:autoSpaceDE w:val="0"/>
        <w:autoSpaceDN w:val="0"/>
        <w:spacing w:after="0" w:line="276" w:lineRule="auto"/>
        <w:jc w:val="both"/>
        <w:rPr>
          <w:rFonts w:ascii="Verdana" w:eastAsia="Calibri" w:hAnsi="Verdana" w:cs="Arial"/>
        </w:rPr>
      </w:pPr>
    </w:p>
    <w:p w14:paraId="43B00557" w14:textId="77777777" w:rsidR="00F7242F" w:rsidRPr="008A48B1" w:rsidRDefault="00F7242F" w:rsidP="00F7242F">
      <w:pPr>
        <w:widowControl w:val="0"/>
        <w:autoSpaceDE w:val="0"/>
        <w:autoSpaceDN w:val="0"/>
        <w:spacing w:after="0" w:line="276" w:lineRule="auto"/>
        <w:jc w:val="both"/>
        <w:rPr>
          <w:rFonts w:ascii="Verdana" w:eastAsia="Calibri" w:hAnsi="Verdana" w:cs="Arial"/>
          <w:lang w:val="es-ES_tradnl"/>
        </w:rPr>
      </w:pPr>
      <w:r w:rsidRPr="008A48B1">
        <w:rPr>
          <w:rFonts w:ascii="Verdana" w:eastAsia="Calibri" w:hAnsi="Verdana" w:cs="Arial"/>
        </w:rPr>
        <w:t>Este concepto tiene el alcance previsto en el artículo 28 del Código de Procedimiento Administrativo y de lo Contencioso Administrativo.</w:t>
      </w:r>
    </w:p>
    <w:p w14:paraId="52C9C108" w14:textId="77777777" w:rsidR="00F7242F" w:rsidRPr="008A48B1" w:rsidRDefault="00F7242F" w:rsidP="00F7242F">
      <w:pPr>
        <w:widowControl w:val="0"/>
        <w:autoSpaceDE w:val="0"/>
        <w:autoSpaceDN w:val="0"/>
        <w:spacing w:after="0" w:line="276" w:lineRule="auto"/>
        <w:jc w:val="both"/>
        <w:rPr>
          <w:rFonts w:ascii="Verdana" w:eastAsia="Calibri" w:hAnsi="Verdana" w:cs="Arial"/>
        </w:rPr>
      </w:pPr>
    </w:p>
    <w:p w14:paraId="20FF355D" w14:textId="77777777" w:rsidR="00F7242F" w:rsidRPr="008A48B1" w:rsidRDefault="00F7242F" w:rsidP="00F7242F">
      <w:pPr>
        <w:spacing w:after="0" w:line="240" w:lineRule="auto"/>
        <w:rPr>
          <w:rFonts w:ascii="Verdana" w:eastAsia="Calibri" w:hAnsi="Verdana" w:cs="Arial"/>
          <w:lang w:eastAsia="es-CO"/>
        </w:rPr>
      </w:pPr>
      <w:r w:rsidRPr="008A48B1">
        <w:rPr>
          <w:rFonts w:ascii="Verdana" w:eastAsia="Times New Roman" w:hAnsi="Verdana" w:cs="Arial"/>
          <w:lang w:eastAsia="es-CO"/>
        </w:rPr>
        <w:t>Atentamente,</w:t>
      </w:r>
      <w:r w:rsidRPr="008A48B1">
        <w:rPr>
          <w:rFonts w:ascii="Verdana" w:eastAsia="Calibri" w:hAnsi="Verdana" w:cs="Arial"/>
          <w:lang w:eastAsia="es-CO"/>
        </w:rPr>
        <w:t xml:space="preserve"> </w:t>
      </w:r>
    </w:p>
    <w:p w14:paraId="79AEE203" w14:textId="14BDFB83" w:rsidR="00F7242F" w:rsidRPr="008A48B1" w:rsidRDefault="00CB72C1" w:rsidP="00F7242F">
      <w:pPr>
        <w:spacing w:line="276" w:lineRule="auto"/>
        <w:jc w:val="center"/>
        <w:rPr>
          <w:rFonts w:ascii="Verdana" w:eastAsia="Calibri" w:hAnsi="Verdana" w:cs="Arial"/>
          <w:color w:val="000000"/>
          <w:lang w:val="es-ES_tradnl" w:eastAsia="es-CO"/>
        </w:rPr>
      </w:pPr>
      <w:r w:rsidRPr="002C3AD6">
        <w:rPr>
          <w:rFonts w:ascii="Century Gothic" w:hAnsi="Century Gothic"/>
          <w:noProof/>
        </w:rPr>
        <w:drawing>
          <wp:inline distT="0" distB="0" distL="0" distR="0" wp14:anchorId="57668171" wp14:editId="1280B661">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7"/>
                    <a:stretch>
                      <a:fillRect/>
                    </a:stretch>
                  </pic:blipFill>
                  <pic:spPr>
                    <a:xfrm>
                      <a:off x="0" y="0"/>
                      <a:ext cx="3772426" cy="1400370"/>
                    </a:xfrm>
                    <a:prstGeom prst="rect">
                      <a:avLst/>
                    </a:prstGeom>
                  </pic:spPr>
                </pic:pic>
              </a:graphicData>
            </a:graphic>
          </wp:inline>
        </w:drawing>
      </w:r>
    </w:p>
    <w:tbl>
      <w:tblPr>
        <w:tblStyle w:val="Tablaconcuadrcula1"/>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F7242F" w:rsidRPr="00B92B39" w14:paraId="00FA6155" w14:textId="77777777" w:rsidTr="00901ADF">
        <w:trPr>
          <w:trHeight w:val="315"/>
        </w:trPr>
        <w:tc>
          <w:tcPr>
            <w:tcW w:w="893" w:type="dxa"/>
            <w:vAlign w:val="center"/>
            <w:hideMark/>
          </w:tcPr>
          <w:p w14:paraId="452173E4" w14:textId="77777777" w:rsidR="00F7242F" w:rsidRPr="00B92B39" w:rsidRDefault="00F7242F" w:rsidP="00901ADF">
            <w:pPr>
              <w:spacing w:after="255"/>
              <w:contextualSpacing/>
              <w:rPr>
                <w:rFonts w:ascii="Verdana" w:hAnsi="Verdana" w:cs="Arial"/>
                <w:sz w:val="16"/>
                <w:szCs w:val="16"/>
                <w:lang w:val="es-ES" w:eastAsia="es-ES"/>
              </w:rPr>
            </w:pPr>
            <w:r w:rsidRPr="00B92B39">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2F67D3C3" w14:textId="77777777" w:rsidR="00F7242F" w:rsidRPr="00B92B39" w:rsidRDefault="00F7242F" w:rsidP="00901ADF">
            <w:pPr>
              <w:spacing w:after="255"/>
              <w:contextualSpacing/>
              <w:rPr>
                <w:rFonts w:ascii="Verdana" w:eastAsia="Arial" w:hAnsi="Verdana" w:cs="Arial"/>
                <w:sz w:val="16"/>
                <w:szCs w:val="16"/>
              </w:rPr>
            </w:pPr>
            <w:r w:rsidRPr="00B92B39">
              <w:rPr>
                <w:rFonts w:ascii="Verdana" w:hAnsi="Verdana"/>
                <w:sz w:val="16"/>
                <w:szCs w:val="16"/>
              </w:rPr>
              <w:t>Juan Manuel Avendaño Robles</w:t>
            </w:r>
          </w:p>
          <w:p w14:paraId="3D33A2D4" w14:textId="77777777" w:rsidR="00F7242F" w:rsidRPr="00B92B39" w:rsidRDefault="00F7242F" w:rsidP="00901ADF">
            <w:pPr>
              <w:spacing w:after="255"/>
              <w:contextualSpacing/>
              <w:rPr>
                <w:rFonts w:ascii="Verdana" w:eastAsia="Arial" w:hAnsi="Verdana" w:cs="Arial"/>
                <w:sz w:val="16"/>
                <w:szCs w:val="16"/>
              </w:rPr>
            </w:pPr>
            <w:r w:rsidRPr="00B92B39">
              <w:rPr>
                <w:rFonts w:ascii="Verdana" w:eastAsia="Arial" w:hAnsi="Verdana" w:cs="Arial"/>
                <w:sz w:val="16"/>
                <w:szCs w:val="16"/>
              </w:rPr>
              <w:t>Contratista de la Subdirección de Gestión Contractual</w:t>
            </w:r>
          </w:p>
        </w:tc>
      </w:tr>
      <w:tr w:rsidR="00F7242F" w:rsidRPr="00B92B39" w14:paraId="24C228BD" w14:textId="77777777" w:rsidTr="00901ADF">
        <w:trPr>
          <w:trHeight w:val="330"/>
        </w:trPr>
        <w:tc>
          <w:tcPr>
            <w:tcW w:w="893" w:type="dxa"/>
            <w:vAlign w:val="center"/>
            <w:hideMark/>
          </w:tcPr>
          <w:p w14:paraId="2074A3D7" w14:textId="77777777" w:rsidR="00F7242F" w:rsidRPr="00B92B39" w:rsidRDefault="00F7242F" w:rsidP="00901ADF">
            <w:pPr>
              <w:spacing w:after="255"/>
              <w:contextualSpacing/>
              <w:rPr>
                <w:rFonts w:ascii="Verdana" w:hAnsi="Verdana" w:cs="Arial"/>
                <w:sz w:val="16"/>
                <w:szCs w:val="16"/>
                <w:lang w:val="es-ES" w:eastAsia="es-ES"/>
              </w:rPr>
            </w:pPr>
            <w:r w:rsidRPr="00B92B39">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35BE3E28" w14:textId="1A316EE9" w:rsidR="00F7242F" w:rsidRPr="00A0416A" w:rsidRDefault="000C5307" w:rsidP="00901ADF">
            <w:pPr>
              <w:spacing w:after="255"/>
              <w:contextualSpacing/>
              <w:textAlignment w:val="baseline"/>
              <w:rPr>
                <w:rFonts w:ascii="Verdana" w:eastAsia="Times New Roman" w:hAnsi="Verdana" w:cs="Arial"/>
                <w:sz w:val="16"/>
                <w:szCs w:val="16"/>
                <w:lang w:eastAsia="es-ES_tradnl"/>
              </w:rPr>
            </w:pPr>
            <w:r>
              <w:rPr>
                <w:rFonts w:ascii="Verdana" w:eastAsia="Times New Roman" w:hAnsi="Verdana" w:cs="Arial"/>
                <w:sz w:val="16"/>
                <w:szCs w:val="16"/>
                <w:lang w:val="es-ES" w:eastAsia="es-ES_tradnl"/>
              </w:rPr>
              <w:t>Adriana Katerine López Rodriguez</w:t>
            </w:r>
          </w:p>
          <w:p w14:paraId="5E635BB5" w14:textId="510BBC45" w:rsidR="00F7242F" w:rsidRPr="00B92B39" w:rsidRDefault="000C5307" w:rsidP="00901ADF">
            <w:pPr>
              <w:contextualSpacing/>
              <w:textAlignment w:val="baseline"/>
              <w:rPr>
                <w:rFonts w:ascii="Verdana" w:eastAsia="Times New Roman" w:hAnsi="Verdana" w:cs="Segoe UI"/>
                <w:sz w:val="16"/>
                <w:szCs w:val="16"/>
                <w:lang w:eastAsia="es-ES_tradnl"/>
              </w:rPr>
            </w:pPr>
            <w:r>
              <w:rPr>
                <w:rFonts w:ascii="Verdana" w:eastAsia="Times New Roman" w:hAnsi="Verdana" w:cs="Arial"/>
                <w:sz w:val="16"/>
                <w:szCs w:val="16"/>
                <w:lang w:eastAsia="es-ES_tradnl"/>
              </w:rPr>
              <w:t xml:space="preserve">Contratista </w:t>
            </w:r>
            <w:r w:rsidR="00F7242F" w:rsidRPr="00A0416A">
              <w:rPr>
                <w:rFonts w:ascii="Verdana" w:eastAsia="Times New Roman" w:hAnsi="Verdana" w:cs="Arial"/>
                <w:sz w:val="16"/>
                <w:szCs w:val="16"/>
                <w:lang w:eastAsia="es-ES_tradnl"/>
              </w:rPr>
              <w:t>de la Subdirección de Gestión Contractual</w:t>
            </w:r>
          </w:p>
        </w:tc>
      </w:tr>
      <w:tr w:rsidR="00F7242F" w:rsidRPr="00B92B39" w14:paraId="6EBB6417" w14:textId="77777777" w:rsidTr="00901ADF">
        <w:trPr>
          <w:trHeight w:val="300"/>
        </w:trPr>
        <w:tc>
          <w:tcPr>
            <w:tcW w:w="893" w:type="dxa"/>
            <w:vAlign w:val="center"/>
            <w:hideMark/>
          </w:tcPr>
          <w:p w14:paraId="47A1A969" w14:textId="77777777" w:rsidR="00F7242F" w:rsidRPr="00B92B39" w:rsidRDefault="00F7242F" w:rsidP="00901ADF">
            <w:pPr>
              <w:spacing w:after="255"/>
              <w:contextualSpacing/>
              <w:rPr>
                <w:rFonts w:ascii="Verdana" w:hAnsi="Verdana" w:cs="Arial"/>
                <w:sz w:val="16"/>
                <w:szCs w:val="16"/>
                <w:lang w:val="es-ES" w:eastAsia="es-ES"/>
              </w:rPr>
            </w:pPr>
            <w:r w:rsidRPr="00B92B39">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1FECF750" w14:textId="77777777" w:rsidR="00F7242F" w:rsidRPr="00B92B39" w:rsidRDefault="00F7242F" w:rsidP="00901ADF">
            <w:pPr>
              <w:spacing w:after="255"/>
              <w:contextualSpacing/>
              <w:rPr>
                <w:rFonts w:ascii="Verdana" w:hAnsi="Verdana" w:cs="Arial"/>
                <w:sz w:val="16"/>
                <w:szCs w:val="16"/>
                <w:lang w:val="pt-BR" w:eastAsia="es-ES"/>
              </w:rPr>
            </w:pPr>
            <w:r w:rsidRPr="00B92B39">
              <w:rPr>
                <w:rFonts w:ascii="Verdana" w:hAnsi="Verdana" w:cs="Arial"/>
                <w:sz w:val="16"/>
                <w:szCs w:val="16"/>
                <w:lang w:val="pt-BR" w:eastAsia="es-ES"/>
              </w:rPr>
              <w:t>Carolina Quintero Gacharná</w:t>
            </w:r>
          </w:p>
          <w:p w14:paraId="60D88D8E" w14:textId="77777777" w:rsidR="00F7242F" w:rsidRPr="00B92B39" w:rsidRDefault="00F7242F" w:rsidP="00901ADF">
            <w:pPr>
              <w:spacing w:after="255"/>
              <w:contextualSpacing/>
              <w:rPr>
                <w:rFonts w:ascii="Verdana" w:hAnsi="Verdana" w:cs="Arial"/>
                <w:sz w:val="16"/>
                <w:szCs w:val="16"/>
                <w:lang w:val="pt-BR" w:eastAsia="es-ES"/>
              </w:rPr>
            </w:pPr>
            <w:r w:rsidRPr="00B92B39">
              <w:rPr>
                <w:rFonts w:ascii="Verdana" w:hAnsi="Verdana" w:cs="Arial"/>
                <w:sz w:val="16"/>
                <w:szCs w:val="16"/>
                <w:lang w:eastAsia="es-ES"/>
              </w:rPr>
              <w:t>Subdirectora</w:t>
            </w:r>
            <w:r w:rsidRPr="00B92B39">
              <w:rPr>
                <w:rFonts w:ascii="Verdana" w:hAnsi="Verdana" w:cs="Arial"/>
                <w:sz w:val="16"/>
                <w:szCs w:val="16"/>
                <w:lang w:val="pt-BR" w:eastAsia="es-ES"/>
              </w:rPr>
              <w:t xml:space="preserve"> de Gestión Contractual ANCP – CCE</w:t>
            </w:r>
          </w:p>
        </w:tc>
      </w:tr>
      <w:bookmarkEnd w:id="1"/>
    </w:tbl>
    <w:p w14:paraId="25FBA897" w14:textId="77777777" w:rsidR="00F7242F" w:rsidRPr="008A48B1" w:rsidRDefault="00F7242F" w:rsidP="00F7242F"/>
    <w:p w14:paraId="427F616D" w14:textId="77777777" w:rsidR="00F7242F" w:rsidRPr="008A48B1" w:rsidRDefault="00F7242F" w:rsidP="00F7242F"/>
    <w:p w14:paraId="0083C991" w14:textId="5C765C2F" w:rsidR="5D8505AD" w:rsidRPr="00871B59" w:rsidRDefault="5D8505AD" w:rsidP="005518A3">
      <w:pPr>
        <w:spacing w:after="120" w:line="276" w:lineRule="auto"/>
        <w:jc w:val="both"/>
      </w:pPr>
    </w:p>
    <w:sectPr w:rsidR="5D8505AD" w:rsidRPr="00871B59" w:rsidSect="00E45F4B">
      <w:headerReference w:type="default" r:id="rId18"/>
      <w:footerReference w:type="default" r:id="rId19"/>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45B8F" w14:textId="77777777" w:rsidR="00727CA8" w:rsidRDefault="00727CA8" w:rsidP="00B30448">
      <w:pPr>
        <w:spacing w:after="0" w:line="240" w:lineRule="auto"/>
      </w:pPr>
      <w:r>
        <w:separator/>
      </w:r>
    </w:p>
  </w:endnote>
  <w:endnote w:type="continuationSeparator" w:id="0">
    <w:p w14:paraId="1B553C2C" w14:textId="77777777" w:rsidR="00727CA8" w:rsidRDefault="00727CA8" w:rsidP="00B30448">
      <w:pPr>
        <w:spacing w:after="0" w:line="240" w:lineRule="auto"/>
      </w:pPr>
      <w:r>
        <w:continuationSeparator/>
      </w:r>
    </w:p>
  </w:endnote>
  <w:endnote w:type="continuationNotice" w:id="1">
    <w:p w14:paraId="74E28264" w14:textId="77777777" w:rsidR="00727CA8" w:rsidRDefault="00727C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Geomanist Light">
    <w:altName w:val="Calibri"/>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7DACD" w14:textId="77777777" w:rsidR="000849D5" w:rsidRDefault="000849D5" w:rsidP="000849D5">
    <w:pPr>
      <w:spacing w:after="0"/>
      <w:rPr>
        <w:rFonts w:ascii="Verdana" w:hAnsi="Verdana"/>
        <w:b/>
        <w:bCs/>
        <w:sz w:val="20"/>
        <w:szCs w:val="20"/>
      </w:rPr>
    </w:pPr>
  </w:p>
  <w:p w14:paraId="6681ECB2" w14:textId="77777777" w:rsidR="000849D5" w:rsidRPr="00174B77" w:rsidRDefault="000849D5" w:rsidP="000849D5">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21625D2E" w14:textId="77777777" w:rsidR="000849D5" w:rsidRDefault="000849D5" w:rsidP="000849D5">
    <w:pPr>
      <w:spacing w:after="0"/>
      <w:jc w:val="both"/>
      <w:rPr>
        <w:rFonts w:ascii="Verdana" w:hAnsi="Verdana"/>
        <w:sz w:val="18"/>
        <w:szCs w:val="18"/>
      </w:rPr>
    </w:pPr>
    <w:r w:rsidRPr="00E41027">
      <w:rPr>
        <w:rFonts w:ascii="Verdana" w:hAnsi="Verdana"/>
        <w:sz w:val="18"/>
        <w:szCs w:val="18"/>
      </w:rPr>
      <w:t>Dirección: Carrera 7 # 26 – 20 - Bogotá, Colombia</w:t>
    </w:r>
  </w:p>
  <w:p w14:paraId="559D727E" w14:textId="77777777" w:rsidR="000849D5" w:rsidRPr="00E41027" w:rsidRDefault="000849D5" w:rsidP="000849D5">
    <w:pPr>
      <w:spacing w:after="0"/>
      <w:jc w:val="both"/>
      <w:rPr>
        <w:rFonts w:ascii="Verdana" w:hAnsi="Verdana"/>
        <w:sz w:val="18"/>
        <w:szCs w:val="18"/>
      </w:rPr>
    </w:pPr>
    <w:r w:rsidRPr="00E41027">
      <w:rPr>
        <w:rFonts w:ascii="Verdana" w:hAnsi="Verdana"/>
        <w:sz w:val="18"/>
        <w:szCs w:val="18"/>
      </w:rPr>
      <w:t>Mesa de servicio: (+57) 601 7456788</w:t>
    </w:r>
  </w:p>
  <w:p w14:paraId="143E423D" w14:textId="77777777" w:rsidR="000849D5" w:rsidRDefault="000849D5" w:rsidP="000849D5">
    <w:pPr>
      <w:pStyle w:val="Piedepgina"/>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Pr>
        <w:rFonts w:ascii="Century Gothic" w:hAnsi="Century Gothic"/>
        <w:sz w:val="18"/>
        <w:szCs w:val="18"/>
      </w:rPr>
      <w:t>Código: CCE-DES-FM-17 Versión: 4</w:t>
    </w:r>
    <w:r w:rsidRPr="0086556C">
      <w:rPr>
        <w:rFonts w:ascii="Century Gothic" w:hAnsi="Century Gothic"/>
        <w:sz w:val="18"/>
        <w:szCs w:val="18"/>
      </w:rPr>
      <w:t xml:space="preserve"> </w:t>
    </w:r>
    <w:r>
      <w:rPr>
        <w:rFonts w:ascii="Century Gothic" w:hAnsi="Century Gothic"/>
        <w:sz w:val="18"/>
        <w:szCs w:val="18"/>
      </w:rPr>
      <w:t>Fecha: 13-12-2023</w:t>
    </w:r>
  </w:p>
  <w:p w14:paraId="337FD84E" w14:textId="77777777" w:rsidR="000849D5" w:rsidRPr="007D04B2" w:rsidRDefault="000849D5" w:rsidP="000849D5">
    <w:pPr>
      <w:pStyle w:val="Piedepgina"/>
    </w:pPr>
  </w:p>
  <w:p w14:paraId="769219E2" w14:textId="77777777" w:rsidR="00B30448" w:rsidRPr="000849D5" w:rsidRDefault="00B30448" w:rsidP="000849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04429" w14:textId="77777777" w:rsidR="00727CA8" w:rsidRDefault="00727CA8" w:rsidP="00B30448">
      <w:pPr>
        <w:spacing w:after="0" w:line="240" w:lineRule="auto"/>
      </w:pPr>
      <w:r>
        <w:separator/>
      </w:r>
    </w:p>
  </w:footnote>
  <w:footnote w:type="continuationSeparator" w:id="0">
    <w:p w14:paraId="2AB87A39" w14:textId="77777777" w:rsidR="00727CA8" w:rsidRDefault="00727CA8" w:rsidP="00B30448">
      <w:pPr>
        <w:spacing w:after="0" w:line="240" w:lineRule="auto"/>
      </w:pPr>
      <w:r>
        <w:continuationSeparator/>
      </w:r>
    </w:p>
  </w:footnote>
  <w:footnote w:type="continuationNotice" w:id="1">
    <w:p w14:paraId="5DAF5850" w14:textId="77777777" w:rsidR="00727CA8" w:rsidRDefault="00727CA8">
      <w:pPr>
        <w:spacing w:after="0" w:line="240" w:lineRule="auto"/>
      </w:pPr>
    </w:p>
  </w:footnote>
  <w:footnote w:id="2">
    <w:p w14:paraId="7D8B4D66" w14:textId="77777777" w:rsidR="00D7170E" w:rsidRPr="00D7170E" w:rsidRDefault="00D7170E" w:rsidP="00D7170E">
      <w:pPr>
        <w:pStyle w:val="Textonotapie"/>
      </w:pPr>
      <w:r>
        <w:rPr>
          <w:rStyle w:val="Refdenotaalpie"/>
        </w:rPr>
        <w:footnoteRef/>
      </w:r>
      <w:r>
        <w:t xml:space="preserve"> </w:t>
      </w:r>
      <w:r w:rsidRPr="00D7170E">
        <w:t>Ley 1150 de 2007: “Artículo 3.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64254C25" w14:textId="77777777" w:rsidR="00D7170E" w:rsidRPr="00D7170E" w:rsidRDefault="00D7170E" w:rsidP="00D7170E">
      <w:pPr>
        <w:pStyle w:val="Textonotapie"/>
      </w:pPr>
    </w:p>
    <w:p w14:paraId="05E71EA8" w14:textId="77777777" w:rsidR="00D7170E" w:rsidRDefault="00D7170E" w:rsidP="00D7170E">
      <w:pPr>
        <w:pStyle w:val="Textonotapie"/>
      </w:pPr>
      <w:r w:rsidRPr="00D7170E">
        <w:t>“Lo anterior, sin perjuicio de las publicaciones previstas en el numeral 3 del artículo 30 de la Ley 80 de 1993.</w:t>
      </w:r>
    </w:p>
    <w:p w14:paraId="4684BDD4" w14:textId="77777777" w:rsidR="00D7170E" w:rsidRPr="00D7170E" w:rsidRDefault="00D7170E" w:rsidP="00D7170E">
      <w:pPr>
        <w:pStyle w:val="Textonotapie"/>
      </w:pPr>
    </w:p>
    <w:p w14:paraId="7B9562D9" w14:textId="3452DA84" w:rsidR="00D7170E" w:rsidRPr="00D7170E" w:rsidRDefault="00D7170E" w:rsidP="00D7170E">
      <w:pPr>
        <w:pStyle w:val="Textonotapie"/>
      </w:pPr>
      <w:r w:rsidRPr="00D7170E">
        <w:t xml:space="preserve">“Con el fin de materializar los objetivos a que se refiere el inciso anterior, el Gobierno Nacional desarrollará el Sistema Electrónico para la Contratación Pública, Secop, el cual: </w:t>
      </w:r>
    </w:p>
    <w:p w14:paraId="29530C8A" w14:textId="6995CA80" w:rsidR="00D7170E" w:rsidRPr="00D7170E" w:rsidRDefault="00D7170E" w:rsidP="00D7170E">
      <w:pPr>
        <w:pStyle w:val="Textonotapie"/>
      </w:pPr>
      <w:r w:rsidRPr="00D7170E">
        <w:t>[…]</w:t>
      </w:r>
    </w:p>
    <w:p w14:paraId="67E3517D" w14:textId="77777777" w:rsidR="00D7170E" w:rsidRPr="00D7170E" w:rsidRDefault="00D7170E" w:rsidP="00D7170E">
      <w:pPr>
        <w:pStyle w:val="Textonotapie"/>
      </w:pPr>
      <w:r w:rsidRPr="00D7170E">
        <w:t xml:space="preserve">“c) Contará con la información oficial de la contratación realizada con dineros públicos, para lo cual establecerá los patrones a que haya lugar y se encargará de su difusión a través de canales electrónico”. </w:t>
      </w:r>
    </w:p>
    <w:p w14:paraId="0D34C231" w14:textId="16BA1B21" w:rsidR="00D7170E" w:rsidRPr="00D7170E" w:rsidRDefault="00D7170E">
      <w:pPr>
        <w:pStyle w:val="Textonotapie"/>
        <w:rPr>
          <w:lang w:val="es-CO"/>
        </w:rPr>
      </w:pPr>
    </w:p>
  </w:footnote>
  <w:footnote w:id="3">
    <w:p w14:paraId="3FB38B37" w14:textId="402D4707" w:rsidR="00D7170E" w:rsidRDefault="00D7170E" w:rsidP="00D7170E">
      <w:pPr>
        <w:pStyle w:val="Textonotapie"/>
      </w:pPr>
      <w:r>
        <w:rPr>
          <w:rStyle w:val="Refdenotaalpie"/>
        </w:rPr>
        <w:footnoteRef/>
      </w:r>
      <w:r>
        <w:t xml:space="preserve"> </w:t>
      </w:r>
      <w:r w:rsidRPr="00D7170E">
        <w:t>Ley 1712 de 2014: “Artículo 2. Toda información en posesión, bajo control o custodia de un sujeto obligado es pública y no podrá ser reservada o limitada sino por disposición constitucional o legal, de conformidad con la presente ley”.</w:t>
      </w:r>
    </w:p>
    <w:p w14:paraId="06F1BBF1" w14:textId="77777777" w:rsidR="007307F7" w:rsidRDefault="007307F7" w:rsidP="00D7170E">
      <w:pPr>
        <w:pStyle w:val="Textonotapie"/>
      </w:pPr>
    </w:p>
    <w:p w14:paraId="65F09C96" w14:textId="2F1A9816" w:rsidR="00D7170E" w:rsidRPr="00D7170E" w:rsidRDefault="007307F7" w:rsidP="00D7170E">
      <w:pPr>
        <w:pStyle w:val="Textonotapie"/>
      </w:pPr>
      <w:r>
        <w:t>“</w:t>
      </w:r>
      <w:r w:rsidR="00D7170E" w:rsidRPr="00D7170E">
        <w:t xml:space="preserve">Artículo 3. </w:t>
      </w:r>
      <w:bookmarkStart w:id="3" w:name="3"/>
      <w:bookmarkEnd w:id="3"/>
      <w:r w:rsidR="00D7170E" w:rsidRPr="00D7170E">
        <w:t>Otros principios de la transparencia y acceso a la información pública. </w:t>
      </w:r>
    </w:p>
    <w:p w14:paraId="5AB41E00" w14:textId="77777777" w:rsidR="00D7170E" w:rsidRPr="00D7170E" w:rsidRDefault="00D7170E" w:rsidP="00D7170E">
      <w:pPr>
        <w:pStyle w:val="Textonotapie"/>
      </w:pPr>
      <w:r w:rsidRPr="00D7170E">
        <w:t>[…]</w:t>
      </w:r>
    </w:p>
    <w:p w14:paraId="61398D16" w14:textId="088BBFEA" w:rsidR="00D7170E" w:rsidRDefault="007307F7" w:rsidP="00D7170E">
      <w:pPr>
        <w:pStyle w:val="Textonotapie"/>
        <w:rPr>
          <w:lang w:val="es-CO"/>
        </w:rPr>
      </w:pPr>
      <w:r>
        <w:rPr>
          <w:lang w:val="es-CO"/>
        </w:rPr>
        <w:t>“</w:t>
      </w:r>
      <w:r w:rsidR="00D7170E" w:rsidRPr="00D7170E">
        <w:rPr>
          <w:lang w:val="es-CO"/>
        </w:rPr>
        <w:t>Principio de transparencia. Principio conforme al cual toda la información en poder de los sujetos obligados definidos en esta ley se presume pública, en consecuencia, de lo cual dichos sujetos están en el deber de proporcionar y facilitar el acceso a la misma en los términos más amplios posibles y a través de los medios y procedimientos que al efecto establezca la ley, excluyendo solo aquello que esté sujeto a las excepciones constitucionales y legales y bajo el cumplimiento de los requisitos establecidos en esta ley.</w:t>
      </w:r>
      <w:r>
        <w:rPr>
          <w:lang w:val="es-CO"/>
        </w:rPr>
        <w:t>”</w:t>
      </w:r>
    </w:p>
    <w:p w14:paraId="382DCEEE" w14:textId="77777777" w:rsidR="007307F7" w:rsidRPr="00D7170E" w:rsidRDefault="007307F7" w:rsidP="00D7170E">
      <w:pPr>
        <w:pStyle w:val="Textonotapie"/>
        <w:rPr>
          <w:lang w:val="es-CO"/>
        </w:rPr>
      </w:pPr>
    </w:p>
  </w:footnote>
  <w:footnote w:id="4">
    <w:p w14:paraId="3A3FBBE8" w14:textId="77777777" w:rsidR="007307F7" w:rsidRPr="007307F7" w:rsidRDefault="007307F7" w:rsidP="007307F7">
      <w:pPr>
        <w:pStyle w:val="Textonotapie"/>
      </w:pPr>
      <w:r>
        <w:rPr>
          <w:rStyle w:val="Refdenotaalpie"/>
        </w:rPr>
        <w:footnoteRef/>
      </w:r>
      <w:r>
        <w:t xml:space="preserve"> </w:t>
      </w:r>
      <w:r w:rsidRPr="007307F7">
        <w:t>Ley 1712 de 2014: “Artículo 9.  </w:t>
      </w:r>
      <w:r w:rsidRPr="007307F7">
        <w:rPr>
          <w:i/>
          <w:iCs/>
        </w:rPr>
        <w:t>Información mínima obligatoria respecto a la estructura del sujeto obligado. </w:t>
      </w:r>
      <w:r w:rsidRPr="007307F7">
        <w:t>Todo sujeto obligado deberá publicar la siguiente información mínima obligatoria de manera proactiva en los sistemas de información del Estado o herramientas que lo sustituyan:</w:t>
      </w:r>
    </w:p>
    <w:p w14:paraId="3A188481" w14:textId="77777777" w:rsidR="007307F7" w:rsidRPr="007307F7" w:rsidRDefault="007307F7" w:rsidP="007307F7">
      <w:pPr>
        <w:pStyle w:val="Textonotapie"/>
      </w:pPr>
      <w:r w:rsidRPr="007307F7">
        <w:t>[…]</w:t>
      </w:r>
    </w:p>
    <w:p w14:paraId="1C1F9C27" w14:textId="59A01ECE" w:rsidR="007307F7" w:rsidRPr="007307F7" w:rsidRDefault="007307F7" w:rsidP="007307F7">
      <w:pPr>
        <w:pStyle w:val="Textonotapie"/>
        <w:rPr>
          <w:lang w:val="es-CO"/>
        </w:rPr>
      </w:pPr>
      <w:r w:rsidRPr="007307F7">
        <w:rPr>
          <w:lang w:val="es-CO"/>
        </w:rPr>
        <w:t>e) Su respectivo plan de compras anual, así como las contrataciones adjudicadas para la correspondiente vigencia en lo relacionado con funcionamiento e inversión, las obras públicas, los bienes adquiridos, arrendados y en caso de los servicios de estudios o investigaciones deberá señalarse el tema específico, de conformidad con el artículo 74 de la Ley 1474 de 2011. En el caso de las personas naturales con contratos de prestación de servicios, deberá publicarse el objeto del contrato, monto de los honorarios y direcciones de correo electrónico, de conformidad con el formato de información de servidores públicos y contratistas;”.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49537" w14:textId="77777777" w:rsidR="00515FB5" w:rsidRDefault="00515FB5" w:rsidP="00515FB5">
    <w:pPr>
      <w:pStyle w:val="Encabezado"/>
    </w:pPr>
    <w:r>
      <w:rPr>
        <w:rFonts w:ascii="Geomanist Bold" w:hAnsi="Geomanist Bold"/>
        <w:b/>
        <w:bCs/>
        <w:noProof/>
        <w:color w:val="002060"/>
        <w:sz w:val="24"/>
        <w:szCs w:val="24"/>
      </w:rPr>
      <w:drawing>
        <wp:anchor distT="0" distB="0" distL="114300" distR="114300" simplePos="0" relativeHeight="251667456" behindDoc="1" locked="0" layoutInCell="1" allowOverlap="1" wp14:anchorId="5E688DB8" wp14:editId="6C11BD5C">
          <wp:simplePos x="0" y="0"/>
          <wp:positionH relativeFrom="margin">
            <wp:align>center</wp:align>
          </wp:positionH>
          <wp:positionV relativeFrom="paragraph">
            <wp:posOffset>-325755</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66432" behindDoc="0" locked="0" layoutInCell="1" allowOverlap="1" wp14:anchorId="7F9A5360" wp14:editId="5E7D8BE0">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149914" name="Imagen 962149914" descr="Imagen en blanco y negro&#10;&#10;Descripción generada automáticamente con confianza media"/>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635D63E7" w14:textId="77777777" w:rsidR="00515FB5" w:rsidRDefault="00515FB5" w:rsidP="00515FB5">
    <w:pPr>
      <w:pStyle w:val="Encabezado"/>
    </w:pPr>
  </w:p>
  <w:p w14:paraId="10CE77C0" w14:textId="77777777" w:rsidR="00515FB5" w:rsidRDefault="00515FB5" w:rsidP="00515FB5">
    <w:pPr>
      <w:pStyle w:val="Encabezado"/>
    </w:pPr>
  </w:p>
  <w:p w14:paraId="5BD4CAA1" w14:textId="77777777" w:rsidR="00515FB5" w:rsidRDefault="00515FB5" w:rsidP="00515FB5">
    <w:pPr>
      <w:pStyle w:val="Encabezado"/>
    </w:pPr>
  </w:p>
  <w:p w14:paraId="0D6E6014" w14:textId="77777777" w:rsidR="00515FB5" w:rsidRPr="00AB7B56" w:rsidRDefault="00515FB5" w:rsidP="00515FB5">
    <w:pPr>
      <w:pStyle w:val="Encabezado"/>
    </w:pPr>
  </w:p>
  <w:p w14:paraId="68E0C024" w14:textId="77777777" w:rsidR="00B30448" w:rsidRPr="00515FB5" w:rsidRDefault="00B30448" w:rsidP="00515FB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51E06B3"/>
    <w:multiLevelType w:val="multilevel"/>
    <w:tmpl w:val="654EE8CE"/>
    <w:lvl w:ilvl="0">
      <w:start w:val="1"/>
      <w:numFmt w:val="decimal"/>
      <w:lvlText w:val="%1."/>
      <w:lvlJc w:val="left"/>
      <w:pPr>
        <w:ind w:left="347" w:hanging="248"/>
      </w:pPr>
      <w:rPr>
        <w:rFonts w:ascii="Arial" w:eastAsia="Arial" w:hAnsi="Arial" w:cs="Arial" w:hint="default"/>
        <w:b/>
        <w:bCs/>
        <w:w w:val="100"/>
        <w:sz w:val="22"/>
        <w:szCs w:val="22"/>
        <w:lang w:val="es-ES" w:eastAsia="en-US" w:bidi="ar-SA"/>
      </w:rPr>
    </w:lvl>
    <w:lvl w:ilvl="1">
      <w:start w:val="1"/>
      <w:numFmt w:val="decimal"/>
      <w:lvlText w:val="%1.%2."/>
      <w:lvlJc w:val="left"/>
      <w:pPr>
        <w:ind w:left="529" w:hanging="430"/>
      </w:pPr>
      <w:rPr>
        <w:rFonts w:ascii="Arial" w:eastAsia="Arial" w:hAnsi="Arial" w:cs="Arial" w:hint="default"/>
        <w:b/>
        <w:bCs/>
        <w:w w:val="100"/>
        <w:sz w:val="22"/>
        <w:szCs w:val="22"/>
        <w:lang w:val="es-ES" w:eastAsia="en-US" w:bidi="ar-SA"/>
      </w:rPr>
    </w:lvl>
    <w:lvl w:ilvl="2">
      <w:numFmt w:val="bullet"/>
      <w:lvlText w:val="•"/>
      <w:lvlJc w:val="left"/>
      <w:pPr>
        <w:ind w:left="1526" w:hanging="430"/>
      </w:pPr>
      <w:rPr>
        <w:rFonts w:hint="default"/>
        <w:lang w:val="es-ES" w:eastAsia="en-US" w:bidi="ar-SA"/>
      </w:rPr>
    </w:lvl>
    <w:lvl w:ilvl="3">
      <w:numFmt w:val="bullet"/>
      <w:lvlText w:val="•"/>
      <w:lvlJc w:val="left"/>
      <w:pPr>
        <w:ind w:left="2533" w:hanging="430"/>
      </w:pPr>
      <w:rPr>
        <w:rFonts w:hint="default"/>
        <w:lang w:val="es-ES" w:eastAsia="en-US" w:bidi="ar-SA"/>
      </w:rPr>
    </w:lvl>
    <w:lvl w:ilvl="4">
      <w:numFmt w:val="bullet"/>
      <w:lvlText w:val="•"/>
      <w:lvlJc w:val="left"/>
      <w:pPr>
        <w:ind w:left="3540" w:hanging="430"/>
      </w:pPr>
      <w:rPr>
        <w:rFonts w:hint="default"/>
        <w:lang w:val="es-ES" w:eastAsia="en-US" w:bidi="ar-SA"/>
      </w:rPr>
    </w:lvl>
    <w:lvl w:ilvl="5">
      <w:numFmt w:val="bullet"/>
      <w:lvlText w:val="•"/>
      <w:lvlJc w:val="left"/>
      <w:pPr>
        <w:ind w:left="4546" w:hanging="430"/>
      </w:pPr>
      <w:rPr>
        <w:rFonts w:hint="default"/>
        <w:lang w:val="es-ES" w:eastAsia="en-US" w:bidi="ar-SA"/>
      </w:rPr>
    </w:lvl>
    <w:lvl w:ilvl="6">
      <w:numFmt w:val="bullet"/>
      <w:lvlText w:val="•"/>
      <w:lvlJc w:val="left"/>
      <w:pPr>
        <w:ind w:left="5553" w:hanging="430"/>
      </w:pPr>
      <w:rPr>
        <w:rFonts w:hint="default"/>
        <w:lang w:val="es-ES" w:eastAsia="en-US" w:bidi="ar-SA"/>
      </w:rPr>
    </w:lvl>
    <w:lvl w:ilvl="7">
      <w:numFmt w:val="bullet"/>
      <w:lvlText w:val="•"/>
      <w:lvlJc w:val="left"/>
      <w:pPr>
        <w:ind w:left="6560" w:hanging="430"/>
      </w:pPr>
      <w:rPr>
        <w:rFonts w:hint="default"/>
        <w:lang w:val="es-ES" w:eastAsia="en-US" w:bidi="ar-SA"/>
      </w:rPr>
    </w:lvl>
    <w:lvl w:ilvl="8">
      <w:numFmt w:val="bullet"/>
      <w:lvlText w:val="•"/>
      <w:lvlJc w:val="left"/>
      <w:pPr>
        <w:ind w:left="7566" w:hanging="430"/>
      </w:pPr>
      <w:rPr>
        <w:rFonts w:hint="default"/>
        <w:lang w:val="es-ES" w:eastAsia="en-US" w:bidi="ar-SA"/>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769791B"/>
    <w:multiLevelType w:val="hybridMultilevel"/>
    <w:tmpl w:val="765C45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035614F"/>
    <w:multiLevelType w:val="hybridMultilevel"/>
    <w:tmpl w:val="177A0E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72D2B84"/>
    <w:multiLevelType w:val="hybridMultilevel"/>
    <w:tmpl w:val="EDB25A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32BB606F"/>
    <w:multiLevelType w:val="hybridMultilevel"/>
    <w:tmpl w:val="7D2C91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3CE8619F"/>
    <w:multiLevelType w:val="hybridMultilevel"/>
    <w:tmpl w:val="CB0632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4A408A3"/>
    <w:multiLevelType w:val="multilevel"/>
    <w:tmpl w:val="100E3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C54ED"/>
    <w:multiLevelType w:val="hybridMultilevel"/>
    <w:tmpl w:val="9DFAE8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AA7326E"/>
    <w:multiLevelType w:val="multilevel"/>
    <w:tmpl w:val="5CE2D418"/>
    <w:lvl w:ilvl="0">
      <w:start w:val="1"/>
      <w:numFmt w:val="decimal"/>
      <w:lvlText w:val="%1."/>
      <w:lvlJc w:val="left"/>
      <w:pPr>
        <w:ind w:left="480" w:hanging="360"/>
      </w:pPr>
      <w:rPr>
        <w:rFonts w:ascii="Arial" w:eastAsia="Arial" w:hAnsi="Arial" w:cs="Arial" w:hint="default"/>
        <w:b/>
        <w:bCs/>
        <w:color w:val="4E4D4D"/>
        <w:spacing w:val="-8"/>
        <w:w w:val="100"/>
        <w:sz w:val="22"/>
        <w:szCs w:val="22"/>
        <w:lang w:val="es-ES" w:eastAsia="en-US" w:bidi="ar-SA"/>
      </w:rPr>
    </w:lvl>
    <w:lvl w:ilvl="1">
      <w:start w:val="1"/>
      <w:numFmt w:val="decimal"/>
      <w:lvlText w:val="%1.%2"/>
      <w:lvlJc w:val="left"/>
      <w:pPr>
        <w:ind w:left="688" w:hanging="578"/>
      </w:pPr>
      <w:rPr>
        <w:rFonts w:ascii="Arial" w:eastAsia="Arial" w:hAnsi="Arial" w:cs="Arial" w:hint="default"/>
        <w:b/>
        <w:bCs/>
        <w:color w:val="4E4D4D"/>
        <w:spacing w:val="-3"/>
        <w:w w:val="100"/>
        <w:sz w:val="22"/>
        <w:szCs w:val="22"/>
        <w:lang w:val="es-ES" w:eastAsia="en-US" w:bidi="ar-SA"/>
      </w:rPr>
    </w:lvl>
    <w:lvl w:ilvl="2">
      <w:start w:val="1"/>
      <w:numFmt w:val="lowerLetter"/>
      <w:lvlText w:val="%3)"/>
      <w:lvlJc w:val="left"/>
      <w:pPr>
        <w:ind w:left="800" w:hanging="325"/>
      </w:pPr>
      <w:rPr>
        <w:rFonts w:ascii="Arial" w:eastAsia="Arial" w:hAnsi="Arial" w:cs="Arial" w:hint="default"/>
        <w:color w:val="000000" w:themeColor="text1"/>
        <w:spacing w:val="-3"/>
        <w:w w:val="100"/>
        <w:sz w:val="22"/>
        <w:szCs w:val="22"/>
        <w:lang w:val="es-ES" w:eastAsia="en-US" w:bidi="ar-SA"/>
      </w:rPr>
    </w:lvl>
    <w:lvl w:ilvl="3">
      <w:numFmt w:val="bullet"/>
      <w:lvlText w:val="•"/>
      <w:lvlJc w:val="left"/>
      <w:pPr>
        <w:ind w:left="1845" w:hanging="325"/>
      </w:pPr>
      <w:rPr>
        <w:rFonts w:hint="default"/>
        <w:lang w:val="es-ES" w:eastAsia="en-US" w:bidi="ar-SA"/>
      </w:rPr>
    </w:lvl>
    <w:lvl w:ilvl="4">
      <w:numFmt w:val="bullet"/>
      <w:lvlText w:val="•"/>
      <w:lvlJc w:val="left"/>
      <w:pPr>
        <w:ind w:left="2890" w:hanging="325"/>
      </w:pPr>
      <w:rPr>
        <w:rFonts w:hint="default"/>
        <w:lang w:val="es-ES" w:eastAsia="en-US" w:bidi="ar-SA"/>
      </w:rPr>
    </w:lvl>
    <w:lvl w:ilvl="5">
      <w:numFmt w:val="bullet"/>
      <w:lvlText w:val="•"/>
      <w:lvlJc w:val="left"/>
      <w:pPr>
        <w:ind w:left="3935" w:hanging="325"/>
      </w:pPr>
      <w:rPr>
        <w:rFonts w:hint="default"/>
        <w:lang w:val="es-ES" w:eastAsia="en-US" w:bidi="ar-SA"/>
      </w:rPr>
    </w:lvl>
    <w:lvl w:ilvl="6">
      <w:numFmt w:val="bullet"/>
      <w:lvlText w:val="•"/>
      <w:lvlJc w:val="left"/>
      <w:pPr>
        <w:ind w:left="4980" w:hanging="325"/>
      </w:pPr>
      <w:rPr>
        <w:rFonts w:hint="default"/>
        <w:lang w:val="es-ES" w:eastAsia="en-US" w:bidi="ar-SA"/>
      </w:rPr>
    </w:lvl>
    <w:lvl w:ilvl="7">
      <w:numFmt w:val="bullet"/>
      <w:lvlText w:val="•"/>
      <w:lvlJc w:val="left"/>
      <w:pPr>
        <w:ind w:left="6025" w:hanging="325"/>
      </w:pPr>
      <w:rPr>
        <w:rFonts w:hint="default"/>
        <w:lang w:val="es-ES" w:eastAsia="en-US" w:bidi="ar-SA"/>
      </w:rPr>
    </w:lvl>
    <w:lvl w:ilvl="8">
      <w:numFmt w:val="bullet"/>
      <w:lvlText w:val="•"/>
      <w:lvlJc w:val="left"/>
      <w:pPr>
        <w:ind w:left="7070" w:hanging="325"/>
      </w:pPr>
      <w:rPr>
        <w:rFonts w:hint="default"/>
        <w:lang w:val="es-ES" w:eastAsia="en-US" w:bidi="ar-SA"/>
      </w:rPr>
    </w:lvl>
  </w:abstractNum>
  <w:abstractNum w:abstractNumId="15" w15:restartNumberingAfterBreak="0">
    <w:nsid w:val="525A7C79"/>
    <w:multiLevelType w:val="multilevel"/>
    <w:tmpl w:val="1D78FB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B5225FB"/>
    <w:multiLevelType w:val="hybridMultilevel"/>
    <w:tmpl w:val="9754EF90"/>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17" w15:restartNumberingAfterBreak="0">
    <w:nsid w:val="5ED30AA4"/>
    <w:multiLevelType w:val="hybridMultilevel"/>
    <w:tmpl w:val="BB7E675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8" w15:restartNumberingAfterBreak="0">
    <w:nsid w:val="67EF00B6"/>
    <w:multiLevelType w:val="hybridMultilevel"/>
    <w:tmpl w:val="27CC22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89B55A1"/>
    <w:multiLevelType w:val="hybridMultilevel"/>
    <w:tmpl w:val="88BE4F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8BB1384"/>
    <w:multiLevelType w:val="multilevel"/>
    <w:tmpl w:val="C2B07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9424396"/>
    <w:multiLevelType w:val="multilevel"/>
    <w:tmpl w:val="36220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C651DBA"/>
    <w:multiLevelType w:val="hybridMultilevel"/>
    <w:tmpl w:val="E31C29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D471CDA"/>
    <w:multiLevelType w:val="hybridMultilevel"/>
    <w:tmpl w:val="AD8A05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5C42D1E"/>
    <w:multiLevelType w:val="multilevel"/>
    <w:tmpl w:val="1206F6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A0D0972"/>
    <w:multiLevelType w:val="hybridMultilevel"/>
    <w:tmpl w:val="0DBC37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B16533D"/>
    <w:multiLevelType w:val="hybridMultilevel"/>
    <w:tmpl w:val="0346E26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7" w15:restartNumberingAfterBreak="0">
    <w:nsid w:val="7DAA49B1"/>
    <w:multiLevelType w:val="hybridMultilevel"/>
    <w:tmpl w:val="7C7E65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5"/>
  </w:num>
  <w:num w:numId="4">
    <w:abstractNumId w:val="0"/>
  </w:num>
  <w:num w:numId="5">
    <w:abstractNumId w:val="14"/>
  </w:num>
  <w:num w:numId="6">
    <w:abstractNumId w:val="1"/>
  </w:num>
  <w:num w:numId="7">
    <w:abstractNumId w:val="7"/>
  </w:num>
  <w:num w:numId="8">
    <w:abstractNumId w:val="10"/>
  </w:num>
  <w:num w:numId="9">
    <w:abstractNumId w:val="12"/>
  </w:num>
  <w:num w:numId="10">
    <w:abstractNumId w:val="26"/>
  </w:num>
  <w:num w:numId="11">
    <w:abstractNumId w:val="3"/>
  </w:num>
  <w:num w:numId="12">
    <w:abstractNumId w:val="16"/>
  </w:num>
  <w:num w:numId="13">
    <w:abstractNumId w:val="24"/>
  </w:num>
  <w:num w:numId="14">
    <w:abstractNumId w:val="22"/>
  </w:num>
  <w:num w:numId="15">
    <w:abstractNumId w:val="20"/>
  </w:num>
  <w:num w:numId="16">
    <w:abstractNumId w:val="15"/>
  </w:num>
  <w:num w:numId="17">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25"/>
  </w:num>
  <w:num w:numId="21">
    <w:abstractNumId w:val="27"/>
  </w:num>
  <w:num w:numId="22">
    <w:abstractNumId w:val="18"/>
  </w:num>
  <w:num w:numId="23">
    <w:abstractNumId w:val="17"/>
  </w:num>
  <w:num w:numId="24">
    <w:abstractNumId w:val="6"/>
  </w:num>
  <w:num w:numId="25">
    <w:abstractNumId w:val="19"/>
  </w:num>
  <w:num w:numId="26">
    <w:abstractNumId w:val="11"/>
  </w:num>
  <w:num w:numId="27">
    <w:abstractNumId w:val="4"/>
  </w:num>
  <w:num w:numId="28">
    <w:abstractNumId w:val="13"/>
  </w:num>
  <w:num w:numId="29">
    <w:abstractNumId w:val="8"/>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48"/>
    <w:rsid w:val="000016F3"/>
    <w:rsid w:val="000037AE"/>
    <w:rsid w:val="00005BB0"/>
    <w:rsid w:val="0001025F"/>
    <w:rsid w:val="0001222D"/>
    <w:rsid w:val="000135EB"/>
    <w:rsid w:val="00015D2B"/>
    <w:rsid w:val="00020A5F"/>
    <w:rsid w:val="00026118"/>
    <w:rsid w:val="00031584"/>
    <w:rsid w:val="00032A0E"/>
    <w:rsid w:val="00037347"/>
    <w:rsid w:val="000442CC"/>
    <w:rsid w:val="00050FF9"/>
    <w:rsid w:val="000556D4"/>
    <w:rsid w:val="000716AB"/>
    <w:rsid w:val="00082CD1"/>
    <w:rsid w:val="00082E4C"/>
    <w:rsid w:val="00083159"/>
    <w:rsid w:val="000849D5"/>
    <w:rsid w:val="0008528F"/>
    <w:rsid w:val="000855FA"/>
    <w:rsid w:val="000A33A9"/>
    <w:rsid w:val="000A6E0C"/>
    <w:rsid w:val="000A7A56"/>
    <w:rsid w:val="000B1FF7"/>
    <w:rsid w:val="000B2513"/>
    <w:rsid w:val="000B4024"/>
    <w:rsid w:val="000C3C51"/>
    <w:rsid w:val="000C3DCE"/>
    <w:rsid w:val="000C5307"/>
    <w:rsid w:val="000C7262"/>
    <w:rsid w:val="000C78CA"/>
    <w:rsid w:val="000D2A7F"/>
    <w:rsid w:val="000D4F9F"/>
    <w:rsid w:val="000D4FCE"/>
    <w:rsid w:val="000E18C2"/>
    <w:rsid w:val="00102BED"/>
    <w:rsid w:val="0011037E"/>
    <w:rsid w:val="00132C24"/>
    <w:rsid w:val="001363C7"/>
    <w:rsid w:val="00141AC5"/>
    <w:rsid w:val="00146B11"/>
    <w:rsid w:val="00147A04"/>
    <w:rsid w:val="0015476D"/>
    <w:rsid w:val="00161E13"/>
    <w:rsid w:val="00164AE0"/>
    <w:rsid w:val="00165E83"/>
    <w:rsid w:val="00166CD7"/>
    <w:rsid w:val="0017120C"/>
    <w:rsid w:val="00172F3A"/>
    <w:rsid w:val="00177FC7"/>
    <w:rsid w:val="0019532A"/>
    <w:rsid w:val="0019549F"/>
    <w:rsid w:val="0019670E"/>
    <w:rsid w:val="00197205"/>
    <w:rsid w:val="001A33EF"/>
    <w:rsid w:val="001A5DD4"/>
    <w:rsid w:val="001A67E9"/>
    <w:rsid w:val="001B143B"/>
    <w:rsid w:val="001B21CA"/>
    <w:rsid w:val="001B4B7B"/>
    <w:rsid w:val="001C04FC"/>
    <w:rsid w:val="001C25A3"/>
    <w:rsid w:val="001C5D03"/>
    <w:rsid w:val="001C7771"/>
    <w:rsid w:val="001D62FF"/>
    <w:rsid w:val="001E6B63"/>
    <w:rsid w:val="001E72EA"/>
    <w:rsid w:val="001F3F48"/>
    <w:rsid w:val="002000AA"/>
    <w:rsid w:val="002021F8"/>
    <w:rsid w:val="00204109"/>
    <w:rsid w:val="00211E6E"/>
    <w:rsid w:val="00212A46"/>
    <w:rsid w:val="0021401D"/>
    <w:rsid w:val="002146B8"/>
    <w:rsid w:val="00215516"/>
    <w:rsid w:val="0022776B"/>
    <w:rsid w:val="002527C2"/>
    <w:rsid w:val="00257D93"/>
    <w:rsid w:val="0026411C"/>
    <w:rsid w:val="00270443"/>
    <w:rsid w:val="00270EE2"/>
    <w:rsid w:val="00272972"/>
    <w:rsid w:val="00277789"/>
    <w:rsid w:val="00286491"/>
    <w:rsid w:val="002970D2"/>
    <w:rsid w:val="002A0F8D"/>
    <w:rsid w:val="002B6E44"/>
    <w:rsid w:val="002D2DA6"/>
    <w:rsid w:val="002E1DB5"/>
    <w:rsid w:val="002F6CCB"/>
    <w:rsid w:val="0030461E"/>
    <w:rsid w:val="00323421"/>
    <w:rsid w:val="0032756A"/>
    <w:rsid w:val="00334EF8"/>
    <w:rsid w:val="00336408"/>
    <w:rsid w:val="00340DFB"/>
    <w:rsid w:val="0034404F"/>
    <w:rsid w:val="00356980"/>
    <w:rsid w:val="00364E62"/>
    <w:rsid w:val="00367462"/>
    <w:rsid w:val="00371ECA"/>
    <w:rsid w:val="00372748"/>
    <w:rsid w:val="0037332A"/>
    <w:rsid w:val="0037697B"/>
    <w:rsid w:val="0038151A"/>
    <w:rsid w:val="0038199B"/>
    <w:rsid w:val="0039082A"/>
    <w:rsid w:val="00390C21"/>
    <w:rsid w:val="00395E92"/>
    <w:rsid w:val="003A37BD"/>
    <w:rsid w:val="003A4D8B"/>
    <w:rsid w:val="003B6D94"/>
    <w:rsid w:val="003C4C96"/>
    <w:rsid w:val="003C55E0"/>
    <w:rsid w:val="003D5D23"/>
    <w:rsid w:val="003F519B"/>
    <w:rsid w:val="003F6A59"/>
    <w:rsid w:val="00402916"/>
    <w:rsid w:val="0040544F"/>
    <w:rsid w:val="00406A19"/>
    <w:rsid w:val="00410C26"/>
    <w:rsid w:val="0041222D"/>
    <w:rsid w:val="0041483E"/>
    <w:rsid w:val="00415369"/>
    <w:rsid w:val="00430492"/>
    <w:rsid w:val="00450BE7"/>
    <w:rsid w:val="0046741E"/>
    <w:rsid w:val="00471211"/>
    <w:rsid w:val="0047265B"/>
    <w:rsid w:val="00472CC6"/>
    <w:rsid w:val="00473D93"/>
    <w:rsid w:val="0048026E"/>
    <w:rsid w:val="004807A9"/>
    <w:rsid w:val="004813EE"/>
    <w:rsid w:val="00493278"/>
    <w:rsid w:val="004943D9"/>
    <w:rsid w:val="004A0E7B"/>
    <w:rsid w:val="004A3498"/>
    <w:rsid w:val="004B0C45"/>
    <w:rsid w:val="004B36F0"/>
    <w:rsid w:val="004B78F9"/>
    <w:rsid w:val="004C0AB2"/>
    <w:rsid w:val="004C1619"/>
    <w:rsid w:val="004C1A26"/>
    <w:rsid w:val="004C1CC9"/>
    <w:rsid w:val="004C3755"/>
    <w:rsid w:val="004C4485"/>
    <w:rsid w:val="004D11AF"/>
    <w:rsid w:val="004F030F"/>
    <w:rsid w:val="00500DFA"/>
    <w:rsid w:val="005019AA"/>
    <w:rsid w:val="005021BB"/>
    <w:rsid w:val="005139E7"/>
    <w:rsid w:val="005147DA"/>
    <w:rsid w:val="00515FB5"/>
    <w:rsid w:val="0052365C"/>
    <w:rsid w:val="005271EB"/>
    <w:rsid w:val="005426DB"/>
    <w:rsid w:val="0055082B"/>
    <w:rsid w:val="005518A3"/>
    <w:rsid w:val="00552503"/>
    <w:rsid w:val="00552B57"/>
    <w:rsid w:val="00557DA1"/>
    <w:rsid w:val="0056322C"/>
    <w:rsid w:val="005666A0"/>
    <w:rsid w:val="0058743A"/>
    <w:rsid w:val="00596F48"/>
    <w:rsid w:val="005A4DB0"/>
    <w:rsid w:val="005A7B8E"/>
    <w:rsid w:val="005B012B"/>
    <w:rsid w:val="005B048E"/>
    <w:rsid w:val="005B0C87"/>
    <w:rsid w:val="005D23F6"/>
    <w:rsid w:val="005D2FA8"/>
    <w:rsid w:val="005E2281"/>
    <w:rsid w:val="005E667C"/>
    <w:rsid w:val="005F077C"/>
    <w:rsid w:val="005F63D0"/>
    <w:rsid w:val="005F7973"/>
    <w:rsid w:val="0061690E"/>
    <w:rsid w:val="006171A8"/>
    <w:rsid w:val="00627361"/>
    <w:rsid w:val="0063017E"/>
    <w:rsid w:val="00631B28"/>
    <w:rsid w:val="00633A68"/>
    <w:rsid w:val="00645B90"/>
    <w:rsid w:val="00650991"/>
    <w:rsid w:val="006511D7"/>
    <w:rsid w:val="0066261C"/>
    <w:rsid w:val="00663D75"/>
    <w:rsid w:val="00670AEF"/>
    <w:rsid w:val="00673767"/>
    <w:rsid w:val="00675678"/>
    <w:rsid w:val="00677012"/>
    <w:rsid w:val="006825B4"/>
    <w:rsid w:val="00682AF2"/>
    <w:rsid w:val="006864DF"/>
    <w:rsid w:val="006A3C8A"/>
    <w:rsid w:val="006A7552"/>
    <w:rsid w:val="006B017A"/>
    <w:rsid w:val="006B547E"/>
    <w:rsid w:val="006B5953"/>
    <w:rsid w:val="006B7A81"/>
    <w:rsid w:val="006C00EC"/>
    <w:rsid w:val="006C4BAC"/>
    <w:rsid w:val="006C52F3"/>
    <w:rsid w:val="006E7F37"/>
    <w:rsid w:val="006F3B81"/>
    <w:rsid w:val="006F4F79"/>
    <w:rsid w:val="00705B37"/>
    <w:rsid w:val="00711FD9"/>
    <w:rsid w:val="00726389"/>
    <w:rsid w:val="00727CA8"/>
    <w:rsid w:val="007307F7"/>
    <w:rsid w:val="00733953"/>
    <w:rsid w:val="00735062"/>
    <w:rsid w:val="00746BA5"/>
    <w:rsid w:val="00751D23"/>
    <w:rsid w:val="00756228"/>
    <w:rsid w:val="00770577"/>
    <w:rsid w:val="00775E11"/>
    <w:rsid w:val="00777666"/>
    <w:rsid w:val="0078159B"/>
    <w:rsid w:val="00782E10"/>
    <w:rsid w:val="0078706B"/>
    <w:rsid w:val="00790836"/>
    <w:rsid w:val="00797131"/>
    <w:rsid w:val="007A3C1D"/>
    <w:rsid w:val="007B285D"/>
    <w:rsid w:val="007C6BC6"/>
    <w:rsid w:val="00807D79"/>
    <w:rsid w:val="00813634"/>
    <w:rsid w:val="00816A9C"/>
    <w:rsid w:val="00822821"/>
    <w:rsid w:val="008267F9"/>
    <w:rsid w:val="00831C29"/>
    <w:rsid w:val="00832494"/>
    <w:rsid w:val="00832B57"/>
    <w:rsid w:val="00834C7F"/>
    <w:rsid w:val="008431EF"/>
    <w:rsid w:val="008468E0"/>
    <w:rsid w:val="00860DEA"/>
    <w:rsid w:val="00871B59"/>
    <w:rsid w:val="00877D03"/>
    <w:rsid w:val="00877E96"/>
    <w:rsid w:val="008806CA"/>
    <w:rsid w:val="008815E5"/>
    <w:rsid w:val="00887B37"/>
    <w:rsid w:val="008909B9"/>
    <w:rsid w:val="00891DFC"/>
    <w:rsid w:val="008B12B4"/>
    <w:rsid w:val="008B7914"/>
    <w:rsid w:val="008C5945"/>
    <w:rsid w:val="008C5D2A"/>
    <w:rsid w:val="008C7AF4"/>
    <w:rsid w:val="008D529F"/>
    <w:rsid w:val="008F5CC8"/>
    <w:rsid w:val="009061B8"/>
    <w:rsid w:val="00907B6A"/>
    <w:rsid w:val="0091008B"/>
    <w:rsid w:val="00911EA2"/>
    <w:rsid w:val="00916C7D"/>
    <w:rsid w:val="0092575D"/>
    <w:rsid w:val="00933D20"/>
    <w:rsid w:val="009341DA"/>
    <w:rsid w:val="009430F9"/>
    <w:rsid w:val="009442E8"/>
    <w:rsid w:val="00946BD0"/>
    <w:rsid w:val="00952E04"/>
    <w:rsid w:val="0095426C"/>
    <w:rsid w:val="00970087"/>
    <w:rsid w:val="00971074"/>
    <w:rsid w:val="00995D86"/>
    <w:rsid w:val="00997094"/>
    <w:rsid w:val="009A0570"/>
    <w:rsid w:val="009A5453"/>
    <w:rsid w:val="009B4D94"/>
    <w:rsid w:val="009C1A3D"/>
    <w:rsid w:val="009C2871"/>
    <w:rsid w:val="009C7660"/>
    <w:rsid w:val="009D3C33"/>
    <w:rsid w:val="009D5B59"/>
    <w:rsid w:val="009D7F3A"/>
    <w:rsid w:val="009E4885"/>
    <w:rsid w:val="00A0225D"/>
    <w:rsid w:val="00A05D8B"/>
    <w:rsid w:val="00A07DB6"/>
    <w:rsid w:val="00A10A04"/>
    <w:rsid w:val="00A10A73"/>
    <w:rsid w:val="00A13A94"/>
    <w:rsid w:val="00A15874"/>
    <w:rsid w:val="00A170B3"/>
    <w:rsid w:val="00A223D5"/>
    <w:rsid w:val="00A25E84"/>
    <w:rsid w:val="00A37D1C"/>
    <w:rsid w:val="00A5453E"/>
    <w:rsid w:val="00A56F6C"/>
    <w:rsid w:val="00A60FDC"/>
    <w:rsid w:val="00A61C42"/>
    <w:rsid w:val="00A76C8C"/>
    <w:rsid w:val="00A85F30"/>
    <w:rsid w:val="00A9099E"/>
    <w:rsid w:val="00A91FB7"/>
    <w:rsid w:val="00A9298F"/>
    <w:rsid w:val="00A93979"/>
    <w:rsid w:val="00AA0351"/>
    <w:rsid w:val="00AA5F4A"/>
    <w:rsid w:val="00AB1984"/>
    <w:rsid w:val="00AB52B1"/>
    <w:rsid w:val="00AC4CB3"/>
    <w:rsid w:val="00AC780D"/>
    <w:rsid w:val="00AD036B"/>
    <w:rsid w:val="00AD1996"/>
    <w:rsid w:val="00AD4099"/>
    <w:rsid w:val="00AD4901"/>
    <w:rsid w:val="00AF48DC"/>
    <w:rsid w:val="00B02FE0"/>
    <w:rsid w:val="00B057B6"/>
    <w:rsid w:val="00B30448"/>
    <w:rsid w:val="00B34786"/>
    <w:rsid w:val="00B400EC"/>
    <w:rsid w:val="00B40162"/>
    <w:rsid w:val="00B41ACE"/>
    <w:rsid w:val="00B50156"/>
    <w:rsid w:val="00B518AD"/>
    <w:rsid w:val="00B60A96"/>
    <w:rsid w:val="00B678EC"/>
    <w:rsid w:val="00B76C94"/>
    <w:rsid w:val="00B772D0"/>
    <w:rsid w:val="00B82443"/>
    <w:rsid w:val="00B836EA"/>
    <w:rsid w:val="00B84C05"/>
    <w:rsid w:val="00B9032A"/>
    <w:rsid w:val="00B91B81"/>
    <w:rsid w:val="00B92994"/>
    <w:rsid w:val="00B97135"/>
    <w:rsid w:val="00BB3072"/>
    <w:rsid w:val="00BB6E25"/>
    <w:rsid w:val="00BC1B57"/>
    <w:rsid w:val="00BC3413"/>
    <w:rsid w:val="00BC56A0"/>
    <w:rsid w:val="00BC7632"/>
    <w:rsid w:val="00BD3502"/>
    <w:rsid w:val="00BD4378"/>
    <w:rsid w:val="00BD48A9"/>
    <w:rsid w:val="00BD630F"/>
    <w:rsid w:val="00BD7EC6"/>
    <w:rsid w:val="00BE73FA"/>
    <w:rsid w:val="00BF6B4B"/>
    <w:rsid w:val="00C0511C"/>
    <w:rsid w:val="00C20ACF"/>
    <w:rsid w:val="00C20CD8"/>
    <w:rsid w:val="00C22307"/>
    <w:rsid w:val="00C23469"/>
    <w:rsid w:val="00C30C62"/>
    <w:rsid w:val="00C371DF"/>
    <w:rsid w:val="00C42055"/>
    <w:rsid w:val="00C44B4C"/>
    <w:rsid w:val="00C44F97"/>
    <w:rsid w:val="00C46734"/>
    <w:rsid w:val="00C47A86"/>
    <w:rsid w:val="00C50198"/>
    <w:rsid w:val="00C53220"/>
    <w:rsid w:val="00C53F23"/>
    <w:rsid w:val="00C65E24"/>
    <w:rsid w:val="00C8324B"/>
    <w:rsid w:val="00CA2177"/>
    <w:rsid w:val="00CA3347"/>
    <w:rsid w:val="00CA3D9F"/>
    <w:rsid w:val="00CB5253"/>
    <w:rsid w:val="00CB72C1"/>
    <w:rsid w:val="00CC299A"/>
    <w:rsid w:val="00CC2AFE"/>
    <w:rsid w:val="00CD03E3"/>
    <w:rsid w:val="00CE6BDA"/>
    <w:rsid w:val="00D01E3C"/>
    <w:rsid w:val="00D03284"/>
    <w:rsid w:val="00D03DBE"/>
    <w:rsid w:val="00D072C0"/>
    <w:rsid w:val="00D10E98"/>
    <w:rsid w:val="00D34C82"/>
    <w:rsid w:val="00D3757A"/>
    <w:rsid w:val="00D46058"/>
    <w:rsid w:val="00D504A9"/>
    <w:rsid w:val="00D5206D"/>
    <w:rsid w:val="00D63011"/>
    <w:rsid w:val="00D7170E"/>
    <w:rsid w:val="00D7177D"/>
    <w:rsid w:val="00D81311"/>
    <w:rsid w:val="00D85F7B"/>
    <w:rsid w:val="00DA769E"/>
    <w:rsid w:val="00DB201E"/>
    <w:rsid w:val="00DC0E68"/>
    <w:rsid w:val="00DC5DE0"/>
    <w:rsid w:val="00DD25ED"/>
    <w:rsid w:val="00DE0D6E"/>
    <w:rsid w:val="00DE42D0"/>
    <w:rsid w:val="00DF3A22"/>
    <w:rsid w:val="00E07F21"/>
    <w:rsid w:val="00E1610C"/>
    <w:rsid w:val="00E16D73"/>
    <w:rsid w:val="00E23E9E"/>
    <w:rsid w:val="00E25722"/>
    <w:rsid w:val="00E27F0A"/>
    <w:rsid w:val="00E35148"/>
    <w:rsid w:val="00E4231E"/>
    <w:rsid w:val="00E4302C"/>
    <w:rsid w:val="00E44AC7"/>
    <w:rsid w:val="00E45F4B"/>
    <w:rsid w:val="00E60A16"/>
    <w:rsid w:val="00E82B6E"/>
    <w:rsid w:val="00E91F2E"/>
    <w:rsid w:val="00E94258"/>
    <w:rsid w:val="00E96C18"/>
    <w:rsid w:val="00EA09CB"/>
    <w:rsid w:val="00EA2E61"/>
    <w:rsid w:val="00EA7D7F"/>
    <w:rsid w:val="00EB02F4"/>
    <w:rsid w:val="00EB2FA2"/>
    <w:rsid w:val="00EB654D"/>
    <w:rsid w:val="00EB769A"/>
    <w:rsid w:val="00EC3A35"/>
    <w:rsid w:val="00ED1F28"/>
    <w:rsid w:val="00ED416C"/>
    <w:rsid w:val="00ED4FE7"/>
    <w:rsid w:val="00EE1427"/>
    <w:rsid w:val="00EE17F2"/>
    <w:rsid w:val="00EE3138"/>
    <w:rsid w:val="00EF2AC7"/>
    <w:rsid w:val="00EF400A"/>
    <w:rsid w:val="00EF6BE4"/>
    <w:rsid w:val="00EF6E5D"/>
    <w:rsid w:val="00F04632"/>
    <w:rsid w:val="00F07764"/>
    <w:rsid w:val="00F07CB0"/>
    <w:rsid w:val="00F12517"/>
    <w:rsid w:val="00F131DD"/>
    <w:rsid w:val="00F16BA1"/>
    <w:rsid w:val="00F24435"/>
    <w:rsid w:val="00F30C0F"/>
    <w:rsid w:val="00F314E8"/>
    <w:rsid w:val="00F323A2"/>
    <w:rsid w:val="00F33B57"/>
    <w:rsid w:val="00F33D5C"/>
    <w:rsid w:val="00F34E90"/>
    <w:rsid w:val="00F35508"/>
    <w:rsid w:val="00F356D6"/>
    <w:rsid w:val="00F53BE2"/>
    <w:rsid w:val="00F55684"/>
    <w:rsid w:val="00F64D5A"/>
    <w:rsid w:val="00F709CD"/>
    <w:rsid w:val="00F711AB"/>
    <w:rsid w:val="00F71E87"/>
    <w:rsid w:val="00F7242F"/>
    <w:rsid w:val="00F906F4"/>
    <w:rsid w:val="00F95BB2"/>
    <w:rsid w:val="00F9761E"/>
    <w:rsid w:val="00FA0716"/>
    <w:rsid w:val="00FB4629"/>
    <w:rsid w:val="00FB6FB1"/>
    <w:rsid w:val="00FB7063"/>
    <w:rsid w:val="00FC7056"/>
    <w:rsid w:val="00FE1A00"/>
    <w:rsid w:val="00FF2908"/>
    <w:rsid w:val="024D7E2C"/>
    <w:rsid w:val="0D2EB883"/>
    <w:rsid w:val="0D8163B6"/>
    <w:rsid w:val="13A69650"/>
    <w:rsid w:val="1BB32F19"/>
    <w:rsid w:val="1F2C3AF5"/>
    <w:rsid w:val="1FF4886A"/>
    <w:rsid w:val="22D2584A"/>
    <w:rsid w:val="28751A95"/>
    <w:rsid w:val="29FA8189"/>
    <w:rsid w:val="2C00A012"/>
    <w:rsid w:val="389994B3"/>
    <w:rsid w:val="3B30A011"/>
    <w:rsid w:val="3B93C128"/>
    <w:rsid w:val="3CFBE104"/>
    <w:rsid w:val="510454D8"/>
    <w:rsid w:val="521E120A"/>
    <w:rsid w:val="5D8505AD"/>
    <w:rsid w:val="71443FBB"/>
    <w:rsid w:val="72EE784C"/>
    <w:rsid w:val="7563E76A"/>
    <w:rsid w:val="79A615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27A6B"/>
  <w15:docId w15:val="{9BFA33CB-14F2-48B7-8712-23943DD29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722"/>
  </w:style>
  <w:style w:type="paragraph" w:styleId="Ttulo1">
    <w:name w:val="heading 1"/>
    <w:basedOn w:val="Normal"/>
    <w:link w:val="Ttulo1Car"/>
    <w:uiPriority w:val="1"/>
    <w:qFormat/>
    <w:rsid w:val="00B34786"/>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B3044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B30448"/>
    <w:pPr>
      <w:spacing w:after="0" w:line="240" w:lineRule="auto"/>
    </w:pPr>
    <w:rPr>
      <w:sz w:val="20"/>
      <w:szCs w:val="20"/>
      <w:lang w:val="es-MX"/>
    </w:rPr>
  </w:style>
  <w:style w:type="character" w:customStyle="1" w:styleId="TextonotapieCar1">
    <w:name w:val="Texto nota pie Car1"/>
    <w:basedOn w:val="Fuentedeprrafopredeter"/>
    <w:uiPriority w:val="99"/>
    <w:semiHidden/>
    <w:rsid w:val="00B3044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B30448"/>
    <w:rPr>
      <w:vertAlign w:val="superscript"/>
    </w:rPr>
  </w:style>
  <w:style w:type="paragraph" w:customStyle="1" w:styleId="Appelnotedebasde">
    <w:name w:val="Appel note de bas de..."/>
    <w:basedOn w:val="Normal"/>
    <w:link w:val="Refdenotaalpie"/>
    <w:uiPriority w:val="99"/>
    <w:rsid w:val="00B30448"/>
    <w:pPr>
      <w:spacing w:line="240" w:lineRule="exact"/>
    </w:pPr>
    <w:rPr>
      <w:vertAlign w:val="superscript"/>
    </w:rPr>
  </w:style>
  <w:style w:type="paragraph" w:styleId="Encabezado">
    <w:name w:val="header"/>
    <w:basedOn w:val="Normal"/>
    <w:link w:val="EncabezadoCar"/>
    <w:uiPriority w:val="99"/>
    <w:unhideWhenUsed/>
    <w:rsid w:val="00B304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0448"/>
  </w:style>
  <w:style w:type="paragraph" w:styleId="Piedepgina">
    <w:name w:val="footer"/>
    <w:basedOn w:val="Normal"/>
    <w:link w:val="PiedepginaCar"/>
    <w:uiPriority w:val="99"/>
    <w:unhideWhenUsed/>
    <w:rsid w:val="00B304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0448"/>
  </w:style>
  <w:style w:type="table" w:styleId="Tablaconcuadrcula">
    <w:name w:val="Table Grid"/>
    <w:basedOn w:val="Tablanormal"/>
    <w:uiPriority w:val="39"/>
    <w:qFormat/>
    <w:rsid w:val="00B30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22307"/>
    <w:rPr>
      <w:color w:val="0563C1" w:themeColor="hyperlink"/>
      <w:u w:val="single"/>
    </w:rPr>
  </w:style>
  <w:style w:type="character" w:styleId="Mencinsinresolver">
    <w:name w:val="Unresolved Mention"/>
    <w:basedOn w:val="Fuentedeprrafopredeter"/>
    <w:uiPriority w:val="99"/>
    <w:semiHidden/>
    <w:unhideWhenUsed/>
    <w:rsid w:val="00C22307"/>
    <w:rPr>
      <w:color w:val="605E5C"/>
      <w:shd w:val="clear" w:color="auto" w:fill="E1DFDD"/>
    </w:rPr>
  </w:style>
  <w:style w:type="character" w:styleId="Hipervnculovisitado">
    <w:name w:val="FollowedHyperlink"/>
    <w:basedOn w:val="Fuentedeprrafopredeter"/>
    <w:uiPriority w:val="99"/>
    <w:semiHidden/>
    <w:unhideWhenUsed/>
    <w:rsid w:val="00C22307"/>
    <w:rPr>
      <w:color w:val="954F72" w:themeColor="followedHyperlink"/>
      <w:u w:val="single"/>
    </w:rPr>
  </w:style>
  <w:style w:type="character" w:styleId="Refdecomentario">
    <w:name w:val="annotation reference"/>
    <w:basedOn w:val="Fuentedeprrafopredeter"/>
    <w:uiPriority w:val="99"/>
    <w:semiHidden/>
    <w:unhideWhenUsed/>
    <w:rsid w:val="00A37D1C"/>
    <w:rPr>
      <w:sz w:val="16"/>
      <w:szCs w:val="16"/>
    </w:rPr>
  </w:style>
  <w:style w:type="paragraph" w:styleId="Textocomentario">
    <w:name w:val="annotation text"/>
    <w:basedOn w:val="Normal"/>
    <w:link w:val="TextocomentarioCar"/>
    <w:uiPriority w:val="99"/>
    <w:unhideWhenUsed/>
    <w:rsid w:val="00A37D1C"/>
    <w:pPr>
      <w:spacing w:line="240" w:lineRule="auto"/>
    </w:pPr>
    <w:rPr>
      <w:sz w:val="20"/>
      <w:szCs w:val="20"/>
    </w:rPr>
  </w:style>
  <w:style w:type="character" w:customStyle="1" w:styleId="TextocomentarioCar">
    <w:name w:val="Texto comentario Car"/>
    <w:basedOn w:val="Fuentedeprrafopredeter"/>
    <w:link w:val="Textocomentario"/>
    <w:uiPriority w:val="99"/>
    <w:rsid w:val="00A37D1C"/>
    <w:rPr>
      <w:sz w:val="20"/>
      <w:szCs w:val="20"/>
    </w:rPr>
  </w:style>
  <w:style w:type="paragraph" w:styleId="Asuntodelcomentario">
    <w:name w:val="annotation subject"/>
    <w:basedOn w:val="Textocomentario"/>
    <w:next w:val="Textocomentario"/>
    <w:link w:val="AsuntodelcomentarioCar"/>
    <w:uiPriority w:val="99"/>
    <w:semiHidden/>
    <w:unhideWhenUsed/>
    <w:rsid w:val="00A37D1C"/>
    <w:rPr>
      <w:b/>
      <w:bCs/>
    </w:rPr>
  </w:style>
  <w:style w:type="character" w:customStyle="1" w:styleId="AsuntodelcomentarioCar">
    <w:name w:val="Asunto del comentario Car"/>
    <w:basedOn w:val="TextocomentarioCar"/>
    <w:link w:val="Asuntodelcomentario"/>
    <w:uiPriority w:val="99"/>
    <w:semiHidden/>
    <w:rsid w:val="00A37D1C"/>
    <w:rPr>
      <w:b/>
      <w:bCs/>
      <w:sz w:val="20"/>
      <w:szCs w:val="20"/>
    </w:rPr>
  </w:style>
  <w:style w:type="paragraph" w:customStyle="1" w:styleId="Normal11pt">
    <w:name w:val="Normal + 11 pt"/>
    <w:aliases w:val="Negro,Justificado,Izquierda:  -0,95 cm,Derecha:  0,04 cm"/>
    <w:basedOn w:val="Normal"/>
    <w:uiPriority w:val="99"/>
    <w:rsid w:val="00B76C94"/>
    <w:pPr>
      <w:spacing w:after="0" w:line="240" w:lineRule="auto"/>
      <w:ind w:left="-540"/>
      <w:jc w:val="both"/>
    </w:pPr>
    <w:rPr>
      <w:rFonts w:ascii="Arial" w:eastAsia="Times New Roman" w:hAnsi="Arial" w:cs="Arial"/>
      <w:color w:val="000000"/>
      <w:lang w:val="es-ES_tradnl" w:eastAsia="es-ES"/>
    </w:rPr>
  </w:style>
  <w:style w:type="paragraph" w:styleId="Revisin">
    <w:name w:val="Revision"/>
    <w:hidden/>
    <w:uiPriority w:val="99"/>
    <w:semiHidden/>
    <w:rsid w:val="00F64D5A"/>
    <w:pPr>
      <w:spacing w:after="0" w:line="240" w:lineRule="auto"/>
    </w:pPr>
  </w:style>
  <w:style w:type="character" w:customStyle="1" w:styleId="cf01">
    <w:name w:val="cf01"/>
    <w:basedOn w:val="Fuentedeprrafopredeter"/>
    <w:rsid w:val="005019AA"/>
    <w:rPr>
      <w:rFonts w:ascii="Segoe UI" w:hAnsi="Segoe UI" w:cs="Segoe UI" w:hint="default"/>
      <w:i/>
      <w:iCs/>
      <w:sz w:val="18"/>
      <w:szCs w:val="18"/>
    </w:rPr>
  </w:style>
  <w:style w:type="character" w:customStyle="1" w:styleId="normaltextrun">
    <w:name w:val="normaltextrun"/>
    <w:basedOn w:val="Fuentedeprrafopredeter"/>
    <w:rsid w:val="5D8505AD"/>
  </w:style>
  <w:style w:type="character" w:customStyle="1" w:styleId="eop">
    <w:name w:val="eop"/>
    <w:basedOn w:val="Fuentedeprrafopredeter"/>
    <w:rsid w:val="5D8505AD"/>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082E4C"/>
    <w:pPr>
      <w:ind w:left="720"/>
      <w:contextualSpacing/>
    </w:pPr>
  </w:style>
  <w:style w:type="character" w:customStyle="1" w:styleId="Hipervnculo1">
    <w:name w:val="Hipervínculo1"/>
    <w:basedOn w:val="Fuentedeprrafopredeter"/>
    <w:uiPriority w:val="99"/>
    <w:unhideWhenUsed/>
    <w:rsid w:val="000C3C51"/>
    <w:rPr>
      <w:color w:val="F2F2F2"/>
      <w:u w:val="single"/>
    </w:rPr>
  </w:style>
  <w:style w:type="paragraph" w:styleId="NormalWeb">
    <w:name w:val="Normal (Web)"/>
    <w:basedOn w:val="Normal"/>
    <w:uiPriority w:val="99"/>
    <w:unhideWhenUsed/>
    <w:rsid w:val="000C3C51"/>
    <w:rPr>
      <w:rFonts w:ascii="Times New Roman" w:hAnsi="Times New Roman" w:cs="Times New Roman"/>
      <w:sz w:val="24"/>
      <w:szCs w:val="24"/>
    </w:rPr>
  </w:style>
  <w:style w:type="character" w:styleId="Textoennegrita">
    <w:name w:val="Strong"/>
    <w:basedOn w:val="Fuentedeprrafopredeter"/>
    <w:uiPriority w:val="22"/>
    <w:qFormat/>
    <w:rsid w:val="000C3C51"/>
    <w:rPr>
      <w:b/>
      <w:bCs/>
    </w:rPr>
  </w:style>
  <w:style w:type="character" w:styleId="nfasis">
    <w:name w:val="Emphasis"/>
    <w:basedOn w:val="Fuentedeprrafopredeter"/>
    <w:uiPriority w:val="20"/>
    <w:qFormat/>
    <w:rsid w:val="000C3C51"/>
    <w:rPr>
      <w:i/>
      <w:iCs/>
    </w:rPr>
  </w:style>
  <w:style w:type="paragraph" w:styleId="Textoindependiente">
    <w:name w:val="Body Text"/>
    <w:basedOn w:val="Normal"/>
    <w:link w:val="TextoindependienteCar"/>
    <w:uiPriority w:val="1"/>
    <w:unhideWhenUsed/>
    <w:qFormat/>
    <w:rsid w:val="00430492"/>
    <w:pPr>
      <w:spacing w:after="120"/>
    </w:pPr>
  </w:style>
  <w:style w:type="character" w:customStyle="1" w:styleId="TextoindependienteCar">
    <w:name w:val="Texto independiente Car"/>
    <w:basedOn w:val="Fuentedeprrafopredeter"/>
    <w:link w:val="Textoindependiente"/>
    <w:uiPriority w:val="99"/>
    <w:rsid w:val="00430492"/>
  </w:style>
  <w:style w:type="paragraph" w:customStyle="1" w:styleId="Car1">
    <w:name w:val="Car1"/>
    <w:basedOn w:val="Normal"/>
    <w:next w:val="Textonotapie"/>
    <w:uiPriority w:val="99"/>
    <w:unhideWhenUsed/>
    <w:qFormat/>
    <w:rsid w:val="00430492"/>
    <w:pPr>
      <w:spacing w:after="0" w:line="240" w:lineRule="auto"/>
    </w:pPr>
    <w:rPr>
      <w:sz w:val="20"/>
      <w:szCs w:val="20"/>
      <w:lang w:val="es-MX"/>
    </w:rPr>
  </w:style>
  <w:style w:type="paragraph" w:customStyle="1" w:styleId="Cuadrculamedia1-nfasis21">
    <w:name w:val="Cuadrícula media 1 - Énfasis 21"/>
    <w:basedOn w:val="Normal"/>
    <w:uiPriority w:val="34"/>
    <w:qFormat/>
    <w:rsid w:val="009C2871"/>
    <w:pPr>
      <w:ind w:left="720"/>
      <w:contextualSpacing/>
    </w:pPr>
    <w:rPr>
      <w:rFonts w:ascii="Calibri" w:eastAsia="Calibri" w:hAnsi="Calibri" w:cs="Times New Roman"/>
    </w:rPr>
  </w:style>
  <w:style w:type="character" w:customStyle="1" w:styleId="Ttulo1Car">
    <w:name w:val="Título 1 Car"/>
    <w:basedOn w:val="Fuentedeprrafopredeter"/>
    <w:link w:val="Ttulo1"/>
    <w:uiPriority w:val="1"/>
    <w:rsid w:val="00B34786"/>
    <w:rPr>
      <w:rFonts w:ascii="Arial" w:eastAsia="Arial" w:hAnsi="Arial" w:cs="Arial"/>
      <w:b/>
      <w:bCs/>
      <w:lang w:val="es-ES"/>
    </w:rPr>
  </w:style>
  <w:style w:type="paragraph" w:customStyle="1" w:styleId="Default">
    <w:name w:val="Default"/>
    <w:rsid w:val="00B34786"/>
    <w:pPr>
      <w:autoSpaceDE w:val="0"/>
      <w:autoSpaceDN w:val="0"/>
      <w:adjustRightInd w:val="0"/>
      <w:spacing w:after="0" w:line="240" w:lineRule="auto"/>
    </w:pPr>
    <w:rPr>
      <w:rFonts w:ascii="Arial" w:hAnsi="Arial" w:cs="Arial"/>
      <w:color w:val="000000"/>
      <w:sz w:val="24"/>
      <w:szCs w:val="24"/>
    </w:rPr>
  </w:style>
  <w:style w:type="paragraph" w:styleId="Ttulo">
    <w:name w:val="Title"/>
    <w:basedOn w:val="Normal"/>
    <w:next w:val="Normal"/>
    <w:link w:val="TtuloCar"/>
    <w:uiPriority w:val="10"/>
    <w:qFormat/>
    <w:rsid w:val="00B34786"/>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B34786"/>
    <w:rPr>
      <w:rFonts w:ascii="Geomanist" w:eastAsiaTheme="majorEastAsia" w:hAnsi="Geomanist" w:cstheme="majorBidi"/>
      <w:spacing w:val="-10"/>
      <w:kern w:val="28"/>
      <w:szCs w:val="56"/>
      <w:lang w:val="es-ES"/>
    </w:rPr>
  </w:style>
  <w:style w:type="table" w:customStyle="1" w:styleId="Tablaconcuadrcula1">
    <w:name w:val="Tabla con cuadrícula1"/>
    <w:basedOn w:val="Tablanormal"/>
    <w:next w:val="Tablaconcuadrcula"/>
    <w:uiPriority w:val="39"/>
    <w:qFormat/>
    <w:rsid w:val="00B34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B34786"/>
  </w:style>
  <w:style w:type="table" w:customStyle="1" w:styleId="TableNormal1">
    <w:name w:val="Table Normal1"/>
    <w:uiPriority w:val="2"/>
    <w:semiHidden/>
    <w:unhideWhenUsed/>
    <w:qFormat/>
    <w:rsid w:val="00B3478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34786"/>
    <w:pPr>
      <w:widowControl w:val="0"/>
      <w:autoSpaceDE w:val="0"/>
      <w:autoSpaceDN w:val="0"/>
      <w:spacing w:after="0" w:line="208" w:lineRule="exact"/>
      <w:ind w:left="119"/>
    </w:pPr>
    <w:rPr>
      <w:rFonts w:ascii="Calibri" w:eastAsia="Calibri" w:hAnsi="Calibri" w:cs="Calibri"/>
      <w:lang w:val="es-ES"/>
    </w:rPr>
  </w:style>
  <w:style w:type="table" w:customStyle="1" w:styleId="Tablaconcuadrcula2">
    <w:name w:val="Tabla con cuadrícula2"/>
    <w:basedOn w:val="Tablanormal"/>
    <w:next w:val="Tablaconcuadrcula"/>
    <w:uiPriority w:val="39"/>
    <w:rsid w:val="00B34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A5DD4"/>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5021BB"/>
  </w:style>
  <w:style w:type="paragraph" w:styleId="Sinespaciado">
    <w:name w:val="No Spacing"/>
    <w:aliases w:val="No Indent"/>
    <w:link w:val="SinespaciadoCar"/>
    <w:uiPriority w:val="3"/>
    <w:qFormat/>
    <w:rsid w:val="008267F9"/>
    <w:pPr>
      <w:spacing w:after="0" w:line="240" w:lineRule="auto"/>
    </w:pPr>
    <w:rPr>
      <w:sz w:val="24"/>
      <w:lang w:val="es-MX"/>
    </w:rPr>
  </w:style>
  <w:style w:type="character" w:customStyle="1" w:styleId="SinespaciadoCar">
    <w:name w:val="Sin espaciado Car"/>
    <w:aliases w:val="No Indent Car"/>
    <w:link w:val="Sinespaciado"/>
    <w:uiPriority w:val="3"/>
    <w:rsid w:val="008267F9"/>
    <w:rPr>
      <w:sz w:val="24"/>
      <w:lang w:val="es-MX"/>
    </w:rPr>
  </w:style>
  <w:style w:type="paragraph" w:styleId="Textodeglobo">
    <w:name w:val="Balloon Text"/>
    <w:basedOn w:val="Normal"/>
    <w:link w:val="TextodegloboCar"/>
    <w:uiPriority w:val="99"/>
    <w:semiHidden/>
    <w:unhideWhenUsed/>
    <w:rsid w:val="006171A8"/>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6171A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22715">
      <w:bodyDiv w:val="1"/>
      <w:marLeft w:val="0"/>
      <w:marRight w:val="0"/>
      <w:marTop w:val="0"/>
      <w:marBottom w:val="0"/>
      <w:divBdr>
        <w:top w:val="none" w:sz="0" w:space="0" w:color="auto"/>
        <w:left w:val="none" w:sz="0" w:space="0" w:color="auto"/>
        <w:bottom w:val="none" w:sz="0" w:space="0" w:color="auto"/>
        <w:right w:val="none" w:sz="0" w:space="0" w:color="auto"/>
      </w:divBdr>
    </w:div>
    <w:div w:id="90859947">
      <w:bodyDiv w:val="1"/>
      <w:marLeft w:val="0"/>
      <w:marRight w:val="0"/>
      <w:marTop w:val="0"/>
      <w:marBottom w:val="0"/>
      <w:divBdr>
        <w:top w:val="none" w:sz="0" w:space="0" w:color="auto"/>
        <w:left w:val="none" w:sz="0" w:space="0" w:color="auto"/>
        <w:bottom w:val="none" w:sz="0" w:space="0" w:color="auto"/>
        <w:right w:val="none" w:sz="0" w:space="0" w:color="auto"/>
      </w:divBdr>
    </w:div>
    <w:div w:id="107697270">
      <w:bodyDiv w:val="1"/>
      <w:marLeft w:val="0"/>
      <w:marRight w:val="0"/>
      <w:marTop w:val="0"/>
      <w:marBottom w:val="0"/>
      <w:divBdr>
        <w:top w:val="none" w:sz="0" w:space="0" w:color="auto"/>
        <w:left w:val="none" w:sz="0" w:space="0" w:color="auto"/>
        <w:bottom w:val="none" w:sz="0" w:space="0" w:color="auto"/>
        <w:right w:val="none" w:sz="0" w:space="0" w:color="auto"/>
      </w:divBdr>
    </w:div>
    <w:div w:id="206839246">
      <w:bodyDiv w:val="1"/>
      <w:marLeft w:val="0"/>
      <w:marRight w:val="0"/>
      <w:marTop w:val="0"/>
      <w:marBottom w:val="0"/>
      <w:divBdr>
        <w:top w:val="none" w:sz="0" w:space="0" w:color="auto"/>
        <w:left w:val="none" w:sz="0" w:space="0" w:color="auto"/>
        <w:bottom w:val="none" w:sz="0" w:space="0" w:color="auto"/>
        <w:right w:val="none" w:sz="0" w:space="0" w:color="auto"/>
      </w:divBdr>
      <w:divsChild>
        <w:div w:id="228999742">
          <w:marLeft w:val="0"/>
          <w:marRight w:val="0"/>
          <w:marTop w:val="0"/>
          <w:marBottom w:val="160"/>
          <w:divBdr>
            <w:top w:val="none" w:sz="0" w:space="0" w:color="auto"/>
            <w:left w:val="none" w:sz="0" w:space="0" w:color="auto"/>
            <w:bottom w:val="none" w:sz="0" w:space="0" w:color="auto"/>
            <w:right w:val="none" w:sz="0" w:space="0" w:color="auto"/>
          </w:divBdr>
        </w:div>
        <w:div w:id="1403795432">
          <w:marLeft w:val="0"/>
          <w:marRight w:val="0"/>
          <w:marTop w:val="0"/>
          <w:marBottom w:val="160"/>
          <w:divBdr>
            <w:top w:val="none" w:sz="0" w:space="0" w:color="auto"/>
            <w:left w:val="none" w:sz="0" w:space="0" w:color="auto"/>
            <w:bottom w:val="none" w:sz="0" w:space="0" w:color="auto"/>
            <w:right w:val="none" w:sz="0" w:space="0" w:color="auto"/>
          </w:divBdr>
        </w:div>
        <w:div w:id="1653438156">
          <w:marLeft w:val="0"/>
          <w:marRight w:val="0"/>
          <w:marTop w:val="0"/>
          <w:marBottom w:val="160"/>
          <w:divBdr>
            <w:top w:val="none" w:sz="0" w:space="0" w:color="auto"/>
            <w:left w:val="none" w:sz="0" w:space="0" w:color="auto"/>
            <w:bottom w:val="none" w:sz="0" w:space="0" w:color="auto"/>
            <w:right w:val="none" w:sz="0" w:space="0" w:color="auto"/>
          </w:divBdr>
        </w:div>
      </w:divsChild>
    </w:div>
    <w:div w:id="275866275">
      <w:bodyDiv w:val="1"/>
      <w:marLeft w:val="0"/>
      <w:marRight w:val="0"/>
      <w:marTop w:val="0"/>
      <w:marBottom w:val="0"/>
      <w:divBdr>
        <w:top w:val="none" w:sz="0" w:space="0" w:color="auto"/>
        <w:left w:val="none" w:sz="0" w:space="0" w:color="auto"/>
        <w:bottom w:val="none" w:sz="0" w:space="0" w:color="auto"/>
        <w:right w:val="none" w:sz="0" w:space="0" w:color="auto"/>
      </w:divBdr>
    </w:div>
    <w:div w:id="282929146">
      <w:bodyDiv w:val="1"/>
      <w:marLeft w:val="0"/>
      <w:marRight w:val="0"/>
      <w:marTop w:val="0"/>
      <w:marBottom w:val="0"/>
      <w:divBdr>
        <w:top w:val="none" w:sz="0" w:space="0" w:color="auto"/>
        <w:left w:val="none" w:sz="0" w:space="0" w:color="auto"/>
        <w:bottom w:val="none" w:sz="0" w:space="0" w:color="auto"/>
        <w:right w:val="none" w:sz="0" w:space="0" w:color="auto"/>
      </w:divBdr>
    </w:div>
    <w:div w:id="398403880">
      <w:bodyDiv w:val="1"/>
      <w:marLeft w:val="0"/>
      <w:marRight w:val="0"/>
      <w:marTop w:val="0"/>
      <w:marBottom w:val="0"/>
      <w:divBdr>
        <w:top w:val="none" w:sz="0" w:space="0" w:color="auto"/>
        <w:left w:val="none" w:sz="0" w:space="0" w:color="auto"/>
        <w:bottom w:val="none" w:sz="0" w:space="0" w:color="auto"/>
        <w:right w:val="none" w:sz="0" w:space="0" w:color="auto"/>
      </w:divBdr>
    </w:div>
    <w:div w:id="567960049">
      <w:bodyDiv w:val="1"/>
      <w:marLeft w:val="0"/>
      <w:marRight w:val="0"/>
      <w:marTop w:val="0"/>
      <w:marBottom w:val="0"/>
      <w:divBdr>
        <w:top w:val="none" w:sz="0" w:space="0" w:color="auto"/>
        <w:left w:val="none" w:sz="0" w:space="0" w:color="auto"/>
        <w:bottom w:val="none" w:sz="0" w:space="0" w:color="auto"/>
        <w:right w:val="none" w:sz="0" w:space="0" w:color="auto"/>
      </w:divBdr>
    </w:div>
    <w:div w:id="632058178">
      <w:bodyDiv w:val="1"/>
      <w:marLeft w:val="0"/>
      <w:marRight w:val="0"/>
      <w:marTop w:val="0"/>
      <w:marBottom w:val="0"/>
      <w:divBdr>
        <w:top w:val="none" w:sz="0" w:space="0" w:color="auto"/>
        <w:left w:val="none" w:sz="0" w:space="0" w:color="auto"/>
        <w:bottom w:val="none" w:sz="0" w:space="0" w:color="auto"/>
        <w:right w:val="none" w:sz="0" w:space="0" w:color="auto"/>
      </w:divBdr>
    </w:div>
    <w:div w:id="904800413">
      <w:bodyDiv w:val="1"/>
      <w:marLeft w:val="0"/>
      <w:marRight w:val="0"/>
      <w:marTop w:val="0"/>
      <w:marBottom w:val="0"/>
      <w:divBdr>
        <w:top w:val="none" w:sz="0" w:space="0" w:color="auto"/>
        <w:left w:val="none" w:sz="0" w:space="0" w:color="auto"/>
        <w:bottom w:val="none" w:sz="0" w:space="0" w:color="auto"/>
        <w:right w:val="none" w:sz="0" w:space="0" w:color="auto"/>
      </w:divBdr>
    </w:div>
    <w:div w:id="1190610056">
      <w:bodyDiv w:val="1"/>
      <w:marLeft w:val="0"/>
      <w:marRight w:val="0"/>
      <w:marTop w:val="0"/>
      <w:marBottom w:val="0"/>
      <w:divBdr>
        <w:top w:val="none" w:sz="0" w:space="0" w:color="auto"/>
        <w:left w:val="none" w:sz="0" w:space="0" w:color="auto"/>
        <w:bottom w:val="none" w:sz="0" w:space="0" w:color="auto"/>
        <w:right w:val="none" w:sz="0" w:space="0" w:color="auto"/>
      </w:divBdr>
    </w:div>
    <w:div w:id="1200049807">
      <w:bodyDiv w:val="1"/>
      <w:marLeft w:val="0"/>
      <w:marRight w:val="0"/>
      <w:marTop w:val="0"/>
      <w:marBottom w:val="0"/>
      <w:divBdr>
        <w:top w:val="none" w:sz="0" w:space="0" w:color="auto"/>
        <w:left w:val="none" w:sz="0" w:space="0" w:color="auto"/>
        <w:bottom w:val="none" w:sz="0" w:space="0" w:color="auto"/>
        <w:right w:val="none" w:sz="0" w:space="0" w:color="auto"/>
      </w:divBdr>
    </w:div>
    <w:div w:id="1376468481">
      <w:bodyDiv w:val="1"/>
      <w:marLeft w:val="0"/>
      <w:marRight w:val="0"/>
      <w:marTop w:val="0"/>
      <w:marBottom w:val="0"/>
      <w:divBdr>
        <w:top w:val="none" w:sz="0" w:space="0" w:color="auto"/>
        <w:left w:val="none" w:sz="0" w:space="0" w:color="auto"/>
        <w:bottom w:val="none" w:sz="0" w:space="0" w:color="auto"/>
        <w:right w:val="none" w:sz="0" w:space="0" w:color="auto"/>
      </w:divBdr>
    </w:div>
    <w:div w:id="1506437887">
      <w:bodyDiv w:val="1"/>
      <w:marLeft w:val="0"/>
      <w:marRight w:val="0"/>
      <w:marTop w:val="0"/>
      <w:marBottom w:val="0"/>
      <w:divBdr>
        <w:top w:val="none" w:sz="0" w:space="0" w:color="auto"/>
        <w:left w:val="none" w:sz="0" w:space="0" w:color="auto"/>
        <w:bottom w:val="none" w:sz="0" w:space="0" w:color="auto"/>
        <w:right w:val="none" w:sz="0" w:space="0" w:color="auto"/>
      </w:divBdr>
      <w:divsChild>
        <w:div w:id="1041251609">
          <w:marLeft w:val="0"/>
          <w:marRight w:val="0"/>
          <w:marTop w:val="0"/>
          <w:marBottom w:val="0"/>
          <w:divBdr>
            <w:top w:val="none" w:sz="0" w:space="0" w:color="auto"/>
            <w:left w:val="none" w:sz="0" w:space="0" w:color="auto"/>
            <w:bottom w:val="none" w:sz="0" w:space="0" w:color="auto"/>
            <w:right w:val="none" w:sz="0" w:space="0" w:color="auto"/>
          </w:divBdr>
          <w:divsChild>
            <w:div w:id="1305039793">
              <w:marLeft w:val="0"/>
              <w:marRight w:val="0"/>
              <w:marTop w:val="0"/>
              <w:marBottom w:val="0"/>
              <w:divBdr>
                <w:top w:val="none" w:sz="0" w:space="0" w:color="auto"/>
                <w:left w:val="none" w:sz="0" w:space="0" w:color="auto"/>
                <w:bottom w:val="none" w:sz="0" w:space="0" w:color="auto"/>
                <w:right w:val="none" w:sz="0" w:space="0" w:color="auto"/>
              </w:divBdr>
              <w:divsChild>
                <w:div w:id="1797916668">
                  <w:marLeft w:val="0"/>
                  <w:marRight w:val="0"/>
                  <w:marTop w:val="0"/>
                  <w:marBottom w:val="0"/>
                  <w:divBdr>
                    <w:top w:val="none" w:sz="0" w:space="0" w:color="auto"/>
                    <w:left w:val="none" w:sz="0" w:space="0" w:color="auto"/>
                    <w:bottom w:val="none" w:sz="0" w:space="0" w:color="auto"/>
                    <w:right w:val="none" w:sz="0" w:space="0" w:color="auto"/>
                  </w:divBdr>
                  <w:divsChild>
                    <w:div w:id="199848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956335">
      <w:bodyDiv w:val="1"/>
      <w:marLeft w:val="0"/>
      <w:marRight w:val="0"/>
      <w:marTop w:val="0"/>
      <w:marBottom w:val="0"/>
      <w:divBdr>
        <w:top w:val="none" w:sz="0" w:space="0" w:color="auto"/>
        <w:left w:val="none" w:sz="0" w:space="0" w:color="auto"/>
        <w:bottom w:val="none" w:sz="0" w:space="0" w:color="auto"/>
        <w:right w:val="none" w:sz="0" w:space="0" w:color="auto"/>
      </w:divBdr>
    </w:div>
    <w:div w:id="1694920109">
      <w:bodyDiv w:val="1"/>
      <w:marLeft w:val="0"/>
      <w:marRight w:val="0"/>
      <w:marTop w:val="0"/>
      <w:marBottom w:val="0"/>
      <w:divBdr>
        <w:top w:val="none" w:sz="0" w:space="0" w:color="auto"/>
        <w:left w:val="none" w:sz="0" w:space="0" w:color="auto"/>
        <w:bottom w:val="none" w:sz="0" w:space="0" w:color="auto"/>
        <w:right w:val="none" w:sz="0" w:space="0" w:color="auto"/>
      </w:divBdr>
    </w:div>
    <w:div w:id="2024429179">
      <w:bodyDiv w:val="1"/>
      <w:marLeft w:val="0"/>
      <w:marRight w:val="0"/>
      <w:marTop w:val="0"/>
      <w:marBottom w:val="0"/>
      <w:divBdr>
        <w:top w:val="none" w:sz="0" w:space="0" w:color="auto"/>
        <w:left w:val="none" w:sz="0" w:space="0" w:color="auto"/>
        <w:bottom w:val="none" w:sz="0" w:space="0" w:color="auto"/>
        <w:right w:val="none" w:sz="0" w:space="0" w:color="auto"/>
      </w:divBdr>
    </w:div>
    <w:div w:id="2042900021">
      <w:bodyDiv w:val="1"/>
      <w:marLeft w:val="0"/>
      <w:marRight w:val="0"/>
      <w:marTop w:val="0"/>
      <w:marBottom w:val="0"/>
      <w:divBdr>
        <w:top w:val="none" w:sz="0" w:space="0" w:color="auto"/>
        <w:left w:val="none" w:sz="0" w:space="0" w:color="auto"/>
        <w:bottom w:val="none" w:sz="0" w:space="0" w:color="auto"/>
        <w:right w:val="none" w:sz="0" w:space="0" w:color="auto"/>
      </w:divBdr>
    </w:div>
    <w:div w:id="2068453328">
      <w:bodyDiv w:val="1"/>
      <w:marLeft w:val="0"/>
      <w:marRight w:val="0"/>
      <w:marTop w:val="0"/>
      <w:marBottom w:val="0"/>
      <w:divBdr>
        <w:top w:val="none" w:sz="0" w:space="0" w:color="auto"/>
        <w:left w:val="none" w:sz="0" w:space="0" w:color="auto"/>
        <w:bottom w:val="none" w:sz="0" w:space="0" w:color="auto"/>
        <w:right w:val="none" w:sz="0" w:space="0" w:color="auto"/>
      </w:divBdr>
    </w:div>
    <w:div w:id="21057571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lombiacompra.gov.co/sites/cce_public/files/cce_documents/cce_guia_regimen_especial.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nrueda266@unab.edu.co"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nam02.safelinks.protection.outlook.com/?url=https%3A%2F%2Fwww.colombiacompra.gov.co%2Fsala-de-prensa%2Fboletin-digital&amp;data=05%7C02%7Ccielo.gonzalez%40colombiacompra.gov.co%7Ca5385b6e6e634a6b840208dca5c36dc1%7C7b09041e245149d08cb179d5e3d8c1be%7C0%7C0%7C638567506006998902%7CUnknown%7CTWFpbGZsb3d8eyJWIjoiMC4wLjAwMDAiLCJQIjoiV2luMzIiLCJBTiI6Ik1haWwiLCJXVCI6Mn0%3D%7C0%7C%7C%7C&amp;sdata=Fj8DQ3xgv92feI2kr4Mw%2F1BSk5GgYJSs%2BJR%2BejSIbJg%3D&amp;reserved=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relatoria.colombiacompra.gov.co/busqueda/concepto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uncionpublica.gov.co/eva/gestornormativo/norma_pdf.php?i=187447"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_Flow_SignoffStatus xmlns="9d85dbaf-23eb-4e57-a637-93dcacc8b1a1" xsi:nil="true"/>
  </documentManagement>
</p:properties>
</file>

<file path=customXml/itemProps1.xml><?xml version="1.0" encoding="utf-8"?>
<ds:datastoreItem xmlns:ds="http://schemas.openxmlformats.org/officeDocument/2006/customXml" ds:itemID="{D5F2F95D-4AB6-A24F-8865-2B569146145D}">
  <ds:schemaRefs>
    <ds:schemaRef ds:uri="http://schemas.openxmlformats.org/officeDocument/2006/bibliography"/>
  </ds:schemaRefs>
</ds:datastoreItem>
</file>

<file path=customXml/itemProps2.xml><?xml version="1.0" encoding="utf-8"?>
<ds:datastoreItem xmlns:ds="http://schemas.openxmlformats.org/officeDocument/2006/customXml" ds:itemID="{B524EFD2-6506-4654-A0AC-DEF36450FF53}">
  <ds:schemaRefs>
    <ds:schemaRef ds:uri="http://schemas.microsoft.com/sharepoint/v3/contenttype/forms"/>
  </ds:schemaRefs>
</ds:datastoreItem>
</file>

<file path=customXml/itemProps3.xml><?xml version="1.0" encoding="utf-8"?>
<ds:datastoreItem xmlns:ds="http://schemas.openxmlformats.org/officeDocument/2006/customXml" ds:itemID="{B2843723-D73A-40E9-95E7-857E24E9F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B8AE37-E1F3-4B08-98E9-52F0B3FA79CF}">
  <ds:schemaRefs>
    <ds:schemaRef ds:uri="a6cb9e4b-f1d1-4245-83ec-6cad768d538a"/>
    <ds:schemaRef ds:uri="http://schemas.microsoft.com/office/2006/metadata/properties"/>
    <ds:schemaRef ds:uri="http://purl.org/dc/elements/1.1/"/>
    <ds:schemaRef ds:uri="http://www.w3.org/XML/1998/namespace"/>
    <ds:schemaRef ds:uri="http://purl.org/dc/terms/"/>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13</Pages>
  <Words>3559</Words>
  <Characters>19580</Characters>
  <Application>Microsoft Office Word</Application>
  <DocSecurity>0</DocSecurity>
  <Lines>163</Lines>
  <Paragraphs>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ANCP-SGC</dc:creator>
  <cp:keywords/>
  <dc:description/>
  <cp:lastModifiedBy>Betty helena Diaz</cp:lastModifiedBy>
  <cp:revision>2</cp:revision>
  <dcterms:created xsi:type="dcterms:W3CDTF">2024-08-27T03:34:00Z</dcterms:created>
  <dcterms:modified xsi:type="dcterms:W3CDTF">2024-08-27T03:34:00Z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