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E187" w14:textId="77777777" w:rsidR="00F777F8" w:rsidRPr="00220BAD" w:rsidRDefault="00F777F8" w:rsidP="00F777F8">
      <w:pPr>
        <w:spacing w:after="0" w:line="240" w:lineRule="auto"/>
        <w:contextualSpacing/>
        <w:jc w:val="both"/>
        <w:rPr>
          <w:rFonts w:ascii="Verdana" w:eastAsia="Calibri" w:hAnsi="Verdana" w:cs="Arial"/>
          <w:b/>
          <w:bCs/>
          <w:lang w:val="es-ES"/>
        </w:rPr>
      </w:pPr>
      <w:bookmarkStart w:id="0" w:name="_Hlk143780582"/>
      <w:r w:rsidRPr="00220BAD">
        <w:rPr>
          <w:rFonts w:ascii="Verdana" w:eastAsia="Calibri" w:hAnsi="Verdana" w:cs="Arial"/>
          <w:b/>
          <w:bCs/>
          <w:lang w:val="es-ES"/>
        </w:rPr>
        <w:t xml:space="preserve">INHABILIDADES E INCOMPATIBILIDADES – Límites a la capacidad – Régimen </w:t>
      </w:r>
    </w:p>
    <w:p w14:paraId="28B0CA04" w14:textId="77777777" w:rsidR="00F777F8" w:rsidRDefault="00F777F8" w:rsidP="00F777F8">
      <w:pPr>
        <w:spacing w:after="0" w:line="240" w:lineRule="auto"/>
        <w:contextualSpacing/>
        <w:jc w:val="both"/>
        <w:rPr>
          <w:rFonts w:ascii="Verdana" w:eastAsia="Calibri" w:hAnsi="Verdana" w:cs="Arial"/>
          <w:sz w:val="20"/>
          <w:szCs w:val="20"/>
          <w:lang w:val="es-ES"/>
        </w:rPr>
      </w:pPr>
    </w:p>
    <w:p w14:paraId="2142CA5B" w14:textId="77777777" w:rsidR="00F777F8" w:rsidRPr="00220BAD" w:rsidRDefault="00F777F8" w:rsidP="00F777F8">
      <w:pPr>
        <w:spacing w:after="0" w:line="240" w:lineRule="auto"/>
        <w:contextualSpacing/>
        <w:jc w:val="both"/>
        <w:rPr>
          <w:rFonts w:ascii="Verdana" w:eastAsia="Aptos" w:hAnsi="Verdana" w:cs="Arial"/>
          <w:sz w:val="20"/>
          <w:szCs w:val="20"/>
        </w:rPr>
      </w:pPr>
      <w:r w:rsidRPr="00220BAD">
        <w:rPr>
          <w:rFonts w:ascii="Verdana" w:eastAsia="Calibri" w:hAnsi="Verdana" w:cs="Arial"/>
          <w:sz w:val="20"/>
          <w:szCs w:val="20"/>
          <w:lang w:val="es-ES"/>
        </w:rPr>
        <w:t xml:space="preserve">[…] </w:t>
      </w:r>
      <w:r w:rsidRPr="00220BAD">
        <w:rPr>
          <w:rFonts w:ascii="Verdana" w:eastAsia="Calibri" w:hAnsi="Verdana" w:cs="Arial"/>
          <w:sz w:val="20"/>
          <w:szCs w:val="20"/>
          <w:lang w:val="es-ES_tradnl" w:eastAsia="es-ES_tradnl"/>
        </w:rPr>
        <w:t>e</w:t>
      </w:r>
      <w:r w:rsidRPr="00220BAD">
        <w:rPr>
          <w:rFonts w:ascii="Verdana" w:eastAsia="Aptos" w:hAnsi="Verdana" w:cs="Arial"/>
          <w:sz w:val="20"/>
          <w:szCs w:val="20"/>
          <w:lang w:val="es-MX"/>
        </w:rPr>
        <w:t xml:space="preserv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w:t>
      </w:r>
      <w:r w:rsidRPr="00220BAD">
        <w:rPr>
          <w:rFonts w:ascii="Verdana" w:eastAsia="Aptos" w:hAnsi="Verdana" w:cs="Arial"/>
          <w:sz w:val="20"/>
          <w:szCs w:val="20"/>
        </w:rPr>
        <w:t>consagradas</w:t>
      </w:r>
      <w:r w:rsidRPr="00220BAD">
        <w:rPr>
          <w:rFonts w:ascii="Verdana" w:eastAsia="Aptos" w:hAnsi="Verdana" w:cs="Arial"/>
          <w:sz w:val="20"/>
          <w:szCs w:val="20"/>
          <w:lang w:val="es-MX"/>
        </w:rPr>
        <w:t xml:space="preserve"> por el ordenamiento jurídico</w:t>
      </w:r>
      <w:r w:rsidRPr="00220BAD">
        <w:rPr>
          <w:rFonts w:ascii="Verdana" w:eastAsia="Aptos" w:hAnsi="Verdana" w:cs="Arial"/>
          <w:sz w:val="20"/>
          <w:szCs w:val="20"/>
        </w:rPr>
        <w:t xml:space="preserve">. </w:t>
      </w:r>
    </w:p>
    <w:p w14:paraId="1A59C2CD" w14:textId="77777777" w:rsidR="00F777F8" w:rsidRPr="00220BAD" w:rsidRDefault="00F777F8" w:rsidP="00F777F8">
      <w:pPr>
        <w:spacing w:after="0" w:line="240" w:lineRule="auto"/>
        <w:contextualSpacing/>
        <w:jc w:val="both"/>
        <w:rPr>
          <w:rFonts w:ascii="Verdana" w:eastAsia="Calibri" w:hAnsi="Verdana" w:cs="Arial"/>
          <w:sz w:val="20"/>
          <w:szCs w:val="20"/>
        </w:rPr>
      </w:pPr>
    </w:p>
    <w:p w14:paraId="0092FFBA" w14:textId="77777777" w:rsidR="00F777F8" w:rsidRPr="00220BAD" w:rsidRDefault="00F777F8" w:rsidP="00F777F8">
      <w:pPr>
        <w:spacing w:after="0" w:line="240" w:lineRule="auto"/>
        <w:contextualSpacing/>
        <w:jc w:val="both"/>
        <w:rPr>
          <w:rFonts w:ascii="Verdana" w:eastAsia="Calibri" w:hAnsi="Verdana" w:cs="Arial"/>
          <w:b/>
          <w:bCs/>
          <w:lang w:val="es-ES"/>
        </w:rPr>
      </w:pPr>
      <w:r w:rsidRPr="00220BAD">
        <w:rPr>
          <w:rFonts w:ascii="Verdana" w:eastAsia="Calibri" w:hAnsi="Verdana" w:cs="Arial"/>
          <w:b/>
          <w:bCs/>
          <w:lang w:val="es-ES"/>
        </w:rPr>
        <w:t xml:space="preserve">INHABILIDADES E INCOMPATIBILIDADES – Concepto </w:t>
      </w:r>
    </w:p>
    <w:p w14:paraId="22694077" w14:textId="77777777" w:rsidR="00F777F8" w:rsidRPr="00220BAD" w:rsidRDefault="00F777F8" w:rsidP="00F777F8">
      <w:pPr>
        <w:spacing w:after="0" w:line="240" w:lineRule="auto"/>
        <w:contextualSpacing/>
        <w:jc w:val="both"/>
        <w:rPr>
          <w:rFonts w:ascii="Verdana" w:eastAsia="Calibri" w:hAnsi="Verdana" w:cs="Arial"/>
          <w:b/>
          <w:bCs/>
          <w:sz w:val="20"/>
          <w:szCs w:val="20"/>
          <w:lang w:val="es-ES"/>
        </w:rPr>
      </w:pPr>
    </w:p>
    <w:p w14:paraId="3ADACA0F" w14:textId="77777777" w:rsidR="00F777F8" w:rsidRPr="00220BAD" w:rsidRDefault="00F777F8" w:rsidP="00F777F8">
      <w:pPr>
        <w:spacing w:after="0" w:line="240" w:lineRule="auto"/>
        <w:contextualSpacing/>
        <w:jc w:val="both"/>
        <w:rPr>
          <w:rFonts w:ascii="Verdana" w:eastAsia="Aptos" w:hAnsi="Verdana" w:cs="Arial"/>
          <w:sz w:val="20"/>
          <w:szCs w:val="20"/>
          <w:lang w:val="es-MX"/>
        </w:rPr>
      </w:pPr>
      <w:r w:rsidRPr="00220BAD">
        <w:rPr>
          <w:rFonts w:ascii="Verdana" w:eastAsia="Aptos" w:hAnsi="Verdana" w:cs="Arial"/>
          <w:sz w:val="20"/>
          <w:szCs w:val="20"/>
        </w:rPr>
        <w:t>La</w:t>
      </w:r>
      <w:r w:rsidRPr="00220BAD">
        <w:rPr>
          <w:rFonts w:ascii="Verdana" w:eastAsia="Aptos" w:hAnsi="Verdana" w:cs="Arial"/>
          <w:sz w:val="20"/>
          <w:szCs w:val="20"/>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220BAD">
        <w:rPr>
          <w:rFonts w:ascii="Verdana" w:hAnsi="Verdana"/>
          <w:sz w:val="20"/>
          <w:szCs w:val="20"/>
          <w:vertAlign w:val="superscript"/>
          <w:lang w:val="es-MX"/>
        </w:rPr>
        <w:t>.</w:t>
      </w:r>
    </w:p>
    <w:p w14:paraId="76866299" w14:textId="77777777" w:rsidR="00F777F8" w:rsidRPr="00220BAD" w:rsidRDefault="00F777F8" w:rsidP="00F777F8">
      <w:pPr>
        <w:pStyle w:val="Prrafodelista"/>
        <w:spacing w:after="0" w:line="240" w:lineRule="auto"/>
        <w:ind w:left="360"/>
        <w:jc w:val="both"/>
        <w:rPr>
          <w:rFonts w:ascii="Verdana" w:eastAsia="Aptos" w:hAnsi="Verdana" w:cs="Arial"/>
          <w:sz w:val="20"/>
          <w:szCs w:val="20"/>
          <w:lang w:val="es-MX"/>
        </w:rPr>
      </w:pPr>
    </w:p>
    <w:p w14:paraId="1C817222" w14:textId="77777777" w:rsidR="00F777F8" w:rsidRDefault="00F777F8" w:rsidP="00F777F8">
      <w:pPr>
        <w:spacing w:after="0" w:line="240" w:lineRule="auto"/>
        <w:contextualSpacing/>
        <w:jc w:val="both"/>
        <w:rPr>
          <w:rFonts w:ascii="Verdana" w:eastAsia="Aptos" w:hAnsi="Verdana" w:cs="Arial"/>
          <w:sz w:val="20"/>
          <w:szCs w:val="20"/>
          <w:lang w:val="es-MX"/>
        </w:rPr>
      </w:pPr>
      <w:r w:rsidRPr="00220BAD">
        <w:rPr>
          <w:rFonts w:ascii="Verdana" w:eastAsia="Aptos" w:hAnsi="Verdana" w:cs="Arial"/>
          <w:sz w:val="20"/>
          <w:szCs w:val="20"/>
          <w:lang w:val="es-MX"/>
        </w:rPr>
        <w:t>La consagración de limitaciones que afectan la capacidad jurídica para contratar desarrolla los principios de la función administrativa consagrados en el artículo 209 de la Constitución Política, con especial énfasis el de moralidad.</w:t>
      </w:r>
    </w:p>
    <w:p w14:paraId="2D044138" w14:textId="77777777" w:rsidR="00F777F8" w:rsidRPr="00220BAD" w:rsidRDefault="00F777F8" w:rsidP="00F777F8">
      <w:pPr>
        <w:spacing w:after="0" w:line="240" w:lineRule="auto"/>
        <w:contextualSpacing/>
        <w:jc w:val="both"/>
        <w:rPr>
          <w:rFonts w:ascii="Verdana" w:eastAsia="Calibri" w:hAnsi="Verdana" w:cs="Arial"/>
          <w:sz w:val="20"/>
          <w:szCs w:val="20"/>
          <w:lang w:val="es-ES"/>
        </w:rPr>
      </w:pPr>
    </w:p>
    <w:p w14:paraId="1746C408" w14:textId="77777777" w:rsidR="00F777F8" w:rsidRPr="00220BAD" w:rsidRDefault="00F777F8" w:rsidP="00F777F8">
      <w:pPr>
        <w:spacing w:after="0" w:line="240" w:lineRule="auto"/>
        <w:contextualSpacing/>
        <w:jc w:val="both"/>
        <w:rPr>
          <w:rFonts w:ascii="Verdana" w:eastAsia="Aptos" w:hAnsi="Verdana" w:cs="Times New Roman"/>
          <w:b/>
          <w:bCs/>
          <w:shd w:val="clear" w:color="auto" w:fill="FFFFFF"/>
          <w:lang w:val="es-ES"/>
        </w:rPr>
      </w:pPr>
      <w:r w:rsidRPr="00220BAD">
        <w:rPr>
          <w:rFonts w:ascii="Verdana" w:eastAsia="Calibri" w:hAnsi="Verdana" w:cs="Arial"/>
          <w:b/>
          <w:bCs/>
          <w:lang w:val="es-ES"/>
        </w:rPr>
        <w:t xml:space="preserve">INHABILIDADES E INCOMPATIBILIDADES – Interpretación restrictiva – Principio </w:t>
      </w:r>
      <w:r w:rsidRPr="00220BAD">
        <w:rPr>
          <w:rFonts w:ascii="Verdana" w:eastAsia="Calibri" w:hAnsi="Verdana" w:cs="Arial"/>
          <w:b/>
          <w:bCs/>
          <w:i/>
          <w:lang w:val="es-ES"/>
        </w:rPr>
        <w:t>pro libertate</w:t>
      </w:r>
      <w:r w:rsidRPr="00220BAD">
        <w:rPr>
          <w:rFonts w:ascii="Verdana" w:eastAsia="Aptos" w:hAnsi="Verdana" w:cs="Times New Roman"/>
          <w:b/>
          <w:bCs/>
          <w:shd w:val="clear" w:color="auto" w:fill="FFFFFF"/>
          <w:lang w:val="es-ES"/>
        </w:rPr>
        <w:t xml:space="preserve"> </w:t>
      </w:r>
    </w:p>
    <w:p w14:paraId="10DB33B6" w14:textId="77777777" w:rsidR="00F777F8" w:rsidRPr="00220BAD" w:rsidRDefault="00F777F8" w:rsidP="00F777F8">
      <w:pPr>
        <w:spacing w:after="0" w:line="240" w:lineRule="auto"/>
        <w:contextualSpacing/>
        <w:jc w:val="both"/>
        <w:rPr>
          <w:rFonts w:ascii="Verdana" w:eastAsia="Aptos" w:hAnsi="Verdana" w:cs="Times New Roman"/>
          <w:b/>
          <w:bCs/>
          <w:sz w:val="20"/>
          <w:szCs w:val="20"/>
          <w:shd w:val="clear" w:color="auto" w:fill="FFFFFF"/>
          <w:lang w:val="es-ES"/>
        </w:rPr>
      </w:pPr>
    </w:p>
    <w:p w14:paraId="445B8790" w14:textId="77777777" w:rsidR="00F777F8" w:rsidRDefault="00F777F8" w:rsidP="00F777F8">
      <w:pPr>
        <w:spacing w:after="0" w:line="240" w:lineRule="auto"/>
        <w:contextualSpacing/>
        <w:jc w:val="both"/>
        <w:rPr>
          <w:rFonts w:ascii="Verdana" w:eastAsia="Calibri" w:hAnsi="Verdana" w:cs="Arial"/>
          <w:color w:val="000000"/>
          <w:kern w:val="2"/>
          <w:sz w:val="20"/>
          <w:szCs w:val="20"/>
          <w:lang w:eastAsia="es-ES"/>
        </w:rPr>
      </w:pPr>
      <w:r w:rsidRPr="00220BAD">
        <w:rPr>
          <w:rFonts w:ascii="Verdana" w:eastAsia="Aptos" w:hAnsi="Verdana" w:cs="Times New Roman"/>
          <w:sz w:val="20"/>
          <w:szCs w:val="20"/>
          <w:shd w:val="clear" w:color="auto" w:fill="FFFFFF"/>
          <w:lang w:val="es-ES"/>
        </w:rPr>
        <w:t xml:space="preserve">[…] </w:t>
      </w:r>
      <w:r w:rsidRPr="00220BAD">
        <w:rPr>
          <w:rFonts w:ascii="Verdana" w:eastAsia="Calibri" w:hAnsi="Verdana" w:cs="Arial"/>
          <w:color w:val="000000"/>
          <w:kern w:val="2"/>
          <w:sz w:val="20"/>
          <w:szCs w:val="20"/>
          <w:lang w:eastAsia="es-ES"/>
        </w:rPr>
        <w:t>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066C6CDE" w14:textId="77777777" w:rsidR="00F777F8" w:rsidRPr="00220BAD" w:rsidRDefault="00F777F8" w:rsidP="00F777F8">
      <w:pPr>
        <w:spacing w:after="0" w:line="240" w:lineRule="auto"/>
        <w:contextualSpacing/>
        <w:jc w:val="both"/>
        <w:rPr>
          <w:rFonts w:ascii="Verdana" w:eastAsia="Aptos" w:hAnsi="Verdana" w:cs="Times New Roman"/>
          <w:sz w:val="20"/>
          <w:szCs w:val="20"/>
          <w:shd w:val="clear" w:color="auto" w:fill="FFFFFF"/>
          <w:lang w:val="es-ES"/>
        </w:rPr>
      </w:pPr>
    </w:p>
    <w:p w14:paraId="0899340E" w14:textId="77777777" w:rsidR="00F777F8" w:rsidRPr="00220BAD" w:rsidRDefault="00F777F8" w:rsidP="00F777F8">
      <w:pPr>
        <w:spacing w:after="0" w:line="240" w:lineRule="auto"/>
        <w:contextualSpacing/>
        <w:jc w:val="both"/>
        <w:rPr>
          <w:rFonts w:ascii="Verdana" w:eastAsia="Aptos" w:hAnsi="Verdana" w:cs="Times New Roman"/>
          <w:b/>
          <w:bCs/>
          <w:shd w:val="clear" w:color="auto" w:fill="FFFFFF"/>
          <w:lang w:val="es-ES"/>
        </w:rPr>
      </w:pPr>
      <w:r w:rsidRPr="00220BAD">
        <w:rPr>
          <w:rFonts w:ascii="Verdana" w:eastAsia="Aptos" w:hAnsi="Verdana" w:cs="Times New Roman"/>
          <w:b/>
          <w:bCs/>
          <w:shd w:val="clear" w:color="auto" w:fill="FFFFFF"/>
          <w:lang w:val="es-ES"/>
        </w:rPr>
        <w:t xml:space="preserve">INHABILIDADES E INCOMPATIBILIDADES </w:t>
      </w:r>
      <w:r w:rsidRPr="00220BAD">
        <w:rPr>
          <w:rFonts w:ascii="Verdana" w:eastAsia="Calibri" w:hAnsi="Verdana" w:cs="Arial"/>
          <w:b/>
          <w:bCs/>
          <w:lang w:val="es-ES"/>
        </w:rPr>
        <w:t>–</w:t>
      </w:r>
      <w:r w:rsidRPr="00220BAD">
        <w:rPr>
          <w:rFonts w:ascii="Verdana" w:eastAsia="Aptos" w:hAnsi="Verdana" w:cs="Times New Roman"/>
          <w:b/>
          <w:bCs/>
          <w:shd w:val="clear" w:color="auto" w:fill="FFFFFF"/>
          <w:lang w:val="es-ES"/>
        </w:rPr>
        <w:t xml:space="preserve"> Sobreviniente </w:t>
      </w:r>
    </w:p>
    <w:p w14:paraId="786EA16C" w14:textId="77777777" w:rsidR="00F777F8" w:rsidRDefault="00F777F8" w:rsidP="00F777F8">
      <w:pPr>
        <w:spacing w:after="0" w:line="240" w:lineRule="auto"/>
        <w:contextualSpacing/>
        <w:jc w:val="both"/>
        <w:rPr>
          <w:rFonts w:ascii="Verdana" w:eastAsia="Aptos" w:hAnsi="Verdana" w:cs="Arial"/>
          <w:sz w:val="20"/>
          <w:szCs w:val="20"/>
        </w:rPr>
      </w:pPr>
    </w:p>
    <w:p w14:paraId="4733B01C" w14:textId="77777777" w:rsidR="00F777F8" w:rsidRPr="00220BAD" w:rsidRDefault="00F777F8" w:rsidP="00F777F8">
      <w:pPr>
        <w:spacing w:after="0" w:line="240" w:lineRule="auto"/>
        <w:contextualSpacing/>
        <w:jc w:val="both"/>
        <w:rPr>
          <w:rFonts w:ascii="Verdana" w:eastAsia="Calibri" w:hAnsi="Verdana" w:cs="Arial"/>
          <w:color w:val="000000"/>
          <w:sz w:val="20"/>
          <w:szCs w:val="20"/>
          <w:lang w:val="es-ES_tradnl" w:eastAsia="es-ES_tradnl"/>
        </w:rPr>
      </w:pPr>
      <w:r w:rsidRPr="00220BAD">
        <w:rPr>
          <w:rFonts w:ascii="Verdana" w:eastAsia="Aptos" w:hAnsi="Verdana" w:cs="Arial"/>
          <w:sz w:val="20"/>
          <w:szCs w:val="20"/>
        </w:rPr>
        <w:t xml:space="preserve">[…] también es posible que la inhabilidad sobrevenga cuando ya está perfeccionado el contrato o incluso durante su ejecución. En ese sentido, atendiendo al problema jurídico debe señalarse que las inhabilidades deben verificarse no solo al momento de celebrar el contrato estatal, sino también durante su ejecución. </w:t>
      </w:r>
    </w:p>
    <w:p w14:paraId="24F7F006" w14:textId="77777777" w:rsidR="00F777F8" w:rsidRPr="00220BAD" w:rsidRDefault="00F777F8" w:rsidP="00F777F8">
      <w:pPr>
        <w:pStyle w:val="Prrafodelista"/>
        <w:spacing w:after="0" w:line="240" w:lineRule="auto"/>
        <w:jc w:val="both"/>
        <w:rPr>
          <w:rFonts w:ascii="Verdana" w:eastAsia="Aptos" w:hAnsi="Verdana" w:cs="Arial"/>
          <w:sz w:val="20"/>
          <w:szCs w:val="20"/>
          <w:lang w:val="es-ES_tradnl"/>
        </w:rPr>
      </w:pPr>
    </w:p>
    <w:p w14:paraId="56BFE574" w14:textId="77777777" w:rsidR="00F777F8" w:rsidRPr="00220BAD" w:rsidRDefault="00F777F8" w:rsidP="00F777F8">
      <w:pPr>
        <w:spacing w:after="0" w:line="240" w:lineRule="auto"/>
        <w:contextualSpacing/>
        <w:jc w:val="both"/>
        <w:rPr>
          <w:rFonts w:ascii="Verdana" w:eastAsia="Aptos" w:hAnsi="Verdana" w:cs="Times New Roman"/>
          <w:sz w:val="20"/>
          <w:szCs w:val="20"/>
          <w:shd w:val="clear" w:color="auto" w:fill="FFFFFF"/>
          <w:lang w:val="es-ES"/>
        </w:rPr>
      </w:pPr>
      <w:r w:rsidRPr="00220BAD">
        <w:rPr>
          <w:rFonts w:ascii="Verdana" w:eastAsia="Aptos" w:hAnsi="Verdana" w:cs="Arial"/>
          <w:sz w:val="20"/>
          <w:szCs w:val="20"/>
        </w:rPr>
        <w:t>Lo anterior se sustenta en el hecho de que el mismo ordenamiento prevé una regulación especia para los casos en que la inhabilidad se presenta de manera sobreviniente.</w:t>
      </w:r>
    </w:p>
    <w:p w14:paraId="1AD273BA" w14:textId="77777777" w:rsidR="00F777F8" w:rsidRDefault="00F777F8" w:rsidP="00F777F8">
      <w:pPr>
        <w:spacing w:after="0" w:line="240" w:lineRule="auto"/>
        <w:contextualSpacing/>
        <w:jc w:val="both"/>
        <w:rPr>
          <w:rFonts w:ascii="Verdana" w:eastAsia="Aptos" w:hAnsi="Verdana" w:cs="Times New Roman"/>
          <w:sz w:val="20"/>
          <w:szCs w:val="20"/>
          <w:shd w:val="clear" w:color="auto" w:fill="FFFFFF"/>
          <w:lang w:val="es-ES"/>
        </w:rPr>
      </w:pPr>
    </w:p>
    <w:p w14:paraId="16AE5F38" w14:textId="77777777" w:rsidR="00F777F8" w:rsidRPr="00220BAD" w:rsidRDefault="00F777F8" w:rsidP="00F777F8">
      <w:pPr>
        <w:spacing w:after="0" w:line="240" w:lineRule="auto"/>
        <w:contextualSpacing/>
        <w:jc w:val="both"/>
        <w:rPr>
          <w:rFonts w:ascii="Verdana" w:eastAsia="Calibri" w:hAnsi="Verdana" w:cs="Arial"/>
          <w:b/>
          <w:bCs/>
          <w:i/>
          <w:lang w:val="es-ES"/>
        </w:rPr>
      </w:pPr>
      <w:r w:rsidRPr="00220BAD">
        <w:rPr>
          <w:rFonts w:ascii="Verdana" w:eastAsia="Aptos" w:hAnsi="Verdana" w:cs="Times New Roman"/>
          <w:b/>
          <w:bCs/>
          <w:shd w:val="clear" w:color="auto" w:fill="FFFFFF"/>
          <w:lang w:val="es-ES"/>
        </w:rPr>
        <w:t xml:space="preserve">INHABILIDADES </w:t>
      </w:r>
      <w:r w:rsidRPr="00220BAD">
        <w:rPr>
          <w:rFonts w:ascii="Verdana" w:eastAsia="Calibri" w:hAnsi="Verdana" w:cs="Arial"/>
          <w:b/>
          <w:bCs/>
          <w:lang w:val="es-ES"/>
        </w:rPr>
        <w:t>–</w:t>
      </w:r>
      <w:r w:rsidRPr="00220BAD">
        <w:rPr>
          <w:rFonts w:ascii="Verdana" w:eastAsia="Aptos" w:hAnsi="Verdana" w:cs="Times New Roman"/>
          <w:b/>
          <w:bCs/>
          <w:shd w:val="clear" w:color="auto" w:fill="FFFFFF"/>
          <w:lang w:val="es-ES"/>
        </w:rPr>
        <w:t xml:space="preserve"> Artículo 9 </w:t>
      </w:r>
      <w:r w:rsidRPr="00220BAD">
        <w:rPr>
          <w:rFonts w:ascii="Verdana" w:eastAsia="Calibri" w:hAnsi="Verdana" w:cs="Arial"/>
          <w:b/>
          <w:bCs/>
          <w:lang w:val="es-ES"/>
        </w:rPr>
        <w:t>–</w:t>
      </w:r>
      <w:r w:rsidRPr="00220BAD">
        <w:rPr>
          <w:rFonts w:ascii="Verdana" w:eastAsia="Aptos" w:hAnsi="Verdana" w:cs="Times New Roman"/>
          <w:b/>
          <w:bCs/>
          <w:shd w:val="clear" w:color="auto" w:fill="FFFFFF"/>
          <w:lang w:val="es-ES"/>
        </w:rPr>
        <w:t xml:space="preserve"> Ley 80 de 1993</w:t>
      </w:r>
    </w:p>
    <w:p w14:paraId="3A87A71C" w14:textId="77777777" w:rsidR="00F777F8" w:rsidRDefault="00F777F8" w:rsidP="00F777F8">
      <w:pPr>
        <w:spacing w:after="0" w:line="240" w:lineRule="auto"/>
        <w:contextualSpacing/>
        <w:jc w:val="both"/>
        <w:rPr>
          <w:rFonts w:ascii="Verdana" w:eastAsia="Calibri" w:hAnsi="Verdana" w:cs="Arial"/>
          <w:color w:val="000000"/>
          <w:sz w:val="20"/>
          <w:szCs w:val="20"/>
        </w:rPr>
      </w:pPr>
    </w:p>
    <w:p w14:paraId="0122A6C1" w14:textId="77777777" w:rsidR="00F777F8" w:rsidRPr="00220BAD" w:rsidRDefault="00F777F8" w:rsidP="00F777F8">
      <w:pPr>
        <w:spacing w:after="0" w:line="240" w:lineRule="auto"/>
        <w:contextualSpacing/>
        <w:jc w:val="both"/>
        <w:rPr>
          <w:rFonts w:ascii="Verdana" w:eastAsia="Aptos" w:hAnsi="Verdana" w:cs="Arial"/>
          <w:sz w:val="20"/>
          <w:szCs w:val="20"/>
        </w:rPr>
      </w:pPr>
      <w:r w:rsidRPr="00220BAD">
        <w:rPr>
          <w:rFonts w:ascii="Verdana" w:eastAsia="Calibri" w:hAnsi="Verdana" w:cs="Arial"/>
          <w:color w:val="000000"/>
          <w:sz w:val="20"/>
          <w:szCs w:val="20"/>
        </w:rPr>
        <w:t xml:space="preserve">Según se desprende del texto del artículo 9 de la Ley 80 de 1993, y sin perjuicio de la regla especial establecida en el parágrafo 1 de dicho artículo,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2963FBD4" w14:textId="77777777" w:rsidR="00F777F8" w:rsidRPr="00220BAD" w:rsidRDefault="00F777F8" w:rsidP="00F777F8">
      <w:pPr>
        <w:pStyle w:val="Prrafodelista"/>
        <w:spacing w:after="0" w:line="240" w:lineRule="auto"/>
        <w:jc w:val="both"/>
        <w:rPr>
          <w:rFonts w:ascii="Verdana" w:eastAsia="Calibri" w:hAnsi="Verdana" w:cs="Arial"/>
          <w:color w:val="000000"/>
          <w:sz w:val="20"/>
          <w:szCs w:val="20"/>
        </w:rPr>
      </w:pPr>
    </w:p>
    <w:p w14:paraId="7BC0B2F4" w14:textId="77777777" w:rsidR="00F777F8" w:rsidRPr="00220BAD" w:rsidRDefault="00F777F8" w:rsidP="00F777F8">
      <w:pPr>
        <w:widowControl w:val="0"/>
        <w:autoSpaceDE w:val="0"/>
        <w:autoSpaceDN w:val="0"/>
        <w:spacing w:after="0" w:line="240" w:lineRule="auto"/>
        <w:ind w:right="49"/>
        <w:contextualSpacing/>
        <w:jc w:val="both"/>
        <w:rPr>
          <w:rFonts w:ascii="Verdana" w:eastAsia="Calibri" w:hAnsi="Verdana" w:cs="Arial"/>
          <w:sz w:val="20"/>
          <w:szCs w:val="20"/>
          <w:lang w:eastAsia="es-ES" w:bidi="es-ES"/>
        </w:rPr>
      </w:pPr>
      <w:r w:rsidRPr="00220BAD">
        <w:rPr>
          <w:rFonts w:ascii="Verdana" w:eastAsia="Aptos" w:hAnsi="Verdana" w:cs="Arial"/>
          <w:sz w:val="20"/>
          <w:szCs w:val="20"/>
        </w:rPr>
        <w:t>Conforme a lo anterior,</w:t>
      </w:r>
      <w:r w:rsidRPr="00220BAD">
        <w:rPr>
          <w:rFonts w:ascii="Verdana" w:eastAsia="Aptos" w:hAnsi="Verdana" w:cs="Arial"/>
          <w:color w:val="000000"/>
          <w:sz w:val="20"/>
          <w:szCs w:val="20"/>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 En ese sentido,</w:t>
      </w:r>
      <w:r w:rsidRPr="00220BAD">
        <w:rPr>
          <w:rFonts w:ascii="Verdana" w:eastAsia="Aptos" w:hAnsi="Verdana" w:cs="Arial"/>
          <w:sz w:val="20"/>
          <w:szCs w:val="20"/>
        </w:rPr>
        <w:t xml:space="preserve"> si durante la ejecución del contrato se llega a configurar la inhabilidad contemplada en el numeral 1 del artículo 6 de la Ley 2097 de 2021, se configuraría una inhabilidad sobreviniente por lo cual</w:t>
      </w:r>
      <w:r w:rsidRPr="00220BAD">
        <w:rPr>
          <w:rFonts w:ascii="Verdana" w:eastAsia="Calibri" w:hAnsi="Verdana" w:cs="Arial"/>
          <w:color w:val="000000"/>
          <w:sz w:val="20"/>
          <w:szCs w:val="20"/>
        </w:rPr>
        <w:t xml:space="preserve"> no se puede mantener el vínculo contractual con ese contratista inhábil y, en consecuencia, se deberá proceder a su cesión o terminación. </w:t>
      </w:r>
    </w:p>
    <w:p w14:paraId="3F9E0F2C" w14:textId="77777777" w:rsidR="00F777F8" w:rsidRDefault="00F777F8">
      <w:pPr>
        <w:rPr>
          <w:rFonts w:ascii="Verdana" w:hAnsi="Verdana"/>
        </w:rPr>
      </w:pPr>
      <w:r>
        <w:rPr>
          <w:rFonts w:ascii="Verdana" w:hAnsi="Verdana"/>
        </w:rPr>
        <w:br w:type="page"/>
      </w:r>
    </w:p>
    <w:p w14:paraId="3FE2184B" w14:textId="33510BD9" w:rsidR="00E245AB" w:rsidRDefault="00AC79B3" w:rsidP="00E245AB">
      <w:pPr>
        <w:spacing w:after="0"/>
        <w:rPr>
          <w:rFonts w:ascii="Verdana" w:hAnsi="Verdana"/>
        </w:rPr>
      </w:pPr>
      <w:r>
        <w:rPr>
          <w:noProof/>
        </w:rPr>
        <w:lastRenderedPageBreak/>
        <w:drawing>
          <wp:anchor distT="0" distB="0" distL="114300" distR="114300" simplePos="0" relativeHeight="251658240" behindDoc="0" locked="0" layoutInCell="1" allowOverlap="1" wp14:anchorId="79F1560B" wp14:editId="474051E8">
            <wp:simplePos x="0" y="0"/>
            <wp:positionH relativeFrom="margin">
              <wp:align>right</wp:align>
            </wp:positionH>
            <wp:positionV relativeFrom="paragraph">
              <wp:posOffset>180544</wp:posOffset>
            </wp:positionV>
            <wp:extent cx="2962313" cy="871268"/>
            <wp:effectExtent l="0" t="0" r="0" b="5080"/>
            <wp:wrapNone/>
            <wp:docPr id="9169516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5168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962313" cy="871268"/>
                    </a:xfrm>
                    <a:prstGeom prst="rect">
                      <a:avLst/>
                    </a:prstGeom>
                  </pic:spPr>
                </pic:pic>
              </a:graphicData>
            </a:graphic>
            <wp14:sizeRelH relativeFrom="margin">
              <wp14:pctWidth>0</wp14:pctWidth>
            </wp14:sizeRelH>
            <wp14:sizeRelV relativeFrom="margin">
              <wp14:pctHeight>0</wp14:pctHeight>
            </wp14:sizeRelV>
          </wp:anchor>
        </w:drawing>
      </w:r>
      <w:r w:rsidR="00E245AB" w:rsidRPr="0044528D">
        <w:rPr>
          <w:rFonts w:ascii="Verdana" w:hAnsi="Verdana"/>
        </w:rPr>
        <w:t xml:space="preserve">Bogotá D.C., </w:t>
      </w:r>
      <w:r w:rsidR="00493A81">
        <w:rPr>
          <w:rFonts w:ascii="Verdana" w:hAnsi="Verdana"/>
        </w:rPr>
        <w:t>6 de agosto de 2024.</w:t>
      </w:r>
      <w:r w:rsidR="00493A81" w:rsidRPr="0044528D">
        <w:rPr>
          <w:rFonts w:ascii="Verdana" w:hAnsi="Verdana"/>
        </w:rPr>
        <w:tab/>
      </w:r>
    </w:p>
    <w:p w14:paraId="548811C6" w14:textId="1A54691C" w:rsidR="00AD7D4F" w:rsidRPr="006B37D1" w:rsidRDefault="00AD7D4F" w:rsidP="00D55B17">
      <w:pPr>
        <w:spacing w:after="0" w:line="276" w:lineRule="auto"/>
        <w:jc w:val="right"/>
        <w:rPr>
          <w:rFonts w:ascii="Verdana" w:eastAsia="Calibri" w:hAnsi="Verdana" w:cs="Arial"/>
          <w:lang w:val="es-ES"/>
        </w:rPr>
      </w:pPr>
    </w:p>
    <w:p w14:paraId="031EBFA9" w14:textId="77777777" w:rsidR="00AD7D4F" w:rsidRPr="006B37D1" w:rsidRDefault="00AD7D4F" w:rsidP="00AD7D4F">
      <w:pPr>
        <w:spacing w:after="0" w:line="276" w:lineRule="auto"/>
        <w:jc w:val="both"/>
        <w:rPr>
          <w:rFonts w:ascii="Verdana" w:eastAsia="Calibri" w:hAnsi="Verdana" w:cs="Arial"/>
          <w:lang w:val="es-ES" w:eastAsia="es-ES"/>
        </w:rPr>
      </w:pPr>
      <w:r w:rsidRPr="006B37D1">
        <w:rPr>
          <w:rFonts w:ascii="Verdana" w:eastAsia="Calibri" w:hAnsi="Verdana" w:cs="Arial"/>
          <w:lang w:val="es-ES" w:eastAsia="es-ES"/>
        </w:rPr>
        <w:t>Señor</w:t>
      </w:r>
    </w:p>
    <w:p w14:paraId="4DAB6AFE" w14:textId="77777777" w:rsidR="00AD7D4F" w:rsidRPr="006B37D1" w:rsidRDefault="00AD7D4F" w:rsidP="00AD7D4F">
      <w:pPr>
        <w:spacing w:after="0" w:line="276" w:lineRule="auto"/>
        <w:rPr>
          <w:rFonts w:ascii="Verdana" w:eastAsia="Calibri" w:hAnsi="Verdana" w:cs="Arial"/>
          <w:b/>
          <w:lang w:val="es-ES_tradnl" w:eastAsia="es-ES_tradnl"/>
        </w:rPr>
      </w:pPr>
      <w:r w:rsidRPr="006B37D1">
        <w:rPr>
          <w:rFonts w:ascii="Verdana" w:eastAsia="Calibri" w:hAnsi="Verdana" w:cs="Arial"/>
          <w:b/>
          <w:lang w:val="es-ES_tradnl" w:eastAsia="es-ES_tradnl"/>
        </w:rPr>
        <w:t>Jorge Andrés Torres Calderón</w:t>
      </w:r>
    </w:p>
    <w:p w14:paraId="44347FBF" w14:textId="77777777" w:rsidR="00AD7D4F" w:rsidRPr="006B37D1" w:rsidRDefault="00AD7D4F" w:rsidP="00AD7D4F">
      <w:pPr>
        <w:spacing w:after="0" w:line="276" w:lineRule="auto"/>
        <w:rPr>
          <w:rFonts w:ascii="Verdana" w:eastAsia="Calibri" w:hAnsi="Verdana" w:cs="Arial"/>
          <w:b/>
          <w:bCs/>
          <w:lang w:val="es-ES" w:eastAsia="es-ES"/>
        </w:rPr>
      </w:pPr>
      <w:r w:rsidRPr="006B37D1">
        <w:rPr>
          <w:rFonts w:ascii="Verdana" w:eastAsia="Calibri" w:hAnsi="Verdana" w:cs="Arial"/>
          <w:lang w:val="es-ES" w:eastAsia="es-ES"/>
        </w:rPr>
        <w:t>Ciudad</w:t>
      </w:r>
    </w:p>
    <w:p w14:paraId="30F4B04C" w14:textId="77777777" w:rsidR="00AD7D4F" w:rsidRPr="006B37D1" w:rsidRDefault="00AD7D4F" w:rsidP="00AD7D4F">
      <w:pPr>
        <w:spacing w:after="0" w:line="276"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D7D4F" w:rsidRPr="005A528F" w14:paraId="658A179F" w14:textId="77777777" w:rsidTr="00652686">
        <w:trPr>
          <w:trHeight w:val="884"/>
        </w:trPr>
        <w:tc>
          <w:tcPr>
            <w:tcW w:w="2689" w:type="dxa"/>
          </w:tcPr>
          <w:p w14:paraId="361C11BA" w14:textId="77777777" w:rsidR="00AD7D4F" w:rsidRPr="00651B69" w:rsidRDefault="00AD7D4F" w:rsidP="00652686">
            <w:pPr>
              <w:spacing w:line="276" w:lineRule="auto"/>
              <w:jc w:val="both"/>
              <w:rPr>
                <w:rFonts w:ascii="Verdana" w:eastAsia="Calibri" w:hAnsi="Verdana" w:cs="Arial"/>
                <w:b/>
                <w:bCs/>
                <w:lang w:val="es-ES_tradnl" w:eastAsia="es-ES_tradnl"/>
              </w:rPr>
            </w:pPr>
          </w:p>
        </w:tc>
        <w:tc>
          <w:tcPr>
            <w:tcW w:w="6100" w:type="dxa"/>
          </w:tcPr>
          <w:p w14:paraId="6DE0D64C" w14:textId="77777777" w:rsidR="00AD7D4F" w:rsidRPr="00651B69" w:rsidRDefault="00AD7D4F" w:rsidP="00652686">
            <w:pPr>
              <w:spacing w:line="276" w:lineRule="auto"/>
              <w:jc w:val="both"/>
              <w:rPr>
                <w:rFonts w:ascii="Verdana" w:eastAsia="Calibri" w:hAnsi="Verdana" w:cs="Arial"/>
                <w:b/>
                <w:bCs/>
                <w:lang w:val="es-ES" w:eastAsia="es-ES"/>
              </w:rPr>
            </w:pPr>
            <w:r w:rsidRPr="00651B69">
              <w:rPr>
                <w:rFonts w:ascii="Verdana" w:eastAsia="Calibri" w:hAnsi="Verdana" w:cs="Arial"/>
                <w:b/>
                <w:bCs/>
                <w:lang w:val="es-ES" w:eastAsia="es-ES"/>
              </w:rPr>
              <w:t>Concepto C- 136 de 2024</w:t>
            </w:r>
          </w:p>
        </w:tc>
      </w:tr>
      <w:tr w:rsidR="00AD7D4F" w:rsidRPr="005A528F" w14:paraId="39943F46" w14:textId="77777777" w:rsidTr="00652686">
        <w:trPr>
          <w:trHeight w:val="884"/>
        </w:trPr>
        <w:tc>
          <w:tcPr>
            <w:tcW w:w="2689" w:type="dxa"/>
          </w:tcPr>
          <w:p w14:paraId="7DB90BE5" w14:textId="77777777" w:rsidR="00AD7D4F" w:rsidRPr="00651B69" w:rsidRDefault="00AD7D4F" w:rsidP="00652686">
            <w:pPr>
              <w:spacing w:line="276" w:lineRule="auto"/>
              <w:jc w:val="both"/>
              <w:rPr>
                <w:rFonts w:ascii="Verdana" w:eastAsia="Calibri" w:hAnsi="Verdana" w:cs="Arial"/>
                <w:lang w:val="es-ES_tradnl" w:eastAsia="es-ES_tradnl"/>
              </w:rPr>
            </w:pPr>
            <w:r w:rsidRPr="00651B69">
              <w:rPr>
                <w:rFonts w:ascii="Verdana" w:eastAsia="Calibri" w:hAnsi="Verdana" w:cs="Arial"/>
                <w:b/>
                <w:lang w:val="es-ES_tradnl" w:eastAsia="es-ES_tradnl"/>
              </w:rPr>
              <w:t>Temas:</w:t>
            </w:r>
            <w:r w:rsidRPr="00651B69">
              <w:rPr>
                <w:rFonts w:ascii="Verdana" w:eastAsia="Calibri" w:hAnsi="Verdana" w:cs="Arial"/>
                <w:lang w:val="es-ES_tradnl" w:eastAsia="es-ES_tradnl"/>
              </w:rPr>
              <w:t xml:space="preserve">                   </w:t>
            </w:r>
          </w:p>
        </w:tc>
        <w:tc>
          <w:tcPr>
            <w:tcW w:w="6100" w:type="dxa"/>
          </w:tcPr>
          <w:p w14:paraId="3F0A47ED" w14:textId="1F10DE5B" w:rsidR="00AD7D4F" w:rsidRPr="00651B69" w:rsidRDefault="00AD7D4F" w:rsidP="00652686">
            <w:pPr>
              <w:spacing w:line="276" w:lineRule="auto"/>
              <w:jc w:val="both"/>
              <w:rPr>
                <w:rFonts w:ascii="Verdana" w:eastAsia="Calibri" w:hAnsi="Verdana" w:cs="Arial"/>
                <w:i/>
                <w:lang w:val="es-ES"/>
              </w:rPr>
            </w:pPr>
            <w:r w:rsidRPr="00651B69">
              <w:rPr>
                <w:rFonts w:ascii="Verdana" w:eastAsia="Calibri" w:hAnsi="Verdana" w:cs="Arial"/>
                <w:lang w:val="es-ES"/>
              </w:rPr>
              <w:t xml:space="preserve">INHABILIDADES E INCOMPATIBILIDADES </w:t>
            </w:r>
            <w:r w:rsidR="0029533F">
              <w:rPr>
                <w:rFonts w:ascii="Verdana" w:eastAsia="Calibri" w:hAnsi="Verdana" w:cs="Arial"/>
                <w:lang w:val="es-ES"/>
              </w:rPr>
              <w:t>–</w:t>
            </w:r>
            <w:r w:rsidRPr="00651B69">
              <w:rPr>
                <w:rFonts w:ascii="Verdana" w:eastAsia="Calibri" w:hAnsi="Verdana" w:cs="Arial"/>
                <w:lang w:val="es-ES"/>
              </w:rPr>
              <w:t xml:space="preserve"> Límites</w:t>
            </w:r>
            <w:r w:rsidR="0029533F">
              <w:rPr>
                <w:rFonts w:ascii="Verdana" w:eastAsia="Calibri" w:hAnsi="Verdana" w:cs="Arial"/>
                <w:lang w:val="es-ES"/>
              </w:rPr>
              <w:t xml:space="preserve"> </w:t>
            </w:r>
            <w:r w:rsidRPr="00651B69">
              <w:rPr>
                <w:rFonts w:ascii="Verdana" w:eastAsia="Calibri" w:hAnsi="Verdana" w:cs="Arial"/>
                <w:lang w:val="es-ES"/>
              </w:rPr>
              <w:t xml:space="preserve">a la capacidad </w:t>
            </w:r>
            <w:r w:rsidR="0029533F">
              <w:rPr>
                <w:rFonts w:ascii="Verdana" w:eastAsia="Calibri" w:hAnsi="Verdana" w:cs="Arial"/>
                <w:lang w:val="es-ES"/>
              </w:rPr>
              <w:t>–</w:t>
            </w:r>
            <w:r w:rsidRPr="00651B69">
              <w:rPr>
                <w:rFonts w:ascii="Verdana" w:eastAsia="Calibri" w:hAnsi="Verdana" w:cs="Arial"/>
                <w:lang w:val="es-ES"/>
              </w:rPr>
              <w:t xml:space="preserve"> Régimen</w:t>
            </w:r>
            <w:r w:rsidR="0029533F">
              <w:rPr>
                <w:rFonts w:ascii="Verdana" w:eastAsia="Calibri" w:hAnsi="Verdana" w:cs="Arial"/>
                <w:lang w:val="es-ES"/>
              </w:rPr>
              <w:t xml:space="preserve"> </w:t>
            </w:r>
            <w:r w:rsidRPr="00651B69">
              <w:rPr>
                <w:rFonts w:ascii="Verdana" w:eastAsia="Calibri" w:hAnsi="Verdana" w:cs="Arial"/>
                <w:lang w:val="es-ES"/>
              </w:rPr>
              <w:t xml:space="preserve">/ INHABILIDADES E INCOMPATIBILIDADES </w:t>
            </w:r>
            <w:r w:rsidR="0029533F">
              <w:rPr>
                <w:rFonts w:ascii="Verdana" w:eastAsia="Calibri" w:hAnsi="Verdana" w:cs="Arial"/>
                <w:lang w:val="es-ES"/>
              </w:rPr>
              <w:t>–</w:t>
            </w:r>
            <w:r w:rsidRPr="00651B69">
              <w:rPr>
                <w:rFonts w:ascii="Verdana" w:eastAsia="Calibri" w:hAnsi="Verdana" w:cs="Arial"/>
                <w:lang w:val="es-ES"/>
              </w:rPr>
              <w:t xml:space="preserve"> Concepto / INHABILIDADES E INCOMPATIBILIDADES </w:t>
            </w:r>
            <w:r w:rsidR="0029533F">
              <w:rPr>
                <w:rFonts w:ascii="Verdana" w:eastAsia="Calibri" w:hAnsi="Verdana" w:cs="Arial"/>
                <w:lang w:val="es-ES"/>
              </w:rPr>
              <w:t>–</w:t>
            </w:r>
            <w:r w:rsidRPr="00651B69">
              <w:rPr>
                <w:rFonts w:ascii="Verdana" w:eastAsia="Calibri" w:hAnsi="Verdana" w:cs="Arial"/>
                <w:lang w:val="es-ES"/>
              </w:rPr>
              <w:t xml:space="preserve"> Interpretación restrictiva </w:t>
            </w:r>
            <w:r w:rsidR="0029533F">
              <w:rPr>
                <w:rFonts w:ascii="Verdana" w:eastAsia="Calibri" w:hAnsi="Verdana" w:cs="Arial"/>
                <w:lang w:val="es-ES"/>
              </w:rPr>
              <w:t xml:space="preserve">– </w:t>
            </w:r>
            <w:r w:rsidR="0029533F" w:rsidRPr="00651B69">
              <w:rPr>
                <w:rFonts w:ascii="Verdana" w:eastAsia="Calibri" w:hAnsi="Verdana" w:cs="Arial"/>
                <w:lang w:val="es-ES"/>
              </w:rPr>
              <w:t>Principio</w:t>
            </w:r>
            <w:r w:rsidRPr="00651B69">
              <w:rPr>
                <w:rFonts w:ascii="Verdana" w:eastAsia="Calibri" w:hAnsi="Verdana" w:cs="Arial"/>
                <w:lang w:val="es-ES"/>
              </w:rPr>
              <w:t xml:space="preserve"> </w:t>
            </w:r>
            <w:r w:rsidRPr="00651B69">
              <w:rPr>
                <w:rFonts w:ascii="Verdana" w:eastAsia="Calibri" w:hAnsi="Verdana" w:cs="Arial"/>
                <w:i/>
                <w:lang w:val="es-ES"/>
              </w:rPr>
              <w:t>pro libertate</w:t>
            </w:r>
            <w:r w:rsidRPr="00651B69">
              <w:rPr>
                <w:rFonts w:ascii="Verdana" w:eastAsia="Aptos" w:hAnsi="Verdana" w:cs="Times New Roman"/>
                <w:shd w:val="clear" w:color="auto" w:fill="FFFFFF"/>
                <w:lang w:val="es-ES"/>
              </w:rPr>
              <w:t xml:space="preserve"> / INHABILIDADES E INCOMPATIBILIDADES </w:t>
            </w:r>
            <w:r w:rsidR="0029533F">
              <w:rPr>
                <w:rFonts w:ascii="Verdana" w:eastAsia="Calibri" w:hAnsi="Verdana" w:cs="Arial"/>
                <w:lang w:val="es-ES"/>
              </w:rPr>
              <w:t>–</w:t>
            </w:r>
            <w:r w:rsidRPr="00651B69">
              <w:rPr>
                <w:rFonts w:ascii="Verdana" w:eastAsia="Aptos" w:hAnsi="Verdana" w:cs="Times New Roman"/>
                <w:shd w:val="clear" w:color="auto" w:fill="FFFFFF"/>
                <w:lang w:val="es-ES"/>
              </w:rPr>
              <w:t xml:space="preserve"> Sobreviniente / INHABILIDADES </w:t>
            </w:r>
            <w:r w:rsidR="0029533F">
              <w:rPr>
                <w:rFonts w:ascii="Verdana" w:eastAsia="Calibri" w:hAnsi="Verdana" w:cs="Arial"/>
                <w:lang w:val="es-ES"/>
              </w:rPr>
              <w:t>–</w:t>
            </w:r>
            <w:r w:rsidRPr="00651B69">
              <w:rPr>
                <w:rFonts w:ascii="Verdana" w:eastAsia="Aptos" w:hAnsi="Verdana" w:cs="Times New Roman"/>
                <w:shd w:val="clear" w:color="auto" w:fill="FFFFFF"/>
                <w:lang w:val="es-ES"/>
              </w:rPr>
              <w:t xml:space="preserve"> Artículo </w:t>
            </w:r>
            <w:r w:rsidR="00491B35">
              <w:rPr>
                <w:rFonts w:ascii="Verdana" w:eastAsia="Aptos" w:hAnsi="Verdana" w:cs="Times New Roman"/>
                <w:shd w:val="clear" w:color="auto" w:fill="FFFFFF"/>
                <w:lang w:val="es-ES"/>
              </w:rPr>
              <w:t>9</w:t>
            </w:r>
            <w:r w:rsidRPr="00651B69">
              <w:rPr>
                <w:rFonts w:ascii="Verdana" w:eastAsia="Aptos" w:hAnsi="Verdana" w:cs="Times New Roman"/>
                <w:shd w:val="clear" w:color="auto" w:fill="FFFFFF"/>
                <w:lang w:val="es-ES"/>
              </w:rPr>
              <w:t xml:space="preserve"> </w:t>
            </w:r>
            <w:r w:rsidR="0029533F">
              <w:rPr>
                <w:rFonts w:ascii="Verdana" w:eastAsia="Calibri" w:hAnsi="Verdana" w:cs="Arial"/>
                <w:lang w:val="es-ES"/>
              </w:rPr>
              <w:t>–</w:t>
            </w:r>
            <w:r w:rsidRPr="00651B69">
              <w:rPr>
                <w:rFonts w:ascii="Verdana" w:eastAsia="Aptos" w:hAnsi="Verdana" w:cs="Times New Roman"/>
                <w:shd w:val="clear" w:color="auto" w:fill="FFFFFF"/>
                <w:lang w:val="es-ES"/>
              </w:rPr>
              <w:t xml:space="preserve"> Ley 80 de 1993</w:t>
            </w:r>
          </w:p>
          <w:p w14:paraId="08763321" w14:textId="77777777" w:rsidR="00AD7D4F" w:rsidRPr="00651B69" w:rsidRDefault="00AD7D4F" w:rsidP="00652686">
            <w:pPr>
              <w:spacing w:line="276" w:lineRule="auto"/>
              <w:jc w:val="both"/>
              <w:rPr>
                <w:rFonts w:ascii="Verdana" w:eastAsia="Calibri" w:hAnsi="Verdana" w:cs="Arial"/>
                <w:lang w:val="es-ES" w:eastAsia="es-ES"/>
              </w:rPr>
            </w:pPr>
          </w:p>
        </w:tc>
      </w:tr>
      <w:tr w:rsidR="00AD7D4F" w:rsidRPr="005A528F" w14:paraId="2EB6B4D2" w14:textId="77777777" w:rsidTr="00652686">
        <w:tc>
          <w:tcPr>
            <w:tcW w:w="2689" w:type="dxa"/>
          </w:tcPr>
          <w:p w14:paraId="074C2272" w14:textId="77777777" w:rsidR="00AD7D4F" w:rsidRPr="00116E21" w:rsidRDefault="00AD7D4F" w:rsidP="00652686">
            <w:pPr>
              <w:spacing w:line="276" w:lineRule="auto"/>
              <w:jc w:val="both"/>
              <w:rPr>
                <w:rFonts w:ascii="Verdana" w:eastAsia="Calibri" w:hAnsi="Verdana" w:cs="Arial"/>
                <w:b/>
                <w:lang w:val="es-ES_tradnl" w:eastAsia="es-ES_tradnl"/>
              </w:rPr>
            </w:pPr>
            <w:r w:rsidRPr="00116E21">
              <w:rPr>
                <w:rFonts w:ascii="Verdana" w:eastAsia="Calibri" w:hAnsi="Verdana" w:cs="Arial"/>
                <w:b/>
                <w:lang w:val="es-ES_tradnl" w:eastAsia="es-ES_tradnl"/>
              </w:rPr>
              <w:t>Radicación:</w:t>
            </w:r>
            <w:r w:rsidRPr="00116E21">
              <w:rPr>
                <w:rFonts w:ascii="Verdana" w:eastAsia="Calibri" w:hAnsi="Verdana" w:cs="Arial"/>
                <w:lang w:val="es-ES_tradnl" w:eastAsia="es-ES_tradnl"/>
              </w:rPr>
              <w:t xml:space="preserve">               </w:t>
            </w:r>
          </w:p>
        </w:tc>
        <w:tc>
          <w:tcPr>
            <w:tcW w:w="6100" w:type="dxa"/>
          </w:tcPr>
          <w:p w14:paraId="0ED223DE" w14:textId="77777777" w:rsidR="00AD7D4F" w:rsidRPr="00116E21" w:rsidRDefault="00AD7D4F" w:rsidP="00652686">
            <w:pPr>
              <w:spacing w:line="276" w:lineRule="auto"/>
              <w:jc w:val="both"/>
              <w:rPr>
                <w:rFonts w:ascii="Verdana" w:eastAsia="Calibri" w:hAnsi="Verdana" w:cs="Arial"/>
                <w:lang w:val="es-ES_tradnl" w:eastAsia="es-ES_tradnl"/>
              </w:rPr>
            </w:pPr>
            <w:r w:rsidRPr="00116E21">
              <w:rPr>
                <w:rFonts w:ascii="Verdana" w:eastAsia="Calibri" w:hAnsi="Verdana" w:cs="Arial"/>
                <w:lang w:val="es-ES_tradnl" w:eastAsia="es-ES_tradnl"/>
              </w:rPr>
              <w:t>Respuesta a consulta con radicado No. P20240624006394</w:t>
            </w:r>
          </w:p>
        </w:tc>
      </w:tr>
    </w:tbl>
    <w:p w14:paraId="68561CB0" w14:textId="77777777" w:rsidR="00AD7D4F" w:rsidRPr="00116E21" w:rsidRDefault="00AD7D4F" w:rsidP="00AD7D4F">
      <w:pPr>
        <w:spacing w:after="0" w:line="276" w:lineRule="auto"/>
        <w:jc w:val="both"/>
        <w:rPr>
          <w:rFonts w:ascii="Verdana" w:eastAsia="Calibri" w:hAnsi="Verdana" w:cs="Arial"/>
          <w:lang w:val="es-ES_tradnl" w:eastAsia="es-ES_tradnl"/>
        </w:rPr>
      </w:pPr>
    </w:p>
    <w:p w14:paraId="4A9776A3" w14:textId="77777777" w:rsidR="00AD7D4F" w:rsidRPr="00116E21" w:rsidRDefault="00AD7D4F" w:rsidP="00AD7D4F">
      <w:pPr>
        <w:spacing w:after="0" w:line="276" w:lineRule="auto"/>
        <w:jc w:val="both"/>
        <w:rPr>
          <w:rFonts w:ascii="Verdana" w:eastAsia="Calibri" w:hAnsi="Verdana" w:cs="Arial"/>
          <w:lang w:val="es-ES" w:eastAsia="es-ES"/>
        </w:rPr>
      </w:pPr>
      <w:r w:rsidRPr="00116E21">
        <w:rPr>
          <w:rFonts w:ascii="Verdana" w:eastAsia="Calibri" w:hAnsi="Verdana" w:cs="Arial"/>
          <w:lang w:val="es-ES" w:eastAsia="es-ES"/>
        </w:rPr>
        <w:t xml:space="preserve">Estimado señor Torrez Calderón: </w:t>
      </w:r>
    </w:p>
    <w:p w14:paraId="2FAF17DE" w14:textId="77777777" w:rsidR="00AD7D4F" w:rsidRPr="00116E21" w:rsidRDefault="00AD7D4F" w:rsidP="00AD7D4F">
      <w:pPr>
        <w:tabs>
          <w:tab w:val="left" w:pos="3768"/>
        </w:tabs>
        <w:spacing w:after="0" w:line="276" w:lineRule="auto"/>
        <w:jc w:val="both"/>
        <w:rPr>
          <w:rFonts w:ascii="Verdana" w:eastAsia="Calibri" w:hAnsi="Verdana" w:cs="Arial"/>
          <w:lang w:val="es-ES" w:eastAsia="es-ES"/>
        </w:rPr>
      </w:pPr>
      <w:r w:rsidRPr="00116E21">
        <w:rPr>
          <w:rFonts w:ascii="Verdana" w:eastAsia="Calibri" w:hAnsi="Verdana" w:cs="Arial"/>
          <w:lang w:val="es-ES" w:eastAsia="es-ES"/>
        </w:rPr>
        <w:tab/>
      </w:r>
    </w:p>
    <w:p w14:paraId="6B337284" w14:textId="77777777" w:rsidR="00AD7D4F" w:rsidRPr="00116E21" w:rsidRDefault="00AD7D4F" w:rsidP="00AD7D4F">
      <w:pPr>
        <w:spacing w:after="0" w:line="276" w:lineRule="auto"/>
        <w:jc w:val="both"/>
        <w:rPr>
          <w:rFonts w:ascii="Verdana" w:eastAsia="Calibri" w:hAnsi="Verdana" w:cs="Arial"/>
          <w:lang w:val="es-ES" w:eastAsia="es-ES"/>
        </w:rPr>
      </w:pPr>
      <w:r w:rsidRPr="00116E21">
        <w:rPr>
          <w:rFonts w:ascii="Verdana" w:eastAsia="Calibri" w:hAnsi="Verdana" w:cs="Arial"/>
          <w:lang w:val="es-ES" w:eastAsia="es-ES"/>
        </w:rPr>
        <w:t>En ejercicio de la competencia otorgada por los artículos 3, numeral 5º, y 11, numeral 8º, del Decreto Ley 4170 de 2011,</w:t>
      </w:r>
      <w:r w:rsidRPr="00116E21">
        <w:rPr>
          <w:rFonts w:ascii="Verdana" w:eastAsia="Arial MT" w:hAnsi="Verdana" w:cs="Arial MT"/>
          <w:lang w:val="es-ES" w:eastAsia="es-ES"/>
        </w:rPr>
        <w:t xml:space="preserve"> </w:t>
      </w:r>
      <w:r w:rsidRPr="00116E21">
        <w:rPr>
          <w:rFonts w:ascii="Verdana" w:hAnsi="Verdana" w:cs="Arial"/>
        </w:rPr>
        <w:t xml:space="preserve">así como lo establecido en el artículo 4 de la Resolución 1707 de 2018 expedida por esta Entidad, </w:t>
      </w:r>
      <w:r w:rsidRPr="00116E21">
        <w:rPr>
          <w:rFonts w:ascii="Verdana" w:eastAsia="Calibri" w:hAnsi="Verdana" w:cs="Arial"/>
          <w:lang w:val="es-ES" w:eastAsia="es-ES"/>
        </w:rPr>
        <w:t xml:space="preserve">la Agencia Nacional de Contratación Pública – Colombia Compra Eficiente– responde su solicitud de consulta de fecha 24 de junio de 2024, en la cual manifiesta lo siguiente: </w:t>
      </w:r>
    </w:p>
    <w:p w14:paraId="2FBD2E1C" w14:textId="77777777" w:rsidR="00AD7D4F" w:rsidRPr="00116E21" w:rsidRDefault="00AD7D4F" w:rsidP="00AD7D4F">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079EC144" w14:textId="77777777" w:rsidR="00AD7D4F" w:rsidRPr="00116E21" w:rsidRDefault="00AD7D4F" w:rsidP="00AD7D4F">
      <w:pPr>
        <w:spacing w:after="0" w:line="240" w:lineRule="auto"/>
        <w:ind w:left="709" w:right="709"/>
        <w:jc w:val="both"/>
        <w:rPr>
          <w:rFonts w:ascii="Verdana" w:eastAsia="Century Gothic" w:hAnsi="Verdana" w:cs="Century Gothic"/>
          <w:sz w:val="20"/>
          <w:szCs w:val="20"/>
          <w:lang w:val="es-ES"/>
        </w:rPr>
      </w:pPr>
      <w:bookmarkStart w:id="1" w:name="_Hlk95313578"/>
      <w:r w:rsidRPr="00116E21">
        <w:rPr>
          <w:rFonts w:ascii="Verdana" w:eastAsia="Century Gothic" w:hAnsi="Verdana" w:cs="Century Gothic"/>
          <w:sz w:val="20"/>
          <w:szCs w:val="20"/>
          <w:lang w:val="es-ES"/>
        </w:rPr>
        <w:t>“</w:t>
      </w:r>
      <w:r w:rsidRPr="00116E21">
        <w:rPr>
          <w:rStyle w:val="normaltextrun"/>
          <w:rFonts w:ascii="Verdana" w:hAnsi="Verdana" w:cs="Arial"/>
          <w:sz w:val="20"/>
          <w:szCs w:val="20"/>
          <w:shd w:val="clear" w:color="auto" w:fill="FFFFFF"/>
          <w:lang w:val="es-ES"/>
        </w:rPr>
        <w:t xml:space="preserve">En el marco de la inhabilidad consagrada en </w:t>
      </w:r>
      <w:bookmarkStart w:id="2" w:name="_Hlk173847939"/>
      <w:r w:rsidRPr="00116E21">
        <w:rPr>
          <w:rStyle w:val="normaltextrun"/>
          <w:rFonts w:ascii="Verdana" w:hAnsi="Verdana" w:cs="Arial"/>
          <w:sz w:val="20"/>
          <w:szCs w:val="20"/>
          <w:shd w:val="clear" w:color="auto" w:fill="FFFFFF"/>
          <w:lang w:val="es-ES"/>
        </w:rPr>
        <w:t>el numeral 1 del artículo 6 de la Ley 2097 de 2021 (REDAM)</w:t>
      </w:r>
      <w:bookmarkEnd w:id="2"/>
      <w:r w:rsidRPr="00116E21">
        <w:rPr>
          <w:rStyle w:val="normaltextrun"/>
          <w:rFonts w:ascii="Verdana" w:hAnsi="Verdana" w:cs="Arial"/>
          <w:sz w:val="20"/>
          <w:szCs w:val="20"/>
          <w:shd w:val="clear" w:color="auto" w:fill="FFFFFF"/>
          <w:lang w:val="es-ES"/>
        </w:rPr>
        <w:t xml:space="preserve">, quien se encuentre en dicho registro no puede &lt;&lt;contratar&gt;&gt;con el estado. Ahora, muchas entidades circunscriben tal inhabilidad a la &lt;&lt;celebración&gt;&gt; del contrato estatal, empero, no la extienden a sus </w:t>
      </w:r>
      <w:proofErr w:type="gramStart"/>
      <w:r w:rsidRPr="00116E21">
        <w:rPr>
          <w:rStyle w:val="normaltextrun"/>
          <w:rFonts w:ascii="Verdana" w:hAnsi="Verdana" w:cs="Arial"/>
          <w:sz w:val="20"/>
          <w:szCs w:val="20"/>
          <w:shd w:val="clear" w:color="auto" w:fill="FFFFFF"/>
          <w:lang w:val="es-ES"/>
        </w:rPr>
        <w:t>modificaciones,.</w:t>
      </w:r>
      <w:proofErr w:type="gramEnd"/>
      <w:r w:rsidRPr="00116E21">
        <w:rPr>
          <w:rStyle w:val="normaltextrun"/>
          <w:rFonts w:ascii="Verdana" w:hAnsi="Verdana" w:cs="Arial"/>
          <w:sz w:val="20"/>
          <w:szCs w:val="20"/>
          <w:shd w:val="clear" w:color="auto" w:fill="FFFFFF"/>
          <w:lang w:val="es-ES"/>
        </w:rPr>
        <w:t xml:space="preserve"> Lo anterior, ateniendo al carácter restrictivo de las inhabilidades. En este sentido, acudiendo al ente rector en materia de contratación pública, se solicita respetuosamente se indique si, el deber de consulta correspondiente y como consecuencia aplicación de los efectos derivados de estar en el registro de deudores sólo es aplicable para la celebración del contrato o si por el contrario también ello se debe extender a las modificaciones contractuales, de tal forma que, previo a celebrar alguna, se atienda al deber de consulta del REDAM del </w:t>
      </w:r>
      <w:r w:rsidRPr="00116E21">
        <w:rPr>
          <w:rStyle w:val="normaltextrun"/>
          <w:rFonts w:ascii="Verdana" w:hAnsi="Verdana" w:cs="Arial"/>
          <w:sz w:val="20"/>
          <w:szCs w:val="20"/>
          <w:shd w:val="clear" w:color="auto" w:fill="FFFFFF"/>
          <w:lang w:val="es-ES"/>
        </w:rPr>
        <w:lastRenderedPageBreak/>
        <w:t>contratista persona natural y/o Representante legal de la Persona Jurídica contratista […]</w:t>
      </w:r>
      <w:r w:rsidRPr="00116E21">
        <w:rPr>
          <w:rFonts w:ascii="Verdana" w:eastAsia="Century Gothic" w:hAnsi="Verdana" w:cs="Century Gothic"/>
          <w:sz w:val="20"/>
          <w:szCs w:val="20"/>
          <w:lang w:val="es-ES"/>
        </w:rPr>
        <w:t>”</w:t>
      </w:r>
      <w:bookmarkEnd w:id="1"/>
      <w:r w:rsidRPr="00116E21">
        <w:rPr>
          <w:rFonts w:ascii="Verdana" w:eastAsia="Century Gothic" w:hAnsi="Verdana" w:cs="Century Gothic"/>
          <w:sz w:val="20"/>
          <w:szCs w:val="20"/>
          <w:lang w:val="es-ES"/>
        </w:rPr>
        <w:t>.</w:t>
      </w:r>
    </w:p>
    <w:p w14:paraId="7069000D" w14:textId="77777777" w:rsidR="00AD7D4F" w:rsidRPr="00116E21" w:rsidRDefault="00AD7D4F" w:rsidP="00AD7D4F">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0733F554" w14:textId="77777777" w:rsidR="00AD7D4F" w:rsidRPr="00116E21" w:rsidRDefault="00AD7D4F" w:rsidP="00AD7D4F">
      <w:pPr>
        <w:spacing w:after="0" w:line="276" w:lineRule="auto"/>
        <w:jc w:val="both"/>
        <w:rPr>
          <w:rFonts w:ascii="Verdana" w:eastAsia="Calibri" w:hAnsi="Verdana" w:cs="Arial"/>
          <w:szCs w:val="24"/>
          <w:lang w:val="es-ES_tradnl" w:eastAsia="es-ES_tradnl"/>
        </w:rPr>
      </w:pPr>
      <w:r w:rsidRPr="00116E2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6F573BB4" w14:textId="77777777" w:rsidR="00AD7D4F" w:rsidRPr="00116E21" w:rsidRDefault="00AD7D4F" w:rsidP="00AD7D4F">
      <w:pPr>
        <w:spacing w:after="0" w:line="276" w:lineRule="auto"/>
        <w:jc w:val="both"/>
        <w:rPr>
          <w:rFonts w:ascii="Verdana" w:eastAsia="Calibri" w:hAnsi="Verdana" w:cs="Arial"/>
          <w:szCs w:val="24"/>
          <w:lang w:val="es-ES_tradnl" w:eastAsia="es-ES_tradnl"/>
        </w:rPr>
      </w:pPr>
    </w:p>
    <w:p w14:paraId="009A5E55" w14:textId="5D27A3EC" w:rsidR="00AD7D4F" w:rsidRPr="00116E21" w:rsidRDefault="00AD7D4F" w:rsidP="00AD7D4F">
      <w:pPr>
        <w:spacing w:after="0" w:line="276" w:lineRule="auto"/>
        <w:jc w:val="both"/>
        <w:rPr>
          <w:rFonts w:ascii="Verdana" w:eastAsia="Calibri" w:hAnsi="Verdana" w:cs="Arial"/>
          <w:szCs w:val="24"/>
          <w:lang w:val="es-ES_tradnl" w:eastAsia="es-ES_tradnl"/>
        </w:rPr>
      </w:pPr>
      <w:r w:rsidRPr="00116E21">
        <w:rPr>
          <w:rFonts w:ascii="Verdana" w:eastAsia="Calibri" w:hAnsi="Verdana"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w:t>
      </w:r>
      <w:r w:rsidR="008828ED">
        <w:rPr>
          <w:rFonts w:ascii="Verdana" w:eastAsia="Calibri" w:hAnsi="Verdana" w:cs="Arial"/>
          <w:lang w:val="es-ES" w:eastAsia="es-ES"/>
        </w:rPr>
        <w:t>os</w:t>
      </w:r>
      <w:r w:rsidRPr="00116E21">
        <w:rPr>
          <w:rFonts w:ascii="Verdana" w:eastAsia="Calibri" w:hAnsi="Verdana" w:cs="Arial"/>
          <w:lang w:val="es-ES" w:eastAsia="es-ES"/>
        </w:rPr>
        <w:t xml:space="preserve"> problema</w:t>
      </w:r>
      <w:r w:rsidR="008828ED">
        <w:rPr>
          <w:rFonts w:ascii="Verdana" w:eastAsia="Calibri" w:hAnsi="Verdana" w:cs="Arial"/>
          <w:lang w:val="es-ES" w:eastAsia="es-ES"/>
        </w:rPr>
        <w:t>s</w:t>
      </w:r>
      <w:r w:rsidRPr="00116E21">
        <w:rPr>
          <w:rFonts w:ascii="Verdana" w:eastAsia="Calibri" w:hAnsi="Verdana" w:cs="Arial"/>
          <w:lang w:val="es-ES" w:eastAsia="es-ES"/>
        </w:rPr>
        <w:t xml:space="preserve"> jurídico</w:t>
      </w:r>
      <w:r w:rsidR="008828ED">
        <w:rPr>
          <w:rFonts w:ascii="Verdana" w:eastAsia="Calibri" w:hAnsi="Verdana" w:cs="Arial"/>
          <w:lang w:val="es-ES" w:eastAsia="es-ES"/>
        </w:rPr>
        <w:t>s</w:t>
      </w:r>
      <w:r w:rsidRPr="00116E21">
        <w:rPr>
          <w:rFonts w:ascii="Verdana" w:eastAsia="Calibri" w:hAnsi="Verdana" w:cs="Arial"/>
          <w:lang w:val="es-ES" w:eastAsia="es-ES"/>
        </w:rPr>
        <w:t xml:space="preserve"> de su consulta. </w:t>
      </w:r>
    </w:p>
    <w:p w14:paraId="3D2192C2" w14:textId="77777777" w:rsidR="00AD7D4F" w:rsidRPr="00116E21" w:rsidRDefault="00AD7D4F" w:rsidP="00AD7D4F">
      <w:pPr>
        <w:spacing w:after="0" w:line="276" w:lineRule="auto"/>
        <w:ind w:firstLine="709"/>
        <w:jc w:val="both"/>
        <w:rPr>
          <w:rFonts w:ascii="Verdana" w:eastAsia="Calibri" w:hAnsi="Verdana" w:cs="Arial"/>
          <w:lang w:val="es-ES" w:eastAsia="es-ES"/>
        </w:rPr>
      </w:pPr>
    </w:p>
    <w:p w14:paraId="4C07F8F0" w14:textId="77777777" w:rsidR="00AD7D4F" w:rsidRPr="00116E21" w:rsidRDefault="00AD7D4F" w:rsidP="00AD7D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116E21">
        <w:rPr>
          <w:rFonts w:ascii="Verdana" w:eastAsia="Century Gothic" w:hAnsi="Verdana" w:cs="Century Gothic"/>
          <w:b/>
          <w:bCs/>
        </w:rPr>
        <w:t>Problema planteado:</w:t>
      </w:r>
    </w:p>
    <w:p w14:paraId="68E5FA08" w14:textId="77777777" w:rsidR="00AD7D4F" w:rsidRPr="00116E21" w:rsidRDefault="00AD7D4F" w:rsidP="00AD7D4F">
      <w:pPr>
        <w:tabs>
          <w:tab w:val="left" w:pos="426"/>
        </w:tabs>
        <w:spacing w:after="0" w:line="276" w:lineRule="auto"/>
        <w:jc w:val="both"/>
        <w:rPr>
          <w:rFonts w:ascii="Verdana" w:eastAsia="Century Gothic" w:hAnsi="Verdana" w:cs="Century Gothic"/>
          <w:lang w:val="es-ES"/>
        </w:rPr>
      </w:pPr>
    </w:p>
    <w:p w14:paraId="59B605DB" w14:textId="1229CA86" w:rsidR="00AD7D4F" w:rsidRPr="005556AD" w:rsidRDefault="00AD7D4F" w:rsidP="00AD7D4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5556AD">
        <w:rPr>
          <w:rFonts w:ascii="Verdana" w:eastAsia="Century Gothic" w:hAnsi="Verdana" w:cs="Century Gothic"/>
        </w:rPr>
        <w:t>los</w:t>
      </w:r>
      <w:r w:rsidRPr="00593A5F">
        <w:rPr>
          <w:rFonts w:ascii="Verdana" w:eastAsia="Century Gothic" w:hAnsi="Verdana" w:cs="Century Gothic"/>
        </w:rPr>
        <w:t xml:space="preserve"> siguiente</w:t>
      </w:r>
      <w:r w:rsidR="00423AAD">
        <w:rPr>
          <w:rFonts w:ascii="Verdana" w:eastAsia="Century Gothic" w:hAnsi="Verdana" w:cs="Century Gothic"/>
        </w:rPr>
        <w:t>s</w:t>
      </w:r>
      <w:r w:rsidRPr="00593A5F">
        <w:rPr>
          <w:rFonts w:ascii="Verdana" w:eastAsia="Century Gothic" w:hAnsi="Verdana" w:cs="Century Gothic"/>
        </w:rPr>
        <w:t xml:space="preserve"> problemas jurídicos: </w:t>
      </w:r>
      <w:r>
        <w:rPr>
          <w:rFonts w:ascii="Verdana" w:hAnsi="Verdana"/>
          <w:lang w:val="es-MX"/>
        </w:rPr>
        <w:t xml:space="preserve">i) </w:t>
      </w:r>
      <w:r w:rsidRPr="0015195B">
        <w:rPr>
          <w:rFonts w:ascii="Verdana" w:hAnsi="Verdana"/>
          <w:lang w:val="es-MX"/>
        </w:rPr>
        <w:t>¿La verificación de las inhabilidades, entre ella</w:t>
      </w:r>
      <w:r w:rsidR="00F64A5E">
        <w:rPr>
          <w:rFonts w:ascii="Verdana" w:hAnsi="Verdana"/>
          <w:lang w:val="es-MX"/>
        </w:rPr>
        <w:t>s</w:t>
      </w:r>
      <w:r w:rsidRPr="0015195B">
        <w:rPr>
          <w:rFonts w:ascii="Verdana" w:hAnsi="Verdana"/>
          <w:lang w:val="es-MX"/>
        </w:rPr>
        <w:t xml:space="preserve"> la contemplada </w:t>
      </w:r>
      <w:r w:rsidRPr="0015195B">
        <w:rPr>
          <w:rStyle w:val="normaltextrun"/>
          <w:rFonts w:ascii="Verdana" w:hAnsi="Verdana" w:cs="Arial"/>
          <w:shd w:val="clear" w:color="auto" w:fill="FFFFFF"/>
          <w:lang w:val="es-ES"/>
        </w:rPr>
        <w:t>el numeral 1 del artículo 6 de la Ley 2097 de 2021</w:t>
      </w:r>
      <w:r w:rsidR="00C031B3">
        <w:rPr>
          <w:rStyle w:val="normaltextrun"/>
          <w:rFonts w:ascii="Verdana" w:hAnsi="Verdana" w:cs="Arial"/>
          <w:shd w:val="clear" w:color="auto" w:fill="FFFFFF"/>
          <w:lang w:val="es-ES"/>
        </w:rPr>
        <w:t>,</w:t>
      </w:r>
      <w:r w:rsidRPr="0015195B">
        <w:rPr>
          <w:rStyle w:val="normaltextrun"/>
          <w:rFonts w:ascii="Verdana" w:hAnsi="Verdana" w:cs="Arial"/>
          <w:shd w:val="clear" w:color="auto" w:fill="FFFFFF"/>
          <w:lang w:val="es-ES"/>
        </w:rPr>
        <w:t xml:space="preserve"> se debe efectuar solamente al momento de la celebración del contrato o dicha </w:t>
      </w:r>
      <w:bookmarkStart w:id="3" w:name="_Hlk173851302"/>
      <w:r w:rsidRPr="0015195B">
        <w:rPr>
          <w:rStyle w:val="normaltextrun"/>
          <w:rFonts w:ascii="Verdana" w:hAnsi="Verdana" w:cs="Arial"/>
          <w:shd w:val="clear" w:color="auto" w:fill="FFFFFF"/>
          <w:lang w:val="es-ES"/>
        </w:rPr>
        <w:t xml:space="preserve">verificación debe extenderse también al momento en que se realice una modificación </w:t>
      </w:r>
      <w:r w:rsidRPr="0015195B">
        <w:rPr>
          <w:rFonts w:ascii="Verdana" w:hAnsi="Verdana"/>
          <w:lang w:val="es-MX"/>
        </w:rPr>
        <w:t>contractual</w:t>
      </w:r>
      <w:bookmarkEnd w:id="3"/>
      <w:r w:rsidRPr="0015195B">
        <w:rPr>
          <w:rFonts w:ascii="Verdana" w:hAnsi="Verdana"/>
          <w:lang w:val="es-MX"/>
        </w:rPr>
        <w:t>?</w:t>
      </w:r>
      <w:r>
        <w:rPr>
          <w:rFonts w:ascii="Verdana" w:hAnsi="Verdana"/>
          <w:lang w:val="es-MX"/>
        </w:rPr>
        <w:t xml:space="preserve">; ii) </w:t>
      </w:r>
      <w:r w:rsidRPr="0015195B">
        <w:rPr>
          <w:rFonts w:ascii="Verdana" w:hAnsi="Verdana"/>
          <w:lang w:val="es-MX"/>
        </w:rPr>
        <w:t xml:space="preserve">¿Cuál es el efecto de que se configure una inhabilidad posterior a </w:t>
      </w:r>
      <w:r w:rsidR="00BD4D3F">
        <w:rPr>
          <w:rFonts w:ascii="Verdana" w:hAnsi="Verdana"/>
          <w:lang w:val="es-MX"/>
        </w:rPr>
        <w:t>la celebración</w:t>
      </w:r>
      <w:r w:rsidRPr="0015195B">
        <w:rPr>
          <w:rFonts w:ascii="Verdana" w:hAnsi="Verdana"/>
          <w:lang w:val="es-MX"/>
        </w:rPr>
        <w:t xml:space="preserve"> del contrato estatal?</w:t>
      </w:r>
    </w:p>
    <w:p w14:paraId="370B938D" w14:textId="77777777" w:rsidR="00AD7D4F" w:rsidRPr="00116E21" w:rsidRDefault="00AD7D4F" w:rsidP="00AD7D4F">
      <w:pPr>
        <w:spacing w:after="0" w:line="276" w:lineRule="auto"/>
        <w:jc w:val="both"/>
        <w:rPr>
          <w:rFonts w:ascii="Verdana" w:eastAsia="Calibri" w:hAnsi="Verdana" w:cs="Arial"/>
          <w:color w:val="7030A0"/>
          <w:lang w:val="es-MX"/>
        </w:rPr>
      </w:pPr>
    </w:p>
    <w:p w14:paraId="52285EC4" w14:textId="77777777" w:rsidR="00AD7D4F" w:rsidRPr="00593A5F" w:rsidRDefault="00AD7D4F" w:rsidP="00AD7D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71C8572C" w14:textId="77777777" w:rsidR="00AD7D4F" w:rsidRPr="00593A5F" w:rsidRDefault="00AD7D4F" w:rsidP="00AD7D4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D7D4F" w:rsidRPr="005A528F" w14:paraId="1C05140E" w14:textId="77777777" w:rsidTr="00652686">
        <w:tc>
          <w:tcPr>
            <w:tcW w:w="8828" w:type="dxa"/>
            <w:shd w:val="clear" w:color="auto" w:fill="auto"/>
          </w:tcPr>
          <w:p w14:paraId="4C5669D5" w14:textId="3D274790" w:rsidR="006758F3" w:rsidRDefault="006758F3" w:rsidP="006758F3">
            <w:pPr>
              <w:spacing w:line="276" w:lineRule="auto"/>
              <w:jc w:val="both"/>
              <w:rPr>
                <w:rFonts w:ascii="Verdana" w:eastAsia="Calibri" w:hAnsi="Verdana" w:cs="Arial"/>
                <w:color w:val="000000"/>
              </w:rPr>
            </w:pPr>
            <w:r>
              <w:rPr>
                <w:rFonts w:ascii="Verdana" w:eastAsia="Calibri" w:hAnsi="Verdana" w:cs="Arial"/>
                <w:color w:val="000000"/>
              </w:rPr>
              <w:t xml:space="preserve">En respuesta a los problemas </w:t>
            </w:r>
            <w:r w:rsidR="00120BFE">
              <w:rPr>
                <w:rFonts w:ascii="Verdana" w:eastAsia="Calibri" w:hAnsi="Verdana" w:cs="Arial"/>
                <w:color w:val="000000"/>
              </w:rPr>
              <w:t>planteados</w:t>
            </w:r>
            <w:r w:rsidR="003E371B">
              <w:rPr>
                <w:rFonts w:ascii="Verdana" w:eastAsia="Calibri" w:hAnsi="Verdana" w:cs="Arial"/>
                <w:color w:val="000000"/>
              </w:rPr>
              <w:t>,</w:t>
            </w:r>
            <w:r w:rsidR="00120BFE">
              <w:rPr>
                <w:rFonts w:ascii="Verdana" w:eastAsia="Calibri" w:hAnsi="Verdana" w:cs="Arial"/>
                <w:color w:val="000000"/>
              </w:rPr>
              <w:t xml:space="preserve"> la Subdirección responde: </w:t>
            </w:r>
          </w:p>
          <w:p w14:paraId="685A204A" w14:textId="77777777" w:rsidR="00120BFE" w:rsidRPr="006758F3" w:rsidRDefault="00120BFE" w:rsidP="006758F3">
            <w:pPr>
              <w:spacing w:line="276" w:lineRule="auto"/>
              <w:jc w:val="both"/>
              <w:rPr>
                <w:rFonts w:ascii="Verdana" w:eastAsia="Calibri" w:hAnsi="Verdana" w:cs="Arial"/>
                <w:color w:val="000000"/>
              </w:rPr>
            </w:pPr>
          </w:p>
          <w:p w14:paraId="2DC52840" w14:textId="32A20AFE" w:rsidR="00AD7D4F" w:rsidRDefault="00AD7D4F" w:rsidP="00AD7D4F">
            <w:pPr>
              <w:pStyle w:val="Prrafodelista"/>
              <w:numPr>
                <w:ilvl w:val="0"/>
                <w:numId w:val="19"/>
              </w:numPr>
              <w:spacing w:line="276" w:lineRule="auto"/>
              <w:jc w:val="both"/>
              <w:rPr>
                <w:rFonts w:ascii="Verdana" w:eastAsia="Calibri" w:hAnsi="Verdana" w:cs="Arial"/>
                <w:color w:val="000000"/>
              </w:rPr>
            </w:pPr>
            <w:r w:rsidRPr="00CE6464">
              <w:rPr>
                <w:rFonts w:ascii="Verdana" w:eastAsia="Aptos" w:hAnsi="Verdana" w:cs="Arial"/>
              </w:rPr>
              <w:lastRenderedPageBreak/>
              <w:t xml:space="preserve">La presencia de inhabilidades en </w:t>
            </w:r>
            <w:r w:rsidR="007A29E5">
              <w:rPr>
                <w:rFonts w:ascii="Verdana" w:eastAsia="Aptos" w:hAnsi="Verdana" w:cs="Arial"/>
              </w:rPr>
              <w:t>el</w:t>
            </w:r>
            <w:r w:rsidR="00687067">
              <w:rPr>
                <w:rFonts w:ascii="Verdana" w:eastAsia="Aptos" w:hAnsi="Verdana" w:cs="Arial"/>
              </w:rPr>
              <w:t xml:space="preserve"> oferente </w:t>
            </w:r>
            <w:r w:rsidR="00BC1581">
              <w:rPr>
                <w:rFonts w:ascii="Verdana" w:eastAsia="Aptos" w:hAnsi="Verdana" w:cs="Arial"/>
              </w:rPr>
              <w:t>o</w:t>
            </w:r>
            <w:r w:rsidRPr="00CE6464">
              <w:rPr>
                <w:rFonts w:ascii="Verdana" w:eastAsia="Aptos" w:hAnsi="Verdana" w:cs="Arial"/>
              </w:rPr>
              <w:t xml:space="preserve"> contratista </w:t>
            </w:r>
            <w:r w:rsidR="00BC1581">
              <w:rPr>
                <w:rFonts w:ascii="Verdana" w:eastAsia="Aptos" w:hAnsi="Verdana" w:cs="Arial"/>
              </w:rPr>
              <w:t xml:space="preserve">– según corresponda – </w:t>
            </w:r>
            <w:r w:rsidRPr="00CE6464">
              <w:rPr>
                <w:rFonts w:ascii="Verdana" w:eastAsia="Aptos" w:hAnsi="Verdana" w:cs="Arial"/>
              </w:rPr>
              <w:t>debe</w:t>
            </w:r>
            <w:r w:rsidR="00BC1581">
              <w:rPr>
                <w:rFonts w:ascii="Verdana" w:eastAsia="Aptos" w:hAnsi="Verdana" w:cs="Arial"/>
              </w:rPr>
              <w:t xml:space="preserve"> </w:t>
            </w:r>
            <w:r w:rsidRPr="00CE6464">
              <w:rPr>
                <w:rFonts w:ascii="Verdana" w:eastAsia="Aptos" w:hAnsi="Verdana" w:cs="Arial"/>
              </w:rPr>
              <w:t xml:space="preserve">ser objeto de verificación tanto durante el Proceso de Contratación, como en la etapa de ejecución del contrato. Lo anterior se sustenta en el hecho de que, las </w:t>
            </w:r>
            <w:r w:rsidRPr="00CE6464">
              <w:rPr>
                <w:rFonts w:ascii="Verdana" w:eastAsia="Aptos" w:hAnsi="Verdana" w:cs="Arial"/>
                <w:lang w:val="es-MX"/>
              </w:rPr>
              <w:t xml:space="preserve">inhabilidades para contratar con el Estado afectan directamente la capacidad de las personas para establecer relaciones contractuales con </w:t>
            </w:r>
            <w:r w:rsidR="00BC1581">
              <w:rPr>
                <w:rFonts w:ascii="Verdana" w:eastAsia="Aptos" w:hAnsi="Verdana" w:cs="Arial"/>
                <w:lang w:val="es-MX"/>
              </w:rPr>
              <w:t>este</w:t>
            </w:r>
            <w:r w:rsidR="003070EF">
              <w:rPr>
                <w:rFonts w:ascii="Verdana" w:eastAsia="Aptos" w:hAnsi="Verdana" w:cs="Arial"/>
                <w:lang w:val="es-MX"/>
              </w:rPr>
              <w:t xml:space="preserve">, por lo cual </w:t>
            </w:r>
            <w:r w:rsidR="00F76E78">
              <w:rPr>
                <w:rFonts w:ascii="Verdana" w:eastAsia="Aptos" w:hAnsi="Verdana" w:cs="Arial"/>
                <w:lang w:val="es-MX"/>
              </w:rPr>
              <w:t xml:space="preserve">la declaratoria de inhabilidad impide </w:t>
            </w:r>
            <w:r w:rsidR="00E73F32">
              <w:rPr>
                <w:rFonts w:ascii="Verdana" w:eastAsia="Aptos" w:hAnsi="Verdana" w:cs="Arial"/>
                <w:lang w:val="es-MX"/>
              </w:rPr>
              <w:t xml:space="preserve">que el oferente </w:t>
            </w:r>
            <w:r w:rsidR="00426F4C">
              <w:rPr>
                <w:rFonts w:ascii="Verdana" w:eastAsia="Aptos" w:hAnsi="Verdana" w:cs="Arial"/>
                <w:lang w:val="es-MX"/>
              </w:rPr>
              <w:t xml:space="preserve">continue participando de un Proceso de Selección, así mismo, impide </w:t>
            </w:r>
            <w:r w:rsidR="00F76E78">
              <w:rPr>
                <w:rFonts w:ascii="Verdana" w:eastAsia="Aptos" w:hAnsi="Verdana" w:cs="Arial"/>
                <w:lang w:val="es-MX"/>
              </w:rPr>
              <w:t>que el contratista pueda seguir ejecutando el contrato</w:t>
            </w:r>
            <w:r w:rsidRPr="00CE6464">
              <w:rPr>
                <w:rFonts w:ascii="Verdana" w:eastAsia="Aptos" w:hAnsi="Verdana" w:cs="Arial"/>
                <w:lang w:val="es-MX"/>
              </w:rPr>
              <w:t xml:space="preserve">. A esto se suma que, </w:t>
            </w:r>
            <w:r w:rsidRPr="00CE6464">
              <w:rPr>
                <w:rFonts w:ascii="Verdana" w:eastAsia="Aptos" w:hAnsi="Verdana" w:cs="Arial"/>
              </w:rPr>
              <w:t>el mismo ordenamiento prevé una regulación especial para los casos en que la inhabilidad se presenta de manera sobreviniente. Al respecto,</w:t>
            </w:r>
            <w:r w:rsidRPr="00CE6464">
              <w:rPr>
                <w:rFonts w:ascii="Verdana" w:eastAsia="Calibri" w:hAnsi="Verdana" w:cs="Arial"/>
                <w:color w:val="000000"/>
              </w:rPr>
              <w:t xml:space="preserve"> el artículo 9 de la Ley 80 de 1993 señala que </w:t>
            </w:r>
            <w:r w:rsidRPr="00CE6464">
              <w:rPr>
                <w:rFonts w:ascii="Verdana" w:eastAsia="Calibri" w:hAnsi="Verdana" w:cs="Arial"/>
                <w:i/>
                <w:color w:val="000000"/>
              </w:rPr>
              <w:t>“Si llegare a sobrevenir inhabilidad o incompatibilidad en el contratista, este cederá el contrato previa autorización escrita de la entidad contratante o, si ello no fuere posible, renunciará a su ejecución”.</w:t>
            </w:r>
            <w:r w:rsidRPr="00CE6464">
              <w:rPr>
                <w:rFonts w:ascii="Verdana" w:eastAsia="Calibri" w:hAnsi="Verdana" w:cs="Arial"/>
                <w:color w:val="000000"/>
              </w:rPr>
              <w:t xml:space="preserve"> </w:t>
            </w:r>
          </w:p>
          <w:p w14:paraId="7FA5DD10" w14:textId="77777777" w:rsidR="00AD7D4F" w:rsidRDefault="00AD7D4F" w:rsidP="00652686">
            <w:pPr>
              <w:pStyle w:val="Prrafodelista"/>
              <w:spacing w:line="276" w:lineRule="auto"/>
              <w:jc w:val="both"/>
              <w:rPr>
                <w:rFonts w:ascii="Verdana" w:eastAsia="Aptos" w:hAnsi="Verdana" w:cs="Arial"/>
              </w:rPr>
            </w:pPr>
          </w:p>
          <w:p w14:paraId="191EA966" w14:textId="77777777" w:rsidR="00AD7D4F" w:rsidRDefault="00AD7D4F" w:rsidP="00652686">
            <w:pPr>
              <w:pStyle w:val="Prrafodelista"/>
              <w:spacing w:line="276" w:lineRule="auto"/>
              <w:jc w:val="both"/>
              <w:rPr>
                <w:rFonts w:ascii="Verdana" w:hAnsi="Verdana"/>
                <w:lang w:val="es-MX"/>
              </w:rPr>
            </w:pPr>
            <w:r w:rsidRPr="00CE6464">
              <w:rPr>
                <w:rFonts w:ascii="Verdana" w:eastAsia="Calibri" w:hAnsi="Verdana" w:cs="Arial"/>
                <w:color w:val="000000"/>
              </w:rPr>
              <w:t xml:space="preserve">Así las cosas, la </w:t>
            </w:r>
            <w:r w:rsidRPr="00CE6464">
              <w:rPr>
                <w:rStyle w:val="normaltextrun"/>
                <w:rFonts w:ascii="Verdana" w:hAnsi="Verdana" w:cs="Arial"/>
                <w:shd w:val="clear" w:color="auto" w:fill="FFFFFF"/>
              </w:rPr>
              <w:t xml:space="preserve">verificación de la existencia de inhabilidades del contratista debe extenderse también al momento en que se realice una modificación </w:t>
            </w:r>
            <w:r w:rsidRPr="00CE6464">
              <w:rPr>
                <w:rFonts w:ascii="Verdana" w:hAnsi="Verdana"/>
                <w:lang w:val="es-MX"/>
              </w:rPr>
              <w:t xml:space="preserve">contractual. </w:t>
            </w:r>
          </w:p>
          <w:p w14:paraId="485567D3" w14:textId="77777777" w:rsidR="00AD7D4F" w:rsidRDefault="00AD7D4F" w:rsidP="00652686">
            <w:pPr>
              <w:pStyle w:val="Prrafodelista"/>
              <w:spacing w:line="276" w:lineRule="auto"/>
              <w:jc w:val="both"/>
              <w:rPr>
                <w:rFonts w:ascii="Verdana" w:hAnsi="Verdana"/>
                <w:lang w:val="es-MX"/>
              </w:rPr>
            </w:pPr>
          </w:p>
          <w:p w14:paraId="0F7CE538" w14:textId="77777777" w:rsidR="00AD7D4F" w:rsidRPr="00CE6464" w:rsidRDefault="00AD7D4F" w:rsidP="00AD7D4F">
            <w:pPr>
              <w:pStyle w:val="Prrafodelista"/>
              <w:numPr>
                <w:ilvl w:val="0"/>
                <w:numId w:val="19"/>
              </w:numPr>
              <w:spacing w:line="276" w:lineRule="auto"/>
              <w:jc w:val="both"/>
              <w:rPr>
                <w:rFonts w:ascii="Verdana" w:eastAsia="Aptos" w:hAnsi="Verdana" w:cs="Arial"/>
              </w:rPr>
            </w:pPr>
            <w:r w:rsidRPr="00CE6464">
              <w:rPr>
                <w:rFonts w:ascii="Verdana" w:eastAsia="Aptos" w:hAnsi="Verdana" w:cs="Arial"/>
              </w:rPr>
              <w:t xml:space="preserve">Si se genera la inhabilidad de forma sobreviniente a un contratista una vez celebrado el contrato, se debe aclarar que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45724779" w14:textId="77777777" w:rsidR="00AD7D4F" w:rsidRPr="00CE6464" w:rsidRDefault="00AD7D4F" w:rsidP="00652686">
            <w:pPr>
              <w:pStyle w:val="Prrafodelista"/>
              <w:spacing w:line="276" w:lineRule="auto"/>
              <w:jc w:val="both"/>
              <w:rPr>
                <w:rFonts w:ascii="Verdana" w:eastAsia="Aptos" w:hAnsi="Verdana" w:cs="Arial"/>
              </w:rPr>
            </w:pPr>
          </w:p>
          <w:p w14:paraId="4C2CB44A" w14:textId="77777777" w:rsidR="00AD7D4F" w:rsidRPr="00CE6464" w:rsidRDefault="00AD7D4F" w:rsidP="00652686">
            <w:pPr>
              <w:pStyle w:val="Prrafodelista"/>
              <w:spacing w:line="276" w:lineRule="auto"/>
              <w:jc w:val="both"/>
              <w:rPr>
                <w:rFonts w:ascii="Verdana" w:eastAsia="Aptos" w:hAnsi="Verdana" w:cs="Arial"/>
              </w:rPr>
            </w:pPr>
            <w:r w:rsidRPr="00CE6464">
              <w:rPr>
                <w:rFonts w:ascii="Verdana" w:eastAsia="Aptos" w:hAnsi="Verdana" w:cs="Arial"/>
              </w:rPr>
              <w:t xml:space="preserve">Según se desprende del texto del artículo 9 de la Ley 80 de 1993, y sin perjuicio de la regla especial establecida en el parágrafo 1 de dicho artículo, si la inhabilidad o incompatibilidad se configura después del perfeccionamiento del contrato, el contratista cederá el contrato a un tercero previa autorización escrita de la entidad contratante; pero si esto no es posible, está obligado a renunciar a la ejecución. </w:t>
            </w:r>
          </w:p>
          <w:p w14:paraId="6A0D51B9" w14:textId="77777777" w:rsidR="00AD7D4F" w:rsidRPr="00651B69" w:rsidRDefault="00AD7D4F" w:rsidP="00652686">
            <w:pPr>
              <w:spacing w:line="276" w:lineRule="auto"/>
              <w:jc w:val="both"/>
              <w:rPr>
                <w:rFonts w:ascii="Verdana" w:eastAsia="Calibri" w:hAnsi="Verdana" w:cs="Arial"/>
                <w:color w:val="7030A0"/>
                <w:lang w:val="es-MX"/>
              </w:rPr>
            </w:pPr>
          </w:p>
        </w:tc>
      </w:tr>
    </w:tbl>
    <w:p w14:paraId="09DF1B81" w14:textId="77777777" w:rsidR="00AD7D4F" w:rsidRPr="00B606A9" w:rsidRDefault="00AD7D4F" w:rsidP="00AD7D4F">
      <w:pPr>
        <w:tabs>
          <w:tab w:val="left" w:pos="142"/>
          <w:tab w:val="left" w:pos="284"/>
        </w:tabs>
        <w:spacing w:after="0" w:line="276" w:lineRule="auto"/>
        <w:jc w:val="both"/>
        <w:rPr>
          <w:rFonts w:ascii="Verdana" w:eastAsia="Century Gothic" w:hAnsi="Verdana" w:cs="Century Gothic"/>
          <w:b/>
          <w:bCs/>
          <w:lang w:val="es-ES"/>
        </w:rPr>
      </w:pPr>
    </w:p>
    <w:p w14:paraId="4F2EE31A" w14:textId="77777777" w:rsidR="00AD7D4F" w:rsidRPr="00B606A9" w:rsidRDefault="00AD7D4F" w:rsidP="00AD7D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606A9">
        <w:rPr>
          <w:rFonts w:ascii="Verdana" w:eastAsia="Century Gothic" w:hAnsi="Verdana" w:cs="Century Gothic"/>
          <w:b/>
          <w:bCs/>
        </w:rPr>
        <w:t>Razones de la respuesta:</w:t>
      </w:r>
    </w:p>
    <w:p w14:paraId="54CB41F9" w14:textId="77777777" w:rsidR="00AD7D4F" w:rsidRPr="00B606A9" w:rsidRDefault="00AD7D4F" w:rsidP="00AD7D4F">
      <w:pPr>
        <w:spacing w:after="0" w:line="276" w:lineRule="auto"/>
        <w:jc w:val="both"/>
        <w:rPr>
          <w:rFonts w:ascii="Verdana" w:eastAsia="Calibri" w:hAnsi="Verdana" w:cs="Arial"/>
          <w:lang w:val="es-ES"/>
        </w:rPr>
      </w:pPr>
    </w:p>
    <w:p w14:paraId="14AECC05" w14:textId="77777777" w:rsidR="00AD7D4F" w:rsidRPr="00B606A9" w:rsidRDefault="00AD7D4F" w:rsidP="00AD7D4F">
      <w:pPr>
        <w:spacing w:after="0" w:line="276" w:lineRule="auto"/>
        <w:jc w:val="both"/>
        <w:rPr>
          <w:rFonts w:ascii="Verdana" w:eastAsia="Calibri" w:hAnsi="Verdana" w:cs="Arial"/>
          <w:lang w:val="es-ES"/>
        </w:rPr>
      </w:pPr>
      <w:r w:rsidRPr="00B606A9">
        <w:rPr>
          <w:rFonts w:ascii="Verdana" w:eastAsia="Calibri" w:hAnsi="Verdana" w:cs="Arial"/>
          <w:lang w:val="es-ES"/>
        </w:rPr>
        <w:t xml:space="preserve">Lo anterior se sustenta en las siguientes consideraciones: </w:t>
      </w:r>
    </w:p>
    <w:p w14:paraId="10D59823" w14:textId="77777777" w:rsidR="00AD7D4F" w:rsidRPr="00B606A9" w:rsidRDefault="00AD7D4F" w:rsidP="00AD7D4F">
      <w:pPr>
        <w:spacing w:after="0" w:line="276" w:lineRule="auto"/>
        <w:jc w:val="both"/>
        <w:rPr>
          <w:rFonts w:ascii="Verdana" w:eastAsia="Calibri" w:hAnsi="Verdana" w:cs="Arial"/>
          <w:lang w:val="es-ES"/>
        </w:rPr>
      </w:pPr>
    </w:p>
    <w:p w14:paraId="6D3A32A8" w14:textId="77777777" w:rsidR="00AD7D4F" w:rsidRPr="00B606A9" w:rsidRDefault="00AD7D4F" w:rsidP="00AD7D4F">
      <w:pPr>
        <w:pStyle w:val="Prrafodelista"/>
        <w:numPr>
          <w:ilvl w:val="0"/>
          <w:numId w:val="18"/>
        </w:numPr>
        <w:spacing w:after="0" w:line="276" w:lineRule="auto"/>
        <w:contextualSpacing w:val="0"/>
        <w:jc w:val="both"/>
        <w:rPr>
          <w:rFonts w:ascii="Verdana" w:eastAsia="Aptos" w:hAnsi="Verdana" w:cs="Arial"/>
        </w:rPr>
      </w:pPr>
      <w:r w:rsidRPr="00B606A9">
        <w:rPr>
          <w:rFonts w:ascii="Verdana" w:eastAsia="Calibri" w:hAnsi="Verdana" w:cs="Arial"/>
        </w:rPr>
        <w:t xml:space="preserve">En </w:t>
      </w:r>
      <w:r w:rsidRPr="00B606A9">
        <w:rPr>
          <w:rFonts w:ascii="Verdana" w:eastAsia="Calibri" w:hAnsi="Verdana" w:cs="Arial"/>
          <w:i/>
          <w:iCs/>
        </w:rPr>
        <w:t>primer lugar</w:t>
      </w:r>
      <w:r w:rsidRPr="00B606A9">
        <w:rPr>
          <w:rFonts w:ascii="Verdana" w:eastAsia="Calibri" w:hAnsi="Verdana" w:cs="Arial"/>
        </w:rPr>
        <w:t>, debe advertirse que,</w:t>
      </w:r>
      <w:r w:rsidRPr="00B606A9">
        <w:rPr>
          <w:rFonts w:ascii="Verdana" w:eastAsia="Calibri" w:hAnsi="Verdana" w:cs="Arial"/>
          <w:lang w:val="es-ES_tradnl" w:eastAsia="es-ES_tradnl"/>
        </w:rPr>
        <w:t xml:space="preserve"> e</w:t>
      </w:r>
      <w:r w:rsidRPr="00B606A9">
        <w:rPr>
          <w:rFonts w:ascii="Verdana" w:eastAsia="Aptos" w:hAnsi="Verdana" w:cs="Arial"/>
          <w:lang w:val="es-MX"/>
        </w:rPr>
        <w:t xml:space="preserve">l régimen de </w:t>
      </w:r>
      <w:bookmarkStart w:id="4" w:name="_Hlk173850721"/>
      <w:r w:rsidRPr="00B606A9">
        <w:rPr>
          <w:rFonts w:ascii="Verdana" w:eastAsia="Aptos" w:hAnsi="Verdana" w:cs="Arial"/>
          <w:lang w:val="es-MX"/>
        </w:rPr>
        <w:t>inhabilidades para contratar con el Estado es un conjunto de restricciones establecidas por el constituyente o por el legislador que afectan directamente la capacidad de las personas para establecer relaciones contractuales con el Estado</w:t>
      </w:r>
      <w:bookmarkEnd w:id="4"/>
      <w:r w:rsidRPr="00B606A9">
        <w:rPr>
          <w:rFonts w:ascii="Verdana" w:eastAsia="Aptos" w:hAnsi="Verdana" w:cs="Arial"/>
          <w:lang w:val="es-MX"/>
        </w:rPr>
        <w:t xml:space="preserve">, que pueden resultar de condenas, sanciones o situaciones previamente </w:t>
      </w:r>
      <w:r w:rsidRPr="00B606A9">
        <w:rPr>
          <w:rFonts w:ascii="Verdana" w:eastAsia="Aptos" w:hAnsi="Verdana" w:cs="Arial"/>
        </w:rPr>
        <w:t>consagradas</w:t>
      </w:r>
      <w:r w:rsidRPr="00B606A9">
        <w:rPr>
          <w:rFonts w:ascii="Verdana" w:eastAsia="Aptos" w:hAnsi="Verdana" w:cs="Arial"/>
          <w:lang w:val="es-MX"/>
        </w:rPr>
        <w:t xml:space="preserve"> por el ordenamiento jurídico</w:t>
      </w:r>
      <w:r w:rsidRPr="00B606A9">
        <w:rPr>
          <w:rFonts w:ascii="Verdana" w:eastAsia="Aptos" w:hAnsi="Verdana" w:cs="Arial"/>
        </w:rPr>
        <w:t xml:space="preserve">. </w:t>
      </w:r>
    </w:p>
    <w:p w14:paraId="6CB63CDB" w14:textId="77777777" w:rsidR="00AD7D4F" w:rsidRPr="00B606A9" w:rsidRDefault="00AD7D4F" w:rsidP="00AD7D4F">
      <w:pPr>
        <w:pStyle w:val="Prrafodelista"/>
        <w:spacing w:after="0" w:line="276" w:lineRule="auto"/>
        <w:ind w:left="360"/>
        <w:contextualSpacing w:val="0"/>
        <w:jc w:val="both"/>
        <w:rPr>
          <w:rFonts w:ascii="Verdana" w:eastAsia="Aptos" w:hAnsi="Verdana" w:cs="Arial"/>
        </w:rPr>
      </w:pPr>
    </w:p>
    <w:p w14:paraId="26499811" w14:textId="77777777" w:rsidR="00AD7D4F" w:rsidRPr="00B606A9"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B606A9">
        <w:rPr>
          <w:rFonts w:ascii="Verdana" w:eastAsia="Aptos" w:hAnsi="Verdana" w:cs="Arial"/>
        </w:rPr>
        <w:t>La</w:t>
      </w:r>
      <w:r w:rsidRPr="00B606A9">
        <w:rPr>
          <w:rFonts w:ascii="Verdana" w:eastAsia="Aptos" w:hAnsi="Verdana" w:cs="Arial"/>
          <w:lang w:val="es-MX"/>
        </w:rPr>
        <w:t xml:space="preserve">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B606A9">
        <w:rPr>
          <w:rFonts w:ascii="Verdana" w:hAnsi="Verdana"/>
          <w:vertAlign w:val="superscript"/>
          <w:lang w:val="es-MX"/>
        </w:rPr>
        <w:footnoteReference w:id="2"/>
      </w:r>
      <w:r w:rsidRPr="00B606A9">
        <w:rPr>
          <w:rFonts w:ascii="Verdana" w:eastAsia="Aptos" w:hAnsi="Verdana" w:cs="Arial"/>
          <w:lang w:val="es-MX"/>
        </w:rPr>
        <w:t xml:space="preserve">. </w:t>
      </w:r>
    </w:p>
    <w:p w14:paraId="705B9D6A" w14:textId="77777777" w:rsidR="00AD7D4F" w:rsidRPr="00B606A9" w:rsidRDefault="00AD7D4F" w:rsidP="00AD7D4F">
      <w:pPr>
        <w:pStyle w:val="Prrafodelista"/>
        <w:spacing w:after="0" w:line="276" w:lineRule="auto"/>
        <w:ind w:left="360"/>
        <w:contextualSpacing w:val="0"/>
        <w:jc w:val="both"/>
        <w:rPr>
          <w:rFonts w:ascii="Verdana" w:eastAsia="Aptos" w:hAnsi="Verdana" w:cs="Arial"/>
          <w:lang w:val="es-MX"/>
        </w:rPr>
      </w:pPr>
    </w:p>
    <w:p w14:paraId="05B2D22A" w14:textId="77777777" w:rsidR="00AD7D4F" w:rsidRPr="00B606A9"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B606A9">
        <w:rPr>
          <w:rFonts w:ascii="Verdana" w:eastAsia="Aptos" w:hAnsi="Verdana" w:cs="Arial"/>
          <w:lang w:val="es-MX"/>
        </w:rPr>
        <w:t xml:space="preserve">La consagración de limitaciones que afectan la capacidad jurídica para contratar desarrolla los principios de la función administrativa consagrados en el artículo 209 de la Constitución Política, con especial énfasis el de moralidad. Así lo entiende el Consejo de Estado: </w:t>
      </w:r>
    </w:p>
    <w:p w14:paraId="3835430A" w14:textId="77777777" w:rsidR="00AD7D4F" w:rsidRPr="00B606A9" w:rsidRDefault="00AD7D4F" w:rsidP="00AD7D4F">
      <w:pPr>
        <w:spacing w:after="0" w:line="276" w:lineRule="auto"/>
        <w:ind w:firstLine="709"/>
        <w:jc w:val="both"/>
        <w:rPr>
          <w:rFonts w:ascii="Verdana" w:eastAsia="Aptos" w:hAnsi="Verdana" w:cs="Arial"/>
          <w:lang w:val="es-MX"/>
        </w:rPr>
      </w:pPr>
    </w:p>
    <w:p w14:paraId="6E59AFCC" w14:textId="77777777" w:rsidR="00AD7D4F" w:rsidRPr="00433591" w:rsidRDefault="00AD7D4F" w:rsidP="00AD7D4F">
      <w:pPr>
        <w:shd w:val="clear" w:color="auto" w:fill="FFFFFF"/>
        <w:spacing w:after="0" w:line="240" w:lineRule="auto"/>
        <w:ind w:left="709" w:right="709"/>
        <w:contextualSpacing/>
        <w:jc w:val="both"/>
        <w:rPr>
          <w:rFonts w:ascii="Verdana" w:eastAsia="Aptos" w:hAnsi="Verdana" w:cs="Arial"/>
          <w:sz w:val="20"/>
          <w:szCs w:val="20"/>
          <w:lang w:val="es-ES"/>
        </w:rPr>
      </w:pPr>
      <w:r w:rsidRPr="00433591">
        <w:rPr>
          <w:rFonts w:ascii="Verdana" w:eastAsia="Aptos" w:hAnsi="Verdana" w:cs="Arial"/>
          <w:sz w:val="20"/>
          <w:szCs w:val="20"/>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01BA04CC" w14:textId="77777777" w:rsidR="00AD7D4F" w:rsidRPr="00433591" w:rsidRDefault="00AD7D4F" w:rsidP="00AD7D4F">
      <w:pPr>
        <w:shd w:val="clear" w:color="auto" w:fill="FFFFFF"/>
        <w:spacing w:after="0" w:line="240" w:lineRule="auto"/>
        <w:ind w:left="709" w:right="709"/>
        <w:contextualSpacing/>
        <w:jc w:val="both"/>
        <w:rPr>
          <w:rFonts w:ascii="Verdana" w:eastAsia="Aptos" w:hAnsi="Verdana" w:cs="Arial"/>
          <w:sz w:val="20"/>
          <w:szCs w:val="20"/>
          <w:lang w:val="es-ES"/>
        </w:rPr>
      </w:pPr>
    </w:p>
    <w:p w14:paraId="5856B7EF" w14:textId="77777777" w:rsidR="00AD7D4F" w:rsidRPr="00433591" w:rsidRDefault="00AD7D4F" w:rsidP="00AD7D4F">
      <w:pPr>
        <w:shd w:val="clear" w:color="auto" w:fill="FFFFFF"/>
        <w:spacing w:after="0" w:line="240" w:lineRule="auto"/>
        <w:ind w:left="709" w:right="709"/>
        <w:contextualSpacing/>
        <w:jc w:val="both"/>
        <w:rPr>
          <w:rFonts w:ascii="Verdana" w:eastAsia="Aptos" w:hAnsi="Verdana" w:cs="Arial"/>
          <w:sz w:val="20"/>
          <w:szCs w:val="20"/>
          <w:lang w:val="es-ES"/>
        </w:rPr>
      </w:pPr>
      <w:r w:rsidRPr="00433591">
        <w:rPr>
          <w:rFonts w:ascii="Verdana" w:eastAsia="Aptos" w:hAnsi="Verdana" w:cs="Arial"/>
          <w:sz w:val="20"/>
          <w:szCs w:val="20"/>
          <w:lang w:val="es-ES"/>
        </w:rPr>
        <w:t xml:space="preserve">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w:t>
      </w:r>
      <w:r w:rsidRPr="00433591">
        <w:rPr>
          <w:rFonts w:ascii="Verdana" w:eastAsia="Aptos" w:hAnsi="Verdana" w:cs="Arial"/>
          <w:sz w:val="20"/>
          <w:szCs w:val="20"/>
          <w:lang w:val="es-ES"/>
        </w:rPr>
        <w:lastRenderedPageBreak/>
        <w:t>razón de ese fin de interés general como regla legal prevalente, esto es que puede ser impuesta sobre el derecho individual a contratar con el Estado”</w:t>
      </w:r>
      <w:r w:rsidRPr="00433591">
        <w:rPr>
          <w:rFonts w:ascii="Verdana" w:eastAsia="Aptos" w:hAnsi="Verdana" w:cs="Arial"/>
          <w:sz w:val="20"/>
          <w:szCs w:val="20"/>
          <w:vertAlign w:val="superscript"/>
          <w:lang w:val="es-ES"/>
        </w:rPr>
        <w:footnoteReference w:id="3"/>
      </w:r>
      <w:r w:rsidRPr="00433591">
        <w:rPr>
          <w:rFonts w:ascii="Verdana" w:eastAsia="Aptos" w:hAnsi="Verdana" w:cs="Arial"/>
          <w:sz w:val="20"/>
          <w:szCs w:val="20"/>
          <w:lang w:val="es-ES"/>
        </w:rPr>
        <w:t xml:space="preserve"> </w:t>
      </w:r>
    </w:p>
    <w:p w14:paraId="11DB4404" w14:textId="77777777" w:rsidR="00AD7D4F" w:rsidRPr="00216BA8" w:rsidRDefault="00AD7D4F" w:rsidP="00AD7D4F">
      <w:pPr>
        <w:spacing w:after="0" w:line="276" w:lineRule="auto"/>
        <w:jc w:val="both"/>
        <w:rPr>
          <w:rFonts w:ascii="Verdana" w:eastAsia="Aptos" w:hAnsi="Verdana" w:cs="Arial"/>
          <w:lang w:val="es-MX"/>
        </w:rPr>
      </w:pPr>
    </w:p>
    <w:p w14:paraId="23CCFF0F" w14:textId="77777777" w:rsidR="00AD7D4F" w:rsidRPr="00216BA8"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216BA8">
        <w:rPr>
          <w:rFonts w:ascii="Verdana" w:eastAsia="Aptos" w:hAnsi="Verdana" w:cs="Arial"/>
          <w:lang w:val="es-MX"/>
        </w:rPr>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w:t>
      </w:r>
    </w:p>
    <w:p w14:paraId="0A619F5F" w14:textId="77777777" w:rsidR="00AD7D4F" w:rsidRPr="00216BA8" w:rsidRDefault="00AD7D4F" w:rsidP="00AD7D4F">
      <w:pPr>
        <w:pStyle w:val="Prrafodelista"/>
        <w:spacing w:after="0" w:line="276" w:lineRule="auto"/>
        <w:ind w:left="360"/>
        <w:contextualSpacing w:val="0"/>
        <w:jc w:val="both"/>
        <w:rPr>
          <w:rFonts w:ascii="Verdana" w:eastAsia="Aptos" w:hAnsi="Verdana" w:cs="Arial"/>
          <w:lang w:val="es-MX"/>
        </w:rPr>
      </w:pPr>
    </w:p>
    <w:p w14:paraId="5E2BA679" w14:textId="77777777" w:rsidR="00AD7D4F" w:rsidRPr="00216BA8"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216BA8">
        <w:rPr>
          <w:rFonts w:ascii="Verdana" w:eastAsia="Times New Roman" w:hAnsi="Verdana" w:cs="Arial"/>
          <w:lang w:eastAsia="es-MX"/>
        </w:rPr>
        <w:t>Además, la Corte Constitucional señala que, el legislador tiene la competencia para determinar qué hechos o situaciones generan inhabilidad para contratar, pues este régimen es un aspecto propio del Estatuto General de Contratación de la Administración Pública – en adelante EGCAP –, cuya expedición compete al Congreso de la República a la luz del artículo 150 de la Constitución Política, y que en esta materia rige el principio de legalidad.</w:t>
      </w:r>
      <w:r w:rsidRPr="00216BA8">
        <w:rPr>
          <w:rFonts w:ascii="Verdana" w:hAnsi="Verdana"/>
          <w:vertAlign w:val="superscript"/>
          <w:lang w:eastAsia="es-MX"/>
        </w:rPr>
        <w:footnoteReference w:id="4"/>
      </w:r>
    </w:p>
    <w:p w14:paraId="4B9E5B2E" w14:textId="77777777" w:rsidR="00AD7D4F" w:rsidRPr="00216BA8" w:rsidRDefault="00AD7D4F" w:rsidP="00AD7D4F">
      <w:pPr>
        <w:pStyle w:val="Prrafodelista"/>
        <w:spacing w:after="0" w:line="276" w:lineRule="auto"/>
        <w:contextualSpacing w:val="0"/>
        <w:rPr>
          <w:rFonts w:ascii="Verdana" w:eastAsia="Times New Roman" w:hAnsi="Verdana" w:cs="Arial"/>
          <w:lang w:eastAsia="es-MX"/>
        </w:rPr>
      </w:pPr>
    </w:p>
    <w:p w14:paraId="151CCAC8" w14:textId="77777777" w:rsidR="00AD7D4F" w:rsidRPr="00216BA8"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216BA8">
        <w:rPr>
          <w:rFonts w:ascii="Verdana" w:eastAsia="Times New Roman" w:hAnsi="Verdana" w:cs="Arial"/>
          <w:lang w:eastAsia="es-MX"/>
        </w:rPr>
        <w:t xml:space="preserve">Ahora bien, conviene también distinguir las fuentes de las inhabilidades, las cuales han sido clasificadas en dos (2) grupos: i) inhabilidades-sanción y ii) inhabilidades-requisito. En el </w:t>
      </w:r>
      <w:r w:rsidRPr="00216BA8">
        <w:rPr>
          <w:rFonts w:ascii="Verdana" w:eastAsia="Times New Roman" w:hAnsi="Verdana" w:cs="Arial"/>
          <w:i/>
          <w:iCs/>
          <w:lang w:eastAsia="es-MX"/>
        </w:rPr>
        <w:t>primer</w:t>
      </w:r>
      <w:r w:rsidRPr="00216BA8">
        <w:rPr>
          <w:rFonts w:ascii="Verdana" w:eastAsia="Times New Roman" w:hAnsi="Verdana" w:cs="Arial"/>
          <w:lang w:eastAsia="es-MX"/>
        </w:rPr>
        <w:t xml:space="preserve"> grupo se encuentran las inhabilidades que surgen como consecuencia de un proceso sancionatorio, en los ámbitos penal, disciplinario, contravencional o de pérdida de investidura. En el </w:t>
      </w:r>
      <w:r w:rsidRPr="00216BA8">
        <w:rPr>
          <w:rFonts w:ascii="Verdana" w:eastAsia="Times New Roman" w:hAnsi="Verdana" w:cs="Arial"/>
          <w:i/>
          <w:iCs/>
          <w:lang w:eastAsia="es-MX"/>
        </w:rPr>
        <w:t>segundo</w:t>
      </w:r>
      <w:r w:rsidRPr="00216BA8">
        <w:rPr>
          <w:rFonts w:ascii="Verdana" w:eastAsia="Times New Roman" w:hAnsi="Verdana" w:cs="Arial"/>
          <w:lang w:eastAsia="es-MX"/>
        </w:rPr>
        <w:t xml:space="preserve"> grupo están aquellas que no devienen de un proceso sancionatorio, sino de condiciones propias de la persona y garantizan la moralidad, la imparcialidad, la eficacia y la transparencia</w:t>
      </w:r>
      <w:r w:rsidRPr="00216BA8">
        <w:rPr>
          <w:rFonts w:ascii="Verdana" w:hAnsi="Verdana"/>
          <w:vertAlign w:val="superscript"/>
          <w:lang w:eastAsia="es-MX"/>
        </w:rPr>
        <w:footnoteReference w:id="5"/>
      </w:r>
      <w:r w:rsidRPr="00216BA8">
        <w:rPr>
          <w:rFonts w:ascii="Verdana" w:eastAsia="Times New Roman" w:hAnsi="Verdana" w:cs="Arial"/>
          <w:lang w:eastAsia="es-MX"/>
        </w:rPr>
        <w:t xml:space="preserve">. </w:t>
      </w:r>
    </w:p>
    <w:p w14:paraId="0C9C10AF" w14:textId="77777777" w:rsidR="00AD7D4F" w:rsidRPr="00216BA8" w:rsidRDefault="00AD7D4F" w:rsidP="00AD7D4F">
      <w:pPr>
        <w:pStyle w:val="Prrafodelista"/>
        <w:spacing w:after="0" w:line="276" w:lineRule="auto"/>
        <w:contextualSpacing w:val="0"/>
        <w:rPr>
          <w:rFonts w:ascii="Verdana" w:eastAsia="Times New Roman" w:hAnsi="Verdana" w:cs="Arial"/>
          <w:lang w:eastAsia="es-MX"/>
        </w:rPr>
      </w:pPr>
    </w:p>
    <w:p w14:paraId="5A38BBA0" w14:textId="77777777" w:rsidR="00AD7D4F" w:rsidRPr="00216BA8"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216BA8">
        <w:rPr>
          <w:rFonts w:ascii="Verdana" w:eastAsia="Times New Roman" w:hAnsi="Verdana" w:cs="Arial"/>
          <w:lang w:eastAsia="es-MX"/>
        </w:rPr>
        <w:t xml:space="preserve">A manera de ejemplo, en materia contractual, los literales c), d) y j) del numeral 1 del artículo 8 de la Ley 80 de 1993 establecen inhabilidades-sanción, porque la prohibición para contratar con el Estado en esos eventos es una consecuencia de una declaratoria de responsabilidad que surge luego de un proceso sancionatorio –administrativo, disciplinario o penal–; mientras que las inhabilidades de los literales f), g) y h) del numeral 1° de la norma citada establecen inhabilidades–requisito, pues no se configuran por la </w:t>
      </w:r>
      <w:r w:rsidRPr="00216BA8">
        <w:rPr>
          <w:rFonts w:ascii="Verdana" w:eastAsia="Times New Roman" w:hAnsi="Verdana" w:cs="Arial"/>
          <w:lang w:eastAsia="es-MX"/>
        </w:rPr>
        <w:lastRenderedPageBreak/>
        <w:t xml:space="preserve">comisión previa de una falta o un delito que dio lugar a una declaratoria por parte de la Administración o el juez, sino de aspectos propios de la persona, derivados, por ejemplo, del parentesco o la afinidad o de la condición de servidor público. </w:t>
      </w:r>
    </w:p>
    <w:p w14:paraId="4D82CFDA" w14:textId="77777777" w:rsidR="00AD7D4F" w:rsidRPr="00216BA8" w:rsidRDefault="00AD7D4F" w:rsidP="00AD7D4F">
      <w:pPr>
        <w:pStyle w:val="Prrafodelista"/>
        <w:spacing w:after="0" w:line="276" w:lineRule="auto"/>
        <w:contextualSpacing w:val="0"/>
        <w:rPr>
          <w:rFonts w:ascii="Verdana" w:eastAsia="Calibri" w:hAnsi="Verdana" w:cs="Arial"/>
          <w:color w:val="000000"/>
          <w:lang w:val="es-ES_tradnl" w:eastAsia="es-ES_tradnl"/>
        </w:rPr>
      </w:pPr>
    </w:p>
    <w:p w14:paraId="2E6CB929" w14:textId="77777777" w:rsidR="00AD7D4F" w:rsidRPr="00216BA8" w:rsidRDefault="00AD7D4F" w:rsidP="00AD7D4F">
      <w:pPr>
        <w:pStyle w:val="Prrafodelista"/>
        <w:numPr>
          <w:ilvl w:val="0"/>
          <w:numId w:val="18"/>
        </w:numPr>
        <w:spacing w:after="0" w:line="276" w:lineRule="auto"/>
        <w:contextualSpacing w:val="0"/>
        <w:jc w:val="both"/>
        <w:rPr>
          <w:rFonts w:ascii="Verdana" w:eastAsia="Aptos" w:hAnsi="Verdana" w:cs="Arial"/>
          <w:lang w:val="es-MX"/>
        </w:rPr>
      </w:pPr>
      <w:r w:rsidRPr="00216BA8">
        <w:rPr>
          <w:rFonts w:ascii="Verdana" w:eastAsia="Calibri" w:hAnsi="Verdana" w:cs="Arial"/>
          <w:color w:val="000000"/>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216BA8">
        <w:rPr>
          <w:rFonts w:ascii="Verdana" w:eastAsia="Calibri" w:hAnsi="Verdana" w:cs="Arial"/>
          <w:i/>
          <w:iCs/>
          <w:color w:val="000000"/>
          <w:lang w:val="es-ES_tradnl" w:eastAsia="es-ES_tradnl"/>
        </w:rPr>
        <w:t>restrictiva</w:t>
      </w:r>
      <w:r w:rsidRPr="00216BA8">
        <w:rPr>
          <w:rFonts w:ascii="Verdana" w:eastAsia="Aptos" w:hAnsi="Verdana" w:cs="Times New Roman"/>
          <w:vertAlign w:val="superscript"/>
        </w:rPr>
        <w:footnoteReference w:id="6"/>
      </w:r>
      <w:r w:rsidRPr="00216BA8">
        <w:rPr>
          <w:rFonts w:ascii="Verdana" w:eastAsia="Calibri" w:hAnsi="Verdana" w:cs="Arial"/>
          <w:color w:val="000000"/>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1C082101" w14:textId="77777777" w:rsidR="00AD7D4F" w:rsidRPr="00216BA8" w:rsidRDefault="00AD7D4F" w:rsidP="00AD7D4F">
      <w:pPr>
        <w:pStyle w:val="Prrafodelista"/>
        <w:spacing w:after="0" w:line="276" w:lineRule="auto"/>
        <w:contextualSpacing w:val="0"/>
        <w:rPr>
          <w:rFonts w:ascii="Verdana" w:eastAsia="Calibri" w:hAnsi="Verdana" w:cs="Arial"/>
          <w:color w:val="000000"/>
          <w:lang w:val="es-ES_tradnl" w:eastAsia="es-ES_tradnl"/>
        </w:rPr>
      </w:pPr>
    </w:p>
    <w:p w14:paraId="7EE6E54C" w14:textId="77777777" w:rsidR="00AD7D4F" w:rsidRPr="00216BA8" w:rsidRDefault="00AD7D4F" w:rsidP="00AD7D4F">
      <w:pPr>
        <w:pStyle w:val="Prrafodelista"/>
        <w:numPr>
          <w:ilvl w:val="0"/>
          <w:numId w:val="18"/>
        </w:numPr>
        <w:spacing w:after="0" w:line="276" w:lineRule="auto"/>
        <w:contextualSpacing w:val="0"/>
        <w:jc w:val="both"/>
        <w:rPr>
          <w:rFonts w:ascii="Verdana" w:eastAsia="Calibri" w:hAnsi="Verdana" w:cs="Arial"/>
          <w:color w:val="000000"/>
          <w:lang w:val="es-ES_tradnl" w:eastAsia="es-ES_tradnl"/>
        </w:rPr>
      </w:pPr>
      <w:r w:rsidRPr="00216BA8">
        <w:rPr>
          <w:rFonts w:ascii="Verdana" w:eastAsia="Calibri" w:hAnsi="Verdana" w:cs="Arial"/>
          <w:color w:val="000000"/>
          <w:lang w:val="es-ES_tradnl" w:eastAsia="es-ES_tradnl"/>
        </w:rPr>
        <w:t>En efecto, el máximo tribunal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216BA8">
        <w:rPr>
          <w:rFonts w:ascii="Verdana" w:eastAsia="Aptos" w:hAnsi="Verdana" w:cs="Times New Roman"/>
          <w:vertAlign w:val="superscript"/>
        </w:rPr>
        <w:footnoteReference w:id="7"/>
      </w:r>
      <w:r w:rsidRPr="00216BA8">
        <w:rPr>
          <w:rFonts w:ascii="Verdana" w:eastAsia="Calibri" w:hAnsi="Verdana" w:cs="Arial"/>
          <w:color w:val="000000"/>
          <w:lang w:val="es-ES_tradnl" w:eastAsia="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216BA8">
        <w:rPr>
          <w:rFonts w:ascii="Verdana" w:eastAsia="Aptos" w:hAnsi="Verdana" w:cs="Times New Roman"/>
          <w:vertAlign w:val="superscript"/>
        </w:rPr>
        <w:footnoteReference w:id="8"/>
      </w:r>
      <w:r w:rsidRPr="00216BA8">
        <w:rPr>
          <w:rFonts w:ascii="Verdana" w:eastAsia="Calibri" w:hAnsi="Verdana" w:cs="Arial"/>
          <w:color w:val="000000"/>
          <w:lang w:val="es-ES_tradnl" w:eastAsia="es-ES_tradnl"/>
        </w:rPr>
        <w:t xml:space="preserve">. </w:t>
      </w:r>
    </w:p>
    <w:p w14:paraId="7AF78ED0" w14:textId="77777777" w:rsidR="00AD7D4F" w:rsidRPr="00216BA8" w:rsidRDefault="00AD7D4F" w:rsidP="00AD7D4F">
      <w:pPr>
        <w:spacing w:after="0" w:line="276" w:lineRule="auto"/>
        <w:jc w:val="both"/>
        <w:rPr>
          <w:rFonts w:ascii="Verdana" w:eastAsia="Calibri" w:hAnsi="Verdana" w:cs="Arial"/>
          <w:color w:val="000000"/>
          <w:lang w:val="es-ES_tradnl" w:eastAsia="es-ES_tradnl"/>
        </w:rPr>
      </w:pPr>
    </w:p>
    <w:p w14:paraId="062ECBA9" w14:textId="77777777" w:rsidR="00AD7D4F" w:rsidRPr="00216BA8" w:rsidRDefault="00AD7D4F" w:rsidP="4870290A">
      <w:pPr>
        <w:pStyle w:val="Prrafodelista"/>
        <w:numPr>
          <w:ilvl w:val="0"/>
          <w:numId w:val="18"/>
        </w:numPr>
        <w:spacing w:after="0" w:line="276" w:lineRule="auto"/>
        <w:jc w:val="both"/>
        <w:rPr>
          <w:rFonts w:ascii="Verdana" w:eastAsia="Calibri" w:hAnsi="Verdana" w:cs="Arial"/>
          <w:color w:val="000000"/>
          <w:lang w:eastAsia="es-ES"/>
        </w:rPr>
      </w:pPr>
      <w:r w:rsidRPr="4870290A">
        <w:rPr>
          <w:rFonts w:ascii="Verdana" w:eastAsia="Calibri" w:hAnsi="Verdana" w:cs="Arial"/>
          <w:color w:val="000000"/>
          <w:kern w:val="2"/>
          <w:lang w:eastAsia="es-ES"/>
        </w:rPr>
        <w:lastRenderedPageBreak/>
        <w:t>Como se aprecia, 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4C47BCE1" w14:textId="77777777" w:rsidR="00AD7D4F" w:rsidRPr="00216BA8" w:rsidRDefault="00AD7D4F" w:rsidP="00AD7D4F">
      <w:pPr>
        <w:pStyle w:val="Prrafodelista"/>
        <w:spacing w:after="0" w:line="276" w:lineRule="auto"/>
        <w:ind w:left="360"/>
        <w:contextualSpacing w:val="0"/>
        <w:jc w:val="both"/>
        <w:rPr>
          <w:rFonts w:ascii="Verdana" w:eastAsia="Calibri" w:hAnsi="Verdana" w:cs="Arial"/>
          <w:color w:val="000000"/>
          <w:lang w:val="es-ES_tradnl" w:eastAsia="es-ES_tradnl"/>
        </w:rPr>
      </w:pPr>
    </w:p>
    <w:p w14:paraId="7725DD33" w14:textId="77777777" w:rsidR="00AD7D4F" w:rsidRPr="00216BA8" w:rsidRDefault="00AD7D4F" w:rsidP="00AD7D4F">
      <w:pPr>
        <w:pStyle w:val="Prrafodelista"/>
        <w:numPr>
          <w:ilvl w:val="0"/>
          <w:numId w:val="18"/>
        </w:numPr>
        <w:spacing w:after="0" w:line="276" w:lineRule="auto"/>
        <w:jc w:val="both"/>
        <w:rPr>
          <w:rFonts w:ascii="Verdana" w:eastAsia="Calibri" w:hAnsi="Verdana" w:cs="Arial"/>
          <w:color w:val="000000"/>
          <w:lang w:val="es-ES_tradnl" w:eastAsia="es-ES_tradnl"/>
        </w:rPr>
      </w:pPr>
      <w:r w:rsidRPr="00216BA8">
        <w:rPr>
          <w:rFonts w:ascii="Verdana" w:eastAsia="Aptos" w:hAnsi="Verdana" w:cs="Arial"/>
        </w:rPr>
        <w:t xml:space="preserve">En </w:t>
      </w:r>
      <w:r w:rsidRPr="00216BA8">
        <w:rPr>
          <w:rFonts w:ascii="Verdana" w:eastAsia="Aptos" w:hAnsi="Verdana" w:cs="Arial"/>
          <w:i/>
          <w:iCs/>
        </w:rPr>
        <w:t>segundo lugar,</w:t>
      </w:r>
      <w:r w:rsidRPr="00216BA8">
        <w:rPr>
          <w:rFonts w:ascii="Verdana" w:eastAsia="Aptos" w:hAnsi="Verdana" w:cs="Arial"/>
        </w:rPr>
        <w:t xml:space="preserve"> </w:t>
      </w:r>
      <w:bookmarkStart w:id="5" w:name="_Hlk173849092"/>
      <w:r w:rsidRPr="00216BA8">
        <w:rPr>
          <w:rFonts w:ascii="Verdana" w:eastAsia="Aptos" w:hAnsi="Verdana" w:cs="Arial"/>
        </w:rPr>
        <w:t xml:space="preserve">teniendo en cuenta el objeto de la consulta, es menester indicar que, también es posible que la inhabilidad sobrevenga cuando ya está perfeccionado el contrato o incluso durante su ejecución. En ese sentido, atendiendo al problema jurídico debe señalarse que las inhabilidades deben verificarse no solo al momento de celebrar el contrato estatal, sino también durante su ejecución. </w:t>
      </w:r>
      <w:bookmarkEnd w:id="5"/>
    </w:p>
    <w:p w14:paraId="02A3E917" w14:textId="77777777" w:rsidR="00AD7D4F" w:rsidRPr="00216BA8" w:rsidRDefault="00AD7D4F" w:rsidP="00AD7D4F">
      <w:pPr>
        <w:pStyle w:val="Prrafodelista"/>
        <w:spacing w:line="276" w:lineRule="auto"/>
        <w:rPr>
          <w:rFonts w:ascii="Verdana" w:eastAsia="Aptos" w:hAnsi="Verdana" w:cs="Arial"/>
          <w:lang w:val="es-ES_tradnl"/>
        </w:rPr>
      </w:pPr>
    </w:p>
    <w:p w14:paraId="6531B8B2" w14:textId="77777777" w:rsidR="00AD7D4F" w:rsidRPr="00216BA8" w:rsidRDefault="00AD7D4F" w:rsidP="00AD7D4F">
      <w:pPr>
        <w:pStyle w:val="Prrafodelista"/>
        <w:numPr>
          <w:ilvl w:val="0"/>
          <w:numId w:val="18"/>
        </w:numPr>
        <w:spacing w:after="0" w:line="276" w:lineRule="auto"/>
        <w:jc w:val="both"/>
        <w:rPr>
          <w:rFonts w:ascii="Verdana" w:eastAsia="Calibri" w:hAnsi="Verdana" w:cs="Arial"/>
          <w:color w:val="000000"/>
          <w:lang w:val="es-ES_tradnl" w:eastAsia="es-ES_tradnl"/>
        </w:rPr>
      </w:pPr>
      <w:bookmarkStart w:id="6" w:name="_Hlk173849725"/>
      <w:r w:rsidRPr="00216BA8">
        <w:rPr>
          <w:rFonts w:ascii="Verdana" w:eastAsia="Aptos" w:hAnsi="Verdana" w:cs="Arial"/>
        </w:rPr>
        <w:t>Lo anterior se sustenta en el hecho de que el mismo ordenamiento prevé una regulación especia para lo</w:t>
      </w:r>
      <w:r>
        <w:rPr>
          <w:rFonts w:ascii="Verdana" w:eastAsia="Aptos" w:hAnsi="Verdana" w:cs="Arial"/>
        </w:rPr>
        <w:t>s</w:t>
      </w:r>
      <w:r w:rsidRPr="00216BA8">
        <w:rPr>
          <w:rFonts w:ascii="Verdana" w:eastAsia="Aptos" w:hAnsi="Verdana" w:cs="Arial"/>
        </w:rPr>
        <w:t xml:space="preserve"> casos en que la inhabilidad se presenta de manera sobreviniente</w:t>
      </w:r>
      <w:r>
        <w:rPr>
          <w:rFonts w:ascii="Verdana" w:eastAsia="Aptos" w:hAnsi="Verdana" w:cs="Arial"/>
        </w:rPr>
        <w:t>. Al respecto,</w:t>
      </w:r>
      <w:r w:rsidRPr="00216BA8">
        <w:rPr>
          <w:rFonts w:ascii="Verdana" w:eastAsia="Calibri" w:hAnsi="Verdana" w:cs="Arial"/>
          <w:color w:val="000000"/>
        </w:rPr>
        <w:t xml:space="preserve"> el artículo 9 de la Ley 80 de 1993 </w:t>
      </w:r>
      <w:r>
        <w:rPr>
          <w:rFonts w:ascii="Verdana" w:eastAsia="Calibri" w:hAnsi="Verdana" w:cs="Arial"/>
          <w:color w:val="000000"/>
        </w:rPr>
        <w:t xml:space="preserve">señala </w:t>
      </w:r>
      <w:bookmarkEnd w:id="6"/>
      <w:r>
        <w:rPr>
          <w:rFonts w:ascii="Verdana" w:eastAsia="Calibri" w:hAnsi="Verdana" w:cs="Arial"/>
          <w:color w:val="000000"/>
        </w:rPr>
        <w:t>lo siguiente</w:t>
      </w:r>
      <w:r w:rsidRPr="00216BA8">
        <w:rPr>
          <w:rFonts w:ascii="Verdana" w:eastAsia="Calibri" w:hAnsi="Verdana" w:cs="Arial"/>
          <w:color w:val="000000"/>
        </w:rPr>
        <w:t>:</w:t>
      </w:r>
    </w:p>
    <w:p w14:paraId="3F877E5A" w14:textId="77777777" w:rsidR="00AD7D4F" w:rsidRPr="00216BA8" w:rsidRDefault="00AD7D4F" w:rsidP="00AD7D4F">
      <w:pPr>
        <w:spacing w:after="0" w:line="276" w:lineRule="auto"/>
        <w:ind w:right="51" w:firstLine="709"/>
        <w:jc w:val="both"/>
        <w:rPr>
          <w:rFonts w:ascii="Verdana" w:eastAsia="Calibri" w:hAnsi="Verdana" w:cs="Arial"/>
          <w:color w:val="000000"/>
        </w:rPr>
      </w:pPr>
    </w:p>
    <w:p w14:paraId="4C070C93"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r w:rsidRPr="00433591">
        <w:rPr>
          <w:rFonts w:ascii="Verdana" w:eastAsia="Calibri" w:hAnsi="Verdana" w:cs="Arial"/>
          <w:color w:val="000000"/>
          <w:sz w:val="20"/>
          <w:szCs w:val="20"/>
        </w:rPr>
        <w:t>“</w:t>
      </w:r>
      <w:bookmarkStart w:id="7" w:name="_Hlk173849753"/>
      <w:r w:rsidRPr="00433591">
        <w:rPr>
          <w:rFonts w:ascii="Verdana" w:eastAsia="Calibri" w:hAnsi="Verdana" w:cs="Arial"/>
          <w:color w:val="000000"/>
          <w:sz w:val="20"/>
          <w:szCs w:val="20"/>
        </w:rPr>
        <w:t>Si llegare a sobrevenir inhabilidad o incompatibilidad en el contratista, este cederá el contrato previa autorización escrita de la entidad contratante o, si ello no fuere posible, renunciará a su ejecución</w:t>
      </w:r>
      <w:bookmarkEnd w:id="7"/>
      <w:r w:rsidRPr="00433591">
        <w:rPr>
          <w:rFonts w:ascii="Verdana" w:eastAsia="Calibri" w:hAnsi="Verdana" w:cs="Arial"/>
          <w:color w:val="000000"/>
          <w:sz w:val="20"/>
          <w:szCs w:val="20"/>
        </w:rPr>
        <w:t>.</w:t>
      </w:r>
    </w:p>
    <w:p w14:paraId="457A40FD"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p>
    <w:p w14:paraId="7E1BFEBA"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r w:rsidRPr="00433591">
        <w:rPr>
          <w:rFonts w:ascii="Verdana" w:eastAsia="Calibri" w:hAnsi="Verdana" w:cs="Arial"/>
          <w:color w:val="000000"/>
          <w:sz w:val="20"/>
          <w:szCs w:val="20"/>
        </w:rPr>
        <w:t>Cuando la inhabilidad o incompatibilidad sobrevenga en un proponente dentro de un proceso de selección, se entenderá que renuncia a la participación en el proceso de selección y a los derechos surgidos del mismo.</w:t>
      </w:r>
    </w:p>
    <w:p w14:paraId="13081717"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p>
    <w:p w14:paraId="386A8806"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r w:rsidRPr="00433591">
        <w:rPr>
          <w:rFonts w:ascii="Verdana" w:eastAsia="Calibri" w:hAnsi="Verdana" w:cs="Arial"/>
          <w:color w:val="000000"/>
          <w:sz w:val="20"/>
          <w:szCs w:val="20"/>
        </w:rPr>
        <w:t>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69F130A2"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p>
    <w:p w14:paraId="64E3AA9D"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r w:rsidRPr="00433591">
        <w:rPr>
          <w:rFonts w:ascii="Verdana" w:eastAsia="Calibri" w:hAnsi="Verdana" w:cs="Arial"/>
          <w:color w:val="000000"/>
          <w:sz w:val="20"/>
          <w:szCs w:val="20"/>
        </w:rPr>
        <w:t>Parágrafo 1º. Cuando la inhabilidad sobreviniente sea la contemplada en el literal j) del numeral 1 del artículo 8º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0D153B3B"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p>
    <w:p w14:paraId="028DF305" w14:textId="77777777" w:rsidR="00AD7D4F" w:rsidRPr="00433591" w:rsidRDefault="00AD7D4F" w:rsidP="00AD7D4F">
      <w:pPr>
        <w:tabs>
          <w:tab w:val="left" w:pos="709"/>
        </w:tabs>
        <w:spacing w:after="0" w:line="240" w:lineRule="auto"/>
        <w:ind w:left="709" w:right="709"/>
        <w:jc w:val="both"/>
        <w:rPr>
          <w:rFonts w:ascii="Verdana" w:eastAsia="Calibri" w:hAnsi="Verdana" w:cs="Arial"/>
          <w:color w:val="000000"/>
          <w:sz w:val="20"/>
          <w:szCs w:val="20"/>
        </w:rPr>
      </w:pPr>
      <w:r w:rsidRPr="00433591">
        <w:rPr>
          <w:rFonts w:ascii="Verdana" w:eastAsia="Calibri" w:hAnsi="Verdana" w:cs="Arial"/>
          <w:color w:val="000000"/>
          <w:sz w:val="20"/>
          <w:szCs w:val="20"/>
        </w:rPr>
        <w:t>Para el caso de cesión, será la entidad contratante la encargada de determinar el cesionario del contrato. […]</w:t>
      </w:r>
      <w:bookmarkStart w:id="8" w:name="_Hlk79777330"/>
      <w:r w:rsidRPr="00433591">
        <w:rPr>
          <w:rFonts w:ascii="Verdana" w:eastAsia="Calibri" w:hAnsi="Verdana" w:cs="Arial"/>
          <w:color w:val="000000"/>
          <w:sz w:val="20"/>
          <w:szCs w:val="20"/>
        </w:rPr>
        <w:t>”</w:t>
      </w:r>
      <w:r w:rsidRPr="00433591">
        <w:rPr>
          <w:rFonts w:ascii="Verdana" w:eastAsia="Calibri" w:hAnsi="Verdana" w:cs="Arial"/>
          <w:color w:val="000000"/>
          <w:sz w:val="20"/>
          <w:szCs w:val="20"/>
          <w:vertAlign w:val="superscript"/>
        </w:rPr>
        <w:footnoteReference w:id="9"/>
      </w:r>
      <w:r w:rsidRPr="00433591">
        <w:rPr>
          <w:rFonts w:ascii="Verdana" w:eastAsia="Calibri" w:hAnsi="Verdana" w:cs="Arial"/>
          <w:color w:val="000000"/>
          <w:sz w:val="20"/>
          <w:szCs w:val="20"/>
        </w:rPr>
        <w:t xml:space="preserve"> </w:t>
      </w:r>
      <w:bookmarkEnd w:id="8"/>
      <w:r w:rsidRPr="00433591">
        <w:rPr>
          <w:rFonts w:ascii="Verdana" w:eastAsia="Calibri" w:hAnsi="Verdana" w:cs="Arial"/>
          <w:color w:val="000000"/>
          <w:sz w:val="20"/>
          <w:szCs w:val="20"/>
        </w:rPr>
        <w:t>(Cursivas añadidas).</w:t>
      </w:r>
    </w:p>
    <w:p w14:paraId="1AB0BD38" w14:textId="77777777" w:rsidR="00AD7D4F" w:rsidRPr="003F1EF7" w:rsidRDefault="00AD7D4F" w:rsidP="00AD7D4F">
      <w:pPr>
        <w:tabs>
          <w:tab w:val="left" w:pos="709"/>
        </w:tabs>
        <w:spacing w:after="0" w:line="276" w:lineRule="auto"/>
        <w:jc w:val="both"/>
        <w:rPr>
          <w:rFonts w:ascii="Verdana" w:eastAsia="Calibri" w:hAnsi="Verdana" w:cs="Arial"/>
          <w:color w:val="000000"/>
        </w:rPr>
      </w:pPr>
      <w:r w:rsidRPr="00433591">
        <w:rPr>
          <w:rFonts w:ascii="Verdana" w:eastAsia="Calibri" w:hAnsi="Verdana" w:cs="Arial"/>
          <w:color w:val="000000"/>
          <w:sz w:val="21"/>
          <w:szCs w:val="21"/>
        </w:rPr>
        <w:tab/>
      </w:r>
    </w:p>
    <w:p w14:paraId="0957BBE1" w14:textId="77777777" w:rsidR="00AD7D4F" w:rsidRPr="003F1EF7" w:rsidRDefault="00AD7D4F" w:rsidP="00AD7D4F">
      <w:pPr>
        <w:pStyle w:val="Prrafodelista"/>
        <w:numPr>
          <w:ilvl w:val="0"/>
          <w:numId w:val="18"/>
        </w:numPr>
        <w:spacing w:after="0" w:line="276" w:lineRule="auto"/>
        <w:contextualSpacing w:val="0"/>
        <w:jc w:val="both"/>
        <w:rPr>
          <w:rFonts w:ascii="Verdana" w:eastAsia="Aptos" w:hAnsi="Verdana" w:cs="Arial"/>
        </w:rPr>
      </w:pPr>
      <w:r w:rsidRPr="003F1EF7">
        <w:rPr>
          <w:rFonts w:ascii="Verdana" w:eastAsia="Aptos" w:hAnsi="Verdana" w:cs="Arial"/>
        </w:rPr>
        <w:t>Esta regulación de las inhabilidades e incompatibilidades sobrevinientes fue una innovación del EGCAP, pues el tema no fue abordado en los Decretos Leyes 150 de 1976 y 222 de 1983. Naturalmente, no se trata de causales nuevas, sino de su configuración antes de que finalice el procedimiento de selección o después de perfeccionado el contrato. Sobre la constitucionalidad de esta norma se pronunció la Corte Constitucional indicando que:</w:t>
      </w:r>
    </w:p>
    <w:p w14:paraId="05CF6981" w14:textId="77777777" w:rsidR="00AD7D4F" w:rsidRPr="003F1EF7" w:rsidRDefault="00AD7D4F" w:rsidP="00AD7D4F">
      <w:pPr>
        <w:tabs>
          <w:tab w:val="left" w:pos="709"/>
        </w:tabs>
        <w:spacing w:after="0" w:line="276" w:lineRule="auto"/>
        <w:jc w:val="both"/>
        <w:rPr>
          <w:rFonts w:ascii="Verdana" w:eastAsia="Calibri" w:hAnsi="Verdana" w:cs="Arial"/>
          <w:color w:val="000000"/>
        </w:rPr>
      </w:pPr>
    </w:p>
    <w:p w14:paraId="010F2746" w14:textId="77777777" w:rsidR="00AD7D4F" w:rsidRPr="00433591" w:rsidRDefault="00AD7D4F" w:rsidP="00AD7D4F">
      <w:pPr>
        <w:spacing w:after="0" w:line="240" w:lineRule="auto"/>
        <w:ind w:left="709" w:right="709"/>
        <w:jc w:val="both"/>
        <w:rPr>
          <w:rFonts w:ascii="Verdana" w:eastAsia="Aptos" w:hAnsi="Verdana" w:cs="Arial"/>
          <w:color w:val="000000"/>
          <w:sz w:val="20"/>
          <w:szCs w:val="20"/>
        </w:rPr>
      </w:pPr>
      <w:r w:rsidRPr="00433591">
        <w:rPr>
          <w:rFonts w:ascii="Verdana" w:eastAsia="Aptos" w:hAnsi="Verdana" w:cs="Arial"/>
          <w:color w:val="000000"/>
          <w:sz w:val="20"/>
          <w:szCs w:val="20"/>
        </w:rPr>
        <w:t>“[…] Se trata de evitar que contraten con el Estado quienes se ubican en alguna de las situaciones contempladas por el artículo 8º de la Ley 80 de 1993, a la cual pertenece también la disposición demandada. Como tales incompatibilidades e inhabilidades no siempre surgen desde el comienzo de los trámites previos a la contratación, debe la ley ocuparse en la determinación clara de las reglas que han de observarse si ellas aparecen de manera sobreviniente, esto es, cuando la relación contractual ya se había establecido o dentro del tiempo de una licitación o concurso ya iniciados.</w:t>
      </w:r>
    </w:p>
    <w:p w14:paraId="3D625EC1" w14:textId="77777777" w:rsidR="00AD7D4F" w:rsidRPr="00433591" w:rsidRDefault="00AD7D4F" w:rsidP="00AD7D4F">
      <w:pPr>
        <w:spacing w:after="0" w:line="240" w:lineRule="auto"/>
        <w:ind w:left="709" w:right="709"/>
        <w:jc w:val="both"/>
        <w:rPr>
          <w:rFonts w:ascii="Verdana" w:eastAsia="Aptos" w:hAnsi="Verdana" w:cs="Arial"/>
          <w:color w:val="000000"/>
          <w:sz w:val="20"/>
          <w:szCs w:val="20"/>
        </w:rPr>
      </w:pPr>
    </w:p>
    <w:p w14:paraId="01D9E00B" w14:textId="77777777" w:rsidR="00AD7D4F" w:rsidRPr="00433591" w:rsidRDefault="00AD7D4F" w:rsidP="00AD7D4F">
      <w:pPr>
        <w:spacing w:after="0" w:line="240" w:lineRule="auto"/>
        <w:ind w:left="709" w:right="709"/>
        <w:jc w:val="both"/>
        <w:rPr>
          <w:rFonts w:ascii="Verdana" w:eastAsia="Aptos" w:hAnsi="Verdana" w:cs="Arial"/>
          <w:color w:val="000000"/>
          <w:sz w:val="20"/>
          <w:szCs w:val="20"/>
        </w:rPr>
      </w:pPr>
      <w:r w:rsidRPr="00433591">
        <w:rPr>
          <w:rFonts w:ascii="Verdana" w:eastAsia="Aptos" w:hAnsi="Verdana" w:cs="Arial"/>
          <w:color w:val="000000"/>
          <w:sz w:val="20"/>
          <w:szCs w:val="20"/>
        </w:rPr>
        <w:t>A juicio de la Corte, en nada se ofende el imperio de la Constitución por haberse establecido que el hecho de sobrevenir una causal de inhabilidad o incompatibilidad en cabeza de quien ya es contratista da lugar a la obligación de éste de ceder el contrato previa autorización escrita de la entidad contratante, o a la de renunciar a su ejecución si aquello no fuere posible. Tampoco se vulnera la Carta por consagrar que quien participa en un proceso de licitación o concurso y resulta intempestivamente afectado por inhabilidades o incompatibilidades deba renunciar a dicha participación, ni se desconoce la normatividad superior por prever, como lo hace la norma, la cesión en favor de un tercero de la participación en el consorcio o unión temporal que licita o es contratista cuando la causa de inhabilidad o incompatibilidad se radica en uno de sus miembros. Se trata de evitar en tales casos que el contratista, pese a su situación, prosiga vinculado contractualmente con el Estado, o que el aspirante a serlo continúe tomando parte en los procesos de adjudicación y selección […]”</w:t>
      </w:r>
      <w:r w:rsidRPr="00433591">
        <w:rPr>
          <w:rFonts w:ascii="Verdana" w:eastAsia="Aptos" w:hAnsi="Verdana" w:cs="Arial"/>
          <w:color w:val="000000"/>
          <w:sz w:val="20"/>
          <w:szCs w:val="20"/>
          <w:vertAlign w:val="superscript"/>
        </w:rPr>
        <w:footnoteReference w:id="10"/>
      </w:r>
    </w:p>
    <w:p w14:paraId="1E74C157" w14:textId="77777777" w:rsidR="00AD7D4F" w:rsidRPr="006A20AA" w:rsidRDefault="00AD7D4F" w:rsidP="00AD7D4F">
      <w:pPr>
        <w:spacing w:after="0" w:line="276" w:lineRule="auto"/>
        <w:ind w:left="709" w:right="709"/>
        <w:jc w:val="both"/>
        <w:rPr>
          <w:rFonts w:ascii="Verdana" w:eastAsia="Aptos" w:hAnsi="Verdana" w:cs="Arial"/>
          <w:color w:val="000000"/>
        </w:rPr>
      </w:pPr>
    </w:p>
    <w:p w14:paraId="0029FB0E" w14:textId="77777777" w:rsidR="00AD7D4F" w:rsidRPr="006A20AA" w:rsidRDefault="00AD7D4F" w:rsidP="00AD7D4F">
      <w:pPr>
        <w:pStyle w:val="Prrafodelista"/>
        <w:numPr>
          <w:ilvl w:val="0"/>
          <w:numId w:val="18"/>
        </w:numPr>
        <w:spacing w:after="0" w:line="276" w:lineRule="auto"/>
        <w:contextualSpacing w:val="0"/>
        <w:jc w:val="both"/>
        <w:rPr>
          <w:rFonts w:ascii="Verdana" w:eastAsia="Aptos" w:hAnsi="Verdana" w:cs="Arial"/>
        </w:rPr>
      </w:pPr>
      <w:r w:rsidRPr="006A20AA">
        <w:rPr>
          <w:rFonts w:ascii="Verdana" w:eastAsia="Aptos" w:hAnsi="Verdana" w:cs="Arial"/>
        </w:rPr>
        <w:lastRenderedPageBreak/>
        <w:t>En efecto, si el contrato se celebra con personas incursas previamente en una situación de inhabilidad o incompatibilidad, este surge a la vida jurídica viciado de nulidad absoluta. Razón por la cual, el artículo 9 de la Ley 80 de 1993 contempla en su inciso segundo que: “Cuando la inhabilidad o incompatibilidad sobrevenga en un proponente dentro de un proceso de selección, se entenderá que renuncia a la participación en el proceso de selección y a los derechos surgidos del mismo […]”. Dicha presunción de renuncia a la participación y a los derechos surgidos del mismo, en caso de contar con resolución de adjudicación, debe interpretarse en conjunto con el artículo 9 de la Ley 1150 de 2007, el cual consagra dos (2) reglas especiales en los que la norma da la posibilidad a una Entidad Estatal para que adjudique nuevamente el contrato al proponente calificado en segundo lugar, y esto es, cuando dentro del plazo comprendido entre la adjudicación del contrato y la suscripción del mismo, el acto administrativo de adjudicación es revocado porque sobrevino una inhabilidad o incompatibilidad o si se demuestra que el acto se obtuvo por medios ilegales, caso en el cual, “la entidad podrá aplicar lo previsto en el inciso final del numeral 12 del artículo 30 de la Ley 80 de 1993”.</w:t>
      </w:r>
    </w:p>
    <w:p w14:paraId="65910766" w14:textId="77777777" w:rsidR="00AD7D4F" w:rsidRPr="006A20AA" w:rsidRDefault="00AD7D4F" w:rsidP="00594BA0">
      <w:pPr>
        <w:pStyle w:val="Prrafodelista"/>
        <w:spacing w:after="0" w:line="276" w:lineRule="auto"/>
        <w:ind w:left="360"/>
        <w:contextualSpacing w:val="0"/>
        <w:jc w:val="both"/>
        <w:rPr>
          <w:rFonts w:ascii="Verdana" w:eastAsia="Aptos" w:hAnsi="Verdana" w:cs="Arial"/>
        </w:rPr>
      </w:pPr>
    </w:p>
    <w:p w14:paraId="07D5C08E" w14:textId="77777777" w:rsidR="00AD7D4F" w:rsidRPr="006A20AA" w:rsidRDefault="00AD7D4F" w:rsidP="00AD7D4F">
      <w:pPr>
        <w:pStyle w:val="Prrafodelista"/>
        <w:numPr>
          <w:ilvl w:val="0"/>
          <w:numId w:val="18"/>
        </w:numPr>
        <w:spacing w:after="0" w:line="276" w:lineRule="auto"/>
        <w:contextualSpacing w:val="0"/>
        <w:jc w:val="both"/>
        <w:rPr>
          <w:rFonts w:ascii="Verdana" w:eastAsia="Aptos" w:hAnsi="Verdana" w:cs="Arial"/>
        </w:rPr>
      </w:pPr>
      <w:r w:rsidRPr="006A20AA">
        <w:rPr>
          <w:rFonts w:ascii="Verdana" w:eastAsia="Aptos" w:hAnsi="Verdana" w:cs="Arial"/>
          <w:color w:val="000000"/>
        </w:rPr>
        <w:t>La segunda regla, trata de aquellos casos en que la Entidad Estatal declare la caducidad del contrato y se encuentre pendiente de ejecución un porcentaje igual o superior al cincuenta por ciento (50%) del mismo, la norma indica que la Entidad Estatal podrá contratar al proponente calificado en el segundo lugar en el proceso de selección respectivo, previa revisión de las condiciones a que haya lugar, con excepción de los contratos de concesión.</w:t>
      </w:r>
    </w:p>
    <w:p w14:paraId="2E48CA0C" w14:textId="77777777" w:rsidR="00AD7D4F" w:rsidRPr="006A20AA" w:rsidRDefault="00AD7D4F" w:rsidP="00594BA0">
      <w:pPr>
        <w:pStyle w:val="Prrafodelista"/>
        <w:spacing w:after="0" w:line="276" w:lineRule="auto"/>
        <w:contextualSpacing w:val="0"/>
        <w:rPr>
          <w:rFonts w:ascii="Verdana" w:eastAsia="Calibri" w:hAnsi="Verdana" w:cs="Arial"/>
          <w:color w:val="000000"/>
        </w:rPr>
      </w:pPr>
    </w:p>
    <w:p w14:paraId="397C0C9F" w14:textId="77777777" w:rsidR="00AD7D4F" w:rsidRPr="006A20AA" w:rsidRDefault="00AD7D4F" w:rsidP="00AD7D4F">
      <w:pPr>
        <w:pStyle w:val="Prrafodelista"/>
        <w:numPr>
          <w:ilvl w:val="0"/>
          <w:numId w:val="18"/>
        </w:numPr>
        <w:spacing w:after="0" w:line="276" w:lineRule="auto"/>
        <w:contextualSpacing w:val="0"/>
        <w:jc w:val="both"/>
        <w:rPr>
          <w:rFonts w:ascii="Verdana" w:eastAsia="Aptos" w:hAnsi="Verdana" w:cs="Arial"/>
        </w:rPr>
      </w:pPr>
      <w:bookmarkStart w:id="10" w:name="_Hlk173850222"/>
      <w:r w:rsidRPr="006A20AA">
        <w:rPr>
          <w:rFonts w:ascii="Verdana" w:eastAsia="Calibri" w:hAnsi="Verdana" w:cs="Arial"/>
          <w:color w:val="000000"/>
        </w:rPr>
        <w:t xml:space="preserve">En contraste, si se genera la inhabilidad o incompatibilidad de forma sobreviniente a un contratista una vez celebrado el contrato, se debe aclarar que el contrato no es inválido porque se perfeccionó de forma lícita; pero conforme al principio de moralidad administrativa no se puede continuar ejecutando ni mantenerse el vínculo con ese contratista inhábil y se producen entonces las consecuencias dispuestas por el legislador. </w:t>
      </w:r>
    </w:p>
    <w:p w14:paraId="66FCF691" w14:textId="77777777" w:rsidR="00AD7D4F" w:rsidRPr="006A20AA" w:rsidRDefault="00AD7D4F" w:rsidP="00AD7D4F">
      <w:pPr>
        <w:pStyle w:val="Prrafodelista"/>
        <w:spacing w:line="276" w:lineRule="auto"/>
        <w:contextualSpacing w:val="0"/>
        <w:rPr>
          <w:rFonts w:ascii="Verdana" w:eastAsia="Calibri" w:hAnsi="Verdana" w:cs="Arial"/>
          <w:color w:val="000000"/>
        </w:rPr>
      </w:pPr>
    </w:p>
    <w:p w14:paraId="118C0B78" w14:textId="77777777" w:rsidR="00AD7D4F" w:rsidRPr="006A20AA" w:rsidRDefault="00AD7D4F" w:rsidP="00AD7D4F">
      <w:pPr>
        <w:pStyle w:val="Prrafodelista"/>
        <w:numPr>
          <w:ilvl w:val="0"/>
          <w:numId w:val="18"/>
        </w:numPr>
        <w:spacing w:after="0" w:line="276" w:lineRule="auto"/>
        <w:contextualSpacing w:val="0"/>
        <w:jc w:val="both"/>
        <w:rPr>
          <w:rFonts w:ascii="Verdana" w:eastAsia="Aptos" w:hAnsi="Verdana" w:cs="Arial"/>
        </w:rPr>
      </w:pPr>
      <w:r w:rsidRPr="006A20AA">
        <w:rPr>
          <w:rFonts w:ascii="Verdana" w:eastAsia="Calibri" w:hAnsi="Verdana" w:cs="Arial"/>
          <w:color w:val="000000"/>
        </w:rPr>
        <w:lastRenderedPageBreak/>
        <w:t>Según se desprende del texto del artículo 9 de la Ley 80 de 1993, y sin perjuicio de la regla especial establecida en el parágrafo 1 de dicho artículo</w:t>
      </w:r>
      <w:r w:rsidRPr="006A20AA">
        <w:rPr>
          <w:rFonts w:ascii="Verdana" w:hAnsi="Verdana"/>
          <w:vertAlign w:val="superscript"/>
        </w:rPr>
        <w:footnoteReference w:id="11"/>
      </w:r>
      <w:r w:rsidRPr="006A20AA">
        <w:rPr>
          <w:rFonts w:ascii="Verdana" w:eastAsia="Calibri" w:hAnsi="Verdana" w:cs="Arial"/>
          <w:color w:val="000000"/>
        </w:rPr>
        <w:t xml:space="preserve">, si la inhabilidad o incompatibilidad se configura después del perfeccionamiento del contrato, el contratista cederá el contrato a un tercero previa autorización escrita de la entidad contratante; pero si esto no es posible, está obligado a renunciar a la ejecución. </w:t>
      </w:r>
      <w:bookmarkEnd w:id="10"/>
    </w:p>
    <w:p w14:paraId="44A0B88F" w14:textId="77777777" w:rsidR="00AD7D4F" w:rsidRPr="006A20AA" w:rsidRDefault="00AD7D4F" w:rsidP="00594BA0">
      <w:pPr>
        <w:pStyle w:val="Prrafodelista"/>
        <w:spacing w:after="0" w:line="276" w:lineRule="auto"/>
        <w:contextualSpacing w:val="0"/>
        <w:rPr>
          <w:rFonts w:ascii="Verdana" w:eastAsia="Calibri" w:hAnsi="Verdana" w:cs="Arial"/>
          <w:color w:val="000000"/>
        </w:rPr>
      </w:pPr>
    </w:p>
    <w:p w14:paraId="64D5281A" w14:textId="77777777" w:rsidR="00AD7D4F" w:rsidRPr="006A20AA" w:rsidRDefault="00AD7D4F" w:rsidP="00AD7D4F">
      <w:pPr>
        <w:pStyle w:val="Prrafodelista"/>
        <w:widowControl w:val="0"/>
        <w:numPr>
          <w:ilvl w:val="0"/>
          <w:numId w:val="18"/>
        </w:numPr>
        <w:autoSpaceDE w:val="0"/>
        <w:autoSpaceDN w:val="0"/>
        <w:spacing w:after="0" w:line="276" w:lineRule="auto"/>
        <w:ind w:right="49"/>
        <w:contextualSpacing w:val="0"/>
        <w:jc w:val="both"/>
        <w:rPr>
          <w:rFonts w:ascii="Verdana" w:eastAsia="Calibri" w:hAnsi="Verdana" w:cs="Arial"/>
          <w:lang w:eastAsia="es-ES" w:bidi="es-ES"/>
        </w:rPr>
      </w:pPr>
      <w:r w:rsidRPr="006A20AA">
        <w:rPr>
          <w:rFonts w:ascii="Verdana" w:eastAsia="Aptos" w:hAnsi="Verdana" w:cs="Arial"/>
        </w:rPr>
        <w:t>Conforme a lo anterior,</w:t>
      </w:r>
      <w:r w:rsidRPr="006A20AA">
        <w:rPr>
          <w:rFonts w:ascii="Verdana" w:eastAsia="Aptos" w:hAnsi="Verdana" w:cs="Arial"/>
          <w:color w:val="000000"/>
        </w:rPr>
        <w:t xml:space="preserve"> en el caso en que se llegue a presentar una inhabilidad o incompatibilidad durante la ejecución del contrato estatal, el contratista tiene dos opciones: primero, ceder el contrato, previa autorización escrita de la Entidad Estatal y, segundo, en el caso en que la cesión no fuera posible, deberá renunciar a la ejecución del contrato. En ese sentido,</w:t>
      </w:r>
      <w:r w:rsidRPr="006A20AA">
        <w:rPr>
          <w:rFonts w:ascii="Verdana" w:eastAsia="Aptos" w:hAnsi="Verdana" w:cs="Arial"/>
        </w:rPr>
        <w:t xml:space="preserve"> si durante la ejecución del contrato se llega a configurar la inhabilidad contemplada en el numeral 1 del artículo 6 de la Ley 2097 de 2021, se configuraría una inhabilidad sobreviniente por lo cual</w:t>
      </w:r>
      <w:r w:rsidRPr="006A20AA">
        <w:rPr>
          <w:rFonts w:ascii="Verdana" w:eastAsia="Calibri" w:hAnsi="Verdana" w:cs="Arial"/>
          <w:color w:val="000000"/>
        </w:rPr>
        <w:t xml:space="preserve"> no se puede mantener el vínculo contractual con ese contratista inhábil y, en consecuencia, se deberá proceder a su cesión o terminación. </w:t>
      </w:r>
    </w:p>
    <w:p w14:paraId="60706BB3" w14:textId="77777777" w:rsidR="00AD7D4F" w:rsidRPr="006A20AA" w:rsidRDefault="00AD7D4F" w:rsidP="00594BA0">
      <w:pPr>
        <w:pStyle w:val="Prrafodelista"/>
        <w:spacing w:after="0" w:line="276" w:lineRule="auto"/>
        <w:contextualSpacing w:val="0"/>
        <w:rPr>
          <w:rFonts w:ascii="Verdana" w:eastAsia="Calibri" w:hAnsi="Verdana" w:cs="Arial"/>
          <w:bCs/>
          <w:lang w:eastAsia="es-CO"/>
        </w:rPr>
      </w:pPr>
    </w:p>
    <w:p w14:paraId="53E08E57" w14:textId="77777777" w:rsidR="00AD7D4F" w:rsidRPr="006A20AA" w:rsidRDefault="00AD7D4F" w:rsidP="00AD7D4F">
      <w:pPr>
        <w:pStyle w:val="Prrafodelista"/>
        <w:widowControl w:val="0"/>
        <w:numPr>
          <w:ilvl w:val="0"/>
          <w:numId w:val="18"/>
        </w:numPr>
        <w:autoSpaceDE w:val="0"/>
        <w:autoSpaceDN w:val="0"/>
        <w:spacing w:after="0" w:line="276" w:lineRule="auto"/>
        <w:ind w:right="49"/>
        <w:contextualSpacing w:val="0"/>
        <w:jc w:val="both"/>
        <w:rPr>
          <w:rFonts w:ascii="Verdana" w:eastAsia="Calibri" w:hAnsi="Verdana" w:cs="Arial"/>
          <w:lang w:eastAsia="es-ES" w:bidi="es-ES"/>
        </w:rPr>
      </w:pPr>
      <w:r w:rsidRPr="006A20AA">
        <w:rPr>
          <w:rFonts w:ascii="Verdana" w:eastAsia="Calibri" w:hAnsi="Verdana" w:cs="Arial"/>
          <w:bCs/>
          <w:lang w:eastAsia="es-CO"/>
        </w:rPr>
        <w:t>Bajo estas consideraciones, corresponde a cada Entidad Pública, en ejercicio de su competencia y previa valoración de los elementos fácticos y jurídicos, determinar la procedencia de una posible solución frente a la situación que se señaló en la consulta.</w:t>
      </w:r>
    </w:p>
    <w:p w14:paraId="68C1710D" w14:textId="77777777" w:rsidR="00AD7D4F" w:rsidRPr="006A20AA" w:rsidRDefault="00AD7D4F" w:rsidP="00AD7D4F">
      <w:pPr>
        <w:widowControl w:val="0"/>
        <w:autoSpaceDE w:val="0"/>
        <w:autoSpaceDN w:val="0"/>
        <w:spacing w:after="0" w:line="276" w:lineRule="auto"/>
        <w:jc w:val="both"/>
        <w:rPr>
          <w:rFonts w:ascii="Verdana" w:hAnsi="Verdana" w:cs="Arial"/>
        </w:rPr>
      </w:pPr>
    </w:p>
    <w:p w14:paraId="601AEA92" w14:textId="77777777" w:rsidR="00AD7D4F" w:rsidRPr="00593A5F" w:rsidRDefault="00AD7D4F" w:rsidP="00AD7D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03A5BDA2" w14:textId="77777777" w:rsidR="00AD7D4F" w:rsidRPr="00593A5F" w:rsidRDefault="00AD7D4F" w:rsidP="00AD7D4F">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D7D4F" w:rsidRPr="005A528F" w14:paraId="6D7E600E" w14:textId="77777777" w:rsidTr="00652686">
        <w:trPr>
          <w:trHeight w:val="870"/>
        </w:trPr>
        <w:tc>
          <w:tcPr>
            <w:tcW w:w="8647" w:type="dxa"/>
          </w:tcPr>
          <w:p w14:paraId="2C2A5F1A" w14:textId="079F057E" w:rsidR="00AD7D4F" w:rsidRDefault="00A86D84" w:rsidP="00A86D84">
            <w:pPr>
              <w:pStyle w:val="Prrafodelista"/>
              <w:widowControl w:val="0"/>
              <w:numPr>
                <w:ilvl w:val="0"/>
                <w:numId w:val="17"/>
              </w:numPr>
              <w:autoSpaceDE w:val="0"/>
              <w:autoSpaceDN w:val="0"/>
              <w:spacing w:after="120" w:line="276" w:lineRule="auto"/>
              <w:contextualSpacing w:val="0"/>
              <w:jc w:val="both"/>
              <w:rPr>
                <w:rFonts w:ascii="Verdana" w:hAnsi="Verdana" w:cs="Arial"/>
              </w:rPr>
            </w:pPr>
            <w:r>
              <w:rPr>
                <w:rFonts w:ascii="Verdana" w:hAnsi="Verdana" w:cs="Arial"/>
              </w:rPr>
              <w:t>Ley 80 de 1993: Artículo 9.</w:t>
            </w:r>
          </w:p>
          <w:p w14:paraId="33EEDC18" w14:textId="48D3702A" w:rsidR="00A86D84" w:rsidRPr="00AC742F" w:rsidRDefault="00904366" w:rsidP="00A86D84">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5A528F">
              <w:rPr>
                <w:rFonts w:ascii="Verdana" w:hAnsi="Verdana" w:cs="Arial"/>
                <w:color w:val="000000" w:themeColor="text1"/>
              </w:rPr>
              <w:t xml:space="preserve">Ley 2097 de 2021: Artículo 1. </w:t>
            </w:r>
          </w:p>
        </w:tc>
      </w:tr>
    </w:tbl>
    <w:p w14:paraId="2437E309" w14:textId="77777777" w:rsidR="00AD7D4F" w:rsidRPr="00593A5F" w:rsidRDefault="00AD7D4F" w:rsidP="00AD7D4F">
      <w:pPr>
        <w:widowControl w:val="0"/>
        <w:autoSpaceDE w:val="0"/>
        <w:autoSpaceDN w:val="0"/>
        <w:spacing w:after="0" w:line="276" w:lineRule="auto"/>
        <w:jc w:val="both"/>
        <w:rPr>
          <w:rFonts w:ascii="Verdana" w:hAnsi="Verdana" w:cs="Arial"/>
        </w:rPr>
      </w:pPr>
    </w:p>
    <w:p w14:paraId="0F0DA41E" w14:textId="77777777" w:rsidR="00AD7D4F" w:rsidRPr="00593A5F" w:rsidRDefault="00AD7D4F" w:rsidP="00AD7D4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195DD031" w14:textId="77777777" w:rsidR="00AD7D4F" w:rsidRPr="00593A5F" w:rsidRDefault="00AD7D4F" w:rsidP="00AD7D4F">
      <w:pPr>
        <w:widowControl w:val="0"/>
        <w:autoSpaceDE w:val="0"/>
        <w:autoSpaceDN w:val="0"/>
        <w:spacing w:after="0" w:line="276" w:lineRule="auto"/>
        <w:jc w:val="both"/>
        <w:rPr>
          <w:rFonts w:ascii="Verdana" w:hAnsi="Verdana" w:cs="Arial"/>
        </w:rPr>
      </w:pPr>
    </w:p>
    <w:p w14:paraId="3F08B19B" w14:textId="77777777" w:rsidR="00AD7D4F" w:rsidRDefault="00AD7D4F" w:rsidP="00AD7D4F">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5A528F">
        <w:rPr>
          <w:rFonts w:ascii="Verdana" w:eastAsia="Calibri" w:hAnsi="Verdana" w:cs="Arial"/>
          <w:lang w:val="es-ES_tradnl" w:eastAsia="es-ES_tradnl"/>
        </w:rPr>
        <w:lastRenderedPageBreak/>
        <w:t>L</w:t>
      </w:r>
      <w:r w:rsidRPr="005A528F">
        <w:rPr>
          <w:rFonts w:ascii="Verdana" w:eastAsia="Times New Roman" w:hAnsi="Verdana" w:cs="Arial"/>
          <w:lang w:val="es-ES_tradnl" w:eastAsia="es-ES_tradnl"/>
        </w:rPr>
        <w:t xml:space="preserve">a Agencia Nacional de Contratación Pública ― Colombia Compra Eficiente analizó el régimen de inhabilidades e incompatibilidades en la contratación pública, sus criterios de interpretación –restrictivo y </w:t>
      </w:r>
      <w:r w:rsidRPr="005A528F">
        <w:rPr>
          <w:rFonts w:ascii="Verdana" w:eastAsia="Times New Roman" w:hAnsi="Verdana" w:cs="Arial"/>
          <w:i/>
          <w:lang w:val="es-ES_tradnl" w:eastAsia="es-ES_tradnl"/>
        </w:rPr>
        <w:t>pro libertate</w:t>
      </w:r>
      <w:r w:rsidRPr="005A528F">
        <w:rPr>
          <w:rFonts w:ascii="Verdana" w:eastAsia="Times New Roman" w:hAnsi="Verdana" w:cs="Arial"/>
          <w:lang w:val="es-ES_tradnl" w:eastAsia="es-ES_tradnl"/>
        </w:rPr>
        <w:t xml:space="preserv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w:t>
      </w:r>
      <w:r w:rsidRPr="005A528F">
        <w:rPr>
          <w:rFonts w:ascii="Verdana" w:eastAsia="Calibri" w:hAnsi="Verdana" w:cs="Arial"/>
          <w:lang w:val="es-ES"/>
        </w:rPr>
        <w:t xml:space="preserve">C-731 de 10 de noviembre de 2022, C-059 de 13 de junio de 2023, C-289 del 15 de agosto de 2023, </w:t>
      </w:r>
      <w:r w:rsidRPr="005A528F">
        <w:rPr>
          <w:rFonts w:ascii="Verdana" w:eastAsia="Times New Roman" w:hAnsi="Verdana" w:cs="Arial"/>
          <w:lang w:val="es-ES_tradnl" w:eastAsia="es-ES_tradnl"/>
        </w:rPr>
        <w:t>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1"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4B925DED" w14:textId="77777777" w:rsidR="00AD7D4F" w:rsidRDefault="00AD7D4F" w:rsidP="00AD7D4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492A260A" w14:textId="77777777" w:rsidR="00AD7D4F" w:rsidRPr="00A1554D" w:rsidRDefault="00AD7D4F" w:rsidP="00AD7D4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2"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1021869" w14:textId="77777777" w:rsidR="00AD7D4F" w:rsidRPr="00593A5F" w:rsidRDefault="00AD7D4F" w:rsidP="00AD7D4F">
      <w:pPr>
        <w:widowControl w:val="0"/>
        <w:autoSpaceDE w:val="0"/>
        <w:autoSpaceDN w:val="0"/>
        <w:spacing w:after="0" w:line="276" w:lineRule="auto"/>
        <w:jc w:val="both"/>
        <w:rPr>
          <w:rFonts w:ascii="Verdana" w:hAnsi="Verdana" w:cs="Arial"/>
        </w:rPr>
      </w:pPr>
    </w:p>
    <w:p w14:paraId="786F589F" w14:textId="77777777" w:rsidR="00AD7D4F" w:rsidRPr="00593A5F" w:rsidRDefault="00AD7D4F" w:rsidP="00AD7D4F">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2A7BBED" w14:textId="77777777" w:rsidR="00AD7D4F" w:rsidRPr="00593A5F" w:rsidRDefault="00AD7D4F" w:rsidP="00AD7D4F">
      <w:pPr>
        <w:widowControl w:val="0"/>
        <w:autoSpaceDE w:val="0"/>
        <w:autoSpaceDN w:val="0"/>
        <w:spacing w:after="0" w:line="276" w:lineRule="auto"/>
        <w:jc w:val="both"/>
        <w:rPr>
          <w:rFonts w:ascii="Verdana" w:hAnsi="Verdana" w:cs="Arial"/>
        </w:rPr>
      </w:pPr>
    </w:p>
    <w:p w14:paraId="57E17027" w14:textId="77777777" w:rsidR="00AD7D4F" w:rsidRPr="00593A5F" w:rsidRDefault="00AD7D4F" w:rsidP="00AD7D4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7E986813" w14:textId="1B19389F" w:rsidR="00AD7D4F" w:rsidRPr="00593A5F" w:rsidRDefault="0010121F" w:rsidP="00AD7D4F">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319DF9B1" wp14:editId="6B922491">
            <wp:extent cx="3356220" cy="1092251"/>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rotWithShape="1">
                    <a:blip r:embed="rId13"/>
                    <a:srcRect t="12330"/>
                    <a:stretch/>
                  </pic:blipFill>
                  <pic:spPr bwMode="auto">
                    <a:xfrm>
                      <a:off x="0" y="0"/>
                      <a:ext cx="3367785" cy="109601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01033" w:rsidRPr="005A528F" w14:paraId="50B610F3" w14:textId="77777777" w:rsidTr="00652686">
        <w:trPr>
          <w:trHeight w:val="315"/>
        </w:trPr>
        <w:tc>
          <w:tcPr>
            <w:tcW w:w="893" w:type="dxa"/>
            <w:vAlign w:val="center"/>
            <w:hideMark/>
          </w:tcPr>
          <w:p w14:paraId="225E5627" w14:textId="77777777" w:rsidR="00B01033" w:rsidRPr="001A2CF4" w:rsidRDefault="00B01033" w:rsidP="00652686">
            <w:pPr>
              <w:contextualSpacing/>
              <w:rPr>
                <w:rFonts w:ascii="Verdana" w:hAnsi="Verdana" w:cs="Arial"/>
                <w:sz w:val="16"/>
                <w:szCs w:val="16"/>
                <w:lang w:val="es-ES" w:eastAsia="es-ES"/>
              </w:rPr>
            </w:pPr>
            <w:r w:rsidRPr="001A2CF4">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81BDB1B" w14:textId="77777777" w:rsidR="00B01033" w:rsidRPr="001A2CF4" w:rsidRDefault="00B01033" w:rsidP="00652686">
            <w:pPr>
              <w:rPr>
                <w:rFonts w:ascii="Verdana" w:eastAsia="Arial" w:hAnsi="Verdana" w:cs="Arial"/>
                <w:sz w:val="16"/>
                <w:szCs w:val="16"/>
              </w:rPr>
            </w:pPr>
            <w:r w:rsidRPr="001A2CF4">
              <w:rPr>
                <w:rFonts w:ascii="Verdana" w:eastAsia="Arial" w:hAnsi="Verdana" w:cs="Arial"/>
                <w:sz w:val="16"/>
                <w:szCs w:val="16"/>
              </w:rPr>
              <w:t>Diana Lucia Saavedra Castañeda </w:t>
            </w:r>
          </w:p>
          <w:p w14:paraId="7FB1527A" w14:textId="77777777" w:rsidR="00B01033" w:rsidRPr="001A2CF4" w:rsidRDefault="00B01033" w:rsidP="00652686">
            <w:pPr>
              <w:contextualSpacing/>
              <w:rPr>
                <w:rFonts w:ascii="Verdana" w:eastAsia="Arial" w:hAnsi="Verdana" w:cs="Arial"/>
                <w:sz w:val="16"/>
                <w:szCs w:val="16"/>
              </w:rPr>
            </w:pPr>
            <w:r w:rsidRPr="001A2CF4">
              <w:rPr>
                <w:rFonts w:ascii="Verdana" w:eastAsia="Arial" w:hAnsi="Verdana" w:cs="Arial"/>
                <w:sz w:val="16"/>
                <w:szCs w:val="16"/>
              </w:rPr>
              <w:t>Contratista de la Subdirección de Gestión Contractual </w:t>
            </w:r>
          </w:p>
        </w:tc>
      </w:tr>
      <w:tr w:rsidR="00B01033" w:rsidRPr="005A528F" w14:paraId="659A0D7E" w14:textId="77777777" w:rsidTr="00652686">
        <w:trPr>
          <w:trHeight w:val="330"/>
        </w:trPr>
        <w:tc>
          <w:tcPr>
            <w:tcW w:w="893" w:type="dxa"/>
            <w:vAlign w:val="center"/>
            <w:hideMark/>
          </w:tcPr>
          <w:p w14:paraId="73B51337" w14:textId="77777777" w:rsidR="00B01033" w:rsidRPr="001A2CF4" w:rsidRDefault="00B01033" w:rsidP="00652686">
            <w:pPr>
              <w:contextualSpacing/>
              <w:rPr>
                <w:rFonts w:ascii="Verdana" w:hAnsi="Verdana" w:cs="Arial"/>
                <w:sz w:val="16"/>
                <w:szCs w:val="16"/>
                <w:lang w:val="es-ES" w:eastAsia="es-ES"/>
              </w:rPr>
            </w:pPr>
            <w:r w:rsidRPr="001A2CF4">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4AF1620" w14:textId="77777777" w:rsidR="00B01033" w:rsidRPr="001A2CF4" w:rsidRDefault="00B01033" w:rsidP="00652686">
            <w:pPr>
              <w:pStyle w:val="paragraph"/>
              <w:spacing w:before="0" w:beforeAutospacing="0" w:after="0" w:afterAutospacing="0"/>
              <w:contextualSpacing/>
              <w:textAlignment w:val="baseline"/>
              <w:rPr>
                <w:rFonts w:ascii="Verdana" w:hAnsi="Verdana" w:cs="Segoe UI"/>
                <w:sz w:val="16"/>
                <w:szCs w:val="16"/>
              </w:rPr>
            </w:pPr>
            <w:r w:rsidRPr="001A2CF4">
              <w:rPr>
                <w:rFonts w:ascii="Verdana" w:hAnsi="Verdana" w:cs="Segoe UI"/>
                <w:sz w:val="16"/>
                <w:szCs w:val="16"/>
              </w:rPr>
              <w:t xml:space="preserve">Alejandro Raúl Sarmiento Cantillo </w:t>
            </w:r>
          </w:p>
          <w:p w14:paraId="4BF087E4" w14:textId="77777777" w:rsidR="00B01033" w:rsidRPr="001A2CF4" w:rsidRDefault="00B01033" w:rsidP="00652686">
            <w:pPr>
              <w:pStyle w:val="paragraph"/>
              <w:spacing w:before="0" w:beforeAutospacing="0" w:after="0" w:afterAutospacing="0"/>
              <w:contextualSpacing/>
              <w:textAlignment w:val="baseline"/>
              <w:rPr>
                <w:rFonts w:ascii="Verdana" w:hAnsi="Verdana" w:cs="Segoe UI"/>
                <w:sz w:val="16"/>
                <w:szCs w:val="16"/>
              </w:rPr>
            </w:pPr>
            <w:r w:rsidRPr="001A2CF4">
              <w:rPr>
                <w:rFonts w:ascii="Verdana" w:hAnsi="Verdana" w:cs="Segoe UI"/>
                <w:sz w:val="16"/>
                <w:szCs w:val="16"/>
              </w:rPr>
              <w:t xml:space="preserve">Gestor Grado T1-15 </w:t>
            </w:r>
            <w:r w:rsidRPr="001A2CF4">
              <w:rPr>
                <w:rFonts w:ascii="Verdana" w:eastAsia="Arial" w:hAnsi="Verdana" w:cs="Arial"/>
                <w:sz w:val="16"/>
                <w:szCs w:val="16"/>
              </w:rPr>
              <w:t>de la Subdirección de Gestión Contractual </w:t>
            </w:r>
          </w:p>
        </w:tc>
      </w:tr>
      <w:tr w:rsidR="00B01033" w:rsidRPr="005A528F" w14:paraId="2210809B" w14:textId="77777777" w:rsidTr="00652686">
        <w:trPr>
          <w:trHeight w:val="300"/>
        </w:trPr>
        <w:tc>
          <w:tcPr>
            <w:tcW w:w="893" w:type="dxa"/>
            <w:vAlign w:val="center"/>
          </w:tcPr>
          <w:p w14:paraId="6204888B" w14:textId="77777777" w:rsidR="00B01033" w:rsidRPr="001A2CF4" w:rsidRDefault="00B01033" w:rsidP="00652686">
            <w:pPr>
              <w:contextualSpacing/>
              <w:rPr>
                <w:rFonts w:ascii="Verdana" w:hAnsi="Verdana" w:cs="Arial"/>
                <w:sz w:val="16"/>
                <w:szCs w:val="16"/>
                <w:lang w:val="es-ES" w:eastAsia="es-ES"/>
              </w:rPr>
            </w:pPr>
            <w:r w:rsidRPr="001A2CF4">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2F71A4E" w14:textId="77777777" w:rsidR="00B01033" w:rsidRPr="001A2CF4" w:rsidRDefault="00B01033" w:rsidP="00652686">
            <w:pPr>
              <w:contextualSpacing/>
              <w:rPr>
                <w:rFonts w:ascii="Verdana" w:eastAsia="Calibri" w:hAnsi="Verdana" w:cs="Arial"/>
                <w:sz w:val="16"/>
                <w:szCs w:val="16"/>
                <w:lang w:val="pt-BR" w:eastAsia="es-ES"/>
              </w:rPr>
            </w:pPr>
            <w:r w:rsidRPr="001A2CF4">
              <w:rPr>
                <w:rFonts w:ascii="Verdana" w:eastAsia="Calibri" w:hAnsi="Verdana" w:cs="Arial"/>
                <w:sz w:val="16"/>
                <w:szCs w:val="16"/>
                <w:lang w:val="pt-BR" w:eastAsia="es-ES"/>
              </w:rPr>
              <w:t>Carolina Quintero Gacharná</w:t>
            </w:r>
          </w:p>
          <w:p w14:paraId="3CB90C0F" w14:textId="77777777" w:rsidR="00B01033" w:rsidRPr="001A2CF4" w:rsidRDefault="00B01033" w:rsidP="00652686">
            <w:pPr>
              <w:contextualSpacing/>
              <w:rPr>
                <w:rFonts w:ascii="Verdana" w:eastAsia="Calibri" w:hAnsi="Verdana" w:cs="Arial"/>
                <w:sz w:val="16"/>
                <w:szCs w:val="16"/>
                <w:lang w:val="pt-BR" w:eastAsia="es-ES"/>
              </w:rPr>
            </w:pPr>
            <w:r w:rsidRPr="001A2CF4">
              <w:rPr>
                <w:rFonts w:ascii="Verdana" w:eastAsia="Calibri" w:hAnsi="Verdana" w:cs="Arial"/>
                <w:sz w:val="16"/>
                <w:szCs w:val="16"/>
                <w:lang w:eastAsia="es-ES"/>
              </w:rPr>
              <w:t>Subdirectora</w:t>
            </w:r>
            <w:r w:rsidRPr="001A2CF4">
              <w:rPr>
                <w:rFonts w:ascii="Verdana" w:eastAsia="Calibri" w:hAnsi="Verdana" w:cs="Arial"/>
                <w:sz w:val="16"/>
                <w:szCs w:val="16"/>
                <w:lang w:val="pt-BR" w:eastAsia="es-ES"/>
              </w:rPr>
              <w:t xml:space="preserve"> de Gestión Contractual ANCP – CCE</w:t>
            </w:r>
          </w:p>
        </w:tc>
      </w:tr>
      <w:bookmarkEnd w:id="0"/>
    </w:tbl>
    <w:p w14:paraId="39697398" w14:textId="3FD95528" w:rsidR="00AD7D4F" w:rsidRPr="0044528D" w:rsidRDefault="00AD7D4F" w:rsidP="00324641">
      <w:pPr>
        <w:spacing w:after="0"/>
        <w:rPr>
          <w:rFonts w:ascii="Verdana" w:hAnsi="Verdana"/>
        </w:rPr>
      </w:pPr>
    </w:p>
    <w:sectPr w:rsidR="00AD7D4F" w:rsidRPr="0044528D" w:rsidSect="007C0C0F">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BC7C" w14:textId="77777777" w:rsidR="000A7072" w:rsidRDefault="000A7072" w:rsidP="004A1847">
      <w:pPr>
        <w:spacing w:after="0" w:line="240" w:lineRule="auto"/>
      </w:pPr>
      <w:r>
        <w:separator/>
      </w:r>
    </w:p>
  </w:endnote>
  <w:endnote w:type="continuationSeparator" w:id="0">
    <w:p w14:paraId="337EB1E5" w14:textId="77777777" w:rsidR="000A7072" w:rsidRDefault="000A7072" w:rsidP="004A1847">
      <w:pPr>
        <w:spacing w:after="0" w:line="240" w:lineRule="auto"/>
      </w:pPr>
      <w:r>
        <w:continuationSeparator/>
      </w:r>
    </w:p>
  </w:endnote>
  <w:endnote w:type="continuationNotice" w:id="1">
    <w:p w14:paraId="02063917" w14:textId="77777777" w:rsidR="000A7072" w:rsidRDefault="000A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C1A3" w14:textId="77777777" w:rsidR="000A7072" w:rsidRDefault="000A7072" w:rsidP="004A1847">
      <w:pPr>
        <w:spacing w:after="0" w:line="240" w:lineRule="auto"/>
      </w:pPr>
      <w:r>
        <w:separator/>
      </w:r>
    </w:p>
  </w:footnote>
  <w:footnote w:type="continuationSeparator" w:id="0">
    <w:p w14:paraId="66540497" w14:textId="77777777" w:rsidR="000A7072" w:rsidRDefault="000A7072" w:rsidP="004A1847">
      <w:pPr>
        <w:spacing w:after="0" w:line="240" w:lineRule="auto"/>
      </w:pPr>
      <w:r>
        <w:continuationSeparator/>
      </w:r>
    </w:p>
  </w:footnote>
  <w:footnote w:type="continuationNotice" w:id="1">
    <w:p w14:paraId="1BCBF262" w14:textId="77777777" w:rsidR="000A7072" w:rsidRDefault="000A7072">
      <w:pPr>
        <w:spacing w:after="0" w:line="240" w:lineRule="auto"/>
      </w:pPr>
    </w:p>
  </w:footnote>
  <w:footnote w:id="2">
    <w:p w14:paraId="0C788668" w14:textId="77777777" w:rsidR="00AD7D4F" w:rsidRPr="00276AC9" w:rsidRDefault="00AD7D4F" w:rsidP="00AD7D4F">
      <w:pPr>
        <w:pStyle w:val="Textonotapie"/>
        <w:ind w:firstLine="708"/>
        <w:contextualSpacing/>
        <w:jc w:val="both"/>
        <w:rPr>
          <w:rFonts w:ascii="Verdana" w:hAnsi="Verdana" w:cs="Arial"/>
          <w:sz w:val="16"/>
          <w:szCs w:val="16"/>
          <w:lang w:val="pt-BR"/>
        </w:rPr>
      </w:pPr>
      <w:r w:rsidRPr="00276AC9">
        <w:rPr>
          <w:rStyle w:val="Refdenotaalpie"/>
          <w:rFonts w:ascii="Verdana" w:hAnsi="Verdana" w:cs="Arial"/>
          <w:sz w:val="16"/>
          <w:szCs w:val="16"/>
        </w:rPr>
        <w:footnoteRef/>
      </w:r>
      <w:r w:rsidRPr="00276AC9">
        <w:rPr>
          <w:rFonts w:ascii="Verdana" w:hAnsi="Verdana" w:cs="Arial"/>
          <w:sz w:val="16"/>
          <w:szCs w:val="16"/>
          <w:lang w:val="pt-BR"/>
        </w:rPr>
        <w:t xml:space="preserve"> Corte Constitucional. Sentencia C-1016 de 2012. M.P. Jorge Iván Palacio. </w:t>
      </w:r>
    </w:p>
    <w:p w14:paraId="06C90DAA" w14:textId="77777777" w:rsidR="00AD7D4F" w:rsidRPr="00276AC9" w:rsidRDefault="00AD7D4F" w:rsidP="00AD7D4F">
      <w:pPr>
        <w:pStyle w:val="Textonotapie"/>
        <w:ind w:firstLine="708"/>
        <w:contextualSpacing/>
        <w:jc w:val="both"/>
        <w:rPr>
          <w:rFonts w:ascii="Verdana" w:hAnsi="Verdana" w:cs="Arial"/>
          <w:sz w:val="16"/>
          <w:szCs w:val="16"/>
          <w:lang w:val="pt-BR"/>
        </w:rPr>
      </w:pPr>
    </w:p>
  </w:footnote>
  <w:footnote w:id="3">
    <w:p w14:paraId="6A1DE9FA" w14:textId="77777777" w:rsidR="00AD7D4F" w:rsidRPr="00276AC9" w:rsidRDefault="00AD7D4F" w:rsidP="00AD7D4F">
      <w:pPr>
        <w:pStyle w:val="Textonotapie"/>
        <w:ind w:firstLine="708"/>
        <w:contextualSpacing/>
        <w:jc w:val="both"/>
        <w:rPr>
          <w:rFonts w:ascii="Verdana" w:hAnsi="Verdana" w:cs="Arial"/>
          <w:sz w:val="16"/>
          <w:szCs w:val="16"/>
          <w:lang w:val="pt-BR"/>
        </w:rPr>
      </w:pPr>
      <w:r w:rsidRPr="00276AC9">
        <w:rPr>
          <w:rStyle w:val="Refdenotaalpie"/>
          <w:rFonts w:ascii="Verdana" w:hAnsi="Verdana" w:cs="Arial"/>
          <w:sz w:val="16"/>
          <w:szCs w:val="16"/>
        </w:rPr>
        <w:footnoteRef/>
      </w:r>
      <w:r w:rsidRPr="00276AC9">
        <w:rPr>
          <w:rFonts w:ascii="Verdana" w:hAnsi="Verdana" w:cs="Arial"/>
          <w:sz w:val="16"/>
          <w:szCs w:val="16"/>
        </w:rPr>
        <w:t xml:space="preserve"> Consejo De Estado. Sección Tercera. Subsección A. Sentencia del 13 de noviembre de 2013. </w:t>
      </w:r>
      <w:r w:rsidRPr="00276AC9">
        <w:rPr>
          <w:rFonts w:ascii="Verdana" w:hAnsi="Verdana" w:cs="Arial"/>
          <w:sz w:val="16"/>
          <w:szCs w:val="16"/>
          <w:lang w:val="pt-BR"/>
        </w:rPr>
        <w:t xml:space="preserve">Rad. 25.646. C.P. Mauricio Fajardo Gómez.  </w:t>
      </w:r>
    </w:p>
    <w:p w14:paraId="18A61701" w14:textId="77777777" w:rsidR="00AD7D4F" w:rsidRPr="00276AC9" w:rsidRDefault="00AD7D4F" w:rsidP="00AD7D4F">
      <w:pPr>
        <w:pStyle w:val="Textonotapie"/>
        <w:ind w:firstLine="708"/>
        <w:contextualSpacing/>
        <w:jc w:val="both"/>
        <w:rPr>
          <w:rFonts w:ascii="Verdana" w:hAnsi="Verdana" w:cs="Arial"/>
          <w:sz w:val="16"/>
          <w:szCs w:val="16"/>
          <w:lang w:val="pt-BR"/>
        </w:rPr>
      </w:pPr>
    </w:p>
  </w:footnote>
  <w:footnote w:id="4">
    <w:p w14:paraId="36CD4C84" w14:textId="77777777" w:rsidR="00AD7D4F" w:rsidRPr="00276AC9" w:rsidRDefault="00AD7D4F" w:rsidP="00AD7D4F">
      <w:pPr>
        <w:pStyle w:val="Textonotapie"/>
        <w:ind w:firstLine="708"/>
        <w:contextualSpacing/>
        <w:jc w:val="both"/>
        <w:rPr>
          <w:rFonts w:ascii="Verdana" w:hAnsi="Verdana" w:cs="Arial"/>
          <w:sz w:val="16"/>
          <w:szCs w:val="16"/>
          <w:lang w:val="pt-BR"/>
        </w:rPr>
      </w:pPr>
      <w:r w:rsidRPr="00276AC9">
        <w:rPr>
          <w:rStyle w:val="Refdenotaalpie"/>
          <w:rFonts w:ascii="Verdana" w:hAnsi="Verdana" w:cs="Arial"/>
          <w:sz w:val="16"/>
          <w:szCs w:val="16"/>
        </w:rPr>
        <w:footnoteRef/>
      </w:r>
      <w:r w:rsidRPr="00276AC9">
        <w:rPr>
          <w:rFonts w:ascii="Verdana" w:hAnsi="Verdana" w:cs="Arial"/>
          <w:sz w:val="16"/>
          <w:szCs w:val="16"/>
          <w:lang w:val="pt-BR"/>
        </w:rPr>
        <w:t xml:space="preserve"> Ibidem. </w:t>
      </w:r>
    </w:p>
    <w:p w14:paraId="7CFD44E8" w14:textId="77777777" w:rsidR="00AD7D4F" w:rsidRPr="00276AC9" w:rsidRDefault="00AD7D4F" w:rsidP="00AD7D4F">
      <w:pPr>
        <w:pStyle w:val="Textonotapie"/>
        <w:ind w:firstLine="708"/>
        <w:contextualSpacing/>
        <w:jc w:val="both"/>
        <w:rPr>
          <w:rFonts w:ascii="Verdana" w:hAnsi="Verdana" w:cs="Arial"/>
          <w:sz w:val="16"/>
          <w:szCs w:val="16"/>
          <w:lang w:val="pt-BR"/>
        </w:rPr>
      </w:pPr>
    </w:p>
  </w:footnote>
  <w:footnote w:id="5">
    <w:p w14:paraId="1B497A22" w14:textId="77777777" w:rsidR="00AD7D4F" w:rsidRPr="00276AC9" w:rsidRDefault="00AD7D4F" w:rsidP="00AD7D4F">
      <w:pPr>
        <w:pStyle w:val="Textonotapie"/>
        <w:ind w:firstLine="708"/>
        <w:contextualSpacing/>
        <w:jc w:val="both"/>
        <w:rPr>
          <w:rFonts w:ascii="Verdana" w:hAnsi="Verdana" w:cs="Arial"/>
          <w:sz w:val="16"/>
          <w:szCs w:val="16"/>
        </w:rPr>
      </w:pPr>
      <w:r w:rsidRPr="00276AC9">
        <w:rPr>
          <w:rStyle w:val="Refdenotaalpie"/>
          <w:rFonts w:ascii="Verdana" w:hAnsi="Verdana" w:cs="Arial"/>
          <w:sz w:val="16"/>
          <w:szCs w:val="16"/>
        </w:rPr>
        <w:footnoteRef/>
      </w:r>
      <w:r w:rsidRPr="00276AC9">
        <w:rPr>
          <w:rFonts w:ascii="Verdana" w:hAnsi="Verdana" w:cs="Arial"/>
          <w:sz w:val="16"/>
          <w:szCs w:val="16"/>
          <w:lang w:val="pt-BR"/>
        </w:rPr>
        <w:t xml:space="preserve"> Corte Constitucional. </w:t>
      </w:r>
      <w:r w:rsidRPr="00276AC9">
        <w:rPr>
          <w:rFonts w:ascii="Verdana" w:hAnsi="Verdana" w:cs="Arial"/>
          <w:sz w:val="16"/>
          <w:szCs w:val="16"/>
        </w:rPr>
        <w:t xml:space="preserve">Sentencia C-780 de 2001. M.P. Jaime Córdoba Triviño. </w:t>
      </w:r>
    </w:p>
    <w:p w14:paraId="6CDF3BF2" w14:textId="77777777" w:rsidR="00AD7D4F" w:rsidRPr="00276AC9" w:rsidRDefault="00AD7D4F" w:rsidP="00AD7D4F">
      <w:pPr>
        <w:pStyle w:val="Textonotapie"/>
        <w:ind w:firstLine="708"/>
        <w:contextualSpacing/>
        <w:jc w:val="both"/>
        <w:rPr>
          <w:rFonts w:ascii="Verdana" w:hAnsi="Verdana" w:cs="Arial"/>
          <w:sz w:val="16"/>
          <w:szCs w:val="16"/>
        </w:rPr>
      </w:pPr>
    </w:p>
  </w:footnote>
  <w:footnote w:id="6">
    <w:p w14:paraId="4B0BABB3"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r w:rsidRPr="00276AC9">
        <w:rPr>
          <w:rStyle w:val="Refdenotaalpie"/>
          <w:rFonts w:ascii="Verdana" w:hAnsi="Verdana"/>
          <w:sz w:val="16"/>
          <w:szCs w:val="16"/>
        </w:rPr>
        <w:footnoteRef/>
      </w:r>
      <w:r w:rsidRPr="00276AC9">
        <w:rPr>
          <w:rFonts w:ascii="Verdana" w:hAnsi="Verdana" w:cs="Arial"/>
          <w:color w:val="000000"/>
          <w:sz w:val="16"/>
          <w:szCs w:val="16"/>
        </w:rPr>
        <w:t xml:space="preserve"> </w:t>
      </w:r>
      <w:r w:rsidRPr="00276AC9">
        <w:rPr>
          <w:rFonts w:ascii="Verdana" w:hAnsi="Verdana" w:cs="Arial"/>
          <w:sz w:val="16"/>
          <w:szCs w:val="16"/>
          <w:lang w:val="pt-BR"/>
        </w:rPr>
        <w:t>Ibidem</w:t>
      </w:r>
      <w:r w:rsidRPr="00276AC9">
        <w:rPr>
          <w:rFonts w:ascii="Verdana" w:hAnsi="Verdana" w:cs="Arial"/>
          <w:color w:val="000000"/>
          <w:sz w:val="16"/>
          <w:szCs w:val="16"/>
          <w:lang w:val="es-ES"/>
        </w:rPr>
        <w:t>. Página 69.</w:t>
      </w:r>
    </w:p>
    <w:p w14:paraId="19C6C460"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p>
  </w:footnote>
  <w:footnote w:id="7">
    <w:p w14:paraId="79686240"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r w:rsidRPr="00276AC9">
        <w:rPr>
          <w:rStyle w:val="Refdenotaalpie"/>
          <w:rFonts w:ascii="Verdana" w:hAnsi="Verdana"/>
          <w:sz w:val="16"/>
          <w:szCs w:val="16"/>
        </w:rPr>
        <w:footnoteRef/>
      </w:r>
      <w:r w:rsidRPr="00276AC9">
        <w:rPr>
          <w:rFonts w:ascii="Verdana" w:hAnsi="Verdana" w:cs="Arial"/>
          <w:color w:val="000000"/>
          <w:sz w:val="16"/>
          <w:szCs w:val="16"/>
        </w:rPr>
        <w:t xml:space="preserve"> </w:t>
      </w:r>
      <w:r w:rsidRPr="00276AC9">
        <w:rPr>
          <w:rFonts w:ascii="Verdana" w:hAnsi="Verdana" w:cs="Arial"/>
          <w:color w:val="000000"/>
          <w:sz w:val="16"/>
          <w:szCs w:val="16"/>
          <w:lang w:val="es-ES"/>
        </w:rPr>
        <w:t xml:space="preserve">Corte Constitucional. Sentencia T-1039 de 2006. </w:t>
      </w:r>
      <w:r w:rsidRPr="00276AC9">
        <w:rPr>
          <w:rFonts w:ascii="Verdana" w:hAnsi="Verdana" w:cs="Arial"/>
          <w:color w:val="000000"/>
          <w:sz w:val="16"/>
          <w:szCs w:val="16"/>
          <w:lang w:val="it-IT"/>
        </w:rPr>
        <w:t xml:space="preserve">Magistrado Ponente: Humberto Sierra Porto. </w:t>
      </w:r>
      <w:r w:rsidRPr="00276AC9">
        <w:rPr>
          <w:rFonts w:ascii="Verdana" w:hAnsi="Verdana" w:cs="Arial"/>
          <w:color w:val="000000"/>
          <w:sz w:val="16"/>
          <w:szCs w:val="16"/>
          <w:lang w:val="es-ES"/>
        </w:rPr>
        <w:t xml:space="preserve">La Corte ha mantenido este criterio en las sentencias: C-903 de 2008. Magistrado Ponente: Jaime Araujo Rentería; C-101 de 2018. Magistrada Ponente Gloria Stella Ortiz Delgado; entre otras. </w:t>
      </w:r>
    </w:p>
    <w:p w14:paraId="348E271D"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p>
  </w:footnote>
  <w:footnote w:id="8">
    <w:p w14:paraId="4C7F52BC"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r w:rsidRPr="00276AC9">
        <w:rPr>
          <w:rStyle w:val="Refdenotaalpie"/>
          <w:rFonts w:ascii="Verdana" w:hAnsi="Verdana"/>
          <w:sz w:val="16"/>
          <w:szCs w:val="16"/>
        </w:rPr>
        <w:footnoteRef/>
      </w:r>
      <w:r w:rsidRPr="00276AC9">
        <w:rPr>
          <w:rFonts w:ascii="Verdana" w:hAnsi="Verdana" w:cs="Arial"/>
          <w:color w:val="000000"/>
          <w:sz w:val="16"/>
          <w:szCs w:val="16"/>
        </w:rPr>
        <w:t xml:space="preserve"> </w:t>
      </w:r>
      <w:r w:rsidRPr="00276AC9">
        <w:rPr>
          <w:rFonts w:ascii="Verdana" w:hAnsi="Verdana" w:cs="Arial"/>
          <w:color w:val="000000"/>
          <w:sz w:val="16"/>
          <w:szCs w:val="16"/>
          <w:lang w:val="es-ES"/>
        </w:rPr>
        <w:t xml:space="preserve">Consejo de Estado. Sala de Consulta y Servicio Civil. Concepto del 30 de abril de 2015. Expediente: 2.251. Consejero Ponente: Álvaro </w:t>
      </w:r>
      <w:r w:rsidRPr="00276AC9">
        <w:rPr>
          <w:rFonts w:ascii="Verdana" w:hAnsi="Verdana" w:cs="Arial"/>
          <w:color w:val="000000"/>
          <w:sz w:val="16"/>
          <w:szCs w:val="16"/>
          <w:lang w:val="es-ES"/>
        </w:rPr>
        <w:t>Namén Vargas.</w:t>
      </w:r>
    </w:p>
    <w:p w14:paraId="4B95CFE9" w14:textId="77777777" w:rsidR="00AD7D4F" w:rsidRPr="00276AC9" w:rsidRDefault="00AD7D4F" w:rsidP="00AD7D4F">
      <w:pPr>
        <w:pStyle w:val="Textonotapie"/>
        <w:ind w:firstLine="709"/>
        <w:contextualSpacing/>
        <w:jc w:val="both"/>
        <w:rPr>
          <w:rFonts w:ascii="Verdana" w:hAnsi="Verdana" w:cs="Arial"/>
          <w:color w:val="000000"/>
          <w:sz w:val="16"/>
          <w:szCs w:val="16"/>
          <w:lang w:val="es-ES"/>
        </w:rPr>
      </w:pPr>
    </w:p>
  </w:footnote>
  <w:footnote w:id="9">
    <w:p w14:paraId="4D5600C6" w14:textId="77777777" w:rsidR="00AD7D4F" w:rsidRPr="00276AC9" w:rsidRDefault="00AD7D4F" w:rsidP="00AD7D4F">
      <w:pPr>
        <w:pStyle w:val="Textonotapie"/>
        <w:ind w:firstLine="709"/>
        <w:contextualSpacing/>
        <w:jc w:val="both"/>
        <w:rPr>
          <w:rFonts w:ascii="Verdana" w:eastAsia="Calibri" w:hAnsi="Verdana" w:cs="Arial"/>
          <w:bCs/>
          <w:color w:val="000000"/>
          <w:sz w:val="16"/>
          <w:szCs w:val="16"/>
        </w:rPr>
      </w:pPr>
      <w:r w:rsidRPr="00276AC9">
        <w:rPr>
          <w:rStyle w:val="Refdenotaalpie"/>
          <w:rFonts w:ascii="Verdana" w:hAnsi="Verdana" w:cs="Arial"/>
          <w:sz w:val="16"/>
          <w:szCs w:val="16"/>
        </w:rPr>
        <w:footnoteRef/>
      </w:r>
      <w:r w:rsidRPr="00276AC9">
        <w:rPr>
          <w:rFonts w:ascii="Verdana" w:hAnsi="Verdana" w:cs="Arial"/>
          <w:sz w:val="16"/>
          <w:szCs w:val="16"/>
        </w:rPr>
        <w:t xml:space="preserve"> </w:t>
      </w:r>
      <w:r w:rsidRPr="00276AC9">
        <w:rPr>
          <w:rFonts w:ascii="Verdana" w:eastAsia="Calibri" w:hAnsi="Verdana" w:cs="Arial"/>
          <w:bCs/>
          <w:color w:val="000000"/>
          <w:sz w:val="16"/>
          <w:szCs w:val="16"/>
        </w:rPr>
        <w:t>El Parágrafo 2º. del artículo 6 de la Ley 2014 de 2019, que modificó el artículo 9 de la Ley 80 de 1993, fue declarado inexequible por la Corte Constitucional en Sentencia C-037 del 24 de febrero de 2021, M.P. Cristina Pardo Schlesinger. La disposición era del siguiente tenor</w:t>
      </w:r>
      <w:bookmarkStart w:id="9" w:name="_Hlk79776115"/>
      <w:r w:rsidRPr="00276AC9">
        <w:rPr>
          <w:rFonts w:ascii="Verdana" w:eastAsia="Calibri" w:hAnsi="Verdana" w:cs="Arial"/>
          <w:bCs/>
          <w:color w:val="000000"/>
          <w:sz w:val="16"/>
          <w:szCs w:val="16"/>
        </w:rPr>
        <w:t>: “El Gobierno nacional reglamentará el procedimiento de la cesión del contrato de que trata este artículo, en término no mayor a seis (6) meses.”</w:t>
      </w:r>
      <w:bookmarkEnd w:id="9"/>
    </w:p>
    <w:p w14:paraId="776891AE" w14:textId="77777777" w:rsidR="00AD7D4F" w:rsidRPr="00276AC9" w:rsidRDefault="00AD7D4F" w:rsidP="00AD7D4F">
      <w:pPr>
        <w:pStyle w:val="Textonotapie"/>
        <w:ind w:firstLine="709"/>
        <w:contextualSpacing/>
        <w:jc w:val="both"/>
        <w:rPr>
          <w:rFonts w:ascii="Verdana" w:hAnsi="Verdana" w:cs="Arial"/>
          <w:sz w:val="16"/>
          <w:szCs w:val="16"/>
        </w:rPr>
      </w:pPr>
    </w:p>
  </w:footnote>
  <w:footnote w:id="10">
    <w:p w14:paraId="01A9B3AE" w14:textId="77777777" w:rsidR="00AD7D4F" w:rsidRPr="00276AC9" w:rsidRDefault="00AD7D4F" w:rsidP="00AD7D4F">
      <w:pPr>
        <w:pStyle w:val="Textonotapie"/>
        <w:ind w:firstLine="708"/>
        <w:contextualSpacing/>
        <w:jc w:val="both"/>
        <w:rPr>
          <w:rFonts w:ascii="Verdana" w:hAnsi="Verdana" w:cs="Arial"/>
          <w:sz w:val="16"/>
          <w:szCs w:val="16"/>
        </w:rPr>
      </w:pPr>
      <w:r w:rsidRPr="00276AC9">
        <w:rPr>
          <w:rStyle w:val="Refdenotaalpie"/>
          <w:rFonts w:ascii="Verdana" w:hAnsi="Verdana" w:cs="Arial"/>
          <w:sz w:val="16"/>
          <w:szCs w:val="16"/>
        </w:rPr>
        <w:footnoteRef/>
      </w:r>
      <w:r w:rsidRPr="00276AC9">
        <w:rPr>
          <w:rFonts w:ascii="Verdana" w:hAnsi="Verdana" w:cs="Arial"/>
          <w:sz w:val="16"/>
          <w:szCs w:val="16"/>
        </w:rPr>
        <w:t xml:space="preserve"> Sentencia de la Corte Constitucional. C-221 de 1996. Magistrado Ponente: José Gregorio Hernández Galindo. </w:t>
      </w:r>
    </w:p>
    <w:p w14:paraId="665ECA3D" w14:textId="77777777" w:rsidR="00AD7D4F" w:rsidRPr="00276AC9" w:rsidRDefault="00AD7D4F" w:rsidP="00AD7D4F">
      <w:pPr>
        <w:pStyle w:val="Textonotapie"/>
        <w:ind w:firstLine="708"/>
        <w:contextualSpacing/>
        <w:jc w:val="both"/>
        <w:rPr>
          <w:rFonts w:ascii="Verdana" w:hAnsi="Verdana" w:cs="Arial"/>
          <w:sz w:val="16"/>
          <w:szCs w:val="16"/>
        </w:rPr>
      </w:pPr>
    </w:p>
  </w:footnote>
  <w:footnote w:id="11">
    <w:p w14:paraId="49C8008E" w14:textId="02006312" w:rsidR="00AD7D4F" w:rsidRPr="00276AC9" w:rsidRDefault="00AD7D4F" w:rsidP="00AD7D4F">
      <w:pPr>
        <w:pStyle w:val="Textonotapie"/>
        <w:ind w:firstLine="708"/>
        <w:contextualSpacing/>
        <w:jc w:val="both"/>
        <w:rPr>
          <w:rFonts w:ascii="Verdana" w:hAnsi="Verdana" w:cs="Arial"/>
          <w:sz w:val="16"/>
          <w:szCs w:val="16"/>
        </w:rPr>
      </w:pPr>
      <w:r w:rsidRPr="00276AC9">
        <w:rPr>
          <w:rStyle w:val="Refdenotaalpie"/>
          <w:rFonts w:ascii="Verdana" w:hAnsi="Verdana" w:cs="Arial"/>
          <w:sz w:val="16"/>
          <w:szCs w:val="16"/>
        </w:rPr>
        <w:footnoteRef/>
      </w:r>
      <w:r w:rsidRPr="00276AC9">
        <w:rPr>
          <w:rFonts w:ascii="Verdana" w:hAnsi="Verdana" w:cs="Arial"/>
          <w:sz w:val="16"/>
          <w:szCs w:val="16"/>
        </w:rPr>
        <w:t xml:space="preserve"> El parágrafo del artículo 9, introducido por el artículo 6 de la Ley 2014 de 2019, establece una regla especial para los casos en los que se presente de manera sobreviniente la inhabilidad tipificada en el literal j) del artículo 8 de la Ley 80 de 1993, o cuando el contratista sea sancionado administrativamente por actos de corrupción, situaciones en las que correspondería a la Administración escoger al cesionario. De acuerdo con esto, en principio, cualquier inhabilidad sobreviniente que afecte al contratista se regiría por el inciso primero de la norma citada, que corresponde a la redacción inicial de la Ley 80 de 1993. Sin embargo, el legislador buscaba un efecto distinto para los contratistas en los que se configurara la inhabilidad del artículo 8, literal j) del numeral 1, de la Ley 80 de 1993 o que fueran sancionados administrativamente por actos de corrupción, pues cuando se aplica la cesión unilateral no son procedentes la cesión bilateral del contrato ni la renuncia a la ejecución.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B13"/>
      </v:shape>
    </w:pict>
  </w:numPicBullet>
  <w:abstractNum w:abstractNumId="0" w15:restartNumberingAfterBreak="0">
    <w:nsid w:val="01C06310"/>
    <w:multiLevelType w:val="multilevel"/>
    <w:tmpl w:val="DC122776"/>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A5851"/>
    <w:multiLevelType w:val="hybridMultilevel"/>
    <w:tmpl w:val="226860CA"/>
    <w:lvl w:ilvl="0" w:tplc="8F009A54">
      <w:start w:val="1"/>
      <w:numFmt w:val="lowerRoman"/>
      <w:lvlText w:val="%1)"/>
      <w:lvlJc w:val="left"/>
      <w:pPr>
        <w:ind w:left="720" w:hanging="720"/>
      </w:pPr>
      <w:rPr>
        <w:rFonts w:eastAsia="Apto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A350B2"/>
    <w:multiLevelType w:val="hybridMultilevel"/>
    <w:tmpl w:val="03C280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6"/>
  </w:num>
  <w:num w:numId="15" w16cid:durableId="390349800">
    <w:abstractNumId w:val="11"/>
  </w:num>
  <w:num w:numId="16" w16cid:durableId="1330140246">
    <w:abstractNumId w:val="0"/>
  </w:num>
  <w:num w:numId="17" w16cid:durableId="679089576">
    <w:abstractNumId w:val="10"/>
  </w:num>
  <w:num w:numId="18" w16cid:durableId="1613131515">
    <w:abstractNumId w:val="14"/>
  </w:num>
  <w:num w:numId="19" w16cid:durableId="106587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A7072"/>
    <w:rsid w:val="000B19B9"/>
    <w:rsid w:val="000D0334"/>
    <w:rsid w:val="000E4ACC"/>
    <w:rsid w:val="000F6486"/>
    <w:rsid w:val="0010121F"/>
    <w:rsid w:val="00120BFE"/>
    <w:rsid w:val="00125105"/>
    <w:rsid w:val="00127233"/>
    <w:rsid w:val="00174FAC"/>
    <w:rsid w:val="001D69AE"/>
    <w:rsid w:val="001E4177"/>
    <w:rsid w:val="001F7DC6"/>
    <w:rsid w:val="002421BB"/>
    <w:rsid w:val="0025796E"/>
    <w:rsid w:val="002707A2"/>
    <w:rsid w:val="002951A0"/>
    <w:rsid w:val="0029533F"/>
    <w:rsid w:val="002962BC"/>
    <w:rsid w:val="00297056"/>
    <w:rsid w:val="002A093D"/>
    <w:rsid w:val="002A0DD0"/>
    <w:rsid w:val="002A49AC"/>
    <w:rsid w:val="002A64FD"/>
    <w:rsid w:val="002C7A84"/>
    <w:rsid w:val="002E4FD9"/>
    <w:rsid w:val="0030296A"/>
    <w:rsid w:val="003070EF"/>
    <w:rsid w:val="00322A85"/>
    <w:rsid w:val="00324168"/>
    <w:rsid w:val="00324641"/>
    <w:rsid w:val="003448F4"/>
    <w:rsid w:val="00374F5E"/>
    <w:rsid w:val="00377E3E"/>
    <w:rsid w:val="003A26D1"/>
    <w:rsid w:val="003A779E"/>
    <w:rsid w:val="003D0F4D"/>
    <w:rsid w:val="003D5B0D"/>
    <w:rsid w:val="003E0499"/>
    <w:rsid w:val="003E371B"/>
    <w:rsid w:val="003F3941"/>
    <w:rsid w:val="00406575"/>
    <w:rsid w:val="00407B95"/>
    <w:rsid w:val="00423AAD"/>
    <w:rsid w:val="00426F4C"/>
    <w:rsid w:val="0042722E"/>
    <w:rsid w:val="0044528D"/>
    <w:rsid w:val="00463CBE"/>
    <w:rsid w:val="00474E89"/>
    <w:rsid w:val="00485CBB"/>
    <w:rsid w:val="00491B35"/>
    <w:rsid w:val="00493A81"/>
    <w:rsid w:val="004A0F88"/>
    <w:rsid w:val="004A1847"/>
    <w:rsid w:val="004A305D"/>
    <w:rsid w:val="004D036C"/>
    <w:rsid w:val="004E395C"/>
    <w:rsid w:val="004F21C4"/>
    <w:rsid w:val="004F685F"/>
    <w:rsid w:val="005222AE"/>
    <w:rsid w:val="005556AD"/>
    <w:rsid w:val="005566E8"/>
    <w:rsid w:val="00574867"/>
    <w:rsid w:val="00591460"/>
    <w:rsid w:val="00592628"/>
    <w:rsid w:val="00594BA0"/>
    <w:rsid w:val="005A528F"/>
    <w:rsid w:val="005C3777"/>
    <w:rsid w:val="005C5CDC"/>
    <w:rsid w:val="005D476C"/>
    <w:rsid w:val="00610812"/>
    <w:rsid w:val="006219F8"/>
    <w:rsid w:val="00650FF7"/>
    <w:rsid w:val="00665D70"/>
    <w:rsid w:val="00671DAC"/>
    <w:rsid w:val="006758F3"/>
    <w:rsid w:val="00681AAF"/>
    <w:rsid w:val="006838D0"/>
    <w:rsid w:val="00687067"/>
    <w:rsid w:val="006900D9"/>
    <w:rsid w:val="006D12F8"/>
    <w:rsid w:val="00706C16"/>
    <w:rsid w:val="00756841"/>
    <w:rsid w:val="00761182"/>
    <w:rsid w:val="007649AB"/>
    <w:rsid w:val="00771D0C"/>
    <w:rsid w:val="007726B8"/>
    <w:rsid w:val="007833AC"/>
    <w:rsid w:val="007A29E5"/>
    <w:rsid w:val="007B268C"/>
    <w:rsid w:val="007B7171"/>
    <w:rsid w:val="007C0C0F"/>
    <w:rsid w:val="007C3DC2"/>
    <w:rsid w:val="007E5497"/>
    <w:rsid w:val="00806F5F"/>
    <w:rsid w:val="00820278"/>
    <w:rsid w:val="00867958"/>
    <w:rsid w:val="008770FB"/>
    <w:rsid w:val="008828ED"/>
    <w:rsid w:val="008843B6"/>
    <w:rsid w:val="00891928"/>
    <w:rsid w:val="008A446D"/>
    <w:rsid w:val="008D180B"/>
    <w:rsid w:val="008F0EA7"/>
    <w:rsid w:val="00904366"/>
    <w:rsid w:val="00923EEF"/>
    <w:rsid w:val="009419F9"/>
    <w:rsid w:val="0095685E"/>
    <w:rsid w:val="00961B09"/>
    <w:rsid w:val="00965334"/>
    <w:rsid w:val="0097093E"/>
    <w:rsid w:val="009A0572"/>
    <w:rsid w:val="009A0DFA"/>
    <w:rsid w:val="009A7B44"/>
    <w:rsid w:val="009B2D26"/>
    <w:rsid w:val="009C71FA"/>
    <w:rsid w:val="009C72E7"/>
    <w:rsid w:val="009D3058"/>
    <w:rsid w:val="009F3A13"/>
    <w:rsid w:val="009F75D7"/>
    <w:rsid w:val="00A122D3"/>
    <w:rsid w:val="00A17F13"/>
    <w:rsid w:val="00A20739"/>
    <w:rsid w:val="00A33C78"/>
    <w:rsid w:val="00A6151A"/>
    <w:rsid w:val="00A86D84"/>
    <w:rsid w:val="00AB0ADB"/>
    <w:rsid w:val="00AC79B3"/>
    <w:rsid w:val="00AD6655"/>
    <w:rsid w:val="00AD7D4F"/>
    <w:rsid w:val="00B01033"/>
    <w:rsid w:val="00B01B1A"/>
    <w:rsid w:val="00B72CD3"/>
    <w:rsid w:val="00B72FFF"/>
    <w:rsid w:val="00B91C2D"/>
    <w:rsid w:val="00BC1581"/>
    <w:rsid w:val="00BC25CC"/>
    <w:rsid w:val="00BC3D36"/>
    <w:rsid w:val="00BD4D3F"/>
    <w:rsid w:val="00BD7F72"/>
    <w:rsid w:val="00BF5FF1"/>
    <w:rsid w:val="00C031B3"/>
    <w:rsid w:val="00C04FB3"/>
    <w:rsid w:val="00C330EB"/>
    <w:rsid w:val="00C754BE"/>
    <w:rsid w:val="00C76B1C"/>
    <w:rsid w:val="00CB6357"/>
    <w:rsid w:val="00CC1B26"/>
    <w:rsid w:val="00D423A2"/>
    <w:rsid w:val="00D520D8"/>
    <w:rsid w:val="00D55B17"/>
    <w:rsid w:val="00D63AC2"/>
    <w:rsid w:val="00D7383B"/>
    <w:rsid w:val="00DA231B"/>
    <w:rsid w:val="00DA23A0"/>
    <w:rsid w:val="00DC2318"/>
    <w:rsid w:val="00DC39FC"/>
    <w:rsid w:val="00DF5254"/>
    <w:rsid w:val="00E16408"/>
    <w:rsid w:val="00E20894"/>
    <w:rsid w:val="00E245AB"/>
    <w:rsid w:val="00E2764C"/>
    <w:rsid w:val="00E27F2E"/>
    <w:rsid w:val="00E413EA"/>
    <w:rsid w:val="00E50AFE"/>
    <w:rsid w:val="00E73F32"/>
    <w:rsid w:val="00E75C92"/>
    <w:rsid w:val="00E771DC"/>
    <w:rsid w:val="00E8772A"/>
    <w:rsid w:val="00E90F6B"/>
    <w:rsid w:val="00E92C27"/>
    <w:rsid w:val="00EA0E3D"/>
    <w:rsid w:val="00EC38A7"/>
    <w:rsid w:val="00EC61F4"/>
    <w:rsid w:val="00EE1AA8"/>
    <w:rsid w:val="00F31EDC"/>
    <w:rsid w:val="00F462B3"/>
    <w:rsid w:val="00F5664F"/>
    <w:rsid w:val="00F64A5E"/>
    <w:rsid w:val="00F666C4"/>
    <w:rsid w:val="00F73942"/>
    <w:rsid w:val="00F76AFC"/>
    <w:rsid w:val="00F76E78"/>
    <w:rsid w:val="00F777F8"/>
    <w:rsid w:val="00F93EFE"/>
    <w:rsid w:val="00FA47C0"/>
    <w:rsid w:val="00FB5DD1"/>
    <w:rsid w:val="00FC2B5D"/>
    <w:rsid w:val="00FF1449"/>
    <w:rsid w:val="4870290A"/>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rsid w:val="00AD7D4F"/>
    <w:pPr>
      <w:spacing w:line="240" w:lineRule="exact"/>
    </w:pPr>
    <w:rPr>
      <w:vertAlign w:val="superscript"/>
    </w:rPr>
  </w:style>
  <w:style w:type="character" w:styleId="Refdecomentario">
    <w:name w:val="annotation reference"/>
    <w:basedOn w:val="Fuentedeprrafopredeter"/>
    <w:uiPriority w:val="99"/>
    <w:semiHidden/>
    <w:unhideWhenUsed/>
    <w:rsid w:val="00AD7D4F"/>
    <w:rPr>
      <w:sz w:val="16"/>
      <w:szCs w:val="16"/>
    </w:rPr>
  </w:style>
  <w:style w:type="paragraph" w:styleId="Textocomentario">
    <w:name w:val="annotation text"/>
    <w:basedOn w:val="Normal"/>
    <w:link w:val="TextocomentarioCar"/>
    <w:uiPriority w:val="99"/>
    <w:unhideWhenUsed/>
    <w:rsid w:val="00AD7D4F"/>
    <w:pPr>
      <w:spacing w:line="240" w:lineRule="auto"/>
    </w:pPr>
    <w:rPr>
      <w:sz w:val="20"/>
      <w:szCs w:val="20"/>
    </w:rPr>
  </w:style>
  <w:style w:type="character" w:customStyle="1" w:styleId="TextocomentarioCar">
    <w:name w:val="Texto comentario Car"/>
    <w:basedOn w:val="Fuentedeprrafopredeter"/>
    <w:link w:val="Textocomentario"/>
    <w:uiPriority w:val="99"/>
    <w:rsid w:val="00AD7D4F"/>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D7D4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ala-de-prensa/boletin-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FABDD84F-C9F1-4257-A6E5-F333B830E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4039</Words>
  <Characters>22219</Characters>
  <Application>Microsoft Office Word</Application>
  <DocSecurity>0</DocSecurity>
  <Lines>185</Lines>
  <Paragraphs>52</Paragraphs>
  <ScaleCrop>false</ScaleCrop>
  <Company/>
  <LinksUpToDate>false</LinksUpToDate>
  <CharactersWithSpaces>26206</CharactersWithSpaces>
  <SharedDoc>false</SharedDoc>
  <HLinks>
    <vt:vector size="12" baseType="variant">
      <vt:variant>
        <vt:i4>5439494</vt:i4>
      </vt:variant>
      <vt:variant>
        <vt:i4>3</vt:i4>
      </vt:variant>
      <vt:variant>
        <vt:i4>0</vt:i4>
      </vt:variant>
      <vt:variant>
        <vt:i4>5</vt:i4>
      </vt:variant>
      <vt:variant>
        <vt:lpwstr>https://www.colombiacompra.gov.co/sala-de-prensa/boletin-digital</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5</cp:revision>
  <cp:lastPrinted>2023-01-10T21:18:00Z</cp:lastPrinted>
  <dcterms:created xsi:type="dcterms:W3CDTF">2024-08-06T23:15:00Z</dcterms:created>
  <dcterms:modified xsi:type="dcterms:W3CDTF">2024-08-23T22:16:00Z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