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4ACA" w14:textId="4C5B5033" w:rsidR="00DF69FE" w:rsidRPr="00DF69FE" w:rsidRDefault="00DF69FE" w:rsidP="00DF69FE">
      <w:pPr>
        <w:spacing w:after="0" w:line="240" w:lineRule="auto"/>
        <w:jc w:val="both"/>
        <w:textAlignment w:val="baseline"/>
        <w:rPr>
          <w:rFonts w:ascii="Verdana" w:eastAsia="Times New Roman" w:hAnsi="Verdana" w:cs="Segoe UI"/>
          <w:sz w:val="18"/>
          <w:szCs w:val="18"/>
          <w:lang w:eastAsia="es-CO"/>
        </w:rPr>
      </w:pPr>
      <w:r w:rsidRPr="00DF69FE">
        <w:rPr>
          <w:rFonts w:ascii="Verdana" w:eastAsia="Aptos" w:hAnsi="Verdana" w:cs="Arial"/>
          <w:b/>
          <w:bCs/>
          <w:kern w:val="2"/>
          <w:lang w:val="es-MX"/>
          <w14:ligatures w14:val="standardContextual"/>
        </w:rPr>
        <w:t>DOCUMENTOS TIPO – Infraestructura de transporte – Formulario 1 – Presupuesto Oficial – Propuesta económica </w:t>
      </w:r>
    </w:p>
    <w:p w14:paraId="32E41E25" w14:textId="77777777" w:rsidR="00DF69FE" w:rsidRPr="00DF69FE" w:rsidRDefault="00DF69FE" w:rsidP="00DF69FE">
      <w:pPr>
        <w:spacing w:after="0" w:line="276" w:lineRule="auto"/>
        <w:jc w:val="both"/>
        <w:rPr>
          <w:rFonts w:ascii="Verdana" w:eastAsia="Aptos" w:hAnsi="Verdana" w:cs="Arial"/>
          <w:b/>
          <w:bCs/>
          <w:kern w:val="2"/>
          <w:lang w:val="es-MX"/>
          <w14:ligatures w14:val="standardContextual"/>
        </w:rPr>
      </w:pPr>
    </w:p>
    <w:p w14:paraId="4CCB0FEF" w14:textId="573D5246" w:rsidR="00741A15" w:rsidRPr="00741A15" w:rsidRDefault="00741A15" w:rsidP="00741A15">
      <w:pPr>
        <w:spacing w:after="0" w:line="240" w:lineRule="auto"/>
        <w:jc w:val="both"/>
        <w:rPr>
          <w:rFonts w:ascii="Verdana" w:eastAsia="Aptos" w:hAnsi="Verdana" w:cs="Arial"/>
          <w:kern w:val="2"/>
          <w:sz w:val="20"/>
          <w:szCs w:val="20"/>
          <w:lang w:val="es-MX"/>
          <w14:ligatures w14:val="standardContextual"/>
        </w:rPr>
      </w:pPr>
      <w:r w:rsidRPr="00741A15">
        <w:rPr>
          <w:rFonts w:ascii="Verdana" w:eastAsia="Aptos" w:hAnsi="Verdana" w:cs="Arial"/>
          <w:kern w:val="2"/>
          <w:sz w:val="20"/>
          <w:szCs w:val="20"/>
          <w:lang w:val="es-MX"/>
          <w14:ligatures w14:val="standardContextual"/>
        </w:rPr>
        <w:t xml:space="preserve">Ahora bien, los documentos tipo de infraestructura de transporte, contemplan el “Formulario 1 – Formulario de Presupuesto Oficial”, empleado por la entidad para elaborar y presentar el presupuesto oficial, y mediante el cual el proponente estructura la oferta económica. </w:t>
      </w:r>
    </w:p>
    <w:p w14:paraId="252F168C" w14:textId="77777777" w:rsidR="00741A15" w:rsidRPr="00741A15" w:rsidRDefault="00741A15" w:rsidP="00741A15">
      <w:pPr>
        <w:spacing w:after="0" w:line="240" w:lineRule="auto"/>
        <w:jc w:val="both"/>
        <w:rPr>
          <w:rFonts w:ascii="Verdana" w:eastAsia="Aptos" w:hAnsi="Verdana" w:cs="Arial"/>
          <w:kern w:val="2"/>
          <w:sz w:val="20"/>
          <w:szCs w:val="20"/>
          <w:lang w:val="es-MX"/>
          <w14:ligatures w14:val="standardContextual"/>
        </w:rPr>
      </w:pPr>
    </w:p>
    <w:p w14:paraId="0AE821E0" w14:textId="6052B5E3" w:rsidR="00DF69FE" w:rsidRPr="00DF69FE" w:rsidRDefault="00741A15" w:rsidP="00741A15">
      <w:pPr>
        <w:spacing w:after="0" w:line="240" w:lineRule="auto"/>
        <w:jc w:val="both"/>
        <w:rPr>
          <w:rFonts w:ascii="Verdana" w:eastAsia="Aptos" w:hAnsi="Verdana" w:cs="Arial"/>
          <w:kern w:val="2"/>
          <w:sz w:val="20"/>
          <w:szCs w:val="20"/>
          <w:lang w:val="es-MX"/>
          <w14:ligatures w14:val="standardContextual"/>
        </w:rPr>
      </w:pPr>
      <w:r w:rsidRPr="00741A15">
        <w:rPr>
          <w:rFonts w:ascii="Verdana" w:eastAsia="Aptos" w:hAnsi="Verdana" w:cs="Arial"/>
          <w:kern w:val="2"/>
          <w:sz w:val="20"/>
          <w:szCs w:val="20"/>
          <w:lang w:val="es-MX"/>
          <w14:ligatures w14:val="standardContextual"/>
        </w:rPr>
        <w:t>Este formulario lo prepara la entidad en la etapa de planeación y le permite definir el valor oficial estimado del proceso de contratación. Por tanto, las entidades estatales para su elaboración deben tener en cuenta diferentes variables , como el objeto, alcance, obras a ejecutar, actividades, cantidades, particularidades de la zona de ejecución del proyecto, disponibilidad y distancia de fuentes de materiales, entre otros.</w:t>
      </w:r>
    </w:p>
    <w:p w14:paraId="066849F2" w14:textId="77777777" w:rsidR="00DF69FE" w:rsidRPr="00DF69FE" w:rsidRDefault="00DF69FE" w:rsidP="00DF69FE">
      <w:pPr>
        <w:spacing w:after="0" w:line="276" w:lineRule="auto"/>
        <w:jc w:val="both"/>
        <w:rPr>
          <w:rFonts w:ascii="Verdana" w:eastAsia="Aptos" w:hAnsi="Verdana" w:cs="Arial"/>
          <w:b/>
          <w:bCs/>
          <w:kern w:val="2"/>
          <w:lang w:val="es-MX"/>
          <w14:ligatures w14:val="standardContextual"/>
        </w:rPr>
      </w:pPr>
    </w:p>
    <w:p w14:paraId="69E98BE6" w14:textId="77777777" w:rsidR="00DF69FE" w:rsidRPr="00DF69FE" w:rsidRDefault="00DF69FE" w:rsidP="00DF69FE">
      <w:pPr>
        <w:spacing w:after="0" w:line="276" w:lineRule="auto"/>
        <w:jc w:val="both"/>
        <w:rPr>
          <w:rFonts w:ascii="Verdana" w:eastAsia="Aptos" w:hAnsi="Verdana" w:cs="Arial"/>
          <w:b/>
          <w:bCs/>
          <w:kern w:val="2"/>
          <w:lang w:val="es-MX"/>
          <w14:ligatures w14:val="standardContextual"/>
        </w:rPr>
      </w:pPr>
      <w:r w:rsidRPr="00DF69FE">
        <w:rPr>
          <w:rFonts w:ascii="Verdana" w:eastAsia="Aptos" w:hAnsi="Verdana" w:cs="Arial"/>
          <w:b/>
          <w:bCs/>
          <w:kern w:val="2"/>
          <w:lang w:val="es-MX"/>
          <w14:ligatures w14:val="standardContextual"/>
        </w:rPr>
        <w:t>DOCUMETOS TIPO – Infraestructura de transporte – Correcciones aritméticas</w:t>
      </w:r>
    </w:p>
    <w:p w14:paraId="3FA8DF3B" w14:textId="77777777" w:rsidR="00DF69FE" w:rsidRPr="00DF69FE" w:rsidRDefault="00DF69FE" w:rsidP="00DF69FE">
      <w:pPr>
        <w:spacing w:after="0" w:line="276" w:lineRule="auto"/>
        <w:jc w:val="both"/>
        <w:rPr>
          <w:rFonts w:ascii="Verdana" w:eastAsia="Aptos" w:hAnsi="Verdana" w:cs="Arial"/>
          <w:b/>
          <w:bCs/>
          <w:kern w:val="2"/>
          <w:lang w:val="es-MX"/>
          <w14:ligatures w14:val="standardContextual"/>
        </w:rPr>
      </w:pPr>
    </w:p>
    <w:p w14:paraId="4C88AAC2" w14:textId="62382833" w:rsidR="00DF69FE" w:rsidRPr="00DF69FE" w:rsidRDefault="00741A15" w:rsidP="00DF69FE">
      <w:pPr>
        <w:spacing w:after="0" w:line="240" w:lineRule="auto"/>
        <w:jc w:val="both"/>
        <w:rPr>
          <w:rFonts w:ascii="Verdana" w:eastAsia="Aptos" w:hAnsi="Verdana" w:cs="Arial"/>
          <w:kern w:val="2"/>
          <w:sz w:val="20"/>
          <w:szCs w:val="20"/>
          <w:lang w:val="es-MX"/>
          <w14:ligatures w14:val="standardContextual"/>
        </w:rPr>
      </w:pPr>
      <w:r w:rsidRPr="00741A15">
        <w:rPr>
          <w:rFonts w:ascii="Verdana" w:eastAsia="Aptos" w:hAnsi="Verdana" w:cs="Arial"/>
          <w:kern w:val="2"/>
          <w:sz w:val="20"/>
          <w:szCs w:val="20"/>
          <w:lang w:val="es-MX"/>
          <w14:ligatures w14:val="standardContextual"/>
        </w:rPr>
        <w:t>Adicionalmente, es importante señalar que el numeral “4.1.2. CORRECCIONES ARITMÉTICAS” del Documento Base, indica claramente que la entidad solo efectuará correcciones aritméticas originadas por las siguientes situaciones:</w:t>
      </w:r>
      <w:r>
        <w:rPr>
          <w:rFonts w:ascii="Verdana" w:eastAsia="Aptos" w:hAnsi="Verdana" w:cs="Arial"/>
          <w:kern w:val="2"/>
          <w:sz w:val="20"/>
          <w:szCs w:val="20"/>
          <w:lang w:val="es-MX"/>
          <w14:ligatures w14:val="standardContextual"/>
        </w:rPr>
        <w:t xml:space="preserve"> […]</w:t>
      </w:r>
    </w:p>
    <w:p w14:paraId="320BA387" w14:textId="77777777" w:rsidR="00DF69FE" w:rsidRPr="00DF69FE" w:rsidRDefault="00DF69FE" w:rsidP="00DF69FE">
      <w:pPr>
        <w:spacing w:after="0" w:line="276" w:lineRule="auto"/>
        <w:jc w:val="both"/>
        <w:rPr>
          <w:rFonts w:ascii="Verdana" w:eastAsia="Aptos" w:hAnsi="Verdana" w:cs="Arial"/>
          <w:b/>
          <w:bCs/>
          <w:kern w:val="2"/>
          <w:lang w:val="es-MX"/>
          <w14:ligatures w14:val="standardContextual"/>
        </w:rPr>
      </w:pPr>
    </w:p>
    <w:p w14:paraId="038D3DB9" w14:textId="77777777" w:rsidR="00DF69FE" w:rsidRPr="00DF69FE" w:rsidRDefault="00DF69FE" w:rsidP="00DF69FE">
      <w:pPr>
        <w:spacing w:after="0" w:line="276" w:lineRule="auto"/>
        <w:jc w:val="both"/>
        <w:rPr>
          <w:rFonts w:ascii="Verdana" w:eastAsia="Aptos" w:hAnsi="Verdana" w:cs="Arial"/>
          <w:b/>
          <w:bCs/>
          <w:kern w:val="2"/>
          <w:lang w:val="es-MX"/>
          <w14:ligatures w14:val="standardContextual"/>
        </w:rPr>
      </w:pPr>
      <w:r w:rsidRPr="00DF69FE">
        <w:rPr>
          <w:rFonts w:ascii="Verdana" w:eastAsia="Aptos" w:hAnsi="Verdana" w:cs="Arial"/>
          <w:b/>
          <w:bCs/>
          <w:kern w:val="2"/>
          <w:lang w:val="es-MX"/>
          <w14:ligatures w14:val="standardContextual"/>
        </w:rPr>
        <w:t>INALTERABILIDAD – Documentos Tipo – Alcance</w:t>
      </w:r>
    </w:p>
    <w:p w14:paraId="5C85A737" w14:textId="77777777" w:rsidR="00DF69FE" w:rsidRPr="00DF69FE" w:rsidRDefault="00DF69FE" w:rsidP="00DF69FE">
      <w:pPr>
        <w:spacing w:after="0" w:line="276" w:lineRule="auto"/>
        <w:jc w:val="both"/>
        <w:rPr>
          <w:rFonts w:ascii="Verdana" w:eastAsia="Geomanist Light" w:hAnsi="Verdana" w:cs="Arial"/>
          <w:lang w:val="es-MX"/>
        </w:rPr>
      </w:pPr>
    </w:p>
    <w:p w14:paraId="0E6CCDFD" w14:textId="07D626B8" w:rsidR="00DF69FE" w:rsidRPr="00DF69FE" w:rsidRDefault="00047470" w:rsidP="00DF69FE">
      <w:pPr>
        <w:spacing w:after="0" w:line="240" w:lineRule="auto"/>
        <w:jc w:val="both"/>
        <w:rPr>
          <w:rFonts w:ascii="Verdana" w:eastAsia="Geomanist Light" w:hAnsi="Verdana" w:cs="Arial"/>
          <w:sz w:val="20"/>
          <w:szCs w:val="20"/>
          <w:lang w:val="es-MX"/>
        </w:rPr>
      </w:pPr>
      <w:r w:rsidRPr="00047470">
        <w:rPr>
          <w:rFonts w:ascii="Verdana" w:eastAsia="Geomanist Light" w:hAnsi="Verdana" w:cs="Arial"/>
          <w:sz w:val="20"/>
          <w:szCs w:val="20"/>
          <w:lang w:val="es-MX"/>
        </w:rPr>
        <w:t>Todas las resoluciones expedidas por la Agencia Nacional de Contratación Pública – Colombia Compra Eficiente, mediante las cuales se han adoptado los documentos tipo, consagran la regla de la inalterabilidad . Esta prohibición consiste en que las entidades estatales no pueden incluir o modificar en los Documentos del Proceso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F2710B0" w14:textId="77777777" w:rsidR="00DF69FE" w:rsidRPr="00DF69FE" w:rsidRDefault="00DF69FE" w:rsidP="00DF69FE">
      <w:pPr>
        <w:spacing w:after="0" w:line="276" w:lineRule="auto"/>
        <w:jc w:val="both"/>
        <w:rPr>
          <w:rFonts w:ascii="Verdana" w:eastAsia="Geomanist Light" w:hAnsi="Verdana" w:cs="Arial"/>
          <w:lang w:val="es-MX"/>
        </w:rPr>
      </w:pPr>
    </w:p>
    <w:p w14:paraId="18B82F78" w14:textId="77777777" w:rsidR="00DF69FE" w:rsidRPr="00DF69FE" w:rsidRDefault="00DF69FE" w:rsidP="00DF69FE">
      <w:pPr>
        <w:spacing w:after="0" w:line="240" w:lineRule="auto"/>
        <w:rPr>
          <w:rFonts w:ascii="Verdana" w:eastAsia="Geomanist Light" w:hAnsi="Verdana" w:cs="Arial"/>
          <w:lang w:val="es-MX"/>
        </w:rPr>
      </w:pPr>
    </w:p>
    <w:p w14:paraId="6D01C810" w14:textId="77777777" w:rsidR="00DF69FE" w:rsidRPr="00DF69FE" w:rsidRDefault="00DF69FE" w:rsidP="00DF69FE">
      <w:pPr>
        <w:spacing w:after="0" w:line="240" w:lineRule="auto"/>
        <w:jc w:val="both"/>
        <w:rPr>
          <w:rFonts w:ascii="Verdana" w:eastAsia="Geomanist Light" w:hAnsi="Verdana" w:cs="Arial"/>
          <w:lang w:val="es-MX"/>
        </w:rPr>
      </w:pPr>
    </w:p>
    <w:p w14:paraId="7864F3DD" w14:textId="77777777" w:rsidR="00DF69FE" w:rsidRPr="00DF69FE" w:rsidRDefault="00DF69FE" w:rsidP="00DF69FE">
      <w:pPr>
        <w:spacing w:after="0" w:line="240" w:lineRule="auto"/>
        <w:jc w:val="both"/>
        <w:rPr>
          <w:rFonts w:ascii="Verdana" w:eastAsia="Calibri" w:hAnsi="Verdana" w:cs="Times New Roman"/>
        </w:rPr>
      </w:pPr>
    </w:p>
    <w:p w14:paraId="53EC4E69" w14:textId="77777777" w:rsidR="00DF69FE" w:rsidRPr="00DF69FE" w:rsidRDefault="00DF69FE" w:rsidP="00DF69FE">
      <w:pPr>
        <w:spacing w:after="0" w:line="240" w:lineRule="auto"/>
        <w:jc w:val="both"/>
        <w:rPr>
          <w:rFonts w:ascii="Verdana" w:eastAsia="Calibri" w:hAnsi="Verdana" w:cs="Times New Roman"/>
        </w:rPr>
      </w:pPr>
    </w:p>
    <w:p w14:paraId="2B88E5FE" w14:textId="77777777" w:rsidR="00DF69FE" w:rsidRPr="00DF69FE" w:rsidRDefault="00DF69FE" w:rsidP="00DF69FE">
      <w:pPr>
        <w:spacing w:after="0" w:line="240" w:lineRule="auto"/>
        <w:jc w:val="both"/>
        <w:rPr>
          <w:rFonts w:ascii="Verdana" w:eastAsia="Calibri" w:hAnsi="Verdana" w:cs="Times New Roman"/>
        </w:rPr>
      </w:pPr>
    </w:p>
    <w:p w14:paraId="3DEBFE91" w14:textId="77777777" w:rsidR="00DF69FE" w:rsidRPr="00DF69FE" w:rsidRDefault="00DF69FE" w:rsidP="00DF69FE">
      <w:pPr>
        <w:spacing w:after="0" w:line="240" w:lineRule="auto"/>
        <w:jc w:val="both"/>
        <w:rPr>
          <w:rFonts w:ascii="Verdana" w:eastAsia="Calibri" w:hAnsi="Verdana" w:cs="Times New Roman"/>
        </w:rPr>
      </w:pPr>
    </w:p>
    <w:p w14:paraId="2191CA7B" w14:textId="77777777" w:rsidR="00DF69FE" w:rsidRPr="00DF69FE" w:rsidRDefault="00DF69FE" w:rsidP="00DF69FE">
      <w:pPr>
        <w:spacing w:after="0" w:line="240" w:lineRule="auto"/>
        <w:jc w:val="both"/>
        <w:rPr>
          <w:rFonts w:ascii="Verdana" w:eastAsia="Calibri" w:hAnsi="Verdana" w:cs="Times New Roman"/>
        </w:rPr>
      </w:pPr>
    </w:p>
    <w:p w14:paraId="7111A74C" w14:textId="77777777" w:rsidR="00DF69FE" w:rsidRPr="00DF69FE" w:rsidRDefault="00DF69FE" w:rsidP="00DF69FE">
      <w:pPr>
        <w:spacing w:after="0" w:line="240" w:lineRule="auto"/>
        <w:jc w:val="both"/>
        <w:rPr>
          <w:rFonts w:ascii="Verdana" w:eastAsia="Calibri" w:hAnsi="Verdana" w:cs="Times New Roman"/>
        </w:rPr>
      </w:pPr>
    </w:p>
    <w:p w14:paraId="4D4C0DE9" w14:textId="77777777" w:rsidR="00DF69FE" w:rsidRPr="00DF69FE" w:rsidRDefault="00DF69FE" w:rsidP="00DF69FE">
      <w:pPr>
        <w:spacing w:after="0" w:line="240" w:lineRule="auto"/>
        <w:jc w:val="both"/>
        <w:rPr>
          <w:rFonts w:ascii="Verdana" w:eastAsia="Calibri" w:hAnsi="Verdana" w:cs="Times New Roman"/>
        </w:rPr>
      </w:pPr>
    </w:p>
    <w:p w14:paraId="09A57E85" w14:textId="2CFAE800" w:rsidR="00DF69FE" w:rsidRPr="0044528D" w:rsidRDefault="00DF69FE" w:rsidP="00DF69FE">
      <w:pPr>
        <w:spacing w:after="0"/>
        <w:rPr>
          <w:rFonts w:ascii="Verdana" w:hAnsi="Verdana"/>
        </w:rPr>
      </w:pPr>
      <w:r w:rsidRPr="0044528D">
        <w:rPr>
          <w:rFonts w:ascii="Verdana" w:hAnsi="Verdana"/>
        </w:rPr>
        <w:lastRenderedPageBreak/>
        <w:t>Bogotá D.C.</w:t>
      </w:r>
      <w:r w:rsidRPr="0044528D">
        <w:rPr>
          <w:rFonts w:ascii="Verdana" w:hAnsi="Verdana"/>
        </w:rPr>
        <w:tab/>
      </w:r>
    </w:p>
    <w:p w14:paraId="1F61A75F" w14:textId="77777777" w:rsidR="00DF69FE" w:rsidRPr="00DF69FE" w:rsidRDefault="00DF69FE" w:rsidP="00DF69FE">
      <w:pPr>
        <w:spacing w:after="0" w:line="240" w:lineRule="auto"/>
        <w:jc w:val="both"/>
        <w:rPr>
          <w:rFonts w:ascii="Verdana" w:eastAsia="Calibri" w:hAnsi="Verdana" w:cs="Arial"/>
          <w:lang w:val="es-ES"/>
        </w:rPr>
      </w:pPr>
    </w:p>
    <w:p w14:paraId="005EAD46" w14:textId="7F37480E" w:rsidR="00DF69FE" w:rsidRPr="00DF69FE" w:rsidRDefault="003701D9" w:rsidP="003701D9">
      <w:pPr>
        <w:spacing w:after="0" w:line="240" w:lineRule="auto"/>
        <w:jc w:val="right"/>
        <w:rPr>
          <w:rFonts w:ascii="Verdana" w:eastAsia="Calibri" w:hAnsi="Verdana" w:cs="Arial"/>
          <w:lang w:val="es-ES"/>
        </w:rPr>
      </w:pPr>
      <w:r>
        <w:rPr>
          <w:rFonts w:ascii="Verdana" w:eastAsia="Calibri" w:hAnsi="Verdana" w:cs="Arial"/>
          <w:noProof/>
          <w:lang w:val="es-ES"/>
        </w:rPr>
        <w:drawing>
          <wp:inline distT="0" distB="0" distL="0" distR="0" wp14:anchorId="06D44138" wp14:editId="17768E64">
            <wp:extent cx="3583094" cy="1064542"/>
            <wp:effectExtent l="0" t="0" r="0" b="2540"/>
            <wp:docPr id="721676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76953" name="Imagen 721676953"/>
                    <pic:cNvPicPr/>
                  </pic:nvPicPr>
                  <pic:blipFill>
                    <a:blip r:embed="rId10">
                      <a:extLst>
                        <a:ext uri="{28A0092B-C50C-407E-A947-70E740481C1C}">
                          <a14:useLocalDpi xmlns:a14="http://schemas.microsoft.com/office/drawing/2010/main" val="0"/>
                        </a:ext>
                      </a:extLst>
                    </a:blip>
                    <a:stretch>
                      <a:fillRect/>
                    </a:stretch>
                  </pic:blipFill>
                  <pic:spPr>
                    <a:xfrm>
                      <a:off x="0" y="0"/>
                      <a:ext cx="3612072" cy="1073151"/>
                    </a:xfrm>
                    <a:prstGeom prst="rect">
                      <a:avLst/>
                    </a:prstGeom>
                  </pic:spPr>
                </pic:pic>
              </a:graphicData>
            </a:graphic>
          </wp:inline>
        </w:drawing>
      </w:r>
    </w:p>
    <w:p w14:paraId="4B2A0E07" w14:textId="77777777" w:rsidR="00DF69FE" w:rsidRPr="00DF69FE" w:rsidRDefault="00DF69FE" w:rsidP="00DF69FE">
      <w:pPr>
        <w:spacing w:after="0" w:line="240" w:lineRule="auto"/>
        <w:jc w:val="both"/>
        <w:rPr>
          <w:rFonts w:ascii="Verdana" w:eastAsia="Calibri" w:hAnsi="Verdana" w:cs="Arial"/>
          <w:lang w:val="es-ES" w:eastAsia="es-ES"/>
        </w:rPr>
      </w:pPr>
      <w:r w:rsidRPr="00DF69FE">
        <w:rPr>
          <w:rFonts w:ascii="Verdana" w:eastAsia="Calibri" w:hAnsi="Verdana" w:cs="Arial"/>
          <w:lang w:val="es-ES" w:eastAsia="es-ES"/>
        </w:rPr>
        <w:t>Señora</w:t>
      </w:r>
    </w:p>
    <w:p w14:paraId="2768F3D8" w14:textId="77777777" w:rsidR="00DF69FE" w:rsidRPr="00DF69FE" w:rsidRDefault="00DF69FE" w:rsidP="00DF69FE">
      <w:pPr>
        <w:spacing w:after="0" w:line="240" w:lineRule="auto"/>
        <w:rPr>
          <w:rFonts w:ascii="Verdana" w:eastAsia="Calibri" w:hAnsi="Verdana" w:cs="Arial"/>
          <w:b/>
          <w:lang w:val="es-ES_tradnl" w:eastAsia="es-ES_tradnl"/>
        </w:rPr>
      </w:pPr>
      <w:r w:rsidRPr="00DF69FE">
        <w:rPr>
          <w:rFonts w:ascii="Verdana" w:eastAsia="Calibri" w:hAnsi="Verdana" w:cs="Arial"/>
          <w:b/>
          <w:lang w:val="es-ES_tradnl" w:eastAsia="es-ES_tradnl"/>
        </w:rPr>
        <w:t>Sandra Forero Ramírez</w:t>
      </w:r>
    </w:p>
    <w:p w14:paraId="005F6A68" w14:textId="77777777" w:rsidR="00DF69FE" w:rsidRPr="00DF69FE" w:rsidRDefault="00DF69FE" w:rsidP="00DF69FE">
      <w:pPr>
        <w:spacing w:after="0" w:line="240" w:lineRule="auto"/>
        <w:rPr>
          <w:rFonts w:ascii="Verdana" w:eastAsia="Calibri" w:hAnsi="Verdana" w:cs="Arial"/>
          <w:bCs/>
          <w:lang w:val="es-ES_tradnl" w:eastAsia="es-ES_tradnl"/>
        </w:rPr>
      </w:pPr>
      <w:r w:rsidRPr="00DF69FE">
        <w:rPr>
          <w:rFonts w:ascii="Verdana" w:eastAsia="Calibri" w:hAnsi="Verdana" w:cs="Arial"/>
          <w:bCs/>
          <w:lang w:val="es-ES_tradnl" w:eastAsia="es-ES_tradnl"/>
        </w:rPr>
        <w:t>Concejal de Bogotá D.C.</w:t>
      </w:r>
    </w:p>
    <w:p w14:paraId="6781CF73" w14:textId="77777777" w:rsidR="00DF69FE" w:rsidRPr="00DF69FE" w:rsidRDefault="00DF69FE" w:rsidP="00DF69FE">
      <w:pPr>
        <w:spacing w:after="0" w:line="240" w:lineRule="auto"/>
        <w:rPr>
          <w:rFonts w:ascii="Verdana" w:eastAsia="Calibri" w:hAnsi="Verdana" w:cs="Arial"/>
          <w:b/>
          <w:bCs/>
          <w:lang w:val="es-ES_tradnl" w:eastAsia="es-ES_tradnl"/>
        </w:rPr>
      </w:pPr>
      <w:r w:rsidRPr="00DF69FE">
        <w:rPr>
          <w:rFonts w:ascii="Verdana" w:eastAsia="Calibri" w:hAnsi="Verdana" w:cs="Arial"/>
          <w:lang w:val="es-ES" w:eastAsia="es-ES"/>
        </w:rPr>
        <w:t>Bogotá, D.C.</w:t>
      </w:r>
    </w:p>
    <w:p w14:paraId="7A006D68" w14:textId="77777777" w:rsidR="00DF69FE" w:rsidRPr="00DF69FE" w:rsidRDefault="00DF69FE" w:rsidP="00DF69F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F69FE" w:rsidRPr="00DF69FE" w14:paraId="3B543533" w14:textId="77777777" w:rsidTr="0058359A">
        <w:trPr>
          <w:trHeight w:val="884"/>
        </w:trPr>
        <w:tc>
          <w:tcPr>
            <w:tcW w:w="2689" w:type="dxa"/>
          </w:tcPr>
          <w:p w14:paraId="7D7215F4" w14:textId="77777777" w:rsidR="00DF69FE" w:rsidRPr="00DF69FE" w:rsidRDefault="00DF69FE" w:rsidP="00DF69FE">
            <w:pPr>
              <w:jc w:val="both"/>
              <w:rPr>
                <w:rFonts w:ascii="Verdana" w:eastAsia="Calibri" w:hAnsi="Verdana" w:cs="Arial"/>
                <w:b/>
                <w:bCs/>
                <w:lang w:val="es-ES_tradnl" w:eastAsia="es-ES_tradnl"/>
              </w:rPr>
            </w:pPr>
          </w:p>
        </w:tc>
        <w:tc>
          <w:tcPr>
            <w:tcW w:w="6100" w:type="dxa"/>
          </w:tcPr>
          <w:p w14:paraId="1CC1367E" w14:textId="77777777" w:rsidR="00DF69FE" w:rsidRPr="00DF69FE" w:rsidRDefault="00DF69FE" w:rsidP="00DF69FE">
            <w:pPr>
              <w:jc w:val="both"/>
              <w:rPr>
                <w:rFonts w:ascii="Verdana" w:eastAsia="Calibri" w:hAnsi="Verdana" w:cs="Arial"/>
                <w:b/>
                <w:bCs/>
                <w:lang w:val="es-ES" w:eastAsia="es-ES"/>
              </w:rPr>
            </w:pPr>
            <w:r w:rsidRPr="00DF69FE">
              <w:rPr>
                <w:rFonts w:ascii="Verdana" w:eastAsia="Calibri" w:hAnsi="Verdana" w:cs="Arial"/>
                <w:b/>
                <w:bCs/>
                <w:lang w:val="es-ES" w:eastAsia="es-ES"/>
              </w:rPr>
              <w:t>Concepto C – 137 de 2024</w:t>
            </w:r>
          </w:p>
        </w:tc>
      </w:tr>
      <w:tr w:rsidR="00DF69FE" w:rsidRPr="00DF69FE" w14:paraId="2506C58B" w14:textId="77777777" w:rsidTr="0058359A">
        <w:trPr>
          <w:trHeight w:val="884"/>
        </w:trPr>
        <w:tc>
          <w:tcPr>
            <w:tcW w:w="2689" w:type="dxa"/>
          </w:tcPr>
          <w:p w14:paraId="2889AC90" w14:textId="77777777" w:rsidR="00DF69FE" w:rsidRPr="00DF69FE" w:rsidRDefault="00DF69FE" w:rsidP="00DF69FE">
            <w:pPr>
              <w:jc w:val="both"/>
              <w:rPr>
                <w:rFonts w:ascii="Verdana" w:eastAsia="Calibri" w:hAnsi="Verdana" w:cs="Arial"/>
                <w:lang w:val="es-ES_tradnl" w:eastAsia="es-ES_tradnl"/>
              </w:rPr>
            </w:pPr>
            <w:r w:rsidRPr="00DF69FE">
              <w:rPr>
                <w:rFonts w:ascii="Verdana" w:eastAsia="Calibri" w:hAnsi="Verdana" w:cs="Arial"/>
                <w:b/>
                <w:lang w:val="es-ES_tradnl" w:eastAsia="es-ES_tradnl"/>
              </w:rPr>
              <w:t>Temas:</w:t>
            </w:r>
            <w:r w:rsidRPr="00DF69FE">
              <w:rPr>
                <w:rFonts w:ascii="Verdana" w:eastAsia="Calibri" w:hAnsi="Verdana" w:cs="Arial"/>
                <w:lang w:val="es-ES_tradnl" w:eastAsia="es-ES_tradnl"/>
              </w:rPr>
              <w:t xml:space="preserve">                   </w:t>
            </w:r>
          </w:p>
        </w:tc>
        <w:tc>
          <w:tcPr>
            <w:tcW w:w="6100" w:type="dxa"/>
          </w:tcPr>
          <w:p w14:paraId="44ADCB48" w14:textId="77777777" w:rsidR="00DF69FE" w:rsidRPr="00DF69FE" w:rsidRDefault="00DF69FE" w:rsidP="00DF69FE">
            <w:pPr>
              <w:spacing w:line="276" w:lineRule="auto"/>
              <w:jc w:val="both"/>
              <w:rPr>
                <w:rFonts w:ascii="Verdana" w:eastAsia="Aptos" w:hAnsi="Verdana" w:cs="Arial"/>
                <w:lang w:val="es-MX"/>
              </w:rPr>
            </w:pPr>
            <w:r w:rsidRPr="00DF69FE">
              <w:rPr>
                <w:rFonts w:ascii="Verdana" w:eastAsia="Aptos" w:hAnsi="Verdana" w:cs="Arial"/>
                <w:lang w:val="es-MX"/>
              </w:rPr>
              <w:t>DOCUMENTOS TIPO – Infraestructura de transporte – Formulario 1 – Presupuesto Oficial – Propuesta económica / DOCUMENTOS TIPO – Infraestructura de transporte – Correcciones aritméticas / INALTERABILIDAD – Documentos Tipo – Alcance</w:t>
            </w:r>
          </w:p>
          <w:p w14:paraId="5A5C611F" w14:textId="77777777" w:rsidR="00DF69FE" w:rsidRPr="00DF69FE" w:rsidRDefault="00DF69FE" w:rsidP="00DF69FE">
            <w:pPr>
              <w:tabs>
                <w:tab w:val="left" w:pos="0"/>
              </w:tabs>
              <w:spacing w:line="276" w:lineRule="auto"/>
              <w:jc w:val="both"/>
              <w:rPr>
                <w:rFonts w:ascii="Verdana" w:eastAsia="Calibri" w:hAnsi="Verdana" w:cs="Arial"/>
                <w:lang w:val="es-ES" w:eastAsia="es-ES"/>
              </w:rPr>
            </w:pPr>
          </w:p>
        </w:tc>
      </w:tr>
      <w:tr w:rsidR="00DF69FE" w:rsidRPr="00DF69FE" w14:paraId="3340B1A8" w14:textId="77777777" w:rsidTr="0058359A">
        <w:tc>
          <w:tcPr>
            <w:tcW w:w="2689" w:type="dxa"/>
          </w:tcPr>
          <w:p w14:paraId="0FD532D3" w14:textId="77777777" w:rsidR="00DF69FE" w:rsidRPr="00DF69FE" w:rsidRDefault="00DF69FE" w:rsidP="00DF69FE">
            <w:pPr>
              <w:jc w:val="both"/>
              <w:rPr>
                <w:rFonts w:ascii="Verdana" w:eastAsia="Calibri" w:hAnsi="Verdana" w:cs="Arial"/>
                <w:b/>
                <w:lang w:val="es-ES_tradnl" w:eastAsia="es-ES_tradnl"/>
              </w:rPr>
            </w:pPr>
            <w:r w:rsidRPr="00DF69FE">
              <w:rPr>
                <w:rFonts w:ascii="Verdana" w:eastAsia="Calibri" w:hAnsi="Verdana" w:cs="Arial"/>
                <w:b/>
                <w:lang w:val="es-ES_tradnl" w:eastAsia="es-ES_tradnl"/>
              </w:rPr>
              <w:t>Radicación:</w:t>
            </w:r>
            <w:r w:rsidRPr="00DF69FE">
              <w:rPr>
                <w:rFonts w:ascii="Verdana" w:eastAsia="Calibri" w:hAnsi="Verdana" w:cs="Arial"/>
                <w:lang w:val="es-ES_tradnl" w:eastAsia="es-ES_tradnl"/>
              </w:rPr>
              <w:t xml:space="preserve">               </w:t>
            </w:r>
          </w:p>
        </w:tc>
        <w:tc>
          <w:tcPr>
            <w:tcW w:w="6100" w:type="dxa"/>
          </w:tcPr>
          <w:p w14:paraId="010B8D84" w14:textId="77777777" w:rsidR="00DF69FE" w:rsidRPr="00DF69FE" w:rsidRDefault="00DF69FE" w:rsidP="00DF69FE">
            <w:pPr>
              <w:jc w:val="both"/>
              <w:rPr>
                <w:rFonts w:ascii="Verdana" w:eastAsia="Calibri" w:hAnsi="Verdana" w:cs="Arial"/>
                <w:lang w:val="es-ES_tradnl" w:eastAsia="es-ES_tradnl"/>
              </w:rPr>
            </w:pPr>
            <w:r w:rsidRPr="00DF69FE">
              <w:rPr>
                <w:rFonts w:ascii="Verdana" w:eastAsia="Calibri" w:hAnsi="Verdana" w:cs="Arial"/>
                <w:lang w:val="es-ES_tradnl" w:eastAsia="es-ES_tradnl"/>
              </w:rPr>
              <w:t>Respuesta a consulta con radicado No. P20240625006496</w:t>
            </w:r>
          </w:p>
        </w:tc>
      </w:tr>
    </w:tbl>
    <w:p w14:paraId="53EC566B" w14:textId="77777777" w:rsidR="00DF69FE" w:rsidRPr="00DF69FE" w:rsidRDefault="00DF69FE" w:rsidP="00DF69FE">
      <w:pPr>
        <w:spacing w:after="0" w:line="240" w:lineRule="auto"/>
        <w:jc w:val="both"/>
        <w:rPr>
          <w:rFonts w:ascii="Verdana" w:eastAsia="Calibri" w:hAnsi="Verdana" w:cs="Arial"/>
          <w:lang w:val="es-ES_tradnl" w:eastAsia="es-ES_tradnl"/>
        </w:rPr>
      </w:pPr>
    </w:p>
    <w:p w14:paraId="2CBC2ACA" w14:textId="77777777" w:rsidR="00DF69FE" w:rsidRPr="00DF69FE" w:rsidRDefault="00DF69FE" w:rsidP="00DF69FE">
      <w:pPr>
        <w:spacing w:after="0" w:line="240" w:lineRule="auto"/>
        <w:jc w:val="both"/>
        <w:rPr>
          <w:rFonts w:ascii="Verdana" w:eastAsia="Calibri" w:hAnsi="Verdana" w:cs="Arial"/>
          <w:lang w:val="es-ES_tradnl" w:eastAsia="es-ES_tradnl"/>
        </w:rPr>
      </w:pPr>
    </w:p>
    <w:p w14:paraId="49C2565B" w14:textId="77777777" w:rsidR="00DF69FE" w:rsidRPr="00DF69FE" w:rsidRDefault="00DF69FE" w:rsidP="00DF69FE">
      <w:pPr>
        <w:spacing w:after="0" w:line="276" w:lineRule="auto"/>
        <w:jc w:val="both"/>
        <w:rPr>
          <w:rFonts w:ascii="Verdana" w:eastAsia="Calibri" w:hAnsi="Verdana" w:cs="Arial"/>
          <w:lang w:val="es-ES" w:eastAsia="es-ES"/>
        </w:rPr>
      </w:pPr>
      <w:r w:rsidRPr="00DF69FE">
        <w:rPr>
          <w:rFonts w:ascii="Verdana" w:eastAsia="Calibri" w:hAnsi="Verdana" w:cs="Arial"/>
          <w:lang w:val="es-ES" w:eastAsia="es-ES"/>
        </w:rPr>
        <w:t xml:space="preserve">Estimada señora Forero Ramírez: </w:t>
      </w:r>
    </w:p>
    <w:p w14:paraId="3F77CC22" w14:textId="77777777" w:rsidR="00DF69FE" w:rsidRPr="00DF69FE" w:rsidRDefault="00DF69FE" w:rsidP="00DF69FE">
      <w:pPr>
        <w:tabs>
          <w:tab w:val="left" w:pos="3768"/>
        </w:tabs>
        <w:spacing w:after="0" w:line="276" w:lineRule="auto"/>
        <w:jc w:val="both"/>
        <w:rPr>
          <w:rFonts w:ascii="Verdana" w:eastAsia="Calibri" w:hAnsi="Verdana" w:cs="Arial"/>
          <w:lang w:val="es-ES" w:eastAsia="es-ES"/>
        </w:rPr>
      </w:pPr>
      <w:r w:rsidRPr="00DF69FE">
        <w:rPr>
          <w:rFonts w:ascii="Verdana" w:eastAsia="Calibri" w:hAnsi="Verdana" w:cs="Arial"/>
          <w:lang w:val="es-ES" w:eastAsia="es-ES"/>
        </w:rPr>
        <w:tab/>
      </w:r>
    </w:p>
    <w:p w14:paraId="71DEFD7B" w14:textId="77777777" w:rsidR="00DF69FE" w:rsidRPr="00DF69FE" w:rsidRDefault="00DF69FE" w:rsidP="00DF69FE">
      <w:pPr>
        <w:spacing w:after="0" w:line="276" w:lineRule="auto"/>
        <w:jc w:val="both"/>
        <w:rPr>
          <w:rFonts w:ascii="Verdana" w:eastAsia="Calibri" w:hAnsi="Verdana" w:cs="Arial"/>
          <w:lang w:val="es-ES" w:eastAsia="es-ES"/>
        </w:rPr>
      </w:pPr>
      <w:r w:rsidRPr="00DF69FE">
        <w:rPr>
          <w:rFonts w:ascii="Verdana" w:eastAsia="Calibri" w:hAnsi="Verdana" w:cs="Arial"/>
          <w:lang w:val="es-ES" w:eastAsia="es-ES"/>
        </w:rPr>
        <w:t>En ejercicio de la competencia otorgada por los artículos 3, numeral 5º, y 11, numeral 8º, del Decreto Ley 4170 de 2011,</w:t>
      </w:r>
      <w:r w:rsidRPr="00DF69FE">
        <w:rPr>
          <w:rFonts w:ascii="Verdana" w:eastAsia="Arial MT" w:hAnsi="Verdana" w:cs="Arial MT"/>
          <w:lang w:val="es-ES" w:eastAsia="es-ES"/>
        </w:rPr>
        <w:t xml:space="preserve"> </w:t>
      </w:r>
      <w:r w:rsidRPr="00DF69FE">
        <w:rPr>
          <w:rFonts w:ascii="Verdana" w:eastAsia="Calibri" w:hAnsi="Verdana" w:cs="Arial"/>
        </w:rPr>
        <w:t xml:space="preserve">así como lo establecido en el artículo 4 de la Resolución 1707 de 2018 expedida por esta Entidad, </w:t>
      </w:r>
      <w:r w:rsidRPr="00DF69FE">
        <w:rPr>
          <w:rFonts w:ascii="Verdana" w:eastAsia="Calibri" w:hAnsi="Verdana" w:cs="Arial"/>
          <w:lang w:val="es-ES" w:eastAsia="es-ES"/>
        </w:rPr>
        <w:t>la Agencia Nacional de Contratación Pública – Colombia Compra Eficiente– responde su solicitud de consulta de fecha 25 de junio de 2024. En relación con los documentos tipo de licitación de obra pública de infraestructura de transporte, usted manifiesta lo siguiente:</w:t>
      </w:r>
    </w:p>
    <w:p w14:paraId="12AF3C51" w14:textId="77777777" w:rsidR="00DF69FE" w:rsidRPr="00DF69FE" w:rsidRDefault="00DF69FE" w:rsidP="00DF69FE">
      <w:pPr>
        <w:tabs>
          <w:tab w:val="left" w:pos="142"/>
          <w:tab w:val="left" w:pos="284"/>
        </w:tabs>
        <w:spacing w:line="276" w:lineRule="auto"/>
        <w:contextualSpacing/>
        <w:jc w:val="both"/>
        <w:rPr>
          <w:rFonts w:ascii="Verdana" w:eastAsia="Century Gothic" w:hAnsi="Verdana" w:cs="Century Gothic"/>
          <w:b/>
          <w:bCs/>
          <w:lang w:val="es-ES"/>
        </w:rPr>
      </w:pPr>
    </w:p>
    <w:p w14:paraId="67A9A0CD" w14:textId="77777777" w:rsidR="00DF69FE" w:rsidRPr="00DF69FE" w:rsidRDefault="00DF69FE" w:rsidP="00DF69FE">
      <w:pPr>
        <w:spacing w:after="0" w:line="240" w:lineRule="auto"/>
        <w:ind w:left="709" w:right="709"/>
        <w:jc w:val="both"/>
        <w:rPr>
          <w:rFonts w:ascii="Verdana" w:eastAsia="Century Gothic" w:hAnsi="Verdana" w:cs="Century Gothic"/>
          <w:sz w:val="20"/>
          <w:szCs w:val="20"/>
          <w:lang w:val="es-ES"/>
        </w:rPr>
      </w:pPr>
      <w:r w:rsidRPr="00DF69FE">
        <w:rPr>
          <w:rFonts w:ascii="Verdana" w:eastAsia="Century Gothic" w:hAnsi="Verdana" w:cs="Century Gothic"/>
          <w:sz w:val="20"/>
          <w:szCs w:val="20"/>
          <w:lang w:val="es-ES"/>
        </w:rPr>
        <w:t>“1.</w:t>
      </w:r>
      <w:r w:rsidRPr="00DF69FE">
        <w:rPr>
          <w:rFonts w:ascii="Aptos" w:eastAsia="Aptos" w:hAnsi="Aptos" w:cs="Times New Roman"/>
          <w:kern w:val="2"/>
          <w:sz w:val="24"/>
          <w:szCs w:val="24"/>
          <w:lang w:val="es-ES_tradnl"/>
          <w14:ligatures w14:val="standardContextual"/>
        </w:rPr>
        <w:t xml:space="preserve"> </w:t>
      </w:r>
      <w:r w:rsidRPr="00DF69FE">
        <w:rPr>
          <w:rFonts w:ascii="Verdana" w:eastAsia="Century Gothic" w:hAnsi="Verdana" w:cs="Century Gothic"/>
          <w:sz w:val="20"/>
          <w:szCs w:val="20"/>
          <w:lang w:val="es-ES"/>
        </w:rPr>
        <w:t>¿Las correcciones aritméticas del numeral 4.1.2. son aplicables a cualquier valor del formulario económico? O estas reglas son únicamente para valores ofertables y no ofertables. En ese sentido, ¿qué considera la ANCP-CCE como un valor ofertable y no ofertable?</w:t>
      </w:r>
    </w:p>
    <w:p w14:paraId="718ACD35" w14:textId="77777777" w:rsidR="00DF69FE" w:rsidRPr="00DF69FE" w:rsidRDefault="00DF69FE" w:rsidP="00DF69FE">
      <w:pPr>
        <w:spacing w:after="0" w:line="240" w:lineRule="auto"/>
        <w:ind w:left="709" w:right="709"/>
        <w:jc w:val="both"/>
        <w:rPr>
          <w:rFonts w:ascii="Verdana" w:eastAsia="Century Gothic" w:hAnsi="Verdana" w:cs="Century Gothic"/>
          <w:sz w:val="20"/>
          <w:szCs w:val="20"/>
          <w:lang w:val="es-ES"/>
        </w:rPr>
      </w:pPr>
    </w:p>
    <w:p w14:paraId="74EF6A4E" w14:textId="77777777" w:rsidR="00DF69FE" w:rsidRPr="00DF69FE" w:rsidRDefault="00DF69FE" w:rsidP="00DF69FE">
      <w:pPr>
        <w:spacing w:after="0" w:line="240" w:lineRule="auto"/>
        <w:ind w:left="709" w:right="709"/>
        <w:jc w:val="both"/>
        <w:rPr>
          <w:rFonts w:ascii="Verdana" w:eastAsia="Century Gothic" w:hAnsi="Verdana" w:cs="Century Gothic"/>
          <w:sz w:val="20"/>
          <w:szCs w:val="20"/>
          <w:lang w:val="es-ES"/>
        </w:rPr>
      </w:pPr>
      <w:r w:rsidRPr="00DF69FE">
        <w:rPr>
          <w:rFonts w:ascii="Verdana" w:eastAsia="Century Gothic" w:hAnsi="Verdana" w:cs="Century Gothic"/>
          <w:sz w:val="20"/>
          <w:szCs w:val="20"/>
          <w:lang w:val="es-ES"/>
        </w:rPr>
        <w:lastRenderedPageBreak/>
        <w:t>2. ¿Las entidades obligadas a implementar los documentos tipo pueden establecer reglas en la oferta económica basadas en que el contrato se celebra por el valor del presupuesto oficial, y por ende el valor ofertado debe ser exactamente igual al presupuesto oficial? Esto basado en el empleo general y abstracto presentado en este documento al establecer que: Valor ofertado (valor con el que se aplica las fórmulas del puntaje económico) + Obras adicionales (Bolsa de NPs inventado por la entidad a cargo del proponente) = Presupuesto oficial. Y que si llega a ser menor o mayor, sea una oferta parcial y por ende rechazada. Aún cuando el puntaje se otorga en función del valor ofertado sin incluir el costo de las denominadas obras adicionales.</w:t>
      </w:r>
    </w:p>
    <w:p w14:paraId="1FCE1C83" w14:textId="77777777" w:rsidR="00DF69FE" w:rsidRPr="00DF69FE" w:rsidRDefault="00DF69FE" w:rsidP="00DF69FE">
      <w:pPr>
        <w:spacing w:after="0" w:line="240" w:lineRule="auto"/>
        <w:ind w:left="709" w:right="709"/>
        <w:jc w:val="both"/>
        <w:rPr>
          <w:rFonts w:ascii="Verdana" w:eastAsia="Century Gothic" w:hAnsi="Verdana" w:cs="Century Gothic"/>
          <w:sz w:val="20"/>
          <w:szCs w:val="20"/>
          <w:lang w:val="es-ES"/>
        </w:rPr>
      </w:pPr>
    </w:p>
    <w:p w14:paraId="41288FE7" w14:textId="77777777" w:rsidR="00DF69FE" w:rsidRPr="00DF69FE" w:rsidRDefault="00DF69FE" w:rsidP="00DF69FE">
      <w:pPr>
        <w:spacing w:after="0" w:line="240" w:lineRule="auto"/>
        <w:ind w:left="709" w:right="709"/>
        <w:jc w:val="both"/>
        <w:rPr>
          <w:rFonts w:ascii="Verdana" w:eastAsia="Century Gothic" w:hAnsi="Verdana" w:cs="Century Gothic"/>
          <w:sz w:val="20"/>
          <w:szCs w:val="20"/>
          <w:lang w:val="es-ES"/>
        </w:rPr>
      </w:pPr>
      <w:r w:rsidRPr="00DF69FE">
        <w:rPr>
          <w:rFonts w:ascii="Verdana" w:eastAsia="Century Gothic" w:hAnsi="Verdana" w:cs="Century Gothic"/>
          <w:sz w:val="20"/>
          <w:szCs w:val="20"/>
          <w:lang w:val="es-ES"/>
        </w:rPr>
        <w:t>3. ¿Qué considera la ANCP-CCE como una oferta parcial? ¿Se considera como aquella que es igua[l], menor o mayor al presupuesto oficial?</w:t>
      </w:r>
    </w:p>
    <w:p w14:paraId="4C25613E" w14:textId="77777777" w:rsidR="00DF69FE" w:rsidRPr="00DF69FE" w:rsidRDefault="00DF69FE" w:rsidP="00DF69FE">
      <w:pPr>
        <w:spacing w:after="0" w:line="240" w:lineRule="auto"/>
        <w:ind w:left="709" w:right="709"/>
        <w:jc w:val="both"/>
        <w:rPr>
          <w:rFonts w:ascii="Verdana" w:eastAsia="Century Gothic" w:hAnsi="Verdana" w:cs="Century Gothic"/>
          <w:sz w:val="20"/>
          <w:szCs w:val="20"/>
          <w:lang w:val="es-ES"/>
        </w:rPr>
      </w:pPr>
    </w:p>
    <w:p w14:paraId="51105692" w14:textId="77777777" w:rsidR="00DF69FE" w:rsidRPr="00DF69FE" w:rsidRDefault="00DF69FE" w:rsidP="00DF69FE">
      <w:pPr>
        <w:spacing w:after="0" w:line="240" w:lineRule="auto"/>
        <w:ind w:left="709" w:right="709"/>
        <w:jc w:val="both"/>
        <w:rPr>
          <w:rFonts w:ascii="Verdana" w:eastAsia="Century Gothic" w:hAnsi="Verdana" w:cs="Century Gothic"/>
          <w:sz w:val="20"/>
          <w:szCs w:val="20"/>
          <w:lang w:val="es-ES"/>
        </w:rPr>
      </w:pPr>
      <w:r w:rsidRPr="00DF69FE">
        <w:rPr>
          <w:rFonts w:ascii="Verdana" w:eastAsia="Century Gothic" w:hAnsi="Verdana" w:cs="Century Gothic"/>
          <w:sz w:val="20"/>
          <w:szCs w:val="20"/>
          <w:lang w:val="es-ES"/>
        </w:rPr>
        <w:t>4. ¿Las entidades pueden incluir una regla de obras adicionales, que ante los ojos es la justificación de los ítems no previstos y que esto cree una regla por la entidad para rechazar ofertas?”</w:t>
      </w:r>
    </w:p>
    <w:p w14:paraId="7AD61114" w14:textId="77777777" w:rsidR="00DF69FE" w:rsidRPr="00DF69FE" w:rsidRDefault="00DF69FE" w:rsidP="00DF69FE">
      <w:pPr>
        <w:spacing w:after="0" w:line="240" w:lineRule="auto"/>
        <w:ind w:right="709"/>
        <w:jc w:val="both"/>
        <w:rPr>
          <w:rFonts w:ascii="Verdana" w:eastAsia="Century Gothic" w:hAnsi="Verdana" w:cs="Century Gothic"/>
          <w:lang w:val="es-ES"/>
        </w:rPr>
      </w:pPr>
    </w:p>
    <w:p w14:paraId="015A17A4" w14:textId="77777777" w:rsidR="00DF69FE" w:rsidRPr="00DF69FE" w:rsidRDefault="00DF69FE" w:rsidP="00DF69FE">
      <w:pPr>
        <w:spacing w:after="120" w:line="276" w:lineRule="auto"/>
        <w:ind w:firstLine="709"/>
        <w:jc w:val="both"/>
        <w:rPr>
          <w:rFonts w:ascii="Verdana" w:eastAsia="Calibri" w:hAnsi="Verdana" w:cs="Arial"/>
          <w:szCs w:val="24"/>
          <w:lang w:val="es-ES_tradnl" w:eastAsia="es-ES_tradnl"/>
        </w:rPr>
      </w:pPr>
      <w:r w:rsidRPr="00DF69FE">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F69FE">
        <w:rPr>
          <w:rFonts w:ascii="Verdana" w:eastAsia="Calibri" w:hAnsi="Verdana" w:cs="Arial"/>
          <w:szCs w:val="24"/>
          <w:lang w:val="es-ES_tradnl" w:eastAsia="es-ES_tradnl"/>
        </w:rPr>
        <w:tab/>
      </w:r>
    </w:p>
    <w:p w14:paraId="7849AD4A" w14:textId="77777777" w:rsidR="00DF69FE" w:rsidRPr="00DF69FE" w:rsidRDefault="00DF69FE" w:rsidP="00DF69FE">
      <w:pPr>
        <w:spacing w:after="0" w:line="276" w:lineRule="auto"/>
        <w:ind w:firstLine="709"/>
        <w:jc w:val="both"/>
        <w:rPr>
          <w:rFonts w:ascii="Verdana" w:eastAsia="Calibri" w:hAnsi="Verdana" w:cs="Arial"/>
          <w:lang w:val="es-ES" w:eastAsia="es-ES"/>
        </w:rPr>
      </w:pPr>
      <w:r w:rsidRPr="00DF69FE">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D89F15C" w14:textId="77777777" w:rsidR="00DF69FE" w:rsidRPr="00DF69FE" w:rsidRDefault="00DF69FE" w:rsidP="00DF69FE">
      <w:pPr>
        <w:spacing w:after="0" w:line="276" w:lineRule="auto"/>
        <w:ind w:firstLine="709"/>
        <w:jc w:val="both"/>
        <w:rPr>
          <w:rFonts w:ascii="Verdana" w:eastAsia="Calibri" w:hAnsi="Verdana" w:cs="Arial"/>
          <w:lang w:val="es-ES" w:eastAsia="es-ES"/>
        </w:rPr>
      </w:pPr>
    </w:p>
    <w:p w14:paraId="6FFD3700" w14:textId="77777777" w:rsidR="00DF69FE" w:rsidRPr="00DF69FE" w:rsidRDefault="00DF69FE" w:rsidP="00DF69FE">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DF69FE">
        <w:rPr>
          <w:rFonts w:ascii="Verdana" w:eastAsia="Century Gothic" w:hAnsi="Verdana" w:cs="Century Gothic"/>
          <w:b/>
          <w:bCs/>
          <w:lang w:val="es-ES"/>
        </w:rPr>
        <w:t>Problema planteado:</w:t>
      </w:r>
    </w:p>
    <w:p w14:paraId="6034005F" w14:textId="77777777" w:rsidR="00DF69FE" w:rsidRPr="00DF69FE" w:rsidRDefault="00DF69FE" w:rsidP="00DF69FE">
      <w:pPr>
        <w:tabs>
          <w:tab w:val="left" w:pos="426"/>
        </w:tabs>
        <w:spacing w:after="0" w:line="276" w:lineRule="auto"/>
        <w:jc w:val="both"/>
        <w:rPr>
          <w:rFonts w:ascii="Verdana" w:eastAsia="Century Gothic" w:hAnsi="Verdana" w:cs="Century Gothic"/>
          <w:lang w:val="es-ES"/>
        </w:rPr>
      </w:pPr>
    </w:p>
    <w:p w14:paraId="45FF22A4" w14:textId="77777777" w:rsidR="00DF69FE" w:rsidRPr="00DF69FE" w:rsidRDefault="00DF69FE" w:rsidP="00DF69FE">
      <w:pPr>
        <w:snapToGrid w:val="0"/>
        <w:spacing w:after="0" w:line="276" w:lineRule="auto"/>
        <w:jc w:val="both"/>
        <w:rPr>
          <w:rFonts w:ascii="Verdana" w:eastAsia="Century Gothic" w:hAnsi="Verdana" w:cs="Century Gothic"/>
        </w:rPr>
      </w:pPr>
      <w:r w:rsidRPr="00DF69FE">
        <w:rPr>
          <w:rFonts w:ascii="Verdana" w:eastAsia="Century Gothic" w:hAnsi="Verdana" w:cs="Century Gothic"/>
        </w:rPr>
        <w:t xml:space="preserve">De acuerdo con el contenido de su solicitud, esta Agencia resolverá el siguiente problema jurídico: ¿cuál es el alcance de las reglas sobre correcciones </w:t>
      </w:r>
      <w:r w:rsidRPr="00DF69FE">
        <w:rPr>
          <w:rFonts w:ascii="Verdana" w:eastAsia="Century Gothic" w:hAnsi="Verdana" w:cs="Century Gothic"/>
        </w:rPr>
        <w:lastRenderedPageBreak/>
        <w:t>aritméticas y la oferta económica de los documentos tipo de licitación de obra pública de infraestructura de transporte?</w:t>
      </w:r>
    </w:p>
    <w:p w14:paraId="67E0B728" w14:textId="77777777" w:rsidR="00DF69FE" w:rsidRPr="00DF69FE" w:rsidRDefault="00DF69FE" w:rsidP="00DF69FE">
      <w:pPr>
        <w:snapToGrid w:val="0"/>
        <w:spacing w:after="0" w:line="276" w:lineRule="auto"/>
        <w:jc w:val="both"/>
        <w:rPr>
          <w:rFonts w:ascii="Verdana" w:eastAsia="Calibri" w:hAnsi="Verdana" w:cs="Arial"/>
          <w:lang w:val="es-ES"/>
        </w:rPr>
      </w:pPr>
    </w:p>
    <w:p w14:paraId="32DF619C" w14:textId="77777777" w:rsidR="00DF69FE" w:rsidRPr="00DF69FE" w:rsidRDefault="00DF69FE" w:rsidP="00DF69FE">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DF69FE">
        <w:rPr>
          <w:rFonts w:ascii="Verdana" w:eastAsia="Century Gothic" w:hAnsi="Verdana" w:cs="Century Gothic"/>
          <w:b/>
          <w:bCs/>
          <w:lang w:val="es-ES"/>
        </w:rPr>
        <w:t>Respuesta:</w:t>
      </w:r>
    </w:p>
    <w:p w14:paraId="3EB05C9D" w14:textId="77777777" w:rsidR="00DF69FE" w:rsidRPr="00DF69FE" w:rsidRDefault="00DF69FE" w:rsidP="00DF69FE">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F69FE" w:rsidRPr="00DF69FE" w14:paraId="7B67F66C" w14:textId="77777777" w:rsidTr="0058359A">
        <w:tc>
          <w:tcPr>
            <w:tcW w:w="8828" w:type="dxa"/>
            <w:shd w:val="clear" w:color="auto" w:fill="auto"/>
          </w:tcPr>
          <w:p w14:paraId="0EDDBCB1" w14:textId="77777777" w:rsidR="00DF69FE" w:rsidRPr="00DF69FE" w:rsidRDefault="00DF69FE" w:rsidP="00DF69FE">
            <w:pPr>
              <w:spacing w:line="276" w:lineRule="auto"/>
              <w:jc w:val="both"/>
              <w:rPr>
                <w:rFonts w:ascii="Verdana" w:eastAsia="Times New Roman" w:hAnsi="Verdana" w:cs="Arial"/>
                <w:shd w:val="clear" w:color="auto" w:fill="FFFFFF"/>
                <w:lang w:val="es-ES" w:eastAsia="es-ES"/>
              </w:rPr>
            </w:pPr>
            <w:r w:rsidRPr="00DF69FE">
              <w:rPr>
                <w:rFonts w:ascii="Verdana" w:eastAsia="Times New Roman" w:hAnsi="Verdana" w:cs="Arial"/>
                <w:shd w:val="clear" w:color="auto" w:fill="FFFFFF"/>
                <w:lang w:val="es-ES" w:eastAsia="es-ES"/>
              </w:rPr>
              <w:t xml:space="preserve">En virtud de la regla de inalterabilidad, los Documentos Tipo solo pueden ser modificados en los aspectos en que estos lo permitan. Esto corresponde a aquellos aspectos que se encuentran entre corchetes y resaltados en gris </w:t>
            </w:r>
            <w:r w:rsidRPr="00DF69FE">
              <w:rPr>
                <w:rFonts w:ascii="Verdana" w:eastAsia="Times New Roman" w:hAnsi="Verdana" w:cs="Arial"/>
                <w:highlight w:val="lightGray"/>
                <w:shd w:val="clear" w:color="auto" w:fill="FFFFFF"/>
                <w:lang w:val="es-ES" w:eastAsia="es-ES"/>
              </w:rPr>
              <w:t>–[texto]–</w:t>
            </w:r>
            <w:r w:rsidRPr="00DF69FE">
              <w:rPr>
                <w:rFonts w:ascii="Verdana" w:eastAsia="Times New Roman" w:hAnsi="Verdana" w:cs="Arial"/>
                <w:shd w:val="clear" w:color="auto" w:fill="FFFFFF"/>
                <w:lang w:val="es-ES" w:eastAsia="es-ES"/>
              </w:rPr>
              <w:t>, para lo cual deberán observarse las instrucciones contenidas en los mismos para su diligenciamiento.</w:t>
            </w:r>
          </w:p>
          <w:p w14:paraId="6B9C9AFB" w14:textId="77777777" w:rsidR="00DF69FE" w:rsidRPr="00DF69FE" w:rsidRDefault="00DF69FE" w:rsidP="00DF69FE">
            <w:pPr>
              <w:spacing w:line="276" w:lineRule="auto"/>
              <w:jc w:val="both"/>
              <w:rPr>
                <w:rFonts w:ascii="Verdana" w:eastAsia="Calibri" w:hAnsi="Verdana" w:cs="Arial"/>
                <w:bCs/>
                <w:lang w:val="es-ES_tradnl" w:eastAsia="es-CO"/>
              </w:rPr>
            </w:pPr>
          </w:p>
          <w:p w14:paraId="71F2705D" w14:textId="77777777" w:rsidR="00DF69FE" w:rsidRPr="00DF69FE" w:rsidRDefault="00DF69FE" w:rsidP="00DF69FE">
            <w:pPr>
              <w:widowControl w:val="0"/>
              <w:autoSpaceDE w:val="0"/>
              <w:autoSpaceDN w:val="0"/>
              <w:snapToGrid w:val="0"/>
              <w:spacing w:line="276" w:lineRule="auto"/>
              <w:jc w:val="both"/>
              <w:rPr>
                <w:rFonts w:ascii="Verdana" w:eastAsia="Calibri" w:hAnsi="Verdana" w:cs="Arial"/>
                <w:lang w:val="es-MX" w:eastAsia="es-MX"/>
              </w:rPr>
            </w:pPr>
            <w:r w:rsidRPr="00DF69FE">
              <w:rPr>
                <w:rFonts w:ascii="Verdana" w:eastAsia="Calibri" w:hAnsi="Verdana" w:cs="Arial"/>
                <w:lang w:val="es-MX" w:eastAsia="es-MX"/>
              </w:rPr>
              <w:t>En los documentos tipo de obra de infraestructura de transporte, el “Formulario 1 – Formulario de Presupuesto Oficial” tiene dos connotaciones: i) por un lado, es el formulario sobre el cual la entidad estructura y presenta el presupuesto oficial del procedimiento de contratación; y ii) por el otro, es el formulario sobre el cual los proponentes elaboran y presentan su oferta económica. Específicamente, frente a la propuesta económica, el documento base señala que la misma se debe elaborar a partir del “Formulario 1– Formulario de Presupuesto Oficial” y la presentación debe hacerse con sujeción a lo dispuesto en los numerales “2.3. ELABORACIÓN Y PRESENTACIÓN DE LA OFERTA” y “4.1. OFERTA ECONÓMICA” del referido documento base.</w:t>
            </w:r>
            <w:r w:rsidRPr="00DF69FE">
              <w:rPr>
                <w:rFonts w:ascii="Verdana" w:eastAsia="Calibri" w:hAnsi="Verdana" w:cs="Arial"/>
                <w:lang w:val="es-ES" w:eastAsia="es-MX"/>
              </w:rPr>
              <w:t xml:space="preserve"> </w:t>
            </w:r>
            <w:r w:rsidRPr="00DF69FE">
              <w:rPr>
                <w:rFonts w:ascii="Verdana" w:eastAsia="Calibri" w:hAnsi="Verdana" w:cs="Arial"/>
                <w:lang w:val="es-MX" w:eastAsia="es-MX"/>
              </w:rPr>
              <w:t xml:space="preserve">En este sentido, la oferta tendrá que estructurarse de conformidad con lo dipuesto en los aludidos numerales, los cuales son de obligatoria observancia en virtud de la regla de inalterabilidad de los docuemntos tipo.  </w:t>
            </w:r>
          </w:p>
          <w:p w14:paraId="7CCD9040" w14:textId="77777777" w:rsidR="00DF69FE" w:rsidRPr="00DF69FE" w:rsidRDefault="00DF69FE" w:rsidP="00DF69FE">
            <w:pPr>
              <w:snapToGrid w:val="0"/>
              <w:spacing w:line="276" w:lineRule="auto"/>
              <w:jc w:val="both"/>
              <w:rPr>
                <w:rFonts w:ascii="Verdana" w:eastAsia="Aptos" w:hAnsi="Verdana" w:cs="Arial"/>
                <w:lang w:val="es-ES_tradnl"/>
              </w:rPr>
            </w:pPr>
          </w:p>
          <w:p w14:paraId="7523D9D0" w14:textId="77777777" w:rsidR="00DF69FE" w:rsidRPr="00DF69FE" w:rsidRDefault="00DF69FE" w:rsidP="00DF69FE">
            <w:pPr>
              <w:snapToGrid w:val="0"/>
              <w:spacing w:line="276" w:lineRule="auto"/>
              <w:jc w:val="both"/>
              <w:rPr>
                <w:rFonts w:ascii="Verdana" w:eastAsia="Aptos" w:hAnsi="Verdana" w:cs="Arial"/>
                <w:lang w:val="es-ES_tradnl"/>
              </w:rPr>
            </w:pPr>
            <w:r w:rsidRPr="00DF69FE">
              <w:rPr>
                <w:rFonts w:ascii="Verdana" w:eastAsia="Aptos" w:hAnsi="Verdana" w:cs="Arial"/>
                <w:lang w:val="es-ES_tradnl"/>
              </w:rPr>
              <w:t>Por otra parte, el numeral “4.1.2. CORRECCIONES ARITMÉTICAS” del Documento Base señala las situaciones en las cuales la entidad efectuará correcciones aritméticas y únicamente proceden en los supuestos allí señalados. En todo caso, cuando la entidad realice modificaciones o incluya aspectos que puedan interpretar de forma diferente lo definido en el pliego tipo, primará lo señalado en los documentos tipo, conforme al literal “E” del numeral 1.17 del Documento Base.</w:t>
            </w:r>
          </w:p>
        </w:tc>
      </w:tr>
    </w:tbl>
    <w:p w14:paraId="5E6582CC" w14:textId="77777777" w:rsidR="00DF69FE" w:rsidRPr="00DF69FE" w:rsidRDefault="00DF69FE" w:rsidP="00DF69FE">
      <w:pPr>
        <w:tabs>
          <w:tab w:val="left" w:pos="142"/>
          <w:tab w:val="left" w:pos="284"/>
        </w:tabs>
        <w:snapToGrid w:val="0"/>
        <w:spacing w:after="0" w:line="276" w:lineRule="auto"/>
        <w:jc w:val="both"/>
        <w:rPr>
          <w:rFonts w:ascii="Verdana" w:eastAsia="Century Gothic" w:hAnsi="Verdana" w:cs="Century Gothic"/>
          <w:b/>
          <w:bCs/>
          <w:lang w:val="es-ES"/>
        </w:rPr>
      </w:pPr>
    </w:p>
    <w:p w14:paraId="7757A5CC" w14:textId="77777777" w:rsidR="00DF69FE" w:rsidRPr="00DF69FE" w:rsidRDefault="00DF69FE" w:rsidP="00DF69FE">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DF69FE">
        <w:rPr>
          <w:rFonts w:ascii="Verdana" w:eastAsia="Century Gothic" w:hAnsi="Verdana" w:cs="Century Gothic"/>
          <w:b/>
          <w:bCs/>
          <w:lang w:val="es-ES"/>
        </w:rPr>
        <w:t>Razones de la respuesta:</w:t>
      </w:r>
    </w:p>
    <w:p w14:paraId="78806D34" w14:textId="77777777" w:rsidR="00DF69FE" w:rsidRPr="00DF69FE" w:rsidRDefault="00DF69FE" w:rsidP="00DF69FE">
      <w:pPr>
        <w:tabs>
          <w:tab w:val="left" w:pos="142"/>
          <w:tab w:val="left" w:pos="284"/>
        </w:tabs>
        <w:snapToGrid w:val="0"/>
        <w:spacing w:after="0" w:line="276" w:lineRule="auto"/>
        <w:ind w:left="357"/>
        <w:jc w:val="both"/>
        <w:rPr>
          <w:rFonts w:ascii="Verdana" w:eastAsia="Century Gothic" w:hAnsi="Verdana" w:cs="Century Gothic"/>
          <w:b/>
          <w:bCs/>
          <w:lang w:val="es-ES"/>
        </w:rPr>
      </w:pPr>
    </w:p>
    <w:p w14:paraId="71EA6BE2" w14:textId="77777777" w:rsidR="00DF69FE" w:rsidRPr="00DF69FE" w:rsidRDefault="00DF69FE" w:rsidP="00DF69FE">
      <w:pPr>
        <w:snapToGrid w:val="0"/>
        <w:spacing w:after="0" w:line="276" w:lineRule="auto"/>
        <w:jc w:val="both"/>
        <w:rPr>
          <w:rFonts w:ascii="Verdana" w:eastAsia="Calibri" w:hAnsi="Verdana" w:cs="Arial"/>
          <w:lang w:val="es-ES"/>
        </w:rPr>
      </w:pPr>
      <w:r w:rsidRPr="00DF69FE">
        <w:rPr>
          <w:rFonts w:ascii="Verdana" w:eastAsia="Calibri" w:hAnsi="Verdana" w:cs="Arial"/>
          <w:lang w:val="es-ES"/>
        </w:rPr>
        <w:t>Lo anterior se sustenta en las siguientes consideraciones:</w:t>
      </w:r>
    </w:p>
    <w:p w14:paraId="4939B104" w14:textId="77777777" w:rsidR="00DF69FE" w:rsidRPr="00DF69FE" w:rsidRDefault="00DF69FE" w:rsidP="00DF69FE">
      <w:pPr>
        <w:snapToGrid w:val="0"/>
        <w:spacing w:after="0" w:line="276" w:lineRule="auto"/>
        <w:jc w:val="both"/>
        <w:rPr>
          <w:rFonts w:ascii="Verdana" w:eastAsia="Calibri" w:hAnsi="Verdana" w:cs="Arial"/>
          <w:lang w:val="es-ES"/>
        </w:rPr>
      </w:pPr>
      <w:r w:rsidRPr="00DF69FE">
        <w:rPr>
          <w:rFonts w:ascii="Verdana" w:eastAsia="Calibri" w:hAnsi="Verdana" w:cs="Arial"/>
          <w:lang w:val="es-ES"/>
        </w:rPr>
        <w:t xml:space="preserve"> </w:t>
      </w:r>
    </w:p>
    <w:p w14:paraId="4548C04B" w14:textId="77777777" w:rsidR="00DF69FE" w:rsidRPr="00DF69FE" w:rsidRDefault="00DF69FE" w:rsidP="00DF69FE">
      <w:pPr>
        <w:numPr>
          <w:ilvl w:val="0"/>
          <w:numId w:val="18"/>
        </w:numPr>
        <w:snapToGrid w:val="0"/>
        <w:spacing w:after="0" w:line="276" w:lineRule="auto"/>
        <w:jc w:val="both"/>
        <w:rPr>
          <w:rFonts w:ascii="Verdana" w:eastAsia="Calibri" w:hAnsi="Verdana" w:cs="Arial"/>
          <w:kern w:val="2"/>
          <w:lang w:val="es-ES"/>
          <w14:ligatures w14:val="standardContextual"/>
        </w:rPr>
      </w:pPr>
      <w:r w:rsidRPr="00DF69FE">
        <w:rPr>
          <w:rFonts w:ascii="Verdana" w:eastAsia="Calibri" w:hAnsi="Verdana" w:cs="Arial"/>
          <w:kern w:val="2"/>
          <w:lang w:val="es-ES"/>
          <w14:ligatures w14:val="standardContextual"/>
        </w:rPr>
        <w:lastRenderedPageBreak/>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305CEEC" w14:textId="77777777" w:rsidR="00DF69FE" w:rsidRPr="00DF69FE" w:rsidRDefault="00DF69FE" w:rsidP="00DF69FE">
      <w:pPr>
        <w:snapToGrid w:val="0"/>
        <w:spacing w:after="0" w:line="276" w:lineRule="auto"/>
        <w:ind w:left="720"/>
        <w:jc w:val="both"/>
        <w:rPr>
          <w:rFonts w:ascii="Verdana" w:eastAsia="Calibri" w:hAnsi="Verdana" w:cs="Arial"/>
          <w:kern w:val="2"/>
          <w:lang w:val="es-ES"/>
          <w14:ligatures w14:val="standardContextual"/>
        </w:rPr>
      </w:pPr>
    </w:p>
    <w:p w14:paraId="60DFE6C2" w14:textId="77777777" w:rsidR="00DF69FE" w:rsidRPr="00DF69FE" w:rsidRDefault="00DF69FE" w:rsidP="00DF69FE">
      <w:pPr>
        <w:numPr>
          <w:ilvl w:val="0"/>
          <w:numId w:val="18"/>
        </w:numPr>
        <w:snapToGrid w:val="0"/>
        <w:spacing w:after="0" w:line="276" w:lineRule="auto"/>
        <w:jc w:val="both"/>
        <w:rPr>
          <w:rFonts w:ascii="Verdana" w:eastAsia="Calibri" w:hAnsi="Verdana" w:cs="Arial"/>
          <w:kern w:val="2"/>
          <w:lang w:val="es-ES" w:eastAsia="es-ES"/>
          <w14:ligatures w14:val="standardContextual"/>
        </w:rPr>
      </w:pPr>
      <w:r w:rsidRPr="00DF69FE">
        <w:rPr>
          <w:rFonts w:ascii="Verdana" w:eastAsia="Times New Roman" w:hAnsi="Verdana" w:cs="Arial"/>
          <w:kern w:val="2"/>
          <w:shd w:val="clear" w:color="auto" w:fill="FFFFFF"/>
          <w:lang w:val="es-ES_tradnl" w:eastAsia="es-ES_tradnl"/>
          <w14:ligatures w14:val="standardContextual"/>
        </w:rPr>
        <w:t>Todas las resoluciones expedidas por la Agencia Nacional de Contratación Pública – Colombia Compra Eficiente, mediante las cuales se han adoptado los documentos tipo, consagran la regla de la inalterabilidad</w:t>
      </w:r>
      <w:r w:rsidRPr="00DF69FE">
        <w:rPr>
          <w:rFonts w:ascii="Verdana" w:eastAsia="Aptos" w:hAnsi="Verdana" w:cs="Times New Roman"/>
          <w:kern w:val="2"/>
          <w:shd w:val="clear" w:color="auto" w:fill="FFFFFF"/>
          <w:vertAlign w:val="superscript"/>
          <w:lang w:val="es-ES_tradnl" w:eastAsia="es-ES_tradnl"/>
          <w14:ligatures w14:val="standardContextual"/>
        </w:rPr>
        <w:footnoteReference w:id="1"/>
      </w:r>
      <w:r w:rsidRPr="00DF69FE">
        <w:rPr>
          <w:rFonts w:ascii="Verdana" w:eastAsia="Times New Roman" w:hAnsi="Verdana" w:cs="Arial"/>
          <w:kern w:val="2"/>
          <w:shd w:val="clear" w:color="auto" w:fill="FFFFFF"/>
          <w:lang w:val="es-ES_tradnl" w:eastAsia="es-ES_tradnl"/>
          <w14:ligatures w14:val="standardContextual"/>
        </w:rPr>
        <w:t xml:space="preserve">. Esta prohibición consiste en que las entidades estatales no pueden incluir o modificar en los </w:t>
      </w:r>
      <w:r w:rsidRPr="00DF69FE">
        <w:rPr>
          <w:rFonts w:ascii="Verdana" w:eastAsia="Times New Roman" w:hAnsi="Verdana" w:cs="Arial"/>
          <w:i/>
          <w:iCs/>
          <w:kern w:val="2"/>
          <w:shd w:val="clear" w:color="auto" w:fill="FFFFFF"/>
          <w:lang w:val="es-ES_tradnl" w:eastAsia="es-ES_tradnl"/>
          <w14:ligatures w14:val="standardContextual"/>
        </w:rPr>
        <w:t>Documentos del Proceso</w:t>
      </w:r>
      <w:r w:rsidRPr="00DF69FE">
        <w:rPr>
          <w:rFonts w:ascii="Verdana" w:eastAsia="Times New Roman" w:hAnsi="Verdana" w:cs="Arial"/>
          <w:kern w:val="2"/>
          <w:shd w:val="clear" w:color="auto" w:fill="FFFFFF"/>
          <w:lang w:val="es-ES_tradnl" w:eastAsia="es-ES_tradnl"/>
          <w14:ligatures w14:val="standardContextual"/>
        </w:rPr>
        <w:t xml:space="preserve">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8A49512" w14:textId="77777777" w:rsidR="00DF69FE" w:rsidRPr="00DF69FE" w:rsidRDefault="00DF69FE" w:rsidP="00DF69FE">
      <w:pPr>
        <w:snapToGrid w:val="0"/>
        <w:spacing w:after="0" w:line="276" w:lineRule="auto"/>
        <w:jc w:val="both"/>
        <w:rPr>
          <w:rFonts w:ascii="Verdana" w:eastAsia="Calibri" w:hAnsi="Verdana" w:cs="Arial"/>
          <w:kern w:val="2"/>
          <w:lang w:val="es-ES" w:eastAsia="es-ES"/>
          <w14:ligatures w14:val="standardContextual"/>
        </w:rPr>
      </w:pPr>
    </w:p>
    <w:p w14:paraId="2CF778EE" w14:textId="77777777" w:rsidR="00DF69FE" w:rsidRPr="00DF69FE" w:rsidRDefault="00DF69FE" w:rsidP="00DF69FE">
      <w:pPr>
        <w:numPr>
          <w:ilvl w:val="0"/>
          <w:numId w:val="18"/>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DF69FE">
        <w:rPr>
          <w:rFonts w:ascii="Verdana" w:eastAsia="Times New Roman" w:hAnsi="Verdana" w:cs="Arial"/>
          <w:kern w:val="2"/>
          <w:shd w:val="clear" w:color="auto" w:fill="FFFFFF"/>
          <w:lang w:val="es-ES_tradnl" w:eastAsia="es-ES_tradnl"/>
          <w14:ligatures w14:val="standardContextual"/>
        </w:rPr>
        <w:t>El fundamento legal vigente de la regla de inalterabilidad se encuentra en el artículo 1 de la Ley 2022 de 2020, según el cual “</w:t>
      </w:r>
      <w:r w:rsidRPr="00DF69FE">
        <w:rPr>
          <w:rFonts w:ascii="Verdana" w:eastAsia="Times New Roman" w:hAnsi="Verdana" w:cs="Arial"/>
          <w:kern w:val="2"/>
          <w:lang w:val="es-ES_tradnl" w:eastAsia="es-ES_tradnl"/>
          <w14:ligatures w14:val="standardContextual"/>
        </w:rPr>
        <w:t xml:space="preserve">[…] </w:t>
      </w:r>
      <w:r w:rsidRPr="00DF69FE">
        <w:rPr>
          <w:rFonts w:ascii="Verdana" w:eastAsia="Times New Roman" w:hAnsi="Verdana" w:cs="Arial"/>
          <w:kern w:val="2"/>
          <w:shd w:val="clear" w:color="auto" w:fill="FFFFFF"/>
          <w:lang w:val="es-ES_tradnl" w:eastAsia="es-ES_tradnl"/>
          <w14:ligatures w14:val="standardContextua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2CE70E71" w14:textId="77777777" w:rsidR="00DF69FE" w:rsidRPr="00DF69FE" w:rsidRDefault="00DF69FE" w:rsidP="00DF69FE">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p>
    <w:p w14:paraId="3721BF92" w14:textId="77777777" w:rsidR="00DF69FE" w:rsidRPr="00DF69FE" w:rsidRDefault="00DF69FE" w:rsidP="00DF69FE">
      <w:pPr>
        <w:numPr>
          <w:ilvl w:val="0"/>
          <w:numId w:val="18"/>
        </w:numPr>
        <w:snapToGrid w:val="0"/>
        <w:spacing w:after="0" w:line="276" w:lineRule="auto"/>
        <w:jc w:val="both"/>
        <w:rPr>
          <w:rFonts w:ascii="Verdana" w:eastAsia="Times New Roman" w:hAnsi="Verdana" w:cs="Arial"/>
          <w:kern w:val="2"/>
          <w:shd w:val="clear" w:color="auto" w:fill="FFFFFF"/>
          <w:lang w:val="es-ES" w:eastAsia="es-ES"/>
          <w14:ligatures w14:val="standardContextual"/>
        </w:rPr>
      </w:pPr>
      <w:r w:rsidRPr="00DF69FE">
        <w:rPr>
          <w:rFonts w:ascii="Verdana" w:eastAsia="Times New Roman" w:hAnsi="Verdana" w:cs="Arial"/>
          <w:kern w:val="2"/>
          <w:shd w:val="clear" w:color="auto" w:fill="FFFFFF"/>
          <w:lang w:val="es-ES" w:eastAsia="es-ES"/>
          <w14:ligatures w14:val="standardContextual"/>
        </w:rPr>
        <w:lastRenderedPageBreak/>
        <w:t xml:space="preserve">En consecuencia, en virtud de la regla de inalterabilidad aludida, los Documentos Tipo solo pueden ser modificados en los aspectos en que estos lo permitan. Esto corresponde a aquellos aspectos que se encuentran entre corchetes y resaltados en gris </w:t>
      </w:r>
      <w:r w:rsidRPr="00DF69FE">
        <w:rPr>
          <w:rFonts w:ascii="Verdana" w:eastAsia="Times New Roman" w:hAnsi="Verdana" w:cs="Arial"/>
          <w:kern w:val="2"/>
          <w:highlight w:val="lightGray"/>
          <w:shd w:val="clear" w:color="auto" w:fill="FFFFFF"/>
          <w:lang w:val="es-ES" w:eastAsia="es-ES"/>
          <w14:ligatures w14:val="standardContextual"/>
        </w:rPr>
        <w:t>–[texto]–</w:t>
      </w:r>
      <w:r w:rsidRPr="00DF69FE">
        <w:rPr>
          <w:rFonts w:ascii="Verdana" w:eastAsia="Times New Roman" w:hAnsi="Verdana" w:cs="Arial"/>
          <w:kern w:val="2"/>
          <w:shd w:val="clear" w:color="auto" w:fill="FFFFFF"/>
          <w:lang w:val="es-ES" w:eastAsia="es-ES"/>
          <w14:ligatures w14:val="standardContextual"/>
        </w:rPr>
        <w:t>, para lo cual deberán observarse las instrucciones contenidas en los mismos para su diligenciamiento.</w:t>
      </w:r>
    </w:p>
    <w:p w14:paraId="24BF188F" w14:textId="77777777" w:rsidR="00DF69FE" w:rsidRPr="00DF69FE" w:rsidRDefault="00DF69FE" w:rsidP="00DF69FE">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DF69FE">
        <w:rPr>
          <w:rFonts w:ascii="Verdana" w:eastAsia="Times New Roman" w:hAnsi="Verdana" w:cs="Arial"/>
          <w:kern w:val="2"/>
          <w:shd w:val="clear" w:color="auto" w:fill="FFFFFF"/>
          <w:lang w:val="es-ES_tradnl" w:eastAsia="es-ES_tradnl"/>
          <w14:ligatures w14:val="standardContextual"/>
        </w:rPr>
        <w:t xml:space="preserve"> </w:t>
      </w:r>
    </w:p>
    <w:p w14:paraId="521DFB97" w14:textId="77777777" w:rsidR="00DF69FE" w:rsidRPr="00DF69FE" w:rsidRDefault="00DF69FE" w:rsidP="00DF69FE">
      <w:pPr>
        <w:numPr>
          <w:ilvl w:val="0"/>
          <w:numId w:val="18"/>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DF69FE">
        <w:rPr>
          <w:rFonts w:ascii="Verdana" w:eastAsia="Times New Roman" w:hAnsi="Verdana" w:cs="Arial"/>
          <w:kern w:val="2"/>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6349C14C" w14:textId="77777777" w:rsidR="00DF69FE" w:rsidRPr="00DF69FE" w:rsidRDefault="00DF69FE" w:rsidP="00DF69FE">
      <w:pPr>
        <w:snapToGrid w:val="0"/>
        <w:spacing w:after="0" w:line="276" w:lineRule="auto"/>
        <w:ind w:left="720"/>
        <w:rPr>
          <w:rFonts w:ascii="Verdana" w:eastAsia="Times New Roman" w:hAnsi="Verdana" w:cs="Arial"/>
          <w:kern w:val="2"/>
          <w:shd w:val="clear" w:color="auto" w:fill="FFFFFF"/>
          <w:lang w:val="es-ES_tradnl" w:eastAsia="es-ES_tradnl"/>
          <w14:ligatures w14:val="standardContextual"/>
        </w:rPr>
      </w:pPr>
    </w:p>
    <w:p w14:paraId="1F895A9A" w14:textId="77777777" w:rsidR="00DF69FE" w:rsidRPr="00DF69FE" w:rsidRDefault="00DF69FE" w:rsidP="00DF69FE">
      <w:pPr>
        <w:numPr>
          <w:ilvl w:val="0"/>
          <w:numId w:val="18"/>
        </w:numPr>
        <w:snapToGrid w:val="0"/>
        <w:spacing w:after="0" w:line="276" w:lineRule="auto"/>
        <w:jc w:val="both"/>
        <w:rPr>
          <w:rFonts w:ascii="Verdana" w:eastAsia="Calibri" w:hAnsi="Verdana" w:cs="Arial"/>
          <w:kern w:val="2"/>
          <w:lang w:val="es-ES" w:eastAsia="es-ES"/>
          <w14:ligatures w14:val="standardContextual"/>
        </w:rPr>
      </w:pPr>
      <w:r w:rsidRPr="00DF69FE">
        <w:rPr>
          <w:rFonts w:ascii="Verdana" w:eastAsia="Calibri" w:hAnsi="Verdana" w:cs="Arial"/>
          <w:kern w:val="2"/>
          <w:lang w:val="es-MX" w:eastAsia="es-MX"/>
          <w14:ligatures w14:val="standardContextual"/>
        </w:rPr>
        <w:t xml:space="preserve">Ahora bien, los documentos tipo de infraestructura de transporte, contemplan el “Formulario 1 – Formulario de Presupuesto Oficial”, empleado por la entidad para elaborar y presentar el presupuesto oficial, y mediante el cual el proponente estructura la oferta económica. </w:t>
      </w:r>
    </w:p>
    <w:p w14:paraId="73657F30" w14:textId="77777777" w:rsidR="00DF69FE" w:rsidRPr="00DF69FE" w:rsidRDefault="00DF69FE" w:rsidP="00DF69FE">
      <w:pPr>
        <w:snapToGrid w:val="0"/>
        <w:spacing w:after="0" w:line="276" w:lineRule="auto"/>
        <w:jc w:val="both"/>
        <w:rPr>
          <w:rFonts w:ascii="Verdana" w:eastAsia="Calibri" w:hAnsi="Verdana" w:cs="Arial"/>
          <w:kern w:val="2"/>
          <w:lang w:val="es-ES" w:eastAsia="es-ES"/>
          <w14:ligatures w14:val="standardContextual"/>
        </w:rPr>
      </w:pPr>
    </w:p>
    <w:p w14:paraId="17CD4BF3" w14:textId="77777777" w:rsidR="00DF69FE" w:rsidRPr="00DF69FE" w:rsidRDefault="00DF69FE" w:rsidP="00DF69FE">
      <w:pPr>
        <w:numPr>
          <w:ilvl w:val="0"/>
          <w:numId w:val="18"/>
        </w:numPr>
        <w:snapToGrid w:val="0"/>
        <w:spacing w:after="0" w:line="276" w:lineRule="auto"/>
        <w:jc w:val="both"/>
        <w:rPr>
          <w:rFonts w:ascii="Verdana" w:eastAsia="Calibri" w:hAnsi="Verdana" w:cs="Arial"/>
          <w:kern w:val="2"/>
          <w:lang w:val="es-ES" w:eastAsia="es-ES"/>
          <w14:ligatures w14:val="standardContextual"/>
        </w:rPr>
      </w:pPr>
      <w:r w:rsidRPr="00DF69FE">
        <w:rPr>
          <w:rFonts w:ascii="Verdana" w:eastAsia="Calibri" w:hAnsi="Verdana" w:cs="Arial"/>
          <w:kern w:val="2"/>
          <w:lang w:val="es-MX" w:eastAsia="es-MX"/>
          <w14:ligatures w14:val="standardContextual"/>
        </w:rPr>
        <w:t>Este formulario lo prepara la entidad en la etapa de planeación y le permite definir el valor oficial estimado del proceso de contratación. Por tanto, las entidades estatales para su elaboración deben tener en cuenta diferentes variables</w:t>
      </w:r>
      <w:r w:rsidRPr="00DF69FE">
        <w:rPr>
          <w:rFonts w:ascii="Verdana" w:eastAsia="Aptos" w:hAnsi="Verdana" w:cs="Times New Roman"/>
          <w:kern w:val="2"/>
          <w:vertAlign w:val="superscript"/>
          <w:lang w:val="es-ES" w:eastAsia="es-MX"/>
          <w14:ligatures w14:val="standardContextual"/>
        </w:rPr>
        <w:footnoteReference w:id="2"/>
      </w:r>
      <w:r w:rsidRPr="00DF69FE">
        <w:rPr>
          <w:rFonts w:ascii="Verdana" w:eastAsia="Calibri" w:hAnsi="Verdana" w:cs="Arial"/>
          <w:kern w:val="2"/>
          <w:lang w:val="es-ES" w:eastAsia="es-MX"/>
          <w14:ligatures w14:val="standardContextual"/>
        </w:rPr>
        <w:t xml:space="preserve">, </w:t>
      </w:r>
      <w:r w:rsidRPr="00DF69FE">
        <w:rPr>
          <w:rFonts w:ascii="Verdana" w:eastAsia="Calibri" w:hAnsi="Verdana" w:cs="Arial"/>
          <w:kern w:val="2"/>
          <w:lang w:val="es-MX" w:eastAsia="es-MX"/>
          <w14:ligatures w14:val="standardContextual"/>
        </w:rPr>
        <w:t>como el objeto, alcance, obras a ejecutar, actividades, cantidades, particularidades de la zona de ejecución del proyecto, disponibilidad y distancia de fuentes de materiales, entre otros.</w:t>
      </w:r>
    </w:p>
    <w:p w14:paraId="39E77854" w14:textId="77777777" w:rsidR="00DF69FE" w:rsidRPr="00DF69FE" w:rsidRDefault="00DF69FE" w:rsidP="00DF69FE">
      <w:pPr>
        <w:snapToGrid w:val="0"/>
        <w:spacing w:after="0" w:line="276" w:lineRule="auto"/>
        <w:jc w:val="both"/>
        <w:rPr>
          <w:rFonts w:ascii="Verdana" w:eastAsia="Calibri" w:hAnsi="Verdana" w:cs="Arial"/>
          <w:kern w:val="2"/>
          <w:lang w:val="es-ES" w:eastAsia="es-ES"/>
          <w14:ligatures w14:val="standardContextual"/>
        </w:rPr>
      </w:pPr>
    </w:p>
    <w:p w14:paraId="7FFFFA31" w14:textId="77777777" w:rsidR="00DF69FE" w:rsidRPr="00DF69FE" w:rsidRDefault="00DF69FE" w:rsidP="00DF69FE">
      <w:pPr>
        <w:widowControl w:val="0"/>
        <w:numPr>
          <w:ilvl w:val="0"/>
          <w:numId w:val="18"/>
        </w:numPr>
        <w:autoSpaceDE w:val="0"/>
        <w:autoSpaceDN w:val="0"/>
        <w:snapToGrid w:val="0"/>
        <w:spacing w:after="0" w:line="276" w:lineRule="auto"/>
        <w:jc w:val="both"/>
        <w:rPr>
          <w:rFonts w:ascii="Verdana" w:eastAsia="Calibri" w:hAnsi="Verdana" w:cs="Arial"/>
          <w:kern w:val="2"/>
          <w:lang w:val="es-MX" w:eastAsia="es-MX"/>
          <w14:ligatures w14:val="standardContextual"/>
        </w:rPr>
      </w:pPr>
      <w:r w:rsidRPr="00DF69FE">
        <w:rPr>
          <w:rFonts w:ascii="Verdana" w:eastAsia="Calibri" w:hAnsi="Verdana" w:cs="Arial"/>
          <w:kern w:val="2"/>
          <w:lang w:val="es-MX" w:eastAsia="es-MX"/>
          <w14:ligatures w14:val="standardContextual"/>
        </w:rPr>
        <w:t>En los documentos tipo de obra de infraestructura de transporte, el “Formulario 1 – Formulario de Presupuesto Oficial” tiene dos connotaciones: i) por un lado, es el formulario sobre el cual la entidad estructura y presenta el presupuesto oficial del procedimiento de contratación; y ii) por el otro, es el formulario sobre el cual los proponentes elaboran y presentan su oferta económica. Específicamente, frente a la propuesta económica, el documento base señala que la misma se debe elaborar a partir del “Formulario 1– Formulario de Presupuesto Oficial” y la presentación debe hacerse con sujeción a lo dispuesto en los numerales “2.3. ELABORACIÓN Y PRESENTACIÓN DE LA OFERTA” y “4.1. OFERTA ECONÓMICA” del referido documento base.</w:t>
      </w:r>
      <w:r w:rsidRPr="00DF69FE">
        <w:rPr>
          <w:rFonts w:ascii="Verdana" w:eastAsia="Calibri" w:hAnsi="Verdana" w:cs="Arial"/>
          <w:kern w:val="2"/>
          <w:lang w:val="es-ES" w:eastAsia="es-MX"/>
          <w14:ligatures w14:val="standardContextual"/>
        </w:rPr>
        <w:t xml:space="preserve"> </w:t>
      </w:r>
      <w:r w:rsidRPr="00DF69FE">
        <w:rPr>
          <w:rFonts w:ascii="Verdana" w:eastAsia="Calibri" w:hAnsi="Verdana" w:cs="Arial"/>
          <w:kern w:val="2"/>
          <w:lang w:val="es-MX" w:eastAsia="es-MX"/>
          <w14:ligatures w14:val="standardContextual"/>
        </w:rPr>
        <w:t xml:space="preserve">El propósito de esto </w:t>
      </w:r>
      <w:r w:rsidRPr="00DF69FE">
        <w:rPr>
          <w:rFonts w:ascii="Verdana" w:eastAsia="Calibri" w:hAnsi="Verdana" w:cs="Arial"/>
          <w:kern w:val="2"/>
          <w:lang w:val="es-MX" w:eastAsia="es-MX"/>
          <w14:ligatures w14:val="standardContextual"/>
        </w:rPr>
        <w:lastRenderedPageBreak/>
        <w:t>es evitar la duplicidad de información y permitir que las propuestas económicas sean evaluadas con las variables, cantidades, unidades de medida y reglas consideradas por la entidad al estructurar su presupuesto oficial.</w:t>
      </w:r>
    </w:p>
    <w:p w14:paraId="1A2E152D" w14:textId="77777777" w:rsidR="00DF69FE" w:rsidRPr="00DF69FE" w:rsidRDefault="00DF69FE" w:rsidP="00DF69FE">
      <w:pPr>
        <w:widowControl w:val="0"/>
        <w:autoSpaceDE w:val="0"/>
        <w:autoSpaceDN w:val="0"/>
        <w:snapToGrid w:val="0"/>
        <w:spacing w:after="0" w:line="276" w:lineRule="auto"/>
        <w:ind w:left="720"/>
        <w:jc w:val="both"/>
        <w:rPr>
          <w:rFonts w:ascii="Verdana" w:eastAsia="Calibri" w:hAnsi="Verdana" w:cs="Arial"/>
          <w:kern w:val="2"/>
          <w:lang w:val="es-MX" w:eastAsia="es-MX"/>
          <w14:ligatures w14:val="standardContextual"/>
        </w:rPr>
      </w:pPr>
    </w:p>
    <w:p w14:paraId="74EF1E0F" w14:textId="77777777" w:rsidR="00DF69FE" w:rsidRPr="00DF69FE" w:rsidRDefault="00DF69FE" w:rsidP="00DF69FE">
      <w:pPr>
        <w:widowControl w:val="0"/>
        <w:numPr>
          <w:ilvl w:val="0"/>
          <w:numId w:val="18"/>
        </w:numPr>
        <w:autoSpaceDE w:val="0"/>
        <w:autoSpaceDN w:val="0"/>
        <w:snapToGrid w:val="0"/>
        <w:spacing w:after="0" w:line="276" w:lineRule="auto"/>
        <w:jc w:val="both"/>
        <w:rPr>
          <w:rFonts w:ascii="Verdana" w:eastAsia="Arial" w:hAnsi="Verdana" w:cs="Arial"/>
          <w:iCs/>
          <w:kern w:val="2"/>
          <w:lang w:val="es-ES" w:eastAsia="es-ES" w:bidi="es-ES"/>
          <w14:ligatures w14:val="standardContextual"/>
        </w:rPr>
      </w:pPr>
      <w:r w:rsidRPr="00DF69FE">
        <w:rPr>
          <w:rFonts w:ascii="Verdana" w:eastAsia="Arial" w:hAnsi="Verdana" w:cs="Arial"/>
          <w:kern w:val="2"/>
          <w:lang w:val="es-MX" w:eastAsia="es-ES" w:bidi="es-ES"/>
          <w14:ligatures w14:val="standardContextual"/>
        </w:rPr>
        <w:t xml:space="preserve">En ese contexto, se tiene que, en </w:t>
      </w:r>
      <w:r w:rsidRPr="00DF69FE">
        <w:rPr>
          <w:rFonts w:ascii="Verdana" w:eastAsia="Arial" w:hAnsi="Verdana" w:cs="Arial"/>
          <w:kern w:val="2"/>
          <w:lang w:val="es-ES" w:eastAsia="es-ES" w:bidi="es-ES"/>
          <w14:ligatures w14:val="standardContextual"/>
        </w:rPr>
        <w:t xml:space="preserve">la primera hoja del Formulario 1, que corresponde al presupuesto oficial, la entidad debe enlistar los </w:t>
      </w:r>
      <w:r w:rsidRPr="00DF69FE">
        <w:rPr>
          <w:rFonts w:ascii="Verdana" w:eastAsia="Arial" w:hAnsi="Verdana" w:cs="Arial"/>
          <w:i/>
          <w:kern w:val="2"/>
          <w:lang w:val="es-ES" w:eastAsia="es-ES" w:bidi="es-ES"/>
          <w14:ligatures w14:val="standardContextual"/>
        </w:rPr>
        <w:t xml:space="preserve">ítems de pago </w:t>
      </w:r>
      <w:r w:rsidRPr="00DF69FE">
        <w:rPr>
          <w:rFonts w:ascii="Verdana" w:eastAsia="Arial" w:hAnsi="Verdana" w:cs="Arial"/>
          <w:kern w:val="2"/>
          <w:lang w:val="es-ES" w:eastAsia="es-ES" w:bidi="es-ES"/>
          <w14:ligatures w14:val="standardContextual"/>
        </w:rPr>
        <w:t xml:space="preserve">de los bienes, obras o servicios que se requieren para la ejecución de la obra pública de infraestructura de transporte. Además, es posible establecer: i) sus especificaciones generales y particulares, ii) la descripción, iii) la unidad de medida, iv) la cantidad, v) el valor unitario y vi) el valor total de los </w:t>
      </w:r>
      <w:r w:rsidRPr="00DF69FE">
        <w:rPr>
          <w:rFonts w:ascii="Verdana" w:eastAsia="Arial" w:hAnsi="Verdana" w:cs="Arial"/>
          <w:i/>
          <w:kern w:val="2"/>
          <w:lang w:val="es-ES" w:eastAsia="es-ES" w:bidi="es-ES"/>
          <w14:ligatures w14:val="standardContextual"/>
        </w:rPr>
        <w:t>ítems.</w:t>
      </w:r>
    </w:p>
    <w:p w14:paraId="146126EE" w14:textId="77777777" w:rsidR="00DF69FE" w:rsidRPr="00DF69FE" w:rsidRDefault="00DF69FE" w:rsidP="00DF69FE">
      <w:pPr>
        <w:widowControl w:val="0"/>
        <w:autoSpaceDE w:val="0"/>
        <w:autoSpaceDN w:val="0"/>
        <w:snapToGrid w:val="0"/>
        <w:spacing w:after="0" w:line="276" w:lineRule="auto"/>
        <w:jc w:val="both"/>
        <w:rPr>
          <w:rFonts w:ascii="Verdana" w:eastAsia="Arial" w:hAnsi="Verdana" w:cs="Arial"/>
          <w:iCs/>
          <w:kern w:val="2"/>
          <w:lang w:val="es-ES" w:eastAsia="es-ES" w:bidi="es-ES"/>
          <w14:ligatures w14:val="standardContextual"/>
        </w:rPr>
      </w:pPr>
    </w:p>
    <w:p w14:paraId="6E1F2724" w14:textId="77777777" w:rsidR="00DF69FE" w:rsidRPr="00DF69FE" w:rsidRDefault="00DF69FE" w:rsidP="00DF69FE">
      <w:pPr>
        <w:widowControl w:val="0"/>
        <w:numPr>
          <w:ilvl w:val="0"/>
          <w:numId w:val="18"/>
        </w:numPr>
        <w:autoSpaceDE w:val="0"/>
        <w:autoSpaceDN w:val="0"/>
        <w:snapToGrid w:val="0"/>
        <w:spacing w:after="0" w:line="276" w:lineRule="auto"/>
        <w:jc w:val="both"/>
        <w:rPr>
          <w:rFonts w:ascii="Verdana" w:eastAsia="Calibri" w:hAnsi="Verdana" w:cs="Arial"/>
          <w:kern w:val="2"/>
          <w:lang w:val="es-MX" w:eastAsia="es-MX"/>
          <w14:ligatures w14:val="standardContextual"/>
        </w:rPr>
      </w:pPr>
      <w:r w:rsidRPr="00DF69FE">
        <w:rPr>
          <w:rFonts w:ascii="Verdana" w:eastAsia="Calibri" w:hAnsi="Verdana" w:cs="Arial"/>
          <w:kern w:val="2"/>
          <w:lang w:val="es-MX" w:eastAsia="es-MX"/>
          <w14:ligatures w14:val="standardContextual"/>
        </w:rPr>
        <w:t xml:space="preserve">De otra parte, en los documentos tipo para procesos de obras de infraestructura de transporte, el “Formulario 1” en su </w:t>
      </w:r>
      <w:r w:rsidRPr="00DF69FE">
        <w:rPr>
          <w:rFonts w:ascii="Verdana" w:eastAsia="Calibri" w:hAnsi="Verdana" w:cs="Arial"/>
          <w:i/>
          <w:iCs/>
          <w:kern w:val="2"/>
          <w:lang w:val="es-MX" w:eastAsia="es-MX"/>
          <w14:ligatures w14:val="standardContextual"/>
        </w:rPr>
        <w:t>segunda pestaña</w:t>
      </w:r>
      <w:r w:rsidRPr="00DF69FE">
        <w:rPr>
          <w:rFonts w:ascii="Verdana" w:eastAsia="Calibri" w:hAnsi="Verdana" w:cs="Arial"/>
          <w:kern w:val="2"/>
          <w:lang w:val="es-MX" w:eastAsia="es-MX"/>
          <w14:ligatures w14:val="standardContextual"/>
        </w:rPr>
        <w:t xml:space="preserve"> en Excel, titulada “Formulario 1 propuesta económica”, señala en la parte superior derecha: </w:t>
      </w:r>
      <w:r w:rsidRPr="00DF69FE">
        <w:rPr>
          <w:rFonts w:ascii="Verdana" w:eastAsia="Calibri" w:hAnsi="Verdana" w:cs="Arial"/>
          <w:i/>
          <w:iCs/>
          <w:kern w:val="2"/>
          <w:lang w:val="es-MX" w:eastAsia="es-MX"/>
          <w14:ligatures w14:val="standardContextual"/>
        </w:rPr>
        <w:t xml:space="preserve">“[La entidad puede utilizar este formulario de presentación de </w:t>
      </w:r>
      <w:r w:rsidRPr="00DF69FE">
        <w:rPr>
          <w:rFonts w:ascii="Verdana" w:eastAsia="Calibri" w:hAnsi="Verdana" w:cs="Arial"/>
          <w:b/>
          <w:bCs/>
          <w:i/>
          <w:iCs/>
          <w:kern w:val="2"/>
          <w:u w:val="single"/>
          <w:lang w:val="es-MX" w:eastAsia="es-MX"/>
          <w14:ligatures w14:val="standardContextual"/>
        </w:rPr>
        <w:t>propuesta económica</w:t>
      </w:r>
      <w:r w:rsidRPr="00DF69FE">
        <w:rPr>
          <w:rFonts w:ascii="Verdana" w:eastAsia="Calibri" w:hAnsi="Verdana" w:cs="Arial"/>
          <w:i/>
          <w:iCs/>
          <w:kern w:val="2"/>
          <w:lang w:val="es-MX" w:eastAsia="es-MX"/>
          <w14:ligatures w14:val="standardContextual"/>
        </w:rPr>
        <w:t xml:space="preserve"> de forma detallada, sin perjuicio que la entidad pueda modificarlo o establecer la presentación de la oferta económica con un formulario distinto al indicado.]”.</w:t>
      </w:r>
      <w:r w:rsidRPr="00DF69FE">
        <w:rPr>
          <w:rFonts w:ascii="Verdana" w:eastAsia="Calibri" w:hAnsi="Verdana" w:cs="Arial"/>
          <w:kern w:val="2"/>
          <w:lang w:val="es-MX" w:eastAsia="es-MX"/>
          <w14:ligatures w14:val="standardContextual"/>
        </w:rPr>
        <w:t xml:space="preserve"> Igualmente, se indica que los proponentes emplearán el formulario establecido por la entidad para determinar su propuesta económica conforme al Formulario 1 - Presupuesto Oficial publicado por la Entidad. Esto significa que las entidades pueden diseñar un formulario para que los proponentes presenten su oferta económica, sin que sea obligatorio sujetarse al formulario que los documentos tipo proponen para el efecto. </w:t>
      </w:r>
    </w:p>
    <w:p w14:paraId="3C2D7023" w14:textId="77777777" w:rsidR="00DF69FE" w:rsidRPr="00DF69FE" w:rsidRDefault="00DF69FE" w:rsidP="00DF69FE">
      <w:pPr>
        <w:widowControl w:val="0"/>
        <w:numPr>
          <w:ilvl w:val="0"/>
          <w:numId w:val="18"/>
        </w:numPr>
        <w:autoSpaceDE w:val="0"/>
        <w:autoSpaceDN w:val="0"/>
        <w:snapToGrid w:val="0"/>
        <w:spacing w:after="0" w:line="276" w:lineRule="auto"/>
        <w:jc w:val="both"/>
        <w:rPr>
          <w:rFonts w:ascii="Verdana" w:eastAsia="Calibri" w:hAnsi="Verdana" w:cs="Arial"/>
          <w:kern w:val="2"/>
          <w:lang w:val="es-MX" w:eastAsia="es-MX"/>
          <w14:ligatures w14:val="standardContextual"/>
        </w:rPr>
      </w:pPr>
      <w:r w:rsidRPr="00DF69FE">
        <w:rPr>
          <w:rFonts w:ascii="Verdana" w:eastAsia="Calibri" w:hAnsi="Verdana" w:cs="Arial"/>
          <w:kern w:val="2"/>
          <w:lang w:val="es-MX" w:eastAsia="es-MX"/>
          <w14:ligatures w14:val="standardContextual"/>
        </w:rPr>
        <w:t xml:space="preserve">Lo anterior es concordante con lo dispuesto en el numeral 4.1 del Documento Base, que establece que la entidad </w:t>
      </w:r>
      <w:r w:rsidRPr="00DF69FE">
        <w:rPr>
          <w:rFonts w:ascii="Verdana" w:eastAsia="Calibri" w:hAnsi="Verdana" w:cs="Arial"/>
          <w:i/>
          <w:iCs/>
          <w:kern w:val="2"/>
          <w:lang w:val="es-MX" w:eastAsia="es-MX"/>
          <w14:ligatures w14:val="standardContextual"/>
        </w:rPr>
        <w:t>“debe configurar el formato de oferta económica que se encuentra en el Formulario 1 – Formulario de Presupuesto Oficial, para que sea diligenciado por los proponentes”.</w:t>
      </w:r>
      <w:r w:rsidRPr="00DF69FE">
        <w:rPr>
          <w:rFonts w:ascii="Verdana" w:eastAsia="Calibri" w:hAnsi="Verdana" w:cs="Arial"/>
          <w:kern w:val="2"/>
          <w:lang w:val="es-MX" w:eastAsia="es-MX"/>
          <w14:ligatures w14:val="standardContextual"/>
        </w:rPr>
        <w:t xml:space="preserve"> En tales términos, la presentación de la oferta económica por parte del proponente se realizará teniendo en cuenta el formato determinado por la entidad, sea el que configure de acuerdo con el Formulario 1 o aquel que disponga sobre el particular.</w:t>
      </w:r>
    </w:p>
    <w:p w14:paraId="3633C376" w14:textId="77777777" w:rsidR="00DF69FE" w:rsidRPr="00DF69FE" w:rsidRDefault="00DF69FE" w:rsidP="00DF69FE">
      <w:pPr>
        <w:snapToGrid w:val="0"/>
        <w:spacing w:after="0" w:line="276" w:lineRule="auto"/>
        <w:jc w:val="both"/>
        <w:rPr>
          <w:rFonts w:ascii="Verdana" w:eastAsia="Aptos" w:hAnsi="Verdana" w:cs="Arial"/>
          <w:kern w:val="2"/>
          <w:lang w:val="es-ES_tradnl"/>
          <w14:ligatures w14:val="standardContextual"/>
        </w:rPr>
      </w:pPr>
    </w:p>
    <w:p w14:paraId="7ADE4A0C" w14:textId="77777777" w:rsidR="00DF69FE" w:rsidRPr="00DF69FE" w:rsidRDefault="00DF69FE" w:rsidP="00DF69FE">
      <w:pPr>
        <w:numPr>
          <w:ilvl w:val="0"/>
          <w:numId w:val="18"/>
        </w:numPr>
        <w:snapToGrid w:val="0"/>
        <w:spacing w:after="0" w:line="276" w:lineRule="auto"/>
        <w:jc w:val="both"/>
        <w:rPr>
          <w:rFonts w:ascii="Verdana" w:eastAsia="Aptos" w:hAnsi="Verdana" w:cs="Arial"/>
          <w:kern w:val="2"/>
          <w:lang w:val="es-ES_tradnl"/>
          <w14:ligatures w14:val="standardContextual"/>
        </w:rPr>
      </w:pPr>
      <w:r w:rsidRPr="00DF69FE">
        <w:rPr>
          <w:rFonts w:ascii="Verdana" w:eastAsia="Aptos" w:hAnsi="Verdana" w:cs="Arial"/>
          <w:kern w:val="2"/>
          <w:lang w:val="es-ES_tradnl"/>
          <w14:ligatures w14:val="standardContextual"/>
        </w:rPr>
        <w:t>Adicionalmente, es importante señalar que</w:t>
      </w:r>
      <w:r w:rsidRPr="00DF69FE">
        <w:rPr>
          <w:rFonts w:ascii="Verdana" w:eastAsia="Aptos" w:hAnsi="Verdana" w:cs="Arial"/>
          <w:b/>
          <w:bCs/>
          <w:kern w:val="2"/>
          <w:lang w:val="es-ES_tradnl"/>
          <w14:ligatures w14:val="standardContextual"/>
        </w:rPr>
        <w:t xml:space="preserve"> </w:t>
      </w:r>
      <w:r w:rsidRPr="00DF69FE">
        <w:rPr>
          <w:rFonts w:ascii="Verdana" w:eastAsia="Aptos" w:hAnsi="Verdana" w:cs="Arial"/>
          <w:kern w:val="2"/>
          <w:lang w:val="es-ES_tradnl"/>
          <w14:ligatures w14:val="standardContextual"/>
        </w:rPr>
        <w:t xml:space="preserve">el numeral “4.1.2. CORRECCIONES ARITMÉTICAS” del Documento Base, indica claramente </w:t>
      </w:r>
      <w:r w:rsidRPr="00DF69FE">
        <w:rPr>
          <w:rFonts w:ascii="Verdana" w:eastAsia="Aptos" w:hAnsi="Verdana" w:cs="Arial"/>
          <w:kern w:val="2"/>
          <w:lang w:val="es-ES_tradnl"/>
          <w14:ligatures w14:val="standardContextual"/>
        </w:rPr>
        <w:lastRenderedPageBreak/>
        <w:t>que la entidad solo efectuará correcciones aritméticas originadas por las siguientes situaciones:</w:t>
      </w:r>
    </w:p>
    <w:p w14:paraId="3CCBB9CD" w14:textId="77777777" w:rsidR="00DF69FE" w:rsidRPr="00DF69FE" w:rsidRDefault="00DF69FE" w:rsidP="00DF69FE">
      <w:pPr>
        <w:snapToGrid w:val="0"/>
        <w:spacing w:after="0" w:line="276" w:lineRule="auto"/>
        <w:jc w:val="both"/>
        <w:rPr>
          <w:rFonts w:ascii="Verdana" w:eastAsia="Aptos" w:hAnsi="Verdana" w:cs="Arial"/>
          <w:kern w:val="2"/>
          <w:lang w:val="es-ES_tradnl"/>
          <w14:ligatures w14:val="standardContextual"/>
        </w:rPr>
      </w:pPr>
    </w:p>
    <w:p w14:paraId="6EA3C8A8" w14:textId="77777777" w:rsidR="00DF69FE" w:rsidRPr="00DF69FE" w:rsidRDefault="00DF69FE" w:rsidP="00DF69FE">
      <w:pPr>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DF69FE">
        <w:rPr>
          <w:rFonts w:ascii="Verdana" w:eastAsia="Aptos" w:hAnsi="Verdana" w:cs="Arial"/>
          <w:kern w:val="2"/>
          <w:sz w:val="21"/>
          <w:szCs w:val="21"/>
          <w:lang w:val="es-ES_tradnl"/>
          <w14:ligatures w14:val="standardContextual"/>
        </w:rPr>
        <w:t>A.</w:t>
      </w:r>
      <w:r w:rsidRPr="00DF69FE">
        <w:rPr>
          <w:rFonts w:ascii="Verdana" w:eastAsia="Aptos" w:hAnsi="Verdana" w:cs="Arial"/>
          <w:kern w:val="2"/>
          <w:sz w:val="21"/>
          <w:szCs w:val="21"/>
          <w:lang w:val="es-ES_tradnl"/>
          <w14:ligatures w14:val="standardContextual"/>
        </w:rPr>
        <w:tab/>
        <w:t>Las operaciones aritméticas a que haya lugar en la propuesta económica, cuando exista un error que surja de un cálculo meramente aritmético cuando la operación ha sido erróneamente realizada.</w:t>
      </w:r>
    </w:p>
    <w:p w14:paraId="1C55D769" w14:textId="77777777" w:rsidR="00DF69FE" w:rsidRPr="00DF69FE" w:rsidRDefault="00DF69FE" w:rsidP="00DF69FE">
      <w:pPr>
        <w:snapToGrid w:val="0"/>
        <w:spacing w:after="0" w:line="240" w:lineRule="auto"/>
        <w:ind w:left="709" w:right="709"/>
        <w:jc w:val="both"/>
        <w:rPr>
          <w:rFonts w:ascii="Verdana" w:eastAsia="Aptos" w:hAnsi="Verdana" w:cs="Arial"/>
          <w:kern w:val="2"/>
          <w:sz w:val="21"/>
          <w:szCs w:val="21"/>
          <w:lang w:val="es-ES_tradnl"/>
          <w14:ligatures w14:val="standardContextual"/>
        </w:rPr>
      </w:pPr>
    </w:p>
    <w:p w14:paraId="24358CB8" w14:textId="77777777" w:rsidR="00DF69FE" w:rsidRPr="00DF69FE" w:rsidRDefault="00DF69FE" w:rsidP="00DF69FE">
      <w:pPr>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DF69FE">
        <w:rPr>
          <w:rFonts w:ascii="Verdana" w:eastAsia="Aptos" w:hAnsi="Verdana" w:cs="Arial"/>
          <w:kern w:val="2"/>
          <w:sz w:val="21"/>
          <w:szCs w:val="21"/>
          <w:lang w:val="es-ES_tradnl"/>
          <w14:ligatures w14:val="standardContextual"/>
        </w:rPr>
        <w:t>B.</w:t>
      </w:r>
      <w:r w:rsidRPr="00DF69FE">
        <w:rPr>
          <w:rFonts w:ascii="Verdana" w:eastAsia="Aptos" w:hAnsi="Verdana" w:cs="Arial"/>
          <w:kern w:val="2"/>
          <w:sz w:val="21"/>
          <w:szCs w:val="21"/>
          <w:lang w:val="es-ES_tradnl"/>
          <w14:ligatures w14:val="standardContextual"/>
        </w:rPr>
        <w:tab/>
        <w:t>El ajuste al peso ya sea por exceso o por defecto de los precios unitarios contenidos en la propuesta económica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356443D0" w14:textId="77777777" w:rsidR="00DF69FE" w:rsidRPr="00DF69FE" w:rsidRDefault="00DF69FE" w:rsidP="00DF69FE">
      <w:pPr>
        <w:snapToGrid w:val="0"/>
        <w:spacing w:after="0" w:line="276" w:lineRule="auto"/>
        <w:jc w:val="both"/>
        <w:rPr>
          <w:rFonts w:ascii="Verdana" w:eastAsia="Aptos" w:hAnsi="Verdana" w:cs="Arial"/>
          <w:kern w:val="2"/>
          <w:lang w:val="es-ES_tradnl"/>
          <w14:ligatures w14:val="standardContextual"/>
        </w:rPr>
      </w:pPr>
    </w:p>
    <w:p w14:paraId="628A5BA7" w14:textId="77777777" w:rsidR="00DF69FE" w:rsidRPr="00DF69FE" w:rsidRDefault="00DF69FE" w:rsidP="00DF69FE">
      <w:pPr>
        <w:numPr>
          <w:ilvl w:val="0"/>
          <w:numId w:val="19"/>
        </w:numPr>
        <w:snapToGrid w:val="0"/>
        <w:spacing w:after="0" w:line="276" w:lineRule="auto"/>
        <w:jc w:val="both"/>
        <w:rPr>
          <w:rFonts w:ascii="Verdana" w:eastAsia="Aptos" w:hAnsi="Verdana" w:cs="Arial"/>
          <w:b/>
          <w:bCs/>
          <w:kern w:val="2"/>
          <w:lang w:val="es-ES_tradnl"/>
          <w14:ligatures w14:val="standardContextual"/>
        </w:rPr>
      </w:pPr>
      <w:r w:rsidRPr="00DF69FE">
        <w:rPr>
          <w:rFonts w:ascii="Verdana" w:eastAsia="Aptos" w:hAnsi="Verdana" w:cs="Arial"/>
          <w:kern w:val="2"/>
          <w:lang w:val="es-ES_tradnl"/>
          <w14:ligatures w14:val="standardContextual"/>
        </w:rPr>
        <w:t>Por lo anterior, en concordancia con lo establecido en el literal “E” del numeral 1.17 del Documento Base,</w:t>
      </w:r>
      <w:r w:rsidRPr="00DF69FE">
        <w:rPr>
          <w:rFonts w:ascii="Verdana" w:eastAsia="Aptos" w:hAnsi="Verdana" w:cs="Arial"/>
          <w:b/>
          <w:bCs/>
          <w:kern w:val="2"/>
          <w:lang w:val="es-ES_tradnl"/>
          <w14:ligatures w14:val="standardContextual"/>
        </w:rPr>
        <w:t xml:space="preserve"> </w:t>
      </w:r>
      <w:r w:rsidRPr="00DF69FE">
        <w:rPr>
          <w:rFonts w:ascii="Verdana" w:eastAsia="Aptos" w:hAnsi="Verdana" w:cs="Arial"/>
          <w:kern w:val="2"/>
          <w:lang w:val="es-ES_tradnl"/>
          <w14:ligatures w14:val="standardContextual"/>
        </w:rPr>
        <w:t>cuando la entidad realice modificaciones que puedan interpretar de forma diferente lo definido en el pliego tipo, primará lo señalado en los documentos tipo.</w:t>
      </w:r>
    </w:p>
    <w:p w14:paraId="70EAEE61" w14:textId="77777777" w:rsidR="00DF69FE" w:rsidRPr="00DF69FE" w:rsidRDefault="00DF69FE" w:rsidP="00DF69FE">
      <w:pPr>
        <w:spacing w:after="0" w:line="276" w:lineRule="auto"/>
        <w:ind w:left="720"/>
        <w:contextualSpacing/>
        <w:jc w:val="both"/>
        <w:rPr>
          <w:rFonts w:ascii="Verdana" w:eastAsia="Calibri" w:hAnsi="Verdana" w:cs="Arial"/>
          <w:b/>
          <w:kern w:val="2"/>
          <w:lang w:val="es-ES_tradnl" w:eastAsia="es-CO"/>
          <w14:ligatures w14:val="standardContextual"/>
        </w:rPr>
      </w:pPr>
    </w:p>
    <w:p w14:paraId="7FC801D6" w14:textId="77777777" w:rsidR="00DF69FE" w:rsidRPr="00DF69FE" w:rsidRDefault="00DF69FE" w:rsidP="00DF69FE">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DF69FE">
        <w:rPr>
          <w:rFonts w:ascii="Verdana" w:eastAsia="Century Gothic" w:hAnsi="Verdana" w:cs="Century Gothic"/>
          <w:b/>
          <w:bCs/>
          <w:lang w:val="es-ES"/>
        </w:rPr>
        <w:t>Referencias normativas, jurisprudenciales y otras fuentes:</w:t>
      </w:r>
    </w:p>
    <w:p w14:paraId="36FB5FA9" w14:textId="77777777" w:rsidR="00DF69FE" w:rsidRPr="00DF69FE" w:rsidRDefault="00DF69FE" w:rsidP="00DF69FE">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DF69FE" w:rsidRPr="00DF69FE" w14:paraId="6F9DF131" w14:textId="77777777" w:rsidTr="0058359A">
        <w:trPr>
          <w:trHeight w:val="870"/>
        </w:trPr>
        <w:tc>
          <w:tcPr>
            <w:tcW w:w="8647" w:type="dxa"/>
          </w:tcPr>
          <w:p w14:paraId="6491A60B" w14:textId="77777777" w:rsidR="00DF69FE" w:rsidRPr="00DF69FE" w:rsidRDefault="00DF69FE" w:rsidP="00DF69FE">
            <w:pPr>
              <w:widowControl w:val="0"/>
              <w:numPr>
                <w:ilvl w:val="0"/>
                <w:numId w:val="17"/>
              </w:numPr>
              <w:autoSpaceDE w:val="0"/>
              <w:autoSpaceDN w:val="0"/>
              <w:spacing w:after="120" w:line="276" w:lineRule="auto"/>
              <w:jc w:val="both"/>
              <w:rPr>
                <w:rFonts w:ascii="Verdana" w:eastAsia="Calibri" w:hAnsi="Verdana" w:cs="Arial"/>
              </w:rPr>
            </w:pPr>
            <w:r w:rsidRPr="00DF69FE">
              <w:rPr>
                <w:rFonts w:ascii="Verdana" w:eastAsia="Calibri" w:hAnsi="Verdana" w:cs="Arial"/>
              </w:rPr>
              <w:t>Ley 2022 de 2020, artículo 1.</w:t>
            </w:r>
          </w:p>
          <w:p w14:paraId="429BD10F" w14:textId="77777777" w:rsidR="00DF69FE" w:rsidRPr="00DF69FE" w:rsidRDefault="00DF69FE" w:rsidP="00DF69FE">
            <w:pPr>
              <w:widowControl w:val="0"/>
              <w:numPr>
                <w:ilvl w:val="0"/>
                <w:numId w:val="17"/>
              </w:numPr>
              <w:autoSpaceDE w:val="0"/>
              <w:autoSpaceDN w:val="0"/>
              <w:spacing w:after="120" w:line="276" w:lineRule="auto"/>
              <w:jc w:val="both"/>
              <w:rPr>
                <w:rFonts w:ascii="Verdana" w:eastAsia="Calibri" w:hAnsi="Verdana" w:cs="Arial"/>
              </w:rPr>
            </w:pPr>
            <w:r w:rsidRPr="00DF69FE">
              <w:rPr>
                <w:rFonts w:ascii="Verdana" w:eastAsia="Aptos" w:hAnsi="Verdana" w:cs="Arial"/>
                <w:color w:val="000000"/>
                <w:lang w:val="es-ES_tradnl"/>
              </w:rPr>
              <w:t>Decreto 1082 de 2015, articulo 2.2.1.1.2.1.1.</w:t>
            </w:r>
          </w:p>
          <w:p w14:paraId="6EAFF6DA" w14:textId="77777777" w:rsidR="00DF69FE" w:rsidRPr="00DF69FE" w:rsidRDefault="00DF69FE" w:rsidP="00DF69FE">
            <w:pPr>
              <w:widowControl w:val="0"/>
              <w:numPr>
                <w:ilvl w:val="0"/>
                <w:numId w:val="17"/>
              </w:numPr>
              <w:autoSpaceDE w:val="0"/>
              <w:autoSpaceDN w:val="0"/>
              <w:spacing w:after="120" w:line="276" w:lineRule="auto"/>
              <w:jc w:val="both"/>
              <w:rPr>
                <w:rFonts w:ascii="Verdana" w:eastAsia="Calibri" w:hAnsi="Verdana" w:cs="Arial"/>
              </w:rPr>
            </w:pPr>
            <w:r w:rsidRPr="00DF69FE">
              <w:rPr>
                <w:rFonts w:ascii="Verdana" w:eastAsia="Calibri" w:hAnsi="Verdana" w:cs="Arial"/>
              </w:rPr>
              <w:t>Documentos tipo de licitación de obra pública de infraestructura de transporte –versión 3–. Resolución 240 de 2020 de la Agencia Nacional de Contratación Pública – Colombia Compra Eficiente. Disponible en:</w:t>
            </w:r>
            <w:r w:rsidRPr="00DF69FE">
              <w:rPr>
                <w:rFonts w:ascii="Aptos" w:eastAsia="Aptos" w:hAnsi="Aptos" w:cs="Times New Roman"/>
                <w:lang w:val="es-ES_tradnl"/>
              </w:rPr>
              <w:t xml:space="preserve"> </w:t>
            </w:r>
            <w:hyperlink r:id="rId11" w:history="1">
              <w:r w:rsidRPr="00DF69FE">
                <w:rPr>
                  <w:rFonts w:ascii="Verdana" w:eastAsia="Calibri" w:hAnsi="Verdana" w:cs="Arial"/>
                  <w:color w:val="0000FF"/>
                  <w:u w:val="single"/>
                </w:rPr>
                <w:t>https://www.colombiacompra.gov.co/content/04-documentos-tipo-para-licitacion-de-obra-publica-de-infraestructura-de-transporte-version</w:t>
              </w:r>
            </w:hyperlink>
            <w:r w:rsidRPr="00DF69FE">
              <w:rPr>
                <w:rFonts w:ascii="Verdana" w:eastAsia="Calibri" w:hAnsi="Verdana" w:cs="Arial"/>
              </w:rPr>
              <w:t xml:space="preserve"> </w:t>
            </w:r>
          </w:p>
        </w:tc>
      </w:tr>
    </w:tbl>
    <w:p w14:paraId="193AE980" w14:textId="77777777" w:rsidR="00DF69FE" w:rsidRPr="00DF69FE" w:rsidRDefault="00DF69FE" w:rsidP="00DF69FE">
      <w:pPr>
        <w:widowControl w:val="0"/>
        <w:autoSpaceDE w:val="0"/>
        <w:autoSpaceDN w:val="0"/>
        <w:spacing w:after="0" w:line="276" w:lineRule="auto"/>
        <w:jc w:val="both"/>
        <w:rPr>
          <w:rFonts w:ascii="Verdana" w:eastAsia="Calibri" w:hAnsi="Verdana" w:cs="Arial"/>
        </w:rPr>
      </w:pPr>
    </w:p>
    <w:p w14:paraId="041CA15B" w14:textId="77777777" w:rsidR="00DF69FE" w:rsidRPr="00DF69FE" w:rsidRDefault="00DF69FE" w:rsidP="00DF69FE">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DF69FE">
        <w:rPr>
          <w:rFonts w:ascii="Verdana" w:eastAsia="Century Gothic" w:hAnsi="Verdana" w:cs="Century Gothic"/>
          <w:b/>
          <w:bCs/>
          <w:lang w:val="es-ES"/>
        </w:rPr>
        <w:t>Doctrina de la Agencia Nacional de Contratación Pública:</w:t>
      </w:r>
    </w:p>
    <w:p w14:paraId="5966C8F8" w14:textId="77777777" w:rsidR="00DF69FE" w:rsidRPr="00DF69FE" w:rsidRDefault="00DF69FE" w:rsidP="00DF69FE">
      <w:pPr>
        <w:widowControl w:val="0"/>
        <w:autoSpaceDE w:val="0"/>
        <w:autoSpaceDN w:val="0"/>
        <w:spacing w:after="0" w:line="276" w:lineRule="auto"/>
        <w:jc w:val="both"/>
        <w:rPr>
          <w:rFonts w:ascii="Verdana" w:eastAsia="Calibri" w:hAnsi="Verdana" w:cs="Arial"/>
        </w:rPr>
      </w:pPr>
    </w:p>
    <w:p w14:paraId="5738B2AD" w14:textId="77777777" w:rsidR="00DF69FE" w:rsidRPr="00DF69FE" w:rsidRDefault="00DF69FE" w:rsidP="00DF69FE">
      <w:pPr>
        <w:widowControl w:val="0"/>
        <w:autoSpaceDE w:val="0"/>
        <w:autoSpaceDN w:val="0"/>
        <w:spacing w:after="0" w:line="276" w:lineRule="auto"/>
        <w:jc w:val="both"/>
        <w:rPr>
          <w:rFonts w:ascii="Verdana" w:eastAsia="Calibri" w:hAnsi="Verdana" w:cs="Arial"/>
          <w:shd w:val="clear" w:color="auto" w:fill="FFFFFF"/>
          <w:lang w:val="es-ES"/>
        </w:rPr>
      </w:pPr>
      <w:r w:rsidRPr="00DF69FE">
        <w:rPr>
          <w:rFonts w:ascii="Verdana" w:eastAsia="Calibri" w:hAnsi="Verdana" w:cs="Arial"/>
          <w:shd w:val="clear" w:color="auto" w:fill="FFFFFF"/>
          <w:lang w:val="es-ES"/>
        </w:rPr>
        <w:t xml:space="preserve">La Agencia Nacional de Contratación Pública − Colombia Compra Eficiente se pronunció acerca del Formulario 1 – Formulario de Presupuesto Oficial de los Documentos Tipo, en los conceptos con radicado No. 4201912000004987 del 14 de agosto de 2019, 4201913000005675 del 25 de septiembre de 2019, 4201912000005852 del 25 de septiembre de 2019, 4201912000006447 del 10 de octubre de 2019, 4201912000006498 del 7 de octubre de 2019, 4201912000007471 del 13 de noviembre de 2019, C – 016 de 2020 del 21 de </w:t>
      </w:r>
      <w:r w:rsidRPr="00DF69FE">
        <w:rPr>
          <w:rFonts w:ascii="Verdana" w:eastAsia="Calibri" w:hAnsi="Verdana" w:cs="Arial"/>
          <w:shd w:val="clear" w:color="auto" w:fill="FFFFFF"/>
          <w:lang w:val="es-ES"/>
        </w:rPr>
        <w:lastRenderedPageBreak/>
        <w:t>abril de 2020, C – 037 de 2020 del 28 de enero de 2020, C – 038 de 2020 del 28 de enero de 2020, C – 093 de 2020 del 28 de febrero de 2020, C – 133 del 30 de marzo de 2020, C – 153 del 1 de abril de 2020, C – 704 del 11 de diciembre del 2020, C – 070 del 16 de marzo de 2021, C – 204 del 6 de mayo de 2021, C – 435 de 1 de septiembre de 2021, C – 640 del 12 de noviembre de 2021 y C – 121 del 13 de junio de 2024. Es</w:t>
      </w:r>
      <w:r w:rsidRPr="00DF69FE">
        <w:rPr>
          <w:rFonts w:ascii="Verdana" w:eastAsia="Calibri" w:hAnsi="Verdana" w:cs="Times New Roman"/>
        </w:rPr>
        <w:t>tos y otros conceptos se encuentran disponibles para consulta en el sistema de relatoría de la Agencia, al cual se puede acceder a través del siguiente enlace:</w:t>
      </w:r>
      <w:r w:rsidRPr="00DF69FE">
        <w:rPr>
          <w:rFonts w:ascii="Verdana" w:eastAsia="Calibri" w:hAnsi="Verdana" w:cs="Arial"/>
          <w:shd w:val="clear" w:color="auto" w:fill="FFFFFF"/>
          <w:lang w:val="es-ES"/>
        </w:rPr>
        <w:t xml:space="preserve"> </w:t>
      </w:r>
      <w:hyperlink r:id="rId12" w:history="1">
        <w:r w:rsidRPr="00DF69FE">
          <w:rPr>
            <w:rFonts w:ascii="Verdana" w:eastAsia="Calibri" w:hAnsi="Verdana" w:cs="Arial"/>
            <w:u w:val="single"/>
            <w:shd w:val="clear" w:color="auto" w:fill="FFFFFF"/>
            <w:lang w:val="es-ES"/>
          </w:rPr>
          <w:t>https://relatoria.colombiacompra.gov.co/busqueda/conceptos</w:t>
        </w:r>
      </w:hyperlink>
      <w:r w:rsidRPr="00DF69FE">
        <w:rPr>
          <w:rFonts w:ascii="Verdana" w:eastAsia="Calibri" w:hAnsi="Verdana" w:cs="Arial"/>
          <w:shd w:val="clear" w:color="auto" w:fill="FFFFFF"/>
          <w:lang w:val="es-ES"/>
        </w:rPr>
        <w:t xml:space="preserve">. </w:t>
      </w:r>
    </w:p>
    <w:p w14:paraId="352B75DC" w14:textId="77777777" w:rsidR="00DF69FE" w:rsidRPr="00DF69FE" w:rsidRDefault="00DF69FE" w:rsidP="00DF69FE">
      <w:pPr>
        <w:widowControl w:val="0"/>
        <w:autoSpaceDE w:val="0"/>
        <w:autoSpaceDN w:val="0"/>
        <w:spacing w:after="0" w:line="276" w:lineRule="auto"/>
        <w:jc w:val="both"/>
        <w:rPr>
          <w:rFonts w:ascii="Verdana" w:eastAsia="Calibri" w:hAnsi="Verdana" w:cs="Arial"/>
          <w:shd w:val="clear" w:color="auto" w:fill="FFFFFF"/>
          <w:lang w:val="es-ES"/>
        </w:rPr>
      </w:pPr>
    </w:p>
    <w:p w14:paraId="5F5538AF" w14:textId="77777777" w:rsidR="00DF69FE" w:rsidRPr="00DF69FE" w:rsidRDefault="00DF69FE" w:rsidP="00DF69FE">
      <w:pPr>
        <w:widowControl w:val="0"/>
        <w:autoSpaceDE w:val="0"/>
        <w:autoSpaceDN w:val="0"/>
        <w:spacing w:after="0" w:line="276" w:lineRule="auto"/>
        <w:jc w:val="both"/>
        <w:rPr>
          <w:rFonts w:ascii="Verdana" w:eastAsia="Calibri" w:hAnsi="Verdana" w:cs="Arial"/>
          <w:shd w:val="clear" w:color="auto" w:fill="FFFFFF"/>
          <w:lang w:val="es-ES"/>
        </w:rPr>
      </w:pPr>
      <w:r w:rsidRPr="00DF69FE">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3" w:history="1">
        <w:r w:rsidRPr="00DF69FE">
          <w:rPr>
            <w:rFonts w:ascii="Verdana" w:eastAsia="Calibri" w:hAnsi="Verdana" w:cs="Arial"/>
            <w:u w:val="single"/>
            <w:shd w:val="clear" w:color="auto" w:fill="FFFFFF"/>
            <w:lang w:val="es-ES"/>
          </w:rPr>
          <w:t>https://www.colombiacompra.gov.co/sala-de-prensa/boletin-digital</w:t>
        </w:r>
      </w:hyperlink>
      <w:r w:rsidRPr="00DF69FE">
        <w:rPr>
          <w:rFonts w:ascii="Verdana" w:eastAsia="Calibri" w:hAnsi="Verdana" w:cs="Arial"/>
          <w:shd w:val="clear" w:color="auto" w:fill="FFFFFF"/>
          <w:lang w:val="es-ES"/>
        </w:rPr>
        <w:t xml:space="preserve">   </w:t>
      </w:r>
    </w:p>
    <w:p w14:paraId="636C8184" w14:textId="77777777" w:rsidR="00DF69FE" w:rsidRPr="00DF69FE" w:rsidRDefault="00DF69FE" w:rsidP="00DF69FE">
      <w:pPr>
        <w:widowControl w:val="0"/>
        <w:autoSpaceDE w:val="0"/>
        <w:autoSpaceDN w:val="0"/>
        <w:spacing w:after="0" w:line="276" w:lineRule="auto"/>
        <w:jc w:val="both"/>
        <w:rPr>
          <w:rFonts w:ascii="Verdana" w:eastAsia="Calibri" w:hAnsi="Verdana" w:cs="Arial"/>
          <w:shd w:val="clear" w:color="auto" w:fill="FFFFFF"/>
          <w:lang w:val="es-ES"/>
        </w:rPr>
      </w:pPr>
    </w:p>
    <w:p w14:paraId="54B18D07" w14:textId="77777777" w:rsidR="00DF69FE" w:rsidRPr="00DF69FE" w:rsidRDefault="00DF69FE" w:rsidP="00DF69FE">
      <w:pPr>
        <w:spacing w:after="0" w:line="240" w:lineRule="auto"/>
        <w:jc w:val="both"/>
        <w:rPr>
          <w:rFonts w:ascii="Verdana" w:eastAsia="Calibri" w:hAnsi="Verdana" w:cs="Times New Roman"/>
        </w:rPr>
      </w:pPr>
      <w:r w:rsidRPr="00DF69FE">
        <w:rPr>
          <w:rFonts w:ascii="Verdana" w:eastAsia="Calibri" w:hAnsi="Verdana" w:cs="Times New Roman"/>
        </w:rPr>
        <w:t xml:space="preserve">Por último, los invitamos a seguirnos en las redes sociales, en las cuales se difunde información institucional: </w:t>
      </w:r>
    </w:p>
    <w:p w14:paraId="3A7C2AD9" w14:textId="77777777" w:rsidR="00DF69FE" w:rsidRPr="00DF69FE" w:rsidRDefault="00DF69FE" w:rsidP="00DF69FE">
      <w:pPr>
        <w:spacing w:after="0" w:line="240" w:lineRule="auto"/>
        <w:jc w:val="both"/>
        <w:rPr>
          <w:rFonts w:ascii="Verdana" w:eastAsia="Calibri" w:hAnsi="Verdana" w:cs="Times New Roman"/>
        </w:rPr>
      </w:pPr>
    </w:p>
    <w:p w14:paraId="4884907D" w14:textId="77777777" w:rsidR="00DF69FE" w:rsidRPr="00DF69FE" w:rsidRDefault="00DF69FE" w:rsidP="00DF69FE">
      <w:pPr>
        <w:spacing w:after="0" w:line="240" w:lineRule="auto"/>
        <w:jc w:val="both"/>
        <w:rPr>
          <w:rFonts w:ascii="Verdana" w:eastAsia="Calibri" w:hAnsi="Verdana" w:cs="Times New Roman"/>
        </w:rPr>
      </w:pPr>
      <w:r w:rsidRPr="00DF69FE">
        <w:rPr>
          <w:rFonts w:ascii="Verdana" w:eastAsia="Calibri" w:hAnsi="Verdana" w:cs="Times New Roman"/>
        </w:rPr>
        <w:t xml:space="preserve">Twitter: </w:t>
      </w:r>
      <w:r w:rsidRPr="00DF69FE">
        <w:rPr>
          <w:rFonts w:ascii="Verdana" w:eastAsia="Calibri" w:hAnsi="Verdana" w:cs="Times New Roman"/>
          <w:u w:val="single"/>
        </w:rPr>
        <w:t>@colombiacompra</w:t>
      </w:r>
      <w:r w:rsidRPr="00DF69FE">
        <w:rPr>
          <w:rFonts w:ascii="Verdana" w:eastAsia="Calibri" w:hAnsi="Verdana" w:cs="Times New Roman"/>
        </w:rPr>
        <w:t xml:space="preserve"> </w:t>
      </w:r>
    </w:p>
    <w:p w14:paraId="20A7D418" w14:textId="77777777" w:rsidR="00DF69FE" w:rsidRPr="00DF69FE" w:rsidRDefault="00DF69FE" w:rsidP="00DF69FE">
      <w:pPr>
        <w:spacing w:after="0" w:line="240" w:lineRule="auto"/>
        <w:jc w:val="both"/>
        <w:rPr>
          <w:rFonts w:ascii="Verdana" w:eastAsia="Calibri" w:hAnsi="Verdana" w:cs="Times New Roman"/>
        </w:rPr>
      </w:pPr>
      <w:r w:rsidRPr="00DF69FE">
        <w:rPr>
          <w:rFonts w:ascii="Verdana" w:eastAsia="Calibri" w:hAnsi="Verdana" w:cs="Times New Roman"/>
        </w:rPr>
        <w:t xml:space="preserve">Facebook: </w:t>
      </w:r>
      <w:r w:rsidRPr="00DF69FE">
        <w:rPr>
          <w:rFonts w:ascii="Verdana" w:eastAsia="Calibri" w:hAnsi="Verdana" w:cs="Times New Roman"/>
          <w:u w:val="single"/>
        </w:rPr>
        <w:t>ColombiaCompraEficiente</w:t>
      </w:r>
    </w:p>
    <w:p w14:paraId="61805789" w14:textId="77777777" w:rsidR="00DF69FE" w:rsidRPr="00DF69FE" w:rsidRDefault="00DF69FE" w:rsidP="00DF69FE">
      <w:pPr>
        <w:spacing w:after="0" w:line="240" w:lineRule="auto"/>
        <w:jc w:val="both"/>
        <w:rPr>
          <w:rFonts w:ascii="Verdana" w:eastAsia="Calibri" w:hAnsi="Verdana" w:cs="Times New Roman"/>
        </w:rPr>
      </w:pPr>
      <w:r w:rsidRPr="00DF69FE">
        <w:rPr>
          <w:rFonts w:ascii="Verdana" w:eastAsia="Calibri" w:hAnsi="Verdana" w:cs="Times New Roman"/>
        </w:rPr>
        <w:t xml:space="preserve">LinkedIn: </w:t>
      </w:r>
      <w:r w:rsidRPr="00DF69FE">
        <w:rPr>
          <w:rFonts w:ascii="Verdana" w:eastAsia="Calibri" w:hAnsi="Verdana" w:cs="Times New Roman"/>
          <w:u w:val="single"/>
        </w:rPr>
        <w:t>Agencia Nacional de Contratación Pública - Colombia Compra Eficiente</w:t>
      </w:r>
      <w:r w:rsidRPr="00DF69FE">
        <w:rPr>
          <w:rFonts w:ascii="Verdana" w:eastAsia="Calibri" w:hAnsi="Verdana" w:cs="Times New Roman"/>
        </w:rPr>
        <w:t xml:space="preserve"> Instagram: </w:t>
      </w:r>
      <w:r w:rsidRPr="00DF69FE">
        <w:rPr>
          <w:rFonts w:ascii="Verdana" w:eastAsia="Calibri" w:hAnsi="Verdana" w:cs="Times New Roman"/>
          <w:u w:val="single"/>
        </w:rPr>
        <w:t>@colombiacompraeficiente_cce</w:t>
      </w:r>
    </w:p>
    <w:p w14:paraId="13AB132A" w14:textId="77777777" w:rsidR="00DF69FE" w:rsidRPr="00DF69FE" w:rsidRDefault="00DF69FE" w:rsidP="00DF69FE">
      <w:pPr>
        <w:widowControl w:val="0"/>
        <w:autoSpaceDE w:val="0"/>
        <w:autoSpaceDN w:val="0"/>
        <w:spacing w:after="0" w:line="276" w:lineRule="auto"/>
        <w:jc w:val="both"/>
        <w:rPr>
          <w:rFonts w:ascii="Verdana" w:eastAsia="Calibri" w:hAnsi="Verdana" w:cs="Arial"/>
        </w:rPr>
      </w:pPr>
    </w:p>
    <w:p w14:paraId="250AF76B" w14:textId="77777777" w:rsidR="00DF69FE" w:rsidRPr="00DF69FE" w:rsidRDefault="00DF69FE" w:rsidP="00DF69FE">
      <w:pPr>
        <w:widowControl w:val="0"/>
        <w:autoSpaceDE w:val="0"/>
        <w:autoSpaceDN w:val="0"/>
        <w:spacing w:after="0" w:line="276" w:lineRule="auto"/>
        <w:jc w:val="both"/>
        <w:rPr>
          <w:rFonts w:ascii="Verdana" w:eastAsia="Calibri" w:hAnsi="Verdana" w:cs="Arial"/>
          <w:lang w:val="es-ES_tradnl"/>
        </w:rPr>
      </w:pPr>
      <w:r w:rsidRPr="00DF69FE">
        <w:rPr>
          <w:rFonts w:ascii="Verdana" w:eastAsia="Calibri" w:hAnsi="Verdana" w:cs="Arial"/>
        </w:rPr>
        <w:t xml:space="preserve">Este concepto tiene el alcance previsto en el artículo 28 del Código de Procedimiento Administrativo y de lo Contencioso Administrativo </w:t>
      </w:r>
      <w:r w:rsidRPr="00DF69FE">
        <w:rPr>
          <w:rFonts w:ascii="Verdana" w:eastAsia="Calibri" w:hAnsi="Verdana" w:cs="Arial"/>
          <w:lang w:val="es-ES_tradnl"/>
        </w:rPr>
        <w:t>y las expresiones aquí utilizadas con mayúscula inicial deben ser entendidas con el significado que les otorga el artículo 2.2.1.1.1.3.1. del Decreto 1082 de 2015.</w:t>
      </w:r>
    </w:p>
    <w:p w14:paraId="30C29073" w14:textId="77777777" w:rsidR="00DF69FE" w:rsidRPr="00DF69FE" w:rsidRDefault="00DF69FE" w:rsidP="00DF69FE">
      <w:pPr>
        <w:widowControl w:val="0"/>
        <w:autoSpaceDE w:val="0"/>
        <w:autoSpaceDN w:val="0"/>
        <w:spacing w:after="0" w:line="276" w:lineRule="auto"/>
        <w:jc w:val="both"/>
        <w:rPr>
          <w:rFonts w:ascii="Verdana" w:eastAsia="Calibri" w:hAnsi="Verdana" w:cs="Arial"/>
        </w:rPr>
      </w:pPr>
    </w:p>
    <w:p w14:paraId="332C57AE" w14:textId="77777777" w:rsidR="00DF69FE" w:rsidRPr="00DF69FE" w:rsidRDefault="00DF69FE" w:rsidP="00DF69FE">
      <w:pPr>
        <w:spacing w:after="0" w:line="240" w:lineRule="auto"/>
        <w:rPr>
          <w:rFonts w:ascii="Verdana" w:eastAsia="Calibri" w:hAnsi="Verdana" w:cs="Arial"/>
          <w:lang w:eastAsia="es-CO"/>
        </w:rPr>
      </w:pPr>
      <w:r w:rsidRPr="00DF69FE">
        <w:rPr>
          <w:rFonts w:ascii="Verdana" w:eastAsia="Times New Roman" w:hAnsi="Verdana" w:cs="Arial"/>
          <w:lang w:eastAsia="es-CO"/>
        </w:rPr>
        <w:t>Atentamente,</w:t>
      </w:r>
      <w:r w:rsidRPr="00DF69FE">
        <w:rPr>
          <w:rFonts w:ascii="Verdana" w:eastAsia="Calibri" w:hAnsi="Verdana" w:cs="Arial"/>
          <w:lang w:eastAsia="es-CO"/>
        </w:rPr>
        <w:t xml:space="preserve"> </w:t>
      </w:r>
    </w:p>
    <w:p w14:paraId="472C8820" w14:textId="70E7281F" w:rsidR="00DF69FE" w:rsidRPr="00DF69FE" w:rsidRDefault="00C33398" w:rsidP="00DF69FE">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6EFB17F5" wp14:editId="31D3050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F69FE" w:rsidRPr="00DF69FE" w14:paraId="6D2D73AD" w14:textId="77777777" w:rsidTr="0058359A">
        <w:trPr>
          <w:trHeight w:val="315"/>
        </w:trPr>
        <w:tc>
          <w:tcPr>
            <w:tcW w:w="893" w:type="dxa"/>
            <w:vAlign w:val="center"/>
            <w:hideMark/>
          </w:tcPr>
          <w:p w14:paraId="126F0C45" w14:textId="77777777" w:rsidR="00DF69FE" w:rsidRPr="00DF69FE" w:rsidRDefault="00DF69FE" w:rsidP="00DF69FE">
            <w:pPr>
              <w:rPr>
                <w:rFonts w:ascii="Verdana" w:eastAsia="Calibri" w:hAnsi="Verdana" w:cs="Arial"/>
                <w:sz w:val="16"/>
                <w:szCs w:val="16"/>
                <w:lang w:val="es-ES" w:eastAsia="es-ES"/>
              </w:rPr>
            </w:pPr>
            <w:r w:rsidRPr="00DF69FE">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493661F9" w14:textId="77777777" w:rsidR="00DF69FE" w:rsidRPr="00DF69FE" w:rsidRDefault="00DF69FE" w:rsidP="00DF69FE">
            <w:pPr>
              <w:rPr>
                <w:rFonts w:ascii="Verdana" w:eastAsia="Arial" w:hAnsi="Verdana" w:cs="Arial"/>
                <w:sz w:val="16"/>
                <w:szCs w:val="16"/>
              </w:rPr>
            </w:pPr>
            <w:r w:rsidRPr="00DF69FE">
              <w:rPr>
                <w:rFonts w:ascii="Verdana" w:eastAsia="Arial" w:hAnsi="Verdana" w:cs="Arial"/>
                <w:sz w:val="16"/>
                <w:szCs w:val="16"/>
              </w:rPr>
              <w:t>Kevin Arlid Herrera Santa</w:t>
            </w:r>
          </w:p>
          <w:p w14:paraId="46595C0F" w14:textId="77777777" w:rsidR="00DF69FE" w:rsidRPr="00DF69FE" w:rsidRDefault="00DF69FE" w:rsidP="00DF69FE">
            <w:pPr>
              <w:rPr>
                <w:rFonts w:ascii="Verdana" w:eastAsia="Arial" w:hAnsi="Verdana" w:cs="Arial"/>
                <w:sz w:val="16"/>
                <w:szCs w:val="16"/>
              </w:rPr>
            </w:pPr>
            <w:r w:rsidRPr="00DF69FE">
              <w:rPr>
                <w:rFonts w:ascii="Verdana" w:eastAsia="Arial" w:hAnsi="Verdana" w:cs="Arial"/>
                <w:sz w:val="16"/>
                <w:szCs w:val="16"/>
              </w:rPr>
              <w:t>Contratista de la Subdirección de Gestión Contractual</w:t>
            </w:r>
          </w:p>
        </w:tc>
      </w:tr>
      <w:tr w:rsidR="00DF69FE" w:rsidRPr="00DF69FE" w14:paraId="29FF9C4A" w14:textId="77777777" w:rsidTr="0058359A">
        <w:trPr>
          <w:trHeight w:val="330"/>
        </w:trPr>
        <w:tc>
          <w:tcPr>
            <w:tcW w:w="893" w:type="dxa"/>
            <w:vAlign w:val="center"/>
            <w:hideMark/>
          </w:tcPr>
          <w:p w14:paraId="03BBB7F3" w14:textId="77777777" w:rsidR="00DF69FE" w:rsidRPr="00DF69FE" w:rsidRDefault="00DF69FE" w:rsidP="00DF69FE">
            <w:pPr>
              <w:rPr>
                <w:rFonts w:ascii="Verdana" w:eastAsia="Calibri" w:hAnsi="Verdana" w:cs="Arial"/>
                <w:sz w:val="16"/>
                <w:szCs w:val="16"/>
                <w:lang w:val="es-ES" w:eastAsia="es-ES"/>
              </w:rPr>
            </w:pPr>
            <w:r w:rsidRPr="00DF69FE">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538CA1BE" w14:textId="77777777" w:rsidR="00DF69FE" w:rsidRPr="00DF69FE" w:rsidRDefault="00DF69FE" w:rsidP="00DF69FE">
            <w:pPr>
              <w:textAlignment w:val="baseline"/>
              <w:rPr>
                <w:rFonts w:ascii="Verdana" w:eastAsia="Times New Roman" w:hAnsi="Verdana" w:cs="Segoe UI"/>
                <w:sz w:val="16"/>
                <w:szCs w:val="16"/>
                <w:lang w:eastAsia="es-ES_tradnl"/>
              </w:rPr>
            </w:pPr>
            <w:r w:rsidRPr="00DF69FE">
              <w:rPr>
                <w:rFonts w:ascii="Verdana" w:eastAsia="Times New Roman" w:hAnsi="Verdana" w:cs="Segoe UI"/>
                <w:sz w:val="16"/>
                <w:szCs w:val="16"/>
                <w:lang w:eastAsia="es-ES_tradnl"/>
              </w:rPr>
              <w:t>Juan David Cárdenas Cabeza</w:t>
            </w:r>
          </w:p>
          <w:p w14:paraId="5525E644" w14:textId="77777777" w:rsidR="00DF69FE" w:rsidRPr="00DF69FE" w:rsidRDefault="00DF69FE" w:rsidP="00DF69FE">
            <w:pPr>
              <w:textAlignment w:val="baseline"/>
              <w:rPr>
                <w:rFonts w:ascii="Verdana" w:eastAsia="Times New Roman" w:hAnsi="Verdana" w:cs="Segoe UI"/>
                <w:sz w:val="16"/>
                <w:szCs w:val="16"/>
                <w:lang w:eastAsia="es-ES_tradnl"/>
              </w:rPr>
            </w:pPr>
            <w:r w:rsidRPr="00DF69FE">
              <w:rPr>
                <w:rFonts w:ascii="Verdana" w:eastAsia="Times New Roman" w:hAnsi="Verdana" w:cs="Arial"/>
                <w:sz w:val="16"/>
                <w:szCs w:val="16"/>
                <w:lang w:val="es-ES" w:eastAsia="es-ES_tradnl"/>
              </w:rPr>
              <w:t>Contratista de la Subdirección de Gestión Contractual</w:t>
            </w:r>
            <w:r w:rsidRPr="00DF69FE">
              <w:rPr>
                <w:rFonts w:ascii="Verdana" w:eastAsia="Times New Roman" w:hAnsi="Verdana" w:cs="Arial"/>
                <w:sz w:val="16"/>
                <w:szCs w:val="16"/>
                <w:lang w:eastAsia="es-ES_tradnl"/>
              </w:rPr>
              <w:t> </w:t>
            </w:r>
          </w:p>
        </w:tc>
      </w:tr>
      <w:tr w:rsidR="00DF69FE" w:rsidRPr="00DF69FE" w14:paraId="6AA9D5A0" w14:textId="77777777" w:rsidTr="0058359A">
        <w:trPr>
          <w:trHeight w:val="300"/>
        </w:trPr>
        <w:tc>
          <w:tcPr>
            <w:tcW w:w="893" w:type="dxa"/>
            <w:vAlign w:val="center"/>
          </w:tcPr>
          <w:p w14:paraId="4E1B97B3" w14:textId="77777777" w:rsidR="00DF69FE" w:rsidRPr="00DF69FE" w:rsidRDefault="00DF69FE" w:rsidP="00DF69FE">
            <w:pPr>
              <w:rPr>
                <w:rFonts w:ascii="Verdana" w:eastAsia="Calibri" w:hAnsi="Verdana" w:cs="Arial"/>
                <w:sz w:val="16"/>
                <w:szCs w:val="16"/>
                <w:lang w:val="es-ES" w:eastAsia="es-ES"/>
              </w:rPr>
            </w:pPr>
            <w:r w:rsidRPr="00DF69FE">
              <w:rPr>
                <w:rFonts w:ascii="Verdana" w:eastAsia="Calibri" w:hAnsi="Verdana" w:cs="Arial"/>
                <w:sz w:val="16"/>
                <w:szCs w:val="16"/>
                <w:lang w:val="es-ES" w:eastAsia="es-ES"/>
              </w:rPr>
              <w:lastRenderedPageBreak/>
              <w:t>Aprobó:</w:t>
            </w:r>
          </w:p>
        </w:tc>
        <w:tc>
          <w:tcPr>
            <w:tcW w:w="5628" w:type="dxa"/>
            <w:tcBorders>
              <w:top w:val="dotted" w:sz="4" w:space="0" w:color="7F7F7F"/>
              <w:left w:val="nil"/>
              <w:bottom w:val="dotted" w:sz="4" w:space="0" w:color="7F7F7F"/>
              <w:right w:val="nil"/>
            </w:tcBorders>
            <w:vAlign w:val="center"/>
          </w:tcPr>
          <w:p w14:paraId="13979F8C" w14:textId="77777777" w:rsidR="00DF69FE" w:rsidRPr="00DF69FE" w:rsidRDefault="00DF69FE" w:rsidP="00DF69FE">
            <w:pPr>
              <w:rPr>
                <w:rFonts w:ascii="Verdana" w:eastAsia="Calibri" w:hAnsi="Verdana" w:cs="Arial"/>
                <w:sz w:val="16"/>
                <w:szCs w:val="16"/>
                <w:lang w:val="pt-BR" w:eastAsia="es-ES"/>
              </w:rPr>
            </w:pPr>
            <w:r w:rsidRPr="00DF69FE">
              <w:rPr>
                <w:rFonts w:ascii="Verdana" w:eastAsia="Calibri" w:hAnsi="Verdana" w:cs="Arial"/>
                <w:sz w:val="16"/>
                <w:szCs w:val="16"/>
                <w:lang w:val="pt-BR" w:eastAsia="es-ES"/>
              </w:rPr>
              <w:t>Carolina Quintero Gacharná</w:t>
            </w:r>
          </w:p>
          <w:p w14:paraId="3AD07874" w14:textId="77777777" w:rsidR="00DF69FE" w:rsidRPr="00DF69FE" w:rsidRDefault="00DF69FE" w:rsidP="00DF69FE">
            <w:pPr>
              <w:rPr>
                <w:rFonts w:ascii="Verdana" w:eastAsia="Calibri" w:hAnsi="Verdana" w:cs="Arial"/>
                <w:sz w:val="16"/>
                <w:szCs w:val="16"/>
                <w:lang w:val="pt-BR" w:eastAsia="es-ES"/>
              </w:rPr>
            </w:pPr>
            <w:r w:rsidRPr="00DF69FE">
              <w:rPr>
                <w:rFonts w:ascii="Verdana" w:eastAsia="Calibri" w:hAnsi="Verdana" w:cs="Arial"/>
                <w:sz w:val="16"/>
                <w:szCs w:val="16"/>
                <w:lang w:eastAsia="es-ES"/>
              </w:rPr>
              <w:t>Subdirectora</w:t>
            </w:r>
            <w:r w:rsidRPr="00DF69FE">
              <w:rPr>
                <w:rFonts w:ascii="Verdana" w:eastAsia="Calibri" w:hAnsi="Verdana" w:cs="Arial"/>
                <w:sz w:val="16"/>
                <w:szCs w:val="16"/>
                <w:lang w:val="pt-BR" w:eastAsia="es-ES"/>
              </w:rPr>
              <w:t xml:space="preserve"> de Gestión Contratual ANCP – CCE</w:t>
            </w:r>
          </w:p>
        </w:tc>
      </w:tr>
    </w:tbl>
    <w:p w14:paraId="0F293BF4" w14:textId="1287DFF0" w:rsidR="00127233" w:rsidRPr="00DF69FE" w:rsidRDefault="00127233" w:rsidP="00DF69FE">
      <w:pPr>
        <w:spacing w:after="0" w:line="240" w:lineRule="auto"/>
        <w:jc w:val="both"/>
        <w:textAlignment w:val="baseline"/>
        <w:rPr>
          <w:rFonts w:ascii="Verdana" w:eastAsia="Times New Roman" w:hAnsi="Verdana" w:cs="Segoe UI"/>
          <w:color w:val="000000"/>
          <w:sz w:val="18"/>
          <w:szCs w:val="18"/>
          <w:lang w:eastAsia="es-CO"/>
        </w:rPr>
      </w:pPr>
    </w:p>
    <w:sectPr w:rsidR="00127233" w:rsidRPr="00DF69FE"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B10C8" w14:textId="77777777" w:rsidR="008844B0" w:rsidRDefault="008844B0" w:rsidP="004A1847">
      <w:pPr>
        <w:spacing w:after="0" w:line="240" w:lineRule="auto"/>
      </w:pPr>
      <w:r>
        <w:separator/>
      </w:r>
    </w:p>
  </w:endnote>
  <w:endnote w:type="continuationSeparator" w:id="0">
    <w:p w14:paraId="456A3657" w14:textId="77777777" w:rsidR="008844B0" w:rsidRDefault="008844B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94304" w14:textId="77777777" w:rsidR="008844B0" w:rsidRDefault="008844B0" w:rsidP="004A1847">
      <w:pPr>
        <w:spacing w:after="0" w:line="240" w:lineRule="auto"/>
      </w:pPr>
      <w:r>
        <w:separator/>
      </w:r>
    </w:p>
  </w:footnote>
  <w:footnote w:type="continuationSeparator" w:id="0">
    <w:p w14:paraId="2A7054EE" w14:textId="77777777" w:rsidR="008844B0" w:rsidRDefault="008844B0" w:rsidP="004A1847">
      <w:pPr>
        <w:spacing w:after="0" w:line="240" w:lineRule="auto"/>
      </w:pPr>
      <w:r>
        <w:continuationSeparator/>
      </w:r>
    </w:p>
  </w:footnote>
  <w:footnote w:id="1">
    <w:p w14:paraId="1FF6DDE3" w14:textId="77777777" w:rsidR="00DF69FE" w:rsidRPr="006556CC" w:rsidRDefault="00DF69FE" w:rsidP="00DF69FE">
      <w:pPr>
        <w:pStyle w:val="Textonotapie"/>
        <w:ind w:firstLine="709"/>
        <w:jc w:val="both"/>
        <w:rPr>
          <w:rFonts w:ascii="Verdana" w:hAnsi="Verdana" w:cs="Arial"/>
          <w:sz w:val="18"/>
          <w:szCs w:val="18"/>
          <w:lang w:val="es-ES"/>
        </w:rPr>
      </w:pPr>
      <w:r w:rsidRPr="006556CC">
        <w:rPr>
          <w:rStyle w:val="Refdenotaalpie"/>
          <w:rFonts w:ascii="Verdana" w:hAnsi="Verdana" w:cs="Arial"/>
          <w:sz w:val="18"/>
          <w:szCs w:val="18"/>
        </w:rPr>
        <w:footnoteRef/>
      </w:r>
      <w:r w:rsidRPr="006556CC">
        <w:rPr>
          <w:rFonts w:ascii="Verdana" w:hAnsi="Verdana" w:cs="Arial"/>
          <w:sz w:val="18"/>
          <w:szCs w:val="18"/>
        </w:rPr>
        <w:t xml:space="preserve"> </w:t>
      </w:r>
      <w:r w:rsidRPr="006556CC">
        <w:rPr>
          <w:rFonts w:ascii="Verdana" w:hAnsi="Verdana" w:cs="Arial"/>
          <w:sz w:val="18"/>
          <w:szCs w:val="18"/>
          <w:lang w:val="es-ES"/>
        </w:rPr>
        <w:t>En cuanto a las resoluciones expedidas, dicha regla se observa en el artículo 3 de las Resoluciones 240, 241, 248, 249, 256 y 269 de 2020, así como en el artículo 2 de la Resolución 094 de 2020 y de la Resolución 326 de 2022, entre otras.</w:t>
      </w:r>
    </w:p>
  </w:footnote>
  <w:footnote w:id="2">
    <w:p w14:paraId="5CAB080F" w14:textId="77777777" w:rsidR="00DF69FE" w:rsidRPr="006556CC" w:rsidRDefault="00DF69FE" w:rsidP="00DF69FE">
      <w:pPr>
        <w:pStyle w:val="Textonotapie"/>
        <w:ind w:firstLine="708"/>
        <w:jc w:val="both"/>
        <w:rPr>
          <w:rFonts w:ascii="Verdana" w:hAnsi="Verdana" w:cs="Arial"/>
          <w:color w:val="000000"/>
          <w:sz w:val="18"/>
          <w:szCs w:val="18"/>
        </w:rPr>
      </w:pPr>
      <w:r w:rsidRPr="006556CC">
        <w:rPr>
          <w:rStyle w:val="Refdenotaalpie"/>
          <w:rFonts w:ascii="Verdana" w:hAnsi="Verdana" w:cs="Arial"/>
          <w:color w:val="000000"/>
          <w:sz w:val="18"/>
          <w:szCs w:val="18"/>
        </w:rPr>
        <w:footnoteRef/>
      </w:r>
      <w:r w:rsidRPr="006556CC">
        <w:rPr>
          <w:rFonts w:ascii="Verdana" w:hAnsi="Verdana" w:cs="Arial"/>
          <w:color w:val="000000"/>
          <w:sz w:val="18"/>
          <w:szCs w:val="18"/>
        </w:rPr>
        <w:t xml:space="preserve"> Artículo 2.2.1.1.2.1.1.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A9589B"/>
    <w:multiLevelType w:val="hybridMultilevel"/>
    <w:tmpl w:val="1C6E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679089576">
    <w:abstractNumId w:val="11"/>
  </w:num>
  <w:num w:numId="18" w16cid:durableId="1492209491">
    <w:abstractNumId w:val="6"/>
  </w:num>
  <w:num w:numId="19" w16cid:durableId="155793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F31"/>
    <w:rsid w:val="00047470"/>
    <w:rsid w:val="00061B2A"/>
    <w:rsid w:val="00082362"/>
    <w:rsid w:val="000A683E"/>
    <w:rsid w:val="000B19B9"/>
    <w:rsid w:val="000D0334"/>
    <w:rsid w:val="000D3B75"/>
    <w:rsid w:val="000F6486"/>
    <w:rsid w:val="00125105"/>
    <w:rsid w:val="00127233"/>
    <w:rsid w:val="001C57CA"/>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01D9"/>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D12F8"/>
    <w:rsid w:val="006D3B55"/>
    <w:rsid w:val="00706C16"/>
    <w:rsid w:val="00741A15"/>
    <w:rsid w:val="00756841"/>
    <w:rsid w:val="007649AB"/>
    <w:rsid w:val="00771D0C"/>
    <w:rsid w:val="007833AC"/>
    <w:rsid w:val="007B268C"/>
    <w:rsid w:val="007B7171"/>
    <w:rsid w:val="007C0C0F"/>
    <w:rsid w:val="007C3DC2"/>
    <w:rsid w:val="007E5497"/>
    <w:rsid w:val="00806F5F"/>
    <w:rsid w:val="00820278"/>
    <w:rsid w:val="008843B6"/>
    <w:rsid w:val="008844B0"/>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42714"/>
    <w:rsid w:val="00AB0ADB"/>
    <w:rsid w:val="00B01B1A"/>
    <w:rsid w:val="00B45ECD"/>
    <w:rsid w:val="00B64B68"/>
    <w:rsid w:val="00B72CD3"/>
    <w:rsid w:val="00B72FFF"/>
    <w:rsid w:val="00BC3D36"/>
    <w:rsid w:val="00BD7F72"/>
    <w:rsid w:val="00C04FB3"/>
    <w:rsid w:val="00C330EB"/>
    <w:rsid w:val="00C33398"/>
    <w:rsid w:val="00C754BE"/>
    <w:rsid w:val="00C76B1C"/>
    <w:rsid w:val="00CB6357"/>
    <w:rsid w:val="00CC1B26"/>
    <w:rsid w:val="00D27E5D"/>
    <w:rsid w:val="00D423A2"/>
    <w:rsid w:val="00D520D8"/>
    <w:rsid w:val="00D63AC2"/>
    <w:rsid w:val="00D7383B"/>
    <w:rsid w:val="00DA231B"/>
    <w:rsid w:val="00DA23A0"/>
    <w:rsid w:val="00DC39FC"/>
    <w:rsid w:val="00DF5254"/>
    <w:rsid w:val="00DF69FE"/>
    <w:rsid w:val="00E16408"/>
    <w:rsid w:val="00E20894"/>
    <w:rsid w:val="00E245AB"/>
    <w:rsid w:val="00E2764C"/>
    <w:rsid w:val="00E27F2E"/>
    <w:rsid w:val="00E413EA"/>
    <w:rsid w:val="00E50AFE"/>
    <w:rsid w:val="00E75C92"/>
    <w:rsid w:val="00E771DC"/>
    <w:rsid w:val="00E8772A"/>
    <w:rsid w:val="00E90F6B"/>
    <w:rsid w:val="00E913CB"/>
    <w:rsid w:val="00E92C27"/>
    <w:rsid w:val="00EA0E3D"/>
    <w:rsid w:val="00EC38A7"/>
    <w:rsid w:val="00EE1AA8"/>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F69F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infraestructura-de-transporte-ver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BF007-E2EF-4696-B5F3-1F81B3890D0A}"/>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2836</Words>
  <Characters>15600</Characters>
  <Application>Microsoft Office Word</Application>
  <DocSecurity>0</DocSecurity>
  <Lines>130</Lines>
  <Paragraphs>36</Paragraphs>
  <ScaleCrop>false</ScaleCrop>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2023-01-10T21:18:00Z</cp:lastPrinted>
  <dcterms:created xsi:type="dcterms:W3CDTF">2024-08-09T17:58:00Z</dcterms:created>
  <dcterms:modified xsi:type="dcterms:W3CDTF">2024-08-09T18:00:00Z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