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CDCA" w14:textId="77777777" w:rsidR="00F23953" w:rsidRPr="00B771A8" w:rsidRDefault="00F23953" w:rsidP="00F23953">
      <w:pPr>
        <w:spacing w:after="0" w:line="240" w:lineRule="auto"/>
        <w:jc w:val="both"/>
        <w:rPr>
          <w:rFonts w:ascii="Verdana" w:eastAsia="Calibri" w:hAnsi="Verdana"/>
          <w:b/>
          <w:bCs/>
          <w:lang w:val="es-ES_tradnl" w:eastAsia="es-ES_tradnl"/>
        </w:rPr>
      </w:pPr>
      <w:bookmarkStart w:id="0" w:name="_Hlk143780582"/>
      <w:r w:rsidRPr="00B771A8">
        <w:rPr>
          <w:rFonts w:ascii="Verdana" w:eastAsia="Times New Roman" w:hAnsi="Verdana"/>
          <w:b/>
          <w:bCs/>
          <w:lang w:val="es-ES_tradnl" w:eastAsia="es-ES_tradnl"/>
        </w:rPr>
        <w:t xml:space="preserve">CONTRATOS CON ESAL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Artículo 355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Constitución </w:t>
      </w:r>
      <w:r w:rsidRPr="00B771A8">
        <w:rPr>
          <w:rFonts w:ascii="Verdana" w:eastAsia="Calibri" w:hAnsi="Verdana"/>
          <w:b/>
          <w:bCs/>
          <w:lang w:val="es-ES_tradnl" w:eastAsia="es-ES_tradnl"/>
        </w:rPr>
        <w:t xml:space="preserve">– Artículo 96 – Ley 489 – Fundamento </w:t>
      </w:r>
    </w:p>
    <w:p w14:paraId="272EA4F6" w14:textId="77777777" w:rsidR="00F23953" w:rsidRDefault="00F23953" w:rsidP="00F23953">
      <w:pPr>
        <w:spacing w:after="0" w:line="240" w:lineRule="auto"/>
        <w:jc w:val="both"/>
        <w:rPr>
          <w:rFonts w:ascii="Verdana" w:eastAsia="Calibri" w:hAnsi="Verdana" w:cs="Arial"/>
          <w:color w:val="000000" w:themeColor="text1"/>
          <w:sz w:val="20"/>
          <w:szCs w:val="20"/>
        </w:rPr>
      </w:pPr>
    </w:p>
    <w:p w14:paraId="437B3E65" w14:textId="77777777" w:rsidR="00F23953" w:rsidRPr="00B771A8" w:rsidRDefault="00F23953" w:rsidP="00F23953">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En concordancia, el artículo 96 de la Ley 489 de 1998 permite a las Entidades cualquiera que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6A15780A" w14:textId="77777777" w:rsidR="00F23953" w:rsidRPr="00B771A8" w:rsidRDefault="00F23953" w:rsidP="00F23953">
      <w:pPr>
        <w:spacing w:after="0" w:line="240" w:lineRule="auto"/>
        <w:jc w:val="both"/>
        <w:rPr>
          <w:rFonts w:ascii="Verdana" w:eastAsia="Calibri" w:hAnsi="Verdana"/>
          <w:sz w:val="20"/>
          <w:szCs w:val="20"/>
          <w:lang w:eastAsia="es-ES_tradnl"/>
        </w:rPr>
      </w:pPr>
    </w:p>
    <w:p w14:paraId="54AAFF2F" w14:textId="77777777" w:rsidR="00F23953" w:rsidRPr="00B771A8" w:rsidRDefault="00F23953" w:rsidP="00F23953">
      <w:pPr>
        <w:spacing w:after="0" w:line="240" w:lineRule="auto"/>
        <w:jc w:val="both"/>
        <w:rPr>
          <w:rFonts w:ascii="Verdana" w:eastAsia="Calibri" w:hAnsi="Verdana" w:cs="Arial"/>
          <w:b/>
          <w:color w:val="000000"/>
          <w:lang w:val="es-MX"/>
        </w:rPr>
      </w:pPr>
      <w:r w:rsidRPr="00B771A8">
        <w:rPr>
          <w:rFonts w:ascii="Verdana" w:eastAsia="Calibri" w:hAnsi="Verdana" w:cs="Arial"/>
          <w:b/>
          <w:color w:val="000000"/>
          <w:lang w:val="es-MX"/>
        </w:rPr>
        <w:t xml:space="preserve">CONVENIOS DE ASOCIACIÓN – Objeto – Alcance – Aportes </w:t>
      </w:r>
    </w:p>
    <w:p w14:paraId="3F0C88F6" w14:textId="77777777" w:rsidR="00F23953" w:rsidRDefault="00F23953" w:rsidP="00F23953">
      <w:pPr>
        <w:spacing w:after="0" w:line="240" w:lineRule="auto"/>
        <w:jc w:val="both"/>
        <w:rPr>
          <w:rFonts w:ascii="Verdana" w:eastAsia="Calibri" w:hAnsi="Verdana" w:cs="Arial"/>
          <w:color w:val="000000" w:themeColor="text1"/>
          <w:sz w:val="20"/>
          <w:szCs w:val="20"/>
        </w:rPr>
      </w:pPr>
    </w:p>
    <w:p w14:paraId="5EEF2BDE" w14:textId="77777777" w:rsidR="00F23953" w:rsidRPr="00B771A8" w:rsidRDefault="00F23953" w:rsidP="00F23953">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 xml:space="preserve">De otro lado, los </w:t>
      </w:r>
      <w:r w:rsidRPr="00B771A8">
        <w:rPr>
          <w:rFonts w:ascii="Verdana" w:eastAsia="Calibri" w:hAnsi="Verdana" w:cs="Arial"/>
          <w:i/>
          <w:iCs/>
          <w:color w:val="000000" w:themeColor="text1"/>
          <w:sz w:val="20"/>
          <w:szCs w:val="20"/>
        </w:rPr>
        <w:t xml:space="preserve">convenios de asociación </w:t>
      </w:r>
      <w:r w:rsidRPr="00B771A8">
        <w:rPr>
          <w:rFonts w:ascii="Verdana" w:eastAsia="Calibri" w:hAnsi="Verdana" w:cs="Arial"/>
          <w:color w:val="000000" w:themeColor="text1"/>
          <w:sz w:val="20"/>
          <w:szCs w:val="20"/>
        </w:rPr>
        <w:t>– a los cuales hace referencia en su consulta – “[…] [t]</w:t>
      </w:r>
      <w:proofErr w:type="spellStart"/>
      <w:r w:rsidRPr="00B771A8">
        <w:rPr>
          <w:rFonts w:ascii="Verdana" w:eastAsia="Calibri" w:hAnsi="Verdana" w:cs="Arial"/>
          <w:color w:val="000000" w:themeColor="text1"/>
          <w:sz w:val="20"/>
          <w:szCs w:val="20"/>
        </w:rPr>
        <w:t>ienen</w:t>
      </w:r>
      <w:proofErr w:type="spellEnd"/>
      <w:r w:rsidRPr="00B771A8">
        <w:rPr>
          <w:rFonts w:ascii="Verdana" w:eastAsia="Calibri" w:hAnsi="Verdana"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1872D013" w14:textId="77777777" w:rsidR="00F23953" w:rsidRPr="00B771A8" w:rsidRDefault="00F23953" w:rsidP="00F23953">
      <w:pPr>
        <w:spacing w:after="0" w:line="240" w:lineRule="auto"/>
        <w:jc w:val="both"/>
        <w:rPr>
          <w:rFonts w:ascii="Verdana" w:eastAsia="Calibri" w:hAnsi="Verdana" w:cs="Arial"/>
          <w:bCs/>
          <w:color w:val="000000"/>
          <w:sz w:val="20"/>
          <w:szCs w:val="20"/>
        </w:rPr>
      </w:pPr>
    </w:p>
    <w:p w14:paraId="07A51603" w14:textId="77777777" w:rsidR="00F23953" w:rsidRPr="00B771A8" w:rsidRDefault="00F23953" w:rsidP="00F23953">
      <w:pPr>
        <w:spacing w:after="0" w:line="240" w:lineRule="auto"/>
        <w:jc w:val="both"/>
        <w:rPr>
          <w:rFonts w:ascii="Verdana" w:eastAsia="Calibri" w:hAnsi="Verdana"/>
          <w:b/>
          <w:bCs/>
          <w:lang w:val="es-ES_tradnl"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w:t>
      </w:r>
    </w:p>
    <w:p w14:paraId="634A31E7" w14:textId="77777777" w:rsidR="00F23953" w:rsidRDefault="00F23953" w:rsidP="00F23953">
      <w:pPr>
        <w:spacing w:after="0" w:line="240" w:lineRule="auto"/>
        <w:jc w:val="both"/>
        <w:textAlignment w:val="baseline"/>
        <w:rPr>
          <w:rFonts w:ascii="Verdana" w:eastAsia="Calibri" w:hAnsi="Verdana"/>
          <w:sz w:val="20"/>
          <w:szCs w:val="20"/>
          <w:lang w:val="es-ES_tradnl" w:eastAsia="es-ES_tradnl"/>
        </w:rPr>
      </w:pPr>
    </w:p>
    <w:p w14:paraId="30694954" w14:textId="77777777" w:rsidR="00F23953" w:rsidRPr="00B771A8" w:rsidRDefault="00F23953" w:rsidP="00F23953">
      <w:pPr>
        <w:spacing w:after="0" w:line="240" w:lineRule="auto"/>
        <w:jc w:val="both"/>
        <w:textAlignment w:val="baseline"/>
        <w:rPr>
          <w:rFonts w:ascii="Verdana" w:eastAsia="Calibri" w:hAnsi="Verdana" w:cs="Arial"/>
          <w:sz w:val="20"/>
          <w:szCs w:val="20"/>
          <w:lang w:val="es-ES_tradnl" w:eastAsia="es-ES_tradnl"/>
        </w:rPr>
      </w:pPr>
      <w:r w:rsidRPr="00B771A8">
        <w:rPr>
          <w:rFonts w:ascii="Verdana" w:eastAsia="Calibri" w:hAnsi="Verdana"/>
          <w:sz w:val="20"/>
          <w:szCs w:val="20"/>
          <w:lang w:val="es-ES_tradnl" w:eastAsia="es-ES_tradnl"/>
        </w:rPr>
        <w:t xml:space="preserve">[…] </w:t>
      </w:r>
      <w:r w:rsidRPr="00B771A8">
        <w:rPr>
          <w:rFonts w:ascii="Verdana" w:eastAsia="Calibri" w:hAnsi="Verdana" w:cs="Arial"/>
          <w:sz w:val="20"/>
          <w:szCs w:val="20"/>
          <w:lang w:val="es-ES_tradnl" w:eastAsia="es-ES_tradnl"/>
        </w:rPr>
        <w:t>el artículo 5 del Decreto 092 de 2017</w:t>
      </w:r>
      <w:r w:rsidRPr="00B771A8">
        <w:rPr>
          <w:sz w:val="20"/>
          <w:szCs w:val="20"/>
          <w:vertAlign w:val="superscript"/>
          <w:lang w:eastAsia="es-ES_tradnl"/>
        </w:rPr>
        <w:t xml:space="preserve"> </w:t>
      </w:r>
      <w:r w:rsidRPr="00B771A8">
        <w:rPr>
          <w:rFonts w:ascii="Verdana" w:eastAsia="Calibri" w:hAnsi="Verdana" w:cs="Arial"/>
          <w:sz w:val="20"/>
          <w:szCs w:val="20"/>
          <w:lang w:val="es-ES_tradnl" w:eastAsia="es-ES_tradnl"/>
        </w:rPr>
        <w:t xml:space="preserve">establece que, </w:t>
      </w:r>
      <w:r w:rsidRPr="00B771A8">
        <w:rPr>
          <w:rFonts w:ascii="Verdana" w:eastAsia="Calibri" w:hAnsi="Verdana" w:cs="Arial"/>
          <w:sz w:val="20"/>
          <w:szCs w:val="20"/>
          <w:lang w:eastAsia="es-ES_tradnl"/>
        </w:rPr>
        <w:t xml:space="preserve">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p>
    <w:p w14:paraId="522EF042" w14:textId="77777777" w:rsidR="00F23953" w:rsidRPr="00B771A8" w:rsidRDefault="00F23953" w:rsidP="00F23953">
      <w:pPr>
        <w:spacing w:after="0" w:line="240" w:lineRule="auto"/>
        <w:jc w:val="both"/>
        <w:rPr>
          <w:rFonts w:ascii="Verdana" w:eastAsia="Calibri" w:hAnsi="Verdana"/>
          <w:sz w:val="20"/>
          <w:szCs w:val="20"/>
          <w:lang w:val="es-ES_tradnl" w:eastAsia="es-ES_tradnl"/>
        </w:rPr>
      </w:pPr>
    </w:p>
    <w:p w14:paraId="6DC3FE86" w14:textId="77777777" w:rsidR="00F23953" w:rsidRPr="00B771A8" w:rsidRDefault="00F23953" w:rsidP="00F23953">
      <w:pPr>
        <w:spacing w:after="0" w:line="240" w:lineRule="auto"/>
        <w:jc w:val="both"/>
        <w:rPr>
          <w:rFonts w:ascii="Verdana" w:eastAsia="Calibri" w:hAnsi="Verdana"/>
          <w:b/>
          <w:bCs/>
          <w:lang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 Aportes en dinero – Aportes en especie </w:t>
      </w:r>
    </w:p>
    <w:p w14:paraId="13083FC3" w14:textId="77777777" w:rsidR="00F23953" w:rsidRDefault="00F23953" w:rsidP="00F23953">
      <w:pPr>
        <w:spacing w:after="0" w:line="240" w:lineRule="auto"/>
        <w:jc w:val="both"/>
        <w:rPr>
          <w:rFonts w:ascii="Verdana" w:eastAsia="Calibri" w:hAnsi="Verdana" w:cs="Arial"/>
          <w:sz w:val="20"/>
          <w:szCs w:val="20"/>
        </w:rPr>
      </w:pPr>
    </w:p>
    <w:p w14:paraId="3E82D0AA" w14:textId="77777777" w:rsidR="00F23953" w:rsidRDefault="00F23953" w:rsidP="00F23953">
      <w:pPr>
        <w:spacing w:after="0" w:line="240" w:lineRule="auto"/>
        <w:jc w:val="both"/>
        <w:rPr>
          <w:rFonts w:ascii="Verdana" w:eastAsia="Calibri" w:hAnsi="Verdana" w:cs="Arial"/>
          <w:i/>
          <w:iCs/>
          <w:sz w:val="20"/>
          <w:szCs w:val="20"/>
        </w:rPr>
      </w:pPr>
      <w:r w:rsidRPr="00B771A8">
        <w:rPr>
          <w:rFonts w:ascii="Verdana" w:eastAsia="Calibri" w:hAnsi="Verdana" w:cs="Arial"/>
          <w:sz w:val="20"/>
          <w:szCs w:val="20"/>
        </w:rPr>
        <w:t xml:space="preserve">En relación con los aportes que debe comprometer la ESAL para no someter a un proceso competitivo la selección de la ESAL ha surgido el interrogante si los aportes en especie se deben tener en cuenta para el cálculo del treinta por ciento (30%) del aporte. Sobre este segundo problema jurídico, la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w:t>
      </w:r>
      <w:r w:rsidRPr="00B771A8">
        <w:rPr>
          <w:rFonts w:ascii="Verdana" w:eastAsia="Calibri" w:hAnsi="Verdana" w:cs="Arial"/>
          <w:i/>
          <w:iCs/>
          <w:sz w:val="20"/>
          <w:szCs w:val="20"/>
        </w:rPr>
        <w:t xml:space="preserve">en dinero </w:t>
      </w:r>
      <w:r w:rsidRPr="00B771A8">
        <w:rPr>
          <w:rFonts w:ascii="Verdana" w:eastAsia="Calibri" w:hAnsi="Verdana" w:cs="Arial"/>
          <w:sz w:val="20"/>
          <w:szCs w:val="20"/>
        </w:rPr>
        <w:t xml:space="preserve">requeridos para la ejecución proyecto, el cual corresponderá al valor por el que se celebrará el </w:t>
      </w:r>
      <w:r w:rsidRPr="00B771A8">
        <w:rPr>
          <w:rFonts w:ascii="Verdana" w:eastAsia="Calibri" w:hAnsi="Verdana" w:cs="Arial"/>
          <w:i/>
          <w:iCs/>
          <w:sz w:val="20"/>
          <w:szCs w:val="20"/>
        </w:rPr>
        <w:t>convenio de asociación”.</w:t>
      </w:r>
    </w:p>
    <w:p w14:paraId="3B8BE5C5" w14:textId="77777777" w:rsidR="00F23953" w:rsidRPr="00B771A8" w:rsidRDefault="00F23953" w:rsidP="00F23953">
      <w:pPr>
        <w:spacing w:after="0" w:line="240" w:lineRule="auto"/>
        <w:jc w:val="both"/>
        <w:rPr>
          <w:rFonts w:ascii="Verdana" w:eastAsia="Calibri" w:hAnsi="Verdana"/>
          <w:sz w:val="20"/>
          <w:szCs w:val="20"/>
          <w:lang w:eastAsia="es-ES_tradnl"/>
        </w:rPr>
      </w:pPr>
    </w:p>
    <w:p w14:paraId="00FA9282" w14:textId="77777777" w:rsidR="00F23953" w:rsidRPr="00B771A8" w:rsidRDefault="00F23953" w:rsidP="00F23953">
      <w:pPr>
        <w:spacing w:after="0" w:line="240" w:lineRule="auto"/>
        <w:jc w:val="both"/>
        <w:rPr>
          <w:rFonts w:ascii="Verdana" w:eastAsia="Calibri" w:hAnsi="Verdana"/>
          <w:b/>
          <w:bCs/>
          <w:lang w:val="es-ES_tradnl" w:eastAsia="es-ES_tradnl"/>
        </w:rPr>
      </w:pPr>
      <w:r w:rsidRPr="00B771A8">
        <w:rPr>
          <w:rFonts w:ascii="Verdana" w:eastAsia="Calibri" w:hAnsi="Verdana"/>
          <w:b/>
          <w:bCs/>
          <w:lang w:eastAsia="es-ES_tradnl"/>
        </w:rPr>
        <w:t xml:space="preserve">CONVENIOS DE ASOCIACIÓN – Aporte económico de la ESAL – Mecanismo de recaudo </w:t>
      </w:r>
    </w:p>
    <w:p w14:paraId="27D333D5" w14:textId="77777777" w:rsidR="00F23953" w:rsidRDefault="00F23953" w:rsidP="00F23953">
      <w:pPr>
        <w:spacing w:after="0" w:line="240" w:lineRule="auto"/>
        <w:jc w:val="both"/>
        <w:rPr>
          <w:rFonts w:ascii="Verdana" w:eastAsia="Calibri" w:hAnsi="Verdana" w:cs="Arial"/>
          <w:sz w:val="20"/>
          <w:szCs w:val="20"/>
          <w:lang w:val="es-ES_tradnl" w:eastAsia="es-ES_tradnl"/>
        </w:rPr>
      </w:pPr>
    </w:p>
    <w:p w14:paraId="6C784B78" w14:textId="77777777" w:rsidR="00F23953" w:rsidRPr="00B771A8" w:rsidRDefault="00F23953" w:rsidP="00F23953">
      <w:pPr>
        <w:spacing w:after="0" w:line="240" w:lineRule="auto"/>
        <w:jc w:val="both"/>
        <w:rPr>
          <w:rFonts w:ascii="Verdana" w:eastAsia="Calibri" w:hAnsi="Verdana" w:cs="Arial"/>
          <w:sz w:val="20"/>
          <w:szCs w:val="20"/>
        </w:rPr>
      </w:pPr>
      <w:r>
        <w:rPr>
          <w:rFonts w:ascii="Verdana" w:eastAsia="Calibri" w:hAnsi="Verdana" w:cs="Arial"/>
          <w:sz w:val="20"/>
          <w:szCs w:val="20"/>
          <w:lang w:val="es-ES_tradnl" w:eastAsia="es-ES_tradnl"/>
        </w:rPr>
        <w:t xml:space="preserve">[…] </w:t>
      </w:r>
      <w:r w:rsidRPr="00B771A8">
        <w:rPr>
          <w:rFonts w:ascii="Verdana" w:eastAsia="Calibri" w:hAnsi="Verdana" w:cs="Arial"/>
          <w:sz w:val="20"/>
          <w:szCs w:val="20"/>
          <w:lang w:val="es-ES_tradnl" w:eastAsia="es-ES_tradnl"/>
        </w:rPr>
        <w:t xml:space="preserve">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w:t>
      </w:r>
    </w:p>
    <w:p w14:paraId="5DF41ECF" w14:textId="77777777" w:rsidR="00F23953" w:rsidRPr="00B771A8" w:rsidRDefault="00F23953" w:rsidP="00F23953">
      <w:pPr>
        <w:pStyle w:val="Prrafodelista"/>
        <w:spacing w:after="0" w:line="240" w:lineRule="auto"/>
        <w:contextualSpacing w:val="0"/>
        <w:rPr>
          <w:rFonts w:ascii="Verdana" w:eastAsia="Calibri" w:hAnsi="Verdana" w:cs="Arial"/>
          <w:sz w:val="20"/>
          <w:szCs w:val="20"/>
          <w:lang w:val="es-ES_tradnl" w:eastAsia="es-ES_tradnl"/>
        </w:rPr>
      </w:pPr>
    </w:p>
    <w:p w14:paraId="794ED61E" w14:textId="77777777" w:rsidR="00F23953" w:rsidRPr="00B771A8" w:rsidRDefault="00F23953" w:rsidP="00F23953">
      <w:pPr>
        <w:spacing w:after="0" w:line="240" w:lineRule="auto"/>
        <w:jc w:val="both"/>
        <w:rPr>
          <w:rFonts w:ascii="Verdana" w:eastAsia="Calibri" w:hAnsi="Verdana" w:cs="Arial"/>
          <w:sz w:val="20"/>
          <w:szCs w:val="20"/>
        </w:rPr>
      </w:pPr>
      <w:r w:rsidRPr="00B771A8">
        <w:rPr>
          <w:rFonts w:ascii="Verdana" w:eastAsia="Calibri" w:hAnsi="Verdana" w:cs="Arial"/>
          <w:sz w:val="20"/>
          <w:szCs w:val="20"/>
          <w:lang w:val="es-ES_tradnl" w:eastAsia="es-ES_tradnl"/>
        </w:rPr>
        <w:t xml:space="preserve">Al respecto, </w:t>
      </w:r>
      <w:r w:rsidRPr="00B771A8">
        <w:rPr>
          <w:rFonts w:ascii="Verdana" w:eastAsia="Calibri" w:hAnsi="Verdana" w:cs="Arial"/>
          <w:sz w:val="20"/>
          <w:szCs w:val="20"/>
          <w:lang w:eastAsia="es-ES"/>
        </w:rPr>
        <w:t>se precisa</w:t>
      </w:r>
      <w:r w:rsidRPr="00B771A8">
        <w:rPr>
          <w:rFonts w:ascii="Verdana" w:eastAsia="Calibri" w:hAnsi="Verdana" w:cs="Arial"/>
          <w:sz w:val="20"/>
          <w:szCs w:val="20"/>
          <w:lang w:val="es-ES_tradnl" w:eastAsia="es-ES_tradnl"/>
        </w:rPr>
        <w:t xml:space="preserve"> que, la entidad será autónoma en definir el mecanismo que le parezca más conveniente para el recaudo de los recursos económicos, </w:t>
      </w:r>
      <w:r w:rsidRPr="00B771A8">
        <w:rPr>
          <w:rFonts w:ascii="Verdana" w:hAnsi="Verdana" w:cs="Arial"/>
          <w:color w:val="000000" w:themeColor="text1"/>
          <w:sz w:val="20"/>
          <w:szCs w:val="20"/>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p w14:paraId="07CCD303" w14:textId="77777777" w:rsidR="00F23953" w:rsidRDefault="00F23953">
      <w:pPr>
        <w:rPr>
          <w:rFonts w:ascii="Verdana" w:hAnsi="Verdana"/>
        </w:rPr>
      </w:pPr>
      <w:r>
        <w:rPr>
          <w:rFonts w:ascii="Verdana" w:hAnsi="Verdana"/>
        </w:rPr>
        <w:br w:type="page"/>
      </w:r>
    </w:p>
    <w:p w14:paraId="6CF18239" w14:textId="1FF7FDB5" w:rsidR="00E245AB" w:rsidRPr="0044528D" w:rsidRDefault="00E245AB" w:rsidP="00E245AB">
      <w:pPr>
        <w:spacing w:after="0"/>
        <w:rPr>
          <w:rFonts w:ascii="Verdana" w:hAnsi="Verdana"/>
        </w:rPr>
      </w:pPr>
      <w:r w:rsidRPr="0044528D">
        <w:rPr>
          <w:rFonts w:ascii="Verdana" w:hAnsi="Verdana"/>
        </w:rPr>
        <w:lastRenderedPageBreak/>
        <w:t xml:space="preserve">Bogotá D.C., </w:t>
      </w:r>
      <w:r w:rsidR="00A32355">
        <w:rPr>
          <w:rFonts w:ascii="Verdana" w:hAnsi="Verdana"/>
        </w:rPr>
        <w:t>29 de julio de 2024.</w:t>
      </w:r>
      <w:r w:rsidR="00891928" w:rsidRPr="0044528D">
        <w:rPr>
          <w:rFonts w:ascii="Verdana" w:hAnsi="Verdana"/>
        </w:rPr>
        <w:tab/>
      </w:r>
    </w:p>
    <w:bookmarkEnd w:id="0"/>
    <w:p w14:paraId="081DAC09" w14:textId="47FE3575" w:rsidR="005A12A7" w:rsidRPr="003D0CA0" w:rsidRDefault="00A32355" w:rsidP="00A32355">
      <w:pPr>
        <w:spacing w:after="0" w:line="240" w:lineRule="auto"/>
        <w:jc w:val="right"/>
        <w:rPr>
          <w:rFonts w:ascii="Verdana" w:eastAsia="Calibri" w:hAnsi="Verdana" w:cs="Arial"/>
          <w:lang w:val="es-ES"/>
        </w:rPr>
      </w:pPr>
      <w:r w:rsidRPr="00A32355">
        <w:rPr>
          <w:rFonts w:ascii="Verdana" w:eastAsia="Calibri" w:hAnsi="Verdana" w:cs="Arial"/>
          <w:lang w:val="es-ES"/>
        </w:rPr>
        <w:drawing>
          <wp:inline distT="0" distB="0" distL="0" distR="0" wp14:anchorId="7E55AD3B" wp14:editId="345FC2A2">
            <wp:extent cx="3632200" cy="1114425"/>
            <wp:effectExtent l="0" t="0" r="6350" b="9525"/>
            <wp:docPr id="20474822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82246" name="Imagen 1" descr="Texto&#10;&#10;Descripción generada automáticamente"/>
                    <pic:cNvPicPr/>
                  </pic:nvPicPr>
                  <pic:blipFill>
                    <a:blip r:embed="rId10"/>
                    <a:stretch>
                      <a:fillRect/>
                    </a:stretch>
                  </pic:blipFill>
                  <pic:spPr>
                    <a:xfrm>
                      <a:off x="0" y="0"/>
                      <a:ext cx="3642343" cy="1117537"/>
                    </a:xfrm>
                    <a:prstGeom prst="rect">
                      <a:avLst/>
                    </a:prstGeom>
                  </pic:spPr>
                </pic:pic>
              </a:graphicData>
            </a:graphic>
          </wp:inline>
        </w:drawing>
      </w:r>
    </w:p>
    <w:p w14:paraId="755D9B53" w14:textId="77777777" w:rsidR="005A12A7" w:rsidRPr="003D0CA0" w:rsidRDefault="005A12A7" w:rsidP="005A12A7">
      <w:pPr>
        <w:spacing w:after="0" w:line="240" w:lineRule="auto"/>
        <w:jc w:val="both"/>
        <w:rPr>
          <w:rFonts w:ascii="Verdana" w:eastAsia="Calibri" w:hAnsi="Verdana" w:cs="Arial"/>
          <w:lang w:val="es-ES" w:eastAsia="es-ES"/>
        </w:rPr>
      </w:pPr>
      <w:r w:rsidRPr="003D0CA0">
        <w:rPr>
          <w:rFonts w:ascii="Verdana" w:eastAsia="Calibri" w:hAnsi="Verdana" w:cs="Arial"/>
          <w:lang w:val="es-ES" w:eastAsia="es-ES"/>
        </w:rPr>
        <w:t>Señor</w:t>
      </w:r>
    </w:p>
    <w:p w14:paraId="231CB8FD" w14:textId="77777777" w:rsidR="005A12A7" w:rsidRPr="003D0CA0" w:rsidRDefault="005A12A7" w:rsidP="7AF9A120">
      <w:pPr>
        <w:spacing w:after="0" w:line="240" w:lineRule="auto"/>
        <w:rPr>
          <w:rFonts w:ascii="Verdana" w:eastAsia="Calibri" w:hAnsi="Verdana" w:cs="Arial"/>
          <w:b/>
          <w:bCs/>
          <w:lang w:val="es-ES" w:eastAsia="es-ES"/>
        </w:rPr>
      </w:pPr>
      <w:r w:rsidRPr="7AF9A120">
        <w:rPr>
          <w:rFonts w:ascii="Verdana" w:eastAsia="Calibri" w:hAnsi="Verdana" w:cs="Arial"/>
          <w:b/>
          <w:bCs/>
          <w:lang w:val="es-ES" w:eastAsia="es-ES"/>
        </w:rPr>
        <w:t xml:space="preserve">Johann </w:t>
      </w:r>
      <w:proofErr w:type="spellStart"/>
      <w:r w:rsidRPr="7AF9A120">
        <w:rPr>
          <w:rFonts w:ascii="Verdana" w:eastAsia="Calibri" w:hAnsi="Verdana" w:cs="Arial"/>
          <w:b/>
          <w:bCs/>
          <w:lang w:val="es-ES" w:eastAsia="es-ES"/>
        </w:rPr>
        <w:t>Diderick</w:t>
      </w:r>
      <w:proofErr w:type="spellEnd"/>
      <w:r w:rsidRPr="7AF9A120">
        <w:rPr>
          <w:rFonts w:ascii="Verdana" w:eastAsia="Calibri" w:hAnsi="Verdana" w:cs="Arial"/>
          <w:b/>
          <w:bCs/>
          <w:lang w:val="es-ES" w:eastAsia="es-ES"/>
        </w:rPr>
        <w:t xml:space="preserve"> Granados Ordoñez</w:t>
      </w:r>
    </w:p>
    <w:p w14:paraId="1FF182E0" w14:textId="77777777" w:rsidR="005A12A7" w:rsidRPr="003D0CA0" w:rsidRDefault="00BA6684" w:rsidP="005A12A7">
      <w:pPr>
        <w:spacing w:after="0" w:line="240" w:lineRule="auto"/>
        <w:rPr>
          <w:rFonts w:ascii="Verdana" w:eastAsia="Calibri" w:hAnsi="Verdana" w:cs="Arial"/>
          <w:b/>
          <w:lang w:val="es-ES_tradnl" w:eastAsia="es-ES_tradnl"/>
        </w:rPr>
      </w:pPr>
      <w:hyperlink r:id="rId11" w:history="1">
        <w:r w:rsidR="005A12A7" w:rsidRPr="003D0CA0">
          <w:rPr>
            <w:rStyle w:val="Hipervnculo"/>
            <w:rFonts w:ascii="Verdana" w:eastAsia="Calibri" w:hAnsi="Verdana" w:cs="Arial"/>
            <w:b/>
            <w:lang w:val="es-ES_tradnl" w:eastAsia="es-ES_tradnl"/>
          </w:rPr>
          <w:t>johann.granados@hotmail.com</w:t>
        </w:r>
      </w:hyperlink>
      <w:r w:rsidR="005A12A7" w:rsidRPr="003D0CA0">
        <w:rPr>
          <w:rFonts w:ascii="Verdana" w:eastAsia="Calibri" w:hAnsi="Verdana" w:cs="Arial"/>
          <w:b/>
          <w:lang w:val="es-ES_tradnl" w:eastAsia="es-ES_tradnl"/>
        </w:rPr>
        <w:t xml:space="preserve">  </w:t>
      </w:r>
    </w:p>
    <w:p w14:paraId="0F36915D" w14:textId="77777777" w:rsidR="005A12A7" w:rsidRPr="003D0CA0" w:rsidRDefault="005A12A7" w:rsidP="005A12A7">
      <w:pPr>
        <w:spacing w:after="0" w:line="240" w:lineRule="auto"/>
        <w:rPr>
          <w:rFonts w:ascii="Verdana" w:eastAsia="Calibri" w:hAnsi="Verdana" w:cs="Arial"/>
          <w:b/>
          <w:bCs/>
          <w:lang w:val="es-ES" w:eastAsia="es-ES"/>
        </w:rPr>
      </w:pPr>
      <w:r w:rsidRPr="003D0CA0">
        <w:rPr>
          <w:rFonts w:ascii="Verdana" w:eastAsia="Calibri" w:hAnsi="Verdana" w:cs="Arial"/>
          <w:lang w:val="es-ES" w:eastAsia="es-ES"/>
        </w:rPr>
        <w:t>Floridablanca, Santander</w:t>
      </w:r>
    </w:p>
    <w:p w14:paraId="3B7342ED" w14:textId="77777777" w:rsidR="005A12A7" w:rsidRPr="003D0CA0" w:rsidRDefault="005A12A7" w:rsidP="00F71D6E">
      <w:pPr>
        <w:spacing w:after="0" w:line="276" w:lineRule="auto"/>
        <w:rPr>
          <w:rFonts w:ascii="Verdana" w:eastAsia="Calibri" w:hAnsi="Verdana" w:cs="Arial"/>
          <w:b/>
          <w:bCs/>
          <w:lang w:val="es-ES_tradnl" w:eastAsia="es-ES_tradnl"/>
        </w:rPr>
      </w:pPr>
    </w:p>
    <w:p w14:paraId="4FDB4308" w14:textId="77777777" w:rsidR="005A12A7" w:rsidRPr="003D0CA0" w:rsidRDefault="005A12A7" w:rsidP="00F71D6E">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A12A7" w:rsidRPr="003D0CA0" w14:paraId="64CE0AB7" w14:textId="77777777" w:rsidTr="005813BB">
        <w:trPr>
          <w:trHeight w:val="884"/>
        </w:trPr>
        <w:tc>
          <w:tcPr>
            <w:tcW w:w="2689" w:type="dxa"/>
          </w:tcPr>
          <w:p w14:paraId="29A767F1" w14:textId="77777777" w:rsidR="005A12A7" w:rsidRPr="003D0CA0" w:rsidRDefault="005A12A7" w:rsidP="00F71D6E">
            <w:pPr>
              <w:spacing w:line="276" w:lineRule="auto"/>
              <w:jc w:val="both"/>
              <w:rPr>
                <w:rFonts w:ascii="Verdana" w:eastAsia="Calibri" w:hAnsi="Verdana" w:cs="Arial"/>
                <w:b/>
                <w:bCs/>
                <w:lang w:val="es-ES_tradnl" w:eastAsia="es-ES_tradnl"/>
              </w:rPr>
            </w:pPr>
          </w:p>
        </w:tc>
        <w:tc>
          <w:tcPr>
            <w:tcW w:w="6100" w:type="dxa"/>
          </w:tcPr>
          <w:p w14:paraId="164B60D2" w14:textId="77777777" w:rsidR="005A12A7" w:rsidRPr="003D0CA0" w:rsidRDefault="005A12A7" w:rsidP="00F71D6E">
            <w:pPr>
              <w:spacing w:line="276" w:lineRule="auto"/>
              <w:jc w:val="both"/>
              <w:rPr>
                <w:rFonts w:ascii="Verdana" w:eastAsia="Calibri" w:hAnsi="Verdana" w:cs="Arial"/>
                <w:b/>
                <w:bCs/>
                <w:lang w:val="es-ES" w:eastAsia="es-ES"/>
              </w:rPr>
            </w:pPr>
            <w:r w:rsidRPr="003D0CA0">
              <w:rPr>
                <w:rFonts w:ascii="Verdana" w:eastAsia="Calibri" w:hAnsi="Verdana" w:cs="Arial"/>
                <w:b/>
                <w:bCs/>
                <w:lang w:val="es-ES" w:eastAsia="es-ES"/>
              </w:rPr>
              <w:t>Concepto C-141 de 2024</w:t>
            </w:r>
          </w:p>
        </w:tc>
      </w:tr>
      <w:tr w:rsidR="005A12A7" w:rsidRPr="003D0CA0" w14:paraId="30FBFE8C" w14:textId="77777777" w:rsidTr="005813BB">
        <w:trPr>
          <w:trHeight w:val="884"/>
        </w:trPr>
        <w:tc>
          <w:tcPr>
            <w:tcW w:w="2689" w:type="dxa"/>
          </w:tcPr>
          <w:p w14:paraId="4F7DF1AF" w14:textId="77777777" w:rsidR="005A12A7" w:rsidRPr="003D0CA0" w:rsidRDefault="005A12A7" w:rsidP="00F71D6E">
            <w:pPr>
              <w:spacing w:line="276" w:lineRule="auto"/>
              <w:jc w:val="both"/>
              <w:rPr>
                <w:rFonts w:ascii="Verdana" w:eastAsia="Calibri" w:hAnsi="Verdana" w:cs="Arial"/>
                <w:lang w:val="es-ES_tradnl" w:eastAsia="es-ES_tradnl"/>
              </w:rPr>
            </w:pPr>
            <w:r w:rsidRPr="003D0CA0">
              <w:rPr>
                <w:rFonts w:ascii="Verdana" w:eastAsia="Calibri" w:hAnsi="Verdana" w:cs="Arial"/>
                <w:b/>
                <w:lang w:val="es-ES_tradnl" w:eastAsia="es-ES_tradnl"/>
              </w:rPr>
              <w:t>Temas:</w:t>
            </w:r>
            <w:r w:rsidRPr="003D0CA0">
              <w:rPr>
                <w:rFonts w:ascii="Verdana" w:eastAsia="Calibri" w:hAnsi="Verdana" w:cs="Arial"/>
                <w:lang w:val="es-ES_tradnl" w:eastAsia="es-ES_tradnl"/>
              </w:rPr>
              <w:t xml:space="preserve">                   </w:t>
            </w:r>
          </w:p>
        </w:tc>
        <w:tc>
          <w:tcPr>
            <w:tcW w:w="6100" w:type="dxa"/>
          </w:tcPr>
          <w:p w14:paraId="2DADB34C" w14:textId="77777777" w:rsidR="005A12A7" w:rsidRPr="003D0CA0" w:rsidRDefault="005A12A7" w:rsidP="00F71D6E">
            <w:pPr>
              <w:spacing w:line="276" w:lineRule="auto"/>
              <w:jc w:val="both"/>
              <w:rPr>
                <w:rFonts w:ascii="Verdana" w:eastAsia="Calibri" w:hAnsi="Verdana"/>
                <w:lang w:val="es-ES_tradnl" w:eastAsia="es-ES_tradnl"/>
              </w:rPr>
            </w:pPr>
            <w:r w:rsidRPr="003D0CA0">
              <w:rPr>
                <w:rFonts w:ascii="Verdana" w:eastAsia="Times New Roman" w:hAnsi="Verdana"/>
                <w:lang w:val="es-ES_tradnl" w:eastAsia="es-ES_tradnl"/>
              </w:rPr>
              <w:t xml:space="preserve">CONTRATOS CON ESAL </w:t>
            </w:r>
            <w:r w:rsidRPr="003D0CA0">
              <w:rPr>
                <w:rFonts w:ascii="Verdana" w:eastAsia="Calibri" w:hAnsi="Verdana"/>
                <w:lang w:val="es-ES_tradnl" w:eastAsia="es-ES_tradnl"/>
              </w:rPr>
              <w:t>–</w:t>
            </w:r>
            <w:r w:rsidRPr="003D0CA0">
              <w:rPr>
                <w:rFonts w:ascii="Verdana" w:eastAsia="Times New Roman" w:hAnsi="Verdana"/>
                <w:lang w:val="es-ES_tradnl" w:eastAsia="es-ES_tradnl"/>
              </w:rPr>
              <w:t xml:space="preserve"> Artículo 355 </w:t>
            </w:r>
            <w:r w:rsidRPr="003D0CA0">
              <w:rPr>
                <w:rFonts w:ascii="Verdana" w:eastAsia="Calibri" w:hAnsi="Verdana"/>
                <w:lang w:val="es-ES_tradnl" w:eastAsia="es-ES_tradnl"/>
              </w:rPr>
              <w:t>–</w:t>
            </w:r>
            <w:r w:rsidRPr="003D0CA0">
              <w:rPr>
                <w:rFonts w:ascii="Verdana" w:eastAsia="Times New Roman" w:hAnsi="Verdana"/>
                <w:lang w:val="es-ES_tradnl" w:eastAsia="es-ES_tradnl"/>
              </w:rPr>
              <w:t xml:space="preserve"> Constitución </w:t>
            </w:r>
            <w:r w:rsidRPr="003D0CA0">
              <w:rPr>
                <w:rFonts w:ascii="Verdana" w:eastAsia="Calibri" w:hAnsi="Verdana"/>
                <w:lang w:val="es-ES_tradnl" w:eastAsia="es-ES_tradnl"/>
              </w:rPr>
              <w:t xml:space="preserve">– Artículo 96 – Ley 489 – Fundamento / </w:t>
            </w:r>
            <w:r w:rsidRPr="003D0CA0">
              <w:rPr>
                <w:rFonts w:ascii="Verdana" w:eastAsia="Calibri" w:hAnsi="Verdana" w:cs="Arial"/>
                <w:bCs/>
                <w:color w:val="000000"/>
                <w:lang w:val="es-MX"/>
              </w:rPr>
              <w:t xml:space="preserve">CONVENIOS DE ASOCIACIÓN – Objeto – Alcance – Aportes / </w:t>
            </w:r>
            <w:r w:rsidRPr="003D0CA0">
              <w:rPr>
                <w:rFonts w:ascii="Verdana" w:eastAsia="Calibri" w:hAnsi="Verdana"/>
                <w:lang w:eastAsia="es-ES_tradnl"/>
              </w:rPr>
              <w:t xml:space="preserve">CONVENIOS DE ASOCIACIÓN – Aporte económico de la ESAL – </w:t>
            </w:r>
            <w:r w:rsidRPr="003D0CA0">
              <w:rPr>
                <w:rFonts w:ascii="Verdana" w:eastAsia="Calibri" w:hAnsi="Verdana"/>
                <w:lang w:val="es-ES_tradnl" w:eastAsia="es-ES_tradnl"/>
              </w:rPr>
              <w:t xml:space="preserve">Treinta por ciento / </w:t>
            </w:r>
            <w:r w:rsidRPr="003D0CA0">
              <w:rPr>
                <w:rFonts w:ascii="Verdana" w:eastAsia="Calibri" w:hAnsi="Verdana"/>
                <w:lang w:eastAsia="es-ES_tradnl"/>
              </w:rPr>
              <w:t xml:space="preserve">CONVENIOS DE ASOCIACIÓN – Aporte económico de la ESAL – </w:t>
            </w:r>
            <w:r w:rsidRPr="003D0CA0">
              <w:rPr>
                <w:rFonts w:ascii="Verdana" w:eastAsia="Calibri" w:hAnsi="Verdana"/>
                <w:lang w:val="es-ES_tradnl" w:eastAsia="es-ES_tradnl"/>
              </w:rPr>
              <w:t xml:space="preserve">Treinta por ciento – Aportes en dinero – Aportes en especie </w:t>
            </w:r>
            <w:r w:rsidRPr="003D0CA0">
              <w:rPr>
                <w:rFonts w:ascii="Verdana" w:eastAsia="Calibri" w:hAnsi="Verdana"/>
                <w:lang w:eastAsia="es-ES_tradnl"/>
              </w:rPr>
              <w:t xml:space="preserve">/ CONVENIOS DE ASOCIACIÓN – Aporte económico de la ESAL – Mecanismo de recaudo </w:t>
            </w:r>
          </w:p>
          <w:p w14:paraId="7BC43396" w14:textId="77777777" w:rsidR="005A12A7" w:rsidRPr="003D0CA0" w:rsidRDefault="005A12A7" w:rsidP="00F71D6E">
            <w:pPr>
              <w:spacing w:line="276" w:lineRule="auto"/>
              <w:jc w:val="both"/>
              <w:rPr>
                <w:rFonts w:ascii="Verdana" w:eastAsia="Calibri" w:hAnsi="Verdana" w:cs="Arial"/>
                <w:lang w:eastAsia="es-ES"/>
              </w:rPr>
            </w:pPr>
          </w:p>
        </w:tc>
      </w:tr>
      <w:tr w:rsidR="005A12A7" w:rsidRPr="003D0CA0" w14:paraId="4DE39573" w14:textId="77777777" w:rsidTr="005813BB">
        <w:tc>
          <w:tcPr>
            <w:tcW w:w="2689" w:type="dxa"/>
          </w:tcPr>
          <w:p w14:paraId="4E6120D8" w14:textId="77777777" w:rsidR="005A12A7" w:rsidRPr="003D0CA0" w:rsidRDefault="005A12A7" w:rsidP="00F71D6E">
            <w:pPr>
              <w:spacing w:line="276" w:lineRule="auto"/>
              <w:jc w:val="both"/>
              <w:rPr>
                <w:rFonts w:ascii="Verdana" w:eastAsia="Calibri" w:hAnsi="Verdana" w:cs="Arial"/>
                <w:b/>
                <w:lang w:val="es-ES_tradnl" w:eastAsia="es-ES_tradnl"/>
              </w:rPr>
            </w:pPr>
            <w:r w:rsidRPr="003D0CA0">
              <w:rPr>
                <w:rFonts w:ascii="Verdana" w:eastAsia="Calibri" w:hAnsi="Verdana" w:cs="Arial"/>
                <w:b/>
                <w:lang w:val="es-ES_tradnl" w:eastAsia="es-ES_tradnl"/>
              </w:rPr>
              <w:t>Radicación:</w:t>
            </w:r>
            <w:r w:rsidRPr="003D0CA0">
              <w:rPr>
                <w:rFonts w:ascii="Verdana" w:eastAsia="Calibri" w:hAnsi="Verdana" w:cs="Arial"/>
                <w:lang w:val="es-ES_tradnl" w:eastAsia="es-ES_tradnl"/>
              </w:rPr>
              <w:t xml:space="preserve">               </w:t>
            </w:r>
          </w:p>
        </w:tc>
        <w:tc>
          <w:tcPr>
            <w:tcW w:w="6100" w:type="dxa"/>
          </w:tcPr>
          <w:p w14:paraId="7F35CC17" w14:textId="77777777" w:rsidR="005A12A7" w:rsidRPr="003D0CA0" w:rsidRDefault="005A12A7" w:rsidP="00F71D6E">
            <w:pPr>
              <w:spacing w:line="276" w:lineRule="auto"/>
              <w:jc w:val="both"/>
              <w:rPr>
                <w:rFonts w:ascii="Verdana" w:eastAsia="Calibri" w:hAnsi="Verdana" w:cs="Arial"/>
                <w:lang w:val="es-ES_tradnl" w:eastAsia="es-ES_tradnl"/>
              </w:rPr>
            </w:pPr>
            <w:r w:rsidRPr="003D0CA0">
              <w:rPr>
                <w:rFonts w:ascii="Verdana" w:eastAsia="Calibri" w:hAnsi="Verdana" w:cs="Arial"/>
                <w:lang w:val="es-ES_tradnl" w:eastAsia="es-ES_tradnl"/>
              </w:rPr>
              <w:t>Respuesta a consulta con radicado No. P20240529005632</w:t>
            </w:r>
          </w:p>
        </w:tc>
      </w:tr>
    </w:tbl>
    <w:p w14:paraId="2EE949CD" w14:textId="77777777" w:rsidR="005A12A7" w:rsidRPr="004F2020" w:rsidRDefault="005A12A7" w:rsidP="005A12A7">
      <w:pPr>
        <w:spacing w:after="0" w:line="276" w:lineRule="auto"/>
        <w:jc w:val="both"/>
        <w:rPr>
          <w:rFonts w:ascii="Verdana" w:eastAsia="Calibri" w:hAnsi="Verdana" w:cs="Arial"/>
          <w:lang w:val="es-ES_tradnl" w:eastAsia="es-ES_tradnl"/>
        </w:rPr>
      </w:pPr>
    </w:p>
    <w:p w14:paraId="46C0FBF6" w14:textId="77777777" w:rsidR="005A12A7" w:rsidRPr="004F2020" w:rsidRDefault="005A12A7" w:rsidP="005A12A7">
      <w:pPr>
        <w:spacing w:after="0" w:line="276" w:lineRule="auto"/>
        <w:jc w:val="both"/>
        <w:rPr>
          <w:rFonts w:ascii="Verdana" w:eastAsia="Calibri" w:hAnsi="Verdana" w:cs="Arial"/>
          <w:lang w:val="es-ES_tradnl" w:eastAsia="es-ES_tradnl"/>
        </w:rPr>
      </w:pPr>
    </w:p>
    <w:p w14:paraId="748EF8EF" w14:textId="77777777" w:rsidR="005A12A7" w:rsidRPr="004F2020" w:rsidRDefault="005A12A7" w:rsidP="005A12A7">
      <w:pPr>
        <w:spacing w:after="0" w:line="276" w:lineRule="auto"/>
        <w:jc w:val="both"/>
        <w:rPr>
          <w:rFonts w:ascii="Verdana" w:eastAsia="Calibri" w:hAnsi="Verdana" w:cs="Arial"/>
          <w:lang w:val="es-ES" w:eastAsia="es-ES"/>
        </w:rPr>
      </w:pPr>
      <w:r w:rsidRPr="004F2020">
        <w:rPr>
          <w:rFonts w:ascii="Verdana" w:eastAsia="Calibri" w:hAnsi="Verdana" w:cs="Arial"/>
          <w:lang w:val="es-ES" w:eastAsia="es-ES"/>
        </w:rPr>
        <w:t xml:space="preserve">Estimado señor </w:t>
      </w:r>
      <w:r w:rsidRPr="004F2020">
        <w:rPr>
          <w:rFonts w:ascii="Verdana" w:eastAsia="Calibri" w:hAnsi="Verdana" w:cs="Arial"/>
          <w:lang w:val="es-ES_tradnl" w:eastAsia="es-ES_tradnl"/>
        </w:rPr>
        <w:t>Granados Ordoñez</w:t>
      </w:r>
      <w:r w:rsidRPr="004F2020">
        <w:rPr>
          <w:rFonts w:ascii="Verdana" w:eastAsia="Calibri" w:hAnsi="Verdana" w:cs="Arial"/>
          <w:lang w:val="es-ES" w:eastAsia="es-ES"/>
        </w:rPr>
        <w:t xml:space="preserve">: </w:t>
      </w:r>
    </w:p>
    <w:p w14:paraId="2BF0F099" w14:textId="77777777" w:rsidR="005A12A7" w:rsidRPr="004F2020" w:rsidRDefault="005A12A7" w:rsidP="005A12A7">
      <w:pPr>
        <w:tabs>
          <w:tab w:val="left" w:pos="3768"/>
        </w:tabs>
        <w:spacing w:after="0" w:line="276" w:lineRule="auto"/>
        <w:jc w:val="both"/>
        <w:rPr>
          <w:rFonts w:ascii="Verdana" w:eastAsia="Calibri" w:hAnsi="Verdana" w:cs="Arial"/>
          <w:lang w:val="es-ES" w:eastAsia="es-ES"/>
        </w:rPr>
      </w:pPr>
      <w:r w:rsidRPr="004F2020">
        <w:rPr>
          <w:rFonts w:ascii="Verdana" w:eastAsia="Calibri" w:hAnsi="Verdana" w:cs="Arial"/>
          <w:lang w:val="es-ES" w:eastAsia="es-ES"/>
        </w:rPr>
        <w:tab/>
      </w:r>
    </w:p>
    <w:p w14:paraId="554AD627" w14:textId="77777777" w:rsidR="005A12A7" w:rsidRPr="004F2020" w:rsidRDefault="005A12A7" w:rsidP="005A12A7">
      <w:pPr>
        <w:spacing w:after="0" w:line="276" w:lineRule="auto"/>
        <w:jc w:val="both"/>
        <w:rPr>
          <w:rFonts w:ascii="Verdana" w:eastAsia="Calibri" w:hAnsi="Verdana" w:cs="Arial"/>
          <w:lang w:val="es-ES" w:eastAsia="es-ES"/>
        </w:rPr>
      </w:pPr>
      <w:r w:rsidRPr="004F2020">
        <w:rPr>
          <w:rFonts w:ascii="Verdana" w:eastAsia="Calibri" w:hAnsi="Verdana" w:cs="Arial"/>
          <w:lang w:val="es-ES" w:eastAsia="es-ES"/>
        </w:rPr>
        <w:t>En ejercicio de la competencia otorgada por los artículos 3, numeral 5º, y 11, numeral 8º, del Decreto Ley 4170 de 2011,</w:t>
      </w:r>
      <w:r w:rsidRPr="004F2020">
        <w:rPr>
          <w:rFonts w:ascii="Verdana" w:eastAsia="Arial MT" w:hAnsi="Verdana" w:cs="Arial MT"/>
          <w:lang w:val="es-ES" w:eastAsia="es-ES"/>
        </w:rPr>
        <w:t xml:space="preserve"> </w:t>
      </w:r>
      <w:r w:rsidRPr="004F2020">
        <w:rPr>
          <w:rFonts w:ascii="Verdana" w:hAnsi="Verdana" w:cs="Arial"/>
        </w:rPr>
        <w:t xml:space="preserve">así como lo establecido en el artículo 4 de la Resolución 1707 de 2018 expedida por esta Entidad, </w:t>
      </w:r>
      <w:r w:rsidRPr="004F2020">
        <w:rPr>
          <w:rFonts w:ascii="Verdana" w:eastAsia="Calibri" w:hAnsi="Verdana" w:cs="Arial"/>
          <w:lang w:val="es-ES" w:eastAsia="es-ES"/>
        </w:rPr>
        <w:t xml:space="preserve">la Agencia Nacional de Contratación Pública – Colombia Compra Eficiente– responde su solicitud de consulta de fecha 29 de mayo de 2024, en la cual manifiesta lo siguiente: </w:t>
      </w:r>
    </w:p>
    <w:p w14:paraId="33067554" w14:textId="77777777" w:rsidR="005A12A7" w:rsidRPr="004F2020" w:rsidRDefault="005A12A7" w:rsidP="005A12A7">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19CFE538"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4F2020">
        <w:rPr>
          <w:rFonts w:ascii="Verdana" w:eastAsia="Century Gothic" w:hAnsi="Verdana" w:cs="Century Gothic"/>
          <w:sz w:val="20"/>
          <w:szCs w:val="20"/>
          <w:lang w:val="es-ES"/>
        </w:rPr>
        <w:lastRenderedPageBreak/>
        <w:t>“</w:t>
      </w:r>
      <w:r w:rsidRPr="004F2020">
        <w:rPr>
          <w:rStyle w:val="normaltextrun"/>
          <w:rFonts w:ascii="Verdana" w:hAnsi="Verdana" w:cs="Arial"/>
          <w:sz w:val="20"/>
          <w:szCs w:val="20"/>
          <w:shd w:val="clear" w:color="auto" w:fill="FFFFFF"/>
          <w:lang w:val="es-ES"/>
        </w:rPr>
        <w:t xml:space="preserve">En virtud de lo establecido en el </w:t>
      </w:r>
      <w:proofErr w:type="spellStart"/>
      <w:r w:rsidRPr="004F2020">
        <w:rPr>
          <w:rStyle w:val="normaltextrun"/>
          <w:rFonts w:ascii="Verdana" w:hAnsi="Verdana" w:cs="Arial"/>
          <w:sz w:val="20"/>
          <w:szCs w:val="20"/>
          <w:shd w:val="clear" w:color="auto" w:fill="FFFFFF"/>
          <w:lang w:val="es-ES"/>
        </w:rPr>
        <w:t>articulo</w:t>
      </w:r>
      <w:proofErr w:type="spellEnd"/>
      <w:r w:rsidRPr="004F2020">
        <w:rPr>
          <w:rStyle w:val="normaltextrun"/>
          <w:rFonts w:ascii="Verdana" w:hAnsi="Verdana" w:cs="Arial"/>
          <w:sz w:val="20"/>
          <w:szCs w:val="20"/>
          <w:shd w:val="clear" w:color="auto" w:fill="FFFFFF"/>
          <w:lang w:val="es-ES"/>
        </w:rPr>
        <w:t xml:space="preserve"> 5 del Decreto 092 de 2017, solicito se aclare lo siguiente:</w:t>
      </w:r>
    </w:p>
    <w:p w14:paraId="579956AE"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p>
    <w:p w14:paraId="309F3A09"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r w:rsidRPr="004F2020">
        <w:rPr>
          <w:rStyle w:val="normaltextrun"/>
          <w:rFonts w:ascii="Verdana" w:hAnsi="Verdana" w:cs="Arial"/>
          <w:sz w:val="20"/>
          <w:szCs w:val="20"/>
          <w:shd w:val="clear" w:color="auto" w:fill="FFFFFF"/>
          <w:lang w:val="es-ES"/>
        </w:rPr>
        <w:t>1) Que significa que los convenios de asociación no estarán sujetos a competencia cuando la entidad sin ánimo de lucro comprometa recursos en dinero?</w:t>
      </w:r>
    </w:p>
    <w:p w14:paraId="67824987"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p>
    <w:p w14:paraId="0C4BAD38"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r w:rsidRPr="004F2020">
        <w:rPr>
          <w:rStyle w:val="normaltextrun"/>
          <w:rFonts w:ascii="Verdana" w:hAnsi="Verdana" w:cs="Arial"/>
          <w:sz w:val="20"/>
          <w:szCs w:val="20"/>
          <w:shd w:val="clear" w:color="auto" w:fill="FFFFFF"/>
          <w:lang w:val="es-ES"/>
        </w:rPr>
        <w:t xml:space="preserve">2) A </w:t>
      </w:r>
      <w:proofErr w:type="spellStart"/>
      <w:r w:rsidRPr="004F2020">
        <w:rPr>
          <w:rStyle w:val="normaltextrun"/>
          <w:rFonts w:ascii="Verdana" w:hAnsi="Verdana" w:cs="Arial"/>
          <w:sz w:val="20"/>
          <w:szCs w:val="20"/>
          <w:shd w:val="clear" w:color="auto" w:fill="FFFFFF"/>
          <w:lang w:val="es-ES"/>
        </w:rPr>
        <w:t>que</w:t>
      </w:r>
      <w:proofErr w:type="spellEnd"/>
      <w:r w:rsidRPr="004F2020">
        <w:rPr>
          <w:rStyle w:val="normaltextrun"/>
          <w:rFonts w:ascii="Verdana" w:hAnsi="Verdana" w:cs="Arial"/>
          <w:sz w:val="20"/>
          <w:szCs w:val="20"/>
          <w:shd w:val="clear" w:color="auto" w:fill="FFFFFF"/>
          <w:lang w:val="es-ES"/>
        </w:rPr>
        <w:t xml:space="preserve"> se refiere la frase "recursos en dinero"? es decir la ESAL debe transferir el dinero en efectivo?</w:t>
      </w:r>
    </w:p>
    <w:p w14:paraId="4E40E368"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p>
    <w:p w14:paraId="2A60F11D" w14:textId="77777777" w:rsidR="004E1308" w:rsidRPr="004F2020" w:rsidRDefault="004E1308" w:rsidP="004E1308">
      <w:pPr>
        <w:spacing w:after="0" w:line="240" w:lineRule="auto"/>
        <w:ind w:left="709" w:right="709"/>
        <w:jc w:val="both"/>
        <w:rPr>
          <w:rStyle w:val="normaltextrun"/>
          <w:rFonts w:ascii="Verdana" w:hAnsi="Verdana" w:cs="Arial"/>
          <w:sz w:val="20"/>
          <w:szCs w:val="20"/>
          <w:shd w:val="clear" w:color="auto" w:fill="FFFFFF"/>
          <w:lang w:val="es-ES"/>
        </w:rPr>
      </w:pPr>
      <w:r w:rsidRPr="004F2020">
        <w:rPr>
          <w:rStyle w:val="normaltextrun"/>
          <w:rFonts w:ascii="Verdana" w:hAnsi="Verdana" w:cs="Arial"/>
          <w:sz w:val="20"/>
          <w:szCs w:val="20"/>
          <w:shd w:val="clear" w:color="auto" w:fill="FFFFFF"/>
          <w:lang w:val="es-ES"/>
        </w:rPr>
        <w:t xml:space="preserve">3) La </w:t>
      </w:r>
      <w:proofErr w:type="spellStart"/>
      <w:r w:rsidRPr="004F2020">
        <w:rPr>
          <w:rStyle w:val="normaltextrun"/>
          <w:rFonts w:ascii="Verdana" w:hAnsi="Verdana" w:cs="Arial"/>
          <w:sz w:val="20"/>
          <w:szCs w:val="20"/>
          <w:shd w:val="clear" w:color="auto" w:fill="FFFFFF"/>
          <w:lang w:val="es-ES"/>
        </w:rPr>
        <w:t>guia</w:t>
      </w:r>
      <w:proofErr w:type="spellEnd"/>
      <w:r w:rsidRPr="004F2020">
        <w:rPr>
          <w:rStyle w:val="normaltextrun"/>
          <w:rFonts w:ascii="Verdana" w:hAnsi="Verdana" w:cs="Arial"/>
          <w:sz w:val="20"/>
          <w:szCs w:val="20"/>
          <w:shd w:val="clear" w:color="auto" w:fill="FFFFFF"/>
          <w:lang w:val="es-ES"/>
        </w:rPr>
        <w:t xml:space="preserve"> G-GESAL-03- expedida por C.C.E, establece que, la exigencia de recursos en dinero se puede cumplir con instrumentos financieros, jurídicos y contables que sean transables y que tengan liquidez suficiente para ser equivalentes al dinero, es decir, ¿Las ESAL pueden cumplir con el 30% </w:t>
      </w:r>
      <w:proofErr w:type="gramStart"/>
      <w:r w:rsidRPr="004F2020">
        <w:rPr>
          <w:rStyle w:val="normaltextrun"/>
          <w:rFonts w:ascii="Verdana" w:hAnsi="Verdana" w:cs="Arial"/>
          <w:sz w:val="20"/>
          <w:szCs w:val="20"/>
          <w:shd w:val="clear" w:color="auto" w:fill="FFFFFF"/>
          <w:lang w:val="es-ES"/>
        </w:rPr>
        <w:t>aportando</w:t>
      </w:r>
      <w:proofErr w:type="gramEnd"/>
      <w:r w:rsidRPr="004F2020">
        <w:rPr>
          <w:rStyle w:val="normaltextrun"/>
          <w:rFonts w:ascii="Verdana" w:hAnsi="Verdana" w:cs="Arial"/>
          <w:sz w:val="20"/>
          <w:szCs w:val="20"/>
          <w:shd w:val="clear" w:color="auto" w:fill="FFFFFF"/>
          <w:lang w:val="es-ES"/>
        </w:rPr>
        <w:t xml:space="preserve"> por ejemplo, con personal para la ejecución del convenio, actividades logísticas u otro tipo de aportes relacionados con la ejecución del convenio?</w:t>
      </w:r>
    </w:p>
    <w:p w14:paraId="640EA153"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p>
    <w:p w14:paraId="204FEB69"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r w:rsidRPr="004F2020">
        <w:rPr>
          <w:rStyle w:val="normaltextrun"/>
          <w:rFonts w:ascii="Verdana" w:hAnsi="Verdana" w:cs="Arial"/>
          <w:sz w:val="20"/>
          <w:szCs w:val="20"/>
          <w:shd w:val="clear" w:color="auto" w:fill="FFFFFF"/>
          <w:lang w:val="es-ES"/>
        </w:rPr>
        <w:t xml:space="preserve">4) Se aclare y de un ejemplo de " instrumentos </w:t>
      </w:r>
      <w:r w:rsidR="004E1308" w:rsidRPr="004F2020">
        <w:rPr>
          <w:rStyle w:val="normaltextrun"/>
          <w:rFonts w:ascii="Verdana" w:hAnsi="Verdana" w:cs="Arial"/>
          <w:sz w:val="20"/>
          <w:szCs w:val="20"/>
          <w:shd w:val="clear" w:color="auto" w:fill="FFFFFF"/>
          <w:lang w:val="es-ES"/>
        </w:rPr>
        <w:t>jurídicos</w:t>
      </w:r>
      <w:r w:rsidRPr="004F2020">
        <w:rPr>
          <w:rStyle w:val="normaltextrun"/>
          <w:rFonts w:ascii="Verdana" w:hAnsi="Verdana" w:cs="Arial"/>
          <w:sz w:val="20"/>
          <w:szCs w:val="20"/>
          <w:shd w:val="clear" w:color="auto" w:fill="FFFFFF"/>
          <w:lang w:val="es-ES"/>
        </w:rPr>
        <w:t>, financieros y contables, transables en dinero".</w:t>
      </w:r>
    </w:p>
    <w:p w14:paraId="3506D118" w14:textId="77777777" w:rsidR="005A12A7" w:rsidRPr="004F2020" w:rsidRDefault="005A12A7" w:rsidP="005A12A7">
      <w:pPr>
        <w:spacing w:after="0" w:line="240" w:lineRule="auto"/>
        <w:ind w:left="709" w:right="709"/>
        <w:jc w:val="both"/>
        <w:rPr>
          <w:rStyle w:val="normaltextrun"/>
          <w:rFonts w:ascii="Verdana" w:hAnsi="Verdana" w:cs="Arial"/>
          <w:sz w:val="20"/>
          <w:szCs w:val="20"/>
          <w:shd w:val="clear" w:color="auto" w:fill="FFFFFF"/>
          <w:lang w:val="es-ES"/>
        </w:rPr>
      </w:pPr>
    </w:p>
    <w:p w14:paraId="6190572A" w14:textId="77777777" w:rsidR="005A12A7" w:rsidRPr="004F2020" w:rsidRDefault="005A12A7" w:rsidP="005A12A7">
      <w:pPr>
        <w:spacing w:after="0" w:line="240" w:lineRule="auto"/>
        <w:ind w:left="709" w:right="709"/>
        <w:jc w:val="both"/>
        <w:rPr>
          <w:rFonts w:ascii="Verdana" w:eastAsia="Century Gothic" w:hAnsi="Verdana" w:cs="Century Gothic"/>
          <w:sz w:val="20"/>
          <w:szCs w:val="20"/>
          <w:lang w:val="es-ES"/>
        </w:rPr>
      </w:pPr>
      <w:r w:rsidRPr="004F2020">
        <w:rPr>
          <w:rStyle w:val="normaltextrun"/>
          <w:rFonts w:ascii="Verdana" w:hAnsi="Verdana" w:cs="Arial"/>
          <w:sz w:val="20"/>
          <w:szCs w:val="20"/>
          <w:shd w:val="clear" w:color="auto" w:fill="FFFFFF"/>
          <w:lang w:val="es-ES"/>
        </w:rPr>
        <w:t>5) Se puede cumplir el 30% con recursos en especie? ejemplo, personal</w:t>
      </w:r>
      <w:r w:rsidRPr="004F2020">
        <w:rPr>
          <w:rFonts w:ascii="Verdana" w:eastAsia="Century Gothic" w:hAnsi="Verdana" w:cs="Century Gothic"/>
          <w:sz w:val="20"/>
          <w:szCs w:val="20"/>
          <w:lang w:val="es-ES"/>
        </w:rPr>
        <w:t>”</w:t>
      </w:r>
      <w:bookmarkEnd w:id="1"/>
      <w:r w:rsidRPr="004F2020">
        <w:rPr>
          <w:rFonts w:ascii="Verdana" w:eastAsia="Century Gothic" w:hAnsi="Verdana" w:cs="Century Gothic"/>
          <w:sz w:val="20"/>
          <w:szCs w:val="20"/>
          <w:lang w:val="es-ES"/>
        </w:rPr>
        <w:t>.</w:t>
      </w:r>
    </w:p>
    <w:p w14:paraId="796CD11A" w14:textId="77777777" w:rsidR="005A12A7" w:rsidRPr="004F2020" w:rsidRDefault="005A12A7" w:rsidP="00F71D6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E9ED365" w14:textId="77777777" w:rsidR="005A12A7" w:rsidRPr="004F2020" w:rsidRDefault="005A12A7" w:rsidP="005A12A7">
      <w:pPr>
        <w:spacing w:after="120" w:line="276" w:lineRule="auto"/>
        <w:jc w:val="both"/>
        <w:rPr>
          <w:rFonts w:ascii="Verdana" w:eastAsia="Calibri" w:hAnsi="Verdana" w:cs="Arial"/>
          <w:lang w:val="es-ES_tradnl" w:eastAsia="es-ES_tradnl"/>
        </w:rPr>
      </w:pPr>
      <w:r w:rsidRPr="004F202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F2020">
        <w:rPr>
          <w:rFonts w:ascii="Verdana" w:eastAsia="Calibri" w:hAnsi="Verdana" w:cs="Arial"/>
          <w:lang w:val="es-ES_tradnl" w:eastAsia="es-ES_tradnl"/>
        </w:rPr>
        <w:tab/>
      </w:r>
    </w:p>
    <w:p w14:paraId="0E20BAC3" w14:textId="77777777" w:rsidR="005A12A7" w:rsidRPr="004F2020" w:rsidRDefault="005A12A7" w:rsidP="005A12A7">
      <w:pPr>
        <w:spacing w:after="0" w:line="276" w:lineRule="auto"/>
        <w:ind w:firstLine="709"/>
        <w:jc w:val="both"/>
        <w:rPr>
          <w:rFonts w:ascii="Verdana" w:eastAsia="Calibri" w:hAnsi="Verdana" w:cs="Arial"/>
          <w:lang w:val="es-ES" w:eastAsia="es-ES"/>
        </w:rPr>
      </w:pPr>
      <w:r w:rsidRPr="004F202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8A981FD" w14:textId="77777777" w:rsidR="005A12A7" w:rsidRPr="00E4352A" w:rsidRDefault="005A12A7" w:rsidP="00D17CC8">
      <w:pPr>
        <w:spacing w:after="0" w:line="276" w:lineRule="auto"/>
        <w:ind w:firstLine="709"/>
        <w:jc w:val="both"/>
        <w:rPr>
          <w:rFonts w:ascii="Verdana" w:eastAsia="Calibri" w:hAnsi="Verdana" w:cs="Arial"/>
          <w:lang w:val="es-ES" w:eastAsia="es-ES"/>
        </w:rPr>
      </w:pPr>
    </w:p>
    <w:p w14:paraId="39EC94C3" w14:textId="77777777" w:rsidR="005A12A7" w:rsidRPr="00E4352A" w:rsidRDefault="005A12A7" w:rsidP="00D17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352A">
        <w:rPr>
          <w:rFonts w:ascii="Verdana" w:eastAsia="Century Gothic" w:hAnsi="Verdana" w:cs="Century Gothic"/>
          <w:b/>
          <w:bCs/>
        </w:rPr>
        <w:lastRenderedPageBreak/>
        <w:t>Problema planteado:</w:t>
      </w:r>
    </w:p>
    <w:p w14:paraId="4413CC1D" w14:textId="77777777" w:rsidR="005A12A7" w:rsidRPr="00E4352A" w:rsidRDefault="005A12A7" w:rsidP="00D17CC8">
      <w:pPr>
        <w:tabs>
          <w:tab w:val="left" w:pos="426"/>
        </w:tabs>
        <w:spacing w:after="0" w:line="276" w:lineRule="auto"/>
        <w:jc w:val="both"/>
        <w:rPr>
          <w:rFonts w:ascii="Verdana" w:eastAsia="Century Gothic" w:hAnsi="Verdana" w:cs="Century Gothic"/>
          <w:lang w:val="es-ES"/>
        </w:rPr>
      </w:pPr>
    </w:p>
    <w:p w14:paraId="468A551E" w14:textId="77777777" w:rsidR="005A12A7" w:rsidRPr="00E4352A" w:rsidRDefault="005A12A7" w:rsidP="00D17CC8">
      <w:pPr>
        <w:spacing w:after="0" w:line="276" w:lineRule="auto"/>
        <w:jc w:val="both"/>
        <w:rPr>
          <w:rFonts w:ascii="Verdana" w:eastAsia="Century Gothic" w:hAnsi="Verdana" w:cs="Century Gothic"/>
        </w:rPr>
      </w:pPr>
      <w:r w:rsidRPr="00E4352A">
        <w:rPr>
          <w:rFonts w:ascii="Verdana" w:eastAsia="Century Gothic" w:hAnsi="Verdana" w:cs="Century Gothic"/>
        </w:rPr>
        <w:t>De acuerdo con el contenido de su solicitud, esta Agencia resolverá los siguientes problemas jurídicos:</w:t>
      </w:r>
    </w:p>
    <w:p w14:paraId="43F03EE8" w14:textId="77777777" w:rsidR="005A12A7" w:rsidRPr="00E4352A" w:rsidRDefault="005A12A7" w:rsidP="00D17CC8">
      <w:pPr>
        <w:spacing w:after="0" w:line="276" w:lineRule="auto"/>
        <w:jc w:val="both"/>
        <w:rPr>
          <w:rFonts w:ascii="Verdana" w:eastAsia="Century Gothic" w:hAnsi="Verdana" w:cs="Century Gothic"/>
        </w:rPr>
      </w:pPr>
    </w:p>
    <w:p w14:paraId="72AA3068" w14:textId="77777777" w:rsidR="005A12A7" w:rsidRPr="00E4352A" w:rsidRDefault="005A12A7" w:rsidP="00D17CC8">
      <w:pPr>
        <w:pStyle w:val="Prrafodelista"/>
        <w:numPr>
          <w:ilvl w:val="0"/>
          <w:numId w:val="17"/>
        </w:numPr>
        <w:spacing w:after="0" w:line="276" w:lineRule="auto"/>
        <w:contextualSpacing w:val="0"/>
        <w:jc w:val="both"/>
        <w:rPr>
          <w:rFonts w:ascii="Verdana" w:eastAsia="Century Gothic" w:hAnsi="Verdana" w:cs="Century Gothic"/>
        </w:rPr>
      </w:pPr>
      <w:bookmarkStart w:id="2" w:name="_Hlk173067541"/>
      <w:r w:rsidRPr="00E4352A">
        <w:rPr>
          <w:rFonts w:ascii="Verdana" w:eastAsia="Century Gothic" w:hAnsi="Verdana" w:cs="Century Gothic"/>
        </w:rPr>
        <w:t xml:space="preserve">¿Qué significa que los convenios de asociación no estarán sujetos a competencia cuando una Entidad Sin Ánimo de Lucro – en adelante ESAL – se comprometa a realizar un aporte </w:t>
      </w:r>
      <w:r w:rsidRPr="00E4352A">
        <w:rPr>
          <w:rFonts w:ascii="Verdana" w:eastAsia="Calibri" w:hAnsi="Verdana" w:cs="Arial"/>
          <w:lang w:eastAsia="es-ES_tradnl"/>
        </w:rPr>
        <w:t xml:space="preserve">en </w:t>
      </w:r>
      <w:r>
        <w:rPr>
          <w:rFonts w:ascii="Verdana" w:eastAsia="Calibri" w:hAnsi="Verdana" w:cs="Arial"/>
          <w:lang w:eastAsia="es-ES_tradnl"/>
        </w:rPr>
        <w:t xml:space="preserve">un </w:t>
      </w:r>
      <w:r w:rsidRPr="00E4352A">
        <w:rPr>
          <w:rFonts w:ascii="Verdana" w:eastAsia="Calibri" w:hAnsi="Verdana" w:cs="Arial"/>
          <w:lang w:eastAsia="es-ES_tradnl"/>
        </w:rPr>
        <w:t xml:space="preserve">monto igual o superior </w:t>
      </w:r>
      <w:r w:rsidRPr="00E4352A">
        <w:rPr>
          <w:rFonts w:ascii="Verdana" w:eastAsia="Century Gothic" w:hAnsi="Verdana" w:cs="Century Gothic"/>
        </w:rPr>
        <w:t>al treinta por ciento (30%) del valor del convenio?</w:t>
      </w:r>
    </w:p>
    <w:p w14:paraId="060FF5BA" w14:textId="77777777" w:rsidR="005A12A7" w:rsidRPr="00E4352A" w:rsidRDefault="005A12A7" w:rsidP="00D17CC8">
      <w:pPr>
        <w:pStyle w:val="Prrafodelista"/>
        <w:spacing w:after="0" w:line="276" w:lineRule="auto"/>
        <w:contextualSpacing w:val="0"/>
        <w:jc w:val="both"/>
        <w:rPr>
          <w:rFonts w:ascii="Verdana" w:eastAsia="Century Gothic" w:hAnsi="Verdana" w:cs="Century Gothic"/>
        </w:rPr>
      </w:pPr>
    </w:p>
    <w:p w14:paraId="2D52A26F" w14:textId="77777777" w:rsidR="005A12A7" w:rsidRPr="00E4352A" w:rsidRDefault="005A12A7" w:rsidP="00D17CC8">
      <w:pPr>
        <w:pStyle w:val="Prrafodelista"/>
        <w:numPr>
          <w:ilvl w:val="0"/>
          <w:numId w:val="17"/>
        </w:numPr>
        <w:spacing w:after="0" w:line="276" w:lineRule="auto"/>
        <w:contextualSpacing w:val="0"/>
        <w:jc w:val="both"/>
        <w:rPr>
          <w:rFonts w:ascii="Verdana" w:eastAsia="Century Gothic" w:hAnsi="Verdana" w:cs="Century Gothic"/>
        </w:rPr>
      </w:pPr>
      <w:r w:rsidRPr="00E4352A">
        <w:rPr>
          <w:rFonts w:ascii="Verdana" w:eastAsia="Century Gothic" w:hAnsi="Verdana" w:cs="Century Gothic"/>
        </w:rPr>
        <w:t>¿Los aportes del treinta por ciento (30%) a efectos de no someter la escogencia de la ESAL a un proceso competitivo se pueden realizar en dinero y en especie?</w:t>
      </w:r>
    </w:p>
    <w:p w14:paraId="562E4933" w14:textId="77777777" w:rsidR="005A12A7" w:rsidRPr="00E4352A" w:rsidRDefault="005A12A7" w:rsidP="00D17CC8">
      <w:pPr>
        <w:pStyle w:val="Prrafodelista"/>
        <w:spacing w:after="0" w:line="276" w:lineRule="auto"/>
        <w:contextualSpacing w:val="0"/>
        <w:rPr>
          <w:rFonts w:ascii="Verdana" w:eastAsia="Century Gothic" w:hAnsi="Verdana" w:cs="Century Gothic"/>
        </w:rPr>
      </w:pPr>
    </w:p>
    <w:p w14:paraId="48BB114E" w14:textId="77777777" w:rsidR="005A12A7" w:rsidRPr="00E4352A" w:rsidRDefault="005A12A7" w:rsidP="00D17CC8">
      <w:pPr>
        <w:pStyle w:val="Prrafodelista"/>
        <w:numPr>
          <w:ilvl w:val="0"/>
          <w:numId w:val="17"/>
        </w:numPr>
        <w:spacing w:after="0" w:line="276" w:lineRule="auto"/>
        <w:contextualSpacing w:val="0"/>
        <w:jc w:val="both"/>
        <w:rPr>
          <w:rFonts w:ascii="Verdana" w:eastAsia="Century Gothic" w:hAnsi="Verdana" w:cs="Century Gothic"/>
        </w:rPr>
      </w:pPr>
      <w:r w:rsidRPr="00E4352A">
        <w:rPr>
          <w:rFonts w:ascii="Verdana" w:eastAsia="Century Gothic" w:hAnsi="Verdana" w:cs="Century Gothic"/>
        </w:rPr>
        <w:t xml:space="preserve">¿A través de que instrumentos se puede cumplir con el aporte del treinta por ciento (30%)? </w:t>
      </w:r>
    </w:p>
    <w:bookmarkEnd w:id="2"/>
    <w:p w14:paraId="4B93A6C4" w14:textId="77777777" w:rsidR="005A12A7" w:rsidRPr="00E4352A" w:rsidRDefault="005A12A7" w:rsidP="00D17CC8">
      <w:pPr>
        <w:spacing w:after="0" w:line="276" w:lineRule="auto"/>
        <w:jc w:val="both"/>
        <w:rPr>
          <w:rFonts w:ascii="Verdana" w:eastAsia="Calibri" w:hAnsi="Verdana" w:cs="Arial"/>
          <w:lang w:val="es-ES"/>
        </w:rPr>
      </w:pPr>
    </w:p>
    <w:p w14:paraId="7A718757" w14:textId="77777777" w:rsidR="005A12A7" w:rsidRPr="00E4352A" w:rsidRDefault="005A12A7" w:rsidP="00D17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352A">
        <w:rPr>
          <w:rFonts w:ascii="Verdana" w:eastAsia="Century Gothic" w:hAnsi="Verdana" w:cs="Century Gothic"/>
          <w:b/>
          <w:bCs/>
        </w:rPr>
        <w:t>Respuesta:</w:t>
      </w:r>
    </w:p>
    <w:p w14:paraId="70620226" w14:textId="77777777" w:rsidR="005A12A7" w:rsidRPr="00E4352A" w:rsidRDefault="005A12A7" w:rsidP="00D17CC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E1308" w:rsidRPr="00E4352A" w14:paraId="09EEF6CA" w14:textId="77777777" w:rsidTr="004E1308">
        <w:tc>
          <w:tcPr>
            <w:tcW w:w="8828" w:type="dxa"/>
            <w:shd w:val="clear" w:color="auto" w:fill="auto"/>
          </w:tcPr>
          <w:p w14:paraId="7AF95B38" w14:textId="77777777" w:rsidR="004E1308" w:rsidRPr="009A2D37" w:rsidRDefault="004E1308" w:rsidP="00D17CC8">
            <w:pPr>
              <w:pStyle w:val="Prrafodelista"/>
              <w:numPr>
                <w:ilvl w:val="0"/>
                <w:numId w:val="20"/>
              </w:numPr>
              <w:spacing w:line="276" w:lineRule="auto"/>
              <w:ind w:left="360"/>
              <w:contextualSpacing w:val="0"/>
              <w:jc w:val="both"/>
              <w:textAlignment w:val="baseline"/>
              <w:rPr>
                <w:rFonts w:ascii="Verdana" w:eastAsia="Calibri" w:hAnsi="Verdana" w:cs="Arial"/>
                <w:lang w:val="es-ES_tradnl" w:eastAsia="es-ES_tradnl"/>
              </w:rPr>
            </w:pPr>
            <w:r w:rsidRPr="009A2D37">
              <w:rPr>
                <w:rFonts w:ascii="Verdana" w:eastAsia="Calibri" w:hAnsi="Verdana" w:cs="Arial"/>
                <w:lang w:val="es-ES_tradnl" w:eastAsia="es-ES_tradnl"/>
              </w:rPr>
              <w:t xml:space="preserve">De acuerdo con el artículo 5 del Decreto 092 de 2017, </w:t>
            </w:r>
            <w:r w:rsidRPr="009A2D37">
              <w:rPr>
                <w:rFonts w:ascii="Verdana" w:eastAsia="Calibri" w:hAnsi="Verdana" w:cs="Arial"/>
                <w:lang w:eastAsia="es-ES_tradnl"/>
              </w:rPr>
              <w:t xml:space="preserve">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r w:rsidRPr="009A2D37">
              <w:rPr>
                <w:rFonts w:ascii="Verdana" w:eastAsia="Calibri" w:hAnsi="Verdana" w:cs="Arial"/>
                <w:color w:val="000000"/>
                <w:lang w:eastAsia="es-ES_tradnl"/>
              </w:rPr>
              <w:t>Es menester advertir que, el artículo antes citado no prohíbe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p>
          <w:p w14:paraId="4B2D7771" w14:textId="77777777" w:rsidR="004E1308" w:rsidRPr="009A2D37" w:rsidRDefault="004E1308" w:rsidP="00D17CC8">
            <w:pPr>
              <w:spacing w:line="276" w:lineRule="auto"/>
              <w:rPr>
                <w:lang w:val="es-ES"/>
              </w:rPr>
            </w:pPr>
          </w:p>
          <w:p w14:paraId="2A4C0CE2" w14:textId="77777777" w:rsidR="004E1308" w:rsidRPr="009A2D37" w:rsidRDefault="004E1308" w:rsidP="00D17CC8">
            <w:pPr>
              <w:pStyle w:val="Prrafodelista"/>
              <w:numPr>
                <w:ilvl w:val="0"/>
                <w:numId w:val="20"/>
              </w:numPr>
              <w:spacing w:line="276" w:lineRule="auto"/>
              <w:ind w:left="360"/>
              <w:contextualSpacing w:val="0"/>
              <w:jc w:val="both"/>
              <w:rPr>
                <w:rFonts w:ascii="Verdana" w:eastAsia="Calibri" w:hAnsi="Verdana" w:cs="Arial"/>
              </w:rPr>
            </w:pPr>
            <w:r w:rsidRPr="009A2D37">
              <w:rPr>
                <w:rFonts w:ascii="Verdana" w:eastAsia="Calibri" w:hAnsi="Verdana" w:cs="Arial"/>
              </w:rPr>
              <w:t xml:space="preserve">El treinta por ciento (30%) señalado en el artículo 5 del Decreto 092 de 2017, que debe aportar la ESAL a efectos de poder celebrar el convenio sin acudir a un proceso competitivo, debe calcularse respecto del monto total de los recursos </w:t>
            </w:r>
            <w:r w:rsidRPr="009A2D37">
              <w:rPr>
                <w:rFonts w:ascii="Verdana" w:eastAsia="Calibri" w:hAnsi="Verdana" w:cs="Arial"/>
                <w:i/>
                <w:iCs/>
              </w:rPr>
              <w:t xml:space="preserve">en dinero </w:t>
            </w:r>
            <w:r w:rsidRPr="009A2D37">
              <w:rPr>
                <w:rFonts w:ascii="Verdana" w:eastAsia="Calibri" w:hAnsi="Verdana" w:cs="Arial"/>
              </w:rPr>
              <w:t xml:space="preserve">requeridos para la ejecución proyecto, el cual corresponderá al valor por el que se celebrará el </w:t>
            </w:r>
            <w:r w:rsidRPr="009A2D37">
              <w:rPr>
                <w:rFonts w:ascii="Verdana" w:eastAsia="Calibri" w:hAnsi="Verdana" w:cs="Arial"/>
                <w:i/>
                <w:iCs/>
              </w:rPr>
              <w:t>convenio de asociación.</w:t>
            </w:r>
            <w:r w:rsidRPr="009A2D37">
              <w:rPr>
                <w:rFonts w:ascii="Verdana" w:eastAsia="Calibri" w:hAnsi="Verdana" w:cs="Arial"/>
              </w:rPr>
              <w:t xml:space="preserve"> De esta manera, los eventuales aportes en especie no podrán tenerse en </w:t>
            </w:r>
            <w:r w:rsidRPr="009A2D37">
              <w:rPr>
                <w:rFonts w:ascii="Verdana" w:eastAsia="Calibri" w:hAnsi="Verdana" w:cs="Arial"/>
              </w:rPr>
              <w:lastRenderedPageBreak/>
              <w:t xml:space="preserve">cuenta para calcular el referido porcentaje, el cual debe ser en dinero.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treinta por ciento (30%) del que sería el valor del eventual convenio. </w:t>
            </w:r>
          </w:p>
          <w:p w14:paraId="429703FB" w14:textId="77777777" w:rsidR="004E1308" w:rsidRPr="009A2D37" w:rsidRDefault="004E1308" w:rsidP="00D17CC8">
            <w:pPr>
              <w:pStyle w:val="Prrafodelista"/>
              <w:spacing w:line="276" w:lineRule="auto"/>
              <w:contextualSpacing w:val="0"/>
              <w:rPr>
                <w:rFonts w:ascii="Verdana" w:eastAsia="Calibri" w:hAnsi="Verdana" w:cs="Arial"/>
              </w:rPr>
            </w:pPr>
          </w:p>
          <w:p w14:paraId="368091C5" w14:textId="77777777" w:rsidR="004E1308" w:rsidRPr="009A2D37" w:rsidRDefault="004E1308" w:rsidP="00D17CC8">
            <w:pPr>
              <w:pStyle w:val="Prrafodelista"/>
              <w:spacing w:line="276" w:lineRule="auto"/>
              <w:ind w:left="360"/>
              <w:contextualSpacing w:val="0"/>
              <w:jc w:val="both"/>
              <w:rPr>
                <w:rFonts w:ascii="Verdana" w:eastAsia="Calibri" w:hAnsi="Verdana" w:cs="Arial"/>
                <w:lang w:val="es-MX"/>
              </w:rPr>
            </w:pPr>
            <w:r w:rsidRPr="009A2D37">
              <w:rPr>
                <w:rFonts w:ascii="Verdana" w:eastAsia="Calibri" w:hAnsi="Verdana" w:cs="Arial"/>
              </w:rPr>
              <w:t xml:space="preserve">Sin perjuicio de lo anterior, </w:t>
            </w:r>
            <w:r>
              <w:rPr>
                <w:rFonts w:ascii="Verdana" w:eastAsia="Calibri" w:hAnsi="Verdana" w:cs="Arial"/>
              </w:rPr>
              <w:t>se insiste</w:t>
            </w:r>
            <w:r w:rsidRPr="009A2D37">
              <w:rPr>
                <w:rFonts w:ascii="Verdana" w:eastAsia="Calibri" w:hAnsi="Verdana" w:cs="Arial"/>
              </w:rPr>
              <w:t xml:space="preserve"> que esto</w:t>
            </w:r>
            <w:r w:rsidRPr="009A2D37">
              <w:rPr>
                <w:rFonts w:ascii="Verdana" w:eastAsia="Calibri" w:hAnsi="Verdana" w:cs="Arial"/>
                <w:lang w:eastAsia="es-ES"/>
              </w:rPr>
              <w:t xml:space="preserve">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7D650762" w14:textId="77777777" w:rsidR="004E1308" w:rsidRPr="009A2D37" w:rsidRDefault="004E1308" w:rsidP="00D17CC8">
            <w:pPr>
              <w:pStyle w:val="Prrafodelista"/>
              <w:spacing w:line="276" w:lineRule="auto"/>
              <w:contextualSpacing w:val="0"/>
              <w:rPr>
                <w:rFonts w:ascii="Verdana" w:eastAsia="Calibri" w:hAnsi="Verdana" w:cs="Arial"/>
              </w:rPr>
            </w:pPr>
          </w:p>
          <w:p w14:paraId="27D92C1F" w14:textId="77777777" w:rsidR="004E1308" w:rsidRPr="003B5666" w:rsidRDefault="004E1308" w:rsidP="00D17CC8">
            <w:pPr>
              <w:pStyle w:val="Prrafodelista"/>
              <w:numPr>
                <w:ilvl w:val="0"/>
                <w:numId w:val="20"/>
              </w:numPr>
              <w:spacing w:line="276" w:lineRule="auto"/>
              <w:ind w:left="360"/>
              <w:contextualSpacing w:val="0"/>
              <w:jc w:val="both"/>
              <w:rPr>
                <w:rFonts w:ascii="Verdana" w:eastAsia="Calibri" w:hAnsi="Verdana" w:cs="Arial"/>
                <w:lang w:val="es-MX"/>
              </w:rPr>
            </w:pPr>
            <w:r w:rsidRPr="009A2D37">
              <w:rPr>
                <w:rFonts w:ascii="Verdana" w:eastAsia="Calibri" w:hAnsi="Verdana" w:cs="Arial"/>
              </w:rPr>
              <w:t xml:space="preserve">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w:t>
            </w:r>
          </w:p>
          <w:p w14:paraId="517E5BEE" w14:textId="77777777" w:rsidR="004E1308" w:rsidRDefault="004E1308" w:rsidP="00D17CC8">
            <w:pPr>
              <w:pStyle w:val="Prrafodelista"/>
              <w:spacing w:line="276" w:lineRule="auto"/>
              <w:ind w:left="360"/>
              <w:contextualSpacing w:val="0"/>
              <w:jc w:val="both"/>
              <w:rPr>
                <w:rFonts w:ascii="Verdana" w:eastAsia="Calibri" w:hAnsi="Verdana" w:cs="Arial"/>
                <w:lang w:val="es-ES_tradnl" w:eastAsia="es-ES_tradnl"/>
              </w:rPr>
            </w:pPr>
          </w:p>
          <w:p w14:paraId="77999BEA" w14:textId="77777777" w:rsidR="004E1308" w:rsidRDefault="004E1308" w:rsidP="00D17CC8">
            <w:pPr>
              <w:pStyle w:val="Prrafodelista"/>
              <w:spacing w:line="276" w:lineRule="auto"/>
              <w:ind w:left="360"/>
              <w:contextualSpacing w:val="0"/>
              <w:jc w:val="both"/>
              <w:rPr>
                <w:rFonts w:ascii="Verdana" w:eastAsia="Calibri" w:hAnsi="Verdana" w:cs="Arial"/>
                <w:color w:val="000000"/>
                <w:lang w:val="es-MX" w:eastAsia="es-ES_tradnl"/>
              </w:rPr>
            </w:pPr>
            <w:r w:rsidRPr="009A2D37">
              <w:rPr>
                <w:rFonts w:ascii="Verdana" w:eastAsia="Calibri" w:hAnsi="Verdana" w:cs="Arial"/>
                <w:lang w:val="es-ES_tradnl" w:eastAsia="es-ES_tradnl"/>
              </w:rPr>
              <w:t xml:space="preserve">Al respecto, </w:t>
            </w:r>
            <w:r w:rsidRPr="009A2D37">
              <w:rPr>
                <w:rFonts w:ascii="Verdana" w:eastAsia="Calibri" w:hAnsi="Verdana" w:cs="Arial"/>
                <w:lang w:eastAsia="es-ES"/>
              </w:rPr>
              <w:t>se precisa</w:t>
            </w:r>
            <w:r w:rsidRPr="009A2D37">
              <w:rPr>
                <w:rFonts w:ascii="Verdana" w:eastAsia="Calibri" w:hAnsi="Verdana" w:cs="Arial"/>
                <w:lang w:val="es-ES_tradnl" w:eastAsia="es-ES_tradnl"/>
              </w:rPr>
              <w:t xml:space="preserve"> que, la entidad será autónoma en definir</w:t>
            </w:r>
            <w:r>
              <w:rPr>
                <w:rFonts w:ascii="Verdana" w:eastAsia="Calibri" w:hAnsi="Verdana" w:cs="Arial"/>
                <w:lang w:val="es-ES_tradnl" w:eastAsia="es-ES_tradnl"/>
              </w:rPr>
              <w:t xml:space="preserve"> los criterios de selección objetiva </w:t>
            </w:r>
            <w:r w:rsidRPr="009A2D37">
              <w:rPr>
                <w:rFonts w:ascii="Verdana" w:eastAsia="Calibri" w:hAnsi="Verdana" w:cs="Arial"/>
                <w:lang w:eastAsia="es-ES_tradnl"/>
              </w:rPr>
              <w:t>para la escogencia de la ESAL</w:t>
            </w:r>
            <w:r>
              <w:rPr>
                <w:rFonts w:ascii="Verdana" w:eastAsia="Calibri" w:hAnsi="Verdana" w:cs="Arial"/>
                <w:lang w:eastAsia="es-ES_tradnl"/>
              </w:rPr>
              <w:t xml:space="preserve"> entendiendo que l</w:t>
            </w:r>
            <w:r w:rsidRPr="003B5666">
              <w:rPr>
                <w:rFonts w:ascii="Verdana" w:eastAsia="Calibri" w:hAnsi="Verdana" w:cs="Arial"/>
                <w:color w:val="000000"/>
                <w:lang w:val="es-MX" w:eastAsia="es-ES_tradnl"/>
              </w:rPr>
              <w:t xml:space="preserve">a noción </w:t>
            </w:r>
            <w:r w:rsidRPr="003B5666">
              <w:rPr>
                <w:rFonts w:ascii="Verdana" w:eastAsia="Calibri" w:hAnsi="Verdana" w:cs="Arial"/>
                <w:i/>
                <w:iCs/>
                <w:color w:val="000000"/>
                <w:lang w:val="es-MX" w:eastAsia="es-ES_tradnl"/>
              </w:rPr>
              <w:t>“seleccionar de forma objetiva”</w:t>
            </w:r>
            <w:r w:rsidRPr="003B5666">
              <w:rPr>
                <w:rFonts w:ascii="Verdana" w:eastAsia="Calibri" w:hAnsi="Verdana" w:cs="Arial"/>
                <w:color w:val="000000"/>
                <w:lang w:val="es-MX" w:eastAsia="es-ES_tradnl"/>
              </w:rPr>
              <w:t xml:space="preserve">, contenida en la disposición </w:t>
            </w:r>
            <w:r w:rsidRPr="003B5666">
              <w:rPr>
                <w:rFonts w:ascii="Verdana" w:eastAsia="Calibri" w:hAnsi="Verdana" w:cs="Arial"/>
                <w:i/>
                <w:iCs/>
                <w:color w:val="000000"/>
                <w:lang w:val="es-MX" w:eastAsia="es-ES_tradnl"/>
              </w:rPr>
              <w:t xml:space="preserve">sub examine </w:t>
            </w:r>
            <w:r w:rsidRPr="003B5666">
              <w:rPr>
                <w:rFonts w:ascii="Verdana" w:eastAsia="Calibri" w:hAnsi="Verdana" w:cs="Arial"/>
                <w:color w:val="000000"/>
                <w:lang w:val="es-MX" w:eastAsia="es-ES_tradnl"/>
              </w:rPr>
              <w:t xml:space="preserve">no puede ser entendida como una remisión total a las Leyes 80 de 1993 y 1150 de 2007 respecto a los criterios habilitantes de las modalidades de selección o de adjudicación. </w:t>
            </w:r>
          </w:p>
          <w:p w14:paraId="5AFF53C5" w14:textId="77777777" w:rsidR="004E1308" w:rsidRDefault="004E1308" w:rsidP="00D17CC8">
            <w:pPr>
              <w:pStyle w:val="Prrafodelista"/>
              <w:spacing w:line="276" w:lineRule="auto"/>
              <w:ind w:left="360"/>
              <w:contextualSpacing w:val="0"/>
              <w:jc w:val="both"/>
              <w:rPr>
                <w:rFonts w:ascii="Verdana" w:eastAsia="Calibri" w:hAnsi="Verdana" w:cs="Arial"/>
                <w:color w:val="000000"/>
                <w:lang w:val="es-MX" w:eastAsia="es-ES_tradnl"/>
              </w:rPr>
            </w:pPr>
          </w:p>
          <w:p w14:paraId="103D9ED6" w14:textId="77777777" w:rsidR="004E1308" w:rsidRPr="003B5666" w:rsidRDefault="004E1308" w:rsidP="00D17CC8">
            <w:pPr>
              <w:pStyle w:val="Prrafodelista"/>
              <w:spacing w:line="276" w:lineRule="auto"/>
              <w:ind w:left="360"/>
              <w:contextualSpacing w:val="0"/>
              <w:jc w:val="both"/>
              <w:rPr>
                <w:rFonts w:ascii="Verdana" w:eastAsia="Calibri" w:hAnsi="Verdana" w:cs="Arial"/>
                <w:lang w:eastAsia="es-ES_tradnl"/>
              </w:rPr>
            </w:pPr>
            <w:r w:rsidRPr="003B5666">
              <w:rPr>
                <w:rFonts w:ascii="Verdana" w:eastAsia="Calibri" w:hAnsi="Verdana" w:cs="Arial"/>
                <w:color w:val="000000"/>
                <w:lang w:val="es-MX" w:eastAsia="es-ES_tradnl"/>
              </w:rPr>
              <w:t xml:space="preserve">A lo que se refiere la norma es a que la Entidad Estatal debe diseñar herramientas propias a </w:t>
            </w:r>
            <w:r w:rsidRPr="003B5666">
              <w:rPr>
                <w:rFonts w:ascii="Verdana" w:eastAsia="Calibri" w:hAnsi="Verdana" w:cs="Arial"/>
                <w:lang w:val="es-ES_tradnl" w:eastAsia="es-ES_tradnl"/>
              </w:rPr>
              <w:t>la contratación con entidades privadas sin ánimo de lucro y de reconocida idoneidad</w:t>
            </w:r>
            <w:r w:rsidRPr="003B5666">
              <w:rPr>
                <w:rFonts w:ascii="Verdana" w:eastAsia="Calibri" w:hAnsi="Verdana" w:cs="Arial"/>
                <w:color w:val="000000"/>
                <w:lang w:val="es-MX" w:eastAsia="es-ES_tradnl"/>
              </w:rPr>
              <w:t xml:space="preserve">  que permitan una comparación objetiva de las ESAL y con ello puedan seleccionar objetivamente a aquella que tenga las mejores condiciones para alcanzar el resultado esperado,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27032B4B" w14:textId="77777777" w:rsidR="00B167AD" w:rsidRDefault="00B167AD" w:rsidP="00D17CC8">
            <w:pPr>
              <w:pStyle w:val="Prrafodelista"/>
              <w:spacing w:line="276" w:lineRule="auto"/>
              <w:ind w:left="360"/>
              <w:contextualSpacing w:val="0"/>
              <w:jc w:val="both"/>
              <w:rPr>
                <w:rFonts w:ascii="Verdana" w:eastAsia="Calibri" w:hAnsi="Verdana" w:cs="Arial"/>
                <w:lang w:val="es-ES_tradnl" w:eastAsia="es-ES_tradnl"/>
              </w:rPr>
            </w:pPr>
          </w:p>
          <w:p w14:paraId="557523E5" w14:textId="409EC8B5" w:rsidR="004E1308" w:rsidRPr="009A2D37" w:rsidRDefault="004E1308" w:rsidP="00D17CC8">
            <w:pPr>
              <w:pStyle w:val="Prrafodelista"/>
              <w:spacing w:line="276" w:lineRule="auto"/>
              <w:ind w:left="360"/>
              <w:contextualSpacing w:val="0"/>
              <w:jc w:val="both"/>
              <w:rPr>
                <w:rFonts w:ascii="Verdana" w:eastAsia="Calibri" w:hAnsi="Verdana" w:cs="Arial"/>
                <w:lang w:val="es-MX"/>
              </w:rPr>
            </w:pPr>
            <w:r>
              <w:rPr>
                <w:rFonts w:ascii="Verdana" w:eastAsia="Calibri" w:hAnsi="Verdana" w:cs="Arial"/>
                <w:lang w:val="es-ES_tradnl" w:eastAsia="es-ES_tradnl"/>
              </w:rPr>
              <w:t xml:space="preserve">De igual forma, la Entidad Estatal es facultativa de definir  </w:t>
            </w:r>
            <w:r w:rsidRPr="009A2D37">
              <w:rPr>
                <w:rFonts w:ascii="Verdana" w:eastAsia="Calibri" w:hAnsi="Verdana" w:cs="Arial"/>
                <w:lang w:val="es-ES_tradnl" w:eastAsia="es-ES_tradnl"/>
              </w:rPr>
              <w:t xml:space="preserve">el mecanismo que le parezca más conveniente para el recaudo de los recursos económicos, </w:t>
            </w:r>
            <w:r w:rsidRPr="009A2D37">
              <w:rPr>
                <w:rFonts w:ascii="Verdana" w:hAnsi="Verdana" w:cs="Arial"/>
                <w:color w:val="000000" w:themeColor="text1"/>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tc>
      </w:tr>
    </w:tbl>
    <w:p w14:paraId="2F7E5AC2" w14:textId="77777777" w:rsidR="004E1308" w:rsidRPr="00E4352A" w:rsidRDefault="004E1308" w:rsidP="00D17CC8">
      <w:pPr>
        <w:tabs>
          <w:tab w:val="left" w:pos="142"/>
          <w:tab w:val="left" w:pos="284"/>
        </w:tabs>
        <w:spacing w:after="0" w:line="276" w:lineRule="auto"/>
        <w:jc w:val="both"/>
        <w:rPr>
          <w:rFonts w:ascii="Verdana" w:eastAsia="Century Gothic" w:hAnsi="Verdana" w:cs="Century Gothic"/>
          <w:b/>
          <w:bCs/>
          <w:lang w:val="es-ES"/>
        </w:rPr>
      </w:pPr>
    </w:p>
    <w:p w14:paraId="1D6C80DF" w14:textId="77777777" w:rsidR="004E1308" w:rsidRPr="00E4352A" w:rsidRDefault="004E1308" w:rsidP="00D17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352A">
        <w:rPr>
          <w:rFonts w:ascii="Verdana" w:eastAsia="Century Gothic" w:hAnsi="Verdana" w:cs="Century Gothic"/>
          <w:b/>
          <w:bCs/>
        </w:rPr>
        <w:t>Razones de la respuesta:</w:t>
      </w:r>
    </w:p>
    <w:p w14:paraId="6698ADEC" w14:textId="77777777" w:rsidR="004E1308" w:rsidRPr="00E4352A" w:rsidRDefault="004E1308" w:rsidP="00D17CC8">
      <w:pPr>
        <w:spacing w:after="0" w:line="276" w:lineRule="auto"/>
        <w:jc w:val="both"/>
        <w:rPr>
          <w:rFonts w:ascii="Verdana" w:eastAsia="Calibri" w:hAnsi="Verdana" w:cs="Arial"/>
          <w:color w:val="7030A0"/>
          <w:lang w:val="es-ES"/>
        </w:rPr>
      </w:pPr>
    </w:p>
    <w:p w14:paraId="0A551872" w14:textId="77777777" w:rsidR="004E1308" w:rsidRPr="00E4352A" w:rsidRDefault="004E1308" w:rsidP="00D17CC8">
      <w:pPr>
        <w:spacing w:after="0" w:line="276" w:lineRule="auto"/>
        <w:jc w:val="both"/>
        <w:rPr>
          <w:rFonts w:ascii="Verdana" w:eastAsia="Calibri" w:hAnsi="Verdana" w:cs="Arial"/>
          <w:lang w:val="es-ES"/>
        </w:rPr>
      </w:pPr>
      <w:r w:rsidRPr="00E4352A">
        <w:rPr>
          <w:rFonts w:ascii="Verdana" w:eastAsia="Calibri" w:hAnsi="Verdana" w:cs="Arial"/>
          <w:lang w:val="es-ES"/>
        </w:rPr>
        <w:t xml:space="preserve">Lo anterior se sustenta en las siguientes consideraciones: </w:t>
      </w:r>
    </w:p>
    <w:p w14:paraId="7D977B7E" w14:textId="77777777" w:rsidR="004E1308" w:rsidRPr="00E4352A" w:rsidRDefault="004E1308" w:rsidP="00D17CC8">
      <w:pPr>
        <w:spacing w:after="0" w:line="276" w:lineRule="auto"/>
        <w:jc w:val="both"/>
        <w:rPr>
          <w:rFonts w:ascii="Verdana" w:eastAsia="Calibri" w:hAnsi="Verdana" w:cs="Arial"/>
          <w:lang w:val="es-ES"/>
        </w:rPr>
      </w:pPr>
    </w:p>
    <w:p w14:paraId="376985D0" w14:textId="77777777" w:rsidR="004E1308" w:rsidRPr="004F2020" w:rsidRDefault="004E1308" w:rsidP="00D17CC8">
      <w:pPr>
        <w:pStyle w:val="Prrafodelista"/>
        <w:numPr>
          <w:ilvl w:val="0"/>
          <w:numId w:val="18"/>
        </w:numPr>
        <w:spacing w:after="0" w:line="276" w:lineRule="auto"/>
        <w:contextualSpacing w:val="0"/>
        <w:jc w:val="both"/>
        <w:rPr>
          <w:rFonts w:ascii="Verdana" w:eastAsia="Calibri" w:hAnsi="Verdana" w:cs="Arial"/>
        </w:rPr>
      </w:pPr>
      <w:r w:rsidRPr="004F2020">
        <w:rPr>
          <w:rFonts w:ascii="Verdana" w:eastAsia="Calibri" w:hAnsi="Verdana" w:cs="Arial"/>
          <w:color w:val="000000" w:themeColor="text1"/>
        </w:rPr>
        <w:t xml:space="preserve">El </w:t>
      </w:r>
      <w:bookmarkStart w:id="3" w:name="_Hlk173063453"/>
      <w:r w:rsidRPr="004F2020">
        <w:rPr>
          <w:rFonts w:ascii="Verdana" w:eastAsia="Calibri" w:hAnsi="Verdana" w:cs="Arial"/>
          <w:color w:val="000000" w:themeColor="text1"/>
        </w:rPr>
        <w:t xml:space="preserve">artículo 355 de la Constitución Política </w:t>
      </w:r>
      <w:bookmarkEnd w:id="3"/>
      <w:r w:rsidRPr="004F2020">
        <w:rPr>
          <w:rFonts w:ascii="Verdana" w:eastAsia="Calibri" w:hAnsi="Verdana" w:cs="Arial"/>
          <w:color w:val="000000" w:themeColor="text1"/>
        </w:rPr>
        <w:t xml:space="preserve">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w:t>
      </w:r>
      <w:r>
        <w:rPr>
          <w:rFonts w:ascii="Verdana" w:eastAsia="Calibri" w:hAnsi="Verdana" w:cs="Arial"/>
          <w:color w:val="000000" w:themeColor="text1"/>
        </w:rPr>
        <w:t>P</w:t>
      </w:r>
      <w:r w:rsidRPr="004F2020">
        <w:rPr>
          <w:rFonts w:ascii="Verdana" w:eastAsia="Calibri" w:hAnsi="Verdana" w:cs="Arial"/>
          <w:color w:val="000000" w:themeColor="text1"/>
        </w:rPr>
        <w:t xml:space="preserve">lan </w:t>
      </w:r>
      <w:r>
        <w:rPr>
          <w:rFonts w:ascii="Verdana" w:eastAsia="Calibri" w:hAnsi="Verdana" w:cs="Arial"/>
          <w:color w:val="000000" w:themeColor="text1"/>
        </w:rPr>
        <w:t>N</w:t>
      </w:r>
      <w:r w:rsidRPr="004F2020">
        <w:rPr>
          <w:rFonts w:ascii="Verdana" w:eastAsia="Calibri" w:hAnsi="Verdana" w:cs="Arial"/>
          <w:color w:val="000000" w:themeColor="text1"/>
        </w:rPr>
        <w:t>acional y los planes seccionales de desarrollo</w:t>
      </w:r>
      <w:r w:rsidRPr="004F2020">
        <w:rPr>
          <w:rFonts w:ascii="Verdana" w:hAnsi="Verdana"/>
          <w:vertAlign w:val="superscript"/>
        </w:rPr>
        <w:footnoteReference w:id="2"/>
      </w:r>
      <w:r w:rsidRPr="004F2020">
        <w:rPr>
          <w:rFonts w:ascii="Verdana" w:eastAsia="Calibri" w:hAnsi="Verdana" w:cs="Arial"/>
          <w:color w:val="000000" w:themeColor="text1"/>
        </w:rPr>
        <w:t xml:space="preserve">. </w:t>
      </w:r>
      <w:bookmarkStart w:id="4" w:name="_Hlk164688501"/>
      <w:r>
        <w:rPr>
          <w:rFonts w:ascii="Verdana" w:eastAsia="Calibri" w:hAnsi="Verdana" w:cs="Arial"/>
          <w:color w:val="000000" w:themeColor="text1"/>
        </w:rPr>
        <w:t>En concordancia</w:t>
      </w:r>
      <w:r w:rsidRPr="004F2020">
        <w:rPr>
          <w:rFonts w:ascii="Verdana" w:eastAsia="Calibri" w:hAnsi="Verdana" w:cs="Arial"/>
          <w:color w:val="000000" w:themeColor="text1"/>
        </w:rPr>
        <w:t xml:space="preserve">, el </w:t>
      </w:r>
      <w:bookmarkStart w:id="5" w:name="_Hlk173063480"/>
      <w:r w:rsidRPr="004F2020">
        <w:rPr>
          <w:rFonts w:ascii="Verdana" w:eastAsia="Calibri" w:hAnsi="Verdana" w:cs="Arial"/>
          <w:color w:val="000000" w:themeColor="text1"/>
        </w:rPr>
        <w:t>artículo 96 de la Ley 489 de 1998</w:t>
      </w:r>
      <w:bookmarkEnd w:id="5"/>
      <w:r w:rsidRPr="004F2020">
        <w:rPr>
          <w:rFonts w:ascii="Verdana" w:hAnsi="Verdana"/>
          <w:vertAlign w:val="superscript"/>
        </w:rPr>
        <w:footnoteReference w:id="3"/>
      </w:r>
      <w:r w:rsidRPr="004F2020">
        <w:rPr>
          <w:rFonts w:ascii="Verdana" w:eastAsia="Calibri" w:hAnsi="Verdana" w:cs="Arial"/>
          <w:color w:val="000000" w:themeColor="text1"/>
        </w:rPr>
        <w:t xml:space="preserve"> permite a las Entidades cualquiera </w:t>
      </w:r>
      <w:r>
        <w:rPr>
          <w:rFonts w:ascii="Verdana" w:eastAsia="Calibri" w:hAnsi="Verdana" w:cs="Arial"/>
          <w:color w:val="000000" w:themeColor="text1"/>
        </w:rPr>
        <w:t xml:space="preserve">que </w:t>
      </w:r>
      <w:r w:rsidRPr="004F2020">
        <w:rPr>
          <w:rFonts w:ascii="Verdana" w:eastAsia="Calibri" w:hAnsi="Verdana" w:cs="Arial"/>
          <w:color w:val="000000" w:themeColor="text1"/>
        </w:rPr>
        <w:t>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4"/>
      <w:r w:rsidRPr="004F2020">
        <w:rPr>
          <w:rFonts w:ascii="Verdana" w:eastAsia="Calibri" w:hAnsi="Verdana" w:cs="Arial"/>
          <w:color w:val="000000" w:themeColor="text1"/>
        </w:rPr>
        <w:t>.</w:t>
      </w:r>
      <w:bookmarkStart w:id="7" w:name="_Hlk38819155"/>
    </w:p>
    <w:p w14:paraId="663F4BE9" w14:textId="77777777" w:rsidR="004E1308" w:rsidRPr="004F2020" w:rsidRDefault="004E1308" w:rsidP="00D17CC8">
      <w:pPr>
        <w:pStyle w:val="Prrafodelista"/>
        <w:spacing w:after="0" w:line="276" w:lineRule="auto"/>
        <w:ind w:left="360"/>
        <w:contextualSpacing w:val="0"/>
        <w:jc w:val="both"/>
        <w:rPr>
          <w:rFonts w:ascii="Verdana" w:eastAsia="Calibri" w:hAnsi="Verdana" w:cs="Arial"/>
        </w:rPr>
      </w:pPr>
    </w:p>
    <w:p w14:paraId="25501133" w14:textId="45471DB5" w:rsidR="004E1308" w:rsidRPr="004F2020" w:rsidRDefault="004E1308" w:rsidP="00D17CC8">
      <w:pPr>
        <w:pStyle w:val="Prrafodelista"/>
        <w:numPr>
          <w:ilvl w:val="0"/>
          <w:numId w:val="18"/>
        </w:numPr>
        <w:spacing w:after="0" w:line="276" w:lineRule="auto"/>
        <w:contextualSpacing w:val="0"/>
        <w:jc w:val="both"/>
        <w:rPr>
          <w:rFonts w:ascii="Verdana" w:eastAsia="Calibri" w:hAnsi="Verdana" w:cs="Arial"/>
        </w:rPr>
      </w:pPr>
      <w:r>
        <w:rPr>
          <w:rFonts w:ascii="Verdana" w:hAnsi="Verdana" w:cs="Arial"/>
          <w:lang w:val="es-MX"/>
        </w:rPr>
        <w:t>Ahora bien, e</w:t>
      </w:r>
      <w:r w:rsidRPr="004F2020">
        <w:rPr>
          <w:rFonts w:ascii="Verdana" w:hAnsi="Verdana" w:cs="Arial"/>
          <w:lang w:val="es-MX"/>
        </w:rPr>
        <w:t xml:space="preserve">l Decreto 092 de </w:t>
      </w:r>
      <w:r w:rsidR="008A0121" w:rsidRPr="004F2020">
        <w:rPr>
          <w:rFonts w:ascii="Verdana" w:hAnsi="Verdana" w:cs="Arial"/>
          <w:lang w:val="es-MX"/>
        </w:rPr>
        <w:t>2017, desarrolló</w:t>
      </w:r>
      <w:r w:rsidRPr="004F2020">
        <w:rPr>
          <w:rFonts w:ascii="Verdana" w:hAnsi="Verdana" w:cs="Arial"/>
          <w:lang w:val="es-MX"/>
        </w:rPr>
        <w:t xml:space="preserve"> el artículo 355 de la Constitución Política</w:t>
      </w:r>
      <w:r>
        <w:rPr>
          <w:rFonts w:ascii="Verdana" w:hAnsi="Verdana" w:cs="Arial"/>
          <w:lang w:val="es-MX"/>
        </w:rPr>
        <w:t xml:space="preserve"> y</w:t>
      </w:r>
      <w:r w:rsidRPr="004F2020">
        <w:rPr>
          <w:rFonts w:ascii="Verdana" w:eastAsia="Calibri" w:hAnsi="Verdana" w:cs="Arial"/>
          <w:lang w:val="es-MX"/>
        </w:rPr>
        <w:t xml:space="preserve"> disp</w:t>
      </w:r>
      <w:r>
        <w:rPr>
          <w:rFonts w:ascii="Verdana" w:eastAsia="Calibri" w:hAnsi="Verdana" w:cs="Arial"/>
          <w:lang w:val="es-MX"/>
        </w:rPr>
        <w:t>uso</w:t>
      </w:r>
      <w:r w:rsidRPr="004F2020">
        <w:rPr>
          <w:rFonts w:ascii="Verdana" w:eastAsia="Calibri" w:hAnsi="Verdana" w:cs="Arial"/>
          <w:lang w:val="es-MX"/>
        </w:rPr>
        <w:t xml:space="preserve"> las reglas para las contrataciones que reali</w:t>
      </w:r>
      <w:r>
        <w:rPr>
          <w:rFonts w:ascii="Verdana" w:eastAsia="Calibri" w:hAnsi="Verdana" w:cs="Arial"/>
          <w:lang w:val="es-MX"/>
        </w:rPr>
        <w:t>zan</w:t>
      </w:r>
      <w:r w:rsidRPr="004F2020">
        <w:rPr>
          <w:rFonts w:ascii="Verdana" w:eastAsia="Calibri" w:hAnsi="Verdana" w:cs="Arial"/>
          <w:lang w:val="es-MX"/>
        </w:rPr>
        <w:t xml:space="preserve"> las Entidades Estatales con las ESAL. </w:t>
      </w:r>
      <w:r>
        <w:rPr>
          <w:rFonts w:ascii="Verdana" w:eastAsia="Calibri" w:hAnsi="Verdana" w:cs="Arial"/>
          <w:color w:val="000000" w:themeColor="text1"/>
        </w:rPr>
        <w:t>Así las cosas,</w:t>
      </w:r>
      <w:r w:rsidRPr="004F2020">
        <w:rPr>
          <w:rFonts w:ascii="Verdana" w:eastAsia="Calibri" w:hAnsi="Verdana" w:cs="Arial"/>
          <w:color w:val="000000" w:themeColor="text1"/>
        </w:rPr>
        <w:t xml:space="preserve"> regula dos (2) eventos: i) </w:t>
      </w:r>
      <w:r w:rsidRPr="004F2020">
        <w:rPr>
          <w:rFonts w:ascii="Verdana" w:eastAsia="Calibri" w:hAnsi="Verdana" w:cs="Arial"/>
          <w:lang w:eastAsia="es-ES_tradnl"/>
        </w:rPr>
        <w:t xml:space="preserve">los </w:t>
      </w:r>
      <w:r w:rsidRPr="004F2020">
        <w:rPr>
          <w:rFonts w:ascii="Verdana" w:eastAsia="Calibri" w:hAnsi="Verdana" w:cs="Arial"/>
          <w:i/>
          <w:iCs/>
          <w:lang w:eastAsia="es-ES_tradnl"/>
        </w:rPr>
        <w:t>contratos de colaboración</w:t>
      </w:r>
      <w:r w:rsidRPr="004F2020">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F2020">
        <w:rPr>
          <w:rFonts w:ascii="Verdana" w:eastAsia="Calibri" w:hAnsi="Verdana" w:cs="Arial"/>
          <w:color w:val="000000" w:themeColor="text1"/>
        </w:rPr>
        <w:t xml:space="preserve"> y; </w:t>
      </w:r>
      <w:proofErr w:type="spellStart"/>
      <w:r w:rsidRPr="004F2020">
        <w:rPr>
          <w:rFonts w:ascii="Verdana" w:eastAsia="Calibri" w:hAnsi="Verdana" w:cs="Arial"/>
          <w:color w:val="000000" w:themeColor="text1"/>
        </w:rPr>
        <w:t>ii</w:t>
      </w:r>
      <w:proofErr w:type="spellEnd"/>
      <w:r w:rsidRPr="004F2020">
        <w:rPr>
          <w:rFonts w:ascii="Verdana" w:eastAsia="Calibri" w:hAnsi="Verdana" w:cs="Arial"/>
          <w:color w:val="000000" w:themeColor="text1"/>
        </w:rPr>
        <w:t xml:space="preserve">) los </w:t>
      </w:r>
      <w:r w:rsidRPr="004F2020">
        <w:rPr>
          <w:rFonts w:ascii="Verdana" w:eastAsia="Calibri" w:hAnsi="Verdana" w:cs="Arial"/>
          <w:i/>
          <w:iCs/>
          <w:color w:val="000000" w:themeColor="text1"/>
        </w:rPr>
        <w:t>convenios de asociación</w:t>
      </w:r>
      <w:r w:rsidRPr="004F2020">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4F2020">
        <w:rPr>
          <w:rFonts w:ascii="Verdana" w:eastAsia="Calibri" w:hAnsi="Verdana" w:cs="Arial"/>
          <w:color w:val="000000"/>
          <w:lang w:val="es-MX" w:eastAsia="es-ES_tradnl"/>
        </w:rPr>
        <w:t xml:space="preserve">Los primeros están regulados en el artículo 2 del Decreto 092 de 2017, mientras que los segundos en los artículos 5, 6, 7 y 8 </w:t>
      </w:r>
      <w:r w:rsidRPr="004F2020">
        <w:rPr>
          <w:rFonts w:ascii="Verdana" w:eastAsia="Calibri" w:hAnsi="Verdana" w:cs="Arial"/>
          <w:i/>
          <w:iCs/>
          <w:color w:val="000000"/>
          <w:lang w:val="es-MX" w:eastAsia="es-ES_tradnl"/>
        </w:rPr>
        <w:t>ibidem</w:t>
      </w:r>
      <w:r w:rsidRPr="004F2020">
        <w:rPr>
          <w:rFonts w:ascii="Verdana" w:eastAsia="Calibri" w:hAnsi="Verdana" w:cs="Arial"/>
          <w:color w:val="000000"/>
          <w:lang w:val="es-MX" w:eastAsia="es-ES_tradnl"/>
        </w:rPr>
        <w:t xml:space="preserve">. </w:t>
      </w:r>
    </w:p>
    <w:bookmarkEnd w:id="7"/>
    <w:p w14:paraId="0BB0860E" w14:textId="77777777" w:rsidR="004E1308" w:rsidRPr="004F2020" w:rsidRDefault="004E1308" w:rsidP="00D17CC8">
      <w:pPr>
        <w:spacing w:after="0"/>
        <w:rPr>
          <w:color w:val="000000" w:themeColor="text1"/>
        </w:rPr>
      </w:pPr>
    </w:p>
    <w:p w14:paraId="0E13873A" w14:textId="77777777" w:rsidR="005A12A7" w:rsidRPr="004F2020" w:rsidRDefault="004E1308" w:rsidP="00D17CC8">
      <w:pPr>
        <w:pStyle w:val="Prrafodelista"/>
        <w:numPr>
          <w:ilvl w:val="0"/>
          <w:numId w:val="18"/>
        </w:numPr>
        <w:spacing w:after="0" w:line="276" w:lineRule="auto"/>
        <w:contextualSpacing w:val="0"/>
        <w:jc w:val="both"/>
        <w:rPr>
          <w:rFonts w:ascii="Verdana" w:eastAsia="Calibri" w:hAnsi="Verdana" w:cs="Arial"/>
        </w:rPr>
      </w:pPr>
      <w:r>
        <w:rPr>
          <w:rFonts w:ascii="Verdana" w:eastAsia="Calibri" w:hAnsi="Verdana" w:cs="Arial"/>
          <w:color w:val="000000" w:themeColor="text1"/>
        </w:rPr>
        <w:t>Los</w:t>
      </w:r>
      <w:r w:rsidR="005A12A7" w:rsidRPr="004F2020">
        <w:rPr>
          <w:rFonts w:ascii="Verdana" w:eastAsia="Calibri" w:hAnsi="Verdana" w:cs="Arial"/>
          <w:color w:val="000000" w:themeColor="text1"/>
        </w:rPr>
        <w:t xml:space="preserve"> </w:t>
      </w:r>
      <w:r w:rsidR="005A12A7" w:rsidRPr="004F2020">
        <w:rPr>
          <w:rFonts w:ascii="Verdana" w:eastAsia="Calibri" w:hAnsi="Verdana" w:cs="Arial"/>
          <w:i/>
          <w:iCs/>
          <w:color w:val="000000" w:themeColor="text1"/>
        </w:rPr>
        <w:t>contratos del artículo 355 de la Constitución Política</w:t>
      </w:r>
      <w:r w:rsidR="005A12A7">
        <w:rPr>
          <w:rFonts w:ascii="Verdana" w:eastAsia="Calibri" w:hAnsi="Verdana" w:cs="Arial"/>
          <w:i/>
          <w:iCs/>
          <w:color w:val="000000" w:themeColor="text1"/>
        </w:rPr>
        <w:t xml:space="preserve"> o contratos de colaboración</w:t>
      </w:r>
      <w:r w:rsidR="005A12A7" w:rsidRPr="004F2020">
        <w:rPr>
          <w:rFonts w:ascii="Verdana" w:eastAsia="Calibri" w:hAnsi="Verdana" w:cs="Arial"/>
          <w:color w:val="000000" w:themeColor="text1"/>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1E378221" w14:textId="77777777" w:rsidR="005A12A7" w:rsidRPr="004F2020" w:rsidRDefault="005A12A7" w:rsidP="00D17CC8">
      <w:pPr>
        <w:pStyle w:val="Prrafodelista"/>
        <w:spacing w:after="0" w:line="276" w:lineRule="auto"/>
        <w:contextualSpacing w:val="0"/>
        <w:rPr>
          <w:rFonts w:ascii="Verdana" w:eastAsia="Calibri" w:hAnsi="Verdana" w:cs="Arial"/>
          <w:color w:val="000000" w:themeColor="text1"/>
        </w:rPr>
      </w:pPr>
    </w:p>
    <w:p w14:paraId="5287FF75" w14:textId="77777777" w:rsidR="005A12A7" w:rsidRPr="004F2020" w:rsidRDefault="005A12A7" w:rsidP="00D17CC8">
      <w:pPr>
        <w:pStyle w:val="Prrafodelista"/>
        <w:numPr>
          <w:ilvl w:val="0"/>
          <w:numId w:val="18"/>
        </w:numPr>
        <w:spacing w:after="0" w:line="276" w:lineRule="auto"/>
        <w:contextualSpacing w:val="0"/>
        <w:jc w:val="both"/>
        <w:rPr>
          <w:rFonts w:ascii="Verdana" w:eastAsia="Calibri" w:hAnsi="Verdana" w:cs="Arial"/>
        </w:rPr>
      </w:pPr>
      <w:r w:rsidRPr="004F2020">
        <w:rPr>
          <w:rFonts w:ascii="Verdana" w:eastAsia="Calibri" w:hAnsi="Verdana" w:cs="Arial"/>
          <w:color w:val="000000" w:themeColor="text1"/>
        </w:rPr>
        <w:t xml:space="preserve">De otro lado, los </w:t>
      </w:r>
      <w:r w:rsidRPr="004F2020">
        <w:rPr>
          <w:rFonts w:ascii="Verdana" w:eastAsia="Calibri" w:hAnsi="Verdana" w:cs="Arial"/>
          <w:i/>
          <w:iCs/>
          <w:color w:val="000000" w:themeColor="text1"/>
        </w:rPr>
        <w:t xml:space="preserve">convenios de asociación </w:t>
      </w:r>
      <w:r w:rsidRPr="004F2020">
        <w:rPr>
          <w:rFonts w:ascii="Verdana" w:eastAsia="Calibri" w:hAnsi="Verdana" w:cs="Arial"/>
          <w:color w:val="000000" w:themeColor="text1"/>
        </w:rPr>
        <w:t>– a los cuales hace referencia en su consulta – “[…] [t]</w:t>
      </w:r>
      <w:proofErr w:type="spellStart"/>
      <w:r w:rsidRPr="004F2020">
        <w:rPr>
          <w:rFonts w:ascii="Verdana" w:eastAsia="Calibri" w:hAnsi="Verdana" w:cs="Arial"/>
          <w:color w:val="000000" w:themeColor="text1"/>
        </w:rPr>
        <w:t>ienen</w:t>
      </w:r>
      <w:proofErr w:type="spellEnd"/>
      <w:r w:rsidRPr="004F2020">
        <w:rPr>
          <w:rFonts w:ascii="Verdana" w:eastAsia="Calibri" w:hAnsi="Verdana" w:cs="Arial"/>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F2020">
        <w:rPr>
          <w:rFonts w:ascii="Verdana" w:hAnsi="Verdana"/>
          <w:vertAlign w:val="superscript"/>
        </w:rPr>
        <w:footnoteReference w:id="4"/>
      </w:r>
      <w:r w:rsidRPr="004F2020">
        <w:rPr>
          <w:rFonts w:ascii="Verdana" w:eastAsia="Calibri" w:hAnsi="Verdana" w:cs="Arial"/>
          <w:color w:val="000000" w:themeColor="text1"/>
        </w:rPr>
        <w:t xml:space="preserve">.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466012AE" w14:textId="77777777" w:rsidR="005A12A7" w:rsidRPr="004F2020" w:rsidRDefault="005A12A7" w:rsidP="00D17CC8">
      <w:pPr>
        <w:pStyle w:val="Prrafodelista"/>
        <w:spacing w:after="0" w:line="276" w:lineRule="auto"/>
        <w:contextualSpacing w:val="0"/>
        <w:rPr>
          <w:rFonts w:ascii="Verdana" w:eastAsia="Calibri" w:hAnsi="Verdana" w:cs="Arial"/>
          <w:color w:val="000000"/>
          <w:lang w:eastAsia="es-ES_tradnl"/>
        </w:rPr>
      </w:pPr>
    </w:p>
    <w:p w14:paraId="6EB97B9E" w14:textId="77777777" w:rsidR="005A12A7" w:rsidRPr="004F2020" w:rsidRDefault="005A12A7" w:rsidP="00D17CC8">
      <w:pPr>
        <w:pStyle w:val="Prrafodelista"/>
        <w:numPr>
          <w:ilvl w:val="0"/>
          <w:numId w:val="18"/>
        </w:numPr>
        <w:spacing w:after="0" w:line="276" w:lineRule="auto"/>
        <w:contextualSpacing w:val="0"/>
        <w:jc w:val="both"/>
        <w:rPr>
          <w:rFonts w:ascii="Verdana" w:eastAsia="Calibri" w:hAnsi="Verdana" w:cs="Arial"/>
        </w:rPr>
      </w:pPr>
      <w:r w:rsidRPr="004F2020">
        <w:rPr>
          <w:rFonts w:ascii="Verdana" w:eastAsia="Calibri" w:hAnsi="Verdana" w:cs="Arial"/>
          <w:color w:val="000000"/>
          <w:lang w:val="es-MX" w:eastAsia="es-ES_tradnl"/>
        </w:rPr>
        <w:lastRenderedPageBreak/>
        <w:t xml:space="preserve">De conformidad con el inciso segundo del artículo 96 de la Ley 489 de 1998, en </w:t>
      </w:r>
      <w:r w:rsidRPr="004F2020">
        <w:rPr>
          <w:rFonts w:ascii="Verdana" w:eastAsia="Calibri" w:hAnsi="Verdana" w:cs="Arial"/>
          <w:color w:val="000000"/>
          <w:lang w:eastAsia="es-ES_tradnl"/>
        </w:rPr>
        <w:t>los</w:t>
      </w:r>
      <w:r w:rsidRPr="004F2020">
        <w:rPr>
          <w:rFonts w:ascii="Verdana" w:eastAsia="Calibri" w:hAnsi="Verdana" w:cs="Arial"/>
          <w:color w:val="000000"/>
          <w:lang w:val="es-MX" w:eastAsia="es-ES_tradnl"/>
        </w:rPr>
        <w:t xml:space="preserve"> convenios</w:t>
      </w:r>
      <w:r w:rsidRPr="004F2020">
        <w:rPr>
          <w:rFonts w:ascii="Verdana" w:eastAsia="Calibri" w:hAnsi="Verdana" w:cs="Arial"/>
          <w:color w:val="000000"/>
          <w:lang w:eastAsia="es-ES_tradnl"/>
        </w:rPr>
        <w:t xml:space="preserve"> de asociación</w:t>
      </w:r>
      <w:r w:rsidRPr="004F2020">
        <w:rPr>
          <w:rFonts w:ascii="Verdana" w:eastAsia="Calibri" w:hAnsi="Verdana" w:cs="Arial"/>
          <w:color w:val="000000"/>
          <w:lang w:val="es-MX" w:eastAsia="es-ES_tradnl"/>
        </w:rPr>
        <w:t xml:space="preserve">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w:t>
      </w:r>
      <w:r>
        <w:rPr>
          <w:rFonts w:ascii="Verdana" w:eastAsia="Calibri" w:hAnsi="Verdana" w:cs="Arial"/>
          <w:color w:val="000000"/>
          <w:lang w:eastAsia="es-ES_tradnl"/>
        </w:rPr>
        <w:t xml:space="preserve"> del valor total</w:t>
      </w:r>
      <w:r w:rsidRPr="004F2020">
        <w:rPr>
          <w:rFonts w:ascii="Verdana" w:eastAsia="Calibri" w:hAnsi="Verdana" w:cs="Arial"/>
          <w:color w:val="000000"/>
          <w:lang w:val="es-MX" w:eastAsia="es-ES_tradnl"/>
        </w:rPr>
        <w:t xml:space="preserve">, o en especie, los cuales deben servir al desarrollo de los objetivos comunes de la asociación. </w:t>
      </w:r>
    </w:p>
    <w:p w14:paraId="5CC85781" w14:textId="77777777" w:rsidR="005A12A7" w:rsidRPr="004F2020" w:rsidRDefault="005A12A7" w:rsidP="00D17CC8">
      <w:pPr>
        <w:spacing w:after="0" w:line="276" w:lineRule="auto"/>
        <w:rPr>
          <w:rFonts w:ascii="Verdana" w:eastAsia="Calibri" w:hAnsi="Verdana" w:cs="Arial"/>
          <w:color w:val="000000" w:themeColor="text1"/>
          <w:lang w:val="es-ES"/>
        </w:rPr>
      </w:pPr>
    </w:p>
    <w:p w14:paraId="0CD1DA7D" w14:textId="77777777" w:rsidR="005A12A7" w:rsidRPr="00CE6097" w:rsidRDefault="005A12A7" w:rsidP="00D17CC8">
      <w:pPr>
        <w:pStyle w:val="Prrafodelista"/>
        <w:numPr>
          <w:ilvl w:val="0"/>
          <w:numId w:val="18"/>
        </w:numPr>
        <w:spacing w:after="0" w:line="276" w:lineRule="auto"/>
        <w:contextualSpacing w:val="0"/>
        <w:jc w:val="both"/>
        <w:textAlignment w:val="baseline"/>
        <w:rPr>
          <w:rFonts w:ascii="Verdana" w:eastAsia="Calibri" w:hAnsi="Verdana" w:cs="Arial"/>
          <w:lang w:val="es-ES_tradnl" w:eastAsia="es-ES_tradnl"/>
        </w:rPr>
      </w:pPr>
      <w:r w:rsidRPr="00CE6097">
        <w:rPr>
          <w:rFonts w:ascii="Verdana" w:eastAsia="Calibri" w:hAnsi="Verdana" w:cs="Arial"/>
          <w:lang w:val="es-ES_tradnl" w:eastAsia="es-ES_tradnl"/>
        </w:rPr>
        <w:t xml:space="preserve">Respecto al primer problema jurídico planteado, relacionado con la forma en la cual se debe seleccionar a la ESAL, es menester indicar que, </w:t>
      </w:r>
      <w:bookmarkStart w:id="8" w:name="_Hlk173067283"/>
      <w:r w:rsidRPr="00CE6097">
        <w:rPr>
          <w:rFonts w:ascii="Verdana" w:eastAsia="Calibri" w:hAnsi="Verdana" w:cs="Arial"/>
          <w:lang w:val="es-ES_tradnl" w:eastAsia="es-ES_tradnl"/>
        </w:rPr>
        <w:t xml:space="preserve">el </w:t>
      </w:r>
      <w:bookmarkStart w:id="9" w:name="_Hlk173065372"/>
      <w:r w:rsidRPr="00CE6097">
        <w:rPr>
          <w:rFonts w:ascii="Verdana" w:eastAsia="Calibri" w:hAnsi="Verdana" w:cs="Arial"/>
          <w:lang w:val="es-ES_tradnl" w:eastAsia="es-ES_tradnl"/>
        </w:rPr>
        <w:t>artículo 5</w:t>
      </w:r>
      <w:bookmarkEnd w:id="9"/>
      <w:r w:rsidRPr="00CE6097">
        <w:rPr>
          <w:rFonts w:ascii="Verdana" w:eastAsia="Calibri" w:hAnsi="Verdana" w:cs="Arial"/>
          <w:lang w:val="es-ES_tradnl" w:eastAsia="es-ES_tradnl"/>
        </w:rPr>
        <w:t xml:space="preserve"> del Decreto 092 de 2017</w:t>
      </w:r>
      <w:r w:rsidRPr="00CE6097">
        <w:rPr>
          <w:rFonts w:ascii="Verdana" w:hAnsi="Verdana"/>
          <w:vertAlign w:val="superscript"/>
          <w:lang w:eastAsia="es-ES_tradnl"/>
        </w:rPr>
        <w:footnoteReference w:id="5"/>
      </w:r>
      <w:r w:rsidRPr="00CE6097">
        <w:rPr>
          <w:rFonts w:ascii="Verdana" w:eastAsia="Calibri" w:hAnsi="Verdana" w:cs="Arial"/>
          <w:lang w:val="es-ES_tradnl" w:eastAsia="es-ES_tradnl"/>
        </w:rPr>
        <w:t xml:space="preserve"> establece que, </w:t>
      </w:r>
      <w:bookmarkStart w:id="10" w:name="_Hlk77927493"/>
      <w:r w:rsidRPr="00CE6097">
        <w:rPr>
          <w:rFonts w:ascii="Verdana" w:eastAsia="Calibri" w:hAnsi="Verdana" w:cs="Arial"/>
          <w:lang w:eastAsia="es-ES_tradnl"/>
        </w:rPr>
        <w:t>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w:t>
      </w:r>
      <w:bookmarkEnd w:id="10"/>
      <w:r w:rsidRPr="00CE6097">
        <w:rPr>
          <w:rFonts w:ascii="Verdana" w:eastAsia="Calibri" w:hAnsi="Verdana" w:cs="Arial"/>
          <w:lang w:eastAsia="es-ES_tradnl"/>
        </w:rPr>
        <w:t xml:space="preserve">, pues en este evento también se tendría que realizar un proceso competitivo. </w:t>
      </w:r>
    </w:p>
    <w:bookmarkEnd w:id="8"/>
    <w:p w14:paraId="69B7B317" w14:textId="77777777" w:rsidR="005A12A7" w:rsidRPr="004F2020" w:rsidRDefault="005A12A7" w:rsidP="00D17CC8">
      <w:pPr>
        <w:spacing w:after="0" w:line="276" w:lineRule="auto"/>
        <w:jc w:val="both"/>
        <w:textAlignment w:val="baseline"/>
        <w:rPr>
          <w:rFonts w:ascii="Verdana" w:eastAsia="Calibri" w:hAnsi="Verdana" w:cs="Arial"/>
          <w:lang w:val="es-ES_tradnl" w:eastAsia="es-ES_tradnl"/>
        </w:rPr>
      </w:pPr>
    </w:p>
    <w:p w14:paraId="475E76B6" w14:textId="77777777" w:rsidR="005A12A7" w:rsidRPr="004F2020" w:rsidRDefault="005A12A7" w:rsidP="00D17CC8">
      <w:pPr>
        <w:pStyle w:val="Prrafodelista"/>
        <w:numPr>
          <w:ilvl w:val="0"/>
          <w:numId w:val="18"/>
        </w:numPr>
        <w:spacing w:after="0" w:line="276" w:lineRule="auto"/>
        <w:contextualSpacing w:val="0"/>
        <w:jc w:val="both"/>
        <w:textAlignment w:val="baseline"/>
        <w:rPr>
          <w:rFonts w:ascii="Verdana" w:eastAsia="Calibri" w:hAnsi="Verdana" w:cs="Arial"/>
          <w:lang w:val="es-ES_tradnl" w:eastAsia="es-ES_tradnl"/>
        </w:rPr>
      </w:pPr>
      <w:r>
        <w:rPr>
          <w:rFonts w:ascii="Verdana" w:eastAsia="Calibri" w:hAnsi="Verdana" w:cs="Arial"/>
          <w:lang w:val="es-ES_tradnl" w:eastAsia="es-ES_tradnl"/>
        </w:rPr>
        <w:t>T</w:t>
      </w:r>
      <w:r w:rsidRPr="004F2020">
        <w:rPr>
          <w:rFonts w:ascii="Verdana" w:eastAsia="Calibri" w:hAnsi="Verdana" w:cs="Arial"/>
          <w:lang w:val="es-ES_tradnl" w:eastAsia="es-ES_tradnl"/>
        </w:rPr>
        <w: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0DFCF98A" w14:textId="77777777" w:rsidR="005A12A7" w:rsidRPr="004F2020" w:rsidRDefault="005A12A7" w:rsidP="00D17CC8">
      <w:pPr>
        <w:pStyle w:val="Prrafodelista"/>
        <w:spacing w:after="0" w:line="276" w:lineRule="auto"/>
        <w:contextualSpacing w:val="0"/>
        <w:rPr>
          <w:rFonts w:ascii="Verdana" w:eastAsia="Calibri" w:hAnsi="Verdana" w:cs="Arial"/>
          <w:lang w:val="es-ES_tradnl" w:eastAsia="es-ES_tradnl"/>
        </w:rPr>
      </w:pPr>
    </w:p>
    <w:p w14:paraId="3CFDD94E" w14:textId="77777777" w:rsidR="005A12A7" w:rsidRPr="004F2020" w:rsidRDefault="004E1308" w:rsidP="00D17CC8">
      <w:pPr>
        <w:pStyle w:val="Prrafodelista"/>
        <w:numPr>
          <w:ilvl w:val="0"/>
          <w:numId w:val="18"/>
        </w:numPr>
        <w:spacing w:after="0" w:line="276" w:lineRule="auto"/>
        <w:contextualSpacing w:val="0"/>
        <w:jc w:val="both"/>
        <w:textAlignment w:val="baseline"/>
        <w:rPr>
          <w:rFonts w:ascii="Verdana" w:eastAsia="Calibri" w:hAnsi="Verdana" w:cs="Arial"/>
          <w:lang w:val="es-ES_tradnl" w:eastAsia="es-ES_tradnl"/>
        </w:rPr>
      </w:pPr>
      <w:r w:rsidRPr="004F2020">
        <w:rPr>
          <w:rFonts w:ascii="Verdana" w:eastAsia="Calibri" w:hAnsi="Verdana" w:cs="Arial"/>
          <w:lang w:val="es-ES_tradnl" w:eastAsia="es-ES_tradnl"/>
        </w:rPr>
        <w:t xml:space="preserve"> En similar sentido, </w:t>
      </w:r>
      <w:r>
        <w:rPr>
          <w:rFonts w:ascii="Verdana" w:eastAsia="Calibri" w:hAnsi="Verdana" w:cs="Arial"/>
          <w:lang w:val="es-ES_tradnl" w:eastAsia="es-ES_tradnl"/>
        </w:rPr>
        <w:t>el doctrinante</w:t>
      </w:r>
      <w:r w:rsidR="005A12A7" w:rsidRPr="004F2020">
        <w:rPr>
          <w:rFonts w:ascii="Verdana" w:eastAsia="Calibri" w:hAnsi="Verdana" w:cs="Arial"/>
          <w:lang w:val="es-ES_tradnl" w:eastAsia="es-ES_tradnl"/>
        </w:rPr>
        <w:t xml:space="preserve"> Mauricio Rodríguez Tamayo manifiesta</w:t>
      </w:r>
      <w:r w:rsidR="005A12A7">
        <w:rPr>
          <w:rFonts w:ascii="Verdana" w:eastAsia="Calibri" w:hAnsi="Verdana" w:cs="Arial"/>
          <w:lang w:val="es-ES_tradnl" w:eastAsia="es-ES_tradnl"/>
        </w:rPr>
        <w:t xml:space="preserve"> que</w:t>
      </w:r>
      <w:r w:rsidR="005A12A7" w:rsidRPr="004F2020">
        <w:rPr>
          <w:rFonts w:ascii="Verdana" w:eastAsia="Calibri" w:hAnsi="Verdana" w:cs="Arial"/>
          <w:lang w:val="es-ES_tradnl" w:eastAsia="es-ES_tradnl"/>
        </w:rPr>
        <w:t>:</w:t>
      </w:r>
    </w:p>
    <w:p w14:paraId="71866BAF" w14:textId="77777777" w:rsidR="005A12A7" w:rsidRPr="004F2020" w:rsidRDefault="005A12A7" w:rsidP="00D17CC8">
      <w:pPr>
        <w:pStyle w:val="Prrafodelista"/>
        <w:spacing w:after="0" w:line="276" w:lineRule="auto"/>
        <w:ind w:left="360"/>
        <w:contextualSpacing w:val="0"/>
        <w:jc w:val="both"/>
        <w:textAlignment w:val="baseline"/>
        <w:rPr>
          <w:rFonts w:ascii="Verdana" w:eastAsia="Calibri" w:hAnsi="Verdana" w:cs="Arial"/>
          <w:lang w:val="es-ES_tradnl" w:eastAsia="es-ES_tradnl"/>
        </w:rPr>
      </w:pPr>
    </w:p>
    <w:p w14:paraId="4CDE1D6C" w14:textId="77777777" w:rsidR="005A12A7" w:rsidRPr="004F2020" w:rsidRDefault="005A12A7" w:rsidP="005A12A7">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4F2020">
        <w:rPr>
          <w:rFonts w:ascii="Verdana" w:eastAsia="Times New Roman" w:hAnsi="Verdana" w:cs="Arial"/>
          <w:sz w:val="20"/>
          <w:szCs w:val="20"/>
          <w:lang w:val="es-ES_tradnl" w:eastAsia="es-ES_tradnl"/>
        </w:rPr>
        <w:t>“El Decreto 092 de 2017 permite la escogencia directa de una ESAL, para la suscripción de un convenio de asociación solo cuando el privado s</w:t>
      </w:r>
      <w:r w:rsidRPr="004F2020">
        <w:rPr>
          <w:rFonts w:ascii="Verdana" w:eastAsia="Times New Roman" w:hAnsi="Verdana" w:cs="Arial"/>
          <w:sz w:val="20"/>
          <w:szCs w:val="20"/>
          <w:lang w:eastAsia="es-ES_tradnl"/>
        </w:rPr>
        <w:t xml:space="preserve">in ánimo de lucro aporta no menos de 30% en dinero del valor total del convenio. Por supuesto, es necesario acreditar la idoneidad necesaria de </w:t>
      </w:r>
      <w:r w:rsidRPr="004F2020">
        <w:rPr>
          <w:rFonts w:ascii="Verdana" w:eastAsia="Times New Roman" w:hAnsi="Verdana" w:cs="Arial"/>
          <w:sz w:val="20"/>
          <w:szCs w:val="20"/>
          <w:lang w:eastAsia="es-ES_tradnl"/>
        </w:rPr>
        <w:lastRenderedPageBreak/>
        <w:t>la ESAL, para que participe junto con el Estado en la atención y prestación de servicios públicos de naturaleza estatal.</w:t>
      </w:r>
    </w:p>
    <w:p w14:paraId="001B9407" w14:textId="77777777" w:rsidR="005A12A7" w:rsidRPr="004F2020" w:rsidRDefault="005A12A7" w:rsidP="005A12A7">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p>
    <w:p w14:paraId="3D0A7136" w14:textId="77777777" w:rsidR="005A12A7" w:rsidRPr="004F2020" w:rsidRDefault="005A12A7" w:rsidP="005A12A7">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4F2020">
        <w:rPr>
          <w:rFonts w:ascii="Verdana" w:eastAsia="Times New Roman" w:hAnsi="Verdana" w:cs="Arial"/>
          <w:sz w:val="20"/>
          <w:szCs w:val="20"/>
          <w:lang w:eastAsia="es-ES_tradnl"/>
        </w:rPr>
        <w:t xml:space="preserve">Se podrá contratar directamente por esta causal siempre que esté acreditada cualquiera de las siguientes circunstancias: […] </w:t>
      </w:r>
      <w:proofErr w:type="spellStart"/>
      <w:r w:rsidRPr="004F2020">
        <w:rPr>
          <w:rFonts w:ascii="Verdana" w:eastAsia="Times New Roman" w:hAnsi="Verdana" w:cs="Arial"/>
          <w:sz w:val="20"/>
          <w:szCs w:val="20"/>
          <w:lang w:eastAsia="es-ES_tradnl"/>
        </w:rPr>
        <w:t>ii</w:t>
      </w:r>
      <w:proofErr w:type="spellEnd"/>
      <w:r w:rsidRPr="004F2020">
        <w:rPr>
          <w:rFonts w:ascii="Verdana" w:eastAsia="Times New Roman" w:hAnsi="Verdana" w:cs="Arial"/>
          <w:sz w:val="20"/>
          <w:szCs w:val="20"/>
          <w:lang w:eastAsia="es-ES_tradnl"/>
        </w:rPr>
        <w:t>) se celebran convenios de asociación a los que hace referencia el artículo 96 de la Ley 489 de 1998 y la ESAL compromete recursos en dinero en una proporción no inferior a 30% del valor total del convenio”</w:t>
      </w:r>
      <w:r w:rsidRPr="004F2020">
        <w:rPr>
          <w:rFonts w:ascii="Verdana" w:hAnsi="Verdana"/>
          <w:sz w:val="20"/>
          <w:szCs w:val="20"/>
          <w:vertAlign w:val="superscript"/>
          <w:lang w:eastAsia="es-ES_tradnl"/>
        </w:rPr>
        <w:footnoteReference w:id="6"/>
      </w:r>
      <w:r w:rsidRPr="004F2020">
        <w:rPr>
          <w:rFonts w:ascii="Verdana" w:eastAsia="Times New Roman" w:hAnsi="Verdana" w:cs="Arial"/>
          <w:sz w:val="20"/>
          <w:szCs w:val="20"/>
          <w:lang w:eastAsia="es-ES_tradnl"/>
        </w:rPr>
        <w:t>.</w:t>
      </w:r>
    </w:p>
    <w:p w14:paraId="54A605F3" w14:textId="77777777" w:rsidR="005A12A7" w:rsidRPr="00D17CC8" w:rsidRDefault="005A12A7" w:rsidP="00D17CC8">
      <w:pPr>
        <w:pStyle w:val="Prrafodelista"/>
        <w:spacing w:after="0" w:line="276" w:lineRule="auto"/>
        <w:ind w:left="360"/>
        <w:contextualSpacing w:val="0"/>
        <w:jc w:val="both"/>
        <w:textAlignment w:val="baseline"/>
        <w:rPr>
          <w:rFonts w:ascii="Verdana" w:eastAsia="Calibri" w:hAnsi="Verdana" w:cs="Arial"/>
          <w:lang w:val="es-ES_tradnl" w:eastAsia="es-ES_tradnl"/>
        </w:rPr>
      </w:pPr>
    </w:p>
    <w:p w14:paraId="003F21A2" w14:textId="77777777" w:rsidR="005A12A7" w:rsidRPr="00D17CC8" w:rsidRDefault="005A12A7" w:rsidP="00D17CC8">
      <w:pPr>
        <w:pStyle w:val="Prrafodelista"/>
        <w:numPr>
          <w:ilvl w:val="0"/>
          <w:numId w:val="18"/>
        </w:numPr>
        <w:spacing w:after="0" w:line="276" w:lineRule="auto"/>
        <w:contextualSpacing w:val="0"/>
        <w:jc w:val="both"/>
        <w:textAlignment w:val="baseline"/>
        <w:rPr>
          <w:rFonts w:ascii="Verdana" w:eastAsia="Calibri" w:hAnsi="Verdana" w:cs="Arial"/>
          <w:lang w:val="es-ES_tradnl" w:eastAsia="es-ES_tradnl"/>
        </w:rPr>
      </w:pPr>
      <w:r w:rsidRPr="00D17CC8">
        <w:rPr>
          <w:rFonts w:ascii="Verdana" w:eastAsia="Calibri" w:hAnsi="Verdana" w:cs="Arial"/>
          <w:lang w:val="es-ES_tradnl" w:eastAsia="es-ES_tradnl"/>
        </w:rPr>
        <w:t xml:space="preserve">Ahora bien, es importante resaltar que, </w:t>
      </w:r>
      <w:bookmarkStart w:id="11" w:name="_Hlk173070078"/>
      <w:r w:rsidRPr="00D17CC8">
        <w:rPr>
          <w:rFonts w:ascii="Verdana" w:eastAsia="Calibri" w:hAnsi="Verdana" w:cs="Arial"/>
          <w:lang w:val="es-ES_tradnl" w:eastAsia="es-ES_tradnl"/>
        </w:rPr>
        <w:t xml:space="preserve">según el mismo artículo 5, </w:t>
      </w:r>
      <w:r w:rsidRPr="00D17CC8">
        <w:rPr>
          <w:rFonts w:ascii="Verdana" w:eastAsia="Calibri" w:hAnsi="Verdana" w:cs="Arial"/>
          <w:i/>
          <w:iCs/>
          <w:lang w:val="es-ES_tradnl" w:eastAsia="es-ES_tradnl"/>
        </w:rPr>
        <w:t>si hay más de una ESAL</w:t>
      </w:r>
      <w:r w:rsidRPr="00D17CC8">
        <w:rPr>
          <w:rFonts w:ascii="Verdana" w:eastAsia="Calibri" w:hAnsi="Verdana"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bookmarkEnd w:id="11"/>
    </w:p>
    <w:p w14:paraId="10F9FBFA" w14:textId="77777777" w:rsidR="005A12A7" w:rsidRPr="00D17CC8" w:rsidRDefault="005A12A7" w:rsidP="00D17CC8">
      <w:pPr>
        <w:spacing w:after="0" w:line="276" w:lineRule="auto"/>
        <w:rPr>
          <w:rFonts w:ascii="Verdana" w:eastAsia="Calibri" w:hAnsi="Verdana" w:cs="Arial"/>
          <w:color w:val="000000"/>
          <w:lang w:eastAsia="es-ES_tradnl"/>
        </w:rPr>
      </w:pPr>
    </w:p>
    <w:p w14:paraId="61445B2B" w14:textId="77777777" w:rsidR="005A12A7" w:rsidRPr="00D17CC8" w:rsidRDefault="005A12A7"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color w:val="000000"/>
          <w:lang w:val="es-MX" w:eastAsia="es-ES_tradnl"/>
        </w:rPr>
        <w:t xml:space="preserve">La noción </w:t>
      </w:r>
      <w:r w:rsidRPr="00D17CC8">
        <w:rPr>
          <w:rFonts w:ascii="Verdana" w:eastAsia="Calibri" w:hAnsi="Verdana" w:cs="Arial"/>
          <w:i/>
          <w:iCs/>
          <w:color w:val="000000"/>
          <w:lang w:val="es-MX" w:eastAsia="es-ES_tradnl"/>
        </w:rPr>
        <w:t>“seleccionar de forma objetiva”</w:t>
      </w:r>
      <w:r w:rsidRPr="00D17CC8">
        <w:rPr>
          <w:rFonts w:ascii="Verdana" w:eastAsia="Calibri" w:hAnsi="Verdana" w:cs="Arial"/>
          <w:color w:val="000000"/>
          <w:lang w:val="es-MX" w:eastAsia="es-ES_tradnl"/>
        </w:rPr>
        <w:t xml:space="preserve">, contenida en la disposición </w:t>
      </w:r>
      <w:r w:rsidRPr="00D17CC8">
        <w:rPr>
          <w:rFonts w:ascii="Verdana" w:eastAsia="Calibri" w:hAnsi="Verdana" w:cs="Arial"/>
          <w:i/>
          <w:iCs/>
          <w:color w:val="000000"/>
          <w:lang w:val="es-MX" w:eastAsia="es-ES_tradnl"/>
        </w:rPr>
        <w:t xml:space="preserve">sub examine </w:t>
      </w:r>
      <w:r w:rsidRPr="00D17CC8">
        <w:rPr>
          <w:rFonts w:ascii="Verdana" w:eastAsia="Calibri" w:hAnsi="Verdana" w:cs="Arial"/>
          <w:color w:val="000000"/>
          <w:lang w:val="es-MX" w:eastAsia="es-ES_tradnl"/>
        </w:rPr>
        <w:t>no puede ser entendida como una remisión total a las Leyes 80 de 1993 y 1150 de 2007</w:t>
      </w:r>
      <w:r w:rsidR="004E1308" w:rsidRPr="00D17CC8">
        <w:rPr>
          <w:rFonts w:ascii="Verdana" w:eastAsia="Calibri" w:hAnsi="Verdana" w:cs="Arial"/>
          <w:color w:val="000000"/>
          <w:lang w:val="es-MX" w:eastAsia="es-ES_tradnl"/>
        </w:rPr>
        <w:t xml:space="preserve"> respecto a los criterios habilitantes de las modalidades de selección o de adjudicación. A lo que se refiere la norma es a que la Entidad Estatal debe diseñar herramientas propias a </w:t>
      </w:r>
      <w:r w:rsidR="004E1308" w:rsidRPr="00D17CC8">
        <w:rPr>
          <w:rFonts w:ascii="Verdana" w:eastAsia="Calibri" w:hAnsi="Verdana" w:cs="Arial"/>
          <w:lang w:val="es-ES_tradnl" w:eastAsia="es-ES_tradnl"/>
        </w:rPr>
        <w:t>la contratación con Entidades Privadas Sin Ánimo de Lucro y de Reconocida Idoneidad</w:t>
      </w:r>
      <w:r w:rsidR="004E1308" w:rsidRPr="00D17CC8">
        <w:rPr>
          <w:rFonts w:ascii="Verdana" w:eastAsia="Calibri" w:hAnsi="Verdana" w:cs="Arial"/>
          <w:color w:val="000000"/>
          <w:lang w:val="es-MX" w:eastAsia="es-ES_tradnl"/>
        </w:rPr>
        <w:t xml:space="preserve">  que permitan una comparación objetiva de las ESAL y con ello puedan seleccionar objetivamente a aquella que tenga las mejores condiciones para alcanzar el resultado esperado, por lo que los criterios que permitan una selección objetiva deben definirse en términos de la obtención de los objetivos del convenio de asociación. </w:t>
      </w:r>
      <w:r w:rsidRPr="00D17CC8">
        <w:rPr>
          <w:rFonts w:ascii="Verdana" w:eastAsia="Calibri" w:hAnsi="Verdana" w:cs="Arial"/>
          <w:color w:val="000000"/>
          <w:lang w:val="es-MX" w:eastAsia="es-ES_tradnl"/>
        </w:rPr>
        <w:t>Sin perjuicio de lo anterior, la entidad puede decidir acudir a los procesos de selección de contratistas que establece el EGCAP o, incluso, al trámite que regula el inciso 2 del artículo 2 del Decreto 092 de 2017.</w:t>
      </w:r>
    </w:p>
    <w:p w14:paraId="166A756B" w14:textId="77777777" w:rsidR="005A12A7" w:rsidRPr="00D17CC8" w:rsidRDefault="005A12A7" w:rsidP="00D17CC8">
      <w:pPr>
        <w:pStyle w:val="Prrafodelista"/>
        <w:spacing w:after="0" w:line="276" w:lineRule="auto"/>
        <w:contextualSpacing w:val="0"/>
        <w:rPr>
          <w:rFonts w:ascii="Verdana" w:eastAsia="Arial" w:hAnsi="Verdana" w:cs="Arial"/>
          <w:color w:val="000000"/>
          <w:lang w:eastAsia="es-ES_tradnl"/>
        </w:rPr>
      </w:pPr>
    </w:p>
    <w:p w14:paraId="0D274C09" w14:textId="77777777" w:rsidR="005A12A7" w:rsidRPr="00D17CC8" w:rsidRDefault="005A12A7"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Arial" w:hAnsi="Verdana" w:cs="Arial"/>
          <w:color w:val="000000"/>
          <w:lang w:eastAsia="es-ES_tradnl"/>
        </w:rPr>
        <w:t xml:space="preserve">En suma, las Entidades Estatales son autónomas en la configuración del proceso competitivo en desarrollo del artículo 5 del Decreto 092 de 2017. En </w:t>
      </w:r>
      <w:r w:rsidRPr="00D17CC8">
        <w:rPr>
          <w:rFonts w:ascii="Verdana" w:eastAsia="Arial" w:hAnsi="Verdana" w:cs="Arial"/>
          <w:color w:val="000000"/>
          <w:lang w:eastAsia="es-ES_tradnl"/>
        </w:rPr>
        <w:lastRenderedPageBreak/>
        <w:t>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D17CC8">
        <w:rPr>
          <w:rFonts w:ascii="Verdana" w:eastAsia="Calibri" w:hAnsi="Verdana" w:cs="Arial"/>
          <w:color w:val="000000"/>
          <w:lang w:val="es-MX" w:eastAsia="es-ES_tradnl"/>
        </w:rPr>
        <w:t>.</w:t>
      </w:r>
    </w:p>
    <w:p w14:paraId="379CB7A8" w14:textId="77777777" w:rsidR="005A12A7" w:rsidRPr="00D17CC8" w:rsidRDefault="005A12A7" w:rsidP="00D17CC8">
      <w:pPr>
        <w:spacing w:after="0" w:line="276" w:lineRule="auto"/>
        <w:jc w:val="both"/>
        <w:rPr>
          <w:rFonts w:ascii="Verdana" w:eastAsia="Calibri" w:hAnsi="Verdana" w:cs="Arial"/>
          <w:lang w:val="es-ES"/>
        </w:rPr>
      </w:pPr>
    </w:p>
    <w:p w14:paraId="123E7F53" w14:textId="77777777" w:rsidR="005A12A7" w:rsidRPr="00D17CC8" w:rsidRDefault="005A12A7" w:rsidP="00D17CC8">
      <w:pPr>
        <w:pStyle w:val="Prrafodelista"/>
        <w:numPr>
          <w:ilvl w:val="0"/>
          <w:numId w:val="18"/>
        </w:numPr>
        <w:spacing w:after="0" w:line="276" w:lineRule="auto"/>
        <w:contextualSpacing w:val="0"/>
        <w:jc w:val="both"/>
        <w:rPr>
          <w:rFonts w:ascii="Verdana" w:eastAsia="Calibri" w:hAnsi="Verdana" w:cs="Arial"/>
        </w:rPr>
      </w:pPr>
      <w:bookmarkStart w:id="12" w:name="_Hlk173070229"/>
      <w:r w:rsidRPr="00D17CC8">
        <w:rPr>
          <w:rFonts w:ascii="Verdana" w:eastAsia="Calibri" w:hAnsi="Verdana" w:cs="Arial"/>
          <w:color w:val="000000"/>
          <w:lang w:eastAsia="es-ES_tradnl"/>
        </w:rPr>
        <w:t>En este punto, es menester advertir que, el artículo 5 de del Decreto 092 de 2017 no prohíbe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p>
    <w:bookmarkEnd w:id="12"/>
    <w:p w14:paraId="02A75E16" w14:textId="77777777" w:rsidR="005A12A7" w:rsidRPr="00D17CC8" w:rsidRDefault="005A12A7" w:rsidP="00D17CC8">
      <w:pPr>
        <w:spacing w:after="0" w:line="276" w:lineRule="auto"/>
        <w:jc w:val="both"/>
        <w:rPr>
          <w:rFonts w:ascii="Verdana" w:eastAsia="Calibri" w:hAnsi="Verdana" w:cs="Arial"/>
          <w:lang w:val="es-ES"/>
        </w:rPr>
      </w:pPr>
    </w:p>
    <w:p w14:paraId="69D117AE" w14:textId="77777777" w:rsidR="005A12A7" w:rsidRPr="00D17CC8" w:rsidRDefault="005A12A7"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rPr>
        <w:t>En relación con</w:t>
      </w:r>
      <w:r w:rsidRPr="00D17CC8">
        <w:rPr>
          <w:rFonts w:ascii="Verdana" w:eastAsia="Calibri" w:hAnsi="Verdana" w:cs="Arial"/>
          <w:lang w:val="es-CO"/>
        </w:rPr>
        <w:t xml:space="preserve"> los aportes que debe comprometer la ESAL para no someter a un proceso competitivo la selección de la ESAL ha surgido el interrogante si los aportes en especie se deben tener en cuenta para el cálculo del treinta por ciento (30%) del aporte. </w:t>
      </w:r>
      <w:r w:rsidR="004E1308" w:rsidRPr="00D17CC8">
        <w:rPr>
          <w:rFonts w:ascii="Verdana" w:eastAsia="Calibri" w:hAnsi="Verdana" w:cs="Arial"/>
        </w:rPr>
        <w:t xml:space="preserve">Sobre este segundo problema jurídico, la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w:t>
      </w:r>
      <w:r w:rsidR="004E1308" w:rsidRPr="00D17CC8">
        <w:rPr>
          <w:rFonts w:ascii="Verdana" w:eastAsia="Calibri" w:hAnsi="Verdana" w:cs="Arial"/>
          <w:i/>
          <w:iCs/>
        </w:rPr>
        <w:t xml:space="preserve">en dinero </w:t>
      </w:r>
      <w:r w:rsidR="004E1308" w:rsidRPr="00D17CC8">
        <w:rPr>
          <w:rFonts w:ascii="Verdana" w:eastAsia="Calibri" w:hAnsi="Verdana" w:cs="Arial"/>
        </w:rPr>
        <w:t xml:space="preserve">requeridos para la ejecución proyecto, el cual corresponderá al valor por el que se celebrará el </w:t>
      </w:r>
      <w:r w:rsidR="004E1308" w:rsidRPr="00D17CC8">
        <w:rPr>
          <w:rFonts w:ascii="Verdana" w:eastAsia="Calibri" w:hAnsi="Verdana" w:cs="Arial"/>
          <w:i/>
          <w:iCs/>
        </w:rPr>
        <w:t>convenio de asociación”</w:t>
      </w:r>
      <w:r w:rsidRPr="00D17CC8">
        <w:rPr>
          <w:rStyle w:val="Refdenotaalpie"/>
          <w:rFonts w:ascii="Verdana" w:eastAsia="Calibri" w:hAnsi="Verdana" w:cs="Arial"/>
          <w:i/>
          <w:iCs/>
        </w:rPr>
        <w:footnoteReference w:id="7"/>
      </w:r>
      <w:r w:rsidRPr="00D17CC8">
        <w:rPr>
          <w:rFonts w:ascii="Verdana" w:eastAsia="Calibri" w:hAnsi="Verdana" w:cs="Arial"/>
        </w:rPr>
        <w:t xml:space="preserve">. </w:t>
      </w:r>
    </w:p>
    <w:p w14:paraId="15865611" w14:textId="77777777" w:rsidR="005A12A7" w:rsidRPr="00D17CC8" w:rsidRDefault="005A12A7" w:rsidP="00D17CC8">
      <w:pPr>
        <w:pStyle w:val="Prrafodelista"/>
        <w:spacing w:after="0" w:line="276" w:lineRule="auto"/>
        <w:contextualSpacing w:val="0"/>
        <w:rPr>
          <w:rFonts w:ascii="Verdana" w:eastAsia="Calibri" w:hAnsi="Verdana" w:cs="Arial"/>
        </w:rPr>
      </w:pPr>
    </w:p>
    <w:p w14:paraId="5DA08B36" w14:textId="77777777" w:rsidR="004E1308" w:rsidRPr="00D17CC8" w:rsidRDefault="004E1308" w:rsidP="00D17CC8">
      <w:pPr>
        <w:pStyle w:val="Prrafodelista"/>
        <w:spacing w:after="0" w:line="276" w:lineRule="auto"/>
        <w:ind w:left="360"/>
        <w:contextualSpacing w:val="0"/>
        <w:jc w:val="both"/>
        <w:rPr>
          <w:rFonts w:ascii="Verdana" w:eastAsia="Calibri" w:hAnsi="Verdana" w:cs="Arial"/>
        </w:rPr>
      </w:pPr>
      <w:r w:rsidRPr="00D17CC8">
        <w:rPr>
          <w:rFonts w:ascii="Verdana" w:eastAsia="Calibri" w:hAnsi="Verdana" w:cs="Arial"/>
        </w:rPr>
        <w:t>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treinta por ciento (30%) del que sería el valor del eventual convenio. De esta manera, los eventuales aportes en especie no podrán tenerse en cuenta para calcular el referido porcentaje, el cual debe ser en dinero”</w:t>
      </w:r>
      <w:r w:rsidRPr="00D17CC8">
        <w:rPr>
          <w:rStyle w:val="Refdenotaalpie"/>
          <w:rFonts w:ascii="Verdana" w:eastAsia="Calibri" w:hAnsi="Verdana" w:cs="Arial"/>
          <w:i/>
          <w:iCs/>
        </w:rPr>
        <w:footnoteReference w:id="8"/>
      </w:r>
      <w:r w:rsidRPr="00D17CC8">
        <w:rPr>
          <w:rFonts w:ascii="Verdana" w:eastAsia="Calibri" w:hAnsi="Verdana" w:cs="Arial"/>
        </w:rPr>
        <w:t xml:space="preserve">. </w:t>
      </w:r>
    </w:p>
    <w:p w14:paraId="730989EE" w14:textId="77777777" w:rsidR="004E1308" w:rsidRPr="00D17CC8" w:rsidRDefault="004E1308" w:rsidP="00D17CC8">
      <w:pPr>
        <w:pStyle w:val="Prrafodelista"/>
        <w:spacing w:after="0" w:line="276" w:lineRule="auto"/>
        <w:contextualSpacing w:val="0"/>
        <w:rPr>
          <w:rFonts w:ascii="Verdana" w:eastAsia="Calibri" w:hAnsi="Verdana" w:cs="Arial"/>
          <w:lang w:eastAsia="es-ES"/>
        </w:rPr>
      </w:pPr>
    </w:p>
    <w:p w14:paraId="4FFD5E34" w14:textId="77777777" w:rsidR="004E1308" w:rsidRPr="00D17CC8" w:rsidRDefault="004E1308"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lang w:eastAsia="es-ES"/>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D17CC8">
        <w:rPr>
          <w:rFonts w:ascii="Verdana" w:eastAsia="Calibri" w:hAnsi="Verdana" w:cs="Arial"/>
          <w:i/>
          <w:lang w:eastAsia="es-ES"/>
        </w:rPr>
        <w:t>no</w:t>
      </w:r>
      <w:r w:rsidRPr="00D17CC8">
        <w:rPr>
          <w:rFonts w:ascii="Verdana" w:eastAsia="Calibri" w:hAnsi="Verdana" w:cs="Arial"/>
          <w:lang w:eastAsia="es-ES"/>
        </w:rPr>
        <w:t xml:space="preserve"> se aplicará la regla que determina que si el aporte de recursos en dinero es igual o superior a un treinta por ciento (30%) del valor del convenio, este se podrá celebrar de forma directa, por lo que deberá adelantarse un proceso competitivo. No obstante, </w:t>
      </w:r>
      <w:r w:rsidRPr="00D17CC8">
        <w:rPr>
          <w:rFonts w:ascii="Verdana" w:eastAsia="Calibri" w:hAnsi="Verdana" w:cs="Arial"/>
          <w:lang w:val="es-ES_tradnl" w:eastAsia="es-ES_tradnl"/>
        </w:rPr>
        <w:t xml:space="preserve">debe insistirse </w:t>
      </w:r>
      <w:r w:rsidRPr="00D17CC8">
        <w:rPr>
          <w:rFonts w:ascii="Verdana" w:eastAsia="Calibri" w:hAnsi="Verdana" w:cs="Arial"/>
          <w:lang w:eastAsia="es-ES"/>
        </w:rPr>
        <w:t>que esto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w:t>
      </w:r>
      <w:r w:rsidRPr="00D17CC8">
        <w:rPr>
          <w:rStyle w:val="Refdenotaalpie"/>
          <w:rFonts w:ascii="Verdana" w:eastAsia="Calibri" w:hAnsi="Verdana" w:cs="Arial"/>
          <w:i/>
          <w:iCs/>
        </w:rPr>
        <w:footnoteReference w:id="9"/>
      </w:r>
      <w:r w:rsidRPr="00D17CC8">
        <w:rPr>
          <w:rFonts w:ascii="Verdana" w:eastAsia="Calibri" w:hAnsi="Verdana" w:cs="Arial"/>
          <w:lang w:eastAsia="es-ES"/>
        </w:rPr>
        <w:t xml:space="preserve">. </w:t>
      </w:r>
    </w:p>
    <w:p w14:paraId="4613DCB6" w14:textId="77777777" w:rsidR="004E1308" w:rsidRPr="00D17CC8" w:rsidRDefault="004E1308" w:rsidP="00D17CC8">
      <w:pPr>
        <w:pStyle w:val="Prrafodelista"/>
        <w:spacing w:after="0" w:line="276" w:lineRule="auto"/>
        <w:contextualSpacing w:val="0"/>
        <w:rPr>
          <w:rFonts w:ascii="Verdana" w:eastAsia="Calibri" w:hAnsi="Verdana" w:cs="Arial"/>
          <w:lang w:val="es-ES_tradnl" w:eastAsia="es-ES_tradnl"/>
        </w:rPr>
      </w:pPr>
    </w:p>
    <w:p w14:paraId="03071A92" w14:textId="77777777" w:rsidR="004E1308" w:rsidRPr="00D17CC8" w:rsidRDefault="004E1308"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lang w:val="es-ES_tradnl" w:eastAsia="es-ES_tradnl"/>
        </w:rPr>
        <w:t>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w:t>
      </w:r>
      <w:r w:rsidRPr="00D17CC8">
        <w:rPr>
          <w:rStyle w:val="Refdenotaalpie"/>
          <w:rFonts w:ascii="Verdana" w:eastAsia="Calibri" w:hAnsi="Verdana" w:cs="Arial"/>
          <w:i/>
          <w:iCs/>
        </w:rPr>
        <w:footnoteReference w:id="10"/>
      </w:r>
      <w:r w:rsidRPr="00D17CC8">
        <w:rPr>
          <w:rFonts w:ascii="Verdana" w:eastAsia="Calibri" w:hAnsi="Verdana" w:cs="Arial"/>
          <w:lang w:val="es-ES_tradnl" w:eastAsia="es-ES_tradnl"/>
        </w:rPr>
        <w:t xml:space="preserve">.  </w:t>
      </w:r>
    </w:p>
    <w:p w14:paraId="42930E75" w14:textId="77777777" w:rsidR="004E1308" w:rsidRPr="00D17CC8" w:rsidRDefault="004E1308" w:rsidP="00D17CC8">
      <w:pPr>
        <w:spacing w:after="0" w:line="276" w:lineRule="auto"/>
        <w:rPr>
          <w:rFonts w:ascii="Verdana" w:eastAsia="Calibri" w:hAnsi="Verdana" w:cs="Arial"/>
          <w:lang w:val="es-ES_tradnl" w:eastAsia="es-ES_tradnl"/>
        </w:rPr>
      </w:pPr>
    </w:p>
    <w:p w14:paraId="1E9E79EC" w14:textId="77777777" w:rsidR="004E1308" w:rsidRPr="00D17CC8" w:rsidRDefault="004E1308"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lang w:val="es-ES_tradnl" w:eastAsia="es-ES_tradnl"/>
        </w:rPr>
        <w:t>Finalmente, respecto al tercer problema jurídico de este concepto, relacionado con el recaudo de los aportes, debe señalarse que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w:t>
      </w:r>
      <w:r w:rsidRPr="00D17CC8">
        <w:rPr>
          <w:rStyle w:val="Refdenotaalpie"/>
          <w:rFonts w:ascii="Verdana" w:eastAsia="Calibri" w:hAnsi="Verdana" w:cs="Arial"/>
          <w:lang w:val="es-ES_tradnl" w:eastAsia="es-ES_tradnl"/>
        </w:rPr>
        <w:footnoteReference w:id="11"/>
      </w:r>
      <w:r w:rsidRPr="00D17CC8">
        <w:rPr>
          <w:rFonts w:ascii="Verdana" w:eastAsia="Calibri" w:hAnsi="Verdana" w:cs="Arial"/>
          <w:lang w:val="es-ES_tradnl" w:eastAsia="es-ES_tradnl"/>
        </w:rPr>
        <w:t xml:space="preserve">. </w:t>
      </w:r>
    </w:p>
    <w:p w14:paraId="40B80DEE" w14:textId="77777777" w:rsidR="004E1308" w:rsidRPr="00D17CC8" w:rsidRDefault="004E1308" w:rsidP="00D17CC8">
      <w:pPr>
        <w:pStyle w:val="Prrafodelista"/>
        <w:spacing w:after="0" w:line="276" w:lineRule="auto"/>
        <w:contextualSpacing w:val="0"/>
        <w:rPr>
          <w:rFonts w:ascii="Verdana" w:eastAsia="Calibri" w:hAnsi="Verdana" w:cs="Arial"/>
          <w:lang w:val="es-ES_tradnl" w:eastAsia="es-ES_tradnl"/>
        </w:rPr>
      </w:pPr>
    </w:p>
    <w:p w14:paraId="6FFB29F7" w14:textId="77777777" w:rsidR="004E1308" w:rsidRPr="00D17CC8" w:rsidRDefault="004E1308"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eastAsia="Calibri" w:hAnsi="Verdana" w:cs="Arial"/>
          <w:lang w:val="es-ES_tradnl" w:eastAsia="es-ES_tradnl"/>
        </w:rPr>
        <w:lastRenderedPageBreak/>
        <w:t xml:space="preserve">Al respecto, </w:t>
      </w:r>
      <w:r w:rsidRPr="00D17CC8">
        <w:rPr>
          <w:rFonts w:ascii="Verdana" w:eastAsia="Calibri" w:hAnsi="Verdana" w:cs="Arial"/>
          <w:lang w:eastAsia="es-ES"/>
        </w:rPr>
        <w:t>se precisa</w:t>
      </w:r>
      <w:r w:rsidRPr="00D17CC8">
        <w:rPr>
          <w:rFonts w:ascii="Verdana" w:eastAsia="Calibri" w:hAnsi="Verdana" w:cs="Arial"/>
          <w:lang w:val="es-ES_tradnl" w:eastAsia="es-ES_tradnl"/>
        </w:rPr>
        <w:t xml:space="preserve"> que, la entidad será autónoma en definir el mecanismo que le parezca más conveniente para el recaudo de los recursos económicos, </w:t>
      </w:r>
      <w:r w:rsidRPr="00D17CC8">
        <w:rPr>
          <w:rFonts w:ascii="Verdana" w:hAnsi="Verdana" w:cs="Arial"/>
          <w:color w:val="000000" w:themeColor="text1"/>
        </w:rPr>
        <w:t>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r w:rsidRPr="00D17CC8">
        <w:rPr>
          <w:rStyle w:val="Refdenotaalpie"/>
          <w:rFonts w:ascii="Verdana" w:eastAsia="Calibri" w:hAnsi="Verdana" w:cs="Arial"/>
          <w:i/>
          <w:iCs/>
        </w:rPr>
        <w:footnoteReference w:id="12"/>
      </w:r>
      <w:r w:rsidRPr="00D17CC8">
        <w:rPr>
          <w:rFonts w:ascii="Verdana" w:hAnsi="Verdana" w:cs="Arial"/>
          <w:color w:val="000000" w:themeColor="text1"/>
        </w:rPr>
        <w:t>.</w:t>
      </w:r>
    </w:p>
    <w:p w14:paraId="1185E604" w14:textId="77777777" w:rsidR="005A12A7" w:rsidRPr="00D17CC8" w:rsidRDefault="005A12A7" w:rsidP="00D17CC8">
      <w:pPr>
        <w:pStyle w:val="Prrafodelista"/>
        <w:spacing w:after="0" w:line="276" w:lineRule="auto"/>
        <w:contextualSpacing w:val="0"/>
        <w:rPr>
          <w:rFonts w:ascii="Verdana" w:hAnsi="Verdana" w:cs="Arial"/>
          <w:color w:val="000000" w:themeColor="text1"/>
        </w:rPr>
      </w:pPr>
    </w:p>
    <w:p w14:paraId="58D5CF8A" w14:textId="77777777" w:rsidR="005A12A7" w:rsidRPr="00D17CC8" w:rsidRDefault="005A12A7" w:rsidP="00D17CC8">
      <w:pPr>
        <w:pStyle w:val="Prrafodelista"/>
        <w:numPr>
          <w:ilvl w:val="0"/>
          <w:numId w:val="18"/>
        </w:numPr>
        <w:spacing w:after="0" w:line="276" w:lineRule="auto"/>
        <w:contextualSpacing w:val="0"/>
        <w:jc w:val="both"/>
        <w:rPr>
          <w:rFonts w:ascii="Verdana" w:eastAsia="Calibri" w:hAnsi="Verdana" w:cs="Arial"/>
        </w:rPr>
      </w:pPr>
      <w:r w:rsidRPr="00D17CC8">
        <w:rPr>
          <w:rFonts w:ascii="Verdana" w:hAnsi="Verdana" w:cs="Arial"/>
          <w:color w:val="000000" w:themeColor="text1"/>
        </w:rPr>
        <w:t>En línea con lo anterior, los aportes pueden incluir distintos bienes y servicios como, por ejemplo, el pago de equipo de trabajo, alquiler aulas, alquiler equipos de cómputo, refrigerios, material didáctico, logística, cursos académicos, seminarios, transporte, impresiones, entre otros. Se reitera, la destinación de los recursos aportados dependerá del objeto del convenio y se realizará en los términos pactados en el mismo.</w:t>
      </w:r>
    </w:p>
    <w:p w14:paraId="1D87C1CB" w14:textId="77777777" w:rsidR="005A12A7" w:rsidRPr="00D17CC8" w:rsidRDefault="005A12A7" w:rsidP="00D17CC8">
      <w:pPr>
        <w:widowControl w:val="0"/>
        <w:autoSpaceDE w:val="0"/>
        <w:autoSpaceDN w:val="0"/>
        <w:spacing w:after="0" w:line="276" w:lineRule="auto"/>
        <w:jc w:val="both"/>
        <w:rPr>
          <w:rFonts w:ascii="Verdana" w:hAnsi="Verdana" w:cs="Arial"/>
          <w:lang w:val="es-ES"/>
        </w:rPr>
      </w:pPr>
    </w:p>
    <w:p w14:paraId="7C22485B" w14:textId="77777777" w:rsidR="005A12A7" w:rsidRPr="00D17CC8" w:rsidRDefault="005A12A7" w:rsidP="00D17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17CC8">
        <w:rPr>
          <w:rFonts w:ascii="Verdana" w:eastAsia="Century Gothic" w:hAnsi="Verdana" w:cs="Century Gothic"/>
          <w:b/>
          <w:bCs/>
        </w:rPr>
        <w:t>Referencias normativas, jurisprudenciales y otras fuentes:</w:t>
      </w:r>
    </w:p>
    <w:p w14:paraId="4A3ED36E" w14:textId="77777777" w:rsidR="005A12A7" w:rsidRPr="00D17CC8" w:rsidRDefault="005A12A7" w:rsidP="00D17CC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A12A7" w:rsidRPr="00D17CC8" w14:paraId="41E1F986" w14:textId="77777777" w:rsidTr="005813BB">
        <w:trPr>
          <w:trHeight w:val="870"/>
        </w:trPr>
        <w:tc>
          <w:tcPr>
            <w:tcW w:w="8647" w:type="dxa"/>
          </w:tcPr>
          <w:p w14:paraId="6741ECEA" w14:textId="77777777" w:rsidR="005A12A7" w:rsidRPr="00D17CC8" w:rsidRDefault="005A12A7" w:rsidP="00D17CC8">
            <w:pPr>
              <w:pStyle w:val="Prrafodelista"/>
              <w:numPr>
                <w:ilvl w:val="0"/>
                <w:numId w:val="19"/>
              </w:numPr>
              <w:spacing w:line="276" w:lineRule="auto"/>
              <w:contextualSpacing w:val="0"/>
              <w:jc w:val="both"/>
              <w:rPr>
                <w:rFonts w:ascii="Verdana" w:eastAsia="Calibri" w:hAnsi="Verdana" w:cs="Arial"/>
                <w:color w:val="000000" w:themeColor="text1"/>
              </w:rPr>
            </w:pPr>
            <w:r w:rsidRPr="00D17CC8">
              <w:rPr>
                <w:rFonts w:ascii="Verdana" w:eastAsia="Calibri" w:hAnsi="Verdana" w:cs="Arial"/>
                <w:color w:val="000000" w:themeColor="text1"/>
              </w:rPr>
              <w:t>Constitución Política: Artículo 355.</w:t>
            </w:r>
          </w:p>
          <w:p w14:paraId="672AB18F" w14:textId="77777777" w:rsidR="005A12A7" w:rsidRPr="00D17CC8" w:rsidRDefault="005A12A7" w:rsidP="00D17CC8">
            <w:pPr>
              <w:pStyle w:val="Prrafodelista"/>
              <w:spacing w:line="276" w:lineRule="auto"/>
              <w:contextualSpacing w:val="0"/>
              <w:jc w:val="both"/>
              <w:rPr>
                <w:rFonts w:ascii="Verdana" w:eastAsia="Calibri" w:hAnsi="Verdana" w:cs="Arial"/>
                <w:color w:val="000000" w:themeColor="text1"/>
              </w:rPr>
            </w:pPr>
          </w:p>
          <w:p w14:paraId="6BEAB202" w14:textId="77777777" w:rsidR="005A12A7" w:rsidRPr="00D17CC8" w:rsidRDefault="005A12A7" w:rsidP="00D17CC8">
            <w:pPr>
              <w:pStyle w:val="Prrafodelista"/>
              <w:numPr>
                <w:ilvl w:val="0"/>
                <w:numId w:val="19"/>
              </w:numPr>
              <w:spacing w:line="276" w:lineRule="auto"/>
              <w:contextualSpacing w:val="0"/>
              <w:jc w:val="both"/>
              <w:rPr>
                <w:rFonts w:ascii="Verdana" w:eastAsia="Calibri" w:hAnsi="Verdana" w:cs="Arial"/>
                <w:color w:val="000000" w:themeColor="text1"/>
              </w:rPr>
            </w:pPr>
            <w:r w:rsidRPr="00D17CC8">
              <w:rPr>
                <w:rFonts w:ascii="Verdana" w:eastAsia="Calibri" w:hAnsi="Verdana" w:cs="Arial"/>
                <w:color w:val="000000" w:themeColor="text1"/>
              </w:rPr>
              <w:t xml:space="preserve">Ley 489 de 1998: Artículo 96. </w:t>
            </w:r>
          </w:p>
          <w:p w14:paraId="25BBE89F" w14:textId="77777777" w:rsidR="005A12A7" w:rsidRPr="00D17CC8" w:rsidRDefault="005A12A7" w:rsidP="00D17CC8">
            <w:pPr>
              <w:pStyle w:val="Prrafodelista"/>
              <w:spacing w:line="276" w:lineRule="auto"/>
              <w:contextualSpacing w:val="0"/>
              <w:jc w:val="both"/>
              <w:rPr>
                <w:rFonts w:ascii="Verdana" w:eastAsia="Calibri" w:hAnsi="Verdana" w:cs="Arial"/>
                <w:lang w:val="es-ES_tradnl" w:eastAsia="es-ES_tradnl"/>
              </w:rPr>
            </w:pPr>
          </w:p>
          <w:p w14:paraId="34D7D2D6" w14:textId="77777777" w:rsidR="005A12A7" w:rsidRPr="00D17CC8" w:rsidRDefault="005A12A7" w:rsidP="00D17CC8">
            <w:pPr>
              <w:pStyle w:val="Prrafodelista"/>
              <w:numPr>
                <w:ilvl w:val="0"/>
                <w:numId w:val="19"/>
              </w:numPr>
              <w:spacing w:line="276" w:lineRule="auto"/>
              <w:contextualSpacing w:val="0"/>
              <w:jc w:val="both"/>
              <w:rPr>
                <w:rFonts w:ascii="Verdana" w:eastAsia="Calibri" w:hAnsi="Verdana" w:cs="Arial"/>
                <w:lang w:val="es-ES_tradnl" w:eastAsia="es-ES_tradnl"/>
              </w:rPr>
            </w:pPr>
            <w:r w:rsidRPr="00D17CC8">
              <w:rPr>
                <w:rFonts w:ascii="Verdana" w:hAnsi="Verdana" w:cs="Arial"/>
                <w:lang w:val="es-MX"/>
              </w:rPr>
              <w:t xml:space="preserve">Decreto 092 de 2017: </w:t>
            </w:r>
            <w:r w:rsidRPr="00D17CC8">
              <w:rPr>
                <w:rFonts w:ascii="Verdana" w:eastAsia="Calibri" w:hAnsi="Verdana" w:cs="Arial"/>
                <w:lang w:val="es-ES_tradnl" w:eastAsia="es-ES_tradnl"/>
              </w:rPr>
              <w:t xml:space="preserve">Artículo 5. </w:t>
            </w:r>
          </w:p>
          <w:p w14:paraId="56C022A0" w14:textId="77777777" w:rsidR="005A12A7" w:rsidRPr="00D17CC8" w:rsidRDefault="005A12A7" w:rsidP="00D17CC8">
            <w:pPr>
              <w:pStyle w:val="Prrafodelista"/>
              <w:spacing w:line="276" w:lineRule="auto"/>
              <w:contextualSpacing w:val="0"/>
              <w:jc w:val="both"/>
              <w:rPr>
                <w:rFonts w:ascii="Verdana" w:eastAsia="Calibri" w:hAnsi="Verdana" w:cs="Arial"/>
                <w:lang w:val="es-ES_tradnl" w:eastAsia="es-ES_tradnl"/>
              </w:rPr>
            </w:pPr>
          </w:p>
          <w:p w14:paraId="23FD2786" w14:textId="77777777" w:rsidR="005A12A7" w:rsidRPr="00D17CC8" w:rsidRDefault="005A12A7" w:rsidP="00D17CC8">
            <w:pPr>
              <w:pStyle w:val="Prrafodelista"/>
              <w:numPr>
                <w:ilvl w:val="0"/>
                <w:numId w:val="19"/>
              </w:numPr>
              <w:spacing w:line="276" w:lineRule="auto"/>
              <w:ind w:left="714" w:hanging="357"/>
              <w:contextualSpacing w:val="0"/>
              <w:jc w:val="both"/>
              <w:rPr>
                <w:rFonts w:ascii="Verdana" w:eastAsia="Calibri" w:hAnsi="Verdana" w:cs="Arial"/>
                <w:lang w:val="es-ES_tradnl" w:eastAsia="es-ES_tradnl"/>
              </w:rPr>
            </w:pPr>
            <w:r w:rsidRPr="00D17CC8">
              <w:rPr>
                <w:rFonts w:ascii="Verdana" w:eastAsia="Calibri" w:hAnsi="Verdana" w:cs="Arial"/>
                <w:lang w:val="es-ES_tradnl" w:eastAsia="es-ES_tradnl"/>
              </w:rPr>
              <w:t xml:space="preserve">Guía para la contratación con entidades privadas sin ánimo de lucro y de reconocida idoneidad. Disponible en: </w:t>
            </w:r>
            <w:hyperlink r:id="rId12" w:history="1">
              <w:r w:rsidRPr="00D17CC8">
                <w:rPr>
                  <w:rStyle w:val="Hipervnculo"/>
                  <w:rFonts w:ascii="Verdana" w:eastAsia="Calibri" w:hAnsi="Verdana" w:cs="Arial"/>
                  <w:lang w:val="es-ES_tradnl" w:eastAsia="es-ES_tradnl"/>
                </w:rPr>
                <w:t>https://www.colombiacompra.gov.co/sites/cce_public/files/cce_documents/cce_guia_esal.pdf</w:t>
              </w:r>
            </w:hyperlink>
            <w:r w:rsidRPr="00D17CC8">
              <w:rPr>
                <w:rFonts w:ascii="Verdana" w:eastAsia="Calibri" w:hAnsi="Verdana" w:cs="Arial"/>
                <w:lang w:val="es-ES_tradnl" w:eastAsia="es-ES_tradnl"/>
              </w:rPr>
              <w:t xml:space="preserve"> </w:t>
            </w:r>
          </w:p>
        </w:tc>
      </w:tr>
    </w:tbl>
    <w:p w14:paraId="152E6C37" w14:textId="77777777" w:rsidR="005A12A7" w:rsidRPr="00D17CC8" w:rsidRDefault="005A12A7" w:rsidP="00D17CC8">
      <w:pPr>
        <w:widowControl w:val="0"/>
        <w:autoSpaceDE w:val="0"/>
        <w:autoSpaceDN w:val="0"/>
        <w:spacing w:after="0" w:line="276" w:lineRule="auto"/>
        <w:jc w:val="both"/>
        <w:rPr>
          <w:rFonts w:ascii="Verdana" w:hAnsi="Verdana" w:cs="Arial"/>
        </w:rPr>
      </w:pPr>
    </w:p>
    <w:p w14:paraId="30FA27FD" w14:textId="77777777" w:rsidR="005A12A7" w:rsidRPr="00D17CC8" w:rsidRDefault="005A12A7" w:rsidP="00D17CC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17CC8">
        <w:rPr>
          <w:rFonts w:ascii="Verdana" w:eastAsia="Century Gothic" w:hAnsi="Verdana" w:cs="Century Gothic"/>
          <w:b/>
          <w:bCs/>
        </w:rPr>
        <w:t>Doctrina de la Agencia Nacional de Contratación Pública:</w:t>
      </w:r>
    </w:p>
    <w:p w14:paraId="07DCDC9F" w14:textId="77777777" w:rsidR="005A12A7" w:rsidRPr="00D17CC8" w:rsidRDefault="005A12A7" w:rsidP="00D17CC8">
      <w:pPr>
        <w:widowControl w:val="0"/>
        <w:autoSpaceDE w:val="0"/>
        <w:autoSpaceDN w:val="0"/>
        <w:spacing w:after="0" w:line="276" w:lineRule="auto"/>
        <w:jc w:val="both"/>
        <w:rPr>
          <w:rFonts w:ascii="Verdana" w:hAnsi="Verdana" w:cs="Arial"/>
        </w:rPr>
      </w:pPr>
    </w:p>
    <w:p w14:paraId="3FA292E2" w14:textId="77777777" w:rsidR="005813BB" w:rsidRPr="00D17CC8" w:rsidRDefault="005A12A7" w:rsidP="00D17CC8">
      <w:pPr>
        <w:widowControl w:val="0"/>
        <w:autoSpaceDE w:val="0"/>
        <w:autoSpaceDN w:val="0"/>
        <w:spacing w:after="0" w:line="276" w:lineRule="auto"/>
        <w:jc w:val="both"/>
        <w:rPr>
          <w:rFonts w:ascii="Verdana" w:eastAsia="Calibri" w:hAnsi="Verdana" w:cs="Arial"/>
          <w:bCs/>
          <w:color w:val="000000" w:themeColor="text1"/>
          <w:lang w:val="es-ES_tradnl" w:eastAsia="es-ES_tradnl"/>
        </w:rPr>
      </w:pPr>
      <w:r w:rsidRPr="00D17CC8">
        <w:rPr>
          <w:rFonts w:ascii="Verdana" w:eastAsia="Calibri" w:hAnsi="Verdana" w:cs="Arial"/>
          <w:color w:val="000000" w:themeColor="text1"/>
          <w:lang w:val="es-ES_tradnl" w:eastAsia="es-ES_tradnl"/>
        </w:rPr>
        <w:t xml:space="preserve">La Agencia Nacional de Contratación Pública – Colombia Compra Eficiente analizó </w:t>
      </w:r>
      <w:r w:rsidRPr="00D17CC8">
        <w:rPr>
          <w:rFonts w:ascii="Verdana" w:eastAsia="Calibri" w:hAnsi="Verdana" w:cs="Arial"/>
          <w:bCs/>
          <w:color w:val="000000" w:themeColor="text1"/>
          <w:lang w:val="es-ES_tradnl" w:eastAsia="es-ES_tradnl"/>
        </w:rPr>
        <w:t xml:space="preserve">el régimen de los convenios de asociación regulados en el artículo 355 de la Constitución y en el Decreto 092 de 2017, entre otros, en los conceptos con </w:t>
      </w:r>
      <w:r w:rsidRPr="00D17CC8">
        <w:rPr>
          <w:rFonts w:ascii="Verdana" w:eastAsia="Calibri" w:hAnsi="Verdana" w:cs="Arial"/>
          <w:bCs/>
          <w:color w:val="000000" w:themeColor="text1"/>
          <w:lang w:val="es-ES_tradnl" w:eastAsia="es-ES_tradnl"/>
        </w:rPr>
        <w:lastRenderedPageBreak/>
        <w:t>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w:t>
      </w:r>
      <w:r w:rsidR="004E1308" w:rsidRPr="00D17CC8">
        <w:rPr>
          <w:rFonts w:ascii="Verdana" w:eastAsia="Calibri" w:hAnsi="Verdana" w:cs="Arial"/>
          <w:bCs/>
          <w:color w:val="000000" w:themeColor="text1"/>
          <w:lang w:val="es-ES_tradnl" w:eastAsia="es-ES_tradnl"/>
        </w:rPr>
        <w:t>.</w:t>
      </w:r>
    </w:p>
    <w:p w14:paraId="529A250D" w14:textId="77777777" w:rsidR="005813BB" w:rsidRPr="00D17CC8" w:rsidRDefault="005813BB" w:rsidP="00D17CC8">
      <w:pPr>
        <w:widowControl w:val="0"/>
        <w:autoSpaceDE w:val="0"/>
        <w:autoSpaceDN w:val="0"/>
        <w:spacing w:after="0" w:line="276" w:lineRule="auto"/>
        <w:jc w:val="both"/>
        <w:rPr>
          <w:rFonts w:ascii="Verdana" w:eastAsia="Calibri" w:hAnsi="Verdana" w:cs="Arial"/>
          <w:bCs/>
          <w:color w:val="000000" w:themeColor="text1"/>
          <w:lang w:val="es-ES_tradnl" w:eastAsia="es-ES_tradnl"/>
        </w:rPr>
      </w:pPr>
    </w:p>
    <w:p w14:paraId="68A92660" w14:textId="77777777" w:rsidR="005813BB" w:rsidRPr="00D17CC8" w:rsidRDefault="005A12A7" w:rsidP="00D17CC8">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D17CC8">
        <w:rPr>
          <w:rFonts w:ascii="Verdana" w:eastAsia="Calibri" w:hAnsi="Verdana" w:cs="Arial"/>
          <w:bCs/>
          <w:color w:val="000000" w:themeColor="text1"/>
          <w:lang w:val="es-ES_tradnl" w:eastAsia="es-ES_tradnl"/>
        </w:rPr>
        <w:t xml:space="preserve"> Así 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C-560 de 7 de septiembre de 2022, C-771 del 29 de diciembre de 2022, C-</w:t>
      </w:r>
      <w:r w:rsidR="004E1308" w:rsidRPr="00D17CC8">
        <w:rPr>
          <w:rFonts w:ascii="Verdana" w:eastAsia="Calibri" w:hAnsi="Verdana" w:cs="Arial"/>
          <w:bCs/>
          <w:color w:val="000000" w:themeColor="text1"/>
          <w:lang w:val="es-ES_tradnl" w:eastAsia="es-ES_tradnl"/>
        </w:rPr>
        <w:t>041 del 12</w:t>
      </w:r>
      <w:r w:rsidRPr="00D17CC8">
        <w:rPr>
          <w:rFonts w:ascii="Verdana" w:eastAsia="Calibri" w:hAnsi="Verdana" w:cs="Arial"/>
          <w:bCs/>
          <w:color w:val="000000" w:themeColor="text1"/>
          <w:lang w:val="es-ES_tradnl" w:eastAsia="es-ES_tradnl"/>
        </w:rPr>
        <w:t xml:space="preserve"> de abril de </w:t>
      </w:r>
      <w:r w:rsidR="004E1308" w:rsidRPr="00D17CC8">
        <w:rPr>
          <w:rFonts w:ascii="Verdana" w:eastAsia="Calibri" w:hAnsi="Verdana" w:cs="Arial"/>
          <w:bCs/>
          <w:color w:val="000000" w:themeColor="text1"/>
          <w:lang w:val="es-ES_tradnl" w:eastAsia="es-ES_tradnl"/>
        </w:rPr>
        <w:t>2023, C-132 del 12 de abril de 2023, C-259 del 4 de julio de 2023, C-351 del 6 de septiembre de 2023, C-418 del 10 de octubre de 2023, C-045 del 24 de abril de 2024, C-071 del 28 de mayo de 2024, C-096 del 27 de junio de 2024, C-115 del 16 de julio de 2024, C-073 del 22 de julio de 2024, entre otros</w:t>
      </w:r>
      <w:r w:rsidR="004E1308" w:rsidRPr="00D17CC8">
        <w:rPr>
          <w:rStyle w:val="normaltextrun"/>
          <w:rFonts w:ascii="Verdana" w:hAnsi="Verdana" w:cs="Arial"/>
          <w:color w:val="7030A0"/>
          <w:shd w:val="clear" w:color="auto" w:fill="FFFFFF"/>
          <w:lang w:val="es-ES"/>
        </w:rPr>
        <w:t>.</w:t>
      </w:r>
      <w:r w:rsidRPr="00D17CC8">
        <w:rPr>
          <w:rStyle w:val="normaltextrun"/>
          <w:rFonts w:ascii="Verdana" w:hAnsi="Verdana" w:cs="Arial"/>
          <w:color w:val="7030A0"/>
          <w:shd w:val="clear" w:color="auto" w:fill="FFFFFF"/>
          <w:lang w:val="es-ES"/>
        </w:rPr>
        <w:t xml:space="preserve"> </w:t>
      </w:r>
    </w:p>
    <w:p w14:paraId="684D4F14" w14:textId="77777777" w:rsidR="005813BB" w:rsidRPr="00D17CC8" w:rsidRDefault="005813BB" w:rsidP="00D17CC8">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3F086CB8" w14:textId="3C32149B" w:rsidR="005A12A7" w:rsidRPr="00D17CC8" w:rsidRDefault="005A12A7" w:rsidP="00D17CC8">
      <w:pPr>
        <w:widowControl w:val="0"/>
        <w:autoSpaceDE w:val="0"/>
        <w:autoSpaceDN w:val="0"/>
        <w:spacing w:after="0" w:line="276" w:lineRule="auto"/>
        <w:jc w:val="both"/>
        <w:rPr>
          <w:rStyle w:val="normaltextrun"/>
          <w:rFonts w:ascii="Verdana" w:hAnsi="Verdana" w:cs="Arial"/>
          <w:shd w:val="clear" w:color="auto" w:fill="FFFFFF"/>
          <w:lang w:val="es-ES"/>
        </w:rPr>
      </w:pPr>
      <w:r w:rsidRPr="00D17CC8">
        <w:rPr>
          <w:rStyle w:val="normaltextrun"/>
          <w:rFonts w:ascii="Verdana" w:hAnsi="Verdana" w:cs="Arial"/>
          <w:shd w:val="clear" w:color="auto" w:fill="FFFFFF"/>
          <w:lang w:val="es-ES"/>
        </w:rPr>
        <w:t>Es</w:t>
      </w:r>
      <w:r w:rsidRPr="00D17CC8">
        <w:rPr>
          <w:rFonts w:ascii="Verdana" w:hAnsi="Verdana"/>
        </w:rPr>
        <w:t>tos y otros conceptos se encuentran disponibles para consulta en el Sistema de relatoría de la Agencia, al cual se puede acceder a través del siguiente enlace:</w:t>
      </w:r>
      <w:r w:rsidRPr="00D17CC8">
        <w:rPr>
          <w:rStyle w:val="normaltextrun"/>
          <w:rFonts w:ascii="Verdana" w:hAnsi="Verdana" w:cs="Arial"/>
          <w:shd w:val="clear" w:color="auto" w:fill="FFFFFF"/>
          <w:lang w:val="es-ES"/>
        </w:rPr>
        <w:t xml:space="preserve"> </w:t>
      </w:r>
      <w:hyperlink r:id="rId13" w:history="1">
        <w:r w:rsidRPr="00D17CC8">
          <w:rPr>
            <w:rStyle w:val="Hipervnculo"/>
            <w:rFonts w:ascii="Verdana" w:hAnsi="Verdana" w:cs="Arial"/>
            <w:shd w:val="clear" w:color="auto" w:fill="FFFFFF"/>
            <w:lang w:val="es-ES"/>
          </w:rPr>
          <w:t>https://relatoria.colombiacompra.gov.co/busqueda/conceptos</w:t>
        </w:r>
      </w:hyperlink>
      <w:r w:rsidRPr="00D17CC8">
        <w:rPr>
          <w:rStyle w:val="normaltextrun"/>
          <w:rFonts w:ascii="Verdana" w:hAnsi="Verdana" w:cs="Arial"/>
          <w:shd w:val="clear" w:color="auto" w:fill="FFFFFF"/>
          <w:lang w:val="es-ES"/>
        </w:rPr>
        <w:t xml:space="preserve">. </w:t>
      </w:r>
    </w:p>
    <w:p w14:paraId="413FA815" w14:textId="77777777" w:rsidR="005A12A7" w:rsidRPr="00D17CC8" w:rsidRDefault="005A12A7" w:rsidP="00D17CC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2201448" w14:textId="77777777" w:rsidR="005A12A7" w:rsidRPr="00D17CC8" w:rsidRDefault="005A12A7" w:rsidP="00D17CC8">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D17CC8">
        <w:rPr>
          <w:rStyle w:val="normaltextrun"/>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sidRPr="00D17CC8">
        <w:rPr>
          <w:rStyle w:val="normaltextrun"/>
          <w:rFonts w:ascii="Verdana" w:hAnsi="Verdana" w:cs="Arial"/>
          <w:color w:val="FF0000"/>
          <w:shd w:val="clear" w:color="auto" w:fill="FFFFFF"/>
          <w:lang w:val="es-ES"/>
        </w:rPr>
        <w:t xml:space="preserve"> </w:t>
      </w:r>
      <w:hyperlink r:id="rId14" w:history="1">
        <w:r w:rsidRPr="00D17CC8">
          <w:rPr>
            <w:rStyle w:val="Hipervnculo"/>
            <w:rFonts w:ascii="Verdana" w:hAnsi="Verdana" w:cs="Arial"/>
            <w:shd w:val="clear" w:color="auto" w:fill="FFFFFF"/>
            <w:lang w:val="es-ES"/>
          </w:rPr>
          <w:t>https://www.colombiacompra.gov.co/sala-de-prensa/boletin-digital</w:t>
        </w:r>
      </w:hyperlink>
      <w:r w:rsidRPr="00D17CC8">
        <w:rPr>
          <w:rStyle w:val="normaltextrun"/>
          <w:rFonts w:ascii="Verdana" w:hAnsi="Verdana" w:cs="Arial"/>
          <w:color w:val="FF0000"/>
          <w:shd w:val="clear" w:color="auto" w:fill="FFFFFF"/>
          <w:lang w:val="es-ES"/>
        </w:rPr>
        <w:t xml:space="preserve">      </w:t>
      </w:r>
    </w:p>
    <w:p w14:paraId="63B6E226" w14:textId="77777777" w:rsidR="005A12A7" w:rsidRPr="00D17CC8" w:rsidRDefault="005A12A7" w:rsidP="00D17CC8">
      <w:pPr>
        <w:widowControl w:val="0"/>
        <w:autoSpaceDE w:val="0"/>
        <w:autoSpaceDN w:val="0"/>
        <w:spacing w:after="0" w:line="276" w:lineRule="auto"/>
        <w:jc w:val="both"/>
        <w:rPr>
          <w:rFonts w:ascii="Verdana" w:hAnsi="Verdana" w:cs="Arial"/>
        </w:rPr>
      </w:pPr>
    </w:p>
    <w:p w14:paraId="7A0EBD65" w14:textId="77777777" w:rsidR="005A12A7" w:rsidRPr="00D17CC8" w:rsidRDefault="005A12A7" w:rsidP="00D17CC8">
      <w:pPr>
        <w:widowControl w:val="0"/>
        <w:autoSpaceDE w:val="0"/>
        <w:autoSpaceDN w:val="0"/>
        <w:spacing w:after="0" w:line="276" w:lineRule="auto"/>
        <w:jc w:val="both"/>
        <w:rPr>
          <w:rFonts w:ascii="Verdana" w:hAnsi="Verdana" w:cs="Arial"/>
          <w:lang w:val="es-ES_tradnl"/>
        </w:rPr>
      </w:pPr>
      <w:r w:rsidRPr="00D17CC8">
        <w:rPr>
          <w:rFonts w:ascii="Verdana" w:hAnsi="Verdana" w:cs="Arial"/>
        </w:rPr>
        <w:t xml:space="preserve">Este concepto tiene el alcance previsto en el artículo 28 del Código de Procedimiento Administrativo y de lo Contencioso Administrativo </w:t>
      </w:r>
      <w:r w:rsidRPr="00D17CC8">
        <w:rPr>
          <w:rFonts w:ascii="Verdana" w:hAnsi="Verdana" w:cs="Arial"/>
          <w:lang w:val="es-ES_tradnl"/>
        </w:rPr>
        <w:t>y las expresiones aquí utilizadas con mayúscula inicial deben ser entendidas con el significado que les otorga el artículo 2.2.1.1.1.3.1. del Decreto 1082 de 2015.</w:t>
      </w:r>
    </w:p>
    <w:p w14:paraId="2284B39E" w14:textId="77777777" w:rsidR="005A12A7" w:rsidRPr="00D17CC8" w:rsidRDefault="005A12A7" w:rsidP="00D17CC8">
      <w:pPr>
        <w:widowControl w:val="0"/>
        <w:autoSpaceDE w:val="0"/>
        <w:autoSpaceDN w:val="0"/>
        <w:spacing w:after="0" w:line="276" w:lineRule="auto"/>
        <w:jc w:val="both"/>
        <w:rPr>
          <w:rFonts w:ascii="Verdana" w:hAnsi="Verdana" w:cs="Arial"/>
        </w:rPr>
      </w:pPr>
    </w:p>
    <w:p w14:paraId="57EB8BD7" w14:textId="77777777" w:rsidR="005A12A7" w:rsidRPr="00D17CC8" w:rsidRDefault="005A12A7" w:rsidP="00D17CC8">
      <w:pPr>
        <w:spacing w:after="0" w:line="276" w:lineRule="auto"/>
        <w:rPr>
          <w:rFonts w:ascii="Verdana" w:hAnsi="Verdana" w:cs="Arial"/>
          <w:lang w:eastAsia="es-CO"/>
        </w:rPr>
      </w:pPr>
      <w:r w:rsidRPr="00D17CC8">
        <w:rPr>
          <w:rFonts w:ascii="Verdana" w:eastAsia="Times New Roman" w:hAnsi="Verdana" w:cs="Arial"/>
          <w:lang w:eastAsia="es-CO"/>
        </w:rPr>
        <w:t>Atentamente,</w:t>
      </w:r>
      <w:r w:rsidRPr="00D17CC8">
        <w:rPr>
          <w:rFonts w:ascii="Verdana" w:hAnsi="Verdana" w:cs="Arial"/>
          <w:lang w:eastAsia="es-CO"/>
        </w:rPr>
        <w:t xml:space="preserve"> </w:t>
      </w:r>
    </w:p>
    <w:p w14:paraId="02608FF9" w14:textId="0A6CBCF9" w:rsidR="005A12A7" w:rsidRPr="009A2D37" w:rsidRDefault="004F76F6" w:rsidP="005A12A7">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089A47C5" wp14:editId="21C0039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A12A7" w:rsidRPr="009A2D37" w14:paraId="60038AC4" w14:textId="77777777" w:rsidTr="005813BB">
        <w:trPr>
          <w:trHeight w:val="315"/>
        </w:trPr>
        <w:tc>
          <w:tcPr>
            <w:tcW w:w="893" w:type="dxa"/>
            <w:vAlign w:val="center"/>
            <w:hideMark/>
          </w:tcPr>
          <w:p w14:paraId="4D800744" w14:textId="77777777" w:rsidR="005A12A7" w:rsidRPr="009A2D37" w:rsidRDefault="005A12A7" w:rsidP="005813BB">
            <w:pPr>
              <w:contextualSpacing/>
              <w:rPr>
                <w:rFonts w:ascii="Verdana" w:hAnsi="Verdana" w:cs="Arial"/>
                <w:sz w:val="16"/>
                <w:szCs w:val="16"/>
                <w:lang w:val="es-ES" w:eastAsia="es-ES"/>
              </w:rPr>
            </w:pPr>
            <w:r w:rsidRPr="009A2D3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3A3A44E" w14:textId="77777777" w:rsidR="005A12A7" w:rsidRPr="009A2D37" w:rsidRDefault="005A12A7" w:rsidP="005813BB">
            <w:pPr>
              <w:rPr>
                <w:rFonts w:ascii="Verdana" w:eastAsia="Arial" w:hAnsi="Verdana" w:cs="Arial"/>
                <w:sz w:val="16"/>
                <w:szCs w:val="16"/>
              </w:rPr>
            </w:pPr>
            <w:r w:rsidRPr="009A2D37">
              <w:rPr>
                <w:rFonts w:ascii="Verdana" w:eastAsia="Arial" w:hAnsi="Verdana" w:cs="Arial"/>
                <w:sz w:val="16"/>
                <w:szCs w:val="16"/>
              </w:rPr>
              <w:t>Diana Lucia Saavedra Castañeda</w:t>
            </w:r>
          </w:p>
          <w:p w14:paraId="77E324B1" w14:textId="77777777" w:rsidR="005A12A7" w:rsidRPr="009A2D37" w:rsidRDefault="005A12A7" w:rsidP="005813BB">
            <w:pPr>
              <w:contextualSpacing/>
              <w:rPr>
                <w:rFonts w:ascii="Verdana" w:eastAsia="Arial" w:hAnsi="Verdana" w:cs="Arial"/>
                <w:sz w:val="16"/>
                <w:szCs w:val="16"/>
              </w:rPr>
            </w:pPr>
            <w:r w:rsidRPr="009A2D37">
              <w:rPr>
                <w:rFonts w:ascii="Verdana" w:eastAsia="Arial" w:hAnsi="Verdana" w:cs="Arial"/>
                <w:sz w:val="16"/>
                <w:szCs w:val="16"/>
              </w:rPr>
              <w:t>Contratista de la Subdirección de Gestión Contractual</w:t>
            </w:r>
          </w:p>
        </w:tc>
      </w:tr>
      <w:tr w:rsidR="005A12A7" w:rsidRPr="009A2D37" w14:paraId="326B14BB" w14:textId="77777777" w:rsidTr="005813BB">
        <w:trPr>
          <w:trHeight w:val="330"/>
        </w:trPr>
        <w:tc>
          <w:tcPr>
            <w:tcW w:w="893" w:type="dxa"/>
            <w:vAlign w:val="center"/>
            <w:hideMark/>
          </w:tcPr>
          <w:p w14:paraId="02EF73C6" w14:textId="77777777" w:rsidR="005A12A7" w:rsidRPr="009A2D37" w:rsidRDefault="005A12A7" w:rsidP="005813BB">
            <w:pPr>
              <w:contextualSpacing/>
              <w:rPr>
                <w:rFonts w:ascii="Verdana" w:hAnsi="Verdana" w:cs="Arial"/>
                <w:sz w:val="16"/>
                <w:szCs w:val="16"/>
                <w:lang w:val="es-ES" w:eastAsia="es-ES"/>
              </w:rPr>
            </w:pPr>
            <w:r w:rsidRPr="009A2D3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7391BFE" w14:textId="77777777" w:rsidR="005A12A7" w:rsidRPr="009A2D37" w:rsidRDefault="005A12A7" w:rsidP="005813BB">
            <w:pPr>
              <w:rPr>
                <w:rFonts w:ascii="Verdana" w:hAnsi="Verdana"/>
              </w:rPr>
            </w:pPr>
            <w:r w:rsidRPr="009A2D37">
              <w:rPr>
                <w:rFonts w:ascii="Verdana" w:eastAsia="Arial" w:hAnsi="Verdana" w:cs="Arial"/>
                <w:sz w:val="16"/>
                <w:szCs w:val="16"/>
              </w:rPr>
              <w:t>Cielo Victoria González Meza</w:t>
            </w:r>
          </w:p>
          <w:p w14:paraId="24F3A76F" w14:textId="77777777" w:rsidR="005A12A7" w:rsidRPr="009A2D37" w:rsidRDefault="005A12A7" w:rsidP="005813BB">
            <w:pPr>
              <w:pStyle w:val="paragraph"/>
              <w:spacing w:before="0" w:beforeAutospacing="0" w:after="0" w:afterAutospacing="0"/>
              <w:contextualSpacing/>
              <w:textAlignment w:val="baseline"/>
              <w:rPr>
                <w:rFonts w:ascii="Verdana" w:hAnsi="Verdana" w:cs="Segoe UI"/>
                <w:sz w:val="16"/>
                <w:szCs w:val="16"/>
              </w:rPr>
            </w:pPr>
            <w:r w:rsidRPr="009A2D37">
              <w:rPr>
                <w:rFonts w:ascii="Verdana" w:eastAsia="Arial" w:hAnsi="Verdana" w:cs="Arial"/>
                <w:sz w:val="16"/>
                <w:szCs w:val="16"/>
              </w:rPr>
              <w:t>Contratista de la Subdirección de Gestión Contractual</w:t>
            </w:r>
          </w:p>
        </w:tc>
      </w:tr>
      <w:tr w:rsidR="005A12A7" w:rsidRPr="009A2D37" w14:paraId="72423936" w14:textId="77777777" w:rsidTr="005813BB">
        <w:trPr>
          <w:trHeight w:val="300"/>
        </w:trPr>
        <w:tc>
          <w:tcPr>
            <w:tcW w:w="893" w:type="dxa"/>
            <w:vAlign w:val="center"/>
          </w:tcPr>
          <w:p w14:paraId="510727BE" w14:textId="77777777" w:rsidR="005A12A7" w:rsidRPr="009A2D37" w:rsidRDefault="005A12A7" w:rsidP="005813BB">
            <w:pPr>
              <w:contextualSpacing/>
              <w:rPr>
                <w:rFonts w:ascii="Verdana" w:hAnsi="Verdana" w:cs="Arial"/>
                <w:sz w:val="16"/>
                <w:szCs w:val="16"/>
                <w:lang w:val="es-ES" w:eastAsia="es-ES"/>
              </w:rPr>
            </w:pPr>
            <w:r w:rsidRPr="009A2D3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A8C8DC0" w14:textId="77777777" w:rsidR="005A12A7" w:rsidRPr="009A2D37" w:rsidRDefault="005A12A7" w:rsidP="005813BB">
            <w:pPr>
              <w:contextualSpacing/>
              <w:rPr>
                <w:rFonts w:ascii="Verdana" w:eastAsia="Calibri" w:hAnsi="Verdana" w:cs="Arial"/>
                <w:sz w:val="16"/>
                <w:szCs w:val="16"/>
                <w:lang w:val="pt-BR" w:eastAsia="es-ES"/>
              </w:rPr>
            </w:pPr>
            <w:r w:rsidRPr="009A2D37">
              <w:rPr>
                <w:rFonts w:ascii="Verdana" w:eastAsia="Calibri" w:hAnsi="Verdana" w:cs="Arial"/>
                <w:sz w:val="16"/>
                <w:szCs w:val="16"/>
                <w:lang w:val="pt-BR" w:eastAsia="es-ES"/>
              </w:rPr>
              <w:t>Carolina Quintero Gacharná</w:t>
            </w:r>
          </w:p>
          <w:p w14:paraId="1D26BD8B" w14:textId="77777777" w:rsidR="005A12A7" w:rsidRPr="009A2D37" w:rsidRDefault="005A12A7" w:rsidP="005813BB">
            <w:pPr>
              <w:contextualSpacing/>
              <w:rPr>
                <w:rFonts w:ascii="Verdana" w:eastAsia="Calibri" w:hAnsi="Verdana" w:cs="Arial"/>
                <w:sz w:val="16"/>
                <w:szCs w:val="16"/>
                <w:lang w:val="pt-BR" w:eastAsia="es-ES"/>
              </w:rPr>
            </w:pPr>
            <w:r w:rsidRPr="009A2D37">
              <w:rPr>
                <w:rFonts w:ascii="Verdana" w:eastAsia="Calibri" w:hAnsi="Verdana" w:cs="Arial"/>
                <w:sz w:val="16"/>
                <w:szCs w:val="16"/>
                <w:lang w:eastAsia="es-ES"/>
              </w:rPr>
              <w:t>Subdirectora</w:t>
            </w:r>
            <w:r w:rsidRPr="009A2D37">
              <w:rPr>
                <w:rFonts w:ascii="Verdana" w:eastAsia="Calibri" w:hAnsi="Verdana" w:cs="Arial"/>
                <w:sz w:val="16"/>
                <w:szCs w:val="16"/>
                <w:lang w:val="pt-BR" w:eastAsia="es-ES"/>
              </w:rPr>
              <w:t xml:space="preserve"> de Gestión Contractual ANCP – CCE</w:t>
            </w:r>
          </w:p>
        </w:tc>
      </w:tr>
    </w:tbl>
    <w:p w14:paraId="7199C3E6" w14:textId="77777777" w:rsidR="005A12A7" w:rsidRPr="004F2020" w:rsidRDefault="005A12A7" w:rsidP="005A12A7">
      <w:pPr>
        <w:spacing w:after="0" w:line="240" w:lineRule="auto"/>
        <w:rPr>
          <w:rFonts w:ascii="Verdana" w:eastAsia="Times New Roman" w:hAnsi="Verdana" w:cs="Arial"/>
          <w:sz w:val="24"/>
          <w:szCs w:val="24"/>
          <w:lang w:eastAsia="es-ES"/>
        </w:rPr>
      </w:pPr>
    </w:p>
    <w:p w14:paraId="32FD555A" w14:textId="77777777" w:rsidR="00322A85" w:rsidRPr="0044528D" w:rsidRDefault="00322A85" w:rsidP="00422FEF">
      <w:pPr>
        <w:spacing w:after="0" w:line="240" w:lineRule="auto"/>
        <w:textAlignment w:val="baseline"/>
        <w:rPr>
          <w:rFonts w:ascii="Verdana" w:eastAsia="Times New Roman" w:hAnsi="Verdana" w:cs="Segoe UI"/>
          <w:sz w:val="18"/>
          <w:szCs w:val="18"/>
          <w:lang w:eastAsia="es-CO"/>
        </w:rPr>
      </w:pPr>
    </w:p>
    <w:p w14:paraId="3BC02ED8" w14:textId="77777777" w:rsidR="004E1308" w:rsidRPr="0044528D" w:rsidRDefault="004E1308" w:rsidP="004E1308">
      <w:pPr>
        <w:spacing w:after="0"/>
        <w:jc w:val="both"/>
        <w:rPr>
          <w:rFonts w:ascii="Verdana" w:hAnsi="Verdana"/>
        </w:rPr>
      </w:pPr>
    </w:p>
    <w:p w14:paraId="0F293BF4" w14:textId="694909C8" w:rsidR="00127233" w:rsidRPr="007A4CF1" w:rsidRDefault="00127233" w:rsidP="007A4CF1"/>
    <w:sectPr w:rsidR="00127233" w:rsidRPr="007A4CF1"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E5F33" w14:textId="77777777" w:rsidR="0055182D" w:rsidRDefault="0055182D" w:rsidP="004A1847">
      <w:pPr>
        <w:spacing w:after="0" w:line="240" w:lineRule="auto"/>
      </w:pPr>
      <w:r>
        <w:separator/>
      </w:r>
    </w:p>
  </w:endnote>
  <w:endnote w:type="continuationSeparator" w:id="0">
    <w:p w14:paraId="50365551" w14:textId="77777777" w:rsidR="0055182D" w:rsidRDefault="0055182D" w:rsidP="004A1847">
      <w:pPr>
        <w:spacing w:after="0" w:line="240" w:lineRule="auto"/>
      </w:pPr>
      <w:r>
        <w:continuationSeparator/>
      </w:r>
    </w:p>
  </w:endnote>
  <w:endnote w:type="continuationNotice" w:id="1">
    <w:p w14:paraId="2CB23666" w14:textId="77777777" w:rsidR="00747BF5" w:rsidRDefault="00747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88FA" w14:textId="77777777" w:rsidR="0055182D" w:rsidRDefault="0055182D" w:rsidP="004A1847">
      <w:pPr>
        <w:spacing w:after="0" w:line="240" w:lineRule="auto"/>
      </w:pPr>
      <w:r>
        <w:separator/>
      </w:r>
    </w:p>
  </w:footnote>
  <w:footnote w:type="continuationSeparator" w:id="0">
    <w:p w14:paraId="7E8B7C6F" w14:textId="77777777" w:rsidR="0055182D" w:rsidRDefault="0055182D" w:rsidP="004A1847">
      <w:pPr>
        <w:spacing w:after="0" w:line="240" w:lineRule="auto"/>
      </w:pPr>
      <w:r>
        <w:continuationSeparator/>
      </w:r>
    </w:p>
  </w:footnote>
  <w:footnote w:type="continuationNotice" w:id="1">
    <w:p w14:paraId="32D95B9F" w14:textId="77777777" w:rsidR="00747BF5" w:rsidRDefault="00747BF5">
      <w:pPr>
        <w:spacing w:after="0" w:line="240" w:lineRule="auto"/>
      </w:pPr>
    </w:p>
  </w:footnote>
  <w:footnote w:id="2">
    <w:p w14:paraId="315CF29A" w14:textId="77777777" w:rsidR="004E1308" w:rsidRPr="009A2D37" w:rsidRDefault="004E1308" w:rsidP="004E1308">
      <w:pPr>
        <w:pStyle w:val="Textonotapie"/>
        <w:ind w:firstLine="709"/>
        <w:jc w:val="both"/>
        <w:rPr>
          <w:rFonts w:ascii="Verdana" w:hAnsi="Verdana" w:cs="Arial"/>
          <w:color w:val="000000" w:themeColor="text1"/>
          <w:sz w:val="16"/>
          <w:szCs w:val="16"/>
        </w:rPr>
      </w:pPr>
      <w:r w:rsidRPr="009A2D37">
        <w:rPr>
          <w:rStyle w:val="Refdenotaalpie"/>
          <w:rFonts w:ascii="Verdana" w:hAnsi="Verdana" w:cs="Arial"/>
          <w:color w:val="000000" w:themeColor="text1"/>
          <w:sz w:val="16"/>
          <w:szCs w:val="16"/>
        </w:rPr>
        <w:footnoteRef/>
      </w:r>
      <w:r w:rsidRPr="009A2D37">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r>
        <w:rPr>
          <w:rFonts w:ascii="Verdana" w:hAnsi="Verdana" w:cs="Arial"/>
          <w:color w:val="000000" w:themeColor="text1"/>
          <w:sz w:val="16"/>
          <w:szCs w:val="16"/>
        </w:rPr>
        <w:t>, dictados por la Agencia Nacional de Contratación Pública – Colombia Compra Eficiente</w:t>
      </w:r>
      <w:r w:rsidRPr="009A2D37">
        <w:rPr>
          <w:rFonts w:ascii="Verdana" w:hAnsi="Verdana" w:cs="Arial"/>
          <w:color w:val="000000" w:themeColor="text1"/>
          <w:sz w:val="16"/>
          <w:szCs w:val="16"/>
        </w:rPr>
        <w:t>.</w:t>
      </w:r>
    </w:p>
    <w:p w14:paraId="55D3C786" w14:textId="77777777" w:rsidR="004E1308" w:rsidRPr="009A2D37" w:rsidRDefault="004E1308" w:rsidP="004E1308">
      <w:pPr>
        <w:pStyle w:val="Textonotapie"/>
        <w:ind w:firstLine="709"/>
        <w:jc w:val="both"/>
        <w:rPr>
          <w:rFonts w:ascii="Verdana" w:hAnsi="Verdana" w:cs="Arial"/>
          <w:color w:val="000000" w:themeColor="text1"/>
          <w:sz w:val="16"/>
          <w:szCs w:val="16"/>
          <w:lang w:val="es-ES"/>
        </w:rPr>
      </w:pPr>
    </w:p>
  </w:footnote>
  <w:footnote w:id="3">
    <w:p w14:paraId="389A47C2" w14:textId="77777777" w:rsidR="004E1308" w:rsidRPr="009A2D37" w:rsidRDefault="004E1308" w:rsidP="004E1308">
      <w:pPr>
        <w:pStyle w:val="Textonotapie"/>
        <w:ind w:firstLine="709"/>
        <w:jc w:val="both"/>
        <w:rPr>
          <w:rFonts w:ascii="Verdana" w:hAnsi="Verdana" w:cs="Arial"/>
          <w:color w:val="000000" w:themeColor="text1"/>
          <w:sz w:val="16"/>
          <w:szCs w:val="16"/>
        </w:rPr>
      </w:pPr>
      <w:r w:rsidRPr="009A2D37">
        <w:rPr>
          <w:rStyle w:val="Refdenotaalpie"/>
          <w:rFonts w:ascii="Verdana" w:hAnsi="Verdana" w:cs="Arial"/>
          <w:color w:val="000000" w:themeColor="text1"/>
          <w:sz w:val="16"/>
          <w:szCs w:val="16"/>
        </w:rPr>
        <w:footnoteRef/>
      </w:r>
      <w:r w:rsidRPr="009A2D37">
        <w:rPr>
          <w:rFonts w:ascii="Verdana" w:hAnsi="Verdana" w:cs="Arial"/>
          <w:color w:val="000000" w:themeColor="text1"/>
          <w:sz w:val="16"/>
          <w:szCs w:val="16"/>
        </w:rPr>
        <w:t xml:space="preserve"> Al respecto, la Ley 489 de 1998 dispone que “Art</w:t>
      </w:r>
      <w:r>
        <w:rPr>
          <w:rFonts w:ascii="Verdana" w:hAnsi="Verdana" w:cs="Arial"/>
          <w:color w:val="000000" w:themeColor="text1"/>
          <w:sz w:val="16"/>
          <w:szCs w:val="16"/>
        </w:rPr>
        <w:t>ículo</w:t>
      </w:r>
      <w:r w:rsidRPr="009A2D37">
        <w:rPr>
          <w:rFonts w:ascii="Verdana" w:hAnsi="Verdana" w:cs="Arial"/>
          <w:color w:val="000000" w:themeColor="text1"/>
          <w:sz w:val="16"/>
          <w:szCs w:val="16"/>
        </w:rPr>
        <w:t xml:space="preserve">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1BF9C6B" w14:textId="77777777" w:rsidR="004E1308" w:rsidRPr="009A2D37" w:rsidRDefault="004E1308" w:rsidP="004E1308">
      <w:pPr>
        <w:pStyle w:val="Textonotapie"/>
        <w:ind w:firstLine="709"/>
        <w:jc w:val="both"/>
        <w:rPr>
          <w:rFonts w:ascii="Verdana" w:hAnsi="Verdana" w:cs="Arial"/>
          <w:color w:val="000000" w:themeColor="text1"/>
          <w:sz w:val="16"/>
          <w:szCs w:val="16"/>
        </w:rPr>
      </w:pPr>
    </w:p>
    <w:p w14:paraId="7EE07E86" w14:textId="77777777" w:rsidR="004E1308" w:rsidRPr="009A2D37" w:rsidRDefault="004E1308" w:rsidP="004E1308">
      <w:pPr>
        <w:pStyle w:val="Textonotapie"/>
        <w:ind w:firstLine="709"/>
        <w:jc w:val="both"/>
        <w:rPr>
          <w:rFonts w:ascii="Verdana" w:hAnsi="Verdana" w:cs="Arial"/>
          <w:color w:val="000000" w:themeColor="text1"/>
          <w:sz w:val="16"/>
          <w:szCs w:val="16"/>
        </w:rPr>
      </w:pPr>
      <w:r w:rsidRPr="009A2D37">
        <w:rPr>
          <w:rFonts w:ascii="Verdana" w:hAnsi="Verdana" w:cs="Arial"/>
          <w:color w:val="000000" w:themeColor="text1"/>
          <w:sz w:val="16"/>
          <w:szCs w:val="16"/>
        </w:rPr>
        <w:t xml:space="preserve">Los convenios de asociación a que se refiere el presente artículo </w:t>
      </w:r>
      <w:bookmarkStart w:id="6" w:name="_Hlk36023315"/>
      <w:r w:rsidRPr="009A2D37">
        <w:rPr>
          <w:rFonts w:ascii="Verdana" w:hAnsi="Verdana" w:cs="Arial"/>
          <w:color w:val="000000" w:themeColor="text1"/>
          <w:sz w:val="16"/>
          <w:szCs w:val="16"/>
        </w:rPr>
        <w:t>se celebrarán de conformidad con lo dispuesto en el artículo 355 de la Constitución Política</w:t>
      </w:r>
      <w:bookmarkEnd w:id="6"/>
      <w:r w:rsidRPr="009A2D37">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14:paraId="0562C9BA" w14:textId="77777777" w:rsidR="004E1308" w:rsidRPr="009A2D37" w:rsidRDefault="004E1308" w:rsidP="004E1308">
      <w:pPr>
        <w:pStyle w:val="Textonotapie"/>
        <w:ind w:firstLine="709"/>
        <w:jc w:val="both"/>
        <w:rPr>
          <w:rFonts w:ascii="Verdana" w:hAnsi="Verdana" w:cs="Arial"/>
          <w:color w:val="000000" w:themeColor="text1"/>
          <w:sz w:val="16"/>
          <w:szCs w:val="16"/>
          <w:lang w:val="es-ES"/>
        </w:rPr>
      </w:pPr>
      <w:r w:rsidRPr="009A2D37">
        <w:rPr>
          <w:rFonts w:ascii="Verdana" w:hAnsi="Verdana" w:cs="Arial"/>
          <w:color w:val="000000" w:themeColor="text1"/>
          <w:sz w:val="16"/>
          <w:szCs w:val="16"/>
        </w:rPr>
        <w:t xml:space="preserve"> </w:t>
      </w:r>
    </w:p>
  </w:footnote>
  <w:footnote w:id="4">
    <w:p w14:paraId="39E19F8A" w14:textId="77777777" w:rsidR="005A12A7" w:rsidRPr="009A2D37" w:rsidRDefault="005A12A7" w:rsidP="005A12A7">
      <w:pPr>
        <w:pStyle w:val="Textonotapie"/>
        <w:ind w:firstLine="709"/>
        <w:jc w:val="both"/>
        <w:rPr>
          <w:rFonts w:ascii="Verdana" w:hAnsi="Verdana" w:cs="Arial"/>
          <w:color w:val="000000" w:themeColor="text1"/>
          <w:sz w:val="16"/>
          <w:szCs w:val="16"/>
        </w:rPr>
      </w:pPr>
      <w:r w:rsidRPr="009A2D37">
        <w:rPr>
          <w:rStyle w:val="Refdenotaalpie"/>
          <w:rFonts w:ascii="Verdana" w:hAnsi="Verdana" w:cs="Arial"/>
          <w:color w:val="000000" w:themeColor="text1"/>
          <w:sz w:val="16"/>
          <w:szCs w:val="16"/>
        </w:rPr>
        <w:footnoteRef/>
      </w:r>
      <w:r w:rsidRPr="009A2D37">
        <w:rPr>
          <w:rFonts w:ascii="Verdana" w:hAnsi="Verdana" w:cs="Arial"/>
          <w:color w:val="000000" w:themeColor="text1"/>
          <w:sz w:val="16"/>
          <w:szCs w:val="16"/>
        </w:rPr>
        <w:t xml:space="preserve"> </w:t>
      </w:r>
      <w:r>
        <w:rPr>
          <w:rFonts w:ascii="Verdana" w:hAnsi="Verdana" w:cs="Arial"/>
          <w:color w:val="000000" w:themeColor="text1"/>
          <w:sz w:val="16"/>
          <w:szCs w:val="16"/>
        </w:rPr>
        <w:t xml:space="preserve">Agencia Nacional de Contratación Pública – Colombia Compra Eficiente. </w:t>
      </w:r>
      <w:r w:rsidRPr="009A2D37">
        <w:rPr>
          <w:rFonts w:ascii="Verdana" w:hAnsi="Verdana" w:cs="Arial"/>
          <w:color w:val="000000" w:themeColor="text1"/>
          <w:sz w:val="16"/>
          <w:szCs w:val="16"/>
        </w:rPr>
        <w:t>Concepto del 3 de septiembre de 2019, con radicado No. 2201913000006512.</w:t>
      </w:r>
    </w:p>
    <w:p w14:paraId="1FB2491A" w14:textId="77777777" w:rsidR="005A12A7" w:rsidRPr="009A2D37" w:rsidRDefault="005A12A7" w:rsidP="005A12A7">
      <w:pPr>
        <w:pStyle w:val="Textonotapie"/>
        <w:ind w:firstLine="709"/>
        <w:jc w:val="both"/>
        <w:rPr>
          <w:rFonts w:ascii="Verdana" w:hAnsi="Verdana" w:cs="Arial"/>
          <w:color w:val="000000" w:themeColor="text1"/>
          <w:sz w:val="16"/>
          <w:szCs w:val="16"/>
        </w:rPr>
      </w:pPr>
    </w:p>
  </w:footnote>
  <w:footnote w:id="5">
    <w:p w14:paraId="15AB275D" w14:textId="77777777" w:rsidR="005A12A7" w:rsidRPr="009A2D37" w:rsidRDefault="005A12A7" w:rsidP="005A12A7">
      <w:pPr>
        <w:pStyle w:val="Textonotapie"/>
        <w:ind w:firstLine="708"/>
        <w:jc w:val="both"/>
        <w:rPr>
          <w:rFonts w:ascii="Verdana" w:hAnsi="Verdana" w:cs="Arial"/>
          <w:color w:val="000000"/>
          <w:sz w:val="16"/>
          <w:szCs w:val="16"/>
        </w:rPr>
      </w:pPr>
      <w:r w:rsidRPr="009A2D37">
        <w:rPr>
          <w:rStyle w:val="Refdenotaalpie"/>
          <w:rFonts w:ascii="Verdana" w:hAnsi="Verdana" w:cs="Arial"/>
          <w:color w:val="000000"/>
          <w:sz w:val="16"/>
          <w:szCs w:val="16"/>
        </w:rPr>
        <w:footnoteRef/>
      </w:r>
      <w:r w:rsidRPr="009A2D37">
        <w:rPr>
          <w:rFonts w:ascii="Verdana" w:hAnsi="Verdana" w:cs="Arial"/>
          <w:color w:val="000000"/>
          <w:sz w:val="16"/>
          <w:szCs w:val="16"/>
        </w:rPr>
        <w:t xml:space="preserve"> Decreto 1082</w:t>
      </w:r>
      <w:r>
        <w:rPr>
          <w:rFonts w:ascii="Verdana" w:hAnsi="Verdana" w:cs="Arial"/>
          <w:color w:val="000000"/>
          <w:sz w:val="16"/>
          <w:szCs w:val="16"/>
        </w:rPr>
        <w:t>. A</w:t>
      </w:r>
      <w:r w:rsidRPr="009A2D37">
        <w:rPr>
          <w:rFonts w:ascii="Verdana" w:hAnsi="Verdana" w:cs="Arial"/>
          <w:color w:val="000000"/>
          <w:sz w:val="16"/>
          <w:szCs w:val="16"/>
        </w:rPr>
        <w:t>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6211E81C" w14:textId="77777777" w:rsidR="005A12A7" w:rsidRPr="009A2D37" w:rsidRDefault="005A12A7" w:rsidP="005A12A7">
      <w:pPr>
        <w:pStyle w:val="Textonotapie"/>
        <w:ind w:firstLine="708"/>
        <w:jc w:val="both"/>
        <w:rPr>
          <w:rFonts w:ascii="Verdana" w:hAnsi="Verdana" w:cs="Arial"/>
          <w:color w:val="000000"/>
          <w:sz w:val="16"/>
          <w:szCs w:val="16"/>
        </w:rPr>
      </w:pPr>
    </w:p>
  </w:footnote>
  <w:footnote w:id="6">
    <w:p w14:paraId="64026564" w14:textId="77777777" w:rsidR="005A12A7" w:rsidRPr="009A2D37" w:rsidRDefault="005A12A7" w:rsidP="005A12A7">
      <w:pPr>
        <w:pStyle w:val="Textonotapie"/>
        <w:ind w:firstLine="708"/>
        <w:jc w:val="both"/>
        <w:rPr>
          <w:rFonts w:ascii="Verdana" w:hAnsi="Verdana" w:cs="Arial"/>
          <w:sz w:val="16"/>
          <w:szCs w:val="16"/>
        </w:rPr>
      </w:pPr>
      <w:r w:rsidRPr="009A2D37">
        <w:rPr>
          <w:rStyle w:val="Refdenotaalpie"/>
          <w:rFonts w:ascii="Verdana" w:hAnsi="Verdana" w:cs="Arial"/>
          <w:sz w:val="16"/>
          <w:szCs w:val="16"/>
        </w:rPr>
        <w:footnoteRef/>
      </w:r>
      <w:r w:rsidRPr="009A2D37">
        <w:rPr>
          <w:rFonts w:ascii="Verdana" w:hAnsi="Verdana" w:cs="Arial"/>
          <w:sz w:val="16"/>
          <w:szCs w:val="16"/>
        </w:rPr>
        <w:t xml:space="preserve"> RODRÍGUEZ TAMAYO, Mauricio. Contratación pública con Entidades sin ánimo de lucro. Bogotá: Legis Editores, 2017. </w:t>
      </w:r>
      <w:r>
        <w:rPr>
          <w:rFonts w:ascii="Verdana" w:hAnsi="Verdana" w:cs="Arial"/>
          <w:sz w:val="16"/>
          <w:szCs w:val="16"/>
        </w:rPr>
        <w:t>Página</w:t>
      </w:r>
      <w:r w:rsidRPr="009A2D37">
        <w:rPr>
          <w:rFonts w:ascii="Verdana" w:hAnsi="Verdana" w:cs="Arial"/>
          <w:sz w:val="16"/>
          <w:szCs w:val="16"/>
        </w:rPr>
        <w:t xml:space="preserve"> 28. </w:t>
      </w:r>
    </w:p>
    <w:p w14:paraId="4AF8AAC2" w14:textId="77777777" w:rsidR="005A12A7" w:rsidRPr="009A2D37" w:rsidRDefault="005A12A7" w:rsidP="005A12A7">
      <w:pPr>
        <w:pStyle w:val="Textonotapie"/>
        <w:ind w:firstLine="708"/>
        <w:jc w:val="both"/>
        <w:rPr>
          <w:rFonts w:ascii="Verdana" w:hAnsi="Verdana" w:cs="Arial"/>
          <w:sz w:val="16"/>
          <w:szCs w:val="16"/>
        </w:rPr>
      </w:pPr>
    </w:p>
  </w:footnote>
  <w:footnote w:id="7">
    <w:p w14:paraId="40BBB0DD" w14:textId="77777777" w:rsidR="005A12A7" w:rsidRDefault="005A12A7" w:rsidP="005A12A7">
      <w:pPr>
        <w:pStyle w:val="Textonotapie"/>
        <w:ind w:firstLine="708"/>
        <w:rPr>
          <w:rFonts w:ascii="Verdana" w:hAnsi="Verdana"/>
          <w:sz w:val="16"/>
          <w:szCs w:val="16"/>
        </w:rPr>
      </w:pPr>
      <w:r w:rsidRPr="009A2D37">
        <w:rPr>
          <w:rStyle w:val="Refdenotaalpie"/>
          <w:rFonts w:ascii="Verdana" w:hAnsi="Verdana"/>
          <w:sz w:val="16"/>
          <w:szCs w:val="16"/>
        </w:rPr>
        <w:footnoteRef/>
      </w:r>
      <w:r w:rsidRPr="009A2D37">
        <w:rPr>
          <w:rFonts w:ascii="Verdana" w:hAnsi="Verdana"/>
          <w:sz w:val="16"/>
          <w:szCs w:val="16"/>
        </w:rPr>
        <w:t xml:space="preserve"> </w:t>
      </w:r>
      <w:r>
        <w:rPr>
          <w:rFonts w:ascii="Verdana" w:hAnsi="Verdana"/>
          <w:sz w:val="16"/>
          <w:szCs w:val="16"/>
        </w:rPr>
        <w:t xml:space="preserve">Agencia Nacional de Contratación Pública – Colombia Compra Eficiente. </w:t>
      </w:r>
      <w:r w:rsidRPr="009A2D37">
        <w:rPr>
          <w:rFonts w:ascii="Verdana" w:hAnsi="Verdana"/>
          <w:sz w:val="16"/>
          <w:szCs w:val="16"/>
        </w:rPr>
        <w:t>Concepto C-560 de</w:t>
      </w:r>
      <w:r>
        <w:rPr>
          <w:rFonts w:ascii="Verdana" w:hAnsi="Verdana"/>
          <w:sz w:val="16"/>
          <w:szCs w:val="16"/>
        </w:rPr>
        <w:t>l 7 de septiembre de</w:t>
      </w:r>
      <w:r w:rsidRPr="009A2D37">
        <w:rPr>
          <w:rFonts w:ascii="Verdana" w:hAnsi="Verdana"/>
          <w:sz w:val="16"/>
          <w:szCs w:val="16"/>
        </w:rPr>
        <w:t xml:space="preserve"> 2022.</w:t>
      </w:r>
    </w:p>
    <w:p w14:paraId="7B7CE6B2" w14:textId="77777777" w:rsidR="005A12A7" w:rsidRPr="009A2D37" w:rsidRDefault="005A12A7" w:rsidP="005A12A7">
      <w:pPr>
        <w:pStyle w:val="Textonotapie"/>
        <w:ind w:firstLine="708"/>
        <w:rPr>
          <w:rFonts w:ascii="Verdana" w:hAnsi="Verdana"/>
          <w:sz w:val="16"/>
          <w:szCs w:val="16"/>
        </w:rPr>
      </w:pPr>
    </w:p>
  </w:footnote>
  <w:footnote w:id="8">
    <w:p w14:paraId="01AB47C2" w14:textId="77777777" w:rsidR="004E1308" w:rsidRDefault="004E1308" w:rsidP="004E1308">
      <w:pPr>
        <w:pStyle w:val="Textonotapie"/>
        <w:ind w:firstLine="708"/>
        <w:rPr>
          <w:rFonts w:ascii="Verdana" w:hAnsi="Verdana"/>
          <w:sz w:val="16"/>
          <w:szCs w:val="16"/>
        </w:rPr>
      </w:pPr>
      <w:r w:rsidRPr="009A2D37">
        <w:rPr>
          <w:rStyle w:val="Refdenotaalpie"/>
          <w:rFonts w:ascii="Verdana" w:hAnsi="Verdana"/>
          <w:sz w:val="16"/>
          <w:szCs w:val="16"/>
        </w:rPr>
        <w:footnoteRef/>
      </w:r>
      <w:r w:rsidRPr="009A2D37">
        <w:rPr>
          <w:rFonts w:ascii="Verdana" w:hAnsi="Verdana"/>
          <w:sz w:val="16"/>
          <w:szCs w:val="16"/>
        </w:rPr>
        <w:t xml:space="preserve"> </w:t>
      </w:r>
      <w:r>
        <w:rPr>
          <w:rFonts w:ascii="Verdana" w:hAnsi="Verdana"/>
          <w:sz w:val="16"/>
          <w:szCs w:val="16"/>
        </w:rPr>
        <w:t xml:space="preserve">Agencia Nacional de Contratación Pública – Colombia Compra Eficiente. </w:t>
      </w:r>
      <w:r w:rsidRPr="009A2D37">
        <w:rPr>
          <w:rFonts w:ascii="Verdana" w:hAnsi="Verdana"/>
          <w:sz w:val="16"/>
          <w:szCs w:val="16"/>
        </w:rPr>
        <w:t>Concepto C-560 de</w:t>
      </w:r>
      <w:r>
        <w:rPr>
          <w:rFonts w:ascii="Verdana" w:hAnsi="Verdana"/>
          <w:sz w:val="16"/>
          <w:szCs w:val="16"/>
        </w:rPr>
        <w:t>l 7 de septiembre de</w:t>
      </w:r>
      <w:r w:rsidRPr="009A2D37">
        <w:rPr>
          <w:rFonts w:ascii="Verdana" w:hAnsi="Verdana"/>
          <w:sz w:val="16"/>
          <w:szCs w:val="16"/>
        </w:rPr>
        <w:t xml:space="preserve"> 2022.</w:t>
      </w:r>
    </w:p>
    <w:p w14:paraId="22EC9227" w14:textId="77777777" w:rsidR="004E1308" w:rsidRPr="009A2D37" w:rsidRDefault="004E1308" w:rsidP="004E1308">
      <w:pPr>
        <w:pStyle w:val="Textonotapie"/>
        <w:ind w:firstLine="708"/>
        <w:rPr>
          <w:rFonts w:ascii="Verdana" w:hAnsi="Verdana"/>
          <w:sz w:val="16"/>
          <w:szCs w:val="16"/>
        </w:rPr>
      </w:pPr>
    </w:p>
  </w:footnote>
  <w:footnote w:id="9">
    <w:p w14:paraId="68AFB03E" w14:textId="77777777" w:rsidR="004E1308" w:rsidRDefault="004E1308" w:rsidP="004E1308">
      <w:pPr>
        <w:pStyle w:val="Textonotapie"/>
        <w:ind w:firstLine="708"/>
        <w:rPr>
          <w:rFonts w:ascii="Verdana" w:hAnsi="Verdana"/>
          <w:sz w:val="16"/>
          <w:szCs w:val="16"/>
        </w:rPr>
      </w:pPr>
      <w:r w:rsidRPr="009A2D37">
        <w:rPr>
          <w:rStyle w:val="Refdenotaalpie"/>
          <w:rFonts w:ascii="Verdana" w:hAnsi="Verdana"/>
          <w:sz w:val="16"/>
          <w:szCs w:val="16"/>
        </w:rPr>
        <w:footnoteRef/>
      </w:r>
      <w:r w:rsidRPr="009A2D37">
        <w:rPr>
          <w:rFonts w:ascii="Verdana" w:hAnsi="Verdana"/>
          <w:sz w:val="16"/>
          <w:szCs w:val="16"/>
        </w:rPr>
        <w:t xml:space="preserve"> </w:t>
      </w:r>
      <w:r>
        <w:rPr>
          <w:rFonts w:ascii="Verdana" w:hAnsi="Verdana"/>
          <w:sz w:val="16"/>
          <w:szCs w:val="16"/>
        </w:rPr>
        <w:t xml:space="preserve">Agencia Nacional de Contratación Pública – Colombia Compra Eficiente. </w:t>
      </w:r>
      <w:r w:rsidRPr="009A2D37">
        <w:rPr>
          <w:rFonts w:ascii="Verdana" w:hAnsi="Verdana"/>
          <w:sz w:val="16"/>
          <w:szCs w:val="16"/>
        </w:rPr>
        <w:t>Concepto C-560 de</w:t>
      </w:r>
      <w:r>
        <w:rPr>
          <w:rFonts w:ascii="Verdana" w:hAnsi="Verdana"/>
          <w:sz w:val="16"/>
          <w:szCs w:val="16"/>
        </w:rPr>
        <w:t>l 7 de septiembre de</w:t>
      </w:r>
      <w:r w:rsidRPr="009A2D37">
        <w:rPr>
          <w:rFonts w:ascii="Verdana" w:hAnsi="Verdana"/>
          <w:sz w:val="16"/>
          <w:szCs w:val="16"/>
        </w:rPr>
        <w:t xml:space="preserve"> 2022.</w:t>
      </w:r>
    </w:p>
    <w:p w14:paraId="370935B5" w14:textId="77777777" w:rsidR="004E1308" w:rsidRPr="009A2D37" w:rsidRDefault="004E1308" w:rsidP="004E1308">
      <w:pPr>
        <w:pStyle w:val="Textonotapie"/>
        <w:ind w:firstLine="708"/>
        <w:rPr>
          <w:rFonts w:ascii="Verdana" w:hAnsi="Verdana"/>
          <w:sz w:val="16"/>
          <w:szCs w:val="16"/>
        </w:rPr>
      </w:pPr>
    </w:p>
  </w:footnote>
  <w:footnote w:id="10">
    <w:p w14:paraId="775E2BE7" w14:textId="77777777" w:rsidR="004E1308" w:rsidRDefault="004E1308" w:rsidP="004E1308">
      <w:pPr>
        <w:pStyle w:val="Textonotapie"/>
        <w:ind w:firstLine="708"/>
        <w:rPr>
          <w:rFonts w:ascii="Verdana" w:hAnsi="Verdana"/>
          <w:sz w:val="16"/>
          <w:szCs w:val="16"/>
        </w:rPr>
      </w:pPr>
      <w:r w:rsidRPr="009A2D37">
        <w:rPr>
          <w:rStyle w:val="Refdenotaalpie"/>
          <w:rFonts w:ascii="Verdana" w:hAnsi="Verdana"/>
          <w:sz w:val="16"/>
          <w:szCs w:val="16"/>
        </w:rPr>
        <w:footnoteRef/>
      </w:r>
      <w:r w:rsidRPr="009A2D37">
        <w:rPr>
          <w:rFonts w:ascii="Verdana" w:hAnsi="Verdana"/>
          <w:sz w:val="16"/>
          <w:szCs w:val="16"/>
        </w:rPr>
        <w:t xml:space="preserve"> </w:t>
      </w:r>
      <w:r>
        <w:rPr>
          <w:rFonts w:ascii="Verdana" w:hAnsi="Verdana"/>
          <w:sz w:val="16"/>
          <w:szCs w:val="16"/>
        </w:rPr>
        <w:t xml:space="preserve">Agencia Nacional de Contratación Pública – Colombia Compra Eficiente. </w:t>
      </w:r>
      <w:r w:rsidRPr="009A2D37">
        <w:rPr>
          <w:rFonts w:ascii="Verdana" w:hAnsi="Verdana"/>
          <w:sz w:val="16"/>
          <w:szCs w:val="16"/>
        </w:rPr>
        <w:t>Concepto C-560 de</w:t>
      </w:r>
      <w:r>
        <w:rPr>
          <w:rFonts w:ascii="Verdana" w:hAnsi="Verdana"/>
          <w:sz w:val="16"/>
          <w:szCs w:val="16"/>
        </w:rPr>
        <w:t>l 7 de septiembre de</w:t>
      </w:r>
      <w:r w:rsidRPr="009A2D37">
        <w:rPr>
          <w:rFonts w:ascii="Verdana" w:hAnsi="Verdana"/>
          <w:sz w:val="16"/>
          <w:szCs w:val="16"/>
        </w:rPr>
        <w:t xml:space="preserve"> 2022.</w:t>
      </w:r>
    </w:p>
    <w:p w14:paraId="72C7443C" w14:textId="77777777" w:rsidR="004E1308" w:rsidRPr="009A2D37" w:rsidRDefault="004E1308" w:rsidP="004E1308">
      <w:pPr>
        <w:pStyle w:val="Textonotapie"/>
        <w:ind w:firstLine="708"/>
        <w:rPr>
          <w:rFonts w:ascii="Verdana" w:hAnsi="Verdana"/>
          <w:sz w:val="16"/>
          <w:szCs w:val="16"/>
        </w:rPr>
      </w:pPr>
    </w:p>
  </w:footnote>
  <w:footnote w:id="11">
    <w:p w14:paraId="6191B3CC" w14:textId="77777777" w:rsidR="004E1308" w:rsidRDefault="004E1308" w:rsidP="004E1308">
      <w:pPr>
        <w:pStyle w:val="Textonotapie"/>
        <w:ind w:firstLine="708"/>
        <w:rPr>
          <w:rFonts w:ascii="Verdana" w:eastAsia="Calibri" w:hAnsi="Verdana" w:cs="Arial"/>
          <w:sz w:val="16"/>
          <w:szCs w:val="16"/>
          <w:lang w:val="es-ES_tradnl" w:eastAsia="es-ES_tradnl"/>
        </w:rPr>
      </w:pPr>
      <w:r w:rsidRPr="003B5666">
        <w:rPr>
          <w:rStyle w:val="Refdenotaalpie"/>
          <w:rFonts w:ascii="Verdana" w:hAnsi="Verdana"/>
          <w:sz w:val="16"/>
          <w:szCs w:val="16"/>
        </w:rPr>
        <w:footnoteRef/>
      </w:r>
      <w:r w:rsidRPr="003B5666">
        <w:rPr>
          <w:rFonts w:ascii="Verdana" w:hAnsi="Verdana"/>
          <w:sz w:val="16"/>
          <w:szCs w:val="16"/>
        </w:rPr>
        <w:t xml:space="preserve"> </w:t>
      </w:r>
      <w:r w:rsidRPr="003B5666">
        <w:rPr>
          <w:rFonts w:ascii="Verdana" w:eastAsia="Calibri" w:hAnsi="Verdana" w:cs="Arial"/>
          <w:sz w:val="16"/>
          <w:szCs w:val="16"/>
          <w:lang w:val="es-ES_tradnl" w:eastAsia="es-ES_tradnl"/>
        </w:rPr>
        <w:t>Agencia Nacional de Contratación Pública – Colombia Compra Eficiente en la “Guía para la contratación con entidades privadas sin ánimo de lucro y de reconocida idoneidad”.</w:t>
      </w:r>
    </w:p>
    <w:p w14:paraId="2DAB78A5" w14:textId="77777777" w:rsidR="004E1308" w:rsidRPr="003B5666" w:rsidRDefault="004E1308" w:rsidP="004E1308">
      <w:pPr>
        <w:pStyle w:val="Textonotapie"/>
        <w:ind w:firstLine="708"/>
        <w:rPr>
          <w:rFonts w:ascii="Verdana" w:hAnsi="Verdana"/>
          <w:sz w:val="16"/>
          <w:szCs w:val="16"/>
        </w:rPr>
      </w:pPr>
    </w:p>
  </w:footnote>
  <w:footnote w:id="12">
    <w:p w14:paraId="26401C1F" w14:textId="77777777" w:rsidR="004E1308" w:rsidRDefault="004E1308" w:rsidP="004E1308">
      <w:pPr>
        <w:pStyle w:val="Textonotapie"/>
        <w:ind w:firstLine="708"/>
        <w:rPr>
          <w:rFonts w:ascii="Verdana" w:hAnsi="Verdana"/>
          <w:sz w:val="16"/>
          <w:szCs w:val="16"/>
        </w:rPr>
      </w:pPr>
      <w:r w:rsidRPr="009A2D37">
        <w:rPr>
          <w:rStyle w:val="Refdenotaalpie"/>
          <w:rFonts w:ascii="Verdana" w:hAnsi="Verdana"/>
          <w:sz w:val="16"/>
          <w:szCs w:val="16"/>
        </w:rPr>
        <w:footnoteRef/>
      </w:r>
      <w:r w:rsidRPr="009A2D37">
        <w:rPr>
          <w:rFonts w:ascii="Verdana" w:hAnsi="Verdana"/>
          <w:sz w:val="16"/>
          <w:szCs w:val="16"/>
        </w:rPr>
        <w:t xml:space="preserve"> </w:t>
      </w:r>
      <w:r>
        <w:rPr>
          <w:rFonts w:ascii="Verdana" w:hAnsi="Verdana"/>
          <w:sz w:val="16"/>
          <w:szCs w:val="16"/>
        </w:rPr>
        <w:t xml:space="preserve">Agencia Nacional de Contratación Pública – Colombia Compra Eficiente. </w:t>
      </w:r>
      <w:r w:rsidRPr="009A2D37">
        <w:rPr>
          <w:rFonts w:ascii="Verdana" w:hAnsi="Verdana"/>
          <w:sz w:val="16"/>
          <w:szCs w:val="16"/>
        </w:rPr>
        <w:t>Concepto C-560 de</w:t>
      </w:r>
      <w:r>
        <w:rPr>
          <w:rFonts w:ascii="Verdana" w:hAnsi="Verdana"/>
          <w:sz w:val="16"/>
          <w:szCs w:val="16"/>
        </w:rPr>
        <w:t>l 7 de septiembre de</w:t>
      </w:r>
      <w:r w:rsidRPr="009A2D37">
        <w:rPr>
          <w:rFonts w:ascii="Verdana" w:hAnsi="Verdana"/>
          <w:sz w:val="16"/>
          <w:szCs w:val="16"/>
        </w:rPr>
        <w:t xml:space="preserve"> 2022.</w:t>
      </w:r>
    </w:p>
    <w:p w14:paraId="0483A45C" w14:textId="77777777" w:rsidR="004E1308" w:rsidRPr="009A2D37" w:rsidRDefault="004E1308" w:rsidP="004E1308">
      <w:pPr>
        <w:pStyle w:val="Textonotapie"/>
        <w:ind w:firstLine="708"/>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AA3C69"/>
    <w:multiLevelType w:val="hybridMultilevel"/>
    <w:tmpl w:val="BF7219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46F6E"/>
    <w:multiLevelType w:val="hybridMultilevel"/>
    <w:tmpl w:val="6302B2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E9844E6"/>
    <w:multiLevelType w:val="hybridMultilevel"/>
    <w:tmpl w:val="E25A2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2A6F6B"/>
    <w:multiLevelType w:val="hybridMultilevel"/>
    <w:tmpl w:val="F2CE6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1330140246">
    <w:abstractNumId w:val="0"/>
  </w:num>
  <w:num w:numId="17" w16cid:durableId="1071662193">
    <w:abstractNumId w:val="3"/>
  </w:num>
  <w:num w:numId="18" w16cid:durableId="1903329049">
    <w:abstractNumId w:val="10"/>
  </w:num>
  <w:num w:numId="19" w16cid:durableId="456876961">
    <w:abstractNumId w:val="11"/>
  </w:num>
  <w:num w:numId="20" w16cid:durableId="1319575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A68D7"/>
    <w:rsid w:val="001B0ABC"/>
    <w:rsid w:val="001E4177"/>
    <w:rsid w:val="001F0DA7"/>
    <w:rsid w:val="001F7DC6"/>
    <w:rsid w:val="002143FC"/>
    <w:rsid w:val="002421BB"/>
    <w:rsid w:val="0025796E"/>
    <w:rsid w:val="00270387"/>
    <w:rsid w:val="002707A2"/>
    <w:rsid w:val="002834CA"/>
    <w:rsid w:val="002951A0"/>
    <w:rsid w:val="002962BC"/>
    <w:rsid w:val="002A093D"/>
    <w:rsid w:val="002A0DD0"/>
    <w:rsid w:val="002A49AC"/>
    <w:rsid w:val="002A64FD"/>
    <w:rsid w:val="002C7A84"/>
    <w:rsid w:val="002D1CAE"/>
    <w:rsid w:val="002E4FD9"/>
    <w:rsid w:val="00322A85"/>
    <w:rsid w:val="00324168"/>
    <w:rsid w:val="003448F4"/>
    <w:rsid w:val="00365C19"/>
    <w:rsid w:val="00374F5E"/>
    <w:rsid w:val="00376D6E"/>
    <w:rsid w:val="00377E3E"/>
    <w:rsid w:val="00396D0D"/>
    <w:rsid w:val="003A26D1"/>
    <w:rsid w:val="003A779E"/>
    <w:rsid w:val="003B5375"/>
    <w:rsid w:val="003D0F4D"/>
    <w:rsid w:val="003D5B0D"/>
    <w:rsid w:val="003E0499"/>
    <w:rsid w:val="003F3941"/>
    <w:rsid w:val="00406575"/>
    <w:rsid w:val="00411DAA"/>
    <w:rsid w:val="00422FEF"/>
    <w:rsid w:val="0042722E"/>
    <w:rsid w:val="00432DFE"/>
    <w:rsid w:val="0044528D"/>
    <w:rsid w:val="004A1847"/>
    <w:rsid w:val="004A305D"/>
    <w:rsid w:val="004D3754"/>
    <w:rsid w:val="004E1308"/>
    <w:rsid w:val="004E4989"/>
    <w:rsid w:val="004F21C4"/>
    <w:rsid w:val="004F685F"/>
    <w:rsid w:val="004F76F6"/>
    <w:rsid w:val="0055182D"/>
    <w:rsid w:val="005566E8"/>
    <w:rsid w:val="00574867"/>
    <w:rsid w:val="005813BB"/>
    <w:rsid w:val="00591460"/>
    <w:rsid w:val="00592628"/>
    <w:rsid w:val="005A12A7"/>
    <w:rsid w:val="005C3777"/>
    <w:rsid w:val="005C5CDC"/>
    <w:rsid w:val="005D476C"/>
    <w:rsid w:val="005E3D47"/>
    <w:rsid w:val="00610812"/>
    <w:rsid w:val="006142DC"/>
    <w:rsid w:val="006219F8"/>
    <w:rsid w:val="00650FF7"/>
    <w:rsid w:val="00665D70"/>
    <w:rsid w:val="00671DAC"/>
    <w:rsid w:val="006900D9"/>
    <w:rsid w:val="006C4553"/>
    <w:rsid w:val="006C6F39"/>
    <w:rsid w:val="006D12F8"/>
    <w:rsid w:val="00706C16"/>
    <w:rsid w:val="0070780E"/>
    <w:rsid w:val="00747BF5"/>
    <w:rsid w:val="00756841"/>
    <w:rsid w:val="007649AB"/>
    <w:rsid w:val="00771D0C"/>
    <w:rsid w:val="007833AC"/>
    <w:rsid w:val="00794DB5"/>
    <w:rsid w:val="007A4CF1"/>
    <w:rsid w:val="007B268C"/>
    <w:rsid w:val="007B7171"/>
    <w:rsid w:val="007C0C0F"/>
    <w:rsid w:val="007C3DC2"/>
    <w:rsid w:val="007D5C46"/>
    <w:rsid w:val="007E5497"/>
    <w:rsid w:val="00806F5F"/>
    <w:rsid w:val="00814AA8"/>
    <w:rsid w:val="00820278"/>
    <w:rsid w:val="00823EC4"/>
    <w:rsid w:val="008843B6"/>
    <w:rsid w:val="00891928"/>
    <w:rsid w:val="008A0121"/>
    <w:rsid w:val="008A446D"/>
    <w:rsid w:val="008D180B"/>
    <w:rsid w:val="008F0EA7"/>
    <w:rsid w:val="00923EEF"/>
    <w:rsid w:val="009419F9"/>
    <w:rsid w:val="0095685E"/>
    <w:rsid w:val="00961B09"/>
    <w:rsid w:val="00965334"/>
    <w:rsid w:val="0097093E"/>
    <w:rsid w:val="00982792"/>
    <w:rsid w:val="009A0DFA"/>
    <w:rsid w:val="009B2D26"/>
    <w:rsid w:val="009C71FA"/>
    <w:rsid w:val="009C72E7"/>
    <w:rsid w:val="009D3058"/>
    <w:rsid w:val="009F2021"/>
    <w:rsid w:val="009F3A13"/>
    <w:rsid w:val="00A122D3"/>
    <w:rsid w:val="00A17F13"/>
    <w:rsid w:val="00A20739"/>
    <w:rsid w:val="00A302B3"/>
    <w:rsid w:val="00A32355"/>
    <w:rsid w:val="00A33C78"/>
    <w:rsid w:val="00A916FF"/>
    <w:rsid w:val="00AB0ADB"/>
    <w:rsid w:val="00AE3773"/>
    <w:rsid w:val="00B01B1A"/>
    <w:rsid w:val="00B0507B"/>
    <w:rsid w:val="00B167AD"/>
    <w:rsid w:val="00B21147"/>
    <w:rsid w:val="00B35A82"/>
    <w:rsid w:val="00B72CD3"/>
    <w:rsid w:val="00B72FFF"/>
    <w:rsid w:val="00BB2CE1"/>
    <w:rsid w:val="00BB63BA"/>
    <w:rsid w:val="00BC3D36"/>
    <w:rsid w:val="00BD7F72"/>
    <w:rsid w:val="00C04FB3"/>
    <w:rsid w:val="00C330EB"/>
    <w:rsid w:val="00C60C42"/>
    <w:rsid w:val="00C754BE"/>
    <w:rsid w:val="00C76B1C"/>
    <w:rsid w:val="00CB016B"/>
    <w:rsid w:val="00CB6357"/>
    <w:rsid w:val="00CC1B26"/>
    <w:rsid w:val="00CE7F60"/>
    <w:rsid w:val="00D17CC8"/>
    <w:rsid w:val="00D423A2"/>
    <w:rsid w:val="00D520D8"/>
    <w:rsid w:val="00D63AC2"/>
    <w:rsid w:val="00D7383B"/>
    <w:rsid w:val="00DA231B"/>
    <w:rsid w:val="00DA23A0"/>
    <w:rsid w:val="00DC39FC"/>
    <w:rsid w:val="00DF5254"/>
    <w:rsid w:val="00E16408"/>
    <w:rsid w:val="00E20894"/>
    <w:rsid w:val="00E245AB"/>
    <w:rsid w:val="00E2764C"/>
    <w:rsid w:val="00E27F2E"/>
    <w:rsid w:val="00E32091"/>
    <w:rsid w:val="00E413EA"/>
    <w:rsid w:val="00E50AFE"/>
    <w:rsid w:val="00E75C92"/>
    <w:rsid w:val="00E76C9F"/>
    <w:rsid w:val="00E771DC"/>
    <w:rsid w:val="00E8772A"/>
    <w:rsid w:val="00E90F6B"/>
    <w:rsid w:val="00E92C27"/>
    <w:rsid w:val="00EA0E3D"/>
    <w:rsid w:val="00EC38A7"/>
    <w:rsid w:val="00EE1AA8"/>
    <w:rsid w:val="00F23953"/>
    <w:rsid w:val="00F31EDC"/>
    <w:rsid w:val="00F462B3"/>
    <w:rsid w:val="00F51804"/>
    <w:rsid w:val="00F5664F"/>
    <w:rsid w:val="00F666C4"/>
    <w:rsid w:val="00F71D6E"/>
    <w:rsid w:val="00F76AFC"/>
    <w:rsid w:val="00F9328D"/>
    <w:rsid w:val="00FA47C0"/>
    <w:rsid w:val="00FB5DD1"/>
    <w:rsid w:val="00FC2B5D"/>
    <w:rsid w:val="00FF1449"/>
    <w:rsid w:val="5CEADB7B"/>
    <w:rsid w:val="7AF9A1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6EAF60D7-4C3A-47B7-A29C-82848594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A12A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A12A7"/>
    <w:rPr>
      <w:rFonts w:ascii="Geomanist Light" w:hAnsi="Geomanist Light"/>
      <w:lang w:val="es-ES"/>
    </w:rPr>
  </w:style>
  <w:style w:type="character" w:styleId="Refdecomentario">
    <w:name w:val="annotation reference"/>
    <w:basedOn w:val="Fuentedeprrafopredeter"/>
    <w:uiPriority w:val="99"/>
    <w:semiHidden/>
    <w:unhideWhenUsed/>
    <w:rsid w:val="00747BF5"/>
    <w:rPr>
      <w:sz w:val="16"/>
      <w:szCs w:val="16"/>
    </w:rPr>
  </w:style>
  <w:style w:type="paragraph" w:styleId="Textocomentario">
    <w:name w:val="annotation text"/>
    <w:basedOn w:val="Normal"/>
    <w:link w:val="TextocomentarioCar"/>
    <w:uiPriority w:val="99"/>
    <w:unhideWhenUsed/>
    <w:rsid w:val="00747BF5"/>
    <w:pPr>
      <w:spacing w:line="240" w:lineRule="auto"/>
    </w:pPr>
    <w:rPr>
      <w:sz w:val="20"/>
      <w:szCs w:val="20"/>
    </w:rPr>
  </w:style>
  <w:style w:type="character" w:customStyle="1" w:styleId="TextocomentarioCar">
    <w:name w:val="Texto comentario Car"/>
    <w:basedOn w:val="Fuentedeprrafopredeter"/>
    <w:link w:val="Textocomentario"/>
    <w:uiPriority w:val="99"/>
    <w:rsid w:val="00747B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es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n.granados@hotmail.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http://purl.org/dc/elements/1.1/"/>
    <ds:schemaRef ds:uri="http://schemas.microsoft.com/office/2006/documentManagement/types"/>
    <ds:schemaRef ds:uri="http://purl.org/dc/dcmitype/"/>
    <ds:schemaRef ds:uri="http://www.w3.org/XML/1998/namespace"/>
    <ds:schemaRef ds:uri="8ae15d26-076e-464e-81a7-6f76a0fb3917"/>
    <ds:schemaRef ds:uri="http://schemas.microsoft.com/office/infopath/2007/PartnerControls"/>
    <ds:schemaRef ds:uri="http://schemas.openxmlformats.org/package/2006/metadata/core-properties"/>
    <ds:schemaRef ds:uri="36c82cfe-0eda-494d-b392-a9281b89aaf0"/>
    <ds:schemaRef ds:uri="http://schemas.microsoft.com/office/2006/metadata/properties"/>
  </ds:schemaRefs>
</ds:datastoreItem>
</file>

<file path=customXml/itemProps2.xml><?xml version="1.0" encoding="utf-8"?>
<ds:datastoreItem xmlns:ds="http://schemas.openxmlformats.org/officeDocument/2006/customXml" ds:itemID="{458D7726-BEAD-4409-982A-20080F76DD90}"/>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4562</Words>
  <Characters>25095</Characters>
  <Application>Microsoft Office Word</Application>
  <DocSecurity>0</DocSecurity>
  <Lines>209</Lines>
  <Paragraphs>59</Paragraphs>
  <ScaleCrop>false</ScaleCrop>
  <Company/>
  <LinksUpToDate>false</LinksUpToDate>
  <CharactersWithSpaces>29598</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5963852</vt:i4>
      </vt:variant>
      <vt:variant>
        <vt:i4>3</vt:i4>
      </vt:variant>
      <vt:variant>
        <vt:i4>0</vt:i4>
      </vt:variant>
      <vt:variant>
        <vt:i4>5</vt:i4>
      </vt:variant>
      <vt:variant>
        <vt:lpwstr>https://www.colombiacompra.gov.co/sites/cce_public/files/cce_documents/cce_guia_esal.pdf</vt:lpwstr>
      </vt:variant>
      <vt:variant>
        <vt:lpwstr/>
      </vt:variant>
      <vt:variant>
        <vt:i4>3407944</vt:i4>
      </vt:variant>
      <vt:variant>
        <vt:i4>0</vt:i4>
      </vt:variant>
      <vt:variant>
        <vt:i4>0</vt:i4>
      </vt:variant>
      <vt:variant>
        <vt:i4>5</vt:i4>
      </vt:variant>
      <vt:variant>
        <vt:lpwstr>mailto:johann.granados@hotmail.com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2023-01-11T00:18:00Z</cp:lastPrinted>
  <dcterms:created xsi:type="dcterms:W3CDTF">2024-07-29T20:33:00Z</dcterms:created>
  <dcterms:modified xsi:type="dcterms:W3CDTF">2024-07-29T20:33:00Z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