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91C4" w14:textId="77777777" w:rsidR="00CC6AFD" w:rsidRPr="00CC6AFD" w:rsidRDefault="00CC6AFD" w:rsidP="00CC6AFD">
      <w:pPr>
        <w:spacing w:after="0" w:line="240" w:lineRule="auto"/>
        <w:jc w:val="both"/>
        <w:rPr>
          <w:rFonts w:ascii="Century Gothic" w:eastAsia="Aptos" w:hAnsi="Century Gothic" w:cs="Arial"/>
          <w:b/>
          <w:bCs/>
          <w:sz w:val="20"/>
          <w:szCs w:val="20"/>
          <w:lang w:val="es-ES"/>
        </w:rPr>
      </w:pPr>
      <w:r w:rsidRPr="00CC6AFD">
        <w:rPr>
          <w:rFonts w:ascii="Century Gothic" w:eastAsia="Aptos" w:hAnsi="Century Gothic" w:cs="Arial"/>
          <w:b/>
          <w:bCs/>
          <w:sz w:val="20"/>
          <w:szCs w:val="20"/>
          <w:lang w:val="es-ES"/>
        </w:rPr>
        <w:t>LIQUIDACIÓN DEL CONTRATO – Definición – Objetivo – Normativa – Oportunidad</w:t>
      </w:r>
    </w:p>
    <w:p w14:paraId="280DFF72" w14:textId="77777777" w:rsidR="00CC6AFD" w:rsidRPr="00CC6AFD" w:rsidRDefault="00CC6AFD" w:rsidP="00CC6AFD">
      <w:pPr>
        <w:spacing w:after="0" w:line="240" w:lineRule="auto"/>
        <w:jc w:val="both"/>
        <w:rPr>
          <w:rFonts w:ascii="Century Gothic" w:eastAsia="Aptos" w:hAnsi="Century Gothic" w:cs="Arial"/>
          <w:sz w:val="20"/>
          <w:szCs w:val="20"/>
          <w:lang w:val="es-ES"/>
        </w:rPr>
      </w:pPr>
    </w:p>
    <w:p w14:paraId="3C0D79FA" w14:textId="77777777" w:rsidR="00CC6AFD" w:rsidRPr="00CC6AFD" w:rsidRDefault="00CC6AFD" w:rsidP="00CC6AFD">
      <w:pPr>
        <w:spacing w:after="0" w:line="240" w:lineRule="auto"/>
        <w:jc w:val="both"/>
        <w:rPr>
          <w:rFonts w:ascii="Century Gothic" w:eastAsia="Aptos" w:hAnsi="Century Gothic" w:cs="Arial"/>
          <w:sz w:val="20"/>
          <w:szCs w:val="20"/>
          <w:lang w:val="es-ES"/>
        </w:rPr>
      </w:pPr>
      <w:r w:rsidRPr="00CC6AFD">
        <w:rPr>
          <w:rFonts w:ascii="Century Gothic" w:eastAsia="Aptos" w:hAnsi="Century Gothic" w:cs="Arial"/>
          <w:sz w:val="20"/>
          <w:szCs w:val="20"/>
          <w:lang w:val="es-ES"/>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cumplidas. […]</w:t>
      </w:r>
    </w:p>
    <w:p w14:paraId="6C0D432F" w14:textId="77777777" w:rsidR="00CC6AFD" w:rsidRPr="00CC6AFD" w:rsidRDefault="00CC6AFD" w:rsidP="00CC6AFD">
      <w:pPr>
        <w:spacing w:after="0" w:line="240" w:lineRule="auto"/>
        <w:jc w:val="both"/>
        <w:rPr>
          <w:rFonts w:ascii="Century Gothic" w:eastAsia="Aptos" w:hAnsi="Century Gothic" w:cs="Arial"/>
          <w:sz w:val="20"/>
          <w:szCs w:val="20"/>
          <w:lang w:val="es-ES"/>
        </w:rPr>
      </w:pPr>
      <w:r w:rsidRPr="00CC6AFD">
        <w:rPr>
          <w:rFonts w:ascii="Century Gothic" w:eastAsia="Aptos" w:hAnsi="Century Gothic" w:cs="Arial"/>
          <w:sz w:val="20"/>
          <w:szCs w:val="20"/>
          <w:lang w:val="es-ES"/>
        </w:rPr>
        <w:t>[…]</w:t>
      </w:r>
    </w:p>
    <w:p w14:paraId="53D75A55" w14:textId="77777777" w:rsidR="00CC6AFD" w:rsidRPr="00CC6AFD" w:rsidRDefault="00CC6AFD" w:rsidP="00CC6AFD">
      <w:pPr>
        <w:spacing w:after="0" w:line="240" w:lineRule="auto"/>
        <w:jc w:val="both"/>
        <w:rPr>
          <w:rFonts w:ascii="Century Gothic" w:eastAsia="Aptos" w:hAnsi="Century Gothic" w:cs="Arial"/>
          <w:sz w:val="20"/>
          <w:szCs w:val="20"/>
          <w:lang w:val="es-ES"/>
        </w:rPr>
      </w:pPr>
      <w:r w:rsidRPr="00CC6AFD">
        <w:rPr>
          <w:rFonts w:ascii="Century Gothic" w:eastAsia="Aptos" w:hAnsi="Century Gothic" w:cs="Arial"/>
          <w:sz w:val="20"/>
          <w:szCs w:val="20"/>
          <w:lang w:val="es-ES"/>
        </w:rPr>
        <w:t>En suma, de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779EC233" w14:textId="77777777" w:rsidR="00CC6AFD" w:rsidRPr="00CC6AFD" w:rsidRDefault="00CC6AFD" w:rsidP="00CC6AFD">
      <w:pPr>
        <w:spacing w:after="0" w:line="240" w:lineRule="auto"/>
        <w:jc w:val="both"/>
        <w:rPr>
          <w:rFonts w:ascii="Century Gothic" w:eastAsia="Aptos" w:hAnsi="Century Gothic" w:cs="Arial"/>
          <w:b/>
          <w:bCs/>
          <w:sz w:val="20"/>
          <w:szCs w:val="20"/>
          <w:lang w:val="es-ES"/>
        </w:rPr>
      </w:pPr>
    </w:p>
    <w:p w14:paraId="208D2972" w14:textId="77777777" w:rsidR="00CC6AFD" w:rsidRPr="00CC6AFD" w:rsidRDefault="00CC6AFD" w:rsidP="00CC6AFD">
      <w:pPr>
        <w:spacing w:after="0" w:line="240" w:lineRule="auto"/>
        <w:jc w:val="both"/>
        <w:rPr>
          <w:rFonts w:ascii="Century Gothic" w:eastAsia="Aptos" w:hAnsi="Century Gothic" w:cs="Arial"/>
          <w:b/>
          <w:bCs/>
          <w:sz w:val="20"/>
          <w:szCs w:val="20"/>
          <w:lang w:val="es-ES"/>
        </w:rPr>
      </w:pPr>
      <w:r w:rsidRPr="00CC6AFD">
        <w:rPr>
          <w:rFonts w:ascii="Century Gothic" w:eastAsia="Aptos" w:hAnsi="Century Gothic" w:cs="Arial"/>
          <w:b/>
          <w:bCs/>
          <w:sz w:val="20"/>
          <w:szCs w:val="20"/>
          <w:lang w:val="es-ES"/>
        </w:rPr>
        <w:t xml:space="preserve">LIQUIDACIÓN DEL CONTRATO – Oportunidad </w:t>
      </w:r>
    </w:p>
    <w:p w14:paraId="627BCB43" w14:textId="77777777" w:rsidR="00CC6AFD" w:rsidRPr="00CC6AFD" w:rsidRDefault="00CC6AFD" w:rsidP="00CC6AFD">
      <w:pPr>
        <w:spacing w:after="0" w:line="240" w:lineRule="auto"/>
        <w:jc w:val="both"/>
        <w:rPr>
          <w:rFonts w:ascii="Century Gothic" w:eastAsia="Aptos" w:hAnsi="Century Gothic" w:cs="Arial"/>
          <w:sz w:val="20"/>
          <w:szCs w:val="20"/>
          <w:lang w:val="es-ES"/>
        </w:rPr>
      </w:pPr>
    </w:p>
    <w:p w14:paraId="4231A2CE" w14:textId="77777777" w:rsidR="00CC6AFD" w:rsidRPr="00CC6AFD" w:rsidRDefault="00CC6AFD" w:rsidP="00CC6AFD">
      <w:pPr>
        <w:spacing w:after="0" w:line="240" w:lineRule="auto"/>
        <w:jc w:val="both"/>
        <w:rPr>
          <w:rFonts w:ascii="Century Gothic" w:eastAsia="Aptos" w:hAnsi="Century Gothic" w:cs="Arial"/>
          <w:sz w:val="20"/>
          <w:szCs w:val="20"/>
          <w:lang w:val="es-ES"/>
        </w:rPr>
      </w:pPr>
      <w:r w:rsidRPr="00CC6AFD">
        <w:rPr>
          <w:rFonts w:ascii="Century Gothic" w:eastAsia="Aptos" w:hAnsi="Century Gothic" w:cs="Arial"/>
          <w:sz w:val="20"/>
          <w:szCs w:val="20"/>
          <w:lang w:val="es-ES"/>
        </w:rPr>
        <w:t>[…]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 […]</w:t>
      </w:r>
    </w:p>
    <w:p w14:paraId="053F8E09" w14:textId="77777777" w:rsidR="00CC6AFD" w:rsidRPr="00CC6AFD" w:rsidRDefault="00CC6AFD" w:rsidP="00CC6AFD">
      <w:pPr>
        <w:spacing w:after="0" w:line="240" w:lineRule="auto"/>
        <w:jc w:val="both"/>
        <w:rPr>
          <w:rFonts w:ascii="Century Gothic" w:eastAsia="Aptos" w:hAnsi="Century Gothic" w:cs="Arial"/>
          <w:sz w:val="20"/>
          <w:szCs w:val="20"/>
          <w:lang w:val="es-ES"/>
        </w:rPr>
      </w:pPr>
    </w:p>
    <w:p w14:paraId="72389089" w14:textId="77777777" w:rsidR="00CC6AFD" w:rsidRPr="00CC6AFD" w:rsidRDefault="00CC6AFD" w:rsidP="00CC6AFD">
      <w:pPr>
        <w:spacing w:after="0" w:line="240" w:lineRule="auto"/>
        <w:jc w:val="both"/>
        <w:rPr>
          <w:rFonts w:ascii="Century Gothic" w:eastAsia="Aptos" w:hAnsi="Century Gothic" w:cs="Arial"/>
          <w:sz w:val="20"/>
          <w:szCs w:val="20"/>
          <w:lang w:val="es-ES"/>
        </w:rPr>
      </w:pPr>
      <w:r w:rsidRPr="00CC6AFD">
        <w:rPr>
          <w:rFonts w:ascii="Century Gothic" w:eastAsia="Aptos" w:hAnsi="Century Gothic" w:cs="Arial"/>
          <w:sz w:val="20"/>
          <w:szCs w:val="20"/>
          <w:lang w:val="es-ES"/>
        </w:rPr>
        <w:t>Durante este término, el contratista puede solicitar que se adelante el trámite de liquidación. Sin embargo, es responsabilidad de la Entidad Estatal convocarlo para adelantar la liquidación de común acuerdo o notificarlo para que se presente a la liquidación, de manera que el contrato pueda ser liquidado bilateralmente, bien sea en el plazo previsto en el pliego de condiciones, el acordado por las partes, o los cuatro meses señalados en la Ley, según corresponda. Esta liquidación bilateral puede ser total o parcial, y el documento que la contiene presta mérito ejecutivo, siempre que se satisfagan los elementos para considerarlo como tal.</w:t>
      </w:r>
    </w:p>
    <w:p w14:paraId="7F0DCA7B" w14:textId="77777777" w:rsidR="00CC6AFD" w:rsidRPr="00CC6AFD" w:rsidRDefault="00CC6AFD" w:rsidP="00CC6AFD">
      <w:pPr>
        <w:spacing w:after="0" w:line="240" w:lineRule="auto"/>
        <w:jc w:val="both"/>
        <w:rPr>
          <w:rFonts w:ascii="Century Gothic" w:eastAsia="Aptos" w:hAnsi="Century Gothic" w:cs="Arial"/>
          <w:sz w:val="20"/>
          <w:szCs w:val="20"/>
          <w:lang w:val="es-ES"/>
        </w:rPr>
      </w:pPr>
    </w:p>
    <w:p w14:paraId="4F1DD47B" w14:textId="77777777" w:rsidR="00CC6AFD" w:rsidRPr="00CC6AFD" w:rsidRDefault="00CC6AFD" w:rsidP="00CC6AFD">
      <w:pPr>
        <w:spacing w:after="0" w:line="240" w:lineRule="auto"/>
        <w:jc w:val="both"/>
        <w:rPr>
          <w:rFonts w:ascii="Century Gothic" w:eastAsia="Aptos" w:hAnsi="Century Gothic" w:cs="Arial"/>
          <w:b/>
          <w:bCs/>
          <w:sz w:val="20"/>
          <w:szCs w:val="20"/>
          <w:lang w:val="es-ES"/>
        </w:rPr>
      </w:pPr>
      <w:r w:rsidRPr="00CC6AFD">
        <w:rPr>
          <w:rFonts w:ascii="Century Gothic" w:eastAsia="Aptos" w:hAnsi="Century Gothic" w:cs="Arial"/>
          <w:b/>
          <w:bCs/>
          <w:sz w:val="20"/>
          <w:szCs w:val="20"/>
          <w:lang w:val="es-ES"/>
        </w:rPr>
        <w:t xml:space="preserve">TIPOS DE LIQUIDACIÓN – Liquidación Unilateral </w:t>
      </w:r>
    </w:p>
    <w:p w14:paraId="466D6001" w14:textId="77777777" w:rsidR="00CC6AFD" w:rsidRPr="00CC6AFD" w:rsidRDefault="00CC6AFD" w:rsidP="00CC6AFD">
      <w:pPr>
        <w:spacing w:after="0" w:line="240" w:lineRule="auto"/>
        <w:jc w:val="both"/>
        <w:rPr>
          <w:rFonts w:ascii="Century Gothic" w:eastAsia="Aptos" w:hAnsi="Century Gothic" w:cs="Arial"/>
          <w:sz w:val="20"/>
          <w:szCs w:val="20"/>
          <w:lang w:val="es-ES"/>
        </w:rPr>
      </w:pPr>
    </w:p>
    <w:p w14:paraId="6D08E0B9" w14:textId="77777777" w:rsidR="00CC6AFD" w:rsidRPr="00CC6AFD" w:rsidRDefault="00CC6AFD" w:rsidP="00CC6AFD">
      <w:pPr>
        <w:spacing w:after="200" w:line="240" w:lineRule="auto"/>
        <w:jc w:val="both"/>
        <w:rPr>
          <w:rFonts w:ascii="Century Gothic" w:eastAsia="Aptos" w:hAnsi="Century Gothic" w:cs="Arial"/>
          <w:sz w:val="20"/>
          <w:szCs w:val="20"/>
          <w:lang w:val="es-ES"/>
        </w:rPr>
      </w:pPr>
      <w:r w:rsidRPr="00CC6AFD">
        <w:rPr>
          <w:rFonts w:ascii="Century Gothic" w:eastAsia="Aptos" w:hAnsi="Century Gothic" w:cs="Arial"/>
          <w:sz w:val="20"/>
          <w:szCs w:val="20"/>
          <w:lang w:val="es-ES"/>
        </w:rPr>
        <w:lastRenderedPageBreak/>
        <w:t>Si no es posible efectuar la liquidación de manera bilateral, el ordenamiento jurídico prevé una facultad, de carácter subsidiario, para que la Entidad Estatal realice la liquidación unilateralmente. […] 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08A21BA9" w14:textId="77777777" w:rsidR="00CC6AFD" w:rsidRPr="00CC6AFD" w:rsidRDefault="00CC6AFD" w:rsidP="00CC6AFD">
      <w:pPr>
        <w:spacing w:after="200" w:line="240" w:lineRule="auto"/>
        <w:jc w:val="both"/>
        <w:rPr>
          <w:rFonts w:ascii="Century Gothic" w:eastAsia="Aptos" w:hAnsi="Century Gothic" w:cs="Arial"/>
          <w:sz w:val="20"/>
          <w:szCs w:val="20"/>
          <w:lang w:val="es-ES"/>
        </w:rPr>
      </w:pPr>
      <w:r w:rsidRPr="00CC6AFD">
        <w:rPr>
          <w:rFonts w:ascii="Century Gothic" w:eastAsia="Aptos" w:hAnsi="Century Gothic" w:cs="Arial"/>
          <w:sz w:val="20"/>
          <w:szCs w:val="20"/>
          <w:lang w:val="es-ES"/>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w:t>
      </w:r>
    </w:p>
    <w:p w14:paraId="4E0BDF03" w14:textId="77777777" w:rsidR="00CC6AFD" w:rsidRPr="00CC6AFD" w:rsidRDefault="00CC6AFD" w:rsidP="00CC6AFD">
      <w:pPr>
        <w:spacing w:after="200" w:line="240" w:lineRule="auto"/>
        <w:jc w:val="both"/>
        <w:rPr>
          <w:rFonts w:ascii="Century Gothic" w:eastAsia="Aptos" w:hAnsi="Century Gothic" w:cs="Arial"/>
          <w:sz w:val="20"/>
          <w:szCs w:val="20"/>
          <w:lang w:val="es-ES"/>
        </w:rPr>
      </w:pPr>
      <w:r w:rsidRPr="00CC6AFD">
        <w:rPr>
          <w:rFonts w:ascii="Century Gothic" w:eastAsia="Aptos" w:hAnsi="Century Gothic" w:cs="Arial"/>
          <w:sz w:val="20"/>
          <w:szCs w:val="20"/>
          <w:lang w:val="es-ES"/>
        </w:rPr>
        <w:t>En suma, de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45835813" w14:textId="77777777" w:rsidR="00CC6AFD" w:rsidRPr="00CC6AFD" w:rsidRDefault="00CC6AFD" w:rsidP="006E1D19">
      <w:pPr>
        <w:pStyle w:val="Textoindependiente"/>
        <w:ind w:right="204"/>
        <w:jc w:val="both"/>
        <w:rPr>
          <w:rFonts w:ascii="Century Gothic" w:eastAsia="Aptos" w:hAnsi="Century Gothic" w:cs="Arial"/>
          <w:sz w:val="20"/>
          <w:szCs w:val="20"/>
          <w:lang w:val="es-ES_tradnl"/>
        </w:rPr>
      </w:pPr>
    </w:p>
    <w:p w14:paraId="7C2A5907" w14:textId="2C9EE794" w:rsidR="00CC6AFD" w:rsidRDefault="00CC6AFD">
      <w:pPr>
        <w:rPr>
          <w:rFonts w:ascii="Verdana" w:eastAsia="Geomanist Light" w:hAnsi="Verdana" w:cs="Arial"/>
          <w:color w:val="000000" w:themeColor="text1"/>
          <w:lang w:val="es-MX"/>
        </w:rPr>
      </w:pPr>
      <w:r>
        <w:rPr>
          <w:rFonts w:ascii="Verdana" w:eastAsia="Geomanist Light" w:hAnsi="Verdana" w:cs="Arial"/>
          <w:color w:val="000000" w:themeColor="text1"/>
          <w:lang w:val="es-MX"/>
        </w:rPr>
        <w:br w:type="page"/>
      </w:r>
    </w:p>
    <w:p w14:paraId="6700D6DA" w14:textId="77777777" w:rsidR="00871B59" w:rsidRPr="00F919E7" w:rsidRDefault="00871B59" w:rsidP="00871B59">
      <w:pPr>
        <w:spacing w:after="0" w:line="240" w:lineRule="auto"/>
        <w:rPr>
          <w:rFonts w:ascii="Century Gothic" w:eastAsia="Geomanist Light" w:hAnsi="Century Gothic" w:cs="Arial"/>
          <w:color w:val="201F1E"/>
          <w:lang w:val="es-MX"/>
        </w:rPr>
      </w:pPr>
      <w:r w:rsidRPr="00F919E7">
        <w:rPr>
          <w:rFonts w:ascii="Century Gothic" w:eastAsia="Geomanist Light" w:hAnsi="Century Gothic" w:cs="Arial"/>
          <w:color w:val="000000" w:themeColor="text1"/>
          <w:lang w:val="es-MX"/>
        </w:rPr>
        <w:lastRenderedPageBreak/>
        <w:t>Bogotá D.C., </w:t>
      </w:r>
      <w:r w:rsidRPr="00F919E7">
        <w:rPr>
          <w:rFonts w:ascii="Century Gothic" w:eastAsia="Geomanist Light" w:hAnsi="Century Gothic" w:cs="Arial"/>
          <w:color w:val="201F1E"/>
          <w:lang w:val="es-MX"/>
        </w:rPr>
        <w:t>[Día] de [Mes.NombreCapitalizado] de [Año]</w:t>
      </w:r>
    </w:p>
    <w:p w14:paraId="263F56BE" w14:textId="77777777" w:rsidR="00871B59" w:rsidRPr="00F919E7" w:rsidRDefault="00871B59" w:rsidP="00871B59">
      <w:pPr>
        <w:spacing w:after="0" w:line="240" w:lineRule="auto"/>
        <w:jc w:val="both"/>
        <w:rPr>
          <w:rFonts w:ascii="Century Gothic" w:eastAsia="Calibri" w:hAnsi="Century Gothic" w:cs="Arial"/>
          <w:color w:val="000000"/>
          <w:lang w:val="es-ES"/>
        </w:rPr>
      </w:pPr>
    </w:p>
    <w:p w14:paraId="66EF7FED" w14:textId="663435C2" w:rsidR="00871B59" w:rsidRPr="00340C12" w:rsidRDefault="00871B59" w:rsidP="00871B59">
      <w:pPr>
        <w:spacing w:after="0" w:line="240" w:lineRule="auto"/>
        <w:jc w:val="both"/>
        <w:rPr>
          <w:rFonts w:ascii="Century Gothic" w:eastAsia="Calibri" w:hAnsi="Century Gothic" w:cs="Arial"/>
          <w:bCs/>
          <w:lang w:val="es-MX" w:eastAsia="es-ES_tradnl"/>
        </w:rPr>
      </w:pPr>
      <w:r w:rsidRPr="00340C12">
        <w:rPr>
          <w:rFonts w:ascii="Century Gothic" w:eastAsia="Calibri" w:hAnsi="Century Gothic" w:cs="Arial"/>
          <w:bCs/>
          <w:lang w:val="es-MX" w:eastAsia="es-ES_tradnl"/>
        </w:rPr>
        <w:t>Señor</w:t>
      </w:r>
    </w:p>
    <w:p w14:paraId="20471CA0" w14:textId="6CA0955B" w:rsidR="00CC6AFD" w:rsidRPr="00340C12" w:rsidRDefault="00CC6AFD" w:rsidP="00871B59">
      <w:pPr>
        <w:spacing w:after="0" w:line="240" w:lineRule="auto"/>
        <w:rPr>
          <w:rFonts w:ascii="Century Gothic" w:hAnsi="Century Gothic" w:cs="Arial-BoldMT"/>
          <w:b/>
          <w:bCs/>
        </w:rPr>
      </w:pPr>
      <w:r w:rsidRPr="00340C12">
        <w:rPr>
          <w:rFonts w:ascii="Century Gothic" w:hAnsi="Century Gothic" w:cs="Arial-BoldMT"/>
          <w:b/>
          <w:bCs/>
        </w:rPr>
        <w:t>Gustavo Adolfo Redondo Garzón</w:t>
      </w:r>
    </w:p>
    <w:p w14:paraId="4A2B68CF" w14:textId="74D803A5" w:rsidR="00BF755C" w:rsidRPr="00340C12" w:rsidRDefault="00340C12" w:rsidP="00871B59">
      <w:pPr>
        <w:spacing w:after="0" w:line="240" w:lineRule="auto"/>
        <w:rPr>
          <w:rFonts w:ascii="Century Gothic" w:eastAsia="Calibri" w:hAnsi="Century Gothic" w:cs="Arial"/>
          <w:bCs/>
          <w:lang w:val="es-MX" w:eastAsia="es-ES_tradnl"/>
        </w:rPr>
      </w:pPr>
      <w:r w:rsidRPr="00340C12">
        <w:rPr>
          <w:rFonts w:ascii="Century Gothic" w:eastAsia="Calibri" w:hAnsi="Century Gothic" w:cs="Arial"/>
          <w:bCs/>
          <w:lang w:val="es-MX" w:eastAsia="es-ES_tradnl"/>
        </w:rPr>
        <w:t>g</w:t>
      </w:r>
      <w:r w:rsidR="00CC6AFD" w:rsidRPr="00340C12">
        <w:rPr>
          <w:rFonts w:ascii="Century Gothic" w:eastAsia="Calibri" w:hAnsi="Century Gothic" w:cs="Arial"/>
          <w:bCs/>
          <w:lang w:val="es-MX" w:eastAsia="es-ES_tradnl"/>
        </w:rPr>
        <w:t>redondog@unal.edu.co</w:t>
      </w:r>
    </w:p>
    <w:p w14:paraId="5ACFEA17" w14:textId="6149C5C0" w:rsidR="00871B59" w:rsidRPr="00340C12" w:rsidRDefault="00CC6AFD" w:rsidP="00871B59">
      <w:pPr>
        <w:spacing w:after="0" w:line="240" w:lineRule="auto"/>
        <w:rPr>
          <w:rFonts w:ascii="Century Gothic" w:eastAsia="Calibri" w:hAnsi="Century Gothic" w:cs="Arial"/>
          <w:bCs/>
          <w:lang w:val="es-MX" w:eastAsia="es-ES_tradnl"/>
        </w:rPr>
      </w:pPr>
      <w:r w:rsidRPr="00340C12">
        <w:rPr>
          <w:rFonts w:ascii="Century Gothic" w:eastAsia="Calibri" w:hAnsi="Century Gothic" w:cs="Arial"/>
          <w:bCs/>
          <w:lang w:val="es-MX" w:eastAsia="es-ES_tradnl"/>
        </w:rPr>
        <w:t>Bogotá D.C.</w:t>
      </w:r>
    </w:p>
    <w:p w14:paraId="75545CBA" w14:textId="77777777" w:rsidR="00871B59" w:rsidRPr="00F919E7" w:rsidRDefault="00871B59" w:rsidP="00871B59">
      <w:pPr>
        <w:spacing w:after="0" w:line="240" w:lineRule="auto"/>
        <w:rPr>
          <w:rFonts w:ascii="Century Gothic" w:eastAsia="Calibri" w:hAnsi="Century Gothic" w:cs="Arial"/>
          <w:b/>
          <w:bCs/>
          <w:color w:val="000000"/>
          <w:lang w:val="es-ES_tradnl" w:eastAsia="es-ES_tradnl"/>
        </w:rPr>
      </w:pPr>
    </w:p>
    <w:p w14:paraId="40764CBF" w14:textId="77777777" w:rsidR="00871B59" w:rsidRDefault="00871B59" w:rsidP="00871B59">
      <w:pPr>
        <w:spacing w:after="0" w:line="240" w:lineRule="auto"/>
        <w:rPr>
          <w:rFonts w:ascii="Century Gothic" w:eastAsia="Calibri" w:hAnsi="Century Gothic" w:cs="Arial"/>
          <w:b/>
          <w:bCs/>
          <w:color w:val="000000"/>
          <w:lang w:val="es-ES_tradnl" w:eastAsia="es-ES_tradnl"/>
        </w:rPr>
      </w:pPr>
    </w:p>
    <w:p w14:paraId="2ED14860" w14:textId="6D24ABB0" w:rsidR="00855FD6" w:rsidRPr="00F919E7" w:rsidRDefault="00855FD6" w:rsidP="00855FD6">
      <w:pPr>
        <w:spacing w:after="0" w:line="240" w:lineRule="auto"/>
        <w:jc w:val="right"/>
        <w:rPr>
          <w:rFonts w:ascii="Century Gothic" w:eastAsia="Calibri" w:hAnsi="Century Gothic" w:cs="Arial"/>
          <w:b/>
          <w:bCs/>
          <w:color w:val="000000"/>
          <w:lang w:val="es-ES_tradnl" w:eastAsia="es-ES_tradnl"/>
        </w:rPr>
      </w:pPr>
      <w:r w:rsidRPr="00855FD6">
        <w:rPr>
          <w:rFonts w:ascii="Century Gothic" w:eastAsia="Calibri" w:hAnsi="Century Gothic" w:cs="Arial"/>
          <w:b/>
          <w:bCs/>
          <w:color w:val="000000"/>
          <w:lang w:val="es-ES_tradnl" w:eastAsia="es-ES_tradnl"/>
        </w:rPr>
        <w:drawing>
          <wp:inline distT="0" distB="0" distL="0" distR="0" wp14:anchorId="32DB7A45" wp14:editId="28EE824F">
            <wp:extent cx="3162574" cy="967824"/>
            <wp:effectExtent l="0" t="0" r="0" b="3810"/>
            <wp:docPr id="7949682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68215" name=""/>
                    <pic:cNvPicPr/>
                  </pic:nvPicPr>
                  <pic:blipFill>
                    <a:blip r:embed="rId11"/>
                    <a:stretch>
                      <a:fillRect/>
                    </a:stretch>
                  </pic:blipFill>
                  <pic:spPr>
                    <a:xfrm>
                      <a:off x="0" y="0"/>
                      <a:ext cx="3162574" cy="967824"/>
                    </a:xfrm>
                    <a:prstGeom prst="rect">
                      <a:avLst/>
                    </a:prstGeom>
                  </pic:spPr>
                </pic:pic>
              </a:graphicData>
            </a:graphic>
          </wp:inline>
        </w:drawing>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F919E7" w14:paraId="6AC1791A" w14:textId="77777777" w:rsidTr="002607A7">
        <w:trPr>
          <w:trHeight w:val="884"/>
        </w:trPr>
        <w:tc>
          <w:tcPr>
            <w:tcW w:w="2689" w:type="dxa"/>
          </w:tcPr>
          <w:p w14:paraId="156B1AEC" w14:textId="77777777" w:rsidR="00871B59" w:rsidRPr="00F919E7" w:rsidRDefault="00871B59" w:rsidP="002607A7">
            <w:pPr>
              <w:jc w:val="both"/>
              <w:rPr>
                <w:rFonts w:ascii="Century Gothic" w:eastAsia="Calibri" w:hAnsi="Century Gothic" w:cs="Arial"/>
                <w:b/>
                <w:bCs/>
                <w:color w:val="7030A0"/>
                <w:lang w:val="es-ES_tradnl" w:eastAsia="es-ES_tradnl"/>
              </w:rPr>
            </w:pPr>
          </w:p>
        </w:tc>
        <w:tc>
          <w:tcPr>
            <w:tcW w:w="6100" w:type="dxa"/>
          </w:tcPr>
          <w:p w14:paraId="48F499EA" w14:textId="6B163C31" w:rsidR="00871B59" w:rsidRPr="00F919E7" w:rsidRDefault="00871B59" w:rsidP="002607A7">
            <w:pPr>
              <w:jc w:val="both"/>
              <w:rPr>
                <w:rFonts w:ascii="Century Gothic" w:eastAsia="Calibri" w:hAnsi="Century Gothic" w:cs="Arial"/>
                <w:b/>
                <w:bCs/>
                <w:color w:val="7030A0"/>
                <w:lang w:val="es-ES" w:eastAsia="es-ES"/>
              </w:rPr>
            </w:pPr>
            <w:r w:rsidRPr="00F919E7">
              <w:rPr>
                <w:rFonts w:ascii="Century Gothic" w:eastAsia="Calibri" w:hAnsi="Century Gothic" w:cs="Arial"/>
                <w:b/>
                <w:bCs/>
                <w:lang w:val="es-ES" w:eastAsia="es-ES"/>
              </w:rPr>
              <w:t xml:space="preserve">Concepto C- </w:t>
            </w:r>
            <w:r w:rsidR="00CC6AFD">
              <w:rPr>
                <w:rFonts w:ascii="Century Gothic" w:eastAsia="Calibri" w:hAnsi="Century Gothic" w:cs="Arial"/>
                <w:b/>
                <w:bCs/>
                <w:lang w:val="es-ES" w:eastAsia="es-ES"/>
              </w:rPr>
              <w:t>144</w:t>
            </w:r>
            <w:r w:rsidRPr="00F919E7">
              <w:rPr>
                <w:rFonts w:ascii="Century Gothic" w:eastAsia="Calibri" w:hAnsi="Century Gothic" w:cs="Arial"/>
                <w:b/>
                <w:bCs/>
                <w:lang w:val="es-ES" w:eastAsia="es-ES"/>
              </w:rPr>
              <w:t xml:space="preserve"> de 2024</w:t>
            </w:r>
          </w:p>
        </w:tc>
      </w:tr>
      <w:tr w:rsidR="00871B59" w:rsidRPr="00F919E7" w14:paraId="0DD246A7" w14:textId="77777777" w:rsidTr="002607A7">
        <w:trPr>
          <w:trHeight w:val="884"/>
        </w:trPr>
        <w:tc>
          <w:tcPr>
            <w:tcW w:w="2689" w:type="dxa"/>
          </w:tcPr>
          <w:p w14:paraId="1B4FC525" w14:textId="77777777" w:rsidR="00871B59" w:rsidRPr="00F919E7" w:rsidRDefault="00871B59" w:rsidP="002607A7">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Temas:                   </w:t>
            </w:r>
          </w:p>
        </w:tc>
        <w:tc>
          <w:tcPr>
            <w:tcW w:w="6100" w:type="dxa"/>
          </w:tcPr>
          <w:p w14:paraId="7ADD1096" w14:textId="1833749F" w:rsidR="00BF755C" w:rsidRPr="00F919E7" w:rsidRDefault="00CC6AFD" w:rsidP="002607A7">
            <w:pPr>
              <w:spacing w:line="276" w:lineRule="auto"/>
              <w:jc w:val="both"/>
              <w:rPr>
                <w:rFonts w:ascii="Century Gothic" w:eastAsia="Calibri" w:hAnsi="Century Gothic" w:cs="Arial"/>
                <w:bCs/>
                <w:lang w:val="es-MX" w:eastAsia="es-ES_tradnl"/>
              </w:rPr>
            </w:pPr>
            <w:r w:rsidRPr="00CC6AFD">
              <w:rPr>
                <w:rFonts w:ascii="Century Gothic" w:eastAsia="Calibri" w:hAnsi="Century Gothic" w:cs="Arial"/>
                <w:bCs/>
                <w:lang w:val="es-MX" w:eastAsia="es-ES_tradnl"/>
              </w:rPr>
              <w:t>LIQUIDACIÓN DEL CONTRATO – Definición – Objetivo / LIQUIDACIÓN DEL CONTRATO – Normativa / LIQUIDACIÓN DEL CONTRATO – Oportunidad</w:t>
            </w:r>
            <w:r w:rsidRPr="00D15703">
              <w:rPr>
                <w:rFonts w:ascii="Arial" w:eastAsia="Calibri" w:hAnsi="Arial" w:cs="Arial"/>
                <w:bCs/>
                <w:lang w:val="es-ES_tradnl"/>
              </w:rPr>
              <w:t xml:space="preserve"> </w:t>
            </w:r>
          </w:p>
        </w:tc>
      </w:tr>
      <w:tr w:rsidR="00871B59" w:rsidRPr="00F919E7" w14:paraId="0A874006" w14:textId="77777777" w:rsidTr="002607A7">
        <w:tc>
          <w:tcPr>
            <w:tcW w:w="2689" w:type="dxa"/>
          </w:tcPr>
          <w:p w14:paraId="56ED2765" w14:textId="77777777" w:rsidR="00871B59" w:rsidRPr="00F919E7" w:rsidRDefault="00871B59" w:rsidP="002607A7">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Radicación:               </w:t>
            </w:r>
          </w:p>
        </w:tc>
        <w:tc>
          <w:tcPr>
            <w:tcW w:w="6100" w:type="dxa"/>
          </w:tcPr>
          <w:p w14:paraId="630D2668" w14:textId="10A5F225" w:rsidR="00871B59" w:rsidRPr="00F919E7" w:rsidRDefault="00871B59" w:rsidP="002607A7">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Respuesta a consulta con radicado No. </w:t>
            </w:r>
            <w:r w:rsidR="00CC6AFD" w:rsidRPr="00CC6AFD">
              <w:rPr>
                <w:rFonts w:ascii="Century Gothic" w:eastAsia="Calibri" w:hAnsi="Century Gothic" w:cs="Arial"/>
                <w:bCs/>
                <w:lang w:val="es-MX" w:eastAsia="es-ES_tradnl"/>
              </w:rPr>
              <w:t>P20240529005619</w:t>
            </w:r>
          </w:p>
        </w:tc>
      </w:tr>
    </w:tbl>
    <w:p w14:paraId="01AFCA4D"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4FF08E37"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5A8CAE32" w14:textId="017049F0" w:rsidR="00871B59" w:rsidRPr="00E43EBA" w:rsidRDefault="00871B59" w:rsidP="00871B59">
      <w:pPr>
        <w:spacing w:after="0" w:line="276" w:lineRule="auto"/>
        <w:jc w:val="both"/>
        <w:rPr>
          <w:rFonts w:ascii="Century Gothic" w:eastAsia="Calibri" w:hAnsi="Century Gothic" w:cs="Arial"/>
          <w:bCs/>
          <w:lang w:val="es-MX" w:eastAsia="es-ES_tradnl"/>
        </w:rPr>
      </w:pPr>
      <w:r w:rsidRPr="00E43EBA">
        <w:rPr>
          <w:rFonts w:ascii="Century Gothic" w:eastAsia="Calibri" w:hAnsi="Century Gothic" w:cs="Arial"/>
          <w:bCs/>
          <w:lang w:val="es-MX" w:eastAsia="es-ES_tradnl"/>
        </w:rPr>
        <w:t>Estimad</w:t>
      </w:r>
      <w:r w:rsidR="00CC6AFD">
        <w:rPr>
          <w:rFonts w:ascii="Century Gothic" w:eastAsia="Calibri" w:hAnsi="Century Gothic" w:cs="Arial"/>
          <w:bCs/>
          <w:lang w:val="es-MX" w:eastAsia="es-ES_tradnl"/>
        </w:rPr>
        <w:t>o</w:t>
      </w:r>
      <w:r w:rsidRPr="00E43EBA">
        <w:rPr>
          <w:rFonts w:ascii="Century Gothic" w:eastAsia="Calibri" w:hAnsi="Century Gothic" w:cs="Arial"/>
          <w:bCs/>
          <w:lang w:val="es-MX" w:eastAsia="es-ES_tradnl"/>
        </w:rPr>
        <w:t xml:space="preserve"> señor</w:t>
      </w:r>
      <w:r w:rsidR="00CC6AFD">
        <w:rPr>
          <w:rFonts w:ascii="Century Gothic" w:eastAsia="Calibri" w:hAnsi="Century Gothic" w:cs="Arial"/>
          <w:bCs/>
          <w:lang w:val="es-MX" w:eastAsia="es-ES_tradnl"/>
        </w:rPr>
        <w:t xml:space="preserve"> Redondo</w:t>
      </w:r>
      <w:r w:rsidRPr="00E43EBA">
        <w:rPr>
          <w:rFonts w:ascii="Century Gothic" w:eastAsia="Calibri" w:hAnsi="Century Gothic" w:cs="Arial"/>
          <w:bCs/>
          <w:lang w:val="es-MX" w:eastAsia="es-ES_tradnl"/>
        </w:rPr>
        <w:t xml:space="preserve">: </w:t>
      </w:r>
    </w:p>
    <w:p w14:paraId="62039951" w14:textId="77777777" w:rsidR="00871B59" w:rsidRPr="00E43EBA" w:rsidRDefault="00871B59" w:rsidP="00871B59">
      <w:pPr>
        <w:tabs>
          <w:tab w:val="left" w:pos="3768"/>
        </w:tabs>
        <w:spacing w:after="0" w:line="276" w:lineRule="auto"/>
        <w:jc w:val="both"/>
        <w:rPr>
          <w:rFonts w:ascii="Century Gothic" w:eastAsia="Calibri" w:hAnsi="Century Gothic" w:cs="Arial"/>
          <w:color w:val="000000" w:themeColor="text1"/>
          <w:lang w:val="es-ES" w:eastAsia="es-ES"/>
        </w:rPr>
      </w:pPr>
      <w:r w:rsidRPr="00E43EBA">
        <w:rPr>
          <w:rFonts w:ascii="Century Gothic" w:eastAsia="Calibri" w:hAnsi="Century Gothic" w:cs="Arial"/>
          <w:color w:val="000000" w:themeColor="text1"/>
          <w:lang w:val="es-ES" w:eastAsia="es-ES"/>
        </w:rPr>
        <w:tab/>
      </w:r>
    </w:p>
    <w:p w14:paraId="3F1D9A82" w14:textId="325AE73A" w:rsidR="00871B59" w:rsidRPr="00E43EBA" w:rsidRDefault="00871B59" w:rsidP="00871B59">
      <w:pPr>
        <w:spacing w:after="0" w:line="276" w:lineRule="auto"/>
        <w:jc w:val="both"/>
        <w:rPr>
          <w:rFonts w:ascii="Century Gothic" w:eastAsia="Calibri" w:hAnsi="Century Gothic" w:cs="Arial"/>
          <w:lang w:val="es-ES" w:eastAsia="es-ES"/>
        </w:rPr>
      </w:pPr>
      <w:r w:rsidRPr="00E43EBA">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00E43EBA">
        <w:rPr>
          <w:rFonts w:ascii="Century Gothic" w:eastAsia="Arial MT" w:hAnsi="Century Gothic" w:cs="Arial MT"/>
          <w:lang w:val="es-ES" w:eastAsia="es-ES"/>
        </w:rPr>
        <w:t xml:space="preserve"> </w:t>
      </w:r>
      <w:r w:rsidRPr="00E43EBA">
        <w:rPr>
          <w:rFonts w:ascii="Century Gothic" w:hAnsi="Century Gothic" w:cs="Arial"/>
        </w:rPr>
        <w:t xml:space="preserve">así como lo establecido en el artículo 4 de la Resolución 1707 de 2018 expedida por esta Entidad, </w:t>
      </w:r>
      <w:r w:rsidRPr="00E43EBA">
        <w:rPr>
          <w:rFonts w:ascii="Century Gothic" w:eastAsia="Calibri" w:hAnsi="Century Gothic" w:cs="Arial"/>
          <w:lang w:val="es-ES" w:eastAsia="es-ES"/>
        </w:rPr>
        <w:t xml:space="preserve">la Agencia Nacional de Contratación Pública – Colombia Compra Eficiente– responde su solicitud de consulta de fecha </w:t>
      </w:r>
      <w:r w:rsidR="00BF755C" w:rsidRPr="00E43EBA">
        <w:rPr>
          <w:rFonts w:ascii="Century Gothic" w:eastAsia="Calibri" w:hAnsi="Century Gothic" w:cs="Arial"/>
          <w:lang w:val="es-ES" w:eastAsia="es-ES"/>
        </w:rPr>
        <w:t>2</w:t>
      </w:r>
      <w:r w:rsidR="00CC6AFD">
        <w:rPr>
          <w:rFonts w:ascii="Century Gothic" w:eastAsia="Calibri" w:hAnsi="Century Gothic" w:cs="Arial"/>
          <w:lang w:val="es-ES" w:eastAsia="es-ES"/>
        </w:rPr>
        <w:t>9</w:t>
      </w:r>
      <w:r w:rsidR="00BF755C" w:rsidRPr="00E43EBA">
        <w:rPr>
          <w:rFonts w:ascii="Century Gothic" w:eastAsia="Calibri" w:hAnsi="Century Gothic" w:cs="Arial"/>
          <w:lang w:val="es-ES" w:eastAsia="es-ES"/>
        </w:rPr>
        <w:t xml:space="preserve"> </w:t>
      </w:r>
      <w:r w:rsidRPr="00E43EBA">
        <w:rPr>
          <w:rFonts w:ascii="Century Gothic" w:eastAsia="Calibri" w:hAnsi="Century Gothic" w:cs="Arial"/>
          <w:lang w:val="es-ES" w:eastAsia="es-ES"/>
        </w:rPr>
        <w:t xml:space="preserve">de </w:t>
      </w:r>
      <w:r w:rsidR="00BF755C" w:rsidRPr="00E43EBA">
        <w:rPr>
          <w:rFonts w:ascii="Century Gothic" w:eastAsia="Calibri" w:hAnsi="Century Gothic" w:cs="Arial"/>
          <w:lang w:val="es-ES" w:eastAsia="es-ES"/>
        </w:rPr>
        <w:t>mayo</w:t>
      </w:r>
      <w:r w:rsidRPr="00E43EBA">
        <w:rPr>
          <w:rFonts w:ascii="Century Gothic" w:eastAsia="Calibri" w:hAnsi="Century Gothic" w:cs="Arial"/>
          <w:lang w:val="es-ES" w:eastAsia="es-ES"/>
        </w:rPr>
        <w:t xml:space="preserve"> de 20</w:t>
      </w:r>
      <w:r w:rsidR="00BF755C" w:rsidRPr="00E43EBA">
        <w:rPr>
          <w:rFonts w:ascii="Century Gothic" w:eastAsia="Calibri" w:hAnsi="Century Gothic" w:cs="Arial"/>
          <w:lang w:val="es-ES" w:eastAsia="es-ES"/>
        </w:rPr>
        <w:t>24</w:t>
      </w:r>
      <w:r w:rsidRPr="00E43EBA">
        <w:rPr>
          <w:rFonts w:ascii="Century Gothic" w:eastAsia="Calibri" w:hAnsi="Century Gothic" w:cs="Arial"/>
          <w:lang w:val="es-ES" w:eastAsia="es-ES"/>
        </w:rPr>
        <w:t xml:space="preserve">, en la cual manifiesta lo siguiente: </w:t>
      </w:r>
    </w:p>
    <w:p w14:paraId="6DBD3E26" w14:textId="77777777" w:rsidR="00871B59" w:rsidRPr="00A83E50"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sz w:val="20"/>
          <w:szCs w:val="20"/>
          <w:lang w:val="es-ES"/>
        </w:rPr>
      </w:pPr>
    </w:p>
    <w:p w14:paraId="1006183E" w14:textId="16472F35" w:rsidR="00871B59" w:rsidRPr="00A83E50" w:rsidRDefault="00871B59" w:rsidP="00E41FB7">
      <w:pPr>
        <w:ind w:left="709" w:right="616"/>
        <w:jc w:val="both"/>
        <w:rPr>
          <w:rFonts w:ascii="Century Gothic" w:eastAsia="Century Gothic" w:hAnsi="Century Gothic" w:cs="Century Gothic"/>
          <w:sz w:val="20"/>
          <w:szCs w:val="20"/>
          <w:lang w:val="es-ES"/>
        </w:rPr>
      </w:pPr>
      <w:bookmarkStart w:id="0" w:name="_Hlk95313578"/>
      <w:r w:rsidRPr="00A83E50">
        <w:rPr>
          <w:rFonts w:ascii="Century Gothic" w:eastAsia="Century Gothic" w:hAnsi="Century Gothic" w:cs="Century Gothic"/>
          <w:sz w:val="20"/>
          <w:szCs w:val="20"/>
          <w:lang w:val="es-ES"/>
        </w:rPr>
        <w:t>“</w:t>
      </w:r>
      <w:bookmarkEnd w:id="0"/>
      <w:r w:rsidR="00E41FB7" w:rsidRPr="00E41FB7">
        <w:rPr>
          <w:rFonts w:ascii="Century Gothic" w:eastAsia="Century Gothic" w:hAnsi="Century Gothic" w:cs="Century Gothic"/>
          <w:sz w:val="20"/>
          <w:szCs w:val="20"/>
          <w:lang w:val="es-ES"/>
        </w:rPr>
        <w:t>Por favor indicarme dónde puedo consultar cuál es el tiempo máximo permitido para</w:t>
      </w:r>
      <w:r w:rsidR="00E41FB7">
        <w:rPr>
          <w:rFonts w:ascii="Century Gothic" w:eastAsia="Century Gothic" w:hAnsi="Century Gothic" w:cs="Century Gothic"/>
          <w:sz w:val="20"/>
          <w:szCs w:val="20"/>
          <w:lang w:val="es-ES"/>
        </w:rPr>
        <w:t xml:space="preserve"> </w:t>
      </w:r>
      <w:r w:rsidR="00E41FB7" w:rsidRPr="00E41FB7">
        <w:rPr>
          <w:rFonts w:ascii="Century Gothic" w:eastAsia="Century Gothic" w:hAnsi="Century Gothic" w:cs="Century Gothic"/>
          <w:sz w:val="20"/>
          <w:szCs w:val="20"/>
          <w:lang w:val="es-ES"/>
        </w:rPr>
        <w:t xml:space="preserve">liquidación de un contrato, una vez se haya termniado el plazo </w:t>
      </w:r>
      <w:r w:rsidR="00E41FB7">
        <w:rPr>
          <w:rFonts w:ascii="Century Gothic" w:eastAsia="Century Gothic" w:hAnsi="Century Gothic" w:cs="Century Gothic"/>
          <w:sz w:val="20"/>
          <w:szCs w:val="20"/>
          <w:lang w:val="es-ES"/>
        </w:rPr>
        <w:t xml:space="preserve"> </w:t>
      </w:r>
      <w:r w:rsidR="00E41FB7" w:rsidRPr="00E41FB7">
        <w:rPr>
          <w:rFonts w:ascii="Century Gothic" w:eastAsia="Century Gothic" w:hAnsi="Century Gothic" w:cs="Century Gothic"/>
          <w:sz w:val="20"/>
          <w:szCs w:val="20"/>
          <w:lang w:val="es-ES"/>
        </w:rPr>
        <w:t>y el contratista haya</w:t>
      </w:r>
      <w:r w:rsidR="00E41FB7">
        <w:rPr>
          <w:rFonts w:ascii="Century Gothic" w:eastAsia="Century Gothic" w:hAnsi="Century Gothic" w:cs="Century Gothic"/>
          <w:sz w:val="20"/>
          <w:szCs w:val="20"/>
          <w:lang w:val="es-ES"/>
        </w:rPr>
        <w:t xml:space="preserve"> </w:t>
      </w:r>
      <w:r w:rsidR="00E41FB7" w:rsidRPr="00E41FB7">
        <w:rPr>
          <w:rFonts w:ascii="Century Gothic" w:eastAsia="Century Gothic" w:hAnsi="Century Gothic" w:cs="Century Gothic"/>
          <w:sz w:val="20"/>
          <w:szCs w:val="20"/>
          <w:lang w:val="es-ES"/>
        </w:rPr>
        <w:t>cumplido con el objeto contractual. En el Contrato en particular que yo Superviso,</w:t>
      </w:r>
      <w:r w:rsidR="00E41FB7">
        <w:rPr>
          <w:rFonts w:ascii="Century Gothic" w:eastAsia="Century Gothic" w:hAnsi="Century Gothic" w:cs="Century Gothic"/>
          <w:sz w:val="20"/>
          <w:szCs w:val="20"/>
          <w:lang w:val="es-ES"/>
        </w:rPr>
        <w:t xml:space="preserve"> </w:t>
      </w:r>
      <w:r w:rsidR="00E41FB7" w:rsidRPr="00E41FB7">
        <w:rPr>
          <w:rFonts w:ascii="Century Gothic" w:eastAsia="Century Gothic" w:hAnsi="Century Gothic" w:cs="Century Gothic"/>
          <w:sz w:val="20"/>
          <w:szCs w:val="20"/>
          <w:lang w:val="es-ES"/>
        </w:rPr>
        <w:t xml:space="preserve">contrato de prestación de servicios, no aparece </w:t>
      </w:r>
      <w:r w:rsidR="006E1D19" w:rsidRPr="00A83E50">
        <w:rPr>
          <w:rFonts w:ascii="Century Gothic" w:eastAsia="Century Gothic" w:hAnsi="Century Gothic" w:cs="Century Gothic"/>
          <w:sz w:val="20"/>
          <w:szCs w:val="20"/>
          <w:lang w:val="es-ES"/>
        </w:rPr>
        <w:t>[sic]</w:t>
      </w:r>
    </w:p>
    <w:p w14:paraId="54DCAD4E" w14:textId="77777777" w:rsidR="00871B59" w:rsidRPr="00E43EBA"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lang w:val="es-ES"/>
        </w:rPr>
      </w:pPr>
    </w:p>
    <w:p w14:paraId="30F17EAD" w14:textId="77777777" w:rsidR="00871B59" w:rsidRPr="00E43EBA" w:rsidRDefault="00871B59" w:rsidP="00871B59">
      <w:pPr>
        <w:spacing w:after="120" w:line="276" w:lineRule="auto"/>
        <w:ind w:firstLine="709"/>
        <w:jc w:val="both"/>
        <w:rPr>
          <w:rFonts w:ascii="Century Gothic" w:eastAsia="Calibri" w:hAnsi="Century Gothic" w:cs="Arial"/>
          <w:color w:val="000000"/>
          <w:lang w:val="es-ES_tradnl" w:eastAsia="es-ES_tradnl"/>
        </w:rPr>
      </w:pPr>
      <w:r w:rsidRPr="00E43EBA">
        <w:rPr>
          <w:rFonts w:ascii="Century Gothic" w:eastAsia="Calibri" w:hAnsi="Century Gothic"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43EBA">
        <w:rPr>
          <w:rFonts w:ascii="Century Gothic" w:eastAsia="Calibri" w:hAnsi="Century Gothic" w:cs="Arial"/>
          <w:color w:val="000000"/>
          <w:lang w:val="es-ES_tradnl" w:eastAsia="es-ES_tradnl"/>
        </w:rPr>
        <w:tab/>
      </w:r>
    </w:p>
    <w:p w14:paraId="3B95778F" w14:textId="33E11D52" w:rsidR="00871B59" w:rsidRPr="00E43EBA" w:rsidRDefault="00871B59" w:rsidP="00871B59">
      <w:pPr>
        <w:spacing w:after="0" w:line="276" w:lineRule="auto"/>
        <w:ind w:firstLine="709"/>
        <w:jc w:val="both"/>
        <w:rPr>
          <w:rFonts w:ascii="Century Gothic" w:eastAsia="Calibri" w:hAnsi="Century Gothic" w:cs="Arial"/>
          <w:color w:val="000000"/>
          <w:lang w:val="es-ES" w:eastAsia="es-ES"/>
        </w:rPr>
      </w:pPr>
      <w:r w:rsidRPr="00E43EBA">
        <w:rPr>
          <w:rFonts w:ascii="Century Gothic" w:eastAsia="Calibri" w:hAnsi="Century Gothic"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problema</w:t>
      </w:r>
      <w:r w:rsidR="00BF755C"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jurídico</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 xml:space="preserve">de su consulta. </w:t>
      </w:r>
    </w:p>
    <w:p w14:paraId="70187214" w14:textId="77777777" w:rsidR="00871B59" w:rsidRPr="00E43EBA" w:rsidRDefault="00871B59" w:rsidP="00871B59">
      <w:pPr>
        <w:spacing w:after="0" w:line="276" w:lineRule="auto"/>
        <w:ind w:firstLine="709"/>
        <w:jc w:val="both"/>
        <w:rPr>
          <w:rFonts w:ascii="Century Gothic" w:eastAsia="Calibri" w:hAnsi="Century Gothic" w:cs="Arial"/>
          <w:color w:val="000000"/>
          <w:lang w:val="es-ES" w:eastAsia="es-ES"/>
        </w:rPr>
      </w:pPr>
    </w:p>
    <w:p w14:paraId="74DD4DE4" w14:textId="77777777" w:rsidR="00871B59" w:rsidRPr="00E43EBA" w:rsidRDefault="00871B59" w:rsidP="00871B59">
      <w:pPr>
        <w:pStyle w:val="Prrafodelista"/>
        <w:numPr>
          <w:ilvl w:val="0"/>
          <w:numId w:val="4"/>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Problema planteado:</w:t>
      </w:r>
    </w:p>
    <w:p w14:paraId="690221EE" w14:textId="77777777" w:rsidR="00871B59" w:rsidRPr="00E43EBA" w:rsidRDefault="00871B59" w:rsidP="00871B59">
      <w:pPr>
        <w:tabs>
          <w:tab w:val="left" w:pos="426"/>
        </w:tabs>
        <w:spacing w:after="0" w:line="276" w:lineRule="auto"/>
        <w:jc w:val="both"/>
        <w:rPr>
          <w:rFonts w:ascii="Century Gothic" w:eastAsia="Century Gothic" w:hAnsi="Century Gothic" w:cs="Century Gothic"/>
          <w:lang w:val="es-ES"/>
        </w:rPr>
      </w:pPr>
    </w:p>
    <w:p w14:paraId="11DC9C47" w14:textId="0FB41E51" w:rsidR="00871B59" w:rsidRPr="00E41FB7" w:rsidRDefault="00871B59" w:rsidP="00E41FB7">
      <w:pPr>
        <w:ind w:left="709" w:right="616"/>
        <w:jc w:val="both"/>
        <w:rPr>
          <w:rFonts w:ascii="Century Gothic" w:eastAsia="Times New Roman" w:hAnsi="Century Gothic" w:cs="Times New Roman"/>
          <w:color w:val="000000"/>
          <w:lang w:eastAsia="es-CO"/>
        </w:rPr>
      </w:pPr>
      <w:r w:rsidRPr="00E43EBA">
        <w:rPr>
          <w:rFonts w:ascii="Century Gothic" w:eastAsia="Century Gothic" w:hAnsi="Century Gothic" w:cs="Century Gothic"/>
        </w:rPr>
        <w:t xml:space="preserve">De acuerdo con el contenido de su solicitud, esta Agencia resolverá </w:t>
      </w:r>
      <w:r w:rsidR="00E41FB7">
        <w:rPr>
          <w:rFonts w:ascii="Century Gothic" w:eastAsia="Century Gothic" w:hAnsi="Century Gothic" w:cs="Century Gothic"/>
        </w:rPr>
        <w:t>los</w:t>
      </w:r>
      <w:r w:rsidRPr="00E43EBA">
        <w:rPr>
          <w:rFonts w:ascii="Century Gothic" w:eastAsia="Century Gothic" w:hAnsi="Century Gothic" w:cs="Century Gothic"/>
        </w:rPr>
        <w:t xml:space="preserve"> siguiente</w:t>
      </w:r>
      <w:r w:rsidR="00E41FB7">
        <w:rPr>
          <w:rFonts w:ascii="Century Gothic" w:eastAsia="Century Gothic" w:hAnsi="Century Gothic" w:cs="Century Gothic"/>
        </w:rPr>
        <w:t>s</w:t>
      </w:r>
      <w:r w:rsidR="00BF755C" w:rsidRPr="00E43EBA">
        <w:rPr>
          <w:rFonts w:ascii="Century Gothic" w:eastAsia="Century Gothic" w:hAnsi="Century Gothic" w:cs="Century Gothic"/>
        </w:rPr>
        <w:t xml:space="preserve"> </w:t>
      </w:r>
      <w:r w:rsidRPr="00E43EBA">
        <w:rPr>
          <w:rFonts w:ascii="Century Gothic" w:eastAsia="Century Gothic" w:hAnsi="Century Gothic" w:cs="Century Gothic"/>
        </w:rPr>
        <w:t>problema</w:t>
      </w:r>
      <w:r w:rsidR="00E41FB7">
        <w:rPr>
          <w:rFonts w:ascii="Century Gothic" w:eastAsia="Century Gothic" w:hAnsi="Century Gothic" w:cs="Century Gothic"/>
        </w:rPr>
        <w:t>s</w:t>
      </w:r>
      <w:r w:rsidRPr="00E43EBA">
        <w:rPr>
          <w:rFonts w:ascii="Century Gothic" w:eastAsia="Century Gothic" w:hAnsi="Century Gothic" w:cs="Century Gothic"/>
        </w:rPr>
        <w:t xml:space="preserve"> jurídico: </w:t>
      </w:r>
      <w:r w:rsidR="00E41FB7">
        <w:rPr>
          <w:rFonts w:ascii="Century Gothic" w:eastAsia="Century Gothic" w:hAnsi="Century Gothic" w:cs="Century Gothic"/>
        </w:rPr>
        <w:t>¿Cuáles son los plazos para liquidar un contrato estatal</w:t>
      </w:r>
      <w:r w:rsidR="00BF755C" w:rsidRPr="00E43EBA">
        <w:rPr>
          <w:rFonts w:ascii="Century Gothic" w:eastAsia="Century Gothic" w:hAnsi="Century Gothic" w:cs="Century Gothic"/>
        </w:rPr>
        <w:t>?</w:t>
      </w:r>
      <w:r w:rsidR="00E41FB7">
        <w:rPr>
          <w:rFonts w:ascii="Century Gothic" w:eastAsia="Century Gothic" w:hAnsi="Century Gothic" w:cs="Century Gothic"/>
        </w:rPr>
        <w:t xml:space="preserve"> ¿Los contratos de prestación de servicios se deben liquidar?</w:t>
      </w:r>
    </w:p>
    <w:p w14:paraId="57640A16"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33E3D3F8" w14:textId="0BFBC359"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Respuesta</w:t>
      </w:r>
      <w:r w:rsidR="00E41FB7">
        <w:rPr>
          <w:rFonts w:ascii="Century Gothic" w:eastAsia="Century Gothic" w:hAnsi="Century Gothic" w:cs="Century Gothic"/>
          <w:b/>
          <w:bCs/>
          <w:lang w:val="es-ES"/>
        </w:rPr>
        <w:t>s</w:t>
      </w:r>
      <w:r w:rsidRPr="00E43EBA">
        <w:rPr>
          <w:rFonts w:ascii="Century Gothic" w:eastAsia="Century Gothic" w:hAnsi="Century Gothic" w:cs="Century Gothic"/>
          <w:b/>
          <w:bCs/>
          <w:lang w:val="es-ES"/>
        </w:rPr>
        <w:t>:</w:t>
      </w:r>
    </w:p>
    <w:p w14:paraId="4647B31A"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E43EBA" w14:paraId="14984B9D" w14:textId="77777777" w:rsidTr="002607A7">
        <w:tc>
          <w:tcPr>
            <w:tcW w:w="8828" w:type="dxa"/>
            <w:shd w:val="clear" w:color="auto" w:fill="auto"/>
          </w:tcPr>
          <w:p w14:paraId="71DFB816" w14:textId="62D08C76" w:rsidR="00E41FB7" w:rsidRDefault="00E41FB7" w:rsidP="00E41FB7">
            <w:pPr>
              <w:spacing w:after="120" w:line="276" w:lineRule="auto"/>
              <w:jc w:val="both"/>
              <w:rPr>
                <w:rFonts w:ascii="Arial" w:eastAsia="Times New Roman" w:hAnsi="Arial" w:cs="Arial"/>
                <w:color w:val="201F1E"/>
                <w:bdr w:val="none" w:sz="0" w:space="0" w:color="auto" w:frame="1"/>
                <w:shd w:val="clear" w:color="auto" w:fill="FFFFFF"/>
                <w:lang w:eastAsia="es-ES"/>
              </w:rPr>
            </w:pPr>
            <w:r>
              <w:rPr>
                <w:rFonts w:ascii="Century Gothic" w:eastAsia="Calibri" w:hAnsi="Century Gothic" w:cs="Arial"/>
                <w:lang w:eastAsia="es-MX"/>
              </w:rPr>
              <w:t>La etapa</w:t>
            </w:r>
            <w:r w:rsidRPr="00E41FB7">
              <w:rPr>
                <w:rFonts w:ascii="Century Gothic" w:eastAsia="Calibri" w:hAnsi="Century Gothic" w:cs="Arial"/>
                <w:lang w:eastAsia="es-MX"/>
              </w:rPr>
              <w:t xml:space="preserve"> de liquidación cuenta con unos plazos específicos establecidos por el artículo 11 de la Ley 1150 de 2007: i) el plazo convencionalmente establecido por las partes o, en su ausencia, el término supletivo establecido para la liquidación bilateral de 4 meses; ii) uno siguiente de 2 meses para realizar la liquidación de </w:t>
            </w:r>
            <w:r w:rsidRPr="00E41FB7">
              <w:rPr>
                <w:rFonts w:ascii="Century Gothic" w:eastAsia="Calibri" w:hAnsi="Century Gothic" w:cs="Arial"/>
                <w:lang w:eastAsia="es-MX"/>
              </w:rPr>
              <w:lastRenderedPageBreak/>
              <w:t>forma unilateral por parte de la Entidad Estatal, y iii) vencidos estos plazos, existe la posibilidad de liquidar de mutuo acuerdo o unilateralmente el contrato dentro de los 2 años siguientes, sin perjuicio de acudir a un proceso donde se pretenda la liquidación judicial.</w:t>
            </w:r>
            <w:r w:rsidRPr="6C2B77A5">
              <w:rPr>
                <w:rFonts w:ascii="Arial" w:eastAsia="Times New Roman" w:hAnsi="Arial" w:cs="Arial"/>
                <w:color w:val="201F1E"/>
                <w:bdr w:val="none" w:sz="0" w:space="0" w:color="auto" w:frame="1"/>
                <w:shd w:val="clear" w:color="auto" w:fill="FFFFFF"/>
                <w:lang w:eastAsia="es-ES"/>
              </w:rPr>
              <w:t> </w:t>
            </w:r>
          </w:p>
          <w:p w14:paraId="3BA577E1" w14:textId="77777777" w:rsidR="00E41FB7" w:rsidRDefault="00E41FB7" w:rsidP="00E41FB7">
            <w:pPr>
              <w:spacing w:after="120" w:line="276" w:lineRule="auto"/>
              <w:ind w:firstLine="708"/>
              <w:jc w:val="both"/>
              <w:rPr>
                <w:rFonts w:ascii="Arial" w:eastAsia="Times New Roman" w:hAnsi="Arial" w:cs="Arial"/>
                <w:color w:val="201F1E"/>
                <w:bdr w:val="none" w:sz="0" w:space="0" w:color="auto" w:frame="1"/>
                <w:shd w:val="clear" w:color="auto" w:fill="FFFFFF"/>
                <w:lang w:eastAsia="es-ES"/>
              </w:rPr>
            </w:pPr>
          </w:p>
          <w:p w14:paraId="2AA6E375" w14:textId="5E89CF68" w:rsidR="00E41FB7" w:rsidRPr="00E41FB7" w:rsidRDefault="00E41FB7" w:rsidP="00E41FB7">
            <w:pPr>
              <w:spacing w:after="120" w:line="276" w:lineRule="auto"/>
              <w:jc w:val="both"/>
              <w:rPr>
                <w:rFonts w:ascii="Century Gothic" w:eastAsia="Calibri" w:hAnsi="Century Gothic" w:cs="Arial"/>
                <w:lang w:eastAsia="es-MX"/>
              </w:rPr>
            </w:pPr>
            <w:r w:rsidRPr="00E41FB7">
              <w:rPr>
                <w:rFonts w:ascii="Century Gothic" w:eastAsia="Calibri" w:hAnsi="Century Gothic" w:cs="Arial"/>
                <w:lang w:eastAsia="es-MX"/>
              </w:rPr>
              <w:t xml:space="preserve">Sin embargo, es necesario resaltar que de acuerdo con el artículo 60 de la Ley 80 de 1993, los contratos de tracto sucesivo, aquellos cuyo cumplimiento o ejecución se prolongue en el tiempo y los demás que lo requieran </w:t>
            </w:r>
            <w:r w:rsidR="00E23733">
              <w:rPr>
                <w:rFonts w:ascii="Century Gothic" w:eastAsia="Calibri" w:hAnsi="Century Gothic" w:cs="Arial"/>
                <w:lang w:eastAsia="es-MX"/>
              </w:rPr>
              <w:t>“</w:t>
            </w:r>
            <w:r w:rsidRPr="00E41FB7">
              <w:rPr>
                <w:rFonts w:ascii="Century Gothic" w:eastAsia="Calibri" w:hAnsi="Century Gothic" w:cs="Arial"/>
                <w:lang w:eastAsia="es-MX"/>
              </w:rPr>
              <w:t>serán objeto de liquidación</w:t>
            </w:r>
            <w:r w:rsidR="00E23733">
              <w:rPr>
                <w:rFonts w:ascii="Century Gothic" w:eastAsia="Calibri" w:hAnsi="Century Gothic" w:cs="Arial"/>
                <w:lang w:eastAsia="es-MX"/>
              </w:rPr>
              <w:t>”</w:t>
            </w:r>
            <w:r w:rsidRPr="00E41FB7">
              <w:rPr>
                <w:rFonts w:ascii="Century Gothic" w:eastAsia="Calibri" w:hAnsi="Century Gothic" w:cs="Arial"/>
                <w:lang w:eastAsia="es-MX"/>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E41FB7">
              <w:rPr>
                <w:rFonts w:ascii="Century Gothic" w:eastAsia="Calibri" w:hAnsi="Century Gothic" w:cs="Arial"/>
                <w:sz w:val="16"/>
                <w:szCs w:val="16"/>
                <w:lang w:eastAsia="es-MX"/>
              </w:rPr>
              <w:footnoteReference w:id="2"/>
            </w:r>
            <w:r w:rsidRPr="00E41FB7">
              <w:rPr>
                <w:rFonts w:ascii="Century Gothic" w:eastAsia="Calibri" w:hAnsi="Century Gothic" w:cs="Arial"/>
                <w:lang w:eastAsia="es-MX"/>
              </w:rPr>
              <w:t>, así como la probabilidad de que puedan surgir diferencias durante la ejecución del 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p w14:paraId="47AEB666" w14:textId="2EA60CBE" w:rsidR="00CE7288" w:rsidRPr="00E43EBA" w:rsidRDefault="00CE7288" w:rsidP="00E41FB7">
            <w:pPr>
              <w:pStyle w:val="Textoindependiente"/>
              <w:spacing w:before="1" w:line="276" w:lineRule="auto"/>
              <w:ind w:left="300" w:right="207"/>
              <w:jc w:val="both"/>
              <w:rPr>
                <w:rFonts w:ascii="Century Gothic" w:eastAsia="Calibri" w:hAnsi="Century Gothic" w:cs="Arial"/>
                <w:lang w:eastAsia="es-MX"/>
              </w:rPr>
            </w:pPr>
          </w:p>
        </w:tc>
      </w:tr>
    </w:tbl>
    <w:p w14:paraId="3199705F"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6678B80A"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Razones de la respuesta:</w:t>
      </w:r>
    </w:p>
    <w:p w14:paraId="40393512"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6DB5BA6B" w14:textId="77777777" w:rsidR="00871B59" w:rsidRPr="00E43EBA" w:rsidRDefault="00871B59" w:rsidP="00871B59">
      <w:pPr>
        <w:spacing w:after="0" w:line="276" w:lineRule="auto"/>
        <w:jc w:val="both"/>
        <w:rPr>
          <w:rFonts w:ascii="Century Gothic" w:eastAsia="Calibri" w:hAnsi="Century Gothic" w:cs="Arial"/>
          <w:lang w:val="es-ES"/>
        </w:rPr>
      </w:pPr>
      <w:r w:rsidRPr="00E43EBA">
        <w:rPr>
          <w:rFonts w:ascii="Century Gothic" w:eastAsia="Calibri" w:hAnsi="Century Gothic" w:cs="Arial"/>
          <w:lang w:val="es-ES"/>
        </w:rPr>
        <w:t xml:space="preserve">Lo anterior se sustenta en las siguientes consideraciones: </w:t>
      </w:r>
    </w:p>
    <w:p w14:paraId="6FBD94A1"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290FB21C" w14:textId="77777777" w:rsidR="00CE7288" w:rsidRPr="00E43EBA" w:rsidRDefault="00CE7288" w:rsidP="00CE7288">
      <w:pPr>
        <w:pStyle w:val="Prrafodelista"/>
        <w:spacing w:line="276" w:lineRule="auto"/>
        <w:jc w:val="both"/>
        <w:rPr>
          <w:rFonts w:ascii="Century Gothic" w:eastAsia="Calibri" w:hAnsi="Century Gothic" w:cs="Arial"/>
          <w:color w:val="7030A0"/>
        </w:rPr>
      </w:pPr>
    </w:p>
    <w:p w14:paraId="39B8A363" w14:textId="77777777" w:rsidR="00E41FB7" w:rsidRPr="00E41FB7" w:rsidRDefault="00E41FB7" w:rsidP="00E41FB7">
      <w:pPr>
        <w:pStyle w:val="Prrafodelista"/>
        <w:numPr>
          <w:ilvl w:val="0"/>
          <w:numId w:val="13"/>
        </w:numPr>
        <w:spacing w:after="200" w:line="276" w:lineRule="auto"/>
        <w:jc w:val="both"/>
        <w:rPr>
          <w:rFonts w:ascii="Century Gothic" w:eastAsia="Calibri" w:hAnsi="Century Gothic" w:cs="Arial"/>
          <w:lang w:val="es-ES"/>
        </w:rPr>
      </w:pPr>
      <w:r w:rsidRPr="00E41FB7">
        <w:rPr>
          <w:rFonts w:ascii="Century Gothic" w:eastAsia="Calibri" w:hAnsi="Century Gothic" w:cs="Arial"/>
          <w:lang w:val="es-ES"/>
        </w:rPr>
        <w:t xml:space="preserve">Las disposiciones legales que regulan la etapa de liquidación de los contratos estatales son el artículo 60 de la Ley 80 de 1993, modificado por el artículo 217 del Decreto 019 de 2012, y el artículo 11 de la Ley 1150 de 2007. </w:t>
      </w:r>
      <w:r w:rsidRPr="00E41FB7">
        <w:rPr>
          <w:rFonts w:ascii="Century Gothic" w:eastAsia="Calibri" w:hAnsi="Century Gothic" w:cs="Arial"/>
          <w:lang w:val="es-ES"/>
        </w:rPr>
        <w:lastRenderedPageBreak/>
        <w:t>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7B60D38B" w14:textId="331CA5E8" w:rsidR="00E41FB7" w:rsidRPr="00E41FB7" w:rsidRDefault="00E41FB7" w:rsidP="00E41FB7">
      <w:pPr>
        <w:spacing w:after="200" w:line="240" w:lineRule="auto"/>
        <w:ind w:left="709" w:right="758"/>
        <w:jc w:val="both"/>
        <w:rPr>
          <w:rFonts w:ascii="Century Gothic" w:eastAsia="Calibri" w:hAnsi="Century Gothic" w:cs="Arial"/>
          <w:sz w:val="20"/>
          <w:szCs w:val="20"/>
          <w:lang w:val="es-ES"/>
        </w:rPr>
      </w:pPr>
      <w:r w:rsidRPr="00E41FB7">
        <w:rPr>
          <w:rFonts w:ascii="Century Gothic" w:eastAsia="Calibri" w:hAnsi="Century Gothic" w:cs="Arial"/>
          <w:sz w:val="20"/>
          <w:szCs w:val="20"/>
          <w:lang w:val="es-ES"/>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E41FB7">
        <w:rPr>
          <w:rFonts w:ascii="Century Gothic" w:eastAsia="Calibri" w:hAnsi="Century Gothic" w:cs="Arial"/>
          <w:sz w:val="20"/>
          <w:szCs w:val="20"/>
          <w:lang w:val="es-ES"/>
        </w:rPr>
        <w:footnoteReference w:id="3"/>
      </w:r>
      <w:r w:rsidRPr="00E41FB7">
        <w:rPr>
          <w:rFonts w:ascii="Century Gothic" w:eastAsia="Calibri" w:hAnsi="Century Gothic" w:cs="Arial"/>
          <w:sz w:val="20"/>
          <w:szCs w:val="20"/>
          <w:lang w:val="es-ES"/>
        </w:rPr>
        <w:t>.”</w:t>
      </w:r>
    </w:p>
    <w:p w14:paraId="4E8F2C25" w14:textId="77777777" w:rsidR="00E43EBA" w:rsidRPr="00E41FB7" w:rsidRDefault="00E43EBA" w:rsidP="00E43EBA">
      <w:pPr>
        <w:pStyle w:val="Prrafodelista"/>
        <w:widowControl w:val="0"/>
        <w:tabs>
          <w:tab w:val="left" w:pos="728"/>
        </w:tabs>
        <w:autoSpaceDE w:val="0"/>
        <w:autoSpaceDN w:val="0"/>
        <w:spacing w:after="120" w:line="276" w:lineRule="auto"/>
        <w:jc w:val="both"/>
        <w:rPr>
          <w:rFonts w:ascii="Century Gothic" w:eastAsia="Arial" w:hAnsi="Century Gothic" w:cs="Arial"/>
          <w:lang w:val="es-ES_tradnl"/>
        </w:rPr>
      </w:pPr>
    </w:p>
    <w:p w14:paraId="0887F405" w14:textId="3C337377" w:rsidR="00E43EBA" w:rsidRPr="00E41FB7" w:rsidRDefault="00E43EBA" w:rsidP="00E43EBA">
      <w:pPr>
        <w:pStyle w:val="Prrafodelista"/>
        <w:widowControl w:val="0"/>
        <w:numPr>
          <w:ilvl w:val="0"/>
          <w:numId w:val="12"/>
        </w:numPr>
        <w:tabs>
          <w:tab w:val="left" w:pos="728"/>
        </w:tabs>
        <w:autoSpaceDE w:val="0"/>
        <w:autoSpaceDN w:val="0"/>
        <w:spacing w:after="120" w:line="276" w:lineRule="auto"/>
        <w:jc w:val="both"/>
        <w:rPr>
          <w:rFonts w:ascii="Century Gothic" w:eastAsia="Calibri" w:hAnsi="Century Gothic" w:cs="Arial"/>
          <w:lang w:val="es-ES"/>
        </w:rPr>
      </w:pPr>
      <w:r w:rsidRPr="00E43EBA">
        <w:rPr>
          <w:rFonts w:ascii="Century Gothic" w:eastAsia="Arial" w:hAnsi="Century Gothic" w:cs="Arial"/>
          <w:lang w:val="es-ES"/>
        </w:rPr>
        <w:tab/>
      </w:r>
      <w:r w:rsidR="00E41FB7" w:rsidRPr="00E41FB7">
        <w:rPr>
          <w:rFonts w:ascii="Century Gothic" w:eastAsia="Calibri" w:hAnsi="Century Gothic" w:cs="Arial"/>
          <w:lang w:val="es-ES"/>
        </w:rPr>
        <w:t>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00E41FB7" w:rsidRPr="00E41FB7">
        <w:rPr>
          <w:rFonts w:ascii="Century Gothic" w:eastAsia="Calibri" w:hAnsi="Century Gothic" w:cs="Arial"/>
          <w:lang w:val="es-ES"/>
        </w:rPr>
        <w:footnoteReference w:id="4"/>
      </w:r>
      <w:r w:rsidR="00E41FB7" w:rsidRPr="00E41FB7">
        <w:rPr>
          <w:rFonts w:ascii="Century Gothic" w:eastAsia="Calibri" w:hAnsi="Century Gothic" w:cs="Arial"/>
          <w:lang w:val="es-ES"/>
        </w:rPr>
        <w:t>, así como la probabilidad de que puedan surgir diferencias durante la ejecución del 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p w14:paraId="71FBBB94" w14:textId="77777777" w:rsidR="00E43EBA" w:rsidRPr="00E41FB7" w:rsidRDefault="00E43EBA" w:rsidP="00E43EBA">
      <w:pPr>
        <w:pStyle w:val="Prrafodelista"/>
        <w:spacing w:after="0" w:line="276" w:lineRule="auto"/>
        <w:jc w:val="both"/>
        <w:rPr>
          <w:rFonts w:ascii="Century Gothic" w:eastAsia="Calibri" w:hAnsi="Century Gothic" w:cs="Arial"/>
          <w:lang w:val="es-ES"/>
        </w:rPr>
      </w:pPr>
    </w:p>
    <w:p w14:paraId="386EF0EC" w14:textId="77777777" w:rsidR="00E41FB7" w:rsidRDefault="00E41FB7" w:rsidP="00E41FB7">
      <w:pPr>
        <w:pStyle w:val="Prrafodelista"/>
        <w:numPr>
          <w:ilvl w:val="0"/>
          <w:numId w:val="12"/>
        </w:numPr>
        <w:spacing w:after="200" w:line="276" w:lineRule="auto"/>
        <w:jc w:val="both"/>
        <w:rPr>
          <w:rFonts w:ascii="Century Gothic" w:eastAsia="Calibri" w:hAnsi="Century Gothic" w:cs="Arial"/>
          <w:lang w:val="es-ES"/>
        </w:rPr>
      </w:pPr>
      <w:r w:rsidRPr="00E41FB7">
        <w:rPr>
          <w:rFonts w:ascii="Century Gothic" w:eastAsia="Calibri" w:hAnsi="Century Gothic" w:cs="Arial"/>
          <w:lang w:val="es-ES"/>
        </w:rPr>
        <w:lastRenderedPageBreak/>
        <w:t>El artículo 11 de la Ley 1150 de 2007</w:t>
      </w:r>
      <w:r w:rsidRPr="00E41FB7">
        <w:rPr>
          <w:rFonts w:ascii="Century Gothic" w:eastAsia="Calibri" w:hAnsi="Century Gothic" w:cs="Arial"/>
          <w:lang w:val="es-ES"/>
        </w:rPr>
        <w:footnoteReference w:id="5"/>
      </w:r>
      <w:r w:rsidRPr="00E41FB7">
        <w:rPr>
          <w:rFonts w:ascii="Century Gothic" w:eastAsia="Calibri" w:hAnsi="Century Gothic" w:cs="Arial"/>
          <w:lang w:val="es-ES"/>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44E1968E" w14:textId="77777777" w:rsidR="00E23733" w:rsidRPr="00E23733" w:rsidRDefault="00E23733" w:rsidP="00E23733">
      <w:pPr>
        <w:pStyle w:val="Prrafodelista"/>
        <w:rPr>
          <w:rFonts w:ascii="Century Gothic" w:eastAsia="Calibri" w:hAnsi="Century Gothic" w:cs="Arial"/>
          <w:lang w:val="es-ES"/>
        </w:rPr>
      </w:pPr>
    </w:p>
    <w:p w14:paraId="5E23C284" w14:textId="622B481E" w:rsidR="00E23733" w:rsidRDefault="00E23733" w:rsidP="00E23733">
      <w:pPr>
        <w:pStyle w:val="Prrafodelista"/>
        <w:numPr>
          <w:ilvl w:val="0"/>
          <w:numId w:val="12"/>
        </w:numPr>
        <w:spacing w:after="120" w:line="276" w:lineRule="auto"/>
        <w:jc w:val="both"/>
        <w:rPr>
          <w:rFonts w:ascii="Century Gothic" w:eastAsia="Calibri" w:hAnsi="Century Gothic" w:cs="Arial"/>
          <w:lang w:val="es-MX"/>
        </w:rPr>
      </w:pPr>
      <w:r w:rsidRPr="00E23733">
        <w:rPr>
          <w:rFonts w:ascii="Century Gothic" w:eastAsia="Calibri" w:hAnsi="Century Gothic" w:cs="Arial"/>
          <w:lang w:val="es-MX"/>
        </w:rPr>
        <w:t xml:space="preserve">El </w:t>
      </w:r>
      <w:r>
        <w:rPr>
          <w:rFonts w:ascii="Century Gothic" w:eastAsia="Calibri" w:hAnsi="Century Gothic" w:cs="Arial"/>
          <w:lang w:val="es-MX"/>
        </w:rPr>
        <w:t xml:space="preserve">mismo </w:t>
      </w:r>
      <w:r w:rsidRPr="00E23733">
        <w:rPr>
          <w:rFonts w:ascii="Century Gothic" w:eastAsia="Calibri" w:hAnsi="Century Gothic" w:cs="Arial"/>
          <w:lang w:val="es-MX"/>
        </w:rPr>
        <w:t xml:space="preserve">artículo 11 de la Ley 1150 de 2007 señala que la liquidación de mutuo acuerdo deberá realizar dentro del plazo previsto en “los pliegos de condiciones o sus equivalentes, o dentro del que acuerden las partes para el efecto”. Para dilucidar a qué se refiere la norma con “equivalentes” resulta necesario tener presente que el pliego de condiciones es un documento contentivo de las reglas aplicables a un determinado proceso de selección, que “materializa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w:t>
      </w:r>
      <w:r w:rsidRPr="00E23733">
        <w:rPr>
          <w:rFonts w:ascii="Century Gothic" w:eastAsia="Calibri" w:hAnsi="Century Gothic" w:cs="Arial"/>
          <w:lang w:val="es-MX"/>
        </w:rPr>
        <w:lastRenderedPageBreak/>
        <w:t>administrativo de selección del contratista, como del contrato a celebrar”</w:t>
      </w:r>
      <w:r w:rsidRPr="00E23733">
        <w:rPr>
          <w:rFonts w:ascii="Century Gothic" w:eastAsia="Calibri" w:hAnsi="Century Gothic" w:cs="Arial"/>
          <w:lang w:val="es-MX"/>
        </w:rPr>
        <w:footnoteReference w:id="6"/>
      </w:r>
      <w:r w:rsidRPr="00E23733">
        <w:rPr>
          <w:rFonts w:ascii="Century Gothic" w:eastAsia="Calibri" w:hAnsi="Century Gothic" w:cs="Arial"/>
          <w:lang w:val="es-MX"/>
        </w:rPr>
        <w:t>. A partir de tales características debe determinarse la equivalencia de un documento con un pliego de condiciones, la cual se puede ejemplificar claramente con la invitación a participar en los procesos de mínima cuantía</w:t>
      </w:r>
      <w:r w:rsidRPr="00E23733">
        <w:rPr>
          <w:rFonts w:ascii="Century Gothic" w:eastAsia="Calibri" w:hAnsi="Century Gothic" w:cs="Arial"/>
          <w:lang w:val="es-MX"/>
        </w:rPr>
        <w:footnoteReference w:id="7"/>
      </w:r>
      <w:r w:rsidRPr="00E23733">
        <w:rPr>
          <w:rFonts w:ascii="Century Gothic" w:eastAsia="Calibri" w:hAnsi="Century Gothic" w:cs="Arial"/>
          <w:lang w:val="es-MX"/>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r w:rsidRPr="00E23733">
        <w:rPr>
          <w:rFonts w:ascii="Century Gothic" w:eastAsia="Calibri" w:hAnsi="Century Gothic" w:cs="Arial"/>
          <w:i/>
          <w:iCs/>
          <w:lang w:val="es-MX"/>
        </w:rPr>
        <w:t>Ibídem,</w:t>
      </w:r>
      <w:r w:rsidRPr="00E23733">
        <w:rPr>
          <w:rFonts w:ascii="Century Gothic" w:eastAsia="Calibri" w:hAnsi="Century Gothic" w:cs="Arial"/>
          <w:lang w:val="es-MX"/>
        </w:rPr>
        <w:t xml:space="preserve"> dentro del cual es viable establecer el plazo para la liquidación de mutuo acuerdo. </w:t>
      </w:r>
    </w:p>
    <w:p w14:paraId="361128AD" w14:textId="77777777" w:rsidR="00E23733" w:rsidRPr="00E23733" w:rsidRDefault="00E23733" w:rsidP="00E23733">
      <w:pPr>
        <w:pStyle w:val="Prrafodelista"/>
        <w:spacing w:after="120" w:line="276" w:lineRule="auto"/>
        <w:jc w:val="both"/>
        <w:rPr>
          <w:rFonts w:ascii="Century Gothic" w:eastAsia="Calibri" w:hAnsi="Century Gothic" w:cs="Arial"/>
          <w:lang w:val="es-MX"/>
        </w:rPr>
      </w:pPr>
    </w:p>
    <w:p w14:paraId="4B5D23CE" w14:textId="646E5E28" w:rsidR="00CE7288" w:rsidRDefault="00E23733" w:rsidP="00E23733">
      <w:pPr>
        <w:pStyle w:val="Prrafodelista"/>
        <w:numPr>
          <w:ilvl w:val="0"/>
          <w:numId w:val="12"/>
        </w:numPr>
        <w:spacing w:after="0" w:line="240" w:lineRule="auto"/>
        <w:jc w:val="both"/>
        <w:rPr>
          <w:rFonts w:ascii="Century Gothic" w:eastAsia="Calibri" w:hAnsi="Century Gothic" w:cs="Arial"/>
          <w:lang w:val="es-MX"/>
        </w:rPr>
      </w:pPr>
      <w:r w:rsidRPr="00E23733">
        <w:rPr>
          <w:rFonts w:ascii="Century Gothic" w:eastAsia="Calibri" w:hAnsi="Century Gothic" w:cs="Arial"/>
          <w:lang w:val="es-MX"/>
        </w:rPr>
        <w:t>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E23733">
        <w:rPr>
          <w:rFonts w:ascii="Century Gothic" w:eastAsia="Calibri" w:hAnsi="Century Gothic" w:cs="Arial"/>
          <w:lang w:val="es-MX"/>
        </w:rPr>
        <w:footnoteReference w:id="8"/>
      </w:r>
      <w:r w:rsidRPr="00E23733">
        <w:rPr>
          <w:rFonts w:ascii="Century Gothic" w:eastAsia="Calibri" w:hAnsi="Century Gothic" w:cs="Arial"/>
          <w:lang w:val="es-MX"/>
        </w:rPr>
        <w:t>, lo cual implica que las mismas se desarrollen en procura de la economía y la celeridad</w:t>
      </w:r>
      <w:r w:rsidRPr="00E23733">
        <w:rPr>
          <w:rFonts w:ascii="Century Gothic" w:eastAsia="Calibri" w:hAnsi="Century Gothic" w:cs="Arial"/>
          <w:lang w:val="es-MX"/>
        </w:rPr>
        <w:footnoteReference w:id="9"/>
      </w:r>
      <w:r w:rsidRPr="00E23733">
        <w:rPr>
          <w:rFonts w:ascii="Century Gothic" w:eastAsia="Calibri" w:hAnsi="Century Gothic" w:cs="Arial"/>
          <w:lang w:val="es-MX"/>
        </w:rPr>
        <w:t xml:space="preserve">. Esto significa que, en ejercicio de </w:t>
      </w:r>
      <w:r w:rsidRPr="00E23733">
        <w:rPr>
          <w:rFonts w:ascii="Century Gothic" w:eastAsia="Calibri" w:hAnsi="Century Gothic" w:cs="Arial"/>
          <w:lang w:val="es-MX"/>
        </w:rPr>
        <w:lastRenderedPageBreak/>
        <w:t>la facultad que les asiste para fijar el plazo para la liquidación bilateral, las partes deben actuar en garantía de estos principios, por lo que el término que se acuerde debe ser fijado de manera razonable.</w:t>
      </w:r>
    </w:p>
    <w:p w14:paraId="791CEC61" w14:textId="77777777" w:rsidR="00E23733" w:rsidRDefault="00E23733" w:rsidP="00E23733">
      <w:pPr>
        <w:pStyle w:val="Prrafodelista"/>
        <w:spacing w:after="200" w:line="276" w:lineRule="auto"/>
        <w:jc w:val="both"/>
        <w:rPr>
          <w:rFonts w:ascii="Century Gothic" w:eastAsia="Calibri" w:hAnsi="Century Gothic" w:cs="Arial"/>
          <w:lang w:val="es-MX"/>
        </w:rPr>
      </w:pPr>
    </w:p>
    <w:p w14:paraId="1CF8CE90" w14:textId="601DFA6C" w:rsidR="00E23733" w:rsidRDefault="00E23733" w:rsidP="00E23733">
      <w:pPr>
        <w:pStyle w:val="Prrafodelista"/>
        <w:numPr>
          <w:ilvl w:val="0"/>
          <w:numId w:val="12"/>
        </w:numPr>
        <w:spacing w:after="200" w:line="276" w:lineRule="auto"/>
        <w:jc w:val="both"/>
        <w:rPr>
          <w:rFonts w:ascii="Century Gothic" w:eastAsia="Calibri" w:hAnsi="Century Gothic" w:cs="Arial"/>
          <w:lang w:val="es-MX"/>
        </w:rPr>
      </w:pPr>
      <w:r w:rsidRPr="00E23733">
        <w:rPr>
          <w:rFonts w:ascii="Century Gothic" w:eastAsia="Calibri" w:hAnsi="Century Gothic" w:cs="Arial"/>
          <w:lang w:val="es-MX"/>
        </w:rPr>
        <w:t>Si no es posible efectuar la liquidación de manera bilateral, el ordenamiento jurídico prevé una facultad, de carácter subsidiario, para que la Entidad Estatal realice la liquidación unilateralmente. En relación con este aspecto, la Sala de Consulta y Servicio Civil del Consejo de Estado, en concepto del 28 de junio de 2016</w:t>
      </w:r>
      <w:r w:rsidRPr="00E23733">
        <w:rPr>
          <w:rFonts w:ascii="Century Gothic" w:eastAsia="Calibri" w:hAnsi="Century Gothic" w:cs="Arial"/>
          <w:lang w:val="es-MX"/>
        </w:rPr>
        <w:footnoteReference w:id="10"/>
      </w:r>
      <w:r w:rsidRPr="00E23733">
        <w:rPr>
          <w:rFonts w:ascii="Century Gothic" w:eastAsia="Calibri" w:hAnsi="Century Gothic" w:cs="Arial"/>
          <w:lang w:val="es-MX"/>
        </w:rPr>
        <w:t>, manifestó que:  </w:t>
      </w:r>
    </w:p>
    <w:p w14:paraId="082DCCFF" w14:textId="77777777" w:rsidR="00E23733" w:rsidRPr="00E23733" w:rsidRDefault="00E23733" w:rsidP="00E23733">
      <w:pPr>
        <w:pStyle w:val="Prrafodelista"/>
        <w:spacing w:after="200" w:line="276" w:lineRule="auto"/>
        <w:jc w:val="both"/>
        <w:rPr>
          <w:rFonts w:ascii="Century Gothic" w:eastAsia="Calibri" w:hAnsi="Century Gothic" w:cs="Arial"/>
          <w:lang w:val="es-MX"/>
        </w:rPr>
      </w:pPr>
    </w:p>
    <w:p w14:paraId="10191B18" w14:textId="32A3AC87" w:rsidR="00E23733" w:rsidRPr="00E23733" w:rsidRDefault="00E23733" w:rsidP="00E23733">
      <w:pPr>
        <w:pStyle w:val="Prrafodelista"/>
        <w:spacing w:after="200" w:line="240" w:lineRule="auto"/>
        <w:ind w:left="1276" w:right="750"/>
        <w:jc w:val="both"/>
        <w:rPr>
          <w:rFonts w:ascii="Century Gothic" w:eastAsia="Calibri" w:hAnsi="Century Gothic" w:cs="Arial"/>
          <w:sz w:val="20"/>
          <w:szCs w:val="20"/>
          <w:lang w:val="es-MX"/>
        </w:rPr>
      </w:pPr>
      <w:r w:rsidRPr="00E23733">
        <w:rPr>
          <w:rFonts w:ascii="Century Gothic" w:eastAsia="Calibri" w:hAnsi="Century Gothic" w:cs="Arial"/>
          <w:sz w:val="20"/>
          <w:szCs w:val="20"/>
          <w:lang w:val="es-MX"/>
        </w:rPr>
        <w:t>“[…]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   </w:t>
      </w:r>
    </w:p>
    <w:p w14:paraId="2F8C7898" w14:textId="77777777" w:rsidR="00E23733" w:rsidRPr="00E23733" w:rsidRDefault="00E23733" w:rsidP="00E23733">
      <w:pPr>
        <w:pStyle w:val="Prrafodelista"/>
        <w:spacing w:after="200" w:line="240" w:lineRule="auto"/>
        <w:ind w:right="750"/>
        <w:jc w:val="both"/>
        <w:rPr>
          <w:rFonts w:ascii="Century Gothic" w:eastAsia="Calibri" w:hAnsi="Century Gothic" w:cs="Arial"/>
          <w:lang w:val="es-MX"/>
        </w:rPr>
      </w:pPr>
    </w:p>
    <w:p w14:paraId="2E3124B6" w14:textId="77777777" w:rsidR="00E23733" w:rsidRPr="00E23733" w:rsidRDefault="00E23733" w:rsidP="00E23733">
      <w:pPr>
        <w:pStyle w:val="Prrafodelista"/>
        <w:spacing w:after="200" w:line="276" w:lineRule="auto"/>
        <w:jc w:val="both"/>
        <w:rPr>
          <w:rFonts w:ascii="Century Gothic" w:eastAsia="Calibri" w:hAnsi="Century Gothic" w:cs="Arial"/>
          <w:lang w:val="es-MX"/>
        </w:rPr>
      </w:pPr>
      <w:r w:rsidRPr="00E23733">
        <w:rPr>
          <w:rFonts w:ascii="Century Gothic" w:eastAsia="Calibri" w:hAnsi="Century Gothic" w:cs="Arial"/>
          <w:lang w:val="es-MX"/>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524C4581" w14:textId="77777777" w:rsidR="00871B59" w:rsidRDefault="00871B59" w:rsidP="00E23733">
      <w:pPr>
        <w:pStyle w:val="Prrafodelista"/>
        <w:spacing w:after="0" w:line="240" w:lineRule="auto"/>
        <w:jc w:val="both"/>
        <w:rPr>
          <w:rFonts w:ascii="Century Gothic" w:eastAsia="Calibri" w:hAnsi="Century Gothic" w:cs="Arial"/>
          <w:lang w:val="es-MX"/>
        </w:rPr>
      </w:pPr>
    </w:p>
    <w:p w14:paraId="638C80BE" w14:textId="77777777" w:rsidR="00E23733" w:rsidRPr="00E23733" w:rsidRDefault="00E23733" w:rsidP="00E23733">
      <w:pPr>
        <w:pStyle w:val="Prrafodelista"/>
        <w:spacing w:after="0" w:line="240" w:lineRule="auto"/>
        <w:jc w:val="both"/>
        <w:rPr>
          <w:rFonts w:ascii="Century Gothic" w:eastAsia="Calibri" w:hAnsi="Century Gothic" w:cs="Arial"/>
          <w:lang w:val="es-MX"/>
        </w:rPr>
      </w:pPr>
    </w:p>
    <w:p w14:paraId="5313390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Referencias normativas, jurisprudenciales y otras fuentes:</w:t>
      </w:r>
    </w:p>
    <w:p w14:paraId="237FD993"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E43EBA" w14:paraId="150F7C2A" w14:textId="77777777" w:rsidTr="002607A7">
        <w:trPr>
          <w:trHeight w:val="870"/>
        </w:trPr>
        <w:tc>
          <w:tcPr>
            <w:tcW w:w="8647" w:type="dxa"/>
          </w:tcPr>
          <w:p w14:paraId="0435F2CD" w14:textId="43D5B934" w:rsidR="00E23733" w:rsidRPr="00E23733" w:rsidRDefault="00E23733"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1FB7">
              <w:rPr>
                <w:rFonts w:ascii="Century Gothic" w:eastAsia="Calibri" w:hAnsi="Century Gothic" w:cs="Arial"/>
                <w:lang w:val="es-ES"/>
              </w:rPr>
              <w:t xml:space="preserve">Ley 80 de 1993, </w:t>
            </w:r>
            <w:r>
              <w:rPr>
                <w:rFonts w:ascii="Century Gothic" w:eastAsia="Calibri" w:hAnsi="Century Gothic" w:cs="Arial"/>
                <w:lang w:val="es-ES"/>
              </w:rPr>
              <w:t>a</w:t>
            </w:r>
            <w:r w:rsidRPr="00E41FB7">
              <w:rPr>
                <w:rFonts w:ascii="Century Gothic" w:eastAsia="Calibri" w:hAnsi="Century Gothic" w:cs="Arial"/>
                <w:lang w:val="es-ES"/>
              </w:rPr>
              <w:t>rtículo 60 modificado por el artículo 217 del Decreto 019 de 2012</w:t>
            </w:r>
            <w:r>
              <w:rPr>
                <w:rFonts w:ascii="Century Gothic" w:eastAsia="Calibri" w:hAnsi="Century Gothic" w:cs="Arial"/>
                <w:lang w:val="es-ES"/>
              </w:rPr>
              <w:t xml:space="preserve">. </w:t>
            </w:r>
          </w:p>
          <w:p w14:paraId="64A418D0" w14:textId="792EDD79" w:rsidR="00E23733" w:rsidRDefault="00E23733"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1FB7">
              <w:rPr>
                <w:rFonts w:ascii="Century Gothic" w:eastAsia="Calibri" w:hAnsi="Century Gothic" w:cs="Arial"/>
                <w:lang w:val="es-ES"/>
              </w:rPr>
              <w:t>Ley 1150 de 2007</w:t>
            </w:r>
            <w:r>
              <w:rPr>
                <w:rFonts w:ascii="Century Gothic" w:eastAsia="Calibri" w:hAnsi="Century Gothic" w:cs="Arial"/>
                <w:lang w:val="es-ES"/>
              </w:rPr>
              <w:t xml:space="preserve">, </w:t>
            </w:r>
            <w:r w:rsidRPr="00E41FB7">
              <w:rPr>
                <w:rFonts w:ascii="Century Gothic" w:eastAsia="Calibri" w:hAnsi="Century Gothic" w:cs="Arial"/>
                <w:lang w:val="es-ES"/>
              </w:rPr>
              <w:t>artículo 11</w:t>
            </w:r>
            <w:r>
              <w:rPr>
                <w:rFonts w:ascii="Century Gothic" w:eastAsia="Calibri" w:hAnsi="Century Gothic" w:cs="Arial"/>
                <w:lang w:val="es-ES"/>
              </w:rPr>
              <w:t>.</w:t>
            </w:r>
          </w:p>
          <w:p w14:paraId="190A1CF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Jurisprudencia del Consejo de Estado. Disponible en: </w:t>
            </w:r>
            <w:hyperlink r:id="rId12" w:history="1">
              <w:r w:rsidRPr="00E43EBA">
                <w:rPr>
                  <w:rFonts w:ascii="Century Gothic" w:eastAsia="Calibri" w:hAnsi="Century Gothic"/>
                  <w:color w:val="000000"/>
                  <w:lang w:val="es-ES"/>
                </w:rPr>
                <w:t>https://relatoria.colombiacompra.gov.co/providencias-consejo-de-estado/</w:t>
              </w:r>
            </w:hyperlink>
            <w:r w:rsidRPr="00E43EBA">
              <w:rPr>
                <w:rFonts w:ascii="Century Gothic" w:eastAsia="Calibri" w:hAnsi="Century Gothic" w:cs="Arial"/>
                <w:color w:val="000000"/>
                <w:lang w:val="es-ES"/>
              </w:rPr>
              <w:t xml:space="preserve"> </w:t>
            </w:r>
          </w:p>
          <w:p w14:paraId="3406253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Guías y manuales expedidos por la ANCP-CCE. Disponible en: </w:t>
            </w:r>
            <w:hyperlink r:id="rId13" w:history="1">
              <w:r w:rsidRPr="00E43EBA">
                <w:rPr>
                  <w:rFonts w:ascii="Century Gothic" w:eastAsia="Calibri" w:hAnsi="Century Gothic"/>
                  <w:color w:val="000000"/>
                  <w:lang w:val="es-ES"/>
                </w:rPr>
                <w:t>https://www.colombiacompra.gov.co/manuales-guias-y-pliegos-tipo/manuales-y-guias</w:t>
              </w:r>
            </w:hyperlink>
            <w:r w:rsidRPr="00E43EBA">
              <w:rPr>
                <w:rFonts w:ascii="Century Gothic" w:eastAsia="Calibri" w:hAnsi="Century Gothic" w:cs="Arial"/>
                <w:color w:val="000000"/>
                <w:lang w:val="es-ES"/>
              </w:rPr>
              <w:t xml:space="preserve"> </w:t>
            </w:r>
          </w:p>
          <w:p w14:paraId="6ACEA7FD" w14:textId="77777777" w:rsidR="00871B59" w:rsidRPr="00E43EBA" w:rsidRDefault="00871B59" w:rsidP="002607A7">
            <w:pPr>
              <w:widowControl w:val="0"/>
              <w:autoSpaceDE w:val="0"/>
              <w:autoSpaceDN w:val="0"/>
              <w:spacing w:after="120" w:line="276" w:lineRule="auto"/>
              <w:ind w:left="360"/>
              <w:jc w:val="both"/>
              <w:rPr>
                <w:rFonts w:ascii="Century Gothic" w:hAnsi="Century Gothic" w:cs="Arial"/>
              </w:rPr>
            </w:pPr>
          </w:p>
        </w:tc>
      </w:tr>
    </w:tbl>
    <w:p w14:paraId="0E1B166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40380BCB"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Doctrina de la Agencia Nacional de Contratación Pública:</w:t>
      </w:r>
    </w:p>
    <w:p w14:paraId="41294D6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688C30E7" w14:textId="00CD14B9" w:rsidR="00871B59" w:rsidRPr="00E43EBA" w:rsidRDefault="007A7364" w:rsidP="00871B59">
      <w:pPr>
        <w:widowControl w:val="0"/>
        <w:autoSpaceDE w:val="0"/>
        <w:autoSpaceDN w:val="0"/>
        <w:spacing w:after="0" w:line="276" w:lineRule="auto"/>
        <w:jc w:val="both"/>
        <w:rPr>
          <w:rStyle w:val="normaltextrun"/>
          <w:rFonts w:ascii="Century Gothic" w:hAnsi="Century Gothic" w:cs="Arial"/>
          <w:color w:val="7030A0"/>
          <w:shd w:val="clear" w:color="auto" w:fill="FFFFFF"/>
          <w:lang w:val="es-ES"/>
        </w:rPr>
      </w:pPr>
      <w:r w:rsidRPr="00E43EBA">
        <w:rPr>
          <w:rFonts w:ascii="Century Gothic" w:eastAsia="Calibri" w:hAnsi="Century Gothic" w:cs="Arial"/>
          <w:color w:val="000000"/>
        </w:rPr>
        <w:t>L</w:t>
      </w:r>
      <w:r w:rsidRPr="00E43EBA">
        <w:rPr>
          <w:rFonts w:ascii="Century Gothic" w:eastAsia="Calibri" w:hAnsi="Century Gothic" w:cs="Arial"/>
          <w:color w:val="000000"/>
          <w:lang w:val="es-ES"/>
        </w:rPr>
        <w:t>a Agencia Nacional de Contratación Pública – Colombia Compra Eficiente, en lo</w:t>
      </w:r>
      <w:r w:rsidR="00600948">
        <w:rPr>
          <w:rFonts w:ascii="Century Gothic" w:eastAsia="Calibri" w:hAnsi="Century Gothic" w:cs="Arial"/>
          <w:color w:val="000000"/>
          <w:lang w:val="es-ES"/>
        </w:rPr>
        <w:t>s</w:t>
      </w:r>
      <w:r w:rsidR="00E43EBA">
        <w:rPr>
          <w:rFonts w:ascii="Century Gothic" w:eastAsia="Calibri" w:hAnsi="Century Gothic" w:cs="Arial"/>
          <w:color w:val="000000"/>
          <w:lang w:val="es-ES"/>
        </w:rPr>
        <w:t xml:space="preserve"> conceptos </w:t>
      </w:r>
      <w:r w:rsidR="00E23733" w:rsidRPr="00483CF9">
        <w:rPr>
          <w:rFonts w:ascii="Century Gothic" w:hAnsi="Century Gothic" w:cs="Arial"/>
        </w:rPr>
        <w:t>4201912000004908 del 27 de septiembre de 2019</w:t>
      </w:r>
      <w:r w:rsidR="00E23733">
        <w:rPr>
          <w:rFonts w:ascii="Century Gothic" w:hAnsi="Century Gothic" w:cs="Arial"/>
        </w:rPr>
        <w:t xml:space="preserve">, </w:t>
      </w:r>
      <w:r w:rsidR="00E23733" w:rsidRPr="00483CF9">
        <w:rPr>
          <w:rFonts w:ascii="Century Gothic" w:hAnsi="Century Gothic" w:cs="Arial"/>
        </w:rPr>
        <w:t>CU-028 de 25 de febrero de 2020, C-221 de 21 de abril de 2020, C-078 del 17 de marzo de 2021</w:t>
      </w:r>
      <w:r w:rsidR="00E23733">
        <w:rPr>
          <w:rFonts w:ascii="Century Gothic" w:hAnsi="Century Gothic" w:cs="Arial"/>
        </w:rPr>
        <w:t>,</w:t>
      </w:r>
      <w:r w:rsidR="00E23733" w:rsidRPr="00483CF9">
        <w:rPr>
          <w:rFonts w:ascii="Century Gothic" w:hAnsi="Century Gothic" w:cs="Arial"/>
        </w:rPr>
        <w:t xml:space="preserve"> C-220 del 18 de mayo de 2021</w:t>
      </w:r>
      <w:r w:rsidR="00E23733">
        <w:rPr>
          <w:rFonts w:ascii="Century Gothic" w:hAnsi="Century Gothic" w:cs="Arial"/>
        </w:rPr>
        <w:t>, C-548 del 5 de octubre de 2021 y C-739 del 29 de noviembre de 2022</w:t>
      </w:r>
      <w:r w:rsidRPr="00E43EBA">
        <w:rPr>
          <w:rFonts w:ascii="Century Gothic" w:eastAsia="Calibri" w:hAnsi="Century Gothic" w:cs="Arial"/>
          <w:color w:val="000000"/>
          <w:lang w:val="es-ES"/>
        </w:rPr>
        <w:t xml:space="preserve">, analizó </w:t>
      </w:r>
      <w:r w:rsidR="00E23733">
        <w:rPr>
          <w:rFonts w:ascii="Century Gothic" w:eastAsia="Calibri" w:hAnsi="Century Gothic" w:cs="Arial"/>
          <w:color w:val="000000"/>
          <w:lang w:val="es-ES"/>
        </w:rPr>
        <w:t>la etapa de liquidación</w:t>
      </w:r>
      <w:r w:rsidRPr="00E43EBA">
        <w:rPr>
          <w:rFonts w:ascii="Century Gothic" w:eastAsia="Calibri" w:hAnsi="Century Gothic" w:cs="Arial"/>
          <w:color w:val="000000"/>
          <w:lang w:val="es-ES"/>
        </w:rPr>
        <w:t>.</w:t>
      </w:r>
      <w:r w:rsidR="00E23733">
        <w:rPr>
          <w:rFonts w:ascii="Century Gothic" w:eastAsia="Calibri" w:hAnsi="Century Gothic" w:cs="Arial"/>
          <w:color w:val="000000"/>
          <w:lang w:val="es-ES"/>
        </w:rPr>
        <w:t xml:space="preserve"> </w:t>
      </w:r>
      <w:r w:rsidR="00871B59" w:rsidRPr="00E43EBA">
        <w:rPr>
          <w:rStyle w:val="normaltextrun"/>
          <w:rFonts w:ascii="Century Gothic" w:hAnsi="Century Gothic" w:cs="Arial"/>
          <w:shd w:val="clear" w:color="auto" w:fill="FFFFFF"/>
          <w:lang w:val="es-ES"/>
        </w:rPr>
        <w:t>Es</w:t>
      </w:r>
      <w:r w:rsidR="00871B59" w:rsidRPr="00E43EBA">
        <w:rPr>
          <w:rFonts w:ascii="Century Gothic" w:hAnsi="Century Gothic"/>
        </w:rPr>
        <w:t>tos y otros conceptos se encuentran disponibles para consulta en el Sistema de relatoría de la Agencia, al cual se puede acceder a través del siguiente enlace:</w:t>
      </w:r>
      <w:r w:rsidR="00871B59" w:rsidRPr="00E43EBA">
        <w:rPr>
          <w:rStyle w:val="normaltextrun"/>
          <w:rFonts w:ascii="Century Gothic" w:hAnsi="Century Gothic" w:cs="Arial"/>
          <w:shd w:val="clear" w:color="auto" w:fill="FFFFFF"/>
          <w:lang w:val="es-ES"/>
        </w:rPr>
        <w:t xml:space="preserve"> </w:t>
      </w:r>
      <w:hyperlink r:id="rId14" w:history="1">
        <w:r w:rsidR="00871B59" w:rsidRPr="00E43EBA">
          <w:rPr>
            <w:rStyle w:val="Hipervnculo"/>
            <w:rFonts w:ascii="Century Gothic" w:hAnsi="Century Gothic" w:cs="Arial"/>
            <w:shd w:val="clear" w:color="auto" w:fill="FFFFFF"/>
            <w:lang w:val="es-ES"/>
          </w:rPr>
          <w:t>https://relatoria.colombiacompra.gov.co/busqueda/conceptos</w:t>
        </w:r>
      </w:hyperlink>
      <w:r w:rsidR="00871B59" w:rsidRPr="00E43EBA">
        <w:rPr>
          <w:rStyle w:val="normaltextrun"/>
          <w:rFonts w:ascii="Century Gothic" w:hAnsi="Century Gothic" w:cs="Arial"/>
          <w:color w:val="FF0000"/>
          <w:shd w:val="clear" w:color="auto" w:fill="FFFFFF"/>
          <w:lang w:val="es-ES"/>
        </w:rPr>
        <w:t xml:space="preserve">. </w:t>
      </w:r>
    </w:p>
    <w:p w14:paraId="653CF3BE" w14:textId="777777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p>
    <w:p w14:paraId="6E5FBA74" w14:textId="777777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r w:rsidRPr="00E43EBA">
        <w:rPr>
          <w:rStyle w:val="normaltextrun"/>
          <w:rFonts w:ascii="Century Gothic" w:hAnsi="Century Gothic"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E43EBA">
        <w:rPr>
          <w:rStyle w:val="normaltextrun"/>
          <w:rFonts w:ascii="Century Gothic" w:hAnsi="Century Gothic" w:cs="Arial"/>
          <w:color w:val="FF0000"/>
          <w:shd w:val="clear" w:color="auto" w:fill="FFFFFF"/>
          <w:lang w:val="es-ES"/>
        </w:rPr>
        <w:t xml:space="preserve"> </w:t>
      </w:r>
      <w:hyperlink r:id="rId15" w:history="1">
        <w:r w:rsidRPr="00E43EBA">
          <w:rPr>
            <w:rStyle w:val="Hipervnculo"/>
            <w:rFonts w:ascii="Century Gothic" w:hAnsi="Century Gothic" w:cs="Arial"/>
            <w:shd w:val="clear" w:color="auto" w:fill="FFFFFF"/>
            <w:lang w:val="es-ES"/>
          </w:rPr>
          <w:t>https://www.colombiacompra.gov.co/sala-de-prensa/boletin-digital</w:t>
        </w:r>
      </w:hyperlink>
      <w:r w:rsidRPr="00E43EBA">
        <w:rPr>
          <w:rStyle w:val="normaltextrun"/>
          <w:rFonts w:ascii="Century Gothic" w:hAnsi="Century Gothic" w:cs="Arial"/>
          <w:color w:val="FF0000"/>
          <w:shd w:val="clear" w:color="auto" w:fill="FFFFFF"/>
          <w:lang w:val="es-ES"/>
        </w:rPr>
        <w:t xml:space="preserve">      </w:t>
      </w:r>
    </w:p>
    <w:p w14:paraId="37CFB421" w14:textId="77777777" w:rsidR="00505B0E" w:rsidRDefault="00505B0E" w:rsidP="008815E5">
      <w:pPr>
        <w:spacing w:after="0" w:line="240" w:lineRule="auto"/>
        <w:jc w:val="both"/>
        <w:rPr>
          <w:rFonts w:ascii="Century Gothic" w:hAnsi="Century Gothic"/>
        </w:rPr>
      </w:pPr>
    </w:p>
    <w:p w14:paraId="1570ED43" w14:textId="6A64CB14"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Por último, lo invitamos a seguirnos en las redes sociales en las cuales se difunde información institucional: </w:t>
      </w:r>
    </w:p>
    <w:p w14:paraId="284AF384" w14:textId="77777777" w:rsidR="008815E5" w:rsidRPr="00E43EBA" w:rsidRDefault="008815E5" w:rsidP="008815E5">
      <w:pPr>
        <w:spacing w:after="0" w:line="240" w:lineRule="auto"/>
        <w:jc w:val="both"/>
        <w:rPr>
          <w:rFonts w:ascii="Century Gothic" w:hAnsi="Century Gothic"/>
        </w:rPr>
      </w:pPr>
    </w:p>
    <w:p w14:paraId="5E6CD010"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Twitter: </w:t>
      </w:r>
      <w:r w:rsidRPr="00E43EBA">
        <w:rPr>
          <w:rStyle w:val="Hipervnculo"/>
          <w:rFonts w:ascii="Century Gothic" w:hAnsi="Century Gothic"/>
          <w:color w:val="4472C4" w:themeColor="accent1"/>
        </w:rPr>
        <w:t>@colombiacompra</w:t>
      </w:r>
      <w:r w:rsidRPr="00E43EBA">
        <w:rPr>
          <w:rFonts w:ascii="Century Gothic" w:hAnsi="Century Gothic"/>
          <w:color w:val="4472C4" w:themeColor="accent1"/>
        </w:rPr>
        <w:t xml:space="preserve"> </w:t>
      </w:r>
    </w:p>
    <w:p w14:paraId="0F76F019"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lastRenderedPageBreak/>
        <w:t xml:space="preserve">Facebook: </w:t>
      </w:r>
      <w:r w:rsidRPr="00E43EBA">
        <w:rPr>
          <w:rStyle w:val="Hipervnculo"/>
          <w:rFonts w:ascii="Century Gothic" w:hAnsi="Century Gothic"/>
          <w:color w:val="4472C4" w:themeColor="accent1"/>
        </w:rPr>
        <w:t>ColombiaCompraEficiente</w:t>
      </w:r>
    </w:p>
    <w:p w14:paraId="60E5B357"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LinkedIn: </w:t>
      </w:r>
      <w:r w:rsidRPr="00E43EBA">
        <w:rPr>
          <w:rStyle w:val="Hipervnculo"/>
          <w:rFonts w:ascii="Century Gothic" w:hAnsi="Century Gothic"/>
          <w:color w:val="4472C4" w:themeColor="accent1"/>
        </w:rPr>
        <w:t>Agencia Nacional de Contratación Pública - Colombia Compra Eficiente</w:t>
      </w:r>
      <w:r w:rsidRPr="00E43EBA">
        <w:rPr>
          <w:rFonts w:ascii="Century Gothic" w:hAnsi="Century Gothic"/>
          <w:color w:val="4472C4" w:themeColor="accent1"/>
        </w:rPr>
        <w:t xml:space="preserve"> </w:t>
      </w:r>
      <w:r w:rsidRPr="00E43EBA">
        <w:rPr>
          <w:rFonts w:ascii="Century Gothic" w:hAnsi="Century Gothic"/>
        </w:rPr>
        <w:t xml:space="preserve">Instagram: </w:t>
      </w:r>
      <w:r w:rsidRPr="00E43EBA">
        <w:rPr>
          <w:rStyle w:val="Hipervnculo"/>
          <w:rFonts w:ascii="Century Gothic" w:hAnsi="Century Gothic"/>
          <w:color w:val="4472C4" w:themeColor="accent1"/>
        </w:rPr>
        <w:t>@colombiacompraeficiente_cce</w:t>
      </w:r>
    </w:p>
    <w:p w14:paraId="6980ECB3"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120572E9" w14:textId="77777777" w:rsidR="00871B59" w:rsidRPr="00E43EBA" w:rsidRDefault="00871B59" w:rsidP="00871B59">
      <w:pPr>
        <w:widowControl w:val="0"/>
        <w:autoSpaceDE w:val="0"/>
        <w:autoSpaceDN w:val="0"/>
        <w:spacing w:after="0" w:line="276" w:lineRule="auto"/>
        <w:jc w:val="both"/>
        <w:rPr>
          <w:rFonts w:ascii="Century Gothic" w:hAnsi="Century Gothic" w:cs="Arial"/>
          <w:lang w:val="es-ES_tradnl"/>
        </w:rPr>
      </w:pPr>
      <w:r w:rsidRPr="00E43EBA">
        <w:rPr>
          <w:rFonts w:ascii="Century Gothic" w:hAnsi="Century Gothic" w:cs="Arial"/>
        </w:rPr>
        <w:t xml:space="preserve">Este concepto tiene el alcance previsto en el artículo 28 del Código de Procedimiento Administrativo y de lo Contencioso Administrativo </w:t>
      </w:r>
      <w:r w:rsidRPr="00E43EBA">
        <w:rPr>
          <w:rFonts w:ascii="Century Gothic" w:hAnsi="Century Gothic" w:cs="Arial"/>
          <w:lang w:val="es-ES_tradnl"/>
        </w:rPr>
        <w:t>y las expresiones aquí utilizadas con mayúscula inicial deben ser entendidas con el significado que les otorga el artículo 2.2.1.1.1.3.1. del Decreto 1082 de 2015.</w:t>
      </w:r>
    </w:p>
    <w:p w14:paraId="76160CF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46FD3687" w14:textId="77777777" w:rsidR="00871B59" w:rsidRPr="00E43EBA" w:rsidRDefault="00871B59" w:rsidP="00871B59">
      <w:pPr>
        <w:spacing w:after="0" w:line="240" w:lineRule="auto"/>
        <w:rPr>
          <w:rFonts w:ascii="Century Gothic" w:hAnsi="Century Gothic" w:cs="Arial"/>
          <w:lang w:eastAsia="es-CO"/>
        </w:rPr>
      </w:pPr>
      <w:r w:rsidRPr="00E43EBA">
        <w:rPr>
          <w:rFonts w:ascii="Century Gothic" w:eastAsia="Times New Roman" w:hAnsi="Century Gothic" w:cs="Arial"/>
          <w:lang w:eastAsia="es-CO"/>
        </w:rPr>
        <w:t>Atentamente,</w:t>
      </w:r>
      <w:r w:rsidRPr="00E43EBA">
        <w:rPr>
          <w:rFonts w:ascii="Century Gothic" w:hAnsi="Century Gothic" w:cs="Arial"/>
          <w:lang w:eastAsia="es-CO"/>
        </w:rPr>
        <w:t xml:space="preserve"> </w:t>
      </w:r>
    </w:p>
    <w:p w14:paraId="7B21B32E" w14:textId="526FA546" w:rsidR="00871B59" w:rsidRPr="00593A5F" w:rsidRDefault="00737E78" w:rsidP="00871B59">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20245E13" wp14:editId="2E39CB1B">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593A5F" w14:paraId="2A20789D" w14:textId="77777777" w:rsidTr="002607A7">
        <w:trPr>
          <w:trHeight w:val="315"/>
        </w:trPr>
        <w:tc>
          <w:tcPr>
            <w:tcW w:w="893" w:type="dxa"/>
            <w:vAlign w:val="center"/>
            <w:hideMark/>
          </w:tcPr>
          <w:p w14:paraId="56E3D941" w14:textId="77777777" w:rsidR="00871B59" w:rsidRPr="00E23733" w:rsidRDefault="00871B59" w:rsidP="002607A7">
            <w:pPr>
              <w:contextualSpacing/>
              <w:rPr>
                <w:rFonts w:ascii="Century Gothic" w:hAnsi="Century Gothic" w:cs="Arial"/>
                <w:sz w:val="16"/>
                <w:szCs w:val="16"/>
              </w:rPr>
            </w:pPr>
            <w:r w:rsidRPr="00E23733">
              <w:rPr>
                <w:rFonts w:ascii="Century Gothic" w:hAnsi="Century Gothic" w:cs="Arial"/>
                <w:sz w:val="16"/>
                <w:szCs w:val="16"/>
              </w:rPr>
              <w:t>Elaboró:</w:t>
            </w:r>
          </w:p>
        </w:tc>
        <w:tc>
          <w:tcPr>
            <w:tcW w:w="5628" w:type="dxa"/>
            <w:tcBorders>
              <w:top w:val="nil"/>
              <w:left w:val="nil"/>
              <w:bottom w:val="dotted" w:sz="4" w:space="0" w:color="7F7F7F" w:themeColor="text1" w:themeTint="80"/>
              <w:right w:val="nil"/>
            </w:tcBorders>
            <w:vAlign w:val="center"/>
            <w:hideMark/>
          </w:tcPr>
          <w:p w14:paraId="2929B3B3" w14:textId="71B8BAAF" w:rsidR="007A7364" w:rsidRPr="00E23733" w:rsidRDefault="00505B0E" w:rsidP="002607A7">
            <w:pPr>
              <w:contextualSpacing/>
              <w:rPr>
                <w:rFonts w:ascii="Century Gothic" w:hAnsi="Century Gothic" w:cs="Arial"/>
                <w:sz w:val="16"/>
                <w:szCs w:val="16"/>
              </w:rPr>
            </w:pPr>
            <w:r>
              <w:rPr>
                <w:rFonts w:ascii="Century Gothic" w:hAnsi="Century Gothic" w:cs="Arial"/>
                <w:sz w:val="16"/>
                <w:szCs w:val="16"/>
              </w:rPr>
              <w:t xml:space="preserve">Diana </w:t>
            </w:r>
            <w:r w:rsidR="007A7364" w:rsidRPr="00E23733">
              <w:rPr>
                <w:rFonts w:ascii="Century Gothic" w:hAnsi="Century Gothic" w:cs="Arial"/>
                <w:sz w:val="16"/>
                <w:szCs w:val="16"/>
              </w:rPr>
              <w:t xml:space="preserve">Carolina Blanco Rodriguez </w:t>
            </w:r>
          </w:p>
          <w:p w14:paraId="27134A92" w14:textId="0A67E70D" w:rsidR="00871B59" w:rsidRPr="00E23733" w:rsidRDefault="007A7364" w:rsidP="002607A7">
            <w:pPr>
              <w:contextualSpacing/>
              <w:rPr>
                <w:rFonts w:ascii="Century Gothic" w:hAnsi="Century Gothic" w:cs="Arial"/>
                <w:sz w:val="16"/>
                <w:szCs w:val="16"/>
              </w:rPr>
            </w:pPr>
            <w:r w:rsidRPr="00E23733">
              <w:rPr>
                <w:rFonts w:ascii="Century Gothic" w:hAnsi="Century Gothic"/>
                <w:sz w:val="16"/>
                <w:szCs w:val="16"/>
              </w:rPr>
              <w:t xml:space="preserve">Contratista </w:t>
            </w:r>
            <w:r w:rsidR="00871B59" w:rsidRPr="00E23733">
              <w:rPr>
                <w:rFonts w:ascii="Century Gothic" w:hAnsi="Century Gothic"/>
                <w:sz w:val="16"/>
                <w:szCs w:val="16"/>
              </w:rPr>
              <w:t>de la Subdirección de Gestión Contractual</w:t>
            </w:r>
          </w:p>
        </w:tc>
      </w:tr>
      <w:tr w:rsidR="00871B59" w:rsidRPr="00593A5F" w14:paraId="409BBACC" w14:textId="77777777" w:rsidTr="002607A7">
        <w:trPr>
          <w:trHeight w:val="330"/>
        </w:trPr>
        <w:tc>
          <w:tcPr>
            <w:tcW w:w="893" w:type="dxa"/>
            <w:vAlign w:val="center"/>
            <w:hideMark/>
          </w:tcPr>
          <w:p w14:paraId="3ABFF401" w14:textId="77777777" w:rsidR="00871B59" w:rsidRPr="00E23733" w:rsidRDefault="00871B59" w:rsidP="002607A7">
            <w:pPr>
              <w:contextualSpacing/>
              <w:rPr>
                <w:rFonts w:ascii="Century Gothic" w:hAnsi="Century Gothic" w:cs="Arial"/>
                <w:sz w:val="16"/>
                <w:szCs w:val="16"/>
              </w:rPr>
            </w:pPr>
            <w:r w:rsidRPr="00E23733">
              <w:rPr>
                <w:rFonts w:ascii="Century Gothic" w:hAnsi="Century Gothic" w:cs="Arial"/>
                <w:sz w:val="16"/>
                <w:szCs w:val="16"/>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C5E1D8C" w14:textId="09D0EBBA" w:rsidR="007A7364" w:rsidRDefault="00E23733" w:rsidP="002607A7">
            <w:pPr>
              <w:pStyle w:val="paragraph"/>
              <w:spacing w:before="0" w:beforeAutospacing="0" w:after="0" w:afterAutospacing="0"/>
              <w:contextualSpacing/>
              <w:textAlignment w:val="baseline"/>
              <w:rPr>
                <w:rFonts w:ascii="Century Gothic" w:eastAsiaTheme="minorHAnsi" w:hAnsi="Century Gothic"/>
                <w:sz w:val="16"/>
                <w:szCs w:val="16"/>
                <w:lang w:eastAsia="en-US"/>
              </w:rPr>
            </w:pPr>
            <w:r>
              <w:rPr>
                <w:rFonts w:ascii="Century Gothic" w:eastAsiaTheme="minorHAnsi" w:hAnsi="Century Gothic"/>
                <w:sz w:val="16"/>
                <w:szCs w:val="16"/>
                <w:lang w:eastAsia="en-US"/>
              </w:rPr>
              <w:t>Libardo</w:t>
            </w:r>
            <w:r w:rsidR="00505B0E">
              <w:rPr>
                <w:rFonts w:ascii="Century Gothic" w:eastAsiaTheme="minorHAnsi" w:hAnsi="Century Gothic"/>
                <w:sz w:val="16"/>
                <w:szCs w:val="16"/>
                <w:lang w:eastAsia="en-US"/>
              </w:rPr>
              <w:t xml:space="preserve"> Alberto</w:t>
            </w:r>
            <w:r>
              <w:rPr>
                <w:rFonts w:ascii="Century Gothic" w:eastAsiaTheme="minorHAnsi" w:hAnsi="Century Gothic"/>
                <w:sz w:val="16"/>
                <w:szCs w:val="16"/>
                <w:lang w:eastAsia="en-US"/>
              </w:rPr>
              <w:t xml:space="preserve"> Verjel </w:t>
            </w:r>
            <w:r w:rsidR="00505B0E">
              <w:rPr>
                <w:rFonts w:ascii="Century Gothic" w:eastAsiaTheme="minorHAnsi" w:hAnsi="Century Gothic"/>
                <w:sz w:val="16"/>
                <w:szCs w:val="16"/>
                <w:lang w:eastAsia="en-US"/>
              </w:rPr>
              <w:t>de Filippis</w:t>
            </w:r>
          </w:p>
          <w:p w14:paraId="408B71DB" w14:textId="139ABB68" w:rsidR="00871B59" w:rsidRPr="00E23733" w:rsidRDefault="00E23733" w:rsidP="002607A7">
            <w:pPr>
              <w:pStyle w:val="paragraph"/>
              <w:spacing w:before="0" w:beforeAutospacing="0" w:after="0" w:afterAutospacing="0"/>
              <w:contextualSpacing/>
              <w:textAlignment w:val="baseline"/>
              <w:rPr>
                <w:rFonts w:ascii="Century Gothic" w:eastAsiaTheme="minorHAnsi" w:hAnsi="Century Gothic" w:cs="Arial"/>
                <w:sz w:val="16"/>
                <w:szCs w:val="16"/>
                <w:lang w:eastAsia="en-US"/>
              </w:rPr>
            </w:pPr>
            <w:r>
              <w:rPr>
                <w:rFonts w:ascii="Century Gothic" w:eastAsiaTheme="minorHAnsi" w:hAnsi="Century Gothic"/>
                <w:sz w:val="16"/>
                <w:szCs w:val="16"/>
                <w:lang w:eastAsia="en-US"/>
              </w:rPr>
              <w:t>Asesor</w:t>
            </w:r>
            <w:r w:rsidR="00871B59" w:rsidRPr="00E23733">
              <w:rPr>
                <w:rFonts w:ascii="Century Gothic" w:eastAsiaTheme="minorHAnsi" w:hAnsi="Century Gothic"/>
                <w:sz w:val="16"/>
                <w:szCs w:val="16"/>
                <w:lang w:eastAsia="en-US"/>
              </w:rPr>
              <w:t xml:space="preserve"> </w:t>
            </w:r>
            <w:r w:rsidR="002104C4">
              <w:rPr>
                <w:rFonts w:ascii="Century Gothic" w:eastAsiaTheme="minorHAnsi" w:hAnsi="Century Gothic"/>
                <w:sz w:val="16"/>
                <w:szCs w:val="16"/>
                <w:lang w:eastAsia="en-US"/>
              </w:rPr>
              <w:t xml:space="preserve">Experto G3 Grado 08 </w:t>
            </w:r>
            <w:r w:rsidR="00871B59" w:rsidRPr="00E23733">
              <w:rPr>
                <w:rFonts w:ascii="Century Gothic" w:eastAsiaTheme="minorHAnsi" w:hAnsi="Century Gothic"/>
                <w:sz w:val="16"/>
                <w:szCs w:val="16"/>
                <w:lang w:eastAsia="en-US"/>
              </w:rPr>
              <w:t>de la Subdirección de Gestión Contractual </w:t>
            </w:r>
          </w:p>
        </w:tc>
      </w:tr>
      <w:tr w:rsidR="00871B59" w:rsidRPr="00593A5F" w14:paraId="2A81CFC8" w14:textId="77777777" w:rsidTr="002607A7">
        <w:trPr>
          <w:trHeight w:val="300"/>
        </w:trPr>
        <w:tc>
          <w:tcPr>
            <w:tcW w:w="893" w:type="dxa"/>
            <w:vAlign w:val="center"/>
          </w:tcPr>
          <w:p w14:paraId="3159EE97" w14:textId="77777777" w:rsidR="00871B59" w:rsidRPr="00E23733" w:rsidRDefault="00871B59" w:rsidP="002607A7">
            <w:pPr>
              <w:contextualSpacing/>
              <w:rPr>
                <w:rFonts w:ascii="Century Gothic" w:hAnsi="Century Gothic" w:cs="Arial"/>
                <w:sz w:val="16"/>
                <w:szCs w:val="16"/>
              </w:rPr>
            </w:pPr>
            <w:r w:rsidRPr="00E23733">
              <w:rPr>
                <w:rFonts w:ascii="Century Gothic" w:hAnsi="Century Gothic" w:cs="Arial"/>
                <w:sz w:val="16"/>
                <w:szCs w:val="16"/>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E23733" w:rsidRDefault="00871B59" w:rsidP="002607A7">
            <w:pPr>
              <w:contextualSpacing/>
              <w:rPr>
                <w:rFonts w:ascii="Century Gothic" w:hAnsi="Century Gothic" w:cs="Arial"/>
                <w:sz w:val="16"/>
                <w:szCs w:val="16"/>
              </w:rPr>
            </w:pPr>
            <w:r w:rsidRPr="00E23733">
              <w:rPr>
                <w:rFonts w:ascii="Century Gothic" w:hAnsi="Century Gothic" w:cs="Arial"/>
                <w:sz w:val="16"/>
                <w:szCs w:val="16"/>
              </w:rPr>
              <w:t>Carolina Quintero Gacharná</w:t>
            </w:r>
          </w:p>
          <w:p w14:paraId="6EE38C14" w14:textId="77777777" w:rsidR="00871B59" w:rsidRPr="00E23733" w:rsidRDefault="00871B59" w:rsidP="002607A7">
            <w:pPr>
              <w:contextualSpacing/>
              <w:rPr>
                <w:rFonts w:ascii="Century Gothic" w:hAnsi="Century Gothic" w:cs="Arial"/>
                <w:sz w:val="16"/>
                <w:szCs w:val="16"/>
              </w:rPr>
            </w:pPr>
            <w:r w:rsidRPr="00E23733">
              <w:rPr>
                <w:rFonts w:ascii="Century Gothic" w:hAnsi="Century Gothic" w:cs="Arial"/>
                <w:sz w:val="16"/>
                <w:szCs w:val="16"/>
              </w:rPr>
              <w:t>Subdirectora de Gestión Contractual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5A9D6" w14:textId="77777777" w:rsidR="007F130D" w:rsidRDefault="007F130D" w:rsidP="00B30448">
      <w:pPr>
        <w:spacing w:after="0" w:line="240" w:lineRule="auto"/>
      </w:pPr>
      <w:r>
        <w:separator/>
      </w:r>
    </w:p>
  </w:endnote>
  <w:endnote w:type="continuationSeparator" w:id="0">
    <w:p w14:paraId="5751EC3B" w14:textId="77777777" w:rsidR="007F130D" w:rsidRDefault="007F130D" w:rsidP="00B30448">
      <w:pPr>
        <w:spacing w:after="0" w:line="240" w:lineRule="auto"/>
      </w:pPr>
      <w:r>
        <w:continuationSeparator/>
      </w:r>
    </w:p>
  </w:endnote>
  <w:endnote w:type="continuationNotice" w:id="1">
    <w:p w14:paraId="49066584" w14:textId="77777777" w:rsidR="007F130D" w:rsidRDefault="007F1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BoldMT">
    <w:altName w:val="Arial"/>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Geomanist Bold">
    <w:altName w:val="Corbel"/>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7486E" w14:textId="77777777" w:rsidR="007F130D" w:rsidRDefault="007F130D" w:rsidP="00B30448">
      <w:pPr>
        <w:spacing w:after="0" w:line="240" w:lineRule="auto"/>
      </w:pPr>
      <w:r>
        <w:separator/>
      </w:r>
    </w:p>
  </w:footnote>
  <w:footnote w:type="continuationSeparator" w:id="0">
    <w:p w14:paraId="364124CF" w14:textId="77777777" w:rsidR="007F130D" w:rsidRDefault="007F130D" w:rsidP="00B30448">
      <w:pPr>
        <w:spacing w:after="0" w:line="240" w:lineRule="auto"/>
      </w:pPr>
      <w:r>
        <w:continuationSeparator/>
      </w:r>
    </w:p>
  </w:footnote>
  <w:footnote w:type="continuationNotice" w:id="1">
    <w:p w14:paraId="08E3030B" w14:textId="77777777" w:rsidR="007F130D" w:rsidRDefault="007F130D">
      <w:pPr>
        <w:spacing w:after="0" w:line="240" w:lineRule="auto"/>
      </w:pPr>
    </w:p>
  </w:footnote>
  <w:footnote w:id="2">
    <w:p w14:paraId="5E04E471" w14:textId="77777777" w:rsidR="00E41FB7" w:rsidRPr="00340C12" w:rsidRDefault="00E41FB7" w:rsidP="00E41FB7">
      <w:pPr>
        <w:pStyle w:val="Textonotapie"/>
        <w:ind w:firstLine="708"/>
        <w:jc w:val="both"/>
        <w:rPr>
          <w:rFonts w:ascii="Century Gothic" w:hAnsi="Century Gothic" w:cs="Arial"/>
          <w:color w:val="000000" w:themeColor="text1"/>
          <w:sz w:val="16"/>
          <w:szCs w:val="16"/>
        </w:rPr>
      </w:pPr>
      <w:r w:rsidRPr="00340C12">
        <w:rPr>
          <w:rStyle w:val="Refdenotaalpie"/>
          <w:rFonts w:ascii="Century Gothic" w:hAnsi="Century Gothic" w:cs="Arial"/>
          <w:color w:val="000000" w:themeColor="text1"/>
          <w:sz w:val="16"/>
          <w:szCs w:val="16"/>
        </w:rPr>
        <w:footnoteRef/>
      </w:r>
      <w:r w:rsidRPr="00340C12">
        <w:rPr>
          <w:rFonts w:ascii="Century Gothic" w:hAnsi="Century Gothic" w:cs="Arial"/>
          <w:color w:val="000000" w:themeColor="text1"/>
          <w:sz w:val="16"/>
          <w:szCs w:val="16"/>
        </w:rPr>
        <w:t xml:space="preserve"> CONSEJO DE ESTADO, Sala de Consulta y Servicio Civil. Radicado No. 1453. Concepto de 6 de agosto de 2003. MP. Augusto Trejos.</w:t>
      </w:r>
    </w:p>
    <w:p w14:paraId="7CBCABA6" w14:textId="77777777" w:rsidR="00E41FB7" w:rsidRPr="00D15703" w:rsidRDefault="00E41FB7" w:rsidP="00E41FB7">
      <w:pPr>
        <w:pStyle w:val="Textonotapie"/>
        <w:ind w:firstLine="708"/>
        <w:jc w:val="both"/>
        <w:rPr>
          <w:rFonts w:ascii="Arial" w:hAnsi="Arial" w:cs="Arial"/>
          <w:color w:val="000000" w:themeColor="text1"/>
          <w:sz w:val="16"/>
          <w:szCs w:val="16"/>
        </w:rPr>
      </w:pPr>
    </w:p>
  </w:footnote>
  <w:footnote w:id="3">
    <w:p w14:paraId="4CA07FBE" w14:textId="77777777" w:rsidR="00E41FB7" w:rsidRPr="00340C12" w:rsidRDefault="00E41FB7" w:rsidP="00E41FB7">
      <w:pPr>
        <w:pStyle w:val="Textonotapie"/>
        <w:ind w:firstLine="708"/>
        <w:jc w:val="both"/>
        <w:rPr>
          <w:rFonts w:ascii="Century Gothic" w:hAnsi="Century Gothic" w:cs="Arial"/>
          <w:color w:val="000000" w:themeColor="text1"/>
          <w:sz w:val="16"/>
          <w:szCs w:val="16"/>
        </w:rPr>
      </w:pPr>
      <w:r w:rsidRPr="00D15703">
        <w:rPr>
          <w:rStyle w:val="Refdenotaalpie"/>
          <w:rFonts w:ascii="Arial" w:hAnsi="Arial" w:cs="Arial"/>
          <w:color w:val="000000" w:themeColor="text1"/>
          <w:sz w:val="16"/>
          <w:szCs w:val="16"/>
        </w:rPr>
        <w:footnoteRef/>
      </w:r>
      <w:r w:rsidRPr="00D15703">
        <w:rPr>
          <w:rFonts w:ascii="Arial" w:hAnsi="Arial" w:cs="Arial"/>
          <w:color w:val="000000" w:themeColor="text1"/>
          <w:sz w:val="16"/>
          <w:szCs w:val="16"/>
        </w:rPr>
        <w:t xml:space="preserve"> </w:t>
      </w:r>
      <w:r w:rsidRPr="00340C12">
        <w:rPr>
          <w:rFonts w:ascii="Century Gothic" w:hAnsi="Century Gothic" w:cs="Arial"/>
          <w:color w:val="000000" w:themeColor="text1"/>
          <w:sz w:val="16"/>
          <w:szCs w:val="16"/>
        </w:rPr>
        <w:t>EXPÓSITO VÉLEZ. Juan Carlos. Forma y contenido del contrato estatal, p. 90.</w:t>
      </w:r>
    </w:p>
    <w:p w14:paraId="44518CCA" w14:textId="77777777" w:rsidR="00E41FB7" w:rsidRPr="00340C12" w:rsidRDefault="00E41FB7" w:rsidP="00E41FB7">
      <w:pPr>
        <w:pStyle w:val="Textonotapie"/>
        <w:ind w:firstLine="708"/>
        <w:jc w:val="both"/>
        <w:rPr>
          <w:rFonts w:ascii="Century Gothic" w:hAnsi="Century Gothic" w:cs="Arial"/>
          <w:color w:val="000000" w:themeColor="text1"/>
          <w:sz w:val="16"/>
          <w:szCs w:val="16"/>
        </w:rPr>
      </w:pPr>
    </w:p>
  </w:footnote>
  <w:footnote w:id="4">
    <w:p w14:paraId="399BA0D0" w14:textId="77777777" w:rsidR="00E41FB7" w:rsidRPr="00340C12" w:rsidRDefault="00E41FB7" w:rsidP="00E41FB7">
      <w:pPr>
        <w:pStyle w:val="Textonotapie"/>
        <w:ind w:firstLine="708"/>
        <w:jc w:val="both"/>
        <w:rPr>
          <w:rFonts w:ascii="Century Gothic" w:hAnsi="Century Gothic" w:cs="Arial"/>
          <w:color w:val="000000" w:themeColor="text1"/>
          <w:sz w:val="16"/>
          <w:szCs w:val="16"/>
        </w:rPr>
      </w:pPr>
      <w:r w:rsidRPr="00340C12">
        <w:rPr>
          <w:rStyle w:val="Refdenotaalpie"/>
          <w:rFonts w:ascii="Century Gothic" w:hAnsi="Century Gothic" w:cs="Arial"/>
          <w:color w:val="000000" w:themeColor="text1"/>
          <w:sz w:val="16"/>
          <w:szCs w:val="16"/>
        </w:rPr>
        <w:footnoteRef/>
      </w:r>
      <w:r w:rsidRPr="00340C12">
        <w:rPr>
          <w:rFonts w:ascii="Century Gothic" w:hAnsi="Century Gothic" w:cs="Arial"/>
          <w:color w:val="000000" w:themeColor="text1"/>
          <w:sz w:val="16"/>
          <w:szCs w:val="16"/>
        </w:rPr>
        <w:t xml:space="preserve"> CONSEJO DE ESTADO, Sala de Consulta y Servicio Civil. Radicado No. 1453. Concepto de 6 de agosto de 2003. MP. Augusto Trejos.</w:t>
      </w:r>
    </w:p>
    <w:p w14:paraId="22750CC1" w14:textId="77777777" w:rsidR="00E41FB7" w:rsidRPr="00340C12" w:rsidRDefault="00E41FB7" w:rsidP="00E41FB7">
      <w:pPr>
        <w:pStyle w:val="Textonotapie"/>
        <w:ind w:firstLine="708"/>
        <w:jc w:val="both"/>
        <w:rPr>
          <w:rFonts w:ascii="Century Gothic" w:hAnsi="Century Gothic" w:cs="Arial"/>
          <w:color w:val="000000" w:themeColor="text1"/>
          <w:sz w:val="16"/>
          <w:szCs w:val="16"/>
        </w:rPr>
      </w:pPr>
    </w:p>
  </w:footnote>
  <w:footnote w:id="5">
    <w:p w14:paraId="131D6135" w14:textId="77777777" w:rsidR="00E41FB7" w:rsidRPr="00505B0E" w:rsidRDefault="00E41FB7" w:rsidP="00E41FB7">
      <w:pPr>
        <w:pStyle w:val="Textonotapie"/>
        <w:ind w:firstLine="708"/>
        <w:jc w:val="both"/>
        <w:rPr>
          <w:rFonts w:ascii="Century Gothic" w:hAnsi="Century Gothic" w:cs="Arial"/>
          <w:color w:val="000000" w:themeColor="text1"/>
          <w:sz w:val="16"/>
          <w:szCs w:val="16"/>
          <w:lang w:val="es-ES"/>
        </w:rPr>
      </w:pPr>
      <w:r w:rsidRPr="00340C12">
        <w:rPr>
          <w:rStyle w:val="Refdenotaalpie"/>
          <w:rFonts w:ascii="Century Gothic" w:hAnsi="Century Gothic" w:cs="Arial"/>
          <w:color w:val="000000" w:themeColor="text1"/>
          <w:sz w:val="16"/>
          <w:szCs w:val="16"/>
        </w:rPr>
        <w:footnoteRef/>
      </w:r>
      <w:r w:rsidRPr="00340C12">
        <w:rPr>
          <w:rFonts w:ascii="Century Gothic" w:hAnsi="Century Gothic" w:cs="Arial"/>
          <w:color w:val="000000" w:themeColor="text1"/>
          <w:sz w:val="16"/>
          <w:szCs w:val="16"/>
        </w:rPr>
        <w:t xml:space="preserve"> </w:t>
      </w:r>
      <w:r w:rsidRPr="00340C12">
        <w:rPr>
          <w:rFonts w:ascii="Century Gothic" w:hAnsi="Century Gothic" w:cs="Arial"/>
          <w:color w:val="000000" w:themeColor="text1"/>
          <w:sz w:val="16"/>
          <w:szCs w:val="16"/>
          <w:lang w:val="es-ES"/>
        </w:rPr>
        <w:t xml:space="preserve">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w:t>
      </w:r>
      <w:r w:rsidRPr="00505B0E">
        <w:rPr>
          <w:rFonts w:ascii="Century Gothic" w:hAnsi="Century Gothic" w:cs="Arial"/>
          <w:color w:val="000000" w:themeColor="text1"/>
          <w:sz w:val="16"/>
          <w:szCs w:val="16"/>
          <w:lang w:val="es-ES"/>
        </w:rPr>
        <w:t>contrato o a la expedición del acto administrativo que ordene la terminación, o a la fecha del acuerdo que la disponga.</w:t>
      </w:r>
    </w:p>
    <w:p w14:paraId="6926EF11" w14:textId="48461578" w:rsidR="00E41FB7" w:rsidRPr="00505B0E" w:rsidRDefault="00505B0E" w:rsidP="00E41FB7">
      <w:pPr>
        <w:pStyle w:val="Textonotapie"/>
        <w:ind w:firstLine="708"/>
        <w:jc w:val="both"/>
        <w:rPr>
          <w:rFonts w:ascii="Century Gothic" w:hAnsi="Century Gothic" w:cs="Arial"/>
          <w:color w:val="000000" w:themeColor="text1"/>
          <w:sz w:val="16"/>
          <w:szCs w:val="16"/>
          <w:lang w:val="es-ES"/>
        </w:rPr>
      </w:pPr>
      <w:r>
        <w:rPr>
          <w:rFonts w:ascii="Century Gothic" w:hAnsi="Century Gothic" w:cs="Arial"/>
          <w:color w:val="000000" w:themeColor="text1"/>
          <w:sz w:val="16"/>
          <w:szCs w:val="16"/>
          <w:lang w:val="es-ES"/>
        </w:rPr>
        <w:t>“</w:t>
      </w:r>
      <w:r w:rsidR="00E41FB7" w:rsidRPr="00505B0E">
        <w:rPr>
          <w:rFonts w:ascii="Century Gothic" w:hAnsi="Century Gothic" w:cs="Arial"/>
          <w:color w:val="000000" w:themeColor="text1"/>
          <w:sz w:val="16"/>
          <w:szCs w:val="16"/>
          <w:lang w:val="es-ES"/>
        </w:rPr>
        <w:t xml:space="preserve">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15AE3D97" w14:textId="462720FC" w:rsidR="00E41FB7" w:rsidRPr="00505B0E" w:rsidRDefault="00505B0E" w:rsidP="00E41FB7">
      <w:pPr>
        <w:pStyle w:val="Textonotapie"/>
        <w:ind w:firstLine="708"/>
        <w:jc w:val="both"/>
        <w:rPr>
          <w:rFonts w:ascii="Century Gothic" w:hAnsi="Century Gothic" w:cs="Arial"/>
          <w:color w:val="000000" w:themeColor="text1"/>
          <w:sz w:val="16"/>
          <w:szCs w:val="16"/>
          <w:lang w:val="es-ES"/>
        </w:rPr>
      </w:pPr>
      <w:r>
        <w:rPr>
          <w:rFonts w:ascii="Century Gothic" w:hAnsi="Century Gothic" w:cs="Arial"/>
          <w:color w:val="000000" w:themeColor="text1"/>
          <w:sz w:val="16"/>
          <w:szCs w:val="16"/>
          <w:lang w:val="es-ES"/>
        </w:rPr>
        <w:t>“</w:t>
      </w:r>
      <w:r w:rsidR="00E41FB7" w:rsidRPr="00505B0E">
        <w:rPr>
          <w:rFonts w:ascii="Century Gothic" w:hAnsi="Century Gothic" w:cs="Arial"/>
          <w:color w:val="000000" w:themeColor="text1"/>
          <w:sz w:val="16"/>
          <w:szCs w:val="16"/>
          <w:lang w:val="es-ES"/>
        </w:rPr>
        <w:t xml:space="preserve">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587D783C" w14:textId="10130EC4" w:rsidR="00E41FB7" w:rsidRPr="00505B0E" w:rsidRDefault="00505B0E" w:rsidP="00E41FB7">
      <w:pPr>
        <w:pStyle w:val="Textonotapie"/>
        <w:ind w:firstLine="708"/>
        <w:jc w:val="both"/>
        <w:rPr>
          <w:rFonts w:ascii="Century Gothic" w:hAnsi="Century Gothic" w:cs="Arial"/>
          <w:color w:val="000000" w:themeColor="text1"/>
          <w:sz w:val="16"/>
          <w:szCs w:val="16"/>
          <w:lang w:val="es-ES"/>
        </w:rPr>
      </w:pPr>
      <w:r>
        <w:rPr>
          <w:rFonts w:ascii="Century Gothic" w:hAnsi="Century Gothic" w:cs="Arial"/>
          <w:color w:val="000000" w:themeColor="text1"/>
          <w:sz w:val="16"/>
          <w:szCs w:val="16"/>
          <w:lang w:val="es-ES"/>
        </w:rPr>
        <w:t xml:space="preserve">“ </w:t>
      </w:r>
      <w:r w:rsidR="00E41FB7" w:rsidRPr="00505B0E">
        <w:rPr>
          <w:rFonts w:ascii="Century Gothic" w:hAnsi="Century Gothic" w:cs="Arial"/>
          <w:color w:val="000000" w:themeColor="text1"/>
          <w:sz w:val="16"/>
          <w:szCs w:val="16"/>
          <w:lang w:val="es-ES"/>
        </w:rPr>
        <w:t>Los contratistas tendrán derecho a efectuar salvedades a la liquidación por mutuo acuerdo, y en este evento la liquidación unilateral solo procederá en relación con los aspectos que no hayan sido objeto de acuerdo».</w:t>
      </w:r>
    </w:p>
  </w:footnote>
  <w:footnote w:id="6">
    <w:p w14:paraId="1CEA2FBA" w14:textId="77777777" w:rsidR="00E23733" w:rsidRPr="00505B0E" w:rsidRDefault="00E23733" w:rsidP="00E23733">
      <w:pPr>
        <w:pStyle w:val="Textonotapie"/>
        <w:ind w:firstLine="709"/>
        <w:jc w:val="both"/>
        <w:rPr>
          <w:rFonts w:ascii="Century Gothic" w:hAnsi="Century Gothic" w:cs="Arial"/>
          <w:color w:val="000000" w:themeColor="text1"/>
          <w:sz w:val="16"/>
          <w:szCs w:val="16"/>
        </w:rPr>
      </w:pPr>
      <w:r w:rsidRPr="00505B0E">
        <w:rPr>
          <w:rStyle w:val="Refdenotaalpie"/>
          <w:rFonts w:ascii="Century Gothic" w:hAnsi="Century Gothic" w:cs="Arial"/>
          <w:color w:val="000000" w:themeColor="text1"/>
          <w:sz w:val="16"/>
          <w:szCs w:val="16"/>
        </w:rPr>
        <w:footnoteRef/>
      </w:r>
      <w:r w:rsidRPr="00505B0E">
        <w:rPr>
          <w:rFonts w:ascii="Century Gothic" w:hAnsi="Century Gothic" w:cs="Arial"/>
          <w:color w:val="000000" w:themeColor="text1"/>
          <w:sz w:val="16"/>
          <w:szCs w:val="16"/>
        </w:rPr>
        <w:t xml:space="preserve"> CONSEJO DE ESTADO, Sección Tercera, Subsección C, Sentencia del 24 de julio de 2013, radicado No. 25.642, Consejero Ponente Enrique Gil Botero.</w:t>
      </w:r>
    </w:p>
    <w:p w14:paraId="5F35AA04" w14:textId="77777777" w:rsidR="00E23733" w:rsidRPr="00D15703" w:rsidRDefault="00E23733" w:rsidP="00E23733">
      <w:pPr>
        <w:pStyle w:val="Textonotapie"/>
        <w:ind w:firstLine="709"/>
        <w:jc w:val="both"/>
        <w:rPr>
          <w:rFonts w:ascii="Arial" w:hAnsi="Arial" w:cs="Arial"/>
          <w:color w:val="000000" w:themeColor="text1"/>
          <w:sz w:val="16"/>
          <w:szCs w:val="16"/>
          <w:lang w:val="es-CO"/>
        </w:rPr>
      </w:pPr>
    </w:p>
  </w:footnote>
  <w:footnote w:id="7">
    <w:p w14:paraId="28C8452E" w14:textId="431D2473" w:rsidR="00E23733" w:rsidRPr="00505B0E" w:rsidRDefault="00E23733" w:rsidP="00E23733">
      <w:pPr>
        <w:pStyle w:val="NormalWeb"/>
        <w:spacing w:after="0"/>
        <w:ind w:firstLine="709"/>
        <w:jc w:val="both"/>
        <w:rPr>
          <w:rFonts w:ascii="Century Gothic" w:hAnsi="Century Gothic" w:cs="Arial"/>
          <w:color w:val="000000" w:themeColor="text1"/>
          <w:sz w:val="16"/>
          <w:szCs w:val="16"/>
        </w:rPr>
      </w:pPr>
      <w:r w:rsidRPr="00505B0E">
        <w:rPr>
          <w:rStyle w:val="Refdenotaalpie"/>
          <w:rFonts w:ascii="Century Gothic" w:hAnsi="Century Gothic" w:cs="Arial"/>
          <w:color w:val="000000" w:themeColor="text1"/>
          <w:sz w:val="16"/>
          <w:szCs w:val="16"/>
        </w:rPr>
        <w:footnoteRef/>
      </w:r>
      <w:r w:rsidRPr="00505B0E">
        <w:rPr>
          <w:rFonts w:ascii="Century Gothic" w:hAnsi="Century Gothic" w:cs="Arial"/>
          <w:color w:val="000000" w:themeColor="text1"/>
          <w:sz w:val="16"/>
          <w:szCs w:val="16"/>
        </w:rPr>
        <w:t xml:space="preserve"> Decreto 1082 de 2015 </w:t>
      </w:r>
      <w:r w:rsidR="00505B0E">
        <w:rPr>
          <w:rFonts w:ascii="Century Gothic" w:hAnsi="Century Gothic" w:cs="Arial"/>
          <w:color w:val="000000" w:themeColor="text1"/>
          <w:sz w:val="16"/>
          <w:szCs w:val="16"/>
        </w:rPr>
        <w:t>“</w:t>
      </w:r>
      <w:r w:rsidRPr="00505B0E">
        <w:rPr>
          <w:rStyle w:val="Textoennegrita"/>
          <w:rFonts w:ascii="Century Gothic" w:hAnsi="Century Gothic" w:cs="Arial"/>
          <w:color w:val="000000" w:themeColor="text1"/>
          <w:sz w:val="16"/>
          <w:szCs w:val="16"/>
        </w:rPr>
        <w:t>Artículo 2.2.1.2.1.5.2. </w:t>
      </w:r>
      <w:r w:rsidRPr="00505B0E">
        <w:rPr>
          <w:rStyle w:val="nfasis"/>
          <w:rFonts w:ascii="Century Gothic" w:eastAsiaTheme="minorEastAsia" w:hAnsi="Century Gothic" w:cs="Arial"/>
          <w:color w:val="000000" w:themeColor="text1"/>
          <w:sz w:val="16"/>
          <w:szCs w:val="16"/>
        </w:rPr>
        <w:t>Procedimiento para la contratación de mínima cuantía. </w:t>
      </w:r>
      <w:r w:rsidRPr="00505B0E">
        <w:rPr>
          <w:rFonts w:ascii="Century Gothic" w:hAnsi="Century Gothic" w:cs="Arial"/>
          <w:color w:val="000000" w:themeColor="text1"/>
          <w:sz w:val="16"/>
          <w:szCs w:val="16"/>
        </w:rPr>
        <w:t>Las siguientes reglas son aplicables a la contratación cuyo valor no excede del 10% de la menor cuantía de la Entidad Estatal, independientemente de su objeto: </w:t>
      </w:r>
    </w:p>
    <w:p w14:paraId="2612B481" w14:textId="69E35825" w:rsidR="00E23733" w:rsidRPr="00505B0E" w:rsidRDefault="00E23733" w:rsidP="00E23733">
      <w:pPr>
        <w:pStyle w:val="NormalWeb"/>
        <w:spacing w:after="0"/>
        <w:jc w:val="both"/>
        <w:rPr>
          <w:rFonts w:ascii="Century Gothic" w:hAnsi="Century Gothic" w:cs="Arial"/>
          <w:color w:val="000000" w:themeColor="text1"/>
          <w:sz w:val="16"/>
          <w:szCs w:val="16"/>
        </w:rPr>
      </w:pPr>
      <w:r w:rsidRPr="00505B0E">
        <w:rPr>
          <w:rFonts w:ascii="Century Gothic" w:hAnsi="Century Gothic" w:cs="Arial"/>
          <w:color w:val="000000" w:themeColor="text1"/>
          <w:sz w:val="16"/>
          <w:szCs w:val="16"/>
        </w:rPr>
        <w:t>  </w:t>
      </w:r>
      <w:r w:rsidRPr="00505B0E">
        <w:rPr>
          <w:rFonts w:ascii="Century Gothic" w:hAnsi="Century Gothic" w:cs="Arial"/>
          <w:color w:val="000000" w:themeColor="text1"/>
          <w:sz w:val="16"/>
          <w:szCs w:val="16"/>
        </w:rPr>
        <w:tab/>
      </w:r>
      <w:r w:rsidR="00505B0E">
        <w:rPr>
          <w:rFonts w:ascii="Century Gothic" w:hAnsi="Century Gothic" w:cs="Arial"/>
          <w:color w:val="000000" w:themeColor="text1"/>
          <w:sz w:val="16"/>
          <w:szCs w:val="16"/>
        </w:rPr>
        <w:t>“</w:t>
      </w:r>
      <w:r w:rsidRPr="00505B0E">
        <w:rPr>
          <w:rFonts w:ascii="Century Gothic" w:hAnsi="Century Gothic" w:cs="Arial"/>
          <w:color w:val="000000" w:themeColor="text1"/>
          <w:sz w:val="16"/>
          <w:szCs w:val="16"/>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w:t>
      </w:r>
      <w:r w:rsidR="00505B0E">
        <w:rPr>
          <w:rFonts w:ascii="Century Gothic" w:hAnsi="Century Gothic" w:cs="Arial"/>
          <w:color w:val="000000" w:themeColor="text1"/>
          <w:sz w:val="16"/>
          <w:szCs w:val="16"/>
        </w:rPr>
        <w:t>”</w:t>
      </w:r>
      <w:r w:rsidRPr="00505B0E">
        <w:rPr>
          <w:rFonts w:ascii="Century Gothic" w:hAnsi="Century Gothic" w:cs="Arial"/>
          <w:color w:val="000000" w:themeColor="text1"/>
          <w:sz w:val="16"/>
          <w:szCs w:val="16"/>
        </w:rPr>
        <w:t>. </w:t>
      </w:r>
    </w:p>
    <w:p w14:paraId="36A37495" w14:textId="77777777" w:rsidR="00E23733" w:rsidRPr="00505B0E" w:rsidRDefault="00E23733" w:rsidP="00E23733">
      <w:pPr>
        <w:pStyle w:val="NormalWeb"/>
        <w:spacing w:after="0"/>
        <w:jc w:val="both"/>
        <w:rPr>
          <w:rFonts w:ascii="Century Gothic" w:hAnsi="Century Gothic" w:cs="Arial"/>
          <w:color w:val="000000" w:themeColor="text1"/>
          <w:sz w:val="16"/>
          <w:szCs w:val="16"/>
        </w:rPr>
      </w:pPr>
    </w:p>
  </w:footnote>
  <w:footnote w:id="8">
    <w:p w14:paraId="01E44972" w14:textId="33646736" w:rsidR="00E23733" w:rsidRPr="00505B0E" w:rsidRDefault="00E23733" w:rsidP="00E23733">
      <w:pPr>
        <w:pStyle w:val="Textonotapie"/>
        <w:ind w:firstLine="709"/>
        <w:jc w:val="both"/>
        <w:rPr>
          <w:rFonts w:ascii="Century Gothic" w:hAnsi="Century Gothic" w:cs="Arial"/>
          <w:color w:val="000000" w:themeColor="text1"/>
          <w:sz w:val="16"/>
          <w:szCs w:val="16"/>
        </w:rPr>
      </w:pPr>
      <w:r w:rsidRPr="00505B0E">
        <w:rPr>
          <w:rStyle w:val="Refdenotaalpie"/>
          <w:rFonts w:ascii="Century Gothic" w:hAnsi="Century Gothic" w:cs="Arial"/>
          <w:color w:val="000000" w:themeColor="text1"/>
          <w:sz w:val="16"/>
          <w:szCs w:val="16"/>
        </w:rPr>
        <w:footnoteRef/>
      </w:r>
      <w:r w:rsidRPr="00505B0E">
        <w:rPr>
          <w:rFonts w:ascii="Century Gothic" w:hAnsi="Century Gothic" w:cs="Arial"/>
          <w:color w:val="000000" w:themeColor="text1"/>
          <w:sz w:val="16"/>
          <w:szCs w:val="16"/>
        </w:rPr>
        <w:t xml:space="preserve"> Ley 80 de 1993 </w:t>
      </w:r>
      <w:r w:rsidR="00505B0E">
        <w:rPr>
          <w:rFonts w:ascii="Century Gothic" w:hAnsi="Century Gothic" w:cs="Arial"/>
          <w:color w:val="000000" w:themeColor="text1"/>
          <w:sz w:val="16"/>
          <w:szCs w:val="16"/>
        </w:rPr>
        <w:t>“</w:t>
      </w:r>
      <w:r w:rsidRPr="00505B0E">
        <w:rPr>
          <w:rStyle w:val="Textoennegrita"/>
          <w:rFonts w:ascii="Century Gothic" w:hAnsi="Century Gothic" w:cs="Arial"/>
          <w:color w:val="000000" w:themeColor="text1"/>
          <w:sz w:val="16"/>
          <w:szCs w:val="16"/>
        </w:rPr>
        <w:t>Artículo 77. De la normatividad aplicable en las actuaciones administrativas.</w:t>
      </w:r>
      <w:r w:rsidRPr="00505B0E">
        <w:rPr>
          <w:rFonts w:ascii="Century Gothic" w:hAnsi="Century Gothic" w:cs="Arial"/>
          <w:color w:val="000000" w:themeColor="text1"/>
          <w:sz w:val="16"/>
          <w:szCs w:val="16"/>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w:t>
      </w:r>
      <w:r w:rsidR="00505B0E">
        <w:rPr>
          <w:rFonts w:ascii="Century Gothic" w:hAnsi="Century Gothic" w:cs="Arial"/>
          <w:color w:val="000000" w:themeColor="text1"/>
          <w:sz w:val="16"/>
          <w:szCs w:val="16"/>
        </w:rPr>
        <w:t>”</w:t>
      </w:r>
      <w:r w:rsidRPr="00505B0E">
        <w:rPr>
          <w:rFonts w:ascii="Century Gothic" w:hAnsi="Century Gothic" w:cs="Arial"/>
          <w:color w:val="000000" w:themeColor="text1"/>
          <w:sz w:val="16"/>
          <w:szCs w:val="16"/>
        </w:rPr>
        <w:t>. </w:t>
      </w:r>
    </w:p>
  </w:footnote>
  <w:footnote w:id="9">
    <w:p w14:paraId="2DE249B2" w14:textId="5D267921" w:rsidR="00E23733" w:rsidRPr="00505B0E" w:rsidRDefault="00E23733" w:rsidP="00E23733">
      <w:pPr>
        <w:pStyle w:val="NormalWeb"/>
        <w:spacing w:after="0"/>
        <w:ind w:firstLine="709"/>
        <w:jc w:val="both"/>
        <w:rPr>
          <w:rFonts w:ascii="Century Gothic" w:hAnsi="Century Gothic" w:cs="Arial"/>
          <w:color w:val="000000" w:themeColor="text1"/>
          <w:sz w:val="16"/>
          <w:szCs w:val="16"/>
        </w:rPr>
      </w:pPr>
      <w:r w:rsidRPr="00505B0E">
        <w:rPr>
          <w:rStyle w:val="Refdenotaalpie"/>
          <w:rFonts w:ascii="Century Gothic" w:hAnsi="Century Gothic" w:cs="Arial"/>
          <w:color w:val="000000" w:themeColor="text1"/>
          <w:sz w:val="16"/>
          <w:szCs w:val="16"/>
        </w:rPr>
        <w:footnoteRef/>
      </w:r>
      <w:r w:rsidRPr="00505B0E">
        <w:rPr>
          <w:rFonts w:ascii="Century Gothic" w:hAnsi="Century Gothic" w:cs="Arial"/>
          <w:color w:val="000000" w:themeColor="text1"/>
          <w:sz w:val="16"/>
          <w:szCs w:val="16"/>
        </w:rPr>
        <w:t xml:space="preserve"> Ley 80 de 1993 </w:t>
      </w:r>
      <w:r w:rsidR="00505B0E">
        <w:rPr>
          <w:rFonts w:ascii="Century Gothic" w:hAnsi="Century Gothic" w:cs="Arial"/>
          <w:color w:val="000000" w:themeColor="text1"/>
          <w:sz w:val="16"/>
          <w:szCs w:val="16"/>
        </w:rPr>
        <w:t>“</w:t>
      </w:r>
      <w:r w:rsidRPr="00505B0E">
        <w:rPr>
          <w:rStyle w:val="Textoennegrita"/>
          <w:rFonts w:ascii="Century Gothic" w:hAnsi="Century Gothic" w:cs="Arial"/>
          <w:color w:val="000000" w:themeColor="text1"/>
          <w:sz w:val="16"/>
          <w:szCs w:val="16"/>
        </w:rPr>
        <w:t>Artículo 25. Del principio de economía.</w:t>
      </w:r>
      <w:r w:rsidRPr="00505B0E">
        <w:rPr>
          <w:rFonts w:ascii="Century Gothic" w:hAnsi="Century Gothic" w:cs="Arial"/>
          <w:color w:val="000000" w:themeColor="text1"/>
          <w:sz w:val="16"/>
          <w:szCs w:val="16"/>
        </w:rPr>
        <w:t> En virtud de este principio: </w:t>
      </w:r>
    </w:p>
    <w:p w14:paraId="5D31FCBE" w14:textId="77777777" w:rsidR="00E23733" w:rsidRPr="00505B0E" w:rsidRDefault="00E23733" w:rsidP="00E23733">
      <w:pPr>
        <w:pStyle w:val="NormalWeb"/>
        <w:spacing w:after="0"/>
        <w:ind w:firstLine="709"/>
        <w:jc w:val="both"/>
        <w:rPr>
          <w:rFonts w:ascii="Century Gothic" w:hAnsi="Century Gothic" w:cs="Arial"/>
          <w:color w:val="000000" w:themeColor="text1"/>
          <w:sz w:val="16"/>
          <w:szCs w:val="16"/>
        </w:rPr>
      </w:pPr>
      <w:r w:rsidRPr="00505B0E">
        <w:rPr>
          <w:rFonts w:ascii="Century Gothic" w:hAnsi="Century Gothic" w:cs="Arial"/>
          <w:color w:val="000000" w:themeColor="text1"/>
          <w:sz w:val="16"/>
          <w:szCs w:val="16"/>
        </w:rPr>
        <w:t>[…]</w:t>
      </w:r>
    </w:p>
    <w:p w14:paraId="61B9F603" w14:textId="69691875" w:rsidR="00E23733" w:rsidRPr="00505B0E" w:rsidRDefault="00505B0E" w:rsidP="00E23733">
      <w:pPr>
        <w:pStyle w:val="NormalWeb"/>
        <w:spacing w:after="0"/>
        <w:ind w:firstLine="709"/>
        <w:jc w:val="both"/>
        <w:rPr>
          <w:rFonts w:ascii="Century Gothic" w:hAnsi="Century Gothic" w:cs="Arial"/>
          <w:color w:val="000000" w:themeColor="text1"/>
          <w:sz w:val="16"/>
          <w:szCs w:val="16"/>
        </w:rPr>
      </w:pPr>
      <w:r>
        <w:rPr>
          <w:rFonts w:ascii="Century Gothic" w:hAnsi="Century Gothic" w:cs="Arial"/>
          <w:color w:val="000000" w:themeColor="text1"/>
          <w:sz w:val="16"/>
          <w:szCs w:val="16"/>
        </w:rPr>
        <w:t>“</w:t>
      </w:r>
      <w:r w:rsidR="00E23733" w:rsidRPr="00505B0E">
        <w:rPr>
          <w:rFonts w:ascii="Century Gothic" w:hAnsi="Century Gothic" w:cs="Arial"/>
          <w:color w:val="000000" w:themeColor="text1"/>
          <w:sz w:val="16"/>
          <w:szCs w:val="16"/>
        </w:rPr>
        <w:t>4o. Los trámites se adelantarán con austeridad de tiempo, medios y gastos y se impedirán las dilaciones y los retardos en la ejecución del contrato. </w:t>
      </w:r>
    </w:p>
    <w:p w14:paraId="361FCDFF" w14:textId="3A03D98A" w:rsidR="00E23733" w:rsidRPr="00D15703" w:rsidRDefault="00E23733" w:rsidP="00E23733">
      <w:pPr>
        <w:pStyle w:val="NormalWeb"/>
        <w:spacing w:after="0"/>
        <w:jc w:val="both"/>
        <w:rPr>
          <w:rFonts w:ascii="Arial" w:hAnsi="Arial" w:cs="Arial"/>
          <w:color w:val="000000" w:themeColor="text1"/>
          <w:sz w:val="16"/>
          <w:szCs w:val="16"/>
        </w:rPr>
      </w:pPr>
      <w:r w:rsidRPr="00505B0E">
        <w:rPr>
          <w:rFonts w:ascii="Century Gothic" w:hAnsi="Century Gothic" w:cs="Arial"/>
          <w:color w:val="000000" w:themeColor="text1"/>
          <w:sz w:val="16"/>
          <w:szCs w:val="16"/>
        </w:rPr>
        <w:t>  </w:t>
      </w:r>
      <w:r w:rsidRPr="00505B0E">
        <w:rPr>
          <w:rFonts w:ascii="Century Gothic" w:hAnsi="Century Gothic" w:cs="Arial"/>
          <w:color w:val="000000" w:themeColor="text1"/>
          <w:sz w:val="16"/>
          <w:szCs w:val="16"/>
        </w:rPr>
        <w:tab/>
      </w:r>
      <w:r w:rsidR="00505B0E">
        <w:rPr>
          <w:rFonts w:ascii="Century Gothic" w:hAnsi="Century Gothic" w:cs="Arial"/>
          <w:color w:val="000000" w:themeColor="text1"/>
          <w:sz w:val="16"/>
          <w:szCs w:val="16"/>
        </w:rPr>
        <w:t>“</w:t>
      </w:r>
      <w:r w:rsidRPr="00505B0E">
        <w:rPr>
          <w:rFonts w:ascii="Century Gothic" w:hAnsi="Century Gothic" w:cs="Arial"/>
          <w:color w:val="000000" w:themeColor="text1"/>
          <w:sz w:val="16"/>
          <w:szCs w:val="16"/>
        </w:rPr>
        <w:t>5o. Se adoptarán procedimientos que garanticen la pronta solución de las diferencias y controversias que con motivo de la celebración y ejecución del contrato se presenten […]</w:t>
      </w:r>
      <w:r w:rsidR="00505B0E">
        <w:rPr>
          <w:rFonts w:ascii="Century Gothic" w:hAnsi="Century Gothic" w:cs="Arial"/>
          <w:color w:val="000000" w:themeColor="text1"/>
          <w:sz w:val="16"/>
          <w:szCs w:val="16"/>
        </w:rPr>
        <w:t>”</w:t>
      </w:r>
      <w:r w:rsidRPr="00505B0E">
        <w:rPr>
          <w:rFonts w:ascii="Century Gothic" w:hAnsi="Century Gothic" w:cs="Arial"/>
          <w:color w:val="000000" w:themeColor="text1"/>
          <w:sz w:val="16"/>
          <w:szCs w:val="16"/>
        </w:rPr>
        <w:t>.</w:t>
      </w:r>
    </w:p>
  </w:footnote>
  <w:footnote w:id="10">
    <w:p w14:paraId="2E5A2E6A" w14:textId="77777777" w:rsidR="00E23733" w:rsidRPr="00505B0E" w:rsidRDefault="00E23733" w:rsidP="00E23733">
      <w:pPr>
        <w:pStyle w:val="Textonotapie"/>
        <w:ind w:firstLine="708"/>
        <w:jc w:val="both"/>
        <w:rPr>
          <w:rFonts w:ascii="Century Gothic" w:hAnsi="Century Gothic" w:cs="Arial"/>
          <w:color w:val="000000" w:themeColor="text1"/>
          <w:sz w:val="16"/>
          <w:szCs w:val="16"/>
        </w:rPr>
      </w:pPr>
      <w:r w:rsidRPr="00505B0E">
        <w:rPr>
          <w:rStyle w:val="Refdenotaalpie"/>
          <w:rFonts w:ascii="Century Gothic" w:hAnsi="Century Gothic" w:cs="Arial"/>
          <w:color w:val="000000" w:themeColor="text1"/>
          <w:sz w:val="16"/>
          <w:szCs w:val="16"/>
        </w:rPr>
        <w:footnoteRef/>
      </w:r>
      <w:r w:rsidRPr="00505B0E">
        <w:rPr>
          <w:rFonts w:ascii="Century Gothic" w:hAnsi="Century Gothic" w:cs="Arial"/>
          <w:color w:val="000000" w:themeColor="text1"/>
          <w:sz w:val="16"/>
          <w:szCs w:val="16"/>
        </w:rPr>
        <w:t xml:space="preserve"> CONSEJO DE ESTADO. Sala de Consulta y Servicio Civil. Concepto de 28 de Junio de 2016. Radicación: 2253. C.P. Álvaro Namén Vargas. </w:t>
      </w:r>
    </w:p>
    <w:p w14:paraId="54B3593F" w14:textId="77777777" w:rsidR="00E23733" w:rsidRPr="00D15703" w:rsidRDefault="00E23733" w:rsidP="00E23733">
      <w:pPr>
        <w:pStyle w:val="Textonotapie"/>
        <w:ind w:firstLine="708"/>
        <w:jc w:val="both"/>
        <w:rPr>
          <w:rFonts w:ascii="Arial" w:hAnsi="Arial" w:cs="Arial"/>
          <w:color w:val="000000" w:themeColor="text1"/>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D5A0D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1" w15:restartNumberingAfterBreak="0">
    <w:nsid w:val="644D1A50"/>
    <w:multiLevelType w:val="hybridMultilevel"/>
    <w:tmpl w:val="4E0A28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0B471CB"/>
    <w:multiLevelType w:val="hybridMultilevel"/>
    <w:tmpl w:val="7A44F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0670214">
    <w:abstractNumId w:val="7"/>
  </w:num>
  <w:num w:numId="2" w16cid:durableId="4285022">
    <w:abstractNumId w:val="2"/>
  </w:num>
  <w:num w:numId="3" w16cid:durableId="881983949">
    <w:abstractNumId w:val="4"/>
  </w:num>
  <w:num w:numId="4" w16cid:durableId="341274352">
    <w:abstractNumId w:val="0"/>
  </w:num>
  <w:num w:numId="5" w16cid:durableId="1887524674">
    <w:abstractNumId w:val="10"/>
  </w:num>
  <w:num w:numId="6" w16cid:durableId="1082990391">
    <w:abstractNumId w:val="1"/>
  </w:num>
  <w:num w:numId="7" w16cid:durableId="1492209491">
    <w:abstractNumId w:val="6"/>
  </w:num>
  <w:num w:numId="8" w16cid:durableId="679089576">
    <w:abstractNumId w:val="8"/>
  </w:num>
  <w:num w:numId="9" w16cid:durableId="2123767494">
    <w:abstractNumId w:val="9"/>
  </w:num>
  <w:num w:numId="10" w16cid:durableId="1391228846">
    <w:abstractNumId w:val="5"/>
  </w:num>
  <w:num w:numId="11" w16cid:durableId="15233557">
    <w:abstractNumId w:val="11"/>
  </w:num>
  <w:num w:numId="12" w16cid:durableId="354035714">
    <w:abstractNumId w:val="3"/>
  </w:num>
  <w:num w:numId="13" w16cid:durableId="1815677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178"/>
    <w:rsid w:val="00082E4C"/>
    <w:rsid w:val="000849D5"/>
    <w:rsid w:val="0008528F"/>
    <w:rsid w:val="000A17CB"/>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C04FC"/>
    <w:rsid w:val="001C25A3"/>
    <w:rsid w:val="001C5D03"/>
    <w:rsid w:val="001C7771"/>
    <w:rsid w:val="001D62FF"/>
    <w:rsid w:val="001F3F48"/>
    <w:rsid w:val="002000AA"/>
    <w:rsid w:val="00204109"/>
    <w:rsid w:val="002104C4"/>
    <w:rsid w:val="00211E6E"/>
    <w:rsid w:val="00212A46"/>
    <w:rsid w:val="0021401D"/>
    <w:rsid w:val="002146B8"/>
    <w:rsid w:val="00215516"/>
    <w:rsid w:val="002527C2"/>
    <w:rsid w:val="00270443"/>
    <w:rsid w:val="00270EE2"/>
    <w:rsid w:val="00272972"/>
    <w:rsid w:val="00286491"/>
    <w:rsid w:val="002A0F8D"/>
    <w:rsid w:val="002B6E44"/>
    <w:rsid w:val="002E1DB5"/>
    <w:rsid w:val="002F6CCB"/>
    <w:rsid w:val="0030461E"/>
    <w:rsid w:val="0032756A"/>
    <w:rsid w:val="00334EF8"/>
    <w:rsid w:val="00336408"/>
    <w:rsid w:val="00340C12"/>
    <w:rsid w:val="00340DFB"/>
    <w:rsid w:val="0034404F"/>
    <w:rsid w:val="00356980"/>
    <w:rsid w:val="00367462"/>
    <w:rsid w:val="00371ECA"/>
    <w:rsid w:val="00372748"/>
    <w:rsid w:val="0037332A"/>
    <w:rsid w:val="0038151A"/>
    <w:rsid w:val="0039082A"/>
    <w:rsid w:val="00390C21"/>
    <w:rsid w:val="003A37BD"/>
    <w:rsid w:val="003B6D94"/>
    <w:rsid w:val="003C4C96"/>
    <w:rsid w:val="003C55E0"/>
    <w:rsid w:val="003F519B"/>
    <w:rsid w:val="0040544F"/>
    <w:rsid w:val="00406A19"/>
    <w:rsid w:val="0041222D"/>
    <w:rsid w:val="0041483E"/>
    <w:rsid w:val="00415369"/>
    <w:rsid w:val="00430492"/>
    <w:rsid w:val="00450BE7"/>
    <w:rsid w:val="004656D7"/>
    <w:rsid w:val="0046741E"/>
    <w:rsid w:val="00472CC6"/>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05B0E"/>
    <w:rsid w:val="005139E7"/>
    <w:rsid w:val="005147DA"/>
    <w:rsid w:val="00515FB5"/>
    <w:rsid w:val="0052365C"/>
    <w:rsid w:val="005271EB"/>
    <w:rsid w:val="005426DB"/>
    <w:rsid w:val="0055082B"/>
    <w:rsid w:val="00552503"/>
    <w:rsid w:val="00552B57"/>
    <w:rsid w:val="00557DA1"/>
    <w:rsid w:val="0056322C"/>
    <w:rsid w:val="00573D36"/>
    <w:rsid w:val="0058743A"/>
    <w:rsid w:val="005A3696"/>
    <w:rsid w:val="005A4DB0"/>
    <w:rsid w:val="005A7B8E"/>
    <w:rsid w:val="005B012B"/>
    <w:rsid w:val="005B0C87"/>
    <w:rsid w:val="005D23F6"/>
    <w:rsid w:val="005D2FA8"/>
    <w:rsid w:val="005E2281"/>
    <w:rsid w:val="005E667C"/>
    <w:rsid w:val="005F077C"/>
    <w:rsid w:val="005F63D0"/>
    <w:rsid w:val="005F7973"/>
    <w:rsid w:val="00600948"/>
    <w:rsid w:val="0061690E"/>
    <w:rsid w:val="00627361"/>
    <w:rsid w:val="0063017E"/>
    <w:rsid w:val="00631B28"/>
    <w:rsid w:val="00645B90"/>
    <w:rsid w:val="00650991"/>
    <w:rsid w:val="006511D7"/>
    <w:rsid w:val="00663D75"/>
    <w:rsid w:val="00670AEF"/>
    <w:rsid w:val="00675678"/>
    <w:rsid w:val="00677012"/>
    <w:rsid w:val="006825B4"/>
    <w:rsid w:val="00682AF2"/>
    <w:rsid w:val="006864DF"/>
    <w:rsid w:val="0069236B"/>
    <w:rsid w:val="006A3C8A"/>
    <w:rsid w:val="006A7552"/>
    <w:rsid w:val="006B5319"/>
    <w:rsid w:val="006B5953"/>
    <w:rsid w:val="006B7A81"/>
    <w:rsid w:val="006C4BAC"/>
    <w:rsid w:val="006C52F3"/>
    <w:rsid w:val="006E1D19"/>
    <w:rsid w:val="006E7F37"/>
    <w:rsid w:val="006F3B81"/>
    <w:rsid w:val="006F4F79"/>
    <w:rsid w:val="00705B37"/>
    <w:rsid w:val="00711FD9"/>
    <w:rsid w:val="0071249B"/>
    <w:rsid w:val="00735062"/>
    <w:rsid w:val="00737E78"/>
    <w:rsid w:val="00746BA5"/>
    <w:rsid w:val="00751D23"/>
    <w:rsid w:val="00770577"/>
    <w:rsid w:val="00777666"/>
    <w:rsid w:val="00780EE2"/>
    <w:rsid w:val="0078159B"/>
    <w:rsid w:val="00782E10"/>
    <w:rsid w:val="0078706B"/>
    <w:rsid w:val="00790836"/>
    <w:rsid w:val="00797131"/>
    <w:rsid w:val="007A3C1D"/>
    <w:rsid w:val="007A7364"/>
    <w:rsid w:val="007B285D"/>
    <w:rsid w:val="007C6BC6"/>
    <w:rsid w:val="007F130D"/>
    <w:rsid w:val="00807D79"/>
    <w:rsid w:val="00813634"/>
    <w:rsid w:val="00822821"/>
    <w:rsid w:val="00831C29"/>
    <w:rsid w:val="008431EF"/>
    <w:rsid w:val="008468E0"/>
    <w:rsid w:val="00855FD6"/>
    <w:rsid w:val="00871B59"/>
    <w:rsid w:val="00877D03"/>
    <w:rsid w:val="00877E96"/>
    <w:rsid w:val="008806CA"/>
    <w:rsid w:val="008815E5"/>
    <w:rsid w:val="00887B37"/>
    <w:rsid w:val="008909B9"/>
    <w:rsid w:val="00891DFC"/>
    <w:rsid w:val="008B12B4"/>
    <w:rsid w:val="008B7914"/>
    <w:rsid w:val="008C5D2A"/>
    <w:rsid w:val="008C7AF4"/>
    <w:rsid w:val="008D529F"/>
    <w:rsid w:val="008F5CC8"/>
    <w:rsid w:val="009061B8"/>
    <w:rsid w:val="0091008B"/>
    <w:rsid w:val="00911EA2"/>
    <w:rsid w:val="00916C7D"/>
    <w:rsid w:val="0092575D"/>
    <w:rsid w:val="009341DA"/>
    <w:rsid w:val="009430F9"/>
    <w:rsid w:val="009442E8"/>
    <w:rsid w:val="00946BD0"/>
    <w:rsid w:val="0095426C"/>
    <w:rsid w:val="00970087"/>
    <w:rsid w:val="00971074"/>
    <w:rsid w:val="00995D86"/>
    <w:rsid w:val="009A5453"/>
    <w:rsid w:val="009B4D94"/>
    <w:rsid w:val="009C2871"/>
    <w:rsid w:val="009D3C33"/>
    <w:rsid w:val="009D7F3A"/>
    <w:rsid w:val="009E4885"/>
    <w:rsid w:val="00A07DB6"/>
    <w:rsid w:val="00A10A73"/>
    <w:rsid w:val="00A170B3"/>
    <w:rsid w:val="00A223D5"/>
    <w:rsid w:val="00A37D1C"/>
    <w:rsid w:val="00A5453E"/>
    <w:rsid w:val="00A56F6C"/>
    <w:rsid w:val="00A76C8C"/>
    <w:rsid w:val="00A83E50"/>
    <w:rsid w:val="00A85F30"/>
    <w:rsid w:val="00A9099E"/>
    <w:rsid w:val="00A91FB7"/>
    <w:rsid w:val="00A9298F"/>
    <w:rsid w:val="00AA0351"/>
    <w:rsid w:val="00AA1CB7"/>
    <w:rsid w:val="00AA5F4A"/>
    <w:rsid w:val="00AB1984"/>
    <w:rsid w:val="00AB52B1"/>
    <w:rsid w:val="00AC4CB3"/>
    <w:rsid w:val="00AC780D"/>
    <w:rsid w:val="00AD036B"/>
    <w:rsid w:val="00AD1996"/>
    <w:rsid w:val="00AD4099"/>
    <w:rsid w:val="00AD4901"/>
    <w:rsid w:val="00AF1F30"/>
    <w:rsid w:val="00B02FE0"/>
    <w:rsid w:val="00B057B6"/>
    <w:rsid w:val="00B30448"/>
    <w:rsid w:val="00B34786"/>
    <w:rsid w:val="00B400EC"/>
    <w:rsid w:val="00B40162"/>
    <w:rsid w:val="00B41ACE"/>
    <w:rsid w:val="00B50156"/>
    <w:rsid w:val="00B518AD"/>
    <w:rsid w:val="00B60A96"/>
    <w:rsid w:val="00B678EC"/>
    <w:rsid w:val="00B76C94"/>
    <w:rsid w:val="00B772D0"/>
    <w:rsid w:val="00B82946"/>
    <w:rsid w:val="00B836EA"/>
    <w:rsid w:val="00B84C05"/>
    <w:rsid w:val="00B9053B"/>
    <w:rsid w:val="00B91B81"/>
    <w:rsid w:val="00B97135"/>
    <w:rsid w:val="00BB3072"/>
    <w:rsid w:val="00BC7632"/>
    <w:rsid w:val="00BD48A9"/>
    <w:rsid w:val="00BD630F"/>
    <w:rsid w:val="00BD7EC6"/>
    <w:rsid w:val="00BE73FA"/>
    <w:rsid w:val="00BF6B4B"/>
    <w:rsid w:val="00BF755C"/>
    <w:rsid w:val="00C0511C"/>
    <w:rsid w:val="00C20ACF"/>
    <w:rsid w:val="00C22307"/>
    <w:rsid w:val="00C23469"/>
    <w:rsid w:val="00C30C62"/>
    <w:rsid w:val="00C371DF"/>
    <w:rsid w:val="00C42055"/>
    <w:rsid w:val="00C44B4C"/>
    <w:rsid w:val="00C46734"/>
    <w:rsid w:val="00C47A86"/>
    <w:rsid w:val="00C53220"/>
    <w:rsid w:val="00CA3347"/>
    <w:rsid w:val="00CC299A"/>
    <w:rsid w:val="00CC6AFD"/>
    <w:rsid w:val="00CD03E3"/>
    <w:rsid w:val="00CE6BDA"/>
    <w:rsid w:val="00CE7288"/>
    <w:rsid w:val="00D03DBE"/>
    <w:rsid w:val="00D072C0"/>
    <w:rsid w:val="00D34C82"/>
    <w:rsid w:val="00D37171"/>
    <w:rsid w:val="00D3757A"/>
    <w:rsid w:val="00D504A9"/>
    <w:rsid w:val="00D5206D"/>
    <w:rsid w:val="00D7177D"/>
    <w:rsid w:val="00D81311"/>
    <w:rsid w:val="00DB201E"/>
    <w:rsid w:val="00DC0E68"/>
    <w:rsid w:val="00DD25ED"/>
    <w:rsid w:val="00DE0D6E"/>
    <w:rsid w:val="00E1610C"/>
    <w:rsid w:val="00E16D73"/>
    <w:rsid w:val="00E23733"/>
    <w:rsid w:val="00E23E9E"/>
    <w:rsid w:val="00E25722"/>
    <w:rsid w:val="00E27F0A"/>
    <w:rsid w:val="00E41FB7"/>
    <w:rsid w:val="00E4231E"/>
    <w:rsid w:val="00E4302C"/>
    <w:rsid w:val="00E43EBA"/>
    <w:rsid w:val="00E44AC7"/>
    <w:rsid w:val="00E45F4B"/>
    <w:rsid w:val="00E60A16"/>
    <w:rsid w:val="00E82B6E"/>
    <w:rsid w:val="00E94258"/>
    <w:rsid w:val="00E96C18"/>
    <w:rsid w:val="00EA2E61"/>
    <w:rsid w:val="00EA7D7F"/>
    <w:rsid w:val="00EB02F4"/>
    <w:rsid w:val="00EB2FA2"/>
    <w:rsid w:val="00EB4CFC"/>
    <w:rsid w:val="00EB769A"/>
    <w:rsid w:val="00EC3A35"/>
    <w:rsid w:val="00ED33DD"/>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46F22"/>
    <w:rsid w:val="00F53BE2"/>
    <w:rsid w:val="00F55684"/>
    <w:rsid w:val="00F64D5A"/>
    <w:rsid w:val="00F709CD"/>
    <w:rsid w:val="00F906F4"/>
    <w:rsid w:val="00F919E7"/>
    <w:rsid w:val="00FA0716"/>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98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5">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providencias-consejo-de-esta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sala-de-prensa/boletin-digit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2893</Words>
  <Characters>15916</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Diana Carolina Blanco Rodriguez</cp:lastModifiedBy>
  <cp:revision>5</cp:revision>
  <dcterms:created xsi:type="dcterms:W3CDTF">2024-07-08T21:18:00Z</dcterms:created>
  <dcterms:modified xsi:type="dcterms:W3CDTF">2024-07-16T02:22:00Z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