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8609" w14:textId="47EDCDB7" w:rsidR="085B8FE9" w:rsidRDefault="085B8FE9" w:rsidP="697B0912">
      <w:pPr>
        <w:spacing w:after="0" w:line="276" w:lineRule="auto"/>
        <w:jc w:val="both"/>
        <w:rPr>
          <w:rFonts w:ascii="Verdana" w:eastAsia="Calibri" w:hAnsi="Verdana" w:cs="Arial"/>
          <w:b/>
          <w:bCs/>
          <w:lang w:eastAsia="es-ES"/>
        </w:rPr>
      </w:pPr>
      <w:r w:rsidRPr="697B0912">
        <w:rPr>
          <w:rFonts w:ascii="Verdana" w:eastAsia="Calibri" w:hAnsi="Verdana" w:cs="Arial"/>
          <w:b/>
          <w:bCs/>
          <w:lang w:eastAsia="es-ES"/>
        </w:rPr>
        <w:t>DOCUMENTOS TIPO – Fundamento Normativo –Ley 2022 de 2020</w:t>
      </w:r>
    </w:p>
    <w:p w14:paraId="2F50064A" w14:textId="54953C44" w:rsidR="085B8FE9" w:rsidRDefault="085B8FE9" w:rsidP="697B0912">
      <w:pPr>
        <w:spacing w:after="0" w:line="276" w:lineRule="auto"/>
        <w:jc w:val="both"/>
        <w:rPr>
          <w:rFonts w:ascii="Verdana" w:eastAsia="Calibri" w:hAnsi="Verdana" w:cs="Arial"/>
          <w:lang w:eastAsia="es-ES"/>
        </w:rPr>
      </w:pPr>
      <w:r w:rsidRPr="697B0912">
        <w:rPr>
          <w:rFonts w:ascii="Verdana" w:eastAsia="Calibri" w:hAnsi="Verdana" w:cs="Arial"/>
          <w:lang w:eastAsia="es-ES"/>
        </w:rPr>
        <w:t xml:space="preserve"> </w:t>
      </w:r>
    </w:p>
    <w:p w14:paraId="459F5FB9" w14:textId="5B41D78E" w:rsidR="085B8FE9" w:rsidRDefault="085B8FE9" w:rsidP="697B0912">
      <w:pPr>
        <w:spacing w:after="0" w:line="276" w:lineRule="auto"/>
        <w:jc w:val="both"/>
        <w:rPr>
          <w:rFonts w:ascii="Verdana" w:eastAsia="Calibri" w:hAnsi="Verdana" w:cs="Arial"/>
          <w:lang w:eastAsia="es-ES"/>
        </w:rPr>
      </w:pPr>
      <w:r w:rsidRPr="697B0912">
        <w:rPr>
          <w:rFonts w:ascii="Verdana" w:eastAsia="Calibri" w:hAnsi="Verdana" w:cs="Arial"/>
          <w:lang w:eastAsia="es-ES"/>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0592E5EB" w14:textId="5AA27270" w:rsidR="697B0912" w:rsidRDefault="697B0912" w:rsidP="697B0912">
      <w:pPr>
        <w:spacing w:after="0" w:line="240" w:lineRule="auto"/>
        <w:jc w:val="right"/>
      </w:pPr>
    </w:p>
    <w:p w14:paraId="169520B9" w14:textId="652BFD28" w:rsidR="085B8FE9" w:rsidRDefault="085B8FE9" w:rsidP="697B0912">
      <w:pPr>
        <w:spacing w:after="0" w:line="276" w:lineRule="auto"/>
        <w:jc w:val="both"/>
        <w:rPr>
          <w:rFonts w:ascii="Verdana" w:eastAsia="Calibri" w:hAnsi="Verdana" w:cs="Arial"/>
          <w:b/>
          <w:bCs/>
          <w:lang w:eastAsia="es-ES"/>
        </w:rPr>
      </w:pPr>
      <w:r w:rsidRPr="697B0912">
        <w:rPr>
          <w:rFonts w:ascii="Verdana" w:eastAsia="Calibri" w:hAnsi="Verdana" w:cs="Arial"/>
          <w:b/>
          <w:bCs/>
          <w:lang w:eastAsia="es-ES"/>
        </w:rPr>
        <w:t>DOCUMENTOS TIPO – Licitación de obra pública – Infraestructura de transporte</w:t>
      </w:r>
    </w:p>
    <w:p w14:paraId="73BFA9DD" w14:textId="79292A1F" w:rsidR="085B8FE9" w:rsidRDefault="085B8FE9" w:rsidP="697B0912">
      <w:pPr>
        <w:shd w:val="clear" w:color="auto" w:fill="FFFFFF" w:themeFill="background1"/>
        <w:spacing w:after="340"/>
        <w:jc w:val="right"/>
      </w:pPr>
      <w:r w:rsidRPr="697B0912">
        <w:rPr>
          <w:rFonts w:ascii="Segoe UI" w:eastAsia="Segoe UI" w:hAnsi="Segoe UI" w:cs="Segoe UI"/>
          <w:b/>
          <w:bCs/>
          <w:color w:val="686868"/>
        </w:rPr>
        <w:t xml:space="preserve"> </w:t>
      </w:r>
    </w:p>
    <w:p w14:paraId="090A789B" w14:textId="56E4A24E" w:rsidR="085B8FE9" w:rsidRDefault="085B8FE9" w:rsidP="697B0912">
      <w:pPr>
        <w:shd w:val="clear" w:color="auto" w:fill="FFFFFF" w:themeFill="background1"/>
        <w:spacing w:after="340"/>
        <w:jc w:val="both"/>
        <w:rPr>
          <w:rFonts w:ascii="Segoe UI" w:eastAsia="Segoe UI" w:hAnsi="Segoe UI" w:cs="Segoe UI"/>
          <w:color w:val="686868"/>
        </w:rPr>
      </w:pPr>
      <w:r w:rsidRPr="697B0912">
        <w:rPr>
          <w:rFonts w:eastAsiaTheme="minorEastAsia"/>
          <w:lang w:eastAsia="es-ES"/>
        </w:rPr>
        <w:t>[…] los Documentos Tipo para la contratación de obra pública de infraestructura de transporte fueron adoptados de la siguiente forma: para procesos de selección adelantados bajo la modalidad de licitación pública –Versión 3- mediante la Resolución 240 de 2020 , los documentos tipo de obra pública de infraestructura de transporte desarrollados bajo la modalidad de selección abreviada de menor cuantía –Versión 2–, a través de la Resolución 241 de 2020  y los documentos tipo de obra pública de infraestructura de transporte adelantados bajo la modalidad de mínima cuantía –Versión 2– mediante la Resolución 625 de 2022 . Por último, la Agencia adoptó los Documentos Tipo de interventoría de obra pública de infraestructura de transporte, a través de la Resolución 326 de 2022 y los Documentos Tipo para los procesos de selección de concurso de méritos, para contratar la consultoría de estudios de ingeniería de infraestructura de transporte, mediante la Resolución 193 de 2021</w:t>
      </w:r>
      <w:r w:rsidRPr="697B0912">
        <w:rPr>
          <w:rFonts w:ascii="Segoe UI" w:eastAsia="Segoe UI" w:hAnsi="Segoe UI" w:cs="Segoe UI"/>
          <w:color w:val="686868"/>
        </w:rPr>
        <w:t>.</w:t>
      </w:r>
    </w:p>
    <w:p w14:paraId="2EB523D8" w14:textId="1A7F3562" w:rsidR="507CBACA" w:rsidRDefault="507CBACA" w:rsidP="697B0912">
      <w:pPr>
        <w:shd w:val="clear" w:color="auto" w:fill="FFFFFF" w:themeFill="background1"/>
        <w:spacing w:after="340"/>
        <w:jc w:val="both"/>
        <w:rPr>
          <w:rFonts w:eastAsiaTheme="minorEastAsia"/>
          <w:lang w:eastAsia="es-ES"/>
        </w:rPr>
      </w:pPr>
      <w:r w:rsidRPr="697B0912">
        <w:rPr>
          <w:rFonts w:eastAsiaTheme="minorEastAsia"/>
          <w:b/>
          <w:bCs/>
          <w:lang w:eastAsia="es-ES"/>
        </w:rPr>
        <w:t>DOCUMENTOS TIPO – Inalterabilidad – Configuración – Pliego de condiciones – Alcanc</w:t>
      </w:r>
      <w:r w:rsidRPr="697B0912">
        <w:rPr>
          <w:rFonts w:eastAsiaTheme="minorEastAsia"/>
          <w:lang w:eastAsia="es-ES"/>
        </w:rPr>
        <w:t>e</w:t>
      </w:r>
    </w:p>
    <w:p w14:paraId="2A3C3D8A" w14:textId="229D5845" w:rsidR="507CBACA" w:rsidRDefault="507CBACA" w:rsidP="697B0912">
      <w:pPr>
        <w:shd w:val="clear" w:color="auto" w:fill="FFFFFF" w:themeFill="background1"/>
        <w:spacing w:after="340"/>
        <w:jc w:val="both"/>
        <w:rPr>
          <w:rFonts w:eastAsiaTheme="minorEastAsia"/>
          <w:lang w:eastAsia="es-ES"/>
        </w:rPr>
      </w:pPr>
      <w:r w:rsidRPr="697B0912">
        <w:rPr>
          <w:rFonts w:eastAsiaTheme="minorEastAsia"/>
          <w:lang w:eastAsia="es-ES"/>
        </w:rPr>
        <w:t>Los artículos 2.2.1.2.6.1.4 , 2.2.1.2.6.2.3  y 2.2.1.2.6.3.4  del Decreto 1082 de 2015 establecen la inalterabilidad de los documentos tipo para las modalidades de licitación pública,</w:t>
      </w:r>
      <w:r w:rsidRPr="697B0912">
        <w:rPr>
          <w:rFonts w:ascii="Segoe UI" w:eastAsia="Segoe UI" w:hAnsi="Segoe UI" w:cs="Segoe UI"/>
          <w:color w:val="686868"/>
        </w:rPr>
        <w:t xml:space="preserve"> </w:t>
      </w:r>
      <w:r w:rsidRPr="697B0912">
        <w:rPr>
          <w:rFonts w:eastAsiaTheme="minorEastAsia"/>
          <w:lang w:eastAsia="es-ES"/>
        </w:rPr>
        <w:t xml:space="preserve">selección abreviada de menor cuantía y mínima cuantía, que consiste en que las entidades estatales no </w:t>
      </w:r>
      <w:r w:rsidRPr="697B0912">
        <w:rPr>
          <w:rFonts w:eastAsiaTheme="minorEastAsia"/>
          <w:lang w:eastAsia="es-ES"/>
        </w:rPr>
        <w:lastRenderedPageBreak/>
        <w:t>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B5A52C0" w14:textId="3E774AFA" w:rsidR="507CBACA" w:rsidRDefault="507CBACA" w:rsidP="697B0912">
      <w:pPr>
        <w:shd w:val="clear" w:color="auto" w:fill="FFFFFF" w:themeFill="background1"/>
        <w:spacing w:after="340"/>
        <w:jc w:val="both"/>
        <w:rPr>
          <w:rFonts w:eastAsiaTheme="minorEastAsia"/>
          <w:lang w:eastAsia="es-ES"/>
        </w:rPr>
      </w:pPr>
      <w:r w:rsidRPr="697B0912">
        <w:rPr>
          <w:rFonts w:eastAsiaTheme="minorEastAsia"/>
          <w:lang w:eastAsia="es-ES"/>
        </w:rPr>
        <w:t>Esta prohibición la ratifica el artículo 2 de las resoluciones No.1798 de 2019, 044, 045 y 094 de 2020, por medio de las que se desarrollaron los documentos tipo para las referidas modalidades de selección, al disponer la inalterabilidad de los documentos tipo en los siguientes términos: “Las Entidades Estatales no pueden incluir condiciones o modificar las señaladas en los Documentos Tipo, a menos que expresamente se les faculte para hacerlo”.</w:t>
      </w:r>
    </w:p>
    <w:p w14:paraId="16CF6EA9" w14:textId="1D372D9A" w:rsidR="697B0912" w:rsidRDefault="697B0912" w:rsidP="697B0912">
      <w:pPr>
        <w:spacing w:after="0" w:line="240" w:lineRule="auto"/>
        <w:jc w:val="right"/>
      </w:pPr>
    </w:p>
    <w:p w14:paraId="11C19278" w14:textId="721FF82B" w:rsidR="001918F1" w:rsidRDefault="001918F1" w:rsidP="0960860C">
      <w:pPr>
        <w:spacing w:after="0" w:line="240" w:lineRule="auto"/>
        <w:jc w:val="right"/>
      </w:pPr>
    </w:p>
    <w:p w14:paraId="3E27EE1B" w14:textId="77777777" w:rsidR="00ED4049" w:rsidRDefault="00ED4049" w:rsidP="005D5A5A">
      <w:pPr>
        <w:spacing w:after="0" w:line="240" w:lineRule="auto"/>
        <w:rPr>
          <w:rFonts w:ascii="Verdana" w:eastAsia="Geomanist Light" w:hAnsi="Verdana" w:cs="Arial"/>
          <w:lang w:val="es-MX"/>
        </w:rPr>
      </w:pPr>
    </w:p>
    <w:p w14:paraId="49EF9CA7" w14:textId="77777777" w:rsidR="00ED4049" w:rsidRDefault="00ED4049" w:rsidP="005D5A5A">
      <w:pPr>
        <w:spacing w:after="0" w:line="240" w:lineRule="auto"/>
        <w:rPr>
          <w:rFonts w:ascii="Verdana" w:eastAsia="Geomanist Light" w:hAnsi="Verdana" w:cs="Arial"/>
          <w:lang w:val="es-MX"/>
        </w:rPr>
      </w:pPr>
    </w:p>
    <w:p w14:paraId="6E4DAA73" w14:textId="77777777" w:rsidR="00ED4049" w:rsidRDefault="00ED4049" w:rsidP="005D5A5A">
      <w:pPr>
        <w:spacing w:after="0" w:line="240" w:lineRule="auto"/>
        <w:rPr>
          <w:rFonts w:ascii="Verdana" w:eastAsia="Geomanist Light" w:hAnsi="Verdana" w:cs="Arial"/>
          <w:lang w:val="es-MX"/>
        </w:rPr>
      </w:pPr>
    </w:p>
    <w:p w14:paraId="3544C7C8" w14:textId="77777777" w:rsidR="00ED4049" w:rsidRDefault="00ED4049" w:rsidP="005D5A5A">
      <w:pPr>
        <w:spacing w:after="0" w:line="240" w:lineRule="auto"/>
        <w:rPr>
          <w:rFonts w:ascii="Verdana" w:eastAsia="Geomanist Light" w:hAnsi="Verdana" w:cs="Arial"/>
          <w:lang w:val="es-MX"/>
        </w:rPr>
      </w:pPr>
    </w:p>
    <w:p w14:paraId="6749C85E" w14:textId="77777777" w:rsidR="00ED4049" w:rsidRDefault="00ED4049" w:rsidP="005D5A5A">
      <w:pPr>
        <w:spacing w:after="0" w:line="240" w:lineRule="auto"/>
        <w:rPr>
          <w:rFonts w:ascii="Verdana" w:eastAsia="Geomanist Light" w:hAnsi="Verdana" w:cs="Arial"/>
          <w:lang w:val="es-MX"/>
        </w:rPr>
      </w:pPr>
    </w:p>
    <w:p w14:paraId="40898E5D" w14:textId="77777777" w:rsidR="00ED4049" w:rsidRDefault="00ED4049" w:rsidP="005D5A5A">
      <w:pPr>
        <w:spacing w:after="0" w:line="240" w:lineRule="auto"/>
        <w:rPr>
          <w:rFonts w:ascii="Verdana" w:eastAsia="Geomanist Light" w:hAnsi="Verdana" w:cs="Arial"/>
          <w:lang w:val="es-MX"/>
        </w:rPr>
      </w:pPr>
    </w:p>
    <w:p w14:paraId="17224A9B" w14:textId="77777777" w:rsidR="00ED4049" w:rsidRDefault="00ED4049" w:rsidP="005D5A5A">
      <w:pPr>
        <w:spacing w:after="0" w:line="240" w:lineRule="auto"/>
        <w:rPr>
          <w:rFonts w:ascii="Verdana" w:eastAsia="Geomanist Light" w:hAnsi="Verdana" w:cs="Arial"/>
          <w:lang w:val="es-MX"/>
        </w:rPr>
      </w:pPr>
    </w:p>
    <w:p w14:paraId="7D729DFF" w14:textId="77777777" w:rsidR="00ED4049" w:rsidRDefault="00ED4049" w:rsidP="005D5A5A">
      <w:pPr>
        <w:spacing w:after="0" w:line="240" w:lineRule="auto"/>
        <w:rPr>
          <w:rFonts w:ascii="Verdana" w:eastAsia="Geomanist Light" w:hAnsi="Verdana" w:cs="Arial"/>
          <w:lang w:val="es-MX"/>
        </w:rPr>
      </w:pPr>
    </w:p>
    <w:p w14:paraId="58331B85" w14:textId="77777777" w:rsidR="00ED4049" w:rsidRDefault="00ED4049" w:rsidP="005D5A5A">
      <w:pPr>
        <w:spacing w:after="0" w:line="240" w:lineRule="auto"/>
        <w:rPr>
          <w:rFonts w:ascii="Verdana" w:eastAsia="Geomanist Light" w:hAnsi="Verdana" w:cs="Arial"/>
          <w:lang w:val="es-MX"/>
        </w:rPr>
      </w:pPr>
    </w:p>
    <w:p w14:paraId="782FD7DC" w14:textId="77777777" w:rsidR="00ED4049" w:rsidRDefault="00ED4049" w:rsidP="005D5A5A">
      <w:pPr>
        <w:spacing w:after="0" w:line="240" w:lineRule="auto"/>
        <w:rPr>
          <w:rFonts w:ascii="Verdana" w:eastAsia="Geomanist Light" w:hAnsi="Verdana" w:cs="Arial"/>
          <w:lang w:val="es-MX"/>
        </w:rPr>
      </w:pPr>
    </w:p>
    <w:p w14:paraId="6216D007" w14:textId="77777777" w:rsidR="00ED4049" w:rsidRDefault="00ED4049" w:rsidP="005D5A5A">
      <w:pPr>
        <w:spacing w:after="0" w:line="240" w:lineRule="auto"/>
        <w:rPr>
          <w:rFonts w:ascii="Verdana" w:eastAsia="Geomanist Light" w:hAnsi="Verdana" w:cs="Arial"/>
          <w:lang w:val="es-MX"/>
        </w:rPr>
      </w:pPr>
    </w:p>
    <w:p w14:paraId="0DF2DAAD" w14:textId="77777777" w:rsidR="00ED4049" w:rsidRDefault="00ED4049" w:rsidP="005D5A5A">
      <w:pPr>
        <w:spacing w:after="0" w:line="240" w:lineRule="auto"/>
        <w:rPr>
          <w:rFonts w:ascii="Verdana" w:eastAsia="Geomanist Light" w:hAnsi="Verdana" w:cs="Arial"/>
          <w:lang w:val="es-MX"/>
        </w:rPr>
      </w:pPr>
    </w:p>
    <w:p w14:paraId="1BE1C4E6" w14:textId="77777777" w:rsidR="00ED4049" w:rsidRDefault="00ED4049" w:rsidP="005D5A5A">
      <w:pPr>
        <w:spacing w:after="0" w:line="240" w:lineRule="auto"/>
        <w:rPr>
          <w:rFonts w:ascii="Verdana" w:eastAsia="Geomanist Light" w:hAnsi="Verdana" w:cs="Arial"/>
          <w:lang w:val="es-MX"/>
        </w:rPr>
      </w:pPr>
    </w:p>
    <w:p w14:paraId="4D4C7C41" w14:textId="77777777" w:rsidR="00ED4049" w:rsidRDefault="00ED4049" w:rsidP="005D5A5A">
      <w:pPr>
        <w:spacing w:after="0" w:line="240" w:lineRule="auto"/>
        <w:rPr>
          <w:rFonts w:ascii="Verdana" w:eastAsia="Geomanist Light" w:hAnsi="Verdana" w:cs="Arial"/>
          <w:lang w:val="es-MX"/>
        </w:rPr>
      </w:pPr>
    </w:p>
    <w:p w14:paraId="79594AAE" w14:textId="77777777" w:rsidR="00ED4049" w:rsidRDefault="00ED4049" w:rsidP="005D5A5A">
      <w:pPr>
        <w:spacing w:after="0" w:line="240" w:lineRule="auto"/>
        <w:rPr>
          <w:rFonts w:ascii="Verdana" w:eastAsia="Geomanist Light" w:hAnsi="Verdana" w:cs="Arial"/>
          <w:lang w:val="es-MX"/>
        </w:rPr>
      </w:pPr>
    </w:p>
    <w:p w14:paraId="2D2E5D38" w14:textId="77777777" w:rsidR="00ED4049" w:rsidRDefault="00ED4049" w:rsidP="005D5A5A">
      <w:pPr>
        <w:spacing w:after="0" w:line="240" w:lineRule="auto"/>
        <w:rPr>
          <w:rFonts w:ascii="Verdana" w:eastAsia="Geomanist Light" w:hAnsi="Verdana" w:cs="Arial"/>
          <w:lang w:val="es-MX"/>
        </w:rPr>
      </w:pPr>
    </w:p>
    <w:p w14:paraId="2F856DF4" w14:textId="77777777" w:rsidR="00ED4049" w:rsidRDefault="00ED4049" w:rsidP="005D5A5A">
      <w:pPr>
        <w:spacing w:after="0" w:line="240" w:lineRule="auto"/>
        <w:rPr>
          <w:rFonts w:ascii="Verdana" w:eastAsia="Geomanist Light" w:hAnsi="Verdana" w:cs="Arial"/>
          <w:lang w:val="es-MX"/>
        </w:rPr>
      </w:pPr>
    </w:p>
    <w:p w14:paraId="76DF0DC8" w14:textId="77777777" w:rsidR="00ED4049" w:rsidRDefault="00ED4049" w:rsidP="005D5A5A">
      <w:pPr>
        <w:spacing w:after="0" w:line="240" w:lineRule="auto"/>
        <w:rPr>
          <w:rFonts w:ascii="Verdana" w:eastAsia="Geomanist Light" w:hAnsi="Verdana" w:cs="Arial"/>
          <w:lang w:val="es-MX"/>
        </w:rPr>
      </w:pPr>
    </w:p>
    <w:p w14:paraId="0F8D9416" w14:textId="77777777" w:rsidR="00ED4049" w:rsidRDefault="00ED4049" w:rsidP="005D5A5A">
      <w:pPr>
        <w:spacing w:after="0" w:line="240" w:lineRule="auto"/>
        <w:rPr>
          <w:rFonts w:ascii="Verdana" w:eastAsia="Geomanist Light" w:hAnsi="Verdana" w:cs="Arial"/>
          <w:lang w:val="es-MX"/>
        </w:rPr>
      </w:pPr>
    </w:p>
    <w:p w14:paraId="27262DE1" w14:textId="77777777" w:rsidR="00ED4049" w:rsidRDefault="00ED4049" w:rsidP="005D5A5A">
      <w:pPr>
        <w:spacing w:after="0" w:line="240" w:lineRule="auto"/>
        <w:rPr>
          <w:rFonts w:ascii="Verdana" w:eastAsia="Geomanist Light" w:hAnsi="Verdana" w:cs="Arial"/>
          <w:lang w:val="es-MX"/>
        </w:rPr>
      </w:pPr>
    </w:p>
    <w:p w14:paraId="636165F6" w14:textId="77777777" w:rsidR="00ED4049" w:rsidRDefault="00ED4049" w:rsidP="005D5A5A">
      <w:pPr>
        <w:spacing w:after="0" w:line="240" w:lineRule="auto"/>
        <w:rPr>
          <w:rFonts w:ascii="Verdana" w:eastAsia="Geomanist Light" w:hAnsi="Verdana" w:cs="Arial"/>
          <w:lang w:val="es-MX"/>
        </w:rPr>
      </w:pPr>
    </w:p>
    <w:p w14:paraId="2BA75944" w14:textId="77777777" w:rsidR="00ED4049" w:rsidRDefault="00ED4049" w:rsidP="005D5A5A">
      <w:pPr>
        <w:spacing w:after="0" w:line="240" w:lineRule="auto"/>
        <w:rPr>
          <w:rFonts w:ascii="Verdana" w:eastAsia="Geomanist Light" w:hAnsi="Verdana" w:cs="Arial"/>
          <w:lang w:val="es-MX"/>
        </w:rPr>
      </w:pPr>
    </w:p>
    <w:p w14:paraId="1694FA80" w14:textId="77777777" w:rsidR="00ED4049" w:rsidRDefault="00ED4049" w:rsidP="005D5A5A">
      <w:pPr>
        <w:spacing w:after="0" w:line="240" w:lineRule="auto"/>
        <w:rPr>
          <w:rFonts w:ascii="Verdana" w:eastAsia="Geomanist Light" w:hAnsi="Verdana" w:cs="Arial"/>
          <w:lang w:val="es-MX"/>
        </w:rPr>
      </w:pPr>
    </w:p>
    <w:p w14:paraId="28047E8C" w14:textId="4E185580" w:rsidR="00B30448" w:rsidRPr="005D5A5A" w:rsidRDefault="00B30448" w:rsidP="005D5A5A">
      <w:pPr>
        <w:spacing w:after="0" w:line="240" w:lineRule="auto"/>
        <w:rPr>
          <w:rFonts w:ascii="Verdana" w:eastAsia="Geomanist Light" w:hAnsi="Verdana" w:cs="Arial"/>
          <w:lang w:val="es-MX"/>
        </w:rPr>
      </w:pPr>
      <w:r w:rsidRPr="005D5A5A">
        <w:rPr>
          <w:rFonts w:ascii="Verdana" w:eastAsia="Geomanist Light" w:hAnsi="Verdana" w:cs="Arial"/>
          <w:lang w:val="es-MX"/>
        </w:rPr>
        <w:lastRenderedPageBreak/>
        <w:t>Bogotá D.C., </w:t>
      </w:r>
      <w:r w:rsidR="0092741D">
        <w:rPr>
          <w:rFonts w:ascii="Verdana" w:eastAsia="Geomanist Light" w:hAnsi="Verdana" w:cs="Arial"/>
          <w:lang w:val="es-MX"/>
        </w:rPr>
        <w:t>05</w:t>
      </w:r>
      <w:r w:rsidR="00FE0EEA">
        <w:rPr>
          <w:rFonts w:ascii="Verdana" w:eastAsia="Geomanist Light" w:hAnsi="Verdana" w:cs="Arial"/>
          <w:lang w:val="es-MX"/>
        </w:rPr>
        <w:t xml:space="preserve"> de julio de 2024.</w:t>
      </w:r>
    </w:p>
    <w:p w14:paraId="1715E5B1" w14:textId="0ED43AD0" w:rsidR="00B30448" w:rsidRDefault="00B30448" w:rsidP="005D5A5A">
      <w:pPr>
        <w:spacing w:after="0" w:line="240" w:lineRule="auto"/>
        <w:jc w:val="both"/>
        <w:rPr>
          <w:rFonts w:ascii="Verdana" w:eastAsia="Calibri" w:hAnsi="Verdana" w:cs="Arial"/>
          <w:lang w:val="es-ES"/>
        </w:rPr>
      </w:pPr>
    </w:p>
    <w:p w14:paraId="785542D7" w14:textId="77777777" w:rsidR="00ED4049" w:rsidRDefault="00ED4049" w:rsidP="005D5A5A">
      <w:pPr>
        <w:spacing w:after="0" w:line="240" w:lineRule="auto"/>
        <w:jc w:val="both"/>
        <w:rPr>
          <w:rFonts w:ascii="Verdana" w:eastAsia="Calibri" w:hAnsi="Verdana" w:cs="Arial"/>
          <w:lang w:val="es-ES"/>
        </w:rPr>
      </w:pPr>
    </w:p>
    <w:p w14:paraId="252D9FE9" w14:textId="149F3E98" w:rsidR="00ED4049" w:rsidRDefault="00ED4049" w:rsidP="005D5A5A">
      <w:pPr>
        <w:spacing w:after="0" w:line="240" w:lineRule="auto"/>
        <w:jc w:val="both"/>
        <w:rPr>
          <w:rFonts w:ascii="Verdana" w:eastAsia="Calibri" w:hAnsi="Verdana" w:cs="Arial"/>
          <w:lang w:val="es-ES"/>
        </w:rPr>
      </w:pPr>
    </w:p>
    <w:p w14:paraId="040D18E1" w14:textId="62F2E078" w:rsidR="00ED4049" w:rsidRDefault="00ED4049" w:rsidP="005D5A5A">
      <w:pPr>
        <w:spacing w:after="0" w:line="240" w:lineRule="auto"/>
        <w:jc w:val="both"/>
        <w:rPr>
          <w:rFonts w:ascii="Verdana" w:eastAsia="Calibri" w:hAnsi="Verdana" w:cs="Arial"/>
          <w:lang w:val="es-ES"/>
        </w:rPr>
      </w:pPr>
    </w:p>
    <w:p w14:paraId="11AF9E44" w14:textId="712BA69F" w:rsidR="00ED4049" w:rsidRDefault="00ED4049" w:rsidP="005D5A5A">
      <w:pPr>
        <w:spacing w:after="0" w:line="240" w:lineRule="auto"/>
        <w:jc w:val="both"/>
        <w:rPr>
          <w:rFonts w:ascii="Verdana" w:eastAsia="Calibri" w:hAnsi="Verdana" w:cs="Arial"/>
          <w:lang w:val="es-ES"/>
        </w:rPr>
      </w:pPr>
    </w:p>
    <w:p w14:paraId="471E5D5B" w14:textId="3C31062A" w:rsidR="00ED4049" w:rsidRDefault="00ED4049" w:rsidP="005D5A5A">
      <w:pPr>
        <w:spacing w:after="0" w:line="240" w:lineRule="auto"/>
        <w:jc w:val="both"/>
        <w:rPr>
          <w:rFonts w:ascii="Verdana" w:eastAsia="Calibri" w:hAnsi="Verdana" w:cs="Arial"/>
          <w:lang w:val="es-ES"/>
        </w:rPr>
      </w:pPr>
      <w:r>
        <w:rPr>
          <w:noProof/>
        </w:rPr>
        <w:drawing>
          <wp:anchor distT="0" distB="0" distL="114300" distR="114300" simplePos="0" relativeHeight="251658240" behindDoc="1" locked="0" layoutInCell="1" allowOverlap="1" wp14:anchorId="6AFAE3F9" wp14:editId="3FC654E5">
            <wp:simplePos x="0" y="0"/>
            <wp:positionH relativeFrom="margin">
              <wp:align>right</wp:align>
            </wp:positionH>
            <wp:positionV relativeFrom="paragraph">
              <wp:posOffset>6296</wp:posOffset>
            </wp:positionV>
            <wp:extent cx="2790825" cy="828675"/>
            <wp:effectExtent l="0" t="0" r="9525" b="9525"/>
            <wp:wrapTight wrapText="bothSides">
              <wp:wrapPolygon edited="0">
                <wp:start x="0" y="0"/>
                <wp:lineTo x="0" y="21352"/>
                <wp:lineTo x="21526" y="21352"/>
                <wp:lineTo x="21526" y="0"/>
                <wp:lineTo x="0" y="0"/>
              </wp:wrapPolygon>
            </wp:wrapTight>
            <wp:docPr id="289380528" name="Imagen 28938052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0528" name="Imagen 289380528"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90825" cy="828675"/>
                    </a:xfrm>
                    <a:prstGeom prst="rect">
                      <a:avLst/>
                    </a:prstGeom>
                  </pic:spPr>
                </pic:pic>
              </a:graphicData>
            </a:graphic>
          </wp:anchor>
        </w:drawing>
      </w:r>
    </w:p>
    <w:p w14:paraId="5A643F2C" w14:textId="77777777" w:rsidR="00ED4049" w:rsidRDefault="00ED4049" w:rsidP="005D5A5A">
      <w:pPr>
        <w:spacing w:after="0" w:line="240" w:lineRule="auto"/>
        <w:jc w:val="both"/>
        <w:rPr>
          <w:rFonts w:ascii="Verdana" w:eastAsia="Calibri" w:hAnsi="Verdana" w:cs="Arial"/>
          <w:lang w:val="es-ES"/>
        </w:rPr>
      </w:pPr>
    </w:p>
    <w:p w14:paraId="53D2CAF0" w14:textId="77777777" w:rsidR="00ED4049" w:rsidRDefault="00ED4049" w:rsidP="005D5A5A">
      <w:pPr>
        <w:spacing w:after="0" w:line="240" w:lineRule="auto"/>
        <w:jc w:val="both"/>
        <w:rPr>
          <w:rFonts w:ascii="Verdana" w:eastAsia="Calibri" w:hAnsi="Verdana" w:cs="Arial"/>
          <w:lang w:val="es-ES"/>
        </w:rPr>
      </w:pPr>
    </w:p>
    <w:p w14:paraId="63F8FC9B" w14:textId="77777777" w:rsidR="00ED4049" w:rsidRDefault="00ED4049" w:rsidP="005D5A5A">
      <w:pPr>
        <w:spacing w:after="0" w:line="240" w:lineRule="auto"/>
        <w:jc w:val="both"/>
        <w:rPr>
          <w:rFonts w:ascii="Verdana" w:eastAsia="Calibri" w:hAnsi="Verdana" w:cs="Arial"/>
          <w:lang w:val="es-ES"/>
        </w:rPr>
      </w:pPr>
    </w:p>
    <w:p w14:paraId="282B1268" w14:textId="77777777" w:rsidR="00ED4049" w:rsidRDefault="00ED4049" w:rsidP="005D5A5A">
      <w:pPr>
        <w:spacing w:after="0" w:line="240" w:lineRule="auto"/>
        <w:jc w:val="both"/>
        <w:rPr>
          <w:rFonts w:ascii="Verdana" w:eastAsia="Calibri" w:hAnsi="Verdana" w:cs="Arial"/>
          <w:lang w:val="es-ES"/>
        </w:rPr>
      </w:pPr>
    </w:p>
    <w:p w14:paraId="6FF4671B" w14:textId="77777777" w:rsidR="00ED4049" w:rsidRPr="005D5A5A" w:rsidRDefault="00ED4049" w:rsidP="005D5A5A">
      <w:pPr>
        <w:spacing w:after="0" w:line="240" w:lineRule="auto"/>
        <w:jc w:val="both"/>
        <w:rPr>
          <w:rFonts w:ascii="Verdana" w:eastAsia="Calibri" w:hAnsi="Verdana" w:cs="Arial"/>
          <w:lang w:val="es-ES"/>
        </w:rPr>
      </w:pPr>
    </w:p>
    <w:p w14:paraId="6D25B105"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Señora </w:t>
      </w:r>
    </w:p>
    <w:p w14:paraId="0B6771E2"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Silvia Juliana Villarreal Carreño </w:t>
      </w:r>
    </w:p>
    <w:p w14:paraId="053890F4"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Profesional Universitario Gr17 </w:t>
      </w:r>
    </w:p>
    <w:p w14:paraId="15301273"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Procuraduría Provincial De instrucción Rionegro </w:t>
      </w:r>
    </w:p>
    <w:p w14:paraId="63BFE7E4" w14:textId="77777777" w:rsidR="0092741D" w:rsidRDefault="00000000" w:rsidP="005D5A5A">
      <w:pPr>
        <w:spacing w:after="0" w:line="240" w:lineRule="auto"/>
        <w:rPr>
          <w:rFonts w:ascii="Verdana" w:eastAsia="Calibri" w:hAnsi="Verdana" w:cs="Arial"/>
          <w:lang w:eastAsia="es-ES"/>
        </w:rPr>
      </w:pPr>
      <w:hyperlink r:id="rId12" w:history="1">
        <w:r w:rsidR="0092741D" w:rsidRPr="00B82DC9">
          <w:rPr>
            <w:rStyle w:val="Hipervnculo"/>
            <w:rFonts w:ascii="Verdana" w:eastAsia="Calibri" w:hAnsi="Verdana" w:cs="Arial"/>
            <w:lang w:eastAsia="es-ES"/>
          </w:rPr>
          <w:t>svillarreal@procuraduria.gov.co</w:t>
        </w:r>
      </w:hyperlink>
      <w:r w:rsidR="0092741D">
        <w:rPr>
          <w:rFonts w:ascii="Verdana" w:eastAsia="Calibri" w:hAnsi="Verdana" w:cs="Arial"/>
          <w:lang w:eastAsia="es-ES"/>
        </w:rPr>
        <w:t xml:space="preserve"> </w:t>
      </w:r>
      <w:r w:rsidR="0092741D" w:rsidRPr="0092741D">
        <w:rPr>
          <w:rFonts w:ascii="Verdana" w:eastAsia="Calibri" w:hAnsi="Verdana" w:cs="Arial"/>
          <w:lang w:eastAsia="es-ES"/>
        </w:rPr>
        <w:t xml:space="preserve"> </w:t>
      </w:r>
    </w:p>
    <w:p w14:paraId="4E5AC12C"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PBX: +57 601 587-8750 Ext IP: 41313 </w:t>
      </w:r>
    </w:p>
    <w:p w14:paraId="58A4479E"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Línea Gratuita Nacional: 01 8000 940 808 </w:t>
      </w:r>
    </w:p>
    <w:p w14:paraId="3E27BBB2" w14:textId="77777777" w:rsidR="0092741D" w:rsidRDefault="0092741D" w:rsidP="005D5A5A">
      <w:pPr>
        <w:spacing w:after="0" w:line="240" w:lineRule="auto"/>
        <w:rPr>
          <w:rFonts w:ascii="Verdana" w:eastAsia="Calibri" w:hAnsi="Verdana" w:cs="Arial"/>
          <w:lang w:eastAsia="es-ES"/>
        </w:rPr>
      </w:pPr>
      <w:r w:rsidRPr="0092741D">
        <w:rPr>
          <w:rFonts w:ascii="Verdana" w:eastAsia="Calibri" w:hAnsi="Verdana" w:cs="Arial"/>
          <w:lang w:eastAsia="es-ES"/>
        </w:rPr>
        <w:t xml:space="preserve">Calle 61 B # 44-21, Piso 3°, Casa de Justicia. </w:t>
      </w:r>
    </w:p>
    <w:p w14:paraId="51C7B303" w14:textId="315C54A3" w:rsidR="00B30448" w:rsidRPr="005D5A5A" w:rsidRDefault="0092741D" w:rsidP="005D5A5A">
      <w:pPr>
        <w:spacing w:after="0" w:line="240" w:lineRule="auto"/>
        <w:rPr>
          <w:rFonts w:ascii="Verdana" w:eastAsia="Calibri" w:hAnsi="Verdana" w:cs="Arial"/>
          <w:b/>
          <w:bCs/>
          <w:lang w:val="es-ES_tradnl" w:eastAsia="es-ES_tradnl"/>
        </w:rPr>
      </w:pPr>
      <w:r w:rsidRPr="0092741D">
        <w:rPr>
          <w:rFonts w:ascii="Verdana" w:eastAsia="Calibri" w:hAnsi="Verdana" w:cs="Arial"/>
          <w:lang w:eastAsia="es-ES"/>
        </w:rPr>
        <w:t>Rionegro, Antioquía</w:t>
      </w:r>
    </w:p>
    <w:p w14:paraId="63F71607" w14:textId="77777777" w:rsidR="00B30448" w:rsidRPr="005D5A5A" w:rsidRDefault="00B30448" w:rsidP="2AFD53FE">
      <w:pPr>
        <w:spacing w:after="0" w:line="240" w:lineRule="auto"/>
        <w:rPr>
          <w:rFonts w:ascii="Verdana" w:eastAsia="Calibri" w:hAnsi="Verdana" w:cs="Arial"/>
          <w:b/>
          <w:bCs/>
          <w:lang w:val="es-ES" w:eastAsia="es-ES"/>
        </w:rPr>
      </w:pPr>
    </w:p>
    <w:p w14:paraId="296477E7" w14:textId="0DD7FE72" w:rsidR="743E91C4" w:rsidRDefault="743E91C4" w:rsidP="2AFD53FE">
      <w:pPr>
        <w:spacing w:after="0" w:line="240" w:lineRule="auto"/>
        <w:rPr>
          <w:rFonts w:ascii="Verdana" w:eastAsia="Calibri" w:hAnsi="Verdana" w:cs="Arial"/>
          <w:b/>
          <w:bCs/>
          <w:lang w:val="es-ES" w:eastAsia="es-ES"/>
        </w:rPr>
      </w:pPr>
      <w:r w:rsidRPr="2AFD53FE">
        <w:rPr>
          <w:rFonts w:ascii="Verdana" w:eastAsia="Calibri" w:hAnsi="Verdana" w:cs="Arial"/>
          <w:b/>
          <w:bCs/>
          <w:lang w:val="es-ES" w:eastAsia="es-ES"/>
        </w:rPr>
        <w:t xml:space="preserve">Concepto </w:t>
      </w:r>
      <w:r>
        <w:tab/>
      </w:r>
      <w:r>
        <w:tab/>
      </w:r>
      <w:r>
        <w:tab/>
      </w:r>
      <w:r w:rsidRPr="2AFD53FE">
        <w:rPr>
          <w:rFonts w:ascii="Verdana" w:eastAsia="Calibri" w:hAnsi="Verdana" w:cs="Arial"/>
          <w:b/>
          <w:bCs/>
          <w:lang w:val="es-ES" w:eastAsia="es-ES"/>
        </w:rPr>
        <w:t>C-146</w:t>
      </w:r>
    </w:p>
    <w:p w14:paraId="21BAC7D3" w14:textId="64B56215" w:rsidR="2AFD53FE" w:rsidRDefault="2AFD53FE" w:rsidP="2AFD53FE">
      <w:pPr>
        <w:spacing w:after="0" w:line="240" w:lineRule="auto"/>
        <w:rPr>
          <w:rFonts w:ascii="Verdana" w:eastAsia="Calibri" w:hAnsi="Verdana" w:cs="Arial"/>
          <w:b/>
          <w:bCs/>
          <w:lang w:val="es-ES" w:eastAsia="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5958"/>
      </w:tblGrid>
      <w:tr w:rsidR="00295D18" w:rsidRPr="005D5A5A" w14:paraId="52EC412F" w14:textId="77777777" w:rsidTr="00922519">
        <w:trPr>
          <w:trHeight w:val="884"/>
        </w:trPr>
        <w:tc>
          <w:tcPr>
            <w:tcW w:w="2689" w:type="dxa"/>
          </w:tcPr>
          <w:p w14:paraId="752B683B" w14:textId="77777777" w:rsidR="00B30448" w:rsidRPr="005D5A5A" w:rsidRDefault="00B30448" w:rsidP="005D5A5A">
            <w:pPr>
              <w:jc w:val="both"/>
              <w:rPr>
                <w:rFonts w:ascii="Verdana" w:eastAsia="Calibri" w:hAnsi="Verdana" w:cs="Arial"/>
                <w:lang w:val="es-ES_tradnl" w:eastAsia="es-ES_tradnl"/>
              </w:rPr>
            </w:pPr>
            <w:r w:rsidRPr="005D5A5A">
              <w:rPr>
                <w:rFonts w:ascii="Verdana" w:eastAsia="Calibri" w:hAnsi="Verdana" w:cs="Arial"/>
                <w:b/>
                <w:lang w:val="es-ES_tradnl" w:eastAsia="es-ES_tradnl"/>
              </w:rPr>
              <w:t>Temas:</w:t>
            </w:r>
            <w:r w:rsidRPr="005D5A5A">
              <w:rPr>
                <w:rFonts w:ascii="Verdana" w:eastAsia="Calibri" w:hAnsi="Verdana" w:cs="Arial"/>
                <w:lang w:val="es-ES_tradnl" w:eastAsia="es-ES_tradnl"/>
              </w:rPr>
              <w:t xml:space="preserve">                   </w:t>
            </w:r>
          </w:p>
        </w:tc>
        <w:tc>
          <w:tcPr>
            <w:tcW w:w="5958" w:type="dxa"/>
          </w:tcPr>
          <w:p w14:paraId="618B4530" w14:textId="77777777" w:rsidR="00306EC1" w:rsidRDefault="0092741D" w:rsidP="005D5A5A">
            <w:pPr>
              <w:jc w:val="both"/>
              <w:rPr>
                <w:rFonts w:ascii="Verdana" w:eastAsia="Calibri" w:hAnsi="Verdana" w:cs="Arial"/>
                <w:bCs/>
              </w:rPr>
            </w:pPr>
            <w:r w:rsidRPr="0092741D">
              <w:rPr>
                <w:rFonts w:ascii="Verdana" w:eastAsia="Calibri" w:hAnsi="Verdana" w:cs="Arial"/>
                <w:bCs/>
              </w:rPr>
              <w:t>DOCUMENTOS TIPO – Fundamento Normativo – Ley 1882 de 2018 / DOCUMENTOS TIPO DE INFRAESTRUCTURA DE TRANSPORTE– Resolución 0045 de 2020 – Documentos Tipo – modalidad de mínima cuantía</w:t>
            </w:r>
          </w:p>
          <w:p w14:paraId="1D4AA017" w14:textId="4E52B786" w:rsidR="0092741D" w:rsidRPr="005D5A5A" w:rsidRDefault="0092741D" w:rsidP="005D5A5A">
            <w:pPr>
              <w:jc w:val="both"/>
              <w:rPr>
                <w:rFonts w:ascii="Verdana" w:eastAsia="Calibri" w:hAnsi="Verdana" w:cs="Arial"/>
                <w:lang w:val="es-ES" w:eastAsia="es-ES"/>
              </w:rPr>
            </w:pPr>
          </w:p>
        </w:tc>
      </w:tr>
      <w:tr w:rsidR="00B30448" w:rsidRPr="005D5A5A" w14:paraId="496C9430" w14:textId="77777777" w:rsidTr="00922519">
        <w:tc>
          <w:tcPr>
            <w:tcW w:w="2689" w:type="dxa"/>
          </w:tcPr>
          <w:p w14:paraId="4C8D9612" w14:textId="77777777" w:rsidR="00B30448" w:rsidRPr="005D5A5A" w:rsidRDefault="00B30448" w:rsidP="005D5A5A">
            <w:pPr>
              <w:jc w:val="both"/>
              <w:rPr>
                <w:rFonts w:ascii="Verdana" w:eastAsia="Calibri" w:hAnsi="Verdana" w:cs="Arial"/>
                <w:b/>
                <w:lang w:val="es-ES_tradnl" w:eastAsia="es-ES_tradnl"/>
              </w:rPr>
            </w:pPr>
            <w:r w:rsidRPr="005D5A5A">
              <w:rPr>
                <w:rFonts w:ascii="Verdana" w:eastAsia="Calibri" w:hAnsi="Verdana" w:cs="Arial"/>
                <w:b/>
                <w:lang w:val="es-ES_tradnl" w:eastAsia="es-ES_tradnl"/>
              </w:rPr>
              <w:t>Radicación:</w:t>
            </w:r>
            <w:r w:rsidRPr="005D5A5A">
              <w:rPr>
                <w:rFonts w:ascii="Verdana" w:eastAsia="Calibri" w:hAnsi="Verdana" w:cs="Arial"/>
                <w:lang w:val="es-ES_tradnl" w:eastAsia="es-ES_tradnl"/>
              </w:rPr>
              <w:t xml:space="preserve">               </w:t>
            </w:r>
          </w:p>
        </w:tc>
        <w:tc>
          <w:tcPr>
            <w:tcW w:w="5958" w:type="dxa"/>
          </w:tcPr>
          <w:p w14:paraId="6EC2FCE3" w14:textId="68BEC565" w:rsidR="00B30448" w:rsidRPr="005D5A5A" w:rsidRDefault="0092741D" w:rsidP="005D5A5A">
            <w:pPr>
              <w:jc w:val="both"/>
              <w:rPr>
                <w:rFonts w:ascii="Verdana" w:eastAsia="Calibri" w:hAnsi="Verdana" w:cs="Arial"/>
                <w:lang w:val="es-ES_tradnl" w:eastAsia="es-ES_tradnl"/>
              </w:rPr>
            </w:pPr>
            <w:r w:rsidRPr="0092741D">
              <w:rPr>
                <w:rFonts w:ascii="Verdana" w:eastAsia="Calibri" w:hAnsi="Verdana" w:cs="Arial"/>
                <w:lang w:eastAsia="es-ES_tradnl"/>
              </w:rPr>
              <w:t>Respuesta a consulta con radicado No. P20240529005618</w:t>
            </w:r>
          </w:p>
        </w:tc>
      </w:tr>
    </w:tbl>
    <w:p w14:paraId="657DDBDD" w14:textId="77777777" w:rsidR="00B30448" w:rsidRPr="005D5A5A" w:rsidRDefault="00B30448" w:rsidP="005D5A5A">
      <w:pPr>
        <w:spacing w:after="0" w:line="240" w:lineRule="auto"/>
        <w:jc w:val="both"/>
        <w:rPr>
          <w:rFonts w:ascii="Verdana" w:eastAsia="Calibri" w:hAnsi="Verdana" w:cs="Arial"/>
          <w:lang w:val="es-ES_tradnl" w:eastAsia="es-ES_tradnl"/>
        </w:rPr>
      </w:pPr>
    </w:p>
    <w:p w14:paraId="286892BD" w14:textId="77777777" w:rsidR="00B30448" w:rsidRPr="005D5A5A" w:rsidRDefault="00B30448" w:rsidP="005D5A5A">
      <w:pPr>
        <w:spacing w:after="0" w:line="240" w:lineRule="auto"/>
        <w:jc w:val="both"/>
        <w:rPr>
          <w:rFonts w:ascii="Verdana" w:eastAsia="Calibri" w:hAnsi="Verdana" w:cs="Arial"/>
          <w:lang w:val="es-ES_tradnl" w:eastAsia="es-ES_tradnl"/>
        </w:rPr>
      </w:pPr>
    </w:p>
    <w:p w14:paraId="14596D48" w14:textId="77777777" w:rsidR="0092741D" w:rsidRDefault="0092741D" w:rsidP="005D5A5A">
      <w:pPr>
        <w:spacing w:after="0" w:line="276" w:lineRule="auto"/>
        <w:jc w:val="both"/>
        <w:rPr>
          <w:rFonts w:ascii="Verdana" w:eastAsia="Calibri" w:hAnsi="Verdana" w:cs="Arial"/>
          <w:lang w:eastAsia="es-ES"/>
        </w:rPr>
      </w:pPr>
      <w:r w:rsidRPr="0092741D">
        <w:rPr>
          <w:rFonts w:ascii="Verdana" w:eastAsia="Calibri" w:hAnsi="Verdana" w:cs="Arial"/>
          <w:lang w:eastAsia="es-ES"/>
        </w:rPr>
        <w:t xml:space="preserve">Respetada señora Villarreal. </w:t>
      </w:r>
    </w:p>
    <w:p w14:paraId="42F66A7F" w14:textId="77777777" w:rsidR="0092741D" w:rsidRDefault="0092741D" w:rsidP="005D5A5A">
      <w:pPr>
        <w:spacing w:after="0" w:line="276" w:lineRule="auto"/>
        <w:jc w:val="both"/>
        <w:rPr>
          <w:rFonts w:ascii="Verdana" w:eastAsia="Calibri" w:hAnsi="Verdana" w:cs="Arial"/>
          <w:lang w:eastAsia="es-ES"/>
        </w:rPr>
      </w:pPr>
    </w:p>
    <w:p w14:paraId="46E55F9F" w14:textId="77777777" w:rsidR="0092741D" w:rsidRDefault="0092741D" w:rsidP="005D5A5A">
      <w:pPr>
        <w:spacing w:after="0" w:line="276" w:lineRule="auto"/>
        <w:jc w:val="both"/>
        <w:rPr>
          <w:rFonts w:ascii="Verdana" w:eastAsia="Calibri" w:hAnsi="Verdana" w:cs="Arial"/>
          <w:lang w:eastAsia="es-ES"/>
        </w:rPr>
      </w:pPr>
      <w:r w:rsidRPr="0092741D">
        <w:rPr>
          <w:rFonts w:ascii="Verdana" w:eastAsia="Calibri" w:hAnsi="Verdana" w:cs="Arial"/>
          <w:lang w:eastAsia="es-ES"/>
        </w:rPr>
        <w:t xml:space="preserve">En ejercicio de la competencia otorgada por los artículos 3, numeral 5º, y 11, numeral 8º, del Decreto Ley 4170 de 2011, así como lo establecido en la Resolución 1707 de 2018 expedida por esta Entidad, la Agencia Nacional de Contratación Pública – Colombia Compra Eficiente– responde su solicitud del 29 de mayo del 2024, relacionada con el expediente radicado IUS 2021-488756 a fin de esclarecer los hechos objeto del proceso disciplinario, así: </w:t>
      </w:r>
    </w:p>
    <w:p w14:paraId="4BEC4648" w14:textId="77777777" w:rsidR="0092741D" w:rsidRDefault="0092741D" w:rsidP="005D5A5A">
      <w:pPr>
        <w:spacing w:after="0" w:line="276" w:lineRule="auto"/>
        <w:jc w:val="both"/>
        <w:rPr>
          <w:rFonts w:ascii="Verdana" w:eastAsia="Calibri" w:hAnsi="Verdana" w:cs="Arial"/>
          <w:lang w:eastAsia="es-ES"/>
        </w:rPr>
      </w:pPr>
    </w:p>
    <w:p w14:paraId="4ED23440" w14:textId="425124BA" w:rsidR="00B30448" w:rsidRPr="005D5A5A" w:rsidRDefault="0092741D" w:rsidP="0092741D">
      <w:pPr>
        <w:spacing w:after="0" w:line="276" w:lineRule="auto"/>
        <w:ind w:left="708"/>
        <w:jc w:val="both"/>
        <w:rPr>
          <w:rFonts w:ascii="Verdana" w:eastAsia="Calibri" w:hAnsi="Verdana" w:cs="Arial"/>
          <w:lang w:val="es-ES" w:eastAsia="es-ES"/>
        </w:rPr>
      </w:pPr>
      <w:r w:rsidRPr="0092741D">
        <w:rPr>
          <w:rFonts w:ascii="Verdana" w:eastAsia="Calibri" w:hAnsi="Verdana" w:cs="Arial"/>
          <w:lang w:eastAsia="es-ES"/>
        </w:rPr>
        <w:t>“(…) informar cuáles documentos tipos para octubre del año 2020, se encontraban vigentes y eran de obligatorio cumplimiento para los entes territoriales, si es del caso allegar el correspondiente al siguiente tipo de contrato de mínima cuantía, cuyo objeto se circunscribe a “CONTRATO A TODO COSTO PARA REALIZAR EL MANTENIMIENTO DE LA VIA ALTAVISTA – ALTO DE PAVASSECTOR YORE DEL MUNICIPIO DE SAN LUIS, ANTIOQUIA (…)”</w:t>
      </w:r>
      <w:r w:rsidR="00B30448" w:rsidRPr="005D5A5A">
        <w:rPr>
          <w:rFonts w:ascii="Verdana" w:eastAsia="Calibri" w:hAnsi="Verdana" w:cs="Arial"/>
          <w:lang w:val="es-ES" w:eastAsia="es-ES"/>
        </w:rPr>
        <w:t xml:space="preserve"> </w:t>
      </w:r>
    </w:p>
    <w:p w14:paraId="47D52CB6" w14:textId="28FC249B" w:rsidR="0013343F" w:rsidRPr="00295D18" w:rsidRDefault="00631D4F" w:rsidP="005D5A5A">
      <w:pPr>
        <w:tabs>
          <w:tab w:val="left" w:pos="3768"/>
        </w:tabs>
        <w:spacing w:after="0" w:line="276" w:lineRule="auto"/>
        <w:jc w:val="both"/>
        <w:rPr>
          <w:rFonts w:ascii="Verdana" w:eastAsia="Calibri" w:hAnsi="Verdana" w:cs="Arial"/>
          <w:lang w:val="es-ES" w:eastAsia="es-ES"/>
        </w:rPr>
      </w:pPr>
      <w:r w:rsidRPr="005D5A5A">
        <w:rPr>
          <w:rFonts w:ascii="Verdana" w:eastAsia="Calibri" w:hAnsi="Verdana" w:cs="Arial"/>
          <w:lang w:val="es-ES" w:eastAsia="es-ES"/>
        </w:rPr>
        <w:tab/>
      </w:r>
    </w:p>
    <w:p w14:paraId="47EACC93" w14:textId="2B03A3D5"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A fin de dar respuesta a su consulta, es pertinente hacer un recuento general de los sectores abordados y la adopción de los documentos tipo obligatorios en el ordenamiento jurídico colombiano que se incluyen por primera vez en el parágrafo 3 del artículo 2 de la Ley 1150 de 2007</w:t>
      </w:r>
      <w:r>
        <w:rPr>
          <w:rStyle w:val="Refdenotaalpie"/>
          <w:rFonts w:ascii="Verdana" w:eastAsia="Calibri" w:hAnsi="Verdana" w:cs="Arial"/>
          <w:lang w:eastAsia="es-ES"/>
        </w:rPr>
        <w:footnoteReference w:id="2"/>
      </w:r>
      <w:r w:rsidRPr="0092741D">
        <w:rPr>
          <w:rFonts w:ascii="Verdana" w:eastAsia="Calibri" w:hAnsi="Verdana" w:cs="Arial"/>
          <w:lang w:eastAsia="es-ES"/>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14:paraId="2D9B7220"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Style w:val="Refdenotaalpie"/>
          <w:rFonts w:ascii="Verdana" w:eastAsia="Calibri" w:hAnsi="Verdana" w:cs="Arial"/>
          <w:lang w:eastAsia="es-ES"/>
        </w:rPr>
        <w:footnoteReference w:id="3"/>
      </w:r>
      <w:r w:rsidRPr="0092741D">
        <w:rPr>
          <w:rFonts w:ascii="Verdana" w:eastAsia="Calibri" w:hAnsi="Verdana" w:cs="Arial"/>
          <w:lang w:eastAsia="es-ES"/>
        </w:rPr>
        <w:t xml:space="preserve">. </w:t>
      </w:r>
    </w:p>
    <w:p w14:paraId="2C200920"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lastRenderedPageBreak/>
        <w:tab/>
      </w:r>
      <w:r w:rsidRPr="0092741D">
        <w:rPr>
          <w:rFonts w:ascii="Verdana" w:eastAsia="Calibri" w:hAnsi="Verdana" w:cs="Arial"/>
          <w:lang w:eastAsia="es-ES"/>
        </w:rPr>
        <w:t>Asimismo, señalaba que, dentro de los documentos tipo, el gobierno adoptaría de manera general y con alcance obligatorio para todas las entidades las condiciones habilitantes, así como los factores técnicos y económicos de</w:t>
      </w:r>
      <w:r>
        <w:rPr>
          <w:rFonts w:ascii="Verdana" w:eastAsia="Calibri" w:hAnsi="Verdana" w:cs="Arial"/>
          <w:lang w:eastAsia="es-ES"/>
        </w:rPr>
        <w:t xml:space="preserve"> </w:t>
      </w:r>
      <w:r w:rsidRPr="0092741D">
        <w:rPr>
          <w:rFonts w:ascii="Verdana" w:eastAsia="Calibri" w:hAnsi="Verdana" w:cs="Arial"/>
          <w:lang w:eastAsia="es-ES"/>
        </w:rPr>
        <w:t xml:space="preserve">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F2F4C1E"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 xml:space="preserve">De la norma descrita se concluía lo siguiente: i) la adopción de los documentos tipo estaba en cabeza del gobierno nacional; </w:t>
      </w:r>
      <w:proofErr w:type="spellStart"/>
      <w:r w:rsidRPr="0092741D">
        <w:rPr>
          <w:rFonts w:ascii="Verdana" w:eastAsia="Calibri" w:hAnsi="Verdana" w:cs="Arial"/>
          <w:lang w:eastAsia="es-ES"/>
        </w:rPr>
        <w:t>ii</w:t>
      </w:r>
      <w:proofErr w:type="spellEnd"/>
      <w:r w:rsidRPr="0092741D">
        <w:rPr>
          <w:rFonts w:ascii="Verdana" w:eastAsia="Calibri" w:hAnsi="Verdana" w:cs="Arial"/>
          <w:lang w:eastAsia="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92741D">
        <w:rPr>
          <w:rFonts w:ascii="Verdana" w:eastAsia="Calibri" w:hAnsi="Verdana" w:cs="Arial"/>
          <w:lang w:eastAsia="es-ES"/>
        </w:rPr>
        <w:t>iii</w:t>
      </w:r>
      <w:proofErr w:type="spellEnd"/>
      <w:r w:rsidRPr="0092741D">
        <w:rPr>
          <w:rFonts w:ascii="Verdana" w:eastAsia="Calibri" w:hAnsi="Verdana" w:cs="Arial"/>
          <w:lang w:eastAsia="es-ES"/>
        </w:rPr>
        <w:t xml:space="preserve">) eran de obligatorio cumplimiento por parte de todas las entidades sometidas al Estatuto General de Contratación de la Administración Pública; </w:t>
      </w:r>
      <w:proofErr w:type="spellStart"/>
      <w:r w:rsidRPr="0092741D">
        <w:rPr>
          <w:rFonts w:ascii="Verdana" w:eastAsia="Calibri" w:hAnsi="Verdana" w:cs="Arial"/>
          <w:lang w:eastAsia="es-ES"/>
        </w:rPr>
        <w:t>iv</w:t>
      </w:r>
      <w:proofErr w:type="spellEnd"/>
      <w:r w:rsidRPr="0092741D">
        <w:rPr>
          <w:rFonts w:ascii="Verdana" w:eastAsia="Calibri" w:hAnsi="Verdana" w:cs="Arial"/>
          <w:lang w:eastAsia="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7F716115" w14:textId="4BA69712"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Pr>
          <w:rStyle w:val="Refdenotaalpie"/>
          <w:rFonts w:ascii="Verdana" w:eastAsia="Calibri" w:hAnsi="Verdana" w:cs="Arial"/>
          <w:lang w:eastAsia="es-ES"/>
        </w:rPr>
        <w:footnoteReference w:id="4"/>
      </w:r>
      <w:r w:rsidRPr="0092741D">
        <w:rPr>
          <w:rFonts w:ascii="Verdana" w:eastAsia="Calibri" w:hAnsi="Verdana" w:cs="Arial"/>
          <w:lang w:eastAsia="es-ES"/>
        </w:rPr>
        <w:t>.</w:t>
      </w:r>
    </w:p>
    <w:p w14:paraId="7178205C"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lastRenderedPageBreak/>
        <w:tab/>
      </w:r>
      <w:r w:rsidRPr="0092741D">
        <w:rPr>
          <w:rFonts w:ascii="Verdana" w:eastAsia="Calibri" w:hAnsi="Verdana" w:cs="Arial"/>
          <w:lang w:eastAsia="es-ES"/>
        </w:rPr>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 </w:t>
      </w:r>
    </w:p>
    <w:p w14:paraId="618C974E"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2F4ACDD" w14:textId="77777777"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 xml:space="preserve">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w:t>
      </w:r>
      <w:r w:rsidRPr="0092741D">
        <w:rPr>
          <w:rFonts w:ascii="Verdana" w:eastAsia="Calibri" w:hAnsi="Verdana" w:cs="Arial"/>
          <w:lang w:eastAsia="es-ES"/>
        </w:rPr>
        <w:lastRenderedPageBreak/>
        <w:t xml:space="preserve">de 2020–, la Resolución 044 del 14 de febrero de 2020 y la Resolución 094 del 21 de mayo de 2020. </w:t>
      </w:r>
    </w:p>
    <w:p w14:paraId="354D3CEC" w14:textId="5D6CD3FB"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 xml:space="preserve">Por otra parte, debe tenerse en cuenta que la Ley 2022 de 2020 fue sancionada por el </w:t>
      </w:r>
      <w:proofErr w:type="gramStart"/>
      <w:r w:rsidRPr="0092741D">
        <w:rPr>
          <w:rFonts w:ascii="Verdana" w:eastAsia="Calibri" w:hAnsi="Verdana" w:cs="Arial"/>
          <w:lang w:eastAsia="es-ES"/>
        </w:rPr>
        <w:t>Presidente</w:t>
      </w:r>
      <w:proofErr w:type="gramEnd"/>
      <w:r w:rsidRPr="0092741D">
        <w:rPr>
          <w:rFonts w:ascii="Verdana" w:eastAsia="Calibri" w:hAnsi="Verdana" w:cs="Arial"/>
          <w:lang w:eastAsia="es-ES"/>
        </w:rPr>
        <w:t xml:space="preserve"> de la República el 22 de julio de 2020, que en su artículo 1 modificó el artículo 4 de la Ley 1882 de 2018 y, por tanto, modificó el parágrafo 7 del artículo 2 de la Ley 1150 de 2007, asignando directamente a l</w:t>
      </w:r>
      <w:r>
        <w:rPr>
          <w:rFonts w:ascii="Verdana" w:eastAsia="Calibri" w:hAnsi="Verdana" w:cs="Arial"/>
          <w:lang w:eastAsia="es-ES"/>
        </w:rPr>
        <w:t xml:space="preserve">a </w:t>
      </w:r>
      <w:r w:rsidRPr="0092741D">
        <w:rPr>
          <w:rFonts w:ascii="Verdana" w:eastAsia="Calibri" w:hAnsi="Verdana" w:cs="Arial"/>
          <w:lang w:eastAsia="es-ES"/>
        </w:rPr>
        <w:t>Agencia Nacional de Contratación Pública – Colombia Compra Eficiente la facultad para adoptar los documentos tipo</w:t>
      </w:r>
      <w:r w:rsidR="00A65558">
        <w:rPr>
          <w:rStyle w:val="Refdenotaalpie"/>
          <w:rFonts w:ascii="Verdana" w:eastAsia="Calibri" w:hAnsi="Verdana" w:cs="Arial"/>
          <w:lang w:eastAsia="es-ES"/>
        </w:rPr>
        <w:footnoteReference w:id="5"/>
      </w:r>
      <w:r w:rsidRPr="0092741D">
        <w:rPr>
          <w:rFonts w:ascii="Verdana" w:eastAsia="Calibri" w:hAnsi="Verdana" w:cs="Arial"/>
          <w:lang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7921B770" w14:textId="6F270239" w:rsidR="0092741D" w:rsidRDefault="0092741D" w:rsidP="004856AD">
      <w:pPr>
        <w:tabs>
          <w:tab w:val="left" w:pos="426"/>
        </w:tabs>
        <w:spacing w:after="0" w:line="276" w:lineRule="auto"/>
        <w:jc w:val="both"/>
        <w:rPr>
          <w:rFonts w:ascii="Verdana" w:eastAsia="Calibri" w:hAnsi="Verdana" w:cs="Arial"/>
          <w:lang w:eastAsia="es-ES"/>
        </w:rPr>
      </w:pPr>
      <w:r>
        <w:rPr>
          <w:rFonts w:ascii="Verdana" w:eastAsia="Calibri" w:hAnsi="Verdana" w:cs="Arial"/>
          <w:lang w:eastAsia="es-ES"/>
        </w:rPr>
        <w:tab/>
      </w:r>
      <w:r w:rsidRPr="0092741D">
        <w:rPr>
          <w:rFonts w:ascii="Verdana" w:eastAsia="Calibri" w:hAnsi="Verdana" w:cs="Arial"/>
          <w:lang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w:t>
      </w:r>
      <w:r w:rsidRPr="0092741D">
        <w:rPr>
          <w:rFonts w:ascii="Verdana" w:eastAsia="Calibri" w:hAnsi="Verdana" w:cs="Arial"/>
          <w:lang w:eastAsia="es-ES"/>
        </w:rPr>
        <w:lastRenderedPageBreak/>
        <w:t>2020”. Adicionalmente, entró en vigor la Resolución 256 de 2020, “Por la cual se adoptan los documentos tipo para los procesos de selección de concursos de méritos, para contratar la interventoría de obras públicas de infraestructura de transporte”.</w:t>
      </w:r>
    </w:p>
    <w:p w14:paraId="677B8991" w14:textId="77777777"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 xml:space="preserve">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7ABC276" w14:textId="77777777"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 xml:space="preserve">Con posterioridad, el Decreto 1860 de 2021 modificó el Decreto 1082 de 2015, Único Reglamentario del Sector Administrativo de Planeación Nacional, incorporando una regulación detallada de la Ley 2069 de 2020 para su efectiva implementación en el sistema de compras y contratación pública, además de incluir algunas disposiciones adicionales para la reglamentación efectiva de la citada Ley. 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 </w:t>
      </w:r>
    </w:p>
    <w:p w14:paraId="4FFAFDB6" w14:textId="77777777"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 xml:space="preserve">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625 del 16 de diciembre del 2022, "Por la cual se actualizan los documentos tipo para los procesos de obra pública de infraestructura de transporte que se adelanten por la modalidad de mínima cuantía y se deroga la Resolución 094 de 2020". </w:t>
      </w:r>
    </w:p>
    <w:p w14:paraId="10D46A55" w14:textId="0A5912B0"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lastRenderedPageBreak/>
        <w:tab/>
      </w:r>
      <w:r w:rsidRPr="00A65558">
        <w:rPr>
          <w:rFonts w:ascii="Verdana" w:eastAsia="Times New Roman" w:hAnsi="Verdana" w:cs="Arial"/>
          <w:color w:val="000000" w:themeColor="text1"/>
        </w:rPr>
        <w:t>Teniendo en cuenta lo expuesto anteriormente, La Agencia Nacional de Contratación Pública – Colombia Compra Eficiente – ANCP – CCE, agradece haberse puesto en contacto con nosotros y concluye que al enmarcar la consulta en un proceso cuya modalidad de contratación la enmarca en un contrato d</w:t>
      </w:r>
      <w:r>
        <w:rPr>
          <w:rFonts w:ascii="Verdana" w:eastAsia="Times New Roman" w:hAnsi="Verdana" w:cs="Arial"/>
          <w:color w:val="000000" w:themeColor="text1"/>
        </w:rPr>
        <w:t xml:space="preserve">e </w:t>
      </w:r>
      <w:r w:rsidRPr="00A65558">
        <w:rPr>
          <w:rFonts w:ascii="Verdana" w:eastAsia="Times New Roman" w:hAnsi="Verdana" w:cs="Arial"/>
          <w:color w:val="000000" w:themeColor="text1"/>
        </w:rPr>
        <w:t xml:space="preserve">mínima cuantía, cuyo objeto se circunscribe a “contrato a todo costo para realizar el mantenimiento de la vía AltaVista – Alto de Pavas- sector </w:t>
      </w:r>
      <w:proofErr w:type="spellStart"/>
      <w:r w:rsidRPr="00A65558">
        <w:rPr>
          <w:rFonts w:ascii="Verdana" w:eastAsia="Times New Roman" w:hAnsi="Verdana" w:cs="Arial"/>
          <w:color w:val="000000" w:themeColor="text1"/>
        </w:rPr>
        <w:t>Yore</w:t>
      </w:r>
      <w:proofErr w:type="spellEnd"/>
      <w:r w:rsidRPr="00A65558">
        <w:rPr>
          <w:rFonts w:ascii="Verdana" w:eastAsia="Times New Roman" w:hAnsi="Verdana" w:cs="Arial"/>
          <w:color w:val="000000" w:themeColor="text1"/>
        </w:rPr>
        <w:t xml:space="preserve"> del municipio de San Luis, Antioquia, es necesario aclarar que este correspondería al sector de transporte, y sus fechas de implementación y modificaciones se resumen así:</w:t>
      </w:r>
    </w:p>
    <w:tbl>
      <w:tblPr>
        <w:tblStyle w:val="Tablaconcuadrcula"/>
        <w:tblW w:w="0" w:type="auto"/>
        <w:tblLook w:val="04A0" w:firstRow="1" w:lastRow="0" w:firstColumn="1" w:lastColumn="0" w:noHBand="0" w:noVBand="1"/>
      </w:tblPr>
      <w:tblGrid>
        <w:gridCol w:w="2942"/>
        <w:gridCol w:w="2943"/>
        <w:gridCol w:w="2943"/>
      </w:tblGrid>
      <w:tr w:rsidR="00A65558" w14:paraId="54CEB5DC" w14:textId="77777777" w:rsidTr="00A65558">
        <w:tc>
          <w:tcPr>
            <w:tcW w:w="2942" w:type="dxa"/>
          </w:tcPr>
          <w:p w14:paraId="40C8DFB1" w14:textId="0778B2B8" w:rsidR="00A65558" w:rsidRPr="00A65558" w:rsidRDefault="00A65558" w:rsidP="00A65558">
            <w:pPr>
              <w:tabs>
                <w:tab w:val="left" w:pos="426"/>
              </w:tabs>
              <w:spacing w:line="276" w:lineRule="auto"/>
              <w:jc w:val="both"/>
              <w:rPr>
                <w:rFonts w:ascii="Verdana" w:eastAsia="Times New Roman" w:hAnsi="Verdana" w:cs="Arial"/>
                <w:color w:val="000000" w:themeColor="text1"/>
                <w:sz w:val="24"/>
                <w:szCs w:val="24"/>
              </w:rPr>
            </w:pPr>
            <w:r w:rsidRPr="00A65558">
              <w:rPr>
                <w:sz w:val="24"/>
                <w:szCs w:val="24"/>
              </w:rPr>
              <w:t xml:space="preserve">Resolución </w:t>
            </w:r>
          </w:p>
        </w:tc>
        <w:tc>
          <w:tcPr>
            <w:tcW w:w="2943" w:type="dxa"/>
          </w:tcPr>
          <w:p w14:paraId="753A6B9B" w14:textId="4C597C96" w:rsidR="00A65558" w:rsidRPr="00A65558" w:rsidRDefault="00A65558" w:rsidP="00A65558">
            <w:pPr>
              <w:tabs>
                <w:tab w:val="left" w:pos="426"/>
              </w:tabs>
              <w:spacing w:line="276" w:lineRule="auto"/>
              <w:jc w:val="both"/>
              <w:rPr>
                <w:rFonts w:ascii="Verdana" w:eastAsia="Times New Roman" w:hAnsi="Verdana" w:cs="Arial"/>
                <w:color w:val="000000" w:themeColor="text1"/>
                <w:sz w:val="24"/>
                <w:szCs w:val="24"/>
              </w:rPr>
            </w:pPr>
            <w:r w:rsidRPr="00A65558">
              <w:rPr>
                <w:sz w:val="24"/>
                <w:szCs w:val="24"/>
              </w:rPr>
              <w:t>Detalle</w:t>
            </w:r>
          </w:p>
        </w:tc>
        <w:tc>
          <w:tcPr>
            <w:tcW w:w="2943" w:type="dxa"/>
          </w:tcPr>
          <w:p w14:paraId="5D3EFF22" w14:textId="200D6880" w:rsidR="00A65558" w:rsidRPr="00A65558" w:rsidRDefault="00A65558" w:rsidP="00A65558">
            <w:pPr>
              <w:tabs>
                <w:tab w:val="left" w:pos="426"/>
              </w:tabs>
              <w:spacing w:line="276" w:lineRule="auto"/>
              <w:jc w:val="both"/>
              <w:rPr>
                <w:rFonts w:ascii="Verdana" w:eastAsia="Times New Roman" w:hAnsi="Verdana" w:cs="Arial"/>
                <w:color w:val="000000" w:themeColor="text1"/>
                <w:sz w:val="24"/>
                <w:szCs w:val="24"/>
              </w:rPr>
            </w:pPr>
            <w:r w:rsidRPr="00A65558">
              <w:rPr>
                <w:sz w:val="24"/>
                <w:szCs w:val="24"/>
              </w:rPr>
              <w:t>Fecha de Implementación</w:t>
            </w:r>
          </w:p>
        </w:tc>
      </w:tr>
      <w:tr w:rsidR="00A65558" w14:paraId="1B919F96" w14:textId="77777777" w:rsidTr="00A65558">
        <w:tc>
          <w:tcPr>
            <w:tcW w:w="2942" w:type="dxa"/>
          </w:tcPr>
          <w:p w14:paraId="19239217" w14:textId="790FE4F6"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 xml:space="preserve">Resolución 094 de 2020 del 21 de mayo de 2020 </w:t>
            </w:r>
          </w:p>
        </w:tc>
        <w:tc>
          <w:tcPr>
            <w:tcW w:w="2943" w:type="dxa"/>
          </w:tcPr>
          <w:p w14:paraId="04A835AE" w14:textId="71CFAB59"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Implementa D.T. procesos de infraestructura de transporte cuya modalidad de mínima cuantía</w:t>
            </w:r>
          </w:p>
        </w:tc>
        <w:tc>
          <w:tcPr>
            <w:tcW w:w="2943" w:type="dxa"/>
          </w:tcPr>
          <w:p w14:paraId="442005F7" w14:textId="6DBCD08C"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A partir del 10 de junio de 2020, para todos los procesos de mínima cuantía cuyo aviso de convocatoria sea publicado posterior a esta fecha</w:t>
            </w:r>
          </w:p>
        </w:tc>
      </w:tr>
      <w:tr w:rsidR="00A65558" w14:paraId="5D185018" w14:textId="77777777" w:rsidTr="00A65558">
        <w:tc>
          <w:tcPr>
            <w:tcW w:w="2942" w:type="dxa"/>
          </w:tcPr>
          <w:p w14:paraId="3CA40294" w14:textId="4CAE4C12"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Resolución 161 del 17 de junio de 2020</w:t>
            </w:r>
          </w:p>
        </w:tc>
        <w:tc>
          <w:tcPr>
            <w:tcW w:w="2943" w:type="dxa"/>
          </w:tcPr>
          <w:p w14:paraId="7B03AD5F" w14:textId="6E66F188"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Por la cual se modifican los documentos tipo adoptados por la Agencia Nacional de Contratación Pública - Colombia Compra Eficiente</w:t>
            </w:r>
          </w:p>
        </w:tc>
        <w:tc>
          <w:tcPr>
            <w:tcW w:w="2943" w:type="dxa"/>
          </w:tcPr>
          <w:p w14:paraId="571F0BE6" w14:textId="4FD307BC"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A partir del mismo 28 de junio de 2020</w:t>
            </w:r>
          </w:p>
        </w:tc>
      </w:tr>
      <w:tr w:rsidR="00A65558" w14:paraId="062336AF" w14:textId="77777777" w:rsidTr="00A65558">
        <w:tc>
          <w:tcPr>
            <w:tcW w:w="2942" w:type="dxa"/>
          </w:tcPr>
          <w:p w14:paraId="08C584E2" w14:textId="6CD94027" w:rsidR="00A65558" w:rsidRDefault="0062164B" w:rsidP="004856AD">
            <w:pPr>
              <w:tabs>
                <w:tab w:val="left" w:pos="426"/>
              </w:tabs>
              <w:spacing w:line="276" w:lineRule="auto"/>
              <w:jc w:val="both"/>
              <w:rPr>
                <w:rFonts w:ascii="Verdana" w:eastAsia="Times New Roman" w:hAnsi="Verdana" w:cs="Arial"/>
                <w:color w:val="000000" w:themeColor="text1"/>
              </w:rPr>
            </w:pPr>
            <w:r w:rsidRPr="0062164B">
              <w:rPr>
                <w:rFonts w:ascii="Verdana" w:eastAsia="Times New Roman" w:hAnsi="Verdana" w:cs="Arial"/>
                <w:color w:val="000000" w:themeColor="text1"/>
              </w:rPr>
              <w:t xml:space="preserve">Resolución 146 de 2022 de </w:t>
            </w:r>
            <w:r w:rsidR="00A65558" w:rsidRPr="00A65558">
              <w:rPr>
                <w:rFonts w:ascii="Verdana" w:eastAsia="Times New Roman" w:hAnsi="Verdana" w:cs="Arial"/>
                <w:color w:val="000000" w:themeColor="text1"/>
              </w:rPr>
              <w:t xml:space="preserve">25 de marzo de 2022 </w:t>
            </w:r>
          </w:p>
        </w:tc>
        <w:tc>
          <w:tcPr>
            <w:tcW w:w="2943" w:type="dxa"/>
          </w:tcPr>
          <w:p w14:paraId="1C87959D" w14:textId="20491D30" w:rsidR="00A65558" w:rsidRDefault="0062164B"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Modifica los D.T. para los procesos de obra pública de infraestructura de transporte adelantados bajo la modalidad de mínima cuantía".</w:t>
            </w:r>
          </w:p>
        </w:tc>
        <w:tc>
          <w:tcPr>
            <w:tcW w:w="2943" w:type="dxa"/>
          </w:tcPr>
          <w:p w14:paraId="188374C4" w14:textId="3DBC367D" w:rsidR="00A65558" w:rsidRDefault="0062164B"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A partir del mismo 28 de marzo de 2022</w:t>
            </w:r>
          </w:p>
        </w:tc>
      </w:tr>
      <w:tr w:rsidR="00A65558" w14:paraId="4AD3F4C1" w14:textId="77777777" w:rsidTr="00A65558">
        <w:tc>
          <w:tcPr>
            <w:tcW w:w="2942" w:type="dxa"/>
          </w:tcPr>
          <w:p w14:paraId="0FF582E3" w14:textId="475FBFAF" w:rsidR="00A65558" w:rsidRDefault="0062164B"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Resolución 625 del 16 de diciembre de 2022</w:t>
            </w:r>
          </w:p>
        </w:tc>
        <w:tc>
          <w:tcPr>
            <w:tcW w:w="2943" w:type="dxa"/>
          </w:tcPr>
          <w:p w14:paraId="58AAF17D" w14:textId="2D53319D"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 xml:space="preserve">Actualiza los D.T. para los procesos de obra pública de infraestructura de transporte que se adelanten por la modalidad de mínima </w:t>
            </w:r>
            <w:r w:rsidRPr="00A65558">
              <w:rPr>
                <w:rFonts w:ascii="Verdana" w:eastAsia="Times New Roman" w:hAnsi="Verdana" w:cs="Arial"/>
                <w:color w:val="000000" w:themeColor="text1"/>
              </w:rPr>
              <w:lastRenderedPageBreak/>
              <w:t>cuantía y se deroga la Resolución 094 de 2020.</w:t>
            </w:r>
          </w:p>
        </w:tc>
        <w:tc>
          <w:tcPr>
            <w:tcW w:w="2943" w:type="dxa"/>
          </w:tcPr>
          <w:p w14:paraId="30FF3D00" w14:textId="68F67CE2" w:rsidR="00A65558" w:rsidRDefault="00A65558" w:rsidP="004856AD">
            <w:pPr>
              <w:tabs>
                <w:tab w:val="left" w:pos="426"/>
              </w:tabs>
              <w:spacing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lastRenderedPageBreak/>
              <w:t>Implementación a partir del 27 de febrero de 2023</w:t>
            </w:r>
          </w:p>
        </w:tc>
      </w:tr>
    </w:tbl>
    <w:p w14:paraId="6A71E117" w14:textId="77777777" w:rsidR="00A65558" w:rsidRDefault="00A65558" w:rsidP="004856AD">
      <w:pPr>
        <w:tabs>
          <w:tab w:val="left" w:pos="426"/>
        </w:tabs>
        <w:spacing w:after="0" w:line="276" w:lineRule="auto"/>
        <w:jc w:val="both"/>
        <w:rPr>
          <w:rFonts w:ascii="Verdana" w:eastAsia="Times New Roman" w:hAnsi="Verdana" w:cs="Arial"/>
          <w:color w:val="000000" w:themeColor="text1"/>
        </w:rPr>
      </w:pPr>
    </w:p>
    <w:p w14:paraId="2E68C2E6" w14:textId="4C79E951"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Es decir que si el aviso de convocatoria del proceso en comento, fue publicado después del 10 de junio de 2020, para el caso específico de su consulta referida a la modalidad de selección de mínima cuantía vigente para el mes de octubre de 2020 del sector transporte; los documentos tipo que regirían serían los contentivos de la Resolución 094 del 21 de mayo de 2020, en cuanto a obtener copia de la minuta correspondiente, le informamos que para obtener los documentos tipo con todos sus anexos incluida la minuta del contrato vigentes</w:t>
      </w:r>
    </w:p>
    <w:p w14:paraId="16988207" w14:textId="684388FA" w:rsidR="00A65558" w:rsidRDefault="00A65558" w:rsidP="004856AD">
      <w:pPr>
        <w:tabs>
          <w:tab w:val="left" w:pos="426"/>
        </w:tabs>
        <w:spacing w:after="0" w:line="276" w:lineRule="auto"/>
        <w:jc w:val="both"/>
        <w:rPr>
          <w:rFonts w:ascii="Verdana" w:eastAsia="Times New Roman" w:hAnsi="Verdana" w:cs="Arial"/>
          <w:color w:val="000000" w:themeColor="text1"/>
        </w:rPr>
      </w:pPr>
      <w:r w:rsidRPr="00A65558">
        <w:rPr>
          <w:rFonts w:ascii="Verdana" w:eastAsia="Times New Roman" w:hAnsi="Verdana" w:cs="Arial"/>
          <w:color w:val="000000" w:themeColor="text1"/>
        </w:rPr>
        <w:t xml:space="preserve">para el mes de octubre de 2020, puede acceder por la página de la Agencia en este </w:t>
      </w:r>
      <w:proofErr w:type="gramStart"/>
      <w:r w:rsidRPr="00A65558">
        <w:rPr>
          <w:rFonts w:ascii="Verdana" w:eastAsia="Times New Roman" w:hAnsi="Verdana" w:cs="Arial"/>
          <w:color w:val="000000" w:themeColor="text1"/>
        </w:rPr>
        <w:t>link</w:t>
      </w:r>
      <w:proofErr w:type="gramEnd"/>
      <w:r w:rsidRPr="00A65558">
        <w:rPr>
          <w:rFonts w:ascii="Verdana" w:eastAsia="Times New Roman" w:hAnsi="Verdana" w:cs="Arial"/>
          <w:color w:val="000000" w:themeColor="text1"/>
        </w:rPr>
        <w:t xml:space="preserve">: </w:t>
      </w:r>
      <w:r w:rsidRPr="00A65558">
        <w:rPr>
          <w:rStyle w:val="Hipervnculo"/>
        </w:rPr>
        <w:t>Documentos tipo para procesos de selección de mínima cuantía de infraestructura de transporte – sin las modificaciones de la Resolución 161 de 2021 - versión vigente hasta el 27/06/2021 | Colombia Compra Eficiente | Agencia Nacional de Contratación Pública</w:t>
      </w:r>
      <w:r>
        <w:rPr>
          <w:rFonts w:ascii="Verdana" w:eastAsia="Times New Roman" w:hAnsi="Verdana" w:cs="Arial"/>
          <w:color w:val="000000" w:themeColor="text1"/>
        </w:rPr>
        <w:t xml:space="preserve"> </w:t>
      </w:r>
      <w:r w:rsidRPr="00A65558">
        <w:rPr>
          <w:rFonts w:ascii="Verdana" w:eastAsia="Times New Roman" w:hAnsi="Verdana" w:cs="Arial"/>
          <w:color w:val="000000" w:themeColor="text1"/>
        </w:rPr>
        <w:t xml:space="preserve"> </w:t>
      </w:r>
    </w:p>
    <w:p w14:paraId="2886915B" w14:textId="567BBCDB"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 xml:space="preserve">Y para mayor información sobre los actos administrativos y su entrada en vigencia que se han implementado por parte de la Agencia mediante los documentos tipo aplicables a obras, en sus diferentes sectores, esto es 1- Transporte: i) - Licitación de obra Pública, </w:t>
      </w:r>
      <w:proofErr w:type="spellStart"/>
      <w:r w:rsidRPr="00A65558">
        <w:rPr>
          <w:rFonts w:ascii="Verdana" w:eastAsia="Times New Roman" w:hAnsi="Verdana" w:cs="Arial"/>
          <w:color w:val="000000" w:themeColor="text1"/>
        </w:rPr>
        <w:t>ii</w:t>
      </w:r>
      <w:proofErr w:type="spellEnd"/>
      <w:r w:rsidRPr="00A65558">
        <w:rPr>
          <w:rFonts w:ascii="Verdana" w:eastAsia="Times New Roman" w:hAnsi="Verdana" w:cs="Arial"/>
          <w:color w:val="000000" w:themeColor="text1"/>
        </w:rPr>
        <w:t xml:space="preserve">) Mínima Cuantía, </w:t>
      </w:r>
      <w:proofErr w:type="spellStart"/>
      <w:r w:rsidRPr="00A65558">
        <w:rPr>
          <w:rFonts w:ascii="Verdana" w:eastAsia="Times New Roman" w:hAnsi="Verdana" w:cs="Arial"/>
          <w:color w:val="000000" w:themeColor="text1"/>
        </w:rPr>
        <w:t>iii</w:t>
      </w:r>
      <w:proofErr w:type="spellEnd"/>
      <w:r w:rsidRPr="00A65558">
        <w:rPr>
          <w:rFonts w:ascii="Verdana" w:eastAsia="Times New Roman" w:hAnsi="Verdana" w:cs="Arial"/>
          <w:color w:val="000000" w:themeColor="text1"/>
        </w:rPr>
        <w:t xml:space="preserve">) Interventoría, </w:t>
      </w:r>
      <w:proofErr w:type="spellStart"/>
      <w:r w:rsidRPr="00A65558">
        <w:rPr>
          <w:rFonts w:ascii="Verdana" w:eastAsia="Times New Roman" w:hAnsi="Verdana" w:cs="Arial"/>
          <w:color w:val="000000" w:themeColor="text1"/>
        </w:rPr>
        <w:t>iv</w:t>
      </w:r>
      <w:proofErr w:type="spellEnd"/>
      <w:r w:rsidRPr="00A65558">
        <w:rPr>
          <w:rFonts w:ascii="Verdana" w:eastAsia="Times New Roman" w:hAnsi="Verdana" w:cs="Arial"/>
          <w:color w:val="000000" w:themeColor="text1"/>
        </w:rPr>
        <w:t xml:space="preserve">)Selección abreviada de menor cuantía y v) Consultoría, 2- Sector Social que abarca Cultura, recreación y deporte, Educación y Salud: i) Licitación Pública y </w:t>
      </w:r>
      <w:proofErr w:type="spellStart"/>
      <w:r w:rsidRPr="00A65558">
        <w:rPr>
          <w:rFonts w:ascii="Verdana" w:eastAsia="Times New Roman" w:hAnsi="Verdana" w:cs="Arial"/>
          <w:color w:val="000000" w:themeColor="text1"/>
        </w:rPr>
        <w:t>ii</w:t>
      </w:r>
      <w:proofErr w:type="spellEnd"/>
      <w:r w:rsidRPr="00A65558">
        <w:rPr>
          <w:rFonts w:ascii="Verdana" w:eastAsia="Times New Roman" w:hAnsi="Verdana" w:cs="Arial"/>
          <w:color w:val="000000" w:themeColor="text1"/>
        </w:rPr>
        <w:t xml:space="preserve">) Interventoría y 3- Agua Potable y Saneamiento Básico: i) Licitación Pública, </w:t>
      </w:r>
      <w:proofErr w:type="spellStart"/>
      <w:r w:rsidRPr="00A65558">
        <w:rPr>
          <w:rFonts w:ascii="Verdana" w:eastAsia="Times New Roman" w:hAnsi="Verdana" w:cs="Arial"/>
          <w:color w:val="000000" w:themeColor="text1"/>
        </w:rPr>
        <w:t>ii</w:t>
      </w:r>
      <w:proofErr w:type="spellEnd"/>
      <w:r w:rsidRPr="00A65558">
        <w:rPr>
          <w:rFonts w:ascii="Verdana" w:eastAsia="Times New Roman" w:hAnsi="Verdana" w:cs="Arial"/>
          <w:color w:val="000000" w:themeColor="text1"/>
        </w:rPr>
        <w:t xml:space="preserve">) Llave en mano y </w:t>
      </w:r>
      <w:proofErr w:type="spellStart"/>
      <w:r w:rsidRPr="00A65558">
        <w:rPr>
          <w:rFonts w:ascii="Verdana" w:eastAsia="Times New Roman" w:hAnsi="Verdana" w:cs="Arial"/>
          <w:color w:val="000000" w:themeColor="text1"/>
        </w:rPr>
        <w:t>iii</w:t>
      </w:r>
      <w:proofErr w:type="spellEnd"/>
      <w:r w:rsidRPr="00A65558">
        <w:rPr>
          <w:rFonts w:ascii="Verdana" w:eastAsia="Times New Roman" w:hAnsi="Verdana" w:cs="Arial"/>
          <w:color w:val="000000" w:themeColor="text1"/>
        </w:rPr>
        <w:t xml:space="preserve">) Interventoría, puede consultar el siguiente enlace: </w:t>
      </w:r>
      <w:hyperlink r:id="rId13" w:history="1">
        <w:r w:rsidRPr="00B82DC9">
          <w:rPr>
            <w:rStyle w:val="Hipervnculo"/>
            <w:rFonts w:ascii="Verdana" w:eastAsia="Times New Roman" w:hAnsi="Verdana" w:cs="Arial"/>
          </w:rPr>
          <w:t>https://www.colombiacompra.gov.co/documentos-tipo/documentos-tipo</w:t>
        </w:r>
      </w:hyperlink>
      <w:r w:rsidRPr="00A65558">
        <w:rPr>
          <w:rFonts w:ascii="Verdana" w:eastAsia="Times New Roman" w:hAnsi="Verdana" w:cs="Arial"/>
          <w:color w:val="000000" w:themeColor="text1"/>
        </w:rPr>
        <w:t xml:space="preserve"> </w:t>
      </w:r>
    </w:p>
    <w:p w14:paraId="0B3D364E" w14:textId="6C5E3169" w:rsidR="00A65558"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ab/>
      </w:r>
      <w:r w:rsidRPr="00A65558">
        <w:rPr>
          <w:rFonts w:ascii="Verdana" w:eastAsia="Times New Roman" w:hAnsi="Verdana" w:cs="Arial"/>
          <w:color w:val="000000" w:themeColor="text1"/>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80FE73C" w14:textId="77777777" w:rsidR="00A65558" w:rsidRDefault="00A65558" w:rsidP="004856AD">
      <w:pPr>
        <w:tabs>
          <w:tab w:val="left" w:pos="426"/>
        </w:tabs>
        <w:spacing w:after="0" w:line="276" w:lineRule="auto"/>
        <w:jc w:val="both"/>
        <w:rPr>
          <w:rFonts w:ascii="Verdana" w:eastAsia="Times New Roman" w:hAnsi="Verdana" w:cs="Arial"/>
          <w:color w:val="000000" w:themeColor="text1"/>
        </w:rPr>
      </w:pPr>
    </w:p>
    <w:p w14:paraId="09E43EB5" w14:textId="1FC39E27" w:rsidR="004856AD" w:rsidRDefault="00A65558" w:rsidP="004856AD">
      <w:pPr>
        <w:tabs>
          <w:tab w:val="left" w:pos="426"/>
        </w:tabs>
        <w:spacing w:after="0" w:line="276" w:lineRule="auto"/>
        <w:jc w:val="both"/>
        <w:rPr>
          <w:rFonts w:ascii="Verdana" w:eastAsia="Times New Roman" w:hAnsi="Verdana" w:cs="Arial"/>
          <w:color w:val="000000" w:themeColor="text1"/>
        </w:rPr>
      </w:pPr>
      <w:r>
        <w:rPr>
          <w:rFonts w:ascii="Verdana" w:eastAsia="Times New Roman" w:hAnsi="Verdana" w:cs="Arial"/>
          <w:color w:val="000000" w:themeColor="text1"/>
        </w:rPr>
        <w:t>Cordial</w:t>
      </w:r>
      <w:r w:rsidR="004856AD" w:rsidRPr="008C6876">
        <w:rPr>
          <w:rFonts w:ascii="Verdana" w:eastAsia="Times New Roman" w:hAnsi="Verdana" w:cs="Arial"/>
          <w:color w:val="000000" w:themeColor="text1"/>
        </w:rPr>
        <w:t>mente,</w:t>
      </w:r>
    </w:p>
    <w:p w14:paraId="14464DD8" w14:textId="286DEF62" w:rsidR="004856AD" w:rsidRDefault="00A65558" w:rsidP="004856AD">
      <w:pPr>
        <w:tabs>
          <w:tab w:val="left" w:pos="426"/>
        </w:tabs>
        <w:spacing w:after="0" w:line="276" w:lineRule="auto"/>
        <w:jc w:val="center"/>
        <w:rPr>
          <w:rFonts w:ascii="Verdana" w:eastAsia="Times New Roman" w:hAnsi="Verdana" w:cs="Arial"/>
          <w:color w:val="000000" w:themeColor="text1"/>
        </w:rPr>
      </w:pPr>
      <w:r w:rsidRPr="00A65558">
        <w:rPr>
          <w:rFonts w:ascii="Verdana" w:eastAsia="Times New Roman" w:hAnsi="Verdana" w:cs="Arial"/>
          <w:noProof/>
          <w:color w:val="000000" w:themeColor="text1"/>
        </w:rPr>
        <w:lastRenderedPageBreak/>
        <w:drawing>
          <wp:inline distT="0" distB="0" distL="0" distR="0" wp14:anchorId="0BABC5EA" wp14:editId="6F7CF91E">
            <wp:extent cx="3703320" cy="1592580"/>
            <wp:effectExtent l="0" t="0" r="0" b="7620"/>
            <wp:docPr id="17987375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3320" cy="1592580"/>
                    </a:xfrm>
                    <a:prstGeom prst="rect">
                      <a:avLst/>
                    </a:prstGeom>
                    <a:noFill/>
                    <a:ln>
                      <a:noFill/>
                    </a:ln>
                  </pic:spPr>
                </pic:pic>
              </a:graphicData>
            </a:graphic>
          </wp:inline>
        </w:drawing>
      </w:r>
      <w:r w:rsidRPr="00A65558">
        <w:rPr>
          <w:rFonts w:ascii="Verdana" w:eastAsia="Times New Roman" w:hAnsi="Verdana" w:cs="Arial"/>
          <w:color w:val="000000" w:themeColor="text1"/>
        </w:rPr>
        <w:br/>
      </w:r>
    </w:p>
    <w:p w14:paraId="63403D2D" w14:textId="77777777" w:rsidR="00A65558" w:rsidRPr="008506A0" w:rsidRDefault="00A65558" w:rsidP="004856AD">
      <w:pPr>
        <w:tabs>
          <w:tab w:val="left" w:pos="426"/>
        </w:tabs>
        <w:spacing w:after="0" w:line="276" w:lineRule="auto"/>
        <w:jc w:val="center"/>
        <w:rPr>
          <w:rFonts w:ascii="Verdana" w:eastAsia="Times New Roman" w:hAnsi="Verdana" w:cs="Arial"/>
          <w:color w:val="000000" w:themeColor="text1"/>
        </w:rPr>
      </w:pPr>
    </w:p>
    <w:tbl>
      <w:tblPr>
        <w:tblW w:w="5670" w:type="dxa"/>
        <w:tblBorders>
          <w:top w:val="nil"/>
          <w:left w:val="nil"/>
          <w:bottom w:val="nil"/>
          <w:right w:val="nil"/>
          <w:insideH w:val="nil"/>
          <w:insideV w:val="nil"/>
        </w:tblBorders>
        <w:tblLayout w:type="fixed"/>
        <w:tblLook w:val="0400" w:firstRow="0" w:lastRow="0" w:firstColumn="0" w:lastColumn="0" w:noHBand="0" w:noVBand="1"/>
      </w:tblPr>
      <w:tblGrid>
        <w:gridCol w:w="993"/>
        <w:gridCol w:w="4677"/>
      </w:tblGrid>
      <w:tr w:rsidR="004856AD" w:rsidRPr="008C6876" w14:paraId="590A04C7" w14:textId="77777777" w:rsidTr="00A65558">
        <w:trPr>
          <w:trHeight w:val="260"/>
        </w:trPr>
        <w:tc>
          <w:tcPr>
            <w:tcW w:w="993" w:type="dxa"/>
            <w:vAlign w:val="center"/>
          </w:tcPr>
          <w:p w14:paraId="682511C3" w14:textId="77777777" w:rsidR="004856AD" w:rsidRPr="008C6876" w:rsidRDefault="004856AD" w:rsidP="0012112A">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Elaboró:</w:t>
            </w:r>
          </w:p>
        </w:tc>
        <w:tc>
          <w:tcPr>
            <w:tcW w:w="4677" w:type="dxa"/>
            <w:tcBorders>
              <w:top w:val="nil"/>
              <w:left w:val="nil"/>
              <w:bottom w:val="dotted" w:sz="4" w:space="0" w:color="7F7F7F"/>
              <w:right w:val="nil"/>
            </w:tcBorders>
            <w:vAlign w:val="center"/>
          </w:tcPr>
          <w:p w14:paraId="43136705" w14:textId="77777777" w:rsidR="00A65558" w:rsidRDefault="00A65558" w:rsidP="0012112A">
            <w:pPr>
              <w:spacing w:after="0" w:line="240" w:lineRule="auto"/>
              <w:rPr>
                <w:rFonts w:ascii="Verdana" w:hAnsi="Verdana" w:cs="Arial"/>
                <w:sz w:val="16"/>
                <w:szCs w:val="16"/>
                <w:lang w:eastAsia="es-CO"/>
              </w:rPr>
            </w:pPr>
            <w:r w:rsidRPr="00A65558">
              <w:rPr>
                <w:rFonts w:ascii="Verdana" w:hAnsi="Verdana" w:cs="Arial"/>
                <w:sz w:val="16"/>
                <w:szCs w:val="16"/>
                <w:lang w:eastAsia="es-CO"/>
              </w:rPr>
              <w:t>Alexandra Rodríguez Motta</w:t>
            </w:r>
          </w:p>
          <w:p w14:paraId="0B9472EF" w14:textId="5A63F3D5" w:rsidR="004856AD" w:rsidRPr="008C6876" w:rsidRDefault="004856AD" w:rsidP="0012112A">
            <w:pPr>
              <w:spacing w:after="0" w:line="240" w:lineRule="auto"/>
              <w:rPr>
                <w:rFonts w:ascii="Verdana" w:hAnsi="Verdana" w:cs="Arial"/>
                <w:sz w:val="16"/>
                <w:szCs w:val="16"/>
                <w:lang w:eastAsia="es-CO"/>
              </w:rPr>
            </w:pPr>
            <w:r w:rsidRPr="008C6876">
              <w:rPr>
                <w:rFonts w:ascii="Verdana" w:hAnsi="Verdana" w:cs="Arial"/>
                <w:sz w:val="16"/>
                <w:szCs w:val="16"/>
                <w:lang w:eastAsia="es-CO"/>
              </w:rPr>
              <w:t>Contratista Subdirección de Gestión Contractual</w:t>
            </w:r>
          </w:p>
        </w:tc>
      </w:tr>
      <w:tr w:rsidR="004856AD" w:rsidRPr="008C6876" w14:paraId="59085C4E" w14:textId="77777777" w:rsidTr="0012112A">
        <w:trPr>
          <w:trHeight w:val="330"/>
        </w:trPr>
        <w:tc>
          <w:tcPr>
            <w:tcW w:w="993" w:type="dxa"/>
            <w:vAlign w:val="center"/>
          </w:tcPr>
          <w:p w14:paraId="70662AD8" w14:textId="77777777" w:rsidR="004856AD" w:rsidRPr="008C6876" w:rsidRDefault="004856AD" w:rsidP="0012112A">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Revisó:</w:t>
            </w:r>
          </w:p>
        </w:tc>
        <w:tc>
          <w:tcPr>
            <w:tcW w:w="4677" w:type="dxa"/>
            <w:tcBorders>
              <w:top w:val="dotted" w:sz="4" w:space="0" w:color="7F7F7F"/>
              <w:left w:val="nil"/>
              <w:bottom w:val="dotted" w:sz="4" w:space="0" w:color="7F7F7F"/>
              <w:right w:val="nil"/>
            </w:tcBorders>
            <w:vAlign w:val="center"/>
          </w:tcPr>
          <w:p w14:paraId="5E5166B0" w14:textId="77777777" w:rsidR="00A65558" w:rsidRDefault="00A65558" w:rsidP="0012112A">
            <w:pPr>
              <w:spacing w:after="0" w:line="240" w:lineRule="auto"/>
              <w:rPr>
                <w:rFonts w:ascii="Verdana" w:hAnsi="Verdana" w:cs="Arial"/>
                <w:sz w:val="16"/>
                <w:szCs w:val="16"/>
                <w:lang w:eastAsia="es-CO"/>
              </w:rPr>
            </w:pPr>
            <w:r w:rsidRPr="00A65558">
              <w:rPr>
                <w:rFonts w:ascii="Verdana" w:hAnsi="Verdana" w:cs="Arial"/>
                <w:sz w:val="16"/>
                <w:szCs w:val="16"/>
                <w:lang w:eastAsia="es-CO"/>
              </w:rPr>
              <w:t>Juan David Cárdenas Cabeza</w:t>
            </w:r>
          </w:p>
          <w:p w14:paraId="6200F01C" w14:textId="06B16857" w:rsidR="004856AD" w:rsidRPr="008C6876" w:rsidRDefault="00A65558" w:rsidP="0012112A">
            <w:pPr>
              <w:spacing w:after="0" w:line="240" w:lineRule="auto"/>
              <w:rPr>
                <w:rFonts w:ascii="Verdana" w:hAnsi="Verdana" w:cs="Arial"/>
                <w:sz w:val="16"/>
                <w:szCs w:val="16"/>
                <w:lang w:eastAsia="es-CO"/>
              </w:rPr>
            </w:pPr>
            <w:r w:rsidRPr="008C6876">
              <w:rPr>
                <w:rFonts w:ascii="Verdana" w:hAnsi="Verdana" w:cs="Arial"/>
                <w:sz w:val="16"/>
                <w:szCs w:val="16"/>
                <w:lang w:eastAsia="es-CO"/>
              </w:rPr>
              <w:t>Contratista Subdirección de Gestión Contractual</w:t>
            </w:r>
          </w:p>
        </w:tc>
      </w:tr>
      <w:tr w:rsidR="004856AD" w:rsidRPr="008C6876" w14:paraId="12DD1A30" w14:textId="77777777" w:rsidTr="0012112A">
        <w:trPr>
          <w:trHeight w:val="300"/>
        </w:trPr>
        <w:tc>
          <w:tcPr>
            <w:tcW w:w="993" w:type="dxa"/>
            <w:vAlign w:val="center"/>
          </w:tcPr>
          <w:p w14:paraId="30C9F906" w14:textId="77777777" w:rsidR="004856AD" w:rsidRPr="008C6876" w:rsidRDefault="004856AD" w:rsidP="0012112A">
            <w:pPr>
              <w:spacing w:after="0" w:line="276" w:lineRule="auto"/>
              <w:rPr>
                <w:rFonts w:ascii="Verdana" w:hAnsi="Verdana" w:cs="Arial"/>
                <w:bCs/>
                <w:sz w:val="16"/>
                <w:szCs w:val="16"/>
                <w:lang w:eastAsia="es-CO"/>
              </w:rPr>
            </w:pPr>
            <w:r w:rsidRPr="008C6876">
              <w:rPr>
                <w:rFonts w:ascii="Verdana" w:hAnsi="Verdana" w:cs="Arial"/>
                <w:bCs/>
                <w:sz w:val="16"/>
                <w:szCs w:val="16"/>
                <w:lang w:eastAsia="es-CO"/>
              </w:rPr>
              <w:t>Aprobó:</w:t>
            </w:r>
          </w:p>
        </w:tc>
        <w:tc>
          <w:tcPr>
            <w:tcW w:w="4677" w:type="dxa"/>
            <w:tcBorders>
              <w:top w:val="dotted" w:sz="4" w:space="0" w:color="7F7F7F"/>
              <w:left w:val="nil"/>
              <w:bottom w:val="dotted" w:sz="4" w:space="0" w:color="7F7F7F"/>
              <w:right w:val="nil"/>
            </w:tcBorders>
            <w:vAlign w:val="center"/>
          </w:tcPr>
          <w:p w14:paraId="4F63291B" w14:textId="77777777" w:rsidR="004856AD" w:rsidRPr="008C6876" w:rsidRDefault="004856AD" w:rsidP="0012112A">
            <w:pPr>
              <w:spacing w:after="0" w:line="240" w:lineRule="auto"/>
              <w:rPr>
                <w:rFonts w:ascii="Verdana" w:hAnsi="Verdana" w:cs="Arial"/>
                <w:sz w:val="16"/>
                <w:szCs w:val="16"/>
                <w:lang w:eastAsia="es-CO"/>
              </w:rPr>
            </w:pPr>
            <w:r w:rsidRPr="008C6876">
              <w:rPr>
                <w:rFonts w:ascii="Verdana" w:hAnsi="Verdana" w:cs="Arial"/>
                <w:sz w:val="16"/>
                <w:szCs w:val="16"/>
                <w:lang w:eastAsia="es-CO"/>
              </w:rPr>
              <w:t xml:space="preserve"> Carolina Quintero </w:t>
            </w:r>
            <w:proofErr w:type="spellStart"/>
            <w:r w:rsidRPr="008C6876">
              <w:rPr>
                <w:rFonts w:ascii="Verdana" w:hAnsi="Verdana" w:cs="Arial"/>
                <w:sz w:val="16"/>
                <w:szCs w:val="16"/>
                <w:lang w:eastAsia="es-CO"/>
              </w:rPr>
              <w:t>Gacharná</w:t>
            </w:r>
            <w:proofErr w:type="spellEnd"/>
          </w:p>
          <w:p w14:paraId="2A2CC70D" w14:textId="77777777" w:rsidR="004856AD" w:rsidRPr="008C6876" w:rsidRDefault="004856AD" w:rsidP="0012112A">
            <w:pPr>
              <w:spacing w:after="0" w:line="240" w:lineRule="auto"/>
              <w:rPr>
                <w:rFonts w:ascii="Verdana" w:hAnsi="Verdana" w:cs="Arial"/>
                <w:sz w:val="16"/>
                <w:szCs w:val="16"/>
                <w:lang w:eastAsia="es-CO"/>
              </w:rPr>
            </w:pPr>
            <w:r w:rsidRPr="008C6876">
              <w:rPr>
                <w:rFonts w:ascii="Verdana" w:hAnsi="Verdana" w:cs="Arial"/>
                <w:sz w:val="16"/>
                <w:szCs w:val="16"/>
                <w:lang w:eastAsia="es-CO"/>
              </w:rPr>
              <w:t>Subdirectora de Gestión Contractual ANCP – CCE</w:t>
            </w:r>
          </w:p>
        </w:tc>
      </w:tr>
    </w:tbl>
    <w:p w14:paraId="47425C75" w14:textId="77777777" w:rsidR="004856AD" w:rsidRPr="008C6876" w:rsidRDefault="004856AD" w:rsidP="004856AD">
      <w:pPr>
        <w:spacing w:after="0"/>
        <w:rPr>
          <w:rFonts w:ascii="Verdana" w:hAnsi="Verdana"/>
        </w:rPr>
      </w:pPr>
    </w:p>
    <w:p w14:paraId="0083C991" w14:textId="62C71FF5" w:rsidR="5D8505AD" w:rsidRPr="004856AD" w:rsidRDefault="5D8505AD" w:rsidP="004856AD">
      <w:pPr>
        <w:spacing w:after="0" w:line="240" w:lineRule="auto"/>
        <w:rPr>
          <w:rFonts w:ascii="Verdana" w:eastAsia="Times New Roman" w:hAnsi="Verdana" w:cs="Arial"/>
          <w:sz w:val="24"/>
          <w:szCs w:val="24"/>
          <w:lang w:eastAsia="es-ES"/>
        </w:rPr>
      </w:pPr>
    </w:p>
    <w:sectPr w:rsidR="5D8505AD" w:rsidRPr="004856AD" w:rsidSect="00C44B4C">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09B3" w14:textId="77777777" w:rsidR="00986107" w:rsidRDefault="00986107" w:rsidP="00B30448">
      <w:pPr>
        <w:spacing w:after="0" w:line="240" w:lineRule="auto"/>
      </w:pPr>
      <w:r>
        <w:separator/>
      </w:r>
    </w:p>
  </w:endnote>
  <w:endnote w:type="continuationSeparator" w:id="0">
    <w:p w14:paraId="2CEF842C" w14:textId="77777777" w:rsidR="00986107" w:rsidRDefault="00986107" w:rsidP="00B30448">
      <w:pPr>
        <w:spacing w:after="0" w:line="240" w:lineRule="auto"/>
      </w:pPr>
      <w:r>
        <w:continuationSeparator/>
      </w:r>
    </w:p>
  </w:endnote>
  <w:endnote w:type="continuationNotice" w:id="1">
    <w:p w14:paraId="6857D16E" w14:textId="77777777" w:rsidR="00986107" w:rsidRDefault="00986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B7C" w14:textId="77777777" w:rsidR="00986107" w:rsidRDefault="00986107" w:rsidP="00B30448">
      <w:pPr>
        <w:spacing w:after="0" w:line="240" w:lineRule="auto"/>
      </w:pPr>
      <w:r>
        <w:separator/>
      </w:r>
    </w:p>
  </w:footnote>
  <w:footnote w:type="continuationSeparator" w:id="0">
    <w:p w14:paraId="0614D890" w14:textId="77777777" w:rsidR="00986107" w:rsidRDefault="00986107" w:rsidP="00B30448">
      <w:pPr>
        <w:spacing w:after="0" w:line="240" w:lineRule="auto"/>
      </w:pPr>
      <w:r>
        <w:continuationSeparator/>
      </w:r>
    </w:p>
  </w:footnote>
  <w:footnote w:type="continuationNotice" w:id="1">
    <w:p w14:paraId="5D2CCF01" w14:textId="77777777" w:rsidR="00986107" w:rsidRDefault="00986107">
      <w:pPr>
        <w:spacing w:after="0" w:line="240" w:lineRule="auto"/>
      </w:pPr>
    </w:p>
  </w:footnote>
  <w:footnote w:id="2">
    <w:p w14:paraId="49BD4C5C" w14:textId="15BB8165" w:rsidR="0092741D" w:rsidRDefault="0092741D" w:rsidP="0092741D">
      <w:pPr>
        <w:pStyle w:val="Textonotapie"/>
        <w:jc w:val="both"/>
      </w:pPr>
      <w:r>
        <w:rPr>
          <w:rStyle w:val="Refdenotaalpie"/>
        </w:rPr>
        <w:footnoteRef/>
      </w:r>
      <w:r>
        <w:t xml:space="preserve"> </w:t>
      </w:r>
      <w:r w:rsidRPr="0092741D">
        <w:rPr>
          <w:sz w:val="18"/>
          <w:szCs w:val="18"/>
          <w:lang w:val="es-CO"/>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3B80E031" w14:textId="584D6BC3" w:rsidR="0092741D" w:rsidRDefault="0092741D" w:rsidP="0092741D">
      <w:pPr>
        <w:pStyle w:val="Textonotapie"/>
        <w:jc w:val="both"/>
      </w:pPr>
      <w:r>
        <w:rPr>
          <w:rStyle w:val="Refdenotaalpie"/>
        </w:rPr>
        <w:footnoteRef/>
      </w:r>
      <w:r>
        <w:t xml:space="preserve"> </w:t>
      </w:r>
      <w:r w:rsidRPr="0092741D">
        <w:rPr>
          <w:lang w:val="es-CO"/>
        </w:rPr>
        <w:t>Ley 1882 de 2018: “Artículo 4.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w:t>
      </w:r>
    </w:p>
  </w:footnote>
  <w:footnote w:id="4">
    <w:p w14:paraId="50FE698D" w14:textId="5C734CFC" w:rsidR="0092741D" w:rsidRDefault="0092741D" w:rsidP="0092741D">
      <w:pPr>
        <w:pStyle w:val="Textonotapie"/>
        <w:jc w:val="both"/>
      </w:pPr>
      <w:r>
        <w:rPr>
          <w:rStyle w:val="Refdenotaalpie"/>
        </w:rPr>
        <w:footnoteRef/>
      </w:r>
      <w:r>
        <w:t xml:space="preserve"> </w:t>
      </w:r>
      <w:r w:rsidRPr="0092741D">
        <w:rPr>
          <w:lang w:val="es-CO"/>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330D255E" w14:textId="56BD2344" w:rsidR="00A65558" w:rsidRDefault="00A65558" w:rsidP="00A65558">
      <w:pPr>
        <w:pStyle w:val="Textonotapie"/>
        <w:jc w:val="both"/>
      </w:pPr>
      <w:r>
        <w:rPr>
          <w:rStyle w:val="Refdenotaalpie"/>
        </w:rPr>
        <w:footnoteRef/>
      </w:r>
      <w:r>
        <w:t xml:space="preserve"> </w:t>
      </w:r>
      <w:r w:rsidRPr="00A65558">
        <w:rPr>
          <w:lang w:val="es-CO"/>
        </w:rPr>
        <w:t>Sin perjuicio de la extensión del ámbito de aplicación de acuerdo con el artículo 56 de la Ley 2195 de 2022, la norma dispone lo siguiente: “ARTÍCULO 1o. Modifíquese el artículo 4o de la Ley 1882 de 2018, el cual quedará así: Artículo 4o. Adiciónese el siguiente parágrafo al artículo 2o de la Ley 1150 de 2007. 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68E0C024" w14:textId="1397968E" w:rsidR="00B30448" w:rsidRPr="00006F59" w:rsidRDefault="00006F59" w:rsidP="00526081">
    <w:pPr>
      <w:tabs>
        <w:tab w:val="left" w:pos="6217"/>
      </w:tabs>
      <w:spacing w:after="0"/>
    </w:pPr>
    <w:r w:rsidRPr="00A211EE">
      <w:rPr>
        <w:rFonts w:ascii="Verdana" w:hAnsi="Verdana"/>
        <w:b/>
        <w:bCs/>
        <w:sz w:val="24"/>
        <w:szCs w:val="24"/>
      </w:rPr>
      <w:t>FORMATO PQRSD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494" w:hanging="360"/>
      </w:pPr>
      <w:rPr>
        <w:b/>
        <w:color w:val="000000" w:themeColor="text1"/>
      </w:rPr>
    </w:lvl>
    <w:lvl w:ilvl="1">
      <w:start w:val="2"/>
      <w:numFmt w:val="decimal"/>
      <w:isLgl/>
      <w:lvlText w:val="%1.%2"/>
      <w:lvlJc w:val="left"/>
      <w:pPr>
        <w:ind w:left="113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 w15:restartNumberingAfterBreak="0">
    <w:nsid w:val="1E8C274E"/>
    <w:multiLevelType w:val="hybridMultilevel"/>
    <w:tmpl w:val="95DA53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7341EAA"/>
    <w:multiLevelType w:val="hybridMultilevel"/>
    <w:tmpl w:val="3EB4D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6" w:hanging="360"/>
      </w:pPr>
      <w:rPr>
        <w:rFonts w:ascii="Symbol" w:hAnsi="Symbol" w:hint="default"/>
      </w:rPr>
    </w:lvl>
    <w:lvl w:ilvl="1" w:tplc="040A0003" w:tentative="1">
      <w:start w:val="1"/>
      <w:numFmt w:val="bullet"/>
      <w:lvlText w:val="o"/>
      <w:lvlJc w:val="left"/>
      <w:pPr>
        <w:ind w:left="726" w:hanging="360"/>
      </w:pPr>
      <w:rPr>
        <w:rFonts w:ascii="Courier New" w:hAnsi="Courier New" w:cs="Courier New" w:hint="default"/>
      </w:rPr>
    </w:lvl>
    <w:lvl w:ilvl="2" w:tplc="040A0005" w:tentative="1">
      <w:start w:val="1"/>
      <w:numFmt w:val="bullet"/>
      <w:lvlText w:val=""/>
      <w:lvlJc w:val="left"/>
      <w:pPr>
        <w:ind w:left="1446" w:hanging="360"/>
      </w:pPr>
      <w:rPr>
        <w:rFonts w:ascii="Wingdings" w:hAnsi="Wingdings" w:hint="default"/>
      </w:rPr>
    </w:lvl>
    <w:lvl w:ilvl="3" w:tplc="040A0001" w:tentative="1">
      <w:start w:val="1"/>
      <w:numFmt w:val="bullet"/>
      <w:lvlText w:val=""/>
      <w:lvlJc w:val="left"/>
      <w:pPr>
        <w:ind w:left="2166" w:hanging="360"/>
      </w:pPr>
      <w:rPr>
        <w:rFonts w:ascii="Symbol" w:hAnsi="Symbol" w:hint="default"/>
      </w:rPr>
    </w:lvl>
    <w:lvl w:ilvl="4" w:tplc="040A0003" w:tentative="1">
      <w:start w:val="1"/>
      <w:numFmt w:val="bullet"/>
      <w:lvlText w:val="o"/>
      <w:lvlJc w:val="left"/>
      <w:pPr>
        <w:ind w:left="2886" w:hanging="360"/>
      </w:pPr>
      <w:rPr>
        <w:rFonts w:ascii="Courier New" w:hAnsi="Courier New" w:cs="Courier New" w:hint="default"/>
      </w:rPr>
    </w:lvl>
    <w:lvl w:ilvl="5" w:tplc="040A0005" w:tentative="1">
      <w:start w:val="1"/>
      <w:numFmt w:val="bullet"/>
      <w:lvlText w:val=""/>
      <w:lvlJc w:val="left"/>
      <w:pPr>
        <w:ind w:left="3606" w:hanging="360"/>
      </w:pPr>
      <w:rPr>
        <w:rFonts w:ascii="Wingdings" w:hAnsi="Wingdings" w:hint="default"/>
      </w:rPr>
    </w:lvl>
    <w:lvl w:ilvl="6" w:tplc="040A0001" w:tentative="1">
      <w:start w:val="1"/>
      <w:numFmt w:val="bullet"/>
      <w:lvlText w:val=""/>
      <w:lvlJc w:val="left"/>
      <w:pPr>
        <w:ind w:left="4326" w:hanging="360"/>
      </w:pPr>
      <w:rPr>
        <w:rFonts w:ascii="Symbol" w:hAnsi="Symbol" w:hint="default"/>
      </w:rPr>
    </w:lvl>
    <w:lvl w:ilvl="7" w:tplc="040A0003" w:tentative="1">
      <w:start w:val="1"/>
      <w:numFmt w:val="bullet"/>
      <w:lvlText w:val="o"/>
      <w:lvlJc w:val="left"/>
      <w:pPr>
        <w:ind w:left="5046" w:hanging="360"/>
      </w:pPr>
      <w:rPr>
        <w:rFonts w:ascii="Courier New" w:hAnsi="Courier New" w:cs="Courier New" w:hint="default"/>
      </w:rPr>
    </w:lvl>
    <w:lvl w:ilvl="8" w:tplc="040A0005" w:tentative="1">
      <w:start w:val="1"/>
      <w:numFmt w:val="bullet"/>
      <w:lvlText w:val=""/>
      <w:lvlJc w:val="left"/>
      <w:pPr>
        <w:ind w:left="5766" w:hanging="360"/>
      </w:pPr>
      <w:rPr>
        <w:rFonts w:ascii="Wingdings" w:hAnsi="Wingdings" w:hint="default"/>
      </w:rPr>
    </w:lvl>
  </w:abstractNum>
  <w:abstractNum w:abstractNumId="5" w15:restartNumberingAfterBreak="0">
    <w:nsid w:val="7D585FD4"/>
    <w:multiLevelType w:val="hybridMultilevel"/>
    <w:tmpl w:val="09BE1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492209491">
    <w:abstractNumId w:val="3"/>
  </w:num>
  <w:num w:numId="3" w16cid:durableId="679089576">
    <w:abstractNumId w:val="4"/>
  </w:num>
  <w:num w:numId="4" w16cid:durableId="1270817427">
    <w:abstractNumId w:val="2"/>
  </w:num>
  <w:num w:numId="5" w16cid:durableId="1206329769">
    <w:abstractNumId w:val="5"/>
  </w:num>
  <w:num w:numId="6" w16cid:durableId="77636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5BB0"/>
    <w:rsid w:val="00006F59"/>
    <w:rsid w:val="0001025F"/>
    <w:rsid w:val="0001222D"/>
    <w:rsid w:val="00013D73"/>
    <w:rsid w:val="00016F04"/>
    <w:rsid w:val="0002155A"/>
    <w:rsid w:val="000222D1"/>
    <w:rsid w:val="000270E6"/>
    <w:rsid w:val="00027F0B"/>
    <w:rsid w:val="00031EAF"/>
    <w:rsid w:val="00033390"/>
    <w:rsid w:val="000442CC"/>
    <w:rsid w:val="00055312"/>
    <w:rsid w:val="00057963"/>
    <w:rsid w:val="000609DE"/>
    <w:rsid w:val="000716AB"/>
    <w:rsid w:val="00071AB8"/>
    <w:rsid w:val="00087073"/>
    <w:rsid w:val="00087C01"/>
    <w:rsid w:val="00094663"/>
    <w:rsid w:val="000A1843"/>
    <w:rsid w:val="000B1FF7"/>
    <w:rsid w:val="000B4024"/>
    <w:rsid w:val="000C060A"/>
    <w:rsid w:val="000D6816"/>
    <w:rsid w:val="000E7C5E"/>
    <w:rsid w:val="000F1AD8"/>
    <w:rsid w:val="000F414C"/>
    <w:rsid w:val="000F5C0E"/>
    <w:rsid w:val="001010D3"/>
    <w:rsid w:val="0011037E"/>
    <w:rsid w:val="0012211C"/>
    <w:rsid w:val="00123979"/>
    <w:rsid w:val="0013343F"/>
    <w:rsid w:val="001363C7"/>
    <w:rsid w:val="00161E13"/>
    <w:rsid w:val="00164AE0"/>
    <w:rsid w:val="0017120C"/>
    <w:rsid w:val="00172DDC"/>
    <w:rsid w:val="00172F3A"/>
    <w:rsid w:val="001918F1"/>
    <w:rsid w:val="00197205"/>
    <w:rsid w:val="001B143B"/>
    <w:rsid w:val="001B21CA"/>
    <w:rsid w:val="001B3010"/>
    <w:rsid w:val="001B7ABB"/>
    <w:rsid w:val="001C0DAE"/>
    <w:rsid w:val="001C218A"/>
    <w:rsid w:val="001D1AB9"/>
    <w:rsid w:val="001D62B5"/>
    <w:rsid w:val="001E2436"/>
    <w:rsid w:val="002000AA"/>
    <w:rsid w:val="0020150A"/>
    <w:rsid w:val="00204109"/>
    <w:rsid w:val="00213670"/>
    <w:rsid w:val="00215516"/>
    <w:rsid w:val="002267D2"/>
    <w:rsid w:val="0022697D"/>
    <w:rsid w:val="00247BDE"/>
    <w:rsid w:val="00264C7C"/>
    <w:rsid w:val="00266820"/>
    <w:rsid w:val="00270443"/>
    <w:rsid w:val="00270EE2"/>
    <w:rsid w:val="00272A7B"/>
    <w:rsid w:val="00275C6A"/>
    <w:rsid w:val="0028428D"/>
    <w:rsid w:val="0028709F"/>
    <w:rsid w:val="00295D18"/>
    <w:rsid w:val="00297352"/>
    <w:rsid w:val="00297785"/>
    <w:rsid w:val="002A0F8D"/>
    <w:rsid w:val="002A2F4A"/>
    <w:rsid w:val="002A50FE"/>
    <w:rsid w:val="002B6E44"/>
    <w:rsid w:val="002B6FC2"/>
    <w:rsid w:val="002C4EFD"/>
    <w:rsid w:val="002C5914"/>
    <w:rsid w:val="002E44AB"/>
    <w:rsid w:val="002E7898"/>
    <w:rsid w:val="002F317F"/>
    <w:rsid w:val="002F3A64"/>
    <w:rsid w:val="00306EC1"/>
    <w:rsid w:val="003078CA"/>
    <w:rsid w:val="00314FAF"/>
    <w:rsid w:val="00315C21"/>
    <w:rsid w:val="00334B56"/>
    <w:rsid w:val="00340039"/>
    <w:rsid w:val="00340DFB"/>
    <w:rsid w:val="00343B47"/>
    <w:rsid w:val="0034404F"/>
    <w:rsid w:val="00345F01"/>
    <w:rsid w:val="00354A2D"/>
    <w:rsid w:val="0035635F"/>
    <w:rsid w:val="003617AE"/>
    <w:rsid w:val="003651AC"/>
    <w:rsid w:val="00366120"/>
    <w:rsid w:val="00367462"/>
    <w:rsid w:val="003705D6"/>
    <w:rsid w:val="003751C7"/>
    <w:rsid w:val="00376116"/>
    <w:rsid w:val="003831F1"/>
    <w:rsid w:val="0039082A"/>
    <w:rsid w:val="003A1A7A"/>
    <w:rsid w:val="003B0518"/>
    <w:rsid w:val="003B6569"/>
    <w:rsid w:val="003C4C96"/>
    <w:rsid w:val="003C55E0"/>
    <w:rsid w:val="003D0079"/>
    <w:rsid w:val="003D7A00"/>
    <w:rsid w:val="003E0E25"/>
    <w:rsid w:val="003E2621"/>
    <w:rsid w:val="003E6944"/>
    <w:rsid w:val="003F04B1"/>
    <w:rsid w:val="00400EBA"/>
    <w:rsid w:val="00403634"/>
    <w:rsid w:val="00404592"/>
    <w:rsid w:val="0040544F"/>
    <w:rsid w:val="00411B17"/>
    <w:rsid w:val="0041222D"/>
    <w:rsid w:val="004179EE"/>
    <w:rsid w:val="00421608"/>
    <w:rsid w:val="0043414C"/>
    <w:rsid w:val="00443DCA"/>
    <w:rsid w:val="00444A53"/>
    <w:rsid w:val="00445991"/>
    <w:rsid w:val="00450BE7"/>
    <w:rsid w:val="00455B00"/>
    <w:rsid w:val="0046042E"/>
    <w:rsid w:val="00466939"/>
    <w:rsid w:val="00471FE8"/>
    <w:rsid w:val="0048026E"/>
    <w:rsid w:val="004807A9"/>
    <w:rsid w:val="004813EE"/>
    <w:rsid w:val="004856AD"/>
    <w:rsid w:val="0049175F"/>
    <w:rsid w:val="00493278"/>
    <w:rsid w:val="004932E8"/>
    <w:rsid w:val="004B2F64"/>
    <w:rsid w:val="004C1619"/>
    <w:rsid w:val="004D11AF"/>
    <w:rsid w:val="004E0876"/>
    <w:rsid w:val="004E2FF7"/>
    <w:rsid w:val="004F0D19"/>
    <w:rsid w:val="004F314D"/>
    <w:rsid w:val="004F62E8"/>
    <w:rsid w:val="004F78F8"/>
    <w:rsid w:val="005019AA"/>
    <w:rsid w:val="005119EA"/>
    <w:rsid w:val="00512E2E"/>
    <w:rsid w:val="005147DA"/>
    <w:rsid w:val="00515745"/>
    <w:rsid w:val="00516942"/>
    <w:rsid w:val="005233F3"/>
    <w:rsid w:val="0052365C"/>
    <w:rsid w:val="00526081"/>
    <w:rsid w:val="00536496"/>
    <w:rsid w:val="00540C3F"/>
    <w:rsid w:val="005426DB"/>
    <w:rsid w:val="00550113"/>
    <w:rsid w:val="0055082B"/>
    <w:rsid w:val="00552B57"/>
    <w:rsid w:val="005752DD"/>
    <w:rsid w:val="00582542"/>
    <w:rsid w:val="005872DD"/>
    <w:rsid w:val="00591C75"/>
    <w:rsid w:val="00592D10"/>
    <w:rsid w:val="00593A5F"/>
    <w:rsid w:val="00595775"/>
    <w:rsid w:val="005A4DB0"/>
    <w:rsid w:val="005A5281"/>
    <w:rsid w:val="005A7B8E"/>
    <w:rsid w:val="005B012B"/>
    <w:rsid w:val="005B0C87"/>
    <w:rsid w:val="005B26AE"/>
    <w:rsid w:val="005C3E9E"/>
    <w:rsid w:val="005C4031"/>
    <w:rsid w:val="005D5A5A"/>
    <w:rsid w:val="005D72FC"/>
    <w:rsid w:val="005E2281"/>
    <w:rsid w:val="005E667C"/>
    <w:rsid w:val="005E6A1D"/>
    <w:rsid w:val="005F077C"/>
    <w:rsid w:val="0061744F"/>
    <w:rsid w:val="0062164B"/>
    <w:rsid w:val="006300CD"/>
    <w:rsid w:val="0063017E"/>
    <w:rsid w:val="00631D4F"/>
    <w:rsid w:val="006323E8"/>
    <w:rsid w:val="00632D38"/>
    <w:rsid w:val="006351FD"/>
    <w:rsid w:val="006371FB"/>
    <w:rsid w:val="006413D8"/>
    <w:rsid w:val="00646629"/>
    <w:rsid w:val="0066351C"/>
    <w:rsid w:val="006651CC"/>
    <w:rsid w:val="00677012"/>
    <w:rsid w:val="006825B4"/>
    <w:rsid w:val="006829BA"/>
    <w:rsid w:val="00682AF2"/>
    <w:rsid w:val="00682B9F"/>
    <w:rsid w:val="00687628"/>
    <w:rsid w:val="006958F3"/>
    <w:rsid w:val="006A3C8A"/>
    <w:rsid w:val="006A3E61"/>
    <w:rsid w:val="006C262B"/>
    <w:rsid w:val="006D3C1D"/>
    <w:rsid w:val="006E0DCF"/>
    <w:rsid w:val="006F0CDD"/>
    <w:rsid w:val="006F3B81"/>
    <w:rsid w:val="006F4F79"/>
    <w:rsid w:val="00702BC3"/>
    <w:rsid w:val="007036FE"/>
    <w:rsid w:val="00705A50"/>
    <w:rsid w:val="00705B37"/>
    <w:rsid w:val="00707C1A"/>
    <w:rsid w:val="0071023D"/>
    <w:rsid w:val="00717762"/>
    <w:rsid w:val="0072313A"/>
    <w:rsid w:val="00737434"/>
    <w:rsid w:val="00742606"/>
    <w:rsid w:val="00744971"/>
    <w:rsid w:val="00747569"/>
    <w:rsid w:val="007562EE"/>
    <w:rsid w:val="00760218"/>
    <w:rsid w:val="00761547"/>
    <w:rsid w:val="00761F4F"/>
    <w:rsid w:val="007628B0"/>
    <w:rsid w:val="00762B8B"/>
    <w:rsid w:val="007630C1"/>
    <w:rsid w:val="00773B59"/>
    <w:rsid w:val="00782E10"/>
    <w:rsid w:val="007900EF"/>
    <w:rsid w:val="007943C1"/>
    <w:rsid w:val="00797131"/>
    <w:rsid w:val="007A0D55"/>
    <w:rsid w:val="007A6510"/>
    <w:rsid w:val="007B51C4"/>
    <w:rsid w:val="007C3183"/>
    <w:rsid w:val="007C6BC6"/>
    <w:rsid w:val="007E2419"/>
    <w:rsid w:val="007E66E2"/>
    <w:rsid w:val="007F038C"/>
    <w:rsid w:val="007F1FFD"/>
    <w:rsid w:val="007F222B"/>
    <w:rsid w:val="007F2C14"/>
    <w:rsid w:val="00801A0E"/>
    <w:rsid w:val="00803659"/>
    <w:rsid w:val="0080662C"/>
    <w:rsid w:val="00807D79"/>
    <w:rsid w:val="0083460C"/>
    <w:rsid w:val="00846212"/>
    <w:rsid w:val="008468E0"/>
    <w:rsid w:val="00850934"/>
    <w:rsid w:val="00852ADD"/>
    <w:rsid w:val="00861C6C"/>
    <w:rsid w:val="00870323"/>
    <w:rsid w:val="00877D03"/>
    <w:rsid w:val="00877E96"/>
    <w:rsid w:val="00887B37"/>
    <w:rsid w:val="00890598"/>
    <w:rsid w:val="00891DFC"/>
    <w:rsid w:val="008932B5"/>
    <w:rsid w:val="00895426"/>
    <w:rsid w:val="00895F3C"/>
    <w:rsid w:val="00897CF0"/>
    <w:rsid w:val="008A29F2"/>
    <w:rsid w:val="008A6317"/>
    <w:rsid w:val="008A7525"/>
    <w:rsid w:val="008B7914"/>
    <w:rsid w:val="008C5D2A"/>
    <w:rsid w:val="008C7AF4"/>
    <w:rsid w:val="008D1079"/>
    <w:rsid w:val="008D375F"/>
    <w:rsid w:val="008F65C3"/>
    <w:rsid w:val="009050B7"/>
    <w:rsid w:val="009061B8"/>
    <w:rsid w:val="0091639C"/>
    <w:rsid w:val="00922519"/>
    <w:rsid w:val="009262E4"/>
    <w:rsid w:val="0092741D"/>
    <w:rsid w:val="009311AA"/>
    <w:rsid w:val="00932E7E"/>
    <w:rsid w:val="009442E8"/>
    <w:rsid w:val="00952524"/>
    <w:rsid w:val="0095426C"/>
    <w:rsid w:val="00965865"/>
    <w:rsid w:val="00967730"/>
    <w:rsid w:val="00971074"/>
    <w:rsid w:val="00974BCB"/>
    <w:rsid w:val="009856EC"/>
    <w:rsid w:val="00985B04"/>
    <w:rsid w:val="00986107"/>
    <w:rsid w:val="00992986"/>
    <w:rsid w:val="00995D86"/>
    <w:rsid w:val="009A1E58"/>
    <w:rsid w:val="009A5453"/>
    <w:rsid w:val="009A7883"/>
    <w:rsid w:val="009C0ECC"/>
    <w:rsid w:val="009C2A12"/>
    <w:rsid w:val="009C4E0D"/>
    <w:rsid w:val="009C4FDC"/>
    <w:rsid w:val="009C54C0"/>
    <w:rsid w:val="009D3E06"/>
    <w:rsid w:val="009D44F9"/>
    <w:rsid w:val="009D638D"/>
    <w:rsid w:val="009E4885"/>
    <w:rsid w:val="009E547D"/>
    <w:rsid w:val="009F0A85"/>
    <w:rsid w:val="009F7528"/>
    <w:rsid w:val="009F7F43"/>
    <w:rsid w:val="00A01EBE"/>
    <w:rsid w:val="00A05623"/>
    <w:rsid w:val="00A07DB6"/>
    <w:rsid w:val="00A1554D"/>
    <w:rsid w:val="00A172E0"/>
    <w:rsid w:val="00A221A3"/>
    <w:rsid w:val="00A223D5"/>
    <w:rsid w:val="00A35E7B"/>
    <w:rsid w:val="00A37D1C"/>
    <w:rsid w:val="00A47249"/>
    <w:rsid w:val="00A513FD"/>
    <w:rsid w:val="00A539AD"/>
    <w:rsid w:val="00A65558"/>
    <w:rsid w:val="00A6730D"/>
    <w:rsid w:val="00A75EDC"/>
    <w:rsid w:val="00A81287"/>
    <w:rsid w:val="00A81E50"/>
    <w:rsid w:val="00A8210A"/>
    <w:rsid w:val="00A83E49"/>
    <w:rsid w:val="00A84221"/>
    <w:rsid w:val="00A84B7A"/>
    <w:rsid w:val="00A9099E"/>
    <w:rsid w:val="00A91FB7"/>
    <w:rsid w:val="00A9298F"/>
    <w:rsid w:val="00AB1984"/>
    <w:rsid w:val="00AC4CB3"/>
    <w:rsid w:val="00AC7261"/>
    <w:rsid w:val="00AC742F"/>
    <w:rsid w:val="00AC774F"/>
    <w:rsid w:val="00AC780D"/>
    <w:rsid w:val="00AD4B3A"/>
    <w:rsid w:val="00AF3D62"/>
    <w:rsid w:val="00B0104B"/>
    <w:rsid w:val="00B03A35"/>
    <w:rsid w:val="00B057B6"/>
    <w:rsid w:val="00B10C3C"/>
    <w:rsid w:val="00B20773"/>
    <w:rsid w:val="00B22870"/>
    <w:rsid w:val="00B268D0"/>
    <w:rsid w:val="00B30448"/>
    <w:rsid w:val="00B31315"/>
    <w:rsid w:val="00B40162"/>
    <w:rsid w:val="00B41ACE"/>
    <w:rsid w:val="00B43212"/>
    <w:rsid w:val="00B4523F"/>
    <w:rsid w:val="00B50156"/>
    <w:rsid w:val="00B518AD"/>
    <w:rsid w:val="00B60A96"/>
    <w:rsid w:val="00B60EB6"/>
    <w:rsid w:val="00B701A1"/>
    <w:rsid w:val="00B72343"/>
    <w:rsid w:val="00B76C94"/>
    <w:rsid w:val="00B772D0"/>
    <w:rsid w:val="00B83117"/>
    <w:rsid w:val="00B84116"/>
    <w:rsid w:val="00B85BAF"/>
    <w:rsid w:val="00B91B81"/>
    <w:rsid w:val="00B96799"/>
    <w:rsid w:val="00B96A82"/>
    <w:rsid w:val="00BC2122"/>
    <w:rsid w:val="00BC7632"/>
    <w:rsid w:val="00BD48A9"/>
    <w:rsid w:val="00BD7EC6"/>
    <w:rsid w:val="00BE2147"/>
    <w:rsid w:val="00BE73FA"/>
    <w:rsid w:val="00BF0353"/>
    <w:rsid w:val="00BF4A94"/>
    <w:rsid w:val="00C00976"/>
    <w:rsid w:val="00C02303"/>
    <w:rsid w:val="00C14017"/>
    <w:rsid w:val="00C22307"/>
    <w:rsid w:val="00C2515F"/>
    <w:rsid w:val="00C267D2"/>
    <w:rsid w:val="00C26AEA"/>
    <w:rsid w:val="00C26B64"/>
    <w:rsid w:val="00C371DF"/>
    <w:rsid w:val="00C37FF9"/>
    <w:rsid w:val="00C41B4A"/>
    <w:rsid w:val="00C44B4C"/>
    <w:rsid w:val="00C46734"/>
    <w:rsid w:val="00C5105D"/>
    <w:rsid w:val="00C53220"/>
    <w:rsid w:val="00C621A7"/>
    <w:rsid w:val="00C7277F"/>
    <w:rsid w:val="00CA3347"/>
    <w:rsid w:val="00CA51EB"/>
    <w:rsid w:val="00CC299A"/>
    <w:rsid w:val="00CD2E70"/>
    <w:rsid w:val="00CD326F"/>
    <w:rsid w:val="00CD4A09"/>
    <w:rsid w:val="00CD5E93"/>
    <w:rsid w:val="00CE37A3"/>
    <w:rsid w:val="00CF2EE2"/>
    <w:rsid w:val="00D03DBE"/>
    <w:rsid w:val="00D11A68"/>
    <w:rsid w:val="00D11A69"/>
    <w:rsid w:val="00D14046"/>
    <w:rsid w:val="00D2242C"/>
    <w:rsid w:val="00D327A3"/>
    <w:rsid w:val="00D34C82"/>
    <w:rsid w:val="00D36BFA"/>
    <w:rsid w:val="00D379EC"/>
    <w:rsid w:val="00D424F6"/>
    <w:rsid w:val="00D512A1"/>
    <w:rsid w:val="00D538D5"/>
    <w:rsid w:val="00D56420"/>
    <w:rsid w:val="00D5730F"/>
    <w:rsid w:val="00D5798B"/>
    <w:rsid w:val="00D671D8"/>
    <w:rsid w:val="00D732A6"/>
    <w:rsid w:val="00D769C5"/>
    <w:rsid w:val="00D81A20"/>
    <w:rsid w:val="00D81AFD"/>
    <w:rsid w:val="00D8321A"/>
    <w:rsid w:val="00D86972"/>
    <w:rsid w:val="00D86D55"/>
    <w:rsid w:val="00D94B94"/>
    <w:rsid w:val="00DB0646"/>
    <w:rsid w:val="00DC2C48"/>
    <w:rsid w:val="00DC3472"/>
    <w:rsid w:val="00DC525E"/>
    <w:rsid w:val="00DC535C"/>
    <w:rsid w:val="00DD4C6F"/>
    <w:rsid w:val="00DD7A2C"/>
    <w:rsid w:val="00DE5117"/>
    <w:rsid w:val="00DF234A"/>
    <w:rsid w:val="00DF310B"/>
    <w:rsid w:val="00DF33C7"/>
    <w:rsid w:val="00E00CDD"/>
    <w:rsid w:val="00E076BE"/>
    <w:rsid w:val="00E07E37"/>
    <w:rsid w:val="00E13456"/>
    <w:rsid w:val="00E1610C"/>
    <w:rsid w:val="00E16D73"/>
    <w:rsid w:val="00E21503"/>
    <w:rsid w:val="00E27F0A"/>
    <w:rsid w:val="00E37DC0"/>
    <w:rsid w:val="00E40CED"/>
    <w:rsid w:val="00E4231E"/>
    <w:rsid w:val="00E44AC7"/>
    <w:rsid w:val="00E5084C"/>
    <w:rsid w:val="00E53F2E"/>
    <w:rsid w:val="00E60A16"/>
    <w:rsid w:val="00E81611"/>
    <w:rsid w:val="00E82B6E"/>
    <w:rsid w:val="00E83535"/>
    <w:rsid w:val="00E835C5"/>
    <w:rsid w:val="00E84D1C"/>
    <w:rsid w:val="00E942B8"/>
    <w:rsid w:val="00E9683D"/>
    <w:rsid w:val="00EA2775"/>
    <w:rsid w:val="00EA7D7F"/>
    <w:rsid w:val="00EB2FA2"/>
    <w:rsid w:val="00EB49CD"/>
    <w:rsid w:val="00EB769A"/>
    <w:rsid w:val="00EC3A35"/>
    <w:rsid w:val="00ED353D"/>
    <w:rsid w:val="00ED4049"/>
    <w:rsid w:val="00EE17F2"/>
    <w:rsid w:val="00EE188A"/>
    <w:rsid w:val="00EE270E"/>
    <w:rsid w:val="00EE6755"/>
    <w:rsid w:val="00EF2AC7"/>
    <w:rsid w:val="00EF4CCD"/>
    <w:rsid w:val="00F032B2"/>
    <w:rsid w:val="00F16297"/>
    <w:rsid w:val="00F17428"/>
    <w:rsid w:val="00F314E8"/>
    <w:rsid w:val="00F31D4C"/>
    <w:rsid w:val="00F323A2"/>
    <w:rsid w:val="00F33B57"/>
    <w:rsid w:val="00F33D5C"/>
    <w:rsid w:val="00F34C1F"/>
    <w:rsid w:val="00F356D6"/>
    <w:rsid w:val="00F37D37"/>
    <w:rsid w:val="00F60A13"/>
    <w:rsid w:val="00F60ACE"/>
    <w:rsid w:val="00F64D5A"/>
    <w:rsid w:val="00F72FB0"/>
    <w:rsid w:val="00F737A4"/>
    <w:rsid w:val="00F906F4"/>
    <w:rsid w:val="00F91800"/>
    <w:rsid w:val="00F9208E"/>
    <w:rsid w:val="00F93B19"/>
    <w:rsid w:val="00F95CCE"/>
    <w:rsid w:val="00FA54FF"/>
    <w:rsid w:val="00FA70F5"/>
    <w:rsid w:val="00FB4629"/>
    <w:rsid w:val="00FB6A07"/>
    <w:rsid w:val="00FB6FB1"/>
    <w:rsid w:val="00FC6D4E"/>
    <w:rsid w:val="00FD3128"/>
    <w:rsid w:val="00FD5BF0"/>
    <w:rsid w:val="00FE0EEA"/>
    <w:rsid w:val="00FE2121"/>
    <w:rsid w:val="00FF1712"/>
    <w:rsid w:val="00FF6D3D"/>
    <w:rsid w:val="024D7E2C"/>
    <w:rsid w:val="06FC0B7E"/>
    <w:rsid w:val="085B8FE9"/>
    <w:rsid w:val="0960860C"/>
    <w:rsid w:val="0D2EB883"/>
    <w:rsid w:val="0D8163B6"/>
    <w:rsid w:val="1BB32F19"/>
    <w:rsid w:val="1DA9970D"/>
    <w:rsid w:val="1F2C3AF5"/>
    <w:rsid w:val="1FF4886A"/>
    <w:rsid w:val="22D2584A"/>
    <w:rsid w:val="237B509B"/>
    <w:rsid w:val="28751A95"/>
    <w:rsid w:val="29FA8189"/>
    <w:rsid w:val="2AFD53FE"/>
    <w:rsid w:val="2C00A012"/>
    <w:rsid w:val="389994B3"/>
    <w:rsid w:val="3B30A011"/>
    <w:rsid w:val="3B93C128"/>
    <w:rsid w:val="3CFBE104"/>
    <w:rsid w:val="467F9A7B"/>
    <w:rsid w:val="507CBACA"/>
    <w:rsid w:val="510454D8"/>
    <w:rsid w:val="5395A1E2"/>
    <w:rsid w:val="540FAB91"/>
    <w:rsid w:val="5D8505AD"/>
    <w:rsid w:val="5EBB4F9B"/>
    <w:rsid w:val="697B0912"/>
    <w:rsid w:val="6EB2BC51"/>
    <w:rsid w:val="6F81B597"/>
    <w:rsid w:val="71443FBB"/>
    <w:rsid w:val="743E91C4"/>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FF5B0223-01D5-45A2-B0D4-608622B8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8"/>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Textoindependiente">
    <w:name w:val="Body Text"/>
    <w:basedOn w:val="Normal"/>
    <w:link w:val="TextoindependienteCar"/>
    <w:rsid w:val="003831F1"/>
    <w:pPr>
      <w:spacing w:after="120"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rsid w:val="003831F1"/>
    <w:rPr>
      <w:rFonts w:ascii="Times New Roman" w:eastAsia="Times New Roman" w:hAnsi="Times New Roman" w:cs="Times New Roman"/>
      <w:sz w:val="24"/>
      <w:szCs w:val="24"/>
      <w:lang w:eastAsia="es-CO"/>
    </w:rPr>
  </w:style>
  <w:style w:type="character" w:customStyle="1" w:styleId="baj">
    <w:name w:val="b_aj"/>
    <w:basedOn w:val="Fuentedeprrafopredeter"/>
    <w:rsid w:val="003831F1"/>
  </w:style>
  <w:style w:type="paragraph" w:styleId="NormalWeb">
    <w:name w:val="Normal (Web)"/>
    <w:basedOn w:val="Normal"/>
    <w:link w:val="NormalWebCar"/>
    <w:uiPriority w:val="99"/>
    <w:unhideWhenUsed/>
    <w:rsid w:val="003831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831F1"/>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701A1"/>
    <w:rPr>
      <w:b/>
      <w:bCs/>
    </w:rPr>
  </w:style>
  <w:style w:type="paragraph" w:styleId="Textonotaalfinal">
    <w:name w:val="endnote text"/>
    <w:basedOn w:val="Normal"/>
    <w:link w:val="TextonotaalfinalCar"/>
    <w:uiPriority w:val="99"/>
    <w:semiHidden/>
    <w:unhideWhenUsed/>
    <w:rsid w:val="009274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2741D"/>
    <w:rPr>
      <w:sz w:val="20"/>
      <w:szCs w:val="20"/>
    </w:rPr>
  </w:style>
  <w:style w:type="character" w:styleId="Refdenotaalfinal">
    <w:name w:val="endnote reference"/>
    <w:basedOn w:val="Fuentedeprrafopredeter"/>
    <w:uiPriority w:val="99"/>
    <w:semiHidden/>
    <w:unhideWhenUsed/>
    <w:rsid w:val="0092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45685115">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documentos-tipo/documentos-tip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illarreal@procuraduri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2990</Words>
  <Characters>16445</Characters>
  <Application>Microsoft Office Word</Application>
  <DocSecurity>0</DocSecurity>
  <Lines>137</Lines>
  <Paragraphs>38</Paragraphs>
  <ScaleCrop>false</ScaleCrop>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7</cp:revision>
  <dcterms:created xsi:type="dcterms:W3CDTF">2024-08-01T11:22:00Z</dcterms:created>
  <dcterms:modified xsi:type="dcterms:W3CDTF">2024-08-09T14:00:00Z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