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FF4CD" w14:textId="77777777" w:rsidR="00F379E2" w:rsidRPr="00F379E2" w:rsidRDefault="00F379E2" w:rsidP="00F379E2">
      <w:pPr>
        <w:spacing w:after="0" w:line="240" w:lineRule="auto"/>
        <w:jc w:val="both"/>
        <w:rPr>
          <w:rFonts w:ascii="Verdana" w:eastAsia="Geomanist Light" w:hAnsi="Verdana" w:cs="Arial"/>
          <w:b/>
          <w:lang w:val="es-ES_tradnl"/>
        </w:rPr>
      </w:pPr>
      <w:r w:rsidRPr="00F379E2">
        <w:rPr>
          <w:rFonts w:ascii="Verdana" w:eastAsia="Geomanist Light" w:hAnsi="Verdana" w:cs="Arial"/>
          <w:b/>
          <w:lang w:val="es-ES_tradnl"/>
        </w:rPr>
        <w:t xml:space="preserve">SEGURIDAD SOCIAL – Verificación – Pago – Persona natural – Persona jurídica </w:t>
      </w:r>
    </w:p>
    <w:p w14:paraId="686F5388" w14:textId="77777777" w:rsidR="00F379E2" w:rsidRPr="00F379E2" w:rsidRDefault="00F379E2" w:rsidP="00F379E2">
      <w:pPr>
        <w:spacing w:after="0" w:line="240" w:lineRule="auto"/>
        <w:jc w:val="both"/>
        <w:rPr>
          <w:rFonts w:ascii="Verdana" w:eastAsia="Geomanist Light" w:hAnsi="Verdana" w:cs="Arial"/>
          <w:b/>
          <w:lang w:val="es-ES_tradnl"/>
        </w:rPr>
      </w:pPr>
    </w:p>
    <w:p w14:paraId="11E47A60" w14:textId="716349FD" w:rsidR="00F379E2" w:rsidRDefault="00F379E2" w:rsidP="00F379E2">
      <w:pPr>
        <w:spacing w:after="0" w:line="240" w:lineRule="auto"/>
        <w:jc w:val="both"/>
        <w:rPr>
          <w:rFonts w:ascii="Verdana" w:eastAsia="Geomanist Light" w:hAnsi="Verdana" w:cs="Arial"/>
          <w:lang w:val="es-ES"/>
        </w:rPr>
      </w:pPr>
      <w:r w:rsidRPr="00F379E2">
        <w:rPr>
          <w:rFonts w:ascii="Verdana" w:eastAsia="Geomanist Light" w:hAnsi="Verdana" w:cs="Arial"/>
        </w:rPr>
        <w:t xml:space="preserve">[…] </w:t>
      </w:r>
      <w:r w:rsidRPr="00F379E2">
        <w:rPr>
          <w:rFonts w:ascii="Verdana" w:eastAsia="Geomanist Light" w:hAnsi="Verdana" w:cs="Arial"/>
          <w:lang w:val="es-ES"/>
        </w:rPr>
        <w:t xml:space="preserve">el artículo 50 de la Ley 789 de 2002 previó una regla especial para las </w:t>
      </w:r>
      <w:r>
        <w:rPr>
          <w:rFonts w:ascii="Verdana" w:eastAsia="Geomanist Light" w:hAnsi="Verdana" w:cs="Arial"/>
          <w:lang w:val="es-ES"/>
        </w:rPr>
        <w:t>“</w:t>
      </w:r>
      <w:r w:rsidRPr="00F379E2">
        <w:rPr>
          <w:rFonts w:ascii="Verdana" w:eastAsia="Geomanist Light" w:hAnsi="Verdana" w:cs="Arial"/>
          <w:lang w:val="es-ES"/>
        </w:rPr>
        <w:t>personas jurídicas</w:t>
      </w:r>
      <w:r>
        <w:rPr>
          <w:rFonts w:ascii="Verdana" w:eastAsia="Geomanist Light" w:hAnsi="Verdana" w:cs="Arial"/>
          <w:lang w:val="es-ES"/>
        </w:rPr>
        <w:t>”</w:t>
      </w:r>
      <w:r w:rsidRPr="00F379E2">
        <w:rPr>
          <w:rFonts w:ascii="Verdana" w:eastAsia="Geomanist Light" w:hAnsi="Verdana" w:cs="Arial"/>
          <w:lang w:val="es-ES"/>
        </w:rPr>
        <w:t xml:space="preserve"> que aspiran a celebrar contratos con las entidades estatales. Para presentar</w:t>
      </w:r>
      <w:r>
        <w:rPr>
          <w:rFonts w:ascii="Verdana" w:eastAsia="Geomanist Light" w:hAnsi="Verdana" w:cs="Arial"/>
          <w:lang w:val="es-ES"/>
        </w:rPr>
        <w:t xml:space="preserve"> “l</w:t>
      </w:r>
      <w:r w:rsidRPr="00F379E2">
        <w:rPr>
          <w:rFonts w:ascii="Verdana" w:eastAsia="Geomanist Light" w:hAnsi="Verdana" w:cs="Arial"/>
          <w:lang w:val="es-ES"/>
        </w:rPr>
        <w:t>a oferta</w:t>
      </w:r>
      <w:r>
        <w:rPr>
          <w:rFonts w:ascii="Verdana" w:eastAsia="Geomanist Light" w:hAnsi="Verdana" w:cs="Arial"/>
          <w:lang w:val="es-ES"/>
        </w:rPr>
        <w:t>”</w:t>
      </w:r>
      <w:r w:rsidRPr="00F379E2">
        <w:rPr>
          <w:rFonts w:ascii="Verdana" w:eastAsia="Geomanist Light" w:hAnsi="Verdana" w:cs="Arial"/>
          <w:lang w:val="es-ES"/>
        </w:rPr>
        <w:t xml:space="preserve"> deben acreditar el pago de los aportes de sus empleados, mediante certificación expedida por el revisor fiscal, cuando este exista, de acuerdo con los requerimientos de ley, o por el representante legal, durante un lapso equivalente al que exija el respectivo régimen de contratación para el que se hubiera constituido la sociedad, el cual, en todo caso, no será inferior a los 6 meses anteriores a la celebración del contrato. Si bien este certificado no es un requisito para perfeccionar el contrato, sí lo es para presentar la oferta. Sin embargo, es importante destacar que esta exigencia originada en los incisos 3 y 4 del artículo 50 de la Ley 789 de 2002, únicamente se estableció frente a las personas jurídicas.</w:t>
      </w:r>
    </w:p>
    <w:p w14:paraId="556D858F" w14:textId="77777777" w:rsidR="00F379E2" w:rsidRPr="00F379E2" w:rsidRDefault="00F379E2" w:rsidP="00F379E2">
      <w:pPr>
        <w:spacing w:after="0" w:line="240" w:lineRule="auto"/>
        <w:jc w:val="both"/>
        <w:rPr>
          <w:rFonts w:ascii="Verdana" w:eastAsia="Geomanist Light" w:hAnsi="Verdana" w:cs="Arial"/>
          <w:lang w:val="es-ES"/>
        </w:rPr>
      </w:pPr>
    </w:p>
    <w:p w14:paraId="053772EB" w14:textId="77777777" w:rsidR="00F379E2" w:rsidRDefault="00F379E2" w:rsidP="00F379E2">
      <w:pPr>
        <w:spacing w:after="0" w:line="240" w:lineRule="auto"/>
        <w:jc w:val="both"/>
        <w:rPr>
          <w:rFonts w:ascii="Verdana" w:eastAsia="Geomanist Light" w:hAnsi="Verdana" w:cs="Arial"/>
          <w:lang w:val="es-ES"/>
        </w:rPr>
      </w:pPr>
      <w:r w:rsidRPr="00F379E2">
        <w:rPr>
          <w:rFonts w:ascii="Verdana" w:eastAsia="Geomanist Light" w:hAnsi="Verdana" w:cs="Arial"/>
          <w:lang w:val="es-ES"/>
        </w:rPr>
        <w:t xml:space="preserve">En este sentido, la verificación del cumplimiento de las obligaciones relacionadas con el Sistema de Seguridad Social Integral cambia dependiendo de si se trata de una persona natural o de una jurídica: i) si es una natural, la entidad estatal verificará el pago al Sistema de Seguridad Social Integral cuando se realicen los pagos del contrato, es decir, durante su ejecución y </w:t>
      </w:r>
      <w:proofErr w:type="spellStart"/>
      <w:r w:rsidRPr="00F379E2">
        <w:rPr>
          <w:rFonts w:ascii="Verdana" w:eastAsia="Geomanist Light" w:hAnsi="Verdana" w:cs="Arial"/>
          <w:lang w:val="es-ES"/>
        </w:rPr>
        <w:t>ii</w:t>
      </w:r>
      <w:proofErr w:type="spellEnd"/>
      <w:r w:rsidRPr="00F379E2">
        <w:rPr>
          <w:rFonts w:ascii="Verdana" w:eastAsia="Geomanist Light" w:hAnsi="Verdana" w:cs="Arial"/>
          <w:lang w:val="es-ES"/>
        </w:rPr>
        <w:t xml:space="preserve">) si se refiere a una persona jurídica, la acreditación del cumplimiento de las obligaciones relacionadas con el Sistema de Seguridad Social Integral de sus empleados se debe aportar con la presentación de la oferta, y este constituye un criterio de admisión de la oferta. Lo anterior sin perjuicio de que durante la ejecución del contrato también se acredite el pago al Sistema de Seguridad Social Integral para pagar las cuentas o facturas si a ello hubiere lugar. </w:t>
      </w:r>
    </w:p>
    <w:p w14:paraId="36996C15" w14:textId="77777777" w:rsidR="00F379E2" w:rsidRPr="00F379E2" w:rsidRDefault="00F379E2" w:rsidP="00F379E2">
      <w:pPr>
        <w:spacing w:after="0" w:line="240" w:lineRule="auto"/>
        <w:jc w:val="both"/>
        <w:rPr>
          <w:rFonts w:ascii="Verdana" w:eastAsia="Geomanist Light" w:hAnsi="Verdana" w:cs="Arial"/>
          <w:lang w:val="es-ES"/>
        </w:rPr>
      </w:pPr>
    </w:p>
    <w:p w14:paraId="3B406422" w14:textId="77777777" w:rsidR="00F379E2" w:rsidRPr="00F379E2" w:rsidRDefault="00F379E2" w:rsidP="00F379E2">
      <w:pPr>
        <w:spacing w:after="0" w:line="240" w:lineRule="auto"/>
        <w:jc w:val="both"/>
        <w:rPr>
          <w:rFonts w:ascii="Verdana" w:eastAsia="Geomanist Light" w:hAnsi="Verdana" w:cs="Arial"/>
          <w:lang w:val="es-ES"/>
        </w:rPr>
      </w:pPr>
      <w:r w:rsidRPr="00F379E2">
        <w:rPr>
          <w:rFonts w:ascii="Verdana" w:eastAsia="Geomanist Light" w:hAnsi="Verdana" w:cs="Arial"/>
          <w:lang w:val="es-ES"/>
        </w:rPr>
        <w:t xml:space="preserve">Así mismo, en virtud del artículo 50 de la Ley 789 de 2002, la entidad verificará, tanto para las personas naturales como para las jurídicas, la realización de los aportes al Sistema de Seguridad Social Integral, al momento de su liquidación, y dejarán constancia del cumplimiento de las obligaciones del contratista frente a los aportes mencionados durante toda su vigencia, estableciendo una correcta relación entre el monto cancelado y las sumas que debieron cotizar. </w:t>
      </w:r>
    </w:p>
    <w:p w14:paraId="4817A3CB" w14:textId="77777777" w:rsidR="00F379E2" w:rsidRDefault="00F379E2" w:rsidP="00A37605">
      <w:pPr>
        <w:spacing w:after="0" w:line="240" w:lineRule="auto"/>
        <w:rPr>
          <w:rFonts w:ascii="Verdana" w:eastAsia="Geomanist Light" w:hAnsi="Verdana" w:cs="Arial"/>
          <w:lang w:val="es-MX"/>
        </w:rPr>
      </w:pPr>
    </w:p>
    <w:p w14:paraId="0FE2C4F8" w14:textId="77777777" w:rsidR="00F379E2" w:rsidRDefault="00F379E2" w:rsidP="00A37605">
      <w:pPr>
        <w:spacing w:after="0" w:line="240" w:lineRule="auto"/>
        <w:rPr>
          <w:rFonts w:ascii="Verdana" w:eastAsia="Geomanist Light" w:hAnsi="Verdana" w:cs="Arial"/>
          <w:lang w:val="es-MX"/>
        </w:rPr>
      </w:pPr>
    </w:p>
    <w:p w14:paraId="0662D676" w14:textId="77777777" w:rsidR="00F379E2" w:rsidRDefault="00F379E2" w:rsidP="00A37605">
      <w:pPr>
        <w:spacing w:after="0" w:line="240" w:lineRule="auto"/>
        <w:rPr>
          <w:rFonts w:ascii="Verdana" w:eastAsia="Geomanist Light" w:hAnsi="Verdana" w:cs="Arial"/>
          <w:lang w:val="es-MX"/>
        </w:rPr>
      </w:pPr>
    </w:p>
    <w:p w14:paraId="1BAC9423" w14:textId="77777777" w:rsidR="00F379E2" w:rsidRDefault="00F379E2" w:rsidP="00A37605">
      <w:pPr>
        <w:spacing w:after="0" w:line="240" w:lineRule="auto"/>
        <w:rPr>
          <w:rFonts w:ascii="Verdana" w:eastAsia="Geomanist Light" w:hAnsi="Verdana" w:cs="Arial"/>
          <w:lang w:val="es-MX"/>
        </w:rPr>
      </w:pPr>
    </w:p>
    <w:p w14:paraId="2C4BD053" w14:textId="77777777" w:rsidR="00F379E2" w:rsidRDefault="00F379E2" w:rsidP="00A37605">
      <w:pPr>
        <w:spacing w:after="0" w:line="240" w:lineRule="auto"/>
        <w:rPr>
          <w:rFonts w:ascii="Verdana" w:eastAsia="Geomanist Light" w:hAnsi="Verdana" w:cs="Arial"/>
          <w:lang w:val="es-MX"/>
        </w:rPr>
      </w:pPr>
    </w:p>
    <w:p w14:paraId="22ED26DB" w14:textId="77777777" w:rsidR="00F379E2" w:rsidRDefault="00F379E2" w:rsidP="00A37605">
      <w:pPr>
        <w:spacing w:after="0" w:line="240" w:lineRule="auto"/>
        <w:rPr>
          <w:rFonts w:ascii="Verdana" w:eastAsia="Geomanist Light" w:hAnsi="Verdana" w:cs="Arial"/>
          <w:lang w:val="es-MX"/>
        </w:rPr>
      </w:pPr>
    </w:p>
    <w:p w14:paraId="18C1447F" w14:textId="77777777" w:rsidR="00F379E2" w:rsidRDefault="00F379E2" w:rsidP="00A37605">
      <w:pPr>
        <w:spacing w:after="0" w:line="240" w:lineRule="auto"/>
        <w:rPr>
          <w:rFonts w:ascii="Verdana" w:eastAsia="Geomanist Light" w:hAnsi="Verdana" w:cs="Arial"/>
          <w:lang w:val="es-MX"/>
        </w:rPr>
      </w:pPr>
    </w:p>
    <w:p w14:paraId="0557379C" w14:textId="77777777" w:rsidR="00F379E2" w:rsidRDefault="00F379E2" w:rsidP="00A37605">
      <w:pPr>
        <w:spacing w:after="0" w:line="240" w:lineRule="auto"/>
        <w:rPr>
          <w:rFonts w:ascii="Verdana" w:eastAsia="Geomanist Light" w:hAnsi="Verdana" w:cs="Arial"/>
          <w:lang w:val="es-MX"/>
        </w:rPr>
      </w:pPr>
    </w:p>
    <w:p w14:paraId="6F7D3F02" w14:textId="77777777" w:rsidR="00F379E2" w:rsidRDefault="00F379E2" w:rsidP="00A37605">
      <w:pPr>
        <w:spacing w:after="0" w:line="240" w:lineRule="auto"/>
        <w:rPr>
          <w:rFonts w:ascii="Verdana" w:eastAsia="Geomanist Light" w:hAnsi="Verdana" w:cs="Arial"/>
          <w:lang w:val="es-MX"/>
        </w:rPr>
      </w:pPr>
    </w:p>
    <w:p w14:paraId="04343C37" w14:textId="77777777" w:rsidR="00F379E2" w:rsidRDefault="00F379E2" w:rsidP="00A37605">
      <w:pPr>
        <w:spacing w:after="0" w:line="240" w:lineRule="auto"/>
        <w:rPr>
          <w:rFonts w:ascii="Verdana" w:eastAsia="Geomanist Light" w:hAnsi="Verdana" w:cs="Arial"/>
          <w:lang w:val="es-MX"/>
        </w:rPr>
      </w:pPr>
    </w:p>
    <w:p w14:paraId="17454D12" w14:textId="36D428F6" w:rsidR="00A37605" w:rsidRPr="00A37605" w:rsidRDefault="00A37605" w:rsidP="00A37605">
      <w:pPr>
        <w:spacing w:after="0" w:line="240" w:lineRule="auto"/>
        <w:rPr>
          <w:rFonts w:ascii="Verdana" w:eastAsia="Geomanist Light" w:hAnsi="Verdana" w:cs="Arial"/>
          <w:lang w:val="es-MX"/>
        </w:rPr>
      </w:pPr>
      <w:r w:rsidRPr="00A37605">
        <w:rPr>
          <w:rFonts w:ascii="Verdana" w:eastAsia="Geomanist Light" w:hAnsi="Verdana" w:cs="Arial"/>
          <w:lang w:val="es-MX"/>
        </w:rPr>
        <w:lastRenderedPageBreak/>
        <w:t>Bogotá D.C., [Día] de [</w:t>
      </w:r>
      <w:proofErr w:type="spellStart"/>
      <w:r w:rsidRPr="00A37605">
        <w:rPr>
          <w:rFonts w:ascii="Verdana" w:eastAsia="Geomanist Light" w:hAnsi="Verdana" w:cs="Arial"/>
          <w:lang w:val="es-MX"/>
        </w:rPr>
        <w:t>Mes.NombreCapitalizado</w:t>
      </w:r>
      <w:proofErr w:type="spellEnd"/>
      <w:r w:rsidRPr="00A37605">
        <w:rPr>
          <w:rFonts w:ascii="Verdana" w:eastAsia="Geomanist Light" w:hAnsi="Verdana" w:cs="Arial"/>
          <w:lang w:val="es-MX"/>
        </w:rPr>
        <w:t>] de [Año]</w:t>
      </w:r>
    </w:p>
    <w:p w14:paraId="58AA59CE" w14:textId="480ADCDC" w:rsidR="00A37605" w:rsidRPr="00A37605" w:rsidRDefault="00F379E2" w:rsidP="00A37605">
      <w:pPr>
        <w:spacing w:after="0" w:line="240" w:lineRule="auto"/>
        <w:jc w:val="both"/>
        <w:rPr>
          <w:rFonts w:ascii="Verdana" w:eastAsia="Calibri" w:hAnsi="Verdana" w:cs="Arial"/>
          <w:lang w:val="es-ES"/>
        </w:rPr>
      </w:pPr>
      <w:r w:rsidRPr="00F379E2">
        <w:rPr>
          <w:rFonts w:ascii="Verdana" w:eastAsia="Calibri" w:hAnsi="Verdana" w:cs="Arial"/>
          <w:lang w:val="es-ES"/>
        </w:rPr>
        <w:drawing>
          <wp:anchor distT="0" distB="0" distL="114300" distR="114300" simplePos="0" relativeHeight="251658240" behindDoc="1" locked="0" layoutInCell="1" allowOverlap="1" wp14:anchorId="52486324" wp14:editId="389A8ED7">
            <wp:simplePos x="0" y="0"/>
            <wp:positionH relativeFrom="column">
              <wp:posOffset>2440305</wp:posOffset>
            </wp:positionH>
            <wp:positionV relativeFrom="paragraph">
              <wp:posOffset>118110</wp:posOffset>
            </wp:positionV>
            <wp:extent cx="4020111" cy="1047896"/>
            <wp:effectExtent l="0" t="0" r="0" b="0"/>
            <wp:wrapTight wrapText="bothSides">
              <wp:wrapPolygon edited="0">
                <wp:start x="0" y="0"/>
                <wp:lineTo x="0" y="21207"/>
                <wp:lineTo x="21498" y="21207"/>
                <wp:lineTo x="21498" y="0"/>
                <wp:lineTo x="0" y="0"/>
              </wp:wrapPolygon>
            </wp:wrapTight>
            <wp:docPr id="51337683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376838" name=""/>
                    <pic:cNvPicPr/>
                  </pic:nvPicPr>
                  <pic:blipFill>
                    <a:blip r:embed="rId11">
                      <a:extLst>
                        <a:ext uri="{28A0092B-C50C-407E-A947-70E740481C1C}">
                          <a14:useLocalDpi xmlns:a14="http://schemas.microsoft.com/office/drawing/2010/main" val="0"/>
                        </a:ext>
                      </a:extLst>
                    </a:blip>
                    <a:stretch>
                      <a:fillRect/>
                    </a:stretch>
                  </pic:blipFill>
                  <pic:spPr>
                    <a:xfrm>
                      <a:off x="0" y="0"/>
                      <a:ext cx="4020111" cy="1047896"/>
                    </a:xfrm>
                    <a:prstGeom prst="rect">
                      <a:avLst/>
                    </a:prstGeom>
                  </pic:spPr>
                </pic:pic>
              </a:graphicData>
            </a:graphic>
          </wp:anchor>
        </w:drawing>
      </w:r>
    </w:p>
    <w:p w14:paraId="1A44271E" w14:textId="670BBAD1" w:rsidR="00A37605" w:rsidRDefault="00A37605" w:rsidP="00A37605">
      <w:pPr>
        <w:spacing w:after="0" w:line="240" w:lineRule="auto"/>
        <w:rPr>
          <w:rFonts w:ascii="Verdana" w:eastAsia="Calibri" w:hAnsi="Verdana" w:cs="Arial"/>
          <w:lang w:val="es-MX" w:eastAsia="es-ES"/>
        </w:rPr>
      </w:pPr>
    </w:p>
    <w:p w14:paraId="57854431" w14:textId="77777777" w:rsidR="00F379E2" w:rsidRDefault="00F379E2" w:rsidP="00A37605">
      <w:pPr>
        <w:spacing w:after="0" w:line="240" w:lineRule="auto"/>
        <w:rPr>
          <w:rFonts w:ascii="Verdana" w:eastAsia="Calibri" w:hAnsi="Verdana" w:cs="Arial"/>
          <w:lang w:val="es-MX" w:eastAsia="es-ES"/>
        </w:rPr>
      </w:pPr>
    </w:p>
    <w:p w14:paraId="479A761F" w14:textId="77777777" w:rsidR="00F379E2" w:rsidRDefault="00F379E2" w:rsidP="00A37605">
      <w:pPr>
        <w:spacing w:after="0" w:line="240" w:lineRule="auto"/>
        <w:rPr>
          <w:rFonts w:ascii="Verdana" w:eastAsia="Calibri" w:hAnsi="Verdana" w:cs="Arial"/>
          <w:lang w:val="es-MX" w:eastAsia="es-ES"/>
        </w:rPr>
      </w:pPr>
    </w:p>
    <w:p w14:paraId="2C0EC2DD" w14:textId="77777777" w:rsidR="00F379E2" w:rsidRDefault="00F379E2" w:rsidP="00A37605">
      <w:pPr>
        <w:spacing w:after="0" w:line="240" w:lineRule="auto"/>
        <w:rPr>
          <w:rFonts w:ascii="Verdana" w:eastAsia="Calibri" w:hAnsi="Verdana" w:cs="Arial"/>
          <w:lang w:val="es-MX" w:eastAsia="es-ES"/>
        </w:rPr>
      </w:pPr>
    </w:p>
    <w:p w14:paraId="04689536" w14:textId="77777777" w:rsidR="00F379E2" w:rsidRDefault="00F379E2" w:rsidP="00A37605">
      <w:pPr>
        <w:spacing w:after="0" w:line="240" w:lineRule="auto"/>
        <w:rPr>
          <w:rFonts w:ascii="Verdana" w:eastAsia="Calibri" w:hAnsi="Verdana" w:cs="Arial"/>
          <w:lang w:val="es-MX" w:eastAsia="es-ES"/>
        </w:rPr>
      </w:pPr>
    </w:p>
    <w:p w14:paraId="5F933E3E" w14:textId="77777777" w:rsidR="00F379E2" w:rsidRDefault="00F379E2" w:rsidP="00A37605">
      <w:pPr>
        <w:spacing w:after="0" w:line="240" w:lineRule="auto"/>
        <w:rPr>
          <w:rFonts w:ascii="Verdana" w:eastAsia="Calibri" w:hAnsi="Verdana" w:cs="Arial"/>
          <w:lang w:val="es-MX" w:eastAsia="es-ES"/>
        </w:rPr>
      </w:pPr>
    </w:p>
    <w:p w14:paraId="439D5BA7" w14:textId="3B30F0D0" w:rsidR="00A37605" w:rsidRPr="00A37605" w:rsidRDefault="00A37605" w:rsidP="00A37605">
      <w:pPr>
        <w:spacing w:after="0" w:line="240" w:lineRule="auto"/>
        <w:rPr>
          <w:rFonts w:ascii="Verdana" w:eastAsia="Calibri" w:hAnsi="Verdana" w:cs="Arial"/>
          <w:lang w:val="es-MX" w:eastAsia="es-ES"/>
        </w:rPr>
      </w:pPr>
      <w:r w:rsidRPr="00A37605">
        <w:rPr>
          <w:rFonts w:ascii="Verdana" w:eastAsia="Calibri" w:hAnsi="Verdana" w:cs="Arial"/>
          <w:lang w:val="es-MX" w:eastAsia="es-ES"/>
        </w:rPr>
        <w:t>Señor</w:t>
      </w:r>
    </w:p>
    <w:p w14:paraId="06D1E086" w14:textId="68408C04" w:rsidR="00A37605" w:rsidRPr="00A37605" w:rsidRDefault="00CC3DF0" w:rsidP="00A37605">
      <w:pPr>
        <w:spacing w:after="0" w:line="240" w:lineRule="auto"/>
        <w:rPr>
          <w:rFonts w:ascii="Verdana" w:eastAsia="Calibri" w:hAnsi="Verdana" w:cs="Arial"/>
          <w:b/>
          <w:bCs/>
          <w:lang w:val="es-MX" w:eastAsia="es-ES"/>
        </w:rPr>
      </w:pPr>
      <w:r>
        <w:rPr>
          <w:rFonts w:ascii="Verdana" w:eastAsia="Calibri" w:hAnsi="Verdana" w:cs="Arial"/>
          <w:b/>
          <w:bCs/>
          <w:lang w:val="es-MX" w:eastAsia="es-ES"/>
        </w:rPr>
        <w:t xml:space="preserve">Luis Alfredo </w:t>
      </w:r>
      <w:proofErr w:type="spellStart"/>
      <w:r>
        <w:rPr>
          <w:rFonts w:ascii="Verdana" w:eastAsia="Calibri" w:hAnsi="Verdana" w:cs="Arial"/>
          <w:b/>
          <w:bCs/>
          <w:lang w:val="es-MX" w:eastAsia="es-ES"/>
        </w:rPr>
        <w:t>Tascon</w:t>
      </w:r>
      <w:proofErr w:type="spellEnd"/>
      <w:r>
        <w:rPr>
          <w:rFonts w:ascii="Verdana" w:eastAsia="Calibri" w:hAnsi="Verdana" w:cs="Arial"/>
          <w:b/>
          <w:bCs/>
          <w:lang w:val="es-MX" w:eastAsia="es-ES"/>
        </w:rPr>
        <w:t xml:space="preserve"> Quintana</w:t>
      </w:r>
    </w:p>
    <w:p w14:paraId="38C47FA7" w14:textId="4C46B3EE" w:rsidR="00D75DF0" w:rsidRPr="00937858" w:rsidRDefault="00000000" w:rsidP="00D75DF0">
      <w:pPr>
        <w:spacing w:after="0" w:line="240" w:lineRule="auto"/>
        <w:rPr>
          <w:rFonts w:ascii="Verdana" w:eastAsia="Calibri" w:hAnsi="Verdana" w:cs="Arial"/>
          <w:color w:val="000000" w:themeColor="text1"/>
          <w:u w:val="single"/>
          <w:lang w:val="es-ES" w:eastAsia="es-ES"/>
        </w:rPr>
      </w:pPr>
      <w:hyperlink r:id="rId12" w:history="1">
        <w:r w:rsidR="00CC3DF0" w:rsidRPr="000E3D2F">
          <w:rPr>
            <w:rStyle w:val="Hipervnculo"/>
            <w:rFonts w:ascii="Verdana" w:eastAsia="Calibri" w:hAnsi="Verdana" w:cs="Arial"/>
            <w:lang w:val="es-ES" w:eastAsia="es-ES"/>
          </w:rPr>
          <w:t>controlinterno@hlc.gov.co</w:t>
        </w:r>
      </w:hyperlink>
    </w:p>
    <w:p w14:paraId="6561F9B0" w14:textId="2370CD01" w:rsidR="00D75DF0" w:rsidRPr="00937858" w:rsidRDefault="00CC3DF0" w:rsidP="00D75DF0">
      <w:pPr>
        <w:spacing w:after="0" w:line="240" w:lineRule="auto"/>
        <w:rPr>
          <w:rFonts w:ascii="Verdana" w:eastAsia="Calibri" w:hAnsi="Verdana" w:cs="Arial"/>
          <w:b/>
          <w:bCs/>
          <w:color w:val="000000" w:themeColor="text1"/>
          <w:lang w:val="es-ES" w:eastAsia="es-ES"/>
        </w:rPr>
      </w:pPr>
      <w:r>
        <w:rPr>
          <w:rFonts w:ascii="Verdana" w:eastAsia="Calibri" w:hAnsi="Verdana" w:cs="Arial"/>
          <w:color w:val="000000" w:themeColor="text1"/>
          <w:lang w:val="es-ES" w:eastAsia="es-ES"/>
        </w:rPr>
        <w:t>Candelaria</w:t>
      </w:r>
      <w:r w:rsidR="00D75DF0" w:rsidRPr="00937858">
        <w:rPr>
          <w:rFonts w:ascii="Verdana" w:eastAsia="Calibri" w:hAnsi="Verdana" w:cs="Arial"/>
          <w:color w:val="000000" w:themeColor="text1"/>
          <w:lang w:val="es-ES" w:eastAsia="es-ES"/>
        </w:rPr>
        <w:t xml:space="preserve">, </w:t>
      </w:r>
      <w:r>
        <w:rPr>
          <w:rFonts w:ascii="Verdana" w:eastAsia="Calibri" w:hAnsi="Verdana" w:cs="Arial"/>
          <w:color w:val="000000" w:themeColor="text1"/>
          <w:lang w:val="es-ES" w:eastAsia="es-ES"/>
        </w:rPr>
        <w:t>Valle del Cauca</w:t>
      </w:r>
    </w:p>
    <w:p w14:paraId="67EBD095" w14:textId="77777777" w:rsidR="00A37605" w:rsidRPr="00A37605" w:rsidRDefault="00A37605" w:rsidP="00A37605">
      <w:pPr>
        <w:spacing w:after="0" w:line="240" w:lineRule="auto"/>
        <w:rPr>
          <w:rFonts w:ascii="Verdana" w:eastAsia="Calibri" w:hAnsi="Verdana" w:cs="Arial"/>
          <w:b/>
          <w:bCs/>
          <w:lang w:val="es-ES_tradnl" w:eastAsia="es-ES_tradnl"/>
        </w:rPr>
      </w:pPr>
    </w:p>
    <w:tbl>
      <w:tblPr>
        <w:tblStyle w:val="Tablaconcuadrcula1"/>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A37605" w:rsidRPr="00A37605" w14:paraId="20D2D874" w14:textId="77777777" w:rsidTr="00311100">
        <w:trPr>
          <w:trHeight w:val="483"/>
        </w:trPr>
        <w:tc>
          <w:tcPr>
            <w:tcW w:w="2689" w:type="dxa"/>
          </w:tcPr>
          <w:p w14:paraId="1611E312" w14:textId="77777777" w:rsidR="00A37605" w:rsidRPr="00A37605" w:rsidRDefault="00A37605" w:rsidP="00A37605">
            <w:pPr>
              <w:jc w:val="both"/>
              <w:rPr>
                <w:rFonts w:ascii="Verdana" w:hAnsi="Verdana" w:cs="Arial"/>
                <w:b/>
                <w:bCs/>
                <w:lang w:val="es-ES_tradnl" w:eastAsia="es-ES_tradnl"/>
              </w:rPr>
            </w:pPr>
          </w:p>
        </w:tc>
        <w:tc>
          <w:tcPr>
            <w:tcW w:w="6100" w:type="dxa"/>
            <w:hideMark/>
          </w:tcPr>
          <w:p w14:paraId="4740ED0D" w14:textId="6AC7E882" w:rsidR="00A37605" w:rsidRPr="00A37605" w:rsidRDefault="00A37605" w:rsidP="00A37605">
            <w:pPr>
              <w:jc w:val="both"/>
              <w:rPr>
                <w:rFonts w:ascii="Verdana" w:hAnsi="Verdana" w:cs="Arial"/>
                <w:b/>
                <w:bCs/>
                <w:lang w:val="es-ES" w:eastAsia="es-ES"/>
              </w:rPr>
            </w:pPr>
            <w:r w:rsidRPr="00A37605">
              <w:rPr>
                <w:rFonts w:ascii="Verdana" w:hAnsi="Verdana" w:cs="Arial"/>
                <w:b/>
                <w:bCs/>
                <w:lang w:val="es-ES" w:eastAsia="es-ES"/>
              </w:rPr>
              <w:t xml:space="preserve">Concepto C- </w:t>
            </w:r>
            <w:r w:rsidR="00CC3DF0">
              <w:rPr>
                <w:rFonts w:ascii="Verdana" w:hAnsi="Verdana" w:cs="Arial"/>
                <w:b/>
                <w:bCs/>
                <w:lang w:val="es-ES" w:eastAsia="es-ES"/>
              </w:rPr>
              <w:t>148</w:t>
            </w:r>
            <w:r w:rsidRPr="00A37605">
              <w:rPr>
                <w:rFonts w:ascii="Verdana" w:hAnsi="Verdana" w:cs="Arial"/>
                <w:b/>
                <w:bCs/>
                <w:lang w:val="es-ES" w:eastAsia="es-ES"/>
              </w:rPr>
              <w:t xml:space="preserve"> de 2024</w:t>
            </w:r>
          </w:p>
        </w:tc>
      </w:tr>
      <w:tr w:rsidR="00A37605" w:rsidRPr="00A37605" w14:paraId="38EB6FB0" w14:textId="77777777" w:rsidTr="00A37605">
        <w:trPr>
          <w:trHeight w:val="884"/>
        </w:trPr>
        <w:tc>
          <w:tcPr>
            <w:tcW w:w="2689" w:type="dxa"/>
            <w:hideMark/>
          </w:tcPr>
          <w:p w14:paraId="53C68D9E" w14:textId="77777777" w:rsidR="00A37605" w:rsidRPr="00A37605" w:rsidRDefault="00A37605" w:rsidP="00A37605">
            <w:pPr>
              <w:jc w:val="both"/>
              <w:rPr>
                <w:rFonts w:ascii="Verdana" w:hAnsi="Verdana" w:cs="Arial"/>
                <w:lang w:val="es-ES_tradnl" w:eastAsia="es-ES_tradnl"/>
              </w:rPr>
            </w:pPr>
            <w:r w:rsidRPr="00A37605">
              <w:rPr>
                <w:rFonts w:ascii="Verdana" w:hAnsi="Verdana" w:cs="Arial"/>
                <w:b/>
                <w:lang w:val="es-ES_tradnl" w:eastAsia="es-ES_tradnl"/>
              </w:rPr>
              <w:t>Temas:</w:t>
            </w:r>
            <w:r w:rsidRPr="00A37605">
              <w:rPr>
                <w:rFonts w:ascii="Verdana" w:hAnsi="Verdana" w:cs="Arial"/>
                <w:lang w:val="es-ES_tradnl" w:eastAsia="es-ES_tradnl"/>
              </w:rPr>
              <w:t xml:space="preserve">                   </w:t>
            </w:r>
          </w:p>
        </w:tc>
        <w:tc>
          <w:tcPr>
            <w:tcW w:w="6100" w:type="dxa"/>
          </w:tcPr>
          <w:p w14:paraId="78EDC6C8" w14:textId="77777777" w:rsidR="005C33F6" w:rsidRPr="005C33F6" w:rsidRDefault="005C33F6" w:rsidP="005C33F6">
            <w:pPr>
              <w:spacing w:line="276" w:lineRule="auto"/>
              <w:jc w:val="both"/>
              <w:rPr>
                <w:rFonts w:ascii="Verdana" w:eastAsia="Calibri" w:hAnsi="Verdana" w:cs="Arial"/>
                <w:color w:val="000000" w:themeColor="text1"/>
                <w:lang w:eastAsia="es-ES"/>
              </w:rPr>
            </w:pPr>
            <w:r w:rsidRPr="005C33F6">
              <w:rPr>
                <w:rFonts w:ascii="Verdana" w:eastAsia="Calibri" w:hAnsi="Verdana" w:cs="Arial"/>
                <w:bCs/>
                <w:color w:val="000000" w:themeColor="text1"/>
                <w:lang w:val="es-ES_tradnl" w:eastAsia="es-ES"/>
              </w:rPr>
              <w:t>SEGURIDAD SOCIAL – Verificación – Pago – Aportes</w:t>
            </w:r>
          </w:p>
          <w:p w14:paraId="5E06DA88" w14:textId="59DD73D3" w:rsidR="009229FD" w:rsidRDefault="009229FD" w:rsidP="00E050A4">
            <w:pPr>
              <w:spacing w:line="276" w:lineRule="auto"/>
              <w:jc w:val="both"/>
              <w:rPr>
                <w:rFonts w:ascii="Verdana" w:eastAsia="Calibri" w:hAnsi="Verdana" w:cs="Arial"/>
                <w:color w:val="000000" w:themeColor="text1"/>
                <w:lang w:val="es-ES_tradnl" w:eastAsia="es-ES"/>
              </w:rPr>
            </w:pPr>
          </w:p>
          <w:p w14:paraId="722963ED" w14:textId="3376577B" w:rsidR="00A37605" w:rsidRPr="00A37605" w:rsidRDefault="00A37605" w:rsidP="00E050A4">
            <w:pPr>
              <w:spacing w:line="276" w:lineRule="auto"/>
              <w:jc w:val="both"/>
              <w:rPr>
                <w:rFonts w:ascii="Verdana" w:hAnsi="Verdana" w:cs="Arial"/>
                <w:lang w:val="es-ES_tradnl" w:eastAsia="es-ES"/>
              </w:rPr>
            </w:pPr>
            <w:r w:rsidRPr="00A37605" w:rsidDel="00E22F85">
              <w:rPr>
                <w:rFonts w:ascii="Verdana" w:hAnsi="Verdana" w:cs="Arial"/>
                <w:bCs/>
                <w:lang w:eastAsia="es-ES"/>
              </w:rPr>
              <w:t xml:space="preserve"> </w:t>
            </w:r>
          </w:p>
        </w:tc>
      </w:tr>
      <w:tr w:rsidR="00A37605" w:rsidRPr="00A37605" w14:paraId="13BE0BD2" w14:textId="77777777" w:rsidTr="00A37605">
        <w:tc>
          <w:tcPr>
            <w:tcW w:w="2689" w:type="dxa"/>
            <w:hideMark/>
          </w:tcPr>
          <w:p w14:paraId="3B2895C5" w14:textId="77777777" w:rsidR="00A37605" w:rsidRPr="00A37605" w:rsidRDefault="00A37605" w:rsidP="00A37605">
            <w:pPr>
              <w:jc w:val="both"/>
              <w:rPr>
                <w:rFonts w:ascii="Verdana" w:hAnsi="Verdana" w:cs="Arial"/>
                <w:b/>
                <w:lang w:val="es-ES_tradnl" w:eastAsia="es-ES_tradnl"/>
              </w:rPr>
            </w:pPr>
            <w:r w:rsidRPr="00A37605">
              <w:rPr>
                <w:rFonts w:ascii="Verdana" w:hAnsi="Verdana" w:cs="Arial"/>
                <w:b/>
                <w:lang w:val="es-ES_tradnl" w:eastAsia="es-ES_tradnl"/>
              </w:rPr>
              <w:t>Radicación:</w:t>
            </w:r>
            <w:r w:rsidRPr="00A37605">
              <w:rPr>
                <w:rFonts w:ascii="Verdana" w:hAnsi="Verdana" w:cs="Arial"/>
                <w:lang w:val="es-ES_tradnl" w:eastAsia="es-ES_tradnl"/>
              </w:rPr>
              <w:t xml:space="preserve">               </w:t>
            </w:r>
          </w:p>
        </w:tc>
        <w:tc>
          <w:tcPr>
            <w:tcW w:w="6100" w:type="dxa"/>
          </w:tcPr>
          <w:p w14:paraId="1F067073" w14:textId="63920C79" w:rsidR="00A37605" w:rsidRDefault="00A37605" w:rsidP="00A37605">
            <w:pPr>
              <w:jc w:val="both"/>
              <w:rPr>
                <w:rFonts w:ascii="Verdana" w:hAnsi="Verdana"/>
                <w:lang w:eastAsia="es-ES_tradnl"/>
              </w:rPr>
            </w:pPr>
            <w:r w:rsidRPr="00A37605">
              <w:rPr>
                <w:rFonts w:ascii="Verdana" w:hAnsi="Verdana" w:cs="Arial"/>
                <w:lang w:val="es-ES_tradnl" w:eastAsia="es-ES_tradnl"/>
              </w:rPr>
              <w:t xml:space="preserve">Respuesta a consulta con radicado No. </w:t>
            </w:r>
            <w:r w:rsidR="005C33F6" w:rsidRPr="005C33F6">
              <w:rPr>
                <w:rFonts w:ascii="Verdana" w:hAnsi="Verdana"/>
                <w:lang w:eastAsia="es-ES_tradnl"/>
              </w:rPr>
              <w:t>P20240531005696</w:t>
            </w:r>
          </w:p>
          <w:p w14:paraId="55339FE6" w14:textId="77777777" w:rsidR="0091245B" w:rsidRPr="00A37605" w:rsidRDefault="0091245B" w:rsidP="00A37605">
            <w:pPr>
              <w:jc w:val="both"/>
              <w:rPr>
                <w:rFonts w:ascii="Verdana" w:hAnsi="Verdana"/>
                <w:lang w:eastAsia="es-ES_tradnl"/>
              </w:rPr>
            </w:pPr>
          </w:p>
          <w:p w14:paraId="5514A300" w14:textId="77777777" w:rsidR="00A37605" w:rsidRPr="00A37605" w:rsidRDefault="00A37605" w:rsidP="00A37605">
            <w:pPr>
              <w:jc w:val="both"/>
              <w:rPr>
                <w:rFonts w:ascii="Verdana" w:hAnsi="Verdana" w:cs="Arial"/>
                <w:lang w:val="es-ES_tradnl" w:eastAsia="es-ES_tradnl"/>
              </w:rPr>
            </w:pPr>
          </w:p>
        </w:tc>
      </w:tr>
    </w:tbl>
    <w:p w14:paraId="4E478A5D" w14:textId="4CCE58CC" w:rsidR="00A37605" w:rsidRPr="00A37605" w:rsidRDefault="00A37605" w:rsidP="00A37605">
      <w:pPr>
        <w:spacing w:after="0" w:line="276" w:lineRule="auto"/>
        <w:jc w:val="both"/>
        <w:rPr>
          <w:rFonts w:ascii="Verdana" w:eastAsia="Calibri" w:hAnsi="Verdana" w:cs="Arial"/>
          <w:lang w:val="es-ES" w:eastAsia="es-ES"/>
        </w:rPr>
      </w:pPr>
      <w:r w:rsidRPr="00A37605">
        <w:rPr>
          <w:rFonts w:ascii="Verdana" w:eastAsia="Calibri" w:hAnsi="Verdana" w:cs="Arial"/>
          <w:lang w:val="es-ES" w:eastAsia="es-ES"/>
        </w:rPr>
        <w:t>Estimad</w:t>
      </w:r>
      <w:r w:rsidR="005C33F6">
        <w:rPr>
          <w:rFonts w:ascii="Verdana" w:eastAsia="Calibri" w:hAnsi="Verdana" w:cs="Arial"/>
          <w:lang w:val="es-ES" w:eastAsia="es-ES"/>
        </w:rPr>
        <w:t>o</w:t>
      </w:r>
      <w:r w:rsidRPr="00A37605">
        <w:rPr>
          <w:rFonts w:ascii="Verdana" w:eastAsia="Calibri" w:hAnsi="Verdana" w:cs="Arial"/>
          <w:lang w:val="es-ES" w:eastAsia="es-ES"/>
        </w:rPr>
        <w:t xml:space="preserve"> señor </w:t>
      </w:r>
      <w:proofErr w:type="spellStart"/>
      <w:r w:rsidR="005C33F6">
        <w:rPr>
          <w:rFonts w:ascii="Verdana" w:eastAsia="Calibri" w:hAnsi="Verdana" w:cs="Arial"/>
          <w:lang w:val="es-ES" w:eastAsia="es-ES"/>
        </w:rPr>
        <w:t>Tascon</w:t>
      </w:r>
      <w:proofErr w:type="spellEnd"/>
      <w:r w:rsidRPr="00A37605">
        <w:rPr>
          <w:rFonts w:ascii="Verdana" w:eastAsia="Calibri" w:hAnsi="Verdana" w:cs="Arial"/>
          <w:lang w:val="es-ES" w:eastAsia="es-ES"/>
        </w:rPr>
        <w:t xml:space="preserve">: </w:t>
      </w:r>
    </w:p>
    <w:p w14:paraId="2993F13F" w14:textId="77777777" w:rsidR="00A37605" w:rsidRPr="00A37605" w:rsidRDefault="00A37605" w:rsidP="00A37605">
      <w:pPr>
        <w:tabs>
          <w:tab w:val="left" w:pos="3768"/>
        </w:tabs>
        <w:spacing w:after="0" w:line="276" w:lineRule="auto"/>
        <w:jc w:val="both"/>
        <w:rPr>
          <w:rFonts w:ascii="Verdana" w:eastAsia="Calibri" w:hAnsi="Verdana" w:cs="Arial"/>
          <w:lang w:val="es-ES" w:eastAsia="es-ES"/>
        </w:rPr>
      </w:pPr>
      <w:r w:rsidRPr="00A37605">
        <w:rPr>
          <w:rFonts w:ascii="Verdana" w:eastAsia="Calibri" w:hAnsi="Verdana" w:cs="Arial"/>
          <w:lang w:val="es-ES" w:eastAsia="es-ES"/>
        </w:rPr>
        <w:tab/>
      </w:r>
    </w:p>
    <w:p w14:paraId="2B9AC119" w14:textId="4C611DC0" w:rsidR="00A37605" w:rsidRPr="00A37605" w:rsidRDefault="00A37605" w:rsidP="00A37605">
      <w:pPr>
        <w:spacing w:after="0" w:line="276" w:lineRule="auto"/>
        <w:jc w:val="both"/>
        <w:rPr>
          <w:rFonts w:ascii="Verdana" w:eastAsia="Calibri" w:hAnsi="Verdana" w:cs="Arial"/>
          <w:lang w:val="es-ES" w:eastAsia="es-ES"/>
        </w:rPr>
      </w:pPr>
      <w:r w:rsidRPr="00A37605">
        <w:rPr>
          <w:rFonts w:ascii="Verdana" w:eastAsia="Calibri" w:hAnsi="Verdana" w:cs="Arial"/>
          <w:lang w:val="es-ES" w:eastAsia="es-ES"/>
        </w:rPr>
        <w:t>En ejercicio de la competencia otorgada por los artículos 3, numeral 5º, y 11, numeral 8º, del Decreto Ley 4170 de 2011,</w:t>
      </w:r>
      <w:r w:rsidRPr="00A37605">
        <w:rPr>
          <w:rFonts w:ascii="Verdana" w:eastAsia="Arial MT" w:hAnsi="Verdana" w:cs="Arial MT"/>
          <w:lang w:val="es-ES" w:eastAsia="es-ES"/>
        </w:rPr>
        <w:t xml:space="preserve"> </w:t>
      </w:r>
      <w:r w:rsidRPr="00A37605">
        <w:rPr>
          <w:rFonts w:ascii="Verdana" w:eastAsia="Calibri" w:hAnsi="Verdana" w:cs="Arial"/>
        </w:rPr>
        <w:t xml:space="preserve">así como lo establecido en el artículo 4 de la Resolución 1707 de 2018 expedida por esta Entidad, </w:t>
      </w:r>
      <w:r w:rsidRPr="00A37605">
        <w:rPr>
          <w:rFonts w:ascii="Verdana" w:eastAsia="Calibri" w:hAnsi="Verdana" w:cs="Arial"/>
          <w:lang w:val="es-ES" w:eastAsia="es-ES"/>
        </w:rPr>
        <w:t xml:space="preserve">la Agencia Nacional de Contratación Pública – Colombia Compra Eficiente– responde su solicitud de consulta de fecha </w:t>
      </w:r>
      <w:r w:rsidR="005C33F6">
        <w:rPr>
          <w:rFonts w:ascii="Verdana" w:eastAsia="Calibri" w:hAnsi="Verdana" w:cs="Arial"/>
          <w:lang w:val="es-ES" w:eastAsia="es-ES"/>
        </w:rPr>
        <w:t>31</w:t>
      </w:r>
      <w:r w:rsidRPr="00A37605">
        <w:rPr>
          <w:rFonts w:ascii="Verdana" w:eastAsia="Calibri" w:hAnsi="Verdana" w:cs="Arial"/>
          <w:lang w:val="es-ES" w:eastAsia="es-ES"/>
        </w:rPr>
        <w:t xml:space="preserve"> de</w:t>
      </w:r>
      <w:r w:rsidR="00D75DF0">
        <w:rPr>
          <w:rFonts w:ascii="Verdana" w:eastAsia="Calibri" w:hAnsi="Verdana" w:cs="Arial"/>
          <w:lang w:val="es-ES" w:eastAsia="es-ES"/>
        </w:rPr>
        <w:t xml:space="preserve"> </w:t>
      </w:r>
      <w:r w:rsidR="005C33F6">
        <w:rPr>
          <w:rFonts w:ascii="Verdana" w:eastAsia="Calibri" w:hAnsi="Verdana" w:cs="Arial"/>
          <w:lang w:val="es-ES" w:eastAsia="es-ES"/>
        </w:rPr>
        <w:t>may</w:t>
      </w:r>
      <w:r w:rsidRPr="00A37605">
        <w:rPr>
          <w:rFonts w:ascii="Verdana" w:eastAsia="Calibri" w:hAnsi="Verdana" w:cs="Arial"/>
          <w:lang w:val="es-ES" w:eastAsia="es-ES"/>
        </w:rPr>
        <w:t xml:space="preserve">o de 2024, en la cual manifiesta lo siguiente: </w:t>
      </w:r>
    </w:p>
    <w:p w14:paraId="6AEEB34C" w14:textId="77777777" w:rsidR="00A37605" w:rsidRPr="00A37605" w:rsidRDefault="00A37605" w:rsidP="00A37605">
      <w:pPr>
        <w:spacing w:after="0" w:line="240" w:lineRule="auto"/>
        <w:ind w:left="709" w:right="709"/>
        <w:jc w:val="both"/>
        <w:rPr>
          <w:rFonts w:ascii="Verdana" w:eastAsia="Century Gothic" w:hAnsi="Verdana" w:cs="Century Gothic"/>
          <w:sz w:val="20"/>
          <w:szCs w:val="20"/>
          <w:lang w:val="es-ES"/>
        </w:rPr>
      </w:pPr>
      <w:bookmarkStart w:id="0" w:name="_Hlk95313578"/>
    </w:p>
    <w:p w14:paraId="1115CFDE" w14:textId="48AE8DB4" w:rsidR="009229FD" w:rsidRDefault="00A37605" w:rsidP="005C33F6">
      <w:pPr>
        <w:spacing w:after="0" w:line="240" w:lineRule="auto"/>
        <w:ind w:left="709" w:right="709"/>
        <w:jc w:val="both"/>
        <w:rPr>
          <w:rFonts w:ascii="Verdana" w:eastAsia="Century Gothic" w:hAnsi="Verdana" w:cs="Century Gothic"/>
          <w:sz w:val="20"/>
          <w:szCs w:val="20"/>
        </w:rPr>
      </w:pPr>
      <w:r w:rsidRPr="00A37605">
        <w:rPr>
          <w:rFonts w:ascii="Verdana" w:eastAsia="Century Gothic" w:hAnsi="Verdana" w:cs="Century Gothic"/>
          <w:sz w:val="20"/>
          <w:szCs w:val="20"/>
          <w:lang w:val="es-ES"/>
        </w:rPr>
        <w:t>“</w:t>
      </w:r>
      <w:bookmarkEnd w:id="0"/>
      <w:r w:rsidR="005C33F6" w:rsidRPr="005C33F6">
        <w:rPr>
          <w:rFonts w:ascii="Verdana" w:eastAsia="Century Gothic" w:hAnsi="Verdana" w:cs="Century Gothic"/>
          <w:sz w:val="20"/>
          <w:szCs w:val="20"/>
        </w:rPr>
        <w:t>Solicito amablemente me den un concepto sobre si en un contrato de compraventa, en la cual el contratista es persona natural con establecimiento de comercio está obligado a pagar los aportes a la seguridad social sobre el 40% del valor del contrato o en su defecto solo debe aportar certificado de cumplimiento de aportes a la seguridad social emitido por un contador</w:t>
      </w:r>
      <w:r w:rsidR="009229FD" w:rsidRPr="009229FD">
        <w:rPr>
          <w:rFonts w:ascii="Verdana" w:eastAsia="Century Gothic" w:hAnsi="Verdana" w:cs="Century Gothic"/>
          <w:sz w:val="20"/>
          <w:szCs w:val="20"/>
        </w:rPr>
        <w:t>.</w:t>
      </w:r>
      <w:r w:rsidR="009229FD">
        <w:rPr>
          <w:rFonts w:ascii="Verdana" w:eastAsia="Century Gothic" w:hAnsi="Verdana" w:cs="Century Gothic"/>
          <w:sz w:val="20"/>
          <w:szCs w:val="20"/>
        </w:rPr>
        <w:t>”</w:t>
      </w:r>
    </w:p>
    <w:p w14:paraId="51D22F38" w14:textId="77777777" w:rsidR="009229FD" w:rsidRPr="00A37605" w:rsidRDefault="009229FD" w:rsidP="009229FD">
      <w:pPr>
        <w:spacing w:after="0" w:line="240" w:lineRule="auto"/>
        <w:ind w:left="709" w:right="709"/>
        <w:jc w:val="both"/>
        <w:rPr>
          <w:rFonts w:ascii="Verdana" w:eastAsia="Century Gothic" w:hAnsi="Verdana" w:cs="Century Gothic"/>
          <w:b/>
          <w:bCs/>
          <w:lang w:val="es-ES"/>
        </w:rPr>
      </w:pPr>
    </w:p>
    <w:p w14:paraId="790F11FB" w14:textId="77777777" w:rsidR="00A37605" w:rsidRPr="00A37605" w:rsidRDefault="00A37605" w:rsidP="00A74496">
      <w:pPr>
        <w:spacing w:after="120" w:line="276" w:lineRule="auto"/>
        <w:jc w:val="both"/>
        <w:rPr>
          <w:rFonts w:ascii="Verdana" w:eastAsia="Calibri" w:hAnsi="Verdana" w:cs="Arial"/>
          <w:szCs w:val="24"/>
          <w:lang w:val="es-ES_tradnl" w:eastAsia="es-ES_tradnl"/>
        </w:rPr>
      </w:pPr>
      <w:r w:rsidRPr="00A37605">
        <w:rPr>
          <w:rFonts w:ascii="Verdana" w:eastAsia="Calibri" w:hAnsi="Verdana" w:cs="Arial"/>
          <w:lang w:val="es-ES" w:eastAsia="es-ES"/>
        </w:rPr>
        <w:t xml:space="preserve">De manera preliminar, resulta necesario resaltar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w:t>
      </w:r>
      <w:r w:rsidRPr="00A37605">
        <w:rPr>
          <w:rFonts w:ascii="Verdana" w:eastAsia="Calibri" w:hAnsi="Verdana" w:cs="Arial"/>
          <w:lang w:val="es-ES" w:eastAsia="es-ES"/>
        </w:rPr>
        <w:lastRenderedPageBreak/>
        <w:t xml:space="preserve">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A37605">
        <w:rPr>
          <w:rFonts w:ascii="Verdana" w:eastAsia="Calibri" w:hAnsi="Verdana" w:cs="Arial"/>
          <w:szCs w:val="24"/>
          <w:lang w:val="es-ES_tradnl" w:eastAsia="es-ES_tradnl"/>
        </w:rPr>
        <w:tab/>
      </w:r>
    </w:p>
    <w:p w14:paraId="5231C058" w14:textId="77777777" w:rsidR="00A37605" w:rsidRPr="00A37605" w:rsidRDefault="00A37605" w:rsidP="00A74496">
      <w:pPr>
        <w:spacing w:after="0" w:line="276" w:lineRule="auto"/>
        <w:jc w:val="both"/>
        <w:rPr>
          <w:rFonts w:ascii="Verdana" w:eastAsia="Calibri" w:hAnsi="Verdana" w:cs="Arial"/>
          <w:lang w:val="es-ES" w:eastAsia="es-ES"/>
        </w:rPr>
      </w:pPr>
      <w:r w:rsidRPr="00A37605">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59ACDB0A" w14:textId="77777777" w:rsidR="00A37605" w:rsidRPr="00A37605" w:rsidRDefault="00A37605" w:rsidP="00A37605">
      <w:pPr>
        <w:spacing w:after="0" w:line="276" w:lineRule="auto"/>
        <w:ind w:firstLine="709"/>
        <w:jc w:val="both"/>
        <w:rPr>
          <w:rFonts w:ascii="Verdana" w:eastAsia="Calibri" w:hAnsi="Verdana" w:cs="Arial"/>
          <w:lang w:val="es-ES" w:eastAsia="es-ES"/>
        </w:rPr>
      </w:pPr>
    </w:p>
    <w:p w14:paraId="575BFE20" w14:textId="26933C60" w:rsidR="00A37605" w:rsidRPr="00A37605" w:rsidRDefault="00CD6C23" w:rsidP="00A37605">
      <w:pPr>
        <w:numPr>
          <w:ilvl w:val="0"/>
          <w:numId w:val="17"/>
        </w:numPr>
        <w:tabs>
          <w:tab w:val="left" w:pos="142"/>
          <w:tab w:val="left" w:pos="284"/>
        </w:tabs>
        <w:spacing w:after="0" w:line="276" w:lineRule="auto"/>
        <w:ind w:left="0" w:firstLine="0"/>
        <w:contextualSpacing/>
        <w:jc w:val="both"/>
        <w:rPr>
          <w:rFonts w:ascii="Verdana" w:eastAsia="Century Gothic" w:hAnsi="Verdana" w:cs="Century Gothic"/>
          <w:b/>
          <w:bCs/>
          <w:lang w:val="es-ES"/>
        </w:rPr>
      </w:pPr>
      <w:r>
        <w:rPr>
          <w:rFonts w:ascii="Verdana" w:eastAsia="Century Gothic" w:hAnsi="Verdana" w:cs="Century Gothic"/>
          <w:b/>
          <w:bCs/>
          <w:lang w:val="es-ES"/>
        </w:rPr>
        <w:t>Problema</w:t>
      </w:r>
      <w:r w:rsidRPr="00A37605">
        <w:rPr>
          <w:rFonts w:ascii="Verdana" w:eastAsia="Century Gothic" w:hAnsi="Verdana" w:cs="Century Gothic"/>
          <w:b/>
          <w:bCs/>
          <w:lang w:val="es-ES"/>
        </w:rPr>
        <w:t xml:space="preserve"> </w:t>
      </w:r>
      <w:r w:rsidR="00A37605" w:rsidRPr="00A37605">
        <w:rPr>
          <w:rFonts w:ascii="Verdana" w:eastAsia="Century Gothic" w:hAnsi="Verdana" w:cs="Century Gothic"/>
          <w:b/>
          <w:bCs/>
          <w:lang w:val="es-ES"/>
        </w:rPr>
        <w:t>plantead</w:t>
      </w:r>
      <w:r>
        <w:rPr>
          <w:rFonts w:ascii="Verdana" w:eastAsia="Century Gothic" w:hAnsi="Verdana" w:cs="Century Gothic"/>
          <w:b/>
          <w:bCs/>
          <w:lang w:val="es-ES"/>
        </w:rPr>
        <w:t>o</w:t>
      </w:r>
      <w:r w:rsidR="00A37605" w:rsidRPr="00A37605">
        <w:rPr>
          <w:rFonts w:ascii="Verdana" w:eastAsia="Century Gothic" w:hAnsi="Verdana" w:cs="Century Gothic"/>
          <w:b/>
          <w:bCs/>
          <w:lang w:val="es-ES"/>
        </w:rPr>
        <w:t>:</w:t>
      </w:r>
    </w:p>
    <w:p w14:paraId="7F30F640" w14:textId="77777777" w:rsidR="00A37605" w:rsidRPr="00A37605" w:rsidRDefault="00A37605" w:rsidP="00A37605">
      <w:pPr>
        <w:tabs>
          <w:tab w:val="left" w:pos="426"/>
        </w:tabs>
        <w:spacing w:after="0" w:line="276" w:lineRule="auto"/>
        <w:jc w:val="both"/>
        <w:rPr>
          <w:rFonts w:ascii="Verdana" w:eastAsia="Century Gothic" w:hAnsi="Verdana" w:cs="Century Gothic"/>
          <w:lang w:val="es-ES"/>
        </w:rPr>
      </w:pPr>
    </w:p>
    <w:p w14:paraId="04E1B077" w14:textId="2A35CEEF" w:rsidR="00A75433" w:rsidRDefault="00A37605" w:rsidP="00A37605">
      <w:pPr>
        <w:spacing w:after="0" w:line="276" w:lineRule="auto"/>
        <w:jc w:val="both"/>
        <w:rPr>
          <w:rFonts w:ascii="Verdana" w:eastAsia="Century Gothic" w:hAnsi="Verdana" w:cs="Century Gothic"/>
        </w:rPr>
      </w:pPr>
      <w:r w:rsidRPr="00A37605">
        <w:rPr>
          <w:rFonts w:ascii="Verdana" w:eastAsia="Century Gothic" w:hAnsi="Verdana" w:cs="Century Gothic"/>
        </w:rPr>
        <w:t xml:space="preserve">De acuerdo con el contenido de su solicitud, esta Agencia resolverá </w:t>
      </w:r>
      <w:r w:rsidR="0056753A">
        <w:rPr>
          <w:rFonts w:ascii="Verdana" w:eastAsia="Century Gothic" w:hAnsi="Verdana" w:cs="Century Gothic"/>
        </w:rPr>
        <w:t>el</w:t>
      </w:r>
      <w:r w:rsidRPr="00A37605">
        <w:rPr>
          <w:rFonts w:ascii="Verdana" w:eastAsia="Century Gothic" w:hAnsi="Verdana" w:cs="Century Gothic"/>
        </w:rPr>
        <w:t xml:space="preserve"> siguiente problema jurídico: </w:t>
      </w:r>
    </w:p>
    <w:p w14:paraId="41FAD2BD" w14:textId="77777777" w:rsidR="0056753A" w:rsidRDefault="0056753A" w:rsidP="00A37605">
      <w:pPr>
        <w:spacing w:after="0" w:line="276" w:lineRule="auto"/>
        <w:jc w:val="both"/>
        <w:rPr>
          <w:rFonts w:ascii="Verdana" w:eastAsia="Century Gothic" w:hAnsi="Verdana" w:cs="Century Gothic"/>
        </w:rPr>
      </w:pPr>
    </w:p>
    <w:p w14:paraId="3B880159" w14:textId="25FB7F83" w:rsidR="0056753A" w:rsidRDefault="0056753A" w:rsidP="00A37605">
      <w:pPr>
        <w:spacing w:after="0" w:line="276" w:lineRule="auto"/>
        <w:jc w:val="both"/>
        <w:rPr>
          <w:rFonts w:ascii="Verdana" w:eastAsia="Century Gothic" w:hAnsi="Verdana" w:cs="Century Gothic"/>
        </w:rPr>
      </w:pPr>
      <w:r>
        <w:rPr>
          <w:rFonts w:ascii="Verdana" w:eastAsia="Century Gothic" w:hAnsi="Verdana" w:cs="Century Gothic"/>
        </w:rPr>
        <w:t>¿Puede una persona natural que ejecuta un contrato</w:t>
      </w:r>
      <w:r w:rsidR="00A2064F">
        <w:rPr>
          <w:rFonts w:ascii="Verdana" w:eastAsia="Century Gothic" w:hAnsi="Verdana" w:cs="Century Gothic"/>
        </w:rPr>
        <w:t xml:space="preserve"> </w:t>
      </w:r>
      <w:r>
        <w:rPr>
          <w:rFonts w:ascii="Verdana" w:eastAsia="Century Gothic" w:hAnsi="Verdana" w:cs="Century Gothic"/>
        </w:rPr>
        <w:t xml:space="preserve">aportar como soporte de pago de </w:t>
      </w:r>
      <w:r w:rsidR="00A2064F">
        <w:rPr>
          <w:rFonts w:ascii="Verdana" w:eastAsia="Century Gothic" w:hAnsi="Verdana" w:cs="Century Gothic"/>
        </w:rPr>
        <w:t xml:space="preserve">sus aportes de </w:t>
      </w:r>
      <w:r>
        <w:rPr>
          <w:rFonts w:ascii="Verdana" w:eastAsia="Century Gothic" w:hAnsi="Verdana" w:cs="Century Gothic"/>
        </w:rPr>
        <w:t>seguridad social una certificación firmada por un contador?</w:t>
      </w:r>
    </w:p>
    <w:p w14:paraId="2A5DCA12" w14:textId="77777777" w:rsidR="00D75DF0" w:rsidRPr="00A37605" w:rsidRDefault="00D75DF0" w:rsidP="00A37605">
      <w:pPr>
        <w:spacing w:after="0" w:line="276" w:lineRule="auto"/>
        <w:jc w:val="both"/>
        <w:rPr>
          <w:rFonts w:ascii="Verdana" w:eastAsia="Calibri" w:hAnsi="Verdana" w:cs="Arial"/>
          <w:lang w:val="es-ES"/>
        </w:rPr>
      </w:pPr>
    </w:p>
    <w:p w14:paraId="0F6764C5" w14:textId="77777777" w:rsidR="00A37605" w:rsidRPr="00A37605" w:rsidRDefault="00A37605" w:rsidP="00A37605">
      <w:pPr>
        <w:numPr>
          <w:ilvl w:val="0"/>
          <w:numId w:val="17"/>
        </w:numPr>
        <w:tabs>
          <w:tab w:val="left" w:pos="142"/>
          <w:tab w:val="left" w:pos="284"/>
        </w:tabs>
        <w:spacing w:after="0" w:line="276" w:lineRule="auto"/>
        <w:ind w:left="0" w:firstLine="0"/>
        <w:contextualSpacing/>
        <w:jc w:val="both"/>
        <w:rPr>
          <w:rFonts w:ascii="Verdana" w:eastAsia="Century Gothic" w:hAnsi="Verdana" w:cs="Century Gothic"/>
          <w:b/>
          <w:bCs/>
          <w:lang w:val="es-ES"/>
        </w:rPr>
      </w:pPr>
      <w:r w:rsidRPr="00A37605">
        <w:rPr>
          <w:rFonts w:ascii="Verdana" w:eastAsia="Century Gothic" w:hAnsi="Verdana" w:cs="Century Gothic"/>
          <w:b/>
          <w:bCs/>
          <w:lang w:val="es-ES"/>
        </w:rPr>
        <w:t>Respuesta:</w:t>
      </w:r>
    </w:p>
    <w:p w14:paraId="0C91991C" w14:textId="77777777" w:rsidR="00A37605" w:rsidRPr="00A37605" w:rsidRDefault="00A37605" w:rsidP="00A37605">
      <w:pPr>
        <w:tabs>
          <w:tab w:val="left" w:pos="142"/>
          <w:tab w:val="left" w:pos="284"/>
        </w:tabs>
        <w:spacing w:after="0" w:line="276" w:lineRule="auto"/>
        <w:jc w:val="both"/>
        <w:rPr>
          <w:rFonts w:ascii="Verdana" w:eastAsia="Century Gothic" w:hAnsi="Verdana" w:cs="Century Gothic"/>
          <w:b/>
          <w:bCs/>
          <w:lang w:val="es-ES"/>
        </w:rPr>
      </w:pPr>
    </w:p>
    <w:tbl>
      <w:tblPr>
        <w:tblStyle w:val="Tablaconcuadrcula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A37605" w:rsidRPr="00A37605" w14:paraId="18868884" w14:textId="77777777" w:rsidTr="00A37605">
        <w:tc>
          <w:tcPr>
            <w:tcW w:w="8828" w:type="dxa"/>
            <w:tcBorders>
              <w:top w:val="dotted" w:sz="4" w:space="0" w:color="auto"/>
              <w:left w:val="dotted" w:sz="4" w:space="0" w:color="auto"/>
              <w:bottom w:val="dotted" w:sz="4" w:space="0" w:color="auto"/>
              <w:right w:val="dotted" w:sz="4" w:space="0" w:color="auto"/>
            </w:tcBorders>
          </w:tcPr>
          <w:p w14:paraId="24078795" w14:textId="77777777" w:rsidR="00A2064F" w:rsidRDefault="009A7FE0" w:rsidP="00A2064F">
            <w:pPr>
              <w:spacing w:line="276" w:lineRule="auto"/>
              <w:jc w:val="both"/>
              <w:rPr>
                <w:rFonts w:ascii="Verdana" w:eastAsia="Calibri" w:hAnsi="Verdana" w:cs="Arial"/>
                <w:lang w:eastAsia="es-ES_tradnl"/>
              </w:rPr>
            </w:pPr>
            <w:r w:rsidRPr="00A2064F">
              <w:rPr>
                <w:rFonts w:ascii="Verdana" w:eastAsia="Calibri" w:hAnsi="Verdana" w:cs="Arial"/>
                <w:lang w:eastAsia="es-ES_tradnl"/>
              </w:rPr>
              <w:t>No</w:t>
            </w:r>
            <w:r w:rsidR="00A2064F" w:rsidRPr="00A2064F">
              <w:rPr>
                <w:rFonts w:ascii="Verdana" w:eastAsia="Calibri" w:hAnsi="Verdana" w:cs="Arial"/>
                <w:lang w:eastAsia="es-ES_tradnl"/>
              </w:rPr>
              <w:t>, una persona natural</w:t>
            </w:r>
            <w:r w:rsidR="00A2064F">
              <w:rPr>
                <w:rFonts w:ascii="Verdana" w:eastAsia="Calibri" w:hAnsi="Verdana" w:cs="Arial"/>
                <w:lang w:eastAsia="es-ES_tradnl"/>
              </w:rPr>
              <w:t xml:space="preserve"> que se encuentra ejecutando un contrato </w:t>
            </w:r>
            <w:r w:rsidR="00A2064F" w:rsidRPr="00A2064F">
              <w:rPr>
                <w:rFonts w:ascii="Verdana" w:eastAsia="Calibri" w:hAnsi="Verdana" w:cs="Arial"/>
                <w:lang w:eastAsia="es-ES_tradnl"/>
              </w:rPr>
              <w:t>no puede demostrar el pago de sus aportes de seguridad social con una certificación emitida por un contador público</w:t>
            </w:r>
            <w:r w:rsidRPr="00A2064F">
              <w:rPr>
                <w:rFonts w:ascii="Verdana" w:eastAsia="Calibri" w:hAnsi="Verdana" w:cs="Arial"/>
                <w:lang w:eastAsia="es-ES_tradnl"/>
              </w:rPr>
              <w:t xml:space="preserve">, debido a lo establecido en </w:t>
            </w:r>
            <w:r w:rsidR="00A2064F">
              <w:rPr>
                <w:rFonts w:ascii="Verdana" w:eastAsia="Calibri" w:hAnsi="Verdana" w:cs="Arial"/>
                <w:lang w:eastAsia="es-ES_tradnl"/>
              </w:rPr>
              <w:t xml:space="preserve">el </w:t>
            </w:r>
            <w:r w:rsidR="00A2064F" w:rsidRPr="00A2064F">
              <w:rPr>
                <w:rFonts w:ascii="Verdana" w:eastAsia="Calibri" w:hAnsi="Verdana" w:cs="Arial"/>
                <w:lang w:eastAsia="es-ES_tradnl"/>
              </w:rPr>
              <w:t>artículo 18 de la Ley 1122 de 2007</w:t>
            </w:r>
            <w:r w:rsidR="00A2064F">
              <w:rPr>
                <w:rFonts w:ascii="Verdana" w:eastAsia="Calibri" w:hAnsi="Verdana" w:cs="Arial"/>
                <w:lang w:eastAsia="es-ES_tradnl"/>
              </w:rPr>
              <w:t xml:space="preserve">, </w:t>
            </w:r>
            <w:r w:rsidR="00A2064F" w:rsidRPr="00A2064F">
              <w:rPr>
                <w:rFonts w:ascii="Verdana" w:eastAsia="Calibri" w:hAnsi="Verdana" w:cs="Arial"/>
                <w:lang w:eastAsia="es-ES_tradnl"/>
              </w:rPr>
              <w:t>norma que establece que la cotización de los independientes contratistas de prestación de servicios se efectuará: “(…) sobre una base de la cotización máxima de un 40% del valor mensualizado del contrato””.</w:t>
            </w:r>
          </w:p>
          <w:p w14:paraId="3D47814A" w14:textId="77777777" w:rsidR="00A2064F" w:rsidRDefault="00A2064F" w:rsidP="00A2064F">
            <w:pPr>
              <w:spacing w:line="276" w:lineRule="auto"/>
              <w:jc w:val="both"/>
              <w:rPr>
                <w:rFonts w:ascii="Verdana" w:eastAsia="Calibri" w:hAnsi="Verdana" w:cs="Arial"/>
                <w:lang w:eastAsia="es-ES_tradnl"/>
              </w:rPr>
            </w:pPr>
          </w:p>
          <w:p w14:paraId="4B22FE67" w14:textId="09D683F5" w:rsidR="006A54BE" w:rsidRPr="006A54BE" w:rsidRDefault="006A54BE" w:rsidP="00A2064F">
            <w:pPr>
              <w:spacing w:line="276" w:lineRule="auto"/>
              <w:jc w:val="both"/>
              <w:rPr>
                <w:rFonts w:ascii="Verdana" w:eastAsia="Calibri" w:hAnsi="Verdana" w:cs="Arial"/>
                <w:lang w:val="es-ES_tradnl" w:eastAsia="es-ES_tradnl"/>
              </w:rPr>
            </w:pPr>
            <w:r>
              <w:rPr>
                <w:rFonts w:ascii="Verdana" w:eastAsia="Calibri" w:hAnsi="Verdana" w:cs="Arial"/>
                <w:lang w:eastAsia="es-ES_tradnl"/>
              </w:rPr>
              <w:t>Además s</w:t>
            </w:r>
            <w:r w:rsidR="00A2064F">
              <w:rPr>
                <w:rFonts w:ascii="Verdana" w:eastAsia="Calibri" w:hAnsi="Verdana" w:cs="Arial"/>
                <w:lang w:eastAsia="es-ES_tradnl"/>
              </w:rPr>
              <w:t xml:space="preserve">e debe tener en cuenta también lo planteado en el </w:t>
            </w:r>
            <w:r w:rsidR="00A2064F" w:rsidRPr="00A2064F">
              <w:rPr>
                <w:rFonts w:ascii="Verdana" w:eastAsia="Calibri" w:hAnsi="Verdana" w:cs="Arial"/>
                <w:lang w:val="es-ES_tradnl" w:eastAsia="es-ES_tradnl"/>
              </w:rPr>
              <w:t>el artículo 50 de la Ley 789 de 2002</w:t>
            </w:r>
            <w:r>
              <w:rPr>
                <w:rFonts w:ascii="Verdana" w:eastAsia="Calibri" w:hAnsi="Verdana" w:cs="Arial"/>
                <w:lang w:val="es-ES_tradnl" w:eastAsia="es-ES_tradnl"/>
              </w:rPr>
              <w:t xml:space="preserve"> el cual acepta como forma de prueba del pago de los aportes de seguridad social integral de los empleados de una persona jurídica una certificación emitida por el revisor fiscal de la misma o su representante legal, si y solo si en el momento en el que se presenta la oferta para contratar </w:t>
            </w:r>
            <w:r>
              <w:rPr>
                <w:rFonts w:ascii="Verdana" w:eastAsia="Calibri" w:hAnsi="Verdana" w:cs="Arial"/>
                <w:lang w:val="es-ES_tradnl" w:eastAsia="es-ES_tradnl"/>
              </w:rPr>
              <w:lastRenderedPageBreak/>
              <w:t>con una entidad estatal, pero este no es el caso de la consulta que nos atañe, toda vez que en este caso particular se trata de una persona natural.</w:t>
            </w:r>
          </w:p>
        </w:tc>
      </w:tr>
    </w:tbl>
    <w:p w14:paraId="56BB8789" w14:textId="77777777" w:rsidR="00A37605" w:rsidRPr="00A37605" w:rsidRDefault="00A37605" w:rsidP="00A37605">
      <w:pPr>
        <w:tabs>
          <w:tab w:val="left" w:pos="142"/>
          <w:tab w:val="left" w:pos="284"/>
        </w:tabs>
        <w:spacing w:after="0" w:line="276" w:lineRule="auto"/>
        <w:jc w:val="both"/>
        <w:rPr>
          <w:rFonts w:ascii="Verdana" w:eastAsia="Century Gothic" w:hAnsi="Verdana" w:cs="Century Gothic"/>
          <w:b/>
          <w:bCs/>
          <w:lang w:val="es-ES"/>
        </w:rPr>
      </w:pPr>
    </w:p>
    <w:p w14:paraId="734B65B6" w14:textId="77777777" w:rsidR="00A37605" w:rsidRPr="00A37605" w:rsidRDefault="00A37605" w:rsidP="00A37605">
      <w:pPr>
        <w:numPr>
          <w:ilvl w:val="0"/>
          <w:numId w:val="17"/>
        </w:numPr>
        <w:tabs>
          <w:tab w:val="left" w:pos="142"/>
          <w:tab w:val="left" w:pos="284"/>
        </w:tabs>
        <w:spacing w:after="0" w:line="276" w:lineRule="auto"/>
        <w:ind w:left="0" w:firstLine="0"/>
        <w:contextualSpacing/>
        <w:jc w:val="both"/>
        <w:rPr>
          <w:rFonts w:ascii="Verdana" w:eastAsia="Century Gothic" w:hAnsi="Verdana" w:cs="Century Gothic"/>
          <w:b/>
          <w:bCs/>
          <w:lang w:val="es-ES"/>
        </w:rPr>
      </w:pPr>
      <w:r w:rsidRPr="00A37605">
        <w:rPr>
          <w:rFonts w:ascii="Verdana" w:eastAsia="Century Gothic" w:hAnsi="Verdana" w:cs="Century Gothic"/>
          <w:b/>
          <w:bCs/>
          <w:lang w:val="es-ES"/>
        </w:rPr>
        <w:t>Razones de la respuesta:</w:t>
      </w:r>
    </w:p>
    <w:p w14:paraId="2E89FA3E" w14:textId="77777777" w:rsidR="00A37605" w:rsidRPr="00A37605" w:rsidRDefault="00A37605" w:rsidP="00A37605">
      <w:pPr>
        <w:spacing w:after="0" w:line="276" w:lineRule="auto"/>
        <w:jc w:val="both"/>
        <w:rPr>
          <w:rFonts w:ascii="Verdana" w:eastAsia="Calibri" w:hAnsi="Verdana" w:cs="Arial"/>
          <w:lang w:val="es-ES"/>
        </w:rPr>
      </w:pPr>
    </w:p>
    <w:p w14:paraId="59C32B60" w14:textId="77777777" w:rsidR="0056753A" w:rsidRDefault="00B454FC" w:rsidP="0056753A">
      <w:pPr>
        <w:spacing w:after="0" w:line="276" w:lineRule="auto"/>
        <w:jc w:val="both"/>
        <w:rPr>
          <w:rFonts w:ascii="Verdana" w:eastAsia="Calibri" w:hAnsi="Verdana" w:cs="Arial"/>
          <w:color w:val="000000" w:themeColor="text1"/>
          <w:lang w:val="es-ES"/>
        </w:rPr>
      </w:pPr>
      <w:r w:rsidRPr="00B454FC">
        <w:rPr>
          <w:rFonts w:ascii="Verdana" w:eastAsia="Calibri" w:hAnsi="Verdana" w:cs="Arial"/>
          <w:color w:val="000000" w:themeColor="text1"/>
          <w:lang w:val="es-ES"/>
        </w:rPr>
        <w:t>Lo anterior se sustenta en las siguientes consideraciones:</w:t>
      </w:r>
    </w:p>
    <w:p w14:paraId="6E44F5FC" w14:textId="77777777" w:rsidR="009A7FE0" w:rsidRDefault="009A7FE0" w:rsidP="0056753A">
      <w:pPr>
        <w:spacing w:after="0" w:line="276" w:lineRule="auto"/>
        <w:jc w:val="both"/>
        <w:rPr>
          <w:rFonts w:ascii="Verdana" w:eastAsia="Calibri" w:hAnsi="Verdana" w:cs="Arial"/>
          <w:color w:val="000000" w:themeColor="text1"/>
          <w:lang w:val="es-ES"/>
        </w:rPr>
      </w:pPr>
    </w:p>
    <w:p w14:paraId="5499F715" w14:textId="39CAB651" w:rsidR="0056753A" w:rsidRPr="0056753A" w:rsidRDefault="0056753A" w:rsidP="0056753A">
      <w:pPr>
        <w:pStyle w:val="Prrafodelista"/>
        <w:numPr>
          <w:ilvl w:val="0"/>
          <w:numId w:val="36"/>
        </w:numPr>
        <w:spacing w:after="0" w:line="276" w:lineRule="auto"/>
        <w:jc w:val="both"/>
        <w:rPr>
          <w:rFonts w:ascii="Verdana" w:eastAsia="Calibri" w:hAnsi="Verdana" w:cs="Arial"/>
          <w:color w:val="000000" w:themeColor="text1"/>
        </w:rPr>
      </w:pPr>
      <w:r w:rsidRPr="0056753A">
        <w:rPr>
          <w:rFonts w:ascii="Verdana" w:hAnsi="Verdana" w:cs="Arial"/>
        </w:rPr>
        <w:t>La Seguridad Social es un servicio público obligatorio, cuya dirección, coordinación y control está a cargo del Estado y es prestado por Entidades Públicas y privadas. Mediante esta se evitan desequilibrios económicos y sociales que, de no resolverse, significarían la reducción o la pérdida de los ingresos por causa de contingencias como la enfermedad, los accidentes, la maternidad o el desempleo, entre otras. De acuerdo con la Ley 100 de 1993, el Sistema de Seguridad Social Integral en Colombia se compone de los sistemas de pensiones, de salud y de riesgos laborales y de los servicios sociales complementarios.</w:t>
      </w:r>
      <w:bookmarkStart w:id="1" w:name="_Hlk173765827"/>
    </w:p>
    <w:p w14:paraId="7B652FB1" w14:textId="77777777" w:rsidR="0056753A" w:rsidRDefault="0056753A" w:rsidP="0056753A">
      <w:pPr>
        <w:spacing w:after="0" w:line="276" w:lineRule="auto"/>
        <w:jc w:val="both"/>
        <w:rPr>
          <w:rFonts w:ascii="Verdana" w:eastAsia="Calibri" w:hAnsi="Verdana" w:cs="Arial"/>
          <w:color w:val="000000" w:themeColor="text1"/>
        </w:rPr>
      </w:pPr>
    </w:p>
    <w:p w14:paraId="7588F4E0" w14:textId="0B4CF21C" w:rsidR="0056753A" w:rsidRDefault="0056753A" w:rsidP="0056753A">
      <w:pPr>
        <w:pStyle w:val="Prrafodelista"/>
        <w:numPr>
          <w:ilvl w:val="0"/>
          <w:numId w:val="36"/>
        </w:numPr>
        <w:spacing w:after="0" w:line="276" w:lineRule="auto"/>
        <w:jc w:val="both"/>
        <w:rPr>
          <w:rFonts w:ascii="Verdana" w:eastAsia="Calibri" w:hAnsi="Verdana" w:cs="Arial"/>
          <w:color w:val="000000" w:themeColor="text1"/>
        </w:rPr>
      </w:pPr>
      <w:r w:rsidRPr="0056753A">
        <w:rPr>
          <w:rFonts w:ascii="Verdana" w:eastAsia="Calibri" w:hAnsi="Verdana" w:cs="Arial"/>
          <w:color w:val="000000" w:themeColor="text1"/>
        </w:rPr>
        <w:t>En materia de contratación estatal, el artículo 50 de la Ley 789 de 2002 dispuso como obligación de quien quiere celebrar, renovar o liquidar contratos de cualquier naturaleza con entidades del sector público, cumplir con las obligaciones a los sistemas de salud, riesgos profesionales, pensiones y aportes a la Caja de Compensación Familiar, Instituto Colombiano de Bienestar Familiar y Servicio Nacional de Aprendizaje. Así mismo, se facultó a la Entidad Estatal, al momento de liquidar los contratos, para verificar y dejar constancia del cumplimiento de las obligaciones del contratista frente a los aportes mencionados durante toda su vigencia, estableciendo una correcta relación entre el monto cancelado y las sumas que debió cotizar</w:t>
      </w:r>
      <w:r>
        <w:rPr>
          <w:rFonts w:ascii="Verdana" w:eastAsia="Calibri" w:hAnsi="Verdana" w:cs="Arial"/>
          <w:color w:val="000000" w:themeColor="text1"/>
        </w:rPr>
        <w:t>.</w:t>
      </w:r>
    </w:p>
    <w:p w14:paraId="09AAC1AE" w14:textId="77777777" w:rsidR="0056753A" w:rsidRPr="0056753A" w:rsidRDefault="0056753A" w:rsidP="0056753A">
      <w:pPr>
        <w:pStyle w:val="Prrafodelista"/>
        <w:rPr>
          <w:rFonts w:ascii="Verdana" w:eastAsia="Calibri" w:hAnsi="Verdana" w:cs="Arial"/>
          <w:color w:val="000000" w:themeColor="text1"/>
        </w:rPr>
      </w:pPr>
    </w:p>
    <w:p w14:paraId="317A0106" w14:textId="36D15E74" w:rsidR="0056753A" w:rsidRPr="009A7FE0" w:rsidRDefault="009A7FE0" w:rsidP="0056753A">
      <w:pPr>
        <w:pStyle w:val="Prrafodelista"/>
        <w:numPr>
          <w:ilvl w:val="0"/>
          <w:numId w:val="36"/>
        </w:numPr>
        <w:spacing w:after="0" w:line="276" w:lineRule="auto"/>
        <w:jc w:val="both"/>
        <w:rPr>
          <w:rFonts w:ascii="Verdana" w:eastAsia="Calibri" w:hAnsi="Verdana" w:cs="Arial"/>
          <w:color w:val="000000" w:themeColor="text1"/>
        </w:rPr>
      </w:pPr>
      <w:r>
        <w:rPr>
          <w:rFonts w:ascii="Verdana" w:eastAsia="Calibri" w:hAnsi="Verdana" w:cs="Arial"/>
          <w:color w:val="000000" w:themeColor="text1"/>
        </w:rPr>
        <w:t xml:space="preserve">Tenemos entonces que </w:t>
      </w:r>
      <w:r w:rsidRPr="009A7FE0">
        <w:rPr>
          <w:rFonts w:ascii="Verdana" w:eastAsia="Calibri" w:hAnsi="Verdana" w:cs="Arial"/>
          <w:color w:val="000000" w:themeColor="text1"/>
          <w:lang w:val="es-CO"/>
        </w:rPr>
        <w:t xml:space="preserve">la verificación de los aportes al Sistema de Seguridad Social cambia, dependiendo si se trata de una persona natural o de una jurídica: i) si es una </w:t>
      </w:r>
      <w:r w:rsidRPr="009A7FE0">
        <w:rPr>
          <w:rFonts w:ascii="Verdana" w:eastAsia="Calibri" w:hAnsi="Verdana" w:cs="Arial"/>
          <w:i/>
          <w:color w:val="000000" w:themeColor="text1"/>
          <w:lang w:val="es-CO"/>
        </w:rPr>
        <w:t>natural</w:t>
      </w:r>
      <w:r w:rsidRPr="009A7FE0">
        <w:rPr>
          <w:rFonts w:ascii="Verdana" w:eastAsia="Calibri" w:hAnsi="Verdana" w:cs="Arial"/>
          <w:color w:val="000000" w:themeColor="text1"/>
          <w:lang w:val="es-CO"/>
        </w:rPr>
        <w:t xml:space="preserve">, la Entidad Estatal verificará el pago al Sistema de Seguridad Social Integral cuando se realicen los pagos del contrato, es decir, durante su ejecución y </w:t>
      </w:r>
      <w:proofErr w:type="spellStart"/>
      <w:r w:rsidRPr="009A7FE0">
        <w:rPr>
          <w:rFonts w:ascii="Verdana" w:eastAsia="Calibri" w:hAnsi="Verdana" w:cs="Arial"/>
          <w:color w:val="000000" w:themeColor="text1"/>
          <w:lang w:val="es-CO"/>
        </w:rPr>
        <w:t>ii</w:t>
      </w:r>
      <w:proofErr w:type="spellEnd"/>
      <w:r w:rsidRPr="009A7FE0">
        <w:rPr>
          <w:rFonts w:ascii="Verdana" w:eastAsia="Calibri" w:hAnsi="Verdana" w:cs="Arial"/>
          <w:color w:val="000000" w:themeColor="text1"/>
          <w:lang w:val="es-CO"/>
        </w:rPr>
        <w:t xml:space="preserve">) si se refiere a una </w:t>
      </w:r>
      <w:r w:rsidRPr="009A7FE0">
        <w:rPr>
          <w:rFonts w:ascii="Verdana" w:eastAsia="Calibri" w:hAnsi="Verdana" w:cs="Arial"/>
          <w:i/>
          <w:color w:val="000000" w:themeColor="text1"/>
          <w:lang w:val="es-CO"/>
        </w:rPr>
        <w:t>persona jurídica</w:t>
      </w:r>
      <w:r w:rsidRPr="009A7FE0">
        <w:rPr>
          <w:rFonts w:ascii="Verdana" w:eastAsia="Calibri" w:hAnsi="Verdana" w:cs="Arial"/>
          <w:color w:val="000000" w:themeColor="text1"/>
          <w:lang w:val="es-CO"/>
        </w:rPr>
        <w:t xml:space="preserve">, el comprobante de pago de los aportes al Sistema de Seguridad Social Integral de sus empleados se debe aportar con la presentación de la oferta y constituye un criterio de admisión de esta; sin perjuicio de que </w:t>
      </w:r>
      <w:r w:rsidRPr="009A7FE0">
        <w:rPr>
          <w:rFonts w:ascii="Verdana" w:eastAsia="Calibri" w:hAnsi="Verdana" w:cs="Arial"/>
          <w:color w:val="000000" w:themeColor="text1"/>
          <w:lang w:val="es-CO"/>
        </w:rPr>
        <w:lastRenderedPageBreak/>
        <w:t>durante la ejecución del contrato también se acredite el pago al Sistema de Seguridad Social Integral para pagar las cuentas o facturas.</w:t>
      </w:r>
    </w:p>
    <w:p w14:paraId="25478193" w14:textId="77777777" w:rsidR="009A7FE0" w:rsidRPr="009A7FE0" w:rsidRDefault="009A7FE0" w:rsidP="009A7FE0">
      <w:pPr>
        <w:pStyle w:val="Prrafodelista"/>
        <w:rPr>
          <w:rFonts w:ascii="Verdana" w:eastAsia="Calibri" w:hAnsi="Verdana" w:cs="Arial"/>
          <w:color w:val="000000" w:themeColor="text1"/>
        </w:rPr>
      </w:pPr>
    </w:p>
    <w:p w14:paraId="2F7F59F4" w14:textId="02EBCE5B" w:rsidR="009A7FE0" w:rsidRDefault="009A7FE0" w:rsidP="0056753A">
      <w:pPr>
        <w:pStyle w:val="Prrafodelista"/>
        <w:numPr>
          <w:ilvl w:val="0"/>
          <w:numId w:val="36"/>
        </w:numPr>
        <w:spacing w:after="0" w:line="276" w:lineRule="auto"/>
        <w:jc w:val="both"/>
        <w:rPr>
          <w:rFonts w:ascii="Verdana" w:eastAsia="Calibri" w:hAnsi="Verdana" w:cs="Arial"/>
          <w:color w:val="000000" w:themeColor="text1"/>
        </w:rPr>
      </w:pPr>
      <w:r w:rsidRPr="009A7FE0">
        <w:rPr>
          <w:rFonts w:ascii="Verdana" w:eastAsia="Calibri" w:hAnsi="Verdana" w:cs="Arial"/>
          <w:color w:val="000000" w:themeColor="text1"/>
        </w:rPr>
        <w:t xml:space="preserve">Finalmente, en virtud del artículo 50 de la Ley 789 de 2002, la entidad verificará, </w:t>
      </w:r>
      <w:r>
        <w:rPr>
          <w:rFonts w:ascii="Verdana" w:eastAsia="Calibri" w:hAnsi="Verdana" w:cs="Arial"/>
          <w:color w:val="000000" w:themeColor="text1"/>
        </w:rPr>
        <w:t>si la persona natural</w:t>
      </w:r>
      <w:r w:rsidRPr="009A7FE0">
        <w:rPr>
          <w:rFonts w:ascii="Verdana" w:eastAsia="Calibri" w:hAnsi="Verdana" w:cs="Arial"/>
          <w:color w:val="000000" w:themeColor="text1"/>
        </w:rPr>
        <w:t xml:space="preserve">, </w:t>
      </w:r>
      <w:r>
        <w:rPr>
          <w:rFonts w:ascii="Verdana" w:eastAsia="Calibri" w:hAnsi="Verdana" w:cs="Arial"/>
          <w:color w:val="000000" w:themeColor="text1"/>
        </w:rPr>
        <w:t xml:space="preserve">realizo </w:t>
      </w:r>
      <w:r w:rsidRPr="009A7FE0">
        <w:rPr>
          <w:rFonts w:ascii="Verdana" w:eastAsia="Calibri" w:hAnsi="Verdana" w:cs="Arial"/>
          <w:color w:val="000000" w:themeColor="text1"/>
        </w:rPr>
        <w:t>los aportes al Sistema de Seguridad Social Integral, al momento de su liquidación, y dejarán constancia del cumplimiento de las obligaciones del contratista frente a los aportes mencionados durante toda su vigencia, estableciendo una correcta relación entre el monto cancelado y las sumas que debieron cotizar.</w:t>
      </w:r>
    </w:p>
    <w:p w14:paraId="4F988C9D" w14:textId="77777777" w:rsidR="009A7FE0" w:rsidRPr="009A7FE0" w:rsidRDefault="009A7FE0" w:rsidP="009A7FE0">
      <w:pPr>
        <w:pStyle w:val="Prrafodelista"/>
        <w:rPr>
          <w:rFonts w:ascii="Verdana" w:eastAsia="Calibri" w:hAnsi="Verdana" w:cs="Arial"/>
          <w:color w:val="000000" w:themeColor="text1"/>
        </w:rPr>
      </w:pPr>
    </w:p>
    <w:p w14:paraId="139175BF" w14:textId="34543A4C" w:rsidR="009A7FE0" w:rsidRDefault="009A7FE0" w:rsidP="0056753A">
      <w:pPr>
        <w:pStyle w:val="Prrafodelista"/>
        <w:numPr>
          <w:ilvl w:val="0"/>
          <w:numId w:val="36"/>
        </w:numPr>
        <w:spacing w:after="0" w:line="276" w:lineRule="auto"/>
        <w:jc w:val="both"/>
        <w:rPr>
          <w:rFonts w:ascii="Verdana" w:eastAsia="Calibri" w:hAnsi="Verdana" w:cs="Arial"/>
          <w:color w:val="000000" w:themeColor="text1"/>
        </w:rPr>
      </w:pPr>
      <w:r w:rsidRPr="009A7FE0">
        <w:rPr>
          <w:rFonts w:ascii="Verdana" w:eastAsia="Calibri" w:hAnsi="Verdana" w:cs="Arial"/>
          <w:color w:val="000000" w:themeColor="text1"/>
        </w:rPr>
        <w:t>Ahora bien, la Ley 1955 de 2019 reguló el tema de las cotizaciones al Sistema de Seguridad Social Integral en el artículo 244, señalando que los trabajadores independientes con ingresos superiores a un (1) salario mínimo legal mensual vigente, que celebren contratos de prestación de servicios personales, cotizarán mes vencido al Sistema de Seguridad Social Integral sobre una base mínima del cuarenta por ciento (40%) del valor mensualizado del contrato, sin incluir el valor del Impuesto al Valor Agregado (IVA)</w:t>
      </w:r>
      <w:r w:rsidR="006A54BE">
        <w:rPr>
          <w:rStyle w:val="Refdenotaalpie"/>
          <w:rFonts w:ascii="Verdana" w:eastAsia="Calibri" w:hAnsi="Verdana" w:cs="Arial"/>
          <w:color w:val="000000" w:themeColor="text1"/>
        </w:rPr>
        <w:footnoteReference w:id="2"/>
      </w:r>
      <w:r w:rsidRPr="009A7FE0">
        <w:rPr>
          <w:rFonts w:ascii="Verdana" w:eastAsia="Calibri" w:hAnsi="Verdana" w:cs="Arial"/>
          <w:color w:val="000000" w:themeColor="text1"/>
        </w:rPr>
        <w:t>.</w:t>
      </w:r>
    </w:p>
    <w:p w14:paraId="695C0AEA" w14:textId="77777777" w:rsidR="009A7FE0" w:rsidRPr="009A7FE0" w:rsidRDefault="009A7FE0" w:rsidP="009A7FE0">
      <w:pPr>
        <w:pStyle w:val="Prrafodelista"/>
        <w:rPr>
          <w:rFonts w:ascii="Verdana" w:eastAsia="Calibri" w:hAnsi="Verdana" w:cs="Arial"/>
          <w:color w:val="000000" w:themeColor="text1"/>
        </w:rPr>
      </w:pPr>
    </w:p>
    <w:p w14:paraId="0FDB51BD" w14:textId="59745523" w:rsidR="009A7FE0" w:rsidRDefault="009A7FE0" w:rsidP="0056753A">
      <w:pPr>
        <w:pStyle w:val="Prrafodelista"/>
        <w:numPr>
          <w:ilvl w:val="0"/>
          <w:numId w:val="36"/>
        </w:numPr>
        <w:spacing w:after="0" w:line="276" w:lineRule="auto"/>
        <w:jc w:val="both"/>
        <w:rPr>
          <w:rFonts w:ascii="Verdana" w:eastAsia="Calibri" w:hAnsi="Verdana" w:cs="Arial"/>
          <w:color w:val="000000" w:themeColor="text1"/>
        </w:rPr>
      </w:pPr>
      <w:r w:rsidRPr="009A7FE0">
        <w:rPr>
          <w:rFonts w:ascii="Verdana" w:eastAsia="Calibri" w:hAnsi="Verdana" w:cs="Arial"/>
          <w:color w:val="000000" w:themeColor="text1"/>
        </w:rPr>
        <w:lastRenderedPageBreak/>
        <w:t>Dicha norma fue declara inexequible por la Corte Constitucional en la sentencia C-068 de 2020 por infringir el principio de unidad de materia, no obstante, el fallo difirió los efectos de esta decisión hasta el vencimiento de las dos legislaturas posteriores a la notificación del fallo</w:t>
      </w:r>
      <w:r w:rsidR="006A54BE">
        <w:rPr>
          <w:rStyle w:val="Refdenotaalpie"/>
          <w:rFonts w:ascii="Verdana" w:eastAsia="Calibri" w:hAnsi="Verdana" w:cs="Arial"/>
          <w:color w:val="000000" w:themeColor="text1"/>
        </w:rPr>
        <w:footnoteReference w:id="3"/>
      </w:r>
      <w:r w:rsidRPr="009A7FE0">
        <w:rPr>
          <w:rFonts w:ascii="Verdana" w:eastAsia="Calibri" w:hAnsi="Verdana" w:cs="Arial"/>
          <w:color w:val="000000" w:themeColor="text1"/>
        </w:rPr>
        <w:t>, condición que se cumplió en el mes de junio del año 2022. En consecuencia, dicho artículo ya no está vigente a la fecha.</w:t>
      </w:r>
    </w:p>
    <w:p w14:paraId="2EE70844" w14:textId="77777777" w:rsidR="009A7FE0" w:rsidRPr="009A7FE0" w:rsidRDefault="009A7FE0" w:rsidP="009A7FE0">
      <w:pPr>
        <w:pStyle w:val="Prrafodelista"/>
        <w:rPr>
          <w:rFonts w:ascii="Verdana" w:eastAsia="Calibri" w:hAnsi="Verdana" w:cs="Arial"/>
          <w:color w:val="000000" w:themeColor="text1"/>
        </w:rPr>
      </w:pPr>
    </w:p>
    <w:p w14:paraId="700B82AA" w14:textId="177A2C26" w:rsidR="009A7FE0" w:rsidRDefault="009A7FE0" w:rsidP="0056753A">
      <w:pPr>
        <w:pStyle w:val="Prrafodelista"/>
        <w:numPr>
          <w:ilvl w:val="0"/>
          <w:numId w:val="36"/>
        </w:numPr>
        <w:spacing w:after="0" w:line="276" w:lineRule="auto"/>
        <w:jc w:val="both"/>
        <w:rPr>
          <w:rFonts w:ascii="Verdana" w:eastAsia="Calibri" w:hAnsi="Verdana" w:cs="Arial"/>
          <w:color w:val="000000" w:themeColor="text1"/>
        </w:rPr>
      </w:pPr>
      <w:r w:rsidRPr="009A7FE0">
        <w:rPr>
          <w:rFonts w:ascii="Verdana" w:eastAsia="Calibri" w:hAnsi="Verdana" w:cs="Arial"/>
          <w:color w:val="000000" w:themeColor="text1"/>
        </w:rPr>
        <w:t>Sin perjuicio de lo anterior, el Ministerio de Trabajo emitió el Concepto Unificado rad. 08SE202223000000035861 de 2 de agosto de 2022, con ocasión de la efectividad de la exequibilidad del artículo 244 de la Ley 1955 de 2019 y la forma en que cotizan los trabajadores independientes, para concluir que esta no cambió, toda vez que operó la reviviscencia del “</w:t>
      </w:r>
      <w:r w:rsidRPr="006A54BE">
        <w:rPr>
          <w:rFonts w:ascii="Verdana" w:eastAsia="Calibri" w:hAnsi="Verdana" w:cs="Arial"/>
          <w:color w:val="000000" w:themeColor="text1"/>
        </w:rPr>
        <w:t>artículo 18 de la Ley 1122 de 2007</w:t>
      </w:r>
      <w:r w:rsidRPr="009A7FE0">
        <w:rPr>
          <w:rFonts w:ascii="Verdana" w:eastAsia="Calibri" w:hAnsi="Verdana" w:cs="Arial"/>
          <w:color w:val="000000" w:themeColor="text1"/>
        </w:rPr>
        <w:t>, norma que establece que la cotización de los independientes contratistas de prestación de servicios se efectuará: “(…) sobre una base de la cotización máxima de un 40% del valor mensualizado del contrato””. De igual forma, frente al pago por mes vencido continúa aplicándose el primer inciso del artículo 3.2.7.6 del Decreto 780 de 2016, norma que dispuso que “el pago por mes vencido de las cotizaciones se debía efectuar a partir del 1 de octubre de 2018”.</w:t>
      </w:r>
    </w:p>
    <w:p w14:paraId="016B3647" w14:textId="77777777" w:rsidR="009A7FE0" w:rsidRPr="009A7FE0" w:rsidRDefault="009A7FE0" w:rsidP="009A7FE0">
      <w:pPr>
        <w:pStyle w:val="Prrafodelista"/>
        <w:rPr>
          <w:rFonts w:ascii="Verdana" w:eastAsia="Calibri" w:hAnsi="Verdana" w:cs="Arial"/>
          <w:color w:val="000000" w:themeColor="text1"/>
        </w:rPr>
      </w:pPr>
    </w:p>
    <w:p w14:paraId="20806097" w14:textId="0A9B0074" w:rsidR="009A7FE0" w:rsidRDefault="009A7FE0" w:rsidP="0056753A">
      <w:pPr>
        <w:pStyle w:val="Prrafodelista"/>
        <w:numPr>
          <w:ilvl w:val="0"/>
          <w:numId w:val="36"/>
        </w:numPr>
        <w:spacing w:after="0" w:line="276" w:lineRule="auto"/>
        <w:jc w:val="both"/>
        <w:rPr>
          <w:rFonts w:ascii="Verdana" w:eastAsia="Calibri" w:hAnsi="Verdana" w:cs="Arial"/>
          <w:color w:val="000000" w:themeColor="text1"/>
        </w:rPr>
      </w:pPr>
      <w:r w:rsidRPr="009A7FE0">
        <w:rPr>
          <w:rFonts w:ascii="Verdana" w:eastAsia="Calibri" w:hAnsi="Verdana" w:cs="Arial"/>
          <w:color w:val="000000" w:themeColor="text1"/>
        </w:rPr>
        <w:t xml:space="preserve">Conforme a lo anterior, actualmente, al pago al Sistema de Seguridad Social Integral por parte de los trabajadores independientes, le aplican las siguientes reglas: i) rige para los trabajadores independientes que celebren contratos de prestación de servicios personales, como los que tienen contratos diferentes a prestación de servicios personales, con ingresos netos iguales o superiores a un (1) salario mínimo legal mensual vigente, </w:t>
      </w:r>
      <w:proofErr w:type="spellStart"/>
      <w:r w:rsidRPr="009A7FE0">
        <w:rPr>
          <w:rFonts w:ascii="Verdana" w:eastAsia="Calibri" w:hAnsi="Verdana" w:cs="Arial"/>
          <w:color w:val="000000" w:themeColor="text1"/>
        </w:rPr>
        <w:t>ii</w:t>
      </w:r>
      <w:proofErr w:type="spellEnd"/>
      <w:r w:rsidRPr="009A7FE0">
        <w:rPr>
          <w:rFonts w:ascii="Verdana" w:eastAsia="Calibri" w:hAnsi="Verdana" w:cs="Arial"/>
          <w:color w:val="000000" w:themeColor="text1"/>
        </w:rPr>
        <w:t xml:space="preserve">) la base mínima de cotización es el cuarenta por ciento (40%) del valor mensualizado de ingresos o del contrato, </w:t>
      </w:r>
      <w:proofErr w:type="spellStart"/>
      <w:r w:rsidRPr="009A7FE0">
        <w:rPr>
          <w:rFonts w:ascii="Verdana" w:eastAsia="Calibri" w:hAnsi="Verdana" w:cs="Arial"/>
          <w:color w:val="000000" w:themeColor="text1"/>
        </w:rPr>
        <w:t>iii</w:t>
      </w:r>
      <w:proofErr w:type="spellEnd"/>
      <w:r w:rsidRPr="009A7FE0">
        <w:rPr>
          <w:rFonts w:ascii="Verdana" w:eastAsia="Calibri" w:hAnsi="Verdana" w:cs="Arial"/>
          <w:color w:val="000000" w:themeColor="text1"/>
        </w:rPr>
        <w:t xml:space="preserve">) la cotización se </w:t>
      </w:r>
      <w:r w:rsidRPr="009A7FE0">
        <w:rPr>
          <w:rFonts w:ascii="Verdana" w:eastAsia="Calibri" w:hAnsi="Verdana" w:cs="Arial"/>
          <w:color w:val="000000" w:themeColor="text1"/>
        </w:rPr>
        <w:lastRenderedPageBreak/>
        <w:t xml:space="preserve">realizará mes vencido, y finalmente, </w:t>
      </w:r>
      <w:proofErr w:type="spellStart"/>
      <w:r w:rsidRPr="009A7FE0">
        <w:rPr>
          <w:rFonts w:ascii="Verdana" w:eastAsia="Calibri" w:hAnsi="Verdana" w:cs="Arial"/>
          <w:color w:val="000000" w:themeColor="text1"/>
        </w:rPr>
        <w:t>iv</w:t>
      </w:r>
      <w:proofErr w:type="spellEnd"/>
      <w:r w:rsidRPr="009A7FE0">
        <w:rPr>
          <w:rFonts w:ascii="Verdana" w:eastAsia="Calibri" w:hAnsi="Verdana" w:cs="Arial"/>
          <w:color w:val="000000" w:themeColor="text1"/>
        </w:rPr>
        <w:t>) el pago lo efectuará directamente el trabajador independiente.</w:t>
      </w:r>
    </w:p>
    <w:p w14:paraId="21EF8DB1" w14:textId="77777777" w:rsidR="009A7FE0" w:rsidRPr="009A7FE0" w:rsidRDefault="009A7FE0" w:rsidP="009A7FE0">
      <w:pPr>
        <w:pStyle w:val="Prrafodelista"/>
        <w:rPr>
          <w:rFonts w:ascii="Verdana" w:eastAsia="Calibri" w:hAnsi="Verdana" w:cs="Arial"/>
          <w:color w:val="000000" w:themeColor="text1"/>
        </w:rPr>
      </w:pPr>
    </w:p>
    <w:p w14:paraId="2E61C5E4" w14:textId="7A8A4989" w:rsidR="009A7FE0" w:rsidRPr="0056753A" w:rsidRDefault="009A7FE0" w:rsidP="0056753A">
      <w:pPr>
        <w:pStyle w:val="Prrafodelista"/>
        <w:numPr>
          <w:ilvl w:val="0"/>
          <w:numId w:val="36"/>
        </w:numPr>
        <w:spacing w:after="0" w:line="276" w:lineRule="auto"/>
        <w:jc w:val="both"/>
        <w:rPr>
          <w:rFonts w:ascii="Verdana" w:eastAsia="Calibri" w:hAnsi="Verdana" w:cs="Arial"/>
          <w:color w:val="000000" w:themeColor="text1"/>
        </w:rPr>
      </w:pPr>
      <w:r w:rsidRPr="009A7FE0">
        <w:rPr>
          <w:rFonts w:ascii="Verdana" w:eastAsia="Calibri" w:hAnsi="Verdana" w:cs="Arial"/>
          <w:color w:val="000000" w:themeColor="text1"/>
        </w:rPr>
        <w:t>Respecto de la oportunidad para el pago de los aportes, conviene mencionar que las Entidades Estatales deben respetar el derecho del contratista a hacer los aportes al Sistema de Seguridad Social Integral a más tardar en las fechas indicadas en el artículo 3.2.2.1. del Decreto 1990 de 2016 y de conformidad con el artículo 18 de la Ley 1122 de 2007, que establece que la cotización se realiza mes vencido sobre el cuarenta por ciento (40%) del valor mensualizado del contrato (sin contar el valor del IVA que no comporta un ingreso del cotizante). Por tanto, el supervisor debe verificar que el contratista haya hecho sus aportes por lo devengado en el mes inmediatamente anterior.</w:t>
      </w:r>
    </w:p>
    <w:bookmarkEnd w:id="1"/>
    <w:p w14:paraId="3F1ABEE2" w14:textId="77777777" w:rsidR="005166D6" w:rsidRPr="005166D6" w:rsidRDefault="005166D6" w:rsidP="005166D6">
      <w:pPr>
        <w:pStyle w:val="Prrafodelista"/>
        <w:rPr>
          <w:rFonts w:ascii="Verdana" w:eastAsia="Calibri" w:hAnsi="Verdana" w:cs="Arial"/>
        </w:rPr>
      </w:pPr>
    </w:p>
    <w:p w14:paraId="35865022" w14:textId="77777777" w:rsidR="00E37976" w:rsidRPr="00E37976" w:rsidRDefault="00E37976" w:rsidP="00E37976">
      <w:pPr>
        <w:pStyle w:val="Prrafodelista"/>
        <w:spacing w:after="0" w:line="276" w:lineRule="auto"/>
        <w:ind w:left="360"/>
        <w:contextualSpacing w:val="0"/>
        <w:jc w:val="both"/>
        <w:rPr>
          <w:rFonts w:ascii="Verdana" w:eastAsia="Calibri" w:hAnsi="Verdana" w:cs="Arial"/>
        </w:rPr>
      </w:pPr>
    </w:p>
    <w:p w14:paraId="7F4F1665" w14:textId="77777777" w:rsidR="00B454FC" w:rsidRPr="00B454FC" w:rsidRDefault="00B454FC" w:rsidP="00B454FC">
      <w:pPr>
        <w:numPr>
          <w:ilvl w:val="0"/>
          <w:numId w:val="16"/>
        </w:numPr>
        <w:tabs>
          <w:tab w:val="left" w:pos="142"/>
          <w:tab w:val="left" w:pos="284"/>
        </w:tabs>
        <w:spacing w:after="0" w:line="276" w:lineRule="auto"/>
        <w:ind w:left="0" w:firstLine="0"/>
        <w:jc w:val="both"/>
        <w:rPr>
          <w:rFonts w:ascii="Verdana" w:eastAsia="Century Gothic" w:hAnsi="Verdana" w:cs="Century Gothic"/>
          <w:b/>
          <w:bCs/>
          <w:color w:val="000000" w:themeColor="text1"/>
          <w:lang w:val="es-ES"/>
        </w:rPr>
      </w:pPr>
      <w:r w:rsidRPr="00B454FC">
        <w:rPr>
          <w:rFonts w:ascii="Verdana" w:eastAsia="Century Gothic" w:hAnsi="Verdana" w:cs="Century Gothic"/>
          <w:b/>
          <w:bCs/>
          <w:color w:val="000000" w:themeColor="text1"/>
          <w:lang w:val="es-ES"/>
        </w:rPr>
        <w:t>Referencias normativas, jurisprudenciales y otras fuentes:</w:t>
      </w:r>
    </w:p>
    <w:p w14:paraId="181B1FFF" w14:textId="77777777" w:rsidR="00B454FC" w:rsidRPr="00B454FC" w:rsidRDefault="00B454FC" w:rsidP="00B454FC">
      <w:pPr>
        <w:widowControl w:val="0"/>
        <w:autoSpaceDE w:val="0"/>
        <w:autoSpaceDN w:val="0"/>
        <w:spacing w:after="0" w:line="276" w:lineRule="auto"/>
        <w:jc w:val="both"/>
        <w:rPr>
          <w:rFonts w:ascii="Verdana" w:hAnsi="Verdana" w:cs="Arial"/>
          <w:color w:val="000000" w:themeColor="text1"/>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B454FC" w:rsidRPr="00B454FC" w14:paraId="492C1023" w14:textId="77777777" w:rsidTr="000D755F">
        <w:trPr>
          <w:trHeight w:val="870"/>
        </w:trPr>
        <w:tc>
          <w:tcPr>
            <w:tcW w:w="8647" w:type="dxa"/>
          </w:tcPr>
          <w:p w14:paraId="5C70C8F2" w14:textId="499481F4" w:rsidR="00E37976" w:rsidRPr="00EE5B8D" w:rsidRDefault="00835E89" w:rsidP="00E37976">
            <w:pPr>
              <w:pStyle w:val="Prrafodelista"/>
              <w:numPr>
                <w:ilvl w:val="0"/>
                <w:numId w:val="27"/>
              </w:numPr>
              <w:spacing w:line="276" w:lineRule="auto"/>
              <w:ind w:left="360"/>
              <w:jc w:val="both"/>
              <w:rPr>
                <w:rFonts w:ascii="Verdana" w:hAnsi="Verdana" w:cs="Arial"/>
              </w:rPr>
            </w:pPr>
            <w:r>
              <w:rPr>
                <w:rFonts w:ascii="Verdana" w:hAnsi="Verdana" w:cs="Arial"/>
              </w:rPr>
              <w:t>Ley 1122 de 2007, articulo 18.</w:t>
            </w:r>
          </w:p>
          <w:p w14:paraId="6DD9E1C6" w14:textId="77777777" w:rsidR="00E37976" w:rsidRPr="00EE5B8D" w:rsidRDefault="00E37976" w:rsidP="00E37976">
            <w:pPr>
              <w:pStyle w:val="Prrafodelista"/>
              <w:spacing w:line="276" w:lineRule="auto"/>
              <w:ind w:left="360"/>
              <w:jc w:val="both"/>
              <w:rPr>
                <w:rFonts w:ascii="Verdana" w:eastAsia="Calibri" w:hAnsi="Verdana" w:cs="Arial"/>
                <w:lang w:eastAsia="es-ES_tradnl"/>
              </w:rPr>
            </w:pPr>
          </w:p>
          <w:p w14:paraId="5AB75E6A" w14:textId="723D1A91" w:rsidR="00E37976" w:rsidRPr="00EE5B8D" w:rsidRDefault="00E37976" w:rsidP="00E37976">
            <w:pPr>
              <w:pStyle w:val="Prrafodelista"/>
              <w:numPr>
                <w:ilvl w:val="0"/>
                <w:numId w:val="27"/>
              </w:numPr>
              <w:spacing w:line="276" w:lineRule="auto"/>
              <w:ind w:left="360"/>
              <w:jc w:val="both"/>
              <w:rPr>
                <w:rFonts w:ascii="Verdana" w:eastAsia="Calibri" w:hAnsi="Verdana" w:cs="Arial"/>
                <w:lang w:eastAsia="es-ES_tradnl"/>
              </w:rPr>
            </w:pPr>
            <w:r w:rsidRPr="00EE5B8D">
              <w:rPr>
                <w:rFonts w:ascii="Verdana" w:eastAsia="Calibri" w:hAnsi="Verdana" w:cs="Arial"/>
                <w:lang w:eastAsia="es-ES_tradnl"/>
              </w:rPr>
              <w:t xml:space="preserve">Ley </w:t>
            </w:r>
            <w:r w:rsidR="00835E89">
              <w:rPr>
                <w:rFonts w:ascii="Verdana" w:eastAsia="Calibri" w:hAnsi="Verdana" w:cs="Arial"/>
                <w:lang w:eastAsia="es-ES_tradnl"/>
              </w:rPr>
              <w:t>789 de 2002, articulo 50.</w:t>
            </w:r>
          </w:p>
          <w:p w14:paraId="47AE0184" w14:textId="77777777" w:rsidR="00E37976" w:rsidRPr="00EE5B8D" w:rsidRDefault="00E37976" w:rsidP="00E37976">
            <w:pPr>
              <w:spacing w:line="276" w:lineRule="auto"/>
              <w:jc w:val="both"/>
              <w:rPr>
                <w:rFonts w:ascii="Verdana" w:eastAsia="Calibri" w:hAnsi="Verdana" w:cs="Arial"/>
                <w:lang w:val="es-ES"/>
              </w:rPr>
            </w:pPr>
          </w:p>
          <w:p w14:paraId="10B3A505" w14:textId="5D827E88" w:rsidR="00E37976" w:rsidRDefault="00835E89" w:rsidP="009970B3">
            <w:pPr>
              <w:pStyle w:val="Prrafodelista"/>
              <w:numPr>
                <w:ilvl w:val="0"/>
                <w:numId w:val="27"/>
              </w:numPr>
              <w:spacing w:line="276" w:lineRule="auto"/>
              <w:ind w:left="360"/>
              <w:jc w:val="both"/>
              <w:rPr>
                <w:rFonts w:ascii="Verdana" w:hAnsi="Verdana"/>
              </w:rPr>
            </w:pPr>
            <w:r>
              <w:rPr>
                <w:rFonts w:ascii="Verdana" w:hAnsi="Verdana"/>
              </w:rPr>
              <w:t>Ley 100 de 1993.</w:t>
            </w:r>
          </w:p>
          <w:p w14:paraId="4E30FC15" w14:textId="77777777" w:rsidR="009970B3" w:rsidRPr="009970B3" w:rsidRDefault="009970B3" w:rsidP="009970B3">
            <w:pPr>
              <w:pStyle w:val="Prrafodelista"/>
              <w:rPr>
                <w:rFonts w:ascii="Verdana" w:hAnsi="Verdana"/>
              </w:rPr>
            </w:pPr>
          </w:p>
          <w:p w14:paraId="064AE775" w14:textId="77777777" w:rsidR="00B454FC" w:rsidRDefault="00835E89" w:rsidP="009970B3">
            <w:pPr>
              <w:pStyle w:val="Prrafodelista"/>
              <w:numPr>
                <w:ilvl w:val="0"/>
                <w:numId w:val="27"/>
              </w:numPr>
              <w:spacing w:line="276" w:lineRule="auto"/>
              <w:ind w:left="360"/>
              <w:jc w:val="both"/>
              <w:rPr>
                <w:rFonts w:ascii="Verdana" w:hAnsi="Verdana"/>
              </w:rPr>
            </w:pPr>
            <w:r>
              <w:rPr>
                <w:rFonts w:ascii="Verdana" w:hAnsi="Verdana"/>
              </w:rPr>
              <w:t>Ley 1955 de 2019, articulo 244.</w:t>
            </w:r>
          </w:p>
          <w:p w14:paraId="029E2D94" w14:textId="77777777" w:rsidR="00835E89" w:rsidRPr="00835E89" w:rsidRDefault="00835E89" w:rsidP="00835E89">
            <w:pPr>
              <w:pStyle w:val="Prrafodelista"/>
              <w:rPr>
                <w:rFonts w:ascii="Verdana" w:hAnsi="Verdana"/>
              </w:rPr>
            </w:pPr>
          </w:p>
          <w:p w14:paraId="44CED7AC" w14:textId="77777777" w:rsidR="00835E89" w:rsidRDefault="00835E89" w:rsidP="009970B3">
            <w:pPr>
              <w:pStyle w:val="Prrafodelista"/>
              <w:numPr>
                <w:ilvl w:val="0"/>
                <w:numId w:val="27"/>
              </w:numPr>
              <w:spacing w:line="276" w:lineRule="auto"/>
              <w:ind w:left="360"/>
              <w:jc w:val="both"/>
              <w:rPr>
                <w:rFonts w:ascii="Verdana" w:hAnsi="Verdana"/>
              </w:rPr>
            </w:pPr>
            <w:r>
              <w:rPr>
                <w:rFonts w:ascii="Verdana" w:hAnsi="Verdana"/>
              </w:rPr>
              <w:t>Sentencia C-068 del 19/2/2020 de la Corte Constitucional, Magistrada Ponente Diana Fajardo Rivera.</w:t>
            </w:r>
          </w:p>
          <w:p w14:paraId="4E34B9F9" w14:textId="77777777" w:rsidR="00835E89" w:rsidRPr="00835E89" w:rsidRDefault="00835E89" w:rsidP="00835E89">
            <w:pPr>
              <w:pStyle w:val="Prrafodelista"/>
              <w:rPr>
                <w:rFonts w:ascii="Verdana" w:hAnsi="Verdana"/>
              </w:rPr>
            </w:pPr>
          </w:p>
          <w:p w14:paraId="27998FBD" w14:textId="6179E82E" w:rsidR="00835E89" w:rsidRPr="009970B3" w:rsidRDefault="00835E89" w:rsidP="009970B3">
            <w:pPr>
              <w:pStyle w:val="Prrafodelista"/>
              <w:numPr>
                <w:ilvl w:val="0"/>
                <w:numId w:val="27"/>
              </w:numPr>
              <w:spacing w:line="276" w:lineRule="auto"/>
              <w:ind w:left="360"/>
              <w:jc w:val="both"/>
              <w:rPr>
                <w:rFonts w:ascii="Verdana" w:hAnsi="Verdana"/>
              </w:rPr>
            </w:pPr>
            <w:r>
              <w:rPr>
                <w:rFonts w:ascii="Verdana" w:hAnsi="Verdana"/>
              </w:rPr>
              <w:t>Concepto Unificado emitido por el Ministerio del Trabajo con el radicado 08SE202223000000035861 del 2/8/2022.</w:t>
            </w:r>
          </w:p>
        </w:tc>
      </w:tr>
    </w:tbl>
    <w:p w14:paraId="3A73FDAF" w14:textId="77777777" w:rsidR="00B454FC" w:rsidRPr="00B454FC" w:rsidRDefault="00B454FC" w:rsidP="00B454FC">
      <w:pPr>
        <w:widowControl w:val="0"/>
        <w:autoSpaceDE w:val="0"/>
        <w:autoSpaceDN w:val="0"/>
        <w:spacing w:after="0" w:line="276" w:lineRule="auto"/>
        <w:jc w:val="both"/>
        <w:rPr>
          <w:rFonts w:ascii="Verdana" w:hAnsi="Verdana" w:cs="Arial"/>
          <w:color w:val="000000" w:themeColor="text1"/>
        </w:rPr>
      </w:pPr>
    </w:p>
    <w:p w14:paraId="0ED7FCCB" w14:textId="77777777" w:rsidR="00B454FC" w:rsidRPr="00B454FC" w:rsidRDefault="00B454FC" w:rsidP="00B454FC">
      <w:pPr>
        <w:numPr>
          <w:ilvl w:val="0"/>
          <w:numId w:val="16"/>
        </w:numPr>
        <w:tabs>
          <w:tab w:val="left" w:pos="142"/>
          <w:tab w:val="left" w:pos="284"/>
        </w:tabs>
        <w:spacing w:after="0" w:line="276" w:lineRule="auto"/>
        <w:ind w:left="0" w:firstLine="0"/>
        <w:jc w:val="both"/>
        <w:rPr>
          <w:rFonts w:ascii="Verdana" w:eastAsia="Century Gothic" w:hAnsi="Verdana" w:cs="Century Gothic"/>
          <w:b/>
          <w:bCs/>
          <w:color w:val="000000" w:themeColor="text1"/>
          <w:lang w:val="es-ES"/>
        </w:rPr>
      </w:pPr>
      <w:r w:rsidRPr="00B454FC">
        <w:rPr>
          <w:rFonts w:ascii="Verdana" w:eastAsia="Century Gothic" w:hAnsi="Verdana" w:cs="Century Gothic"/>
          <w:b/>
          <w:bCs/>
          <w:color w:val="000000" w:themeColor="text1"/>
          <w:lang w:val="es-ES"/>
        </w:rPr>
        <w:t>Doctrina de la Agencia Nacional de Contratación Pública:</w:t>
      </w:r>
    </w:p>
    <w:p w14:paraId="0F099F89" w14:textId="77777777" w:rsidR="00B454FC" w:rsidRPr="00B454FC" w:rsidRDefault="00B454FC" w:rsidP="00B454FC">
      <w:pPr>
        <w:widowControl w:val="0"/>
        <w:autoSpaceDE w:val="0"/>
        <w:autoSpaceDN w:val="0"/>
        <w:spacing w:after="0" w:line="276" w:lineRule="auto"/>
        <w:jc w:val="both"/>
        <w:rPr>
          <w:rFonts w:ascii="Verdana" w:hAnsi="Verdana" w:cs="Arial"/>
          <w:color w:val="000000" w:themeColor="text1"/>
        </w:rPr>
      </w:pPr>
    </w:p>
    <w:p w14:paraId="4593FF17" w14:textId="24454B78" w:rsidR="00E37976" w:rsidRPr="00925A42" w:rsidRDefault="00E37976" w:rsidP="00E37976">
      <w:pPr>
        <w:widowControl w:val="0"/>
        <w:autoSpaceDE w:val="0"/>
        <w:autoSpaceDN w:val="0"/>
        <w:spacing w:after="0" w:line="276" w:lineRule="auto"/>
        <w:jc w:val="both"/>
        <w:rPr>
          <w:rStyle w:val="normaltextrun"/>
          <w:rFonts w:ascii="Verdana" w:hAnsi="Verdana" w:cs="Arial"/>
          <w:shd w:val="clear" w:color="auto" w:fill="FFFFFF"/>
          <w:lang w:val="es-ES"/>
        </w:rPr>
      </w:pPr>
      <w:r w:rsidRPr="00925A42">
        <w:rPr>
          <w:rFonts w:ascii="Verdana" w:eastAsia="Calibri" w:hAnsi="Verdana" w:cs="Arial"/>
          <w:lang w:val="es-ES_tradnl" w:eastAsia="es-ES_tradnl"/>
        </w:rPr>
        <w:t>La Agencia Nacional de Contratación Pública – Colombia Compra Eficiente</w:t>
      </w:r>
      <w:r w:rsidR="0056753A">
        <w:rPr>
          <w:rFonts w:ascii="Verdana" w:eastAsia="Calibri" w:hAnsi="Verdana" w:cs="Arial"/>
          <w:lang w:val="es-ES_tradnl" w:eastAsia="es-ES_tradnl"/>
        </w:rPr>
        <w:t xml:space="preserve"> ha</w:t>
      </w:r>
      <w:r w:rsidRPr="00925A42">
        <w:rPr>
          <w:rFonts w:ascii="Verdana" w:eastAsia="Calibri" w:hAnsi="Verdana" w:cs="Arial"/>
          <w:lang w:val="es-ES_tradnl" w:eastAsia="es-ES_tradnl"/>
        </w:rPr>
        <w:t xml:space="preserve"> </w:t>
      </w:r>
      <w:r w:rsidR="0056753A" w:rsidRPr="0056753A">
        <w:rPr>
          <w:rFonts w:ascii="Verdana" w:eastAsia="Calibri" w:hAnsi="Verdana" w:cs="Arial"/>
          <w:lang w:val="es-ES" w:eastAsia="es-ES_tradnl"/>
        </w:rPr>
        <w:t xml:space="preserve">estudiado la </w:t>
      </w:r>
      <w:r w:rsidR="0056753A" w:rsidRPr="0056753A">
        <w:rPr>
          <w:rFonts w:ascii="Verdana" w:eastAsia="Calibri" w:hAnsi="Verdana" w:cs="Arial"/>
          <w:lang w:eastAsia="es-ES_tradnl"/>
        </w:rPr>
        <w:t>verificación del pago de la Seguridad Social en los contratos</w:t>
      </w:r>
      <w:r w:rsidR="0056753A" w:rsidRPr="0056753A">
        <w:rPr>
          <w:rFonts w:ascii="Verdana" w:eastAsia="Calibri" w:hAnsi="Verdana" w:cs="Arial"/>
          <w:lang w:val="es-ES" w:eastAsia="es-ES_tradnl"/>
        </w:rPr>
        <w:t xml:space="preserve"> en los conceptos con</w:t>
      </w:r>
      <w:r w:rsidR="0056753A" w:rsidRPr="0056753A">
        <w:rPr>
          <w:rFonts w:ascii="Verdana" w:eastAsia="Calibri" w:hAnsi="Verdana" w:cs="Arial"/>
          <w:lang w:eastAsia="es-ES_tradnl"/>
        </w:rPr>
        <w:t xml:space="preserve"> radicados 42019130000005594 de 30 de septiembre de 2019, 4201913000006384 de 21 de octubre de 2019, 4201912000007492 de 17 de diciembre de 2019, C-040 de 5 de febrero de 2020 y, C-042 de 5 de febrero de 2020, C-205 del 07 de abril de 2020, C-134 del 07 de abril de 2021, C-181 de </w:t>
      </w:r>
      <w:r w:rsidR="0056753A" w:rsidRPr="0056753A">
        <w:rPr>
          <w:rFonts w:ascii="Verdana" w:eastAsia="Calibri" w:hAnsi="Verdana" w:cs="Arial"/>
          <w:lang w:eastAsia="es-ES_tradnl"/>
        </w:rPr>
        <w:lastRenderedPageBreak/>
        <w:t>7 de abril de 2022</w:t>
      </w:r>
      <w:r w:rsidR="0056753A">
        <w:rPr>
          <w:rFonts w:ascii="Verdana" w:eastAsia="Calibri" w:hAnsi="Verdana" w:cs="Arial"/>
          <w:lang w:eastAsia="es-ES_tradnl"/>
        </w:rPr>
        <w:t>,</w:t>
      </w:r>
      <w:r w:rsidR="0056753A" w:rsidRPr="0056753A">
        <w:rPr>
          <w:rFonts w:ascii="Verdana" w:eastAsia="Calibri" w:hAnsi="Verdana" w:cs="Arial"/>
          <w:lang w:eastAsia="es-ES_tradnl"/>
        </w:rPr>
        <w:t xml:space="preserve"> C-679 del 14 de octubre de 2022</w:t>
      </w:r>
      <w:r w:rsidR="0056753A">
        <w:rPr>
          <w:rFonts w:ascii="Verdana" w:eastAsia="Calibri" w:hAnsi="Verdana" w:cs="Arial"/>
          <w:lang w:eastAsia="es-ES_tradnl"/>
        </w:rPr>
        <w:t xml:space="preserve"> y C-107 de mayo de 2024</w:t>
      </w:r>
      <w:r w:rsidRPr="00925A42">
        <w:rPr>
          <w:rStyle w:val="normaltextrun"/>
          <w:rFonts w:ascii="Verdana" w:hAnsi="Verdana" w:cs="Arial"/>
          <w:shd w:val="clear" w:color="auto" w:fill="FFFFFF"/>
          <w:lang w:val="es-ES"/>
        </w:rPr>
        <w:t>. Es</w:t>
      </w:r>
      <w:r w:rsidRPr="00925A42">
        <w:rPr>
          <w:rFonts w:ascii="Verdana" w:hAnsi="Verdana"/>
        </w:rPr>
        <w:t>tos y otros conceptos se encuentran disponibles para consulta en el Sistema de relatoría de la Agencia, al cual se puede acceder a través del siguiente enlace:</w:t>
      </w:r>
      <w:r w:rsidRPr="00925A42">
        <w:rPr>
          <w:rStyle w:val="normaltextrun"/>
          <w:rFonts w:ascii="Verdana" w:hAnsi="Verdana" w:cs="Arial"/>
          <w:shd w:val="clear" w:color="auto" w:fill="FFFFFF"/>
          <w:lang w:val="es-ES"/>
        </w:rPr>
        <w:t xml:space="preserve"> </w:t>
      </w:r>
      <w:hyperlink r:id="rId13" w:history="1">
        <w:r w:rsidRPr="003B0890">
          <w:rPr>
            <w:rStyle w:val="Hipervnculo"/>
            <w:rFonts w:ascii="Verdana" w:hAnsi="Verdana" w:cs="Arial"/>
            <w:shd w:val="clear" w:color="auto" w:fill="FFFFFF"/>
            <w:lang w:val="es-ES"/>
          </w:rPr>
          <w:t>https://relatoria.colombiacompra.gov.co/busqueda/conceptos</w:t>
        </w:r>
      </w:hyperlink>
      <w:r w:rsidRPr="00925A42">
        <w:rPr>
          <w:rStyle w:val="normaltextrun"/>
          <w:rFonts w:ascii="Verdana" w:hAnsi="Verdana" w:cs="Arial"/>
          <w:shd w:val="clear" w:color="auto" w:fill="FFFFFF"/>
          <w:lang w:val="es-ES"/>
        </w:rPr>
        <w:t xml:space="preserve">. </w:t>
      </w:r>
    </w:p>
    <w:p w14:paraId="59ADF603" w14:textId="77777777" w:rsidR="00E37976" w:rsidRPr="00925A42" w:rsidRDefault="00E37976" w:rsidP="00E37976">
      <w:pPr>
        <w:widowControl w:val="0"/>
        <w:autoSpaceDE w:val="0"/>
        <w:autoSpaceDN w:val="0"/>
        <w:spacing w:after="0" w:line="276" w:lineRule="auto"/>
        <w:jc w:val="both"/>
        <w:rPr>
          <w:rStyle w:val="normaltextrun"/>
          <w:rFonts w:ascii="Verdana" w:hAnsi="Verdana" w:cs="Arial"/>
          <w:shd w:val="clear" w:color="auto" w:fill="FFFFFF"/>
          <w:lang w:val="es-ES"/>
        </w:rPr>
      </w:pPr>
    </w:p>
    <w:p w14:paraId="01C3B712" w14:textId="77777777" w:rsidR="00E37976" w:rsidRPr="00925A42" w:rsidRDefault="00E37976" w:rsidP="00E37976">
      <w:pPr>
        <w:widowControl w:val="0"/>
        <w:autoSpaceDE w:val="0"/>
        <w:autoSpaceDN w:val="0"/>
        <w:spacing w:after="0" w:line="276" w:lineRule="auto"/>
        <w:jc w:val="both"/>
        <w:rPr>
          <w:rStyle w:val="normaltextrun"/>
          <w:rFonts w:ascii="Verdana" w:hAnsi="Verdana" w:cs="Arial"/>
          <w:shd w:val="clear" w:color="auto" w:fill="FFFFFF"/>
          <w:lang w:val="es-MX"/>
        </w:rPr>
      </w:pPr>
      <w:r w:rsidRPr="00925A42">
        <w:rPr>
          <w:rStyle w:val="normaltextrun"/>
          <w:rFonts w:ascii="Verdana" w:hAnsi="Verdana" w:cs="Arial"/>
          <w:shd w:val="clear" w:color="auto" w:fill="FFFFFF"/>
          <w:lang w:val="es-ES"/>
        </w:rPr>
        <w:t xml:space="preserve">También le invitamos a consultar las versiones I y II de 2024 del Boletín de Relatoría de la Subdirección de Gestión Contractual, las cuales puede descargar en la página web de la Agencia: </w:t>
      </w:r>
      <w:hyperlink r:id="rId14" w:history="1">
        <w:r w:rsidRPr="003B0890">
          <w:rPr>
            <w:rStyle w:val="Hipervnculo"/>
            <w:rFonts w:ascii="Verdana" w:hAnsi="Verdana" w:cs="Arial"/>
            <w:shd w:val="clear" w:color="auto" w:fill="FFFFFF"/>
            <w:lang w:val="es-ES"/>
          </w:rPr>
          <w:t>https://www.colombiacompra.gov.co/sala-de-prensa/boletin-digital</w:t>
        </w:r>
      </w:hyperlink>
      <w:r>
        <w:rPr>
          <w:rStyle w:val="Hipervnculo"/>
          <w:rFonts w:ascii="Verdana" w:hAnsi="Verdana" w:cs="Arial"/>
          <w:color w:val="auto"/>
          <w:shd w:val="clear" w:color="auto" w:fill="FFFFFF"/>
          <w:lang w:val="es-ES"/>
        </w:rPr>
        <w:t xml:space="preserve"> </w:t>
      </w:r>
      <w:r>
        <w:rPr>
          <w:rStyle w:val="normaltextrun"/>
          <w:rFonts w:ascii="Verdana" w:hAnsi="Verdana" w:cs="Arial"/>
          <w:shd w:val="clear" w:color="auto" w:fill="FFFFFF"/>
          <w:lang w:val="es-ES"/>
        </w:rPr>
        <w:t xml:space="preserve">. </w:t>
      </w:r>
    </w:p>
    <w:p w14:paraId="6DEF4191" w14:textId="4C52E92E" w:rsidR="00A37605" w:rsidRPr="00A37605" w:rsidRDefault="00A37605" w:rsidP="00E37976">
      <w:pPr>
        <w:widowControl w:val="0"/>
        <w:autoSpaceDE w:val="0"/>
        <w:autoSpaceDN w:val="0"/>
        <w:spacing w:after="0" w:line="276" w:lineRule="auto"/>
        <w:jc w:val="both"/>
        <w:rPr>
          <w:rFonts w:ascii="Verdana" w:eastAsia="Calibri" w:hAnsi="Verdana" w:cs="Arial"/>
          <w:shd w:val="clear" w:color="auto" w:fill="FFFFFF"/>
        </w:rPr>
      </w:pPr>
    </w:p>
    <w:p w14:paraId="2DFF8948" w14:textId="091BC035" w:rsidR="00A37605" w:rsidRPr="00A37605" w:rsidRDefault="00A37605" w:rsidP="00A37605">
      <w:pPr>
        <w:spacing w:after="0" w:line="240" w:lineRule="auto"/>
        <w:jc w:val="both"/>
        <w:rPr>
          <w:rFonts w:ascii="Calibri" w:eastAsia="Calibri" w:hAnsi="Calibri" w:cs="Times New Roman"/>
        </w:rPr>
      </w:pPr>
      <w:r w:rsidRPr="0044528D">
        <w:rPr>
          <w:rFonts w:ascii="Verdana" w:hAnsi="Verdana"/>
        </w:rPr>
        <w:t xml:space="preserve">Por último, lo invitamos a seguirnos en las redes sociales en las cuales se difunde información institucional: </w:t>
      </w:r>
    </w:p>
    <w:p w14:paraId="3F42646D" w14:textId="77777777" w:rsidR="00A37605" w:rsidRPr="0044528D" w:rsidRDefault="00A37605" w:rsidP="00A37605">
      <w:pPr>
        <w:spacing w:after="0" w:line="240" w:lineRule="auto"/>
        <w:jc w:val="both"/>
        <w:rPr>
          <w:rFonts w:ascii="Verdana" w:hAnsi="Verdana"/>
        </w:rPr>
      </w:pPr>
    </w:p>
    <w:p w14:paraId="71137832" w14:textId="77777777" w:rsidR="00A37605" w:rsidRPr="0044528D" w:rsidRDefault="00A37605" w:rsidP="00A37605">
      <w:pPr>
        <w:spacing w:after="0" w:line="240" w:lineRule="auto"/>
        <w:jc w:val="both"/>
        <w:rPr>
          <w:rFonts w:ascii="Verdana" w:hAnsi="Verdana"/>
        </w:rPr>
      </w:pPr>
      <w:r w:rsidRPr="0044528D">
        <w:rPr>
          <w:rFonts w:ascii="Verdana" w:hAnsi="Verdana"/>
        </w:rPr>
        <w:t xml:space="preserve">Twitter: </w:t>
      </w:r>
      <w:r w:rsidRPr="00A37605">
        <w:rPr>
          <w:rFonts w:ascii="Verdana" w:eastAsia="Calibri" w:hAnsi="Verdana" w:cs="Times New Roman"/>
          <w:color w:val="4472C4" w:themeColor="accent1"/>
          <w:u w:val="single"/>
        </w:rPr>
        <w:t>@colombiacompra</w:t>
      </w:r>
      <w:r w:rsidRPr="00A37605">
        <w:rPr>
          <w:rFonts w:ascii="Verdana" w:eastAsia="Calibri" w:hAnsi="Verdana" w:cs="Times New Roman"/>
          <w:color w:val="4472C4" w:themeColor="accent1"/>
        </w:rPr>
        <w:t xml:space="preserve"> </w:t>
      </w:r>
    </w:p>
    <w:p w14:paraId="12F704C3" w14:textId="77777777" w:rsidR="00A37605" w:rsidRPr="0044528D" w:rsidRDefault="00A37605" w:rsidP="00A37605">
      <w:pPr>
        <w:spacing w:after="0" w:line="240" w:lineRule="auto"/>
        <w:jc w:val="both"/>
        <w:rPr>
          <w:rFonts w:ascii="Verdana" w:hAnsi="Verdana"/>
        </w:rPr>
      </w:pPr>
      <w:r w:rsidRPr="0044528D">
        <w:rPr>
          <w:rFonts w:ascii="Verdana" w:hAnsi="Verdana"/>
        </w:rPr>
        <w:t xml:space="preserve">Facebook: </w:t>
      </w:r>
      <w:proofErr w:type="spellStart"/>
      <w:r w:rsidRPr="00A37605">
        <w:rPr>
          <w:rFonts w:ascii="Verdana" w:eastAsia="Calibri" w:hAnsi="Verdana" w:cs="Times New Roman"/>
          <w:color w:val="4472C4" w:themeColor="accent1"/>
          <w:u w:val="single"/>
        </w:rPr>
        <w:t>ColombiaCompraEficiente</w:t>
      </w:r>
      <w:proofErr w:type="spellEnd"/>
    </w:p>
    <w:p w14:paraId="297E6437" w14:textId="77777777" w:rsidR="00A37605" w:rsidRPr="0044528D" w:rsidRDefault="00A37605" w:rsidP="00A37605">
      <w:pPr>
        <w:spacing w:after="0" w:line="240" w:lineRule="auto"/>
        <w:jc w:val="both"/>
        <w:rPr>
          <w:rFonts w:ascii="Verdana" w:hAnsi="Verdana"/>
        </w:rPr>
      </w:pPr>
      <w:r w:rsidRPr="0044528D">
        <w:rPr>
          <w:rFonts w:ascii="Verdana" w:hAnsi="Verdana"/>
        </w:rPr>
        <w:t xml:space="preserve">LinkedIn: </w:t>
      </w:r>
      <w:r w:rsidRPr="00A37605">
        <w:rPr>
          <w:rFonts w:ascii="Verdana" w:eastAsia="Calibri" w:hAnsi="Verdana" w:cs="Times New Roman"/>
          <w:color w:val="4472C4" w:themeColor="accent1"/>
          <w:u w:val="single"/>
        </w:rPr>
        <w:t>Agencia Nacional de Contratación Pública - Colombia Compra Eficiente</w:t>
      </w:r>
      <w:r w:rsidRPr="00A37605">
        <w:rPr>
          <w:rFonts w:ascii="Verdana" w:eastAsia="Calibri" w:hAnsi="Verdana" w:cs="Times New Roman"/>
          <w:color w:val="4472C4" w:themeColor="accent1"/>
        </w:rPr>
        <w:t xml:space="preserve"> </w:t>
      </w:r>
      <w:r w:rsidRPr="0044528D">
        <w:rPr>
          <w:rFonts w:ascii="Verdana" w:hAnsi="Verdana"/>
        </w:rPr>
        <w:t xml:space="preserve">Instagram: </w:t>
      </w:r>
      <w:r w:rsidRPr="00A37605">
        <w:rPr>
          <w:rFonts w:ascii="Verdana" w:eastAsia="Calibri" w:hAnsi="Verdana" w:cs="Times New Roman"/>
          <w:color w:val="4472C4" w:themeColor="accent1"/>
          <w:u w:val="single"/>
        </w:rPr>
        <w:t>@colombiacompraeficiente_cce</w:t>
      </w:r>
    </w:p>
    <w:p w14:paraId="70D74E5F" w14:textId="77777777" w:rsidR="00A37605" w:rsidRPr="0044528D" w:rsidRDefault="00A37605" w:rsidP="00A37605">
      <w:pPr>
        <w:widowControl w:val="0"/>
        <w:autoSpaceDE w:val="0"/>
        <w:autoSpaceDN w:val="0"/>
        <w:spacing w:after="0" w:line="276" w:lineRule="auto"/>
        <w:jc w:val="both"/>
        <w:rPr>
          <w:rFonts w:ascii="Verdana" w:hAnsi="Verdana"/>
        </w:rPr>
      </w:pPr>
    </w:p>
    <w:p w14:paraId="7AAAEAE9" w14:textId="77777777" w:rsidR="00A37605" w:rsidRPr="00A37605" w:rsidRDefault="00A37605" w:rsidP="00A37605">
      <w:pPr>
        <w:widowControl w:val="0"/>
        <w:autoSpaceDE w:val="0"/>
        <w:autoSpaceDN w:val="0"/>
        <w:spacing w:after="0" w:line="276" w:lineRule="auto"/>
        <w:jc w:val="both"/>
        <w:rPr>
          <w:rFonts w:ascii="Verdana" w:eastAsia="Calibri" w:hAnsi="Verdana" w:cs="Arial"/>
          <w:lang w:val="es-ES_tradnl"/>
        </w:rPr>
      </w:pPr>
      <w:r w:rsidRPr="00A37605">
        <w:rPr>
          <w:rFonts w:ascii="Verdana" w:eastAsia="Calibri" w:hAnsi="Verdana" w:cs="Arial"/>
        </w:rPr>
        <w:t>Este concepto tiene el alcance previsto en el artículo 28 del Código de Procedimiento Administrativo y de lo Contencioso Administrativo.</w:t>
      </w:r>
    </w:p>
    <w:p w14:paraId="0A02DD31" w14:textId="77777777" w:rsidR="00A37605" w:rsidRPr="00A37605" w:rsidRDefault="00A37605" w:rsidP="00A37605">
      <w:pPr>
        <w:widowControl w:val="0"/>
        <w:autoSpaceDE w:val="0"/>
        <w:autoSpaceDN w:val="0"/>
        <w:spacing w:after="0" w:line="276" w:lineRule="auto"/>
        <w:jc w:val="both"/>
        <w:rPr>
          <w:rFonts w:ascii="Verdana" w:eastAsia="Calibri" w:hAnsi="Verdana" w:cs="Arial"/>
        </w:rPr>
      </w:pPr>
    </w:p>
    <w:p w14:paraId="2AEC4DAF" w14:textId="77777777" w:rsidR="00A37605" w:rsidRPr="00A37605" w:rsidRDefault="00A37605" w:rsidP="00A37605">
      <w:pPr>
        <w:spacing w:after="0" w:line="240" w:lineRule="auto"/>
        <w:rPr>
          <w:rFonts w:ascii="Verdana" w:eastAsia="Calibri" w:hAnsi="Verdana" w:cs="Arial"/>
          <w:lang w:eastAsia="es-CO"/>
        </w:rPr>
      </w:pPr>
      <w:r w:rsidRPr="00A37605">
        <w:rPr>
          <w:rFonts w:ascii="Verdana" w:eastAsia="Times New Roman" w:hAnsi="Verdana" w:cs="Arial"/>
          <w:lang w:eastAsia="es-CO"/>
        </w:rPr>
        <w:t>Atentamente,</w:t>
      </w:r>
      <w:r w:rsidRPr="00A37605">
        <w:rPr>
          <w:rFonts w:ascii="Verdana" w:eastAsia="Calibri" w:hAnsi="Verdana" w:cs="Arial"/>
          <w:lang w:eastAsia="es-CO"/>
        </w:rPr>
        <w:t xml:space="preserve"> </w:t>
      </w:r>
    </w:p>
    <w:p w14:paraId="466D04D8" w14:textId="5250CE80" w:rsidR="00A37605" w:rsidRPr="00A37605" w:rsidRDefault="00F379E2" w:rsidP="00A37605">
      <w:pPr>
        <w:spacing w:line="276" w:lineRule="auto"/>
        <w:jc w:val="center"/>
        <w:rPr>
          <w:rFonts w:ascii="Verdana" w:eastAsia="Calibri" w:hAnsi="Verdana" w:cs="Arial"/>
          <w:color w:val="000000"/>
          <w:lang w:val="es-ES_tradnl" w:eastAsia="es-CO"/>
        </w:rPr>
      </w:pPr>
      <w:r w:rsidRPr="002C3AD6">
        <w:rPr>
          <w:rFonts w:ascii="Century Gothic" w:hAnsi="Century Gothic"/>
          <w:noProof/>
        </w:rPr>
        <w:drawing>
          <wp:inline distT="0" distB="0" distL="0" distR="0" wp14:anchorId="010EF220" wp14:editId="356B5F23">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5"/>
                    <a:stretch>
                      <a:fillRect/>
                    </a:stretch>
                  </pic:blipFill>
                  <pic:spPr>
                    <a:xfrm>
                      <a:off x="0" y="0"/>
                      <a:ext cx="3772426" cy="1400370"/>
                    </a:xfrm>
                    <a:prstGeom prst="rect">
                      <a:avLst/>
                    </a:prstGeom>
                  </pic:spPr>
                </pic:pic>
              </a:graphicData>
            </a:graphic>
          </wp:inline>
        </w:drawing>
      </w:r>
    </w:p>
    <w:tbl>
      <w:tblPr>
        <w:tblStyle w:val="Tablaconcuadrcula1"/>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A37605" w:rsidRPr="00A37605" w14:paraId="14251F0C" w14:textId="77777777" w:rsidTr="00A37605">
        <w:trPr>
          <w:trHeight w:val="315"/>
        </w:trPr>
        <w:tc>
          <w:tcPr>
            <w:tcW w:w="893" w:type="dxa"/>
            <w:vAlign w:val="center"/>
            <w:hideMark/>
          </w:tcPr>
          <w:p w14:paraId="5F5FBD3D" w14:textId="77777777" w:rsidR="00A37605" w:rsidRPr="00A37605" w:rsidRDefault="00A37605" w:rsidP="00A37605">
            <w:pPr>
              <w:spacing w:after="255"/>
              <w:contextualSpacing/>
              <w:rPr>
                <w:rFonts w:ascii="Verdana" w:hAnsi="Verdana" w:cs="Arial"/>
                <w:sz w:val="16"/>
                <w:szCs w:val="16"/>
                <w:lang w:val="es-ES" w:eastAsia="es-ES"/>
              </w:rPr>
            </w:pPr>
            <w:r w:rsidRPr="00A37605">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76EBC724" w14:textId="77777777" w:rsidR="00A37605" w:rsidRPr="00A37605" w:rsidRDefault="00A37605" w:rsidP="00A37605">
            <w:pPr>
              <w:spacing w:after="255"/>
              <w:contextualSpacing/>
              <w:rPr>
                <w:rFonts w:ascii="Verdana" w:eastAsia="Arial" w:hAnsi="Verdana" w:cs="Arial"/>
                <w:sz w:val="16"/>
                <w:szCs w:val="16"/>
              </w:rPr>
            </w:pPr>
            <w:r w:rsidRPr="00A37605">
              <w:rPr>
                <w:rFonts w:ascii="Verdana" w:hAnsi="Verdana"/>
                <w:sz w:val="16"/>
                <w:szCs w:val="16"/>
              </w:rPr>
              <w:t>Juan Manuel Avendaño Robles</w:t>
            </w:r>
          </w:p>
          <w:p w14:paraId="4E43A531" w14:textId="77777777" w:rsidR="00A37605" w:rsidRPr="00A37605" w:rsidRDefault="00A37605" w:rsidP="00A37605">
            <w:pPr>
              <w:spacing w:after="255"/>
              <w:contextualSpacing/>
              <w:rPr>
                <w:rFonts w:ascii="Verdana" w:eastAsia="Arial" w:hAnsi="Verdana" w:cs="Arial"/>
                <w:sz w:val="16"/>
                <w:szCs w:val="16"/>
              </w:rPr>
            </w:pPr>
            <w:r w:rsidRPr="00A37605">
              <w:rPr>
                <w:rFonts w:ascii="Verdana" w:eastAsia="Arial" w:hAnsi="Verdana" w:cs="Arial"/>
                <w:sz w:val="16"/>
                <w:szCs w:val="16"/>
              </w:rPr>
              <w:t>Contratista de la Subdirección de Gestión Contractual</w:t>
            </w:r>
          </w:p>
        </w:tc>
      </w:tr>
      <w:tr w:rsidR="00A37605" w:rsidRPr="00A37605" w14:paraId="4BF010D2" w14:textId="77777777" w:rsidTr="00A37605">
        <w:trPr>
          <w:trHeight w:val="330"/>
        </w:trPr>
        <w:tc>
          <w:tcPr>
            <w:tcW w:w="893" w:type="dxa"/>
            <w:vAlign w:val="center"/>
            <w:hideMark/>
          </w:tcPr>
          <w:p w14:paraId="6F24C574" w14:textId="77777777" w:rsidR="00A37605" w:rsidRPr="00A37605" w:rsidRDefault="00A37605" w:rsidP="00A37605">
            <w:pPr>
              <w:spacing w:after="255"/>
              <w:contextualSpacing/>
              <w:rPr>
                <w:rFonts w:ascii="Verdana" w:hAnsi="Verdana" w:cs="Arial"/>
                <w:sz w:val="16"/>
                <w:szCs w:val="16"/>
                <w:lang w:val="es-ES" w:eastAsia="es-ES"/>
              </w:rPr>
            </w:pPr>
            <w:r w:rsidRPr="00A37605">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70B7F8E3" w14:textId="6306CF89" w:rsidR="00A37605" w:rsidRPr="00A37605" w:rsidRDefault="00835E89" w:rsidP="00A37605">
            <w:pPr>
              <w:spacing w:after="255"/>
              <w:contextualSpacing/>
              <w:textAlignment w:val="baseline"/>
              <w:rPr>
                <w:rFonts w:ascii="Verdana" w:eastAsia="Times New Roman" w:hAnsi="Verdana" w:cs="Arial"/>
                <w:sz w:val="16"/>
                <w:szCs w:val="16"/>
                <w:lang w:eastAsia="es-ES_tradnl"/>
              </w:rPr>
            </w:pPr>
            <w:r>
              <w:rPr>
                <w:rFonts w:ascii="Verdana" w:eastAsia="Times New Roman" w:hAnsi="Verdana" w:cs="Arial"/>
                <w:sz w:val="16"/>
                <w:szCs w:val="16"/>
                <w:lang w:eastAsia="es-ES_tradnl"/>
              </w:rPr>
              <w:t>Libardo Alberto Verjel De Filippis</w:t>
            </w:r>
          </w:p>
          <w:p w14:paraId="5CD3FF25" w14:textId="181C7B8A" w:rsidR="00A37605" w:rsidRPr="00A37605" w:rsidRDefault="00835E89" w:rsidP="00A37605">
            <w:pPr>
              <w:contextualSpacing/>
              <w:textAlignment w:val="baseline"/>
              <w:rPr>
                <w:rFonts w:ascii="Verdana" w:eastAsia="Times New Roman" w:hAnsi="Verdana" w:cs="Segoe UI"/>
                <w:sz w:val="16"/>
                <w:szCs w:val="16"/>
                <w:lang w:eastAsia="es-ES_tradnl"/>
              </w:rPr>
            </w:pPr>
            <w:r>
              <w:rPr>
                <w:rFonts w:ascii="Verdana" w:eastAsia="Times New Roman" w:hAnsi="Verdana" w:cs="Arial"/>
                <w:sz w:val="16"/>
                <w:szCs w:val="16"/>
                <w:lang w:val="es-ES" w:eastAsia="es-ES_tradnl"/>
              </w:rPr>
              <w:t>Experto G3 - 08</w:t>
            </w:r>
            <w:r w:rsidR="00A37605" w:rsidRPr="00A37605">
              <w:rPr>
                <w:rFonts w:ascii="Verdana" w:eastAsia="Times New Roman" w:hAnsi="Verdana" w:cs="Arial"/>
                <w:sz w:val="16"/>
                <w:szCs w:val="16"/>
                <w:lang w:val="es-ES" w:eastAsia="es-ES_tradnl"/>
              </w:rPr>
              <w:t xml:space="preserve"> de la Subdirección de Gestión Contractual</w:t>
            </w:r>
            <w:r w:rsidR="00A37605" w:rsidRPr="00A37605">
              <w:rPr>
                <w:rFonts w:ascii="Verdana" w:eastAsia="Times New Roman" w:hAnsi="Verdana" w:cs="Arial"/>
                <w:sz w:val="16"/>
                <w:szCs w:val="16"/>
                <w:lang w:eastAsia="es-ES_tradnl"/>
              </w:rPr>
              <w:t> </w:t>
            </w:r>
          </w:p>
        </w:tc>
      </w:tr>
      <w:tr w:rsidR="00A37605" w:rsidRPr="00A37605" w14:paraId="133FF18C" w14:textId="77777777" w:rsidTr="00A37605">
        <w:trPr>
          <w:trHeight w:val="300"/>
        </w:trPr>
        <w:tc>
          <w:tcPr>
            <w:tcW w:w="893" w:type="dxa"/>
            <w:vAlign w:val="center"/>
            <w:hideMark/>
          </w:tcPr>
          <w:p w14:paraId="53C23516" w14:textId="77777777" w:rsidR="00A37605" w:rsidRPr="00A37605" w:rsidRDefault="00A37605" w:rsidP="00A37605">
            <w:pPr>
              <w:spacing w:after="255"/>
              <w:contextualSpacing/>
              <w:rPr>
                <w:rFonts w:ascii="Verdana" w:hAnsi="Verdana" w:cs="Arial"/>
                <w:sz w:val="16"/>
                <w:szCs w:val="16"/>
                <w:lang w:val="es-ES" w:eastAsia="es-ES"/>
              </w:rPr>
            </w:pPr>
            <w:r w:rsidRPr="00A37605">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5C7B5CF0" w14:textId="77777777" w:rsidR="00A37605" w:rsidRPr="00A37605" w:rsidRDefault="00A37605" w:rsidP="00A37605">
            <w:pPr>
              <w:spacing w:after="255"/>
              <w:contextualSpacing/>
              <w:rPr>
                <w:rFonts w:ascii="Verdana" w:hAnsi="Verdana" w:cs="Arial"/>
                <w:sz w:val="16"/>
                <w:szCs w:val="16"/>
                <w:lang w:val="pt-BR" w:eastAsia="es-ES"/>
              </w:rPr>
            </w:pPr>
            <w:r w:rsidRPr="00A37605">
              <w:rPr>
                <w:rFonts w:ascii="Verdana" w:hAnsi="Verdana" w:cs="Arial"/>
                <w:sz w:val="16"/>
                <w:szCs w:val="16"/>
                <w:lang w:val="pt-BR" w:eastAsia="es-ES"/>
              </w:rPr>
              <w:t>Carolina Quintero Gacharná</w:t>
            </w:r>
          </w:p>
          <w:p w14:paraId="03A95C20" w14:textId="77777777" w:rsidR="00A37605" w:rsidRPr="00A37605" w:rsidRDefault="00A37605" w:rsidP="00A37605">
            <w:pPr>
              <w:spacing w:after="255"/>
              <w:contextualSpacing/>
              <w:rPr>
                <w:rFonts w:ascii="Verdana" w:hAnsi="Verdana" w:cs="Arial"/>
                <w:sz w:val="16"/>
                <w:szCs w:val="16"/>
                <w:lang w:val="pt-BR" w:eastAsia="es-ES"/>
              </w:rPr>
            </w:pPr>
            <w:r w:rsidRPr="00A37605">
              <w:rPr>
                <w:rFonts w:ascii="Verdana" w:hAnsi="Verdana" w:cs="Arial"/>
                <w:sz w:val="16"/>
                <w:szCs w:val="16"/>
                <w:lang w:eastAsia="es-ES"/>
              </w:rPr>
              <w:t>Subdirectora</w:t>
            </w:r>
            <w:r w:rsidRPr="00A37605">
              <w:rPr>
                <w:rFonts w:ascii="Verdana" w:hAnsi="Verdana" w:cs="Arial"/>
                <w:sz w:val="16"/>
                <w:szCs w:val="16"/>
                <w:lang w:val="pt-BR" w:eastAsia="es-ES"/>
              </w:rPr>
              <w:t xml:space="preserve"> de Gestión Contractual ANCP – CCE</w:t>
            </w:r>
          </w:p>
        </w:tc>
      </w:tr>
    </w:tbl>
    <w:p w14:paraId="17224AFF" w14:textId="77777777" w:rsidR="00A37605" w:rsidRPr="00A37605" w:rsidRDefault="00A37605" w:rsidP="00A37605"/>
    <w:p w14:paraId="19A3E8E3" w14:textId="77777777" w:rsidR="00A37605" w:rsidRPr="00A37605" w:rsidRDefault="00A37605" w:rsidP="00A37605"/>
    <w:p w14:paraId="402A148C" w14:textId="77777777" w:rsidR="00A37605" w:rsidRPr="00A37605" w:rsidRDefault="00A37605" w:rsidP="00A37605"/>
    <w:p w14:paraId="0F293BF4" w14:textId="7BBFAB11" w:rsidR="00127233" w:rsidRPr="00A37605" w:rsidRDefault="00127233" w:rsidP="00A37605"/>
    <w:sectPr w:rsidR="00127233" w:rsidRPr="00A37605" w:rsidSect="007C0C0F">
      <w:headerReference w:type="default" r:id="rId16"/>
      <w:footerReference w:type="default" r:id="rId17"/>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F51DA" w14:textId="77777777" w:rsidR="00036C90" w:rsidRDefault="00036C90" w:rsidP="004A1847">
      <w:pPr>
        <w:spacing w:after="0" w:line="240" w:lineRule="auto"/>
      </w:pPr>
      <w:r>
        <w:separator/>
      </w:r>
    </w:p>
  </w:endnote>
  <w:endnote w:type="continuationSeparator" w:id="0">
    <w:p w14:paraId="2A888C56" w14:textId="77777777" w:rsidR="00036C90" w:rsidRDefault="00036C90" w:rsidP="004A1847">
      <w:pPr>
        <w:spacing w:after="0" w:line="240" w:lineRule="auto"/>
      </w:pPr>
      <w:r>
        <w:continuationSeparator/>
      </w:r>
    </w:p>
  </w:endnote>
  <w:endnote w:type="continuationNotice" w:id="1">
    <w:p w14:paraId="6CE4597D" w14:textId="77777777" w:rsidR="00036C90" w:rsidRDefault="00036C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45D1C" w14:textId="77777777" w:rsidR="00036C90" w:rsidRDefault="00036C90" w:rsidP="004A1847">
      <w:pPr>
        <w:spacing w:after="0" w:line="240" w:lineRule="auto"/>
      </w:pPr>
      <w:r>
        <w:separator/>
      </w:r>
    </w:p>
  </w:footnote>
  <w:footnote w:type="continuationSeparator" w:id="0">
    <w:p w14:paraId="5ACA486B" w14:textId="77777777" w:rsidR="00036C90" w:rsidRDefault="00036C90" w:rsidP="004A1847">
      <w:pPr>
        <w:spacing w:after="0" w:line="240" w:lineRule="auto"/>
      </w:pPr>
      <w:r>
        <w:continuationSeparator/>
      </w:r>
    </w:p>
  </w:footnote>
  <w:footnote w:type="continuationNotice" w:id="1">
    <w:p w14:paraId="1AA4C652" w14:textId="77777777" w:rsidR="00036C90" w:rsidRDefault="00036C90">
      <w:pPr>
        <w:spacing w:after="0" w:line="240" w:lineRule="auto"/>
      </w:pPr>
    </w:p>
  </w:footnote>
  <w:footnote w:id="2">
    <w:p w14:paraId="12DE36F6" w14:textId="77777777" w:rsidR="006A54BE" w:rsidRPr="006A54BE" w:rsidRDefault="006A54BE" w:rsidP="006A54BE">
      <w:pPr>
        <w:pStyle w:val="Textonotapie"/>
        <w:rPr>
          <w:rFonts w:ascii="Verdana" w:hAnsi="Verdana"/>
          <w:iCs/>
          <w:sz w:val="16"/>
          <w:szCs w:val="16"/>
        </w:rPr>
      </w:pPr>
      <w:r w:rsidRPr="006A54BE">
        <w:rPr>
          <w:rStyle w:val="Refdenotaalpie"/>
          <w:rFonts w:ascii="Verdana" w:hAnsi="Verdana"/>
          <w:sz w:val="16"/>
          <w:szCs w:val="16"/>
          <w:vertAlign w:val="baseline"/>
        </w:rPr>
        <w:footnoteRef/>
      </w:r>
      <w:r w:rsidRPr="006A54BE">
        <w:rPr>
          <w:rFonts w:ascii="Verdana" w:hAnsi="Verdana"/>
          <w:sz w:val="16"/>
          <w:szCs w:val="16"/>
        </w:rPr>
        <w:t xml:space="preserve"> </w:t>
      </w:r>
      <w:r w:rsidRPr="006A54BE">
        <w:rPr>
          <w:rFonts w:ascii="Verdana" w:hAnsi="Verdana"/>
          <w:iCs/>
          <w:sz w:val="16"/>
          <w:szCs w:val="16"/>
        </w:rPr>
        <w:t>Ley 1955 de 2019: “Artículo 244. Ingreso base de cotización [IBC] de los independientes. Los trabajadores independientes con ingresos netos iguales o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 [IVA].</w:t>
      </w:r>
    </w:p>
    <w:p w14:paraId="71EF4312" w14:textId="77777777" w:rsidR="006A54BE" w:rsidRPr="006A54BE" w:rsidRDefault="006A54BE" w:rsidP="006A54BE">
      <w:pPr>
        <w:pStyle w:val="Textonotapie"/>
        <w:rPr>
          <w:rFonts w:ascii="Verdana" w:hAnsi="Verdana"/>
          <w:iCs/>
          <w:sz w:val="16"/>
          <w:szCs w:val="16"/>
        </w:rPr>
      </w:pPr>
      <w:r w:rsidRPr="006A54BE">
        <w:rPr>
          <w:rFonts w:ascii="Verdana" w:hAnsi="Verdana"/>
          <w:iCs/>
          <w:sz w:val="16"/>
          <w:szCs w:val="16"/>
        </w:rPr>
        <w:t>Los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 del Impuesto al Valor Agregado [IVA]. En estos casos será procedente la imputación de costos y deducciones siempre que se cumplan los criterios determinados en el artículo 107 del Estatuto Tributario y sin exceder los valores incluidos en la declaración de renta de la respectiva vigencia.</w:t>
      </w:r>
    </w:p>
    <w:p w14:paraId="02ED033A" w14:textId="77777777" w:rsidR="006A54BE" w:rsidRPr="006A54BE" w:rsidRDefault="006A54BE" w:rsidP="006A54BE">
      <w:pPr>
        <w:pStyle w:val="Textonotapie"/>
        <w:rPr>
          <w:rFonts w:ascii="Verdana" w:hAnsi="Verdana"/>
          <w:iCs/>
          <w:sz w:val="16"/>
          <w:szCs w:val="16"/>
        </w:rPr>
      </w:pPr>
      <w:r w:rsidRPr="006A54BE">
        <w:rPr>
          <w:rFonts w:ascii="Verdana" w:hAnsi="Verdana"/>
          <w:iCs/>
          <w:sz w:val="16"/>
          <w:szCs w:val="16"/>
        </w:rPr>
        <w:t>El Gobierno nacional reglamentará el mecanismo para realizar la mensualización de que trata el presente artículo.</w:t>
      </w:r>
    </w:p>
    <w:p w14:paraId="59A17AF2" w14:textId="77777777" w:rsidR="006A54BE" w:rsidRPr="006A54BE" w:rsidRDefault="006A54BE" w:rsidP="006A54BE">
      <w:pPr>
        <w:pStyle w:val="Textonotapie"/>
        <w:rPr>
          <w:rFonts w:ascii="Verdana" w:hAnsi="Verdana"/>
          <w:iCs/>
          <w:sz w:val="16"/>
          <w:szCs w:val="16"/>
        </w:rPr>
      </w:pPr>
      <w:r w:rsidRPr="006A54BE">
        <w:rPr>
          <w:rFonts w:ascii="Verdana" w:hAnsi="Verdana"/>
          <w:iCs/>
          <w:sz w:val="16"/>
          <w:szCs w:val="16"/>
        </w:rPr>
        <w:t>Parágrafo. Para efectos de la determinación del ingreso base de cotización de los trabajadores independientes por cuenta propia y para quienes celebren contratos diferentes de prestación de servicios personales que impliquen subcontratación y/o compra de insumos o expensas, la Unidad de Gestión Pensional y Parafiscales [UGPP] deberá, atendiendo a los datos estadísticos producidos por la Dirección de Impuestos y Aduanas Nacionales [DIAN], por el Departamento Administrativo Nacional de Estadística, por el Banco de la República, por la Superintendencia de Sociedades u otras entidades cuyas estadísticas fueren aplicables, determinar un esquema de presunción de costos.</w:t>
      </w:r>
    </w:p>
    <w:p w14:paraId="22F67C92" w14:textId="74BCB91A" w:rsidR="006A54BE" w:rsidRPr="006A54BE" w:rsidRDefault="006A54BE" w:rsidP="006A54BE">
      <w:pPr>
        <w:pStyle w:val="Textonotapie"/>
        <w:rPr>
          <w:rFonts w:ascii="Verdana" w:hAnsi="Verdana"/>
          <w:iCs/>
          <w:sz w:val="16"/>
          <w:szCs w:val="16"/>
        </w:rPr>
      </w:pPr>
      <w:r w:rsidRPr="006A54BE">
        <w:rPr>
          <w:rFonts w:ascii="Verdana" w:hAnsi="Verdana"/>
          <w:iCs/>
          <w:sz w:val="16"/>
          <w:szCs w:val="16"/>
        </w:rPr>
        <w:t>No obstante, lo anterior, los obligados podrán establecer costos diferentes de los definidos por el esquema de presunción de costos de la UGPP, siempre y cuando cuenten con los documentos que soporten los costos y deducciones, los cuales deben cumplir con los requisitos establecidos en el artículo 107 del Estatuto Tributario y demás normas que regulen las exigencias para la validez de dichos documentos”.</w:t>
      </w:r>
    </w:p>
    <w:p w14:paraId="1E4D3F0B" w14:textId="6515B1AC" w:rsidR="006A54BE" w:rsidRPr="006A54BE" w:rsidRDefault="006A54BE">
      <w:pPr>
        <w:pStyle w:val="Textonotapie"/>
        <w:rPr>
          <w:lang w:val="es-CO"/>
        </w:rPr>
      </w:pPr>
    </w:p>
  </w:footnote>
  <w:footnote w:id="3">
    <w:p w14:paraId="2835B78B" w14:textId="77777777" w:rsidR="006A54BE" w:rsidRPr="006A54BE" w:rsidRDefault="006A54BE" w:rsidP="006A54BE">
      <w:pPr>
        <w:pStyle w:val="Textonotapie"/>
        <w:rPr>
          <w:rFonts w:ascii="Verdana" w:hAnsi="Verdana"/>
          <w:sz w:val="16"/>
          <w:szCs w:val="16"/>
        </w:rPr>
      </w:pPr>
      <w:r w:rsidRPr="006A54BE">
        <w:rPr>
          <w:rStyle w:val="Refdenotaalpie"/>
          <w:rFonts w:ascii="Verdana" w:hAnsi="Verdana"/>
          <w:sz w:val="16"/>
          <w:szCs w:val="16"/>
        </w:rPr>
        <w:footnoteRef/>
      </w:r>
      <w:r w:rsidRPr="006A54BE">
        <w:rPr>
          <w:rFonts w:ascii="Verdana" w:hAnsi="Verdana"/>
          <w:sz w:val="16"/>
          <w:szCs w:val="16"/>
        </w:rPr>
        <w:t xml:space="preserve"> La Corte expuso lo siguiente como síntesis de la decisión: “[…]164. Los demandantes propusieron la inconstitucionalidad del artículo 244 de la Ley 1955 de 2019, por desconocimiento del principio de unidad de materia. Luego de avalar la integración normativa y advertir la inexistencia de cosa juzgada, la Corte concluyó que era procedente adelantar el juicio de constitucionalidad.</w:t>
      </w:r>
    </w:p>
    <w:p w14:paraId="5EF31008" w14:textId="2FCF145B" w:rsidR="006A54BE" w:rsidRPr="006A54BE" w:rsidRDefault="006A54BE" w:rsidP="006A54BE">
      <w:pPr>
        <w:pStyle w:val="Textonotapie"/>
        <w:rPr>
          <w:lang w:val="es-CO"/>
        </w:rPr>
      </w:pPr>
      <w:r w:rsidRPr="006A54BE">
        <w:rPr>
          <w:rFonts w:ascii="Verdana" w:hAnsi="Verdana"/>
          <w:sz w:val="16"/>
          <w:szCs w:val="16"/>
          <w:lang w:val="es-CO"/>
        </w:rPr>
        <w:t>165. En tal sentido, la Sala concluyó que el artículo 244 de la Ley 1955 de 2019, adicionado por el artículo 139 de la Ley 2010 de 2019, desconoce el mandato constitucional de unidad de materia previsto en el artículo 158 del Texto Superior, toda vez que no existe una conexidad directa o inmediata entre la regulación del Ingreso Base de Cotización para los trabajadores independientes con contratos diferentes al de prestación de servicios y los objetivos, metas o estrategias previstos en el Plan Nacional de Desarrollo. Sin embargo, difiere los efectos de esta decisión a las dos próximas legislaturas a fin no afectar derechos y principios constitucionales relacionados con la base de cotización de trabajadores independientes al Sistema Integral de Seguridad Social”. Corte Constitucional. Sentencia C-068 del 19 de febrero de 2020. M.P. Diana Fajardo Rivera.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ACD0EF5"/>
    <w:multiLevelType w:val="multilevel"/>
    <w:tmpl w:val="0D8AE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F719C7"/>
    <w:multiLevelType w:val="hybridMultilevel"/>
    <w:tmpl w:val="9D926F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C23291E"/>
    <w:multiLevelType w:val="hybridMultilevel"/>
    <w:tmpl w:val="352C3E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F0C3E8B"/>
    <w:multiLevelType w:val="hybridMultilevel"/>
    <w:tmpl w:val="5BECDFCE"/>
    <w:lvl w:ilvl="0" w:tplc="240A0013">
      <w:start w:val="1"/>
      <w:numFmt w:val="upperRoman"/>
      <w:lvlText w:val="%1."/>
      <w:lvlJc w:val="righ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7" w15:restartNumberingAfterBreak="0">
    <w:nsid w:val="22012F01"/>
    <w:multiLevelType w:val="hybridMultilevel"/>
    <w:tmpl w:val="CC241C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172D60"/>
    <w:multiLevelType w:val="hybridMultilevel"/>
    <w:tmpl w:val="A9304808"/>
    <w:lvl w:ilvl="0" w:tplc="240A0019">
      <w:start w:val="1"/>
      <w:numFmt w:val="lowerLetter"/>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8E3C75"/>
    <w:multiLevelType w:val="hybridMultilevel"/>
    <w:tmpl w:val="B172CF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F7640F1"/>
    <w:multiLevelType w:val="hybridMultilevel"/>
    <w:tmpl w:val="3C54C264"/>
    <w:lvl w:ilvl="0" w:tplc="240A0001">
      <w:start w:val="1"/>
      <w:numFmt w:val="bullet"/>
      <w:lvlText w:val=""/>
      <w:lvlJc w:val="left"/>
      <w:pPr>
        <w:ind w:left="720" w:hanging="360"/>
      </w:pPr>
      <w:rPr>
        <w:rFonts w:ascii="Symbol" w:hAnsi="Symbol" w:hint="default"/>
      </w:rPr>
    </w:lvl>
    <w:lvl w:ilvl="1" w:tplc="64B4B4EC">
      <w:start w:val="1"/>
      <w:numFmt w:val="decimal"/>
      <w:lvlText w:val="%2."/>
      <w:lvlJc w:val="left"/>
      <w:pPr>
        <w:ind w:left="1440" w:hanging="360"/>
      </w:pPr>
      <w:rPr>
        <w:rFonts w:ascii="Verdana" w:eastAsia="Calibri" w:hAnsi="Verdana" w:cs="Arial"/>
      </w:rPr>
    </w:lvl>
    <w:lvl w:ilvl="2" w:tplc="1CCAE5DE">
      <w:start w:val="1"/>
      <w:numFmt w:val="lowerLetter"/>
      <w:lvlText w:val="%3."/>
      <w:lvlJc w:val="left"/>
      <w:pPr>
        <w:ind w:left="2160" w:hanging="360"/>
      </w:pPr>
      <w:rPr>
        <w:rFont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2D91F06"/>
    <w:multiLevelType w:val="multilevel"/>
    <w:tmpl w:val="C090D9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524744"/>
    <w:multiLevelType w:val="multilevel"/>
    <w:tmpl w:val="9A18024A"/>
    <w:lvl w:ilvl="0">
      <w:start w:val="1"/>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9" w15:restartNumberingAfterBreak="0">
    <w:nsid w:val="59765424"/>
    <w:multiLevelType w:val="hybridMultilevel"/>
    <w:tmpl w:val="6C2ADE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D967E3A"/>
    <w:multiLevelType w:val="hybridMultilevel"/>
    <w:tmpl w:val="075A7A26"/>
    <w:lvl w:ilvl="0" w:tplc="DDEA158C">
      <w:start w:val="1"/>
      <w:numFmt w:val="decimal"/>
      <w:lvlText w:val="%1."/>
      <w:lvlJc w:val="left"/>
      <w:pPr>
        <w:ind w:left="720" w:hanging="360"/>
      </w:pPr>
      <w:rPr>
        <w:rFonts w:eastAsiaTheme="minorHAnsi"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36C03B0"/>
    <w:multiLevelType w:val="hybridMultilevel"/>
    <w:tmpl w:val="87183FAA"/>
    <w:lvl w:ilvl="0" w:tplc="240A0007">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22"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471CDA"/>
    <w:multiLevelType w:val="hybridMultilevel"/>
    <w:tmpl w:val="FF68D4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00542C4"/>
    <w:multiLevelType w:val="hybridMultilevel"/>
    <w:tmpl w:val="232828B0"/>
    <w:lvl w:ilvl="0" w:tplc="FFFFFFFF">
      <w:start w:val="1"/>
      <w:numFmt w:val="decimal"/>
      <w:lvlText w:val="%1."/>
      <w:lvlJc w:val="left"/>
      <w:pPr>
        <w:ind w:left="2061"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03336ED"/>
    <w:multiLevelType w:val="hybridMultilevel"/>
    <w:tmpl w:val="957418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06346A5"/>
    <w:multiLevelType w:val="hybridMultilevel"/>
    <w:tmpl w:val="D67292D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1D7169B"/>
    <w:multiLevelType w:val="hybridMultilevel"/>
    <w:tmpl w:val="79680B88"/>
    <w:lvl w:ilvl="0" w:tplc="63A078AA">
      <w:start w:val="1"/>
      <w:numFmt w:val="lowerLetter"/>
      <w:lvlText w:val="%1."/>
      <w:lvlJc w:val="left"/>
      <w:pPr>
        <w:ind w:left="720" w:hanging="360"/>
      </w:pPr>
      <w:rPr>
        <w:rFonts w:eastAsiaTheme="minorHAnsi"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E16537F"/>
    <w:multiLevelType w:val="hybridMultilevel"/>
    <w:tmpl w:val="D3F05DF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E2B1158"/>
    <w:multiLevelType w:val="hybridMultilevel"/>
    <w:tmpl w:val="060A19E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948779781">
    <w:abstractNumId w:val="11"/>
  </w:num>
  <w:num w:numId="2" w16cid:durableId="19822139">
    <w:abstractNumId w:val="2"/>
  </w:num>
  <w:num w:numId="3" w16cid:durableId="876742304">
    <w:abstractNumId w:val="9"/>
  </w:num>
  <w:num w:numId="4" w16cid:durableId="2451864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25"/>
  </w:num>
  <w:num w:numId="7" w16cid:durableId="1946422806">
    <w:abstractNumId w:val="10"/>
  </w:num>
  <w:num w:numId="8" w16cid:durableId="152644682">
    <w:abstractNumId w:val="23"/>
  </w:num>
  <w:num w:numId="9" w16cid:durableId="1317221377">
    <w:abstractNumId w:val="12"/>
  </w:num>
  <w:num w:numId="10" w16cid:durableId="1471245386">
    <w:abstractNumId w:val="22"/>
  </w:num>
  <w:num w:numId="11" w16cid:durableId="289172385">
    <w:abstractNumId w:val="14"/>
  </w:num>
  <w:num w:numId="12" w16cid:durableId="1470781324">
    <w:abstractNumId w:val="1"/>
  </w:num>
  <w:num w:numId="13" w16cid:durableId="1512908409">
    <w:abstractNumId w:val="8"/>
  </w:num>
  <w:num w:numId="14" w16cid:durableId="895897244">
    <w:abstractNumId w:val="26"/>
  </w:num>
  <w:num w:numId="15" w16cid:durableId="390349800">
    <w:abstractNumId w:val="21"/>
  </w:num>
  <w:num w:numId="16" w16cid:durableId="2063166378">
    <w:abstractNumId w:val="0"/>
  </w:num>
  <w:num w:numId="17" w16cid:durableId="1403024645">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23724345">
    <w:abstractNumId w:val="24"/>
  </w:num>
  <w:num w:numId="19" w16cid:durableId="71977279">
    <w:abstractNumId w:val="16"/>
  </w:num>
  <w:num w:numId="20" w16cid:durableId="56099723">
    <w:abstractNumId w:val="7"/>
  </w:num>
  <w:num w:numId="21" w16cid:durableId="319970733">
    <w:abstractNumId w:val="18"/>
  </w:num>
  <w:num w:numId="22" w16cid:durableId="1605184565">
    <w:abstractNumId w:val="15"/>
  </w:num>
  <w:num w:numId="23" w16cid:durableId="28531810">
    <w:abstractNumId w:val="29"/>
  </w:num>
  <w:num w:numId="24" w16cid:durableId="226958204">
    <w:abstractNumId w:val="6"/>
  </w:num>
  <w:num w:numId="25" w16cid:durableId="60252612">
    <w:abstractNumId w:val="19"/>
  </w:num>
  <w:num w:numId="26" w16cid:durableId="398360152">
    <w:abstractNumId w:val="27"/>
  </w:num>
  <w:num w:numId="27" w16cid:durableId="94400953">
    <w:abstractNumId w:val="5"/>
  </w:num>
  <w:num w:numId="28" w16cid:durableId="1441954633">
    <w:abstractNumId w:val="28"/>
  </w:num>
  <w:num w:numId="29" w16cid:durableId="1746954729">
    <w:abstractNumId w:val="13"/>
  </w:num>
  <w:num w:numId="30" w16cid:durableId="14237275">
    <w:abstractNumId w:val="31"/>
  </w:num>
  <w:num w:numId="31" w16cid:durableId="1981882101">
    <w:abstractNumId w:val="17"/>
  </w:num>
  <w:num w:numId="32" w16cid:durableId="567616310">
    <w:abstractNumId w:val="3"/>
  </w:num>
  <w:num w:numId="33" w16cid:durableId="629482918">
    <w:abstractNumId w:val="32"/>
  </w:num>
  <w:num w:numId="34" w16cid:durableId="185290007">
    <w:abstractNumId w:val="30"/>
  </w:num>
  <w:num w:numId="35" w16cid:durableId="1832720144">
    <w:abstractNumId w:val="20"/>
  </w:num>
  <w:num w:numId="36" w16cid:durableId="11210000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2230E"/>
    <w:rsid w:val="00036C90"/>
    <w:rsid w:val="00061B2A"/>
    <w:rsid w:val="00061D81"/>
    <w:rsid w:val="00065FED"/>
    <w:rsid w:val="00082362"/>
    <w:rsid w:val="000A111C"/>
    <w:rsid w:val="000A253B"/>
    <w:rsid w:val="000A683E"/>
    <w:rsid w:val="000B19B9"/>
    <w:rsid w:val="000B63B4"/>
    <w:rsid w:val="000B6BC1"/>
    <w:rsid w:val="000C40B3"/>
    <w:rsid w:val="000C5EE2"/>
    <w:rsid w:val="000D0334"/>
    <w:rsid w:val="000D6F9E"/>
    <w:rsid w:val="000E6B2F"/>
    <w:rsid w:val="000F5641"/>
    <w:rsid w:val="000F6486"/>
    <w:rsid w:val="000F78AB"/>
    <w:rsid w:val="0010452F"/>
    <w:rsid w:val="001172A6"/>
    <w:rsid w:val="00123B2B"/>
    <w:rsid w:val="00125105"/>
    <w:rsid w:val="00127233"/>
    <w:rsid w:val="001436D0"/>
    <w:rsid w:val="00144AE0"/>
    <w:rsid w:val="00151E88"/>
    <w:rsid w:val="00153205"/>
    <w:rsid w:val="001732EE"/>
    <w:rsid w:val="0018639F"/>
    <w:rsid w:val="00195BC3"/>
    <w:rsid w:val="001B0D2D"/>
    <w:rsid w:val="001C6929"/>
    <w:rsid w:val="001E1DC1"/>
    <w:rsid w:val="001E4177"/>
    <w:rsid w:val="001F0CC0"/>
    <w:rsid w:val="001F7DC6"/>
    <w:rsid w:val="002219BC"/>
    <w:rsid w:val="0023088D"/>
    <w:rsid w:val="002421BB"/>
    <w:rsid w:val="00244635"/>
    <w:rsid w:val="0025796E"/>
    <w:rsid w:val="00263130"/>
    <w:rsid w:val="00265A6C"/>
    <w:rsid w:val="002707A2"/>
    <w:rsid w:val="002722AD"/>
    <w:rsid w:val="00293397"/>
    <w:rsid w:val="002951A0"/>
    <w:rsid w:val="002962BC"/>
    <w:rsid w:val="002A093D"/>
    <w:rsid w:val="002A0DD0"/>
    <w:rsid w:val="002A1370"/>
    <w:rsid w:val="002A49AC"/>
    <w:rsid w:val="002A64FD"/>
    <w:rsid w:val="002A7114"/>
    <w:rsid w:val="002B4558"/>
    <w:rsid w:val="002B5A7F"/>
    <w:rsid w:val="002C7A84"/>
    <w:rsid w:val="002D4465"/>
    <w:rsid w:val="002E4FD9"/>
    <w:rsid w:val="002E7A46"/>
    <w:rsid w:val="00306F69"/>
    <w:rsid w:val="00311100"/>
    <w:rsid w:val="00322A85"/>
    <w:rsid w:val="003238A1"/>
    <w:rsid w:val="00324168"/>
    <w:rsid w:val="00331338"/>
    <w:rsid w:val="003412F3"/>
    <w:rsid w:val="003448F4"/>
    <w:rsid w:val="00374F5E"/>
    <w:rsid w:val="00377E3E"/>
    <w:rsid w:val="00395947"/>
    <w:rsid w:val="003A26D1"/>
    <w:rsid w:val="003A779E"/>
    <w:rsid w:val="003C242B"/>
    <w:rsid w:val="003D0501"/>
    <w:rsid w:val="003D0F4D"/>
    <w:rsid w:val="003D5B0D"/>
    <w:rsid w:val="003E0499"/>
    <w:rsid w:val="003F3941"/>
    <w:rsid w:val="003F7DB8"/>
    <w:rsid w:val="00402916"/>
    <w:rsid w:val="00406575"/>
    <w:rsid w:val="0042722E"/>
    <w:rsid w:val="00442CB8"/>
    <w:rsid w:val="00442E14"/>
    <w:rsid w:val="0044528D"/>
    <w:rsid w:val="00447FF6"/>
    <w:rsid w:val="004620B5"/>
    <w:rsid w:val="004A1847"/>
    <w:rsid w:val="004A305D"/>
    <w:rsid w:val="004A4578"/>
    <w:rsid w:val="004D1F82"/>
    <w:rsid w:val="004E643D"/>
    <w:rsid w:val="004F21C4"/>
    <w:rsid w:val="004F685F"/>
    <w:rsid w:val="005069F6"/>
    <w:rsid w:val="005166D6"/>
    <w:rsid w:val="00544517"/>
    <w:rsid w:val="00555263"/>
    <w:rsid w:val="005566E8"/>
    <w:rsid w:val="0056753A"/>
    <w:rsid w:val="00574867"/>
    <w:rsid w:val="00591460"/>
    <w:rsid w:val="00592628"/>
    <w:rsid w:val="005A292A"/>
    <w:rsid w:val="005A674C"/>
    <w:rsid w:val="005B3046"/>
    <w:rsid w:val="005C0DE2"/>
    <w:rsid w:val="005C33F6"/>
    <w:rsid w:val="005C3777"/>
    <w:rsid w:val="005C5CDC"/>
    <w:rsid w:val="005D476C"/>
    <w:rsid w:val="005E36EB"/>
    <w:rsid w:val="00603288"/>
    <w:rsid w:val="00610812"/>
    <w:rsid w:val="006219F8"/>
    <w:rsid w:val="00625033"/>
    <w:rsid w:val="00641763"/>
    <w:rsid w:val="00641B60"/>
    <w:rsid w:val="0064665B"/>
    <w:rsid w:val="00650FF7"/>
    <w:rsid w:val="00665D70"/>
    <w:rsid w:val="00671DAC"/>
    <w:rsid w:val="006900D9"/>
    <w:rsid w:val="006A420D"/>
    <w:rsid w:val="006A54BE"/>
    <w:rsid w:val="006D12F8"/>
    <w:rsid w:val="006F5304"/>
    <w:rsid w:val="00706C16"/>
    <w:rsid w:val="00721747"/>
    <w:rsid w:val="00724BF9"/>
    <w:rsid w:val="007463FA"/>
    <w:rsid w:val="00755EE8"/>
    <w:rsid w:val="00756841"/>
    <w:rsid w:val="007649AB"/>
    <w:rsid w:val="00771D0C"/>
    <w:rsid w:val="007833AC"/>
    <w:rsid w:val="007914C1"/>
    <w:rsid w:val="007B268C"/>
    <w:rsid w:val="007B7171"/>
    <w:rsid w:val="007B71ED"/>
    <w:rsid w:val="007C0C0F"/>
    <w:rsid w:val="007C3DC2"/>
    <w:rsid w:val="007C5FF2"/>
    <w:rsid w:val="007E5497"/>
    <w:rsid w:val="00806F5F"/>
    <w:rsid w:val="00814CA7"/>
    <w:rsid w:val="00815207"/>
    <w:rsid w:val="00820278"/>
    <w:rsid w:val="00835E89"/>
    <w:rsid w:val="00837B0E"/>
    <w:rsid w:val="008422D2"/>
    <w:rsid w:val="00854B5B"/>
    <w:rsid w:val="008843B6"/>
    <w:rsid w:val="00891928"/>
    <w:rsid w:val="008A192D"/>
    <w:rsid w:val="008A340B"/>
    <w:rsid w:val="008A446D"/>
    <w:rsid w:val="008B1BCA"/>
    <w:rsid w:val="008B2181"/>
    <w:rsid w:val="008C06BB"/>
    <w:rsid w:val="008C29A2"/>
    <w:rsid w:val="008D180B"/>
    <w:rsid w:val="008E0B01"/>
    <w:rsid w:val="008E5B33"/>
    <w:rsid w:val="008F0EA7"/>
    <w:rsid w:val="009013EE"/>
    <w:rsid w:val="00903DA8"/>
    <w:rsid w:val="00905EA1"/>
    <w:rsid w:val="0091245B"/>
    <w:rsid w:val="00920047"/>
    <w:rsid w:val="009229FD"/>
    <w:rsid w:val="00923EEF"/>
    <w:rsid w:val="00934F35"/>
    <w:rsid w:val="009419F9"/>
    <w:rsid w:val="0095685E"/>
    <w:rsid w:val="00961B09"/>
    <w:rsid w:val="0096522F"/>
    <w:rsid w:val="00965334"/>
    <w:rsid w:val="0097093E"/>
    <w:rsid w:val="009732EF"/>
    <w:rsid w:val="00980AA1"/>
    <w:rsid w:val="00994F97"/>
    <w:rsid w:val="009970B3"/>
    <w:rsid w:val="009A0DFA"/>
    <w:rsid w:val="009A7FE0"/>
    <w:rsid w:val="009B2D26"/>
    <w:rsid w:val="009B3279"/>
    <w:rsid w:val="009C71FA"/>
    <w:rsid w:val="009C72E7"/>
    <w:rsid w:val="009D3058"/>
    <w:rsid w:val="009E5671"/>
    <w:rsid w:val="009F3A13"/>
    <w:rsid w:val="00A0461E"/>
    <w:rsid w:val="00A052D4"/>
    <w:rsid w:val="00A06167"/>
    <w:rsid w:val="00A122D3"/>
    <w:rsid w:val="00A17F13"/>
    <w:rsid w:val="00A2064F"/>
    <w:rsid w:val="00A20739"/>
    <w:rsid w:val="00A3063D"/>
    <w:rsid w:val="00A33C78"/>
    <w:rsid w:val="00A37605"/>
    <w:rsid w:val="00A5068F"/>
    <w:rsid w:val="00A74496"/>
    <w:rsid w:val="00A75433"/>
    <w:rsid w:val="00A832BA"/>
    <w:rsid w:val="00AB0ADB"/>
    <w:rsid w:val="00AC1478"/>
    <w:rsid w:val="00AC48A1"/>
    <w:rsid w:val="00AC6AD2"/>
    <w:rsid w:val="00AF1EB9"/>
    <w:rsid w:val="00AF5CEE"/>
    <w:rsid w:val="00B01B1A"/>
    <w:rsid w:val="00B15387"/>
    <w:rsid w:val="00B162FC"/>
    <w:rsid w:val="00B16BE2"/>
    <w:rsid w:val="00B310DE"/>
    <w:rsid w:val="00B454FC"/>
    <w:rsid w:val="00B51B25"/>
    <w:rsid w:val="00B72CD3"/>
    <w:rsid w:val="00B72FFF"/>
    <w:rsid w:val="00BC3A0B"/>
    <w:rsid w:val="00BC3D36"/>
    <w:rsid w:val="00BD2ED2"/>
    <w:rsid w:val="00BD7F72"/>
    <w:rsid w:val="00BF2996"/>
    <w:rsid w:val="00BF3E9F"/>
    <w:rsid w:val="00C04FB3"/>
    <w:rsid w:val="00C057A0"/>
    <w:rsid w:val="00C330EB"/>
    <w:rsid w:val="00C536AE"/>
    <w:rsid w:val="00C7364F"/>
    <w:rsid w:val="00C754BE"/>
    <w:rsid w:val="00C76B1C"/>
    <w:rsid w:val="00CB6357"/>
    <w:rsid w:val="00CC1B26"/>
    <w:rsid w:val="00CC3DF0"/>
    <w:rsid w:val="00CD6C23"/>
    <w:rsid w:val="00CE0BD1"/>
    <w:rsid w:val="00CE1392"/>
    <w:rsid w:val="00CE2B89"/>
    <w:rsid w:val="00CE5D92"/>
    <w:rsid w:val="00CF0089"/>
    <w:rsid w:val="00CF3872"/>
    <w:rsid w:val="00D0277B"/>
    <w:rsid w:val="00D04B90"/>
    <w:rsid w:val="00D23BF5"/>
    <w:rsid w:val="00D32453"/>
    <w:rsid w:val="00D423A2"/>
    <w:rsid w:val="00D44740"/>
    <w:rsid w:val="00D520D8"/>
    <w:rsid w:val="00D63AC2"/>
    <w:rsid w:val="00D7383B"/>
    <w:rsid w:val="00D74DDD"/>
    <w:rsid w:val="00D75DF0"/>
    <w:rsid w:val="00D815CE"/>
    <w:rsid w:val="00D81712"/>
    <w:rsid w:val="00D97F77"/>
    <w:rsid w:val="00DA231B"/>
    <w:rsid w:val="00DA23A0"/>
    <w:rsid w:val="00DA3026"/>
    <w:rsid w:val="00DB30D6"/>
    <w:rsid w:val="00DC39FC"/>
    <w:rsid w:val="00DD71E1"/>
    <w:rsid w:val="00DE6080"/>
    <w:rsid w:val="00DE7537"/>
    <w:rsid w:val="00DF5254"/>
    <w:rsid w:val="00E050A4"/>
    <w:rsid w:val="00E06C17"/>
    <w:rsid w:val="00E11374"/>
    <w:rsid w:val="00E16408"/>
    <w:rsid w:val="00E20894"/>
    <w:rsid w:val="00E245AB"/>
    <w:rsid w:val="00E2764C"/>
    <w:rsid w:val="00E27F2E"/>
    <w:rsid w:val="00E36EB3"/>
    <w:rsid w:val="00E37976"/>
    <w:rsid w:val="00E413EA"/>
    <w:rsid w:val="00E50AFE"/>
    <w:rsid w:val="00E63911"/>
    <w:rsid w:val="00E75C92"/>
    <w:rsid w:val="00E771DC"/>
    <w:rsid w:val="00E8772A"/>
    <w:rsid w:val="00E87B9C"/>
    <w:rsid w:val="00E90F6B"/>
    <w:rsid w:val="00E92542"/>
    <w:rsid w:val="00E92C27"/>
    <w:rsid w:val="00EA0E3D"/>
    <w:rsid w:val="00EC38A7"/>
    <w:rsid w:val="00ED0A21"/>
    <w:rsid w:val="00EE1AA8"/>
    <w:rsid w:val="00F31EDC"/>
    <w:rsid w:val="00F379E2"/>
    <w:rsid w:val="00F462B3"/>
    <w:rsid w:val="00F5069D"/>
    <w:rsid w:val="00F5664F"/>
    <w:rsid w:val="00F576BB"/>
    <w:rsid w:val="00F666C4"/>
    <w:rsid w:val="00F70817"/>
    <w:rsid w:val="00F76AFC"/>
    <w:rsid w:val="00F91D72"/>
    <w:rsid w:val="00FA47C0"/>
    <w:rsid w:val="00FB5DD1"/>
    <w:rsid w:val="00FC2B5D"/>
    <w:rsid w:val="00FD3096"/>
    <w:rsid w:val="00FE48DE"/>
    <w:rsid w:val="00FF1449"/>
    <w:rsid w:val="00FF20FC"/>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07E282DB-6A11-4DE3-B916-991A6D191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link w:val="NormalWebCar"/>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A37605"/>
    <w:pPr>
      <w:spacing w:line="240" w:lineRule="exact"/>
    </w:pPr>
    <w:rPr>
      <w:vertAlign w:val="superscript"/>
    </w:rPr>
  </w:style>
  <w:style w:type="table" w:customStyle="1" w:styleId="Tablaconcuadrcula1">
    <w:name w:val="Tabla con cuadrícula1"/>
    <w:basedOn w:val="Tablanormal"/>
    <w:next w:val="Tablaconcuadrcula"/>
    <w:uiPriority w:val="39"/>
    <w:qFormat/>
    <w:rsid w:val="00A37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B454FC"/>
    <w:pPr>
      <w:spacing w:after="120"/>
    </w:pPr>
  </w:style>
  <w:style w:type="character" w:customStyle="1" w:styleId="TextoindependienteCar">
    <w:name w:val="Texto independiente Car"/>
    <w:basedOn w:val="Fuentedeprrafopredeter"/>
    <w:link w:val="Textoindependiente"/>
    <w:uiPriority w:val="99"/>
    <w:semiHidden/>
    <w:rsid w:val="00B454FC"/>
  </w:style>
  <w:style w:type="character" w:customStyle="1" w:styleId="NormalWebCar">
    <w:name w:val="Normal (Web) Car"/>
    <w:link w:val="NormalWeb"/>
    <w:uiPriority w:val="99"/>
    <w:rsid w:val="00B454FC"/>
    <w:rPr>
      <w:rFonts w:ascii="Times New Roman" w:eastAsia="Times New Roman" w:hAnsi="Times New Roman" w:cs="Times New Roman"/>
      <w:sz w:val="24"/>
      <w:szCs w:val="24"/>
      <w:lang w:eastAsia="es-CO"/>
    </w:rPr>
  </w:style>
  <w:style w:type="character" w:customStyle="1" w:styleId="baj">
    <w:name w:val="b_aj"/>
    <w:basedOn w:val="Fuentedeprrafopredeter"/>
    <w:rsid w:val="00B454FC"/>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5166D6"/>
    <w:rPr>
      <w:rFonts w:ascii="Geomanist Light" w:hAnsi="Geomanist Light"/>
      <w:lang w:val="es-ES"/>
    </w:rPr>
  </w:style>
  <w:style w:type="character" w:customStyle="1" w:styleId="author-name">
    <w:name w:val="author-name"/>
    <w:basedOn w:val="Fuentedeprrafopredeter"/>
    <w:rsid w:val="005166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1472987387">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 w:id="214311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latoria.colombiacompra.gov.co/busqueda/concepto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trolinterno@hlc.gov.c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lombiacompra.gov.co/sala-de-prensa/boletin-digit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CC197-0444-4B9D-B5F4-B2D4C42B1FF3}"/>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4.xml><?xml version="1.0" encoding="utf-8"?>
<ds:datastoreItem xmlns:ds="http://schemas.openxmlformats.org/officeDocument/2006/customXml" ds:itemID="{A74BCDDC-083F-4EB1-86FA-2E81E9A6A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2182</Words>
  <Characters>12002</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14156</CharactersWithSpaces>
  <SharedDoc>false</SharedDoc>
  <HLinks>
    <vt:vector size="18" baseType="variant">
      <vt:variant>
        <vt:i4>7536763</vt:i4>
      </vt:variant>
      <vt:variant>
        <vt:i4>6</vt:i4>
      </vt:variant>
      <vt:variant>
        <vt:i4>0</vt:i4>
      </vt:variant>
      <vt:variant>
        <vt:i4>5</vt:i4>
      </vt:variant>
      <vt:variant>
        <vt:lpwstr>https://nam02.safelinks.protection.outlook.com/?url=https%3A%2F%2Fwww.colombiacompra.gov.co%2Fsala-de-prensa%2Fboletin-digital&amp;data=05%7C02%7Ccielo.gonzalez%40colombiacompra.gov.co%7Ca5385b6e6e634a6b840208dca5c36dc1%7C7b09041e245149d08cb179d5e3d8c1be%7C0%7C0%7C638567506006998902%7CUnknown%7CTWFpbGZsb3d8eyJWIjoiMC4wLjAwMDAiLCJQIjoiV2luMzIiLCJBTiI6Ik1haWwiLCJXVCI6Mn0%3D%7C0%7C%7C%7C&amp;sdata=Fj8DQ3xgv92feI2kr4Mw%2F1BSk5GgYJSs%2BJR%2BejSIbJg%3D&amp;reserved=0</vt:lpwstr>
      </vt:variant>
      <vt:variant>
        <vt:lpwstr/>
      </vt:variant>
      <vt:variant>
        <vt:i4>7471218</vt:i4>
      </vt:variant>
      <vt:variant>
        <vt:i4>3</vt:i4>
      </vt:variant>
      <vt:variant>
        <vt:i4>0</vt:i4>
      </vt:variant>
      <vt:variant>
        <vt:i4>5</vt:i4>
      </vt:variant>
      <vt:variant>
        <vt:lpwstr>https://relatoria.colombiacompra.gov.co/busqueda/conceptos</vt:lpwstr>
      </vt:variant>
      <vt:variant>
        <vt:lpwstr/>
      </vt:variant>
      <vt:variant>
        <vt:i4>6881361</vt:i4>
      </vt:variant>
      <vt:variant>
        <vt:i4>0</vt:i4>
      </vt:variant>
      <vt:variant>
        <vt:i4>0</vt:i4>
      </vt:variant>
      <vt:variant>
        <vt:i4>5</vt:i4>
      </vt:variant>
      <vt:variant>
        <vt:lpwstr>mailto:judigoga@gmail.com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Juan Manuel Avendaño Robles</cp:lastModifiedBy>
  <cp:revision>2</cp:revision>
  <cp:lastPrinted>2023-01-11T00:18:00Z</cp:lastPrinted>
  <dcterms:created xsi:type="dcterms:W3CDTF">2024-08-21T23:59:00Z</dcterms:created>
  <dcterms:modified xsi:type="dcterms:W3CDTF">2024-08-21T23:59:00Z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