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AD0256" w14:textId="77777777" w:rsidR="00082737" w:rsidRDefault="00082737" w:rsidP="001B0FB6">
      <w:pPr>
        <w:spacing w:after="0" w:line="240" w:lineRule="auto"/>
        <w:rPr>
          <w:rFonts w:ascii="Verdana" w:eastAsia="Geomanist Light" w:hAnsi="Verdana" w:cs="Arial"/>
          <w:lang w:val="es-MX"/>
        </w:rPr>
      </w:pPr>
    </w:p>
    <w:p w14:paraId="7A6142B5" w14:textId="77777777" w:rsidR="00082737" w:rsidRDefault="00082737" w:rsidP="00082737">
      <w:pPr>
        <w:spacing w:after="0" w:line="240" w:lineRule="auto"/>
        <w:jc w:val="both"/>
        <w:rPr>
          <w:rFonts w:ascii="Verdana" w:eastAsia="Geomanist Light" w:hAnsi="Verdana" w:cs="Arial"/>
          <w:b/>
          <w:bCs/>
          <w:lang w:val="es-ES"/>
        </w:rPr>
      </w:pPr>
      <w:r w:rsidRPr="00082737">
        <w:rPr>
          <w:rFonts w:ascii="Verdana" w:eastAsia="Geomanist Light" w:hAnsi="Verdana" w:cs="Arial"/>
          <w:b/>
          <w:bCs/>
          <w:lang w:val="es-ES"/>
        </w:rPr>
        <w:t>CONVENIO INTERADMINISTRATIVO – características</w:t>
      </w:r>
    </w:p>
    <w:p w14:paraId="20D3E4F1" w14:textId="77777777" w:rsidR="00082737" w:rsidRPr="00082737" w:rsidRDefault="00082737" w:rsidP="00082737">
      <w:pPr>
        <w:spacing w:after="0" w:line="240" w:lineRule="auto"/>
        <w:jc w:val="both"/>
        <w:rPr>
          <w:rFonts w:ascii="Verdana" w:eastAsia="Geomanist Light" w:hAnsi="Verdana" w:cs="Arial"/>
          <w:b/>
          <w:bCs/>
          <w:lang w:val="es-ES"/>
        </w:rPr>
      </w:pPr>
    </w:p>
    <w:p w14:paraId="0049183D" w14:textId="77777777" w:rsidR="00082737" w:rsidRPr="00082737" w:rsidRDefault="00082737" w:rsidP="00082737">
      <w:pPr>
        <w:spacing w:after="0" w:line="240" w:lineRule="auto"/>
        <w:jc w:val="both"/>
        <w:rPr>
          <w:rFonts w:ascii="Verdana" w:eastAsia="Geomanist Light" w:hAnsi="Verdana" w:cs="Arial"/>
          <w:lang w:val="es-ES"/>
        </w:rPr>
      </w:pPr>
      <w:r w:rsidRPr="00082737">
        <w:rPr>
          <w:rFonts w:ascii="Verdana" w:eastAsia="Geomanist Light" w:hAnsi="Verdana" w:cs="Arial"/>
          <w:lang w:val="es-ES"/>
        </w:rPr>
        <w:t xml:space="preserve">De modo que, aunque la Ley 80 de 1993 faculta a las entidades estatales para celebrar cualquier acto jurídico generador de obligaciones, las disposiciones citadas, regulan de forma particular, la figura del convenio interadministrativo y definen para el efecto, los elementos que integra este tipo de negocio jurídico. </w:t>
      </w:r>
    </w:p>
    <w:p w14:paraId="0F3380A7" w14:textId="22646061" w:rsidR="00082737" w:rsidRDefault="00082737" w:rsidP="00082737">
      <w:pPr>
        <w:spacing w:after="0" w:line="240" w:lineRule="auto"/>
        <w:jc w:val="both"/>
        <w:rPr>
          <w:rFonts w:ascii="Verdana" w:eastAsia="Geomanist Light" w:hAnsi="Verdana" w:cs="Arial"/>
        </w:rPr>
      </w:pPr>
      <w:r w:rsidRPr="00082737">
        <w:rPr>
          <w:rFonts w:ascii="Verdana" w:eastAsia="Geomanist Light" w:hAnsi="Verdana" w:cs="Arial"/>
          <w:lang w:val="es-ES"/>
        </w:rPr>
        <w:t xml:space="preserve">[…]Así las cosas, conforme a lo previsto en el artículo 95 de la Ley 489 de 1995 y al alcance que la jurisprudencia del Consejo de Estado y la doctrina le han dado a la regulación de los convenios interadministrativos, esta tipología tiene las siguientes características: 1. </w:t>
      </w:r>
      <w:r w:rsidRPr="00082737">
        <w:rPr>
          <w:rFonts w:ascii="Verdana" w:eastAsia="Geomanist Light" w:hAnsi="Verdana" w:cs="Arial"/>
        </w:rPr>
        <w:t>Se celebran entre dos entidades públicas que se encuentran en pie de igualdad con el objeto de cumplir competencias de ambas entidades dirigidas a un propósito común. Es decir, en los convenios interadministrativos no existen intereses contrapuestos. 2. La modalidad para su celebración es la contratación directa. 3. Los convenios interadministrativos pueden suponer el compromiso de recursos públicos y, en consecuencia, la realización de aportes financieros. Este hecho, sin embargo, no supone a posibilidad de que en este tipo de relaciones jurídicas exista una remuneración en favor de uno de los co-contrantes y a cargo de otro y otros</w:t>
      </w:r>
      <w:r>
        <w:rPr>
          <w:rFonts w:ascii="Verdana" w:eastAsia="Geomanist Light" w:hAnsi="Verdana" w:cs="Arial"/>
        </w:rPr>
        <w:t>.</w:t>
      </w:r>
    </w:p>
    <w:p w14:paraId="34A1D49D" w14:textId="77777777" w:rsidR="00082737" w:rsidRDefault="00082737" w:rsidP="00082737">
      <w:pPr>
        <w:spacing w:after="0" w:line="240" w:lineRule="auto"/>
        <w:jc w:val="both"/>
        <w:rPr>
          <w:rFonts w:ascii="Verdana" w:eastAsia="Geomanist Light" w:hAnsi="Verdana" w:cs="Arial"/>
        </w:rPr>
      </w:pPr>
    </w:p>
    <w:p w14:paraId="6B5AF298" w14:textId="77777777" w:rsidR="00082737" w:rsidRPr="00082737" w:rsidRDefault="00082737" w:rsidP="00082737">
      <w:pPr>
        <w:spacing w:after="0" w:line="240" w:lineRule="auto"/>
        <w:jc w:val="both"/>
        <w:rPr>
          <w:rFonts w:ascii="Verdana" w:eastAsia="Geomanist Light" w:hAnsi="Verdana" w:cs="Arial"/>
          <w:b/>
          <w:lang w:val="es-ES_tradnl"/>
        </w:rPr>
      </w:pPr>
      <w:r w:rsidRPr="00082737">
        <w:rPr>
          <w:rFonts w:ascii="Verdana" w:eastAsia="Geomanist Light" w:hAnsi="Verdana" w:cs="Arial"/>
          <w:b/>
          <w:lang w:val="es-ES_tradnl"/>
        </w:rPr>
        <w:t>ESTUDIOS PREVIOS – Alcance - Contenido</w:t>
      </w:r>
    </w:p>
    <w:p w14:paraId="1B19A18A" w14:textId="77777777" w:rsidR="00082737" w:rsidRPr="00082737" w:rsidRDefault="00082737" w:rsidP="00082737">
      <w:pPr>
        <w:spacing w:after="0" w:line="240" w:lineRule="auto"/>
        <w:jc w:val="both"/>
        <w:rPr>
          <w:rFonts w:ascii="Verdana" w:eastAsia="Geomanist Light" w:hAnsi="Verdana" w:cs="Arial"/>
          <w:b/>
          <w:lang w:val="es-ES_tradnl"/>
        </w:rPr>
      </w:pPr>
    </w:p>
    <w:p w14:paraId="3C8FF40A" w14:textId="1936D92C" w:rsidR="00082737" w:rsidRDefault="00082737" w:rsidP="00082737">
      <w:pPr>
        <w:spacing w:after="0" w:line="240" w:lineRule="auto"/>
        <w:jc w:val="both"/>
        <w:rPr>
          <w:rFonts w:ascii="Verdana" w:eastAsia="Geomanist Light" w:hAnsi="Verdana" w:cs="Arial"/>
        </w:rPr>
      </w:pPr>
      <w:r w:rsidRPr="00082737">
        <w:rPr>
          <w:rFonts w:ascii="Verdana" w:eastAsia="Geomanist Light" w:hAnsi="Verdana" w:cs="Arial"/>
        </w:rPr>
        <w:t xml:space="preserve">[…] antes de iniciar un procedimiento de selección, la entidad estatal podrá determinar con los estudios previos: i) la verdadera necesidad de la celebración del contrato; ii) las modalidades existentes para satisfacer esa necesidad y las razones que justifiquen la modalidad o tipo contractual que se escoja; iii) las calidades, especificaciones, cantidades y demás características que puedan o deban reunir los bienes, las obras o los servicios cuya contratación se haya determinado necesaria, iv)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vii) los procedimientos, trámites y requisitos que deban satisfacerse, reunirse u obtenerse para llevar a cabo la selección del respectivo contratista y la celebración del contrato que se pretenda celebrar. La consideración de todos estos aspectos permite que los contratos resultantes de la planeación cuenten </w:t>
      </w:r>
      <w:r w:rsidRPr="00082737">
        <w:rPr>
          <w:rFonts w:ascii="Verdana" w:eastAsia="Geomanist Light" w:hAnsi="Verdana" w:cs="Arial"/>
        </w:rPr>
        <w:lastRenderedPageBreak/>
        <w:t>con el sustento técnico, económico y jurídico que incidirá en una adecuada ejecución</w:t>
      </w:r>
      <w:r>
        <w:rPr>
          <w:rFonts w:ascii="Verdana" w:eastAsia="Geomanist Light" w:hAnsi="Verdana" w:cs="Arial"/>
        </w:rPr>
        <w:t>.</w:t>
      </w:r>
    </w:p>
    <w:p w14:paraId="5786280B" w14:textId="77777777" w:rsidR="00082737" w:rsidRPr="00082737" w:rsidRDefault="00082737" w:rsidP="00082737">
      <w:pPr>
        <w:spacing w:after="0" w:line="240" w:lineRule="auto"/>
        <w:jc w:val="both"/>
        <w:rPr>
          <w:rFonts w:ascii="Verdana" w:eastAsia="Geomanist Light" w:hAnsi="Verdana" w:cs="Arial"/>
          <w:lang w:val="es-ES"/>
        </w:rPr>
      </w:pPr>
    </w:p>
    <w:p w14:paraId="55E9D733" w14:textId="77777777" w:rsidR="00082737" w:rsidRDefault="00082737" w:rsidP="001B0FB6">
      <w:pPr>
        <w:spacing w:after="0" w:line="240" w:lineRule="auto"/>
        <w:rPr>
          <w:rFonts w:ascii="Verdana" w:eastAsia="Geomanist Light" w:hAnsi="Verdana" w:cs="Arial"/>
          <w:lang w:val="es-MX"/>
        </w:rPr>
      </w:pPr>
    </w:p>
    <w:p w14:paraId="7CFD23AC" w14:textId="77777777" w:rsidR="00082737" w:rsidRDefault="00082737" w:rsidP="001B0FB6">
      <w:pPr>
        <w:spacing w:after="0" w:line="240" w:lineRule="auto"/>
        <w:rPr>
          <w:rFonts w:ascii="Verdana" w:eastAsia="Geomanist Light" w:hAnsi="Verdana" w:cs="Arial"/>
          <w:lang w:val="es-MX"/>
        </w:rPr>
      </w:pPr>
    </w:p>
    <w:p w14:paraId="5A640FB0" w14:textId="77777777" w:rsidR="00082737" w:rsidRDefault="00082737" w:rsidP="001B0FB6">
      <w:pPr>
        <w:spacing w:after="0" w:line="240" w:lineRule="auto"/>
        <w:rPr>
          <w:rFonts w:ascii="Verdana" w:eastAsia="Geomanist Light" w:hAnsi="Verdana" w:cs="Arial"/>
          <w:lang w:val="es-MX"/>
        </w:rPr>
      </w:pPr>
    </w:p>
    <w:p w14:paraId="56601EFC" w14:textId="77777777" w:rsidR="00082737" w:rsidRDefault="00082737" w:rsidP="001B0FB6">
      <w:pPr>
        <w:spacing w:after="0" w:line="240" w:lineRule="auto"/>
        <w:rPr>
          <w:rFonts w:ascii="Verdana" w:eastAsia="Geomanist Light" w:hAnsi="Verdana" w:cs="Arial"/>
          <w:lang w:val="es-MX"/>
        </w:rPr>
      </w:pPr>
    </w:p>
    <w:p w14:paraId="2CD6F732" w14:textId="77777777" w:rsidR="00082737" w:rsidRDefault="00082737" w:rsidP="001B0FB6">
      <w:pPr>
        <w:spacing w:after="0" w:line="240" w:lineRule="auto"/>
        <w:rPr>
          <w:rFonts w:ascii="Verdana" w:eastAsia="Geomanist Light" w:hAnsi="Verdana" w:cs="Arial"/>
          <w:lang w:val="es-MX"/>
        </w:rPr>
      </w:pPr>
    </w:p>
    <w:p w14:paraId="242EB261" w14:textId="77777777" w:rsidR="00082737" w:rsidRDefault="00082737" w:rsidP="001B0FB6">
      <w:pPr>
        <w:spacing w:after="0" w:line="240" w:lineRule="auto"/>
        <w:rPr>
          <w:rFonts w:ascii="Verdana" w:eastAsia="Geomanist Light" w:hAnsi="Verdana" w:cs="Arial"/>
          <w:lang w:val="es-MX"/>
        </w:rPr>
      </w:pPr>
    </w:p>
    <w:p w14:paraId="32AF021F" w14:textId="77777777" w:rsidR="00082737" w:rsidRDefault="00082737" w:rsidP="001B0FB6">
      <w:pPr>
        <w:spacing w:after="0" w:line="240" w:lineRule="auto"/>
        <w:rPr>
          <w:rFonts w:ascii="Verdana" w:eastAsia="Geomanist Light" w:hAnsi="Verdana" w:cs="Arial"/>
          <w:lang w:val="es-MX"/>
        </w:rPr>
      </w:pPr>
    </w:p>
    <w:p w14:paraId="07988714" w14:textId="77777777" w:rsidR="00082737" w:rsidRDefault="00082737" w:rsidP="001B0FB6">
      <w:pPr>
        <w:spacing w:after="0" w:line="240" w:lineRule="auto"/>
        <w:rPr>
          <w:rFonts w:ascii="Verdana" w:eastAsia="Geomanist Light" w:hAnsi="Verdana" w:cs="Arial"/>
          <w:lang w:val="es-MX"/>
        </w:rPr>
      </w:pPr>
    </w:p>
    <w:p w14:paraId="0E90C0E4" w14:textId="77777777" w:rsidR="00082737" w:rsidRDefault="00082737" w:rsidP="001B0FB6">
      <w:pPr>
        <w:spacing w:after="0" w:line="240" w:lineRule="auto"/>
        <w:rPr>
          <w:rFonts w:ascii="Verdana" w:eastAsia="Geomanist Light" w:hAnsi="Verdana" w:cs="Arial"/>
          <w:lang w:val="es-MX"/>
        </w:rPr>
      </w:pPr>
    </w:p>
    <w:p w14:paraId="7D297721" w14:textId="77777777" w:rsidR="00082737" w:rsidRDefault="00082737" w:rsidP="001B0FB6">
      <w:pPr>
        <w:spacing w:after="0" w:line="240" w:lineRule="auto"/>
        <w:rPr>
          <w:rFonts w:ascii="Verdana" w:eastAsia="Geomanist Light" w:hAnsi="Verdana" w:cs="Arial"/>
          <w:lang w:val="es-MX"/>
        </w:rPr>
      </w:pPr>
    </w:p>
    <w:p w14:paraId="42598BBA" w14:textId="77777777" w:rsidR="00082737" w:rsidRDefault="00082737" w:rsidP="001B0FB6">
      <w:pPr>
        <w:spacing w:after="0" w:line="240" w:lineRule="auto"/>
        <w:rPr>
          <w:rFonts w:ascii="Verdana" w:eastAsia="Geomanist Light" w:hAnsi="Verdana" w:cs="Arial"/>
          <w:lang w:val="es-MX"/>
        </w:rPr>
      </w:pPr>
    </w:p>
    <w:p w14:paraId="6EC374DF" w14:textId="77777777" w:rsidR="00082737" w:rsidRDefault="00082737" w:rsidP="001B0FB6">
      <w:pPr>
        <w:spacing w:after="0" w:line="240" w:lineRule="auto"/>
        <w:rPr>
          <w:rFonts w:ascii="Verdana" w:eastAsia="Geomanist Light" w:hAnsi="Verdana" w:cs="Arial"/>
          <w:lang w:val="es-MX"/>
        </w:rPr>
      </w:pPr>
    </w:p>
    <w:p w14:paraId="2E72769A" w14:textId="77777777" w:rsidR="00082737" w:rsidRDefault="00082737" w:rsidP="001B0FB6">
      <w:pPr>
        <w:spacing w:after="0" w:line="240" w:lineRule="auto"/>
        <w:rPr>
          <w:rFonts w:ascii="Verdana" w:eastAsia="Geomanist Light" w:hAnsi="Verdana" w:cs="Arial"/>
          <w:lang w:val="es-MX"/>
        </w:rPr>
      </w:pPr>
    </w:p>
    <w:p w14:paraId="4C68F1F6" w14:textId="77777777" w:rsidR="00082737" w:rsidRDefault="00082737" w:rsidP="001B0FB6">
      <w:pPr>
        <w:spacing w:after="0" w:line="240" w:lineRule="auto"/>
        <w:rPr>
          <w:rFonts w:ascii="Verdana" w:eastAsia="Geomanist Light" w:hAnsi="Verdana" w:cs="Arial"/>
          <w:lang w:val="es-MX"/>
        </w:rPr>
      </w:pPr>
    </w:p>
    <w:p w14:paraId="274118AA" w14:textId="77777777" w:rsidR="00082737" w:rsidRDefault="00082737" w:rsidP="001B0FB6">
      <w:pPr>
        <w:spacing w:after="0" w:line="240" w:lineRule="auto"/>
        <w:rPr>
          <w:rFonts w:ascii="Verdana" w:eastAsia="Geomanist Light" w:hAnsi="Verdana" w:cs="Arial"/>
          <w:lang w:val="es-MX"/>
        </w:rPr>
      </w:pPr>
    </w:p>
    <w:p w14:paraId="705B4814" w14:textId="77777777" w:rsidR="00082737" w:rsidRDefault="00082737" w:rsidP="001B0FB6">
      <w:pPr>
        <w:spacing w:after="0" w:line="240" w:lineRule="auto"/>
        <w:rPr>
          <w:rFonts w:ascii="Verdana" w:eastAsia="Geomanist Light" w:hAnsi="Verdana" w:cs="Arial"/>
          <w:lang w:val="es-MX"/>
        </w:rPr>
      </w:pPr>
    </w:p>
    <w:p w14:paraId="247C2E41" w14:textId="77777777" w:rsidR="00082737" w:rsidRDefault="00082737" w:rsidP="001B0FB6">
      <w:pPr>
        <w:spacing w:after="0" w:line="240" w:lineRule="auto"/>
        <w:rPr>
          <w:rFonts w:ascii="Verdana" w:eastAsia="Geomanist Light" w:hAnsi="Verdana" w:cs="Arial"/>
          <w:lang w:val="es-MX"/>
        </w:rPr>
      </w:pPr>
    </w:p>
    <w:p w14:paraId="71027A85" w14:textId="77777777" w:rsidR="00082737" w:rsidRDefault="00082737" w:rsidP="001B0FB6">
      <w:pPr>
        <w:spacing w:after="0" w:line="240" w:lineRule="auto"/>
        <w:rPr>
          <w:rFonts w:ascii="Verdana" w:eastAsia="Geomanist Light" w:hAnsi="Verdana" w:cs="Arial"/>
          <w:lang w:val="es-MX"/>
        </w:rPr>
      </w:pPr>
    </w:p>
    <w:p w14:paraId="6AD72972" w14:textId="77777777" w:rsidR="00082737" w:rsidRDefault="00082737" w:rsidP="001B0FB6">
      <w:pPr>
        <w:spacing w:after="0" w:line="240" w:lineRule="auto"/>
        <w:rPr>
          <w:rFonts w:ascii="Verdana" w:eastAsia="Geomanist Light" w:hAnsi="Verdana" w:cs="Arial"/>
          <w:lang w:val="es-MX"/>
        </w:rPr>
      </w:pPr>
    </w:p>
    <w:p w14:paraId="3CC68F5B" w14:textId="77777777" w:rsidR="00082737" w:rsidRDefault="00082737" w:rsidP="001B0FB6">
      <w:pPr>
        <w:spacing w:after="0" w:line="240" w:lineRule="auto"/>
        <w:rPr>
          <w:rFonts w:ascii="Verdana" w:eastAsia="Geomanist Light" w:hAnsi="Verdana" w:cs="Arial"/>
          <w:lang w:val="es-MX"/>
        </w:rPr>
      </w:pPr>
    </w:p>
    <w:p w14:paraId="5F206539" w14:textId="77777777" w:rsidR="00082737" w:rsidRDefault="00082737" w:rsidP="001B0FB6">
      <w:pPr>
        <w:spacing w:after="0" w:line="240" w:lineRule="auto"/>
        <w:rPr>
          <w:rFonts w:ascii="Verdana" w:eastAsia="Geomanist Light" w:hAnsi="Verdana" w:cs="Arial"/>
          <w:lang w:val="es-MX"/>
        </w:rPr>
      </w:pPr>
    </w:p>
    <w:p w14:paraId="14FBCAD1" w14:textId="77777777" w:rsidR="00082737" w:rsidRDefault="00082737" w:rsidP="001B0FB6">
      <w:pPr>
        <w:spacing w:after="0" w:line="240" w:lineRule="auto"/>
        <w:rPr>
          <w:rFonts w:ascii="Verdana" w:eastAsia="Geomanist Light" w:hAnsi="Verdana" w:cs="Arial"/>
          <w:lang w:val="es-MX"/>
        </w:rPr>
      </w:pPr>
    </w:p>
    <w:p w14:paraId="1AE47B77" w14:textId="77777777" w:rsidR="00082737" w:rsidRDefault="00082737" w:rsidP="001B0FB6">
      <w:pPr>
        <w:spacing w:after="0" w:line="240" w:lineRule="auto"/>
        <w:rPr>
          <w:rFonts w:ascii="Verdana" w:eastAsia="Geomanist Light" w:hAnsi="Verdana" w:cs="Arial"/>
          <w:lang w:val="es-MX"/>
        </w:rPr>
      </w:pPr>
    </w:p>
    <w:p w14:paraId="121284DB" w14:textId="77777777" w:rsidR="00082737" w:rsidRDefault="00082737" w:rsidP="001B0FB6">
      <w:pPr>
        <w:spacing w:after="0" w:line="240" w:lineRule="auto"/>
        <w:rPr>
          <w:rFonts w:ascii="Verdana" w:eastAsia="Geomanist Light" w:hAnsi="Verdana" w:cs="Arial"/>
          <w:lang w:val="es-MX"/>
        </w:rPr>
      </w:pPr>
    </w:p>
    <w:p w14:paraId="14FF982F" w14:textId="77777777" w:rsidR="00082737" w:rsidRDefault="00082737" w:rsidP="001B0FB6">
      <w:pPr>
        <w:spacing w:after="0" w:line="240" w:lineRule="auto"/>
        <w:rPr>
          <w:rFonts w:ascii="Verdana" w:eastAsia="Geomanist Light" w:hAnsi="Verdana" w:cs="Arial"/>
          <w:lang w:val="es-MX"/>
        </w:rPr>
      </w:pPr>
    </w:p>
    <w:p w14:paraId="7A8D2CAE" w14:textId="77777777" w:rsidR="00082737" w:rsidRDefault="00082737" w:rsidP="001B0FB6">
      <w:pPr>
        <w:spacing w:after="0" w:line="240" w:lineRule="auto"/>
        <w:rPr>
          <w:rFonts w:ascii="Verdana" w:eastAsia="Geomanist Light" w:hAnsi="Verdana" w:cs="Arial"/>
          <w:lang w:val="es-MX"/>
        </w:rPr>
      </w:pPr>
    </w:p>
    <w:p w14:paraId="0AEFED35" w14:textId="77777777" w:rsidR="00082737" w:rsidRDefault="00082737" w:rsidP="001B0FB6">
      <w:pPr>
        <w:spacing w:after="0" w:line="240" w:lineRule="auto"/>
        <w:rPr>
          <w:rFonts w:ascii="Verdana" w:eastAsia="Geomanist Light" w:hAnsi="Verdana" w:cs="Arial"/>
          <w:lang w:val="es-MX"/>
        </w:rPr>
      </w:pPr>
    </w:p>
    <w:p w14:paraId="0DFE593D" w14:textId="77777777" w:rsidR="00082737" w:rsidRDefault="00082737" w:rsidP="001B0FB6">
      <w:pPr>
        <w:spacing w:after="0" w:line="240" w:lineRule="auto"/>
        <w:rPr>
          <w:rFonts w:ascii="Verdana" w:eastAsia="Geomanist Light" w:hAnsi="Verdana" w:cs="Arial"/>
          <w:lang w:val="es-MX"/>
        </w:rPr>
      </w:pPr>
    </w:p>
    <w:p w14:paraId="5AA0E3CF" w14:textId="77777777" w:rsidR="00082737" w:rsidRDefault="00082737" w:rsidP="001B0FB6">
      <w:pPr>
        <w:spacing w:after="0" w:line="240" w:lineRule="auto"/>
        <w:rPr>
          <w:rFonts w:ascii="Verdana" w:eastAsia="Geomanist Light" w:hAnsi="Verdana" w:cs="Arial"/>
          <w:lang w:val="es-MX"/>
        </w:rPr>
      </w:pPr>
    </w:p>
    <w:p w14:paraId="4C51B4AA" w14:textId="77777777" w:rsidR="00082737" w:rsidRDefault="00082737" w:rsidP="001B0FB6">
      <w:pPr>
        <w:spacing w:after="0" w:line="240" w:lineRule="auto"/>
        <w:rPr>
          <w:rFonts w:ascii="Verdana" w:eastAsia="Geomanist Light" w:hAnsi="Verdana" w:cs="Arial"/>
          <w:lang w:val="es-MX"/>
        </w:rPr>
      </w:pPr>
    </w:p>
    <w:p w14:paraId="319D4391" w14:textId="77777777" w:rsidR="00082737" w:rsidRDefault="00082737" w:rsidP="001B0FB6">
      <w:pPr>
        <w:spacing w:after="0" w:line="240" w:lineRule="auto"/>
        <w:rPr>
          <w:rFonts w:ascii="Verdana" w:eastAsia="Geomanist Light" w:hAnsi="Verdana" w:cs="Arial"/>
          <w:lang w:val="es-MX"/>
        </w:rPr>
      </w:pPr>
    </w:p>
    <w:p w14:paraId="23068ABC" w14:textId="77777777" w:rsidR="00082737" w:rsidRDefault="00082737" w:rsidP="001B0FB6">
      <w:pPr>
        <w:spacing w:after="0" w:line="240" w:lineRule="auto"/>
        <w:rPr>
          <w:rFonts w:ascii="Verdana" w:eastAsia="Geomanist Light" w:hAnsi="Verdana" w:cs="Arial"/>
          <w:lang w:val="es-MX"/>
        </w:rPr>
      </w:pPr>
    </w:p>
    <w:p w14:paraId="544FD888" w14:textId="77777777" w:rsidR="00082737" w:rsidRDefault="00082737" w:rsidP="001B0FB6">
      <w:pPr>
        <w:spacing w:after="0" w:line="240" w:lineRule="auto"/>
        <w:rPr>
          <w:rFonts w:ascii="Verdana" w:eastAsia="Geomanist Light" w:hAnsi="Verdana" w:cs="Arial"/>
          <w:lang w:val="es-MX"/>
        </w:rPr>
      </w:pPr>
    </w:p>
    <w:p w14:paraId="339FF7B6" w14:textId="77777777" w:rsidR="00082737" w:rsidRDefault="00082737" w:rsidP="001B0FB6">
      <w:pPr>
        <w:spacing w:after="0" w:line="240" w:lineRule="auto"/>
        <w:rPr>
          <w:rFonts w:ascii="Verdana" w:eastAsia="Geomanist Light" w:hAnsi="Verdana" w:cs="Arial"/>
          <w:lang w:val="es-MX"/>
        </w:rPr>
      </w:pPr>
    </w:p>
    <w:p w14:paraId="59442FD0" w14:textId="77777777" w:rsidR="00082737" w:rsidRDefault="00082737" w:rsidP="001B0FB6">
      <w:pPr>
        <w:spacing w:after="0" w:line="240" w:lineRule="auto"/>
        <w:rPr>
          <w:rFonts w:ascii="Verdana" w:eastAsia="Geomanist Light" w:hAnsi="Verdana" w:cs="Arial"/>
          <w:lang w:val="es-MX"/>
        </w:rPr>
      </w:pPr>
    </w:p>
    <w:p w14:paraId="01EF5BDF" w14:textId="77777777" w:rsidR="00082737" w:rsidRDefault="00082737" w:rsidP="001B0FB6">
      <w:pPr>
        <w:spacing w:after="0" w:line="240" w:lineRule="auto"/>
        <w:rPr>
          <w:rFonts w:ascii="Verdana" w:eastAsia="Geomanist Light" w:hAnsi="Verdana" w:cs="Arial"/>
          <w:lang w:val="es-MX"/>
        </w:rPr>
      </w:pPr>
    </w:p>
    <w:p w14:paraId="3F133AE4" w14:textId="6836307F" w:rsidR="001B0FB6" w:rsidRPr="008A48B1" w:rsidRDefault="001B0FB6" w:rsidP="001B0FB6">
      <w:pPr>
        <w:spacing w:after="0" w:line="240" w:lineRule="auto"/>
        <w:rPr>
          <w:rFonts w:ascii="Verdana" w:eastAsia="Geomanist Light" w:hAnsi="Verdana" w:cs="Arial"/>
          <w:lang w:val="es-MX"/>
        </w:rPr>
      </w:pPr>
      <w:r w:rsidRPr="008A48B1">
        <w:rPr>
          <w:rFonts w:ascii="Verdana" w:eastAsia="Geomanist Light" w:hAnsi="Verdana" w:cs="Arial"/>
          <w:lang w:val="es-MX"/>
        </w:rPr>
        <w:lastRenderedPageBreak/>
        <w:t>Bogotá D.C., [Día] de [Mes.NombreCapitalizado] de [Año]</w:t>
      </w:r>
    </w:p>
    <w:p w14:paraId="5FC715B1" w14:textId="77777777" w:rsidR="001B0FB6" w:rsidRPr="008A48B1" w:rsidRDefault="001B0FB6" w:rsidP="001B0FB6">
      <w:pPr>
        <w:spacing w:after="0" w:line="240" w:lineRule="auto"/>
        <w:jc w:val="both"/>
        <w:rPr>
          <w:rFonts w:ascii="Verdana" w:eastAsia="Calibri" w:hAnsi="Verdana" w:cs="Arial"/>
          <w:lang w:val="es-ES"/>
        </w:rPr>
      </w:pPr>
    </w:p>
    <w:p w14:paraId="73981179" w14:textId="2896CB36" w:rsidR="001B0FB6" w:rsidRDefault="001B0FB6" w:rsidP="001B0FB6">
      <w:pPr>
        <w:spacing w:after="0" w:line="240" w:lineRule="auto"/>
        <w:rPr>
          <w:rFonts w:ascii="Verdana" w:eastAsia="Calibri" w:hAnsi="Verdana" w:cs="Arial"/>
          <w:lang w:val="es-MX" w:eastAsia="es-ES"/>
        </w:rPr>
      </w:pPr>
    </w:p>
    <w:p w14:paraId="595B1C97" w14:textId="3BFE951C" w:rsidR="00082737" w:rsidRDefault="00082737" w:rsidP="001B0FB6">
      <w:pPr>
        <w:spacing w:after="0" w:line="240" w:lineRule="auto"/>
        <w:rPr>
          <w:rFonts w:ascii="Verdana" w:eastAsia="Calibri" w:hAnsi="Verdana" w:cs="Arial"/>
          <w:lang w:val="es-MX" w:eastAsia="es-ES"/>
        </w:rPr>
      </w:pPr>
      <w:r w:rsidRPr="00082737">
        <w:rPr>
          <w:rFonts w:ascii="Verdana" w:eastAsia="Calibri" w:hAnsi="Verdana" w:cs="Arial"/>
          <w:noProof/>
          <w:lang w:val="es-MX" w:eastAsia="es-ES"/>
        </w:rPr>
        <w:drawing>
          <wp:anchor distT="0" distB="0" distL="114300" distR="114300" simplePos="0" relativeHeight="251658240" behindDoc="1" locked="0" layoutInCell="1" allowOverlap="1" wp14:anchorId="5E466CBC" wp14:editId="12114C7F">
            <wp:simplePos x="0" y="0"/>
            <wp:positionH relativeFrom="column">
              <wp:posOffset>2947670</wp:posOffset>
            </wp:positionH>
            <wp:positionV relativeFrom="paragraph">
              <wp:posOffset>6350</wp:posOffset>
            </wp:positionV>
            <wp:extent cx="3452495" cy="1003935"/>
            <wp:effectExtent l="0" t="0" r="0" b="5715"/>
            <wp:wrapTight wrapText="bothSides">
              <wp:wrapPolygon edited="0">
                <wp:start x="0" y="0"/>
                <wp:lineTo x="0" y="21313"/>
                <wp:lineTo x="21453" y="21313"/>
                <wp:lineTo x="21453" y="0"/>
                <wp:lineTo x="0" y="0"/>
              </wp:wrapPolygon>
            </wp:wrapTight>
            <wp:docPr id="81454897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548970" name="Imagen 1"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3452495" cy="1003935"/>
                    </a:xfrm>
                    <a:prstGeom prst="rect">
                      <a:avLst/>
                    </a:prstGeom>
                  </pic:spPr>
                </pic:pic>
              </a:graphicData>
            </a:graphic>
            <wp14:sizeRelH relativeFrom="margin">
              <wp14:pctWidth>0</wp14:pctWidth>
            </wp14:sizeRelH>
            <wp14:sizeRelV relativeFrom="margin">
              <wp14:pctHeight>0</wp14:pctHeight>
            </wp14:sizeRelV>
          </wp:anchor>
        </w:drawing>
      </w:r>
    </w:p>
    <w:p w14:paraId="0ECE44A3" w14:textId="77777777" w:rsidR="00082737" w:rsidRDefault="00082737" w:rsidP="001B0FB6">
      <w:pPr>
        <w:spacing w:after="0" w:line="240" w:lineRule="auto"/>
        <w:rPr>
          <w:rFonts w:ascii="Verdana" w:eastAsia="Calibri" w:hAnsi="Verdana" w:cs="Arial"/>
          <w:lang w:val="es-MX" w:eastAsia="es-ES"/>
        </w:rPr>
      </w:pPr>
    </w:p>
    <w:p w14:paraId="1E99BB54" w14:textId="77777777" w:rsidR="00082737" w:rsidRDefault="00082737" w:rsidP="001B0FB6">
      <w:pPr>
        <w:spacing w:after="0" w:line="240" w:lineRule="auto"/>
        <w:rPr>
          <w:rFonts w:ascii="Verdana" w:eastAsia="Calibri" w:hAnsi="Verdana" w:cs="Arial"/>
          <w:lang w:val="es-MX" w:eastAsia="es-ES"/>
        </w:rPr>
      </w:pPr>
    </w:p>
    <w:p w14:paraId="41933C12" w14:textId="77777777" w:rsidR="00082737" w:rsidRDefault="00082737" w:rsidP="001B0FB6">
      <w:pPr>
        <w:spacing w:after="0" w:line="240" w:lineRule="auto"/>
        <w:rPr>
          <w:rFonts w:ascii="Verdana" w:eastAsia="Calibri" w:hAnsi="Verdana" w:cs="Arial"/>
          <w:lang w:val="es-MX" w:eastAsia="es-ES"/>
        </w:rPr>
      </w:pPr>
    </w:p>
    <w:p w14:paraId="336F2767" w14:textId="77777777" w:rsidR="00082737" w:rsidRDefault="00082737" w:rsidP="001B0FB6">
      <w:pPr>
        <w:spacing w:after="0" w:line="240" w:lineRule="auto"/>
        <w:rPr>
          <w:rFonts w:ascii="Verdana" w:eastAsia="Calibri" w:hAnsi="Verdana" w:cs="Arial"/>
          <w:lang w:val="es-MX" w:eastAsia="es-ES"/>
        </w:rPr>
      </w:pPr>
    </w:p>
    <w:p w14:paraId="2EF99F8B" w14:textId="77777777" w:rsidR="00082737" w:rsidRDefault="00082737" w:rsidP="001B0FB6">
      <w:pPr>
        <w:spacing w:after="0" w:line="240" w:lineRule="auto"/>
        <w:rPr>
          <w:rFonts w:ascii="Verdana" w:eastAsia="Calibri" w:hAnsi="Verdana" w:cs="Arial"/>
          <w:lang w:val="es-MX" w:eastAsia="es-ES"/>
        </w:rPr>
      </w:pPr>
    </w:p>
    <w:p w14:paraId="2BE3378F" w14:textId="77777777" w:rsidR="001B0FB6" w:rsidRPr="008A48B1" w:rsidRDefault="001B0FB6" w:rsidP="001B0FB6">
      <w:pPr>
        <w:spacing w:after="0" w:line="240" w:lineRule="auto"/>
        <w:rPr>
          <w:rFonts w:ascii="Verdana" w:eastAsia="Calibri" w:hAnsi="Verdana" w:cs="Arial"/>
          <w:lang w:val="es-MX" w:eastAsia="es-ES"/>
        </w:rPr>
      </w:pPr>
      <w:r w:rsidRPr="008A48B1">
        <w:rPr>
          <w:rFonts w:ascii="Verdana" w:eastAsia="Calibri" w:hAnsi="Verdana" w:cs="Arial"/>
          <w:lang w:val="es-MX" w:eastAsia="es-ES"/>
        </w:rPr>
        <w:t>Señor</w:t>
      </w:r>
    </w:p>
    <w:p w14:paraId="46D7324E" w14:textId="77777777" w:rsidR="001B0FB6" w:rsidRPr="009037D2" w:rsidRDefault="001B0FB6" w:rsidP="001B0FB6">
      <w:pPr>
        <w:spacing w:after="0" w:line="240" w:lineRule="auto"/>
        <w:rPr>
          <w:rFonts w:ascii="Verdana" w:eastAsia="Calibri" w:hAnsi="Verdana" w:cs="Arial"/>
          <w:b/>
          <w:bCs/>
          <w:lang w:val="es-MX" w:eastAsia="es-ES"/>
        </w:rPr>
      </w:pPr>
      <w:r w:rsidRPr="009037D2">
        <w:rPr>
          <w:rFonts w:ascii="Verdana" w:eastAsia="Calibri" w:hAnsi="Verdana" w:cs="Arial"/>
          <w:b/>
          <w:bCs/>
          <w:lang w:val="es-MX" w:eastAsia="es-ES"/>
        </w:rPr>
        <w:t>Fernando Mauricio Iglesias Gaona</w:t>
      </w:r>
    </w:p>
    <w:p w14:paraId="48B1AD82" w14:textId="77777777" w:rsidR="001B0FB6" w:rsidRPr="00AC2E3C" w:rsidRDefault="001B0FB6" w:rsidP="001B0FB6">
      <w:pPr>
        <w:spacing w:after="0" w:line="240" w:lineRule="auto"/>
        <w:rPr>
          <w:rFonts w:ascii="Verdana" w:eastAsia="Calibri" w:hAnsi="Verdana" w:cs="Arial"/>
          <w:lang w:val="es-MX" w:eastAsia="es-ES"/>
        </w:rPr>
      </w:pPr>
      <w:hyperlink r:id="rId12" w:history="1">
        <w:r w:rsidRPr="00AC2E3C">
          <w:rPr>
            <w:rFonts w:ascii="Verdana" w:eastAsia="Calibri" w:hAnsi="Verdana" w:cs="Arial"/>
            <w:color w:val="0563C1" w:themeColor="hyperlink"/>
            <w:u w:val="single"/>
            <w:lang w:val="es-MX" w:eastAsia="es-ES"/>
          </w:rPr>
          <w:t>frenandoiglesias@gmail.com</w:t>
        </w:r>
      </w:hyperlink>
    </w:p>
    <w:p w14:paraId="635A1F87" w14:textId="77777777" w:rsidR="001B0FB6" w:rsidRPr="008A48B1" w:rsidRDefault="001B0FB6" w:rsidP="001B0FB6">
      <w:pPr>
        <w:spacing w:after="0" w:line="240" w:lineRule="auto"/>
        <w:rPr>
          <w:rFonts w:ascii="Verdana" w:eastAsia="Calibri" w:hAnsi="Verdana" w:cs="Arial"/>
          <w:b/>
          <w:bCs/>
          <w:lang w:val="es-ES" w:eastAsia="es-ES"/>
        </w:rPr>
      </w:pPr>
      <w:r w:rsidRPr="008A48B1">
        <w:rPr>
          <w:rFonts w:ascii="Verdana" w:eastAsia="Calibri" w:hAnsi="Verdana" w:cs="Arial"/>
          <w:lang w:val="es-MX" w:eastAsia="es-ES"/>
        </w:rPr>
        <w:t>Neiva, Huila</w:t>
      </w:r>
    </w:p>
    <w:p w14:paraId="13786CF1" w14:textId="77777777" w:rsidR="001B0FB6" w:rsidRPr="008A48B1" w:rsidRDefault="001B0FB6" w:rsidP="001B0FB6">
      <w:pPr>
        <w:spacing w:after="0" w:line="240" w:lineRule="auto"/>
        <w:rPr>
          <w:rFonts w:ascii="Verdana" w:eastAsia="Calibri" w:hAnsi="Verdana" w:cs="Arial"/>
          <w:b/>
          <w:bCs/>
          <w:lang w:val="es-ES_tradnl" w:eastAsia="es-ES_tradnl"/>
        </w:rPr>
      </w:pPr>
    </w:p>
    <w:p w14:paraId="0DF80670" w14:textId="77777777" w:rsidR="001B0FB6" w:rsidRPr="008A48B1" w:rsidRDefault="001B0FB6" w:rsidP="001B0FB6">
      <w:pPr>
        <w:spacing w:after="0" w:line="240" w:lineRule="auto"/>
        <w:rPr>
          <w:rFonts w:ascii="Verdana" w:eastAsia="Calibri" w:hAnsi="Verdana" w:cs="Arial"/>
          <w:b/>
          <w:bCs/>
          <w:lang w:val="es-ES_tradnl"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B0FB6" w:rsidRPr="008A48B1" w14:paraId="54BC62F8" w14:textId="77777777" w:rsidTr="00C94DEE">
        <w:trPr>
          <w:trHeight w:val="884"/>
        </w:trPr>
        <w:tc>
          <w:tcPr>
            <w:tcW w:w="2689" w:type="dxa"/>
          </w:tcPr>
          <w:p w14:paraId="7F1BA298" w14:textId="77777777" w:rsidR="001B0FB6" w:rsidRPr="008A48B1" w:rsidRDefault="001B0FB6" w:rsidP="00C94DEE">
            <w:pPr>
              <w:jc w:val="both"/>
              <w:rPr>
                <w:rFonts w:ascii="Verdana" w:hAnsi="Verdana" w:cs="Arial"/>
                <w:b/>
                <w:bCs/>
                <w:lang w:val="es-ES_tradnl" w:eastAsia="es-ES_tradnl"/>
              </w:rPr>
            </w:pPr>
          </w:p>
        </w:tc>
        <w:tc>
          <w:tcPr>
            <w:tcW w:w="6100" w:type="dxa"/>
            <w:hideMark/>
          </w:tcPr>
          <w:p w14:paraId="62398BFD" w14:textId="77777777" w:rsidR="001B0FB6" w:rsidRPr="008A48B1" w:rsidRDefault="001B0FB6" w:rsidP="00C94DEE">
            <w:pPr>
              <w:jc w:val="both"/>
              <w:rPr>
                <w:rFonts w:ascii="Verdana" w:hAnsi="Verdana" w:cs="Arial"/>
                <w:b/>
                <w:bCs/>
                <w:lang w:val="es-ES" w:eastAsia="es-ES"/>
              </w:rPr>
            </w:pPr>
            <w:r w:rsidRPr="008A48B1">
              <w:rPr>
                <w:rFonts w:ascii="Verdana" w:hAnsi="Verdana" w:cs="Arial"/>
                <w:b/>
                <w:bCs/>
                <w:lang w:val="es-ES" w:eastAsia="es-ES"/>
              </w:rPr>
              <w:t>Concepto C- 155 de 2024</w:t>
            </w:r>
          </w:p>
        </w:tc>
      </w:tr>
      <w:tr w:rsidR="001B0FB6" w:rsidRPr="008A48B1" w14:paraId="670BCE1D" w14:textId="77777777" w:rsidTr="00C94DEE">
        <w:trPr>
          <w:trHeight w:val="884"/>
        </w:trPr>
        <w:tc>
          <w:tcPr>
            <w:tcW w:w="2689" w:type="dxa"/>
            <w:hideMark/>
          </w:tcPr>
          <w:p w14:paraId="5A2D99CF" w14:textId="77777777" w:rsidR="001B0FB6" w:rsidRPr="008A48B1" w:rsidRDefault="001B0FB6" w:rsidP="00C94DEE">
            <w:pPr>
              <w:jc w:val="both"/>
              <w:rPr>
                <w:rFonts w:ascii="Verdana" w:hAnsi="Verdana" w:cs="Arial"/>
                <w:lang w:val="es-ES_tradnl" w:eastAsia="es-ES_tradnl"/>
              </w:rPr>
            </w:pPr>
            <w:r w:rsidRPr="008A48B1">
              <w:rPr>
                <w:rFonts w:ascii="Verdana" w:hAnsi="Verdana" w:cs="Arial"/>
                <w:b/>
                <w:lang w:val="es-ES_tradnl" w:eastAsia="es-ES_tradnl"/>
              </w:rPr>
              <w:t>Temas:</w:t>
            </w:r>
            <w:r w:rsidRPr="008A48B1">
              <w:rPr>
                <w:rFonts w:ascii="Verdana" w:hAnsi="Verdana" w:cs="Arial"/>
                <w:lang w:val="es-ES_tradnl" w:eastAsia="es-ES_tradnl"/>
              </w:rPr>
              <w:t xml:space="preserve">                   </w:t>
            </w:r>
          </w:p>
        </w:tc>
        <w:tc>
          <w:tcPr>
            <w:tcW w:w="6100" w:type="dxa"/>
          </w:tcPr>
          <w:p w14:paraId="2272929C" w14:textId="77777777" w:rsidR="001B0FB6" w:rsidRPr="008A48B1" w:rsidRDefault="001B0FB6" w:rsidP="00C94DEE">
            <w:pPr>
              <w:spacing w:line="276" w:lineRule="auto"/>
              <w:jc w:val="both"/>
              <w:rPr>
                <w:rFonts w:ascii="Verdana" w:hAnsi="Verdana" w:cs="Arial"/>
                <w:bCs/>
                <w:lang w:val="es-ES" w:eastAsia="es-ES"/>
              </w:rPr>
            </w:pPr>
            <w:r w:rsidRPr="008A48B1">
              <w:rPr>
                <w:rFonts w:ascii="Verdana" w:hAnsi="Verdana" w:cs="Arial"/>
                <w:bCs/>
                <w:lang w:val="es-ES_tradnl" w:eastAsia="es-ES"/>
              </w:rPr>
              <w:t xml:space="preserve">CONVENIO INTERADMINISTRATIVO – Régimen jurídico / </w:t>
            </w:r>
            <w:r w:rsidRPr="008A48B1">
              <w:rPr>
                <w:rFonts w:ascii="Verdana" w:hAnsi="Verdana" w:cs="Arial"/>
                <w:bCs/>
                <w:lang w:val="es-ES" w:eastAsia="es-ES"/>
              </w:rPr>
              <w:t>ESTUDIOS PREVIOS – Alcance – Contenido</w:t>
            </w:r>
          </w:p>
          <w:p w14:paraId="206F408B" w14:textId="77777777" w:rsidR="001B0FB6" w:rsidRPr="008A48B1" w:rsidRDefault="001B0FB6" w:rsidP="00C94DEE">
            <w:pPr>
              <w:spacing w:line="276" w:lineRule="auto"/>
              <w:jc w:val="both"/>
              <w:rPr>
                <w:rFonts w:ascii="Verdana" w:hAnsi="Verdana" w:cs="Arial"/>
                <w:lang w:val="es-ES_tradnl" w:eastAsia="es-ES"/>
              </w:rPr>
            </w:pPr>
          </w:p>
        </w:tc>
      </w:tr>
      <w:tr w:rsidR="001B0FB6" w:rsidRPr="008A48B1" w14:paraId="718CBC3D" w14:textId="77777777" w:rsidTr="00C94DEE">
        <w:tc>
          <w:tcPr>
            <w:tcW w:w="2689" w:type="dxa"/>
            <w:hideMark/>
          </w:tcPr>
          <w:p w14:paraId="4AEF2286" w14:textId="77777777" w:rsidR="001B0FB6" w:rsidRPr="008A48B1" w:rsidRDefault="001B0FB6" w:rsidP="00C94DEE">
            <w:pPr>
              <w:jc w:val="both"/>
              <w:rPr>
                <w:rFonts w:ascii="Verdana" w:hAnsi="Verdana" w:cs="Arial"/>
                <w:b/>
                <w:lang w:val="es-ES_tradnl" w:eastAsia="es-ES_tradnl"/>
              </w:rPr>
            </w:pPr>
            <w:r w:rsidRPr="008A48B1">
              <w:rPr>
                <w:rFonts w:ascii="Verdana" w:hAnsi="Verdana" w:cs="Arial"/>
                <w:b/>
                <w:lang w:val="es-ES_tradnl" w:eastAsia="es-ES_tradnl"/>
              </w:rPr>
              <w:t>Radicación:</w:t>
            </w:r>
            <w:r w:rsidRPr="008A48B1">
              <w:rPr>
                <w:rFonts w:ascii="Verdana" w:hAnsi="Verdana" w:cs="Arial"/>
                <w:lang w:val="es-ES_tradnl" w:eastAsia="es-ES_tradnl"/>
              </w:rPr>
              <w:t xml:space="preserve">               </w:t>
            </w:r>
          </w:p>
        </w:tc>
        <w:tc>
          <w:tcPr>
            <w:tcW w:w="6100" w:type="dxa"/>
          </w:tcPr>
          <w:p w14:paraId="530C4F69" w14:textId="77777777" w:rsidR="001B0FB6" w:rsidRPr="00AC2E3C" w:rsidRDefault="001B0FB6" w:rsidP="00C94DEE">
            <w:pPr>
              <w:jc w:val="both"/>
              <w:rPr>
                <w:rFonts w:ascii="Verdana" w:hAnsi="Verdana"/>
                <w:lang w:eastAsia="es-ES_tradnl"/>
              </w:rPr>
            </w:pPr>
            <w:r w:rsidRPr="00AC2E3C">
              <w:rPr>
                <w:rFonts w:ascii="Verdana" w:hAnsi="Verdana" w:cs="Arial"/>
                <w:lang w:val="es-ES_tradnl" w:eastAsia="es-ES_tradnl"/>
              </w:rPr>
              <w:t xml:space="preserve">Respuesta a consulta con radicado No. </w:t>
            </w:r>
            <w:r w:rsidRPr="00AC2E3C">
              <w:rPr>
                <w:rFonts w:ascii="Verdana" w:hAnsi="Verdana"/>
                <w:lang w:eastAsia="es-ES_tradnl"/>
              </w:rPr>
              <w:t>P20240605005845</w:t>
            </w:r>
          </w:p>
          <w:p w14:paraId="1A4F5C18" w14:textId="77777777" w:rsidR="001B0FB6" w:rsidRPr="008A48B1" w:rsidRDefault="001B0FB6" w:rsidP="00C94DEE">
            <w:pPr>
              <w:jc w:val="both"/>
              <w:rPr>
                <w:rFonts w:ascii="Verdana" w:hAnsi="Verdana" w:cs="Arial"/>
                <w:lang w:val="es-ES_tradnl" w:eastAsia="es-ES_tradnl"/>
              </w:rPr>
            </w:pPr>
          </w:p>
        </w:tc>
      </w:tr>
    </w:tbl>
    <w:p w14:paraId="3F1E60DA" w14:textId="77777777" w:rsidR="001B0FB6" w:rsidRPr="008A48B1" w:rsidRDefault="001B0FB6" w:rsidP="001B0FB6">
      <w:pPr>
        <w:spacing w:after="0" w:line="240" w:lineRule="auto"/>
        <w:jc w:val="both"/>
        <w:rPr>
          <w:rFonts w:ascii="Verdana" w:eastAsia="Calibri" w:hAnsi="Verdana" w:cs="Arial"/>
          <w:lang w:val="es-ES_tradnl" w:eastAsia="es-ES_tradnl"/>
        </w:rPr>
      </w:pPr>
    </w:p>
    <w:p w14:paraId="0B766C3B" w14:textId="77777777" w:rsidR="001B0FB6" w:rsidRPr="008A48B1" w:rsidRDefault="001B0FB6" w:rsidP="001B0FB6">
      <w:pPr>
        <w:spacing w:after="0" w:line="240" w:lineRule="auto"/>
        <w:jc w:val="both"/>
        <w:rPr>
          <w:rFonts w:ascii="Verdana" w:eastAsia="Calibri" w:hAnsi="Verdana" w:cs="Arial"/>
          <w:lang w:val="es-ES_tradnl" w:eastAsia="es-ES_tradnl"/>
        </w:rPr>
      </w:pPr>
    </w:p>
    <w:p w14:paraId="5922CF86" w14:textId="77777777" w:rsidR="001B0FB6" w:rsidRPr="008A48B1" w:rsidRDefault="001B0FB6" w:rsidP="001B0FB6">
      <w:pPr>
        <w:spacing w:after="0" w:line="276" w:lineRule="auto"/>
        <w:jc w:val="both"/>
        <w:rPr>
          <w:rFonts w:ascii="Verdana" w:eastAsia="Calibri" w:hAnsi="Verdana" w:cs="Arial"/>
          <w:lang w:val="es-ES" w:eastAsia="es-ES"/>
        </w:rPr>
      </w:pPr>
      <w:r w:rsidRPr="008A48B1">
        <w:rPr>
          <w:rFonts w:ascii="Verdana" w:eastAsia="Calibri" w:hAnsi="Verdana" w:cs="Arial"/>
          <w:lang w:val="es-ES" w:eastAsia="es-ES"/>
        </w:rPr>
        <w:t xml:space="preserve">Estimado señor Iglesias: </w:t>
      </w:r>
    </w:p>
    <w:p w14:paraId="27803B72" w14:textId="77777777" w:rsidR="001B0FB6" w:rsidRPr="008A48B1" w:rsidRDefault="001B0FB6" w:rsidP="001B0FB6">
      <w:pPr>
        <w:tabs>
          <w:tab w:val="left" w:pos="3768"/>
        </w:tabs>
        <w:spacing w:after="0" w:line="276" w:lineRule="auto"/>
        <w:jc w:val="both"/>
        <w:rPr>
          <w:rFonts w:ascii="Verdana" w:eastAsia="Calibri" w:hAnsi="Verdana" w:cs="Arial"/>
          <w:lang w:val="es-ES" w:eastAsia="es-ES"/>
        </w:rPr>
      </w:pPr>
      <w:r w:rsidRPr="008A48B1">
        <w:rPr>
          <w:rFonts w:ascii="Verdana" w:eastAsia="Calibri" w:hAnsi="Verdana" w:cs="Arial"/>
          <w:lang w:val="es-ES" w:eastAsia="es-ES"/>
        </w:rPr>
        <w:tab/>
      </w:r>
    </w:p>
    <w:p w14:paraId="7D75503D" w14:textId="77777777" w:rsidR="001B0FB6" w:rsidRPr="008A48B1" w:rsidRDefault="001B0FB6" w:rsidP="001B0FB6">
      <w:pPr>
        <w:spacing w:after="0" w:line="276" w:lineRule="auto"/>
        <w:jc w:val="both"/>
        <w:rPr>
          <w:rFonts w:ascii="Verdana" w:eastAsia="Calibri" w:hAnsi="Verdana" w:cs="Arial"/>
          <w:lang w:val="es-ES" w:eastAsia="es-ES"/>
        </w:rPr>
      </w:pPr>
      <w:r w:rsidRPr="008A48B1">
        <w:rPr>
          <w:rFonts w:ascii="Verdana" w:eastAsia="Calibri" w:hAnsi="Verdana" w:cs="Arial"/>
          <w:lang w:val="es-ES" w:eastAsia="es-ES"/>
        </w:rPr>
        <w:t>En ejercicio de la competencia otorgada por los artículos 3, numeral 5º, y 11, numeral 8º, del Decreto Ley 4170 de 2011,</w:t>
      </w:r>
      <w:r w:rsidRPr="008A48B1">
        <w:rPr>
          <w:rFonts w:ascii="Verdana" w:eastAsia="Arial MT" w:hAnsi="Verdana" w:cs="Arial MT"/>
          <w:lang w:val="es-ES" w:eastAsia="es-ES"/>
        </w:rPr>
        <w:t xml:space="preserve"> </w:t>
      </w:r>
      <w:r w:rsidRPr="008A48B1">
        <w:rPr>
          <w:rFonts w:ascii="Verdana" w:eastAsia="Calibri" w:hAnsi="Verdana" w:cs="Arial"/>
        </w:rPr>
        <w:t xml:space="preserve">así como lo establecido en el artículo 4 de la Resolución 1707 de 2018 expedida por esta Entidad, </w:t>
      </w:r>
      <w:r w:rsidRPr="008A48B1">
        <w:rPr>
          <w:rFonts w:ascii="Verdana" w:eastAsia="Calibri" w:hAnsi="Verdana" w:cs="Arial"/>
          <w:lang w:val="es-ES" w:eastAsia="es-ES"/>
        </w:rPr>
        <w:t xml:space="preserve">la Agencia Nacional de Contratación Pública – Colombia Compra Eficiente– responde su solicitud de consulta de fecha 5 de junio de 2024, en la cual manifiesta lo siguiente: </w:t>
      </w:r>
    </w:p>
    <w:p w14:paraId="18942D79" w14:textId="77777777" w:rsidR="001B0FB6" w:rsidRPr="008A48B1" w:rsidRDefault="001B0FB6" w:rsidP="001B0FB6">
      <w:pPr>
        <w:spacing w:after="0" w:line="240" w:lineRule="auto"/>
        <w:ind w:left="709" w:right="709"/>
        <w:jc w:val="both"/>
        <w:rPr>
          <w:rFonts w:ascii="Verdana" w:eastAsia="Century Gothic" w:hAnsi="Verdana" w:cs="Century Gothic"/>
          <w:sz w:val="20"/>
          <w:szCs w:val="20"/>
          <w:lang w:val="es-ES"/>
        </w:rPr>
      </w:pPr>
      <w:bookmarkStart w:id="0" w:name="_Hlk95313578"/>
    </w:p>
    <w:p w14:paraId="07A1316F" w14:textId="77777777" w:rsidR="001B0FB6" w:rsidRPr="008A48B1" w:rsidRDefault="001B0FB6" w:rsidP="001B0FB6">
      <w:pPr>
        <w:spacing w:after="0" w:line="240" w:lineRule="auto"/>
        <w:ind w:left="709" w:right="709"/>
        <w:jc w:val="both"/>
        <w:rPr>
          <w:rFonts w:ascii="Verdana" w:eastAsia="Calibri" w:hAnsi="Verdana" w:cs="Arial"/>
          <w:i/>
          <w:iCs/>
          <w:sz w:val="20"/>
          <w:szCs w:val="20"/>
          <w:shd w:val="clear" w:color="auto" w:fill="FFFFFF"/>
        </w:rPr>
      </w:pPr>
      <w:r w:rsidRPr="008A48B1">
        <w:rPr>
          <w:rFonts w:ascii="Verdana" w:eastAsia="Century Gothic" w:hAnsi="Verdana" w:cs="Century Gothic"/>
          <w:sz w:val="20"/>
          <w:szCs w:val="20"/>
          <w:lang w:val="es-ES"/>
        </w:rPr>
        <w:t>“</w:t>
      </w:r>
      <w:bookmarkStart w:id="1" w:name="_Hlk171351084"/>
      <w:r w:rsidRPr="008A48B1">
        <w:rPr>
          <w:rFonts w:ascii="Verdana" w:eastAsia="Calibri" w:hAnsi="Verdana" w:cs="Arial"/>
          <w:i/>
          <w:iCs/>
          <w:sz w:val="20"/>
          <w:szCs w:val="20"/>
          <w:shd w:val="clear" w:color="auto" w:fill="FFFFFF"/>
        </w:rPr>
        <w:t xml:space="preserve">¿Cuándo dos entidades públicas deciden celebrar un convenio interadministrativo, cada una de ellas debe tener su propio estudio previo? ¿Todo contrato o convenio debe tener su estudio previo, así este no este </w:t>
      </w:r>
      <w:r w:rsidRPr="008A48B1">
        <w:rPr>
          <w:rFonts w:ascii="Verdana" w:eastAsia="Calibri" w:hAnsi="Verdana" w:cs="Arial"/>
          <w:i/>
          <w:iCs/>
          <w:sz w:val="20"/>
          <w:szCs w:val="20"/>
          <w:shd w:val="clear" w:color="auto" w:fill="FFFFFF"/>
        </w:rPr>
        <w:lastRenderedPageBreak/>
        <w:t>regido por la Ley 80 de 1993, por ejemplo, los convenios marco?, ¿los convenios de simple colaboración?</w:t>
      </w:r>
      <w:bookmarkEnd w:id="1"/>
      <w:r w:rsidRPr="008A48B1">
        <w:rPr>
          <w:rFonts w:ascii="Verdana" w:eastAsia="Century Gothic" w:hAnsi="Verdana" w:cs="Century Gothic"/>
          <w:sz w:val="20"/>
          <w:szCs w:val="20"/>
          <w:lang w:val="es-ES"/>
        </w:rPr>
        <w:t>”</w:t>
      </w:r>
      <w:bookmarkEnd w:id="0"/>
      <w:r w:rsidRPr="008A48B1">
        <w:rPr>
          <w:rFonts w:ascii="Verdana" w:eastAsia="Century Gothic" w:hAnsi="Verdana" w:cs="Century Gothic"/>
          <w:sz w:val="20"/>
          <w:szCs w:val="20"/>
          <w:lang w:val="es-ES"/>
        </w:rPr>
        <w:t>.</w:t>
      </w:r>
    </w:p>
    <w:p w14:paraId="4DF224D3" w14:textId="77777777" w:rsidR="001B0FB6" w:rsidRPr="008A48B1" w:rsidRDefault="001B0FB6" w:rsidP="001B0FB6">
      <w:pPr>
        <w:tabs>
          <w:tab w:val="left" w:pos="142"/>
          <w:tab w:val="left" w:pos="284"/>
        </w:tabs>
        <w:spacing w:line="276" w:lineRule="auto"/>
        <w:contextualSpacing/>
        <w:jc w:val="both"/>
        <w:rPr>
          <w:rFonts w:ascii="Verdana" w:eastAsia="Century Gothic" w:hAnsi="Verdana" w:cs="Century Gothic"/>
          <w:b/>
          <w:bCs/>
          <w:lang w:val="es-ES"/>
        </w:rPr>
      </w:pPr>
    </w:p>
    <w:p w14:paraId="5D7B80A7" w14:textId="77777777" w:rsidR="001B0FB6" w:rsidRPr="008A48B1" w:rsidRDefault="001B0FB6" w:rsidP="001B0FB6">
      <w:pPr>
        <w:spacing w:after="120" w:line="276" w:lineRule="auto"/>
        <w:ind w:firstLine="709"/>
        <w:jc w:val="both"/>
        <w:rPr>
          <w:rFonts w:ascii="Verdana" w:eastAsia="Calibri" w:hAnsi="Verdana" w:cs="Arial"/>
          <w:szCs w:val="24"/>
          <w:lang w:val="es-ES_tradnl" w:eastAsia="es-ES_tradnl"/>
        </w:rPr>
      </w:pPr>
      <w:r w:rsidRPr="008A48B1">
        <w:rPr>
          <w:rFonts w:ascii="Verdana" w:eastAsia="Calibri" w:hAnsi="Verdana" w:cs="Arial"/>
          <w:lang w:val="es-ES" w:eastAsia="es-ES"/>
        </w:rPr>
        <w:t xml:space="preserve">De manera preliminar, resulta necesario </w:t>
      </w:r>
      <w:r>
        <w:rPr>
          <w:rFonts w:ascii="Verdana" w:eastAsia="Calibri" w:hAnsi="Verdana" w:cs="Arial"/>
          <w:lang w:val="es-ES" w:eastAsia="es-ES"/>
        </w:rPr>
        <w:t>resaltar</w:t>
      </w:r>
      <w:r w:rsidRPr="008A48B1">
        <w:rPr>
          <w:rFonts w:ascii="Verdana" w:eastAsia="Calibri" w:hAnsi="Verdana" w:cs="Arial"/>
          <w:lang w:val="es-ES" w:eastAsia="es-ES"/>
        </w:rPr>
        <w:t xml:space="preserve">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A48B1">
        <w:rPr>
          <w:rFonts w:ascii="Verdana" w:eastAsia="Calibri" w:hAnsi="Verdana" w:cs="Arial"/>
          <w:szCs w:val="24"/>
          <w:lang w:val="es-ES_tradnl" w:eastAsia="es-ES_tradnl"/>
        </w:rPr>
        <w:tab/>
      </w:r>
    </w:p>
    <w:p w14:paraId="660363E0" w14:textId="77777777" w:rsidR="001B0FB6" w:rsidRPr="008A48B1" w:rsidRDefault="001B0FB6" w:rsidP="001B0FB6">
      <w:pPr>
        <w:spacing w:after="0" w:line="276" w:lineRule="auto"/>
        <w:ind w:firstLine="709"/>
        <w:jc w:val="both"/>
        <w:rPr>
          <w:rFonts w:ascii="Verdana" w:eastAsia="Calibri" w:hAnsi="Verdana" w:cs="Arial"/>
          <w:lang w:val="es-ES" w:eastAsia="es-ES"/>
        </w:rPr>
      </w:pPr>
      <w:r w:rsidRPr="008A48B1">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B1B8715" w14:textId="77777777" w:rsidR="001B0FB6" w:rsidRPr="008A48B1" w:rsidRDefault="001B0FB6" w:rsidP="001B0FB6">
      <w:pPr>
        <w:spacing w:after="0" w:line="276" w:lineRule="auto"/>
        <w:ind w:firstLine="709"/>
        <w:jc w:val="both"/>
        <w:rPr>
          <w:rFonts w:ascii="Verdana" w:eastAsia="Calibri" w:hAnsi="Verdana" w:cs="Arial"/>
          <w:lang w:val="es-ES" w:eastAsia="es-ES"/>
        </w:rPr>
      </w:pPr>
    </w:p>
    <w:p w14:paraId="5A19EA06" w14:textId="77777777" w:rsidR="001B0FB6" w:rsidRPr="008A48B1" w:rsidRDefault="001B0FB6" w:rsidP="001B0FB6">
      <w:pPr>
        <w:numPr>
          <w:ilvl w:val="0"/>
          <w:numId w:val="9"/>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Pr>
          <w:rFonts w:ascii="Verdana" w:eastAsia="Century Gothic" w:hAnsi="Verdana" w:cs="Century Gothic"/>
          <w:b/>
          <w:bCs/>
          <w:lang w:val="es-ES"/>
        </w:rPr>
        <w:t>Cuestión</w:t>
      </w:r>
      <w:r w:rsidRPr="008A48B1">
        <w:rPr>
          <w:rFonts w:ascii="Verdana" w:eastAsia="Century Gothic" w:hAnsi="Verdana" w:cs="Century Gothic"/>
          <w:b/>
          <w:bCs/>
          <w:lang w:val="es-ES"/>
        </w:rPr>
        <w:t xml:space="preserve"> plantead</w:t>
      </w:r>
      <w:r>
        <w:rPr>
          <w:rFonts w:ascii="Verdana" w:eastAsia="Century Gothic" w:hAnsi="Verdana" w:cs="Century Gothic"/>
          <w:b/>
          <w:bCs/>
          <w:lang w:val="es-ES"/>
        </w:rPr>
        <w:t>a</w:t>
      </w:r>
      <w:r w:rsidRPr="008A48B1">
        <w:rPr>
          <w:rFonts w:ascii="Verdana" w:eastAsia="Century Gothic" w:hAnsi="Verdana" w:cs="Century Gothic"/>
          <w:b/>
          <w:bCs/>
          <w:lang w:val="es-ES"/>
        </w:rPr>
        <w:t>:</w:t>
      </w:r>
    </w:p>
    <w:p w14:paraId="2F33C744" w14:textId="77777777" w:rsidR="001B0FB6" w:rsidRPr="008A48B1" w:rsidRDefault="001B0FB6" w:rsidP="001B0FB6">
      <w:pPr>
        <w:tabs>
          <w:tab w:val="left" w:pos="426"/>
        </w:tabs>
        <w:spacing w:after="0" w:line="276" w:lineRule="auto"/>
        <w:jc w:val="both"/>
        <w:rPr>
          <w:rFonts w:ascii="Verdana" w:eastAsia="Century Gothic" w:hAnsi="Verdana" w:cs="Century Gothic"/>
          <w:lang w:val="es-ES"/>
        </w:rPr>
      </w:pPr>
    </w:p>
    <w:p w14:paraId="7070426F" w14:textId="77777777" w:rsidR="001B0FB6" w:rsidRPr="008A48B1" w:rsidRDefault="001B0FB6" w:rsidP="001B0FB6">
      <w:pPr>
        <w:spacing w:after="0" w:line="276" w:lineRule="auto"/>
        <w:jc w:val="both"/>
        <w:rPr>
          <w:rFonts w:ascii="Verdana" w:eastAsia="Century Gothic" w:hAnsi="Verdana" w:cs="Century Gothic"/>
        </w:rPr>
      </w:pPr>
      <w:r w:rsidRPr="008A48B1">
        <w:rPr>
          <w:rFonts w:ascii="Verdana" w:eastAsia="Century Gothic" w:hAnsi="Verdana" w:cs="Century Gothic"/>
        </w:rPr>
        <w:t>De acuerdo con el contenido de su solicitud, esta Agencia resolverá los siguientes problemas jurídicos: ¿Es necesario</w:t>
      </w:r>
      <w:r>
        <w:rPr>
          <w:rFonts w:ascii="Verdana" w:eastAsia="Century Gothic" w:hAnsi="Verdana" w:cs="Century Gothic"/>
        </w:rPr>
        <w:t xml:space="preserve">, que todas las entidades que participen en </w:t>
      </w:r>
      <w:r w:rsidRPr="008A48B1">
        <w:rPr>
          <w:rFonts w:ascii="Verdana" w:eastAsia="Century Gothic" w:hAnsi="Verdana" w:cs="Century Gothic"/>
        </w:rPr>
        <w:t>convenios interadministrativos</w:t>
      </w:r>
      <w:r>
        <w:rPr>
          <w:rFonts w:ascii="Verdana" w:eastAsia="Century Gothic" w:hAnsi="Verdana" w:cs="Century Gothic"/>
        </w:rPr>
        <w:t xml:space="preserve">, convenios marco o convenios de colaboración, </w:t>
      </w:r>
      <w:r w:rsidRPr="008A48B1">
        <w:rPr>
          <w:rFonts w:ascii="Verdana" w:eastAsia="Century Gothic" w:hAnsi="Verdana" w:cs="Century Gothic"/>
        </w:rPr>
        <w:t>formul</w:t>
      </w:r>
      <w:r>
        <w:rPr>
          <w:rFonts w:ascii="Verdana" w:eastAsia="Century Gothic" w:hAnsi="Verdana" w:cs="Century Gothic"/>
        </w:rPr>
        <w:t>en</w:t>
      </w:r>
      <w:r w:rsidRPr="008A48B1">
        <w:rPr>
          <w:rFonts w:ascii="Verdana" w:eastAsia="Century Gothic" w:hAnsi="Verdana" w:cs="Century Gothic"/>
        </w:rPr>
        <w:t xml:space="preserve"> estudios previos?</w:t>
      </w:r>
    </w:p>
    <w:p w14:paraId="1DB18826" w14:textId="77777777" w:rsidR="001B0FB6" w:rsidRPr="008A48B1" w:rsidRDefault="001B0FB6" w:rsidP="001B0FB6">
      <w:pPr>
        <w:spacing w:after="0" w:line="276" w:lineRule="auto"/>
        <w:jc w:val="both"/>
        <w:rPr>
          <w:rFonts w:ascii="Verdana" w:eastAsia="Calibri" w:hAnsi="Verdana" w:cs="Arial"/>
          <w:lang w:val="es-ES"/>
        </w:rPr>
      </w:pPr>
    </w:p>
    <w:p w14:paraId="3EC0DBF7" w14:textId="77777777" w:rsidR="001B0FB6" w:rsidRPr="008A48B1" w:rsidRDefault="001B0FB6" w:rsidP="001B0FB6">
      <w:pPr>
        <w:numPr>
          <w:ilvl w:val="0"/>
          <w:numId w:val="9"/>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8A48B1">
        <w:rPr>
          <w:rFonts w:ascii="Verdana" w:eastAsia="Century Gothic" w:hAnsi="Verdana" w:cs="Century Gothic"/>
          <w:b/>
          <w:bCs/>
          <w:lang w:val="es-ES"/>
        </w:rPr>
        <w:t>Respuesta:</w:t>
      </w:r>
    </w:p>
    <w:p w14:paraId="07C37B7C" w14:textId="77777777" w:rsidR="001B0FB6" w:rsidRPr="008A48B1" w:rsidRDefault="001B0FB6" w:rsidP="001B0FB6">
      <w:pPr>
        <w:tabs>
          <w:tab w:val="left" w:pos="142"/>
          <w:tab w:val="left" w:pos="284"/>
        </w:tabs>
        <w:spacing w:after="0" w:line="276" w:lineRule="auto"/>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2253F" w:rsidRPr="008A48B1" w14:paraId="4569092C" w14:textId="77777777" w:rsidTr="00C94DEE">
        <w:tc>
          <w:tcPr>
            <w:tcW w:w="8828" w:type="dxa"/>
            <w:tcBorders>
              <w:top w:val="dotted" w:sz="4" w:space="0" w:color="auto"/>
              <w:left w:val="dotted" w:sz="4" w:space="0" w:color="auto"/>
              <w:bottom w:val="dotted" w:sz="4" w:space="0" w:color="auto"/>
              <w:right w:val="dotted" w:sz="4" w:space="0" w:color="auto"/>
            </w:tcBorders>
          </w:tcPr>
          <w:p w14:paraId="5E843B72" w14:textId="77777777" w:rsidR="00A2253F" w:rsidRPr="00A2253F" w:rsidRDefault="00A2253F" w:rsidP="00A2253F">
            <w:pPr>
              <w:pStyle w:val="Textoindependiente"/>
              <w:widowControl w:val="0"/>
              <w:numPr>
                <w:ilvl w:val="0"/>
                <w:numId w:val="24"/>
              </w:numPr>
              <w:tabs>
                <w:tab w:val="left" w:pos="559"/>
              </w:tabs>
              <w:autoSpaceDE w:val="0"/>
              <w:autoSpaceDN w:val="0"/>
              <w:spacing w:before="4" w:after="0" w:line="235" w:lineRule="auto"/>
              <w:ind w:right="101"/>
              <w:jc w:val="both"/>
              <w:rPr>
                <w:rFonts w:ascii="Verdana" w:hAnsi="Verdana"/>
              </w:rPr>
            </w:pPr>
            <w:r w:rsidRPr="00A2253F">
              <w:rPr>
                <w:rFonts w:ascii="Verdana" w:hAnsi="Verdana"/>
              </w:rPr>
              <w:t>Todas</w:t>
            </w:r>
            <w:r w:rsidRPr="00A2253F">
              <w:rPr>
                <w:rFonts w:ascii="Verdana" w:hAnsi="Verdana"/>
                <w:spacing w:val="-16"/>
              </w:rPr>
              <w:t xml:space="preserve"> </w:t>
            </w:r>
            <w:r w:rsidRPr="00A2253F">
              <w:rPr>
                <w:rFonts w:ascii="Verdana" w:hAnsi="Verdana"/>
              </w:rPr>
              <w:t>las</w:t>
            </w:r>
            <w:r w:rsidRPr="00A2253F">
              <w:rPr>
                <w:rFonts w:ascii="Verdana" w:hAnsi="Verdana"/>
                <w:spacing w:val="-17"/>
              </w:rPr>
              <w:t xml:space="preserve"> </w:t>
            </w:r>
            <w:r w:rsidRPr="00A2253F">
              <w:rPr>
                <w:rFonts w:ascii="Verdana" w:hAnsi="Verdana"/>
              </w:rPr>
              <w:t>relaciones</w:t>
            </w:r>
            <w:r w:rsidRPr="00A2253F">
              <w:rPr>
                <w:rFonts w:ascii="Verdana" w:hAnsi="Verdana"/>
                <w:spacing w:val="-16"/>
              </w:rPr>
              <w:t xml:space="preserve"> </w:t>
            </w:r>
            <w:r w:rsidRPr="00A2253F">
              <w:rPr>
                <w:rFonts w:ascii="Verdana" w:hAnsi="Verdana"/>
              </w:rPr>
              <w:t>contractuales</w:t>
            </w:r>
            <w:r w:rsidRPr="00A2253F">
              <w:rPr>
                <w:rFonts w:ascii="Verdana" w:hAnsi="Verdana"/>
                <w:spacing w:val="-15"/>
              </w:rPr>
              <w:t xml:space="preserve"> </w:t>
            </w:r>
            <w:r w:rsidRPr="00A2253F">
              <w:rPr>
                <w:rFonts w:ascii="Verdana" w:hAnsi="Verdana"/>
              </w:rPr>
              <w:t>en</w:t>
            </w:r>
            <w:r w:rsidRPr="00A2253F">
              <w:rPr>
                <w:rFonts w:ascii="Verdana" w:hAnsi="Verdana"/>
                <w:spacing w:val="-17"/>
              </w:rPr>
              <w:t xml:space="preserve"> </w:t>
            </w:r>
            <w:r w:rsidRPr="00A2253F">
              <w:rPr>
                <w:rFonts w:ascii="Verdana" w:hAnsi="Verdana"/>
              </w:rPr>
              <w:t>las</w:t>
            </w:r>
            <w:r w:rsidRPr="00A2253F">
              <w:rPr>
                <w:rFonts w:ascii="Verdana" w:hAnsi="Verdana"/>
                <w:spacing w:val="-17"/>
              </w:rPr>
              <w:t xml:space="preserve"> </w:t>
            </w:r>
            <w:r w:rsidRPr="00A2253F">
              <w:rPr>
                <w:rFonts w:ascii="Verdana" w:hAnsi="Verdana"/>
              </w:rPr>
              <w:t>que</w:t>
            </w:r>
            <w:r w:rsidRPr="00A2253F">
              <w:rPr>
                <w:rFonts w:ascii="Verdana" w:hAnsi="Verdana"/>
                <w:spacing w:val="-17"/>
              </w:rPr>
              <w:t xml:space="preserve"> </w:t>
            </w:r>
            <w:r w:rsidRPr="00A2253F">
              <w:rPr>
                <w:rFonts w:ascii="Verdana" w:hAnsi="Verdana"/>
              </w:rPr>
              <w:t>este</w:t>
            </w:r>
            <w:r w:rsidRPr="00A2253F">
              <w:rPr>
                <w:rFonts w:ascii="Verdana" w:hAnsi="Verdana"/>
                <w:spacing w:val="-17"/>
              </w:rPr>
              <w:t xml:space="preserve"> </w:t>
            </w:r>
            <w:r w:rsidRPr="00A2253F">
              <w:rPr>
                <w:rFonts w:ascii="Verdana" w:hAnsi="Verdana"/>
              </w:rPr>
              <w:t>involucrada</w:t>
            </w:r>
            <w:r w:rsidRPr="00A2253F">
              <w:rPr>
                <w:rFonts w:ascii="Verdana" w:hAnsi="Verdana"/>
                <w:spacing w:val="-15"/>
              </w:rPr>
              <w:t xml:space="preserve"> </w:t>
            </w:r>
            <w:r w:rsidRPr="00A2253F">
              <w:rPr>
                <w:rFonts w:ascii="Verdana" w:hAnsi="Verdana"/>
              </w:rPr>
              <w:t>una</w:t>
            </w:r>
            <w:r w:rsidRPr="00A2253F">
              <w:rPr>
                <w:rFonts w:ascii="Verdana" w:hAnsi="Verdana"/>
                <w:spacing w:val="-17"/>
              </w:rPr>
              <w:t xml:space="preserve"> </w:t>
            </w:r>
            <w:r w:rsidRPr="00A2253F">
              <w:rPr>
                <w:rFonts w:ascii="Verdana" w:hAnsi="Verdana"/>
              </w:rPr>
              <w:t>entidad estatal,</w:t>
            </w:r>
            <w:r w:rsidRPr="00A2253F">
              <w:rPr>
                <w:rFonts w:ascii="Verdana" w:hAnsi="Verdana"/>
                <w:spacing w:val="-10"/>
              </w:rPr>
              <w:t xml:space="preserve"> </w:t>
            </w:r>
            <w:r w:rsidRPr="00A2253F">
              <w:rPr>
                <w:rFonts w:ascii="Verdana" w:hAnsi="Verdana"/>
              </w:rPr>
              <w:t>requiere</w:t>
            </w:r>
            <w:r w:rsidRPr="00A2253F">
              <w:rPr>
                <w:rFonts w:ascii="Verdana" w:hAnsi="Verdana"/>
                <w:spacing w:val="-10"/>
              </w:rPr>
              <w:t xml:space="preserve"> </w:t>
            </w:r>
            <w:r w:rsidRPr="00A2253F">
              <w:rPr>
                <w:rFonts w:ascii="Verdana" w:hAnsi="Verdana"/>
              </w:rPr>
              <w:t>un</w:t>
            </w:r>
            <w:r w:rsidRPr="00A2253F">
              <w:rPr>
                <w:rFonts w:ascii="Verdana" w:hAnsi="Verdana"/>
                <w:spacing w:val="-12"/>
              </w:rPr>
              <w:t xml:space="preserve"> </w:t>
            </w:r>
            <w:r w:rsidRPr="00A2253F">
              <w:rPr>
                <w:rFonts w:ascii="Verdana" w:hAnsi="Verdana"/>
              </w:rPr>
              <w:t>estudio</w:t>
            </w:r>
            <w:r w:rsidRPr="00A2253F">
              <w:rPr>
                <w:rFonts w:ascii="Verdana" w:hAnsi="Verdana"/>
                <w:spacing w:val="-10"/>
              </w:rPr>
              <w:t xml:space="preserve"> </w:t>
            </w:r>
            <w:r w:rsidRPr="00A2253F">
              <w:rPr>
                <w:rFonts w:ascii="Verdana" w:hAnsi="Verdana"/>
              </w:rPr>
              <w:t>previo,</w:t>
            </w:r>
            <w:r w:rsidRPr="00A2253F">
              <w:rPr>
                <w:rFonts w:ascii="Verdana" w:hAnsi="Verdana"/>
                <w:spacing w:val="-12"/>
              </w:rPr>
              <w:t xml:space="preserve"> </w:t>
            </w:r>
            <w:r w:rsidRPr="00A2253F">
              <w:rPr>
                <w:rFonts w:ascii="Verdana" w:hAnsi="Verdana"/>
              </w:rPr>
              <w:t>independientemente</w:t>
            </w:r>
            <w:r w:rsidRPr="00A2253F">
              <w:rPr>
                <w:rFonts w:ascii="Verdana" w:hAnsi="Verdana"/>
                <w:spacing w:val="-7"/>
              </w:rPr>
              <w:t xml:space="preserve"> </w:t>
            </w:r>
            <w:r w:rsidRPr="00A2253F">
              <w:rPr>
                <w:rFonts w:ascii="Verdana" w:hAnsi="Verdana"/>
              </w:rPr>
              <w:t>de</w:t>
            </w:r>
            <w:r w:rsidRPr="00A2253F">
              <w:rPr>
                <w:rFonts w:ascii="Verdana" w:hAnsi="Verdana"/>
                <w:spacing w:val="-12"/>
              </w:rPr>
              <w:t xml:space="preserve"> </w:t>
            </w:r>
            <w:r w:rsidRPr="00A2253F">
              <w:rPr>
                <w:rFonts w:ascii="Verdana" w:hAnsi="Verdana"/>
              </w:rPr>
              <w:t>la</w:t>
            </w:r>
            <w:r w:rsidRPr="00A2253F">
              <w:rPr>
                <w:rFonts w:ascii="Verdana" w:hAnsi="Verdana"/>
                <w:spacing w:val="-12"/>
              </w:rPr>
              <w:t xml:space="preserve"> </w:t>
            </w:r>
            <w:r w:rsidRPr="00A2253F">
              <w:rPr>
                <w:rFonts w:ascii="Verdana" w:hAnsi="Verdana"/>
              </w:rPr>
              <w:t>nominación que</w:t>
            </w:r>
            <w:r w:rsidRPr="00A2253F">
              <w:rPr>
                <w:rFonts w:ascii="Verdana" w:hAnsi="Verdana"/>
                <w:spacing w:val="-10"/>
              </w:rPr>
              <w:t xml:space="preserve"> </w:t>
            </w:r>
            <w:r w:rsidRPr="00A2253F">
              <w:rPr>
                <w:rFonts w:ascii="Verdana" w:hAnsi="Verdana"/>
              </w:rPr>
              <w:t>se</w:t>
            </w:r>
            <w:r w:rsidRPr="00A2253F">
              <w:rPr>
                <w:rFonts w:ascii="Verdana" w:hAnsi="Verdana"/>
                <w:spacing w:val="-10"/>
              </w:rPr>
              <w:t xml:space="preserve"> </w:t>
            </w:r>
            <w:r w:rsidRPr="00A2253F">
              <w:rPr>
                <w:rFonts w:ascii="Verdana" w:hAnsi="Verdana"/>
              </w:rPr>
              <w:t>le</w:t>
            </w:r>
            <w:r w:rsidRPr="00A2253F">
              <w:rPr>
                <w:rFonts w:ascii="Verdana" w:hAnsi="Verdana"/>
                <w:spacing w:val="-10"/>
              </w:rPr>
              <w:t xml:space="preserve"> </w:t>
            </w:r>
            <w:r w:rsidRPr="00A2253F">
              <w:rPr>
                <w:rFonts w:ascii="Verdana" w:hAnsi="Verdana"/>
              </w:rPr>
              <w:t>dé</w:t>
            </w:r>
            <w:r w:rsidRPr="00A2253F">
              <w:rPr>
                <w:rFonts w:ascii="Verdana" w:hAnsi="Verdana"/>
                <w:spacing w:val="-10"/>
              </w:rPr>
              <w:t xml:space="preserve"> </w:t>
            </w:r>
            <w:r w:rsidRPr="00A2253F">
              <w:rPr>
                <w:rFonts w:ascii="Verdana" w:hAnsi="Verdana"/>
              </w:rPr>
              <w:t>o</w:t>
            </w:r>
            <w:r w:rsidRPr="00A2253F">
              <w:rPr>
                <w:rFonts w:ascii="Verdana" w:hAnsi="Verdana"/>
                <w:spacing w:val="-11"/>
              </w:rPr>
              <w:t xml:space="preserve"> </w:t>
            </w:r>
            <w:r w:rsidRPr="00A2253F">
              <w:rPr>
                <w:rFonts w:ascii="Verdana" w:hAnsi="Verdana"/>
              </w:rPr>
              <w:t>si</w:t>
            </w:r>
            <w:r w:rsidRPr="00A2253F">
              <w:rPr>
                <w:rFonts w:ascii="Verdana" w:hAnsi="Verdana"/>
                <w:spacing w:val="-10"/>
              </w:rPr>
              <w:t xml:space="preserve"> </w:t>
            </w:r>
            <w:r w:rsidRPr="00A2253F">
              <w:rPr>
                <w:rFonts w:ascii="Verdana" w:hAnsi="Verdana"/>
              </w:rPr>
              <w:t>esta</w:t>
            </w:r>
            <w:r w:rsidRPr="00A2253F">
              <w:rPr>
                <w:rFonts w:ascii="Verdana" w:hAnsi="Verdana"/>
                <w:spacing w:val="-9"/>
              </w:rPr>
              <w:t xml:space="preserve"> </w:t>
            </w:r>
            <w:r w:rsidRPr="00A2253F">
              <w:rPr>
                <w:rFonts w:ascii="Verdana" w:hAnsi="Verdana"/>
              </w:rPr>
              <w:t>relación</w:t>
            </w:r>
            <w:r w:rsidRPr="00A2253F">
              <w:rPr>
                <w:rFonts w:ascii="Verdana" w:hAnsi="Verdana"/>
                <w:spacing w:val="-8"/>
              </w:rPr>
              <w:t xml:space="preserve"> </w:t>
            </w:r>
            <w:r w:rsidRPr="00A2253F">
              <w:rPr>
                <w:rFonts w:ascii="Verdana" w:hAnsi="Verdana"/>
              </w:rPr>
              <w:t>se</w:t>
            </w:r>
            <w:r w:rsidRPr="00A2253F">
              <w:rPr>
                <w:rFonts w:ascii="Verdana" w:hAnsi="Verdana"/>
                <w:spacing w:val="-10"/>
              </w:rPr>
              <w:t xml:space="preserve"> </w:t>
            </w:r>
            <w:r w:rsidRPr="00A2253F">
              <w:rPr>
                <w:rFonts w:ascii="Verdana" w:hAnsi="Verdana"/>
              </w:rPr>
              <w:t>encuentra</w:t>
            </w:r>
            <w:r w:rsidRPr="00A2253F">
              <w:rPr>
                <w:rFonts w:ascii="Verdana" w:hAnsi="Verdana"/>
                <w:spacing w:val="-8"/>
              </w:rPr>
              <w:t xml:space="preserve"> </w:t>
            </w:r>
            <w:r w:rsidRPr="00A2253F">
              <w:rPr>
                <w:rFonts w:ascii="Verdana" w:hAnsi="Verdana"/>
              </w:rPr>
              <w:t>regulada</w:t>
            </w:r>
            <w:r w:rsidRPr="00A2253F">
              <w:rPr>
                <w:rFonts w:ascii="Verdana" w:hAnsi="Verdana"/>
                <w:spacing w:val="-8"/>
              </w:rPr>
              <w:t xml:space="preserve"> </w:t>
            </w:r>
            <w:r w:rsidRPr="00A2253F">
              <w:rPr>
                <w:rFonts w:ascii="Verdana" w:hAnsi="Verdana"/>
              </w:rPr>
              <w:t>o</w:t>
            </w:r>
            <w:r w:rsidRPr="00A2253F">
              <w:rPr>
                <w:rFonts w:ascii="Verdana" w:hAnsi="Verdana"/>
                <w:spacing w:val="-11"/>
              </w:rPr>
              <w:t xml:space="preserve"> </w:t>
            </w:r>
            <w:r w:rsidRPr="00A2253F">
              <w:rPr>
                <w:rFonts w:ascii="Verdana" w:hAnsi="Verdana"/>
              </w:rPr>
              <w:t>no</w:t>
            </w:r>
            <w:r w:rsidRPr="00A2253F">
              <w:rPr>
                <w:rFonts w:ascii="Verdana" w:hAnsi="Verdana"/>
                <w:spacing w:val="-10"/>
              </w:rPr>
              <w:t xml:space="preserve"> </w:t>
            </w:r>
            <w:r w:rsidRPr="00A2253F">
              <w:rPr>
                <w:rFonts w:ascii="Verdana" w:hAnsi="Verdana"/>
              </w:rPr>
              <w:t>por</w:t>
            </w:r>
            <w:r w:rsidRPr="00A2253F">
              <w:rPr>
                <w:rFonts w:ascii="Verdana" w:hAnsi="Verdana"/>
                <w:spacing w:val="-10"/>
              </w:rPr>
              <w:t xml:space="preserve"> </w:t>
            </w:r>
            <w:r w:rsidRPr="00A2253F">
              <w:rPr>
                <w:rFonts w:ascii="Verdana" w:hAnsi="Verdana"/>
              </w:rPr>
              <w:t>la</w:t>
            </w:r>
            <w:r w:rsidRPr="00A2253F">
              <w:rPr>
                <w:rFonts w:ascii="Verdana" w:hAnsi="Verdana"/>
                <w:spacing w:val="-10"/>
              </w:rPr>
              <w:t xml:space="preserve"> </w:t>
            </w:r>
            <w:r w:rsidRPr="00A2253F">
              <w:rPr>
                <w:rFonts w:ascii="Verdana" w:hAnsi="Verdana"/>
              </w:rPr>
              <w:t>Ley</w:t>
            </w:r>
            <w:r w:rsidRPr="00A2253F">
              <w:rPr>
                <w:rFonts w:ascii="Verdana" w:hAnsi="Verdana"/>
                <w:spacing w:val="-10"/>
              </w:rPr>
              <w:t xml:space="preserve"> </w:t>
            </w:r>
            <w:r w:rsidRPr="00A2253F">
              <w:rPr>
                <w:rFonts w:ascii="Verdana" w:hAnsi="Verdana"/>
              </w:rPr>
              <w:t>80</w:t>
            </w:r>
            <w:r w:rsidRPr="00A2253F">
              <w:rPr>
                <w:rFonts w:ascii="Verdana" w:hAnsi="Verdana"/>
                <w:spacing w:val="-10"/>
              </w:rPr>
              <w:t xml:space="preserve"> </w:t>
            </w:r>
            <w:r w:rsidRPr="00A2253F">
              <w:rPr>
                <w:rFonts w:ascii="Verdana" w:hAnsi="Verdana"/>
              </w:rPr>
              <w:t xml:space="preserve">de </w:t>
            </w:r>
            <w:r w:rsidRPr="00A2253F">
              <w:rPr>
                <w:rFonts w:ascii="Verdana" w:hAnsi="Verdana"/>
                <w:spacing w:val="-2"/>
              </w:rPr>
              <w:t>1993.</w:t>
            </w:r>
          </w:p>
          <w:p w14:paraId="11E96274" w14:textId="77777777" w:rsidR="00A2253F" w:rsidRPr="00A2253F" w:rsidRDefault="00A2253F" w:rsidP="00A2253F">
            <w:pPr>
              <w:pStyle w:val="Textoindependiente"/>
              <w:spacing w:before="5"/>
              <w:rPr>
                <w:rFonts w:ascii="Verdana" w:hAnsi="Verdana"/>
              </w:rPr>
            </w:pPr>
          </w:p>
          <w:p w14:paraId="697CDD09" w14:textId="0D8174F9" w:rsidR="00A2253F" w:rsidRPr="00A2253F" w:rsidRDefault="00A2253F" w:rsidP="00A2253F">
            <w:pPr>
              <w:pStyle w:val="Textoindependiente"/>
              <w:widowControl w:val="0"/>
              <w:numPr>
                <w:ilvl w:val="0"/>
                <w:numId w:val="24"/>
              </w:numPr>
              <w:tabs>
                <w:tab w:val="left" w:pos="559"/>
              </w:tabs>
              <w:autoSpaceDE w:val="0"/>
              <w:autoSpaceDN w:val="0"/>
              <w:spacing w:after="0" w:line="237" w:lineRule="auto"/>
              <w:ind w:right="101"/>
              <w:jc w:val="both"/>
              <w:rPr>
                <w:rFonts w:ascii="Verdana" w:hAnsi="Verdana"/>
              </w:rPr>
            </w:pPr>
            <w:r w:rsidRPr="00A2253F">
              <w:rPr>
                <w:rFonts w:ascii="Verdana" w:hAnsi="Verdana"/>
              </w:rPr>
              <w:t>Hecha esta claridad, cuando dos entidades públicas deciden celebrar un convenio interadministrativo, esta relación jurídica debe contar con el correspondiente estudio previo, en el cual se deben consignar todas las previsiones de que trata el artículo 2.2.1.1.2.1.1. del Decreto 1082 de 2015. Ahora bien, frente a la como deben adelantarse estos estudios y documentos previos, es de indicar que debido a que el convenio interadministrativo supone aunar esfuerzos para cooperar en el cumplimiento de funciones administrativas o de prestar conjuntamente servicios</w:t>
            </w:r>
            <w:r w:rsidRPr="00A2253F">
              <w:rPr>
                <w:rFonts w:ascii="Verdana" w:hAnsi="Verdana"/>
                <w:spacing w:val="-13"/>
              </w:rPr>
              <w:t xml:space="preserve"> </w:t>
            </w:r>
            <w:r w:rsidRPr="00A2253F">
              <w:rPr>
                <w:rFonts w:ascii="Verdana" w:hAnsi="Verdana"/>
              </w:rPr>
              <w:t>que</w:t>
            </w:r>
            <w:r w:rsidRPr="00A2253F">
              <w:rPr>
                <w:rFonts w:ascii="Verdana" w:hAnsi="Verdana"/>
                <w:spacing w:val="-15"/>
              </w:rPr>
              <w:t xml:space="preserve"> </w:t>
            </w:r>
            <w:r w:rsidRPr="00A2253F">
              <w:rPr>
                <w:rFonts w:ascii="Verdana" w:hAnsi="Verdana"/>
              </w:rPr>
              <w:t>se</w:t>
            </w:r>
            <w:r w:rsidRPr="00A2253F">
              <w:rPr>
                <w:rFonts w:ascii="Verdana" w:hAnsi="Verdana"/>
                <w:spacing w:val="-15"/>
              </w:rPr>
              <w:t xml:space="preserve"> </w:t>
            </w:r>
            <w:r w:rsidRPr="00A2253F">
              <w:rPr>
                <w:rFonts w:ascii="Verdana" w:hAnsi="Verdana"/>
              </w:rPr>
              <w:t>hallen</w:t>
            </w:r>
            <w:r w:rsidRPr="00A2253F">
              <w:rPr>
                <w:rFonts w:ascii="Verdana" w:hAnsi="Verdana"/>
                <w:spacing w:val="-13"/>
              </w:rPr>
              <w:t xml:space="preserve"> </w:t>
            </w:r>
            <w:r w:rsidRPr="00A2253F">
              <w:rPr>
                <w:rFonts w:ascii="Verdana" w:hAnsi="Verdana"/>
              </w:rPr>
              <w:t>a</w:t>
            </w:r>
            <w:r w:rsidRPr="00A2253F">
              <w:rPr>
                <w:rFonts w:ascii="Verdana" w:hAnsi="Verdana"/>
                <w:spacing w:val="-15"/>
              </w:rPr>
              <w:t xml:space="preserve"> </w:t>
            </w:r>
            <w:r w:rsidRPr="00A2253F">
              <w:rPr>
                <w:rFonts w:ascii="Verdana" w:hAnsi="Verdana"/>
              </w:rPr>
              <w:t>su</w:t>
            </w:r>
            <w:r w:rsidRPr="00A2253F">
              <w:rPr>
                <w:rFonts w:ascii="Verdana" w:hAnsi="Verdana"/>
                <w:spacing w:val="-15"/>
              </w:rPr>
              <w:t xml:space="preserve"> </w:t>
            </w:r>
            <w:r w:rsidRPr="00A2253F">
              <w:rPr>
                <w:rFonts w:ascii="Verdana" w:hAnsi="Verdana"/>
              </w:rPr>
              <w:t>cargo,</w:t>
            </w:r>
            <w:r w:rsidRPr="00A2253F">
              <w:rPr>
                <w:rFonts w:ascii="Verdana" w:hAnsi="Verdana"/>
                <w:spacing w:val="-13"/>
              </w:rPr>
              <w:t xml:space="preserve"> </w:t>
            </w:r>
            <w:r w:rsidRPr="00A2253F">
              <w:rPr>
                <w:rFonts w:ascii="Verdana" w:hAnsi="Verdana"/>
              </w:rPr>
              <w:t>las</w:t>
            </w:r>
            <w:r w:rsidRPr="00A2253F">
              <w:rPr>
                <w:rFonts w:ascii="Verdana" w:hAnsi="Verdana"/>
                <w:spacing w:val="-15"/>
              </w:rPr>
              <w:t xml:space="preserve"> </w:t>
            </w:r>
            <w:r w:rsidRPr="00A2253F">
              <w:rPr>
                <w:rFonts w:ascii="Verdana" w:hAnsi="Verdana"/>
              </w:rPr>
              <w:t>Entidades</w:t>
            </w:r>
            <w:r w:rsidRPr="00A2253F">
              <w:rPr>
                <w:rFonts w:ascii="Verdana" w:hAnsi="Verdana"/>
                <w:spacing w:val="-13"/>
              </w:rPr>
              <w:t xml:space="preserve"> </w:t>
            </w:r>
            <w:r w:rsidRPr="00A2253F">
              <w:rPr>
                <w:rFonts w:ascii="Verdana" w:hAnsi="Verdana"/>
              </w:rPr>
              <w:t>Estatales</w:t>
            </w:r>
            <w:r w:rsidRPr="00A2253F">
              <w:rPr>
                <w:rFonts w:ascii="Verdana" w:hAnsi="Verdana"/>
                <w:spacing w:val="-13"/>
              </w:rPr>
              <w:t xml:space="preserve"> </w:t>
            </w:r>
            <w:r w:rsidRPr="00A2253F">
              <w:rPr>
                <w:rFonts w:ascii="Verdana" w:hAnsi="Verdana"/>
              </w:rPr>
              <w:t>podrán</w:t>
            </w:r>
            <w:r w:rsidRPr="00A2253F">
              <w:rPr>
                <w:rFonts w:ascii="Verdana" w:hAnsi="Verdana"/>
                <w:spacing w:val="-14"/>
              </w:rPr>
              <w:t xml:space="preserve"> </w:t>
            </w:r>
            <w:r w:rsidRPr="00A2253F">
              <w:rPr>
                <w:rFonts w:ascii="Verdana" w:hAnsi="Verdana"/>
              </w:rPr>
              <w:t>elaborar de manera conjunta los estudios previos y suscribirlos de igual forma.</w:t>
            </w:r>
          </w:p>
          <w:p w14:paraId="60290C3E" w14:textId="7E76CEC3" w:rsidR="00A2253F" w:rsidRPr="00A2253F" w:rsidRDefault="00A2253F" w:rsidP="00A2253F">
            <w:pPr>
              <w:pStyle w:val="Prrafodelista"/>
              <w:widowControl w:val="0"/>
              <w:numPr>
                <w:ilvl w:val="1"/>
                <w:numId w:val="25"/>
              </w:numPr>
              <w:tabs>
                <w:tab w:val="left" w:pos="825"/>
              </w:tabs>
              <w:autoSpaceDE w:val="0"/>
              <w:autoSpaceDN w:val="0"/>
              <w:spacing w:before="260" w:line="237" w:lineRule="auto"/>
              <w:ind w:right="1097"/>
              <w:contextualSpacing w:val="0"/>
              <w:jc w:val="both"/>
              <w:rPr>
                <w:rFonts w:ascii="Verdana" w:hAnsi="Verdana"/>
              </w:rPr>
            </w:pPr>
            <w:r w:rsidRPr="00A2253F">
              <w:rPr>
                <w:rFonts w:ascii="Verdana" w:hAnsi="Verdana"/>
              </w:rPr>
              <w:t>E</w:t>
            </w:r>
            <w:r w:rsidRPr="00A2253F">
              <w:rPr>
                <w:rFonts w:ascii="Verdana" w:hAnsi="Verdana"/>
              </w:rPr>
              <w:t>n este sentido, dado que en los convenios interadministrativos no es determinable</w:t>
            </w:r>
            <w:r w:rsidRPr="00A2253F">
              <w:rPr>
                <w:rFonts w:ascii="Verdana" w:hAnsi="Verdana"/>
                <w:spacing w:val="-2"/>
              </w:rPr>
              <w:t xml:space="preserve"> </w:t>
            </w:r>
            <w:r w:rsidRPr="00A2253F">
              <w:rPr>
                <w:rFonts w:ascii="Verdana" w:hAnsi="Verdana"/>
              </w:rPr>
              <w:t>quien</w:t>
            </w:r>
            <w:r w:rsidRPr="00A2253F">
              <w:rPr>
                <w:rFonts w:ascii="Verdana" w:hAnsi="Verdana"/>
                <w:spacing w:val="-4"/>
              </w:rPr>
              <w:t xml:space="preserve"> </w:t>
            </w:r>
            <w:r w:rsidRPr="00A2253F">
              <w:rPr>
                <w:rFonts w:ascii="Verdana" w:hAnsi="Verdana"/>
              </w:rPr>
              <w:t>es</w:t>
            </w:r>
            <w:r w:rsidRPr="00A2253F">
              <w:rPr>
                <w:rFonts w:ascii="Verdana" w:hAnsi="Verdana"/>
                <w:spacing w:val="-5"/>
              </w:rPr>
              <w:t xml:space="preserve"> </w:t>
            </w:r>
            <w:r w:rsidRPr="00A2253F">
              <w:rPr>
                <w:rFonts w:ascii="Verdana" w:hAnsi="Verdana"/>
              </w:rPr>
              <w:t>la</w:t>
            </w:r>
            <w:r w:rsidRPr="00A2253F">
              <w:rPr>
                <w:rFonts w:ascii="Verdana" w:hAnsi="Verdana"/>
                <w:spacing w:val="-5"/>
              </w:rPr>
              <w:t xml:space="preserve"> </w:t>
            </w:r>
            <w:r w:rsidRPr="00A2253F">
              <w:rPr>
                <w:rFonts w:ascii="Verdana" w:hAnsi="Verdana"/>
              </w:rPr>
              <w:t>entidad</w:t>
            </w:r>
            <w:r w:rsidRPr="00A2253F">
              <w:rPr>
                <w:rFonts w:ascii="Verdana" w:hAnsi="Verdana"/>
                <w:spacing w:val="-4"/>
              </w:rPr>
              <w:t xml:space="preserve"> </w:t>
            </w:r>
            <w:r w:rsidRPr="00A2253F">
              <w:rPr>
                <w:rFonts w:ascii="Verdana" w:hAnsi="Verdana"/>
              </w:rPr>
              <w:t>contratante</w:t>
            </w:r>
            <w:r w:rsidRPr="00A2253F">
              <w:rPr>
                <w:rFonts w:ascii="Verdana" w:hAnsi="Verdana"/>
                <w:spacing w:val="-2"/>
              </w:rPr>
              <w:t xml:space="preserve"> </w:t>
            </w:r>
            <w:r w:rsidRPr="00A2253F">
              <w:rPr>
                <w:rFonts w:ascii="Verdana" w:hAnsi="Verdana"/>
              </w:rPr>
              <w:t>o</w:t>
            </w:r>
            <w:r w:rsidRPr="00A2253F">
              <w:rPr>
                <w:rFonts w:ascii="Verdana" w:hAnsi="Verdana"/>
                <w:spacing w:val="-6"/>
              </w:rPr>
              <w:t xml:space="preserve"> </w:t>
            </w:r>
            <w:r w:rsidRPr="00A2253F">
              <w:rPr>
                <w:rFonts w:ascii="Verdana" w:hAnsi="Verdana"/>
              </w:rPr>
              <w:t>contratista,</w:t>
            </w:r>
            <w:r w:rsidRPr="00A2253F">
              <w:rPr>
                <w:rFonts w:ascii="Verdana" w:hAnsi="Verdana"/>
                <w:spacing w:val="-2"/>
              </w:rPr>
              <w:t xml:space="preserve"> </w:t>
            </w:r>
            <w:r w:rsidRPr="00A2253F">
              <w:rPr>
                <w:rFonts w:ascii="Verdana" w:hAnsi="Verdana"/>
              </w:rPr>
              <w:t>la</w:t>
            </w:r>
            <w:r w:rsidRPr="00A2253F">
              <w:rPr>
                <w:rFonts w:ascii="Verdana" w:hAnsi="Verdana"/>
                <w:spacing w:val="-5"/>
              </w:rPr>
              <w:t xml:space="preserve"> </w:t>
            </w:r>
            <w:r w:rsidRPr="00A2253F">
              <w:rPr>
                <w:rFonts w:ascii="Verdana" w:hAnsi="Verdana"/>
              </w:rPr>
              <w:t>elaboración del proceso de contratación y por ende de los documentos contractuales deberá ser desarrollada por cada entidad estatal parte del convenio interadministrativo, sin perjuicio de que se apoyen en esa labor o los elaboren y suscriban de manera conjunta. Esto es fundamental para asegurar</w:t>
            </w:r>
            <w:r w:rsidRPr="00A2253F">
              <w:rPr>
                <w:rFonts w:ascii="Verdana" w:hAnsi="Verdana"/>
                <w:spacing w:val="-16"/>
              </w:rPr>
              <w:t xml:space="preserve"> </w:t>
            </w:r>
            <w:r w:rsidRPr="00A2253F">
              <w:rPr>
                <w:rFonts w:ascii="Verdana" w:hAnsi="Verdana"/>
              </w:rPr>
              <w:t>que</w:t>
            </w:r>
            <w:r w:rsidRPr="00A2253F">
              <w:rPr>
                <w:rFonts w:ascii="Verdana" w:hAnsi="Verdana"/>
                <w:spacing w:val="-18"/>
              </w:rPr>
              <w:t xml:space="preserve"> </w:t>
            </w:r>
            <w:r w:rsidRPr="00A2253F">
              <w:rPr>
                <w:rFonts w:ascii="Verdana" w:hAnsi="Verdana"/>
              </w:rPr>
              <w:t>el</w:t>
            </w:r>
            <w:r w:rsidRPr="00A2253F">
              <w:rPr>
                <w:rFonts w:ascii="Verdana" w:hAnsi="Verdana"/>
                <w:spacing w:val="-19"/>
              </w:rPr>
              <w:t xml:space="preserve"> </w:t>
            </w:r>
            <w:r w:rsidRPr="00A2253F">
              <w:rPr>
                <w:rFonts w:ascii="Verdana" w:hAnsi="Verdana"/>
              </w:rPr>
              <w:t>convenio</w:t>
            </w:r>
            <w:r w:rsidRPr="00A2253F">
              <w:rPr>
                <w:rFonts w:ascii="Verdana" w:hAnsi="Verdana"/>
                <w:spacing w:val="-17"/>
              </w:rPr>
              <w:t xml:space="preserve"> </w:t>
            </w:r>
            <w:r w:rsidRPr="00A2253F">
              <w:rPr>
                <w:rFonts w:ascii="Verdana" w:hAnsi="Verdana"/>
              </w:rPr>
              <w:t>se</w:t>
            </w:r>
            <w:r w:rsidRPr="00A2253F">
              <w:rPr>
                <w:rFonts w:ascii="Verdana" w:hAnsi="Verdana"/>
                <w:spacing w:val="-19"/>
              </w:rPr>
              <w:t xml:space="preserve"> </w:t>
            </w:r>
            <w:r w:rsidRPr="00A2253F">
              <w:rPr>
                <w:rFonts w:ascii="Verdana" w:hAnsi="Verdana"/>
              </w:rPr>
              <w:t>ajuste</w:t>
            </w:r>
            <w:r w:rsidRPr="00A2253F">
              <w:rPr>
                <w:rFonts w:ascii="Verdana" w:hAnsi="Verdana"/>
                <w:spacing w:val="-17"/>
              </w:rPr>
              <w:t xml:space="preserve"> </w:t>
            </w:r>
            <w:r w:rsidRPr="00A2253F">
              <w:rPr>
                <w:rFonts w:ascii="Verdana" w:hAnsi="Verdana"/>
              </w:rPr>
              <w:t>a</w:t>
            </w:r>
            <w:r w:rsidRPr="00A2253F">
              <w:rPr>
                <w:rFonts w:ascii="Verdana" w:hAnsi="Verdana"/>
                <w:spacing w:val="-19"/>
              </w:rPr>
              <w:t xml:space="preserve"> </w:t>
            </w:r>
            <w:r w:rsidRPr="00A2253F">
              <w:rPr>
                <w:rFonts w:ascii="Verdana" w:hAnsi="Verdana"/>
              </w:rPr>
              <w:t>las</w:t>
            </w:r>
            <w:r w:rsidRPr="00A2253F">
              <w:rPr>
                <w:rFonts w:ascii="Verdana" w:hAnsi="Verdana"/>
                <w:spacing w:val="-18"/>
              </w:rPr>
              <w:t xml:space="preserve"> </w:t>
            </w:r>
            <w:r w:rsidRPr="00A2253F">
              <w:rPr>
                <w:rFonts w:ascii="Verdana" w:hAnsi="Verdana"/>
              </w:rPr>
              <w:t>necesidades</w:t>
            </w:r>
            <w:r w:rsidRPr="00A2253F">
              <w:rPr>
                <w:rFonts w:ascii="Verdana" w:hAnsi="Verdana"/>
                <w:spacing w:val="-16"/>
              </w:rPr>
              <w:t xml:space="preserve"> </w:t>
            </w:r>
            <w:r w:rsidRPr="00A2253F">
              <w:rPr>
                <w:rFonts w:ascii="Verdana" w:hAnsi="Verdana"/>
              </w:rPr>
              <w:t>y</w:t>
            </w:r>
            <w:r w:rsidRPr="00A2253F">
              <w:rPr>
                <w:rFonts w:ascii="Verdana" w:hAnsi="Verdana"/>
                <w:spacing w:val="-19"/>
              </w:rPr>
              <w:t xml:space="preserve"> </w:t>
            </w:r>
            <w:r w:rsidRPr="00A2253F">
              <w:rPr>
                <w:rFonts w:ascii="Verdana" w:hAnsi="Verdana"/>
              </w:rPr>
              <w:t>objetivos</w:t>
            </w:r>
            <w:r w:rsidRPr="00A2253F">
              <w:rPr>
                <w:rFonts w:ascii="Verdana" w:hAnsi="Verdana"/>
                <w:spacing w:val="-17"/>
              </w:rPr>
              <w:t xml:space="preserve"> </w:t>
            </w:r>
            <w:r w:rsidRPr="00A2253F">
              <w:rPr>
                <w:rFonts w:ascii="Verdana" w:hAnsi="Verdana"/>
              </w:rPr>
              <w:t>de</w:t>
            </w:r>
            <w:r w:rsidRPr="00A2253F">
              <w:rPr>
                <w:rFonts w:ascii="Verdana" w:hAnsi="Verdana"/>
                <w:spacing w:val="-19"/>
              </w:rPr>
              <w:t xml:space="preserve"> </w:t>
            </w:r>
            <w:r w:rsidRPr="00A2253F">
              <w:rPr>
                <w:rFonts w:ascii="Verdana" w:hAnsi="Verdana"/>
              </w:rPr>
              <w:t xml:space="preserve">ambas </w:t>
            </w:r>
            <w:r w:rsidRPr="00A2253F">
              <w:rPr>
                <w:rFonts w:ascii="Verdana" w:hAnsi="Verdana"/>
                <w:spacing w:val="-2"/>
              </w:rPr>
              <w:t>partes.</w:t>
            </w:r>
          </w:p>
          <w:p w14:paraId="21C78DEE" w14:textId="77777777" w:rsidR="00A2253F" w:rsidRPr="00A2253F" w:rsidRDefault="00A2253F" w:rsidP="00A2253F">
            <w:pPr>
              <w:pStyle w:val="Textoindependiente"/>
              <w:spacing w:before="50"/>
              <w:rPr>
                <w:rFonts w:ascii="Verdana" w:hAnsi="Verdana"/>
              </w:rPr>
            </w:pPr>
          </w:p>
          <w:p w14:paraId="7F9CA10C" w14:textId="77777777" w:rsidR="00A2253F" w:rsidRPr="00A2253F" w:rsidRDefault="00A2253F" w:rsidP="00A2253F">
            <w:pPr>
              <w:pStyle w:val="Prrafodelista"/>
              <w:widowControl w:val="0"/>
              <w:numPr>
                <w:ilvl w:val="1"/>
                <w:numId w:val="25"/>
              </w:numPr>
              <w:tabs>
                <w:tab w:val="left" w:pos="825"/>
              </w:tabs>
              <w:autoSpaceDE w:val="0"/>
              <w:autoSpaceDN w:val="0"/>
              <w:spacing w:line="235" w:lineRule="auto"/>
              <w:ind w:right="1097"/>
              <w:contextualSpacing w:val="0"/>
              <w:jc w:val="both"/>
              <w:rPr>
                <w:rFonts w:ascii="Verdana" w:hAnsi="Verdana"/>
              </w:rPr>
            </w:pPr>
            <w:r w:rsidRPr="00A2253F">
              <w:rPr>
                <w:rFonts w:ascii="Verdana" w:hAnsi="Verdana"/>
              </w:rPr>
              <w:t>El</w:t>
            </w:r>
            <w:r w:rsidRPr="00A2253F">
              <w:rPr>
                <w:rFonts w:ascii="Verdana" w:hAnsi="Verdana"/>
                <w:spacing w:val="-3"/>
              </w:rPr>
              <w:t xml:space="preserve"> </w:t>
            </w:r>
            <w:r w:rsidRPr="00A2253F">
              <w:rPr>
                <w:rFonts w:ascii="Verdana" w:hAnsi="Verdana"/>
              </w:rPr>
              <w:t>estudio previo</w:t>
            </w:r>
            <w:r w:rsidRPr="00A2253F">
              <w:rPr>
                <w:rFonts w:ascii="Verdana" w:hAnsi="Verdana"/>
                <w:spacing w:val="-2"/>
              </w:rPr>
              <w:t xml:space="preserve"> </w:t>
            </w:r>
            <w:r w:rsidRPr="00A2253F">
              <w:rPr>
                <w:rFonts w:ascii="Verdana" w:hAnsi="Verdana"/>
              </w:rPr>
              <w:t>es un documento elaborado durante la etapa de planeación.</w:t>
            </w:r>
            <w:r w:rsidRPr="00A2253F">
              <w:rPr>
                <w:rFonts w:ascii="Verdana" w:hAnsi="Verdana"/>
                <w:spacing w:val="-3"/>
              </w:rPr>
              <w:t xml:space="preserve"> </w:t>
            </w:r>
            <w:r w:rsidRPr="00A2253F">
              <w:rPr>
                <w:rFonts w:ascii="Verdana" w:hAnsi="Verdana"/>
              </w:rPr>
              <w:t>En</w:t>
            </w:r>
            <w:r w:rsidRPr="00A2253F">
              <w:rPr>
                <w:rFonts w:ascii="Verdana" w:hAnsi="Verdana"/>
                <w:spacing w:val="-10"/>
              </w:rPr>
              <w:t xml:space="preserve"> </w:t>
            </w:r>
            <w:r w:rsidRPr="00A2253F">
              <w:rPr>
                <w:rFonts w:ascii="Verdana" w:hAnsi="Verdana"/>
              </w:rPr>
              <w:t>él</w:t>
            </w:r>
            <w:r w:rsidRPr="00A2253F">
              <w:rPr>
                <w:rFonts w:ascii="Verdana" w:hAnsi="Verdana"/>
                <w:spacing w:val="-10"/>
              </w:rPr>
              <w:t xml:space="preserve"> </w:t>
            </w:r>
            <w:r w:rsidRPr="00A2253F">
              <w:rPr>
                <w:rFonts w:ascii="Verdana" w:hAnsi="Verdana"/>
              </w:rPr>
              <w:t>se</w:t>
            </w:r>
            <w:r w:rsidRPr="00A2253F">
              <w:rPr>
                <w:rFonts w:ascii="Verdana" w:hAnsi="Verdana"/>
                <w:spacing w:val="-9"/>
              </w:rPr>
              <w:t xml:space="preserve"> </w:t>
            </w:r>
            <w:r w:rsidRPr="00A2253F">
              <w:rPr>
                <w:rFonts w:ascii="Verdana" w:hAnsi="Verdana"/>
              </w:rPr>
              <w:t>analizan</w:t>
            </w:r>
            <w:r w:rsidRPr="00A2253F">
              <w:rPr>
                <w:rFonts w:ascii="Verdana" w:hAnsi="Verdana"/>
                <w:spacing w:val="-8"/>
              </w:rPr>
              <w:t xml:space="preserve"> </w:t>
            </w:r>
            <w:r w:rsidRPr="00A2253F">
              <w:rPr>
                <w:rFonts w:ascii="Verdana" w:hAnsi="Verdana"/>
              </w:rPr>
              <w:t>diversos</w:t>
            </w:r>
            <w:r w:rsidRPr="00A2253F">
              <w:rPr>
                <w:rFonts w:ascii="Verdana" w:hAnsi="Verdana"/>
                <w:spacing w:val="-8"/>
              </w:rPr>
              <w:t xml:space="preserve"> </w:t>
            </w:r>
            <w:r w:rsidRPr="00A2253F">
              <w:rPr>
                <w:rFonts w:ascii="Verdana" w:hAnsi="Verdana"/>
              </w:rPr>
              <w:t>aspectos</w:t>
            </w:r>
            <w:r w:rsidRPr="00A2253F">
              <w:rPr>
                <w:rFonts w:ascii="Verdana" w:hAnsi="Verdana"/>
                <w:spacing w:val="-8"/>
              </w:rPr>
              <w:t xml:space="preserve"> </w:t>
            </w:r>
            <w:r w:rsidRPr="00A2253F">
              <w:rPr>
                <w:rFonts w:ascii="Verdana" w:hAnsi="Verdana"/>
              </w:rPr>
              <w:t>relacionados</w:t>
            </w:r>
            <w:r w:rsidRPr="00A2253F">
              <w:rPr>
                <w:rFonts w:ascii="Verdana" w:hAnsi="Verdana"/>
                <w:spacing w:val="-8"/>
              </w:rPr>
              <w:t xml:space="preserve"> </w:t>
            </w:r>
            <w:r w:rsidRPr="00A2253F">
              <w:rPr>
                <w:rFonts w:ascii="Verdana" w:hAnsi="Verdana"/>
              </w:rPr>
              <w:t>con</w:t>
            </w:r>
            <w:r w:rsidRPr="00A2253F">
              <w:rPr>
                <w:rFonts w:ascii="Verdana" w:hAnsi="Verdana"/>
                <w:spacing w:val="-9"/>
              </w:rPr>
              <w:t xml:space="preserve"> </w:t>
            </w:r>
            <w:r w:rsidRPr="00A2253F">
              <w:rPr>
                <w:rFonts w:ascii="Verdana" w:hAnsi="Verdana"/>
              </w:rPr>
              <w:t>el</w:t>
            </w:r>
            <w:r w:rsidRPr="00A2253F">
              <w:rPr>
                <w:rFonts w:ascii="Verdana" w:hAnsi="Verdana"/>
                <w:spacing w:val="-10"/>
              </w:rPr>
              <w:t xml:space="preserve"> </w:t>
            </w:r>
            <w:r w:rsidRPr="00A2253F">
              <w:rPr>
                <w:rFonts w:ascii="Verdana" w:hAnsi="Verdana"/>
              </w:rPr>
              <w:t xml:space="preserve">objeto </w:t>
            </w:r>
            <w:r w:rsidRPr="00A2253F">
              <w:rPr>
                <w:rFonts w:ascii="Verdana" w:hAnsi="Verdana"/>
                <w:spacing w:val="-2"/>
              </w:rPr>
              <w:t>del</w:t>
            </w:r>
            <w:r w:rsidRPr="00A2253F">
              <w:rPr>
                <w:rFonts w:ascii="Verdana" w:hAnsi="Verdana"/>
                <w:spacing w:val="-10"/>
              </w:rPr>
              <w:t xml:space="preserve"> </w:t>
            </w:r>
            <w:r w:rsidRPr="00A2253F">
              <w:rPr>
                <w:rFonts w:ascii="Verdana" w:hAnsi="Verdana"/>
                <w:spacing w:val="-2"/>
              </w:rPr>
              <w:t>proceso</w:t>
            </w:r>
            <w:r w:rsidRPr="00A2253F">
              <w:rPr>
                <w:rFonts w:ascii="Verdana" w:hAnsi="Verdana"/>
                <w:spacing w:val="-8"/>
              </w:rPr>
              <w:t xml:space="preserve"> </w:t>
            </w:r>
            <w:r w:rsidRPr="00A2253F">
              <w:rPr>
                <w:rFonts w:ascii="Verdana" w:hAnsi="Verdana"/>
                <w:spacing w:val="-2"/>
              </w:rPr>
              <w:t>de</w:t>
            </w:r>
            <w:r w:rsidRPr="00A2253F">
              <w:rPr>
                <w:rFonts w:ascii="Verdana" w:hAnsi="Verdana"/>
                <w:spacing w:val="-10"/>
              </w:rPr>
              <w:t xml:space="preserve"> </w:t>
            </w:r>
            <w:r w:rsidRPr="00A2253F">
              <w:rPr>
                <w:rFonts w:ascii="Verdana" w:hAnsi="Verdana"/>
                <w:spacing w:val="-2"/>
              </w:rPr>
              <w:t>contratación,</w:t>
            </w:r>
            <w:r w:rsidRPr="00A2253F">
              <w:rPr>
                <w:rFonts w:ascii="Verdana" w:hAnsi="Verdana"/>
                <w:spacing w:val="-6"/>
              </w:rPr>
              <w:t xml:space="preserve"> </w:t>
            </w:r>
            <w:r w:rsidRPr="00A2253F">
              <w:rPr>
                <w:rFonts w:ascii="Verdana" w:hAnsi="Verdana"/>
                <w:spacing w:val="-2"/>
              </w:rPr>
              <w:t>como</w:t>
            </w:r>
            <w:r w:rsidRPr="00A2253F">
              <w:rPr>
                <w:rFonts w:ascii="Verdana" w:hAnsi="Verdana"/>
                <w:spacing w:val="-10"/>
              </w:rPr>
              <w:t xml:space="preserve"> </w:t>
            </w:r>
            <w:r w:rsidRPr="00A2253F">
              <w:rPr>
                <w:rFonts w:ascii="Verdana" w:hAnsi="Verdana"/>
                <w:spacing w:val="-2"/>
              </w:rPr>
              <w:t>la</w:t>
            </w:r>
            <w:r w:rsidRPr="00A2253F">
              <w:rPr>
                <w:rFonts w:ascii="Verdana" w:hAnsi="Verdana"/>
                <w:spacing w:val="-10"/>
              </w:rPr>
              <w:t xml:space="preserve"> </w:t>
            </w:r>
            <w:r w:rsidRPr="00A2253F">
              <w:rPr>
                <w:rFonts w:ascii="Verdana" w:hAnsi="Verdana"/>
                <w:spacing w:val="-2"/>
              </w:rPr>
              <w:t>viabilidad</w:t>
            </w:r>
            <w:r w:rsidRPr="00A2253F">
              <w:rPr>
                <w:rFonts w:ascii="Verdana" w:hAnsi="Verdana"/>
                <w:spacing w:val="-8"/>
              </w:rPr>
              <w:t xml:space="preserve"> </w:t>
            </w:r>
            <w:r w:rsidRPr="00A2253F">
              <w:rPr>
                <w:rFonts w:ascii="Verdana" w:hAnsi="Verdana"/>
                <w:spacing w:val="-2"/>
              </w:rPr>
              <w:t>legal,</w:t>
            </w:r>
            <w:r w:rsidRPr="00A2253F">
              <w:rPr>
                <w:rFonts w:ascii="Verdana" w:hAnsi="Verdana"/>
                <w:spacing w:val="-9"/>
              </w:rPr>
              <w:t xml:space="preserve"> </w:t>
            </w:r>
            <w:r w:rsidRPr="00A2253F">
              <w:rPr>
                <w:rFonts w:ascii="Verdana" w:hAnsi="Verdana"/>
                <w:spacing w:val="-2"/>
              </w:rPr>
              <w:t>comercial,</w:t>
            </w:r>
            <w:r w:rsidRPr="00A2253F">
              <w:rPr>
                <w:rFonts w:ascii="Verdana" w:hAnsi="Verdana"/>
                <w:spacing w:val="-7"/>
              </w:rPr>
              <w:t xml:space="preserve"> </w:t>
            </w:r>
            <w:r w:rsidRPr="00A2253F">
              <w:rPr>
                <w:rFonts w:ascii="Verdana" w:hAnsi="Verdana"/>
                <w:spacing w:val="-2"/>
              </w:rPr>
              <w:t xml:space="preserve">financiera, </w:t>
            </w:r>
            <w:r w:rsidRPr="00A2253F">
              <w:rPr>
                <w:rFonts w:ascii="Verdana" w:hAnsi="Verdana"/>
              </w:rPr>
              <w:t>técnica y de riesgo.</w:t>
            </w:r>
          </w:p>
          <w:p w14:paraId="19EBE00A" w14:textId="77777777" w:rsidR="00A2253F" w:rsidRDefault="00A2253F" w:rsidP="00A2253F">
            <w:pPr>
              <w:pStyle w:val="Prrafodelista"/>
            </w:pPr>
          </w:p>
          <w:p w14:paraId="14FB3B92" w14:textId="4F1C5491" w:rsidR="00A2253F" w:rsidRPr="00A2253F" w:rsidRDefault="00A2253F" w:rsidP="00A2253F">
            <w:pPr>
              <w:pStyle w:val="Ttulo1"/>
              <w:ind w:left="369"/>
              <w:jc w:val="both"/>
              <w:rPr>
                <w:rFonts w:ascii="Verdana" w:hAnsi="Verdana"/>
                <w:b w:val="0"/>
                <w:spacing w:val="-2"/>
              </w:rPr>
            </w:pPr>
            <w:r>
              <w:t xml:space="preserve">       </w:t>
            </w:r>
            <w:r w:rsidRPr="00A2253F">
              <w:rPr>
                <w:rFonts w:ascii="Verdana" w:hAnsi="Verdana"/>
              </w:rPr>
              <w:t>Estudios</w:t>
            </w:r>
            <w:r w:rsidRPr="00A2253F">
              <w:rPr>
                <w:rFonts w:ascii="Verdana" w:hAnsi="Verdana"/>
                <w:spacing w:val="-10"/>
              </w:rPr>
              <w:t xml:space="preserve"> </w:t>
            </w:r>
            <w:r w:rsidRPr="00A2253F">
              <w:rPr>
                <w:rFonts w:ascii="Verdana" w:hAnsi="Verdana"/>
              </w:rPr>
              <w:t>Previos</w:t>
            </w:r>
            <w:r w:rsidRPr="00A2253F">
              <w:rPr>
                <w:rFonts w:ascii="Verdana" w:hAnsi="Verdana"/>
                <w:spacing w:val="-10"/>
              </w:rPr>
              <w:t xml:space="preserve"> </w:t>
            </w:r>
            <w:r w:rsidRPr="00A2253F">
              <w:rPr>
                <w:rFonts w:ascii="Verdana" w:hAnsi="Verdana"/>
              </w:rPr>
              <w:t>en</w:t>
            </w:r>
            <w:r w:rsidRPr="00A2253F">
              <w:rPr>
                <w:rFonts w:ascii="Verdana" w:hAnsi="Verdana"/>
                <w:spacing w:val="-4"/>
              </w:rPr>
              <w:t xml:space="preserve"> </w:t>
            </w:r>
            <w:r w:rsidRPr="00A2253F">
              <w:rPr>
                <w:rFonts w:ascii="Verdana" w:hAnsi="Verdana"/>
              </w:rPr>
              <w:t>entidades</w:t>
            </w:r>
            <w:r w:rsidRPr="00A2253F">
              <w:rPr>
                <w:rFonts w:ascii="Verdana" w:hAnsi="Verdana"/>
                <w:spacing w:val="-8"/>
              </w:rPr>
              <w:t xml:space="preserve"> </w:t>
            </w:r>
            <w:r w:rsidRPr="00A2253F">
              <w:rPr>
                <w:rFonts w:ascii="Verdana" w:hAnsi="Verdana"/>
              </w:rPr>
              <w:t>no</w:t>
            </w:r>
            <w:r w:rsidRPr="00A2253F">
              <w:rPr>
                <w:rFonts w:ascii="Verdana" w:hAnsi="Verdana"/>
                <w:spacing w:val="-9"/>
              </w:rPr>
              <w:t xml:space="preserve"> </w:t>
            </w:r>
            <w:r w:rsidRPr="00A2253F">
              <w:rPr>
                <w:rFonts w:ascii="Verdana" w:hAnsi="Verdana"/>
              </w:rPr>
              <w:t>sometidas</w:t>
            </w:r>
            <w:r w:rsidRPr="00A2253F">
              <w:rPr>
                <w:rFonts w:ascii="Verdana" w:hAnsi="Verdana"/>
                <w:spacing w:val="-10"/>
              </w:rPr>
              <w:t xml:space="preserve"> </w:t>
            </w:r>
            <w:r w:rsidRPr="00A2253F">
              <w:rPr>
                <w:rFonts w:ascii="Verdana" w:hAnsi="Verdana"/>
              </w:rPr>
              <w:t>a</w:t>
            </w:r>
            <w:r w:rsidRPr="00A2253F">
              <w:rPr>
                <w:rFonts w:ascii="Verdana" w:hAnsi="Verdana"/>
                <w:spacing w:val="-6"/>
              </w:rPr>
              <w:t xml:space="preserve"> </w:t>
            </w:r>
            <w:r w:rsidRPr="00A2253F">
              <w:rPr>
                <w:rFonts w:ascii="Verdana" w:hAnsi="Verdana"/>
              </w:rPr>
              <w:t>la</w:t>
            </w:r>
            <w:r w:rsidRPr="00A2253F">
              <w:rPr>
                <w:rFonts w:ascii="Verdana" w:hAnsi="Verdana"/>
                <w:spacing w:val="-10"/>
              </w:rPr>
              <w:t xml:space="preserve"> </w:t>
            </w:r>
            <w:r w:rsidRPr="00A2253F">
              <w:rPr>
                <w:rFonts w:ascii="Verdana" w:hAnsi="Verdana"/>
              </w:rPr>
              <w:t>Ley</w:t>
            </w:r>
            <w:r w:rsidRPr="00A2253F">
              <w:rPr>
                <w:rFonts w:ascii="Verdana" w:hAnsi="Verdana"/>
                <w:spacing w:val="-10"/>
              </w:rPr>
              <w:t xml:space="preserve"> </w:t>
            </w:r>
            <w:r w:rsidRPr="00A2253F">
              <w:rPr>
                <w:rFonts w:ascii="Verdana" w:hAnsi="Verdana"/>
              </w:rPr>
              <w:t>80</w:t>
            </w:r>
            <w:r w:rsidRPr="00A2253F">
              <w:rPr>
                <w:rFonts w:ascii="Verdana" w:hAnsi="Verdana"/>
                <w:spacing w:val="-10"/>
              </w:rPr>
              <w:t xml:space="preserve"> </w:t>
            </w:r>
            <w:r w:rsidRPr="00A2253F">
              <w:rPr>
                <w:rFonts w:ascii="Verdana" w:hAnsi="Verdana"/>
              </w:rPr>
              <w:t>de</w:t>
            </w:r>
            <w:r w:rsidRPr="00A2253F">
              <w:rPr>
                <w:rFonts w:ascii="Verdana" w:hAnsi="Verdana"/>
                <w:spacing w:val="-10"/>
              </w:rPr>
              <w:t xml:space="preserve"> </w:t>
            </w:r>
            <w:r w:rsidRPr="00A2253F">
              <w:rPr>
                <w:rFonts w:ascii="Verdana" w:hAnsi="Verdana"/>
                <w:spacing w:val="-2"/>
              </w:rPr>
              <w:t>1993</w:t>
            </w:r>
            <w:r w:rsidRPr="00A2253F">
              <w:rPr>
                <w:rFonts w:ascii="Verdana" w:hAnsi="Verdana"/>
                <w:b w:val="0"/>
                <w:spacing w:val="-2"/>
              </w:rPr>
              <w:t>:</w:t>
            </w:r>
          </w:p>
          <w:p w14:paraId="597DCF54" w14:textId="77777777" w:rsidR="00A2253F" w:rsidRPr="00A2253F" w:rsidRDefault="00A2253F" w:rsidP="00A2253F">
            <w:pPr>
              <w:pStyle w:val="Ttulo1"/>
              <w:ind w:left="369"/>
              <w:jc w:val="both"/>
              <w:rPr>
                <w:b w:val="0"/>
              </w:rPr>
            </w:pPr>
          </w:p>
          <w:p w14:paraId="13D73557" w14:textId="13F1D647" w:rsidR="00A2253F" w:rsidRPr="00A2253F" w:rsidRDefault="00A2253F" w:rsidP="00A2253F">
            <w:pPr>
              <w:pStyle w:val="Prrafodelista"/>
              <w:widowControl w:val="0"/>
              <w:numPr>
                <w:ilvl w:val="1"/>
                <w:numId w:val="25"/>
              </w:numPr>
              <w:tabs>
                <w:tab w:val="left" w:pos="825"/>
              </w:tabs>
              <w:autoSpaceDE w:val="0"/>
              <w:autoSpaceDN w:val="0"/>
              <w:spacing w:line="271" w:lineRule="auto"/>
              <w:ind w:right="1097"/>
              <w:contextualSpacing w:val="0"/>
              <w:jc w:val="both"/>
              <w:rPr>
                <w:rFonts w:ascii="Verdana" w:hAnsi="Verdana"/>
              </w:rPr>
            </w:pPr>
            <w:r w:rsidRPr="00A2253F">
              <w:rPr>
                <w:rFonts w:ascii="Verdana" w:hAnsi="Verdana"/>
              </w:rPr>
              <w:t>Es</w:t>
            </w:r>
            <w:r w:rsidRPr="00A2253F">
              <w:rPr>
                <w:rFonts w:ascii="Verdana" w:hAnsi="Verdana"/>
                <w:spacing w:val="-13"/>
              </w:rPr>
              <w:t xml:space="preserve"> </w:t>
            </w:r>
            <w:r w:rsidRPr="00A2253F">
              <w:rPr>
                <w:rFonts w:ascii="Verdana" w:hAnsi="Verdana"/>
              </w:rPr>
              <w:t>conveniente</w:t>
            </w:r>
            <w:r w:rsidRPr="00A2253F">
              <w:rPr>
                <w:rFonts w:ascii="Verdana" w:hAnsi="Verdana"/>
                <w:spacing w:val="-10"/>
              </w:rPr>
              <w:t xml:space="preserve"> </w:t>
            </w:r>
            <w:r w:rsidRPr="00A2253F">
              <w:rPr>
                <w:rFonts w:ascii="Verdana" w:hAnsi="Verdana"/>
              </w:rPr>
              <w:t>aclarar</w:t>
            </w:r>
            <w:r w:rsidRPr="00A2253F">
              <w:rPr>
                <w:rFonts w:ascii="Verdana" w:hAnsi="Verdana"/>
                <w:spacing w:val="-11"/>
              </w:rPr>
              <w:t xml:space="preserve"> </w:t>
            </w:r>
            <w:r w:rsidRPr="00A2253F">
              <w:rPr>
                <w:rFonts w:ascii="Verdana" w:hAnsi="Verdana"/>
              </w:rPr>
              <w:t>que</w:t>
            </w:r>
            <w:r w:rsidRPr="00A2253F">
              <w:rPr>
                <w:rFonts w:ascii="Verdana" w:hAnsi="Verdana"/>
                <w:spacing w:val="-13"/>
              </w:rPr>
              <w:t xml:space="preserve"> </w:t>
            </w:r>
            <w:r w:rsidRPr="00A2253F">
              <w:rPr>
                <w:rFonts w:ascii="Verdana" w:hAnsi="Verdana"/>
              </w:rPr>
              <w:t>las</w:t>
            </w:r>
            <w:r w:rsidRPr="00A2253F">
              <w:rPr>
                <w:rFonts w:ascii="Verdana" w:hAnsi="Verdana"/>
                <w:spacing w:val="-13"/>
              </w:rPr>
              <w:t xml:space="preserve"> </w:t>
            </w:r>
            <w:r w:rsidRPr="00A2253F">
              <w:rPr>
                <w:rFonts w:ascii="Verdana" w:hAnsi="Verdana"/>
              </w:rPr>
              <w:t>entidades</w:t>
            </w:r>
            <w:r w:rsidRPr="00A2253F">
              <w:rPr>
                <w:rFonts w:ascii="Verdana" w:hAnsi="Verdana"/>
                <w:spacing w:val="-11"/>
              </w:rPr>
              <w:t xml:space="preserve"> </w:t>
            </w:r>
            <w:r w:rsidRPr="00A2253F">
              <w:rPr>
                <w:rFonts w:ascii="Verdana" w:hAnsi="Verdana"/>
              </w:rPr>
              <w:t>no</w:t>
            </w:r>
            <w:r w:rsidRPr="00A2253F">
              <w:rPr>
                <w:rFonts w:ascii="Verdana" w:hAnsi="Verdana"/>
                <w:spacing w:val="-14"/>
              </w:rPr>
              <w:t xml:space="preserve"> </w:t>
            </w:r>
            <w:r w:rsidRPr="00A2253F">
              <w:rPr>
                <w:rFonts w:ascii="Verdana" w:hAnsi="Verdana"/>
              </w:rPr>
              <w:t>sometidas</w:t>
            </w:r>
            <w:r w:rsidRPr="00A2253F">
              <w:rPr>
                <w:rFonts w:ascii="Verdana" w:hAnsi="Verdana"/>
                <w:spacing w:val="-11"/>
              </w:rPr>
              <w:t xml:space="preserve"> </w:t>
            </w:r>
            <w:r w:rsidRPr="00A2253F">
              <w:rPr>
                <w:rFonts w:ascii="Verdana" w:hAnsi="Verdana"/>
              </w:rPr>
              <w:t>al</w:t>
            </w:r>
            <w:r w:rsidRPr="00A2253F">
              <w:rPr>
                <w:rFonts w:ascii="Verdana" w:hAnsi="Verdana"/>
                <w:spacing w:val="-13"/>
              </w:rPr>
              <w:t xml:space="preserve"> </w:t>
            </w:r>
            <w:r w:rsidRPr="00A2253F">
              <w:rPr>
                <w:rFonts w:ascii="Verdana" w:hAnsi="Verdana"/>
              </w:rPr>
              <w:t>estatuto</w:t>
            </w:r>
            <w:r w:rsidRPr="00A2253F">
              <w:rPr>
                <w:rFonts w:ascii="Verdana" w:hAnsi="Verdana"/>
                <w:spacing w:val="-11"/>
              </w:rPr>
              <w:t xml:space="preserve"> </w:t>
            </w:r>
            <w:r w:rsidRPr="00A2253F">
              <w:rPr>
                <w:rFonts w:ascii="Verdana" w:hAnsi="Verdana"/>
              </w:rPr>
              <w:t>general de contratación pública deben observar lo que se determine en los respectivos manuales de contratación, sin embargo la mayoría de ellos plasman los principios generales de la contratación pública.</w:t>
            </w:r>
          </w:p>
          <w:p w14:paraId="486B87F6" w14:textId="0C7B1CEA" w:rsidR="00A2253F" w:rsidRPr="00A2253F" w:rsidRDefault="00A2253F" w:rsidP="00A2253F">
            <w:pPr>
              <w:pStyle w:val="Prrafodelista"/>
              <w:widowControl w:val="0"/>
              <w:numPr>
                <w:ilvl w:val="1"/>
                <w:numId w:val="25"/>
              </w:numPr>
              <w:tabs>
                <w:tab w:val="left" w:pos="825"/>
              </w:tabs>
              <w:autoSpaceDE w:val="0"/>
              <w:autoSpaceDN w:val="0"/>
              <w:spacing w:line="271" w:lineRule="auto"/>
              <w:ind w:right="1097"/>
              <w:contextualSpacing w:val="0"/>
              <w:jc w:val="both"/>
              <w:rPr>
                <w:rFonts w:ascii="Verdana" w:hAnsi="Verdana"/>
              </w:rPr>
            </w:pPr>
            <w:r w:rsidRPr="00A2253F">
              <w:rPr>
                <w:rFonts w:ascii="Verdana" w:hAnsi="Verdana"/>
              </w:rPr>
              <w:t xml:space="preserve">Ahora bien, hay contratos que no están tipificados en el estatuto general de contratación pública pero las entidades sí están sometidas a su régimen, razón por la cual es de obligatoria </w:t>
            </w:r>
            <w:r w:rsidRPr="00A2253F">
              <w:rPr>
                <w:rFonts w:ascii="Verdana" w:hAnsi="Verdana"/>
              </w:rPr>
              <w:lastRenderedPageBreak/>
              <w:t>observancia la existencia del estudio previo en desarrollo al principio de Planeación.</w:t>
            </w:r>
          </w:p>
          <w:p w14:paraId="56EA4B77" w14:textId="58A2EA5B" w:rsidR="00A2253F" w:rsidRPr="00A2253F" w:rsidRDefault="00A2253F" w:rsidP="00A2253F">
            <w:pPr>
              <w:pStyle w:val="Prrafodelista"/>
              <w:widowControl w:val="0"/>
              <w:numPr>
                <w:ilvl w:val="1"/>
                <w:numId w:val="25"/>
              </w:numPr>
              <w:tabs>
                <w:tab w:val="left" w:pos="825"/>
              </w:tabs>
              <w:autoSpaceDE w:val="0"/>
              <w:autoSpaceDN w:val="0"/>
              <w:spacing w:line="237" w:lineRule="auto"/>
              <w:ind w:right="1099"/>
              <w:contextualSpacing w:val="0"/>
              <w:jc w:val="both"/>
              <w:rPr>
                <w:rFonts w:ascii="Verdana" w:hAnsi="Verdana"/>
              </w:rPr>
            </w:pPr>
            <w:r w:rsidRPr="00A2253F">
              <w:rPr>
                <w:rFonts w:ascii="Verdana" w:hAnsi="Verdana"/>
              </w:rPr>
              <w:t>Por</w:t>
            </w:r>
            <w:r w:rsidRPr="00A2253F">
              <w:rPr>
                <w:rFonts w:ascii="Verdana" w:hAnsi="Verdana"/>
                <w:spacing w:val="40"/>
              </w:rPr>
              <w:t xml:space="preserve"> </w:t>
            </w:r>
            <w:r w:rsidRPr="00A2253F">
              <w:rPr>
                <w:rFonts w:ascii="Verdana" w:hAnsi="Verdana"/>
              </w:rPr>
              <w:t>ejemplo,</w:t>
            </w:r>
            <w:r w:rsidRPr="00A2253F">
              <w:rPr>
                <w:rFonts w:ascii="Verdana" w:hAnsi="Verdana"/>
                <w:spacing w:val="40"/>
              </w:rPr>
              <w:t xml:space="preserve"> </w:t>
            </w:r>
            <w:r w:rsidRPr="00A2253F">
              <w:rPr>
                <w:rFonts w:ascii="Verdana" w:hAnsi="Verdana"/>
              </w:rPr>
              <w:t>los</w:t>
            </w:r>
            <w:r w:rsidRPr="00A2253F">
              <w:rPr>
                <w:rFonts w:ascii="Verdana" w:hAnsi="Verdana"/>
                <w:spacing w:val="-2"/>
              </w:rPr>
              <w:t xml:space="preserve"> </w:t>
            </w:r>
            <w:r w:rsidRPr="00A2253F">
              <w:rPr>
                <w:rFonts w:ascii="Verdana" w:hAnsi="Verdana"/>
              </w:rPr>
              <w:t>convenios</w:t>
            </w:r>
            <w:r w:rsidRPr="00A2253F">
              <w:rPr>
                <w:rFonts w:ascii="Verdana" w:hAnsi="Verdana"/>
                <w:spacing w:val="40"/>
              </w:rPr>
              <w:t xml:space="preserve"> </w:t>
            </w:r>
            <w:r w:rsidRPr="00A2253F">
              <w:rPr>
                <w:rFonts w:ascii="Verdana" w:hAnsi="Verdana"/>
              </w:rPr>
              <w:t>marco</w:t>
            </w:r>
            <w:r w:rsidRPr="00A2253F">
              <w:rPr>
                <w:rFonts w:ascii="Verdana" w:hAnsi="Verdana"/>
                <w:spacing w:val="-1"/>
              </w:rPr>
              <w:t xml:space="preserve"> </w:t>
            </w:r>
            <w:r w:rsidRPr="00A2253F">
              <w:rPr>
                <w:rFonts w:ascii="Verdana" w:hAnsi="Verdana"/>
              </w:rPr>
              <w:t>y</w:t>
            </w:r>
            <w:r w:rsidRPr="00A2253F">
              <w:rPr>
                <w:rFonts w:ascii="Verdana" w:hAnsi="Verdana"/>
                <w:spacing w:val="40"/>
              </w:rPr>
              <w:t xml:space="preserve"> </w:t>
            </w:r>
            <w:r w:rsidRPr="00A2253F">
              <w:rPr>
                <w:rFonts w:ascii="Verdana" w:hAnsi="Verdana"/>
              </w:rPr>
              <w:t>los</w:t>
            </w:r>
            <w:r w:rsidRPr="00A2253F">
              <w:rPr>
                <w:rFonts w:ascii="Verdana" w:hAnsi="Verdana"/>
                <w:spacing w:val="-2"/>
              </w:rPr>
              <w:t xml:space="preserve"> </w:t>
            </w:r>
            <w:r w:rsidRPr="00A2253F">
              <w:rPr>
                <w:rFonts w:ascii="Verdana" w:hAnsi="Verdana"/>
              </w:rPr>
              <w:t>convenios</w:t>
            </w:r>
            <w:r w:rsidRPr="00A2253F">
              <w:rPr>
                <w:rFonts w:ascii="Verdana" w:hAnsi="Verdana"/>
                <w:spacing w:val="40"/>
              </w:rPr>
              <w:t xml:space="preserve"> </w:t>
            </w:r>
            <w:r w:rsidRPr="00A2253F">
              <w:rPr>
                <w:rFonts w:ascii="Verdana" w:hAnsi="Verdana"/>
              </w:rPr>
              <w:t>de</w:t>
            </w:r>
            <w:r w:rsidRPr="00A2253F">
              <w:rPr>
                <w:rFonts w:ascii="Verdana" w:hAnsi="Verdana"/>
                <w:spacing w:val="40"/>
              </w:rPr>
              <w:t xml:space="preserve"> </w:t>
            </w:r>
            <w:r w:rsidRPr="00A2253F">
              <w:rPr>
                <w:rFonts w:ascii="Verdana" w:hAnsi="Verdana"/>
              </w:rPr>
              <w:t>simple colaboración no necesariamente se rigen por la Ley 80. Sin embargo, incluso en estos casos, es recomendable realizar estudios previos.</w:t>
            </w:r>
            <w:r w:rsidRPr="00A2253F">
              <w:rPr>
                <w:rFonts w:ascii="Verdana" w:hAnsi="Verdana"/>
                <w:spacing w:val="-4"/>
              </w:rPr>
              <w:t xml:space="preserve"> </w:t>
            </w:r>
            <w:r w:rsidRPr="00A2253F">
              <w:rPr>
                <w:rFonts w:ascii="Verdana" w:hAnsi="Verdana"/>
              </w:rPr>
              <w:t>Estos documentos permiten evaluar la conveniencia y oportunidad del contrato o convenio, así como su adecuación a los planes y necesidades de las entidades involucradas.</w:t>
            </w:r>
          </w:p>
          <w:p w14:paraId="57CDC49F" w14:textId="77777777" w:rsidR="00A2253F" w:rsidRPr="00A2253F" w:rsidRDefault="00A2253F" w:rsidP="00A2253F">
            <w:pPr>
              <w:pStyle w:val="Prrafodelista"/>
              <w:widowControl w:val="0"/>
              <w:tabs>
                <w:tab w:val="left" w:pos="825"/>
              </w:tabs>
              <w:autoSpaceDE w:val="0"/>
              <w:autoSpaceDN w:val="0"/>
              <w:spacing w:line="237" w:lineRule="auto"/>
              <w:ind w:left="825" w:right="1099"/>
              <w:contextualSpacing w:val="0"/>
              <w:jc w:val="both"/>
              <w:rPr>
                <w:rFonts w:ascii="Verdana" w:hAnsi="Verdana"/>
              </w:rPr>
            </w:pPr>
          </w:p>
          <w:p w14:paraId="755E00B9" w14:textId="1CA90232" w:rsidR="00A2253F" w:rsidRPr="00A2253F" w:rsidRDefault="00A2253F" w:rsidP="00A2253F">
            <w:pPr>
              <w:pStyle w:val="Textoindependiente"/>
              <w:spacing w:line="276" w:lineRule="auto"/>
              <w:ind w:left="369" w:right="1097"/>
              <w:jc w:val="both"/>
              <w:rPr>
                <w:rFonts w:ascii="Verdana" w:hAnsi="Verdana"/>
              </w:rPr>
            </w:pPr>
            <w:r w:rsidRPr="00A2253F">
              <w:rPr>
                <w:rFonts w:ascii="Verdana" w:hAnsi="Verdana"/>
              </w:rPr>
              <w:t xml:space="preserve"> </w:t>
            </w:r>
            <w:r w:rsidRPr="00A2253F">
              <w:rPr>
                <w:rFonts w:ascii="Verdana" w:hAnsi="Verdana"/>
              </w:rPr>
              <w:t>Se debe tener claro que la realización de estudios previos es esencial para tomar</w:t>
            </w:r>
            <w:r w:rsidRPr="00A2253F">
              <w:rPr>
                <w:rFonts w:ascii="Verdana" w:hAnsi="Verdana"/>
              </w:rPr>
              <w:t xml:space="preserve"> </w:t>
            </w:r>
            <w:r w:rsidRPr="00A2253F">
              <w:rPr>
                <w:rFonts w:ascii="Verdana" w:hAnsi="Verdana"/>
              </w:rPr>
              <w:t>decisiones informadas y garantizar que los convenios y contratos se ajusten</w:t>
            </w:r>
            <w:r w:rsidRPr="00A2253F">
              <w:rPr>
                <w:rFonts w:ascii="Verdana" w:hAnsi="Verdana"/>
                <w:spacing w:val="-20"/>
              </w:rPr>
              <w:t xml:space="preserve"> </w:t>
            </w:r>
            <w:r w:rsidRPr="00A2253F">
              <w:rPr>
                <w:rFonts w:ascii="Verdana" w:hAnsi="Verdana"/>
              </w:rPr>
              <w:t>a</w:t>
            </w:r>
            <w:r w:rsidRPr="00A2253F">
              <w:rPr>
                <w:rFonts w:ascii="Verdana" w:hAnsi="Verdana"/>
                <w:spacing w:val="-19"/>
              </w:rPr>
              <w:t xml:space="preserve"> </w:t>
            </w:r>
            <w:r w:rsidRPr="00A2253F">
              <w:rPr>
                <w:rFonts w:ascii="Verdana" w:hAnsi="Verdana"/>
              </w:rPr>
              <w:t>los</w:t>
            </w:r>
            <w:r w:rsidRPr="00A2253F">
              <w:rPr>
                <w:rFonts w:ascii="Verdana" w:hAnsi="Verdana"/>
                <w:spacing w:val="-19"/>
              </w:rPr>
              <w:t xml:space="preserve"> </w:t>
            </w:r>
            <w:r w:rsidRPr="00A2253F">
              <w:rPr>
                <w:rFonts w:ascii="Verdana" w:hAnsi="Verdana"/>
              </w:rPr>
              <w:t>principios</w:t>
            </w:r>
            <w:r w:rsidRPr="00A2253F">
              <w:rPr>
                <w:rFonts w:ascii="Verdana" w:hAnsi="Verdana"/>
                <w:spacing w:val="-20"/>
              </w:rPr>
              <w:t xml:space="preserve"> </w:t>
            </w:r>
            <w:r w:rsidRPr="00A2253F">
              <w:rPr>
                <w:rFonts w:ascii="Verdana" w:hAnsi="Verdana"/>
              </w:rPr>
              <w:t>de</w:t>
            </w:r>
            <w:r w:rsidRPr="00A2253F">
              <w:rPr>
                <w:rFonts w:ascii="Verdana" w:hAnsi="Verdana"/>
                <w:spacing w:val="-19"/>
              </w:rPr>
              <w:t xml:space="preserve"> </w:t>
            </w:r>
            <w:r w:rsidRPr="00A2253F">
              <w:rPr>
                <w:rFonts w:ascii="Verdana" w:hAnsi="Verdana"/>
              </w:rPr>
              <w:t>responsabilidad</w:t>
            </w:r>
            <w:r w:rsidRPr="00A2253F">
              <w:rPr>
                <w:rFonts w:ascii="Verdana" w:hAnsi="Verdana"/>
                <w:spacing w:val="-20"/>
              </w:rPr>
              <w:t xml:space="preserve"> </w:t>
            </w:r>
            <w:r w:rsidRPr="00A2253F">
              <w:rPr>
                <w:rFonts w:ascii="Verdana" w:hAnsi="Verdana"/>
              </w:rPr>
              <w:t>y</w:t>
            </w:r>
            <w:r w:rsidRPr="00A2253F">
              <w:rPr>
                <w:rFonts w:ascii="Verdana" w:hAnsi="Verdana"/>
                <w:spacing w:val="-19"/>
              </w:rPr>
              <w:t xml:space="preserve"> </w:t>
            </w:r>
            <w:r w:rsidRPr="00A2253F">
              <w:rPr>
                <w:rFonts w:ascii="Verdana" w:hAnsi="Verdana"/>
              </w:rPr>
              <w:t>transparencia</w:t>
            </w:r>
            <w:r w:rsidRPr="00A2253F">
              <w:rPr>
                <w:rFonts w:ascii="Verdana" w:hAnsi="Verdana"/>
                <w:spacing w:val="-19"/>
              </w:rPr>
              <w:t xml:space="preserve"> </w:t>
            </w:r>
            <w:r w:rsidRPr="00A2253F">
              <w:rPr>
                <w:rFonts w:ascii="Verdana" w:hAnsi="Verdana"/>
              </w:rPr>
              <w:t>en</w:t>
            </w:r>
            <w:r w:rsidRPr="00A2253F">
              <w:rPr>
                <w:rFonts w:ascii="Verdana" w:hAnsi="Verdana"/>
                <w:spacing w:val="-20"/>
              </w:rPr>
              <w:t xml:space="preserve"> </w:t>
            </w:r>
            <w:r w:rsidRPr="00A2253F">
              <w:rPr>
                <w:rFonts w:ascii="Verdana" w:hAnsi="Verdana"/>
              </w:rPr>
              <w:t>la</w:t>
            </w:r>
            <w:r w:rsidRPr="00A2253F">
              <w:rPr>
                <w:rFonts w:ascii="Verdana" w:hAnsi="Verdana"/>
                <w:spacing w:val="-19"/>
              </w:rPr>
              <w:t xml:space="preserve"> </w:t>
            </w:r>
            <w:r w:rsidRPr="00A2253F">
              <w:rPr>
                <w:rFonts w:ascii="Verdana" w:hAnsi="Verdana"/>
              </w:rPr>
              <w:t xml:space="preserve">administración </w:t>
            </w:r>
            <w:r w:rsidRPr="00A2253F">
              <w:rPr>
                <w:rFonts w:ascii="Verdana" w:hAnsi="Verdana"/>
                <w:spacing w:val="-2"/>
              </w:rPr>
              <w:t>pública.</w:t>
            </w:r>
          </w:p>
          <w:p w14:paraId="7127AB84" w14:textId="77777777" w:rsidR="00A2253F" w:rsidRDefault="00A2253F" w:rsidP="00A2253F">
            <w:pPr>
              <w:pStyle w:val="Prrafodelista"/>
              <w:widowControl w:val="0"/>
              <w:tabs>
                <w:tab w:val="left" w:pos="825"/>
              </w:tabs>
              <w:autoSpaceDE w:val="0"/>
              <w:autoSpaceDN w:val="0"/>
              <w:spacing w:line="235" w:lineRule="auto"/>
              <w:ind w:left="545" w:right="1097"/>
              <w:contextualSpacing w:val="0"/>
              <w:jc w:val="both"/>
            </w:pPr>
          </w:p>
          <w:p w14:paraId="28830524" w14:textId="54C6825E" w:rsidR="00A2253F" w:rsidRPr="008A48B1" w:rsidRDefault="00A2253F" w:rsidP="00A2253F">
            <w:pPr>
              <w:spacing w:line="276" w:lineRule="auto"/>
              <w:jc w:val="both"/>
              <w:rPr>
                <w:rFonts w:ascii="Verdana" w:eastAsia="Calibri" w:hAnsi="Verdana" w:cs="Arial"/>
                <w:lang w:val="es-ES"/>
              </w:rPr>
            </w:pPr>
          </w:p>
        </w:tc>
      </w:tr>
    </w:tbl>
    <w:p w14:paraId="6991C7AE" w14:textId="77777777" w:rsidR="001B0FB6" w:rsidRPr="008A48B1" w:rsidRDefault="001B0FB6" w:rsidP="001B0FB6">
      <w:pPr>
        <w:tabs>
          <w:tab w:val="left" w:pos="142"/>
          <w:tab w:val="left" w:pos="284"/>
        </w:tabs>
        <w:spacing w:after="0" w:line="276" w:lineRule="auto"/>
        <w:jc w:val="both"/>
        <w:rPr>
          <w:rFonts w:ascii="Verdana" w:eastAsia="Century Gothic" w:hAnsi="Verdana" w:cs="Century Gothic"/>
          <w:b/>
          <w:bCs/>
          <w:lang w:val="es-ES"/>
        </w:rPr>
      </w:pPr>
    </w:p>
    <w:p w14:paraId="18A6513B" w14:textId="77777777" w:rsidR="001B0FB6" w:rsidRPr="008A48B1" w:rsidRDefault="001B0FB6" w:rsidP="001B0FB6">
      <w:pPr>
        <w:tabs>
          <w:tab w:val="left" w:pos="142"/>
          <w:tab w:val="left" w:pos="284"/>
        </w:tabs>
        <w:spacing w:after="0" w:line="276" w:lineRule="auto"/>
        <w:jc w:val="both"/>
        <w:rPr>
          <w:rFonts w:ascii="Verdana" w:eastAsia="Century Gothic" w:hAnsi="Verdana" w:cs="Century Gothic"/>
          <w:b/>
          <w:bCs/>
          <w:lang w:val="es-ES"/>
        </w:rPr>
      </w:pPr>
    </w:p>
    <w:p w14:paraId="3F86F0F1" w14:textId="77777777" w:rsidR="001B0FB6" w:rsidRPr="008A48B1" w:rsidRDefault="001B0FB6" w:rsidP="001B0FB6">
      <w:pPr>
        <w:numPr>
          <w:ilvl w:val="0"/>
          <w:numId w:val="9"/>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8A48B1">
        <w:rPr>
          <w:rFonts w:ascii="Verdana" w:eastAsia="Century Gothic" w:hAnsi="Verdana" w:cs="Century Gothic"/>
          <w:b/>
          <w:bCs/>
          <w:lang w:val="es-ES"/>
        </w:rPr>
        <w:t>Razones de la respuesta:</w:t>
      </w:r>
    </w:p>
    <w:p w14:paraId="36D62358" w14:textId="77777777" w:rsidR="001B0FB6" w:rsidRPr="008A48B1" w:rsidRDefault="001B0FB6" w:rsidP="001B0FB6">
      <w:pPr>
        <w:spacing w:after="0" w:line="276" w:lineRule="auto"/>
        <w:jc w:val="both"/>
        <w:rPr>
          <w:rFonts w:ascii="Verdana" w:eastAsia="Calibri" w:hAnsi="Verdana" w:cs="Arial"/>
          <w:lang w:val="es-ES"/>
        </w:rPr>
      </w:pPr>
    </w:p>
    <w:p w14:paraId="5016BFFC" w14:textId="77777777" w:rsidR="001B0FB6" w:rsidRPr="008A48B1" w:rsidRDefault="001B0FB6" w:rsidP="001B0FB6">
      <w:pPr>
        <w:spacing w:after="0" w:line="276" w:lineRule="auto"/>
        <w:jc w:val="both"/>
        <w:rPr>
          <w:rFonts w:ascii="Verdana" w:eastAsia="Calibri" w:hAnsi="Verdana" w:cs="Arial"/>
          <w:lang w:val="es-ES"/>
        </w:rPr>
      </w:pPr>
      <w:r w:rsidRPr="008A48B1">
        <w:rPr>
          <w:rFonts w:ascii="Verdana" w:eastAsia="Calibri" w:hAnsi="Verdana" w:cs="Arial"/>
          <w:lang w:val="es-ES"/>
        </w:rPr>
        <w:t xml:space="preserve">Lo anterior se sustenta en las siguientes consideraciones: </w:t>
      </w:r>
    </w:p>
    <w:p w14:paraId="13CFF84C" w14:textId="77777777" w:rsidR="001B0FB6" w:rsidRPr="008A48B1" w:rsidRDefault="001B0FB6" w:rsidP="001B0FB6">
      <w:pPr>
        <w:spacing w:after="0" w:line="276" w:lineRule="auto"/>
        <w:jc w:val="both"/>
        <w:rPr>
          <w:rFonts w:ascii="Verdana" w:eastAsia="Calibri" w:hAnsi="Verdana" w:cs="Arial"/>
          <w:lang w:val="es-ES"/>
        </w:rPr>
      </w:pPr>
    </w:p>
    <w:p w14:paraId="2C75359B" w14:textId="77777777" w:rsidR="001B0FB6" w:rsidRPr="008A48B1" w:rsidRDefault="001B0FB6" w:rsidP="001B0FB6">
      <w:pPr>
        <w:numPr>
          <w:ilvl w:val="0"/>
          <w:numId w:val="18"/>
        </w:numPr>
        <w:spacing w:after="0" w:line="276" w:lineRule="auto"/>
        <w:contextualSpacing/>
        <w:jc w:val="both"/>
        <w:rPr>
          <w:rFonts w:ascii="Verdana" w:eastAsia="Calibri" w:hAnsi="Verdana" w:cs="Arial"/>
          <w:lang w:val="es-ES"/>
        </w:rPr>
      </w:pPr>
      <w:r w:rsidRPr="008A48B1">
        <w:rPr>
          <w:rFonts w:ascii="Verdana" w:eastAsia="Calibri" w:hAnsi="Verdana" w:cs="Arial"/>
          <w:lang w:val="es-ES"/>
        </w:rPr>
        <w:t>El Decreto 1082 de 2015</w:t>
      </w:r>
      <w:r w:rsidRPr="008A48B1">
        <w:rPr>
          <w:rFonts w:ascii="Verdana" w:eastAsia="Calibri" w:hAnsi="Verdana" w:cs="Arial"/>
          <w:vertAlign w:val="superscript"/>
          <w:lang w:val="es-ES"/>
        </w:rPr>
        <w:footnoteReference w:id="2"/>
      </w:r>
      <w:r w:rsidRPr="008A48B1">
        <w:rPr>
          <w:rFonts w:ascii="Verdana" w:eastAsia="Calibri" w:hAnsi="Verdana" w:cs="Arial"/>
          <w:lang w:val="es-ES"/>
        </w:rPr>
        <w:t xml:space="preserve"> establece que los convenios o contratos interadministrativos son aquellos acuerdos celebrados entre dos o más entidades estatales. Estas entidades pueden ser personas jurídicas de derecho público. La finalidad de estos convenios es cumplir con los objetivos misionales y competencias de las entidades involucradas, en línea con los fines del Estado. En otras palabras, los contratos o convenios interadministrativos se basan en un criterio orgánico, requiriendo que ambas partes sean entidades estatales.</w:t>
      </w:r>
    </w:p>
    <w:p w14:paraId="2796456A" w14:textId="77777777" w:rsidR="001B0FB6" w:rsidRPr="008A48B1" w:rsidRDefault="001B0FB6" w:rsidP="001B0FB6">
      <w:pPr>
        <w:spacing w:after="0" w:line="276" w:lineRule="auto"/>
        <w:ind w:left="720"/>
        <w:contextualSpacing/>
        <w:jc w:val="both"/>
        <w:rPr>
          <w:rFonts w:ascii="Verdana" w:eastAsia="Calibri" w:hAnsi="Verdana" w:cs="Arial"/>
          <w:lang w:val="es-ES"/>
        </w:rPr>
      </w:pPr>
    </w:p>
    <w:p w14:paraId="4AF1BFA2" w14:textId="77777777" w:rsidR="001B0FB6" w:rsidRPr="008A48B1" w:rsidRDefault="001B0FB6" w:rsidP="001B0FB6">
      <w:pPr>
        <w:numPr>
          <w:ilvl w:val="0"/>
          <w:numId w:val="18"/>
        </w:numPr>
        <w:spacing w:after="0" w:line="276" w:lineRule="auto"/>
        <w:contextualSpacing/>
        <w:jc w:val="both"/>
        <w:rPr>
          <w:rFonts w:ascii="Verdana" w:eastAsia="Calibri" w:hAnsi="Verdana" w:cs="Arial"/>
          <w:lang w:val="es-ES"/>
        </w:rPr>
      </w:pPr>
      <w:r w:rsidRPr="008A48B1">
        <w:rPr>
          <w:rFonts w:ascii="Verdana" w:eastAsia="Calibri" w:hAnsi="Verdana" w:cs="Arial"/>
          <w:lang w:val="es-ES"/>
        </w:rPr>
        <w:t>Es importante destacar que, aunque la Ley 80 de 1993, la Ley 1150 de 2007 y el Decreto 1082 de 2015 prevén los contratos o convenios interadministrativos, no están limitados exclusivamente a entidades estatales que apliquen el régimen de contratación establecido en esas normas. Incluso una entidad estatal sujeta a la Ley 80 de 1993 puede celebrar este tipo de convenios con una entidad estatal de régimen especial, sin que ello afecte su naturaleza como contrato o convenio interadministrativo.</w:t>
      </w:r>
    </w:p>
    <w:p w14:paraId="375198AC" w14:textId="77777777" w:rsidR="001B0FB6" w:rsidRPr="008A48B1" w:rsidRDefault="001B0FB6" w:rsidP="001B0FB6">
      <w:pPr>
        <w:ind w:left="720"/>
        <w:contextualSpacing/>
        <w:rPr>
          <w:rFonts w:ascii="Verdana" w:eastAsia="Calibri" w:hAnsi="Verdana" w:cs="Arial"/>
          <w:lang w:val="es-ES"/>
        </w:rPr>
      </w:pPr>
    </w:p>
    <w:p w14:paraId="505ACAC3" w14:textId="77777777" w:rsidR="001B0FB6" w:rsidRPr="008A48B1" w:rsidRDefault="001B0FB6" w:rsidP="001B0FB6">
      <w:pPr>
        <w:numPr>
          <w:ilvl w:val="0"/>
          <w:numId w:val="18"/>
        </w:numPr>
        <w:spacing w:after="0" w:line="276" w:lineRule="auto"/>
        <w:contextualSpacing/>
        <w:jc w:val="both"/>
        <w:rPr>
          <w:rFonts w:ascii="Verdana" w:eastAsia="Calibri" w:hAnsi="Verdana" w:cs="Arial"/>
          <w:lang w:val="es-ES"/>
        </w:rPr>
      </w:pPr>
      <w:r w:rsidRPr="008A48B1">
        <w:rPr>
          <w:rFonts w:ascii="Verdana" w:eastAsia="Calibri" w:hAnsi="Verdana" w:cs="Arial"/>
          <w:lang w:val="es-ES"/>
        </w:rPr>
        <w:t>Según la Ley 1150 de 2007</w:t>
      </w:r>
      <w:r w:rsidRPr="008A48B1">
        <w:rPr>
          <w:rFonts w:ascii="Verdana" w:eastAsia="Calibri" w:hAnsi="Verdana" w:cs="Arial"/>
          <w:vertAlign w:val="superscript"/>
          <w:lang w:val="es-ES"/>
        </w:rPr>
        <w:footnoteReference w:id="3"/>
      </w:r>
      <w:r w:rsidRPr="008A48B1">
        <w:rPr>
          <w:rFonts w:ascii="Verdana" w:eastAsia="Calibri" w:hAnsi="Verdana" w:cs="Arial"/>
          <w:lang w:val="es-ES"/>
        </w:rPr>
        <w:t>, un contrato o convenio interadministrativo no está determinado por la modalidad de selección utilizada para celebrarlo. Pueden celebrarse directamente siempre que las obligaciones derivadas del mismo tengan relación directa con el objeto de la entidad ejecutora, tal como se establece en la ley o en sus reglamentos. Sin embargo, existen excepciones en las que se debe adelantar un procedimiento con pluralidad de oferentes. En resumen, lo que varía es la modalidad de selección, no la naturaleza del contrato interadministrativo.</w:t>
      </w:r>
    </w:p>
    <w:p w14:paraId="4621713B" w14:textId="77777777" w:rsidR="001B0FB6" w:rsidRPr="008A48B1" w:rsidRDefault="001B0FB6" w:rsidP="001B0FB6">
      <w:pPr>
        <w:ind w:left="720"/>
        <w:contextualSpacing/>
        <w:rPr>
          <w:rFonts w:ascii="Verdana" w:eastAsia="Calibri" w:hAnsi="Verdana" w:cs="Arial"/>
          <w:lang w:val="es-ES"/>
        </w:rPr>
      </w:pPr>
    </w:p>
    <w:p w14:paraId="0C01CED6" w14:textId="77777777" w:rsidR="001B0FB6" w:rsidRPr="008A48B1" w:rsidRDefault="001B0FB6" w:rsidP="001B0FB6">
      <w:pPr>
        <w:numPr>
          <w:ilvl w:val="0"/>
          <w:numId w:val="18"/>
        </w:numPr>
        <w:spacing w:after="0" w:line="276" w:lineRule="auto"/>
        <w:contextualSpacing/>
        <w:jc w:val="both"/>
        <w:rPr>
          <w:rFonts w:ascii="Verdana" w:eastAsia="Calibri" w:hAnsi="Verdana" w:cs="Arial"/>
          <w:lang w:val="es-ES"/>
        </w:rPr>
      </w:pPr>
      <w:r w:rsidRPr="008A48B1">
        <w:rPr>
          <w:rFonts w:ascii="Verdana" w:eastAsia="Calibri" w:hAnsi="Verdana" w:cs="Arial"/>
          <w:lang w:val="es-ES"/>
        </w:rPr>
        <w:t xml:space="preserve">La Corte Constitucional expresó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w:t>
      </w:r>
    </w:p>
    <w:p w14:paraId="3C689885" w14:textId="77777777" w:rsidR="001B0FB6" w:rsidRPr="008A48B1" w:rsidRDefault="001B0FB6" w:rsidP="001B0FB6">
      <w:pPr>
        <w:ind w:left="720"/>
        <w:contextualSpacing/>
        <w:rPr>
          <w:rFonts w:ascii="Verdana" w:eastAsia="Calibri" w:hAnsi="Verdana" w:cs="Arial"/>
          <w:lang w:val="es-ES"/>
        </w:rPr>
      </w:pPr>
    </w:p>
    <w:p w14:paraId="13B009AD" w14:textId="77777777" w:rsidR="001B0FB6" w:rsidRPr="008A48B1" w:rsidRDefault="001B0FB6" w:rsidP="001B0FB6">
      <w:pPr>
        <w:numPr>
          <w:ilvl w:val="0"/>
          <w:numId w:val="18"/>
        </w:numPr>
        <w:spacing w:after="0" w:line="276" w:lineRule="auto"/>
        <w:contextualSpacing/>
        <w:jc w:val="both"/>
        <w:rPr>
          <w:rFonts w:ascii="Verdana" w:eastAsia="Calibri" w:hAnsi="Verdana" w:cs="Arial"/>
          <w:lang w:val="es-ES"/>
        </w:rPr>
      </w:pPr>
      <w:r w:rsidRPr="008A48B1">
        <w:rPr>
          <w:rFonts w:ascii="Verdana" w:eastAsia="Calibri" w:hAnsi="Verdana" w:cs="Arial"/>
          <w:lang w:val="es-ES"/>
        </w:rPr>
        <w:t xml:space="preserve">Así las cosas, esta clase de acuerdos de voluntades se definen por un criterio orgánico, por lo que uno de sus elementos esenciales es que en los extremos de la relación jurídico negocial concurran personas de </w:t>
      </w:r>
      <w:r w:rsidRPr="008A48B1">
        <w:rPr>
          <w:rFonts w:ascii="Verdana" w:eastAsia="Calibri" w:hAnsi="Verdana" w:cs="Arial"/>
          <w:lang w:val="es-ES"/>
        </w:rPr>
        <w:lastRenderedPageBreak/>
        <w:t>derecho público. Adicionalmente, el Consejo de Estado ha indicado, frente al convenio interadministrativo y sus características, que:</w:t>
      </w:r>
    </w:p>
    <w:p w14:paraId="636FDFC7" w14:textId="77777777" w:rsidR="001B0FB6" w:rsidRPr="008A48B1" w:rsidRDefault="001B0FB6" w:rsidP="001B0FB6">
      <w:pPr>
        <w:spacing w:after="0" w:line="276" w:lineRule="auto"/>
        <w:jc w:val="both"/>
        <w:rPr>
          <w:rFonts w:ascii="Verdana" w:eastAsia="Calibri" w:hAnsi="Verdana" w:cs="Arial"/>
          <w:lang w:val="es-ES"/>
        </w:rPr>
      </w:pPr>
    </w:p>
    <w:p w14:paraId="55E8BC65" w14:textId="77777777" w:rsidR="001B0FB6" w:rsidRPr="008A48B1" w:rsidRDefault="001B0FB6" w:rsidP="001B0FB6">
      <w:pPr>
        <w:spacing w:after="0" w:line="276" w:lineRule="auto"/>
        <w:ind w:left="1134" w:right="474"/>
        <w:contextualSpacing/>
        <w:jc w:val="both"/>
        <w:rPr>
          <w:rFonts w:ascii="Verdana" w:eastAsia="Calibri" w:hAnsi="Verdana" w:cs="Arial"/>
          <w:sz w:val="21"/>
          <w:szCs w:val="21"/>
          <w:lang w:val="es-ES"/>
        </w:rPr>
      </w:pPr>
      <w:r w:rsidRPr="008A48B1">
        <w:rPr>
          <w:rFonts w:ascii="Verdana" w:eastAsia="Calibri" w:hAnsi="Verdana" w:cs="Arial"/>
          <w:sz w:val="21"/>
          <w:szCs w:val="21"/>
          <w:lang w:val="es-ES"/>
        </w:rPr>
        <w:t>“[…] se puede señalar que los convenios o contratos interadministrativos tienen como características principales las siguientes: (i) constituyen verdaderos contratos en los términos del Código de Comercio cuando su objeto lo constituyen obligaciones patrimoniales; (ii) tienen como fuente la autonomía contractual; (iii) son contratos nominados puesto que están mencionados en la ley; (iv)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(vii) persiguen  una finalidad común a través de la realización de intereses compartidos entre las entidades vinculadas; (viii) la acción mediante la cual se deben ventilar las diferencias que sobre el particular surjan es la de controversias contractuales</w:t>
      </w:r>
      <w:r w:rsidRPr="008A48B1">
        <w:rPr>
          <w:rFonts w:ascii="Verdana" w:eastAsia="Calibri" w:hAnsi="Verdana" w:cs="Arial"/>
          <w:sz w:val="21"/>
          <w:szCs w:val="21"/>
          <w:vertAlign w:val="superscript"/>
          <w:lang w:val="es-ES"/>
        </w:rPr>
        <w:footnoteReference w:id="4"/>
      </w:r>
      <w:r w:rsidRPr="008A48B1">
        <w:rPr>
          <w:rFonts w:ascii="Verdana" w:eastAsia="Calibri" w:hAnsi="Verdana" w:cs="Arial"/>
          <w:sz w:val="21"/>
          <w:szCs w:val="21"/>
          <w:lang w:val="es-ES"/>
        </w:rPr>
        <w:t>”</w:t>
      </w:r>
    </w:p>
    <w:p w14:paraId="5C904622" w14:textId="77777777" w:rsidR="001B0FB6" w:rsidRPr="008A48B1" w:rsidRDefault="001B0FB6" w:rsidP="001B0FB6">
      <w:pPr>
        <w:spacing w:after="0" w:line="276" w:lineRule="auto"/>
        <w:ind w:left="1416"/>
        <w:contextualSpacing/>
        <w:jc w:val="both"/>
        <w:rPr>
          <w:rFonts w:ascii="Verdana" w:eastAsia="Calibri" w:hAnsi="Verdana" w:cs="Arial"/>
          <w:sz w:val="21"/>
          <w:szCs w:val="21"/>
          <w:lang w:val="es-ES"/>
        </w:rPr>
      </w:pPr>
    </w:p>
    <w:p w14:paraId="25DF5F38" w14:textId="77777777" w:rsidR="001B0FB6" w:rsidRPr="008A48B1" w:rsidRDefault="001B0FB6" w:rsidP="001B0FB6">
      <w:pPr>
        <w:numPr>
          <w:ilvl w:val="0"/>
          <w:numId w:val="21"/>
        </w:numPr>
        <w:tabs>
          <w:tab w:val="left" w:pos="142"/>
          <w:tab w:val="left" w:pos="284"/>
        </w:tabs>
        <w:spacing w:after="0" w:line="276" w:lineRule="auto"/>
        <w:contextualSpacing/>
        <w:jc w:val="both"/>
        <w:rPr>
          <w:rFonts w:ascii="Verdana" w:eastAsia="Calibri" w:hAnsi="Verdana" w:cs="Arial"/>
          <w:lang w:val="es-ES"/>
        </w:rPr>
      </w:pPr>
      <w:r w:rsidRPr="008A48B1">
        <w:rPr>
          <w:rFonts w:ascii="Verdana" w:eastAsia="Calibri" w:hAnsi="Verdana" w:cs="Arial"/>
          <w:lang w:val="es-ES"/>
        </w:rPr>
        <w:t>Los convenios interadministrativos se caracterizan por los sujetos involucrados y la modalidad de selección permitida para su celebración. A diferencia de otros tipos de contratos, en los convenios interadministrativos, los sujetos no están restringidos a una cualificación particular y pueden aplicar diferentes modalidades de selección.</w:t>
      </w:r>
    </w:p>
    <w:p w14:paraId="0554AB28" w14:textId="77777777" w:rsidR="001B0FB6" w:rsidRPr="008A48B1" w:rsidRDefault="001B0FB6" w:rsidP="001B0FB6">
      <w:pPr>
        <w:tabs>
          <w:tab w:val="left" w:pos="142"/>
          <w:tab w:val="left" w:pos="284"/>
        </w:tabs>
        <w:spacing w:after="0" w:line="276" w:lineRule="auto"/>
        <w:ind w:left="720"/>
        <w:contextualSpacing/>
        <w:jc w:val="both"/>
        <w:rPr>
          <w:rFonts w:ascii="Verdana" w:eastAsia="Calibri" w:hAnsi="Verdana" w:cs="Arial"/>
          <w:lang w:val="es-ES"/>
        </w:rPr>
      </w:pPr>
    </w:p>
    <w:p w14:paraId="1C36DFC5" w14:textId="77777777" w:rsidR="001B0FB6" w:rsidRPr="008A48B1" w:rsidRDefault="001B0FB6" w:rsidP="001B0FB6">
      <w:pPr>
        <w:numPr>
          <w:ilvl w:val="0"/>
          <w:numId w:val="21"/>
        </w:numPr>
        <w:tabs>
          <w:tab w:val="left" w:pos="142"/>
          <w:tab w:val="left" w:pos="284"/>
        </w:tabs>
        <w:spacing w:after="0" w:line="276" w:lineRule="auto"/>
        <w:contextualSpacing/>
        <w:jc w:val="both"/>
        <w:rPr>
          <w:rFonts w:ascii="Verdana" w:eastAsia="Calibri" w:hAnsi="Verdana" w:cs="Arial"/>
          <w:lang w:val="es-ES"/>
        </w:rPr>
      </w:pPr>
      <w:r w:rsidRPr="008A48B1">
        <w:rPr>
          <w:rFonts w:ascii="Verdana" w:eastAsia="Calibri" w:hAnsi="Verdana" w:cs="Arial"/>
          <w:lang w:val="es-ES"/>
        </w:rPr>
        <w:t xml:space="preserve">El Estatuto General de Contratación de la Administración Pública (ECGAP) establece que la contratación directa es la modalidad de selección </w:t>
      </w:r>
      <w:r w:rsidRPr="008A48B1">
        <w:rPr>
          <w:rFonts w:ascii="Verdana" w:eastAsia="Calibri" w:hAnsi="Verdana" w:cs="Arial"/>
          <w:lang w:val="es-ES"/>
        </w:rPr>
        <w:lastRenderedPageBreak/>
        <w:t>aplicable, en general, para la celebración de contratos interadministrativos.</w:t>
      </w:r>
    </w:p>
    <w:p w14:paraId="003351ED" w14:textId="77777777" w:rsidR="001B0FB6" w:rsidRPr="008A48B1" w:rsidRDefault="001B0FB6" w:rsidP="001B0FB6">
      <w:pPr>
        <w:ind w:left="720"/>
        <w:contextualSpacing/>
        <w:rPr>
          <w:rFonts w:ascii="Verdana" w:eastAsia="Calibri" w:hAnsi="Verdana" w:cs="Arial"/>
          <w:lang w:val="es-ES"/>
        </w:rPr>
      </w:pPr>
    </w:p>
    <w:p w14:paraId="4BDA9DE8" w14:textId="77777777" w:rsidR="001B0FB6" w:rsidRPr="008A48B1" w:rsidRDefault="001B0FB6" w:rsidP="001B0FB6">
      <w:pPr>
        <w:widowControl w:val="0"/>
        <w:numPr>
          <w:ilvl w:val="0"/>
          <w:numId w:val="21"/>
        </w:numPr>
        <w:tabs>
          <w:tab w:val="left" w:pos="142"/>
          <w:tab w:val="left" w:pos="284"/>
        </w:tabs>
        <w:autoSpaceDE w:val="0"/>
        <w:autoSpaceDN w:val="0"/>
        <w:spacing w:after="0" w:line="276" w:lineRule="auto"/>
        <w:contextualSpacing/>
        <w:jc w:val="both"/>
        <w:rPr>
          <w:rFonts w:ascii="Verdana" w:eastAsia="Calibri" w:hAnsi="Verdana" w:cs="Arial"/>
        </w:rPr>
      </w:pPr>
      <w:r w:rsidRPr="008A48B1">
        <w:rPr>
          <w:rFonts w:ascii="Verdana" w:eastAsia="Calibri" w:hAnsi="Verdana" w:cs="Arial"/>
          <w:lang w:val="es-ES"/>
        </w:rPr>
        <w:t>Sin embargo, la ley no limita exclusivamente la celebración de estos contratos a la modalidad de contratación directa. Excepcionalmente, se pueden celebrar de manera directa cuando dos o más entidades estatales, con el propósito de materializar funciones administrativas de interés común, suscriben un negocio jurídico. Además, es posible que se celebren contratos interadministrativos mediante otras modalidades de selección previstas en la Ley 1150 de 2007, siempre que las partes involucradas sean entidades estatales.</w:t>
      </w:r>
    </w:p>
    <w:p w14:paraId="1CE89897" w14:textId="77777777" w:rsidR="001B0FB6" w:rsidRPr="008A48B1" w:rsidRDefault="001B0FB6" w:rsidP="001B0FB6">
      <w:pPr>
        <w:ind w:left="720"/>
        <w:contextualSpacing/>
        <w:rPr>
          <w:rFonts w:ascii="Verdana" w:eastAsia="Calibri" w:hAnsi="Verdana" w:cs="Arial"/>
        </w:rPr>
      </w:pPr>
    </w:p>
    <w:p w14:paraId="22328969" w14:textId="77777777" w:rsidR="001B0FB6" w:rsidRPr="008A48B1" w:rsidRDefault="001B0FB6" w:rsidP="001B0FB6">
      <w:pPr>
        <w:widowControl w:val="0"/>
        <w:numPr>
          <w:ilvl w:val="0"/>
          <w:numId w:val="21"/>
        </w:numPr>
        <w:tabs>
          <w:tab w:val="left" w:pos="142"/>
          <w:tab w:val="left" w:pos="284"/>
        </w:tabs>
        <w:autoSpaceDE w:val="0"/>
        <w:autoSpaceDN w:val="0"/>
        <w:spacing w:after="0" w:line="276" w:lineRule="auto"/>
        <w:contextualSpacing/>
        <w:jc w:val="both"/>
        <w:rPr>
          <w:rFonts w:ascii="Verdana" w:eastAsia="Calibri" w:hAnsi="Verdana" w:cs="Arial"/>
        </w:rPr>
      </w:pPr>
      <w:r w:rsidRPr="008A48B1">
        <w:rPr>
          <w:rFonts w:ascii="Verdana" w:eastAsia="Calibri" w:hAnsi="Verdana" w:cs="Arial"/>
        </w:rPr>
        <w:t xml:space="preserve">Además, es necesario tener en cuenta que para que un contrato o convenio interadministrativo exista, debe cumplir con los siguientes elementos: acuerdo sobre el objeto y la contraprestación, y que se eleve a escrito. Por otra parte, si bien actualmente el EGCAP hace referencia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07CE4F99" w14:textId="77777777" w:rsidR="001B0FB6" w:rsidRPr="008A48B1" w:rsidRDefault="001B0FB6" w:rsidP="001B0FB6">
      <w:pPr>
        <w:widowControl w:val="0"/>
        <w:tabs>
          <w:tab w:val="left" w:pos="142"/>
          <w:tab w:val="left" w:pos="284"/>
        </w:tabs>
        <w:autoSpaceDE w:val="0"/>
        <w:autoSpaceDN w:val="0"/>
        <w:spacing w:after="0" w:line="276" w:lineRule="auto"/>
        <w:jc w:val="both"/>
        <w:rPr>
          <w:rFonts w:ascii="Verdana" w:eastAsia="Calibri" w:hAnsi="Verdana" w:cs="Arial"/>
        </w:rPr>
      </w:pPr>
    </w:p>
    <w:p w14:paraId="10D05AE1" w14:textId="77777777" w:rsidR="001B0FB6" w:rsidRPr="008A48B1" w:rsidRDefault="001B0FB6" w:rsidP="001B0FB6">
      <w:pPr>
        <w:widowControl w:val="0"/>
        <w:numPr>
          <w:ilvl w:val="0"/>
          <w:numId w:val="21"/>
        </w:numPr>
        <w:tabs>
          <w:tab w:val="left" w:pos="142"/>
          <w:tab w:val="left" w:pos="284"/>
        </w:tabs>
        <w:autoSpaceDE w:val="0"/>
        <w:autoSpaceDN w:val="0"/>
        <w:spacing w:after="0" w:line="276" w:lineRule="auto"/>
        <w:contextualSpacing/>
        <w:jc w:val="both"/>
        <w:rPr>
          <w:rFonts w:ascii="Verdana" w:eastAsia="Calibri" w:hAnsi="Verdana" w:cs="Arial"/>
        </w:rPr>
      </w:pPr>
      <w:r w:rsidRPr="008A48B1">
        <w:rPr>
          <w:rFonts w:ascii="Verdana" w:eastAsia="Calibri" w:hAnsi="Verdana" w:cs="Arial"/>
        </w:rPr>
        <w:t xml:space="preserve">Por este motivo,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Es bueno destacar que el Decreto 1082 de 2015 dispone que los convenios o contratos interadministrativos, así denominados en su artículo 2.2.1.2.1.4.4, se contratan directamente, por lo que no hay lugar a dudas que representan lo mismo en la medida en que concurran entidades estatales en el acuerdo de voluntades. De este modo, es posible concluir </w:t>
      </w:r>
      <w:r w:rsidRPr="008A48B1">
        <w:rPr>
          <w:rFonts w:ascii="Verdana" w:eastAsia="Calibri" w:hAnsi="Verdana" w:cs="Arial"/>
        </w:rPr>
        <w:lastRenderedPageBreak/>
        <w:t>que en la contratación estatal no existen mayores diferencias entre convenio y contrato y, dando aplicación al derecho privado y a la definición contenida en el Código Civil, puede afirmarse que se trata de figuras equivalentes y que en el citado artículo se encuentra la modalidad que deben tener en cuenta las entidades para llevar a cabo la celebración de un convenio o contrato interadministrativo.</w:t>
      </w:r>
    </w:p>
    <w:p w14:paraId="243B295B" w14:textId="77777777" w:rsidR="001B0FB6" w:rsidRPr="008A48B1" w:rsidRDefault="001B0FB6" w:rsidP="001B0FB6">
      <w:pPr>
        <w:widowControl w:val="0"/>
        <w:tabs>
          <w:tab w:val="left" w:pos="142"/>
          <w:tab w:val="left" w:pos="284"/>
        </w:tabs>
        <w:autoSpaceDE w:val="0"/>
        <w:autoSpaceDN w:val="0"/>
        <w:spacing w:after="0" w:line="276" w:lineRule="auto"/>
        <w:jc w:val="both"/>
        <w:rPr>
          <w:rFonts w:ascii="Verdana" w:eastAsia="Calibri" w:hAnsi="Verdana" w:cs="Arial"/>
        </w:rPr>
      </w:pPr>
    </w:p>
    <w:p w14:paraId="0CAE43B4" w14:textId="77777777" w:rsidR="001B0FB6" w:rsidRPr="008A48B1" w:rsidRDefault="001B0FB6" w:rsidP="001B0FB6">
      <w:pPr>
        <w:widowControl w:val="0"/>
        <w:numPr>
          <w:ilvl w:val="0"/>
          <w:numId w:val="21"/>
        </w:numPr>
        <w:tabs>
          <w:tab w:val="left" w:pos="142"/>
          <w:tab w:val="left" w:pos="284"/>
        </w:tabs>
        <w:autoSpaceDE w:val="0"/>
        <w:autoSpaceDN w:val="0"/>
        <w:spacing w:after="0" w:line="276" w:lineRule="auto"/>
        <w:contextualSpacing/>
        <w:jc w:val="both"/>
        <w:rPr>
          <w:rFonts w:ascii="Verdana" w:eastAsia="Calibri" w:hAnsi="Verdana" w:cs="Arial"/>
        </w:rPr>
      </w:pPr>
      <w:r w:rsidRPr="008A48B1">
        <w:rPr>
          <w:rFonts w:ascii="Verdana" w:eastAsia="Calibri" w:hAnsi="Verdana" w:cs="Arial"/>
        </w:rPr>
        <w:t xml:space="preserve">En cuanto a la importancia de los estudios previos </w:t>
      </w:r>
      <w:r w:rsidRPr="008A48B1">
        <w:rPr>
          <w:rFonts w:ascii="Verdana" w:eastAsia="Calibri" w:hAnsi="Verdana" w:cs="Arial"/>
          <w:lang w:val="es-ES"/>
        </w:rPr>
        <w:t>se puede decir que  su deficiencia o ausencia, “genera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sidRPr="008A48B1">
        <w:rPr>
          <w:rFonts w:ascii="Verdana" w:eastAsia="Calibri" w:hAnsi="Verdana" w:cs="Arial"/>
          <w:vertAlign w:val="superscript"/>
          <w:lang w:val="es-ES"/>
        </w:rPr>
        <w:footnoteReference w:id="5"/>
      </w:r>
      <w:r w:rsidRPr="008A48B1">
        <w:rPr>
          <w:rFonts w:ascii="Verdana" w:eastAsia="Calibri" w:hAnsi="Verdana" w:cs="Arial"/>
          <w:lang w:val="es-ES"/>
        </w:rPr>
        <w:t>. En congruencia con el artículo 25 de la Ley 80 de 1993, el Decreto Único Reglamentario del Sector Administrativo de Planeación Nacional –Decreto 1082 de 2015–, dispone en el artículo 2.2.1.1.2.1.1 el contenido mínimo de los estudios y documentos previos:</w:t>
      </w:r>
    </w:p>
    <w:p w14:paraId="14681A59" w14:textId="77777777" w:rsidR="001B0FB6" w:rsidRPr="008A48B1" w:rsidRDefault="001B0FB6" w:rsidP="001B0FB6">
      <w:pPr>
        <w:ind w:left="720"/>
        <w:contextualSpacing/>
        <w:rPr>
          <w:rFonts w:ascii="Verdana" w:eastAsia="Calibri" w:hAnsi="Verdana" w:cs="Arial"/>
        </w:rPr>
      </w:pPr>
    </w:p>
    <w:p w14:paraId="78C78685" w14:textId="77777777" w:rsidR="001B0FB6" w:rsidRPr="008A48B1" w:rsidRDefault="001B0FB6" w:rsidP="001B0FB6">
      <w:pPr>
        <w:widowControl w:val="0"/>
        <w:tabs>
          <w:tab w:val="left" w:pos="142"/>
          <w:tab w:val="left" w:pos="284"/>
        </w:tabs>
        <w:autoSpaceDE w:val="0"/>
        <w:autoSpaceDN w:val="0"/>
        <w:spacing w:after="0" w:line="276" w:lineRule="auto"/>
        <w:ind w:left="1276" w:right="616" w:hanging="22"/>
        <w:contextualSpacing/>
        <w:jc w:val="both"/>
        <w:rPr>
          <w:rFonts w:ascii="Verdana" w:eastAsia="Calibri" w:hAnsi="Verdana" w:cs="Arial"/>
          <w:sz w:val="21"/>
          <w:szCs w:val="21"/>
        </w:rPr>
      </w:pPr>
      <w:r w:rsidRPr="008A48B1">
        <w:rPr>
          <w:rFonts w:ascii="Verdana" w:eastAsia="Calibri" w:hAnsi="Verdana" w:cs="Arial"/>
          <w:sz w:val="21"/>
          <w:szCs w:val="21"/>
        </w:rPr>
        <w:t>“Artículo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w:t>
      </w:r>
    </w:p>
    <w:p w14:paraId="19809361" w14:textId="77777777" w:rsidR="001B0FB6" w:rsidRPr="008A48B1" w:rsidRDefault="001B0FB6" w:rsidP="001B0FB6">
      <w:pPr>
        <w:widowControl w:val="0"/>
        <w:numPr>
          <w:ilvl w:val="1"/>
          <w:numId w:val="21"/>
        </w:numPr>
        <w:tabs>
          <w:tab w:val="left" w:pos="142"/>
          <w:tab w:val="left" w:pos="284"/>
        </w:tabs>
        <w:autoSpaceDE w:val="0"/>
        <w:autoSpaceDN w:val="0"/>
        <w:spacing w:after="0" w:line="276" w:lineRule="auto"/>
        <w:ind w:left="1276" w:right="616" w:hanging="22"/>
        <w:contextualSpacing/>
        <w:jc w:val="both"/>
        <w:rPr>
          <w:rFonts w:ascii="Verdana" w:eastAsia="Calibri" w:hAnsi="Verdana" w:cs="Arial"/>
          <w:sz w:val="21"/>
          <w:szCs w:val="21"/>
        </w:rPr>
      </w:pPr>
      <w:r w:rsidRPr="008A48B1">
        <w:rPr>
          <w:rFonts w:ascii="Verdana" w:eastAsia="Calibri" w:hAnsi="Verdana" w:cs="Arial"/>
          <w:sz w:val="21"/>
          <w:szCs w:val="21"/>
        </w:rPr>
        <w:t>La descripción de la necesidad que la Entidad Estatal pretende satisfacer con el Proceso de Contratación.</w:t>
      </w:r>
    </w:p>
    <w:p w14:paraId="74A2BBD7" w14:textId="77777777" w:rsidR="001B0FB6" w:rsidRPr="008A48B1" w:rsidRDefault="001B0FB6" w:rsidP="001B0FB6">
      <w:pPr>
        <w:widowControl w:val="0"/>
        <w:numPr>
          <w:ilvl w:val="1"/>
          <w:numId w:val="21"/>
        </w:numPr>
        <w:tabs>
          <w:tab w:val="left" w:pos="142"/>
          <w:tab w:val="left" w:pos="284"/>
        </w:tabs>
        <w:autoSpaceDE w:val="0"/>
        <w:autoSpaceDN w:val="0"/>
        <w:spacing w:after="0" w:line="276" w:lineRule="auto"/>
        <w:ind w:left="1276" w:right="616" w:hanging="22"/>
        <w:contextualSpacing/>
        <w:jc w:val="both"/>
        <w:rPr>
          <w:rFonts w:ascii="Verdana" w:eastAsia="Calibri" w:hAnsi="Verdana" w:cs="Arial"/>
          <w:sz w:val="21"/>
          <w:szCs w:val="21"/>
        </w:rPr>
      </w:pPr>
      <w:r w:rsidRPr="008A48B1">
        <w:rPr>
          <w:rFonts w:ascii="Verdana" w:eastAsia="Calibri" w:hAnsi="Verdana" w:cs="Arial"/>
          <w:sz w:val="21"/>
          <w:szCs w:val="21"/>
        </w:rPr>
        <w:t>El objeto a contratar, con sus especificaciones, las autorizaciones, permisos y licencias requeridos para su ejecución, y cuando el contrato incluye diseño y construcción, los documentos técnicos para el desarrollo del proyecto.</w:t>
      </w:r>
    </w:p>
    <w:p w14:paraId="220D0B83" w14:textId="77777777" w:rsidR="001B0FB6" w:rsidRPr="008A48B1" w:rsidRDefault="001B0FB6" w:rsidP="001B0FB6">
      <w:pPr>
        <w:widowControl w:val="0"/>
        <w:numPr>
          <w:ilvl w:val="1"/>
          <w:numId w:val="21"/>
        </w:numPr>
        <w:tabs>
          <w:tab w:val="left" w:pos="142"/>
          <w:tab w:val="left" w:pos="284"/>
        </w:tabs>
        <w:autoSpaceDE w:val="0"/>
        <w:autoSpaceDN w:val="0"/>
        <w:spacing w:after="0" w:line="276" w:lineRule="auto"/>
        <w:ind w:left="1276" w:right="616" w:hanging="22"/>
        <w:contextualSpacing/>
        <w:jc w:val="both"/>
        <w:rPr>
          <w:rFonts w:ascii="Verdana" w:eastAsia="Calibri" w:hAnsi="Verdana" w:cs="Arial"/>
          <w:sz w:val="21"/>
          <w:szCs w:val="21"/>
        </w:rPr>
      </w:pPr>
      <w:r w:rsidRPr="008A48B1">
        <w:rPr>
          <w:rFonts w:ascii="Verdana" w:eastAsia="Calibri" w:hAnsi="Verdana" w:cs="Arial"/>
          <w:sz w:val="21"/>
          <w:szCs w:val="21"/>
        </w:rPr>
        <w:t>La modalidad de selección del contratista y su justificación, incluyendo los fundamentos jurídicos.</w:t>
      </w:r>
    </w:p>
    <w:p w14:paraId="697F6359" w14:textId="77777777" w:rsidR="001B0FB6" w:rsidRPr="008A48B1" w:rsidRDefault="001B0FB6" w:rsidP="001B0FB6">
      <w:pPr>
        <w:widowControl w:val="0"/>
        <w:numPr>
          <w:ilvl w:val="1"/>
          <w:numId w:val="21"/>
        </w:numPr>
        <w:tabs>
          <w:tab w:val="left" w:pos="142"/>
          <w:tab w:val="left" w:pos="284"/>
        </w:tabs>
        <w:autoSpaceDE w:val="0"/>
        <w:autoSpaceDN w:val="0"/>
        <w:spacing w:after="0" w:line="276" w:lineRule="auto"/>
        <w:ind w:left="1276" w:right="616" w:hanging="22"/>
        <w:contextualSpacing/>
        <w:jc w:val="both"/>
        <w:rPr>
          <w:rFonts w:ascii="Verdana" w:eastAsia="Calibri" w:hAnsi="Verdana" w:cs="Arial"/>
          <w:sz w:val="21"/>
          <w:szCs w:val="21"/>
        </w:rPr>
      </w:pPr>
      <w:r w:rsidRPr="008A48B1">
        <w:rPr>
          <w:rFonts w:ascii="Verdana" w:eastAsia="Calibri" w:hAnsi="Verdana" w:cs="Arial"/>
          <w:sz w:val="21"/>
          <w:szCs w:val="21"/>
        </w:rPr>
        <w:t xml:space="preserve">El valor estimado del contrato y la justificación del mismo. Cuando el valor del contrato esté determinado por precios </w:t>
      </w:r>
      <w:r w:rsidRPr="008A48B1">
        <w:rPr>
          <w:rFonts w:ascii="Verdana" w:eastAsia="Calibri" w:hAnsi="Verdana" w:cs="Arial"/>
          <w:sz w:val="21"/>
          <w:szCs w:val="21"/>
        </w:rPr>
        <w:lastRenderedPageBreak/>
        <w:t>unitarios, la Entidad Estatal debe incluir la forma como los calculó y soportar sus cálculos presupuestales en la estimación de aquellos. Si el contrato es de concesión, la Entidad Estatal no debe publicar el modelo financiero utilizado en su estructuración.</w:t>
      </w:r>
    </w:p>
    <w:p w14:paraId="57134777" w14:textId="77777777" w:rsidR="001B0FB6" w:rsidRPr="008A48B1" w:rsidRDefault="001B0FB6" w:rsidP="001B0FB6">
      <w:pPr>
        <w:widowControl w:val="0"/>
        <w:numPr>
          <w:ilvl w:val="1"/>
          <w:numId w:val="21"/>
        </w:numPr>
        <w:tabs>
          <w:tab w:val="left" w:pos="142"/>
          <w:tab w:val="left" w:pos="284"/>
        </w:tabs>
        <w:autoSpaceDE w:val="0"/>
        <w:autoSpaceDN w:val="0"/>
        <w:spacing w:after="0" w:line="276" w:lineRule="auto"/>
        <w:ind w:left="1276" w:right="616" w:hanging="22"/>
        <w:contextualSpacing/>
        <w:jc w:val="both"/>
        <w:rPr>
          <w:rFonts w:ascii="Verdana" w:eastAsia="Calibri" w:hAnsi="Verdana" w:cs="Arial"/>
          <w:sz w:val="21"/>
          <w:szCs w:val="21"/>
        </w:rPr>
      </w:pPr>
      <w:r w:rsidRPr="008A48B1">
        <w:rPr>
          <w:rFonts w:ascii="Verdana" w:eastAsia="Calibri" w:hAnsi="Verdana" w:cs="Arial"/>
          <w:sz w:val="21"/>
          <w:szCs w:val="21"/>
        </w:rPr>
        <w:t>Los criterios para seleccionar la oferta más favorable.</w:t>
      </w:r>
    </w:p>
    <w:p w14:paraId="19A97CEB" w14:textId="77777777" w:rsidR="001B0FB6" w:rsidRPr="008A48B1" w:rsidRDefault="001B0FB6" w:rsidP="001B0FB6">
      <w:pPr>
        <w:widowControl w:val="0"/>
        <w:numPr>
          <w:ilvl w:val="1"/>
          <w:numId w:val="21"/>
        </w:numPr>
        <w:tabs>
          <w:tab w:val="left" w:pos="142"/>
          <w:tab w:val="left" w:pos="284"/>
        </w:tabs>
        <w:autoSpaceDE w:val="0"/>
        <w:autoSpaceDN w:val="0"/>
        <w:spacing w:after="0" w:line="276" w:lineRule="auto"/>
        <w:ind w:left="1276" w:right="616" w:hanging="22"/>
        <w:contextualSpacing/>
        <w:jc w:val="both"/>
        <w:rPr>
          <w:rFonts w:ascii="Verdana" w:eastAsia="Calibri" w:hAnsi="Verdana" w:cs="Arial"/>
          <w:sz w:val="21"/>
          <w:szCs w:val="21"/>
        </w:rPr>
      </w:pPr>
      <w:r w:rsidRPr="008A48B1">
        <w:rPr>
          <w:rFonts w:ascii="Verdana" w:eastAsia="Calibri" w:hAnsi="Verdana" w:cs="Arial"/>
          <w:sz w:val="21"/>
          <w:szCs w:val="21"/>
        </w:rPr>
        <w:t>El análisis de Riesgo y la forma de mitigarlo.</w:t>
      </w:r>
    </w:p>
    <w:p w14:paraId="162A114D" w14:textId="77777777" w:rsidR="001B0FB6" w:rsidRPr="008A48B1" w:rsidRDefault="001B0FB6" w:rsidP="001B0FB6">
      <w:pPr>
        <w:widowControl w:val="0"/>
        <w:numPr>
          <w:ilvl w:val="1"/>
          <w:numId w:val="21"/>
        </w:numPr>
        <w:tabs>
          <w:tab w:val="left" w:pos="142"/>
          <w:tab w:val="left" w:pos="284"/>
        </w:tabs>
        <w:autoSpaceDE w:val="0"/>
        <w:autoSpaceDN w:val="0"/>
        <w:spacing w:after="0" w:line="276" w:lineRule="auto"/>
        <w:ind w:left="1276" w:right="616" w:hanging="22"/>
        <w:contextualSpacing/>
        <w:jc w:val="both"/>
        <w:rPr>
          <w:rFonts w:ascii="Verdana" w:eastAsia="Calibri" w:hAnsi="Verdana" w:cs="Arial"/>
          <w:sz w:val="21"/>
          <w:szCs w:val="21"/>
        </w:rPr>
      </w:pPr>
      <w:r w:rsidRPr="008A48B1">
        <w:rPr>
          <w:rFonts w:ascii="Verdana" w:eastAsia="Calibri" w:hAnsi="Verdana" w:cs="Arial"/>
          <w:sz w:val="21"/>
          <w:szCs w:val="21"/>
        </w:rPr>
        <w:t>Las garantías que la Entidad Estatal contempla exigir en el proceso de contratación.</w:t>
      </w:r>
    </w:p>
    <w:p w14:paraId="66E666DA" w14:textId="77777777" w:rsidR="001B0FB6" w:rsidRPr="008A48B1" w:rsidRDefault="001B0FB6" w:rsidP="001B0FB6">
      <w:pPr>
        <w:widowControl w:val="0"/>
        <w:numPr>
          <w:ilvl w:val="1"/>
          <w:numId w:val="21"/>
        </w:numPr>
        <w:tabs>
          <w:tab w:val="left" w:pos="142"/>
          <w:tab w:val="left" w:pos="284"/>
        </w:tabs>
        <w:autoSpaceDE w:val="0"/>
        <w:autoSpaceDN w:val="0"/>
        <w:spacing w:after="0" w:line="276" w:lineRule="auto"/>
        <w:ind w:left="1276" w:right="616" w:hanging="22"/>
        <w:contextualSpacing/>
        <w:jc w:val="both"/>
        <w:rPr>
          <w:rFonts w:ascii="Verdana" w:eastAsia="Calibri" w:hAnsi="Verdana" w:cs="Arial"/>
          <w:sz w:val="21"/>
          <w:szCs w:val="21"/>
        </w:rPr>
      </w:pPr>
      <w:r w:rsidRPr="008A48B1">
        <w:rPr>
          <w:rFonts w:ascii="Verdana" w:eastAsia="Calibri" w:hAnsi="Verdana" w:cs="Arial"/>
          <w:sz w:val="21"/>
          <w:szCs w:val="21"/>
        </w:rPr>
        <w:t>La indicación de si el proceso de contratación está cobijado por un acuerdo comercial.</w:t>
      </w:r>
    </w:p>
    <w:p w14:paraId="300495A8" w14:textId="77777777" w:rsidR="001B0FB6" w:rsidRPr="008A48B1" w:rsidRDefault="001B0FB6" w:rsidP="001B0FB6">
      <w:pPr>
        <w:widowControl w:val="0"/>
        <w:tabs>
          <w:tab w:val="left" w:pos="142"/>
          <w:tab w:val="left" w:pos="284"/>
        </w:tabs>
        <w:autoSpaceDE w:val="0"/>
        <w:autoSpaceDN w:val="0"/>
        <w:spacing w:after="0" w:line="276" w:lineRule="auto"/>
        <w:ind w:left="1276" w:right="616" w:hanging="22"/>
        <w:jc w:val="both"/>
        <w:rPr>
          <w:rFonts w:ascii="Verdana" w:eastAsia="Calibri" w:hAnsi="Verdana" w:cs="Arial"/>
          <w:sz w:val="21"/>
          <w:szCs w:val="21"/>
        </w:rPr>
      </w:pPr>
      <w:r w:rsidRPr="008A48B1">
        <w:rPr>
          <w:rFonts w:ascii="Verdana" w:eastAsia="Calibri" w:hAnsi="Verdana" w:cs="Arial"/>
          <w:sz w:val="21"/>
          <w:szCs w:val="21"/>
        </w:rPr>
        <w:t>El presente artículo no es aplicable a la contratación por mínima cuantía”.</w:t>
      </w:r>
    </w:p>
    <w:p w14:paraId="3AEE2D6A" w14:textId="77777777" w:rsidR="001B0FB6" w:rsidRPr="008A48B1" w:rsidRDefault="001B0FB6" w:rsidP="001B0FB6">
      <w:pPr>
        <w:widowControl w:val="0"/>
        <w:tabs>
          <w:tab w:val="left" w:pos="142"/>
          <w:tab w:val="left" w:pos="284"/>
        </w:tabs>
        <w:autoSpaceDE w:val="0"/>
        <w:autoSpaceDN w:val="0"/>
        <w:spacing w:after="0" w:line="276" w:lineRule="auto"/>
        <w:ind w:left="1080"/>
        <w:jc w:val="both"/>
        <w:rPr>
          <w:rFonts w:ascii="Verdana" w:eastAsia="Calibri" w:hAnsi="Verdana" w:cs="Arial"/>
          <w:sz w:val="21"/>
          <w:szCs w:val="21"/>
        </w:rPr>
      </w:pPr>
    </w:p>
    <w:p w14:paraId="5E511E1D" w14:textId="77777777" w:rsidR="001B0FB6" w:rsidRPr="008A48B1" w:rsidRDefault="001B0FB6" w:rsidP="001B0FB6">
      <w:pPr>
        <w:widowControl w:val="0"/>
        <w:numPr>
          <w:ilvl w:val="0"/>
          <w:numId w:val="22"/>
        </w:numPr>
        <w:tabs>
          <w:tab w:val="left" w:pos="142"/>
          <w:tab w:val="left" w:pos="284"/>
        </w:tabs>
        <w:autoSpaceDE w:val="0"/>
        <w:autoSpaceDN w:val="0"/>
        <w:spacing w:line="276" w:lineRule="auto"/>
        <w:contextualSpacing/>
        <w:jc w:val="both"/>
        <w:rPr>
          <w:rFonts w:ascii="Verdana" w:eastAsia="Calibri" w:hAnsi="Verdana" w:cs="Arial"/>
        </w:rPr>
      </w:pPr>
      <w:r w:rsidRPr="008A48B1">
        <w:rPr>
          <w:rFonts w:ascii="Verdana" w:eastAsia="Calibri" w:hAnsi="Verdana" w:cs="Arial"/>
        </w:rPr>
        <w:t>Antes de iniciar un procedimiento de selección para contratación, las entidades estatales deben realizar estudios previos. Estos estudios les permiten:</w:t>
      </w:r>
    </w:p>
    <w:p w14:paraId="68FD19DF" w14:textId="77777777" w:rsidR="001B0FB6" w:rsidRPr="008A48B1" w:rsidRDefault="001B0FB6" w:rsidP="001B0FB6">
      <w:pPr>
        <w:widowControl w:val="0"/>
        <w:tabs>
          <w:tab w:val="left" w:pos="142"/>
          <w:tab w:val="left" w:pos="284"/>
        </w:tabs>
        <w:autoSpaceDE w:val="0"/>
        <w:autoSpaceDN w:val="0"/>
        <w:spacing w:line="276" w:lineRule="auto"/>
        <w:ind w:left="720"/>
        <w:contextualSpacing/>
        <w:jc w:val="both"/>
        <w:rPr>
          <w:rFonts w:ascii="Verdana" w:eastAsia="Calibri" w:hAnsi="Verdana" w:cs="Arial"/>
        </w:rPr>
      </w:pPr>
    </w:p>
    <w:p w14:paraId="50D669F6" w14:textId="77777777" w:rsidR="001B0FB6" w:rsidRPr="008A48B1" w:rsidRDefault="001B0FB6" w:rsidP="001B0FB6">
      <w:pPr>
        <w:widowControl w:val="0"/>
        <w:numPr>
          <w:ilvl w:val="2"/>
          <w:numId w:val="21"/>
        </w:numPr>
        <w:tabs>
          <w:tab w:val="left" w:pos="142"/>
          <w:tab w:val="left" w:pos="284"/>
        </w:tabs>
        <w:autoSpaceDE w:val="0"/>
        <w:autoSpaceDN w:val="0"/>
        <w:spacing w:after="0" w:line="276" w:lineRule="auto"/>
        <w:ind w:left="1276" w:right="616" w:firstLine="0"/>
        <w:contextualSpacing/>
        <w:jc w:val="both"/>
        <w:rPr>
          <w:rFonts w:ascii="Verdana" w:eastAsia="Calibri" w:hAnsi="Verdana" w:cs="Arial"/>
        </w:rPr>
      </w:pPr>
      <w:r w:rsidRPr="008A48B1">
        <w:rPr>
          <w:rFonts w:ascii="Verdana" w:eastAsia="Calibri" w:hAnsi="Verdana" w:cs="Arial"/>
        </w:rPr>
        <w:t>Evaluar la </w:t>
      </w:r>
      <w:r w:rsidRPr="008A48B1">
        <w:rPr>
          <w:rFonts w:ascii="Verdana" w:eastAsia="Calibri" w:hAnsi="Verdana" w:cs="Arial"/>
          <w:b/>
          <w:bCs/>
        </w:rPr>
        <w:t>necesidad real</w:t>
      </w:r>
      <w:r w:rsidRPr="008A48B1">
        <w:rPr>
          <w:rFonts w:ascii="Verdana" w:eastAsia="Calibri" w:hAnsi="Verdana" w:cs="Arial"/>
        </w:rPr>
        <w:t> de celebrar el contrato.</w:t>
      </w:r>
    </w:p>
    <w:p w14:paraId="4CABD610" w14:textId="77777777" w:rsidR="001B0FB6" w:rsidRPr="008A48B1" w:rsidRDefault="001B0FB6" w:rsidP="001B0FB6">
      <w:pPr>
        <w:widowControl w:val="0"/>
        <w:numPr>
          <w:ilvl w:val="2"/>
          <w:numId w:val="21"/>
        </w:numPr>
        <w:tabs>
          <w:tab w:val="left" w:pos="142"/>
          <w:tab w:val="left" w:pos="284"/>
        </w:tabs>
        <w:autoSpaceDE w:val="0"/>
        <w:autoSpaceDN w:val="0"/>
        <w:spacing w:after="0" w:line="276" w:lineRule="auto"/>
        <w:ind w:left="1276" w:right="616" w:firstLine="0"/>
        <w:contextualSpacing/>
        <w:jc w:val="both"/>
        <w:rPr>
          <w:rFonts w:ascii="Verdana" w:eastAsia="Calibri" w:hAnsi="Verdana" w:cs="Arial"/>
        </w:rPr>
      </w:pPr>
      <w:r w:rsidRPr="008A48B1">
        <w:rPr>
          <w:rFonts w:ascii="Verdana" w:eastAsia="Calibri" w:hAnsi="Verdana" w:cs="Arial"/>
        </w:rPr>
        <w:t>Analizar las </w:t>
      </w:r>
      <w:r w:rsidRPr="008A48B1">
        <w:rPr>
          <w:rFonts w:ascii="Verdana" w:eastAsia="Calibri" w:hAnsi="Verdana" w:cs="Arial"/>
          <w:b/>
          <w:bCs/>
        </w:rPr>
        <w:t>modalidades existentes</w:t>
      </w:r>
      <w:r w:rsidRPr="008A48B1">
        <w:rPr>
          <w:rFonts w:ascii="Verdana" w:eastAsia="Calibri" w:hAnsi="Verdana" w:cs="Arial"/>
        </w:rPr>
        <w:t> para satisfacer esa necesidad y justificar la elección de una modalidad contractual específica.</w:t>
      </w:r>
    </w:p>
    <w:p w14:paraId="773FF987" w14:textId="77777777" w:rsidR="001B0FB6" w:rsidRPr="008A48B1" w:rsidRDefault="001B0FB6" w:rsidP="001B0FB6">
      <w:pPr>
        <w:widowControl w:val="0"/>
        <w:numPr>
          <w:ilvl w:val="2"/>
          <w:numId w:val="21"/>
        </w:numPr>
        <w:tabs>
          <w:tab w:val="left" w:pos="142"/>
          <w:tab w:val="left" w:pos="284"/>
        </w:tabs>
        <w:autoSpaceDE w:val="0"/>
        <w:autoSpaceDN w:val="0"/>
        <w:spacing w:after="0" w:line="276" w:lineRule="auto"/>
        <w:ind w:left="1276" w:right="616" w:firstLine="0"/>
        <w:contextualSpacing/>
        <w:jc w:val="both"/>
        <w:rPr>
          <w:rFonts w:ascii="Verdana" w:eastAsia="Calibri" w:hAnsi="Verdana" w:cs="Arial"/>
        </w:rPr>
      </w:pPr>
      <w:r w:rsidRPr="008A48B1">
        <w:rPr>
          <w:rFonts w:ascii="Verdana" w:eastAsia="Calibri" w:hAnsi="Verdana" w:cs="Arial"/>
        </w:rPr>
        <w:t>Definir las </w:t>
      </w:r>
      <w:r w:rsidRPr="008A48B1">
        <w:rPr>
          <w:rFonts w:ascii="Verdana" w:eastAsia="Calibri" w:hAnsi="Verdana" w:cs="Arial"/>
          <w:b/>
          <w:bCs/>
        </w:rPr>
        <w:t>calidades, especificaciones y cantidades</w:t>
      </w:r>
      <w:r w:rsidRPr="008A48B1">
        <w:rPr>
          <w:rFonts w:ascii="Verdana" w:eastAsia="Calibri" w:hAnsi="Verdana" w:cs="Arial"/>
        </w:rPr>
        <w:t> requeridas para los bienes, obras o servicios a contratar.</w:t>
      </w:r>
    </w:p>
    <w:p w14:paraId="6C54A873" w14:textId="77777777" w:rsidR="001B0FB6" w:rsidRPr="008A48B1" w:rsidRDefault="001B0FB6" w:rsidP="001B0FB6">
      <w:pPr>
        <w:widowControl w:val="0"/>
        <w:numPr>
          <w:ilvl w:val="2"/>
          <w:numId w:val="21"/>
        </w:numPr>
        <w:tabs>
          <w:tab w:val="left" w:pos="142"/>
          <w:tab w:val="left" w:pos="284"/>
        </w:tabs>
        <w:autoSpaceDE w:val="0"/>
        <w:autoSpaceDN w:val="0"/>
        <w:spacing w:after="0" w:line="276" w:lineRule="auto"/>
        <w:ind w:left="1276" w:right="616" w:firstLine="0"/>
        <w:contextualSpacing/>
        <w:jc w:val="both"/>
        <w:rPr>
          <w:rFonts w:ascii="Verdana" w:eastAsia="Calibri" w:hAnsi="Verdana" w:cs="Arial"/>
        </w:rPr>
      </w:pPr>
      <w:r w:rsidRPr="008A48B1">
        <w:rPr>
          <w:rFonts w:ascii="Verdana" w:eastAsia="Calibri" w:hAnsi="Verdana" w:cs="Arial"/>
        </w:rPr>
        <w:t>Estimar los </w:t>
      </w:r>
      <w:r w:rsidRPr="008A48B1">
        <w:rPr>
          <w:rFonts w:ascii="Verdana" w:eastAsia="Calibri" w:hAnsi="Verdana" w:cs="Arial"/>
          <w:b/>
          <w:bCs/>
        </w:rPr>
        <w:t>costos, valores y alternativas</w:t>
      </w:r>
      <w:r w:rsidRPr="008A48B1">
        <w:rPr>
          <w:rFonts w:ascii="Verdana" w:eastAsia="Calibri" w:hAnsi="Verdana" w:cs="Arial"/>
        </w:rPr>
        <w:t> que podrían surgir en la ejecución del contrato, considerando precios de mercado reales.</w:t>
      </w:r>
    </w:p>
    <w:p w14:paraId="06CF4016" w14:textId="77777777" w:rsidR="001B0FB6" w:rsidRPr="008A48B1" w:rsidRDefault="001B0FB6" w:rsidP="001B0FB6">
      <w:pPr>
        <w:widowControl w:val="0"/>
        <w:numPr>
          <w:ilvl w:val="2"/>
          <w:numId w:val="21"/>
        </w:numPr>
        <w:tabs>
          <w:tab w:val="left" w:pos="142"/>
          <w:tab w:val="left" w:pos="284"/>
        </w:tabs>
        <w:autoSpaceDE w:val="0"/>
        <w:autoSpaceDN w:val="0"/>
        <w:spacing w:after="0" w:line="276" w:lineRule="auto"/>
        <w:ind w:left="1276" w:right="616" w:firstLine="0"/>
        <w:contextualSpacing/>
        <w:jc w:val="both"/>
        <w:rPr>
          <w:rFonts w:ascii="Verdana" w:eastAsia="Calibri" w:hAnsi="Verdana" w:cs="Arial"/>
        </w:rPr>
      </w:pPr>
      <w:r w:rsidRPr="008A48B1">
        <w:rPr>
          <w:rFonts w:ascii="Verdana" w:eastAsia="Calibri" w:hAnsi="Verdana" w:cs="Arial"/>
        </w:rPr>
        <w:t>Evaluar la </w:t>
      </w:r>
      <w:r w:rsidRPr="008A48B1">
        <w:rPr>
          <w:rFonts w:ascii="Verdana" w:eastAsia="Calibri" w:hAnsi="Verdana" w:cs="Arial"/>
          <w:b/>
          <w:bCs/>
        </w:rPr>
        <w:t>disponibilidad de recursos</w:t>
      </w:r>
      <w:r w:rsidRPr="008A48B1">
        <w:rPr>
          <w:rFonts w:ascii="Verdana" w:eastAsia="Calibri" w:hAnsi="Verdana" w:cs="Arial"/>
        </w:rPr>
        <w:t> y la capacidad financiera de la entidad para cumplir con las obligaciones de pago derivadas del contrato.</w:t>
      </w:r>
    </w:p>
    <w:p w14:paraId="57DA4CA7" w14:textId="77777777" w:rsidR="001B0FB6" w:rsidRPr="008A48B1" w:rsidRDefault="001B0FB6" w:rsidP="001B0FB6">
      <w:pPr>
        <w:widowControl w:val="0"/>
        <w:numPr>
          <w:ilvl w:val="2"/>
          <w:numId w:val="21"/>
        </w:numPr>
        <w:tabs>
          <w:tab w:val="left" w:pos="142"/>
          <w:tab w:val="left" w:pos="284"/>
        </w:tabs>
        <w:autoSpaceDE w:val="0"/>
        <w:autoSpaceDN w:val="0"/>
        <w:spacing w:after="0" w:line="276" w:lineRule="auto"/>
        <w:ind w:left="1276" w:right="616" w:firstLine="0"/>
        <w:contextualSpacing/>
        <w:jc w:val="both"/>
        <w:rPr>
          <w:rFonts w:ascii="Verdana" w:eastAsia="Calibri" w:hAnsi="Verdana" w:cs="Arial"/>
        </w:rPr>
      </w:pPr>
      <w:r w:rsidRPr="008A48B1">
        <w:rPr>
          <w:rFonts w:ascii="Verdana" w:eastAsia="Calibri" w:hAnsi="Verdana" w:cs="Arial"/>
        </w:rPr>
        <w:t>Verificar la </w:t>
      </w:r>
      <w:r w:rsidRPr="008A48B1">
        <w:rPr>
          <w:rFonts w:ascii="Verdana" w:eastAsia="Calibri" w:hAnsi="Verdana" w:cs="Arial"/>
          <w:b/>
          <w:bCs/>
        </w:rPr>
        <w:t>existencia y disponibilidad</w:t>
      </w:r>
      <w:r w:rsidRPr="008A48B1">
        <w:rPr>
          <w:rFonts w:ascii="Verdana" w:eastAsia="Calibri" w:hAnsi="Verdana" w:cs="Arial"/>
        </w:rPr>
        <w:t> de proveedores, constructores, profesionales, etc., tanto a nivel nacional como internacional.</w:t>
      </w:r>
    </w:p>
    <w:p w14:paraId="6CBB9980" w14:textId="77777777" w:rsidR="001B0FB6" w:rsidRPr="008A48B1" w:rsidRDefault="001B0FB6" w:rsidP="001B0FB6">
      <w:pPr>
        <w:widowControl w:val="0"/>
        <w:numPr>
          <w:ilvl w:val="2"/>
          <w:numId w:val="21"/>
        </w:numPr>
        <w:tabs>
          <w:tab w:val="left" w:pos="142"/>
          <w:tab w:val="left" w:pos="284"/>
        </w:tabs>
        <w:autoSpaceDE w:val="0"/>
        <w:autoSpaceDN w:val="0"/>
        <w:spacing w:after="0" w:line="276" w:lineRule="auto"/>
        <w:ind w:left="1276" w:right="616" w:firstLine="0"/>
        <w:contextualSpacing/>
        <w:jc w:val="both"/>
        <w:rPr>
          <w:rFonts w:ascii="Verdana" w:eastAsia="Calibri" w:hAnsi="Verdana" w:cs="Arial"/>
        </w:rPr>
      </w:pPr>
      <w:r w:rsidRPr="008A48B1">
        <w:rPr>
          <w:rFonts w:ascii="Verdana" w:eastAsia="Calibri" w:hAnsi="Verdana" w:cs="Arial"/>
        </w:rPr>
        <w:t>Comprender los </w:t>
      </w:r>
      <w:r w:rsidRPr="008A48B1">
        <w:rPr>
          <w:rFonts w:ascii="Verdana" w:eastAsia="Calibri" w:hAnsi="Verdana" w:cs="Arial"/>
          <w:b/>
          <w:bCs/>
        </w:rPr>
        <w:t>procedimientos, trámites y requisitos</w:t>
      </w:r>
      <w:r w:rsidRPr="008A48B1">
        <w:rPr>
          <w:rFonts w:ascii="Verdana" w:eastAsia="Calibri" w:hAnsi="Verdana" w:cs="Arial"/>
        </w:rPr>
        <w:t xml:space="preserve"> necesarios para seleccionar al contratista y celebrar </w:t>
      </w:r>
      <w:r w:rsidRPr="008A48B1">
        <w:rPr>
          <w:rFonts w:ascii="Verdana" w:eastAsia="Calibri" w:hAnsi="Verdana" w:cs="Arial"/>
        </w:rPr>
        <w:lastRenderedPageBreak/>
        <w:t>el contrato.</w:t>
      </w:r>
    </w:p>
    <w:p w14:paraId="73FCC6D9" w14:textId="77777777" w:rsidR="001B0FB6" w:rsidRPr="008A48B1" w:rsidRDefault="001B0FB6" w:rsidP="001B0FB6">
      <w:pPr>
        <w:widowControl w:val="0"/>
        <w:tabs>
          <w:tab w:val="left" w:pos="142"/>
          <w:tab w:val="left" w:pos="284"/>
        </w:tabs>
        <w:autoSpaceDE w:val="0"/>
        <w:autoSpaceDN w:val="0"/>
        <w:spacing w:after="0" w:line="276" w:lineRule="auto"/>
        <w:ind w:left="1276" w:right="616"/>
        <w:contextualSpacing/>
        <w:jc w:val="both"/>
        <w:rPr>
          <w:rFonts w:ascii="Verdana" w:eastAsia="Calibri" w:hAnsi="Verdana" w:cs="Arial"/>
        </w:rPr>
      </w:pPr>
    </w:p>
    <w:p w14:paraId="43655CB5" w14:textId="77777777" w:rsidR="001B0FB6" w:rsidRPr="008A48B1" w:rsidRDefault="001B0FB6" w:rsidP="001B0FB6">
      <w:pPr>
        <w:widowControl w:val="0"/>
        <w:numPr>
          <w:ilvl w:val="0"/>
          <w:numId w:val="21"/>
        </w:numPr>
        <w:tabs>
          <w:tab w:val="left" w:pos="142"/>
          <w:tab w:val="left" w:pos="284"/>
        </w:tabs>
        <w:autoSpaceDE w:val="0"/>
        <w:autoSpaceDN w:val="0"/>
        <w:spacing w:line="276" w:lineRule="auto"/>
        <w:ind w:left="1276" w:right="616" w:firstLine="0"/>
        <w:contextualSpacing/>
        <w:jc w:val="both"/>
        <w:rPr>
          <w:rFonts w:ascii="Verdana" w:eastAsia="Calibri" w:hAnsi="Verdana" w:cs="Arial"/>
        </w:rPr>
      </w:pPr>
      <w:r w:rsidRPr="008A48B1">
        <w:rPr>
          <w:rFonts w:ascii="Verdana" w:eastAsia="Calibri" w:hAnsi="Verdana" w:cs="Arial"/>
        </w:rPr>
        <w:t>Estos aspectos garantizan que los contratos resultantes de la planificación cuenten con el respaldo técnico, económico y jurídico necesario para una ejecución adecuada.</w:t>
      </w:r>
    </w:p>
    <w:p w14:paraId="22A2588F" w14:textId="77777777" w:rsidR="001B0FB6" w:rsidRPr="008A48B1" w:rsidRDefault="001B0FB6" w:rsidP="001B0FB6">
      <w:pPr>
        <w:widowControl w:val="0"/>
        <w:tabs>
          <w:tab w:val="left" w:pos="142"/>
          <w:tab w:val="left" w:pos="284"/>
        </w:tabs>
        <w:autoSpaceDE w:val="0"/>
        <w:autoSpaceDN w:val="0"/>
        <w:spacing w:line="276" w:lineRule="auto"/>
        <w:ind w:left="720"/>
        <w:contextualSpacing/>
        <w:jc w:val="both"/>
        <w:rPr>
          <w:rFonts w:ascii="Verdana" w:eastAsia="Calibri" w:hAnsi="Verdana" w:cs="Arial"/>
        </w:rPr>
      </w:pP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1B0FB6" w:rsidRPr="008A48B1" w14:paraId="201E2902" w14:textId="77777777" w:rsidTr="00C94DEE">
        <w:trPr>
          <w:trHeight w:val="870"/>
        </w:trPr>
        <w:tc>
          <w:tcPr>
            <w:tcW w:w="8647" w:type="dxa"/>
            <w:tcBorders>
              <w:top w:val="dotted" w:sz="4" w:space="0" w:color="auto"/>
              <w:left w:val="dotted" w:sz="4" w:space="0" w:color="auto"/>
              <w:bottom w:val="dotted" w:sz="4" w:space="0" w:color="auto"/>
              <w:right w:val="dotted" w:sz="4" w:space="0" w:color="auto"/>
            </w:tcBorders>
          </w:tcPr>
          <w:p w14:paraId="492C2065" w14:textId="77777777" w:rsidR="001B0FB6" w:rsidRPr="008A48B1" w:rsidRDefault="001B0FB6" w:rsidP="001B0FB6">
            <w:pPr>
              <w:widowControl w:val="0"/>
              <w:numPr>
                <w:ilvl w:val="0"/>
                <w:numId w:val="15"/>
              </w:numPr>
              <w:autoSpaceDE w:val="0"/>
              <w:autoSpaceDN w:val="0"/>
              <w:spacing w:line="276" w:lineRule="auto"/>
              <w:contextualSpacing/>
              <w:jc w:val="both"/>
              <w:rPr>
                <w:rFonts w:ascii="Verdana" w:hAnsi="Verdana" w:cs="Arial"/>
              </w:rPr>
            </w:pPr>
            <w:r w:rsidRPr="008A48B1">
              <w:rPr>
                <w:rFonts w:ascii="Verdana" w:hAnsi="Verdana" w:cs="Arial"/>
              </w:rPr>
              <w:t>Ley 1150 de 2007, artículo 2, numeral 4, literal C.</w:t>
            </w:r>
          </w:p>
          <w:p w14:paraId="3CE3903E" w14:textId="77777777" w:rsidR="001B0FB6" w:rsidRPr="008A48B1" w:rsidRDefault="001B0FB6" w:rsidP="001B0FB6">
            <w:pPr>
              <w:widowControl w:val="0"/>
              <w:numPr>
                <w:ilvl w:val="0"/>
                <w:numId w:val="15"/>
              </w:numPr>
              <w:autoSpaceDE w:val="0"/>
              <w:autoSpaceDN w:val="0"/>
              <w:spacing w:line="276" w:lineRule="auto"/>
              <w:contextualSpacing/>
              <w:jc w:val="both"/>
              <w:rPr>
                <w:rFonts w:ascii="Verdana" w:hAnsi="Verdana" w:cs="Arial"/>
              </w:rPr>
            </w:pPr>
            <w:r w:rsidRPr="008A48B1">
              <w:rPr>
                <w:rFonts w:ascii="Verdana" w:hAnsi="Verdana" w:cs="Arial"/>
              </w:rPr>
              <w:t>Decreto 1082 de 2015, artículos 2.2.1.2.1.4.4. y 2.2.1.2.1.4.1.</w:t>
            </w:r>
          </w:p>
          <w:p w14:paraId="0121744B" w14:textId="77777777" w:rsidR="001B0FB6" w:rsidRPr="008A48B1" w:rsidRDefault="001B0FB6" w:rsidP="001B0FB6">
            <w:pPr>
              <w:widowControl w:val="0"/>
              <w:numPr>
                <w:ilvl w:val="0"/>
                <w:numId w:val="15"/>
              </w:numPr>
              <w:autoSpaceDE w:val="0"/>
              <w:autoSpaceDN w:val="0"/>
              <w:spacing w:line="276" w:lineRule="auto"/>
              <w:contextualSpacing/>
              <w:jc w:val="both"/>
              <w:rPr>
                <w:rFonts w:ascii="Verdana" w:hAnsi="Verdana" w:cs="Arial"/>
              </w:rPr>
            </w:pPr>
            <w:r w:rsidRPr="008A48B1">
              <w:rPr>
                <w:rFonts w:ascii="Verdana" w:hAnsi="Verdana" w:cs="Arial"/>
              </w:rPr>
              <w:t>Sentencia C-671 de 2015 de la Corte Constitucional.</w:t>
            </w:r>
          </w:p>
          <w:p w14:paraId="7B770595" w14:textId="77777777" w:rsidR="001B0FB6" w:rsidRPr="008A48B1" w:rsidRDefault="001B0FB6" w:rsidP="001B0FB6">
            <w:pPr>
              <w:widowControl w:val="0"/>
              <w:numPr>
                <w:ilvl w:val="0"/>
                <w:numId w:val="15"/>
              </w:numPr>
              <w:autoSpaceDE w:val="0"/>
              <w:autoSpaceDN w:val="0"/>
              <w:spacing w:line="276" w:lineRule="auto"/>
              <w:contextualSpacing/>
              <w:jc w:val="both"/>
              <w:rPr>
                <w:rFonts w:ascii="Verdana" w:hAnsi="Verdana" w:cs="Arial"/>
              </w:rPr>
            </w:pPr>
            <w:r w:rsidRPr="008A48B1">
              <w:rPr>
                <w:rFonts w:ascii="Verdana" w:hAnsi="Verdana" w:cs="Arial"/>
              </w:rPr>
              <w:t xml:space="preserve">Sentencia del 23 de junio de 2010, Rad. No. 66001-23-31-000-1998-00261-01 (17.860). Consejero ponente Mauricio Fajardo Gómez. </w:t>
            </w:r>
          </w:p>
        </w:tc>
      </w:tr>
    </w:tbl>
    <w:p w14:paraId="4017E4C1" w14:textId="77777777" w:rsidR="001B0FB6" w:rsidRPr="008A48B1" w:rsidRDefault="001B0FB6" w:rsidP="001B0FB6">
      <w:pPr>
        <w:widowControl w:val="0"/>
        <w:autoSpaceDE w:val="0"/>
        <w:autoSpaceDN w:val="0"/>
        <w:spacing w:after="0" w:line="276" w:lineRule="auto"/>
        <w:jc w:val="both"/>
        <w:rPr>
          <w:rFonts w:ascii="Verdana" w:eastAsia="Calibri" w:hAnsi="Verdana" w:cs="Arial"/>
        </w:rPr>
      </w:pPr>
    </w:p>
    <w:p w14:paraId="6FAF8E56" w14:textId="77777777" w:rsidR="001B0FB6" w:rsidRPr="008A48B1" w:rsidRDefault="001B0FB6" w:rsidP="001B0FB6">
      <w:pPr>
        <w:numPr>
          <w:ilvl w:val="0"/>
          <w:numId w:val="12"/>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8A48B1">
        <w:rPr>
          <w:rFonts w:ascii="Verdana" w:eastAsia="Century Gothic" w:hAnsi="Verdana" w:cs="Century Gothic"/>
          <w:b/>
          <w:bCs/>
          <w:lang w:val="es-ES"/>
        </w:rPr>
        <w:t>Doctrina de la Agencia Nacional de Contratación Pública:</w:t>
      </w:r>
    </w:p>
    <w:p w14:paraId="3CF46B5C" w14:textId="77777777" w:rsidR="001B0FB6" w:rsidRPr="008A48B1" w:rsidRDefault="001B0FB6" w:rsidP="001B0FB6">
      <w:pPr>
        <w:widowControl w:val="0"/>
        <w:autoSpaceDE w:val="0"/>
        <w:autoSpaceDN w:val="0"/>
        <w:spacing w:after="0" w:line="276" w:lineRule="auto"/>
        <w:jc w:val="both"/>
        <w:rPr>
          <w:rFonts w:ascii="Verdana" w:eastAsia="Calibri" w:hAnsi="Verdana" w:cs="Arial"/>
        </w:rPr>
      </w:pPr>
    </w:p>
    <w:p w14:paraId="07C7747A" w14:textId="77777777" w:rsidR="001B0FB6" w:rsidRPr="008A48B1" w:rsidRDefault="001B0FB6" w:rsidP="001B0FB6">
      <w:pPr>
        <w:widowControl w:val="0"/>
        <w:autoSpaceDE w:val="0"/>
        <w:autoSpaceDN w:val="0"/>
        <w:spacing w:after="0" w:line="276" w:lineRule="auto"/>
        <w:jc w:val="both"/>
        <w:rPr>
          <w:rFonts w:ascii="Verdana" w:eastAsia="Calibri" w:hAnsi="Verdana" w:cs="Arial"/>
          <w:shd w:val="clear" w:color="auto" w:fill="FFFFFF"/>
          <w:lang w:val="es-ES_tradnl"/>
        </w:rPr>
      </w:pPr>
      <w:r w:rsidRPr="008A48B1">
        <w:rPr>
          <w:rFonts w:ascii="Verdana" w:eastAsia="Calibri" w:hAnsi="Verdana" w:cs="Arial"/>
          <w:shd w:val="clear" w:color="auto" w:fill="FFFFFF"/>
          <w:lang w:val="es-ES"/>
        </w:rPr>
        <w:t xml:space="preserve">La Agencia Nacional de Contratación Pública – Colombia Compra Eficiente </w:t>
      </w:r>
      <w:r w:rsidRPr="008A48B1">
        <w:rPr>
          <w:rFonts w:ascii="Verdana" w:eastAsia="Calibri" w:hAnsi="Verdana" w:cs="Arial"/>
          <w:shd w:val="clear" w:color="auto" w:fill="FFFFFF"/>
        </w:rPr>
        <w:t xml:space="preserve">se ha pronunciado en diferentes conceptos, estudió la figura del convenio interadministrativo, entre otros, en los conceptos: 4201913000004536 del 27 de julio de 2019, C−023 del 3 de febrero de 2020, C−702 del 11 de diciembre de 2020, C-097 de 23 de marzo de 2021, C-350 del 16 de julio de 2021, C-355 del 27 de julio de 2021, C-012 del 18 de febrero de 2022 y C-097 de junio de 2024. </w:t>
      </w:r>
      <w:r w:rsidRPr="008A48B1">
        <w:rPr>
          <w:rFonts w:ascii="Verdana" w:eastAsia="Calibri" w:hAnsi="Verdana" w:cs="Arial"/>
          <w:shd w:val="clear" w:color="auto" w:fill="FFFFFF"/>
          <w:lang w:val="es-ES_tradnl"/>
        </w:rPr>
        <w:t>Algunas de las consideraciones de estos conceptos se reiteran y se complementan en lo pertinente para dar respuesta a su consulta.</w:t>
      </w:r>
    </w:p>
    <w:p w14:paraId="09CC2DD0" w14:textId="77777777" w:rsidR="001B0FB6" w:rsidRPr="008A48B1" w:rsidRDefault="001B0FB6" w:rsidP="001B0FB6">
      <w:pPr>
        <w:widowControl w:val="0"/>
        <w:autoSpaceDE w:val="0"/>
        <w:autoSpaceDN w:val="0"/>
        <w:spacing w:after="0" w:line="276" w:lineRule="auto"/>
        <w:jc w:val="both"/>
        <w:rPr>
          <w:rFonts w:ascii="Verdana" w:eastAsia="Calibri" w:hAnsi="Verdana" w:cs="Arial"/>
          <w:shd w:val="clear" w:color="auto" w:fill="FFFFFF"/>
          <w:lang w:val="es-ES_tradnl"/>
        </w:rPr>
      </w:pPr>
    </w:p>
    <w:p w14:paraId="79062E98" w14:textId="77777777" w:rsidR="001B0FB6" w:rsidRPr="008A48B1" w:rsidRDefault="001B0FB6" w:rsidP="001B0FB6">
      <w:pPr>
        <w:widowControl w:val="0"/>
        <w:autoSpaceDE w:val="0"/>
        <w:autoSpaceDN w:val="0"/>
        <w:spacing w:after="0" w:line="276" w:lineRule="auto"/>
        <w:jc w:val="both"/>
        <w:rPr>
          <w:rFonts w:ascii="Calibri" w:eastAsia="Calibri" w:hAnsi="Calibri" w:cs="Times New Roman"/>
          <w:color w:val="FF0000"/>
          <w:lang w:val="es-ES"/>
        </w:rPr>
      </w:pPr>
      <w:r w:rsidRPr="008A48B1">
        <w:rPr>
          <w:rFonts w:ascii="Verdana" w:eastAsia="Calibri" w:hAnsi="Verdana" w:cs="Arial"/>
          <w:shd w:val="clear" w:color="auto" w:fill="FFFFFF"/>
          <w:lang w:val="es-ES"/>
        </w:rPr>
        <w:t>Es</w:t>
      </w:r>
      <w:r w:rsidRPr="008A48B1">
        <w:rPr>
          <w:rFonts w:ascii="Verdana" w:eastAsia="Calibri" w:hAnsi="Verdana" w:cs="Times New Roman"/>
        </w:rPr>
        <w:t>tos y otros conceptos se encuentran disponibles para consulta en el Sistema de relatoría de la Agencia, al cual se puede acceder a través del siguiente enlace:</w:t>
      </w:r>
      <w:r w:rsidRPr="008A48B1">
        <w:rPr>
          <w:rFonts w:ascii="Verdana" w:eastAsia="Calibri" w:hAnsi="Verdana" w:cs="Arial"/>
          <w:shd w:val="clear" w:color="auto" w:fill="FFFFFF"/>
          <w:lang w:val="es-ES"/>
        </w:rPr>
        <w:t xml:space="preserve"> </w:t>
      </w:r>
      <w:hyperlink r:id="rId13" w:history="1">
        <w:r w:rsidRPr="008A48B1">
          <w:rPr>
            <w:rFonts w:ascii="Verdana" w:eastAsia="Calibri" w:hAnsi="Verdana" w:cs="Arial"/>
            <w:color w:val="0563C1" w:themeColor="hyperlink"/>
            <w:u w:val="single"/>
            <w:shd w:val="clear" w:color="auto" w:fill="FFFFFF"/>
            <w:lang w:val="es-ES"/>
          </w:rPr>
          <w:t>https://relatoria.colombiacompra.gov.co/busqueda/conceptos</w:t>
        </w:r>
      </w:hyperlink>
      <w:r w:rsidRPr="008A48B1">
        <w:rPr>
          <w:rFonts w:ascii="Verdana" w:eastAsia="Calibri" w:hAnsi="Verdana" w:cs="Arial"/>
          <w:color w:val="FF0000"/>
          <w:shd w:val="clear" w:color="auto" w:fill="FFFFFF"/>
          <w:lang w:val="es-ES"/>
        </w:rPr>
        <w:t xml:space="preserve">. </w:t>
      </w:r>
    </w:p>
    <w:p w14:paraId="7D367999" w14:textId="77777777" w:rsidR="001B0FB6" w:rsidRPr="008A48B1" w:rsidRDefault="001B0FB6" w:rsidP="001B0FB6">
      <w:pPr>
        <w:spacing w:after="0" w:line="240" w:lineRule="auto"/>
        <w:jc w:val="both"/>
        <w:rPr>
          <w:rFonts w:ascii="Verdana" w:eastAsia="Calibri" w:hAnsi="Verdana" w:cs="Arial"/>
          <w:highlight w:val="yellow"/>
          <w:shd w:val="clear" w:color="auto" w:fill="FFFFFF"/>
        </w:rPr>
      </w:pPr>
    </w:p>
    <w:p w14:paraId="2DE3D081" w14:textId="77777777" w:rsidR="001B0FB6" w:rsidRPr="008A48B1" w:rsidRDefault="001B0FB6" w:rsidP="001B0FB6">
      <w:pPr>
        <w:spacing w:after="0" w:line="240" w:lineRule="auto"/>
        <w:jc w:val="both"/>
        <w:rPr>
          <w:rFonts w:ascii="Verdana" w:eastAsia="Calibri" w:hAnsi="Verdana" w:cs="Arial"/>
          <w:shd w:val="clear" w:color="auto" w:fill="FFFFFF"/>
        </w:rPr>
      </w:pPr>
      <w:r w:rsidRPr="008A48B1">
        <w:rPr>
          <w:rFonts w:ascii="Verdana" w:eastAsia="Calibri" w:hAnsi="Verdana" w:cs="Arial"/>
          <w:shd w:val="clear" w:color="auto" w:fill="FFFFFF"/>
        </w:rPr>
        <w:t>"También le recomendamos consultar las versiones I y II de 2024 del Boletín de Relatoría de la Subdirección de Gestión Contractual, las cuales puede descargar en la página web de la Agencia: </w:t>
      </w:r>
      <w:hyperlink r:id="rId14" w:tgtFrame="_blank" w:tooltip="Dirección URL original: https://www.colombiacompra.gov.co/sala-de-prensa/boletin-digital. Haga clic o pulse si confía en este vínculo." w:history="1">
        <w:r w:rsidRPr="008A48B1">
          <w:rPr>
            <w:rFonts w:ascii="Verdana" w:eastAsia="Calibri" w:hAnsi="Verdana" w:cs="Arial"/>
            <w:u w:val="single"/>
            <w:shd w:val="clear" w:color="auto" w:fill="FFFFFF"/>
          </w:rPr>
          <w:t>https://www.colombiacompra.gov.co/sala-de-prensa/boletin-digital</w:t>
        </w:r>
      </w:hyperlink>
      <w:r w:rsidRPr="008A48B1">
        <w:rPr>
          <w:rFonts w:ascii="Verdana" w:eastAsia="Calibri" w:hAnsi="Verdana" w:cs="Arial"/>
          <w:shd w:val="clear" w:color="auto" w:fill="FFFFFF"/>
        </w:rPr>
        <w:t xml:space="preserve">. </w:t>
      </w:r>
    </w:p>
    <w:p w14:paraId="17C2AA53" w14:textId="77777777" w:rsidR="001B0FB6" w:rsidRPr="008A48B1" w:rsidRDefault="001B0FB6" w:rsidP="001B0FB6">
      <w:pPr>
        <w:spacing w:after="0" w:line="240" w:lineRule="auto"/>
        <w:jc w:val="both"/>
        <w:rPr>
          <w:rFonts w:ascii="Verdana" w:eastAsia="Calibri" w:hAnsi="Verdana" w:cs="Arial"/>
          <w:shd w:val="clear" w:color="auto" w:fill="FFFFFF"/>
        </w:rPr>
      </w:pPr>
    </w:p>
    <w:p w14:paraId="220CF43E" w14:textId="77777777" w:rsidR="001B0FB6" w:rsidRPr="008A48B1" w:rsidRDefault="001B0FB6" w:rsidP="001B0FB6">
      <w:pPr>
        <w:spacing w:after="0" w:line="240" w:lineRule="auto"/>
        <w:jc w:val="both"/>
        <w:rPr>
          <w:rFonts w:ascii="Verdana" w:eastAsia="Calibri" w:hAnsi="Verdana" w:cs="Arial"/>
          <w:shd w:val="clear" w:color="auto" w:fill="FFFFFF"/>
        </w:rPr>
      </w:pPr>
      <w:r w:rsidRPr="008A48B1">
        <w:rPr>
          <w:rFonts w:ascii="Verdana" w:eastAsia="Calibri" w:hAnsi="Verdana" w:cs="Arial"/>
          <w:shd w:val="clear" w:color="auto" w:fill="FFFFFF"/>
        </w:rPr>
        <w:t>Por otro lado, le contamos que ampliamos hasta el </w:t>
      </w:r>
      <w:r w:rsidRPr="008A48B1">
        <w:rPr>
          <w:rFonts w:ascii="Verdana" w:eastAsia="Calibri" w:hAnsi="Verdana" w:cs="Arial"/>
          <w:b/>
          <w:bCs/>
          <w:shd w:val="clear" w:color="auto" w:fill="FFFFFF"/>
        </w:rPr>
        <w:t>19 de julio de 2024</w:t>
      </w:r>
      <w:r w:rsidRPr="008A48B1">
        <w:rPr>
          <w:rFonts w:ascii="Verdana" w:eastAsia="Calibri" w:hAnsi="Verdana" w:cs="Arial"/>
          <w:shd w:val="clear" w:color="auto" w:fill="FFFFFF"/>
        </w:rPr>
        <w:t> el periodo para recibir observaciones a los borradores de los próximas versiones de los </w:t>
      </w:r>
      <w:r w:rsidRPr="008A48B1">
        <w:rPr>
          <w:rFonts w:ascii="Verdana" w:eastAsia="Calibri" w:hAnsi="Verdana" w:cs="Arial"/>
          <w:b/>
          <w:bCs/>
          <w:shd w:val="clear" w:color="auto" w:fill="FFFFFF"/>
        </w:rPr>
        <w:t xml:space="preserve">documentos tipo para la contratación obras públicas de </w:t>
      </w:r>
      <w:r w:rsidRPr="008A48B1">
        <w:rPr>
          <w:rFonts w:ascii="Verdana" w:eastAsia="Calibri" w:hAnsi="Verdana" w:cs="Arial"/>
          <w:b/>
          <w:bCs/>
          <w:shd w:val="clear" w:color="auto" w:fill="FFFFFF"/>
        </w:rPr>
        <w:lastRenderedPageBreak/>
        <w:t>infraestructura de transporte en las modalidades de licitación pública, selección abreviada y mínima cuantía</w:t>
      </w:r>
      <w:r w:rsidRPr="008A48B1">
        <w:rPr>
          <w:rFonts w:ascii="Verdana" w:eastAsia="Calibri" w:hAnsi="Verdana" w:cs="Arial"/>
          <w:shd w:val="clear" w:color="auto" w:fill="FFFFFF"/>
        </w:rPr>
        <w:t>, por lo que le invitamos a realizar sus comentarios a través del siguiente enlace: </w:t>
      </w:r>
      <w:hyperlink r:id="rId15" w:tgtFrame="_blank" w:tooltip="Dirección URL original: https://www.colombiacompra.gov.co/documentos-tipo/documentos-tipo. Haga clic o pulse si confía en este vínculo." w:history="1">
        <w:r w:rsidRPr="008A48B1">
          <w:rPr>
            <w:rFonts w:ascii="Verdana" w:eastAsia="Calibri" w:hAnsi="Verdana" w:cs="Arial"/>
            <w:u w:val="single"/>
            <w:shd w:val="clear" w:color="auto" w:fill="FFFFFF"/>
          </w:rPr>
          <w:t>https://www.colombiacompra.gov.co/documentos-tipo/documentos-tipo</w:t>
        </w:r>
      </w:hyperlink>
      <w:r w:rsidRPr="008A48B1">
        <w:rPr>
          <w:rFonts w:ascii="Verdana" w:eastAsia="Calibri" w:hAnsi="Verdana" w:cs="Arial"/>
          <w:shd w:val="clear" w:color="auto" w:fill="FFFFFF"/>
        </w:rPr>
        <w:t> "  </w:t>
      </w:r>
    </w:p>
    <w:p w14:paraId="6602A9F1" w14:textId="77777777" w:rsidR="001B0FB6" w:rsidRPr="008A48B1" w:rsidRDefault="001B0FB6" w:rsidP="001B0FB6">
      <w:pPr>
        <w:spacing w:after="0" w:line="240" w:lineRule="auto"/>
        <w:jc w:val="both"/>
        <w:rPr>
          <w:rFonts w:ascii="Verdana" w:eastAsia="Calibri" w:hAnsi="Verdana" w:cs="Arial"/>
          <w:color w:val="FF0000"/>
          <w:shd w:val="clear" w:color="auto" w:fill="FFFFFF"/>
        </w:rPr>
      </w:pPr>
    </w:p>
    <w:p w14:paraId="0F3E5DF7" w14:textId="77777777" w:rsidR="001B0FB6" w:rsidRPr="008A48B1" w:rsidRDefault="001B0FB6" w:rsidP="001B0FB6">
      <w:pPr>
        <w:spacing w:after="0" w:line="240" w:lineRule="auto"/>
        <w:jc w:val="both"/>
        <w:rPr>
          <w:rFonts w:ascii="Calibri" w:eastAsia="Calibri" w:hAnsi="Calibri" w:cs="Times New Roman"/>
        </w:rPr>
      </w:pPr>
      <w:r w:rsidRPr="008A48B1">
        <w:rPr>
          <w:rFonts w:ascii="Verdana" w:eastAsia="Calibri" w:hAnsi="Verdana" w:cs="Times New Roman"/>
        </w:rPr>
        <w:t xml:space="preserve">Por último, lo invitamos a seguirnos en las redes sociales en las cuales se difunde información institucional: </w:t>
      </w:r>
    </w:p>
    <w:p w14:paraId="66A79748" w14:textId="77777777" w:rsidR="001B0FB6" w:rsidRPr="008A48B1" w:rsidRDefault="001B0FB6" w:rsidP="001B0FB6">
      <w:pPr>
        <w:spacing w:after="0" w:line="240" w:lineRule="auto"/>
        <w:jc w:val="both"/>
        <w:rPr>
          <w:rFonts w:ascii="Verdana" w:eastAsia="Calibri" w:hAnsi="Verdana" w:cs="Times New Roman"/>
        </w:rPr>
      </w:pPr>
    </w:p>
    <w:p w14:paraId="46639B18" w14:textId="77777777" w:rsidR="001B0FB6" w:rsidRPr="008A48B1" w:rsidRDefault="001B0FB6" w:rsidP="001B0FB6">
      <w:pPr>
        <w:spacing w:after="0" w:line="240" w:lineRule="auto"/>
        <w:jc w:val="both"/>
        <w:rPr>
          <w:rFonts w:ascii="Verdana" w:eastAsia="Calibri" w:hAnsi="Verdana" w:cs="Times New Roman"/>
        </w:rPr>
      </w:pPr>
      <w:r w:rsidRPr="008A48B1">
        <w:rPr>
          <w:rFonts w:ascii="Verdana" w:eastAsia="Calibri" w:hAnsi="Verdana" w:cs="Times New Roman"/>
        </w:rPr>
        <w:t xml:space="preserve">Twitter: </w:t>
      </w:r>
      <w:r w:rsidRPr="008A48B1">
        <w:rPr>
          <w:rFonts w:ascii="Verdana" w:eastAsia="Calibri" w:hAnsi="Verdana" w:cs="Times New Roman"/>
          <w:color w:val="4472C4" w:themeColor="accent1"/>
          <w:u w:val="single"/>
        </w:rPr>
        <w:t>@colombiacompra</w:t>
      </w:r>
      <w:r w:rsidRPr="008A48B1">
        <w:rPr>
          <w:rFonts w:ascii="Verdana" w:eastAsia="Calibri" w:hAnsi="Verdana" w:cs="Times New Roman"/>
          <w:color w:val="4472C4" w:themeColor="accent1"/>
        </w:rPr>
        <w:t xml:space="preserve"> </w:t>
      </w:r>
    </w:p>
    <w:p w14:paraId="7641BDCF" w14:textId="77777777" w:rsidR="001B0FB6" w:rsidRPr="008A48B1" w:rsidRDefault="001B0FB6" w:rsidP="001B0FB6">
      <w:pPr>
        <w:spacing w:after="0" w:line="240" w:lineRule="auto"/>
        <w:jc w:val="both"/>
        <w:rPr>
          <w:rFonts w:ascii="Verdana" w:eastAsia="Calibri" w:hAnsi="Verdana" w:cs="Times New Roman"/>
        </w:rPr>
      </w:pPr>
      <w:r w:rsidRPr="008A48B1">
        <w:rPr>
          <w:rFonts w:ascii="Verdana" w:eastAsia="Calibri" w:hAnsi="Verdana" w:cs="Times New Roman"/>
        </w:rPr>
        <w:t xml:space="preserve">Facebook: </w:t>
      </w:r>
      <w:r w:rsidRPr="008A48B1">
        <w:rPr>
          <w:rFonts w:ascii="Verdana" w:eastAsia="Calibri" w:hAnsi="Verdana" w:cs="Times New Roman"/>
          <w:color w:val="4472C4" w:themeColor="accent1"/>
          <w:u w:val="single"/>
        </w:rPr>
        <w:t>ColombiaCompraEficiente</w:t>
      </w:r>
    </w:p>
    <w:p w14:paraId="531BA316" w14:textId="77777777" w:rsidR="001B0FB6" w:rsidRPr="008A48B1" w:rsidRDefault="001B0FB6" w:rsidP="001B0FB6">
      <w:pPr>
        <w:spacing w:after="0" w:line="240" w:lineRule="auto"/>
        <w:jc w:val="both"/>
        <w:rPr>
          <w:rFonts w:ascii="Verdana" w:eastAsia="Calibri" w:hAnsi="Verdana" w:cs="Times New Roman"/>
        </w:rPr>
      </w:pPr>
      <w:r w:rsidRPr="008A48B1">
        <w:rPr>
          <w:rFonts w:ascii="Verdana" w:eastAsia="Calibri" w:hAnsi="Verdana" w:cs="Times New Roman"/>
        </w:rPr>
        <w:t xml:space="preserve">LinkedIn: </w:t>
      </w:r>
      <w:r w:rsidRPr="008A48B1">
        <w:rPr>
          <w:rFonts w:ascii="Verdana" w:eastAsia="Calibri" w:hAnsi="Verdana" w:cs="Times New Roman"/>
          <w:color w:val="4472C4" w:themeColor="accent1"/>
          <w:u w:val="single"/>
        </w:rPr>
        <w:t>Agencia Nacional de Contratación Pública - Colombia Compra Eficiente</w:t>
      </w:r>
      <w:r w:rsidRPr="008A48B1">
        <w:rPr>
          <w:rFonts w:ascii="Verdana" w:eastAsia="Calibri" w:hAnsi="Verdana" w:cs="Times New Roman"/>
          <w:color w:val="4472C4" w:themeColor="accent1"/>
        </w:rPr>
        <w:t xml:space="preserve"> </w:t>
      </w:r>
      <w:r w:rsidRPr="008A48B1">
        <w:rPr>
          <w:rFonts w:ascii="Verdana" w:eastAsia="Calibri" w:hAnsi="Verdana" w:cs="Times New Roman"/>
        </w:rPr>
        <w:t xml:space="preserve">Instagram: </w:t>
      </w:r>
      <w:r w:rsidRPr="008A48B1">
        <w:rPr>
          <w:rFonts w:ascii="Verdana" w:eastAsia="Calibri" w:hAnsi="Verdana" w:cs="Times New Roman"/>
          <w:color w:val="4472C4" w:themeColor="accent1"/>
          <w:u w:val="single"/>
        </w:rPr>
        <w:t>@colombiacompraeficiente_cce</w:t>
      </w:r>
    </w:p>
    <w:p w14:paraId="664C6A9E" w14:textId="77777777" w:rsidR="001B0FB6" w:rsidRPr="008A48B1" w:rsidRDefault="001B0FB6" w:rsidP="001B0FB6">
      <w:pPr>
        <w:widowControl w:val="0"/>
        <w:autoSpaceDE w:val="0"/>
        <w:autoSpaceDN w:val="0"/>
        <w:spacing w:after="0" w:line="276" w:lineRule="auto"/>
        <w:jc w:val="both"/>
        <w:rPr>
          <w:rFonts w:ascii="Verdana" w:eastAsia="Calibri" w:hAnsi="Verdana" w:cs="Arial"/>
        </w:rPr>
      </w:pPr>
    </w:p>
    <w:p w14:paraId="1CA31142" w14:textId="77777777" w:rsidR="001B0FB6" w:rsidRPr="008A48B1" w:rsidRDefault="001B0FB6" w:rsidP="001B0FB6">
      <w:pPr>
        <w:widowControl w:val="0"/>
        <w:autoSpaceDE w:val="0"/>
        <w:autoSpaceDN w:val="0"/>
        <w:spacing w:after="0" w:line="276" w:lineRule="auto"/>
        <w:jc w:val="both"/>
        <w:rPr>
          <w:rFonts w:ascii="Verdana" w:eastAsia="Calibri" w:hAnsi="Verdana" w:cs="Arial"/>
          <w:lang w:val="es-ES_tradnl"/>
        </w:rPr>
      </w:pPr>
      <w:r w:rsidRPr="008A48B1">
        <w:rPr>
          <w:rFonts w:ascii="Verdana" w:eastAsia="Calibri" w:hAnsi="Verdana" w:cs="Arial"/>
        </w:rPr>
        <w:t>Este concepto tiene el alcance previsto en el artículo 28 del Código de Procedimiento Administrativo y de lo Contencioso Administrativo.</w:t>
      </w:r>
    </w:p>
    <w:p w14:paraId="36D9CCFF" w14:textId="77777777" w:rsidR="001B0FB6" w:rsidRPr="008A48B1" w:rsidRDefault="001B0FB6" w:rsidP="001B0FB6">
      <w:pPr>
        <w:widowControl w:val="0"/>
        <w:autoSpaceDE w:val="0"/>
        <w:autoSpaceDN w:val="0"/>
        <w:spacing w:after="0" w:line="276" w:lineRule="auto"/>
        <w:jc w:val="both"/>
        <w:rPr>
          <w:rFonts w:ascii="Verdana" w:eastAsia="Calibri" w:hAnsi="Verdana" w:cs="Arial"/>
        </w:rPr>
      </w:pPr>
    </w:p>
    <w:p w14:paraId="5C9A1911" w14:textId="77777777" w:rsidR="001B0FB6" w:rsidRPr="008A48B1" w:rsidRDefault="001B0FB6" w:rsidP="001B0FB6">
      <w:pPr>
        <w:spacing w:after="0" w:line="240" w:lineRule="auto"/>
        <w:rPr>
          <w:rFonts w:ascii="Verdana" w:eastAsia="Calibri" w:hAnsi="Verdana" w:cs="Arial"/>
          <w:lang w:eastAsia="es-CO"/>
        </w:rPr>
      </w:pPr>
      <w:r w:rsidRPr="008A48B1">
        <w:rPr>
          <w:rFonts w:ascii="Verdana" w:eastAsia="Times New Roman" w:hAnsi="Verdana" w:cs="Arial"/>
          <w:lang w:eastAsia="es-CO"/>
        </w:rPr>
        <w:t>Atentamente,</w:t>
      </w:r>
      <w:r w:rsidRPr="008A48B1">
        <w:rPr>
          <w:rFonts w:ascii="Verdana" w:eastAsia="Calibri" w:hAnsi="Verdana" w:cs="Arial"/>
          <w:lang w:eastAsia="es-CO"/>
        </w:rPr>
        <w:t xml:space="preserve"> </w:t>
      </w:r>
    </w:p>
    <w:p w14:paraId="1EC0977D" w14:textId="63445B4B" w:rsidR="001B0FB6" w:rsidRPr="008A48B1" w:rsidRDefault="00082737" w:rsidP="001B0FB6">
      <w:pPr>
        <w:spacing w:line="276" w:lineRule="auto"/>
        <w:jc w:val="center"/>
        <w:rPr>
          <w:rFonts w:ascii="Verdana" w:eastAsia="Calibri" w:hAnsi="Verdana" w:cs="Arial"/>
          <w:color w:val="000000"/>
          <w:lang w:val="es-ES_tradnl" w:eastAsia="es-CO"/>
        </w:rPr>
      </w:pPr>
      <w:r w:rsidRPr="002C3AD6">
        <w:rPr>
          <w:rFonts w:ascii="Century Gothic" w:hAnsi="Century Gothic"/>
          <w:noProof/>
        </w:rPr>
        <w:drawing>
          <wp:inline distT="0" distB="0" distL="0" distR="0" wp14:anchorId="506F3512" wp14:editId="5553D1C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B0FB6" w:rsidRPr="00B92B39" w14:paraId="4637092F" w14:textId="77777777" w:rsidTr="00C94DEE">
        <w:trPr>
          <w:trHeight w:val="315"/>
        </w:trPr>
        <w:tc>
          <w:tcPr>
            <w:tcW w:w="893" w:type="dxa"/>
            <w:vAlign w:val="center"/>
            <w:hideMark/>
          </w:tcPr>
          <w:p w14:paraId="5D8068FB" w14:textId="77777777" w:rsidR="001B0FB6" w:rsidRPr="00B92B39" w:rsidRDefault="001B0FB6" w:rsidP="00C94DEE">
            <w:pPr>
              <w:spacing w:after="255"/>
              <w:contextualSpacing/>
              <w:rPr>
                <w:rFonts w:ascii="Verdana" w:hAnsi="Verdana" w:cs="Arial"/>
                <w:sz w:val="16"/>
                <w:szCs w:val="16"/>
                <w:lang w:val="es-ES" w:eastAsia="es-ES"/>
              </w:rPr>
            </w:pPr>
            <w:r w:rsidRPr="00B92B3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2484578" w14:textId="77777777" w:rsidR="001B0FB6" w:rsidRPr="00B92B39" w:rsidRDefault="001B0FB6" w:rsidP="00C94DEE">
            <w:pPr>
              <w:spacing w:after="255"/>
              <w:contextualSpacing/>
              <w:rPr>
                <w:rFonts w:ascii="Verdana" w:eastAsia="Arial" w:hAnsi="Verdana" w:cs="Arial"/>
                <w:sz w:val="16"/>
                <w:szCs w:val="16"/>
              </w:rPr>
            </w:pPr>
            <w:r w:rsidRPr="00B92B39">
              <w:rPr>
                <w:rFonts w:ascii="Verdana" w:hAnsi="Verdana"/>
                <w:sz w:val="16"/>
                <w:szCs w:val="16"/>
              </w:rPr>
              <w:t>Juan Manuel Avendaño Robles</w:t>
            </w:r>
          </w:p>
          <w:p w14:paraId="499DCFBB" w14:textId="77777777" w:rsidR="001B0FB6" w:rsidRPr="00B92B39" w:rsidRDefault="001B0FB6" w:rsidP="00C94DEE">
            <w:pPr>
              <w:spacing w:after="255"/>
              <w:contextualSpacing/>
              <w:rPr>
                <w:rFonts w:ascii="Verdana" w:eastAsia="Arial" w:hAnsi="Verdana" w:cs="Arial"/>
                <w:sz w:val="16"/>
                <w:szCs w:val="16"/>
              </w:rPr>
            </w:pPr>
            <w:r w:rsidRPr="00B92B39">
              <w:rPr>
                <w:rFonts w:ascii="Verdana" w:eastAsia="Arial" w:hAnsi="Verdana" w:cs="Arial"/>
                <w:sz w:val="16"/>
                <w:szCs w:val="16"/>
              </w:rPr>
              <w:t>Contratista de la Subdirección de Gestión Contractual</w:t>
            </w:r>
          </w:p>
        </w:tc>
      </w:tr>
      <w:tr w:rsidR="001B0FB6" w:rsidRPr="00B92B39" w14:paraId="172C9D1E" w14:textId="77777777" w:rsidTr="00C94DEE">
        <w:trPr>
          <w:trHeight w:val="330"/>
        </w:trPr>
        <w:tc>
          <w:tcPr>
            <w:tcW w:w="893" w:type="dxa"/>
            <w:vAlign w:val="center"/>
            <w:hideMark/>
          </w:tcPr>
          <w:p w14:paraId="48681828" w14:textId="77777777" w:rsidR="001B0FB6" w:rsidRPr="00B92B39" w:rsidRDefault="001B0FB6" w:rsidP="00C94DEE">
            <w:pPr>
              <w:spacing w:after="255"/>
              <w:contextualSpacing/>
              <w:rPr>
                <w:rFonts w:ascii="Verdana" w:hAnsi="Verdana" w:cs="Arial"/>
                <w:sz w:val="16"/>
                <w:szCs w:val="16"/>
                <w:lang w:val="es-ES" w:eastAsia="es-ES"/>
              </w:rPr>
            </w:pPr>
            <w:r w:rsidRPr="00B92B3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C738654" w14:textId="77777777" w:rsidR="001B0FB6" w:rsidRPr="00B92B39" w:rsidRDefault="001B0FB6" w:rsidP="00C94DEE">
            <w:pPr>
              <w:spacing w:after="255"/>
              <w:contextualSpacing/>
              <w:textAlignment w:val="baseline"/>
              <w:rPr>
                <w:rFonts w:ascii="Verdana" w:eastAsia="Times New Roman" w:hAnsi="Verdana" w:cs="Segoe UI"/>
                <w:sz w:val="16"/>
                <w:szCs w:val="16"/>
                <w:lang w:eastAsia="es-ES_tradnl"/>
              </w:rPr>
            </w:pPr>
            <w:r w:rsidRPr="00B92B39">
              <w:rPr>
                <w:rFonts w:ascii="Verdana" w:eastAsia="Times New Roman" w:hAnsi="Verdana" w:cs="Arial"/>
                <w:sz w:val="16"/>
                <w:szCs w:val="16"/>
                <w:lang w:val="es-ES" w:eastAsia="es-ES_tradnl"/>
              </w:rPr>
              <w:t>Libardo Alberto Verjel De Filippis</w:t>
            </w:r>
          </w:p>
          <w:p w14:paraId="56F52F83" w14:textId="77777777" w:rsidR="001B0FB6" w:rsidRPr="00B92B39" w:rsidRDefault="001B0FB6" w:rsidP="00C94DEE">
            <w:pPr>
              <w:contextualSpacing/>
              <w:textAlignment w:val="baseline"/>
              <w:rPr>
                <w:rFonts w:ascii="Verdana" w:eastAsia="Times New Roman" w:hAnsi="Verdana" w:cs="Segoe UI"/>
                <w:sz w:val="16"/>
                <w:szCs w:val="16"/>
                <w:lang w:eastAsia="es-ES_tradnl"/>
              </w:rPr>
            </w:pPr>
            <w:r w:rsidRPr="00B92B39">
              <w:rPr>
                <w:rFonts w:ascii="Verdana" w:eastAsia="Arial" w:hAnsi="Verdana" w:cs="Arial"/>
                <w:sz w:val="16"/>
                <w:szCs w:val="16"/>
                <w:lang w:eastAsia="es-ES_tradnl"/>
              </w:rPr>
              <w:t>Experto G3- 08 de la Subdirección de Gestión Contractual</w:t>
            </w:r>
          </w:p>
        </w:tc>
      </w:tr>
      <w:tr w:rsidR="001B0FB6" w:rsidRPr="00B92B39" w14:paraId="60E7BCD3" w14:textId="77777777" w:rsidTr="00C94DEE">
        <w:trPr>
          <w:trHeight w:val="300"/>
        </w:trPr>
        <w:tc>
          <w:tcPr>
            <w:tcW w:w="893" w:type="dxa"/>
            <w:vAlign w:val="center"/>
            <w:hideMark/>
          </w:tcPr>
          <w:p w14:paraId="25944A49" w14:textId="77777777" w:rsidR="001B0FB6" w:rsidRPr="00B92B39" w:rsidRDefault="001B0FB6" w:rsidP="00C94DEE">
            <w:pPr>
              <w:spacing w:after="255"/>
              <w:contextualSpacing/>
              <w:rPr>
                <w:rFonts w:ascii="Verdana" w:hAnsi="Verdana" w:cs="Arial"/>
                <w:sz w:val="16"/>
                <w:szCs w:val="16"/>
                <w:lang w:val="es-ES" w:eastAsia="es-ES"/>
              </w:rPr>
            </w:pPr>
            <w:r w:rsidRPr="00B92B3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4F2A9D0" w14:textId="77777777" w:rsidR="001B0FB6" w:rsidRPr="00B92B39" w:rsidRDefault="001B0FB6" w:rsidP="00C94DEE">
            <w:pPr>
              <w:spacing w:after="255"/>
              <w:contextualSpacing/>
              <w:rPr>
                <w:rFonts w:ascii="Verdana" w:hAnsi="Verdana" w:cs="Arial"/>
                <w:sz w:val="16"/>
                <w:szCs w:val="16"/>
                <w:lang w:val="pt-BR" w:eastAsia="es-ES"/>
              </w:rPr>
            </w:pPr>
            <w:r w:rsidRPr="00B92B39">
              <w:rPr>
                <w:rFonts w:ascii="Verdana" w:hAnsi="Verdana" w:cs="Arial"/>
                <w:sz w:val="16"/>
                <w:szCs w:val="16"/>
                <w:lang w:val="pt-BR" w:eastAsia="es-ES"/>
              </w:rPr>
              <w:t>Carolina Quintero Gacharná</w:t>
            </w:r>
          </w:p>
          <w:p w14:paraId="2C695B7E" w14:textId="77777777" w:rsidR="001B0FB6" w:rsidRPr="00B92B39" w:rsidRDefault="001B0FB6" w:rsidP="00C94DEE">
            <w:pPr>
              <w:spacing w:after="255"/>
              <w:contextualSpacing/>
              <w:rPr>
                <w:rFonts w:ascii="Verdana" w:hAnsi="Verdana" w:cs="Arial"/>
                <w:sz w:val="16"/>
                <w:szCs w:val="16"/>
                <w:lang w:val="pt-BR" w:eastAsia="es-ES"/>
              </w:rPr>
            </w:pPr>
            <w:r w:rsidRPr="00B92B39">
              <w:rPr>
                <w:rFonts w:ascii="Verdana" w:hAnsi="Verdana" w:cs="Arial"/>
                <w:sz w:val="16"/>
                <w:szCs w:val="16"/>
                <w:lang w:eastAsia="es-ES"/>
              </w:rPr>
              <w:t>Subdirectora</w:t>
            </w:r>
            <w:r w:rsidRPr="00B92B39">
              <w:rPr>
                <w:rFonts w:ascii="Verdana" w:hAnsi="Verdana" w:cs="Arial"/>
                <w:sz w:val="16"/>
                <w:szCs w:val="16"/>
                <w:lang w:val="pt-BR" w:eastAsia="es-ES"/>
              </w:rPr>
              <w:t xml:space="preserve"> de Gestión Contractual ANCP – CCE</w:t>
            </w:r>
          </w:p>
        </w:tc>
      </w:tr>
    </w:tbl>
    <w:p w14:paraId="3543D281" w14:textId="77777777" w:rsidR="001B0FB6" w:rsidRPr="008A48B1" w:rsidRDefault="001B0FB6" w:rsidP="001B0FB6"/>
    <w:p w14:paraId="05EF6F44" w14:textId="77777777" w:rsidR="001B0FB6" w:rsidRPr="008A48B1" w:rsidRDefault="001B0FB6" w:rsidP="001B0FB6"/>
    <w:p w14:paraId="0083C991" w14:textId="5C765C2F" w:rsidR="5D8505AD" w:rsidRPr="001B0FB6" w:rsidRDefault="5D8505AD" w:rsidP="001B0FB6"/>
    <w:sectPr w:rsidR="5D8505AD" w:rsidRPr="001B0FB6" w:rsidSect="00E45F4B">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B7C5ED" w14:textId="77777777" w:rsidR="00676CD8" w:rsidRDefault="00676CD8" w:rsidP="00B30448">
      <w:pPr>
        <w:spacing w:after="0" w:line="240" w:lineRule="auto"/>
      </w:pPr>
      <w:r>
        <w:separator/>
      </w:r>
    </w:p>
  </w:endnote>
  <w:endnote w:type="continuationSeparator" w:id="0">
    <w:p w14:paraId="7C70F432" w14:textId="77777777" w:rsidR="00676CD8" w:rsidRDefault="00676CD8" w:rsidP="00B30448">
      <w:pPr>
        <w:spacing w:after="0" w:line="240" w:lineRule="auto"/>
      </w:pPr>
      <w:r>
        <w:continuationSeparator/>
      </w:r>
    </w:p>
  </w:endnote>
  <w:endnote w:type="continuationNotice" w:id="1">
    <w:p w14:paraId="1F6DB4D5" w14:textId="77777777" w:rsidR="00676CD8" w:rsidRDefault="00676CD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charset w:val="00"/>
    <w:family w:val="modern"/>
    <w:pitch w:val="variable"/>
    <w:sig w:usb0="A000002F" w:usb1="1000004A" w:usb2="00000000" w:usb3="00000000" w:csb0="00000193"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13CD32" w14:textId="77777777" w:rsidR="00676CD8" w:rsidRDefault="00676CD8" w:rsidP="00B30448">
      <w:pPr>
        <w:spacing w:after="0" w:line="240" w:lineRule="auto"/>
      </w:pPr>
      <w:r>
        <w:separator/>
      </w:r>
    </w:p>
  </w:footnote>
  <w:footnote w:type="continuationSeparator" w:id="0">
    <w:p w14:paraId="2E9F0B81" w14:textId="77777777" w:rsidR="00676CD8" w:rsidRDefault="00676CD8" w:rsidP="00B30448">
      <w:pPr>
        <w:spacing w:after="0" w:line="240" w:lineRule="auto"/>
      </w:pPr>
      <w:r>
        <w:continuationSeparator/>
      </w:r>
    </w:p>
  </w:footnote>
  <w:footnote w:type="continuationNotice" w:id="1">
    <w:p w14:paraId="77188AA8" w14:textId="77777777" w:rsidR="00676CD8" w:rsidRDefault="00676CD8">
      <w:pPr>
        <w:spacing w:after="0" w:line="240" w:lineRule="auto"/>
      </w:pPr>
    </w:p>
  </w:footnote>
  <w:footnote w:id="2">
    <w:p w14:paraId="56F3BD91" w14:textId="77777777" w:rsidR="001B0FB6" w:rsidRPr="00F13F64" w:rsidRDefault="001B0FB6" w:rsidP="001B0FB6">
      <w:pPr>
        <w:pStyle w:val="Textonotapie"/>
        <w:jc w:val="both"/>
        <w:rPr>
          <w:rFonts w:ascii="Verdana" w:hAnsi="Verdana"/>
          <w:sz w:val="16"/>
          <w:szCs w:val="16"/>
          <w:lang w:val="es-ES"/>
        </w:rPr>
      </w:pPr>
      <w:r w:rsidRPr="00F13F64">
        <w:rPr>
          <w:rStyle w:val="Refdenotaalpie"/>
          <w:rFonts w:ascii="Verdana" w:hAnsi="Verdana"/>
          <w:sz w:val="16"/>
          <w:szCs w:val="16"/>
        </w:rPr>
        <w:footnoteRef/>
      </w:r>
      <w:r w:rsidRPr="00F13F64">
        <w:rPr>
          <w:rFonts w:ascii="Verdana" w:hAnsi="Verdana"/>
          <w:sz w:val="16"/>
          <w:szCs w:val="16"/>
        </w:rPr>
        <w:t xml:space="preserve"> </w:t>
      </w:r>
      <w:r w:rsidRPr="00F13F64">
        <w:rPr>
          <w:rFonts w:ascii="Verdana" w:hAnsi="Verdana"/>
          <w:sz w:val="16"/>
          <w:szCs w:val="16"/>
          <w:lang w:val="es-ES"/>
        </w:rPr>
        <w:t>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5FBC4528" w14:textId="77777777" w:rsidR="001B0FB6" w:rsidRPr="00F13F64" w:rsidRDefault="001B0FB6" w:rsidP="001B0FB6">
      <w:pPr>
        <w:pStyle w:val="Textonotapie"/>
        <w:jc w:val="both"/>
        <w:rPr>
          <w:rFonts w:ascii="Verdana" w:hAnsi="Verdana"/>
          <w:sz w:val="16"/>
          <w:szCs w:val="16"/>
          <w:lang w:val="es-ES"/>
        </w:rPr>
      </w:pPr>
      <w:r w:rsidRPr="00F13F64">
        <w:rPr>
          <w:rFonts w:ascii="Verdana" w:hAnsi="Verdana"/>
          <w:sz w:val="16"/>
          <w:szCs w:val="16"/>
          <w:lang w:val="es-CO"/>
        </w:rPr>
        <w:t>“</w:t>
      </w:r>
      <w:r w:rsidRPr="00F13F64">
        <w:rPr>
          <w:rFonts w:ascii="Verdana" w:hAnsi="Verdana"/>
          <w:sz w:val="16"/>
          <w:szCs w:val="16"/>
          <w:lang w:val="es-ES"/>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footnote>
  <w:footnote w:id="3">
    <w:p w14:paraId="54B5F56F" w14:textId="77777777" w:rsidR="001B0FB6" w:rsidRPr="00F13F64" w:rsidRDefault="001B0FB6" w:rsidP="001B0FB6">
      <w:pPr>
        <w:pStyle w:val="Textonotapie"/>
        <w:jc w:val="both"/>
        <w:rPr>
          <w:rFonts w:ascii="Verdana" w:hAnsi="Verdana"/>
          <w:sz w:val="16"/>
          <w:szCs w:val="16"/>
          <w:lang w:val="es-CO"/>
        </w:rPr>
      </w:pPr>
      <w:r w:rsidRPr="00F13F64">
        <w:rPr>
          <w:rStyle w:val="Refdenotaalpie"/>
          <w:rFonts w:ascii="Verdana" w:hAnsi="Verdana"/>
          <w:sz w:val="16"/>
          <w:szCs w:val="16"/>
        </w:rPr>
        <w:footnoteRef/>
      </w:r>
      <w:r w:rsidRPr="00F13F64">
        <w:rPr>
          <w:rFonts w:ascii="Verdana" w:hAnsi="Verdana"/>
          <w:sz w:val="16"/>
          <w:szCs w:val="16"/>
        </w:rPr>
        <w:t xml:space="preserve"> </w:t>
      </w:r>
      <w:r w:rsidRPr="00F13F64">
        <w:rPr>
          <w:rFonts w:ascii="Verdana" w:hAnsi="Verdana"/>
          <w:sz w:val="16"/>
          <w:szCs w:val="16"/>
          <w:lang w:val="es-CO"/>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4">
    <w:p w14:paraId="63957E5C" w14:textId="77777777" w:rsidR="001B0FB6" w:rsidRPr="006C5864" w:rsidRDefault="001B0FB6" w:rsidP="001B0FB6">
      <w:pPr>
        <w:pStyle w:val="Textonotapie"/>
        <w:rPr>
          <w:sz w:val="12"/>
          <w:szCs w:val="12"/>
          <w:lang w:val="es-CO"/>
        </w:rPr>
      </w:pPr>
      <w:r w:rsidRPr="00881CAA">
        <w:rPr>
          <w:rStyle w:val="Refdenotaalpie"/>
        </w:rPr>
        <w:footnoteRef/>
      </w:r>
      <w:r w:rsidRPr="00881CAA">
        <w:t xml:space="preserve"> </w:t>
      </w:r>
      <w:bookmarkStart w:id="2" w:name="_Hlk104405774"/>
      <w:r w:rsidRPr="00881CAA">
        <w:rPr>
          <w:lang w:val="es-CO"/>
        </w:rPr>
        <w:t>Consejo de Estado. Sección Tercera. Sentencia del 23 de junio de 2010. Radicación No. 66001-23-31-000-1998-00261-01(17.860). Consejero Ponente: Mauricio Fajardo Gómez.</w:t>
      </w:r>
      <w:bookmarkEnd w:id="2"/>
    </w:p>
  </w:footnote>
  <w:footnote w:id="5">
    <w:p w14:paraId="791D83DB" w14:textId="77777777" w:rsidR="001B0FB6" w:rsidRPr="006C5864" w:rsidRDefault="001B0FB6" w:rsidP="001B0FB6">
      <w:pPr>
        <w:pStyle w:val="Textonotapie"/>
        <w:rPr>
          <w:sz w:val="12"/>
          <w:szCs w:val="12"/>
          <w:lang w:val="es-ES"/>
        </w:rPr>
      </w:pPr>
      <w:r w:rsidRPr="006C5864">
        <w:rPr>
          <w:rStyle w:val="Refdenotaalpie"/>
          <w:sz w:val="12"/>
          <w:szCs w:val="12"/>
        </w:rPr>
        <w:footnoteRef/>
      </w:r>
      <w:r w:rsidRPr="006C5864">
        <w:rPr>
          <w:sz w:val="12"/>
          <w:szCs w:val="12"/>
        </w:rPr>
        <w:t xml:space="preserve"> </w:t>
      </w:r>
      <w:r w:rsidRPr="006C5864">
        <w:rPr>
          <w:sz w:val="12"/>
          <w:szCs w:val="12"/>
          <w:lang w:val="es-ES"/>
        </w:rPr>
        <w:t>DEIK ACOSTAMADIEDO, Carolina, Guía de Contratación Estatal: Deber de planeación y modalidades de selección, Buenos Aires, 2015, p. 59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69791B"/>
    <w:multiLevelType w:val="hybridMultilevel"/>
    <w:tmpl w:val="87F0AAC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30F7A16"/>
    <w:multiLevelType w:val="hybridMultilevel"/>
    <w:tmpl w:val="DBFCED9A"/>
    <w:lvl w:ilvl="0" w:tplc="DDDAA05C">
      <w:start w:val="1"/>
      <w:numFmt w:val="decimal"/>
      <w:lvlText w:val="%1."/>
      <w:lvlJc w:val="left"/>
      <w:pPr>
        <w:ind w:left="545" w:hanging="284"/>
        <w:jc w:val="left"/>
      </w:pPr>
      <w:rPr>
        <w:rFonts w:ascii="Verdana" w:eastAsia="Verdana" w:hAnsi="Verdana" w:cs="Verdana" w:hint="default"/>
        <w:b/>
        <w:bCs/>
        <w:i w:val="0"/>
        <w:iCs w:val="0"/>
        <w:spacing w:val="-1"/>
        <w:w w:val="99"/>
        <w:sz w:val="22"/>
        <w:szCs w:val="22"/>
        <w:lang w:val="es-ES" w:eastAsia="en-US" w:bidi="ar-SA"/>
      </w:rPr>
    </w:lvl>
    <w:lvl w:ilvl="1" w:tplc="956CBD8C">
      <w:numFmt w:val="bullet"/>
      <w:lvlText w:val="o"/>
      <w:lvlJc w:val="left"/>
      <w:pPr>
        <w:ind w:left="502" w:hanging="360"/>
      </w:pPr>
      <w:rPr>
        <w:rFonts w:ascii="Courier New" w:eastAsia="Courier New" w:hAnsi="Courier New" w:cs="Courier New" w:hint="default"/>
        <w:b w:val="0"/>
        <w:bCs w:val="0"/>
        <w:i w:val="0"/>
        <w:iCs w:val="0"/>
        <w:spacing w:val="0"/>
        <w:w w:val="99"/>
        <w:sz w:val="20"/>
        <w:szCs w:val="20"/>
        <w:lang w:val="es-ES" w:eastAsia="en-US" w:bidi="ar-SA"/>
      </w:rPr>
    </w:lvl>
    <w:lvl w:ilvl="2" w:tplc="1D20BA22">
      <w:numFmt w:val="bullet"/>
      <w:lvlText w:val="•"/>
      <w:lvlJc w:val="left"/>
      <w:pPr>
        <w:ind w:left="1848" w:hanging="360"/>
      </w:pPr>
      <w:rPr>
        <w:rFonts w:hint="default"/>
        <w:lang w:val="es-ES" w:eastAsia="en-US" w:bidi="ar-SA"/>
      </w:rPr>
    </w:lvl>
    <w:lvl w:ilvl="3" w:tplc="4CFA7F28">
      <w:numFmt w:val="bullet"/>
      <w:lvlText w:val="•"/>
      <w:lvlJc w:val="left"/>
      <w:pPr>
        <w:ind w:left="2877" w:hanging="360"/>
      </w:pPr>
      <w:rPr>
        <w:rFonts w:hint="default"/>
        <w:lang w:val="es-ES" w:eastAsia="en-US" w:bidi="ar-SA"/>
      </w:rPr>
    </w:lvl>
    <w:lvl w:ilvl="4" w:tplc="8508221E">
      <w:numFmt w:val="bullet"/>
      <w:lvlText w:val="•"/>
      <w:lvlJc w:val="left"/>
      <w:pPr>
        <w:ind w:left="3906" w:hanging="360"/>
      </w:pPr>
      <w:rPr>
        <w:rFonts w:hint="default"/>
        <w:lang w:val="es-ES" w:eastAsia="en-US" w:bidi="ar-SA"/>
      </w:rPr>
    </w:lvl>
    <w:lvl w:ilvl="5" w:tplc="231A1948">
      <w:numFmt w:val="bullet"/>
      <w:lvlText w:val="•"/>
      <w:lvlJc w:val="left"/>
      <w:pPr>
        <w:ind w:left="4935" w:hanging="360"/>
      </w:pPr>
      <w:rPr>
        <w:rFonts w:hint="default"/>
        <w:lang w:val="es-ES" w:eastAsia="en-US" w:bidi="ar-SA"/>
      </w:rPr>
    </w:lvl>
    <w:lvl w:ilvl="6" w:tplc="3E5A6ACC">
      <w:numFmt w:val="bullet"/>
      <w:lvlText w:val="•"/>
      <w:lvlJc w:val="left"/>
      <w:pPr>
        <w:ind w:left="5964" w:hanging="360"/>
      </w:pPr>
      <w:rPr>
        <w:rFonts w:hint="default"/>
        <w:lang w:val="es-ES" w:eastAsia="en-US" w:bidi="ar-SA"/>
      </w:rPr>
    </w:lvl>
    <w:lvl w:ilvl="7" w:tplc="9720472C">
      <w:numFmt w:val="bullet"/>
      <w:lvlText w:val="•"/>
      <w:lvlJc w:val="left"/>
      <w:pPr>
        <w:ind w:left="6993" w:hanging="360"/>
      </w:pPr>
      <w:rPr>
        <w:rFonts w:hint="default"/>
        <w:lang w:val="es-ES" w:eastAsia="en-US" w:bidi="ar-SA"/>
      </w:rPr>
    </w:lvl>
    <w:lvl w:ilvl="8" w:tplc="D60634DE">
      <w:numFmt w:val="bullet"/>
      <w:lvlText w:val="•"/>
      <w:lvlJc w:val="left"/>
      <w:pPr>
        <w:ind w:left="8022" w:hanging="360"/>
      </w:pPr>
      <w:rPr>
        <w:rFonts w:hint="default"/>
        <w:lang w:val="es-ES" w:eastAsia="en-US" w:bidi="ar-SA"/>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817191F"/>
    <w:multiLevelType w:val="multilevel"/>
    <w:tmpl w:val="F848AB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B474FD5"/>
    <w:multiLevelType w:val="hybridMultilevel"/>
    <w:tmpl w:val="EA369FB4"/>
    <w:lvl w:ilvl="0" w:tplc="240A0017">
      <w:start w:val="1"/>
      <w:numFmt w:val="lowerLetter"/>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1" w15:restartNumberingAfterBreak="0">
    <w:nsid w:val="3F7640F1"/>
    <w:multiLevelType w:val="hybridMultilevel"/>
    <w:tmpl w:val="3C54C264"/>
    <w:lvl w:ilvl="0" w:tplc="240A0001">
      <w:start w:val="1"/>
      <w:numFmt w:val="bullet"/>
      <w:lvlText w:val=""/>
      <w:lvlJc w:val="left"/>
      <w:pPr>
        <w:ind w:left="720" w:hanging="360"/>
      </w:pPr>
      <w:rPr>
        <w:rFonts w:ascii="Symbol" w:hAnsi="Symbol" w:hint="default"/>
      </w:rPr>
    </w:lvl>
    <w:lvl w:ilvl="1" w:tplc="64B4B4EC">
      <w:start w:val="1"/>
      <w:numFmt w:val="decimal"/>
      <w:lvlText w:val="%2."/>
      <w:lvlJc w:val="left"/>
      <w:pPr>
        <w:ind w:left="1440" w:hanging="360"/>
      </w:pPr>
      <w:rPr>
        <w:rFonts w:ascii="Verdana" w:eastAsia="Calibri" w:hAnsi="Verdana" w:cs="Arial"/>
      </w:rPr>
    </w:lvl>
    <w:lvl w:ilvl="2" w:tplc="1CCAE5DE">
      <w:start w:val="1"/>
      <w:numFmt w:val="lowerLetter"/>
      <w:lvlText w:val="%3."/>
      <w:lvlJc w:val="left"/>
      <w:pPr>
        <w:ind w:left="2160" w:hanging="360"/>
      </w:pPr>
      <w:rPr>
        <w:rFont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93B2D95"/>
    <w:multiLevelType w:val="hybridMultilevel"/>
    <w:tmpl w:val="EF7064A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4" w15:restartNumberingAfterBreak="0">
    <w:nsid w:val="56BC34BA"/>
    <w:multiLevelType w:val="hybridMultilevel"/>
    <w:tmpl w:val="14042206"/>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5" w15:restartNumberingAfterBreak="0">
    <w:nsid w:val="5B7B40F5"/>
    <w:multiLevelType w:val="hybridMultilevel"/>
    <w:tmpl w:val="88C0BC14"/>
    <w:lvl w:ilvl="0" w:tplc="C310ED42">
      <w:numFmt w:val="bullet"/>
      <w:lvlText w:val="o"/>
      <w:lvlJc w:val="left"/>
      <w:pPr>
        <w:ind w:left="559" w:hanging="360"/>
      </w:pPr>
      <w:rPr>
        <w:rFonts w:ascii="Courier New" w:eastAsia="Courier New" w:hAnsi="Courier New" w:cs="Courier New" w:hint="default"/>
        <w:b w:val="0"/>
        <w:bCs w:val="0"/>
        <w:i w:val="0"/>
        <w:iCs w:val="0"/>
        <w:spacing w:val="0"/>
        <w:w w:val="99"/>
        <w:sz w:val="20"/>
        <w:szCs w:val="20"/>
        <w:lang w:val="es-ES" w:eastAsia="en-US" w:bidi="ar-SA"/>
      </w:rPr>
    </w:lvl>
    <w:lvl w:ilvl="1" w:tplc="905CB376">
      <w:numFmt w:val="bullet"/>
      <w:lvlText w:val="•"/>
      <w:lvlJc w:val="left"/>
      <w:pPr>
        <w:ind w:left="1385" w:hanging="360"/>
      </w:pPr>
      <w:rPr>
        <w:rFonts w:hint="default"/>
        <w:lang w:val="es-ES" w:eastAsia="en-US" w:bidi="ar-SA"/>
      </w:rPr>
    </w:lvl>
    <w:lvl w:ilvl="2" w:tplc="3738BAE0">
      <w:numFmt w:val="bullet"/>
      <w:lvlText w:val="•"/>
      <w:lvlJc w:val="left"/>
      <w:pPr>
        <w:ind w:left="2211" w:hanging="360"/>
      </w:pPr>
      <w:rPr>
        <w:rFonts w:hint="default"/>
        <w:lang w:val="es-ES" w:eastAsia="en-US" w:bidi="ar-SA"/>
      </w:rPr>
    </w:lvl>
    <w:lvl w:ilvl="3" w:tplc="AE8C9D16">
      <w:numFmt w:val="bullet"/>
      <w:lvlText w:val="•"/>
      <w:lvlJc w:val="left"/>
      <w:pPr>
        <w:ind w:left="3037" w:hanging="360"/>
      </w:pPr>
      <w:rPr>
        <w:rFonts w:hint="default"/>
        <w:lang w:val="es-ES" w:eastAsia="en-US" w:bidi="ar-SA"/>
      </w:rPr>
    </w:lvl>
    <w:lvl w:ilvl="4" w:tplc="D0B08DBC">
      <w:numFmt w:val="bullet"/>
      <w:lvlText w:val="•"/>
      <w:lvlJc w:val="left"/>
      <w:pPr>
        <w:ind w:left="3863" w:hanging="360"/>
      </w:pPr>
      <w:rPr>
        <w:rFonts w:hint="default"/>
        <w:lang w:val="es-ES" w:eastAsia="en-US" w:bidi="ar-SA"/>
      </w:rPr>
    </w:lvl>
    <w:lvl w:ilvl="5" w:tplc="D4148264">
      <w:numFmt w:val="bullet"/>
      <w:lvlText w:val="•"/>
      <w:lvlJc w:val="left"/>
      <w:pPr>
        <w:ind w:left="4689" w:hanging="360"/>
      </w:pPr>
      <w:rPr>
        <w:rFonts w:hint="default"/>
        <w:lang w:val="es-ES" w:eastAsia="en-US" w:bidi="ar-SA"/>
      </w:rPr>
    </w:lvl>
    <w:lvl w:ilvl="6" w:tplc="CC403C22">
      <w:numFmt w:val="bullet"/>
      <w:lvlText w:val="•"/>
      <w:lvlJc w:val="left"/>
      <w:pPr>
        <w:ind w:left="5514" w:hanging="360"/>
      </w:pPr>
      <w:rPr>
        <w:rFonts w:hint="default"/>
        <w:lang w:val="es-ES" w:eastAsia="en-US" w:bidi="ar-SA"/>
      </w:rPr>
    </w:lvl>
    <w:lvl w:ilvl="7" w:tplc="441E7E6A">
      <w:numFmt w:val="bullet"/>
      <w:lvlText w:val="•"/>
      <w:lvlJc w:val="left"/>
      <w:pPr>
        <w:ind w:left="6340" w:hanging="360"/>
      </w:pPr>
      <w:rPr>
        <w:rFonts w:hint="default"/>
        <w:lang w:val="es-ES" w:eastAsia="en-US" w:bidi="ar-SA"/>
      </w:rPr>
    </w:lvl>
    <w:lvl w:ilvl="8" w:tplc="40461706">
      <w:numFmt w:val="bullet"/>
      <w:lvlText w:val="•"/>
      <w:lvlJc w:val="left"/>
      <w:pPr>
        <w:ind w:left="7166" w:hanging="360"/>
      </w:pPr>
      <w:rPr>
        <w:rFonts w:hint="default"/>
        <w:lang w:val="es-ES" w:eastAsia="en-US" w:bidi="ar-SA"/>
      </w:rPr>
    </w:lvl>
  </w:abstractNum>
  <w:abstractNum w:abstractNumId="16" w15:restartNumberingAfterBreak="0">
    <w:nsid w:val="5E2B6DDB"/>
    <w:multiLevelType w:val="hybridMultilevel"/>
    <w:tmpl w:val="70722D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67322BC6"/>
    <w:multiLevelType w:val="hybridMultilevel"/>
    <w:tmpl w:val="E74E1B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67EF00B6"/>
    <w:multiLevelType w:val="hybridMultilevel"/>
    <w:tmpl w:val="27CC22D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78AE0B80"/>
    <w:multiLevelType w:val="hybridMultilevel"/>
    <w:tmpl w:val="7C72A8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7A0D0972"/>
    <w:multiLevelType w:val="hybridMultilevel"/>
    <w:tmpl w:val="AC3634D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7E141386"/>
    <w:multiLevelType w:val="multilevel"/>
    <w:tmpl w:val="524CC0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0340394">
    <w:abstractNumId w:val="7"/>
  </w:num>
  <w:num w:numId="2" w16cid:durableId="935869059">
    <w:abstractNumId w:val="2"/>
  </w:num>
  <w:num w:numId="3" w16cid:durableId="1681155077">
    <w:abstractNumId w:val="4"/>
  </w:num>
  <w:num w:numId="4" w16cid:durableId="2063166378">
    <w:abstractNumId w:val="0"/>
  </w:num>
  <w:num w:numId="5" w16cid:durableId="1019543566">
    <w:abstractNumId w:val="13"/>
  </w:num>
  <w:num w:numId="6" w16cid:durableId="678773907">
    <w:abstractNumId w:val="1"/>
  </w:num>
  <w:num w:numId="7" w16cid:durableId="511458780">
    <w:abstractNumId w:val="5"/>
  </w:num>
  <w:num w:numId="8" w16cid:durableId="618754795">
    <w:abstractNumId w:val="9"/>
  </w:num>
  <w:num w:numId="9" w16cid:durableId="1403024645">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62801295">
    <w:abstractNumId w:val="3"/>
  </w:num>
  <w:num w:numId="11" w16cid:durableId="1183134214">
    <w:abstractNumId w:val="20"/>
  </w:num>
  <w:num w:numId="12" w16cid:durableId="82427313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73729460">
    <w:abstractNumId w:val="18"/>
  </w:num>
  <w:num w:numId="14" w16cid:durableId="1537810918">
    <w:abstractNumId w:val="10"/>
  </w:num>
  <w:num w:numId="15" w16cid:durableId="1623724345">
    <w:abstractNumId w:val="19"/>
  </w:num>
  <w:num w:numId="16" w16cid:durableId="1377973369">
    <w:abstractNumId w:val="8"/>
  </w:num>
  <w:num w:numId="17" w16cid:durableId="793059144">
    <w:abstractNumId w:val="12"/>
  </w:num>
  <w:num w:numId="18" w16cid:durableId="539363938">
    <w:abstractNumId w:val="21"/>
  </w:num>
  <w:num w:numId="19" w16cid:durableId="139469054">
    <w:abstractNumId w:val="17"/>
  </w:num>
  <w:num w:numId="20" w16cid:durableId="2016692260">
    <w:abstractNumId w:val="14"/>
  </w:num>
  <w:num w:numId="21" w16cid:durableId="71977279">
    <w:abstractNumId w:val="11"/>
  </w:num>
  <w:num w:numId="22" w16cid:durableId="101338609">
    <w:abstractNumId w:val="16"/>
  </w:num>
  <w:num w:numId="23" w16cid:durableId="369964643">
    <w:abstractNumId w:val="22"/>
  </w:num>
  <w:num w:numId="24" w16cid:durableId="796071273">
    <w:abstractNumId w:val="15"/>
  </w:num>
  <w:num w:numId="25" w16cid:durableId="171850730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1025F"/>
    <w:rsid w:val="0001222D"/>
    <w:rsid w:val="000135EB"/>
    <w:rsid w:val="00015D2B"/>
    <w:rsid w:val="00031584"/>
    <w:rsid w:val="00032A0E"/>
    <w:rsid w:val="00037347"/>
    <w:rsid w:val="000442CC"/>
    <w:rsid w:val="0005121B"/>
    <w:rsid w:val="000556A1"/>
    <w:rsid w:val="000556D4"/>
    <w:rsid w:val="00067BD9"/>
    <w:rsid w:val="000716AB"/>
    <w:rsid w:val="0008101F"/>
    <w:rsid w:val="00082737"/>
    <w:rsid w:val="00082E4C"/>
    <w:rsid w:val="00083AA5"/>
    <w:rsid w:val="000849D5"/>
    <w:rsid w:val="0008528F"/>
    <w:rsid w:val="000A6E0C"/>
    <w:rsid w:val="000A7A56"/>
    <w:rsid w:val="000B1FF7"/>
    <w:rsid w:val="000B2513"/>
    <w:rsid w:val="000B4024"/>
    <w:rsid w:val="000B4B43"/>
    <w:rsid w:val="000C3C51"/>
    <w:rsid w:val="000C7262"/>
    <w:rsid w:val="000D067F"/>
    <w:rsid w:val="000D2A7F"/>
    <w:rsid w:val="000D4FCE"/>
    <w:rsid w:val="0011037E"/>
    <w:rsid w:val="0011490B"/>
    <w:rsid w:val="001275C2"/>
    <w:rsid w:val="001363C7"/>
    <w:rsid w:val="00141AC5"/>
    <w:rsid w:val="00146B11"/>
    <w:rsid w:val="00147A04"/>
    <w:rsid w:val="0015476D"/>
    <w:rsid w:val="00155AD9"/>
    <w:rsid w:val="00161E13"/>
    <w:rsid w:val="00163955"/>
    <w:rsid w:val="00164AE0"/>
    <w:rsid w:val="00165E83"/>
    <w:rsid w:val="00166CD7"/>
    <w:rsid w:val="0017120C"/>
    <w:rsid w:val="00172F3A"/>
    <w:rsid w:val="00174B37"/>
    <w:rsid w:val="00182E79"/>
    <w:rsid w:val="0019532A"/>
    <w:rsid w:val="0019670E"/>
    <w:rsid w:val="00197205"/>
    <w:rsid w:val="001A5DD4"/>
    <w:rsid w:val="001A67E9"/>
    <w:rsid w:val="001B0FB6"/>
    <w:rsid w:val="001B143B"/>
    <w:rsid w:val="001B21CA"/>
    <w:rsid w:val="001C04FC"/>
    <w:rsid w:val="001C25A3"/>
    <w:rsid w:val="001C262A"/>
    <w:rsid w:val="001C5D03"/>
    <w:rsid w:val="001C7771"/>
    <w:rsid w:val="001D62FF"/>
    <w:rsid w:val="001E4EA9"/>
    <w:rsid w:val="001F3F48"/>
    <w:rsid w:val="002000AA"/>
    <w:rsid w:val="00204109"/>
    <w:rsid w:val="00211E6E"/>
    <w:rsid w:val="00212A46"/>
    <w:rsid w:val="0021401D"/>
    <w:rsid w:val="002146B8"/>
    <w:rsid w:val="00215516"/>
    <w:rsid w:val="002527C2"/>
    <w:rsid w:val="0026605D"/>
    <w:rsid w:val="00270443"/>
    <w:rsid w:val="00270EE2"/>
    <w:rsid w:val="00272972"/>
    <w:rsid w:val="00286491"/>
    <w:rsid w:val="002A0F8D"/>
    <w:rsid w:val="002B6E44"/>
    <w:rsid w:val="002C367C"/>
    <w:rsid w:val="002E1DB5"/>
    <w:rsid w:val="002E7510"/>
    <w:rsid w:val="002F6CCB"/>
    <w:rsid w:val="0030461E"/>
    <w:rsid w:val="003238A1"/>
    <w:rsid w:val="0032756A"/>
    <w:rsid w:val="00334EF8"/>
    <w:rsid w:val="00336408"/>
    <w:rsid w:val="00340DFB"/>
    <w:rsid w:val="00341437"/>
    <w:rsid w:val="0034404F"/>
    <w:rsid w:val="003470F3"/>
    <w:rsid w:val="00356980"/>
    <w:rsid w:val="003571AF"/>
    <w:rsid w:val="0036682B"/>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44A28"/>
    <w:rsid w:val="00450BE7"/>
    <w:rsid w:val="0045214A"/>
    <w:rsid w:val="0046741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D11AF"/>
    <w:rsid w:val="004E7987"/>
    <w:rsid w:val="00500DFA"/>
    <w:rsid w:val="005019AA"/>
    <w:rsid w:val="005021BB"/>
    <w:rsid w:val="005139E7"/>
    <w:rsid w:val="005147DA"/>
    <w:rsid w:val="00515FB5"/>
    <w:rsid w:val="0052365C"/>
    <w:rsid w:val="005271EB"/>
    <w:rsid w:val="005426DB"/>
    <w:rsid w:val="0055082B"/>
    <w:rsid w:val="00552503"/>
    <w:rsid w:val="00552B57"/>
    <w:rsid w:val="00557DA1"/>
    <w:rsid w:val="0056322C"/>
    <w:rsid w:val="0057218D"/>
    <w:rsid w:val="0058743A"/>
    <w:rsid w:val="005A4DB0"/>
    <w:rsid w:val="005A7B8E"/>
    <w:rsid w:val="005B012B"/>
    <w:rsid w:val="005B0C87"/>
    <w:rsid w:val="005D23F6"/>
    <w:rsid w:val="005D2FA8"/>
    <w:rsid w:val="005E2281"/>
    <w:rsid w:val="005E667C"/>
    <w:rsid w:val="005F077C"/>
    <w:rsid w:val="005F63D0"/>
    <w:rsid w:val="005F7973"/>
    <w:rsid w:val="00610B8A"/>
    <w:rsid w:val="0061690E"/>
    <w:rsid w:val="00627361"/>
    <w:rsid w:val="0063017E"/>
    <w:rsid w:val="00631B28"/>
    <w:rsid w:val="00645B90"/>
    <w:rsid w:val="00650991"/>
    <w:rsid w:val="006511D7"/>
    <w:rsid w:val="00663D75"/>
    <w:rsid w:val="00670AEF"/>
    <w:rsid w:val="00675678"/>
    <w:rsid w:val="00676CD8"/>
    <w:rsid w:val="00677012"/>
    <w:rsid w:val="006825B4"/>
    <w:rsid w:val="00682AF2"/>
    <w:rsid w:val="006864DF"/>
    <w:rsid w:val="006A3C8A"/>
    <w:rsid w:val="006A7552"/>
    <w:rsid w:val="006B5953"/>
    <w:rsid w:val="006B7A81"/>
    <w:rsid w:val="006C4A58"/>
    <w:rsid w:val="006C4BAC"/>
    <w:rsid w:val="006C52F3"/>
    <w:rsid w:val="006E30A1"/>
    <w:rsid w:val="006E7F37"/>
    <w:rsid w:val="006F3B81"/>
    <w:rsid w:val="006F4F79"/>
    <w:rsid w:val="00705B37"/>
    <w:rsid w:val="00711FD9"/>
    <w:rsid w:val="00735062"/>
    <w:rsid w:val="00746BA5"/>
    <w:rsid w:val="00751D23"/>
    <w:rsid w:val="00770577"/>
    <w:rsid w:val="00777666"/>
    <w:rsid w:val="007800BB"/>
    <w:rsid w:val="0078159B"/>
    <w:rsid w:val="00782E10"/>
    <w:rsid w:val="0078706B"/>
    <w:rsid w:val="00790836"/>
    <w:rsid w:val="00797131"/>
    <w:rsid w:val="007A3C1D"/>
    <w:rsid w:val="007B285D"/>
    <w:rsid w:val="007C6BC6"/>
    <w:rsid w:val="00807D79"/>
    <w:rsid w:val="00813634"/>
    <w:rsid w:val="00822821"/>
    <w:rsid w:val="00831C29"/>
    <w:rsid w:val="008431EF"/>
    <w:rsid w:val="0084464E"/>
    <w:rsid w:val="008468E0"/>
    <w:rsid w:val="00871B59"/>
    <w:rsid w:val="00877D03"/>
    <w:rsid w:val="00877E96"/>
    <w:rsid w:val="008806CA"/>
    <w:rsid w:val="008815E5"/>
    <w:rsid w:val="00887B37"/>
    <w:rsid w:val="008909B9"/>
    <w:rsid w:val="00891DFC"/>
    <w:rsid w:val="008B12B4"/>
    <w:rsid w:val="008B7914"/>
    <w:rsid w:val="008C1F69"/>
    <w:rsid w:val="008C5D2A"/>
    <w:rsid w:val="008C7AF4"/>
    <w:rsid w:val="008D529F"/>
    <w:rsid w:val="008D7F92"/>
    <w:rsid w:val="008E3032"/>
    <w:rsid w:val="008F5CC8"/>
    <w:rsid w:val="009061B8"/>
    <w:rsid w:val="0091008B"/>
    <w:rsid w:val="00911EA2"/>
    <w:rsid w:val="00916C7D"/>
    <w:rsid w:val="0092575D"/>
    <w:rsid w:val="009341DA"/>
    <w:rsid w:val="009430F9"/>
    <w:rsid w:val="009442E8"/>
    <w:rsid w:val="00946BD0"/>
    <w:rsid w:val="00951D22"/>
    <w:rsid w:val="0095426C"/>
    <w:rsid w:val="00970087"/>
    <w:rsid w:val="00971074"/>
    <w:rsid w:val="00992DC6"/>
    <w:rsid w:val="00995D86"/>
    <w:rsid w:val="009A5453"/>
    <w:rsid w:val="009B4D94"/>
    <w:rsid w:val="009C2871"/>
    <w:rsid w:val="009D3C33"/>
    <w:rsid w:val="009D7F3A"/>
    <w:rsid w:val="009E4885"/>
    <w:rsid w:val="00A077BD"/>
    <w:rsid w:val="00A07DB6"/>
    <w:rsid w:val="00A10A73"/>
    <w:rsid w:val="00A146BC"/>
    <w:rsid w:val="00A170B3"/>
    <w:rsid w:val="00A223D5"/>
    <w:rsid w:val="00A2253F"/>
    <w:rsid w:val="00A2550B"/>
    <w:rsid w:val="00A37D1C"/>
    <w:rsid w:val="00A5453E"/>
    <w:rsid w:val="00A56F6C"/>
    <w:rsid w:val="00A76C8C"/>
    <w:rsid w:val="00A85F30"/>
    <w:rsid w:val="00A9099E"/>
    <w:rsid w:val="00A91FB7"/>
    <w:rsid w:val="00A9298F"/>
    <w:rsid w:val="00AA0351"/>
    <w:rsid w:val="00AA5F4A"/>
    <w:rsid w:val="00AB1984"/>
    <w:rsid w:val="00AB52B1"/>
    <w:rsid w:val="00AC0C16"/>
    <w:rsid w:val="00AC4CB3"/>
    <w:rsid w:val="00AC780D"/>
    <w:rsid w:val="00AD036B"/>
    <w:rsid w:val="00AD1996"/>
    <w:rsid w:val="00AD4099"/>
    <w:rsid w:val="00AD4901"/>
    <w:rsid w:val="00AD5C2E"/>
    <w:rsid w:val="00AE6884"/>
    <w:rsid w:val="00B02FE0"/>
    <w:rsid w:val="00B057B6"/>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B7486"/>
    <w:rsid w:val="00BC7632"/>
    <w:rsid w:val="00BD48A9"/>
    <w:rsid w:val="00BD630F"/>
    <w:rsid w:val="00BD7EC6"/>
    <w:rsid w:val="00BE73FA"/>
    <w:rsid w:val="00BF5894"/>
    <w:rsid w:val="00BF6B4B"/>
    <w:rsid w:val="00C0511C"/>
    <w:rsid w:val="00C20ACF"/>
    <w:rsid w:val="00C22307"/>
    <w:rsid w:val="00C22D5D"/>
    <w:rsid w:val="00C23469"/>
    <w:rsid w:val="00C27C24"/>
    <w:rsid w:val="00C27DEC"/>
    <w:rsid w:val="00C30C62"/>
    <w:rsid w:val="00C371DF"/>
    <w:rsid w:val="00C42055"/>
    <w:rsid w:val="00C44B4C"/>
    <w:rsid w:val="00C46734"/>
    <w:rsid w:val="00C47A86"/>
    <w:rsid w:val="00C53220"/>
    <w:rsid w:val="00C55FBC"/>
    <w:rsid w:val="00C76136"/>
    <w:rsid w:val="00CA3347"/>
    <w:rsid w:val="00CC299A"/>
    <w:rsid w:val="00CC49C9"/>
    <w:rsid w:val="00CD03E3"/>
    <w:rsid w:val="00CE6BDA"/>
    <w:rsid w:val="00CF0CE7"/>
    <w:rsid w:val="00D03DBE"/>
    <w:rsid w:val="00D072C0"/>
    <w:rsid w:val="00D346D4"/>
    <w:rsid w:val="00D34C82"/>
    <w:rsid w:val="00D3757A"/>
    <w:rsid w:val="00D504A9"/>
    <w:rsid w:val="00D5206D"/>
    <w:rsid w:val="00D52278"/>
    <w:rsid w:val="00D7177D"/>
    <w:rsid w:val="00D81311"/>
    <w:rsid w:val="00D91711"/>
    <w:rsid w:val="00DB201E"/>
    <w:rsid w:val="00DC0E68"/>
    <w:rsid w:val="00DD25ED"/>
    <w:rsid w:val="00DE0D6E"/>
    <w:rsid w:val="00E1610C"/>
    <w:rsid w:val="00E16D73"/>
    <w:rsid w:val="00E23E9E"/>
    <w:rsid w:val="00E25722"/>
    <w:rsid w:val="00E27F0A"/>
    <w:rsid w:val="00E4231E"/>
    <w:rsid w:val="00E4302C"/>
    <w:rsid w:val="00E44AC7"/>
    <w:rsid w:val="00E45F4B"/>
    <w:rsid w:val="00E5189B"/>
    <w:rsid w:val="00E60A16"/>
    <w:rsid w:val="00E82B6E"/>
    <w:rsid w:val="00E94258"/>
    <w:rsid w:val="00E96C18"/>
    <w:rsid w:val="00EA2E61"/>
    <w:rsid w:val="00EA7D7F"/>
    <w:rsid w:val="00EB02F4"/>
    <w:rsid w:val="00EB2FA2"/>
    <w:rsid w:val="00EB769A"/>
    <w:rsid w:val="00EC3A35"/>
    <w:rsid w:val="00ED3B5A"/>
    <w:rsid w:val="00EE17F2"/>
    <w:rsid w:val="00EE3138"/>
    <w:rsid w:val="00EF2AC7"/>
    <w:rsid w:val="00EF400A"/>
    <w:rsid w:val="00EF6BE4"/>
    <w:rsid w:val="00EF6E5D"/>
    <w:rsid w:val="00EF6E76"/>
    <w:rsid w:val="00F00981"/>
    <w:rsid w:val="00F07764"/>
    <w:rsid w:val="00F12517"/>
    <w:rsid w:val="00F131DD"/>
    <w:rsid w:val="00F15646"/>
    <w:rsid w:val="00F16BA1"/>
    <w:rsid w:val="00F24435"/>
    <w:rsid w:val="00F30C0F"/>
    <w:rsid w:val="00F314E8"/>
    <w:rsid w:val="00F323A2"/>
    <w:rsid w:val="00F33B57"/>
    <w:rsid w:val="00F33D5C"/>
    <w:rsid w:val="00F34E90"/>
    <w:rsid w:val="00F356D6"/>
    <w:rsid w:val="00F53BE2"/>
    <w:rsid w:val="00F55684"/>
    <w:rsid w:val="00F64D5A"/>
    <w:rsid w:val="00F709CD"/>
    <w:rsid w:val="00F906F4"/>
    <w:rsid w:val="00FA0716"/>
    <w:rsid w:val="00FB4629"/>
    <w:rsid w:val="00FB6FB1"/>
    <w:rsid w:val="00FB7063"/>
    <w:rsid w:val="00FC7056"/>
    <w:rsid w:val="00FE1A00"/>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3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paragraph" w:styleId="Textodeglobo">
    <w:name w:val="Balloon Text"/>
    <w:basedOn w:val="Normal"/>
    <w:link w:val="TextodegloboCar"/>
    <w:uiPriority w:val="99"/>
    <w:semiHidden/>
    <w:unhideWhenUsed/>
    <w:rsid w:val="00BF5894"/>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BF5894"/>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0599766">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8164453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frenandoiglesias@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documentos-tipo%2Fdocumentos-tipo&amp;data=05%7C02%7Ccielo.gonzalez%40colombiacompra.gov.co%7Ca5385b6e6e634a6b840208dca5c36dc1%7C7b09041e245149d08cb179d5e3d8c1be%7C0%7C0%7C638567506007017238%7CUnknown%7CTWFpbGZsb3d8eyJWIjoiMC4wLjAwMDAiLCJQIjoiV2luMzIiLCJBTiI6Ik1haWwiLCJXVCI6Mn0%3D%7C0%7C%7C%7C&amp;sdata=n5MzRCjt0%2B5J5K9srjWwU4uJtcdlHgs4rQcG%2FVsi8%2Fc%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sala-de-prensa%2Fboletin-digital&amp;data=05%7C02%7Ccielo.gonzalez%40colombiacompra.gov.co%7Ca5385b6e6e634a6b840208dca5c36dc1%7C7b09041e245149d08cb179d5e3d8c1be%7C0%7C0%7C638567506006998902%7CUnknown%7CTWFpbGZsb3d8eyJWIjoiMC4wLjAwMDAiLCJQIjoiV2luMzIiLCJBTiI6Ik1haWwiLCJXVCI6Mn0%3D%7C0%7C%7C%7C&amp;sdata=Fj8DQ3xgv92feI2kr4Mw%2F1BSk5GgYJSs%2BJR%2BejSIbJg%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78282349-3793-FF46-84D2-322627F05975}">
  <ds:schemaRefs>
    <ds:schemaRef ds:uri="http://schemas.openxmlformats.org/officeDocument/2006/bibliography"/>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13</Pages>
  <Words>3418</Words>
  <Characters>18803</Characters>
  <Application>Microsoft Office Word</Application>
  <DocSecurity>0</DocSecurity>
  <Lines>156</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CDSM-Sgral</cp:lastModifiedBy>
  <cp:revision>3</cp:revision>
  <dcterms:created xsi:type="dcterms:W3CDTF">2025-10-03T16:22:00Z</dcterms:created>
  <dcterms:modified xsi:type="dcterms:W3CDTF">2025-10-03T16:34:00Z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