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83EC" w14:textId="77777777" w:rsidR="00BF0F0A" w:rsidRPr="0062457F" w:rsidRDefault="00BF0F0A" w:rsidP="00BF0F0A">
      <w:pPr>
        <w:pStyle w:val="Textoindependiente"/>
        <w:spacing w:line="276" w:lineRule="auto"/>
        <w:ind w:left="300" w:right="451"/>
        <w:jc w:val="right"/>
        <w:rPr>
          <w:rFonts w:ascii="Verdana" w:hAnsi="Verdana"/>
          <w:color w:val="000000" w:themeColor="text1"/>
        </w:rPr>
      </w:pPr>
      <w:bookmarkStart w:id="0" w:name="_Hlk143780582"/>
      <w:bookmarkStart w:id="1" w:name="_Hlk173420913"/>
    </w:p>
    <w:p w14:paraId="189EB7F3" w14:textId="77777777" w:rsidR="00BF0F0A" w:rsidRPr="0062457F" w:rsidRDefault="00BF0F0A" w:rsidP="00BF0F0A">
      <w:pPr>
        <w:spacing w:line="240" w:lineRule="auto"/>
        <w:jc w:val="both"/>
        <w:rPr>
          <w:rFonts w:ascii="Verdana" w:eastAsia="Calibri" w:hAnsi="Verdana" w:cs="Arial"/>
          <w:b/>
          <w:color w:val="000000" w:themeColor="text1"/>
          <w:lang w:val="es-ES_tradnl"/>
        </w:rPr>
      </w:pPr>
      <w:r w:rsidRPr="0062457F">
        <w:rPr>
          <w:rFonts w:ascii="Verdana" w:eastAsia="Calibri" w:hAnsi="Verdana" w:cs="Arial"/>
          <w:b/>
          <w:color w:val="000000" w:themeColor="text1"/>
          <w:lang w:val="es-ES_tradnl"/>
        </w:rPr>
        <w:t xml:space="preserve">LEY DE EMPRENDIMIENTO – Ley 2069 de 2020 – Artículo 32 – Criterios diferenciales – Emprendimientos de mujeres – Empresas de mujeres – Necesidad de reglamentación – Decreto 1860 de 2021 </w:t>
      </w:r>
    </w:p>
    <w:bookmarkEnd w:id="1"/>
    <w:p w14:paraId="1C039622" w14:textId="77777777" w:rsidR="00BF0F0A" w:rsidRPr="0062457F" w:rsidRDefault="00BF0F0A" w:rsidP="00BF0F0A">
      <w:pPr>
        <w:spacing w:line="240" w:lineRule="auto"/>
        <w:jc w:val="both"/>
        <w:rPr>
          <w:rFonts w:ascii="Verdana" w:hAnsi="Verdana"/>
        </w:rPr>
      </w:pPr>
      <w:r w:rsidRPr="0062457F">
        <w:rPr>
          <w:rFonts w:ascii="Verdana" w:hAnsi="Verdana"/>
        </w:rPr>
        <w:t>La norma en cita incluye que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w:t>
      </w:r>
    </w:p>
    <w:p w14:paraId="50A35A50" w14:textId="77777777" w:rsidR="00BF0F0A" w:rsidRPr="0062457F" w:rsidRDefault="00BF0F0A" w:rsidP="00BF0F0A">
      <w:pPr>
        <w:pStyle w:val="Textoindependiente"/>
        <w:ind w:left="300" w:right="451"/>
        <w:jc w:val="both"/>
        <w:rPr>
          <w:rFonts w:ascii="Verdana" w:hAnsi="Verdana"/>
          <w:b/>
          <w:bCs/>
          <w:color w:val="000000" w:themeColor="text1"/>
          <w:lang w:val="es-CO"/>
        </w:rPr>
      </w:pPr>
    </w:p>
    <w:p w14:paraId="25CC7F3D" w14:textId="77777777" w:rsidR="00BF0F0A" w:rsidRPr="0062457F" w:rsidRDefault="00BF0F0A" w:rsidP="00BF0F0A">
      <w:pPr>
        <w:spacing w:line="240" w:lineRule="auto"/>
        <w:jc w:val="both"/>
        <w:rPr>
          <w:rFonts w:ascii="Verdana" w:hAnsi="Verdana"/>
        </w:rPr>
      </w:pPr>
      <w:r w:rsidRPr="0062457F">
        <w:rPr>
          <w:rFonts w:ascii="Verdana" w:hAnsi="Verdana"/>
        </w:rPr>
        <w:t>Por su parte, el Decreto 1860 de 2021 que adicionó el artículo 2.2.1.2.4.2.14 al Decreto 1082 de 2015 estableció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w:t>
      </w:r>
    </w:p>
    <w:p w14:paraId="313A0846" w14:textId="77777777" w:rsidR="00BF0F0A" w:rsidRPr="0062457F" w:rsidRDefault="00BF0F0A" w:rsidP="00BF0F0A">
      <w:pPr>
        <w:widowControl w:val="0"/>
        <w:autoSpaceDE w:val="0"/>
        <w:autoSpaceDN w:val="0"/>
        <w:spacing w:after="0" w:line="240" w:lineRule="auto"/>
        <w:ind w:left="118" w:right="176"/>
        <w:jc w:val="both"/>
        <w:outlineLvl w:val="0"/>
        <w:rPr>
          <w:rFonts w:ascii="Verdana" w:eastAsia="Arial" w:hAnsi="Verdana" w:cs="Arial"/>
          <w:b/>
          <w:bCs/>
          <w:lang w:val="es-ES"/>
        </w:rPr>
      </w:pPr>
      <w:bookmarkStart w:id="2" w:name="_Hlk173420922"/>
      <w:r w:rsidRPr="0062457F">
        <w:rPr>
          <w:rFonts w:ascii="Verdana" w:eastAsia="Arial" w:hAnsi="Verdana" w:cs="Arial"/>
          <w:b/>
          <w:bCs/>
          <w:lang w:val="es-ES"/>
        </w:rPr>
        <w:t>DECRETO</w:t>
      </w:r>
      <w:r w:rsidRPr="0062457F">
        <w:rPr>
          <w:rFonts w:ascii="Verdana" w:eastAsia="Arial" w:hAnsi="Verdana" w:cs="Arial"/>
          <w:b/>
          <w:bCs/>
          <w:spacing w:val="-15"/>
          <w:lang w:val="es-ES"/>
        </w:rPr>
        <w:t xml:space="preserve"> </w:t>
      </w:r>
      <w:r w:rsidRPr="0062457F">
        <w:rPr>
          <w:rFonts w:ascii="Verdana" w:eastAsia="Arial" w:hAnsi="Verdana" w:cs="Arial"/>
          <w:b/>
          <w:bCs/>
          <w:lang w:val="es-ES"/>
        </w:rPr>
        <w:t>1860</w:t>
      </w:r>
      <w:r w:rsidRPr="0062457F">
        <w:rPr>
          <w:rFonts w:ascii="Verdana" w:eastAsia="Arial" w:hAnsi="Verdana" w:cs="Arial"/>
          <w:b/>
          <w:bCs/>
          <w:spacing w:val="-14"/>
          <w:lang w:val="es-ES"/>
        </w:rPr>
        <w:t xml:space="preserve"> </w:t>
      </w:r>
      <w:r w:rsidRPr="0062457F">
        <w:rPr>
          <w:rFonts w:ascii="Verdana" w:eastAsia="Arial" w:hAnsi="Verdana" w:cs="Arial"/>
          <w:b/>
          <w:bCs/>
          <w:lang w:val="es-ES"/>
        </w:rPr>
        <w:t>DE</w:t>
      </w:r>
      <w:r w:rsidRPr="0062457F">
        <w:rPr>
          <w:rFonts w:ascii="Verdana" w:eastAsia="Arial" w:hAnsi="Verdana" w:cs="Arial"/>
          <w:b/>
          <w:bCs/>
          <w:spacing w:val="-14"/>
          <w:lang w:val="es-ES"/>
        </w:rPr>
        <w:t xml:space="preserve"> </w:t>
      </w:r>
      <w:r w:rsidRPr="0062457F">
        <w:rPr>
          <w:rFonts w:ascii="Verdana" w:eastAsia="Arial" w:hAnsi="Verdana" w:cs="Arial"/>
          <w:b/>
          <w:bCs/>
          <w:lang w:val="es-ES"/>
        </w:rPr>
        <w:t>2021</w:t>
      </w:r>
      <w:r w:rsidRPr="0062457F">
        <w:rPr>
          <w:rFonts w:ascii="Verdana" w:eastAsia="Arial" w:hAnsi="Verdana" w:cs="Arial"/>
          <w:b/>
          <w:bCs/>
          <w:spacing w:val="-14"/>
          <w:lang w:val="es-ES"/>
        </w:rPr>
        <w:t xml:space="preserve"> </w:t>
      </w:r>
      <w:r w:rsidRPr="0062457F">
        <w:rPr>
          <w:rFonts w:ascii="Verdana" w:eastAsia="Arial" w:hAnsi="Verdana" w:cs="Arial"/>
          <w:b/>
          <w:bCs/>
          <w:lang w:val="es-ES"/>
        </w:rPr>
        <w:t>–</w:t>
      </w:r>
      <w:r w:rsidRPr="0062457F">
        <w:rPr>
          <w:rFonts w:ascii="Verdana" w:eastAsia="Arial" w:hAnsi="Verdana" w:cs="Arial"/>
          <w:b/>
          <w:bCs/>
          <w:spacing w:val="-14"/>
          <w:lang w:val="es-ES"/>
        </w:rPr>
        <w:t xml:space="preserve"> </w:t>
      </w:r>
      <w:r w:rsidRPr="0062457F">
        <w:rPr>
          <w:rFonts w:ascii="Verdana" w:eastAsia="Arial" w:hAnsi="Verdana" w:cs="Arial"/>
          <w:b/>
          <w:bCs/>
          <w:lang w:val="es-ES"/>
        </w:rPr>
        <w:t>Emprendimientos</w:t>
      </w:r>
      <w:r w:rsidRPr="0062457F">
        <w:rPr>
          <w:rFonts w:ascii="Verdana" w:eastAsia="Arial" w:hAnsi="Verdana" w:cs="Arial"/>
          <w:b/>
          <w:bCs/>
          <w:spacing w:val="-11"/>
          <w:lang w:val="es-ES"/>
        </w:rPr>
        <w:t xml:space="preserve"> </w:t>
      </w:r>
      <w:r w:rsidRPr="0062457F">
        <w:rPr>
          <w:rFonts w:ascii="Verdana" w:eastAsia="Arial" w:hAnsi="Verdana" w:cs="Arial"/>
          <w:b/>
          <w:bCs/>
          <w:lang w:val="es-ES"/>
        </w:rPr>
        <w:t>y</w:t>
      </w:r>
      <w:r w:rsidRPr="0062457F">
        <w:rPr>
          <w:rFonts w:ascii="Verdana" w:eastAsia="Arial" w:hAnsi="Verdana" w:cs="Arial"/>
          <w:b/>
          <w:bCs/>
          <w:spacing w:val="-14"/>
          <w:lang w:val="es-ES"/>
        </w:rPr>
        <w:t xml:space="preserve"> </w:t>
      </w:r>
      <w:r w:rsidRPr="0062457F">
        <w:rPr>
          <w:rFonts w:ascii="Verdana" w:eastAsia="Arial" w:hAnsi="Verdana" w:cs="Arial"/>
          <w:b/>
          <w:bCs/>
          <w:lang w:val="es-ES"/>
        </w:rPr>
        <w:t>empresas</w:t>
      </w:r>
      <w:r w:rsidRPr="0062457F">
        <w:rPr>
          <w:rFonts w:ascii="Verdana" w:eastAsia="Arial" w:hAnsi="Verdana" w:cs="Arial"/>
          <w:b/>
          <w:bCs/>
          <w:spacing w:val="-14"/>
          <w:lang w:val="es-ES"/>
        </w:rPr>
        <w:t xml:space="preserve"> </w:t>
      </w:r>
      <w:r w:rsidRPr="0062457F">
        <w:rPr>
          <w:rFonts w:ascii="Verdana" w:eastAsia="Arial" w:hAnsi="Verdana" w:cs="Arial"/>
          <w:b/>
          <w:bCs/>
          <w:lang w:val="es-ES"/>
        </w:rPr>
        <w:t>de</w:t>
      </w:r>
      <w:r w:rsidRPr="0062457F">
        <w:rPr>
          <w:rFonts w:ascii="Verdana" w:eastAsia="Arial" w:hAnsi="Verdana" w:cs="Arial"/>
          <w:b/>
          <w:bCs/>
          <w:spacing w:val="-14"/>
          <w:lang w:val="es-ES"/>
        </w:rPr>
        <w:t xml:space="preserve"> </w:t>
      </w:r>
      <w:r w:rsidRPr="0062457F">
        <w:rPr>
          <w:rFonts w:ascii="Verdana" w:eastAsia="Arial" w:hAnsi="Verdana" w:cs="Arial"/>
          <w:b/>
          <w:bCs/>
          <w:lang w:val="es-ES"/>
        </w:rPr>
        <w:t>mujeres</w:t>
      </w:r>
      <w:r w:rsidRPr="0062457F">
        <w:rPr>
          <w:rFonts w:ascii="Verdana" w:eastAsia="Arial" w:hAnsi="Verdana" w:cs="Arial"/>
          <w:b/>
          <w:bCs/>
          <w:spacing w:val="-14"/>
          <w:lang w:val="es-ES"/>
        </w:rPr>
        <w:t xml:space="preserve"> </w:t>
      </w:r>
      <w:r w:rsidRPr="0062457F">
        <w:rPr>
          <w:rFonts w:ascii="Verdana" w:eastAsia="Arial" w:hAnsi="Verdana" w:cs="Arial"/>
          <w:b/>
          <w:bCs/>
          <w:lang w:val="es-ES"/>
        </w:rPr>
        <w:t>–</w:t>
      </w:r>
      <w:r w:rsidRPr="0062457F">
        <w:rPr>
          <w:rFonts w:ascii="Verdana" w:eastAsia="Arial" w:hAnsi="Verdana" w:cs="Arial"/>
          <w:b/>
          <w:bCs/>
          <w:spacing w:val="-14"/>
          <w:lang w:val="es-ES"/>
        </w:rPr>
        <w:t xml:space="preserve"> </w:t>
      </w:r>
      <w:r w:rsidRPr="0062457F">
        <w:rPr>
          <w:rFonts w:ascii="Verdana" w:eastAsia="Arial" w:hAnsi="Verdana" w:cs="Arial"/>
          <w:b/>
          <w:bCs/>
          <w:lang w:val="es-ES"/>
        </w:rPr>
        <w:t>Definición</w:t>
      </w:r>
      <w:r w:rsidRPr="0062457F">
        <w:rPr>
          <w:rFonts w:ascii="Verdana" w:eastAsia="Arial" w:hAnsi="Verdana" w:cs="Arial"/>
          <w:b/>
          <w:bCs/>
          <w:spacing w:val="-13"/>
          <w:lang w:val="es-ES"/>
        </w:rPr>
        <w:t xml:space="preserve"> </w:t>
      </w:r>
      <w:r w:rsidRPr="0062457F">
        <w:rPr>
          <w:rFonts w:ascii="Verdana" w:eastAsia="Arial" w:hAnsi="Verdana" w:cs="Arial"/>
          <w:b/>
          <w:bCs/>
          <w:lang w:val="es-ES"/>
        </w:rPr>
        <w:t>–</w:t>
      </w:r>
      <w:r w:rsidRPr="0062457F">
        <w:rPr>
          <w:rFonts w:ascii="Verdana" w:eastAsia="Arial" w:hAnsi="Verdana" w:cs="Arial"/>
          <w:b/>
          <w:bCs/>
          <w:spacing w:val="-14"/>
          <w:lang w:val="es-ES"/>
        </w:rPr>
        <w:t xml:space="preserve"> </w:t>
      </w:r>
      <w:r w:rsidRPr="0062457F">
        <w:rPr>
          <w:rFonts w:ascii="Verdana" w:eastAsia="Arial" w:hAnsi="Verdana" w:cs="Arial"/>
          <w:b/>
          <w:bCs/>
          <w:lang w:val="es-ES"/>
        </w:rPr>
        <w:t xml:space="preserve">Artículo </w:t>
      </w:r>
      <w:r w:rsidRPr="0062457F">
        <w:rPr>
          <w:rFonts w:ascii="Verdana" w:eastAsia="Arial" w:hAnsi="Verdana" w:cs="Arial"/>
          <w:b/>
          <w:bCs/>
          <w:spacing w:val="-59"/>
          <w:lang w:val="es-ES"/>
        </w:rPr>
        <w:t xml:space="preserve"> </w:t>
      </w:r>
      <w:r w:rsidRPr="0062457F">
        <w:rPr>
          <w:rFonts w:ascii="Verdana" w:eastAsia="Arial" w:hAnsi="Verdana" w:cs="Arial"/>
          <w:b/>
          <w:bCs/>
          <w:lang w:val="es-ES"/>
        </w:rPr>
        <w:t>2.2.1.2.4.2.14</w:t>
      </w:r>
      <w:r w:rsidRPr="0062457F">
        <w:rPr>
          <w:rFonts w:ascii="Verdana" w:eastAsia="Arial" w:hAnsi="Verdana" w:cs="Arial"/>
          <w:b/>
          <w:bCs/>
          <w:spacing w:val="-2"/>
          <w:lang w:val="es-ES"/>
        </w:rPr>
        <w:t xml:space="preserve"> </w:t>
      </w:r>
      <w:r w:rsidRPr="0062457F">
        <w:rPr>
          <w:rFonts w:ascii="Verdana" w:eastAsia="Arial" w:hAnsi="Verdana" w:cs="Arial"/>
          <w:b/>
          <w:bCs/>
          <w:lang w:val="es-ES"/>
        </w:rPr>
        <w:t>–</w:t>
      </w:r>
      <w:r w:rsidRPr="0062457F">
        <w:rPr>
          <w:rFonts w:ascii="Verdana" w:eastAsia="Arial" w:hAnsi="Verdana" w:cs="Arial"/>
          <w:b/>
          <w:bCs/>
          <w:spacing w:val="-2"/>
          <w:lang w:val="es-ES"/>
        </w:rPr>
        <w:t xml:space="preserve"> </w:t>
      </w:r>
      <w:r w:rsidRPr="0062457F">
        <w:rPr>
          <w:rFonts w:ascii="Verdana" w:eastAsia="Arial" w:hAnsi="Verdana" w:cs="Arial"/>
          <w:b/>
          <w:bCs/>
          <w:lang w:val="es-ES"/>
        </w:rPr>
        <w:t>Acreditación – Condición – Mujer – Regla general</w:t>
      </w:r>
    </w:p>
    <w:bookmarkEnd w:id="2"/>
    <w:p w14:paraId="1A5C395A" w14:textId="77777777" w:rsidR="00BF0F0A" w:rsidRPr="0062457F" w:rsidRDefault="00BF0F0A" w:rsidP="00BF0F0A">
      <w:pPr>
        <w:widowControl w:val="0"/>
        <w:autoSpaceDE w:val="0"/>
        <w:autoSpaceDN w:val="0"/>
        <w:spacing w:after="0" w:line="240" w:lineRule="auto"/>
        <w:rPr>
          <w:rFonts w:ascii="Verdana" w:eastAsia="Arial MT" w:hAnsi="Verdana" w:cs="Arial"/>
          <w:b/>
          <w:lang w:val="es-ES"/>
        </w:rPr>
      </w:pPr>
    </w:p>
    <w:p w14:paraId="5F10F5F4" w14:textId="77777777" w:rsidR="00BF0F0A" w:rsidRPr="0062457F" w:rsidRDefault="00BF0F0A" w:rsidP="00BF0F0A">
      <w:pPr>
        <w:widowControl w:val="0"/>
        <w:autoSpaceDE w:val="0"/>
        <w:autoSpaceDN w:val="0"/>
        <w:spacing w:after="0" w:line="240" w:lineRule="auto"/>
        <w:ind w:left="118" w:right="177"/>
        <w:jc w:val="both"/>
        <w:rPr>
          <w:rFonts w:ascii="Verdana" w:eastAsia="Arial MT" w:hAnsi="Verdana" w:cs="Arial"/>
          <w:lang w:val="es-ES"/>
        </w:rPr>
      </w:pPr>
      <w:r w:rsidRPr="0062457F">
        <w:rPr>
          <w:rFonts w:ascii="Verdana" w:eastAsia="Arial MT" w:hAnsi="Verdana" w:cs="Arial"/>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segundo y el tercero de dichos numerales […]</w:t>
      </w:r>
    </w:p>
    <w:p w14:paraId="28B87DB0" w14:textId="77777777" w:rsidR="00BF0F0A" w:rsidRPr="0062457F" w:rsidRDefault="00BF0F0A" w:rsidP="00BF0F0A">
      <w:pPr>
        <w:widowControl w:val="0"/>
        <w:autoSpaceDE w:val="0"/>
        <w:autoSpaceDN w:val="0"/>
        <w:spacing w:after="0" w:line="240" w:lineRule="auto"/>
        <w:ind w:left="118" w:right="177"/>
        <w:jc w:val="both"/>
        <w:rPr>
          <w:rFonts w:ascii="Verdana" w:eastAsia="Arial MT" w:hAnsi="Verdana" w:cs="Arial"/>
          <w:lang w:val="es-ES"/>
        </w:rPr>
      </w:pPr>
      <w:r w:rsidRPr="0062457F">
        <w:rPr>
          <w:rFonts w:ascii="Verdana" w:eastAsia="Arial MT" w:hAnsi="Verdana" w:cs="Arial"/>
          <w:lang w:val="es-ES"/>
        </w:rPr>
        <w:t>[…]</w:t>
      </w:r>
    </w:p>
    <w:p w14:paraId="48BA9FEE" w14:textId="77777777" w:rsidR="00BF0F0A" w:rsidRPr="0062457F" w:rsidRDefault="00BF0F0A" w:rsidP="00BF0F0A">
      <w:pPr>
        <w:widowControl w:val="0"/>
        <w:autoSpaceDE w:val="0"/>
        <w:autoSpaceDN w:val="0"/>
        <w:spacing w:after="0" w:line="240" w:lineRule="auto"/>
        <w:ind w:left="118" w:right="177"/>
        <w:jc w:val="both"/>
        <w:rPr>
          <w:rFonts w:ascii="Verdana" w:eastAsia="Arial MT" w:hAnsi="Verdana" w:cs="Arial"/>
          <w:lang w:val="es-ES"/>
        </w:rPr>
      </w:pPr>
      <w:r w:rsidRPr="0062457F">
        <w:rPr>
          <w:rFonts w:ascii="Verdana" w:eastAsia="Arial MT" w:hAnsi="Verdana" w:cs="Arial"/>
          <w:lang w:val="es-ES"/>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w:t>
      </w:r>
      <w:r w:rsidRPr="0062457F">
        <w:rPr>
          <w:rFonts w:ascii="Verdana" w:eastAsia="Arial MT" w:hAnsi="Verdana" w:cs="Arial"/>
          <w:lang w:val="es-ES"/>
        </w:rPr>
        <w:lastRenderedPageBreak/>
        <w:t xml:space="preserve">certificación laboral con funciones, así como el certificado de aportes a seguridad social del último año en el que se demuestren los pagos realizados por el empleador. </w:t>
      </w:r>
    </w:p>
    <w:p w14:paraId="3A9642E1" w14:textId="77777777" w:rsidR="00BF0F0A" w:rsidRPr="0062457F" w:rsidRDefault="00BF0F0A" w:rsidP="00BF0F0A">
      <w:pPr>
        <w:widowControl w:val="0"/>
        <w:autoSpaceDE w:val="0"/>
        <w:autoSpaceDN w:val="0"/>
        <w:spacing w:after="0" w:line="240" w:lineRule="auto"/>
        <w:ind w:left="118" w:right="177"/>
        <w:jc w:val="both"/>
        <w:rPr>
          <w:rFonts w:ascii="Verdana" w:eastAsia="Arial MT" w:hAnsi="Verdana" w:cs="Arial"/>
          <w:lang w:val="es-ES"/>
        </w:rPr>
      </w:pPr>
    </w:p>
    <w:p w14:paraId="31908E47" w14:textId="77777777" w:rsidR="00BF0F0A" w:rsidRPr="0062457F" w:rsidRDefault="00BF0F0A" w:rsidP="00BF0F0A">
      <w:pPr>
        <w:widowControl w:val="0"/>
        <w:autoSpaceDE w:val="0"/>
        <w:autoSpaceDN w:val="0"/>
        <w:spacing w:after="0" w:line="240" w:lineRule="auto"/>
        <w:ind w:left="118" w:right="177"/>
        <w:jc w:val="both"/>
        <w:rPr>
          <w:rFonts w:ascii="Verdana" w:eastAsia="Arial MT" w:hAnsi="Verdana" w:cs="Arial"/>
          <w:lang w:val="es-ES"/>
        </w:rPr>
      </w:pPr>
      <w:r w:rsidRPr="0062457F">
        <w:rPr>
          <w:rFonts w:ascii="Verdana" w:eastAsia="Arial MT" w:hAnsi="Verdana" w:cs="Arial"/>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11AEF9C9" w14:textId="77777777" w:rsidR="00BF0F0A" w:rsidRPr="0062457F" w:rsidRDefault="00BF0F0A" w:rsidP="00BF0F0A">
      <w:pPr>
        <w:spacing w:line="240" w:lineRule="auto"/>
        <w:jc w:val="both"/>
        <w:rPr>
          <w:rFonts w:ascii="Verdana" w:hAnsi="Verdana"/>
          <w:lang w:val="es-ES"/>
        </w:rPr>
      </w:pPr>
    </w:p>
    <w:p w14:paraId="00B14C25" w14:textId="77777777" w:rsidR="00BF0F0A" w:rsidRPr="0062457F" w:rsidRDefault="00BF0F0A" w:rsidP="00BF0F0A">
      <w:pPr>
        <w:spacing w:line="240" w:lineRule="auto"/>
        <w:jc w:val="both"/>
        <w:rPr>
          <w:rFonts w:ascii="Verdana" w:hAnsi="Verdana" w:cs="Arial"/>
          <w:b/>
          <w:noProof/>
          <w:color w:val="000000"/>
          <w:lang w:val="es-ES_tradnl"/>
        </w:rPr>
      </w:pPr>
      <w:r w:rsidRPr="0062457F">
        <w:rPr>
          <w:rFonts w:ascii="Verdana" w:hAnsi="Verdana" w:cs="Arial"/>
          <w:b/>
          <w:noProof/>
          <w:color w:val="000000"/>
          <w:lang w:val="es-ES_tradnl"/>
        </w:rPr>
        <w:t>EMPRENDIMIENTO DE MUJERES  – Aplicación de criterios- Entidades sin ánimo de lucro</w:t>
      </w:r>
    </w:p>
    <w:p w14:paraId="2CC2DCCB" w14:textId="77777777" w:rsidR="00BF0F0A" w:rsidRPr="0062457F" w:rsidRDefault="00BF0F0A" w:rsidP="00BF0F0A">
      <w:pPr>
        <w:jc w:val="both"/>
        <w:rPr>
          <w:rFonts w:ascii="Verdana" w:hAnsi="Verdana"/>
        </w:rPr>
      </w:pPr>
      <w:r>
        <w:rPr>
          <w:rFonts w:ascii="Verdana" w:hAnsi="Verdana"/>
          <w:lang w:val="es-ES_tradnl"/>
        </w:rPr>
        <w:t>La aplicación de los criterios</w:t>
      </w:r>
      <w:r w:rsidRPr="0062457F">
        <w:rPr>
          <w:rFonts w:ascii="Verdana" w:hAnsi="Verdana"/>
        </w:rPr>
        <w:t xml:space="preserve"> está dirigida a personas jurídicas en general, la norma establece una acreditación especial y es la de demostrar que el cincuenta por ciento (50 %) de las acciones, partes de interés o cuotas de participación de la persona jurídica pertenecen a mujeres. Además, se deberá acreditar también que los derechos de propiedad sobre las acciones, partes de interés o cuotas de participación han pertenecido a estas mujeres, durante al menos el último año anterior a la fecha de cierre del Proceso de Contratación. </w:t>
      </w:r>
    </w:p>
    <w:p w14:paraId="4A9D17D0" w14:textId="77777777" w:rsidR="00BF0F0A" w:rsidRPr="0062457F" w:rsidRDefault="00BF0F0A" w:rsidP="00BF0F0A">
      <w:pPr>
        <w:jc w:val="both"/>
        <w:rPr>
          <w:rFonts w:ascii="Verdana" w:hAnsi="Verdana"/>
        </w:rPr>
      </w:pPr>
      <w:r w:rsidRPr="0062457F">
        <w:rPr>
          <w:rFonts w:ascii="Verdana" w:hAnsi="Verdana"/>
        </w:rPr>
        <w:t xml:space="preserve">Por lo tanto, en la práctica, este numeral en principio no puede ser utilizado por entidades sin ánimo de lucro, toda vez que las acciones, partes de interés o cuotas de participación son características propias de las formas de división del capital social de las sociedades, como puede observarse en el libro segundo del Código de Comercio. </w:t>
      </w:r>
    </w:p>
    <w:p w14:paraId="07A75128" w14:textId="77777777" w:rsidR="00BF0F0A" w:rsidRPr="0062457F" w:rsidRDefault="00BF0F0A" w:rsidP="00BF0F0A">
      <w:pPr>
        <w:jc w:val="both"/>
        <w:rPr>
          <w:rFonts w:ascii="Verdana" w:hAnsi="Verdana"/>
        </w:rPr>
      </w:pPr>
      <w:r w:rsidRPr="0062457F">
        <w:rPr>
          <w:rFonts w:ascii="Verdana" w:hAnsi="Verdana"/>
        </w:rPr>
        <w:t xml:space="preserve">Sin embargo, previendo ello, el numeral 4 de la norma previamente citada contempló que los proponentes que sean asociación o cooperativa, conforme a los Decretos 1529 de 1990 y 059 de 1991 y el Código Civil, podrán acreditar que su propuesta es presentada por un emprendimiento y/o empresa de mujeres a través de certificación del representante legal que manifieste lo anterior bajo gravedad de juramento, al certificar que el cincuenta por ciento (50 %) de los asociados son mujeres y que la participación de estas en la asociación o cooperativa ha permanecido durante al menos el último año anterior contado a partir de la fecha de cierre del Proceso de Contratación, sin que establezca la obligación de aportar documentación adicional. </w:t>
      </w:r>
    </w:p>
    <w:p w14:paraId="38E12B5F" w14:textId="77777777" w:rsidR="00BF0F0A" w:rsidRPr="0062457F" w:rsidRDefault="00BF0F0A" w:rsidP="00BF0F0A">
      <w:pPr>
        <w:spacing w:line="240" w:lineRule="auto"/>
        <w:jc w:val="both"/>
        <w:rPr>
          <w:rFonts w:ascii="Verdana" w:hAnsi="Verdana" w:cs="Arial"/>
          <w:b/>
          <w:noProof/>
          <w:color w:val="000000"/>
          <w:lang w:val="es-ES_tradnl"/>
        </w:rPr>
      </w:pPr>
      <w:r w:rsidRPr="0062457F">
        <w:rPr>
          <w:rFonts w:ascii="Verdana" w:hAnsi="Verdana"/>
        </w:rPr>
        <w:lastRenderedPageBreak/>
        <w:t xml:space="preserve">En esta opción, se excluyó explícitamente a las fundaciones y a las otras entidades sin ánimo de lucro que no sean las asociaciones (entiéndase dentro de las </w:t>
      </w:r>
      <w:proofErr w:type="spellStart"/>
      <w:r w:rsidRPr="0062457F">
        <w:rPr>
          <w:rFonts w:ascii="Verdana" w:hAnsi="Verdana"/>
        </w:rPr>
        <w:t>asociac</w:t>
      </w:r>
      <w:proofErr w:type="spellEnd"/>
      <w:r w:rsidRPr="0062457F">
        <w:rPr>
          <w:rFonts w:ascii="Verdana" w:hAnsi="Verdana"/>
        </w:rPr>
        <w:t xml:space="preserve">  iones a las corporaciones)2 y las cooperativas, puesto que se parte de la naturaleza jurídica de este tipo de personas jurídicas, se conforma desde el acuerdo de una pluralidad de voluntades vinculadas mediante aportes en dinero, especie o actividad, en orden a la realización de un fin de beneficio social extraeconómico, que puede contraerse a los asociados, a un gremio o grupo social en particular, pero cuya base fundamental para su existencia son las personas que lo conforman. Por el contrario, si bien las fundaciones nacen del acuerdo de voluntad irrevocable de sus fundadores, la base fundamental para su existencia es la afectación de unos fondos preexistentes a la realización efectiva de un fin de beneficencia pública, de utilidad común o de interés social.</w:t>
      </w:r>
    </w:p>
    <w:p w14:paraId="3149AC10" w14:textId="77777777" w:rsidR="00BF0F0A" w:rsidRPr="0062457F" w:rsidRDefault="00BF0F0A" w:rsidP="00BF0F0A">
      <w:pPr>
        <w:spacing w:after="0" w:line="240" w:lineRule="auto"/>
        <w:rPr>
          <w:rFonts w:ascii="Verdana" w:eastAsia="Geomanist Light" w:hAnsi="Verdana" w:cs="Arial"/>
          <w:color w:val="000000" w:themeColor="text1"/>
          <w:lang w:val="es-ES_tradnl"/>
        </w:rPr>
      </w:pPr>
    </w:p>
    <w:p w14:paraId="725A9F67" w14:textId="77777777" w:rsidR="00BF0F0A" w:rsidRPr="0062457F" w:rsidRDefault="00BF0F0A" w:rsidP="00BF0F0A">
      <w:pPr>
        <w:spacing w:after="0" w:line="240" w:lineRule="auto"/>
        <w:rPr>
          <w:rFonts w:ascii="Verdana" w:eastAsia="Geomanist Light" w:hAnsi="Verdana" w:cs="Arial"/>
          <w:color w:val="000000" w:themeColor="text1"/>
        </w:rPr>
      </w:pPr>
    </w:p>
    <w:p w14:paraId="19A21819" w14:textId="77777777" w:rsidR="00BF0F0A" w:rsidRPr="0062457F" w:rsidRDefault="00BF0F0A" w:rsidP="00BF0F0A">
      <w:pPr>
        <w:spacing w:after="0" w:line="240" w:lineRule="auto"/>
        <w:rPr>
          <w:rFonts w:ascii="Verdana" w:eastAsia="Geomanist Light" w:hAnsi="Verdana" w:cs="Arial"/>
          <w:color w:val="000000" w:themeColor="text1"/>
        </w:rPr>
      </w:pPr>
    </w:p>
    <w:p w14:paraId="7A833D49" w14:textId="77777777" w:rsidR="00BF0F0A" w:rsidRPr="0062457F" w:rsidRDefault="00BF0F0A" w:rsidP="00BF0F0A">
      <w:pPr>
        <w:spacing w:after="0" w:line="240" w:lineRule="auto"/>
        <w:rPr>
          <w:rFonts w:ascii="Verdana" w:eastAsia="Geomanist Light" w:hAnsi="Verdana" w:cs="Arial"/>
          <w:color w:val="000000" w:themeColor="text1"/>
        </w:rPr>
      </w:pPr>
    </w:p>
    <w:p w14:paraId="17D3214B" w14:textId="77777777" w:rsidR="00BF0F0A" w:rsidRPr="0062457F" w:rsidRDefault="00BF0F0A" w:rsidP="00BF0F0A">
      <w:pPr>
        <w:spacing w:after="0" w:line="240" w:lineRule="auto"/>
        <w:rPr>
          <w:rFonts w:ascii="Verdana" w:eastAsia="Geomanist Light" w:hAnsi="Verdana" w:cs="Arial"/>
          <w:color w:val="000000" w:themeColor="text1"/>
        </w:rPr>
      </w:pPr>
    </w:p>
    <w:p w14:paraId="19B0F2D2" w14:textId="77777777" w:rsidR="00BF0F0A" w:rsidRPr="0062457F" w:rsidRDefault="00BF0F0A" w:rsidP="00BF0F0A">
      <w:pPr>
        <w:spacing w:after="0" w:line="240" w:lineRule="auto"/>
        <w:rPr>
          <w:rFonts w:ascii="Verdana" w:eastAsia="Geomanist Light" w:hAnsi="Verdana" w:cs="Arial"/>
          <w:color w:val="000000" w:themeColor="text1"/>
        </w:rPr>
      </w:pPr>
    </w:p>
    <w:p w14:paraId="34601B16" w14:textId="77777777" w:rsidR="00BF0F0A" w:rsidRPr="0062457F" w:rsidRDefault="00BF0F0A" w:rsidP="00BF0F0A">
      <w:pPr>
        <w:spacing w:after="0" w:line="240" w:lineRule="auto"/>
        <w:rPr>
          <w:rFonts w:ascii="Verdana" w:eastAsia="Geomanist Light" w:hAnsi="Verdana" w:cs="Arial"/>
          <w:color w:val="000000" w:themeColor="text1"/>
        </w:rPr>
      </w:pPr>
    </w:p>
    <w:p w14:paraId="65FBE8B1" w14:textId="77777777" w:rsidR="00BF0F0A" w:rsidRPr="0062457F" w:rsidRDefault="00BF0F0A" w:rsidP="00BF0F0A">
      <w:pPr>
        <w:spacing w:after="0" w:line="240" w:lineRule="auto"/>
        <w:rPr>
          <w:rFonts w:ascii="Verdana" w:eastAsia="Geomanist Light" w:hAnsi="Verdana" w:cs="Arial"/>
          <w:color w:val="000000" w:themeColor="text1"/>
        </w:rPr>
      </w:pPr>
    </w:p>
    <w:p w14:paraId="0C1AB601" w14:textId="77777777" w:rsidR="00BF0F0A" w:rsidRPr="0062457F" w:rsidRDefault="00BF0F0A" w:rsidP="00BF0F0A">
      <w:pPr>
        <w:spacing w:after="0" w:line="240" w:lineRule="auto"/>
        <w:rPr>
          <w:rFonts w:ascii="Verdana" w:eastAsia="Geomanist Light" w:hAnsi="Verdana" w:cs="Arial"/>
          <w:color w:val="000000" w:themeColor="text1"/>
        </w:rPr>
      </w:pPr>
    </w:p>
    <w:p w14:paraId="77C506D2" w14:textId="77777777" w:rsidR="00BF0F0A" w:rsidRPr="0062457F" w:rsidRDefault="00BF0F0A" w:rsidP="00BF0F0A">
      <w:pPr>
        <w:spacing w:after="0" w:line="240" w:lineRule="auto"/>
        <w:rPr>
          <w:rFonts w:ascii="Verdana" w:eastAsia="Geomanist Light" w:hAnsi="Verdana" w:cs="Arial"/>
          <w:color w:val="000000" w:themeColor="text1"/>
        </w:rPr>
      </w:pPr>
    </w:p>
    <w:p w14:paraId="5CA3AAE9" w14:textId="77777777" w:rsidR="00BF0F0A" w:rsidRPr="0062457F" w:rsidRDefault="00BF0F0A" w:rsidP="00BF0F0A">
      <w:pPr>
        <w:spacing w:after="0" w:line="240" w:lineRule="auto"/>
        <w:rPr>
          <w:rFonts w:ascii="Verdana" w:eastAsia="Geomanist Light" w:hAnsi="Verdana" w:cs="Arial"/>
          <w:color w:val="000000" w:themeColor="text1"/>
        </w:rPr>
      </w:pPr>
    </w:p>
    <w:p w14:paraId="0DE099F8" w14:textId="77777777" w:rsidR="00BF0F0A" w:rsidRPr="0062457F" w:rsidRDefault="00BF0F0A" w:rsidP="00BF0F0A">
      <w:pPr>
        <w:spacing w:after="0" w:line="240" w:lineRule="auto"/>
        <w:rPr>
          <w:rFonts w:ascii="Verdana" w:eastAsia="Geomanist Light" w:hAnsi="Verdana" w:cs="Arial"/>
          <w:color w:val="000000" w:themeColor="text1"/>
        </w:rPr>
      </w:pPr>
    </w:p>
    <w:p w14:paraId="7C7F7317" w14:textId="77777777" w:rsidR="00BF0F0A" w:rsidRPr="0062457F" w:rsidRDefault="00BF0F0A" w:rsidP="00BF0F0A">
      <w:pPr>
        <w:spacing w:after="0" w:line="240" w:lineRule="auto"/>
        <w:rPr>
          <w:rFonts w:ascii="Verdana" w:eastAsia="Geomanist Light" w:hAnsi="Verdana" w:cs="Arial"/>
          <w:color w:val="000000" w:themeColor="text1"/>
        </w:rPr>
      </w:pPr>
    </w:p>
    <w:p w14:paraId="406F3BCE" w14:textId="77777777" w:rsidR="00BF0F0A" w:rsidRPr="0062457F" w:rsidRDefault="00BF0F0A" w:rsidP="00BF0F0A">
      <w:pPr>
        <w:spacing w:after="0" w:line="240" w:lineRule="auto"/>
        <w:rPr>
          <w:rFonts w:ascii="Verdana" w:eastAsia="Geomanist Light" w:hAnsi="Verdana" w:cs="Arial"/>
          <w:color w:val="000000" w:themeColor="text1"/>
        </w:rPr>
      </w:pPr>
    </w:p>
    <w:p w14:paraId="065630D2" w14:textId="77777777" w:rsidR="00BF0F0A" w:rsidRPr="0062457F" w:rsidRDefault="00BF0F0A" w:rsidP="00BF0F0A">
      <w:pPr>
        <w:spacing w:after="0" w:line="240" w:lineRule="auto"/>
        <w:rPr>
          <w:rFonts w:ascii="Verdana" w:eastAsia="Geomanist Light" w:hAnsi="Verdana" w:cs="Arial"/>
          <w:color w:val="000000" w:themeColor="text1"/>
        </w:rPr>
      </w:pPr>
    </w:p>
    <w:p w14:paraId="339B99BE" w14:textId="77777777" w:rsidR="00BF0F0A" w:rsidRPr="0062457F" w:rsidRDefault="00BF0F0A" w:rsidP="00BF0F0A">
      <w:pPr>
        <w:spacing w:after="0" w:line="240" w:lineRule="auto"/>
        <w:rPr>
          <w:rFonts w:ascii="Verdana" w:eastAsia="Geomanist Light" w:hAnsi="Verdana" w:cs="Arial"/>
          <w:color w:val="000000" w:themeColor="text1"/>
        </w:rPr>
      </w:pPr>
    </w:p>
    <w:p w14:paraId="7365E35D" w14:textId="77777777" w:rsidR="00BF0F0A" w:rsidRPr="0062457F" w:rsidRDefault="00BF0F0A" w:rsidP="00BF0F0A">
      <w:pPr>
        <w:spacing w:after="0" w:line="240" w:lineRule="auto"/>
        <w:rPr>
          <w:rFonts w:ascii="Verdana" w:eastAsia="Geomanist Light" w:hAnsi="Verdana" w:cs="Arial"/>
          <w:color w:val="000000" w:themeColor="text1"/>
        </w:rPr>
      </w:pPr>
    </w:p>
    <w:p w14:paraId="3DC142EE" w14:textId="77777777" w:rsidR="00BF0F0A" w:rsidRDefault="00BF0F0A" w:rsidP="00E245AB">
      <w:pPr>
        <w:spacing w:after="0"/>
        <w:rPr>
          <w:rFonts w:ascii="Verdana" w:hAnsi="Verdana"/>
        </w:rPr>
      </w:pPr>
    </w:p>
    <w:p w14:paraId="6FB58955" w14:textId="77777777" w:rsidR="00BF0F0A" w:rsidRDefault="00BF0F0A" w:rsidP="00E245AB">
      <w:pPr>
        <w:spacing w:after="0"/>
        <w:rPr>
          <w:rFonts w:ascii="Verdana" w:hAnsi="Verdana"/>
        </w:rPr>
      </w:pPr>
    </w:p>
    <w:p w14:paraId="3761BA2C" w14:textId="77777777" w:rsidR="00BF0F0A" w:rsidRDefault="00BF0F0A" w:rsidP="00E245AB">
      <w:pPr>
        <w:spacing w:after="0"/>
        <w:rPr>
          <w:rFonts w:ascii="Verdana" w:hAnsi="Verdana"/>
        </w:rPr>
      </w:pPr>
    </w:p>
    <w:p w14:paraId="390A4A1D" w14:textId="77777777" w:rsidR="00BF0F0A" w:rsidRDefault="00BF0F0A" w:rsidP="00E245AB">
      <w:pPr>
        <w:spacing w:after="0"/>
        <w:rPr>
          <w:rFonts w:ascii="Verdana" w:hAnsi="Verdana"/>
        </w:rPr>
      </w:pPr>
    </w:p>
    <w:p w14:paraId="14D2E02E" w14:textId="77777777" w:rsidR="00BF0F0A" w:rsidRDefault="00BF0F0A" w:rsidP="00E245AB">
      <w:pPr>
        <w:spacing w:after="0"/>
        <w:rPr>
          <w:rFonts w:ascii="Verdana" w:hAnsi="Verdana"/>
        </w:rPr>
      </w:pPr>
    </w:p>
    <w:p w14:paraId="04942584" w14:textId="77777777" w:rsidR="00BF0F0A" w:rsidRDefault="00BF0F0A" w:rsidP="00E245AB">
      <w:pPr>
        <w:spacing w:after="0"/>
        <w:rPr>
          <w:rFonts w:ascii="Verdana" w:hAnsi="Verdana"/>
        </w:rPr>
      </w:pPr>
    </w:p>
    <w:p w14:paraId="5B18C645" w14:textId="77777777" w:rsidR="00BF0F0A" w:rsidRDefault="00BF0F0A" w:rsidP="00E245AB">
      <w:pPr>
        <w:spacing w:after="0"/>
        <w:rPr>
          <w:rFonts w:ascii="Verdana" w:hAnsi="Verdana"/>
        </w:rPr>
      </w:pPr>
    </w:p>
    <w:p w14:paraId="6F7CEF05" w14:textId="77777777" w:rsidR="00BF0F0A" w:rsidRDefault="00BF0F0A" w:rsidP="00E245AB">
      <w:pPr>
        <w:spacing w:after="0"/>
        <w:rPr>
          <w:rFonts w:ascii="Verdana" w:hAnsi="Verdana"/>
        </w:rPr>
      </w:pPr>
    </w:p>
    <w:p w14:paraId="0BC16A7D" w14:textId="77777777" w:rsidR="00BF0F0A" w:rsidRDefault="00BF0F0A" w:rsidP="00E245AB">
      <w:pPr>
        <w:spacing w:after="0"/>
        <w:rPr>
          <w:rFonts w:ascii="Verdana" w:hAnsi="Verdana"/>
        </w:rPr>
      </w:pPr>
    </w:p>
    <w:p w14:paraId="39F27E52" w14:textId="77777777" w:rsidR="00BF0F0A" w:rsidRDefault="00BF0F0A" w:rsidP="00E245AB">
      <w:pPr>
        <w:spacing w:after="0"/>
        <w:rPr>
          <w:rFonts w:ascii="Verdana" w:hAnsi="Verdana"/>
        </w:rPr>
      </w:pPr>
    </w:p>
    <w:p w14:paraId="3753B21E" w14:textId="77777777" w:rsidR="00BF0F0A" w:rsidRDefault="00BF0F0A" w:rsidP="00E245AB">
      <w:pPr>
        <w:spacing w:after="0"/>
        <w:rPr>
          <w:rFonts w:ascii="Verdana" w:hAnsi="Verdana"/>
        </w:rPr>
      </w:pPr>
    </w:p>
    <w:p w14:paraId="0B7ECBA8" w14:textId="77777777" w:rsidR="00BF0F0A" w:rsidRDefault="00BF0F0A" w:rsidP="00E245AB">
      <w:pPr>
        <w:spacing w:after="0"/>
        <w:rPr>
          <w:rFonts w:ascii="Verdana" w:hAnsi="Verdana"/>
        </w:rPr>
      </w:pPr>
    </w:p>
    <w:p w14:paraId="2EDCAC68" w14:textId="77777777" w:rsidR="00BF0F0A" w:rsidRDefault="00BF0F0A" w:rsidP="00E245AB">
      <w:pPr>
        <w:spacing w:after="0"/>
        <w:rPr>
          <w:rFonts w:ascii="Verdana" w:hAnsi="Verdana"/>
        </w:rPr>
      </w:pPr>
    </w:p>
    <w:p w14:paraId="693DC789" w14:textId="77777777" w:rsidR="005A17CE" w:rsidRDefault="005A17CE" w:rsidP="00E245AB">
      <w:pPr>
        <w:spacing w:after="0"/>
        <w:rPr>
          <w:rFonts w:ascii="Verdana" w:hAnsi="Verdana"/>
        </w:rPr>
      </w:pPr>
    </w:p>
    <w:p w14:paraId="3FE2184B" w14:textId="0DBD99C8" w:rsidR="00E245AB" w:rsidRPr="0044528D" w:rsidRDefault="00E245AB" w:rsidP="00E245AB">
      <w:pPr>
        <w:spacing w:after="0"/>
        <w:rPr>
          <w:rFonts w:ascii="Verdana" w:hAnsi="Verdana"/>
        </w:rPr>
      </w:pPr>
      <w:r w:rsidRPr="0044528D">
        <w:rPr>
          <w:rFonts w:ascii="Verdana" w:hAnsi="Verdana"/>
        </w:rPr>
        <w:t>Bogotá D.C.,</w:t>
      </w:r>
      <w:r w:rsidR="0017253A">
        <w:rPr>
          <w:rFonts w:ascii="Verdana" w:hAnsi="Verdana"/>
        </w:rPr>
        <w:t xml:space="preserve"> </w:t>
      </w:r>
      <w:r w:rsidR="0017253A" w:rsidRPr="0017253A">
        <w:rPr>
          <w:rFonts w:ascii="Verdana" w:hAnsi="Verdana"/>
        </w:rPr>
        <w:t>23 Agosto 2024</w:t>
      </w:r>
      <w:r w:rsidR="00891928" w:rsidRPr="0044528D">
        <w:rPr>
          <w:rFonts w:ascii="Verdana" w:hAnsi="Verdana"/>
        </w:rPr>
        <w:tab/>
      </w:r>
    </w:p>
    <w:p w14:paraId="5FCADBF9" w14:textId="77777777" w:rsidR="00E245AB" w:rsidRDefault="00E245AB" w:rsidP="00E245AB">
      <w:pPr>
        <w:spacing w:after="0"/>
        <w:rPr>
          <w:rFonts w:ascii="Verdana" w:hAnsi="Verdana"/>
        </w:rPr>
      </w:pPr>
    </w:p>
    <w:p w14:paraId="652801FE" w14:textId="0FBE0831" w:rsidR="00C52593" w:rsidRPr="0062457F" w:rsidRDefault="00597457" w:rsidP="00C52593">
      <w:pPr>
        <w:spacing w:after="0" w:line="240" w:lineRule="auto"/>
        <w:jc w:val="both"/>
        <w:rPr>
          <w:rFonts w:ascii="Verdana" w:eastAsia="Calibri" w:hAnsi="Verdana" w:cs="Arial"/>
          <w:lang w:val="es-ES" w:eastAsia="es-ES"/>
        </w:rPr>
      </w:pPr>
      <w:r w:rsidRPr="00597457">
        <w:rPr>
          <w:rStyle w:val="Hipervnculo"/>
          <w:rFonts w:ascii="Verdana" w:eastAsia="Calibri" w:hAnsi="Verdana" w:cs="Arial"/>
          <w:lang w:val="es-ES" w:eastAsia="es-ES"/>
        </w:rPr>
        <w:drawing>
          <wp:anchor distT="0" distB="0" distL="114300" distR="114300" simplePos="0" relativeHeight="251658240" behindDoc="1" locked="0" layoutInCell="1" allowOverlap="1" wp14:anchorId="0223B7B3" wp14:editId="084D044A">
            <wp:simplePos x="0" y="0"/>
            <wp:positionH relativeFrom="margin">
              <wp:align>right</wp:align>
            </wp:positionH>
            <wp:positionV relativeFrom="paragraph">
              <wp:posOffset>11993</wp:posOffset>
            </wp:positionV>
            <wp:extent cx="2987435" cy="828374"/>
            <wp:effectExtent l="0" t="0" r="3810" b="0"/>
            <wp:wrapNone/>
            <wp:docPr id="21280184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18414"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87435" cy="828374"/>
                    </a:xfrm>
                    <a:prstGeom prst="rect">
                      <a:avLst/>
                    </a:prstGeom>
                  </pic:spPr>
                </pic:pic>
              </a:graphicData>
            </a:graphic>
            <wp14:sizeRelH relativeFrom="margin">
              <wp14:pctWidth>0</wp14:pctWidth>
            </wp14:sizeRelH>
            <wp14:sizeRelV relativeFrom="margin">
              <wp14:pctHeight>0</wp14:pctHeight>
            </wp14:sizeRelV>
          </wp:anchor>
        </w:drawing>
      </w:r>
      <w:r w:rsidR="00C52593" w:rsidRPr="0062457F">
        <w:rPr>
          <w:rFonts w:ascii="Verdana" w:eastAsia="Calibri" w:hAnsi="Verdana" w:cs="Arial"/>
          <w:lang w:val="es-ES" w:eastAsia="es-ES"/>
        </w:rPr>
        <w:t>Señor</w:t>
      </w:r>
      <w:r w:rsidR="00BD1AA0">
        <w:rPr>
          <w:rFonts w:ascii="Verdana" w:eastAsia="Calibri" w:hAnsi="Verdana" w:cs="Arial"/>
          <w:lang w:val="es-ES" w:eastAsia="es-ES"/>
        </w:rPr>
        <w:t>a:</w:t>
      </w:r>
    </w:p>
    <w:p w14:paraId="4AE14F94" w14:textId="60D969D5" w:rsidR="00C52593" w:rsidRPr="0062457F" w:rsidRDefault="00C52593" w:rsidP="00C52593">
      <w:pPr>
        <w:spacing w:after="0" w:line="240" w:lineRule="auto"/>
        <w:jc w:val="both"/>
        <w:rPr>
          <w:rFonts w:ascii="Verdana" w:eastAsia="Calibri" w:hAnsi="Verdana" w:cs="Arial"/>
          <w:lang w:val="es-ES" w:eastAsia="es-ES"/>
        </w:rPr>
      </w:pPr>
      <w:r w:rsidRPr="0062457F">
        <w:rPr>
          <w:rFonts w:ascii="Verdana" w:eastAsia="Calibri" w:hAnsi="Verdana" w:cs="Arial"/>
          <w:lang w:val="es-ES" w:eastAsia="es-ES"/>
        </w:rPr>
        <w:t>María Bernal Camila Restrepo</w:t>
      </w:r>
    </w:p>
    <w:p w14:paraId="40B6C698" w14:textId="4C310FA7" w:rsidR="00C52593" w:rsidRPr="0062457F" w:rsidRDefault="00000000" w:rsidP="00C52593">
      <w:pPr>
        <w:spacing w:after="0" w:line="240" w:lineRule="auto"/>
        <w:rPr>
          <w:rFonts w:ascii="Verdana" w:eastAsia="Calibri" w:hAnsi="Verdana" w:cs="Arial"/>
          <w:lang w:val="es-ES" w:eastAsia="es-ES"/>
        </w:rPr>
      </w:pPr>
      <w:hyperlink r:id="rId11" w:history="1">
        <w:r w:rsidR="00C52593" w:rsidRPr="0062457F">
          <w:rPr>
            <w:rStyle w:val="Hipervnculo"/>
            <w:rFonts w:ascii="Verdana" w:eastAsia="Calibri" w:hAnsi="Verdana" w:cs="Arial"/>
            <w:lang w:val="es-ES" w:eastAsia="es-ES"/>
          </w:rPr>
          <w:t>camila_01_23@hotmail.com</w:t>
        </w:r>
      </w:hyperlink>
      <w:r w:rsidR="00597457" w:rsidRPr="00597457">
        <w:rPr>
          <w:noProof/>
        </w:rPr>
        <w:t xml:space="preserve"> </w:t>
      </w:r>
    </w:p>
    <w:p w14:paraId="3EED894A" w14:textId="77777777" w:rsidR="00C52593" w:rsidRPr="0062457F" w:rsidRDefault="00C52593" w:rsidP="00C52593">
      <w:pPr>
        <w:spacing w:after="0" w:line="240" w:lineRule="auto"/>
        <w:rPr>
          <w:rFonts w:ascii="Verdana" w:eastAsia="Calibri" w:hAnsi="Verdana" w:cs="Arial"/>
          <w:b/>
          <w:bCs/>
          <w:lang w:val="es-ES" w:eastAsia="es-ES"/>
        </w:rPr>
      </w:pPr>
      <w:r w:rsidRPr="0062457F">
        <w:rPr>
          <w:rFonts w:ascii="Verdana" w:eastAsia="Calibri" w:hAnsi="Verdana" w:cs="Arial"/>
          <w:lang w:val="es-ES" w:eastAsia="es-ES"/>
        </w:rPr>
        <w:t>Cartago – Valle del Cauca</w:t>
      </w:r>
    </w:p>
    <w:p w14:paraId="39B8AE14" w14:textId="77777777" w:rsidR="00C52593" w:rsidRPr="0062457F" w:rsidRDefault="00C52593" w:rsidP="00C52593">
      <w:pPr>
        <w:spacing w:after="0" w:line="240" w:lineRule="auto"/>
        <w:rPr>
          <w:rFonts w:ascii="Verdana" w:eastAsia="Calibri" w:hAnsi="Verdana" w:cs="Arial"/>
          <w:b/>
          <w:bCs/>
          <w:color w:val="000000"/>
          <w:lang w:val="es-ES_tradnl" w:eastAsia="es-ES_tradnl"/>
        </w:rPr>
      </w:pPr>
    </w:p>
    <w:p w14:paraId="7CFB1911" w14:textId="77777777" w:rsidR="00C52593" w:rsidRPr="0062457F" w:rsidRDefault="00C52593" w:rsidP="00C5259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52593" w:rsidRPr="0062457F" w14:paraId="58CB29F7" w14:textId="77777777" w:rsidTr="009F6321">
        <w:trPr>
          <w:trHeight w:val="884"/>
        </w:trPr>
        <w:tc>
          <w:tcPr>
            <w:tcW w:w="2689" w:type="dxa"/>
          </w:tcPr>
          <w:p w14:paraId="47FD9F48" w14:textId="77777777" w:rsidR="00C52593" w:rsidRPr="0062457F" w:rsidRDefault="00C52593" w:rsidP="009F6321">
            <w:pPr>
              <w:jc w:val="both"/>
              <w:rPr>
                <w:rFonts w:ascii="Verdana" w:eastAsia="Calibri" w:hAnsi="Verdana" w:cs="Arial"/>
                <w:b/>
                <w:bCs/>
                <w:color w:val="7030A0"/>
                <w:lang w:val="es-ES_tradnl" w:eastAsia="es-ES_tradnl"/>
              </w:rPr>
            </w:pPr>
          </w:p>
        </w:tc>
        <w:tc>
          <w:tcPr>
            <w:tcW w:w="6100" w:type="dxa"/>
            <w:hideMark/>
          </w:tcPr>
          <w:p w14:paraId="67D45B9B" w14:textId="77777777" w:rsidR="00C52593" w:rsidRPr="0062457F" w:rsidRDefault="00C52593" w:rsidP="009F6321">
            <w:pPr>
              <w:jc w:val="both"/>
              <w:rPr>
                <w:rFonts w:ascii="Verdana" w:eastAsia="Calibri" w:hAnsi="Verdana" w:cs="Arial"/>
                <w:b/>
                <w:bCs/>
                <w:color w:val="7030A0"/>
                <w:lang w:val="es-ES" w:eastAsia="es-ES"/>
              </w:rPr>
            </w:pPr>
            <w:r w:rsidRPr="0062457F">
              <w:rPr>
                <w:rFonts w:ascii="Verdana" w:eastAsia="Calibri" w:hAnsi="Verdana" w:cs="Arial"/>
                <w:b/>
                <w:bCs/>
                <w:lang w:val="es-ES" w:eastAsia="es-ES"/>
              </w:rPr>
              <w:t>Concepto C- 156 de 2024</w:t>
            </w:r>
          </w:p>
        </w:tc>
      </w:tr>
      <w:tr w:rsidR="00C52593" w:rsidRPr="0062457F" w14:paraId="320D1DCC" w14:textId="77777777" w:rsidTr="009F6321">
        <w:trPr>
          <w:trHeight w:val="884"/>
        </w:trPr>
        <w:tc>
          <w:tcPr>
            <w:tcW w:w="2689" w:type="dxa"/>
            <w:hideMark/>
          </w:tcPr>
          <w:p w14:paraId="0515CEB6" w14:textId="77777777" w:rsidR="00C52593" w:rsidRPr="0062457F" w:rsidRDefault="00C52593" w:rsidP="009F6321">
            <w:pPr>
              <w:jc w:val="both"/>
              <w:rPr>
                <w:rFonts w:ascii="Verdana" w:eastAsia="Calibri" w:hAnsi="Verdana" w:cs="Arial"/>
                <w:lang w:val="es-ES_tradnl" w:eastAsia="es-ES_tradnl"/>
              </w:rPr>
            </w:pPr>
            <w:r w:rsidRPr="0062457F">
              <w:rPr>
                <w:rFonts w:ascii="Verdana" w:eastAsia="Calibri" w:hAnsi="Verdana" w:cs="Arial"/>
                <w:b/>
                <w:lang w:val="es-ES_tradnl" w:eastAsia="es-ES_tradnl"/>
              </w:rPr>
              <w:t>Temas:</w:t>
            </w:r>
            <w:r w:rsidRPr="0062457F">
              <w:rPr>
                <w:rFonts w:ascii="Verdana" w:eastAsia="Calibri" w:hAnsi="Verdana" w:cs="Arial"/>
                <w:lang w:val="es-ES_tradnl" w:eastAsia="es-ES_tradnl"/>
              </w:rPr>
              <w:t xml:space="preserve">                   </w:t>
            </w:r>
          </w:p>
        </w:tc>
        <w:tc>
          <w:tcPr>
            <w:tcW w:w="6100" w:type="dxa"/>
          </w:tcPr>
          <w:p w14:paraId="30A7D7C3" w14:textId="20F00D8B" w:rsidR="00C52593" w:rsidRPr="0062457F" w:rsidRDefault="00C52593" w:rsidP="009F6321">
            <w:pPr>
              <w:spacing w:line="276" w:lineRule="auto"/>
              <w:jc w:val="both"/>
              <w:rPr>
                <w:rFonts w:ascii="Verdana" w:eastAsia="Calibri" w:hAnsi="Verdana" w:cs="Arial"/>
                <w:lang w:val="es-ES" w:eastAsia="es-ES"/>
              </w:rPr>
            </w:pPr>
            <w:r w:rsidRPr="0062457F">
              <w:rPr>
                <w:rFonts w:ascii="Verdana" w:eastAsia="Calibri" w:hAnsi="Verdana" w:cs="Arial"/>
                <w:lang w:val="es-ES" w:eastAsia="es-ES"/>
              </w:rPr>
              <w:t xml:space="preserve">LEY DE EMPRENDIMIENTO – Ley 2069 de 2020– Finalidad / LEY DE EMPRENDIMIENTO – Ley 2069 de 2020 – Artículo 32 – Criterios diferenciales – Emprendimientos de mujeres – Empresas de mujeres – Necesidad de reglamentación – Decreto 1860 de 2020.  </w:t>
            </w:r>
          </w:p>
        </w:tc>
      </w:tr>
      <w:tr w:rsidR="00C52593" w:rsidRPr="0062457F" w14:paraId="2F56A503" w14:textId="77777777" w:rsidTr="009F6321">
        <w:tc>
          <w:tcPr>
            <w:tcW w:w="2689" w:type="dxa"/>
            <w:hideMark/>
          </w:tcPr>
          <w:p w14:paraId="3C3CD94D" w14:textId="77777777" w:rsidR="00C52593" w:rsidRPr="0062457F" w:rsidRDefault="00C52593" w:rsidP="009F6321">
            <w:pPr>
              <w:jc w:val="both"/>
              <w:rPr>
                <w:rFonts w:ascii="Verdana" w:eastAsia="Calibri" w:hAnsi="Verdana" w:cs="Arial"/>
                <w:b/>
                <w:color w:val="7030A0"/>
                <w:lang w:val="es-ES_tradnl" w:eastAsia="es-ES_tradnl"/>
              </w:rPr>
            </w:pPr>
            <w:r w:rsidRPr="0062457F">
              <w:rPr>
                <w:rFonts w:ascii="Verdana" w:eastAsia="Calibri" w:hAnsi="Verdana" w:cs="Arial"/>
                <w:b/>
                <w:lang w:val="es-ES_tradnl" w:eastAsia="es-ES_tradnl"/>
              </w:rPr>
              <w:t>Radicación:</w:t>
            </w:r>
            <w:r w:rsidRPr="0062457F">
              <w:rPr>
                <w:rFonts w:ascii="Verdana" w:eastAsia="Calibri" w:hAnsi="Verdana" w:cs="Arial"/>
                <w:lang w:val="es-ES_tradnl" w:eastAsia="es-ES_tradnl"/>
              </w:rPr>
              <w:t xml:space="preserve">               </w:t>
            </w:r>
          </w:p>
        </w:tc>
        <w:tc>
          <w:tcPr>
            <w:tcW w:w="6100" w:type="dxa"/>
            <w:hideMark/>
          </w:tcPr>
          <w:p w14:paraId="05692FAD" w14:textId="77777777" w:rsidR="00C52593" w:rsidRPr="0062457F" w:rsidRDefault="00C52593" w:rsidP="009F6321">
            <w:pPr>
              <w:jc w:val="both"/>
              <w:rPr>
                <w:rFonts w:ascii="Verdana" w:eastAsia="Calibri" w:hAnsi="Verdana" w:cs="Arial"/>
                <w:color w:val="7030A0"/>
                <w:lang w:val="es-ES_tradnl" w:eastAsia="es-ES_tradnl"/>
              </w:rPr>
            </w:pPr>
            <w:r w:rsidRPr="0062457F">
              <w:rPr>
                <w:rFonts w:ascii="Verdana" w:eastAsia="Calibri" w:hAnsi="Verdana" w:cs="Arial"/>
                <w:lang w:val="es-ES_tradnl" w:eastAsia="es-ES_tradnl"/>
              </w:rPr>
              <w:t>Respuesta a consulta con radicado No. P20240710007050</w:t>
            </w:r>
          </w:p>
        </w:tc>
      </w:tr>
    </w:tbl>
    <w:p w14:paraId="2A054187" w14:textId="77777777" w:rsidR="00C52593" w:rsidRPr="0062457F" w:rsidRDefault="00C52593" w:rsidP="00C52593">
      <w:pPr>
        <w:spacing w:after="0" w:line="240" w:lineRule="auto"/>
        <w:jc w:val="both"/>
        <w:rPr>
          <w:rFonts w:ascii="Verdana" w:eastAsia="Calibri" w:hAnsi="Verdana" w:cs="Arial"/>
          <w:color w:val="000000"/>
          <w:lang w:val="es-ES_tradnl" w:eastAsia="es-ES_tradnl"/>
        </w:rPr>
      </w:pPr>
    </w:p>
    <w:p w14:paraId="26AF9EED" w14:textId="77777777" w:rsidR="00C52593" w:rsidRPr="0062457F" w:rsidRDefault="00C52593" w:rsidP="00C52593">
      <w:pPr>
        <w:spacing w:after="0" w:line="240" w:lineRule="auto"/>
        <w:jc w:val="both"/>
        <w:rPr>
          <w:rFonts w:ascii="Verdana" w:eastAsia="Calibri" w:hAnsi="Verdana" w:cs="Arial"/>
          <w:color w:val="000000"/>
          <w:lang w:val="es-ES_tradnl" w:eastAsia="es-ES_tradnl"/>
        </w:rPr>
      </w:pPr>
    </w:p>
    <w:p w14:paraId="3A70BD7E" w14:textId="77777777" w:rsidR="00C52593" w:rsidRPr="0062457F" w:rsidRDefault="00C52593" w:rsidP="00C52593">
      <w:pPr>
        <w:spacing w:after="0" w:line="276" w:lineRule="auto"/>
        <w:jc w:val="both"/>
        <w:rPr>
          <w:rFonts w:ascii="Verdana" w:eastAsia="Calibri" w:hAnsi="Verdana" w:cs="Arial"/>
          <w:color w:val="000000" w:themeColor="text1"/>
          <w:lang w:val="es-ES" w:eastAsia="es-ES"/>
        </w:rPr>
      </w:pPr>
      <w:r w:rsidRPr="0062457F">
        <w:rPr>
          <w:rFonts w:ascii="Verdana" w:eastAsia="Calibri" w:hAnsi="Verdana" w:cs="Arial"/>
          <w:color w:val="000000" w:themeColor="text1"/>
          <w:lang w:val="es-ES" w:eastAsia="es-ES"/>
        </w:rPr>
        <w:t xml:space="preserve">Estimada señora </w:t>
      </w:r>
      <w:r>
        <w:rPr>
          <w:rFonts w:ascii="Verdana" w:eastAsia="Calibri" w:hAnsi="Verdana" w:cs="Arial"/>
          <w:color w:val="000000" w:themeColor="text1"/>
          <w:lang w:val="es-ES" w:eastAsia="es-ES"/>
        </w:rPr>
        <w:t>Bernal</w:t>
      </w:r>
      <w:r w:rsidRPr="0062457F">
        <w:rPr>
          <w:rFonts w:ascii="Verdana" w:eastAsia="Calibri" w:hAnsi="Verdana" w:cs="Arial"/>
          <w:color w:val="000000" w:themeColor="text1"/>
          <w:lang w:val="es-ES" w:eastAsia="es-ES"/>
        </w:rPr>
        <w:t xml:space="preserve">:  </w:t>
      </w:r>
    </w:p>
    <w:p w14:paraId="12226AFC" w14:textId="77777777" w:rsidR="00C52593" w:rsidRPr="0062457F" w:rsidRDefault="00C52593" w:rsidP="00C52593">
      <w:pPr>
        <w:tabs>
          <w:tab w:val="left" w:pos="3768"/>
        </w:tabs>
        <w:spacing w:after="0" w:line="276" w:lineRule="auto"/>
        <w:jc w:val="both"/>
        <w:rPr>
          <w:rFonts w:ascii="Verdana" w:eastAsia="Calibri" w:hAnsi="Verdana" w:cs="Arial"/>
          <w:color w:val="000000" w:themeColor="text1"/>
          <w:lang w:val="es-ES" w:eastAsia="es-ES"/>
        </w:rPr>
      </w:pPr>
      <w:r w:rsidRPr="0062457F">
        <w:rPr>
          <w:rFonts w:ascii="Verdana" w:eastAsia="Calibri" w:hAnsi="Verdana" w:cs="Arial"/>
          <w:color w:val="000000" w:themeColor="text1"/>
          <w:lang w:val="es-ES" w:eastAsia="es-ES"/>
        </w:rPr>
        <w:tab/>
      </w:r>
    </w:p>
    <w:p w14:paraId="4D6F01B7" w14:textId="77777777" w:rsidR="00C52593" w:rsidRPr="0062457F" w:rsidRDefault="00C52593" w:rsidP="00C52593">
      <w:pPr>
        <w:spacing w:after="0" w:line="276" w:lineRule="auto"/>
        <w:jc w:val="both"/>
        <w:rPr>
          <w:rFonts w:ascii="Verdana" w:eastAsia="Calibri" w:hAnsi="Verdana" w:cs="Arial"/>
          <w:color w:val="7030A0"/>
          <w:lang w:val="es-ES" w:eastAsia="es-ES"/>
        </w:rPr>
      </w:pPr>
      <w:r w:rsidRPr="0062457F">
        <w:rPr>
          <w:rFonts w:ascii="Verdana" w:eastAsia="Calibri" w:hAnsi="Verdana" w:cs="Arial"/>
          <w:color w:val="000000" w:themeColor="text1"/>
          <w:lang w:val="es-ES" w:eastAsia="es-ES"/>
        </w:rPr>
        <w:t>En ejercicio de la competencia otorgada por los artículos 3, numeral 5º, y 11, numeral 8º, del Decreto Ley 4170 de 2011,</w:t>
      </w:r>
      <w:r w:rsidRPr="0062457F">
        <w:rPr>
          <w:rFonts w:ascii="Verdana" w:eastAsia="Arial MT" w:hAnsi="Verdana" w:cs="Arial MT"/>
          <w:lang w:val="es-ES" w:eastAsia="es-ES"/>
        </w:rPr>
        <w:t xml:space="preserve"> </w:t>
      </w:r>
      <w:r w:rsidRPr="0062457F">
        <w:rPr>
          <w:rFonts w:ascii="Verdana" w:hAnsi="Verdana" w:cs="Arial"/>
        </w:rPr>
        <w:t xml:space="preserve">así como lo establecido en el artículo 4 de la Resolución 1707 de 2018 expedida por esta Entidad, </w:t>
      </w:r>
      <w:r w:rsidRPr="0062457F">
        <w:rPr>
          <w:rFonts w:ascii="Verdana" w:eastAsia="Calibri" w:hAnsi="Verdana" w:cs="Arial"/>
          <w:color w:val="000000" w:themeColor="text1"/>
          <w:lang w:val="es-ES" w:eastAsia="es-ES"/>
        </w:rPr>
        <w:t xml:space="preserve">la Agencia Nacional </w:t>
      </w:r>
      <w:r w:rsidRPr="0062457F">
        <w:rPr>
          <w:rFonts w:ascii="Verdana" w:eastAsia="Calibri" w:hAnsi="Verdana" w:cs="Arial"/>
          <w:lang w:val="es-ES" w:eastAsia="es-ES"/>
        </w:rPr>
        <w:t xml:space="preserve">de Contratación Pública – Colombia Compra Eficiente– responde su solicitud de consulta de fecha 10 de julio de 2024, en la cual manifiesta lo siguiente: </w:t>
      </w:r>
    </w:p>
    <w:p w14:paraId="36A19DDA" w14:textId="77777777" w:rsidR="00C52593" w:rsidRPr="0062457F" w:rsidRDefault="00C52593" w:rsidP="00C52593">
      <w:pPr>
        <w:spacing w:after="0" w:line="240" w:lineRule="auto"/>
        <w:ind w:left="709" w:right="709"/>
        <w:jc w:val="both"/>
        <w:rPr>
          <w:rFonts w:ascii="Verdana" w:eastAsia="Century Gothic" w:hAnsi="Verdana" w:cs="Century Gothic"/>
          <w:i/>
          <w:iCs/>
        </w:rPr>
      </w:pPr>
      <w:bookmarkStart w:id="3" w:name="_Hlk95313578"/>
    </w:p>
    <w:p w14:paraId="71317BE6" w14:textId="77777777" w:rsidR="00C52593" w:rsidRPr="0062457F" w:rsidRDefault="00C52593" w:rsidP="00C52593">
      <w:pPr>
        <w:spacing w:after="0" w:line="240" w:lineRule="auto"/>
        <w:ind w:left="709" w:right="709"/>
        <w:jc w:val="both"/>
        <w:rPr>
          <w:rFonts w:ascii="Verdana" w:eastAsia="Century Gothic" w:hAnsi="Verdana" w:cs="Century Gothic"/>
          <w:i/>
          <w:iCs/>
        </w:rPr>
      </w:pPr>
      <w:r w:rsidRPr="0062457F">
        <w:rPr>
          <w:rFonts w:ascii="Verdana" w:eastAsia="Century Gothic" w:hAnsi="Verdana" w:cs="Century Gothic"/>
          <w:i/>
          <w:iCs/>
        </w:rPr>
        <w:t>“</w:t>
      </w:r>
      <w:r w:rsidRPr="0062457F">
        <w:rPr>
          <w:rStyle w:val="normaltextrun"/>
          <w:rFonts w:ascii="Verdana" w:hAnsi="Verdana" w:cs="Arial"/>
          <w:color w:val="7030A0"/>
          <w:shd w:val="clear" w:color="auto" w:fill="FFFFFF"/>
          <w:lang w:val="es-ES"/>
        </w:rPr>
        <w:t>[…]</w:t>
      </w:r>
      <w:r w:rsidRPr="0062457F">
        <w:rPr>
          <w:rFonts w:ascii="Verdana" w:eastAsia="Century Gothic" w:hAnsi="Verdana" w:cs="Century Gothic"/>
          <w:i/>
          <w:iCs/>
        </w:rPr>
        <w:t xml:space="preserve">.1. Aún se estaría cumpliendo con el criterio para </w:t>
      </w:r>
      <w:proofErr w:type="spellStart"/>
      <w:r w:rsidRPr="0062457F">
        <w:rPr>
          <w:rFonts w:ascii="Verdana" w:eastAsia="Century Gothic" w:hAnsi="Verdana" w:cs="Century Gothic"/>
          <w:i/>
          <w:iCs/>
        </w:rPr>
        <w:t>acreer</w:t>
      </w:r>
      <w:proofErr w:type="spellEnd"/>
      <w:r w:rsidRPr="0062457F">
        <w:rPr>
          <w:rFonts w:ascii="Verdana" w:eastAsia="Century Gothic" w:hAnsi="Verdana" w:cs="Century Gothic"/>
          <w:i/>
          <w:iCs/>
        </w:rPr>
        <w:t xml:space="preserve"> el puntaje a emprendimiento y empresa de mujeres, teniendo en cuenta que el cargo ha sido ejecutado por una mujer, y continuará siendo ocupado por una mujer 2. En caso de que la respuesta sea no, es necesario esperar a que esta nueva persona que ocupa el cargo cumpla un año en sus funciones para poder ser</w:t>
      </w:r>
    </w:p>
    <w:p w14:paraId="126B203E" w14:textId="77777777" w:rsidR="00C52593" w:rsidRPr="0062457F" w:rsidRDefault="00C52593" w:rsidP="00C52593">
      <w:pPr>
        <w:spacing w:after="0" w:line="240" w:lineRule="auto"/>
        <w:ind w:left="709" w:right="709"/>
        <w:jc w:val="both"/>
        <w:rPr>
          <w:rFonts w:ascii="Verdana" w:hAnsi="Verdana" w:cs="Arial"/>
          <w:color w:val="7030A0"/>
          <w:shd w:val="clear" w:color="auto" w:fill="FFFFFF"/>
          <w:lang w:val="es-ES"/>
        </w:rPr>
      </w:pPr>
      <w:r w:rsidRPr="0062457F">
        <w:rPr>
          <w:rFonts w:ascii="Verdana" w:eastAsia="Century Gothic" w:hAnsi="Verdana" w:cs="Century Gothic"/>
          <w:i/>
          <w:iCs/>
        </w:rPr>
        <w:t xml:space="preserve">acreedores nuevamente del puntaje? </w:t>
      </w:r>
      <w:r w:rsidRPr="0062457F">
        <w:rPr>
          <w:rStyle w:val="normaltextrun"/>
          <w:rFonts w:ascii="Verdana" w:hAnsi="Verdana" w:cs="Arial"/>
          <w:color w:val="7030A0"/>
          <w:shd w:val="clear" w:color="auto" w:fill="FFFFFF"/>
          <w:lang w:val="es-ES"/>
        </w:rPr>
        <w:t>[…]</w:t>
      </w:r>
      <w:r w:rsidRPr="0062457F">
        <w:rPr>
          <w:rFonts w:ascii="Verdana" w:eastAsia="Century Gothic" w:hAnsi="Verdana" w:cs="Century Gothic"/>
          <w:color w:val="7030A0"/>
          <w:lang w:val="es-ES"/>
        </w:rPr>
        <w:t>”</w:t>
      </w:r>
      <w:bookmarkEnd w:id="3"/>
      <w:r w:rsidRPr="0062457F">
        <w:rPr>
          <w:rFonts w:ascii="Verdana" w:eastAsia="Century Gothic" w:hAnsi="Verdana" w:cs="Century Gothic"/>
          <w:color w:val="7030A0"/>
          <w:lang w:val="es-ES"/>
        </w:rPr>
        <w:t>.</w:t>
      </w:r>
    </w:p>
    <w:p w14:paraId="32C09D67" w14:textId="77777777" w:rsidR="00C52593" w:rsidRDefault="00C52593" w:rsidP="00C52593">
      <w:pPr>
        <w:spacing w:after="120" w:line="276" w:lineRule="auto"/>
        <w:jc w:val="both"/>
        <w:rPr>
          <w:rFonts w:ascii="Verdana" w:eastAsia="Calibri" w:hAnsi="Verdana" w:cs="Arial"/>
          <w:color w:val="000000"/>
          <w:lang w:val="es-ES" w:eastAsia="es-ES"/>
        </w:rPr>
      </w:pPr>
    </w:p>
    <w:p w14:paraId="226338B5" w14:textId="77777777" w:rsidR="00C52593" w:rsidRPr="0062457F" w:rsidRDefault="00C52593" w:rsidP="00C52593">
      <w:pPr>
        <w:spacing w:after="120" w:line="276" w:lineRule="auto"/>
        <w:jc w:val="both"/>
        <w:rPr>
          <w:rFonts w:ascii="Verdana" w:eastAsia="Calibri" w:hAnsi="Verdana" w:cs="Arial"/>
          <w:color w:val="000000"/>
          <w:lang w:val="es-ES_tradnl" w:eastAsia="es-ES_tradnl"/>
        </w:rPr>
      </w:pPr>
      <w:r w:rsidRPr="0062457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62457F">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2457F">
        <w:rPr>
          <w:rFonts w:ascii="Verdana" w:eastAsia="Calibri" w:hAnsi="Verdana" w:cs="Arial"/>
          <w:color w:val="000000"/>
          <w:lang w:val="es-ES_tradnl" w:eastAsia="es-ES_tradnl"/>
        </w:rPr>
        <w:tab/>
      </w:r>
    </w:p>
    <w:p w14:paraId="53834BBF" w14:textId="77777777" w:rsidR="00C52593" w:rsidRPr="0062457F" w:rsidRDefault="00C52593" w:rsidP="00C52593">
      <w:pPr>
        <w:spacing w:after="0" w:line="276" w:lineRule="auto"/>
        <w:jc w:val="both"/>
        <w:rPr>
          <w:rFonts w:ascii="Verdana" w:eastAsia="Calibri" w:hAnsi="Verdana" w:cs="Arial"/>
          <w:color w:val="7030A0"/>
          <w:lang w:val="es-ES" w:eastAsia="es-ES"/>
        </w:rPr>
      </w:pPr>
      <w:r w:rsidRPr="0062457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Pr="0062457F">
        <w:rPr>
          <w:rFonts w:ascii="Verdana" w:eastAsia="Calibri" w:hAnsi="Verdana" w:cs="Arial"/>
          <w:color w:val="7030A0"/>
          <w:lang w:val="es-ES" w:eastAsia="es-ES"/>
        </w:rPr>
        <w:t xml:space="preserve">los </w:t>
      </w:r>
      <w:r w:rsidRPr="0062457F">
        <w:rPr>
          <w:rFonts w:ascii="Verdana" w:eastAsia="Calibri" w:hAnsi="Verdana" w:cs="Arial"/>
          <w:color w:val="000000"/>
          <w:lang w:val="es-ES" w:eastAsia="es-ES"/>
        </w:rPr>
        <w:t>problema</w:t>
      </w:r>
      <w:r w:rsidRPr="0062457F">
        <w:rPr>
          <w:rFonts w:ascii="Verdana" w:eastAsia="Calibri" w:hAnsi="Verdana" w:cs="Arial"/>
          <w:color w:val="7030A0"/>
          <w:lang w:val="es-ES" w:eastAsia="es-ES"/>
        </w:rPr>
        <w:t xml:space="preserve">s </w:t>
      </w:r>
      <w:r w:rsidRPr="0062457F">
        <w:rPr>
          <w:rFonts w:ascii="Verdana" w:eastAsia="Calibri" w:hAnsi="Verdana" w:cs="Arial"/>
          <w:color w:val="000000"/>
          <w:lang w:val="es-ES" w:eastAsia="es-ES"/>
        </w:rPr>
        <w:t>jurídico</w:t>
      </w:r>
      <w:r w:rsidRPr="0062457F">
        <w:rPr>
          <w:rFonts w:ascii="Verdana" w:eastAsia="Calibri" w:hAnsi="Verdana" w:cs="Arial"/>
          <w:color w:val="7030A0"/>
          <w:lang w:val="es-ES" w:eastAsia="es-ES"/>
        </w:rPr>
        <w:t xml:space="preserve">s </w:t>
      </w:r>
      <w:r w:rsidRPr="0062457F">
        <w:rPr>
          <w:rFonts w:ascii="Verdana" w:eastAsia="Calibri" w:hAnsi="Verdana" w:cs="Arial"/>
          <w:color w:val="000000"/>
          <w:lang w:val="es-ES" w:eastAsia="es-ES"/>
        </w:rPr>
        <w:t xml:space="preserve">de su consulta. </w:t>
      </w:r>
    </w:p>
    <w:p w14:paraId="6EFDCFFA" w14:textId="77777777" w:rsidR="00C52593" w:rsidRPr="0062457F" w:rsidRDefault="00C52593" w:rsidP="00C52593">
      <w:pPr>
        <w:spacing w:after="0" w:line="276" w:lineRule="auto"/>
        <w:ind w:firstLine="709"/>
        <w:jc w:val="both"/>
        <w:rPr>
          <w:rFonts w:ascii="Verdana" w:eastAsia="Calibri" w:hAnsi="Verdana" w:cs="Arial"/>
          <w:color w:val="000000"/>
          <w:lang w:val="es-ES" w:eastAsia="es-ES"/>
        </w:rPr>
      </w:pPr>
    </w:p>
    <w:p w14:paraId="1A2091C0" w14:textId="77777777" w:rsidR="00C52593" w:rsidRPr="0062457F" w:rsidRDefault="00C52593" w:rsidP="00C5259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2457F">
        <w:rPr>
          <w:rFonts w:ascii="Verdana" w:eastAsia="Century Gothic" w:hAnsi="Verdana" w:cs="Century Gothic"/>
          <w:b/>
          <w:bCs/>
        </w:rPr>
        <w:t>Problema planteado:</w:t>
      </w:r>
    </w:p>
    <w:p w14:paraId="6E8423D3" w14:textId="77777777" w:rsidR="00C52593" w:rsidRPr="0062457F" w:rsidRDefault="00C52593" w:rsidP="00C52593">
      <w:pPr>
        <w:tabs>
          <w:tab w:val="left" w:pos="426"/>
        </w:tabs>
        <w:spacing w:after="0" w:line="276" w:lineRule="auto"/>
        <w:jc w:val="both"/>
        <w:rPr>
          <w:rFonts w:ascii="Verdana" w:eastAsia="Century Gothic" w:hAnsi="Verdana" w:cs="Century Gothic"/>
          <w:lang w:val="es-ES"/>
        </w:rPr>
      </w:pPr>
    </w:p>
    <w:p w14:paraId="0A482611" w14:textId="2C78B4E4" w:rsidR="00C52593" w:rsidRDefault="00C52593" w:rsidP="00C52593">
      <w:pPr>
        <w:spacing w:after="0" w:line="276" w:lineRule="auto"/>
        <w:jc w:val="both"/>
        <w:rPr>
          <w:rFonts w:ascii="Verdana" w:eastAsia="Century Gothic" w:hAnsi="Verdana" w:cs="Century Gothic"/>
        </w:rPr>
      </w:pPr>
      <w:r w:rsidRPr="0062457F">
        <w:rPr>
          <w:rFonts w:ascii="Verdana" w:eastAsia="Century Gothic" w:hAnsi="Verdana" w:cs="Century Gothic"/>
        </w:rPr>
        <w:t xml:space="preserve">De acuerdo con el contenido de su solicitud, esta Agencia resolverá los siguientes problemas jurídicos: </w:t>
      </w:r>
    </w:p>
    <w:p w14:paraId="6BA8211A" w14:textId="77777777" w:rsidR="00A34A78" w:rsidRPr="0062457F" w:rsidRDefault="00A34A78" w:rsidP="00C52593">
      <w:pPr>
        <w:spacing w:after="0" w:line="276" w:lineRule="auto"/>
        <w:jc w:val="both"/>
        <w:rPr>
          <w:rFonts w:ascii="Verdana" w:eastAsia="Century Gothic" w:hAnsi="Verdana" w:cs="Century Gothic"/>
        </w:rPr>
      </w:pPr>
    </w:p>
    <w:p w14:paraId="624AC205" w14:textId="497CB08B" w:rsidR="00C52593" w:rsidRPr="00A34A78" w:rsidRDefault="00C52593" w:rsidP="00A34A78">
      <w:pPr>
        <w:pStyle w:val="Prrafodelista"/>
        <w:tabs>
          <w:tab w:val="left" w:pos="142"/>
          <w:tab w:val="left" w:pos="284"/>
        </w:tabs>
        <w:spacing w:line="276" w:lineRule="auto"/>
        <w:ind w:left="0"/>
        <w:jc w:val="both"/>
        <w:rPr>
          <w:rFonts w:ascii="Verdana" w:eastAsia="Century Gothic" w:hAnsi="Verdana" w:cs="Century Gothic"/>
          <w:b/>
          <w:bCs/>
        </w:rPr>
      </w:pPr>
      <w:r>
        <w:rPr>
          <w:rFonts w:ascii="Verdana" w:eastAsia="Century Gothic" w:hAnsi="Verdana" w:cs="Century Gothic"/>
          <w:b/>
          <w:bCs/>
        </w:rPr>
        <w:t>¿Cuáles son los requisitos para obtener los beneficios en la puntación para una empresa de emprendimiento de mujeres?</w:t>
      </w:r>
    </w:p>
    <w:p w14:paraId="43DD8926" w14:textId="77777777" w:rsidR="00A34A78" w:rsidRPr="0062457F" w:rsidRDefault="00A34A78" w:rsidP="00C52593">
      <w:pPr>
        <w:spacing w:after="0" w:line="276" w:lineRule="auto"/>
        <w:jc w:val="both"/>
        <w:rPr>
          <w:rFonts w:ascii="Verdana" w:hAnsi="Verdana"/>
        </w:rPr>
      </w:pPr>
    </w:p>
    <w:p w14:paraId="2A1E85AE" w14:textId="01028DA2" w:rsidR="00C52593" w:rsidRPr="00A34A78" w:rsidRDefault="00C52593" w:rsidP="00C5259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2457F">
        <w:rPr>
          <w:rFonts w:ascii="Verdana" w:eastAsia="Century Gothic" w:hAnsi="Verdana" w:cs="Century Gothic"/>
          <w:b/>
          <w:bCs/>
        </w:rPr>
        <w:t>Respuesta: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52593" w:rsidRPr="0062457F" w14:paraId="5A988CD5" w14:textId="77777777" w:rsidTr="009F6321">
        <w:tc>
          <w:tcPr>
            <w:tcW w:w="8828" w:type="dxa"/>
            <w:tcBorders>
              <w:top w:val="dotted" w:sz="4" w:space="0" w:color="auto"/>
              <w:left w:val="dotted" w:sz="4" w:space="0" w:color="auto"/>
              <w:bottom w:val="dotted" w:sz="4" w:space="0" w:color="auto"/>
              <w:right w:val="dotted" w:sz="4" w:space="0" w:color="auto"/>
            </w:tcBorders>
            <w:hideMark/>
          </w:tcPr>
          <w:p w14:paraId="4CB2FDC3" w14:textId="77777777" w:rsidR="00C52593" w:rsidRPr="00BF584F" w:rsidRDefault="00C52593" w:rsidP="009F6321">
            <w:pPr>
              <w:spacing w:line="276" w:lineRule="auto"/>
              <w:jc w:val="both"/>
              <w:rPr>
                <w:rFonts w:ascii="Verdana" w:hAnsi="Verdana"/>
                <w:b/>
                <w:bCs/>
              </w:rPr>
            </w:pPr>
          </w:p>
          <w:p w14:paraId="09BDF96F" w14:textId="77777777" w:rsidR="00C52593" w:rsidRPr="00BF584F" w:rsidRDefault="00C52593" w:rsidP="009F6321">
            <w:pPr>
              <w:jc w:val="both"/>
              <w:rPr>
                <w:rFonts w:ascii="Verdana" w:hAnsi="Verdana"/>
              </w:rPr>
            </w:pPr>
            <w:r w:rsidRPr="00D43F26">
              <w:rPr>
                <w:rFonts w:ascii="Verdana" w:hAnsi="Verdana"/>
              </w:rPr>
              <w:t>Para que una empresa sea calificada como emprendimiento liderado por mujeres conforme al Artículo 32 de la Ley 2069 de 2021, es esencial que mantenga un porcentaje mínimo del 50% de mujeres en la propiedad de las acciones o cuotas de participación durante al menos el año anterior al cierre del proceso de contratación. Este requisito asegura que el compromiso con la participación femenina sea auténtico y sostenido, garantizando que la representación de mujeres no sea meramente formal, sino que refleje una práctica continua en la gestión empresarial. Adicionalmente, este criterio no solo fomenta la equidad de género, sino que también impulsa una mayor diversidad y competencia en los procesos de adquisición pública, contribuyendo a una contratación más transparente y equitativa.</w:t>
            </w:r>
          </w:p>
          <w:p w14:paraId="5816D7C3" w14:textId="77777777" w:rsidR="00C52593" w:rsidRPr="00D43F26" w:rsidRDefault="00C52593" w:rsidP="009F6321">
            <w:pPr>
              <w:jc w:val="both"/>
              <w:rPr>
                <w:rFonts w:ascii="Verdana" w:hAnsi="Verdana"/>
              </w:rPr>
            </w:pPr>
            <w:r w:rsidRPr="00D43F26">
              <w:rPr>
                <w:rFonts w:ascii="Verdana" w:hAnsi="Verdana"/>
              </w:rPr>
              <w:t xml:space="preserve">De acuerdo con el artículo 2.2.1.2.4.2.14, se establece que para que un emprendimiento o empresa califique como liderado por mujeres, al menos el </w:t>
            </w:r>
            <w:r w:rsidRPr="00D43F26">
              <w:rPr>
                <w:rFonts w:ascii="Verdana" w:hAnsi="Verdana"/>
              </w:rPr>
              <w:lastRenderedPageBreak/>
              <w:t>50% de los empleos en el nivel directivo deben estar ocupados por mujeres, y estas deben haber estado vinculadas a la empresa durante al menos el último año previo a la fecha de cierre del proceso de selección, ya sea en el mismo cargo o en otro de igual nivel.</w:t>
            </w:r>
          </w:p>
          <w:p w14:paraId="678BC104" w14:textId="6AFEB3FB" w:rsidR="0075006E" w:rsidRPr="0062457F" w:rsidRDefault="00C52593" w:rsidP="0075006E">
            <w:pPr>
              <w:spacing w:line="276" w:lineRule="auto"/>
              <w:jc w:val="both"/>
              <w:rPr>
                <w:rFonts w:ascii="Verdana" w:eastAsia="Calibri" w:hAnsi="Verdana" w:cs="Arial"/>
                <w:color w:val="000000"/>
                <w:lang w:val="es-ES" w:eastAsia="es-ES"/>
              </w:rPr>
            </w:pPr>
            <w:r>
              <w:rPr>
                <w:rFonts w:ascii="Verdana" w:hAnsi="Verdana"/>
              </w:rPr>
              <w:t>Dichos</w:t>
            </w:r>
            <w:r w:rsidRPr="00D43F26">
              <w:rPr>
                <w:rFonts w:ascii="Verdana" w:hAnsi="Verdana"/>
              </w:rPr>
              <w:t xml:space="preserve"> empleos </w:t>
            </w:r>
            <w:r>
              <w:rPr>
                <w:rFonts w:ascii="Verdana" w:hAnsi="Verdana"/>
              </w:rPr>
              <w:t xml:space="preserve">a </w:t>
            </w:r>
            <w:r w:rsidRPr="00D43F26">
              <w:rPr>
                <w:rFonts w:ascii="Verdana" w:hAnsi="Verdana"/>
              </w:rPr>
              <w:t xml:space="preserve">nivel directivo aquellos </w:t>
            </w:r>
            <w:r>
              <w:rPr>
                <w:rFonts w:ascii="Verdana" w:hAnsi="Verdana"/>
              </w:rPr>
              <w:t xml:space="preserve">son aquellos </w:t>
            </w:r>
            <w:r w:rsidRPr="00D43F26">
              <w:rPr>
                <w:rFonts w:ascii="Verdana" w:hAnsi="Verdana"/>
              </w:rPr>
              <w:t>que impliquen funciones relacionadas con la dirección de áreas clave de la empresa y la toma de decisiones estratégicas. En este contexto, los cargos de nivel directivo son aquellos que, dentro de la estructura organizacional de la empresa, se encuentran en un nivel de mando superior o desempeñan funciones clave para la representación del empleador y la gestión de la empresa</w:t>
            </w:r>
            <w:r>
              <w:t>.</w:t>
            </w:r>
            <w:r w:rsidR="0075006E" w:rsidRPr="0062457F">
              <w:rPr>
                <w:rFonts w:ascii="Verdana" w:eastAsia="Calibri" w:hAnsi="Verdana" w:cs="Arial"/>
                <w:color w:val="000000"/>
                <w:lang w:eastAsia="es-ES"/>
              </w:rPr>
              <w:t xml:space="preserve"> Para la Agencia Nacional de Contratación, </w:t>
            </w:r>
            <w:r w:rsidR="0075006E" w:rsidRPr="0062457F">
              <w:rPr>
                <w:rFonts w:ascii="Verdana" w:eastAsia="Calibri" w:hAnsi="Verdana" w:cs="Arial"/>
                <w:color w:val="000000"/>
                <w:lang w:val="es-ES" w:eastAsia="es-ES"/>
              </w:rPr>
              <w:t>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w:t>
            </w:r>
          </w:p>
          <w:p w14:paraId="7F6035C4" w14:textId="7778A92A" w:rsidR="00C52593" w:rsidRPr="000E2066" w:rsidRDefault="00C52593" w:rsidP="009F6321">
            <w:pPr>
              <w:jc w:val="both"/>
              <w:rPr>
                <w:lang w:val="es-ES"/>
              </w:rPr>
            </w:pPr>
          </w:p>
          <w:p w14:paraId="28FBAFEB" w14:textId="77777777" w:rsidR="00C52593" w:rsidRPr="000F556F" w:rsidRDefault="00C52593" w:rsidP="009F6321">
            <w:pPr>
              <w:jc w:val="both"/>
              <w:rPr>
                <w:rFonts w:ascii="Verdana" w:eastAsia="Calibri" w:hAnsi="Verdana" w:cs="Arial"/>
                <w:color w:val="7030A0"/>
              </w:rPr>
            </w:pPr>
          </w:p>
        </w:tc>
      </w:tr>
    </w:tbl>
    <w:p w14:paraId="295FA5A4" w14:textId="77777777" w:rsidR="00C52593" w:rsidRPr="0062457F" w:rsidRDefault="00C52593" w:rsidP="00C52593">
      <w:pPr>
        <w:tabs>
          <w:tab w:val="left" w:pos="142"/>
          <w:tab w:val="left" w:pos="284"/>
        </w:tabs>
        <w:spacing w:after="0" w:line="276" w:lineRule="auto"/>
        <w:jc w:val="both"/>
        <w:rPr>
          <w:rFonts w:ascii="Verdana" w:eastAsia="Century Gothic" w:hAnsi="Verdana" w:cs="Century Gothic"/>
          <w:b/>
          <w:bCs/>
          <w:lang w:val="es-ES"/>
        </w:rPr>
      </w:pPr>
    </w:p>
    <w:p w14:paraId="55624B62" w14:textId="77777777" w:rsidR="00C52593" w:rsidRPr="0062457F" w:rsidRDefault="00C52593" w:rsidP="00C5259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2457F">
        <w:rPr>
          <w:rFonts w:ascii="Verdana" w:eastAsia="Century Gothic" w:hAnsi="Verdana" w:cs="Century Gothic"/>
          <w:b/>
          <w:bCs/>
        </w:rPr>
        <w:t>Razones de la respuesta:</w:t>
      </w:r>
    </w:p>
    <w:p w14:paraId="36F2E165" w14:textId="77777777" w:rsidR="00C52593" w:rsidRDefault="00C52593" w:rsidP="00C52593">
      <w:pPr>
        <w:spacing w:after="0" w:line="276" w:lineRule="auto"/>
        <w:jc w:val="both"/>
        <w:rPr>
          <w:rFonts w:ascii="Verdana" w:eastAsia="Calibri" w:hAnsi="Verdana" w:cs="Arial"/>
          <w:lang w:val="es-ES"/>
        </w:rPr>
      </w:pPr>
      <w:r w:rsidRPr="0062457F">
        <w:rPr>
          <w:rFonts w:ascii="Verdana" w:eastAsia="Calibri" w:hAnsi="Verdana" w:cs="Arial"/>
          <w:lang w:val="es-ES"/>
        </w:rPr>
        <w:t xml:space="preserve">Lo anterior se sustenta en las siguientes consideraciones: </w:t>
      </w:r>
    </w:p>
    <w:p w14:paraId="1EBD9DA9" w14:textId="77777777" w:rsidR="00C52593" w:rsidRPr="00DD6018" w:rsidRDefault="00C52593" w:rsidP="00C52593">
      <w:pPr>
        <w:spacing w:after="0" w:line="276" w:lineRule="auto"/>
        <w:jc w:val="both"/>
        <w:rPr>
          <w:rFonts w:ascii="Verdana" w:eastAsia="Calibri" w:hAnsi="Verdana" w:cs="Arial"/>
          <w:lang w:val="es-ES"/>
        </w:rPr>
      </w:pPr>
    </w:p>
    <w:p w14:paraId="6B56182F" w14:textId="77777777" w:rsidR="00C52593" w:rsidRPr="00DD6018" w:rsidRDefault="00C52593" w:rsidP="00C52593">
      <w:pPr>
        <w:spacing w:after="0" w:line="276" w:lineRule="auto"/>
        <w:contextualSpacing/>
        <w:jc w:val="both"/>
        <w:rPr>
          <w:rFonts w:ascii="Verdana" w:eastAsia="Calibri" w:hAnsi="Verdana" w:cs="Arial"/>
          <w:b/>
          <w:bCs/>
          <w:lang w:val="es-ES_tradnl" w:eastAsia="es-ES_tradnl"/>
        </w:rPr>
      </w:pPr>
      <w:r w:rsidRPr="00DD6018">
        <w:rPr>
          <w:rFonts w:ascii="Verdana" w:eastAsia="Calibri" w:hAnsi="Verdana" w:cs="Arial"/>
          <w:b/>
          <w:bCs/>
          <w:lang w:val="es-ES_tradnl" w:eastAsia="es-ES_tradnl"/>
        </w:rPr>
        <w:t>3.1. Vigencia y reglamentación de los criterios diferenciales de la Ley 2069 de 2020:</w:t>
      </w:r>
    </w:p>
    <w:p w14:paraId="60EAC154" w14:textId="77777777" w:rsidR="00C52593" w:rsidRPr="00DD6018" w:rsidRDefault="00C52593" w:rsidP="00C52593">
      <w:pPr>
        <w:spacing w:after="0" w:line="276" w:lineRule="auto"/>
        <w:contextualSpacing/>
        <w:jc w:val="both"/>
        <w:rPr>
          <w:rFonts w:ascii="Verdana" w:eastAsia="Calibri" w:hAnsi="Verdana" w:cs="Arial"/>
          <w:lang w:val="es-ES_tradnl" w:eastAsia="es-ES_tradnl"/>
        </w:rPr>
      </w:pPr>
    </w:p>
    <w:p w14:paraId="29078FE7" w14:textId="77777777" w:rsidR="00C52593" w:rsidRPr="00DD6018" w:rsidRDefault="00C52593" w:rsidP="00C52593">
      <w:pPr>
        <w:spacing w:after="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En virtud de la Ley 2069 de 2020, “</w:t>
      </w:r>
      <w:r w:rsidRPr="00DD6018">
        <w:rPr>
          <w:rFonts w:ascii="Verdana" w:eastAsia="Calibri" w:hAnsi="Verdana" w:cs="Arial"/>
          <w:i/>
          <w:iCs/>
          <w:lang w:val="es-ES_tradnl" w:eastAsia="es-ES_tradnl"/>
        </w:rPr>
        <w:t>Por medio de la cual se impulsa el emprendimiento en Colombia</w:t>
      </w:r>
      <w:r w:rsidRPr="00DD6018">
        <w:rPr>
          <w:rFonts w:ascii="Verdana" w:eastAsia="Calibri" w:hAnsi="Verdana" w:cs="Arial"/>
          <w:lang w:val="es-ES_tradnl" w:eastAsia="es-ES_tradnl"/>
        </w:rPr>
        <w:t>”. De acuerdo con el artículo 84, “[…]a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DD6018">
        <w:rPr>
          <w:rFonts w:ascii="Verdana" w:eastAsia="Calibri" w:hAnsi="Verdana" w:cs="Arial"/>
          <w:color w:val="000000" w:themeColor="text1"/>
          <w:lang w:val="es-ES_tradnl"/>
        </w:rPr>
        <w:t>, potestad que fue ejercida mediante la expedición del Decreto 1860 de 2021, al cual se hará referencia más adelante</w:t>
      </w:r>
      <w:r w:rsidRPr="00DD6018">
        <w:rPr>
          <w:rFonts w:ascii="Verdana" w:eastAsia="Calibri" w:hAnsi="Verdana" w:cs="Arial"/>
          <w:lang w:val="es-ES_tradnl" w:eastAsia="es-ES_tradnl"/>
        </w:rPr>
        <w:t>.</w:t>
      </w:r>
    </w:p>
    <w:p w14:paraId="22286956" w14:textId="77777777" w:rsidR="00C52593" w:rsidRPr="00DD6018" w:rsidRDefault="00C52593" w:rsidP="00C52593">
      <w:pPr>
        <w:spacing w:before="120" w:after="0" w:line="276" w:lineRule="auto"/>
        <w:jc w:val="both"/>
        <w:rPr>
          <w:rFonts w:ascii="Verdana" w:eastAsia="Calibri" w:hAnsi="Verdana" w:cs="Arial"/>
          <w:lang w:val="es-ES" w:eastAsia="es-ES"/>
        </w:rPr>
      </w:pPr>
      <w:r w:rsidRPr="08BC3B23">
        <w:rPr>
          <w:rFonts w:ascii="Verdana" w:eastAsia="Calibri" w:hAnsi="Verdana" w:cs="Arial"/>
          <w:lang w:val="es-ES" w:eastAsia="es-ES"/>
        </w:rPr>
        <w:lastRenderedPageBreak/>
        <w:t xml:space="preserve">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8BC3B23">
        <w:rPr>
          <w:rFonts w:ascii="Verdana" w:eastAsia="Calibri" w:hAnsi="Verdana" w:cs="Arial"/>
          <w:vertAlign w:val="superscript"/>
          <w:lang w:val="es-ES" w:eastAsia="es-ES"/>
        </w:rPr>
        <w:footnoteReference w:id="2"/>
      </w:r>
      <w:r w:rsidRPr="08BC3B23">
        <w:rPr>
          <w:rFonts w:ascii="Verdana" w:eastAsia="Calibri" w:hAnsi="Verdana" w:cs="Arial"/>
          <w:lang w:val="es-ES" w:eastAsia="es-ES"/>
        </w:rPr>
        <w:t>. Esto, a partir de “[…] un enfoque regionalizado de acuerdo a las realidades socioeconómicas de cada región”. En desarrollo de esta finalidad, se establecen medidas de apoyo para las micro, pequeñas y medianas empresas –</w:t>
      </w:r>
      <w:proofErr w:type="spellStart"/>
      <w:r w:rsidRPr="08BC3B23">
        <w:rPr>
          <w:rFonts w:ascii="Verdana" w:eastAsia="Calibri" w:hAnsi="Verdana" w:cs="Arial"/>
          <w:lang w:val="es-ES" w:eastAsia="es-ES"/>
        </w:rPr>
        <w:t>Mipymes</w:t>
      </w:r>
      <w:proofErr w:type="spellEnd"/>
      <w:r w:rsidRPr="08BC3B23">
        <w:rPr>
          <w:rFonts w:ascii="Verdana" w:eastAsia="Calibri" w:hAnsi="Verdana" w:cs="Arial"/>
          <w:lang w:val="es-ES" w:eastAsia="es-ES"/>
        </w:rPr>
        <w:t>–, mediante la racionalización y simplificación de los trámites y tarifas</w:t>
      </w:r>
      <w:r w:rsidRPr="08BC3B23">
        <w:rPr>
          <w:rFonts w:ascii="Verdana" w:eastAsia="Calibri" w:hAnsi="Verdana" w:cs="Arial"/>
          <w:vertAlign w:val="superscript"/>
          <w:lang w:val="es-ES" w:eastAsia="es-ES"/>
        </w:rPr>
        <w:footnoteReference w:id="3"/>
      </w:r>
      <w:r w:rsidRPr="08BC3B23">
        <w:rPr>
          <w:rFonts w:ascii="Verdana" w:eastAsia="Calibri" w:hAnsi="Verdana" w:cs="Arial"/>
          <w:lang w:val="es-ES" w:eastAsia="es-ES"/>
        </w:rPr>
        <w:t>, así como incentivos a favor de aquellas dentro del sistema de compras y contratación pública</w:t>
      </w:r>
      <w:r w:rsidRPr="08BC3B23">
        <w:rPr>
          <w:rFonts w:ascii="Verdana" w:eastAsia="Calibri" w:hAnsi="Verdana" w:cs="Arial"/>
          <w:vertAlign w:val="superscript"/>
          <w:lang w:val="es-ES" w:eastAsia="es-ES"/>
        </w:rPr>
        <w:footnoteReference w:id="4"/>
      </w:r>
      <w:r w:rsidRPr="08BC3B23">
        <w:rPr>
          <w:rFonts w:ascii="Verdana" w:eastAsia="Calibri" w:hAnsi="Verdana" w:cs="Arial"/>
          <w:lang w:val="es-ES" w:eastAsia="es-ES"/>
        </w:rPr>
        <w:t>. También se consagran mecanismos de acceso al financiamiento</w:t>
      </w:r>
      <w:r w:rsidRPr="08BC3B23">
        <w:rPr>
          <w:rFonts w:ascii="Verdana" w:eastAsia="Calibri" w:hAnsi="Verdana" w:cs="Arial"/>
          <w:vertAlign w:val="superscript"/>
          <w:lang w:val="es-ES" w:eastAsia="es-ES"/>
        </w:rPr>
        <w:footnoteReference w:id="5"/>
      </w:r>
      <w:r w:rsidRPr="08BC3B23">
        <w:rPr>
          <w:rFonts w:ascii="Verdana" w:eastAsia="Calibri" w:hAnsi="Verdana" w:cs="Arial"/>
          <w:lang w:val="es-ES" w:eastAsia="es-ES"/>
        </w:rPr>
        <w:t>, se unifican las fuentes de emprendimiento y de desarrollo empresarial, para fortalecer y promover los distintos sectores de la economía</w:t>
      </w:r>
      <w:r w:rsidRPr="08BC3B23">
        <w:rPr>
          <w:rFonts w:ascii="Verdana" w:eastAsia="Calibri" w:hAnsi="Verdana" w:cs="Arial"/>
          <w:vertAlign w:val="superscript"/>
          <w:lang w:val="es-ES" w:eastAsia="es-ES"/>
        </w:rPr>
        <w:footnoteReference w:id="6"/>
      </w:r>
      <w:r w:rsidRPr="08BC3B23">
        <w:rPr>
          <w:rFonts w:ascii="Verdana" w:eastAsia="Calibri" w:hAnsi="Verdana" w:cs="Arial"/>
          <w:lang w:val="es-ES" w:eastAsia="es-ES"/>
        </w:rPr>
        <w:t xml:space="preserve"> y se prevén medidas de educación para el emprendimiento y la innovación</w:t>
      </w:r>
      <w:r w:rsidRPr="08BC3B23">
        <w:rPr>
          <w:rFonts w:ascii="Verdana" w:eastAsia="Calibri" w:hAnsi="Verdana" w:cs="Arial"/>
          <w:vertAlign w:val="superscript"/>
          <w:lang w:val="es-ES" w:eastAsia="es-ES"/>
        </w:rPr>
        <w:footnoteReference w:id="7"/>
      </w:r>
      <w:r w:rsidRPr="08BC3B23">
        <w:rPr>
          <w:rFonts w:ascii="Verdana" w:eastAsia="Calibri" w:hAnsi="Verdana" w:cs="Arial"/>
          <w:lang w:val="es-ES" w:eastAsia="es-ES"/>
        </w:rPr>
        <w:t>.</w:t>
      </w:r>
    </w:p>
    <w:p w14:paraId="035DC89C" w14:textId="77777777" w:rsidR="00C52593" w:rsidRPr="00DD6018" w:rsidRDefault="00C52593" w:rsidP="00C52593">
      <w:pPr>
        <w:spacing w:before="120" w:after="12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36.En su orden, tales artículos consagran: i) reglas sobre la participación de las </w:t>
      </w:r>
      <w:proofErr w:type="spellStart"/>
      <w:r w:rsidRPr="00DD6018">
        <w:rPr>
          <w:rFonts w:ascii="Verdana" w:eastAsia="Calibri" w:hAnsi="Verdana" w:cs="Arial"/>
          <w:lang w:val="es-ES_tradnl" w:eastAsia="es-ES_tradnl"/>
        </w:rPr>
        <w:t>Mipyme</w:t>
      </w:r>
      <w:proofErr w:type="spellEnd"/>
      <w:r w:rsidRPr="00DD6018">
        <w:rPr>
          <w:rFonts w:ascii="Verdana" w:eastAsia="Calibri" w:hAnsi="Verdana" w:cs="Arial"/>
          <w:lang w:val="es-ES_tradnl" w:eastAsia="es-ES_tradnl"/>
        </w:rPr>
        <w:t xml:space="preserve"> en el procedimiento de mínima cuantía, </w:t>
      </w:r>
      <w:proofErr w:type="spellStart"/>
      <w:r w:rsidRPr="00DD6018">
        <w:rPr>
          <w:rFonts w:ascii="Verdana" w:eastAsia="Calibri" w:hAnsi="Verdana" w:cs="Arial"/>
          <w:lang w:val="es-ES_tradnl" w:eastAsia="es-ES_tradnl"/>
        </w:rPr>
        <w:t>ii</w:t>
      </w:r>
      <w:proofErr w:type="spellEnd"/>
      <w:r w:rsidRPr="00DD6018">
        <w:rPr>
          <w:rFonts w:ascii="Verdana" w:eastAsia="Calibri" w:hAnsi="Verdana" w:cs="Arial"/>
          <w:lang w:val="es-ES_tradnl" w:eastAsia="es-ES_tradnl"/>
        </w:rPr>
        <w:t xml:space="preserve">) criterios diferenciales para </w:t>
      </w:r>
      <w:proofErr w:type="spellStart"/>
      <w:r w:rsidRPr="00DD6018">
        <w:rPr>
          <w:rFonts w:ascii="Verdana" w:eastAsia="Calibri" w:hAnsi="Verdana" w:cs="Arial"/>
          <w:lang w:val="es-ES_tradnl" w:eastAsia="es-ES_tradnl"/>
        </w:rPr>
        <w:t>Mipyme</w:t>
      </w:r>
      <w:proofErr w:type="spellEnd"/>
      <w:r w:rsidRPr="00DD6018">
        <w:rPr>
          <w:rFonts w:ascii="Verdana" w:eastAsia="Calibri" w:hAnsi="Verdana" w:cs="Arial"/>
          <w:lang w:val="es-ES_tradnl" w:eastAsia="es-ES_tradnl"/>
        </w:rPr>
        <w:t xml:space="preserve"> en el sistema de compras públicas, </w:t>
      </w:r>
      <w:proofErr w:type="spellStart"/>
      <w:r w:rsidRPr="00DD6018">
        <w:rPr>
          <w:rFonts w:ascii="Verdana" w:eastAsia="Calibri" w:hAnsi="Verdana" w:cs="Arial"/>
          <w:lang w:val="es-ES_tradnl" w:eastAsia="es-ES_tradnl"/>
        </w:rPr>
        <w:t>iii</w:t>
      </w:r>
      <w:proofErr w:type="spellEnd"/>
      <w:r w:rsidRPr="00DD6018">
        <w:rPr>
          <w:rFonts w:ascii="Verdana" w:eastAsia="Calibri" w:hAnsi="Verdana" w:cs="Arial"/>
          <w:lang w:val="es-ES_tradnl" w:eastAsia="es-ES_tradnl"/>
        </w:rPr>
        <w:t xml:space="preserve">) criterios diferenciales para emprendimientos y empresas de mujeres en el sistema de compras públicas, iv) promoción del acceso de las </w:t>
      </w:r>
      <w:proofErr w:type="spellStart"/>
      <w:r w:rsidRPr="00DD6018">
        <w:rPr>
          <w:rFonts w:ascii="Verdana" w:eastAsia="Calibri" w:hAnsi="Verdana" w:cs="Arial"/>
          <w:lang w:val="es-ES_tradnl" w:eastAsia="es-ES_tradnl"/>
        </w:rPr>
        <w:t>Mipyme</w:t>
      </w:r>
      <w:proofErr w:type="spellEnd"/>
      <w:r w:rsidRPr="00DD6018">
        <w:rPr>
          <w:rFonts w:ascii="Verdana" w:eastAsia="Calibri" w:hAnsi="Verdana"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DD6018">
        <w:rPr>
          <w:rFonts w:ascii="Verdana" w:eastAsia="Calibri" w:hAnsi="Verdana" w:cs="Arial"/>
          <w:bCs/>
          <w:vertAlign w:val="superscript"/>
          <w:lang w:val="es-MX" w:eastAsia="es-ES_tradnl"/>
        </w:rPr>
        <w:footnoteReference w:id="8"/>
      </w:r>
    </w:p>
    <w:p w14:paraId="3FE5BD46" w14:textId="77777777" w:rsidR="00C52593" w:rsidRPr="00DD6018" w:rsidRDefault="00C52593" w:rsidP="00C52593">
      <w:pPr>
        <w:tabs>
          <w:tab w:val="left" w:pos="709"/>
        </w:tabs>
        <w:spacing w:after="120" w:line="276" w:lineRule="auto"/>
        <w:jc w:val="both"/>
        <w:rPr>
          <w:rFonts w:ascii="Verdana" w:eastAsia="Calibri" w:hAnsi="Verdana" w:cs="Arial"/>
          <w:bCs/>
          <w:lang w:eastAsia="es-ES_tradnl"/>
        </w:rPr>
      </w:pPr>
      <w:r w:rsidRPr="00DD6018">
        <w:rPr>
          <w:rFonts w:ascii="Verdana" w:eastAsia="Calibri" w:hAnsi="Verdana" w:cs="Arial"/>
          <w:bCs/>
          <w:lang w:eastAsia="es-ES_tradnl"/>
        </w:rPr>
        <w:t xml:space="preserve">Dentro del referido capítulo se encuentran </w:t>
      </w:r>
      <w:bookmarkStart w:id="5" w:name="_Hlk63848566"/>
      <w:r w:rsidRPr="00DD6018">
        <w:rPr>
          <w:rFonts w:ascii="Verdana" w:eastAsia="Calibri" w:hAnsi="Verdana" w:cs="Arial"/>
          <w:bCs/>
          <w:lang w:eastAsia="es-ES_tradnl"/>
        </w:rPr>
        <w:t>los artículos 31 y 32 de la Ley 2069 de 2020</w:t>
      </w:r>
      <w:bookmarkEnd w:id="5"/>
      <w:r w:rsidRPr="00DD6018">
        <w:rPr>
          <w:rFonts w:ascii="Verdana" w:eastAsia="Calibri" w:hAnsi="Verdana" w:cs="Arial"/>
          <w:bCs/>
          <w:lang w:eastAsia="es-ES_tradnl"/>
        </w:rPr>
        <w:t xml:space="preserve">, a través de los cuales se crean una serie de incentivos para las </w:t>
      </w:r>
      <w:r w:rsidRPr="00DD6018">
        <w:rPr>
          <w:rFonts w:ascii="Verdana" w:eastAsia="Calibri" w:hAnsi="Verdana" w:cs="Arial"/>
          <w:bCs/>
          <w:lang w:eastAsia="es-ES_tradnl"/>
        </w:rPr>
        <w:lastRenderedPageBreak/>
        <w:t xml:space="preserve">personas interesadas en celebrar contratos con el Estado. </w:t>
      </w:r>
      <w:r w:rsidRPr="00DD6018">
        <w:rPr>
          <w:rFonts w:ascii="Verdana" w:eastAsia="Calibri" w:hAnsi="Verdana" w:cs="Arial"/>
          <w:bCs/>
          <w:lang w:val="es-ES_tradnl" w:eastAsia="es-ES_tradnl"/>
        </w:rPr>
        <w:t xml:space="preserve">Por un lado, el artículo 31 </w:t>
      </w:r>
      <w:r w:rsidRPr="00DD6018">
        <w:rPr>
          <w:rFonts w:ascii="Verdana" w:eastAsia="Calibri" w:hAnsi="Verdana" w:cs="Arial"/>
          <w:bCs/>
          <w:lang w:eastAsia="es-ES_tradnl"/>
        </w:rPr>
        <w:t xml:space="preserve">introduce criterios diferenciales para el acceso de las </w:t>
      </w:r>
      <w:proofErr w:type="spellStart"/>
      <w:r w:rsidRPr="00DD6018">
        <w:rPr>
          <w:rFonts w:ascii="Verdana" w:eastAsia="Calibri" w:hAnsi="Verdana" w:cs="Arial"/>
          <w:bCs/>
          <w:lang w:eastAsia="es-ES_tradnl"/>
        </w:rPr>
        <w:t>Mipyme</w:t>
      </w:r>
      <w:proofErr w:type="spellEnd"/>
      <w:r w:rsidRPr="00DD6018">
        <w:rPr>
          <w:rFonts w:ascii="Verdana" w:eastAsia="Calibri" w:hAnsi="Verdana" w:cs="Arial"/>
          <w:bCs/>
          <w:lang w:eastAsia="es-ES_tradnl"/>
        </w:rPr>
        <w:t xml:space="preserve"> al sistema de compras y contratación pública, estableciendo que </w:t>
      </w:r>
      <w:r w:rsidRPr="00DD6018">
        <w:rPr>
          <w:rFonts w:ascii="Verdana" w:eastAsia="Calibri" w:hAnsi="Verdana" w:cs="Arial"/>
          <w:lang w:val="es-ES_tradnl" w:eastAsia="es-ES_tradnl"/>
        </w:rPr>
        <w:t>“</w:t>
      </w:r>
      <w:r w:rsidRPr="00DD6018">
        <w:rPr>
          <w:rFonts w:ascii="Verdana" w:eastAsia="Calibri" w:hAnsi="Verdana" w:cs="Arial"/>
          <w:bCs/>
          <w:lang w:eastAsia="es-ES_tradnl"/>
        </w:rPr>
        <w:t xml:space="preserve">[…]Las Entidades Estatales de acuerdo con el análisis de Sector </w:t>
      </w:r>
      <w:bookmarkStart w:id="6" w:name="_Hlk63767562"/>
      <w:r w:rsidRPr="00DD6018">
        <w:rPr>
          <w:rFonts w:ascii="Verdana" w:eastAsia="Calibri" w:hAnsi="Verdana" w:cs="Arial"/>
          <w:bCs/>
          <w:lang w:eastAsia="es-ES_tradnl"/>
        </w:rPr>
        <w:t>podrán incluir, en los Documentos del Proceso, requisitos diferenciales y puntajes adicionales</w:t>
      </w:r>
      <w:bookmarkEnd w:id="6"/>
      <w:r w:rsidRPr="00DD6018">
        <w:rPr>
          <w:rFonts w:ascii="Verdana" w:eastAsia="Calibri" w:hAnsi="Verdana" w:cs="Arial"/>
          <w:bCs/>
          <w:lang w:eastAsia="es-ES_tradnl"/>
        </w:rPr>
        <w:t>, en función del tamaño empresarial para la promoción del acceso de las MIPYMES al mercado de Compras Públicas”.</w:t>
      </w:r>
    </w:p>
    <w:p w14:paraId="6B9AED89" w14:textId="77777777" w:rsidR="00C52593" w:rsidRPr="00DD6018" w:rsidRDefault="00C52593" w:rsidP="00C52593">
      <w:pPr>
        <w:tabs>
          <w:tab w:val="left" w:pos="709"/>
        </w:tabs>
        <w:spacing w:after="120" w:line="276" w:lineRule="auto"/>
        <w:jc w:val="both"/>
        <w:rPr>
          <w:rFonts w:ascii="Verdana" w:eastAsia="Calibri" w:hAnsi="Verdana" w:cs="Arial"/>
          <w:bCs/>
          <w:lang w:eastAsia="es-ES_tradnl"/>
        </w:rPr>
      </w:pPr>
      <w:r w:rsidRPr="00DD6018">
        <w:rPr>
          <w:rFonts w:ascii="Verdana" w:eastAsia="Calibri" w:hAnsi="Verdana" w:cs="Arial"/>
          <w:bCs/>
          <w:lang w:eastAsia="es-ES_tradnl"/>
        </w:rPr>
        <w:t xml:space="preserve">Además, el inciso segundo y el parágrafo del </w:t>
      </w:r>
      <w:r w:rsidRPr="00DD6018">
        <w:rPr>
          <w:rFonts w:ascii="Verdana" w:eastAsia="Calibri" w:hAnsi="Verdana" w:cs="Arial"/>
          <w:bCs/>
          <w:lang w:val="es-ES_tradnl" w:eastAsia="es-ES_tradnl"/>
        </w:rPr>
        <w:t xml:space="preserve">artículo 31 </w:t>
      </w:r>
      <w:r w:rsidRPr="00DD6018">
        <w:rPr>
          <w:rFonts w:ascii="Verdana" w:eastAsia="Calibri" w:hAnsi="Verdana" w:cs="Arial"/>
          <w:bCs/>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31978912" w14:textId="77777777" w:rsidR="00C52593" w:rsidRPr="00DD6018" w:rsidRDefault="00C52593" w:rsidP="00C52593">
      <w:pPr>
        <w:tabs>
          <w:tab w:val="left" w:pos="709"/>
        </w:tabs>
        <w:spacing w:after="0" w:line="276" w:lineRule="auto"/>
        <w:jc w:val="both"/>
        <w:rPr>
          <w:rFonts w:ascii="Verdana" w:eastAsia="Calibri" w:hAnsi="Verdana" w:cs="Arial"/>
          <w:bCs/>
          <w:lang w:eastAsia="es-ES_tradnl"/>
        </w:rPr>
      </w:pPr>
      <w:r w:rsidRPr="00DD6018">
        <w:rPr>
          <w:rFonts w:ascii="Verdana" w:eastAsia="Calibri" w:hAnsi="Verdana" w:cs="Arial"/>
          <w:bCs/>
          <w:lang w:eastAsia="es-ES_tradnl"/>
        </w:rPr>
        <w:t>Por otra parte, el artículo 32 de la Ley 2069 de 2020</w:t>
      </w:r>
      <w:r w:rsidRPr="00DD6018">
        <w:rPr>
          <w:rFonts w:ascii="Verdana" w:eastAsia="Calibri" w:hAnsi="Verdana" w:cs="Arial"/>
          <w:bCs/>
          <w:vertAlign w:val="superscript"/>
          <w:lang w:eastAsia="es-ES_tradnl"/>
        </w:rPr>
        <w:footnoteReference w:id="9"/>
      </w:r>
      <w:r w:rsidRPr="00DD6018">
        <w:rPr>
          <w:rFonts w:ascii="Verdana" w:eastAsia="Calibri" w:hAnsi="Verdana" w:cs="Arial"/>
          <w:bCs/>
          <w:lang w:eastAsia="es-ES_tradnl"/>
        </w:rPr>
        <w:t xml:space="preserve"> regula criterios diferenciales para los “emprendimientos y empresas de mujeres” en el sistema de compras y contratación pública. En relación con este aspecto, el inciso primero de la norma citada prescribe lo siguiente: </w:t>
      </w:r>
    </w:p>
    <w:p w14:paraId="1D724B63" w14:textId="77777777" w:rsidR="00C52593" w:rsidRPr="00DD6018" w:rsidRDefault="00C52593" w:rsidP="00C52593">
      <w:pPr>
        <w:tabs>
          <w:tab w:val="left" w:pos="709"/>
        </w:tabs>
        <w:spacing w:after="0" w:line="276" w:lineRule="auto"/>
        <w:contextualSpacing/>
        <w:jc w:val="both"/>
        <w:rPr>
          <w:rFonts w:ascii="Verdana" w:eastAsia="Calibri" w:hAnsi="Verdana" w:cs="Arial"/>
          <w:bCs/>
          <w:lang w:eastAsia="es-ES_tradnl"/>
        </w:rPr>
      </w:pPr>
    </w:p>
    <w:p w14:paraId="44C2D242" w14:textId="77777777" w:rsidR="00C52593" w:rsidRPr="00DD6018" w:rsidRDefault="00C52593" w:rsidP="00C52593">
      <w:pPr>
        <w:tabs>
          <w:tab w:val="left" w:pos="709"/>
        </w:tabs>
        <w:spacing w:after="0" w:line="240" w:lineRule="auto"/>
        <w:ind w:left="709" w:right="709"/>
        <w:contextualSpacing/>
        <w:jc w:val="both"/>
        <w:rPr>
          <w:rFonts w:ascii="Verdana" w:eastAsia="Calibri" w:hAnsi="Verdana" w:cs="Arial"/>
          <w:bCs/>
          <w:lang w:eastAsia="es-ES_tradnl"/>
        </w:rPr>
      </w:pPr>
      <w:r w:rsidRPr="00DD6018">
        <w:rPr>
          <w:rFonts w:ascii="Verdana" w:hAnsi="Verdana" w:cs="Arial"/>
        </w:rPr>
        <w:t>“</w:t>
      </w:r>
      <w:r w:rsidRPr="00DD6018">
        <w:rPr>
          <w:rFonts w:ascii="Verdana" w:eastAsia="Calibri" w:hAnsi="Verdana" w:cs="Arial"/>
          <w:bCs/>
          <w:lang w:eastAsia="es-ES_tradnl"/>
        </w:rPr>
        <w:t xml:space="preserve">De acuerdo con el resultado del análisis del sector, las entidades estatales incluirán requisitos diferenciales y puntajes adicionales en los procesos de </w:t>
      </w:r>
      <w:bookmarkStart w:id="7" w:name="_Hlk63770487"/>
      <w:r w:rsidRPr="00DD6018">
        <w:rPr>
          <w:rFonts w:ascii="Verdana" w:eastAsia="Calibri" w:hAnsi="Verdana" w:cs="Arial"/>
          <w:bCs/>
          <w:lang w:eastAsia="es-ES_tradnl"/>
        </w:rPr>
        <w:t>licitación pública, selección abreviada de menor cuantía y concurso de méritos</w:t>
      </w:r>
      <w:bookmarkEnd w:id="7"/>
      <w:r w:rsidRPr="00DD6018">
        <w:rPr>
          <w:rFonts w:ascii="Verdana" w:eastAsia="Calibri" w:hAnsi="Verdana" w:cs="Arial"/>
          <w:bCs/>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DD6018">
        <w:rPr>
          <w:rFonts w:ascii="Verdana" w:hAnsi="Verdana" w:cs="Arial"/>
        </w:rPr>
        <w:t>”</w:t>
      </w:r>
      <w:r w:rsidRPr="00DD6018">
        <w:rPr>
          <w:rFonts w:ascii="Verdana" w:eastAsia="Calibri" w:hAnsi="Verdana" w:cs="Arial"/>
          <w:bCs/>
          <w:lang w:eastAsia="es-ES_tradnl"/>
        </w:rPr>
        <w:t>.</w:t>
      </w:r>
    </w:p>
    <w:p w14:paraId="0108F7C9" w14:textId="77777777" w:rsidR="00C52593" w:rsidRPr="00DD6018" w:rsidRDefault="00C52593" w:rsidP="00C52593">
      <w:pPr>
        <w:tabs>
          <w:tab w:val="left" w:pos="709"/>
        </w:tabs>
        <w:spacing w:after="0" w:line="276" w:lineRule="auto"/>
        <w:ind w:left="709" w:right="709"/>
        <w:contextualSpacing/>
        <w:jc w:val="both"/>
        <w:rPr>
          <w:rFonts w:ascii="Verdana" w:eastAsia="Calibri" w:hAnsi="Verdana" w:cs="Arial"/>
          <w:bCs/>
          <w:lang w:eastAsia="es-ES_tradnl"/>
        </w:rPr>
      </w:pPr>
    </w:p>
    <w:p w14:paraId="50168A46" w14:textId="77777777" w:rsidR="00C52593" w:rsidRPr="00DD6018" w:rsidRDefault="00C52593" w:rsidP="00C52593">
      <w:pPr>
        <w:spacing w:before="120" w:after="120" w:line="276" w:lineRule="auto"/>
        <w:jc w:val="both"/>
        <w:rPr>
          <w:rFonts w:ascii="Verdana" w:eastAsia="Calibri" w:hAnsi="Verdana" w:cs="Arial"/>
          <w:lang w:val="es-ES_tradnl" w:eastAsia="es-ES_tradnl"/>
        </w:rPr>
      </w:pPr>
      <w:r w:rsidRPr="00DD6018">
        <w:rPr>
          <w:rFonts w:ascii="Verdana" w:eastAsia="Calibri" w:hAnsi="Verdana" w:cs="Arial"/>
          <w:bCs/>
          <w:lang w:eastAsia="es-ES_tradnl"/>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0BC37860" w14:textId="77777777" w:rsidR="00C52593" w:rsidRPr="00DD6018" w:rsidRDefault="00C52593" w:rsidP="00C52593">
      <w:pPr>
        <w:spacing w:after="12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En este contexto, el Gobierno Nacional expidió el Decreto 1860 de 2021,</w:t>
      </w:r>
      <w:r w:rsidRPr="00DD6018">
        <w:rPr>
          <w:rFonts w:ascii="Verdana" w:eastAsia="Times New Roman" w:hAnsi="Verdana" w:cs="Times New Roman"/>
          <w:lang w:eastAsia="es-ES_tradnl"/>
        </w:rPr>
        <w:t xml:space="preserve"> </w:t>
      </w:r>
      <w:r w:rsidRPr="00DD6018">
        <w:rPr>
          <w:rFonts w:ascii="Verdana" w:eastAsia="Calibri" w:hAnsi="Verdana" w:cs="Arial"/>
          <w:i/>
          <w:iCs/>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DD6018">
        <w:rPr>
          <w:rFonts w:ascii="Verdana" w:eastAsia="Calibri" w:hAnsi="Verdana" w:cs="Arial"/>
          <w:lang w:val="es-ES_tradnl" w:eastAsia="es-ES_tradnl"/>
        </w:rPr>
        <w:t xml:space="preserve">. </w:t>
      </w:r>
    </w:p>
    <w:p w14:paraId="64EDAAC1" w14:textId="77777777" w:rsidR="00C52593" w:rsidRPr="00DD6018" w:rsidRDefault="00C52593" w:rsidP="00C52593">
      <w:pPr>
        <w:spacing w:after="12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DD6018">
        <w:rPr>
          <w:rFonts w:ascii="Verdana" w:eastAsia="Calibri" w:hAnsi="Verdana" w:cs="Arial"/>
          <w:vertAlign w:val="superscript"/>
          <w:lang w:val="es-ES_tradnl" w:eastAsia="es-ES_tradnl"/>
        </w:rPr>
        <w:footnoteReference w:id="10"/>
      </w:r>
      <w:r w:rsidRPr="00DD6018">
        <w:rPr>
          <w:rFonts w:ascii="Verdana" w:eastAsia="Calibri" w:hAnsi="Verdana" w:cs="Arial"/>
          <w:lang w:val="es-ES_tradnl" w:eastAsia="es-ES_tradnl"/>
        </w:rPr>
        <w:t xml:space="preserve">.  </w:t>
      </w:r>
    </w:p>
    <w:p w14:paraId="0CBC8A94" w14:textId="77777777" w:rsidR="00C52593" w:rsidRPr="00DD6018" w:rsidRDefault="00C52593" w:rsidP="00C52593">
      <w:pPr>
        <w:spacing w:after="120" w:line="276" w:lineRule="auto"/>
        <w:jc w:val="both"/>
        <w:rPr>
          <w:rFonts w:ascii="Verdana" w:eastAsia="Times New Roman" w:hAnsi="Verdana" w:cs="Arial"/>
          <w:lang w:eastAsia="es-CO"/>
        </w:rPr>
      </w:pPr>
      <w:r w:rsidRPr="00DD6018">
        <w:rPr>
          <w:rFonts w:ascii="Verdana" w:eastAsia="Calibri" w:hAnsi="Verdana" w:cs="Arial"/>
          <w:lang w:val="es-ES_tradnl" w:eastAsia="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81D08C9" w14:textId="77777777" w:rsidR="00C52593" w:rsidRPr="00DD6018" w:rsidRDefault="00C52593" w:rsidP="00C52593">
      <w:pPr>
        <w:widowControl w:val="0"/>
        <w:autoSpaceDE w:val="0"/>
        <w:autoSpaceDN w:val="0"/>
        <w:spacing w:before="120" w:after="0" w:line="276" w:lineRule="auto"/>
        <w:jc w:val="both"/>
        <w:rPr>
          <w:rFonts w:ascii="Verdana" w:eastAsia="Arial MT" w:hAnsi="Verdana" w:cs="Arial"/>
          <w:lang w:val="es-ES"/>
        </w:rPr>
      </w:pPr>
      <w:r w:rsidRPr="00DD6018">
        <w:rPr>
          <w:rFonts w:ascii="Verdana" w:eastAsia="Times New Roman" w:hAnsi="Verdana"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w:t>
      </w:r>
      <w:r w:rsidRPr="00DD6018">
        <w:rPr>
          <w:rFonts w:ascii="Verdana" w:eastAsia="Times New Roman" w:hAnsi="Verdana" w:cs="Arial"/>
          <w:lang w:eastAsia="es-CO"/>
        </w:rPr>
        <w:lastRenderedPageBreak/>
        <w:t xml:space="preserve">(3) meses contados a partir de su expedición”, </w:t>
      </w:r>
      <w:r w:rsidRPr="00DD6018">
        <w:rPr>
          <w:rFonts w:ascii="Verdana" w:eastAsia="Arial MT" w:hAnsi="Verdana" w:cs="Arial"/>
          <w:lang w:val="es-ES"/>
        </w:rPr>
        <w:t>es decir, a</w:t>
      </w:r>
      <w:r w:rsidRPr="00DD6018">
        <w:rPr>
          <w:rFonts w:ascii="Verdana" w:eastAsia="Arial MT" w:hAnsi="Verdana" w:cs="Arial"/>
          <w:spacing w:val="1"/>
          <w:lang w:val="es-ES"/>
        </w:rPr>
        <w:t xml:space="preserve"> </w:t>
      </w:r>
      <w:r w:rsidRPr="00DD6018">
        <w:rPr>
          <w:rFonts w:ascii="Verdana" w:eastAsia="Arial MT" w:hAnsi="Verdana" w:cs="Arial"/>
          <w:spacing w:val="-1"/>
          <w:lang w:val="es-ES"/>
        </w:rPr>
        <w:t>partir</w:t>
      </w:r>
      <w:r w:rsidRPr="00DD6018">
        <w:rPr>
          <w:rFonts w:ascii="Verdana" w:eastAsia="Arial MT" w:hAnsi="Verdana" w:cs="Arial"/>
          <w:spacing w:val="-15"/>
          <w:lang w:val="es-ES"/>
        </w:rPr>
        <w:t xml:space="preserve"> </w:t>
      </w:r>
      <w:r w:rsidRPr="00DD6018">
        <w:rPr>
          <w:rFonts w:ascii="Verdana" w:eastAsia="Arial MT" w:hAnsi="Verdana" w:cs="Arial"/>
          <w:spacing w:val="-1"/>
          <w:lang w:val="es-ES"/>
        </w:rPr>
        <w:t>del</w:t>
      </w:r>
      <w:r w:rsidRPr="00DD6018">
        <w:rPr>
          <w:rFonts w:ascii="Verdana" w:eastAsia="Arial MT" w:hAnsi="Verdana" w:cs="Arial"/>
          <w:spacing w:val="-14"/>
          <w:lang w:val="es-ES"/>
        </w:rPr>
        <w:t xml:space="preserve"> </w:t>
      </w:r>
      <w:r w:rsidRPr="00DD6018">
        <w:rPr>
          <w:rFonts w:ascii="Verdana" w:eastAsia="Arial MT" w:hAnsi="Verdana" w:cs="Arial"/>
          <w:spacing w:val="-1"/>
          <w:lang w:val="es-ES"/>
        </w:rPr>
        <w:t>24</w:t>
      </w:r>
      <w:r w:rsidRPr="00DD6018">
        <w:rPr>
          <w:rFonts w:ascii="Verdana" w:eastAsia="Arial MT" w:hAnsi="Verdana" w:cs="Arial"/>
          <w:spacing w:val="-14"/>
          <w:lang w:val="es-ES"/>
        </w:rPr>
        <w:t xml:space="preserve"> </w:t>
      </w:r>
      <w:r w:rsidRPr="00DD6018">
        <w:rPr>
          <w:rFonts w:ascii="Verdana" w:eastAsia="Arial MT" w:hAnsi="Verdana" w:cs="Arial"/>
          <w:spacing w:val="-1"/>
          <w:lang w:val="es-ES"/>
        </w:rPr>
        <w:t>de</w:t>
      </w:r>
      <w:r w:rsidRPr="00DD6018">
        <w:rPr>
          <w:rFonts w:ascii="Verdana" w:eastAsia="Arial MT" w:hAnsi="Verdana" w:cs="Arial"/>
          <w:spacing w:val="-14"/>
          <w:lang w:val="es-ES"/>
        </w:rPr>
        <w:t xml:space="preserve"> </w:t>
      </w:r>
      <w:r w:rsidRPr="00DD6018">
        <w:rPr>
          <w:rFonts w:ascii="Verdana" w:eastAsia="Arial MT" w:hAnsi="Verdana" w:cs="Arial"/>
          <w:spacing w:val="-1"/>
          <w:lang w:val="es-ES"/>
        </w:rPr>
        <w:t>marzo</w:t>
      </w:r>
      <w:r w:rsidRPr="00DD6018">
        <w:rPr>
          <w:rFonts w:ascii="Verdana" w:eastAsia="Arial MT" w:hAnsi="Verdana" w:cs="Arial"/>
          <w:spacing w:val="-14"/>
          <w:lang w:val="es-ES"/>
        </w:rPr>
        <w:t xml:space="preserve"> </w:t>
      </w:r>
      <w:r w:rsidRPr="00DD6018">
        <w:rPr>
          <w:rFonts w:ascii="Verdana" w:eastAsia="Arial MT" w:hAnsi="Verdana" w:cs="Arial"/>
          <w:spacing w:val="-1"/>
          <w:lang w:val="es-ES"/>
        </w:rPr>
        <w:t>de</w:t>
      </w:r>
      <w:r w:rsidRPr="00DD6018">
        <w:rPr>
          <w:rFonts w:ascii="Verdana" w:eastAsia="Arial MT" w:hAnsi="Verdana" w:cs="Arial"/>
          <w:spacing w:val="-14"/>
          <w:lang w:val="es-ES"/>
        </w:rPr>
        <w:t xml:space="preserve"> </w:t>
      </w:r>
      <w:r w:rsidRPr="00DD6018">
        <w:rPr>
          <w:rFonts w:ascii="Verdana" w:eastAsia="Arial MT" w:hAnsi="Verdana" w:cs="Arial"/>
          <w:spacing w:val="-1"/>
          <w:lang w:val="es-ES"/>
        </w:rPr>
        <w:t xml:space="preserve">2022, </w:t>
      </w:r>
      <w:r w:rsidRPr="00DD6018">
        <w:rPr>
          <w:rFonts w:ascii="Verdana" w:eastAsia="Arial MT" w:hAnsi="Verdana" w:cs="Arial MT"/>
          <w:lang w:val="es-ES"/>
        </w:rPr>
        <w:t>por lo que actualmente esta es la regulación vigente</w:t>
      </w:r>
      <w:r w:rsidRPr="00DD6018">
        <w:rPr>
          <w:rFonts w:ascii="Verdana" w:eastAsia="Times New Roman" w:hAnsi="Verdana" w:cs="Arial"/>
          <w:vertAlign w:val="superscript"/>
          <w:lang w:eastAsia="es-CO"/>
        </w:rPr>
        <w:footnoteReference w:id="11"/>
      </w:r>
      <w:r w:rsidRPr="00DD6018">
        <w:rPr>
          <w:rFonts w:ascii="Verdana" w:eastAsia="Times New Roman" w:hAnsi="Verdana" w:cs="Arial"/>
          <w:lang w:eastAsia="es-CO"/>
        </w:rPr>
        <w:t xml:space="preserve">. </w:t>
      </w:r>
    </w:p>
    <w:p w14:paraId="4CE6E9A0" w14:textId="77777777" w:rsidR="00C52593" w:rsidRPr="00DD6018" w:rsidRDefault="00C52593" w:rsidP="00C52593">
      <w:pPr>
        <w:spacing w:after="0" w:line="276" w:lineRule="auto"/>
        <w:jc w:val="both"/>
        <w:rPr>
          <w:rFonts w:ascii="Verdana" w:eastAsia="Times New Roman" w:hAnsi="Verdana" w:cs="Arial"/>
          <w:lang w:eastAsia="es-CO"/>
        </w:rPr>
      </w:pPr>
    </w:p>
    <w:p w14:paraId="519D7A76" w14:textId="77777777" w:rsidR="00C52593" w:rsidRPr="00DD6018" w:rsidRDefault="00C52593" w:rsidP="00C52593">
      <w:pPr>
        <w:spacing w:after="0" w:line="276" w:lineRule="auto"/>
        <w:jc w:val="both"/>
        <w:rPr>
          <w:rFonts w:ascii="Verdana" w:eastAsia="Calibri" w:hAnsi="Verdana" w:cs="Arial"/>
          <w:b/>
          <w:bCs/>
          <w:lang w:val="es-ES_tradnl" w:eastAsia="es-ES_tradnl"/>
        </w:rPr>
      </w:pPr>
      <w:r>
        <w:rPr>
          <w:rFonts w:ascii="Verdana" w:eastAsia="Calibri" w:hAnsi="Verdana" w:cs="Arial"/>
          <w:b/>
          <w:bCs/>
          <w:lang w:val="es-ES_tradnl" w:eastAsia="es-ES_tradnl"/>
        </w:rPr>
        <w:t>3.2</w:t>
      </w:r>
      <w:r w:rsidRPr="00DD6018">
        <w:rPr>
          <w:rFonts w:ascii="Verdana" w:eastAsia="Calibri" w:hAnsi="Verdana" w:cs="Arial"/>
          <w:b/>
          <w:bCs/>
          <w:lang w:val="es-ES_tradnl" w:eastAsia="es-ES_tradnl"/>
        </w:rPr>
        <w:t>. Definición de emprendimientos y empresas de mujeres en el Decreto 1860 de 2021</w:t>
      </w:r>
    </w:p>
    <w:p w14:paraId="216FEAD1" w14:textId="77777777" w:rsidR="00C52593" w:rsidRPr="00DD6018" w:rsidRDefault="00C52593" w:rsidP="00C52593">
      <w:pPr>
        <w:spacing w:after="0" w:line="276" w:lineRule="auto"/>
        <w:jc w:val="both"/>
        <w:rPr>
          <w:rFonts w:ascii="Verdana" w:eastAsia="Calibri" w:hAnsi="Verdana" w:cs="Arial"/>
          <w:b/>
          <w:bCs/>
          <w:lang w:val="es-ES_tradnl" w:eastAsia="es-ES_tradnl"/>
        </w:rPr>
      </w:pPr>
    </w:p>
    <w:p w14:paraId="5D90279F" w14:textId="77777777" w:rsidR="00C52593" w:rsidRPr="00DD6018" w:rsidRDefault="00C52593" w:rsidP="00C52593">
      <w:pPr>
        <w:spacing w:after="12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 xml:space="preserve">Conforme se viene explicando, el artículo 32 de la Ley 2069 de 2021 introduce el deber de las Entidades Estatales de incluir </w:t>
      </w:r>
      <w:r w:rsidRPr="00DD6018">
        <w:rPr>
          <w:rFonts w:ascii="Verdana" w:eastAsia="Times New Roman" w:hAnsi="Verdana" w:cs="Arial"/>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DD6018">
        <w:rPr>
          <w:rFonts w:ascii="Verdana" w:eastAsia="Times New Roman" w:hAnsi="Verdana" w:cs="Arial"/>
          <w:shd w:val="clear" w:color="auto" w:fill="FFFFFF"/>
          <w:lang w:eastAsia="es-ES_tradnl"/>
        </w:rPr>
        <w:t> </w:t>
      </w:r>
    </w:p>
    <w:p w14:paraId="7E4CD47A" w14:textId="77777777" w:rsidR="00C52593" w:rsidRPr="00DD6018" w:rsidRDefault="00C52593" w:rsidP="00C52593">
      <w:pPr>
        <w:spacing w:after="0" w:line="276" w:lineRule="auto"/>
        <w:jc w:val="both"/>
        <w:rPr>
          <w:rFonts w:ascii="Verdana" w:eastAsia="Calibri" w:hAnsi="Verdana" w:cs="Arial"/>
          <w:lang w:val="es-ES_tradnl" w:eastAsia="es-ES_tradnl"/>
        </w:rPr>
      </w:pPr>
      <w:r w:rsidRPr="00DD6018">
        <w:rPr>
          <w:rFonts w:ascii="Verdana" w:eastAsia="Calibri" w:hAnsi="Verdana" w:cs="Arial"/>
          <w:lang w:val="es-ES_tradnl" w:eastAsia="es-ES_tradnl"/>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w:t>
      </w:r>
      <w:r w:rsidRPr="00DD6018">
        <w:rPr>
          <w:rFonts w:ascii="Verdana" w:eastAsia="Calibri" w:hAnsi="Verdana" w:cs="Arial"/>
          <w:lang w:val="es-ES_tradnl" w:eastAsia="es-ES_tradnl"/>
        </w:rPr>
        <w:lastRenderedPageBreak/>
        <w:t xml:space="preserve">emprendimientos y empresas de mujeres, a efectos de aplicar los criterios diferenciales, cuyo tenor literal indica:   </w:t>
      </w:r>
    </w:p>
    <w:p w14:paraId="648044BA" w14:textId="77777777" w:rsidR="00C52593" w:rsidRPr="00DD6018" w:rsidRDefault="00C52593" w:rsidP="00C52593">
      <w:pPr>
        <w:spacing w:after="0" w:line="276" w:lineRule="auto"/>
        <w:jc w:val="both"/>
        <w:rPr>
          <w:rFonts w:ascii="Verdana" w:eastAsia="Calibri" w:hAnsi="Verdana" w:cs="Arial"/>
          <w:lang w:val="es-ES_tradnl" w:eastAsia="es-ES_tradnl"/>
        </w:rPr>
      </w:pPr>
    </w:p>
    <w:p w14:paraId="27D98FE1" w14:textId="77777777" w:rsidR="00C52593" w:rsidRPr="00DD6018" w:rsidRDefault="00C52593" w:rsidP="00C52593">
      <w:pPr>
        <w:shd w:val="clear" w:color="auto" w:fill="FFFFFF"/>
        <w:spacing w:after="0" w:line="240" w:lineRule="auto"/>
        <w:ind w:left="709" w:right="709"/>
        <w:jc w:val="both"/>
        <w:textAlignment w:val="baseline"/>
        <w:rPr>
          <w:rFonts w:ascii="Verdana" w:eastAsia="Times New Roman" w:hAnsi="Verdana" w:cs="Arial"/>
          <w:lang w:eastAsia="es-CO"/>
        </w:rPr>
      </w:pPr>
      <w:r w:rsidRPr="00DD6018">
        <w:rPr>
          <w:rFonts w:ascii="Verdana" w:eastAsia="Times New Roman" w:hAnsi="Verdana" w:cs="Arial"/>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60716B53" w14:textId="77777777" w:rsidR="00C52593" w:rsidRPr="00DD6018" w:rsidRDefault="00C52593" w:rsidP="00C52593">
      <w:pPr>
        <w:shd w:val="clear" w:color="auto" w:fill="FFFFFF"/>
        <w:spacing w:after="0" w:line="240" w:lineRule="auto"/>
        <w:ind w:left="709" w:right="709"/>
        <w:jc w:val="both"/>
        <w:textAlignment w:val="baseline"/>
        <w:rPr>
          <w:rFonts w:ascii="Verdana" w:eastAsia="Times New Roman" w:hAnsi="Verdana" w:cs="Arial"/>
          <w:lang w:eastAsia="es-CO"/>
        </w:rPr>
      </w:pPr>
      <w:r w:rsidRPr="00DD6018">
        <w:rPr>
          <w:rFonts w:ascii="Verdana" w:eastAsia="Times New Roman" w:hAnsi="Verdana" w:cs="Arial"/>
          <w:lang w:eastAsia="es-CO"/>
        </w:rPr>
        <w:t>[…]</w:t>
      </w:r>
    </w:p>
    <w:p w14:paraId="7A2F3F04"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r w:rsidRPr="00DD6018">
        <w:rPr>
          <w:rFonts w:ascii="Verdana" w:hAnsi="Verdana" w:cs="Arial"/>
          <w:color w:val="000000" w:themeColor="text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019183ED"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p>
    <w:p w14:paraId="467EDE29"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r w:rsidRPr="00DD6018">
        <w:rPr>
          <w:rFonts w:ascii="Verdana" w:hAnsi="Verdana" w:cs="Arial"/>
          <w:color w:val="000000" w:themeColor="text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C1D942E"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p>
    <w:p w14:paraId="65CA5A03"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r w:rsidRPr="00DD6018">
        <w:rPr>
          <w:rFonts w:ascii="Verdana" w:hAnsi="Verdana" w:cs="Arial"/>
          <w:color w:val="000000" w:themeColor="text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EEC12DD"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p>
    <w:p w14:paraId="619C5FBB" w14:textId="77777777" w:rsidR="00C52593" w:rsidRPr="00DD6018" w:rsidRDefault="00C52593" w:rsidP="00C52593">
      <w:pPr>
        <w:shd w:val="clear" w:color="auto" w:fill="FFFFFF"/>
        <w:spacing w:line="240" w:lineRule="auto"/>
        <w:ind w:left="709" w:right="709"/>
        <w:contextualSpacing/>
        <w:jc w:val="both"/>
        <w:textAlignment w:val="baseline"/>
        <w:rPr>
          <w:rFonts w:ascii="Verdana" w:hAnsi="Verdana" w:cs="Arial"/>
          <w:color w:val="000000" w:themeColor="text1"/>
          <w:lang w:eastAsia="es-CO"/>
        </w:rPr>
      </w:pPr>
      <w:r w:rsidRPr="00DD6018">
        <w:rPr>
          <w:rFonts w:ascii="Verdana" w:hAnsi="Verdana" w:cs="Arial"/>
          <w:color w:val="000000" w:themeColor="text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71172A8" w14:textId="77777777" w:rsidR="00C52593" w:rsidRPr="00DD6018" w:rsidRDefault="00C52593" w:rsidP="00C52593">
      <w:pPr>
        <w:shd w:val="clear" w:color="auto" w:fill="FFFFFF"/>
        <w:spacing w:after="0" w:line="240" w:lineRule="auto"/>
        <w:ind w:left="709" w:right="709"/>
        <w:jc w:val="both"/>
        <w:textAlignment w:val="baseline"/>
        <w:rPr>
          <w:rFonts w:ascii="Verdana" w:eastAsia="Times New Roman" w:hAnsi="Verdana" w:cs="Arial"/>
          <w:lang w:eastAsia="es-CO"/>
        </w:rPr>
      </w:pPr>
    </w:p>
    <w:p w14:paraId="03687C30" w14:textId="77777777" w:rsidR="00C52593" w:rsidRPr="00DD6018" w:rsidRDefault="00C52593" w:rsidP="00C52593">
      <w:pPr>
        <w:shd w:val="clear" w:color="auto" w:fill="FFFFFF" w:themeFill="background1"/>
        <w:spacing w:after="0" w:line="240" w:lineRule="auto"/>
        <w:ind w:left="709" w:right="709"/>
        <w:jc w:val="both"/>
        <w:textAlignment w:val="baseline"/>
        <w:rPr>
          <w:rFonts w:ascii="Verdana" w:eastAsia="Times New Roman" w:hAnsi="Verdana" w:cs="Arial"/>
          <w:lang w:eastAsia="es-CO"/>
        </w:rPr>
      </w:pPr>
      <w:r w:rsidRPr="00DD6018">
        <w:rPr>
          <w:rFonts w:ascii="Verdana" w:eastAsia="Times New Roman" w:hAnsi="Verdana" w:cs="Arial"/>
          <w:lang w:eastAsia="es-CO"/>
        </w:rPr>
        <w:t xml:space="preserve">3. Cuando la persona natural sea una mujer y haya ejercido actividades comerciales a través de un establecimiento de comercio durante al menos el último año anterior a la fecha de cierre del </w:t>
      </w:r>
      <w:r w:rsidRPr="00DD6018">
        <w:rPr>
          <w:rFonts w:ascii="Verdana" w:eastAsia="Times New Roman" w:hAnsi="Verdana" w:cs="Arial"/>
          <w:lang w:eastAsia="es-CO"/>
        </w:rPr>
        <w:lastRenderedPageBreak/>
        <w:t>proceso de selección. Esta circunstancia se acreditará mediante la copia de cédula de ciudadanía, la cédula de extranjería o el pasaporte, así como la copia del registro mercantil.</w:t>
      </w:r>
    </w:p>
    <w:p w14:paraId="5A70F927" w14:textId="77777777" w:rsidR="00C52593" w:rsidRPr="00DD6018" w:rsidRDefault="00C52593" w:rsidP="00C52593">
      <w:pPr>
        <w:shd w:val="clear" w:color="auto" w:fill="FFFFFF" w:themeFill="background1"/>
        <w:spacing w:after="0" w:line="240" w:lineRule="auto"/>
        <w:ind w:left="709" w:right="709"/>
        <w:jc w:val="both"/>
        <w:textAlignment w:val="baseline"/>
        <w:rPr>
          <w:rFonts w:ascii="Verdana" w:eastAsia="Times New Roman" w:hAnsi="Verdana" w:cs="Arial"/>
          <w:lang w:eastAsia="es-CO"/>
        </w:rPr>
      </w:pPr>
    </w:p>
    <w:p w14:paraId="3B134474" w14:textId="77777777" w:rsidR="00C52593" w:rsidRPr="00DD6018" w:rsidRDefault="00C52593" w:rsidP="00C52593">
      <w:pPr>
        <w:shd w:val="clear" w:color="auto" w:fill="FFFFFF" w:themeFill="background1"/>
        <w:spacing w:after="0" w:line="240" w:lineRule="auto"/>
        <w:ind w:left="709" w:right="709"/>
        <w:jc w:val="both"/>
        <w:textAlignment w:val="baseline"/>
        <w:rPr>
          <w:rFonts w:ascii="Verdana" w:eastAsia="Times New Roman" w:hAnsi="Verdana" w:cs="Arial"/>
          <w:i/>
          <w:iCs/>
          <w:u w:val="single"/>
          <w:lang w:eastAsia="es-CO"/>
        </w:rPr>
      </w:pPr>
      <w:r w:rsidRPr="00DD6018">
        <w:rPr>
          <w:rFonts w:ascii="Verdana" w:eastAsia="Times New Roman" w:hAnsi="Verdana" w:cs="Arial"/>
          <w:lang w:eastAsia="es-CO"/>
        </w:rPr>
        <w:t>4</w:t>
      </w:r>
      <w:r w:rsidRPr="00DD6018">
        <w:rPr>
          <w:rFonts w:ascii="Verdana" w:eastAsia="Times New Roman" w:hAnsi="Verdana" w:cs="Arial"/>
          <w:i/>
          <w:iCs/>
          <w:u w:val="single"/>
          <w:lang w:eastAsia="es-CO"/>
        </w:rPr>
        <w:t xml:space="preserve">.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 </w:t>
      </w:r>
    </w:p>
    <w:p w14:paraId="6D35F692" w14:textId="77777777" w:rsidR="00C52593" w:rsidRPr="00DD6018" w:rsidRDefault="00C52593" w:rsidP="00C52593">
      <w:pPr>
        <w:shd w:val="clear" w:color="auto" w:fill="FFFFFF" w:themeFill="background1"/>
        <w:spacing w:after="0" w:line="240" w:lineRule="auto"/>
        <w:ind w:left="709" w:right="709"/>
        <w:jc w:val="both"/>
        <w:textAlignment w:val="baseline"/>
        <w:rPr>
          <w:rFonts w:ascii="Verdana" w:eastAsia="Times New Roman" w:hAnsi="Verdana" w:cs="Arial"/>
          <w:i/>
          <w:iCs/>
          <w:u w:val="single"/>
          <w:lang w:eastAsia="es-CO"/>
        </w:rPr>
      </w:pPr>
    </w:p>
    <w:p w14:paraId="4A413679" w14:textId="77777777" w:rsidR="00C52593" w:rsidRPr="00DD6018" w:rsidRDefault="00C52593" w:rsidP="00C52593">
      <w:pPr>
        <w:shd w:val="clear" w:color="auto" w:fill="FFFFFF" w:themeFill="background1"/>
        <w:spacing w:after="0" w:line="240" w:lineRule="auto"/>
        <w:ind w:left="709" w:right="709"/>
        <w:jc w:val="both"/>
        <w:textAlignment w:val="baseline"/>
        <w:rPr>
          <w:rFonts w:ascii="Verdana" w:eastAsia="Times New Roman" w:hAnsi="Verdana" w:cs="Arial"/>
          <w:lang w:eastAsia="es-CO"/>
        </w:rPr>
      </w:pPr>
      <w:r w:rsidRPr="00DD6018">
        <w:rPr>
          <w:rFonts w:ascii="Verdana" w:eastAsia="Times New Roman" w:hAnsi="Verdana" w:cs="Arial"/>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42D3AE7A" w14:textId="77777777" w:rsidR="00C52593" w:rsidRPr="00DD6018" w:rsidRDefault="00C52593" w:rsidP="00C52593">
      <w:pPr>
        <w:spacing w:after="0" w:line="276" w:lineRule="auto"/>
        <w:jc w:val="both"/>
        <w:rPr>
          <w:rFonts w:ascii="Verdana" w:eastAsia="Calibri" w:hAnsi="Verdana" w:cs="Arial"/>
          <w:lang w:val="es-ES_tradnl" w:eastAsia="es-ES_tradnl"/>
        </w:rPr>
      </w:pPr>
    </w:p>
    <w:p w14:paraId="4DD95516" w14:textId="77777777" w:rsidR="00C52593" w:rsidRPr="00DD6018" w:rsidRDefault="00C52593" w:rsidP="00C52593">
      <w:pPr>
        <w:spacing w:after="120" w:line="276" w:lineRule="auto"/>
        <w:jc w:val="both"/>
        <w:rPr>
          <w:rFonts w:ascii="Verdana" w:eastAsia="Calibri" w:hAnsi="Verdana" w:cs="Arial"/>
          <w:bCs/>
          <w:color w:val="000000"/>
          <w:lang w:val="es-ES" w:eastAsia="es-ES_tradnl" w:bidi="es-ES"/>
        </w:rPr>
      </w:pPr>
      <w:r w:rsidRPr="00DD6018">
        <w:rPr>
          <w:rFonts w:ascii="Verdana" w:eastAsia="Calibri" w:hAnsi="Verdana" w:cs="Arial"/>
          <w:bCs/>
          <w:color w:val="000000"/>
          <w:lang w:eastAsia="es-ES_tradnl" w:bidi="es-ES"/>
        </w:rPr>
        <w:t xml:space="preserve">Conforme a lo anterior, el artículo </w:t>
      </w:r>
      <w:r w:rsidRPr="00DD6018">
        <w:rPr>
          <w:rFonts w:ascii="Verdana" w:eastAsia="Calibri" w:hAnsi="Verdana" w:cs="Arial"/>
          <w:bCs/>
          <w:color w:val="000000"/>
          <w:lang w:val="es-ES" w:eastAsia="es-ES_tradnl" w:bidi="es-ES"/>
        </w:rPr>
        <w:t>2.2.1.2.4.2.14 del Decreto 1082 de 2015 define cuatro alternativas distintas que definen los requisitos de las empresas y emprendimientos de mujeres, a las que les aplican los criterios diferenciales.</w:t>
      </w:r>
    </w:p>
    <w:p w14:paraId="25A213DF" w14:textId="77777777" w:rsidR="00C52593" w:rsidRPr="00DD6018" w:rsidRDefault="00C52593" w:rsidP="00C52593">
      <w:pPr>
        <w:spacing w:before="120" w:after="120"/>
        <w:jc w:val="both"/>
        <w:rPr>
          <w:rFonts w:ascii="Verdana" w:eastAsia="Calibri" w:hAnsi="Verdana" w:cs="Arial"/>
          <w:bCs/>
          <w:color w:val="000000"/>
          <w:lang w:eastAsia="es-ES_tradnl" w:bidi="es-ES"/>
        </w:rPr>
      </w:pPr>
      <w:r w:rsidRPr="00DD6018">
        <w:rPr>
          <w:rFonts w:ascii="Verdana" w:eastAsia="Calibri" w:hAnsi="Verdana" w:cs="Arial"/>
          <w:bCs/>
          <w:color w:val="000000"/>
          <w:lang w:eastAsia="es-ES_tradnl" w:bidi="es-ES"/>
        </w:rPr>
        <w:t xml:space="preserve">Por una parte, el proponente persona jurídica podrá acreditar la condición de empresa y </w:t>
      </w:r>
      <w:r w:rsidRPr="00DD6018">
        <w:rPr>
          <w:rFonts w:ascii="Verdana" w:eastAsia="Calibri" w:hAnsi="Verdana" w:cs="Arial"/>
          <w:bCs/>
          <w:lang w:eastAsia="es-ES_tradnl" w:bidi="es-ES"/>
        </w:rPr>
        <w:t xml:space="preserve">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w:t>
      </w:r>
      <w:proofErr w:type="spellStart"/>
      <w:r w:rsidRPr="00DD6018">
        <w:rPr>
          <w:rFonts w:ascii="Verdana" w:eastAsia="Calibri" w:hAnsi="Verdana" w:cs="Arial"/>
          <w:bCs/>
          <w:lang w:eastAsia="es-ES_tradnl" w:bidi="es-ES"/>
        </w:rPr>
        <w:t>ii</w:t>
      </w:r>
      <w:proofErr w:type="spellEnd"/>
      <w:r w:rsidRPr="00DD6018">
        <w:rPr>
          <w:rFonts w:ascii="Verdana" w:eastAsia="Calibri" w:hAnsi="Verdana" w:cs="Arial"/>
          <w:bCs/>
          <w:lang w:eastAsia="es-ES_tradnl" w:bidi="es-ES"/>
        </w:rPr>
        <w:t>)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que es el caso que nos ocupa, deberán probar que más del cincuenta por ciento (50%) de los asociados son mujeres y la participación haya correspondido a estas durante al menos el último año anterior a la fecha de cierre del proceso de selección. Por otra parte, el proponente persona natural deberá demostrar, mediante la copia del registro mercantil y de la cédula de ciudadanía, la cédula de extranjería o el pasaporte, que es una mujer y que ha ejercido actividades comerciales a través de un establecimiento de comercio durante al menos el último año anterior a la fecha de cierre del proceso de selección</w:t>
      </w:r>
      <w:r w:rsidRPr="00DD6018">
        <w:rPr>
          <w:rFonts w:ascii="Verdana" w:eastAsia="Calibri" w:hAnsi="Verdana" w:cs="Arial"/>
          <w:bCs/>
          <w:color w:val="000000"/>
          <w:lang w:eastAsia="es-ES_tradnl" w:bidi="es-ES"/>
        </w:rPr>
        <w:t xml:space="preserve">. </w:t>
      </w:r>
    </w:p>
    <w:p w14:paraId="55E1148C" w14:textId="77777777" w:rsidR="00C52593" w:rsidRPr="00DD6018" w:rsidRDefault="00C52593" w:rsidP="00C52593">
      <w:pPr>
        <w:spacing w:after="120" w:line="276" w:lineRule="auto"/>
        <w:jc w:val="both"/>
        <w:rPr>
          <w:rFonts w:ascii="Verdana" w:eastAsia="Calibri" w:hAnsi="Verdana" w:cs="Arial"/>
          <w:lang w:val="es-ES"/>
        </w:rPr>
      </w:pPr>
      <w:bookmarkStart w:id="8" w:name="_Hlk110603413"/>
      <w:r w:rsidRPr="08BC3B23">
        <w:rPr>
          <w:rFonts w:ascii="Verdana" w:eastAsia="Calibri" w:hAnsi="Verdana" w:cs="Arial"/>
          <w:lang w:val="es-ES"/>
        </w:rPr>
        <w:t xml:space="preserve">En ese orden, teniendo en cuenta lo consultado, para la aplicación de la definición contenida en el numeral 4 del artículo en comento, no basta con que </w:t>
      </w:r>
      <w:r w:rsidRPr="08BC3B23">
        <w:rPr>
          <w:rFonts w:ascii="Verdana" w:eastAsia="Calibri" w:hAnsi="Verdana" w:cs="Arial"/>
          <w:lang w:val="es-ES"/>
        </w:rPr>
        <w:lastRenderedPageBreak/>
        <w:t>más del 50% de los asociados correspondan a mujeres, sino que la participación mayoritaria haya correspondido a estas durante al menos el último año anterior a la fecha de cierre del Proceso de Contratación.</w:t>
      </w:r>
      <w:bookmarkEnd w:id="8"/>
      <w:r w:rsidRPr="08BC3B23">
        <w:rPr>
          <w:rFonts w:ascii="Verdana" w:eastAsia="Calibri" w:hAnsi="Verdana" w:cs="Arial"/>
          <w:lang w:val="es-ES"/>
        </w:rPr>
        <w:t xml:space="preserve"> De esta manera, el criterio establecido en la norma para definir los emprendimientos y empresas de mujeres deja por fuera de dicha categoría a aquellas asociaciones o corporaciones que, a pesar de contar con la participación mayoritaria de mujeres, no cuenten con el requerimiento del tiempo mínimo de un año. Como medio para la acreditación de dicha condición, el numeral 4 de la disposición en cita, establece una certificación expedida por el representante legal, en la que consten que más del 50% de los asociados corresponde a mujeres. </w:t>
      </w:r>
    </w:p>
    <w:p w14:paraId="36DE2417" w14:textId="77777777" w:rsidR="00C52593" w:rsidRPr="00DD6018" w:rsidRDefault="00C52593" w:rsidP="00C52593">
      <w:pPr>
        <w:spacing w:after="120" w:line="276" w:lineRule="auto"/>
        <w:jc w:val="both"/>
        <w:rPr>
          <w:rFonts w:ascii="Verdana" w:eastAsia="Calibri" w:hAnsi="Verdana" w:cs="Arial"/>
          <w:lang w:val="es-ES"/>
        </w:rPr>
      </w:pPr>
      <w:r w:rsidRPr="08BC3B23">
        <w:rPr>
          <w:rFonts w:ascii="Verdana" w:eastAsia="Calibri" w:hAnsi="Verdana" w:cs="Arial"/>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inciso 4 del numeral 2 del artículo 2.2.1.2.4.2.14, les corresponde presentar la mencionada certificación con sus respectivos soportes.</w:t>
      </w:r>
    </w:p>
    <w:p w14:paraId="031B490C" w14:textId="77777777" w:rsidR="00C52593" w:rsidRPr="00DD6018" w:rsidRDefault="00C52593" w:rsidP="00C52593">
      <w:pPr>
        <w:spacing w:after="120" w:line="276" w:lineRule="auto"/>
        <w:jc w:val="both"/>
        <w:rPr>
          <w:rFonts w:ascii="Verdana" w:eastAsia="Calibri" w:hAnsi="Verdana" w:cs="Arial"/>
          <w:lang w:val="es-ES"/>
        </w:rPr>
      </w:pPr>
      <w:r w:rsidRPr="08BC3B23">
        <w:rPr>
          <w:rFonts w:ascii="Verdana" w:eastAsia="Calibri" w:hAnsi="Verdana" w:cs="Arial"/>
          <w:lang w:val="es-ES"/>
        </w:rPr>
        <w:t>Sin perjuicio de lo anterior, la sola presentación de la certificación de representante legal con sus respectivos soportes, no confiere automáticamente el acceso a los criterios diferenciales. Esto por cuanto es deber de la Entidad Estatal verificar que los documentos presentados acrediten las condiciones descritas en el numeral 4 del artículo 2.2.1.2.4.2.14 del Decreto 1082 de 2015.</w:t>
      </w:r>
    </w:p>
    <w:p w14:paraId="48CDF7CC" w14:textId="77777777" w:rsidR="00C52593" w:rsidRPr="00DD6018" w:rsidRDefault="00C52593" w:rsidP="00C52593">
      <w:pPr>
        <w:spacing w:after="120" w:line="276" w:lineRule="auto"/>
        <w:jc w:val="both"/>
        <w:rPr>
          <w:rFonts w:ascii="Verdana" w:eastAsia="Calibri" w:hAnsi="Verdana" w:cs="Arial"/>
          <w:lang w:val="es-ES"/>
        </w:rPr>
      </w:pPr>
      <w:r w:rsidRPr="08BC3B23">
        <w:rPr>
          <w:rFonts w:ascii="Verdana" w:eastAsia="Calibri" w:hAnsi="Verdana" w:cs="Arial"/>
          <w:lang w:val="es-ES"/>
        </w:rPr>
        <w:t xml:space="preserve">En ese sentido, para aplicar la mencionada definición la entidad debe comprobar que más del cincuenta por ciento (50%) de los asociados correspondan a mujeres, lo que podrá verificar con la información incluida en la certificación. Asimismo, deberá establecerse si en efecto tal porcentaje de participación en cabeza de mujeres, se ha mantenido durante al menos un año contado hasta la fecha de cierre del proceso de selección. </w:t>
      </w:r>
    </w:p>
    <w:p w14:paraId="20A82DEC" w14:textId="77777777" w:rsidR="00C52593" w:rsidRPr="00DD6018" w:rsidRDefault="00C52593" w:rsidP="00C52593">
      <w:pPr>
        <w:spacing w:after="120" w:line="276" w:lineRule="auto"/>
        <w:jc w:val="both"/>
        <w:rPr>
          <w:rFonts w:ascii="Verdana" w:eastAsia="Calibri" w:hAnsi="Verdana" w:cs="Arial"/>
          <w:lang w:val="es-ES"/>
        </w:rPr>
      </w:pPr>
      <w:r w:rsidRPr="08BC3B23">
        <w:rPr>
          <w:rFonts w:ascii="Verdana" w:eastAsia="Calibri" w:hAnsi="Verdana" w:cs="Arial"/>
          <w:lang w:val="es-ES"/>
        </w:rPr>
        <w:t xml:space="preserve">Conforme a lo anterior, en el evento en que un proponente presente la referida certificación con los respectivos soportes, pero se encuentre que los mismos no acreditan las condiciones descritas en el numeral 4 del artículo 2.2.1.2.4.2.14, la Entidad Estatal deberá tener por no acreditada la condición de emprendimiento o empresa de mujeres, y, en consecuencia, abstenerse de aplicar criterios diferenciales en favor de este oferente. De esta manera, si por ejemplo, analizados los documentos presentados la entidad advierte que el </w:t>
      </w:r>
      <w:r w:rsidRPr="08BC3B23">
        <w:rPr>
          <w:rFonts w:ascii="Verdana" w:eastAsia="Calibri" w:hAnsi="Verdana" w:cs="Arial"/>
          <w:lang w:val="es-ES"/>
        </w:rPr>
        <w:lastRenderedPageBreak/>
        <w:t>porcentaje de participación –superior al cincuenta por ciento (50%)– de mujeres asociadas no se ha mantenido durante al menos el año anterior a la fecha de cierre del proceso de selección, no sería viable aplicar la mencionada definición.</w:t>
      </w:r>
    </w:p>
    <w:p w14:paraId="6EF674EC" w14:textId="77777777" w:rsidR="00C52593" w:rsidRPr="00DD6018" w:rsidRDefault="00C52593" w:rsidP="00C52593">
      <w:pPr>
        <w:spacing w:before="120" w:after="120" w:line="276" w:lineRule="auto"/>
        <w:jc w:val="both"/>
        <w:rPr>
          <w:rFonts w:ascii="Verdana" w:eastAsia="Calibri" w:hAnsi="Verdana" w:cs="Arial"/>
          <w:bCs/>
          <w:color w:val="000000"/>
          <w:lang w:val="es-ES_tradnl"/>
        </w:rPr>
      </w:pPr>
      <w:bookmarkStart w:id="9" w:name="_Hlk108537388"/>
      <w:r w:rsidRPr="00DD6018">
        <w:rPr>
          <w:rFonts w:ascii="Verdana" w:eastAsia="Calibri" w:hAnsi="Verdana" w:cs="Arial"/>
          <w:bCs/>
          <w:color w:val="000000"/>
          <w:lang w:val="es-ES_tradnl"/>
        </w:rPr>
        <w:t xml:space="preserve">Debe agregarse a las consideraciones sobre la regulación de los criterios diferenciales a favor de las empresas y los emprendimientos de mujeres, que 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sólo brinda algunas pautas al respecto. </w:t>
      </w:r>
    </w:p>
    <w:bookmarkEnd w:id="9"/>
    <w:p w14:paraId="7FF078CB" w14:textId="77777777" w:rsidR="00C52593" w:rsidRPr="00DD6018" w:rsidRDefault="00C52593" w:rsidP="00C52593">
      <w:pPr>
        <w:spacing w:after="0" w:line="276" w:lineRule="auto"/>
        <w:jc w:val="both"/>
        <w:rPr>
          <w:rFonts w:ascii="Verdana" w:eastAsia="Times New Roman" w:hAnsi="Verdana" w:cs="Arial"/>
          <w:lang w:eastAsia="es-CO"/>
        </w:rPr>
      </w:pPr>
      <w:r w:rsidRPr="00DD6018">
        <w:rPr>
          <w:rFonts w:ascii="Verdana" w:eastAsia="Times New Roman" w:hAnsi="Verdana" w:cs="Arial"/>
          <w:lang w:eastAsia="es-CO"/>
        </w:rPr>
        <w:t>Finalmente, debe agregarse que el artículo 2.2.1.2.4.2.15 del Decreto 1082 de 2015</w:t>
      </w:r>
      <w:r w:rsidRPr="00DD6018">
        <w:rPr>
          <w:rFonts w:ascii="Verdana" w:eastAsia="Times New Roman" w:hAnsi="Verdana" w:cs="Arial"/>
          <w:vertAlign w:val="superscript"/>
          <w:lang w:eastAsia="es-CO"/>
        </w:rPr>
        <w:footnoteReference w:id="12"/>
      </w:r>
      <w:r w:rsidRPr="00DD6018">
        <w:rPr>
          <w:rFonts w:ascii="Verdana" w:eastAsia="Times New Roman" w:hAnsi="Verdana" w:cs="Arial"/>
          <w:lang w:eastAsia="es-CO"/>
        </w:rPr>
        <w:t xml:space="preserve">, adicionado por el Decreto 1860 de 2021, complementa la regulación de </w:t>
      </w:r>
      <w:r w:rsidRPr="00DD6018">
        <w:rPr>
          <w:rFonts w:ascii="Verdana" w:eastAsia="Times New Roman" w:hAnsi="Verdana" w:cs="Arial"/>
          <w:lang w:eastAsia="es-CO"/>
        </w:rPr>
        <w:lastRenderedPageBreak/>
        <w:t>criterios diferenciales estableciendo unos requisitos habilitantes diferenciales para incentivar emprendimientos y empresas de mujeres, que deben ser menos rigurosos respecto a los contemplados para los proponentes que no cumplan con alguno de los criterios del artículo 2.2.1.2.4.2.14. Del mismo modo, el artículo 2.2.1.2.4.2.15 también regula un puntaje adicional</w:t>
      </w:r>
      <w:r w:rsidRPr="00DD6018">
        <w:rPr>
          <w:rFonts w:ascii="Verdana" w:eastAsia="Times New Roman" w:hAnsi="Verdana" w:cs="Times New Roman"/>
          <w:lang w:eastAsia="es-ES_tradnl"/>
        </w:rPr>
        <w:t xml:space="preserve"> </w:t>
      </w:r>
      <w:r w:rsidRPr="00DD6018">
        <w:rPr>
          <w:rFonts w:ascii="Verdana" w:eastAsia="Times New Roman" w:hAnsi="Verdana"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w:t>
      </w:r>
      <w:r w:rsidRPr="00DD6018">
        <w:rPr>
          <w:rFonts w:ascii="Verdana" w:eastAsia="Calibri" w:hAnsi="Verdana" w:cs="Arial"/>
        </w:rPr>
        <w:t xml:space="preserve">” y acreditando esta circunstancia </w:t>
      </w:r>
      <w:r w:rsidRPr="00DD6018">
        <w:rPr>
          <w:rFonts w:ascii="Verdana" w:eastAsia="Times New Roman" w:hAnsi="Verdana" w:cs="Arial"/>
          <w:lang w:eastAsia="es-CO"/>
        </w:rPr>
        <w:t xml:space="preserve">“mediante la copia de cédula de ciudadanía, la cédula de extranjería o el pasaporte, así como la copia del registro mercantil”. Los demás numerales del mencionado artículo corresponden a la acreditación de circunstancias que, por sus particularidades jurídicas, deben acreditar exclusivamente las personas jurídicas, sociedades o asociaciones y cooperativas. </w:t>
      </w:r>
    </w:p>
    <w:p w14:paraId="4756F5B6" w14:textId="77777777" w:rsidR="00C52593" w:rsidRPr="00DD6018" w:rsidRDefault="00C52593" w:rsidP="00C52593">
      <w:pPr>
        <w:spacing w:after="0" w:line="276" w:lineRule="auto"/>
        <w:jc w:val="both"/>
        <w:rPr>
          <w:rFonts w:ascii="Verdana" w:eastAsia="Calibri" w:hAnsi="Verdana" w:cs="Arial"/>
        </w:rPr>
      </w:pPr>
    </w:p>
    <w:p w14:paraId="6E1D2B98" w14:textId="77777777" w:rsidR="00C52593" w:rsidRPr="0062457F" w:rsidRDefault="00C52593" w:rsidP="00C5259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2457F">
        <w:rPr>
          <w:rFonts w:ascii="Verdana" w:eastAsia="Century Gothic" w:hAnsi="Verdana" w:cs="Century Gothic"/>
          <w:b/>
          <w:bCs/>
        </w:rPr>
        <w:t>Referencias normativas, jurisprudenciales y otras fuentes:</w:t>
      </w:r>
    </w:p>
    <w:p w14:paraId="701E564F" w14:textId="77777777" w:rsidR="00C52593" w:rsidRPr="0062457F" w:rsidRDefault="00C52593" w:rsidP="00C52593">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C52593" w:rsidRPr="0062457F" w14:paraId="650CEA6D" w14:textId="77777777" w:rsidTr="009F6321">
        <w:trPr>
          <w:trHeight w:val="870"/>
        </w:trPr>
        <w:tc>
          <w:tcPr>
            <w:tcW w:w="8647" w:type="dxa"/>
            <w:tcBorders>
              <w:top w:val="dotted" w:sz="4" w:space="0" w:color="auto"/>
              <w:left w:val="dotted" w:sz="4" w:space="0" w:color="auto"/>
              <w:bottom w:val="dotted" w:sz="4" w:space="0" w:color="auto"/>
              <w:right w:val="dotted" w:sz="4" w:space="0" w:color="auto"/>
            </w:tcBorders>
          </w:tcPr>
          <w:p w14:paraId="56E20AB6" w14:textId="77777777" w:rsidR="00C52593" w:rsidRPr="001C103F" w:rsidRDefault="00C52593" w:rsidP="00C52593">
            <w:pPr>
              <w:pStyle w:val="Prrafodelista"/>
              <w:widowControl w:val="0"/>
              <w:numPr>
                <w:ilvl w:val="0"/>
                <w:numId w:val="17"/>
              </w:numPr>
              <w:autoSpaceDE w:val="0"/>
              <w:autoSpaceDN w:val="0"/>
              <w:spacing w:after="120" w:line="276" w:lineRule="auto"/>
              <w:jc w:val="both"/>
              <w:rPr>
                <w:rFonts w:ascii="Verdana" w:hAnsi="Verdana"/>
                <w:bCs/>
                <w:color w:val="000000" w:themeColor="text1"/>
              </w:rPr>
            </w:pPr>
            <w:r w:rsidRPr="001C103F">
              <w:rPr>
                <w:rFonts w:ascii="Verdana" w:eastAsia="Calibri" w:hAnsi="Verdana" w:cs="Arial"/>
                <w:bCs/>
                <w:color w:val="000000" w:themeColor="text1"/>
                <w:lang w:val="es-ES_tradnl"/>
              </w:rPr>
              <w:t>Ley 2069 de 2020 – Artículo 32</w:t>
            </w:r>
          </w:p>
          <w:p w14:paraId="38C1C541" w14:textId="77777777" w:rsidR="00C52593" w:rsidRPr="001C103F" w:rsidRDefault="00C52593" w:rsidP="00C52593">
            <w:pPr>
              <w:pStyle w:val="Prrafodelista"/>
              <w:widowControl w:val="0"/>
              <w:numPr>
                <w:ilvl w:val="0"/>
                <w:numId w:val="17"/>
              </w:numPr>
              <w:autoSpaceDE w:val="0"/>
              <w:autoSpaceDN w:val="0"/>
              <w:spacing w:after="120" w:line="276" w:lineRule="auto"/>
              <w:jc w:val="both"/>
              <w:rPr>
                <w:rFonts w:ascii="Verdana" w:hAnsi="Verdana"/>
                <w:bCs/>
                <w:color w:val="000000" w:themeColor="text1"/>
              </w:rPr>
            </w:pPr>
            <w:r w:rsidRPr="001C103F">
              <w:rPr>
                <w:rFonts w:ascii="Verdana" w:eastAsia="Arial" w:hAnsi="Verdana" w:cs="Arial"/>
                <w:bCs/>
              </w:rPr>
              <w:t>Decreto</w:t>
            </w:r>
            <w:r w:rsidRPr="001C103F">
              <w:rPr>
                <w:rFonts w:ascii="Verdana" w:eastAsia="Arial" w:hAnsi="Verdana" w:cs="Arial"/>
                <w:bCs/>
                <w:spacing w:val="-15"/>
              </w:rPr>
              <w:t xml:space="preserve"> </w:t>
            </w:r>
            <w:r w:rsidRPr="001C103F">
              <w:rPr>
                <w:rFonts w:ascii="Verdana" w:eastAsia="Arial" w:hAnsi="Verdana" w:cs="Arial"/>
                <w:bCs/>
              </w:rPr>
              <w:t>1860</w:t>
            </w:r>
            <w:r w:rsidRPr="001C103F">
              <w:rPr>
                <w:rFonts w:ascii="Verdana" w:eastAsia="Arial" w:hAnsi="Verdana" w:cs="Arial"/>
                <w:bCs/>
                <w:spacing w:val="-14"/>
              </w:rPr>
              <w:t xml:space="preserve"> </w:t>
            </w:r>
            <w:r w:rsidRPr="001C103F">
              <w:rPr>
                <w:rFonts w:ascii="Verdana" w:eastAsia="Arial" w:hAnsi="Verdana" w:cs="Arial"/>
                <w:bCs/>
              </w:rPr>
              <w:t>DE</w:t>
            </w:r>
            <w:r w:rsidRPr="001C103F">
              <w:rPr>
                <w:rFonts w:ascii="Verdana" w:eastAsia="Arial" w:hAnsi="Verdana" w:cs="Arial"/>
                <w:bCs/>
                <w:spacing w:val="-14"/>
              </w:rPr>
              <w:t xml:space="preserve"> </w:t>
            </w:r>
            <w:r w:rsidRPr="001C103F">
              <w:rPr>
                <w:rFonts w:ascii="Verdana" w:eastAsia="Arial" w:hAnsi="Verdana" w:cs="Arial"/>
                <w:bCs/>
              </w:rPr>
              <w:t>2021</w:t>
            </w:r>
          </w:p>
          <w:p w14:paraId="7CB91FFB" w14:textId="77777777" w:rsidR="00C52593" w:rsidRPr="0062457F" w:rsidRDefault="00C52593" w:rsidP="00C52593">
            <w:pPr>
              <w:pStyle w:val="Prrafodelista"/>
              <w:widowControl w:val="0"/>
              <w:numPr>
                <w:ilvl w:val="0"/>
                <w:numId w:val="17"/>
              </w:numPr>
              <w:autoSpaceDE w:val="0"/>
              <w:autoSpaceDN w:val="0"/>
              <w:spacing w:after="120" w:line="276" w:lineRule="auto"/>
              <w:jc w:val="both"/>
              <w:rPr>
                <w:rFonts w:ascii="Verdana" w:hAnsi="Verdana"/>
                <w:color w:val="000000" w:themeColor="text1"/>
              </w:rPr>
            </w:pPr>
            <w:r w:rsidRPr="001C103F">
              <w:rPr>
                <w:rFonts w:ascii="Verdana" w:eastAsia="Calibri" w:hAnsi="Verdana" w:cs="Arial"/>
                <w:bCs/>
                <w:lang w:val="es-ES_tradnl"/>
              </w:rPr>
              <w:t>Decreto 1082 de 2015</w:t>
            </w:r>
          </w:p>
        </w:tc>
      </w:tr>
    </w:tbl>
    <w:p w14:paraId="3B8A3662" w14:textId="77777777" w:rsidR="00C52593" w:rsidRPr="0062457F" w:rsidRDefault="00C52593" w:rsidP="00C52593">
      <w:pPr>
        <w:widowControl w:val="0"/>
        <w:autoSpaceDE w:val="0"/>
        <w:autoSpaceDN w:val="0"/>
        <w:spacing w:after="0" w:line="276" w:lineRule="auto"/>
        <w:jc w:val="both"/>
        <w:rPr>
          <w:rFonts w:ascii="Verdana" w:hAnsi="Verdana" w:cs="Arial"/>
        </w:rPr>
      </w:pPr>
    </w:p>
    <w:p w14:paraId="40551ED3" w14:textId="77777777" w:rsidR="00C52593" w:rsidRPr="0062457F" w:rsidRDefault="00C52593" w:rsidP="00C5259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2457F">
        <w:rPr>
          <w:rFonts w:ascii="Verdana" w:eastAsia="Century Gothic" w:hAnsi="Verdana" w:cs="Century Gothic"/>
          <w:b/>
          <w:bCs/>
        </w:rPr>
        <w:t>Doctrina de la Agencia Nacional de Contratación Pública:</w:t>
      </w:r>
    </w:p>
    <w:p w14:paraId="1C8C5A99" w14:textId="77777777" w:rsidR="00C52593" w:rsidRPr="001C103F" w:rsidRDefault="00C52593" w:rsidP="00C52593">
      <w:pPr>
        <w:spacing w:after="0" w:line="276" w:lineRule="auto"/>
        <w:jc w:val="both"/>
        <w:rPr>
          <w:rFonts w:ascii="Verdana" w:hAnsi="Verdana" w:cs="Arial"/>
        </w:rPr>
      </w:pPr>
    </w:p>
    <w:p w14:paraId="4F7C602B" w14:textId="77777777" w:rsidR="00C52593" w:rsidRPr="001C103F" w:rsidRDefault="00C52593" w:rsidP="00C52593">
      <w:pPr>
        <w:spacing w:after="0" w:line="276" w:lineRule="auto"/>
        <w:jc w:val="both"/>
        <w:rPr>
          <w:rFonts w:ascii="Verdana" w:eastAsia="Calibri" w:hAnsi="Verdana" w:cs="Arial"/>
          <w:lang w:val="es-ES_tradnl" w:eastAsia="es-ES_tradnl"/>
        </w:rPr>
      </w:pPr>
      <w:r w:rsidRPr="001C103F">
        <w:rPr>
          <w:rFonts w:ascii="Verdana" w:eastAsia="Calibri" w:hAnsi="Verdana" w:cs="Arial"/>
          <w:lang w:val="es-ES_tradnl" w:eastAsia="es-ES_tradnl"/>
        </w:rPr>
        <w:lastRenderedPageBreak/>
        <w:t>La Agencia Nacional de Contratación Pública – Colombia Compra Eficiente se ha pronunciado, en términos generales, sobre el contenido de la Ley de Emprendimiento en diferentes conceptos</w:t>
      </w:r>
      <w:r w:rsidRPr="001C103F">
        <w:rPr>
          <w:rFonts w:ascii="Verdana" w:eastAsia="Calibri" w:hAnsi="Verdana" w:cs="Arial"/>
          <w:vertAlign w:val="superscript"/>
          <w:lang w:val="es-ES_tradnl" w:eastAsia="es-ES_tradnl"/>
        </w:rPr>
        <w:footnoteReference w:id="13"/>
      </w:r>
      <w:r w:rsidRPr="001C103F">
        <w:rPr>
          <w:rFonts w:ascii="Verdana" w:eastAsia="Calibri" w:hAnsi="Verdana" w:cs="Arial"/>
          <w:lang w:val="es-ES_tradnl" w:eastAsia="es-ES_tradnl"/>
        </w:rPr>
        <w:t xml:space="preserve">, refiriéndose, especialmente, a lo dispuesto en el artículo 32 de dicha ley, alusivo a los criterios diferenciales para emprendimientos y empresas de mujeres, en los conceptos </w:t>
      </w:r>
      <w:r w:rsidRPr="001C103F">
        <w:rPr>
          <w:rFonts w:ascii="Verdana" w:eastAsia="Times New Roman" w:hAnsi="Verdana" w:cs="Arial"/>
          <w:shd w:val="clear" w:color="auto" w:fill="FFFFFF"/>
          <w:lang w:eastAsia="es-ES_tradnl"/>
        </w:rPr>
        <w:t xml:space="preserve">C-029 de 21 de febrero de 2021, C-037 del 26 de febrero de 2021, C-141 del 8 de abril de 2021, C-114 del 13 de abril de 2015, C-031 del 1 de marzo de 2022, C-476 del 21 de junio de 2022, C-429 del 18 de julio de 2022, </w:t>
      </w:r>
      <w:r w:rsidRPr="001C103F">
        <w:rPr>
          <w:rFonts w:ascii="Verdana" w:hAnsi="Verdana" w:cs="Arial"/>
          <w:shd w:val="clear" w:color="auto" w:fill="FFFFFF"/>
        </w:rPr>
        <w:t>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Pr>
          <w:rFonts w:ascii="Verdana" w:hAnsi="Verdana" w:cs="Arial"/>
          <w:shd w:val="clear" w:color="auto" w:fill="FFFFFF"/>
        </w:rPr>
        <w:t>, C-152 del 28 de septiembre de 2023</w:t>
      </w:r>
      <w:r w:rsidRPr="001C103F">
        <w:rPr>
          <w:rFonts w:ascii="Verdana" w:hAnsi="Verdana" w:cs="Arial"/>
          <w:shd w:val="clear" w:color="auto" w:fill="FFFFFF"/>
        </w:rPr>
        <w:t>,</w:t>
      </w:r>
      <w:r w:rsidRPr="001C103F">
        <w:rPr>
          <w:rFonts w:ascii="Verdana" w:eastAsia="Times New Roman" w:hAnsi="Verdana" w:cs="Arial"/>
          <w:shd w:val="clear" w:color="auto" w:fill="FFFFFF"/>
          <w:lang w:eastAsia="es-ES_tradnl"/>
        </w:rPr>
        <w:t xml:space="preserve"> entre otros</w:t>
      </w:r>
      <w:r w:rsidRPr="001C103F">
        <w:rPr>
          <w:rFonts w:ascii="Verdana" w:eastAsia="Arial" w:hAnsi="Verdana" w:cs="Arial"/>
          <w:vertAlign w:val="superscript"/>
          <w:lang w:val="es-ES_tradnl" w:eastAsia="es-ES_tradnl"/>
        </w:rPr>
        <w:footnoteReference w:id="14"/>
      </w:r>
      <w:r w:rsidRPr="001C103F">
        <w:rPr>
          <w:rFonts w:ascii="Verdana" w:eastAsia="Times New Roman" w:hAnsi="Verdana" w:cs="Arial"/>
          <w:shd w:val="clear" w:color="auto" w:fill="FFFFFF"/>
          <w:lang w:eastAsia="es-ES_tradnl"/>
        </w:rPr>
        <w:t>.</w:t>
      </w:r>
      <w:r w:rsidRPr="001C103F">
        <w:rPr>
          <w:rFonts w:ascii="Verdana" w:eastAsia="Calibri" w:hAnsi="Verdana" w:cs="Arial"/>
          <w:lang w:val="es-ES_tradnl" w:eastAsia="es-ES_tradnl"/>
        </w:rPr>
        <w:t xml:space="preserve"> Algunas de las consideraciones de estos conceptos se reiteran y complementan a continuación.</w:t>
      </w:r>
    </w:p>
    <w:p w14:paraId="7182417D" w14:textId="77777777" w:rsidR="00C52593" w:rsidRDefault="00C52593" w:rsidP="00C52593">
      <w:pPr>
        <w:widowControl w:val="0"/>
        <w:autoSpaceDE w:val="0"/>
        <w:autoSpaceDN w:val="0"/>
        <w:spacing w:after="0" w:line="276" w:lineRule="auto"/>
        <w:jc w:val="both"/>
        <w:rPr>
          <w:rStyle w:val="normaltextrun"/>
          <w:rFonts w:ascii="Verdana" w:hAnsi="Verdana" w:cs="Arial"/>
          <w:shd w:val="clear" w:color="auto" w:fill="FFFFFF"/>
          <w:lang w:val="es-ES_tradnl"/>
        </w:rPr>
      </w:pPr>
    </w:p>
    <w:p w14:paraId="2D173985" w14:textId="77777777" w:rsidR="00C52593" w:rsidRPr="0062457F" w:rsidRDefault="00C52593" w:rsidP="00C52593">
      <w:pPr>
        <w:widowControl w:val="0"/>
        <w:autoSpaceDE w:val="0"/>
        <w:autoSpaceDN w:val="0"/>
        <w:spacing w:after="0" w:line="276" w:lineRule="auto"/>
        <w:jc w:val="both"/>
        <w:rPr>
          <w:rStyle w:val="normaltextrun"/>
          <w:rFonts w:ascii="Verdana" w:hAnsi="Verdana"/>
          <w:color w:val="FF0000"/>
          <w:shd w:val="clear" w:color="auto" w:fill="FFFFFF"/>
          <w:lang w:val="es-ES"/>
        </w:rPr>
      </w:pPr>
      <w:r w:rsidRPr="0062457F">
        <w:rPr>
          <w:rStyle w:val="normaltextrun"/>
          <w:rFonts w:ascii="Verdana" w:hAnsi="Verdana" w:cs="Arial"/>
          <w:shd w:val="clear" w:color="auto" w:fill="FFFFFF"/>
          <w:lang w:val="es-ES"/>
        </w:rPr>
        <w:t>La tesis planteada en tales conceptos se reitera en esta ocasión y se complementa con algunas consideraciones relativas a la consulta bajo análisis. Es</w:t>
      </w:r>
      <w:r w:rsidRPr="0062457F">
        <w:rPr>
          <w:rFonts w:ascii="Verdana" w:hAnsi="Verdana"/>
        </w:rPr>
        <w:t>tos y otros conceptos se encuentran disponibles para consulta en el Sistema de relatoría de la Agencia, al cual se puede acceder a través del siguiente enlace:</w:t>
      </w:r>
      <w:r w:rsidRPr="0062457F">
        <w:rPr>
          <w:rStyle w:val="normaltextrun"/>
          <w:rFonts w:ascii="Verdana" w:hAnsi="Verdana" w:cs="Arial"/>
          <w:shd w:val="clear" w:color="auto" w:fill="FFFFFF"/>
          <w:lang w:val="es-ES"/>
        </w:rPr>
        <w:t xml:space="preserve"> </w:t>
      </w:r>
      <w:hyperlink r:id="rId12" w:history="1">
        <w:r w:rsidRPr="0062457F">
          <w:rPr>
            <w:rStyle w:val="Hipervnculo"/>
            <w:rFonts w:ascii="Verdana" w:hAnsi="Verdana" w:cs="Arial"/>
            <w:shd w:val="clear" w:color="auto" w:fill="FFFFFF"/>
            <w:lang w:val="es-ES"/>
          </w:rPr>
          <w:t>https://relatoria.colombiacompra.gov.co/busqueda/conceptos</w:t>
        </w:r>
      </w:hyperlink>
      <w:r w:rsidRPr="0062457F">
        <w:rPr>
          <w:rStyle w:val="normaltextrun"/>
          <w:rFonts w:ascii="Verdana" w:hAnsi="Verdana" w:cs="Arial"/>
          <w:color w:val="FF0000"/>
          <w:shd w:val="clear" w:color="auto" w:fill="FFFFFF"/>
          <w:lang w:val="es-ES"/>
        </w:rPr>
        <w:t xml:space="preserve">. </w:t>
      </w:r>
    </w:p>
    <w:p w14:paraId="6F066660" w14:textId="77777777" w:rsidR="00C52593" w:rsidRPr="0062457F" w:rsidRDefault="00C52593" w:rsidP="00C5259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3926084" w14:textId="12C4A3C7" w:rsidR="00C52593" w:rsidRPr="0062457F" w:rsidRDefault="00C52593" w:rsidP="00C5259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2457F">
        <w:rPr>
          <w:rStyle w:val="normaltextrun"/>
          <w:rFonts w:ascii="Verdana" w:hAnsi="Verdana" w:cs="Arial"/>
          <w:color w:val="000000" w:themeColor="text1"/>
          <w:shd w:val="clear" w:color="auto" w:fill="FFFFFF"/>
          <w:lang w:val="es-ES"/>
        </w:rPr>
        <w:t xml:space="preserve">También le invitamos a consultar las versiones I y II de 2024 del Boletín de Relatoría de la Subdirección de Gestión Contractual, las cuales puede descargar </w:t>
      </w:r>
      <w:r w:rsidRPr="0062457F">
        <w:rPr>
          <w:rStyle w:val="normaltextrun"/>
          <w:rFonts w:ascii="Verdana" w:hAnsi="Verdana" w:cs="Arial"/>
          <w:color w:val="000000" w:themeColor="text1"/>
          <w:shd w:val="clear" w:color="auto" w:fill="FFFFFF"/>
          <w:lang w:val="es-ES"/>
        </w:rPr>
        <w:lastRenderedPageBreak/>
        <w:t>en la página web de la Agencia:</w:t>
      </w:r>
      <w:r w:rsidRPr="0062457F">
        <w:rPr>
          <w:rStyle w:val="normaltextrun"/>
          <w:rFonts w:ascii="Verdana" w:hAnsi="Verdana" w:cs="Arial"/>
          <w:color w:val="FF0000"/>
          <w:shd w:val="clear" w:color="auto" w:fill="FFFFFF"/>
          <w:lang w:val="es-ES"/>
        </w:rPr>
        <w:t xml:space="preserve"> </w:t>
      </w:r>
      <w:hyperlink r:id="rId13" w:history="1">
        <w:r w:rsidRPr="0062457F">
          <w:rPr>
            <w:rStyle w:val="Hipervnculo"/>
            <w:rFonts w:ascii="Verdana" w:hAnsi="Verdana" w:cs="Arial"/>
            <w:shd w:val="clear" w:color="auto" w:fill="FFFFFF"/>
            <w:lang w:val="es-ES"/>
          </w:rPr>
          <w:t>https://www.colombiacompra.gov.co/sala-de-prensa/boletin-digital</w:t>
        </w:r>
      </w:hyperlink>
    </w:p>
    <w:p w14:paraId="018D9AAC" w14:textId="77777777" w:rsidR="00C52593" w:rsidRPr="0062457F" w:rsidRDefault="00C52593" w:rsidP="00C52593">
      <w:pPr>
        <w:spacing w:after="0" w:line="240" w:lineRule="auto"/>
        <w:jc w:val="both"/>
        <w:rPr>
          <w:rFonts w:ascii="Verdana" w:hAnsi="Verdana"/>
        </w:rPr>
      </w:pPr>
      <w:r w:rsidRPr="0062457F">
        <w:rPr>
          <w:rFonts w:ascii="Verdana" w:hAnsi="Verdana"/>
        </w:rPr>
        <w:t xml:space="preserve">Por último, lo invitamos a seguirnos en las redes sociales en las cuales se difunde información institucional: </w:t>
      </w:r>
    </w:p>
    <w:p w14:paraId="30736F7C" w14:textId="77777777" w:rsidR="00C52593" w:rsidRPr="0062457F" w:rsidRDefault="00C52593" w:rsidP="00C52593">
      <w:pPr>
        <w:spacing w:after="0" w:line="240" w:lineRule="auto"/>
        <w:jc w:val="both"/>
        <w:rPr>
          <w:rFonts w:ascii="Verdana" w:hAnsi="Verdana"/>
        </w:rPr>
      </w:pPr>
    </w:p>
    <w:p w14:paraId="5788A7F6" w14:textId="77777777" w:rsidR="00C52593" w:rsidRPr="0062457F" w:rsidRDefault="00C52593" w:rsidP="00C52593">
      <w:pPr>
        <w:spacing w:after="0" w:line="240" w:lineRule="auto"/>
        <w:jc w:val="both"/>
        <w:rPr>
          <w:rFonts w:ascii="Verdana" w:hAnsi="Verdana"/>
        </w:rPr>
      </w:pPr>
      <w:r w:rsidRPr="0062457F">
        <w:rPr>
          <w:rFonts w:ascii="Verdana" w:hAnsi="Verdana"/>
        </w:rPr>
        <w:t xml:space="preserve">Twitter: </w:t>
      </w:r>
      <w:r w:rsidRPr="0062457F">
        <w:rPr>
          <w:rStyle w:val="Hipervnculo"/>
          <w:rFonts w:ascii="Verdana" w:hAnsi="Verdana"/>
          <w:color w:val="4472C4" w:themeColor="accent1"/>
        </w:rPr>
        <w:t>@colombiacompra</w:t>
      </w:r>
      <w:r w:rsidRPr="0062457F">
        <w:rPr>
          <w:rFonts w:ascii="Verdana" w:hAnsi="Verdana"/>
          <w:color w:val="4472C4" w:themeColor="accent1"/>
        </w:rPr>
        <w:t xml:space="preserve"> </w:t>
      </w:r>
    </w:p>
    <w:p w14:paraId="30A06B63" w14:textId="77777777" w:rsidR="00C52593" w:rsidRPr="0062457F" w:rsidRDefault="00C52593" w:rsidP="00C52593">
      <w:pPr>
        <w:spacing w:after="0" w:line="240" w:lineRule="auto"/>
        <w:jc w:val="both"/>
        <w:rPr>
          <w:rFonts w:ascii="Verdana" w:hAnsi="Verdana"/>
        </w:rPr>
      </w:pPr>
      <w:r w:rsidRPr="0062457F">
        <w:rPr>
          <w:rFonts w:ascii="Verdana" w:hAnsi="Verdana"/>
        </w:rPr>
        <w:t xml:space="preserve">Facebook: </w:t>
      </w:r>
      <w:r w:rsidRPr="0062457F">
        <w:rPr>
          <w:rStyle w:val="Hipervnculo"/>
          <w:rFonts w:ascii="Verdana" w:hAnsi="Verdana"/>
          <w:color w:val="4472C4" w:themeColor="accent1"/>
        </w:rPr>
        <w:t>ColombiaCompraEficiente</w:t>
      </w:r>
    </w:p>
    <w:p w14:paraId="15447D0C" w14:textId="77777777" w:rsidR="00C52593" w:rsidRPr="0062457F" w:rsidRDefault="00C52593" w:rsidP="00C52593">
      <w:pPr>
        <w:spacing w:after="0" w:line="240" w:lineRule="auto"/>
        <w:jc w:val="both"/>
        <w:rPr>
          <w:rFonts w:ascii="Verdana" w:hAnsi="Verdana"/>
        </w:rPr>
      </w:pPr>
      <w:r w:rsidRPr="0062457F">
        <w:rPr>
          <w:rFonts w:ascii="Verdana" w:hAnsi="Verdana"/>
        </w:rPr>
        <w:t xml:space="preserve">LinkedIn: </w:t>
      </w:r>
      <w:r w:rsidRPr="0062457F">
        <w:rPr>
          <w:rStyle w:val="Hipervnculo"/>
          <w:rFonts w:ascii="Verdana" w:hAnsi="Verdana"/>
          <w:color w:val="4472C4" w:themeColor="accent1"/>
        </w:rPr>
        <w:t>Agencia Nacional de Contratación Pública - Colombia Compra Eficiente</w:t>
      </w:r>
      <w:r w:rsidRPr="0062457F">
        <w:rPr>
          <w:rFonts w:ascii="Verdana" w:hAnsi="Verdana"/>
          <w:color w:val="4472C4" w:themeColor="accent1"/>
        </w:rPr>
        <w:t xml:space="preserve"> </w:t>
      </w:r>
      <w:r w:rsidRPr="0062457F">
        <w:rPr>
          <w:rFonts w:ascii="Verdana" w:hAnsi="Verdana"/>
        </w:rPr>
        <w:t xml:space="preserve">Instagram: </w:t>
      </w:r>
      <w:r w:rsidRPr="0062457F">
        <w:rPr>
          <w:rStyle w:val="Hipervnculo"/>
          <w:rFonts w:ascii="Verdana" w:hAnsi="Verdana"/>
          <w:color w:val="4472C4" w:themeColor="accent1"/>
        </w:rPr>
        <w:t>@colombiacompraeficiente_cce</w:t>
      </w:r>
    </w:p>
    <w:p w14:paraId="7F7E0528" w14:textId="77777777" w:rsidR="00C52593" w:rsidRPr="0062457F" w:rsidRDefault="00C52593" w:rsidP="00C52593">
      <w:pPr>
        <w:widowControl w:val="0"/>
        <w:autoSpaceDE w:val="0"/>
        <w:autoSpaceDN w:val="0"/>
        <w:spacing w:after="0" w:line="276" w:lineRule="auto"/>
        <w:jc w:val="both"/>
        <w:rPr>
          <w:rFonts w:ascii="Verdana" w:hAnsi="Verdana" w:cs="Arial"/>
        </w:rPr>
      </w:pPr>
    </w:p>
    <w:p w14:paraId="2098BA88" w14:textId="77777777" w:rsidR="00C52593" w:rsidRPr="0062457F" w:rsidRDefault="00C52593" w:rsidP="00C52593">
      <w:pPr>
        <w:widowControl w:val="0"/>
        <w:autoSpaceDE w:val="0"/>
        <w:autoSpaceDN w:val="0"/>
        <w:spacing w:after="0" w:line="276" w:lineRule="auto"/>
        <w:jc w:val="both"/>
        <w:rPr>
          <w:rFonts w:ascii="Verdana" w:hAnsi="Verdana" w:cs="Arial"/>
          <w:lang w:val="es-ES_tradnl"/>
        </w:rPr>
      </w:pPr>
      <w:r w:rsidRPr="0062457F">
        <w:rPr>
          <w:rFonts w:ascii="Verdana" w:hAnsi="Verdana" w:cs="Arial"/>
        </w:rPr>
        <w:t xml:space="preserve">Este concepto tiene el alcance previsto en el artículo 28 del Código de Procedimiento Administrativo y de lo Contencioso Administrativo </w:t>
      </w:r>
      <w:r w:rsidRPr="0062457F">
        <w:rPr>
          <w:rFonts w:ascii="Verdana" w:hAnsi="Verdana" w:cs="Arial"/>
          <w:lang w:val="es-ES_tradnl"/>
        </w:rPr>
        <w:t>y las expresiones aquí utilizadas con mayúscula inicial deben ser entendidas con el significado que les otorga el artículo 2.2.1.1.1.3.1. del Decreto 1082 de 2015.</w:t>
      </w:r>
    </w:p>
    <w:p w14:paraId="1E38B592" w14:textId="77777777" w:rsidR="00C52593" w:rsidRPr="0062457F" w:rsidRDefault="00C52593" w:rsidP="00C52593">
      <w:pPr>
        <w:widowControl w:val="0"/>
        <w:autoSpaceDE w:val="0"/>
        <w:autoSpaceDN w:val="0"/>
        <w:spacing w:after="0" w:line="276" w:lineRule="auto"/>
        <w:jc w:val="both"/>
        <w:rPr>
          <w:rFonts w:ascii="Verdana" w:hAnsi="Verdana" w:cs="Arial"/>
        </w:rPr>
      </w:pPr>
    </w:p>
    <w:p w14:paraId="009A646E" w14:textId="77777777" w:rsidR="00C52593" w:rsidRPr="0062457F" w:rsidRDefault="00C52593" w:rsidP="00C52593">
      <w:pPr>
        <w:spacing w:after="0" w:line="240" w:lineRule="auto"/>
        <w:rPr>
          <w:rFonts w:ascii="Verdana" w:hAnsi="Verdana" w:cs="Arial"/>
          <w:lang w:eastAsia="es-CO"/>
        </w:rPr>
      </w:pPr>
      <w:r w:rsidRPr="0062457F">
        <w:rPr>
          <w:rFonts w:ascii="Verdana" w:eastAsia="Times New Roman" w:hAnsi="Verdana" w:cs="Arial"/>
          <w:lang w:eastAsia="es-CO"/>
        </w:rPr>
        <w:t>Atentamente,</w:t>
      </w:r>
      <w:r w:rsidRPr="0062457F">
        <w:rPr>
          <w:rFonts w:ascii="Verdana" w:hAnsi="Verdana" w:cs="Arial"/>
          <w:lang w:eastAsia="es-CO"/>
        </w:rPr>
        <w:t xml:space="preserve"> </w:t>
      </w:r>
    </w:p>
    <w:p w14:paraId="3E0B80E4" w14:textId="55BC44D9" w:rsidR="00C52593" w:rsidRPr="0017253A" w:rsidRDefault="0017253A" w:rsidP="0017253A">
      <w:pPr>
        <w:spacing w:line="276" w:lineRule="auto"/>
        <w:jc w:val="center"/>
        <w:rPr>
          <w:rFonts w:ascii="Verdana" w:hAnsi="Verdana"/>
          <w:noProof/>
          <w:lang w:val="es-MX"/>
        </w:rPr>
      </w:pPr>
      <w:r w:rsidRPr="0017253A">
        <w:rPr>
          <w:rFonts w:ascii="Verdana" w:hAnsi="Verdana"/>
          <w:noProof/>
          <w:lang w:val="es-MX"/>
        </w:rPr>
        <w:drawing>
          <wp:inline distT="0" distB="0" distL="0" distR="0" wp14:anchorId="2054F5D0" wp14:editId="5D786812">
            <wp:extent cx="3771900" cy="1400175"/>
            <wp:effectExtent l="0" t="0" r="0" b="9525"/>
            <wp:docPr id="14857201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0163" name="Imagen 2"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52593" w:rsidRPr="0062457F" w14:paraId="16555BDD" w14:textId="77777777" w:rsidTr="009F6321">
        <w:trPr>
          <w:trHeight w:val="315"/>
        </w:trPr>
        <w:tc>
          <w:tcPr>
            <w:tcW w:w="893" w:type="dxa"/>
            <w:vAlign w:val="center"/>
            <w:hideMark/>
          </w:tcPr>
          <w:p w14:paraId="5A5C75C2" w14:textId="77777777" w:rsidR="00C52593" w:rsidRPr="006061E0" w:rsidRDefault="00C52593" w:rsidP="009F6321">
            <w:pPr>
              <w:spacing w:after="255"/>
              <w:contextualSpacing/>
              <w:rPr>
                <w:rFonts w:ascii="Verdana" w:hAnsi="Verdana" w:cs="Arial"/>
                <w:sz w:val="16"/>
                <w:szCs w:val="16"/>
                <w:lang w:val="es-ES" w:eastAsia="es-ES"/>
              </w:rPr>
            </w:pPr>
            <w:r w:rsidRPr="006061E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81E6AFF" w14:textId="77777777" w:rsidR="00C52593" w:rsidRPr="0020681D" w:rsidRDefault="00C52593" w:rsidP="009F6321">
            <w:pPr>
              <w:spacing w:after="255"/>
              <w:contextualSpacing/>
              <w:rPr>
                <w:rFonts w:ascii="Verdana" w:eastAsia="Arial" w:hAnsi="Verdana" w:cs="Arial"/>
                <w:sz w:val="16"/>
                <w:szCs w:val="16"/>
              </w:rPr>
            </w:pPr>
            <w:r w:rsidRPr="0020681D">
              <w:rPr>
                <w:rStyle w:val="normaltextrun"/>
                <w:rFonts w:ascii="Verdana" w:hAnsi="Verdana"/>
                <w:sz w:val="16"/>
                <w:szCs w:val="16"/>
              </w:rPr>
              <w:t>Gloria Ximena Moreno Guio</w:t>
            </w:r>
          </w:p>
          <w:p w14:paraId="31FB721C" w14:textId="77777777" w:rsidR="00C52593" w:rsidRPr="0020681D" w:rsidRDefault="00C52593" w:rsidP="009F6321">
            <w:pPr>
              <w:spacing w:after="255"/>
              <w:contextualSpacing/>
              <w:rPr>
                <w:rFonts w:ascii="Verdana" w:eastAsia="Arial" w:hAnsi="Verdana" w:cs="Arial"/>
                <w:sz w:val="16"/>
                <w:szCs w:val="16"/>
              </w:rPr>
            </w:pPr>
            <w:r w:rsidRPr="0020681D">
              <w:rPr>
                <w:rStyle w:val="normaltextrun"/>
                <w:rFonts w:ascii="Verdana" w:eastAsia="Arial" w:hAnsi="Verdana" w:cs="Arial"/>
                <w:sz w:val="16"/>
                <w:szCs w:val="16"/>
              </w:rPr>
              <w:t>Contratista de la Subdirección de Gestión Contractual</w:t>
            </w:r>
          </w:p>
        </w:tc>
      </w:tr>
      <w:tr w:rsidR="00C52593" w:rsidRPr="0062457F" w14:paraId="3F2F405E" w14:textId="77777777" w:rsidTr="009F6321">
        <w:trPr>
          <w:trHeight w:val="330"/>
        </w:trPr>
        <w:tc>
          <w:tcPr>
            <w:tcW w:w="893" w:type="dxa"/>
            <w:vAlign w:val="center"/>
            <w:hideMark/>
          </w:tcPr>
          <w:p w14:paraId="63B1EFE5" w14:textId="77777777" w:rsidR="00C52593" w:rsidRPr="006061E0" w:rsidRDefault="00C52593" w:rsidP="009F6321">
            <w:pPr>
              <w:spacing w:after="255"/>
              <w:contextualSpacing/>
              <w:rPr>
                <w:rFonts w:ascii="Verdana" w:hAnsi="Verdana" w:cs="Arial"/>
                <w:sz w:val="16"/>
                <w:szCs w:val="16"/>
                <w:lang w:val="es-ES" w:eastAsia="es-ES"/>
              </w:rPr>
            </w:pPr>
            <w:r w:rsidRPr="006061E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C4D1063" w14:textId="77777777" w:rsidR="00C52593" w:rsidRPr="0020681D" w:rsidRDefault="00C52593" w:rsidP="009F6321">
            <w:pPr>
              <w:pStyle w:val="paragraph"/>
              <w:spacing w:before="0" w:beforeAutospacing="0" w:after="0" w:afterAutospacing="0"/>
              <w:contextualSpacing/>
              <w:textAlignment w:val="baseline"/>
              <w:rPr>
                <w:rStyle w:val="normaltextrun"/>
                <w:rFonts w:ascii="Verdana" w:hAnsi="Verdana" w:cs="Arial"/>
                <w:sz w:val="16"/>
                <w:szCs w:val="16"/>
                <w:lang w:val="es-ES"/>
              </w:rPr>
            </w:pPr>
            <w:r w:rsidRPr="0020681D">
              <w:rPr>
                <w:rStyle w:val="normaltextrun"/>
                <w:rFonts w:ascii="Verdana" w:hAnsi="Verdana" w:cs="Arial"/>
                <w:sz w:val="16"/>
                <w:szCs w:val="16"/>
                <w:lang w:val="es-ES"/>
              </w:rPr>
              <w:t>Adriana Katerine López Rodríguez</w:t>
            </w:r>
          </w:p>
          <w:p w14:paraId="737A8AE4" w14:textId="77777777" w:rsidR="00C52593" w:rsidRPr="0020681D" w:rsidRDefault="00C52593" w:rsidP="009F6321">
            <w:pPr>
              <w:pStyle w:val="paragraph"/>
              <w:spacing w:before="0" w:beforeAutospacing="0" w:after="0" w:afterAutospacing="0"/>
              <w:contextualSpacing/>
              <w:textAlignment w:val="baseline"/>
              <w:rPr>
                <w:rFonts w:ascii="Verdana" w:hAnsi="Verdana" w:cs="Segoe UI"/>
                <w:sz w:val="16"/>
                <w:szCs w:val="16"/>
              </w:rPr>
            </w:pPr>
            <w:r w:rsidRPr="0020681D">
              <w:rPr>
                <w:rStyle w:val="normaltextrun"/>
                <w:rFonts w:ascii="Verdana" w:hAnsi="Verdana" w:cs="Arial"/>
                <w:sz w:val="16"/>
                <w:szCs w:val="16"/>
                <w:lang w:val="es-ES"/>
              </w:rPr>
              <w:t>Contratista de la Subdirección de Gestión Contractual</w:t>
            </w:r>
            <w:r w:rsidRPr="0020681D">
              <w:rPr>
                <w:rStyle w:val="eop"/>
                <w:rFonts w:ascii="Verdana" w:eastAsiaTheme="majorEastAsia" w:hAnsi="Verdana" w:cs="Arial"/>
                <w:sz w:val="16"/>
                <w:szCs w:val="16"/>
              </w:rPr>
              <w:t> </w:t>
            </w:r>
          </w:p>
        </w:tc>
      </w:tr>
      <w:tr w:rsidR="00C52593" w:rsidRPr="0062457F" w14:paraId="495ADD46" w14:textId="77777777" w:rsidTr="009F6321">
        <w:trPr>
          <w:trHeight w:val="300"/>
        </w:trPr>
        <w:tc>
          <w:tcPr>
            <w:tcW w:w="893" w:type="dxa"/>
            <w:vAlign w:val="center"/>
            <w:hideMark/>
          </w:tcPr>
          <w:p w14:paraId="12C53396" w14:textId="77777777" w:rsidR="00C52593" w:rsidRPr="006061E0" w:rsidRDefault="00C52593" w:rsidP="009F6321">
            <w:pPr>
              <w:spacing w:after="255"/>
              <w:contextualSpacing/>
              <w:rPr>
                <w:rFonts w:ascii="Verdana" w:hAnsi="Verdana" w:cs="Arial"/>
                <w:sz w:val="16"/>
                <w:szCs w:val="16"/>
                <w:lang w:val="es-ES" w:eastAsia="es-ES"/>
              </w:rPr>
            </w:pPr>
            <w:r w:rsidRPr="006061E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258C860" w14:textId="77777777" w:rsidR="00C52593" w:rsidRPr="0020681D" w:rsidRDefault="00C52593" w:rsidP="009F6321">
            <w:pPr>
              <w:spacing w:after="255"/>
              <w:contextualSpacing/>
              <w:rPr>
                <w:rFonts w:ascii="Verdana" w:eastAsia="Calibri" w:hAnsi="Verdana" w:cs="Arial"/>
                <w:sz w:val="16"/>
                <w:szCs w:val="16"/>
                <w:lang w:val="pt-BR" w:eastAsia="es-ES"/>
              </w:rPr>
            </w:pPr>
            <w:r w:rsidRPr="0020681D">
              <w:rPr>
                <w:rFonts w:ascii="Verdana" w:eastAsia="Calibri" w:hAnsi="Verdana" w:cs="Arial"/>
                <w:sz w:val="16"/>
                <w:szCs w:val="16"/>
                <w:lang w:val="pt-BR" w:eastAsia="es-ES"/>
              </w:rPr>
              <w:t>Carolina Quintero Gacharná</w:t>
            </w:r>
          </w:p>
          <w:p w14:paraId="130BDE46" w14:textId="77777777" w:rsidR="00C52593" w:rsidRPr="0020681D" w:rsidRDefault="00C52593" w:rsidP="009F6321">
            <w:pPr>
              <w:spacing w:after="255"/>
              <w:contextualSpacing/>
              <w:rPr>
                <w:rFonts w:ascii="Verdana" w:eastAsia="Calibri" w:hAnsi="Verdana" w:cs="Arial"/>
                <w:sz w:val="16"/>
                <w:szCs w:val="16"/>
                <w:lang w:val="pt-BR" w:eastAsia="es-ES"/>
              </w:rPr>
            </w:pPr>
            <w:r w:rsidRPr="0020681D">
              <w:rPr>
                <w:rFonts w:ascii="Verdana" w:eastAsia="Calibri" w:hAnsi="Verdana" w:cs="Arial"/>
                <w:sz w:val="16"/>
                <w:szCs w:val="16"/>
                <w:lang w:eastAsia="es-ES"/>
              </w:rPr>
              <w:t>Subdirectora</w:t>
            </w:r>
            <w:r w:rsidRPr="0020681D">
              <w:rPr>
                <w:rFonts w:ascii="Verdana" w:eastAsia="Calibri" w:hAnsi="Verdana" w:cs="Arial"/>
                <w:sz w:val="16"/>
                <w:szCs w:val="16"/>
                <w:lang w:val="pt-BR" w:eastAsia="es-ES"/>
              </w:rPr>
              <w:t xml:space="preserve"> de Gestión </w:t>
            </w:r>
            <w:proofErr w:type="spellStart"/>
            <w:r w:rsidRPr="0020681D">
              <w:rPr>
                <w:rFonts w:ascii="Verdana" w:eastAsia="Calibri" w:hAnsi="Verdana" w:cs="Arial"/>
                <w:sz w:val="16"/>
                <w:szCs w:val="16"/>
                <w:lang w:val="pt-BR" w:eastAsia="es-ES"/>
              </w:rPr>
              <w:t>Contractual</w:t>
            </w:r>
            <w:proofErr w:type="spellEnd"/>
            <w:r w:rsidRPr="0020681D">
              <w:rPr>
                <w:rFonts w:ascii="Verdana" w:eastAsia="Calibri" w:hAnsi="Verdana" w:cs="Arial"/>
                <w:sz w:val="16"/>
                <w:szCs w:val="16"/>
                <w:lang w:val="pt-BR" w:eastAsia="es-ES"/>
              </w:rPr>
              <w:t xml:space="preserve"> ANCP – CCE</w:t>
            </w:r>
          </w:p>
        </w:tc>
      </w:tr>
    </w:tbl>
    <w:p w14:paraId="3DE7A8F6" w14:textId="77777777" w:rsidR="00C52593" w:rsidRPr="0062457F" w:rsidRDefault="00C52593" w:rsidP="00C52593">
      <w:pPr>
        <w:spacing w:after="0" w:line="240" w:lineRule="auto"/>
        <w:rPr>
          <w:rFonts w:ascii="Verdana" w:eastAsia="Times New Roman" w:hAnsi="Verdana" w:cs="Arial"/>
          <w:lang w:eastAsia="es-ES"/>
        </w:rPr>
      </w:pPr>
    </w:p>
    <w:p w14:paraId="7B49B9BC" w14:textId="77777777" w:rsidR="00C52593" w:rsidRPr="0062457F" w:rsidRDefault="00C52593" w:rsidP="00C52593">
      <w:pPr>
        <w:rPr>
          <w:rFonts w:ascii="Verdana" w:hAnsi="Verdana"/>
        </w:rPr>
      </w:pPr>
    </w:p>
    <w:bookmarkEnd w:id="0"/>
    <w:p w14:paraId="0FC61667" w14:textId="77777777" w:rsidR="00C52593" w:rsidRPr="0044528D" w:rsidRDefault="00C52593" w:rsidP="00E245AB">
      <w:pPr>
        <w:spacing w:after="0"/>
        <w:rPr>
          <w:rFonts w:ascii="Verdana" w:hAnsi="Verdana"/>
        </w:rPr>
      </w:pPr>
    </w:p>
    <w:sectPr w:rsidR="00C52593"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A385" w14:textId="77777777" w:rsidR="00C220E2" w:rsidRDefault="00C220E2" w:rsidP="004A1847">
      <w:pPr>
        <w:spacing w:after="0" w:line="240" w:lineRule="auto"/>
      </w:pPr>
      <w:r>
        <w:separator/>
      </w:r>
    </w:p>
  </w:endnote>
  <w:endnote w:type="continuationSeparator" w:id="0">
    <w:p w14:paraId="3FBFBC0F" w14:textId="77777777" w:rsidR="00C220E2" w:rsidRDefault="00C220E2" w:rsidP="004A1847">
      <w:pPr>
        <w:spacing w:after="0" w:line="240" w:lineRule="auto"/>
      </w:pPr>
      <w:r>
        <w:continuationSeparator/>
      </w:r>
    </w:p>
  </w:endnote>
  <w:endnote w:type="continuationNotice" w:id="1">
    <w:p w14:paraId="0BB7C409" w14:textId="77777777" w:rsidR="00C220E2" w:rsidRDefault="00C22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516D" w14:textId="77777777" w:rsidR="00C220E2" w:rsidRDefault="00C220E2" w:rsidP="004A1847">
      <w:pPr>
        <w:spacing w:after="0" w:line="240" w:lineRule="auto"/>
      </w:pPr>
      <w:r>
        <w:separator/>
      </w:r>
    </w:p>
  </w:footnote>
  <w:footnote w:type="continuationSeparator" w:id="0">
    <w:p w14:paraId="3030FECE" w14:textId="77777777" w:rsidR="00C220E2" w:rsidRDefault="00C220E2" w:rsidP="004A1847">
      <w:pPr>
        <w:spacing w:after="0" w:line="240" w:lineRule="auto"/>
      </w:pPr>
      <w:r>
        <w:continuationSeparator/>
      </w:r>
    </w:p>
  </w:footnote>
  <w:footnote w:type="continuationNotice" w:id="1">
    <w:p w14:paraId="77429376" w14:textId="77777777" w:rsidR="00C220E2" w:rsidRDefault="00C220E2">
      <w:pPr>
        <w:spacing w:after="0" w:line="240" w:lineRule="auto"/>
      </w:pPr>
    </w:p>
  </w:footnote>
  <w:footnote w:id="2">
    <w:p w14:paraId="7FEE60B3" w14:textId="77777777" w:rsidR="00C52593" w:rsidRPr="00BF08FA" w:rsidRDefault="00C52593" w:rsidP="00C52593">
      <w:pPr>
        <w:pStyle w:val="Textonotapie"/>
        <w:ind w:firstLine="708"/>
        <w:jc w:val="both"/>
        <w:rPr>
          <w:rStyle w:val="Hipervnculo1"/>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Texto del Proyecto de Ley 122 de 2020 Cámara. Exposición de motivos. Consultado el 29 de diciembre de 2021 en la página web: </w:t>
      </w:r>
      <w:hyperlink r:id="rId1" w:history="1">
        <w:r w:rsidRPr="00BF08FA">
          <w:rPr>
            <w:rStyle w:val="Hipervnculo1"/>
            <w:rFonts w:ascii="Arial" w:hAnsi="Arial" w:cs="Arial"/>
            <w:sz w:val="18"/>
            <w:szCs w:val="18"/>
          </w:rPr>
          <w:t>http://leyes.senado.gov.co/proyectos/index.php/textos-radicados-senado/p-ley-2020-2021/1957-proyecto-de-ley-161-de-2020</w:t>
        </w:r>
      </w:hyperlink>
      <w:r w:rsidRPr="00BF08FA">
        <w:rPr>
          <w:rStyle w:val="Hipervnculo1"/>
          <w:rFonts w:ascii="Arial" w:hAnsi="Arial" w:cs="Arial"/>
          <w:sz w:val="18"/>
          <w:szCs w:val="18"/>
        </w:rPr>
        <w:t xml:space="preserve"> </w:t>
      </w:r>
    </w:p>
    <w:p w14:paraId="7700BBEB" w14:textId="77777777" w:rsidR="00C52593" w:rsidRPr="00BF08FA" w:rsidRDefault="00C52593" w:rsidP="00C52593">
      <w:pPr>
        <w:pStyle w:val="Textonotapie"/>
        <w:ind w:firstLine="708"/>
        <w:jc w:val="both"/>
        <w:rPr>
          <w:rFonts w:ascii="Arial" w:hAnsi="Arial" w:cs="Arial"/>
          <w:sz w:val="18"/>
          <w:szCs w:val="18"/>
        </w:rPr>
      </w:pPr>
    </w:p>
  </w:footnote>
  <w:footnote w:id="3">
    <w:p w14:paraId="7236212D" w14:textId="77777777" w:rsidR="00C52593" w:rsidRPr="00BF08FA" w:rsidRDefault="00C52593" w:rsidP="00C52593">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2 al 29.</w:t>
      </w:r>
    </w:p>
    <w:p w14:paraId="21A3B076" w14:textId="77777777" w:rsidR="00C52593" w:rsidRPr="00BF08FA" w:rsidRDefault="00C52593" w:rsidP="00C52593">
      <w:pPr>
        <w:pStyle w:val="Textonotapie"/>
        <w:ind w:firstLine="709"/>
        <w:jc w:val="both"/>
        <w:rPr>
          <w:rFonts w:ascii="Arial" w:hAnsi="Arial" w:cs="Arial"/>
          <w:sz w:val="18"/>
          <w:szCs w:val="18"/>
          <w:lang w:val="es-ES"/>
        </w:rPr>
      </w:pPr>
    </w:p>
  </w:footnote>
  <w:footnote w:id="4">
    <w:p w14:paraId="1FB5751D" w14:textId="77777777" w:rsidR="00C52593" w:rsidRPr="00BF08FA" w:rsidRDefault="00C52593" w:rsidP="00C52593">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30 al 36.</w:t>
      </w:r>
    </w:p>
    <w:p w14:paraId="0F5A8FA3" w14:textId="77777777" w:rsidR="00C52593" w:rsidRPr="00BF08FA" w:rsidRDefault="00C52593" w:rsidP="00C52593">
      <w:pPr>
        <w:pStyle w:val="Textonotapie"/>
        <w:ind w:firstLine="709"/>
        <w:jc w:val="both"/>
        <w:rPr>
          <w:rFonts w:ascii="Arial" w:hAnsi="Arial" w:cs="Arial"/>
          <w:sz w:val="18"/>
          <w:szCs w:val="18"/>
          <w:lang w:val="es-ES"/>
        </w:rPr>
      </w:pPr>
    </w:p>
  </w:footnote>
  <w:footnote w:id="5">
    <w:p w14:paraId="2045193D" w14:textId="77777777" w:rsidR="00C52593" w:rsidRPr="00BF08FA" w:rsidRDefault="00C52593" w:rsidP="00C52593">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37 al 45.</w:t>
      </w:r>
    </w:p>
    <w:p w14:paraId="15E5F568" w14:textId="77777777" w:rsidR="00C52593" w:rsidRPr="00BF08FA" w:rsidRDefault="00C52593" w:rsidP="00C52593">
      <w:pPr>
        <w:pStyle w:val="Textonotapie"/>
        <w:ind w:firstLine="709"/>
        <w:jc w:val="both"/>
        <w:rPr>
          <w:rFonts w:ascii="Arial" w:hAnsi="Arial" w:cs="Arial"/>
          <w:sz w:val="18"/>
          <w:szCs w:val="18"/>
          <w:lang w:val="es-ES"/>
        </w:rPr>
      </w:pPr>
    </w:p>
  </w:footnote>
  <w:footnote w:id="6">
    <w:p w14:paraId="32044BC2" w14:textId="77777777" w:rsidR="00C52593" w:rsidRPr="00BF08FA" w:rsidRDefault="00C52593" w:rsidP="00C52593">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46 al 73.</w:t>
      </w:r>
    </w:p>
    <w:p w14:paraId="69DB150F" w14:textId="77777777" w:rsidR="00C52593" w:rsidRPr="00BF08FA" w:rsidRDefault="00C52593" w:rsidP="00C52593">
      <w:pPr>
        <w:pStyle w:val="Textonotapie"/>
        <w:ind w:firstLine="709"/>
        <w:jc w:val="both"/>
        <w:rPr>
          <w:rFonts w:ascii="Arial" w:hAnsi="Arial" w:cs="Arial"/>
          <w:sz w:val="18"/>
          <w:szCs w:val="18"/>
          <w:lang w:val="es-ES"/>
        </w:rPr>
      </w:pPr>
    </w:p>
  </w:footnote>
  <w:footnote w:id="7">
    <w:p w14:paraId="14C3DA83" w14:textId="77777777" w:rsidR="00C52593" w:rsidRPr="00BF08FA" w:rsidRDefault="00C52593" w:rsidP="00C52593">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74 al 83.</w:t>
      </w:r>
    </w:p>
    <w:p w14:paraId="38A282F2" w14:textId="77777777" w:rsidR="00C52593" w:rsidRPr="00BF08FA" w:rsidRDefault="00C52593" w:rsidP="00C52593">
      <w:pPr>
        <w:pStyle w:val="Textonotapie"/>
        <w:ind w:firstLine="709"/>
        <w:jc w:val="both"/>
        <w:rPr>
          <w:rFonts w:ascii="Arial" w:hAnsi="Arial" w:cs="Arial"/>
          <w:sz w:val="18"/>
          <w:szCs w:val="18"/>
          <w:lang w:val="es-ES"/>
        </w:rPr>
      </w:pPr>
    </w:p>
  </w:footnote>
  <w:footnote w:id="8">
    <w:p w14:paraId="4D864FF6" w14:textId="77777777" w:rsidR="00C52593" w:rsidRPr="00BF08FA" w:rsidRDefault="00C52593" w:rsidP="00C52593">
      <w:pPr>
        <w:pStyle w:val="Textonotapie"/>
        <w:ind w:firstLine="708"/>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bookmarkStart w:id="4" w:name="_Hlk63862868"/>
      <w:r w:rsidRPr="00BF08FA">
        <w:rPr>
          <w:rFonts w:ascii="Arial" w:hAnsi="Arial" w:cs="Arial"/>
          <w:sz w:val="18"/>
          <w:szCs w:val="18"/>
        </w:rPr>
        <w:t xml:space="preserve">CONGRESO DE LA REPÚBLICA. Gaceta No. 670 del 11 de agosto de 2020. Exposición de motivos del Proyecto de Ley No. 122 de 2020 Cámara. p. 13. </w:t>
      </w:r>
      <w:bookmarkEnd w:id="4"/>
    </w:p>
  </w:footnote>
  <w:footnote w:id="9">
    <w:p w14:paraId="34B6663C" w14:textId="77777777" w:rsidR="00C52593" w:rsidRPr="00BF08FA" w:rsidRDefault="00C52593" w:rsidP="00C52593">
      <w:pPr>
        <w:pStyle w:val="Textonotapie"/>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547CEBC7"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primero. La definición de emprendimientos y empresas de mujeres se reglamentará por el gobierno nacional”.  </w:t>
      </w:r>
    </w:p>
  </w:footnote>
  <w:footnote w:id="10">
    <w:p w14:paraId="576E2548" w14:textId="77777777" w:rsidR="00C52593" w:rsidRPr="00BF08FA" w:rsidRDefault="00C52593" w:rsidP="00C52593">
      <w:pPr>
        <w:pStyle w:val="Textonotapie"/>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BF08FA">
        <w:rPr>
          <w:rFonts w:ascii="Arial" w:hAnsi="Arial" w:cs="Arial"/>
          <w:sz w:val="18"/>
          <w:szCs w:val="18"/>
        </w:rPr>
        <w:t>Mipyme</w:t>
      </w:r>
      <w:proofErr w:type="spellEnd"/>
      <w:r w:rsidRPr="00BF08FA">
        <w:rPr>
          <w:rFonts w:ascii="Arial" w:hAnsi="Arial" w:cs="Arial"/>
          <w:sz w:val="18"/>
          <w:szCs w:val="18"/>
        </w:rPr>
        <w:t xml:space="preserve"> y grandes almacenes; los criterios diferenciales para </w:t>
      </w:r>
      <w:proofErr w:type="spellStart"/>
      <w:r w:rsidRPr="00BF08FA">
        <w:rPr>
          <w:rFonts w:ascii="Arial" w:hAnsi="Arial" w:cs="Arial"/>
          <w:sz w:val="18"/>
          <w:szCs w:val="18"/>
        </w:rPr>
        <w:t>Mipyme</w:t>
      </w:r>
      <w:proofErr w:type="spellEnd"/>
      <w:r w:rsidRPr="00BF08FA">
        <w:rPr>
          <w:rFonts w:ascii="Arial" w:hAnsi="Arial" w:cs="Arial"/>
          <w:sz w:val="18"/>
          <w:szCs w:val="18"/>
        </w:rPr>
        <w:t xml:space="preserve">, y la definición y los criterios diferenciales para los emprendimientos y empresas de mujeres; las convocatorias limitadas a </w:t>
      </w:r>
      <w:proofErr w:type="spellStart"/>
      <w:r w:rsidRPr="00BF08FA">
        <w:rPr>
          <w:rFonts w:ascii="Arial" w:hAnsi="Arial" w:cs="Arial"/>
          <w:sz w:val="18"/>
          <w:szCs w:val="18"/>
        </w:rPr>
        <w:t>Mipyme</w:t>
      </w:r>
      <w:proofErr w:type="spellEnd"/>
      <w:r w:rsidRPr="00BF08FA">
        <w:rPr>
          <w:rFonts w:ascii="Arial" w:hAnsi="Arial" w:cs="Arial"/>
          <w:sz w:val="18"/>
          <w:szCs w:val="18"/>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37991BE4" w14:textId="77777777" w:rsidR="00C52593" w:rsidRPr="00BF08FA" w:rsidRDefault="00C52593" w:rsidP="00C52593">
      <w:pPr>
        <w:pStyle w:val="Textonotapie"/>
        <w:ind w:firstLine="709"/>
        <w:jc w:val="both"/>
        <w:rPr>
          <w:rFonts w:ascii="Arial" w:hAnsi="Arial" w:cs="Arial"/>
          <w:sz w:val="18"/>
          <w:szCs w:val="18"/>
        </w:rPr>
      </w:pPr>
    </w:p>
  </w:footnote>
  <w:footnote w:id="11">
    <w:p w14:paraId="07CFC06A" w14:textId="77777777" w:rsidR="00C52593" w:rsidRPr="00BF584F" w:rsidRDefault="00C52593" w:rsidP="00C52593">
      <w:pPr>
        <w:pStyle w:val="NormalWeb"/>
        <w:shd w:val="clear" w:color="auto" w:fill="FFFFFF"/>
        <w:spacing w:before="120" w:after="0"/>
        <w:ind w:firstLine="709"/>
        <w:jc w:val="both"/>
        <w:rPr>
          <w:rFonts w:ascii="Arial" w:hAnsi="Arial" w:cs="Arial"/>
          <w:sz w:val="18"/>
          <w:szCs w:val="18"/>
        </w:rPr>
      </w:pPr>
      <w:r w:rsidRPr="00BF584F">
        <w:rPr>
          <w:rStyle w:val="Refdenotaalpie"/>
          <w:rFonts w:ascii="Arial" w:hAnsi="Arial" w:cs="Arial"/>
          <w:sz w:val="18"/>
          <w:szCs w:val="18"/>
        </w:rPr>
        <w:footnoteRef/>
      </w:r>
      <w:r w:rsidRPr="00BF584F">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BF584F">
          <w:rPr>
            <w:rStyle w:val="Hipervnculo1"/>
            <w:rFonts w:ascii="Arial" w:hAnsi="Arial" w:cs="Arial"/>
            <w:color w:val="auto"/>
            <w:sz w:val="18"/>
            <w:szCs w:val="18"/>
          </w:rPr>
          <w:t>5 </w:t>
        </w:r>
      </w:hyperlink>
      <w:r w:rsidRPr="00BF584F">
        <w:rPr>
          <w:rFonts w:ascii="Arial" w:hAnsi="Arial" w:cs="Arial"/>
          <w:sz w:val="18"/>
          <w:szCs w:val="18"/>
        </w:rPr>
        <w:t>de la Sección 1 del Capítulo 2 del Título 1 de la Parte 2 del Libro 2, así como los artículos </w:t>
      </w:r>
      <w:hyperlink r:id="rId3" w:anchor="2.2.1.2.4.2.2" w:history="1">
        <w:r w:rsidRPr="00BF584F">
          <w:rPr>
            <w:rStyle w:val="Hipervnculo1"/>
            <w:rFonts w:ascii="Arial" w:hAnsi="Arial" w:cs="Arial"/>
            <w:color w:val="auto"/>
            <w:sz w:val="18"/>
            <w:szCs w:val="18"/>
          </w:rPr>
          <w:t>2.2.1.2.4.2.2</w:t>
        </w:r>
      </w:hyperlink>
      <w:r w:rsidRPr="00BF584F">
        <w:rPr>
          <w:rFonts w:ascii="Arial" w:hAnsi="Arial" w:cs="Arial"/>
          <w:sz w:val="18"/>
          <w:szCs w:val="18"/>
        </w:rPr>
        <w:t>., </w:t>
      </w:r>
      <w:hyperlink r:id="rId4" w:anchor="2.2.1.2.4.2.3" w:history="1">
        <w:r w:rsidRPr="00BF584F">
          <w:rPr>
            <w:rStyle w:val="Hipervnculo1"/>
            <w:rFonts w:ascii="Arial" w:hAnsi="Arial" w:cs="Arial"/>
            <w:color w:val="auto"/>
            <w:sz w:val="18"/>
            <w:szCs w:val="18"/>
          </w:rPr>
          <w:t>2.2.1.2.4.2.3</w:t>
        </w:r>
      </w:hyperlink>
      <w:r w:rsidRPr="00BF584F">
        <w:rPr>
          <w:rFonts w:ascii="Arial" w:hAnsi="Arial" w:cs="Arial"/>
          <w:sz w:val="18"/>
          <w:szCs w:val="18"/>
        </w:rPr>
        <w:t>., </w:t>
      </w:r>
      <w:hyperlink r:id="rId5" w:anchor="2.2.1.2.4.2.4" w:history="1">
        <w:r w:rsidRPr="00BF584F">
          <w:rPr>
            <w:rStyle w:val="Hipervnculo1"/>
            <w:rFonts w:ascii="Arial" w:hAnsi="Arial" w:cs="Arial"/>
            <w:color w:val="auto"/>
            <w:sz w:val="18"/>
            <w:szCs w:val="18"/>
          </w:rPr>
          <w:t>2.2.1.2.4.2.4</w:t>
        </w:r>
      </w:hyperlink>
      <w:r w:rsidRPr="00BF584F">
        <w:rPr>
          <w:rFonts w:ascii="Arial" w:hAnsi="Arial" w:cs="Arial"/>
          <w:sz w:val="18"/>
          <w:szCs w:val="18"/>
        </w:rPr>
        <w:t>., </w:t>
      </w:r>
      <w:hyperlink r:id="rId6" w:anchor="2.2.1.2.1.2.2" w:history="1">
        <w:r w:rsidRPr="00BF584F">
          <w:rPr>
            <w:rStyle w:val="Hipervnculo1"/>
            <w:rFonts w:ascii="Arial" w:hAnsi="Arial" w:cs="Arial"/>
            <w:color w:val="auto"/>
            <w:sz w:val="18"/>
            <w:szCs w:val="18"/>
          </w:rPr>
          <w:t>2.2.1.2.1.2.2</w:t>
        </w:r>
      </w:hyperlink>
      <w:r w:rsidRPr="00BF584F">
        <w:rPr>
          <w:rFonts w:ascii="Arial" w:hAnsi="Arial" w:cs="Arial"/>
          <w:sz w:val="18"/>
          <w:szCs w:val="18"/>
        </w:rPr>
        <w:t xml:space="preserve"> y </w:t>
      </w:r>
      <w:hyperlink r:id="rId7" w:anchor="2.2.1.2.4.2.8" w:history="1">
        <w:r w:rsidRPr="00BF584F">
          <w:rPr>
            <w:rStyle w:val="Hipervnculo1"/>
            <w:rFonts w:ascii="Arial" w:hAnsi="Arial" w:cs="Arial"/>
            <w:color w:val="auto"/>
            <w:sz w:val="18"/>
            <w:szCs w:val="18"/>
          </w:rPr>
          <w:t>2.2.1.2.4.2.8</w:t>
        </w:r>
      </w:hyperlink>
      <w:r w:rsidRPr="00BF584F">
        <w:rPr>
          <w:rFonts w:ascii="Arial" w:hAnsi="Arial" w:cs="Arial"/>
          <w:sz w:val="18"/>
          <w:szCs w:val="18"/>
        </w:rPr>
        <w:t>.; adiciona los artículos </w:t>
      </w:r>
      <w:hyperlink r:id="rId8" w:anchor="2.2.1.2.4.2.14" w:history="1">
        <w:r w:rsidRPr="00BF584F">
          <w:rPr>
            <w:rStyle w:val="Hipervnculo1"/>
            <w:rFonts w:ascii="Arial" w:hAnsi="Arial" w:cs="Arial"/>
            <w:color w:val="auto"/>
            <w:sz w:val="18"/>
            <w:szCs w:val="18"/>
          </w:rPr>
          <w:t>2.2.1.2.4.2.14</w:t>
        </w:r>
      </w:hyperlink>
      <w:r w:rsidRPr="00BF584F">
        <w:rPr>
          <w:rFonts w:ascii="Arial" w:hAnsi="Arial" w:cs="Arial"/>
          <w:sz w:val="18"/>
          <w:szCs w:val="18"/>
        </w:rPr>
        <w:t>., </w:t>
      </w:r>
      <w:hyperlink r:id="rId9" w:anchor="2.2.1.2.4.2.15" w:history="1">
        <w:r w:rsidRPr="00BF584F">
          <w:rPr>
            <w:rStyle w:val="Hipervnculo1"/>
            <w:rFonts w:ascii="Arial" w:hAnsi="Arial" w:cs="Arial"/>
            <w:color w:val="auto"/>
            <w:sz w:val="18"/>
            <w:szCs w:val="18"/>
          </w:rPr>
          <w:t>2.2.1.2.4.2.15</w:t>
        </w:r>
      </w:hyperlink>
      <w:r w:rsidRPr="00BF584F">
        <w:rPr>
          <w:rFonts w:ascii="Arial" w:hAnsi="Arial" w:cs="Arial"/>
          <w:sz w:val="18"/>
          <w:szCs w:val="18"/>
        </w:rPr>
        <w:t>., </w:t>
      </w:r>
      <w:hyperlink r:id="rId10" w:anchor="2.2.1.2.4.2.16" w:history="1">
        <w:r w:rsidRPr="00BF584F">
          <w:rPr>
            <w:rStyle w:val="Hipervnculo1"/>
            <w:rFonts w:ascii="Arial" w:hAnsi="Arial" w:cs="Arial"/>
            <w:color w:val="auto"/>
            <w:sz w:val="18"/>
            <w:szCs w:val="18"/>
          </w:rPr>
          <w:t>2.2.1.2.4.2.16</w:t>
        </w:r>
      </w:hyperlink>
      <w:r w:rsidRPr="00BF584F">
        <w:rPr>
          <w:rFonts w:ascii="Arial" w:hAnsi="Arial" w:cs="Arial"/>
          <w:sz w:val="18"/>
          <w:szCs w:val="18"/>
        </w:rPr>
        <w:t>., </w:t>
      </w:r>
      <w:hyperlink r:id="rId11" w:anchor="2.2.1.2.4.2.17" w:history="1">
        <w:r w:rsidRPr="00BF584F">
          <w:rPr>
            <w:rStyle w:val="Hipervnculo1"/>
            <w:rFonts w:ascii="Arial" w:hAnsi="Arial" w:cs="Arial"/>
            <w:color w:val="auto"/>
            <w:sz w:val="18"/>
            <w:szCs w:val="18"/>
          </w:rPr>
          <w:t>2.2.1.2.4.2.17</w:t>
        </w:r>
      </w:hyperlink>
      <w:r w:rsidRPr="00BF584F">
        <w:rPr>
          <w:rFonts w:ascii="Arial" w:hAnsi="Arial" w:cs="Arial"/>
          <w:sz w:val="18"/>
          <w:szCs w:val="18"/>
        </w:rPr>
        <w:t>. y </w:t>
      </w:r>
      <w:hyperlink r:id="rId12" w:anchor="2.2.1.2.4.2.18" w:history="1">
        <w:r w:rsidRPr="00BF584F">
          <w:rPr>
            <w:rStyle w:val="Hipervnculo1"/>
            <w:rFonts w:ascii="Arial" w:hAnsi="Arial" w:cs="Arial"/>
            <w:color w:val="auto"/>
            <w:sz w:val="18"/>
            <w:szCs w:val="18"/>
          </w:rPr>
          <w:t>2.2.1.2.4.2.18</w:t>
        </w:r>
      </w:hyperlink>
      <w:r w:rsidRPr="00BF584F">
        <w:rPr>
          <w:rFonts w:ascii="Arial" w:hAnsi="Arial" w:cs="Arial"/>
          <w:sz w:val="18"/>
          <w:szCs w:val="18"/>
        </w:rPr>
        <w:t>.; adiciona un </w:t>
      </w:r>
      <w:hyperlink r:id="rId13" w:anchor="2.2.1.2.3.1.9.p" w:history="1">
        <w:r w:rsidRPr="00BF584F">
          <w:rPr>
            <w:rStyle w:val="Hipervnculo1"/>
            <w:rFonts w:ascii="Arial" w:hAnsi="Arial" w:cs="Arial"/>
            <w:color w:val="auto"/>
            <w:sz w:val="18"/>
            <w:szCs w:val="18"/>
          </w:rPr>
          <w:t>parágrafo </w:t>
        </w:r>
      </w:hyperlink>
      <w:r w:rsidRPr="00BF584F">
        <w:rPr>
          <w:rFonts w:ascii="Arial" w:hAnsi="Arial" w:cs="Arial"/>
          <w:sz w:val="18"/>
          <w:szCs w:val="18"/>
        </w:rPr>
        <w:t>al artículo </w:t>
      </w:r>
      <w:hyperlink r:id="rId14" w:anchor="2.2.1.2.3.1.9" w:history="1">
        <w:r w:rsidRPr="00BF584F">
          <w:rPr>
            <w:rStyle w:val="Hipervnculo1"/>
            <w:rFonts w:ascii="Arial" w:hAnsi="Arial" w:cs="Arial"/>
            <w:color w:val="auto"/>
            <w:sz w:val="18"/>
            <w:szCs w:val="18"/>
          </w:rPr>
          <w:t>2.2.1.2.3.1.9</w:t>
        </w:r>
      </w:hyperlink>
      <w:r w:rsidRPr="00BF584F">
        <w:rPr>
          <w:rFonts w:ascii="Arial" w:hAnsi="Arial" w:cs="Arial"/>
          <w:sz w:val="18"/>
          <w:szCs w:val="18"/>
        </w:rPr>
        <w:t>; y deroga el artículo </w:t>
      </w:r>
      <w:hyperlink r:id="rId15" w:anchor="2.2.1.1.2.2.9" w:history="1">
        <w:r w:rsidRPr="00BF584F">
          <w:rPr>
            <w:rStyle w:val="Hipervnculo1"/>
            <w:rFonts w:ascii="Arial" w:hAnsi="Arial" w:cs="Arial"/>
            <w:color w:val="auto"/>
            <w:sz w:val="18"/>
            <w:szCs w:val="18"/>
          </w:rPr>
          <w:t>2.2.1.1.2.2.9</w:t>
        </w:r>
      </w:hyperlink>
      <w:r w:rsidRPr="00BF584F">
        <w:rPr>
          <w:rFonts w:ascii="Arial" w:hAnsi="Arial" w:cs="Arial"/>
          <w:sz w:val="18"/>
          <w:szCs w:val="18"/>
        </w:rPr>
        <w:t>. del Decreto 1082 de 2015, Único Reglamentario del Sector Administrativo de Planeación Nacional.</w:t>
      </w:r>
    </w:p>
    <w:p w14:paraId="48155A08" w14:textId="77777777" w:rsidR="00C52593" w:rsidRPr="00BF08FA" w:rsidRDefault="00C52593" w:rsidP="00C52593">
      <w:pPr>
        <w:pStyle w:val="NormalWeb"/>
        <w:shd w:val="clear" w:color="auto" w:fill="FFFFFF"/>
        <w:spacing w:before="120" w:after="0"/>
        <w:jc w:val="both"/>
        <w:rPr>
          <w:rFonts w:ascii="Arial" w:hAnsi="Arial" w:cs="Arial"/>
          <w:sz w:val="18"/>
          <w:szCs w:val="18"/>
        </w:rPr>
      </w:pPr>
      <w:r w:rsidRPr="00BF08FA">
        <w:rPr>
          <w:rFonts w:ascii="Arial" w:hAnsi="Arial" w:cs="Arial"/>
          <w:b/>
          <w:sz w:val="18"/>
          <w:szCs w:val="18"/>
        </w:rPr>
        <w:t> </w:t>
      </w:r>
      <w:r w:rsidRPr="00BF08FA">
        <w:rPr>
          <w:rFonts w:ascii="Arial" w:hAnsi="Arial" w:cs="Arial"/>
          <w:b/>
          <w:sz w:val="18"/>
          <w:szCs w:val="18"/>
        </w:rPr>
        <w:tab/>
      </w:r>
      <w:r w:rsidRPr="00BF08FA">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62BAF3B" w14:textId="77777777" w:rsidR="00C52593" w:rsidRPr="00BF08FA" w:rsidRDefault="00C52593" w:rsidP="00C52593">
      <w:pPr>
        <w:pStyle w:val="NormalWeb"/>
        <w:shd w:val="clear" w:color="auto" w:fill="FFFFFF"/>
        <w:spacing w:before="120" w:after="0"/>
        <w:jc w:val="both"/>
        <w:rPr>
          <w:rFonts w:ascii="Arial" w:hAnsi="Arial" w:cs="Arial"/>
          <w:sz w:val="18"/>
          <w:szCs w:val="18"/>
        </w:rPr>
      </w:pPr>
      <w:r w:rsidRPr="00BF08FA">
        <w:rPr>
          <w:rFonts w:ascii="Arial" w:hAnsi="Arial" w:cs="Arial"/>
          <w:sz w:val="18"/>
          <w:szCs w:val="18"/>
        </w:rPr>
        <w:t> </w:t>
      </w:r>
      <w:r w:rsidRPr="00BF08FA">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04EE71D5" w14:textId="77777777" w:rsidR="00C52593" w:rsidRPr="00BF08FA" w:rsidRDefault="00C52593" w:rsidP="00C52593">
      <w:pPr>
        <w:pStyle w:val="Textonotapie"/>
        <w:spacing w:before="120"/>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4A91B48C"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1. Tiempo de experiencia. </w:t>
      </w:r>
    </w:p>
    <w:p w14:paraId="52C8333A"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2. Número de contratos para la acreditación de la experiencia. </w:t>
      </w:r>
    </w:p>
    <w:p w14:paraId="65622623"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3. Índices de capacidad financiera. </w:t>
      </w:r>
    </w:p>
    <w:p w14:paraId="015E0667"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4. Índices de capacidad organizacional. </w:t>
      </w:r>
    </w:p>
    <w:p w14:paraId="0F28504C"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5. Valor de la garantía de seriedad de la oferta. </w:t>
      </w:r>
    </w:p>
    <w:p w14:paraId="189D33E7"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1DCDE0D"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13F7299"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A1C3FE2"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18CB94F3" w14:textId="77777777" w:rsidR="00C52593" w:rsidRPr="00BF08FA" w:rsidRDefault="00C52593" w:rsidP="00C52593">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2. Los incentivos contractuales para las empresas y emprendimientos de mujeres no excluyen la aplicación de los criterios diferenciales para </w:t>
      </w:r>
      <w:proofErr w:type="spellStart"/>
      <w:r w:rsidRPr="00BF08FA">
        <w:rPr>
          <w:rFonts w:ascii="Arial" w:hAnsi="Arial" w:cs="Arial"/>
          <w:sz w:val="18"/>
          <w:szCs w:val="18"/>
        </w:rPr>
        <w:t>Mipyme</w:t>
      </w:r>
      <w:proofErr w:type="spellEnd"/>
      <w:r w:rsidRPr="00BF08FA">
        <w:rPr>
          <w:rFonts w:ascii="Arial" w:hAnsi="Arial" w:cs="Arial"/>
          <w:sz w:val="18"/>
          <w:szCs w:val="18"/>
        </w:rPr>
        <w:t xml:space="preserve"> en el sistema de compras públicas”.  </w:t>
      </w:r>
    </w:p>
  </w:footnote>
  <w:footnote w:id="13">
    <w:p w14:paraId="551DEB91" w14:textId="77777777" w:rsidR="00C52593" w:rsidRPr="00BF08FA" w:rsidRDefault="00C52593" w:rsidP="00C52593">
      <w:pPr>
        <w:pStyle w:val="Textonotapie"/>
        <w:ind w:firstLine="708"/>
        <w:jc w:val="both"/>
        <w:rPr>
          <w:rFonts w:ascii="Arial" w:hAnsi="Arial" w:cs="Arial"/>
          <w:sz w:val="18"/>
          <w:szCs w:val="18"/>
          <w:lang w:val="es-CO"/>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77E309D7" w14:textId="77777777" w:rsidR="00C52593" w:rsidRPr="00BF08FA" w:rsidRDefault="00C52593" w:rsidP="00C52593">
      <w:pPr>
        <w:pStyle w:val="Textonotapie"/>
        <w:ind w:firstLine="708"/>
        <w:jc w:val="both"/>
        <w:rPr>
          <w:rFonts w:ascii="Arial" w:hAnsi="Arial" w:cs="Arial"/>
          <w:sz w:val="18"/>
          <w:szCs w:val="18"/>
        </w:rPr>
      </w:pPr>
    </w:p>
  </w:footnote>
  <w:footnote w:id="14">
    <w:p w14:paraId="5BFD7A16" w14:textId="77777777" w:rsidR="00C52593" w:rsidRPr="00BF08FA" w:rsidRDefault="00C52593" w:rsidP="00C52593">
      <w:pPr>
        <w:pStyle w:val="Textonotapie"/>
        <w:ind w:firstLine="708"/>
        <w:contextualSpacing/>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Los conceptos indicados pueden consultarse en el siguiente enlace: </w:t>
      </w:r>
      <w:hyperlink r:id="rId16" w:history="1">
        <w:r w:rsidRPr="00BF08FA">
          <w:rPr>
            <w:rStyle w:val="Hipervnculo"/>
            <w:rFonts w:ascii="Arial" w:hAnsi="Arial" w:cs="Arial"/>
            <w:sz w:val="18"/>
            <w:szCs w:val="18"/>
          </w:rPr>
          <w:t>https://relatoria.colombiacompra.gov.co/busqueda/conceptos</w:t>
        </w:r>
      </w:hyperlink>
      <w:r w:rsidRPr="00BF08FA">
        <w:rPr>
          <w:rFonts w:ascii="Arial" w:hAnsi="Arial" w:cs="Arial"/>
          <w:sz w:val="18"/>
          <w:szCs w:val="18"/>
        </w:rPr>
        <w:t>.</w:t>
      </w:r>
    </w:p>
    <w:p w14:paraId="264176EF" w14:textId="77777777" w:rsidR="00C52593" w:rsidRPr="00BF08FA" w:rsidRDefault="00C52593" w:rsidP="00C52593">
      <w:pPr>
        <w:pStyle w:val="Textonotapie"/>
        <w:ind w:firstLine="708"/>
        <w:contextualSpacing/>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355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1E8B"/>
    <w:rsid w:val="00061B2A"/>
    <w:rsid w:val="00082362"/>
    <w:rsid w:val="000A683E"/>
    <w:rsid w:val="000B19B9"/>
    <w:rsid w:val="000B39FB"/>
    <w:rsid w:val="000D0334"/>
    <w:rsid w:val="000E2066"/>
    <w:rsid w:val="000F6486"/>
    <w:rsid w:val="00125105"/>
    <w:rsid w:val="00127233"/>
    <w:rsid w:val="0017253A"/>
    <w:rsid w:val="001C6D1A"/>
    <w:rsid w:val="001C7195"/>
    <w:rsid w:val="001E4177"/>
    <w:rsid w:val="001F7DC6"/>
    <w:rsid w:val="00206DA1"/>
    <w:rsid w:val="00231D92"/>
    <w:rsid w:val="0023437A"/>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45C0E"/>
    <w:rsid w:val="00374F5E"/>
    <w:rsid w:val="00377E3E"/>
    <w:rsid w:val="003A26D1"/>
    <w:rsid w:val="003A779E"/>
    <w:rsid w:val="003D0F4D"/>
    <w:rsid w:val="003D5B0D"/>
    <w:rsid w:val="003E0499"/>
    <w:rsid w:val="003F27C5"/>
    <w:rsid w:val="003F3941"/>
    <w:rsid w:val="00406575"/>
    <w:rsid w:val="0042722E"/>
    <w:rsid w:val="0044528D"/>
    <w:rsid w:val="004A1847"/>
    <w:rsid w:val="004A305D"/>
    <w:rsid w:val="004F21C4"/>
    <w:rsid w:val="004F685F"/>
    <w:rsid w:val="005566E8"/>
    <w:rsid w:val="00565B5A"/>
    <w:rsid w:val="00574867"/>
    <w:rsid w:val="00591460"/>
    <w:rsid w:val="00592628"/>
    <w:rsid w:val="00597457"/>
    <w:rsid w:val="005A17CE"/>
    <w:rsid w:val="005C3777"/>
    <w:rsid w:val="005C5CDC"/>
    <w:rsid w:val="005D476C"/>
    <w:rsid w:val="00610812"/>
    <w:rsid w:val="006219F8"/>
    <w:rsid w:val="00650FF7"/>
    <w:rsid w:val="00665D70"/>
    <w:rsid w:val="00671DAC"/>
    <w:rsid w:val="006900D9"/>
    <w:rsid w:val="006A5C9A"/>
    <w:rsid w:val="006D12F8"/>
    <w:rsid w:val="00706C16"/>
    <w:rsid w:val="0075006E"/>
    <w:rsid w:val="00756841"/>
    <w:rsid w:val="007649AB"/>
    <w:rsid w:val="00771D0C"/>
    <w:rsid w:val="007833AC"/>
    <w:rsid w:val="00786EDD"/>
    <w:rsid w:val="007B268C"/>
    <w:rsid w:val="007B7171"/>
    <w:rsid w:val="007C0C0F"/>
    <w:rsid w:val="007C3DC2"/>
    <w:rsid w:val="007E5497"/>
    <w:rsid w:val="00806F5F"/>
    <w:rsid w:val="00820278"/>
    <w:rsid w:val="008843B6"/>
    <w:rsid w:val="008875E6"/>
    <w:rsid w:val="00891928"/>
    <w:rsid w:val="008A446D"/>
    <w:rsid w:val="008D180B"/>
    <w:rsid w:val="008F0EA7"/>
    <w:rsid w:val="00922606"/>
    <w:rsid w:val="009231F0"/>
    <w:rsid w:val="00923EEF"/>
    <w:rsid w:val="009419F9"/>
    <w:rsid w:val="0095685E"/>
    <w:rsid w:val="00961B09"/>
    <w:rsid w:val="00965334"/>
    <w:rsid w:val="0097093E"/>
    <w:rsid w:val="009A0DFA"/>
    <w:rsid w:val="009B2D26"/>
    <w:rsid w:val="009C71FA"/>
    <w:rsid w:val="009C72E7"/>
    <w:rsid w:val="009D3058"/>
    <w:rsid w:val="009F3A13"/>
    <w:rsid w:val="00A122D3"/>
    <w:rsid w:val="00A149B3"/>
    <w:rsid w:val="00A17F13"/>
    <w:rsid w:val="00A20739"/>
    <w:rsid w:val="00A33C78"/>
    <w:rsid w:val="00A34A78"/>
    <w:rsid w:val="00AB0ADB"/>
    <w:rsid w:val="00AC6DEF"/>
    <w:rsid w:val="00AE135F"/>
    <w:rsid w:val="00B01B1A"/>
    <w:rsid w:val="00B72CD3"/>
    <w:rsid w:val="00B72FFF"/>
    <w:rsid w:val="00BC3D36"/>
    <w:rsid w:val="00BD1AA0"/>
    <w:rsid w:val="00BD7F72"/>
    <w:rsid w:val="00BF0F0A"/>
    <w:rsid w:val="00BF1B9C"/>
    <w:rsid w:val="00C04FB3"/>
    <w:rsid w:val="00C220E2"/>
    <w:rsid w:val="00C330EB"/>
    <w:rsid w:val="00C52593"/>
    <w:rsid w:val="00C754BE"/>
    <w:rsid w:val="00C76B1C"/>
    <w:rsid w:val="00CA06F9"/>
    <w:rsid w:val="00CB6357"/>
    <w:rsid w:val="00CC1B26"/>
    <w:rsid w:val="00CE5331"/>
    <w:rsid w:val="00CF34A4"/>
    <w:rsid w:val="00D34303"/>
    <w:rsid w:val="00D423A2"/>
    <w:rsid w:val="00D520D8"/>
    <w:rsid w:val="00D63AC2"/>
    <w:rsid w:val="00D7383B"/>
    <w:rsid w:val="00DA231B"/>
    <w:rsid w:val="00DA23A0"/>
    <w:rsid w:val="00DC39FC"/>
    <w:rsid w:val="00DD2EDD"/>
    <w:rsid w:val="00DF5254"/>
    <w:rsid w:val="00E16408"/>
    <w:rsid w:val="00E20894"/>
    <w:rsid w:val="00E245AB"/>
    <w:rsid w:val="00E2764C"/>
    <w:rsid w:val="00E27F2E"/>
    <w:rsid w:val="00E413EA"/>
    <w:rsid w:val="00E447F5"/>
    <w:rsid w:val="00E50AFE"/>
    <w:rsid w:val="00E75C92"/>
    <w:rsid w:val="00E771DC"/>
    <w:rsid w:val="00E8772A"/>
    <w:rsid w:val="00E90F6B"/>
    <w:rsid w:val="00E92C27"/>
    <w:rsid w:val="00EA0E3D"/>
    <w:rsid w:val="00EC38A7"/>
    <w:rsid w:val="00ED5C03"/>
    <w:rsid w:val="00EE1AA8"/>
    <w:rsid w:val="00F31EDC"/>
    <w:rsid w:val="00F462B3"/>
    <w:rsid w:val="00F5664F"/>
    <w:rsid w:val="00F61703"/>
    <w:rsid w:val="00F666C4"/>
    <w:rsid w:val="00F76AFC"/>
    <w:rsid w:val="00FA1465"/>
    <w:rsid w:val="00FA47C0"/>
    <w:rsid w:val="00FB5966"/>
    <w:rsid w:val="00FB5DD1"/>
    <w:rsid w:val="00FC2B5D"/>
    <w:rsid w:val="00FF1449"/>
    <w:rsid w:val="08BC3B2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52593"/>
    <w:rPr>
      <w:rFonts w:ascii="Geomanist Light" w:hAnsi="Geomanist Light"/>
      <w:lang w:val="es-ES"/>
    </w:rPr>
  </w:style>
  <w:style w:type="paragraph" w:customStyle="1" w:styleId="Appelnotedebasde">
    <w:name w:val="Appel note de bas de..."/>
    <w:basedOn w:val="Normal"/>
    <w:link w:val="Refdenotaalpie"/>
    <w:uiPriority w:val="99"/>
    <w:rsid w:val="00C52593"/>
    <w:pPr>
      <w:spacing w:line="240" w:lineRule="exact"/>
    </w:pPr>
    <w:rPr>
      <w:vertAlign w:val="superscript"/>
    </w:rPr>
  </w:style>
  <w:style w:type="paragraph" w:styleId="Textoindependiente">
    <w:name w:val="Body Text"/>
    <w:basedOn w:val="Normal"/>
    <w:link w:val="TextoindependienteCar"/>
    <w:uiPriority w:val="1"/>
    <w:semiHidden/>
    <w:unhideWhenUsed/>
    <w:qFormat/>
    <w:rsid w:val="00C5259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C52593"/>
    <w:rPr>
      <w:rFonts w:ascii="Arial" w:eastAsia="Arial" w:hAnsi="Arial" w:cs="Arial"/>
      <w:lang w:val="es-ES" w:eastAsia="es-ES" w:bidi="es-ES"/>
    </w:rPr>
  </w:style>
  <w:style w:type="character" w:customStyle="1" w:styleId="Hipervnculo1">
    <w:name w:val="Hipervínculo1"/>
    <w:basedOn w:val="Fuentedeprrafopredeter"/>
    <w:uiPriority w:val="99"/>
    <w:unhideWhenUsed/>
    <w:rsid w:val="00C52593"/>
    <w:rPr>
      <w:color w:val="F2F2F2"/>
      <w:u w:val="single"/>
    </w:rPr>
  </w:style>
  <w:style w:type="character" w:customStyle="1" w:styleId="NormalWebCar">
    <w:name w:val="Normal (Web) Car"/>
    <w:link w:val="NormalWeb"/>
    <w:uiPriority w:val="99"/>
    <w:rsid w:val="00C5259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712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562806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ila_01_23@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relatoria.colombiacompra.gov.co/busqueda/conceptos"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735154B2-3F81-4BC9-B95F-228E76E0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5115</Words>
  <Characters>28135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Gloria Ximena Moreno Guio</cp:lastModifiedBy>
  <cp:revision>9</cp:revision>
  <cp:lastPrinted>2023-01-10T21:18:00Z</cp:lastPrinted>
  <dcterms:created xsi:type="dcterms:W3CDTF">2024-08-26T22:12:00Z</dcterms:created>
  <dcterms:modified xsi:type="dcterms:W3CDTF">2024-08-26T22:31:00Z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