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09F8" w14:textId="1147D42F" w:rsidR="00E003E1" w:rsidRPr="00E003E1" w:rsidRDefault="00E003E1" w:rsidP="00E003E1">
      <w:pPr>
        <w:spacing w:after="0"/>
        <w:jc w:val="both"/>
        <w:rPr>
          <w:rFonts w:ascii="Verdana" w:hAnsi="Verdana"/>
        </w:rPr>
      </w:pPr>
      <w:bookmarkStart w:id="0" w:name="_Hlk143780582"/>
      <w:r w:rsidRPr="00E003E1">
        <w:rPr>
          <w:rFonts w:ascii="Verdana" w:eastAsia="Calibri" w:hAnsi="Verdana" w:cs="Arial"/>
          <w:b/>
          <w:color w:val="000000"/>
          <w:kern w:val="2"/>
          <w:lang w:val="es-ES_tradnl" w:eastAsia="es-MX"/>
          <w14:ligatures w14:val="standardContextual"/>
        </w:rPr>
        <w:t xml:space="preserve">REQUISITOS HABILITANTES – Noción </w:t>
      </w:r>
    </w:p>
    <w:p w14:paraId="60636F4B" w14:textId="77777777" w:rsidR="00E003E1" w:rsidRPr="00E003E1" w:rsidRDefault="00E003E1" w:rsidP="00E003E1">
      <w:pPr>
        <w:snapToGrid w:val="0"/>
        <w:spacing w:after="0" w:line="276" w:lineRule="auto"/>
        <w:jc w:val="both"/>
        <w:rPr>
          <w:rFonts w:ascii="Verdana" w:eastAsia="Calibri" w:hAnsi="Verdana" w:cs="Arial"/>
          <w:b/>
          <w:color w:val="000000"/>
          <w:kern w:val="2"/>
          <w:lang w:val="es-ES_tradnl" w:eastAsia="es-MX"/>
          <w14:ligatures w14:val="standardContextual"/>
        </w:rPr>
      </w:pPr>
    </w:p>
    <w:p w14:paraId="50FE9657" w14:textId="77777777" w:rsidR="00CD21EA" w:rsidRPr="00CD21EA" w:rsidRDefault="00CD21EA" w:rsidP="00CD21EA">
      <w:pPr>
        <w:snapToGrid w:val="0"/>
        <w:spacing w:after="0" w:line="240" w:lineRule="auto"/>
        <w:jc w:val="both"/>
        <w:rPr>
          <w:rFonts w:ascii="Verdana" w:eastAsia="Calibri" w:hAnsi="Verdana" w:cs="Arial"/>
          <w:color w:val="000000"/>
          <w:kern w:val="2"/>
          <w:sz w:val="20"/>
          <w:szCs w:val="20"/>
          <w:lang w:val="es-ES_tradnl" w:eastAsia="es-MX"/>
          <w14:ligatures w14:val="standardContextual"/>
        </w:rPr>
      </w:pPr>
      <w:r w:rsidRPr="00CD21EA">
        <w:rPr>
          <w:rFonts w:ascii="Verdana" w:eastAsia="Calibri" w:hAnsi="Verdana" w:cs="Arial"/>
          <w:color w:val="000000"/>
          <w:kern w:val="2"/>
          <w:sz w:val="20"/>
          <w:szCs w:val="20"/>
          <w:lang w:val="es-ES_tradnl" w:eastAsia="es-MX"/>
          <w14:ligatures w14:val="standardContextual"/>
        </w:rPr>
        <w:t xml:space="preserve">Los </w:t>
      </w:r>
      <w:r w:rsidRPr="00CD21EA">
        <w:rPr>
          <w:rFonts w:ascii="Verdana" w:eastAsia="Calibri" w:hAnsi="Verdana" w:cs="Arial"/>
          <w:i/>
          <w:iCs/>
          <w:color w:val="000000"/>
          <w:kern w:val="2"/>
          <w:sz w:val="20"/>
          <w:szCs w:val="20"/>
          <w:lang w:val="es-ES_tradnl" w:eastAsia="es-MX"/>
          <w14:ligatures w14:val="standardContextual"/>
        </w:rPr>
        <w:t>requisitos habilitantes</w:t>
      </w:r>
      <w:r w:rsidRPr="00CD21EA">
        <w:rPr>
          <w:rFonts w:ascii="Verdana" w:eastAsia="Calibri" w:hAnsi="Verdana" w:cs="Arial"/>
          <w:color w:val="000000"/>
          <w:kern w:val="2"/>
          <w:sz w:val="20"/>
          <w:szCs w:val="20"/>
          <w:lang w:val="es-ES_tradnl" w:eastAsia="es-MX"/>
          <w14:ligatures w14:val="standardContextual"/>
        </w:rPr>
        <w:t xml:space="preserve">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CD21EA">
        <w:rPr>
          <w:rFonts w:ascii="Verdana" w:eastAsia="Calibri" w:hAnsi="Verdana" w:cs="Arial"/>
          <w:i/>
          <w:iCs/>
          <w:color w:val="000000"/>
          <w:kern w:val="2"/>
          <w:sz w:val="20"/>
          <w:szCs w:val="20"/>
          <w:lang w:val="es-ES_tradnl" w:eastAsia="es-MX"/>
          <w14:ligatures w14:val="standardContextual"/>
        </w:rPr>
        <w:t>criterios de evaluación</w:t>
      </w:r>
      <w:r w:rsidRPr="00CD21EA">
        <w:rPr>
          <w:rFonts w:ascii="Verdana" w:eastAsia="Calibri" w:hAnsi="Verdana" w:cs="Arial"/>
          <w:color w:val="000000"/>
          <w:kern w:val="2"/>
          <w:sz w:val="20"/>
          <w:szCs w:val="20"/>
          <w:lang w:val="es-ES_tradnl" w:eastAsia="es-MX"/>
          <w14:ligatures w14:val="standardContextual"/>
        </w:rPr>
        <w:t xml:space="preserve"> –también conocidos como </w:t>
      </w:r>
      <w:r w:rsidRPr="00CD21EA">
        <w:rPr>
          <w:rFonts w:ascii="Verdana" w:eastAsia="Calibri" w:hAnsi="Verdana" w:cs="Arial"/>
          <w:i/>
          <w:iCs/>
          <w:color w:val="000000"/>
          <w:kern w:val="2"/>
          <w:sz w:val="20"/>
          <w:szCs w:val="20"/>
          <w:lang w:val="es-ES_tradnl" w:eastAsia="es-MX"/>
          <w14:ligatures w14:val="standardContextual"/>
        </w:rPr>
        <w:t>criterios de calificación</w:t>
      </w:r>
      <w:r w:rsidRPr="00CD21EA">
        <w:rPr>
          <w:rFonts w:ascii="Verdana" w:eastAsia="Calibri" w:hAnsi="Verdana" w:cs="Arial"/>
          <w:color w:val="000000"/>
          <w:kern w:val="2"/>
          <w:sz w:val="20"/>
          <w:szCs w:val="20"/>
          <w:lang w:val="es-ES_tradnl" w:eastAsia="es-MX"/>
          <w14:ligatures w14:val="standardContextua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51DA7394" w14:textId="77777777" w:rsidR="00CD21EA" w:rsidRPr="00CD21EA" w:rsidRDefault="00CD21EA" w:rsidP="00CD21EA">
      <w:pPr>
        <w:snapToGrid w:val="0"/>
        <w:spacing w:after="0" w:line="240" w:lineRule="auto"/>
        <w:ind w:left="720"/>
        <w:jc w:val="both"/>
        <w:rPr>
          <w:rFonts w:ascii="Verdana" w:eastAsia="Calibri" w:hAnsi="Verdana" w:cs="Arial"/>
          <w:color w:val="000000"/>
          <w:kern w:val="2"/>
          <w:sz w:val="20"/>
          <w:szCs w:val="20"/>
          <w:lang w:val="es-ES_tradnl" w:eastAsia="es-MX"/>
          <w14:ligatures w14:val="standardContextual"/>
        </w:rPr>
      </w:pPr>
    </w:p>
    <w:p w14:paraId="4490C4CA" w14:textId="77777777" w:rsidR="00CD21EA" w:rsidRPr="00CD21EA" w:rsidRDefault="00CD21EA" w:rsidP="00CD21EA">
      <w:pPr>
        <w:snapToGrid w:val="0"/>
        <w:spacing w:after="0" w:line="240" w:lineRule="auto"/>
        <w:jc w:val="both"/>
        <w:rPr>
          <w:rFonts w:ascii="Verdana" w:eastAsia="Calibri" w:hAnsi="Verdana" w:cs="Arial"/>
          <w:color w:val="000000"/>
          <w:kern w:val="2"/>
          <w:sz w:val="20"/>
          <w:szCs w:val="20"/>
          <w:lang w:val="es-ES_tradnl" w:eastAsia="es-MX"/>
          <w14:ligatures w14:val="standardContextual"/>
        </w:rPr>
      </w:pPr>
      <w:r w:rsidRPr="00CD21EA">
        <w:rPr>
          <w:rFonts w:ascii="Verdana" w:eastAsia="Calibri" w:hAnsi="Verdana" w:cs="Arial"/>
          <w:color w:val="000000"/>
          <w:kern w:val="2"/>
          <w:sz w:val="20"/>
          <w:szCs w:val="20"/>
          <w:lang w:val="es-ES_tradnl" w:eastAsia="es-MX"/>
          <w14:ligatures w14:val="standardContextual"/>
        </w:rPr>
        <w:t>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02C9BFC0" w14:textId="77777777" w:rsidR="00E003E1" w:rsidRPr="00E003E1" w:rsidRDefault="00E003E1" w:rsidP="00E003E1">
      <w:pPr>
        <w:snapToGrid w:val="0"/>
        <w:spacing w:after="0" w:line="276" w:lineRule="auto"/>
        <w:jc w:val="both"/>
        <w:rPr>
          <w:rFonts w:ascii="Verdana" w:eastAsia="Geomanist Light" w:hAnsi="Verdana" w:cs="Arial"/>
          <w:lang w:val="es-MX"/>
        </w:rPr>
      </w:pPr>
    </w:p>
    <w:p w14:paraId="10CDCE5E" w14:textId="77777777" w:rsidR="00E003E1" w:rsidRPr="00E003E1" w:rsidRDefault="00E003E1" w:rsidP="00E003E1">
      <w:pPr>
        <w:snapToGrid w:val="0"/>
        <w:spacing w:after="0" w:line="276" w:lineRule="auto"/>
        <w:jc w:val="both"/>
        <w:rPr>
          <w:rFonts w:ascii="Verdana" w:eastAsia="Calibri" w:hAnsi="Verdana" w:cs="Arial"/>
          <w:b/>
          <w:color w:val="000000"/>
          <w:kern w:val="2"/>
          <w:lang w:val="es-ES_tradnl" w:eastAsia="es-MX"/>
          <w14:ligatures w14:val="standardContextual"/>
        </w:rPr>
      </w:pPr>
      <w:r w:rsidRPr="00E003E1">
        <w:rPr>
          <w:rFonts w:ascii="Verdana" w:eastAsia="Calibri" w:hAnsi="Verdana" w:cs="Arial"/>
          <w:b/>
          <w:color w:val="000000"/>
          <w:kern w:val="2"/>
          <w:lang w:val="es-ES_tradnl" w:eastAsia="es-MX"/>
          <w14:ligatures w14:val="standardContextual"/>
        </w:rPr>
        <w:t xml:space="preserve">CAPACIDAD RESIDUAL – Definición – Saldos de Contratos en Ejecución - </w:t>
      </w:r>
      <w:r w:rsidRPr="00E003E1">
        <w:rPr>
          <w:rFonts w:ascii="Verdana" w:eastAsia="Calibri" w:hAnsi="Verdana" w:cs="Arial"/>
          <w:b/>
          <w:color w:val="000000"/>
          <w:lang w:val="es-MX" w:eastAsia="en-GB"/>
        </w:rPr>
        <w:t xml:space="preserve">Guía para Determinar y Verificar la Capacidad Residual del Proponente en los Procesos de Contratación de Obra Pública </w:t>
      </w:r>
    </w:p>
    <w:p w14:paraId="4272A6AC" w14:textId="77777777" w:rsidR="00E003E1" w:rsidRPr="00E003E1" w:rsidRDefault="00E003E1" w:rsidP="00E003E1">
      <w:pPr>
        <w:snapToGrid w:val="0"/>
        <w:spacing w:after="0" w:line="276" w:lineRule="auto"/>
        <w:jc w:val="both"/>
        <w:rPr>
          <w:rFonts w:ascii="Verdana" w:eastAsia="Geomanist Light" w:hAnsi="Verdana" w:cs="Arial"/>
          <w:lang w:val="es-MX"/>
        </w:rPr>
      </w:pPr>
    </w:p>
    <w:p w14:paraId="4B9388F3" w14:textId="77777777" w:rsidR="00CD21EA" w:rsidRPr="00CD21EA" w:rsidRDefault="00CD21EA" w:rsidP="00CD21EA">
      <w:pPr>
        <w:snapToGrid w:val="0"/>
        <w:spacing w:after="0" w:line="240" w:lineRule="auto"/>
        <w:jc w:val="both"/>
        <w:rPr>
          <w:rFonts w:ascii="Verdana" w:eastAsia="Calibri" w:hAnsi="Verdana" w:cs="Arial"/>
          <w:color w:val="000000"/>
          <w:sz w:val="20"/>
          <w:szCs w:val="20"/>
          <w:lang w:val="es-MX" w:eastAsia="en-GB"/>
        </w:rPr>
      </w:pPr>
      <w:r w:rsidRPr="00CD21EA">
        <w:rPr>
          <w:rFonts w:ascii="Verdana" w:eastAsia="Calibri" w:hAnsi="Verdana" w:cs="Arial"/>
          <w:color w:val="000000"/>
          <w:sz w:val="20"/>
          <w:szCs w:val="20"/>
          <w:lang w:val="es-MX" w:eastAsia="en-GB"/>
        </w:rPr>
        <w:t>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w:t>
      </w:r>
    </w:p>
    <w:p w14:paraId="5B5A5B84" w14:textId="77777777" w:rsidR="00E003E1" w:rsidRPr="00CD21EA" w:rsidRDefault="00E003E1" w:rsidP="00CD21EA">
      <w:pPr>
        <w:snapToGrid w:val="0"/>
        <w:spacing w:after="0" w:line="240" w:lineRule="auto"/>
        <w:jc w:val="both"/>
        <w:rPr>
          <w:rFonts w:ascii="Verdana" w:eastAsia="Geomanist Light" w:hAnsi="Verdana" w:cs="Arial"/>
          <w:sz w:val="20"/>
          <w:szCs w:val="20"/>
          <w:lang w:val="es-MX"/>
        </w:rPr>
      </w:pPr>
      <w:r w:rsidRPr="00CD21EA">
        <w:rPr>
          <w:rFonts w:ascii="Verdana" w:eastAsia="Geomanist Light" w:hAnsi="Verdana" w:cs="Arial"/>
          <w:sz w:val="20"/>
          <w:szCs w:val="20"/>
          <w:lang w:val="es-MX"/>
        </w:rPr>
        <w:t>[…]</w:t>
      </w:r>
    </w:p>
    <w:p w14:paraId="7DCFCECC" w14:textId="77777777" w:rsidR="00CD21EA" w:rsidRPr="00CD21EA" w:rsidRDefault="00CD21EA" w:rsidP="00CD21EA">
      <w:pPr>
        <w:snapToGrid w:val="0"/>
        <w:spacing w:after="0" w:line="240" w:lineRule="auto"/>
        <w:jc w:val="both"/>
        <w:rPr>
          <w:rFonts w:ascii="Verdana" w:eastAsia="Calibri" w:hAnsi="Verdana" w:cs="Arial"/>
          <w:i/>
          <w:iCs/>
          <w:sz w:val="20"/>
          <w:szCs w:val="20"/>
          <w:lang w:eastAsia="en-GB"/>
        </w:rPr>
      </w:pPr>
      <w:r w:rsidRPr="00CD21EA">
        <w:rPr>
          <w:rFonts w:ascii="Verdana" w:eastAsia="Calibri" w:hAnsi="Verdana" w:cs="Arial"/>
          <w:bCs/>
          <w:color w:val="000000"/>
          <w:sz w:val="20"/>
          <w:szCs w:val="20"/>
          <w:lang w:val="es-MX" w:eastAsia="en-GB"/>
        </w:rPr>
        <w:t xml:space="preserve">Particularmente, respecto del factor de saldos de los contratos en ejecución </w:t>
      </w:r>
      <w:r w:rsidRPr="00CD21EA">
        <w:rPr>
          <w:rFonts w:ascii="Verdana" w:eastAsia="Calibri" w:hAnsi="Verdana" w:cs="Arial"/>
          <w:bCs/>
          <w:color w:val="000000"/>
          <w:sz w:val="20"/>
          <w:szCs w:val="20"/>
          <w:lang w:eastAsia="en-GB"/>
        </w:rPr>
        <w:t>“SCE”,</w:t>
      </w:r>
      <w:r w:rsidRPr="00CD21EA">
        <w:rPr>
          <w:rFonts w:ascii="Verdana" w:eastAsia="Calibri" w:hAnsi="Verdana" w:cs="Arial"/>
          <w:sz w:val="20"/>
          <w:szCs w:val="20"/>
          <w:lang w:eastAsia="en-GB"/>
        </w:rPr>
        <w:t xml:space="preserve"> es necesario tener en cuenta que la “Guía para Determinar y Verificar la Capacidad Residual del Proponente en los Procesos de Contratación de Obra Pública”</w:t>
      </w:r>
      <w:r w:rsidRPr="00CD21EA">
        <w:rPr>
          <w:rFonts w:ascii="Verdana" w:eastAsia="Calibri" w:hAnsi="Verdana" w:cs="Arial"/>
          <w:i/>
          <w:iCs/>
          <w:sz w:val="20"/>
          <w:szCs w:val="20"/>
          <w:lang w:eastAsia="en-GB"/>
        </w:rPr>
        <w:t xml:space="preserve">, </w:t>
      </w:r>
      <w:r w:rsidRPr="00CD21EA">
        <w:rPr>
          <w:rFonts w:ascii="Verdana" w:eastAsia="Calibri" w:hAnsi="Verdana" w:cs="Arial"/>
          <w:sz w:val="20"/>
          <w:szCs w:val="20"/>
          <w:lang w:eastAsia="en-GB"/>
        </w:rPr>
        <w:t xml:space="preserve">define a este factor </w:t>
      </w:r>
      <w:r w:rsidRPr="00CD21EA">
        <w:rPr>
          <w:rFonts w:ascii="Verdana" w:eastAsia="Calibri" w:hAnsi="Verdana" w:cs="Arial"/>
          <w:bCs/>
          <w:color w:val="000000"/>
          <w:sz w:val="20"/>
          <w:szCs w:val="20"/>
          <w:lang w:eastAsia="en-GB"/>
        </w:rPr>
        <w:t>como “la suma de los montos por ejecutar de los contratos en ejecución durante los 12 meses siguientes”. Así mismo, define los</w:t>
      </w:r>
      <w:r w:rsidRPr="00CD21EA">
        <w:rPr>
          <w:rFonts w:ascii="Verdana" w:eastAsia="Calibri" w:hAnsi="Verdana" w:cs="Arial"/>
          <w:sz w:val="20"/>
          <w:szCs w:val="20"/>
          <w:lang w:eastAsia="en-GB"/>
        </w:rPr>
        <w:t xml:space="preserve"> </w:t>
      </w:r>
      <w:r w:rsidRPr="00CD21EA">
        <w:rPr>
          <w:rFonts w:ascii="Verdana" w:eastAsia="Calibri" w:hAnsi="Verdana" w:cs="Arial"/>
          <w:i/>
          <w:iCs/>
          <w:sz w:val="20"/>
          <w:szCs w:val="20"/>
          <w:lang w:eastAsia="en-GB"/>
        </w:rPr>
        <w:t>Contratos en Ejecución</w:t>
      </w:r>
      <w:r w:rsidRPr="00CD21EA">
        <w:rPr>
          <w:rFonts w:ascii="Verdana" w:eastAsia="Calibri" w:hAnsi="Verdana" w:cs="Arial"/>
          <w:sz w:val="20"/>
          <w:szCs w:val="20"/>
          <w:lang w:eastAsia="en-GB"/>
        </w:rPr>
        <w:t xml:space="preserve"> de la siguiente manera: </w:t>
      </w:r>
      <w:r w:rsidRPr="00CD21EA">
        <w:rPr>
          <w:rFonts w:ascii="Verdana" w:eastAsia="Calibri" w:hAnsi="Verdana" w:cs="Arial"/>
          <w:i/>
          <w:iCs/>
          <w:sz w:val="20"/>
          <w:szCs w:val="20"/>
          <w:lang w:eastAsia="en-GB"/>
        </w:rPr>
        <w:t xml:space="preserve"> </w:t>
      </w:r>
    </w:p>
    <w:p w14:paraId="3475C938" w14:textId="4DE7AEDF" w:rsidR="00E003E1" w:rsidRPr="00CD21EA" w:rsidRDefault="00E003E1" w:rsidP="00E003E1">
      <w:pPr>
        <w:snapToGrid w:val="0"/>
        <w:spacing w:after="0" w:line="240" w:lineRule="auto"/>
        <w:jc w:val="both"/>
        <w:rPr>
          <w:rFonts w:ascii="Verdana" w:eastAsia="Calibri" w:hAnsi="Verdana" w:cs="Arial"/>
          <w:sz w:val="20"/>
          <w:szCs w:val="20"/>
          <w:lang w:eastAsia="en-GB"/>
        </w:rPr>
      </w:pPr>
      <w:r w:rsidRPr="00CD21EA">
        <w:rPr>
          <w:rFonts w:ascii="Verdana" w:eastAsia="Calibri" w:hAnsi="Verdana" w:cs="Arial"/>
          <w:sz w:val="20"/>
          <w:szCs w:val="20"/>
          <w:lang w:eastAsia="en-GB"/>
        </w:rPr>
        <w:t>[…]</w:t>
      </w:r>
    </w:p>
    <w:p w14:paraId="25B54342" w14:textId="77777777" w:rsidR="00E003E1" w:rsidRPr="00E003E1" w:rsidRDefault="00E003E1" w:rsidP="00E003E1">
      <w:pPr>
        <w:snapToGrid w:val="0"/>
        <w:spacing w:after="0" w:line="276" w:lineRule="auto"/>
        <w:jc w:val="both"/>
        <w:rPr>
          <w:rFonts w:ascii="Verdana" w:eastAsia="Calibri" w:hAnsi="Verdana" w:cs="Arial"/>
          <w:lang w:eastAsia="en-GB"/>
        </w:rPr>
      </w:pPr>
    </w:p>
    <w:p w14:paraId="3D1769AB" w14:textId="0235BA95" w:rsidR="00E003E1" w:rsidRPr="00CD21EA" w:rsidRDefault="00E003E1" w:rsidP="00E003E1">
      <w:pPr>
        <w:snapToGrid w:val="0"/>
        <w:spacing w:after="0" w:line="276" w:lineRule="auto"/>
        <w:jc w:val="both"/>
        <w:rPr>
          <w:rFonts w:ascii="Verdana" w:eastAsia="Calibri" w:hAnsi="Verdana" w:cs="Arial"/>
          <w:b/>
          <w:i/>
          <w:iCs/>
          <w:lang w:eastAsia="en-GB"/>
        </w:rPr>
      </w:pPr>
      <w:r w:rsidRPr="00E003E1">
        <w:rPr>
          <w:rFonts w:ascii="Verdana" w:eastAsia="Calibri" w:hAnsi="Verdana" w:cs="Arial"/>
          <w:b/>
          <w:kern w:val="2"/>
          <w:lang w:val="es-ES_tradnl" w:eastAsia="es-ES_tradnl"/>
          <w14:ligatures w14:val="standardContextual"/>
        </w:rPr>
        <w:t>SUBSANABILIDAD – Regla general – Aspectos subsanables</w:t>
      </w:r>
    </w:p>
    <w:p w14:paraId="585FAA59" w14:textId="77777777" w:rsidR="00CD21EA" w:rsidRDefault="00CD21EA" w:rsidP="00CD21EA">
      <w:pPr>
        <w:widowControl w:val="0"/>
        <w:autoSpaceDE w:val="0"/>
        <w:autoSpaceDN w:val="0"/>
        <w:snapToGrid w:val="0"/>
        <w:spacing w:after="0" w:line="276" w:lineRule="auto"/>
        <w:jc w:val="both"/>
        <w:rPr>
          <w:rFonts w:ascii="Verdana" w:eastAsia="Calibri" w:hAnsi="Verdana" w:cs="Arial"/>
        </w:rPr>
      </w:pPr>
    </w:p>
    <w:p w14:paraId="32328665" w14:textId="7A48B600" w:rsidR="00CD21EA" w:rsidRPr="00CD21EA" w:rsidRDefault="00CD21EA" w:rsidP="00CD21EA">
      <w:pPr>
        <w:widowControl w:val="0"/>
        <w:autoSpaceDE w:val="0"/>
        <w:autoSpaceDN w:val="0"/>
        <w:snapToGrid w:val="0"/>
        <w:spacing w:after="0" w:line="240" w:lineRule="auto"/>
        <w:jc w:val="both"/>
        <w:rPr>
          <w:rFonts w:ascii="Verdana" w:eastAsia="Calibri" w:hAnsi="Verdana" w:cs="Arial"/>
          <w:sz w:val="20"/>
          <w:szCs w:val="20"/>
        </w:rPr>
      </w:pPr>
      <w:r w:rsidRPr="00CD21EA">
        <w:rPr>
          <w:rFonts w:ascii="Verdana" w:eastAsia="Calibri" w:hAnsi="Verdana" w:cs="Arial"/>
          <w:sz w:val="20"/>
          <w:szCs w:val="20"/>
        </w:rPr>
        <w:t>Esta Subdirección se ha pronunciado en diversas oportunidades acerca del alcance de la regla de la subsanabilidad, contenida actualmente en el parágrafo 1 del artículo 5 de la Ley 1150 de 2007, modificado por el artículo 5 de la Ley 1882 de 201</w:t>
      </w:r>
      <w:r>
        <w:rPr>
          <w:rFonts w:ascii="Verdana" w:eastAsia="Calibri" w:hAnsi="Verdana" w:cs="Arial"/>
          <w:sz w:val="20"/>
          <w:szCs w:val="20"/>
        </w:rPr>
        <w:t>8.</w:t>
      </w:r>
      <w:r w:rsidRPr="00CD21EA">
        <w:rPr>
          <w:rFonts w:ascii="Verdana" w:eastAsia="Calibri" w:hAnsi="Verdana" w:cs="Arial"/>
          <w:sz w:val="20"/>
          <w:szCs w:val="20"/>
        </w:rPr>
        <w:t xml:space="preserve"> Al respecto, la postura es la siguiente: por regla general, la falta de entrega o los defectos frente a los requisitos que no asignan puntaje, son subsanables. La excepción se encuentra en los </w:t>
      </w:r>
      <w:r w:rsidRPr="00CD21EA">
        <w:rPr>
          <w:rFonts w:ascii="Verdana" w:eastAsia="Calibri" w:hAnsi="Verdana" w:cs="Arial"/>
          <w:sz w:val="20"/>
          <w:szCs w:val="20"/>
        </w:rPr>
        <w:lastRenderedPageBreak/>
        <w:t>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463D93B9" w14:textId="575A9746" w:rsidR="00E003E1" w:rsidRPr="00E003E1" w:rsidRDefault="00E003E1" w:rsidP="00E003E1">
      <w:pPr>
        <w:widowControl w:val="0"/>
        <w:autoSpaceDE w:val="0"/>
        <w:autoSpaceDN w:val="0"/>
        <w:snapToGrid w:val="0"/>
        <w:spacing w:after="0" w:line="240" w:lineRule="auto"/>
        <w:jc w:val="both"/>
        <w:rPr>
          <w:rFonts w:ascii="Verdana" w:eastAsia="Calibri" w:hAnsi="Verdana" w:cs="Arial"/>
          <w:sz w:val="20"/>
          <w:szCs w:val="20"/>
        </w:rPr>
      </w:pPr>
    </w:p>
    <w:p w14:paraId="4358E870" w14:textId="77777777" w:rsidR="00E003E1" w:rsidRPr="00E003E1" w:rsidRDefault="00E003E1" w:rsidP="00E003E1">
      <w:pPr>
        <w:spacing w:after="0" w:line="240" w:lineRule="auto"/>
        <w:rPr>
          <w:rFonts w:ascii="Verdana" w:eastAsia="Geomanist Light" w:hAnsi="Verdana" w:cs="Arial"/>
          <w:lang w:val="es-MX"/>
        </w:rPr>
      </w:pPr>
    </w:p>
    <w:p w14:paraId="44D9EE6C" w14:textId="77777777" w:rsidR="00E003E1" w:rsidRPr="00E003E1" w:rsidRDefault="00E003E1" w:rsidP="00E003E1">
      <w:pPr>
        <w:spacing w:after="0" w:line="240" w:lineRule="auto"/>
        <w:rPr>
          <w:rFonts w:ascii="Verdana" w:eastAsia="Geomanist Light" w:hAnsi="Verdana" w:cs="Arial"/>
          <w:lang w:val="es-MX"/>
        </w:rPr>
      </w:pPr>
    </w:p>
    <w:p w14:paraId="779C87FD" w14:textId="77777777" w:rsidR="00E003E1" w:rsidRPr="00E003E1" w:rsidRDefault="00E003E1" w:rsidP="00E003E1">
      <w:pPr>
        <w:spacing w:after="0" w:line="240" w:lineRule="auto"/>
        <w:rPr>
          <w:rFonts w:ascii="Verdana" w:eastAsia="Geomanist Light" w:hAnsi="Verdana" w:cs="Arial"/>
          <w:lang w:val="es-MX"/>
        </w:rPr>
      </w:pPr>
    </w:p>
    <w:p w14:paraId="4B19DE2F" w14:textId="77777777" w:rsidR="00E003E1" w:rsidRPr="00E003E1" w:rsidRDefault="00E003E1" w:rsidP="00E003E1">
      <w:pPr>
        <w:spacing w:after="0" w:line="240" w:lineRule="auto"/>
        <w:rPr>
          <w:rFonts w:ascii="Verdana" w:eastAsia="Geomanist Light" w:hAnsi="Verdana" w:cs="Arial"/>
          <w:lang w:val="es-MX"/>
        </w:rPr>
      </w:pPr>
    </w:p>
    <w:p w14:paraId="3A6D92DB" w14:textId="77777777" w:rsidR="00E003E1" w:rsidRPr="00E003E1" w:rsidRDefault="00E003E1" w:rsidP="00E003E1">
      <w:pPr>
        <w:spacing w:after="0" w:line="240" w:lineRule="auto"/>
        <w:rPr>
          <w:rFonts w:ascii="Verdana" w:eastAsia="Geomanist Light" w:hAnsi="Verdana" w:cs="Arial"/>
          <w:lang w:val="es-MX"/>
        </w:rPr>
      </w:pPr>
    </w:p>
    <w:p w14:paraId="18A7B6F9" w14:textId="77777777" w:rsidR="00E003E1" w:rsidRPr="00E003E1" w:rsidRDefault="00E003E1" w:rsidP="00E003E1">
      <w:pPr>
        <w:spacing w:after="0" w:line="240" w:lineRule="auto"/>
        <w:rPr>
          <w:rFonts w:ascii="Verdana" w:eastAsia="Geomanist Light" w:hAnsi="Verdana" w:cs="Arial"/>
          <w:lang w:val="es-MX"/>
        </w:rPr>
      </w:pPr>
    </w:p>
    <w:p w14:paraId="75233902" w14:textId="77777777" w:rsidR="00E003E1" w:rsidRPr="00E003E1" w:rsidRDefault="00E003E1" w:rsidP="00E003E1">
      <w:pPr>
        <w:spacing w:after="0" w:line="240" w:lineRule="auto"/>
        <w:rPr>
          <w:rFonts w:ascii="Verdana" w:eastAsia="Geomanist Light" w:hAnsi="Verdana" w:cs="Arial"/>
          <w:lang w:val="es-MX"/>
        </w:rPr>
      </w:pPr>
    </w:p>
    <w:p w14:paraId="634EF7A9" w14:textId="77777777" w:rsidR="00E003E1" w:rsidRPr="00E003E1" w:rsidRDefault="00E003E1" w:rsidP="00E003E1">
      <w:pPr>
        <w:spacing w:after="0" w:line="240" w:lineRule="auto"/>
        <w:rPr>
          <w:rFonts w:ascii="Verdana" w:eastAsia="Geomanist Light" w:hAnsi="Verdana" w:cs="Arial"/>
          <w:lang w:val="es-MX"/>
        </w:rPr>
      </w:pPr>
    </w:p>
    <w:p w14:paraId="67800B00" w14:textId="77777777" w:rsidR="00E003E1" w:rsidRPr="00E003E1" w:rsidRDefault="00E003E1" w:rsidP="00E003E1">
      <w:pPr>
        <w:spacing w:after="0" w:line="240" w:lineRule="auto"/>
        <w:rPr>
          <w:rFonts w:ascii="Verdana" w:eastAsia="Geomanist Light" w:hAnsi="Verdana" w:cs="Arial"/>
          <w:lang w:val="es-MX"/>
        </w:rPr>
      </w:pPr>
    </w:p>
    <w:p w14:paraId="3632DB76" w14:textId="77777777" w:rsidR="00E003E1" w:rsidRPr="00E003E1" w:rsidRDefault="00E003E1" w:rsidP="00E003E1">
      <w:pPr>
        <w:spacing w:after="0" w:line="240" w:lineRule="auto"/>
        <w:rPr>
          <w:rFonts w:ascii="Verdana" w:eastAsia="Geomanist Light" w:hAnsi="Verdana" w:cs="Arial"/>
          <w:lang w:val="es-MX"/>
        </w:rPr>
      </w:pPr>
    </w:p>
    <w:p w14:paraId="581A1D40" w14:textId="77777777" w:rsidR="00E003E1" w:rsidRPr="00E003E1" w:rsidRDefault="00E003E1" w:rsidP="00E003E1">
      <w:pPr>
        <w:spacing w:after="0" w:line="240" w:lineRule="auto"/>
        <w:rPr>
          <w:rFonts w:ascii="Verdana" w:eastAsia="Geomanist Light" w:hAnsi="Verdana" w:cs="Arial"/>
          <w:lang w:val="es-MX"/>
        </w:rPr>
      </w:pPr>
    </w:p>
    <w:p w14:paraId="7CE102DA" w14:textId="77777777" w:rsidR="00E003E1" w:rsidRPr="00E003E1" w:rsidRDefault="00E003E1" w:rsidP="00E003E1">
      <w:pPr>
        <w:spacing w:after="0" w:line="240" w:lineRule="auto"/>
        <w:rPr>
          <w:rFonts w:ascii="Verdana" w:eastAsia="Geomanist Light" w:hAnsi="Verdana" w:cs="Arial"/>
          <w:lang w:val="es-MX"/>
        </w:rPr>
      </w:pPr>
    </w:p>
    <w:p w14:paraId="5F3766E5" w14:textId="77777777" w:rsidR="00E003E1" w:rsidRPr="00E003E1" w:rsidRDefault="00E003E1" w:rsidP="00E003E1">
      <w:pPr>
        <w:spacing w:after="0" w:line="240" w:lineRule="auto"/>
        <w:rPr>
          <w:rFonts w:ascii="Verdana" w:eastAsia="Geomanist Light" w:hAnsi="Verdana" w:cs="Arial"/>
          <w:lang w:val="es-MX"/>
        </w:rPr>
      </w:pPr>
    </w:p>
    <w:p w14:paraId="6B734936" w14:textId="77777777" w:rsidR="00E003E1" w:rsidRPr="00E003E1" w:rsidRDefault="00E003E1" w:rsidP="00E003E1">
      <w:pPr>
        <w:spacing w:after="0" w:line="240" w:lineRule="auto"/>
        <w:rPr>
          <w:rFonts w:ascii="Verdana" w:eastAsia="Geomanist Light" w:hAnsi="Verdana" w:cs="Arial"/>
          <w:lang w:val="es-MX"/>
        </w:rPr>
      </w:pPr>
    </w:p>
    <w:p w14:paraId="40CC9DA5" w14:textId="77777777" w:rsidR="00E003E1" w:rsidRPr="00E003E1" w:rsidRDefault="00E003E1" w:rsidP="00E003E1">
      <w:pPr>
        <w:spacing w:after="0" w:line="240" w:lineRule="auto"/>
        <w:rPr>
          <w:rFonts w:ascii="Verdana" w:eastAsia="Geomanist Light" w:hAnsi="Verdana" w:cs="Arial"/>
          <w:lang w:val="es-MX"/>
        </w:rPr>
      </w:pPr>
    </w:p>
    <w:p w14:paraId="04C894B1" w14:textId="77777777" w:rsidR="00E003E1" w:rsidRPr="00E003E1" w:rsidRDefault="00E003E1" w:rsidP="00E003E1">
      <w:pPr>
        <w:spacing w:after="0" w:line="240" w:lineRule="auto"/>
        <w:rPr>
          <w:rFonts w:ascii="Verdana" w:eastAsia="Geomanist Light" w:hAnsi="Verdana" w:cs="Arial"/>
          <w:lang w:val="es-MX"/>
        </w:rPr>
      </w:pPr>
    </w:p>
    <w:p w14:paraId="1DFD044C" w14:textId="77777777" w:rsidR="00E003E1" w:rsidRPr="00E003E1" w:rsidRDefault="00E003E1" w:rsidP="00E003E1">
      <w:pPr>
        <w:spacing w:after="0" w:line="240" w:lineRule="auto"/>
        <w:rPr>
          <w:rFonts w:ascii="Verdana" w:eastAsia="Geomanist Light" w:hAnsi="Verdana" w:cs="Arial"/>
          <w:lang w:val="es-MX"/>
        </w:rPr>
      </w:pPr>
    </w:p>
    <w:p w14:paraId="0E9AA1B8" w14:textId="77777777" w:rsidR="00E003E1" w:rsidRPr="00E003E1" w:rsidRDefault="00E003E1" w:rsidP="00E003E1">
      <w:pPr>
        <w:spacing w:after="0" w:line="240" w:lineRule="auto"/>
        <w:rPr>
          <w:rFonts w:ascii="Verdana" w:eastAsia="Geomanist Light" w:hAnsi="Verdana" w:cs="Arial"/>
          <w:lang w:val="es-MX"/>
        </w:rPr>
      </w:pPr>
    </w:p>
    <w:p w14:paraId="5D3AB59B" w14:textId="77777777" w:rsidR="00E003E1" w:rsidRPr="00E003E1" w:rsidRDefault="00E003E1" w:rsidP="00E003E1">
      <w:pPr>
        <w:spacing w:after="0" w:line="240" w:lineRule="auto"/>
        <w:rPr>
          <w:rFonts w:ascii="Verdana" w:eastAsia="Geomanist Light" w:hAnsi="Verdana" w:cs="Arial"/>
          <w:lang w:val="es-MX"/>
        </w:rPr>
      </w:pPr>
    </w:p>
    <w:p w14:paraId="3055EA21" w14:textId="77777777" w:rsidR="00E003E1" w:rsidRPr="00E003E1" w:rsidRDefault="00E003E1" w:rsidP="00E003E1">
      <w:pPr>
        <w:spacing w:after="0" w:line="240" w:lineRule="auto"/>
        <w:rPr>
          <w:rFonts w:ascii="Verdana" w:eastAsia="Geomanist Light" w:hAnsi="Verdana" w:cs="Arial"/>
          <w:lang w:val="es-MX"/>
        </w:rPr>
      </w:pPr>
    </w:p>
    <w:p w14:paraId="6B03C043" w14:textId="77777777" w:rsidR="00E003E1" w:rsidRPr="00E003E1" w:rsidRDefault="00E003E1" w:rsidP="00E003E1">
      <w:pPr>
        <w:spacing w:after="0" w:line="240" w:lineRule="auto"/>
        <w:rPr>
          <w:rFonts w:ascii="Verdana" w:eastAsia="Geomanist Light" w:hAnsi="Verdana" w:cs="Arial"/>
          <w:lang w:val="es-MX"/>
        </w:rPr>
      </w:pPr>
    </w:p>
    <w:p w14:paraId="09F3C719" w14:textId="77777777" w:rsidR="00E003E1" w:rsidRPr="00E003E1" w:rsidRDefault="00E003E1" w:rsidP="00E003E1">
      <w:pPr>
        <w:spacing w:after="0" w:line="240" w:lineRule="auto"/>
        <w:rPr>
          <w:rFonts w:ascii="Verdana" w:eastAsia="Geomanist Light" w:hAnsi="Verdana" w:cs="Arial"/>
          <w:lang w:val="es-MX"/>
        </w:rPr>
      </w:pPr>
    </w:p>
    <w:p w14:paraId="6829CE31" w14:textId="77777777" w:rsidR="00E003E1" w:rsidRPr="00E003E1" w:rsidRDefault="00E003E1" w:rsidP="00E003E1">
      <w:pPr>
        <w:spacing w:after="0" w:line="240" w:lineRule="auto"/>
        <w:rPr>
          <w:rFonts w:ascii="Verdana" w:eastAsia="Geomanist Light" w:hAnsi="Verdana" w:cs="Arial"/>
          <w:lang w:val="es-MX"/>
        </w:rPr>
      </w:pPr>
    </w:p>
    <w:p w14:paraId="26D80BEA" w14:textId="77777777" w:rsidR="00E003E1" w:rsidRPr="00E003E1" w:rsidRDefault="00E003E1" w:rsidP="00E003E1">
      <w:pPr>
        <w:spacing w:after="0" w:line="240" w:lineRule="auto"/>
        <w:rPr>
          <w:rFonts w:ascii="Verdana" w:eastAsia="Geomanist Light" w:hAnsi="Verdana" w:cs="Arial"/>
          <w:lang w:val="es-MX"/>
        </w:rPr>
      </w:pPr>
    </w:p>
    <w:p w14:paraId="494DC8E1" w14:textId="77777777" w:rsidR="00E003E1" w:rsidRPr="00E003E1" w:rsidRDefault="00E003E1" w:rsidP="00E003E1">
      <w:pPr>
        <w:spacing w:after="0" w:line="240" w:lineRule="auto"/>
        <w:rPr>
          <w:rFonts w:ascii="Verdana" w:eastAsia="Geomanist Light" w:hAnsi="Verdana" w:cs="Arial"/>
          <w:lang w:val="es-MX"/>
        </w:rPr>
      </w:pPr>
    </w:p>
    <w:p w14:paraId="48203468" w14:textId="77777777" w:rsidR="00E003E1" w:rsidRPr="00E003E1" w:rsidRDefault="00E003E1" w:rsidP="00E003E1">
      <w:pPr>
        <w:spacing w:after="0" w:line="240" w:lineRule="auto"/>
        <w:rPr>
          <w:rFonts w:ascii="Verdana" w:eastAsia="Geomanist Light" w:hAnsi="Verdana" w:cs="Arial"/>
          <w:lang w:val="es-MX"/>
        </w:rPr>
      </w:pPr>
    </w:p>
    <w:p w14:paraId="16875D5D" w14:textId="77777777" w:rsidR="00E003E1" w:rsidRPr="00E003E1" w:rsidRDefault="00E003E1" w:rsidP="00E003E1">
      <w:pPr>
        <w:spacing w:after="0" w:line="240" w:lineRule="auto"/>
        <w:rPr>
          <w:rFonts w:ascii="Verdana" w:eastAsia="Geomanist Light" w:hAnsi="Verdana" w:cs="Arial"/>
          <w:lang w:val="es-MX"/>
        </w:rPr>
      </w:pPr>
    </w:p>
    <w:p w14:paraId="62157B9F" w14:textId="77777777" w:rsidR="00E003E1" w:rsidRPr="00E003E1" w:rsidRDefault="00E003E1" w:rsidP="00E003E1">
      <w:pPr>
        <w:spacing w:after="0" w:line="240" w:lineRule="auto"/>
        <w:rPr>
          <w:rFonts w:ascii="Verdana" w:eastAsia="Geomanist Light" w:hAnsi="Verdana" w:cs="Arial"/>
          <w:lang w:val="es-MX"/>
        </w:rPr>
      </w:pPr>
    </w:p>
    <w:p w14:paraId="6D345D7F" w14:textId="77777777" w:rsidR="00E003E1" w:rsidRPr="00E003E1" w:rsidRDefault="00E003E1" w:rsidP="00E003E1">
      <w:pPr>
        <w:spacing w:after="0" w:line="240" w:lineRule="auto"/>
        <w:rPr>
          <w:rFonts w:ascii="Verdana" w:eastAsia="Geomanist Light" w:hAnsi="Verdana" w:cs="Arial"/>
          <w:lang w:val="es-MX"/>
        </w:rPr>
      </w:pPr>
    </w:p>
    <w:p w14:paraId="0CF3D012" w14:textId="77777777" w:rsidR="00E003E1" w:rsidRPr="00E003E1" w:rsidRDefault="00E003E1" w:rsidP="00E003E1">
      <w:pPr>
        <w:spacing w:after="0" w:line="240" w:lineRule="auto"/>
        <w:rPr>
          <w:rFonts w:ascii="Verdana" w:eastAsia="Geomanist Light" w:hAnsi="Verdana" w:cs="Arial"/>
          <w:lang w:val="es-MX"/>
        </w:rPr>
      </w:pPr>
    </w:p>
    <w:p w14:paraId="0081EAA1" w14:textId="77777777" w:rsidR="00E003E1" w:rsidRPr="00E003E1" w:rsidRDefault="00E003E1" w:rsidP="00E003E1">
      <w:pPr>
        <w:spacing w:after="0" w:line="240" w:lineRule="auto"/>
        <w:rPr>
          <w:rFonts w:ascii="Verdana" w:eastAsia="Geomanist Light" w:hAnsi="Verdana" w:cs="Arial"/>
          <w:lang w:val="es-MX"/>
        </w:rPr>
      </w:pPr>
    </w:p>
    <w:p w14:paraId="1312DCC9" w14:textId="77777777" w:rsidR="00E003E1" w:rsidRPr="00E003E1" w:rsidRDefault="00E003E1" w:rsidP="00E003E1">
      <w:pPr>
        <w:spacing w:after="0" w:line="240" w:lineRule="auto"/>
        <w:rPr>
          <w:rFonts w:ascii="Verdana" w:eastAsia="Geomanist Light" w:hAnsi="Verdana" w:cs="Arial"/>
          <w:lang w:val="es-MX"/>
        </w:rPr>
      </w:pPr>
    </w:p>
    <w:p w14:paraId="55ACCAA2" w14:textId="77777777" w:rsidR="00E003E1" w:rsidRPr="00E003E1" w:rsidRDefault="00E003E1" w:rsidP="00E003E1">
      <w:pPr>
        <w:spacing w:after="0" w:line="240" w:lineRule="auto"/>
        <w:rPr>
          <w:rFonts w:ascii="Verdana" w:eastAsia="Geomanist Light" w:hAnsi="Verdana" w:cs="Arial"/>
          <w:lang w:val="es-MX"/>
        </w:rPr>
      </w:pPr>
    </w:p>
    <w:p w14:paraId="60E6965C" w14:textId="77777777" w:rsidR="00E003E1" w:rsidRPr="00E003E1" w:rsidRDefault="00E003E1" w:rsidP="00E003E1">
      <w:pPr>
        <w:spacing w:after="0" w:line="240" w:lineRule="auto"/>
        <w:rPr>
          <w:rFonts w:ascii="Verdana" w:eastAsia="Geomanist Light" w:hAnsi="Verdana" w:cs="Arial"/>
          <w:lang w:val="es-MX"/>
        </w:rPr>
      </w:pPr>
    </w:p>
    <w:p w14:paraId="09231FFE" w14:textId="77777777" w:rsidR="00E003E1" w:rsidRPr="00E003E1" w:rsidRDefault="00E003E1" w:rsidP="00E003E1">
      <w:pPr>
        <w:spacing w:after="0" w:line="240" w:lineRule="auto"/>
        <w:rPr>
          <w:rFonts w:ascii="Verdana" w:eastAsia="Geomanist Light" w:hAnsi="Verdana" w:cs="Arial"/>
          <w:lang w:val="es-MX"/>
        </w:rPr>
      </w:pPr>
    </w:p>
    <w:p w14:paraId="238EFB36" w14:textId="77777777" w:rsidR="00E003E1" w:rsidRPr="00E003E1" w:rsidRDefault="00E003E1" w:rsidP="00E003E1">
      <w:pPr>
        <w:spacing w:after="0" w:line="240" w:lineRule="auto"/>
        <w:rPr>
          <w:rFonts w:ascii="Verdana" w:eastAsia="Geomanist Light" w:hAnsi="Verdana" w:cs="Arial"/>
          <w:lang w:val="es-MX"/>
        </w:rPr>
      </w:pPr>
    </w:p>
    <w:p w14:paraId="3F481957" w14:textId="77777777" w:rsidR="00E003E1" w:rsidRPr="00E003E1" w:rsidRDefault="00E003E1" w:rsidP="00E003E1">
      <w:pPr>
        <w:spacing w:after="0" w:line="240" w:lineRule="auto"/>
        <w:rPr>
          <w:rFonts w:ascii="Verdana" w:eastAsia="Geomanist Light" w:hAnsi="Verdana" w:cs="Arial"/>
          <w:lang w:val="es-MX"/>
        </w:rPr>
      </w:pPr>
    </w:p>
    <w:p w14:paraId="4C00E676" w14:textId="77777777" w:rsidR="00E003E1" w:rsidRPr="00E003E1" w:rsidRDefault="00E003E1" w:rsidP="00E003E1">
      <w:pPr>
        <w:spacing w:after="0" w:line="240" w:lineRule="auto"/>
        <w:rPr>
          <w:rFonts w:ascii="Verdana" w:eastAsia="Geomanist Light" w:hAnsi="Verdana" w:cs="Arial"/>
          <w:lang w:val="es-MX"/>
        </w:rPr>
      </w:pPr>
    </w:p>
    <w:p w14:paraId="6F0E829F" w14:textId="77777777" w:rsidR="00E003E1" w:rsidRPr="00E003E1" w:rsidRDefault="00E003E1" w:rsidP="00E003E1">
      <w:pPr>
        <w:spacing w:after="0" w:line="240" w:lineRule="auto"/>
        <w:rPr>
          <w:rFonts w:ascii="Verdana" w:eastAsia="Geomanist Light" w:hAnsi="Verdana" w:cs="Arial"/>
          <w:lang w:val="es-MX"/>
        </w:rPr>
      </w:pPr>
    </w:p>
    <w:p w14:paraId="518B1935" w14:textId="75AB007C" w:rsidR="00E003E1" w:rsidRPr="00E003E1" w:rsidRDefault="00E003E1" w:rsidP="00E003E1">
      <w:pPr>
        <w:spacing w:after="0" w:line="240" w:lineRule="auto"/>
        <w:jc w:val="both"/>
        <w:rPr>
          <w:rFonts w:ascii="Verdana" w:eastAsia="Calibri" w:hAnsi="Verdana" w:cs="Arial"/>
          <w:lang w:val="es-ES"/>
        </w:rPr>
      </w:pPr>
      <w:r w:rsidRPr="0044528D">
        <w:rPr>
          <w:rFonts w:ascii="Verdana" w:hAnsi="Verdana"/>
        </w:rPr>
        <w:lastRenderedPageBreak/>
        <w:t xml:space="preserve">Bogotá D.C., </w:t>
      </w:r>
      <w:r w:rsidR="00C15B47">
        <w:rPr>
          <w:rFonts w:ascii="Verdana" w:hAnsi="Verdana"/>
        </w:rPr>
        <w:t>23 de julio de 2024</w:t>
      </w:r>
    </w:p>
    <w:p w14:paraId="6052F4FF" w14:textId="77777777" w:rsidR="00E003E1" w:rsidRDefault="00E003E1" w:rsidP="00E003E1">
      <w:pPr>
        <w:spacing w:after="0" w:line="240" w:lineRule="auto"/>
        <w:jc w:val="both"/>
        <w:rPr>
          <w:rFonts w:ascii="Verdana" w:eastAsia="Calibri" w:hAnsi="Verdana" w:cs="Arial"/>
          <w:lang w:val="es-ES"/>
        </w:rPr>
      </w:pPr>
    </w:p>
    <w:p w14:paraId="3DAB9656" w14:textId="6BAD2919" w:rsidR="00E003E1" w:rsidRPr="00E003E1" w:rsidRDefault="006E11BE" w:rsidP="00E003E1">
      <w:pPr>
        <w:spacing w:after="0" w:line="240" w:lineRule="auto"/>
        <w:jc w:val="both"/>
        <w:rPr>
          <w:rFonts w:ascii="Verdana" w:eastAsia="Calibri" w:hAnsi="Verdana" w:cs="Arial"/>
          <w:lang w:val="es-ES"/>
        </w:rPr>
      </w:pPr>
      <w:r w:rsidRPr="006E11BE">
        <w:rPr>
          <w:rFonts w:ascii="Verdana" w:eastAsia="Calibri" w:hAnsi="Verdana" w:cs="Arial"/>
          <w:lang w:val="es-ES" w:eastAsia="es-ES"/>
        </w:rPr>
        <w:drawing>
          <wp:anchor distT="0" distB="0" distL="114300" distR="114300" simplePos="0" relativeHeight="251658240" behindDoc="0" locked="0" layoutInCell="1" allowOverlap="1" wp14:anchorId="60E5BB33" wp14:editId="2CAA698C">
            <wp:simplePos x="0" y="0"/>
            <wp:positionH relativeFrom="margin">
              <wp:align>right</wp:align>
            </wp:positionH>
            <wp:positionV relativeFrom="paragraph">
              <wp:posOffset>5080</wp:posOffset>
            </wp:positionV>
            <wp:extent cx="2752725" cy="814743"/>
            <wp:effectExtent l="0" t="0" r="0" b="4445"/>
            <wp:wrapNone/>
            <wp:docPr id="57534429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44292"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752725" cy="814743"/>
                    </a:xfrm>
                    <a:prstGeom prst="rect">
                      <a:avLst/>
                    </a:prstGeom>
                  </pic:spPr>
                </pic:pic>
              </a:graphicData>
            </a:graphic>
            <wp14:sizeRelH relativeFrom="margin">
              <wp14:pctWidth>0</wp14:pctWidth>
            </wp14:sizeRelH>
            <wp14:sizeRelV relativeFrom="margin">
              <wp14:pctHeight>0</wp14:pctHeight>
            </wp14:sizeRelV>
          </wp:anchor>
        </w:drawing>
      </w:r>
    </w:p>
    <w:p w14:paraId="698DC64E" w14:textId="77777777" w:rsidR="00E003E1" w:rsidRPr="00E003E1" w:rsidRDefault="00E003E1" w:rsidP="00E003E1">
      <w:pPr>
        <w:spacing w:after="0" w:line="240" w:lineRule="auto"/>
        <w:jc w:val="both"/>
        <w:rPr>
          <w:rFonts w:ascii="Verdana" w:eastAsia="Calibri" w:hAnsi="Verdana" w:cs="Arial"/>
          <w:lang w:val="es-ES" w:eastAsia="es-ES"/>
        </w:rPr>
      </w:pPr>
      <w:r w:rsidRPr="00E003E1">
        <w:rPr>
          <w:rFonts w:ascii="Verdana" w:eastAsia="Calibri" w:hAnsi="Verdana" w:cs="Arial"/>
          <w:lang w:val="es-ES" w:eastAsia="es-ES"/>
        </w:rPr>
        <w:t>Señor</w:t>
      </w:r>
    </w:p>
    <w:p w14:paraId="7EFD9F36" w14:textId="6CA1D01E" w:rsidR="00E003E1" w:rsidRPr="00E003E1" w:rsidRDefault="00E003E1" w:rsidP="00E003E1">
      <w:pPr>
        <w:spacing w:after="0" w:line="240" w:lineRule="auto"/>
        <w:rPr>
          <w:rFonts w:ascii="Verdana" w:eastAsia="Calibri" w:hAnsi="Verdana" w:cs="Arial"/>
          <w:lang w:val="es-ES" w:eastAsia="es-ES"/>
        </w:rPr>
      </w:pPr>
      <w:r w:rsidRPr="00E003E1">
        <w:rPr>
          <w:rFonts w:ascii="Verdana" w:eastAsia="Calibri" w:hAnsi="Verdana" w:cs="Arial"/>
          <w:b/>
          <w:lang w:val="es-ES_tradnl" w:eastAsia="es-ES_tradnl"/>
        </w:rPr>
        <w:t xml:space="preserve">Santiago </w:t>
      </w:r>
      <w:r w:rsidR="00672596" w:rsidRPr="00E003E1">
        <w:rPr>
          <w:rFonts w:ascii="Verdana" w:eastAsia="Calibri" w:hAnsi="Verdana" w:cs="Arial"/>
          <w:b/>
          <w:lang w:val="es-ES_tradnl" w:eastAsia="es-ES_tradnl"/>
        </w:rPr>
        <w:t>Andrés</w:t>
      </w:r>
      <w:r w:rsidRPr="00E003E1">
        <w:rPr>
          <w:rFonts w:ascii="Verdana" w:eastAsia="Calibri" w:hAnsi="Verdana" w:cs="Arial"/>
          <w:b/>
          <w:lang w:val="es-ES_tradnl" w:eastAsia="es-ES_tradnl"/>
        </w:rPr>
        <w:t xml:space="preserve"> Sánchez Mantilla</w:t>
      </w:r>
    </w:p>
    <w:p w14:paraId="62D1C4A4" w14:textId="02FE2A65" w:rsidR="00E003E1" w:rsidRPr="00E003E1" w:rsidRDefault="00E003E1" w:rsidP="00E003E1">
      <w:pPr>
        <w:spacing w:after="0" w:line="240" w:lineRule="auto"/>
        <w:rPr>
          <w:rFonts w:ascii="Verdana" w:eastAsia="Calibri" w:hAnsi="Verdana" w:cs="Arial"/>
          <w:lang w:val="es-ES" w:eastAsia="es-ES"/>
        </w:rPr>
      </w:pPr>
      <w:r w:rsidRPr="00E003E1">
        <w:rPr>
          <w:rFonts w:ascii="Verdana" w:eastAsia="Calibri" w:hAnsi="Verdana" w:cs="Arial"/>
          <w:lang w:val="es-ES" w:eastAsia="es-ES"/>
        </w:rPr>
        <w:t>Gerente – Infraestructura y Vías S.A.S.</w:t>
      </w:r>
      <w:r w:rsidR="006E11BE" w:rsidRPr="006E11BE">
        <w:rPr>
          <w:noProof/>
        </w:rPr>
        <w:t xml:space="preserve"> </w:t>
      </w:r>
    </w:p>
    <w:p w14:paraId="2471A251" w14:textId="77777777" w:rsidR="00E003E1" w:rsidRPr="00E003E1" w:rsidRDefault="00E003E1" w:rsidP="00E003E1">
      <w:pPr>
        <w:spacing w:after="0" w:line="240" w:lineRule="auto"/>
        <w:rPr>
          <w:rFonts w:ascii="Verdana" w:eastAsia="Calibri" w:hAnsi="Verdana" w:cs="Arial"/>
          <w:b/>
          <w:bCs/>
          <w:lang w:val="es-ES" w:eastAsia="es-ES"/>
        </w:rPr>
      </w:pPr>
      <w:r w:rsidRPr="00E003E1">
        <w:rPr>
          <w:rFonts w:ascii="Verdana" w:eastAsia="Calibri" w:hAnsi="Verdana" w:cs="Arial"/>
          <w:lang w:val="es-ES" w:eastAsia="es-ES"/>
        </w:rPr>
        <w:t>Bucaramanga, Santander</w:t>
      </w:r>
    </w:p>
    <w:p w14:paraId="366CD5FE" w14:textId="77777777" w:rsidR="00E003E1" w:rsidRPr="00E003E1" w:rsidRDefault="00E003E1" w:rsidP="00E003E1">
      <w:pPr>
        <w:spacing w:after="0" w:line="240" w:lineRule="auto"/>
        <w:rPr>
          <w:rFonts w:ascii="Verdana" w:eastAsia="Calibri" w:hAnsi="Verdana" w:cs="Arial"/>
          <w:b/>
          <w:bCs/>
          <w:lang w:val="es-ES_tradnl" w:eastAsia="es-ES_tradnl"/>
        </w:rPr>
      </w:pPr>
    </w:p>
    <w:p w14:paraId="085A3F94" w14:textId="77777777" w:rsidR="00E003E1" w:rsidRPr="00E003E1" w:rsidRDefault="00E003E1" w:rsidP="00E003E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003E1" w:rsidRPr="00E003E1" w14:paraId="539E1BF1" w14:textId="77777777" w:rsidTr="00ED4BC2">
        <w:trPr>
          <w:trHeight w:val="884"/>
        </w:trPr>
        <w:tc>
          <w:tcPr>
            <w:tcW w:w="2689" w:type="dxa"/>
          </w:tcPr>
          <w:p w14:paraId="0945BD20" w14:textId="77777777" w:rsidR="00E003E1" w:rsidRPr="00E003E1" w:rsidRDefault="00E003E1" w:rsidP="00E003E1">
            <w:pPr>
              <w:jc w:val="both"/>
              <w:rPr>
                <w:rFonts w:ascii="Verdana" w:eastAsia="Calibri" w:hAnsi="Verdana" w:cs="Arial"/>
                <w:b/>
                <w:bCs/>
                <w:lang w:val="es-ES_tradnl" w:eastAsia="es-ES_tradnl"/>
              </w:rPr>
            </w:pPr>
          </w:p>
        </w:tc>
        <w:tc>
          <w:tcPr>
            <w:tcW w:w="6100" w:type="dxa"/>
          </w:tcPr>
          <w:p w14:paraId="53753C7B" w14:textId="77777777" w:rsidR="00E003E1" w:rsidRPr="00E003E1" w:rsidRDefault="00E003E1" w:rsidP="00E003E1">
            <w:pPr>
              <w:jc w:val="both"/>
              <w:rPr>
                <w:rFonts w:ascii="Verdana" w:eastAsia="Calibri" w:hAnsi="Verdana" w:cs="Arial"/>
                <w:b/>
                <w:bCs/>
                <w:lang w:val="es-ES" w:eastAsia="es-ES"/>
              </w:rPr>
            </w:pPr>
            <w:r w:rsidRPr="00E003E1">
              <w:rPr>
                <w:rFonts w:ascii="Verdana" w:eastAsia="Calibri" w:hAnsi="Verdana" w:cs="Arial"/>
                <w:b/>
                <w:bCs/>
                <w:lang w:val="es-ES" w:eastAsia="es-ES"/>
              </w:rPr>
              <w:t>Concepto C – 160 de 2024</w:t>
            </w:r>
          </w:p>
        </w:tc>
      </w:tr>
      <w:tr w:rsidR="00E003E1" w:rsidRPr="00E003E1" w14:paraId="729843A0" w14:textId="77777777" w:rsidTr="00ED4BC2">
        <w:trPr>
          <w:trHeight w:val="884"/>
        </w:trPr>
        <w:tc>
          <w:tcPr>
            <w:tcW w:w="2689" w:type="dxa"/>
          </w:tcPr>
          <w:p w14:paraId="73A2BD8C" w14:textId="77777777" w:rsidR="00E003E1" w:rsidRPr="00E003E1" w:rsidRDefault="00E003E1" w:rsidP="00E003E1">
            <w:pPr>
              <w:jc w:val="both"/>
              <w:rPr>
                <w:rFonts w:ascii="Verdana" w:eastAsia="Calibri" w:hAnsi="Verdana" w:cs="Arial"/>
                <w:lang w:val="es-ES_tradnl" w:eastAsia="es-ES_tradnl"/>
              </w:rPr>
            </w:pPr>
            <w:r w:rsidRPr="00E003E1">
              <w:rPr>
                <w:rFonts w:ascii="Verdana" w:eastAsia="Calibri" w:hAnsi="Verdana" w:cs="Arial"/>
                <w:b/>
                <w:lang w:val="es-ES_tradnl" w:eastAsia="es-ES_tradnl"/>
              </w:rPr>
              <w:t>Temas:</w:t>
            </w:r>
            <w:r w:rsidRPr="00E003E1">
              <w:rPr>
                <w:rFonts w:ascii="Verdana" w:eastAsia="Calibri" w:hAnsi="Verdana" w:cs="Arial"/>
                <w:lang w:val="es-ES_tradnl" w:eastAsia="es-ES_tradnl"/>
              </w:rPr>
              <w:t xml:space="preserve">                   </w:t>
            </w:r>
          </w:p>
        </w:tc>
        <w:tc>
          <w:tcPr>
            <w:tcW w:w="6100" w:type="dxa"/>
          </w:tcPr>
          <w:p w14:paraId="454E8B43" w14:textId="77777777" w:rsidR="00E003E1" w:rsidRPr="00E003E1" w:rsidRDefault="00E003E1" w:rsidP="00E003E1">
            <w:pPr>
              <w:snapToGrid w:val="0"/>
              <w:spacing w:line="276" w:lineRule="auto"/>
              <w:jc w:val="both"/>
              <w:rPr>
                <w:rFonts w:ascii="Verdana" w:eastAsia="Calibri" w:hAnsi="Verdana" w:cs="Arial"/>
                <w:bCs/>
                <w:color w:val="000000"/>
                <w:lang w:val="es-ES_tradnl" w:eastAsia="es-MX"/>
              </w:rPr>
            </w:pPr>
            <w:r w:rsidRPr="00E003E1">
              <w:rPr>
                <w:rFonts w:ascii="Verdana" w:eastAsia="Calibri" w:hAnsi="Verdana" w:cs="Arial"/>
                <w:bCs/>
                <w:color w:val="000000"/>
                <w:lang w:val="es-ES_tradnl" w:eastAsia="es-MX"/>
              </w:rPr>
              <w:t xml:space="preserve">REQUISITOS HABILITANTES – Noción / CAPACIDAD RESIDUAL – Definición – Saldos de Contratos en Ejecución - </w:t>
            </w:r>
            <w:r w:rsidRPr="00E003E1">
              <w:rPr>
                <w:rFonts w:ascii="Verdana" w:eastAsia="Calibri" w:hAnsi="Verdana" w:cs="Arial"/>
                <w:bCs/>
                <w:color w:val="000000"/>
                <w:lang w:val="es-MX" w:eastAsia="en-GB"/>
              </w:rPr>
              <w:t xml:space="preserve">Guía para Determinar y Verificar la Capacidad Residual del Proponente en los Procesos de Contratación de Obra Pública / </w:t>
            </w:r>
            <w:r w:rsidRPr="00E003E1">
              <w:rPr>
                <w:rFonts w:ascii="Verdana" w:eastAsia="Calibri" w:hAnsi="Verdana" w:cs="Arial"/>
                <w:bCs/>
                <w:lang w:val="es-ES_tradnl" w:eastAsia="es-ES_tradnl"/>
              </w:rPr>
              <w:t>SUBSANABILIDAD – Regla general – Aspectos subsanables</w:t>
            </w:r>
          </w:p>
          <w:p w14:paraId="7141564A" w14:textId="77777777" w:rsidR="00E003E1" w:rsidRPr="00E003E1" w:rsidRDefault="00E003E1" w:rsidP="00E003E1">
            <w:pPr>
              <w:spacing w:line="276" w:lineRule="auto"/>
              <w:jc w:val="both"/>
              <w:rPr>
                <w:rFonts w:ascii="Verdana" w:eastAsia="Calibri" w:hAnsi="Verdana" w:cs="Arial"/>
                <w:bCs/>
                <w:lang w:val="es-ES" w:eastAsia="es-ES"/>
              </w:rPr>
            </w:pPr>
          </w:p>
        </w:tc>
      </w:tr>
      <w:tr w:rsidR="00E003E1" w:rsidRPr="00E003E1" w14:paraId="1ADCC971" w14:textId="77777777" w:rsidTr="00ED4BC2">
        <w:tc>
          <w:tcPr>
            <w:tcW w:w="2689" w:type="dxa"/>
          </w:tcPr>
          <w:p w14:paraId="56673CF2" w14:textId="77777777" w:rsidR="00E003E1" w:rsidRPr="00E003E1" w:rsidRDefault="00E003E1" w:rsidP="00E003E1">
            <w:pPr>
              <w:jc w:val="both"/>
              <w:rPr>
                <w:rFonts w:ascii="Verdana" w:eastAsia="Calibri" w:hAnsi="Verdana" w:cs="Arial"/>
                <w:b/>
                <w:lang w:val="es-ES_tradnl" w:eastAsia="es-ES_tradnl"/>
              </w:rPr>
            </w:pPr>
            <w:r w:rsidRPr="00E003E1">
              <w:rPr>
                <w:rFonts w:ascii="Verdana" w:eastAsia="Calibri" w:hAnsi="Verdana" w:cs="Arial"/>
                <w:b/>
                <w:lang w:val="es-ES_tradnl" w:eastAsia="es-ES_tradnl"/>
              </w:rPr>
              <w:t>Radicación:</w:t>
            </w:r>
            <w:r w:rsidRPr="00E003E1">
              <w:rPr>
                <w:rFonts w:ascii="Verdana" w:eastAsia="Calibri" w:hAnsi="Verdana" w:cs="Arial"/>
                <w:lang w:val="es-ES_tradnl" w:eastAsia="es-ES_tradnl"/>
              </w:rPr>
              <w:t xml:space="preserve">               </w:t>
            </w:r>
          </w:p>
        </w:tc>
        <w:tc>
          <w:tcPr>
            <w:tcW w:w="6100" w:type="dxa"/>
          </w:tcPr>
          <w:p w14:paraId="5199F870" w14:textId="77777777" w:rsidR="00E003E1" w:rsidRPr="00E003E1" w:rsidRDefault="00E003E1" w:rsidP="00E003E1">
            <w:pPr>
              <w:jc w:val="both"/>
              <w:rPr>
                <w:rFonts w:ascii="Verdana" w:eastAsia="Calibri" w:hAnsi="Verdana" w:cs="Arial"/>
                <w:lang w:val="es-ES_tradnl" w:eastAsia="es-ES_tradnl"/>
              </w:rPr>
            </w:pPr>
            <w:r w:rsidRPr="00E003E1">
              <w:rPr>
                <w:rFonts w:ascii="Verdana" w:eastAsia="Calibri" w:hAnsi="Verdana" w:cs="Arial"/>
                <w:lang w:val="es-ES_tradnl" w:eastAsia="es-ES_tradnl"/>
              </w:rPr>
              <w:t>Respuesta a consulta con radicado No. P20240607005939</w:t>
            </w:r>
          </w:p>
        </w:tc>
      </w:tr>
    </w:tbl>
    <w:p w14:paraId="2328A4FB" w14:textId="77777777" w:rsidR="00E003E1" w:rsidRPr="00E003E1" w:rsidRDefault="00E003E1" w:rsidP="00E003E1">
      <w:pPr>
        <w:spacing w:after="0" w:line="240" w:lineRule="auto"/>
        <w:jc w:val="both"/>
        <w:rPr>
          <w:rFonts w:ascii="Verdana" w:eastAsia="Calibri" w:hAnsi="Verdana" w:cs="Arial"/>
          <w:lang w:val="es-ES_tradnl" w:eastAsia="es-ES_tradnl"/>
        </w:rPr>
      </w:pPr>
    </w:p>
    <w:p w14:paraId="694DFC1C" w14:textId="77777777" w:rsidR="00E003E1" w:rsidRPr="00E003E1" w:rsidRDefault="00E003E1" w:rsidP="00E003E1">
      <w:pPr>
        <w:spacing w:after="0" w:line="240" w:lineRule="auto"/>
        <w:jc w:val="both"/>
        <w:rPr>
          <w:rFonts w:ascii="Verdana" w:eastAsia="Calibri" w:hAnsi="Verdana" w:cs="Arial"/>
          <w:lang w:val="es-ES_tradnl" w:eastAsia="es-ES_tradnl"/>
        </w:rPr>
      </w:pPr>
    </w:p>
    <w:p w14:paraId="6FCDB096" w14:textId="77777777" w:rsidR="00E003E1" w:rsidRPr="00E003E1" w:rsidRDefault="00E003E1" w:rsidP="00E003E1">
      <w:pPr>
        <w:spacing w:after="0" w:line="276" w:lineRule="auto"/>
        <w:jc w:val="both"/>
        <w:rPr>
          <w:rFonts w:ascii="Verdana" w:eastAsia="Calibri" w:hAnsi="Verdana" w:cs="Arial"/>
          <w:lang w:val="es-ES" w:eastAsia="es-ES"/>
        </w:rPr>
      </w:pPr>
      <w:r w:rsidRPr="00E003E1">
        <w:rPr>
          <w:rFonts w:ascii="Verdana" w:eastAsia="Calibri" w:hAnsi="Verdana" w:cs="Arial"/>
          <w:lang w:val="es-ES" w:eastAsia="es-ES"/>
        </w:rPr>
        <w:t xml:space="preserve">Estimado señor Sánchez Mantilla: </w:t>
      </w:r>
    </w:p>
    <w:p w14:paraId="40FC5258" w14:textId="77777777" w:rsidR="00E003E1" w:rsidRPr="00E003E1" w:rsidRDefault="00E003E1" w:rsidP="00E003E1">
      <w:pPr>
        <w:tabs>
          <w:tab w:val="left" w:pos="3768"/>
        </w:tabs>
        <w:spacing w:after="0" w:line="276" w:lineRule="auto"/>
        <w:jc w:val="both"/>
        <w:rPr>
          <w:rFonts w:ascii="Verdana" w:eastAsia="Calibri" w:hAnsi="Verdana" w:cs="Arial"/>
          <w:lang w:val="es-ES" w:eastAsia="es-ES"/>
        </w:rPr>
      </w:pPr>
      <w:r w:rsidRPr="00E003E1">
        <w:rPr>
          <w:rFonts w:ascii="Verdana" w:eastAsia="Calibri" w:hAnsi="Verdana" w:cs="Arial"/>
          <w:lang w:val="es-ES" w:eastAsia="es-ES"/>
        </w:rPr>
        <w:tab/>
      </w:r>
    </w:p>
    <w:p w14:paraId="2AEFCA85" w14:textId="77777777" w:rsidR="00E003E1" w:rsidRPr="00E003E1" w:rsidRDefault="00E003E1" w:rsidP="00E003E1">
      <w:pPr>
        <w:spacing w:after="0" w:line="276" w:lineRule="auto"/>
        <w:jc w:val="both"/>
        <w:rPr>
          <w:rFonts w:ascii="Verdana" w:eastAsia="Calibri" w:hAnsi="Verdana" w:cs="Arial"/>
          <w:lang w:val="es-ES" w:eastAsia="es-ES"/>
        </w:rPr>
      </w:pPr>
      <w:r w:rsidRPr="00E003E1">
        <w:rPr>
          <w:rFonts w:ascii="Verdana" w:eastAsia="Calibri" w:hAnsi="Verdana" w:cs="Arial"/>
          <w:lang w:val="es-ES" w:eastAsia="es-ES"/>
        </w:rPr>
        <w:t>En ejercicio de la competencia otorgada por los artículos 3, numeral 5º, y 11, numeral 8º, del Decreto Ley 4170 de 2011,</w:t>
      </w:r>
      <w:r w:rsidRPr="00E003E1">
        <w:rPr>
          <w:rFonts w:ascii="Verdana" w:eastAsia="Arial MT" w:hAnsi="Verdana" w:cs="Arial MT"/>
          <w:lang w:val="es-ES" w:eastAsia="es-ES"/>
        </w:rPr>
        <w:t xml:space="preserve"> </w:t>
      </w:r>
      <w:r w:rsidRPr="00E003E1">
        <w:rPr>
          <w:rFonts w:ascii="Verdana" w:eastAsia="Calibri" w:hAnsi="Verdana" w:cs="Arial"/>
        </w:rPr>
        <w:t xml:space="preserve">así como lo establecido en el artículo 4 de la Resolución 1707 de 2018 expedida por esta Entidad, </w:t>
      </w:r>
      <w:r w:rsidRPr="00E003E1">
        <w:rPr>
          <w:rFonts w:ascii="Verdana" w:eastAsia="Calibri" w:hAnsi="Verdana" w:cs="Arial"/>
          <w:lang w:val="es-ES" w:eastAsia="es-ES"/>
        </w:rPr>
        <w:t>la Agencia Nacional de Contratación Pública – Colombia Compra Eficiente– responde su solicitud de consulta de fecha 5 de junio de 2024. En relación con los documentos tipo, usted manifiesta lo siguiente:</w:t>
      </w:r>
    </w:p>
    <w:p w14:paraId="4C390DE8" w14:textId="77777777" w:rsidR="00E003E1" w:rsidRPr="00E003E1" w:rsidRDefault="00E003E1" w:rsidP="00E003E1">
      <w:pPr>
        <w:tabs>
          <w:tab w:val="left" w:pos="142"/>
          <w:tab w:val="left" w:pos="284"/>
        </w:tabs>
        <w:spacing w:line="276" w:lineRule="auto"/>
        <w:contextualSpacing/>
        <w:jc w:val="both"/>
        <w:rPr>
          <w:rFonts w:ascii="Verdana" w:eastAsia="Century Gothic" w:hAnsi="Verdana" w:cs="Century Gothic"/>
          <w:b/>
          <w:bCs/>
          <w:lang w:val="es-ES"/>
        </w:rPr>
      </w:pPr>
    </w:p>
    <w:p w14:paraId="43D762F6" w14:textId="70D973B1" w:rsidR="00E003E1" w:rsidRPr="00E003E1" w:rsidRDefault="00E003E1" w:rsidP="00E003E1">
      <w:pPr>
        <w:spacing w:after="0" w:line="240" w:lineRule="auto"/>
        <w:ind w:left="709" w:right="709"/>
        <w:jc w:val="both"/>
        <w:rPr>
          <w:rFonts w:ascii="Verdana" w:eastAsia="Century Gothic" w:hAnsi="Verdana" w:cs="Century Gothic"/>
          <w:sz w:val="20"/>
          <w:szCs w:val="20"/>
          <w:lang w:val="es-ES"/>
        </w:rPr>
      </w:pPr>
      <w:r w:rsidRPr="00E003E1">
        <w:rPr>
          <w:rFonts w:ascii="Verdana" w:eastAsia="Century Gothic" w:hAnsi="Verdana" w:cs="Century Gothic"/>
          <w:sz w:val="20"/>
          <w:szCs w:val="20"/>
          <w:lang w:val="es-ES"/>
        </w:rPr>
        <w:t xml:space="preserve">“1. Que sucede sin un oferente NO ADJUNTA el formato de SALDO DE CONTRATOS EN EJECUCION, al ser este un requisito habilitante y no haber manifestado de forma expresa que no tenia contratos en </w:t>
      </w:r>
      <w:r w:rsidR="001052BB" w:rsidRPr="00E003E1">
        <w:rPr>
          <w:rFonts w:ascii="Verdana" w:eastAsia="Century Gothic" w:hAnsi="Verdana" w:cs="Century Gothic"/>
          <w:sz w:val="20"/>
          <w:szCs w:val="20"/>
          <w:lang w:val="es-ES"/>
        </w:rPr>
        <w:t>ejecución</w:t>
      </w:r>
      <w:r w:rsidRPr="00E003E1">
        <w:rPr>
          <w:rFonts w:ascii="Verdana" w:eastAsia="Century Gothic" w:hAnsi="Verdana" w:cs="Century Gothic"/>
          <w:sz w:val="20"/>
          <w:szCs w:val="20"/>
          <w:lang w:val="es-ES"/>
        </w:rPr>
        <w:t>, es VALIDO que el proponente subsane el formato?</w:t>
      </w:r>
    </w:p>
    <w:p w14:paraId="38FC3D80" w14:textId="77777777" w:rsidR="00E003E1" w:rsidRPr="00E003E1" w:rsidRDefault="00E003E1" w:rsidP="00E003E1">
      <w:pPr>
        <w:spacing w:after="0" w:line="240" w:lineRule="auto"/>
        <w:ind w:left="709" w:right="709"/>
        <w:jc w:val="both"/>
        <w:rPr>
          <w:rFonts w:ascii="Verdana" w:eastAsia="Century Gothic" w:hAnsi="Verdana" w:cs="Century Gothic"/>
          <w:sz w:val="20"/>
          <w:szCs w:val="20"/>
          <w:lang w:val="es-ES"/>
        </w:rPr>
      </w:pPr>
      <w:r w:rsidRPr="00E003E1">
        <w:rPr>
          <w:rFonts w:ascii="Verdana" w:eastAsia="Century Gothic" w:hAnsi="Verdana" w:cs="Century Gothic"/>
          <w:sz w:val="20"/>
          <w:szCs w:val="20"/>
          <w:lang w:val="es-ES"/>
        </w:rPr>
        <w:t xml:space="preserve"> </w:t>
      </w:r>
    </w:p>
    <w:p w14:paraId="3FD031F0" w14:textId="77777777" w:rsidR="00E003E1" w:rsidRPr="00E003E1" w:rsidRDefault="00E003E1" w:rsidP="00E003E1">
      <w:pPr>
        <w:spacing w:after="0" w:line="240" w:lineRule="auto"/>
        <w:ind w:left="709" w:right="709"/>
        <w:jc w:val="both"/>
        <w:rPr>
          <w:rFonts w:ascii="Verdana" w:eastAsia="Calibri" w:hAnsi="Verdana" w:cs="Arial"/>
          <w:sz w:val="20"/>
          <w:szCs w:val="20"/>
          <w:shd w:val="clear" w:color="auto" w:fill="FFFFFF"/>
          <w:lang w:val="es-ES"/>
        </w:rPr>
      </w:pPr>
      <w:r w:rsidRPr="00E003E1">
        <w:rPr>
          <w:rFonts w:ascii="Verdana" w:eastAsia="Century Gothic" w:hAnsi="Verdana" w:cs="Century Gothic"/>
          <w:sz w:val="20"/>
          <w:szCs w:val="20"/>
          <w:lang w:val="es-ES"/>
        </w:rPr>
        <w:t>2. La ausencia del formato, se debe tomar como una manifestación expresa de que no tiene contratos en ejecución y no es posible subsanarlo?”</w:t>
      </w:r>
    </w:p>
    <w:p w14:paraId="3118A73E" w14:textId="77777777" w:rsidR="00E003E1" w:rsidRPr="00E003E1" w:rsidRDefault="00E003E1" w:rsidP="00E003E1">
      <w:pPr>
        <w:tabs>
          <w:tab w:val="left" w:pos="142"/>
          <w:tab w:val="left" w:pos="284"/>
        </w:tabs>
        <w:spacing w:line="276" w:lineRule="auto"/>
        <w:contextualSpacing/>
        <w:jc w:val="both"/>
        <w:rPr>
          <w:rFonts w:ascii="Verdana" w:eastAsia="Century Gothic" w:hAnsi="Verdana" w:cs="Century Gothic"/>
          <w:b/>
          <w:bCs/>
          <w:lang w:val="es-ES"/>
        </w:rPr>
      </w:pPr>
    </w:p>
    <w:p w14:paraId="19D4D44F" w14:textId="77777777" w:rsidR="00E003E1" w:rsidRPr="00E003E1" w:rsidRDefault="00E003E1" w:rsidP="00E003E1">
      <w:pPr>
        <w:spacing w:after="120" w:line="276" w:lineRule="auto"/>
        <w:ind w:firstLine="709"/>
        <w:jc w:val="both"/>
        <w:rPr>
          <w:rFonts w:ascii="Verdana" w:eastAsia="Calibri" w:hAnsi="Verdana" w:cs="Arial"/>
          <w:szCs w:val="24"/>
          <w:lang w:val="es-ES_tradnl" w:eastAsia="es-ES_tradnl"/>
        </w:rPr>
      </w:pPr>
      <w:r w:rsidRPr="00E003E1">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003E1">
        <w:rPr>
          <w:rFonts w:ascii="Verdana" w:eastAsia="Calibri" w:hAnsi="Verdana" w:cs="Arial"/>
          <w:szCs w:val="24"/>
          <w:lang w:val="es-ES_tradnl" w:eastAsia="es-ES_tradnl"/>
        </w:rPr>
        <w:tab/>
      </w:r>
    </w:p>
    <w:p w14:paraId="14E1ABED" w14:textId="77777777" w:rsidR="00E003E1" w:rsidRPr="00E003E1" w:rsidRDefault="00E003E1" w:rsidP="00E003E1">
      <w:pPr>
        <w:spacing w:after="0" w:line="276" w:lineRule="auto"/>
        <w:ind w:firstLine="709"/>
        <w:jc w:val="both"/>
        <w:rPr>
          <w:rFonts w:ascii="Verdana" w:eastAsia="Calibri" w:hAnsi="Verdana" w:cs="Arial"/>
          <w:lang w:val="es-ES" w:eastAsia="es-ES"/>
        </w:rPr>
      </w:pPr>
      <w:r w:rsidRPr="00E003E1">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08D52AE" w14:textId="77777777" w:rsidR="00E003E1" w:rsidRPr="00E003E1" w:rsidRDefault="00E003E1" w:rsidP="00E003E1">
      <w:pPr>
        <w:spacing w:after="0" w:line="276" w:lineRule="auto"/>
        <w:ind w:firstLine="709"/>
        <w:jc w:val="both"/>
        <w:rPr>
          <w:rFonts w:ascii="Verdana" w:eastAsia="Calibri" w:hAnsi="Verdana" w:cs="Arial"/>
          <w:lang w:val="es-ES" w:eastAsia="es-ES"/>
        </w:rPr>
      </w:pPr>
    </w:p>
    <w:p w14:paraId="38A99DCD" w14:textId="77777777" w:rsidR="00E003E1" w:rsidRPr="00E003E1" w:rsidRDefault="00E003E1" w:rsidP="00E003E1">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E003E1">
        <w:rPr>
          <w:rFonts w:ascii="Verdana" w:eastAsia="Century Gothic" w:hAnsi="Verdana" w:cs="Century Gothic"/>
          <w:b/>
          <w:bCs/>
          <w:lang w:val="es-ES"/>
        </w:rPr>
        <w:t>Problema planteado:</w:t>
      </w:r>
    </w:p>
    <w:p w14:paraId="5E178AFA" w14:textId="77777777" w:rsidR="00E003E1" w:rsidRPr="00E003E1" w:rsidRDefault="00E003E1" w:rsidP="00E003E1">
      <w:pPr>
        <w:tabs>
          <w:tab w:val="left" w:pos="426"/>
        </w:tabs>
        <w:spacing w:after="0" w:line="276" w:lineRule="auto"/>
        <w:jc w:val="both"/>
        <w:rPr>
          <w:rFonts w:ascii="Verdana" w:eastAsia="Century Gothic" w:hAnsi="Verdana" w:cs="Century Gothic"/>
          <w:lang w:val="es-ES"/>
        </w:rPr>
      </w:pPr>
    </w:p>
    <w:p w14:paraId="483B79ED" w14:textId="77777777" w:rsidR="00E003E1" w:rsidRPr="00E003E1" w:rsidRDefault="00E003E1" w:rsidP="00E003E1">
      <w:pPr>
        <w:snapToGrid w:val="0"/>
        <w:spacing w:after="0" w:line="276" w:lineRule="auto"/>
        <w:jc w:val="both"/>
        <w:rPr>
          <w:rFonts w:ascii="Verdana" w:eastAsia="Century Gothic" w:hAnsi="Verdana" w:cs="Century Gothic"/>
        </w:rPr>
      </w:pPr>
      <w:r w:rsidRPr="00E003E1">
        <w:rPr>
          <w:rFonts w:ascii="Verdana" w:eastAsia="Century Gothic" w:hAnsi="Verdana" w:cs="Century Gothic"/>
        </w:rPr>
        <w:t>De acuerdo con el contenido de su solicitud, esta Agencia resolverá el siguiente problema jurídico: ¿la ausencia del certificado de Saldos de Contratos en Ejecución (SCE) es subsanable y/o si ello debe entenderse como una manifestación expresa de no tener contratos en ejecución?</w:t>
      </w:r>
    </w:p>
    <w:p w14:paraId="2CC16286" w14:textId="77777777" w:rsidR="00E003E1" w:rsidRPr="00E003E1" w:rsidRDefault="00E003E1" w:rsidP="00E003E1">
      <w:pPr>
        <w:snapToGrid w:val="0"/>
        <w:spacing w:after="0" w:line="276" w:lineRule="auto"/>
        <w:jc w:val="both"/>
        <w:rPr>
          <w:rFonts w:ascii="Verdana" w:eastAsia="Calibri" w:hAnsi="Verdana" w:cs="Arial"/>
          <w:lang w:val="es-ES"/>
        </w:rPr>
      </w:pPr>
    </w:p>
    <w:p w14:paraId="11ED77F6" w14:textId="77777777" w:rsidR="00E003E1" w:rsidRPr="00E003E1" w:rsidRDefault="00E003E1" w:rsidP="00E003E1">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E003E1">
        <w:rPr>
          <w:rFonts w:ascii="Verdana" w:eastAsia="Century Gothic" w:hAnsi="Verdana" w:cs="Century Gothic"/>
          <w:b/>
          <w:bCs/>
          <w:lang w:val="es-ES"/>
        </w:rPr>
        <w:t>Respuesta:</w:t>
      </w:r>
    </w:p>
    <w:p w14:paraId="5E1FE491" w14:textId="77777777" w:rsidR="00E003E1" w:rsidRPr="00E003E1" w:rsidRDefault="00E003E1" w:rsidP="00E003E1">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003E1" w:rsidRPr="00E003E1" w14:paraId="6285234F" w14:textId="77777777" w:rsidTr="00ED4BC2">
        <w:tc>
          <w:tcPr>
            <w:tcW w:w="8828" w:type="dxa"/>
            <w:shd w:val="clear" w:color="auto" w:fill="auto"/>
          </w:tcPr>
          <w:p w14:paraId="08908477" w14:textId="77777777" w:rsidR="00E003E1" w:rsidRPr="00E003E1" w:rsidRDefault="00E003E1" w:rsidP="00E003E1">
            <w:pPr>
              <w:widowControl w:val="0"/>
              <w:autoSpaceDE w:val="0"/>
              <w:autoSpaceDN w:val="0"/>
              <w:snapToGrid w:val="0"/>
              <w:spacing w:line="276" w:lineRule="auto"/>
              <w:jc w:val="both"/>
              <w:rPr>
                <w:rFonts w:ascii="Verdana" w:eastAsia="Calibri" w:hAnsi="Verdana" w:cs="Arial"/>
                <w:lang w:val="es-ES_tradnl"/>
              </w:rPr>
            </w:pPr>
            <w:r w:rsidRPr="00E003E1">
              <w:rPr>
                <w:rFonts w:ascii="Verdana" w:eastAsia="Calibri" w:hAnsi="Verdana" w:cs="Arial"/>
                <w:lang w:val="es-ES_tradnl"/>
              </w:rPr>
              <w:t>Conforme a la “Guía para Determinar y Verificar la Capacidad Residual del Proponente en los Procesos de Contratación de Obra Pública”, a la cual remiten los documentos tipo para efectos de verificar la capacidad residual del proponente, este último debe presentar un certificado suscrito por su representante legal y su revisor fiscal, si está obligado a tenerlo, o por el Contador Público o auditor independiente, para lo cual se sugiere el formato establecido en el Anexo 3 de la Guía.</w:t>
            </w:r>
          </w:p>
          <w:p w14:paraId="2B369163" w14:textId="77777777" w:rsidR="00E003E1" w:rsidRPr="00E003E1" w:rsidRDefault="00E003E1" w:rsidP="00E003E1">
            <w:pPr>
              <w:widowControl w:val="0"/>
              <w:autoSpaceDE w:val="0"/>
              <w:autoSpaceDN w:val="0"/>
              <w:snapToGrid w:val="0"/>
              <w:spacing w:line="276" w:lineRule="auto"/>
              <w:ind w:left="720"/>
              <w:jc w:val="both"/>
              <w:rPr>
                <w:rFonts w:ascii="Verdana" w:eastAsia="Calibri" w:hAnsi="Verdana" w:cs="Arial"/>
                <w:lang w:val="es-ES_tradnl"/>
              </w:rPr>
            </w:pPr>
          </w:p>
          <w:p w14:paraId="677459BB" w14:textId="77777777" w:rsidR="00E003E1" w:rsidRPr="00E003E1" w:rsidRDefault="00E003E1" w:rsidP="00E003E1">
            <w:pPr>
              <w:widowControl w:val="0"/>
              <w:autoSpaceDE w:val="0"/>
              <w:autoSpaceDN w:val="0"/>
              <w:snapToGrid w:val="0"/>
              <w:spacing w:line="276" w:lineRule="auto"/>
              <w:jc w:val="both"/>
              <w:rPr>
                <w:rFonts w:ascii="Verdana" w:eastAsia="Calibri" w:hAnsi="Verdana" w:cs="Arial"/>
                <w:lang w:val="es-ES_tradnl"/>
              </w:rPr>
            </w:pPr>
            <w:r w:rsidRPr="00E003E1">
              <w:rPr>
                <w:rFonts w:ascii="Verdana" w:eastAsia="Calibri" w:hAnsi="Verdana" w:cs="Arial"/>
                <w:lang w:val="es-ES_tradnl"/>
              </w:rPr>
              <w:t xml:space="preserve">Si el proponente no tiene Contratos en Ejecución, en el certificado debe constar expresamente esa circunstancia. Por esta razón, la ausencia del requisito no puede entenderse como una inexistencia de contratos en ejecución, ya que </w:t>
            </w:r>
            <w:r w:rsidRPr="00E003E1">
              <w:rPr>
                <w:rFonts w:ascii="Verdana" w:eastAsia="Calibri" w:hAnsi="Verdana" w:cs="Arial"/>
                <w:lang w:val="es-ES_tradnl"/>
              </w:rPr>
              <w:lastRenderedPageBreak/>
              <w:t xml:space="preserve">esta es una circunstancia que el proponente debe indicar, de forma expresa, en el certificado que aporte. </w:t>
            </w:r>
          </w:p>
          <w:p w14:paraId="75A341CF" w14:textId="77777777" w:rsidR="00E003E1" w:rsidRPr="00E003E1" w:rsidRDefault="00E003E1" w:rsidP="00E003E1">
            <w:pPr>
              <w:widowControl w:val="0"/>
              <w:autoSpaceDE w:val="0"/>
              <w:autoSpaceDN w:val="0"/>
              <w:snapToGrid w:val="0"/>
              <w:spacing w:line="276" w:lineRule="auto"/>
              <w:jc w:val="both"/>
              <w:rPr>
                <w:rFonts w:ascii="Verdana" w:eastAsia="Calibri" w:hAnsi="Verdana" w:cs="Arial"/>
                <w:lang w:val="es-ES_tradnl"/>
              </w:rPr>
            </w:pPr>
          </w:p>
          <w:p w14:paraId="13208B1A" w14:textId="77777777" w:rsidR="00E003E1" w:rsidRPr="00E003E1" w:rsidRDefault="00E003E1" w:rsidP="00E003E1">
            <w:pPr>
              <w:widowControl w:val="0"/>
              <w:autoSpaceDE w:val="0"/>
              <w:autoSpaceDN w:val="0"/>
              <w:snapToGrid w:val="0"/>
              <w:spacing w:line="276" w:lineRule="auto"/>
              <w:jc w:val="both"/>
              <w:rPr>
                <w:rFonts w:ascii="Verdana" w:eastAsia="Calibri" w:hAnsi="Verdana" w:cs="Arial"/>
                <w:lang w:val="es-ES"/>
              </w:rPr>
            </w:pPr>
            <w:r w:rsidRPr="76632441">
              <w:rPr>
                <w:rFonts w:ascii="Verdana" w:eastAsia="Calibri" w:hAnsi="Verdana" w:cs="Arial"/>
                <w:lang w:val="es-ES"/>
              </w:rPr>
              <w:t xml:space="preserve">Además, la falta de este certificado es subsanable, por tratarse de un requisito que no otorga puntaje. Sin embargo, en caso de no ser subsanado, podrá haber lugar al rechazo de la oferta. </w:t>
            </w:r>
          </w:p>
        </w:tc>
      </w:tr>
    </w:tbl>
    <w:p w14:paraId="28A876C0" w14:textId="77777777" w:rsidR="00E003E1" w:rsidRPr="00E003E1" w:rsidRDefault="00E003E1" w:rsidP="00E003E1">
      <w:pPr>
        <w:tabs>
          <w:tab w:val="left" w:pos="142"/>
          <w:tab w:val="left" w:pos="284"/>
        </w:tabs>
        <w:snapToGrid w:val="0"/>
        <w:spacing w:after="0" w:line="276" w:lineRule="auto"/>
        <w:jc w:val="both"/>
        <w:rPr>
          <w:rFonts w:ascii="Verdana" w:eastAsia="Century Gothic" w:hAnsi="Verdana" w:cs="Century Gothic"/>
          <w:b/>
          <w:bCs/>
          <w:lang w:val="es-ES"/>
        </w:rPr>
      </w:pPr>
    </w:p>
    <w:p w14:paraId="61E0708D" w14:textId="77777777" w:rsidR="00E003E1" w:rsidRPr="00E003E1" w:rsidRDefault="00E003E1" w:rsidP="00E003E1">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E003E1">
        <w:rPr>
          <w:rFonts w:ascii="Verdana" w:eastAsia="Century Gothic" w:hAnsi="Verdana" w:cs="Century Gothic"/>
          <w:b/>
          <w:bCs/>
          <w:lang w:val="es-ES"/>
        </w:rPr>
        <w:t>Razones de la respuesta:</w:t>
      </w:r>
    </w:p>
    <w:p w14:paraId="7A4AB207" w14:textId="77777777" w:rsidR="00E003E1" w:rsidRPr="00E003E1" w:rsidRDefault="00E003E1" w:rsidP="00E003E1">
      <w:pPr>
        <w:tabs>
          <w:tab w:val="left" w:pos="142"/>
          <w:tab w:val="left" w:pos="284"/>
        </w:tabs>
        <w:snapToGrid w:val="0"/>
        <w:spacing w:after="0" w:line="276" w:lineRule="auto"/>
        <w:ind w:left="357"/>
        <w:jc w:val="both"/>
        <w:rPr>
          <w:rFonts w:ascii="Verdana" w:eastAsia="Century Gothic" w:hAnsi="Verdana" w:cs="Century Gothic"/>
          <w:b/>
          <w:bCs/>
          <w:lang w:val="es-ES"/>
        </w:rPr>
      </w:pPr>
    </w:p>
    <w:p w14:paraId="1E9CAA76" w14:textId="77777777" w:rsidR="00E003E1" w:rsidRPr="00E003E1" w:rsidRDefault="00E003E1" w:rsidP="00E003E1">
      <w:pPr>
        <w:snapToGrid w:val="0"/>
        <w:spacing w:after="0" w:line="276" w:lineRule="auto"/>
        <w:jc w:val="both"/>
        <w:rPr>
          <w:rFonts w:ascii="Verdana" w:eastAsia="Calibri" w:hAnsi="Verdana" w:cs="Arial"/>
          <w:lang w:val="es-ES"/>
        </w:rPr>
      </w:pPr>
      <w:r w:rsidRPr="00E003E1">
        <w:rPr>
          <w:rFonts w:ascii="Verdana" w:eastAsia="Calibri" w:hAnsi="Verdana" w:cs="Arial"/>
          <w:lang w:val="es-ES"/>
        </w:rPr>
        <w:t xml:space="preserve">Lo anterior se sustenta en las siguientes consideraciones: </w:t>
      </w:r>
    </w:p>
    <w:p w14:paraId="7B442457" w14:textId="77777777" w:rsidR="00E003E1" w:rsidRPr="00E003E1" w:rsidRDefault="00E003E1" w:rsidP="00E003E1">
      <w:pPr>
        <w:spacing w:after="0" w:line="276" w:lineRule="auto"/>
        <w:jc w:val="both"/>
        <w:rPr>
          <w:rFonts w:ascii="Verdana" w:eastAsia="Calibri" w:hAnsi="Verdana" w:cs="Arial"/>
          <w:lang w:val="es-ES"/>
        </w:rPr>
      </w:pPr>
    </w:p>
    <w:p w14:paraId="003315A5" w14:textId="77777777" w:rsidR="00E003E1" w:rsidRPr="00E003E1" w:rsidRDefault="00E003E1" w:rsidP="00E003E1">
      <w:pPr>
        <w:numPr>
          <w:ilvl w:val="0"/>
          <w:numId w:val="18"/>
        </w:numPr>
        <w:snapToGrid w:val="0"/>
        <w:spacing w:after="0" w:line="276" w:lineRule="auto"/>
        <w:jc w:val="both"/>
        <w:rPr>
          <w:rFonts w:ascii="Verdana" w:eastAsia="Calibri" w:hAnsi="Verdana" w:cs="Arial"/>
          <w:color w:val="000000"/>
          <w:kern w:val="2"/>
          <w:lang w:val="es-ES_tradnl" w:eastAsia="es-MX"/>
          <w14:ligatures w14:val="standardContextual"/>
        </w:rPr>
      </w:pPr>
      <w:r w:rsidRPr="00E003E1">
        <w:rPr>
          <w:rFonts w:ascii="Verdana" w:eastAsia="Calibri" w:hAnsi="Verdana" w:cs="Arial"/>
          <w:color w:val="000000"/>
          <w:kern w:val="2"/>
          <w:lang w:val="es-ES_tradnl" w:eastAsia="es-MX"/>
          <w14:ligatures w14:val="standardContextual"/>
        </w:rPr>
        <w:t xml:space="preserve">Los </w:t>
      </w:r>
      <w:r w:rsidRPr="00E003E1">
        <w:rPr>
          <w:rFonts w:ascii="Verdana" w:eastAsia="Calibri" w:hAnsi="Verdana" w:cs="Arial"/>
          <w:i/>
          <w:iCs/>
          <w:color w:val="000000"/>
          <w:kern w:val="2"/>
          <w:lang w:val="es-ES_tradnl" w:eastAsia="es-MX"/>
          <w14:ligatures w14:val="standardContextual"/>
        </w:rPr>
        <w:t>requisitos habilitantes</w:t>
      </w:r>
      <w:r w:rsidRPr="00E003E1">
        <w:rPr>
          <w:rFonts w:ascii="Verdana" w:eastAsia="Calibri" w:hAnsi="Verdana" w:cs="Arial"/>
          <w:color w:val="000000"/>
          <w:kern w:val="2"/>
          <w:lang w:val="es-ES_tradnl" w:eastAsia="es-MX"/>
          <w14:ligatures w14:val="standardContextual"/>
        </w:rPr>
        <w:t xml:space="preserve">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E003E1">
        <w:rPr>
          <w:rFonts w:ascii="Verdana" w:eastAsia="Calibri" w:hAnsi="Verdana" w:cs="Arial"/>
          <w:i/>
          <w:iCs/>
          <w:color w:val="000000"/>
          <w:kern w:val="2"/>
          <w:lang w:val="es-ES_tradnl" w:eastAsia="es-MX"/>
          <w14:ligatures w14:val="standardContextual"/>
        </w:rPr>
        <w:t>criterios de evaluación</w:t>
      </w:r>
      <w:r w:rsidRPr="00E003E1">
        <w:rPr>
          <w:rFonts w:ascii="Verdana" w:eastAsia="Calibri" w:hAnsi="Verdana" w:cs="Arial"/>
          <w:color w:val="000000"/>
          <w:kern w:val="2"/>
          <w:lang w:val="es-ES_tradnl" w:eastAsia="es-MX"/>
          <w14:ligatures w14:val="standardContextual"/>
        </w:rPr>
        <w:t xml:space="preserve"> –también conocidos como </w:t>
      </w:r>
      <w:r w:rsidRPr="00E003E1">
        <w:rPr>
          <w:rFonts w:ascii="Verdana" w:eastAsia="Calibri" w:hAnsi="Verdana" w:cs="Arial"/>
          <w:i/>
          <w:iCs/>
          <w:color w:val="000000"/>
          <w:kern w:val="2"/>
          <w:lang w:val="es-ES_tradnl" w:eastAsia="es-MX"/>
          <w14:ligatures w14:val="standardContextual"/>
        </w:rPr>
        <w:t>criterios de calificación</w:t>
      </w:r>
      <w:r w:rsidRPr="00E003E1">
        <w:rPr>
          <w:rFonts w:ascii="Verdana" w:eastAsia="Calibri" w:hAnsi="Verdana" w:cs="Arial"/>
          <w:color w:val="000000"/>
          <w:kern w:val="2"/>
          <w:lang w:val="es-ES_tradnl" w:eastAsia="es-MX"/>
          <w14:ligatures w14:val="standardContextua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42D20E1E" w14:textId="77777777" w:rsidR="00E003E1" w:rsidRPr="00E003E1" w:rsidRDefault="00E003E1" w:rsidP="00E003E1">
      <w:pPr>
        <w:snapToGrid w:val="0"/>
        <w:spacing w:after="0" w:line="276" w:lineRule="auto"/>
        <w:ind w:left="720"/>
        <w:jc w:val="both"/>
        <w:rPr>
          <w:rFonts w:ascii="Verdana" w:eastAsia="Calibri" w:hAnsi="Verdana" w:cs="Arial"/>
          <w:color w:val="000000"/>
          <w:kern w:val="2"/>
          <w:lang w:val="es-ES_tradnl" w:eastAsia="es-MX"/>
          <w14:ligatures w14:val="standardContextual"/>
        </w:rPr>
      </w:pPr>
    </w:p>
    <w:p w14:paraId="0F747111" w14:textId="77777777" w:rsidR="00E003E1" w:rsidRPr="00E003E1" w:rsidRDefault="00E003E1" w:rsidP="00E003E1">
      <w:pPr>
        <w:numPr>
          <w:ilvl w:val="0"/>
          <w:numId w:val="18"/>
        </w:numPr>
        <w:snapToGrid w:val="0"/>
        <w:spacing w:after="0" w:line="276" w:lineRule="auto"/>
        <w:jc w:val="both"/>
        <w:rPr>
          <w:rFonts w:ascii="Verdana" w:eastAsia="Calibri" w:hAnsi="Verdana" w:cs="Arial"/>
          <w:color w:val="000000"/>
          <w:kern w:val="2"/>
          <w:lang w:val="es-ES_tradnl" w:eastAsia="es-MX"/>
          <w14:ligatures w14:val="standardContextual"/>
        </w:rPr>
      </w:pPr>
      <w:r w:rsidRPr="00E003E1">
        <w:rPr>
          <w:rFonts w:ascii="Verdana" w:eastAsia="Calibri" w:hAnsi="Verdana" w:cs="Arial"/>
          <w:color w:val="000000"/>
          <w:kern w:val="2"/>
          <w:lang w:val="es-ES_tradnl" w:eastAsia="es-MX"/>
          <w14:ligatures w14:val="standardContextual"/>
        </w:rPr>
        <w:t>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012244B7" w14:textId="77777777" w:rsidR="00E003E1" w:rsidRPr="00E003E1" w:rsidRDefault="00E003E1" w:rsidP="00E003E1">
      <w:pPr>
        <w:snapToGrid w:val="0"/>
        <w:spacing w:after="0" w:line="276" w:lineRule="auto"/>
        <w:ind w:left="720"/>
        <w:rPr>
          <w:rFonts w:ascii="Verdana" w:eastAsia="Calibri" w:hAnsi="Verdana" w:cs="Arial"/>
          <w:color w:val="000000"/>
          <w:kern w:val="2"/>
          <w:lang w:val="es-ES_tradnl" w:eastAsia="es-MX"/>
          <w14:ligatures w14:val="standardContextual"/>
        </w:rPr>
      </w:pPr>
    </w:p>
    <w:p w14:paraId="1AB2C20D" w14:textId="77777777" w:rsidR="00E003E1" w:rsidRPr="00E003E1" w:rsidRDefault="00E003E1" w:rsidP="00E003E1">
      <w:pPr>
        <w:numPr>
          <w:ilvl w:val="0"/>
          <w:numId w:val="18"/>
        </w:numPr>
        <w:snapToGrid w:val="0"/>
        <w:spacing w:after="0" w:line="276" w:lineRule="auto"/>
        <w:jc w:val="both"/>
        <w:rPr>
          <w:rFonts w:ascii="Verdana" w:eastAsia="Calibri" w:hAnsi="Verdana" w:cs="Arial"/>
          <w:color w:val="000000"/>
          <w:kern w:val="2"/>
          <w:lang w:val="es-ES_tradnl" w:eastAsia="es-MX"/>
          <w14:ligatures w14:val="standardContextual"/>
        </w:rPr>
      </w:pPr>
      <w:r w:rsidRPr="00E003E1">
        <w:rPr>
          <w:rFonts w:ascii="Verdana" w:eastAsia="Calibri" w:hAnsi="Verdana" w:cs="Arial"/>
          <w:color w:val="000000"/>
          <w:kern w:val="2"/>
          <w:lang w:val="es-ES_tradnl" w:eastAsia="es-MX"/>
          <w14:ligatures w14:val="standardContextual"/>
        </w:rPr>
        <w:t xml:space="preserve">Específicamente, el numeral 1º del artículo referido establece que en los procesos de selección de contratistas serán objeto de verificación, como requisitos habilitantes, </w:t>
      </w:r>
      <w:r w:rsidRPr="00E003E1">
        <w:rPr>
          <w:rFonts w:ascii="Verdana" w:eastAsia="Calibri" w:hAnsi="Verdana" w:cs="Arial"/>
          <w:i/>
          <w:iCs/>
          <w:color w:val="000000"/>
          <w:kern w:val="2"/>
          <w:lang w:val="es-ES_tradnl" w:eastAsia="es-MX"/>
          <w14:ligatures w14:val="standardContextual"/>
        </w:rPr>
        <w:t>entre otros</w:t>
      </w:r>
      <w:r w:rsidRPr="00E003E1">
        <w:rPr>
          <w:rFonts w:ascii="Verdana" w:eastAsia="Calibri" w:hAnsi="Verdana" w:cs="Arial"/>
          <w:color w:val="000000"/>
          <w:kern w:val="2"/>
          <w:lang w:val="es-ES_tradnl" w:eastAsia="es-MX"/>
          <w14:ligatures w14:val="standardContextual"/>
        </w:rPr>
        <w:t xml:space="preserve">, los siguientes: i) la capacidad jurídica; ii) la experiencia; iii) la capacidad financiera y iv) la capacidad de organización. En efecto, la normativa citada dispone: </w:t>
      </w:r>
    </w:p>
    <w:p w14:paraId="56CB2E96" w14:textId="77777777" w:rsidR="00E003E1" w:rsidRPr="00E003E1" w:rsidRDefault="00E003E1" w:rsidP="00E003E1">
      <w:pPr>
        <w:snapToGrid w:val="0"/>
        <w:spacing w:after="0" w:line="276" w:lineRule="auto"/>
        <w:jc w:val="both"/>
        <w:rPr>
          <w:rFonts w:ascii="Verdana" w:eastAsia="Calibri" w:hAnsi="Verdana" w:cs="Arial"/>
          <w:color w:val="000000"/>
          <w:kern w:val="2"/>
          <w:lang w:val="es-ES_tradnl" w:eastAsia="es-MX"/>
          <w14:ligatures w14:val="standardContextual"/>
        </w:rPr>
      </w:pPr>
    </w:p>
    <w:p w14:paraId="4BC708DF" w14:textId="77777777" w:rsidR="00E003E1" w:rsidRPr="00E003E1" w:rsidRDefault="00E003E1" w:rsidP="00E003E1">
      <w:pPr>
        <w:snapToGrid w:val="0"/>
        <w:spacing w:after="0" w:line="240" w:lineRule="auto"/>
        <w:ind w:left="709" w:right="709"/>
        <w:jc w:val="both"/>
        <w:rPr>
          <w:rFonts w:ascii="Verdana" w:eastAsia="Calibri" w:hAnsi="Verdana" w:cs="Arial"/>
          <w:color w:val="000000"/>
          <w:kern w:val="2"/>
          <w:sz w:val="21"/>
          <w:szCs w:val="21"/>
          <w:lang w:val="es-ES_tradnl" w:eastAsia="es-MX"/>
          <w14:ligatures w14:val="standardContextual"/>
        </w:rPr>
      </w:pPr>
      <w:r w:rsidRPr="00E003E1">
        <w:rPr>
          <w:rFonts w:ascii="Verdana" w:eastAsia="Calibri" w:hAnsi="Verdana" w:cs="Arial"/>
          <w:color w:val="000000"/>
          <w:kern w:val="2"/>
          <w:sz w:val="21"/>
          <w:szCs w:val="21"/>
          <w:lang w:val="es-ES_tradnl" w:eastAsia="es-MX"/>
          <w14:ligatures w14:val="standardContextual"/>
        </w:rPr>
        <w:t xml:space="preserve">“Artículo 5. De la Selección Objetiva. </w:t>
      </w:r>
    </w:p>
    <w:p w14:paraId="2DAC2309" w14:textId="77777777" w:rsidR="00E003E1" w:rsidRPr="00E003E1" w:rsidRDefault="00E003E1" w:rsidP="00E003E1">
      <w:pPr>
        <w:snapToGrid w:val="0"/>
        <w:spacing w:after="0" w:line="240" w:lineRule="auto"/>
        <w:ind w:left="709" w:right="709"/>
        <w:jc w:val="both"/>
        <w:rPr>
          <w:rFonts w:ascii="Verdana" w:eastAsia="Calibri" w:hAnsi="Verdana" w:cs="Arial"/>
          <w:color w:val="000000"/>
          <w:kern w:val="2"/>
          <w:sz w:val="21"/>
          <w:szCs w:val="21"/>
          <w:lang w:val="es-ES_tradnl" w:eastAsia="es-MX"/>
          <w14:ligatures w14:val="standardContextual"/>
        </w:rPr>
      </w:pPr>
      <w:r w:rsidRPr="00E003E1">
        <w:rPr>
          <w:rFonts w:ascii="Verdana" w:eastAsia="Calibri" w:hAnsi="Verdana" w:cs="Arial"/>
          <w:color w:val="000000"/>
          <w:kern w:val="2"/>
          <w:sz w:val="21"/>
          <w:szCs w:val="21"/>
          <w:lang w:val="es-ES_tradnl" w:eastAsia="es-MX"/>
          <w14:ligatures w14:val="standardContextual"/>
        </w:rPr>
        <w:t>[…]</w:t>
      </w:r>
    </w:p>
    <w:p w14:paraId="3FC8E9CF" w14:textId="77777777" w:rsidR="00E003E1" w:rsidRPr="00E003E1" w:rsidRDefault="00E003E1" w:rsidP="00E003E1">
      <w:pPr>
        <w:snapToGrid w:val="0"/>
        <w:spacing w:after="0" w:line="240" w:lineRule="auto"/>
        <w:ind w:left="709" w:right="709"/>
        <w:jc w:val="both"/>
        <w:rPr>
          <w:rFonts w:ascii="Verdana" w:eastAsia="Calibri" w:hAnsi="Verdana" w:cs="Arial"/>
          <w:color w:val="000000"/>
          <w:kern w:val="2"/>
          <w:sz w:val="21"/>
          <w:szCs w:val="21"/>
          <w:lang w:val="es-ES_tradnl"/>
          <w14:ligatures w14:val="standardContextual"/>
        </w:rPr>
      </w:pPr>
      <w:r w:rsidRPr="00E003E1">
        <w:rPr>
          <w:rFonts w:ascii="Verdana" w:eastAsia="Calibri" w:hAnsi="Verdana" w:cs="Arial"/>
          <w:color w:val="000000"/>
          <w:kern w:val="2"/>
          <w:sz w:val="21"/>
          <w:szCs w:val="21"/>
          <w:lang w:val="es-ES_tradnl"/>
          <w14:ligatures w14:val="standardContextua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19BE865D" w14:textId="77777777" w:rsidR="00E003E1" w:rsidRPr="00E003E1" w:rsidRDefault="00E003E1" w:rsidP="00E003E1">
      <w:pPr>
        <w:snapToGrid w:val="0"/>
        <w:spacing w:after="0" w:line="276" w:lineRule="auto"/>
        <w:jc w:val="both"/>
        <w:rPr>
          <w:rFonts w:ascii="Verdana" w:eastAsia="Calibri" w:hAnsi="Verdana" w:cs="Arial"/>
        </w:rPr>
      </w:pPr>
    </w:p>
    <w:p w14:paraId="3D35614C" w14:textId="77777777" w:rsidR="00E003E1" w:rsidRPr="00E003E1" w:rsidRDefault="00E003E1" w:rsidP="00E003E1">
      <w:pPr>
        <w:numPr>
          <w:ilvl w:val="0"/>
          <w:numId w:val="19"/>
        </w:numPr>
        <w:snapToGrid w:val="0"/>
        <w:spacing w:after="0" w:line="276" w:lineRule="auto"/>
        <w:jc w:val="both"/>
        <w:rPr>
          <w:rFonts w:ascii="Verdana" w:eastAsia="Calibri" w:hAnsi="Verdana" w:cs="Arial"/>
          <w:color w:val="000000"/>
          <w:lang w:val="es-MX" w:eastAsia="en-GB"/>
        </w:rPr>
      </w:pPr>
      <w:r w:rsidRPr="00E003E1">
        <w:rPr>
          <w:rFonts w:ascii="Verdana" w:eastAsia="Calibri" w:hAnsi="Verdana" w:cs="Arial"/>
          <w:color w:val="000000"/>
          <w:lang w:val="es-MX" w:eastAsia="en-GB"/>
        </w:rPr>
        <w:t>Por otra parte, 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E003E1">
        <w:rPr>
          <w:rFonts w:ascii="Verdana" w:eastAsia="Aptos" w:hAnsi="Verdana" w:cs="Times New Roman"/>
          <w:kern w:val="2"/>
          <w:vertAlign w:val="superscript"/>
          <w:lang w:val="es-MX" w:eastAsia="en-GB"/>
          <w14:ligatures w14:val="standardContextual"/>
        </w:rPr>
        <w:footnoteReference w:id="2"/>
      </w:r>
      <w:r w:rsidRPr="00E003E1">
        <w:rPr>
          <w:rFonts w:ascii="Verdana" w:eastAsia="Calibri" w:hAnsi="Verdana" w:cs="Arial"/>
          <w:color w:val="000000"/>
          <w:lang w:val="es-MX" w:eastAsia="en-GB"/>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E003E1">
        <w:rPr>
          <w:rFonts w:ascii="Verdana" w:eastAsia="Aptos" w:hAnsi="Verdana" w:cs="Times New Roman"/>
          <w:kern w:val="2"/>
          <w:vertAlign w:val="superscript"/>
          <w:lang w:val="es-MX" w:eastAsia="en-GB"/>
          <w14:ligatures w14:val="standardContextual"/>
        </w:rPr>
        <w:footnoteReference w:id="3"/>
      </w:r>
      <w:r w:rsidRPr="00E003E1">
        <w:rPr>
          <w:rFonts w:ascii="Verdana" w:eastAsia="Calibri" w:hAnsi="Verdana" w:cs="Arial"/>
          <w:color w:val="000000"/>
          <w:lang w:val="es-MX" w:eastAsia="en-GB"/>
        </w:rPr>
        <w:t>.</w:t>
      </w:r>
    </w:p>
    <w:p w14:paraId="43E26D56" w14:textId="77777777" w:rsidR="00E003E1" w:rsidRPr="00E003E1" w:rsidRDefault="00E003E1" w:rsidP="00E003E1">
      <w:pPr>
        <w:snapToGrid w:val="0"/>
        <w:spacing w:after="0" w:line="276" w:lineRule="auto"/>
        <w:ind w:left="720"/>
        <w:jc w:val="both"/>
        <w:rPr>
          <w:rFonts w:ascii="Verdana" w:eastAsia="Calibri" w:hAnsi="Verdana" w:cs="Arial"/>
          <w:color w:val="000000"/>
          <w:lang w:val="es-MX" w:eastAsia="en-GB"/>
        </w:rPr>
      </w:pPr>
    </w:p>
    <w:p w14:paraId="60895614" w14:textId="77777777" w:rsidR="00E003E1" w:rsidRPr="00E003E1" w:rsidRDefault="00E003E1" w:rsidP="00E003E1">
      <w:pPr>
        <w:numPr>
          <w:ilvl w:val="0"/>
          <w:numId w:val="19"/>
        </w:numPr>
        <w:snapToGrid w:val="0"/>
        <w:spacing w:after="0" w:line="276" w:lineRule="auto"/>
        <w:jc w:val="both"/>
        <w:rPr>
          <w:rFonts w:ascii="Verdana" w:eastAsia="Calibri" w:hAnsi="Verdana" w:cs="Arial"/>
          <w:color w:val="000000"/>
          <w:lang w:val="es-MX" w:eastAsia="en-GB"/>
        </w:rPr>
      </w:pPr>
      <w:r w:rsidRPr="00E003E1">
        <w:rPr>
          <w:rFonts w:ascii="Verdana" w:eastAsia="Calibri" w:hAnsi="Verdana" w:cs="Arial"/>
          <w:color w:val="000000"/>
          <w:lang w:val="es-MX" w:eastAsia="en-GB"/>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w:t>
      </w:r>
      <w:r w:rsidRPr="00E003E1">
        <w:rPr>
          <w:rFonts w:ascii="Verdana" w:eastAsia="Calibri" w:hAnsi="Verdana" w:cs="Arial"/>
          <w:color w:val="000000"/>
          <w:lang w:val="es-MX" w:eastAsia="en-GB"/>
        </w:rPr>
        <w:lastRenderedPageBreak/>
        <w:t>obra deberá ser igual o superior al que la entidad ha establecido en los pliegos de condiciones.</w:t>
      </w:r>
    </w:p>
    <w:p w14:paraId="0FB8354E" w14:textId="77777777" w:rsidR="00E003E1" w:rsidRPr="00E003E1" w:rsidRDefault="00E003E1" w:rsidP="00E003E1">
      <w:pPr>
        <w:snapToGrid w:val="0"/>
        <w:spacing w:after="0" w:line="276" w:lineRule="auto"/>
        <w:ind w:right="709"/>
        <w:jc w:val="both"/>
        <w:rPr>
          <w:rFonts w:ascii="Verdana" w:eastAsia="Calibri" w:hAnsi="Verdana" w:cs="Arial"/>
          <w:color w:val="000000"/>
          <w:lang w:val="es-MX" w:eastAsia="en-GB"/>
        </w:rPr>
      </w:pPr>
    </w:p>
    <w:p w14:paraId="28E1A45D" w14:textId="77777777" w:rsidR="00E003E1" w:rsidRPr="00E003E1" w:rsidRDefault="00E003E1" w:rsidP="00E003E1">
      <w:pPr>
        <w:numPr>
          <w:ilvl w:val="0"/>
          <w:numId w:val="19"/>
        </w:numPr>
        <w:snapToGrid w:val="0"/>
        <w:spacing w:after="0" w:line="276" w:lineRule="auto"/>
        <w:jc w:val="both"/>
        <w:rPr>
          <w:rFonts w:ascii="Verdana" w:eastAsia="Calibri" w:hAnsi="Verdana" w:cs="Arial"/>
          <w:color w:val="000000"/>
          <w:lang w:eastAsia="en-GB"/>
        </w:rPr>
      </w:pPr>
      <w:r w:rsidRPr="00E003E1">
        <w:rPr>
          <w:rFonts w:ascii="Verdana" w:eastAsia="Calibri" w:hAnsi="Verdana" w:cs="Arial"/>
          <w:color w:val="000000"/>
          <w:lang w:val="es-MX" w:eastAsia="en-GB"/>
        </w:rPr>
        <w:t xml:space="preserve">De acuerdo con </w:t>
      </w:r>
      <w:r w:rsidRPr="00E003E1">
        <w:rPr>
          <w:rFonts w:ascii="Verdana" w:eastAsia="Calibri" w:hAnsi="Verdana" w:cs="Arial"/>
          <w:color w:val="000000"/>
          <w:lang w:eastAsia="en-GB"/>
        </w:rPr>
        <w:t>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mediante la evaluación de los siguientes factores: Experiencia (E), Capacidad Financiera (CF), Capacidad Técnica (CT), y Capacidad de Organización (CO)”.</w:t>
      </w:r>
    </w:p>
    <w:p w14:paraId="736B5202" w14:textId="77777777" w:rsidR="00E003E1" w:rsidRPr="00E003E1" w:rsidRDefault="00E003E1" w:rsidP="00E003E1">
      <w:pPr>
        <w:snapToGrid w:val="0"/>
        <w:spacing w:after="0" w:line="276" w:lineRule="auto"/>
        <w:jc w:val="both"/>
        <w:rPr>
          <w:rFonts w:ascii="Verdana" w:eastAsia="Calibri" w:hAnsi="Verdana" w:cs="Arial"/>
          <w:color w:val="000000"/>
          <w:lang w:eastAsia="en-GB"/>
        </w:rPr>
      </w:pPr>
    </w:p>
    <w:p w14:paraId="773608D7" w14:textId="77777777" w:rsidR="00E003E1" w:rsidRPr="00E003E1" w:rsidRDefault="00E003E1" w:rsidP="00E003E1">
      <w:pPr>
        <w:numPr>
          <w:ilvl w:val="0"/>
          <w:numId w:val="19"/>
        </w:numPr>
        <w:snapToGrid w:val="0"/>
        <w:spacing w:after="0" w:line="276" w:lineRule="auto"/>
        <w:jc w:val="both"/>
        <w:rPr>
          <w:rFonts w:ascii="Verdana" w:eastAsia="Calibri" w:hAnsi="Verdana" w:cs="Arial"/>
          <w:color w:val="000000"/>
          <w:lang w:val="es-MX" w:eastAsia="en-GB"/>
        </w:rPr>
      </w:pPr>
      <w:bookmarkStart w:id="1" w:name="_Hlk103608376"/>
      <w:r w:rsidRPr="00E003E1">
        <w:rPr>
          <w:rFonts w:ascii="Verdana" w:eastAsia="Calibri" w:hAnsi="Verdana" w:cs="Arial"/>
          <w:color w:val="000000"/>
          <w:lang w:val="es-MX" w:eastAsia="en-GB"/>
        </w:rPr>
        <w:t>Por su parte, el artículo 2.2.1.1.1.6.4 del Decreto 1082 de 2015 dispone que las Entidades Estatales deberán calcular la Capacidad Residual conforme a la metodología definida por la Agencia Nacional de Contratación Pública – Colombia Compra Eficiente. Para tales fines, resulta necesario tener en cuenta los factores de: i) Experiencia –E–, ii) Capacidad Financiera –CF–, iii) Capacidad Técnica –CT–, iv) Capacidad de Organización y v) los Saldos de los Contratos en Ejecución –SCE–.</w:t>
      </w:r>
    </w:p>
    <w:p w14:paraId="6EFE1285" w14:textId="77777777" w:rsidR="00E003E1" w:rsidRPr="00E003E1" w:rsidRDefault="00E003E1" w:rsidP="00E003E1">
      <w:pPr>
        <w:snapToGrid w:val="0"/>
        <w:spacing w:after="0" w:line="276" w:lineRule="auto"/>
        <w:ind w:left="720"/>
        <w:rPr>
          <w:rFonts w:ascii="Verdana" w:eastAsia="Calibri" w:hAnsi="Verdana" w:cs="Arial"/>
          <w:color w:val="000000"/>
          <w:lang w:val="es-MX" w:eastAsia="en-GB"/>
        </w:rPr>
      </w:pPr>
    </w:p>
    <w:p w14:paraId="2419603E" w14:textId="77777777" w:rsidR="00E003E1" w:rsidRPr="00E003E1" w:rsidRDefault="00E003E1" w:rsidP="00E003E1">
      <w:pPr>
        <w:numPr>
          <w:ilvl w:val="0"/>
          <w:numId w:val="19"/>
        </w:numPr>
        <w:snapToGrid w:val="0"/>
        <w:spacing w:after="0" w:line="276" w:lineRule="auto"/>
        <w:jc w:val="both"/>
        <w:rPr>
          <w:rFonts w:ascii="Verdana" w:eastAsia="Calibri" w:hAnsi="Verdana" w:cs="Arial"/>
          <w:color w:val="000000"/>
          <w:lang w:val="es-MX" w:eastAsia="en-GB"/>
        </w:rPr>
      </w:pPr>
      <w:r w:rsidRPr="00E003E1">
        <w:rPr>
          <w:rFonts w:ascii="Verdana" w:eastAsia="Calibri" w:hAnsi="Verdana" w:cs="Arial"/>
          <w:color w:val="000000"/>
          <w:lang w:val="es-MX" w:eastAsia="en-GB"/>
        </w:rPr>
        <w:t xml:space="preserve">De igual manera, </w:t>
      </w:r>
      <w:r w:rsidRPr="00E003E1">
        <w:rPr>
          <w:rFonts w:ascii="Verdana" w:eastAsia="Calibri" w:hAnsi="Verdana" w:cs="Arial"/>
          <w:lang w:val="es-MX" w:eastAsia="en-GB"/>
        </w:rPr>
        <w:t>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bookmarkEnd w:id="1"/>
      <w:r w:rsidRPr="00E003E1">
        <w:rPr>
          <w:rFonts w:ascii="Verdana" w:eastAsia="Aptos" w:hAnsi="Verdana" w:cs="Times New Roman"/>
          <w:kern w:val="2"/>
          <w:vertAlign w:val="superscript"/>
          <w:lang w:val="es-MX" w:eastAsia="en-GB"/>
          <w14:ligatures w14:val="standardContextual"/>
        </w:rPr>
        <w:footnoteReference w:id="4"/>
      </w:r>
      <w:r w:rsidRPr="00E003E1">
        <w:rPr>
          <w:rFonts w:ascii="Verdana" w:eastAsia="Calibri" w:hAnsi="Verdana" w:cs="Arial"/>
          <w:lang w:val="es-MX" w:eastAsia="en-GB"/>
        </w:rPr>
        <w:t>.</w:t>
      </w:r>
    </w:p>
    <w:p w14:paraId="7C8E01F6" w14:textId="77777777" w:rsidR="00E003E1" w:rsidRPr="00E003E1" w:rsidRDefault="00E003E1" w:rsidP="00E003E1">
      <w:pPr>
        <w:snapToGrid w:val="0"/>
        <w:spacing w:after="0" w:line="276" w:lineRule="auto"/>
        <w:jc w:val="both"/>
        <w:rPr>
          <w:rFonts w:ascii="Verdana" w:eastAsia="Calibri" w:hAnsi="Verdana" w:cs="Arial"/>
          <w:color w:val="000000"/>
          <w:lang w:val="es-MX" w:eastAsia="en-GB"/>
        </w:rPr>
      </w:pPr>
      <w:r w:rsidRPr="00E003E1">
        <w:rPr>
          <w:rFonts w:ascii="Verdana" w:eastAsia="Calibri" w:hAnsi="Verdana" w:cs="Arial"/>
          <w:lang w:val="es-MX" w:eastAsia="en-GB"/>
        </w:rPr>
        <w:lastRenderedPageBreak/>
        <w:t xml:space="preserve"> </w:t>
      </w:r>
    </w:p>
    <w:p w14:paraId="6EEE3998" w14:textId="77777777" w:rsidR="00E003E1" w:rsidRPr="00E003E1" w:rsidRDefault="00E003E1" w:rsidP="00E003E1">
      <w:pPr>
        <w:numPr>
          <w:ilvl w:val="0"/>
          <w:numId w:val="19"/>
        </w:numPr>
        <w:snapToGrid w:val="0"/>
        <w:spacing w:after="0" w:line="276" w:lineRule="auto"/>
        <w:jc w:val="both"/>
        <w:rPr>
          <w:rFonts w:ascii="Verdana" w:eastAsia="Calibri" w:hAnsi="Verdana" w:cs="Arial"/>
          <w:bCs/>
          <w:color w:val="000000"/>
          <w:lang w:eastAsia="en-GB"/>
        </w:rPr>
      </w:pPr>
      <w:r w:rsidRPr="00E003E1">
        <w:rPr>
          <w:rFonts w:ascii="Verdana" w:eastAsia="Calibri" w:hAnsi="Verdana" w:cs="Arial"/>
          <w:color w:val="000000"/>
          <w:lang w:val="es-MX" w:eastAsia="en-GB"/>
        </w:rPr>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4424668B" w14:textId="77777777" w:rsidR="00E003E1" w:rsidRPr="00E003E1" w:rsidRDefault="00E003E1" w:rsidP="00E003E1">
      <w:pPr>
        <w:snapToGrid w:val="0"/>
        <w:spacing w:after="0" w:line="276" w:lineRule="auto"/>
        <w:jc w:val="both"/>
        <w:rPr>
          <w:rFonts w:ascii="Verdana" w:eastAsia="Calibri" w:hAnsi="Verdana" w:cs="Arial"/>
          <w:bCs/>
          <w:color w:val="000000"/>
          <w:lang w:val="es-MX" w:eastAsia="en-GB"/>
        </w:rPr>
      </w:pPr>
    </w:p>
    <w:p w14:paraId="437EB2BF" w14:textId="77777777" w:rsidR="00E003E1" w:rsidRPr="00E003E1" w:rsidRDefault="00E003E1" w:rsidP="00E003E1">
      <w:pPr>
        <w:numPr>
          <w:ilvl w:val="0"/>
          <w:numId w:val="19"/>
        </w:numPr>
        <w:snapToGrid w:val="0"/>
        <w:spacing w:after="0" w:line="276" w:lineRule="auto"/>
        <w:jc w:val="both"/>
        <w:rPr>
          <w:rFonts w:ascii="Verdana" w:eastAsia="Calibri" w:hAnsi="Verdana" w:cs="Arial"/>
          <w:i/>
          <w:iCs/>
          <w:lang w:eastAsia="en-GB"/>
        </w:rPr>
      </w:pPr>
      <w:r w:rsidRPr="00E003E1">
        <w:rPr>
          <w:rFonts w:ascii="Verdana" w:eastAsia="Calibri" w:hAnsi="Verdana" w:cs="Arial"/>
          <w:bCs/>
          <w:color w:val="000000"/>
          <w:lang w:val="es-MX" w:eastAsia="en-GB"/>
        </w:rPr>
        <w:t xml:space="preserve">Particularmente, </w:t>
      </w:r>
      <w:bookmarkStart w:id="2" w:name="_Hlk100139879"/>
      <w:r w:rsidRPr="00E003E1">
        <w:rPr>
          <w:rFonts w:ascii="Verdana" w:eastAsia="Calibri" w:hAnsi="Verdana" w:cs="Arial"/>
          <w:bCs/>
          <w:color w:val="000000"/>
          <w:lang w:val="es-MX" w:eastAsia="en-GB"/>
        </w:rPr>
        <w:t xml:space="preserve">respecto del factor de saldos de los contratos en ejecución </w:t>
      </w:r>
      <w:r w:rsidRPr="00E003E1">
        <w:rPr>
          <w:rFonts w:ascii="Verdana" w:eastAsia="Calibri" w:hAnsi="Verdana" w:cs="Arial"/>
          <w:bCs/>
          <w:color w:val="000000"/>
          <w:lang w:eastAsia="en-GB"/>
        </w:rPr>
        <w:t>“SCE”,</w:t>
      </w:r>
      <w:r w:rsidRPr="00E003E1">
        <w:rPr>
          <w:rFonts w:ascii="Verdana" w:eastAsia="Calibri" w:hAnsi="Verdana" w:cs="Arial"/>
          <w:lang w:eastAsia="en-GB"/>
        </w:rPr>
        <w:t xml:space="preserve"> es necesario tener en cuenta que la “Guía para Determinar y Verificar la Capacidad Residual del Proponente en los Procesos de Contratación de Obra Pública”</w:t>
      </w:r>
      <w:r w:rsidRPr="00E003E1">
        <w:rPr>
          <w:rFonts w:ascii="Verdana" w:eastAsia="Calibri" w:hAnsi="Verdana" w:cs="Arial"/>
          <w:i/>
          <w:iCs/>
          <w:lang w:eastAsia="en-GB"/>
        </w:rPr>
        <w:t xml:space="preserve">, </w:t>
      </w:r>
      <w:r w:rsidRPr="00E003E1">
        <w:rPr>
          <w:rFonts w:ascii="Verdana" w:eastAsia="Calibri" w:hAnsi="Verdana" w:cs="Arial"/>
          <w:lang w:eastAsia="en-GB"/>
        </w:rPr>
        <w:t xml:space="preserve">define a este factor </w:t>
      </w:r>
      <w:r w:rsidRPr="00E003E1">
        <w:rPr>
          <w:rFonts w:ascii="Verdana" w:eastAsia="Calibri" w:hAnsi="Verdana" w:cs="Arial"/>
          <w:bCs/>
          <w:color w:val="000000"/>
          <w:lang w:eastAsia="en-GB"/>
        </w:rPr>
        <w:t>como “la suma de los montos por ejecutar de los contratos en ejecución durante los 12 meses siguientes</w:t>
      </w:r>
      <w:bookmarkEnd w:id="2"/>
      <w:r w:rsidRPr="00E003E1">
        <w:rPr>
          <w:rFonts w:ascii="Verdana" w:eastAsia="Calibri" w:hAnsi="Verdana" w:cs="Arial"/>
          <w:bCs/>
          <w:color w:val="000000"/>
          <w:lang w:eastAsia="en-GB"/>
        </w:rPr>
        <w:t>”. Así mismo, define los</w:t>
      </w:r>
      <w:r w:rsidRPr="00E003E1">
        <w:rPr>
          <w:rFonts w:ascii="Verdana" w:eastAsia="Calibri" w:hAnsi="Verdana" w:cs="Arial"/>
          <w:lang w:eastAsia="en-GB"/>
        </w:rPr>
        <w:t xml:space="preserve"> </w:t>
      </w:r>
      <w:bookmarkStart w:id="3" w:name="_Hlk78819022"/>
      <w:r w:rsidRPr="00E003E1">
        <w:rPr>
          <w:rFonts w:ascii="Verdana" w:eastAsia="Calibri" w:hAnsi="Verdana" w:cs="Arial"/>
          <w:i/>
          <w:iCs/>
          <w:lang w:eastAsia="en-GB"/>
        </w:rPr>
        <w:t>Contratos en Ejecución</w:t>
      </w:r>
      <w:r w:rsidRPr="00E003E1">
        <w:rPr>
          <w:rFonts w:ascii="Verdana" w:eastAsia="Calibri" w:hAnsi="Verdana" w:cs="Arial"/>
          <w:lang w:eastAsia="en-GB"/>
        </w:rPr>
        <w:t xml:space="preserve"> </w:t>
      </w:r>
      <w:bookmarkEnd w:id="3"/>
      <w:r w:rsidRPr="00E003E1">
        <w:rPr>
          <w:rFonts w:ascii="Verdana" w:eastAsia="Calibri" w:hAnsi="Verdana" w:cs="Arial"/>
          <w:lang w:eastAsia="en-GB"/>
        </w:rPr>
        <w:t xml:space="preserve">de la siguiente manera: </w:t>
      </w:r>
      <w:r w:rsidRPr="00E003E1">
        <w:rPr>
          <w:rFonts w:ascii="Verdana" w:eastAsia="Calibri" w:hAnsi="Verdana" w:cs="Arial"/>
          <w:i/>
          <w:iCs/>
          <w:lang w:eastAsia="en-GB"/>
        </w:rPr>
        <w:t xml:space="preserve"> </w:t>
      </w:r>
    </w:p>
    <w:p w14:paraId="6E9C1177" w14:textId="77777777" w:rsidR="00E003E1" w:rsidRPr="00E003E1" w:rsidRDefault="00E003E1" w:rsidP="00E003E1">
      <w:pPr>
        <w:snapToGrid w:val="0"/>
        <w:spacing w:after="0" w:line="276" w:lineRule="auto"/>
        <w:ind w:firstLine="709"/>
        <w:jc w:val="both"/>
        <w:rPr>
          <w:rFonts w:ascii="Verdana" w:eastAsia="Calibri" w:hAnsi="Verdana" w:cs="Arial"/>
          <w:lang w:eastAsia="en-GB"/>
        </w:rPr>
      </w:pPr>
    </w:p>
    <w:p w14:paraId="7456F864" w14:textId="77777777" w:rsidR="00E003E1" w:rsidRPr="00E003E1" w:rsidRDefault="00E003E1" w:rsidP="00E003E1">
      <w:pPr>
        <w:snapToGrid w:val="0"/>
        <w:spacing w:after="0" w:line="240" w:lineRule="auto"/>
        <w:ind w:left="709" w:right="709"/>
        <w:jc w:val="both"/>
        <w:rPr>
          <w:rFonts w:ascii="Verdana" w:eastAsia="Calibri" w:hAnsi="Verdana" w:cs="Arial"/>
          <w:sz w:val="21"/>
          <w:szCs w:val="21"/>
          <w:lang w:eastAsia="en-GB"/>
        </w:rPr>
      </w:pPr>
      <w:r w:rsidRPr="00E003E1">
        <w:rPr>
          <w:rFonts w:ascii="Verdana" w:eastAsia="Calibri" w:hAnsi="Verdana" w:cs="Arial"/>
          <w:sz w:val="21"/>
          <w:szCs w:val="21"/>
          <w:lang w:eastAsia="en-GB"/>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4783FF67" w14:textId="77777777" w:rsidR="00E003E1" w:rsidRPr="00E003E1" w:rsidRDefault="00E003E1" w:rsidP="00E003E1">
      <w:pPr>
        <w:snapToGrid w:val="0"/>
        <w:spacing w:after="0" w:line="276" w:lineRule="auto"/>
        <w:jc w:val="both"/>
        <w:rPr>
          <w:rFonts w:ascii="Verdana" w:eastAsia="Calibri" w:hAnsi="Verdana" w:cs="Arial"/>
        </w:rPr>
      </w:pPr>
    </w:p>
    <w:p w14:paraId="2DE9DBA0" w14:textId="77777777" w:rsidR="00E003E1" w:rsidRPr="00E003E1" w:rsidRDefault="00E003E1" w:rsidP="00E003E1">
      <w:pPr>
        <w:numPr>
          <w:ilvl w:val="0"/>
          <w:numId w:val="20"/>
        </w:numPr>
        <w:snapToGrid w:val="0"/>
        <w:spacing w:after="0" w:line="276" w:lineRule="auto"/>
        <w:jc w:val="both"/>
        <w:rPr>
          <w:rFonts w:ascii="Verdana" w:eastAsia="Calibri" w:hAnsi="Verdana" w:cs="Arial"/>
        </w:rPr>
      </w:pPr>
      <w:r w:rsidRPr="00E003E1">
        <w:rPr>
          <w:rFonts w:ascii="Verdana" w:eastAsia="Calibri" w:hAnsi="Verdana" w:cs="Arial"/>
        </w:rPr>
        <w:t xml:space="preserve">Adicionalmente, teniendo en cuenta el objeto de su consulta, es importante precisar que, la regla de subsanabilidad es un mecanismo previsto en los Procesos de Contratación que se regulan por el Estatuto General de Contratación de la Administración Pública –EGCAP–. Esta regla, prevista en el artículo 5 de la Ley 1150 de 2007, consiste en permitir </w:t>
      </w:r>
      <w:r w:rsidRPr="00E003E1">
        <w:rPr>
          <w:rFonts w:ascii="Verdana" w:eastAsia="Calibri" w:hAnsi="Verdana" w:cs="Arial"/>
        </w:rPr>
        <w:lastRenderedPageBreak/>
        <w:t>que los proponentes puedan enmendar, corregir o modificar los errores en los que se incurre en los documentos contentivos de la oferta. Así lo ha establecido el Consejo de Estado, en los siguientes términos:</w:t>
      </w:r>
    </w:p>
    <w:p w14:paraId="7F9B4E5B" w14:textId="77777777" w:rsidR="00E003E1" w:rsidRPr="00E003E1" w:rsidRDefault="00E003E1" w:rsidP="00E003E1">
      <w:pPr>
        <w:snapToGrid w:val="0"/>
        <w:spacing w:after="0" w:line="276" w:lineRule="auto"/>
        <w:ind w:right="49"/>
        <w:jc w:val="both"/>
        <w:rPr>
          <w:rFonts w:ascii="Verdana" w:eastAsia="Calibri" w:hAnsi="Verdana" w:cs="Arial"/>
        </w:rPr>
      </w:pPr>
    </w:p>
    <w:p w14:paraId="0419F2F9" w14:textId="77777777" w:rsidR="00E003E1" w:rsidRPr="00E003E1" w:rsidRDefault="00E003E1" w:rsidP="00E003E1">
      <w:pPr>
        <w:tabs>
          <w:tab w:val="left" w:pos="567"/>
        </w:tabs>
        <w:snapToGrid w:val="0"/>
        <w:spacing w:after="0" w:line="240" w:lineRule="auto"/>
        <w:ind w:left="709" w:right="709"/>
        <w:jc w:val="both"/>
        <w:rPr>
          <w:rFonts w:ascii="Verdana" w:eastAsia="Calibri" w:hAnsi="Verdana" w:cs="Arial"/>
          <w:sz w:val="21"/>
          <w:szCs w:val="21"/>
        </w:rPr>
      </w:pPr>
      <w:r w:rsidRPr="00E003E1">
        <w:rPr>
          <w:rFonts w:ascii="Verdana" w:eastAsia="Calibri" w:hAnsi="Verdana" w:cs="Arial"/>
          <w:sz w:val="21"/>
          <w:szCs w:val="21"/>
        </w:rPr>
        <w:t>“[…]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sidRPr="00E003E1">
        <w:rPr>
          <w:rFonts w:ascii="Verdana" w:eastAsia="Calibri" w:hAnsi="Verdana" w:cs="Arial"/>
          <w:sz w:val="21"/>
          <w:szCs w:val="21"/>
          <w:vertAlign w:val="superscript"/>
        </w:rPr>
        <w:footnoteReference w:id="5"/>
      </w:r>
      <w:r w:rsidRPr="00E003E1">
        <w:rPr>
          <w:rFonts w:ascii="Verdana" w:eastAsia="Calibri" w:hAnsi="Verdana" w:cs="Arial"/>
          <w:sz w:val="21"/>
          <w:szCs w:val="21"/>
        </w:rPr>
        <w:t xml:space="preserve">”. </w:t>
      </w:r>
    </w:p>
    <w:p w14:paraId="728ADBF2" w14:textId="77777777" w:rsidR="00E003E1" w:rsidRPr="00E003E1" w:rsidRDefault="00E003E1" w:rsidP="00E003E1">
      <w:pPr>
        <w:widowControl w:val="0"/>
        <w:autoSpaceDE w:val="0"/>
        <w:autoSpaceDN w:val="0"/>
        <w:snapToGrid w:val="0"/>
        <w:spacing w:after="0" w:line="276" w:lineRule="auto"/>
        <w:ind w:left="100" w:right="533" w:firstLine="708"/>
        <w:jc w:val="both"/>
        <w:rPr>
          <w:rFonts w:ascii="Verdana" w:eastAsia="Arial" w:hAnsi="Verdana" w:cs="Arial"/>
          <w:lang w:val="es-ES"/>
        </w:rPr>
      </w:pPr>
    </w:p>
    <w:p w14:paraId="5424DA89" w14:textId="77777777" w:rsidR="00E003E1" w:rsidRPr="00E003E1" w:rsidRDefault="00E003E1" w:rsidP="00E003E1">
      <w:pPr>
        <w:widowControl w:val="0"/>
        <w:numPr>
          <w:ilvl w:val="0"/>
          <w:numId w:val="20"/>
        </w:numPr>
        <w:autoSpaceDE w:val="0"/>
        <w:autoSpaceDN w:val="0"/>
        <w:snapToGrid w:val="0"/>
        <w:spacing w:after="0" w:line="276" w:lineRule="auto"/>
        <w:jc w:val="both"/>
        <w:rPr>
          <w:rFonts w:ascii="Verdana" w:eastAsia="Calibri" w:hAnsi="Verdana" w:cs="Arial"/>
        </w:rPr>
      </w:pPr>
      <w:r w:rsidRPr="00E003E1">
        <w:rPr>
          <w:rFonts w:ascii="Verdana" w:eastAsia="Calibri" w:hAnsi="Verdana" w:cs="Arial"/>
        </w:rPr>
        <w:t>Esta Subdirección se ha pronunciado en diversas oportunidades acerca del alcance de la regla de la subsanabilidad, contenida actualmente en el parágrafo 1 del artículo 5 de la Ley 1150 de 2007, modificado por el artículo 5 de la Ley 1882 de 2018</w:t>
      </w:r>
      <w:r w:rsidRPr="00E003E1">
        <w:rPr>
          <w:rFonts w:ascii="Verdana" w:eastAsia="Aptos" w:hAnsi="Verdana" w:cs="Times New Roman"/>
          <w:kern w:val="2"/>
          <w:vertAlign w:val="superscript"/>
          <w14:ligatures w14:val="standardContextual"/>
        </w:rPr>
        <w:footnoteReference w:id="6"/>
      </w:r>
      <w:r w:rsidRPr="00E003E1">
        <w:rPr>
          <w:rFonts w:ascii="Verdana" w:eastAsia="Calibri" w:hAnsi="Verdana" w:cs="Arial"/>
        </w:rPr>
        <w:t>. Al respecto, la postura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24E08AEB" w14:textId="77777777" w:rsidR="00E003E1" w:rsidRPr="00E003E1" w:rsidRDefault="00E003E1" w:rsidP="00E003E1">
      <w:pPr>
        <w:widowControl w:val="0"/>
        <w:autoSpaceDE w:val="0"/>
        <w:autoSpaceDN w:val="0"/>
        <w:snapToGrid w:val="0"/>
        <w:spacing w:after="0" w:line="276" w:lineRule="auto"/>
        <w:ind w:left="720"/>
        <w:jc w:val="both"/>
        <w:rPr>
          <w:rFonts w:ascii="Verdana" w:eastAsia="Calibri" w:hAnsi="Verdana" w:cs="Arial"/>
        </w:rPr>
      </w:pPr>
    </w:p>
    <w:p w14:paraId="553E2858" w14:textId="77777777" w:rsidR="00E003E1" w:rsidRPr="00E003E1" w:rsidRDefault="00E003E1" w:rsidP="00E003E1">
      <w:pPr>
        <w:numPr>
          <w:ilvl w:val="0"/>
          <w:numId w:val="20"/>
        </w:numPr>
        <w:snapToGrid w:val="0"/>
        <w:spacing w:after="0" w:line="276" w:lineRule="auto"/>
        <w:jc w:val="both"/>
        <w:rPr>
          <w:rFonts w:ascii="Verdana" w:eastAsia="Calibri" w:hAnsi="Verdana" w:cs="Arial"/>
        </w:rPr>
      </w:pPr>
      <w:r w:rsidRPr="00E003E1">
        <w:rPr>
          <w:rFonts w:ascii="Verdana" w:eastAsia="Times New Roman" w:hAnsi="Verdana" w:cs="Arial"/>
          <w:lang w:val="es-ES_tradnl" w:eastAsia="es-CO"/>
          <w14:ligatures w14:val="standardContextual"/>
        </w:rPr>
        <w:t xml:space="preserve">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4C9EA30A" w14:textId="77777777" w:rsidR="00E003E1" w:rsidRPr="00E003E1" w:rsidRDefault="00E003E1" w:rsidP="00E003E1">
      <w:pPr>
        <w:tabs>
          <w:tab w:val="left" w:pos="284"/>
        </w:tabs>
        <w:snapToGrid w:val="0"/>
        <w:spacing w:after="0" w:line="276" w:lineRule="auto"/>
        <w:ind w:firstLine="709"/>
        <w:jc w:val="both"/>
        <w:rPr>
          <w:rFonts w:ascii="Verdana" w:eastAsia="Calibri" w:hAnsi="Verdana" w:cs="Arial"/>
          <w:lang w:val="es-ES_tradnl"/>
          <w14:ligatures w14:val="standardContextual"/>
        </w:rPr>
      </w:pPr>
    </w:p>
    <w:p w14:paraId="7CE1A61F" w14:textId="77777777" w:rsidR="00E003E1" w:rsidRPr="00E003E1" w:rsidRDefault="00E003E1" w:rsidP="00E003E1">
      <w:pPr>
        <w:snapToGrid w:val="0"/>
        <w:spacing w:after="0" w:line="240" w:lineRule="auto"/>
        <w:ind w:left="709" w:right="709"/>
        <w:jc w:val="both"/>
        <w:rPr>
          <w:rFonts w:ascii="Verdana" w:eastAsia="Calibri" w:hAnsi="Verdana" w:cs="Arial"/>
          <w:sz w:val="21"/>
          <w:szCs w:val="21"/>
          <w:lang w:val="es-ES_tradnl"/>
          <w14:ligatures w14:val="standardContextual"/>
        </w:rPr>
      </w:pPr>
      <w:r w:rsidRPr="00E003E1">
        <w:rPr>
          <w:rFonts w:ascii="Verdana" w:eastAsia="Calibri" w:hAnsi="Verdana" w:cs="Arial"/>
          <w:sz w:val="21"/>
          <w:szCs w:val="21"/>
          <w:lang w:val="es-ES_tradnl"/>
          <w14:ligatures w14:val="standardContextual"/>
        </w:rPr>
        <w:t xml:space="preserve">“Artículo 5°. De la selección objetiva. </w:t>
      </w:r>
    </w:p>
    <w:p w14:paraId="77AEFE40" w14:textId="77777777" w:rsidR="00E003E1" w:rsidRPr="00E003E1" w:rsidRDefault="00E003E1" w:rsidP="00E003E1">
      <w:pPr>
        <w:snapToGrid w:val="0"/>
        <w:spacing w:after="0" w:line="240" w:lineRule="auto"/>
        <w:ind w:left="709" w:right="709"/>
        <w:jc w:val="both"/>
        <w:rPr>
          <w:rFonts w:ascii="Verdana" w:eastAsia="Calibri" w:hAnsi="Verdana" w:cs="Arial"/>
          <w:sz w:val="21"/>
          <w:szCs w:val="21"/>
          <w:lang w:val="es-ES_tradnl"/>
          <w14:ligatures w14:val="standardContextual"/>
        </w:rPr>
      </w:pPr>
      <w:r w:rsidRPr="00E003E1">
        <w:rPr>
          <w:rFonts w:ascii="Verdana" w:eastAsia="Calibri" w:hAnsi="Verdana" w:cs="Arial"/>
          <w:sz w:val="21"/>
          <w:szCs w:val="21"/>
          <w:lang w:val="es-ES_tradnl"/>
          <w14:ligatures w14:val="standardContextual"/>
        </w:rPr>
        <w:t>[... ]</w:t>
      </w:r>
    </w:p>
    <w:p w14:paraId="0F5CDB5C" w14:textId="77777777" w:rsidR="00E003E1" w:rsidRPr="00E003E1" w:rsidRDefault="00E003E1" w:rsidP="00E003E1">
      <w:pPr>
        <w:snapToGrid w:val="0"/>
        <w:spacing w:after="0" w:line="240" w:lineRule="auto"/>
        <w:ind w:left="709" w:right="709"/>
        <w:jc w:val="both"/>
        <w:rPr>
          <w:rFonts w:ascii="Verdana" w:eastAsia="Calibri" w:hAnsi="Verdana" w:cs="Arial"/>
          <w:sz w:val="21"/>
          <w:szCs w:val="21"/>
          <w:lang w:val="es-ES_tradnl"/>
          <w14:ligatures w14:val="standardContextual"/>
        </w:rPr>
      </w:pPr>
      <w:r w:rsidRPr="00E003E1">
        <w:rPr>
          <w:rFonts w:ascii="Verdana" w:eastAsia="Calibri" w:hAnsi="Verdana" w:cs="Arial"/>
          <w:sz w:val="21"/>
          <w:szCs w:val="21"/>
          <w:lang w:val="es-ES_tradnl"/>
          <w14:ligatures w14:val="standardContextua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w:t>
      </w:r>
      <w:r w:rsidRPr="00E003E1">
        <w:rPr>
          <w:rFonts w:ascii="Verdana" w:eastAsia="Calibri" w:hAnsi="Verdana" w:cs="Arial"/>
          <w:sz w:val="21"/>
          <w:szCs w:val="21"/>
          <w:lang w:val="es-ES_tradnl"/>
          <w14:ligatures w14:val="standardContextual"/>
        </w:rPr>
        <w:lastRenderedPageBreak/>
        <w:t xml:space="preserve">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78580081" w14:textId="77777777" w:rsidR="00E003E1" w:rsidRPr="00E003E1" w:rsidRDefault="00E003E1" w:rsidP="00E003E1">
      <w:pPr>
        <w:snapToGrid w:val="0"/>
        <w:spacing w:after="0" w:line="276" w:lineRule="auto"/>
        <w:ind w:firstLine="709"/>
        <w:jc w:val="both"/>
        <w:rPr>
          <w:rFonts w:ascii="Verdana" w:eastAsia="Calibri" w:hAnsi="Verdana" w:cs="Arial"/>
          <w:lang w:val="es-ES_tradnl"/>
          <w14:ligatures w14:val="standardContextual"/>
        </w:rPr>
      </w:pPr>
    </w:p>
    <w:p w14:paraId="63185BE2" w14:textId="77777777" w:rsidR="00E003E1" w:rsidRPr="00E003E1" w:rsidRDefault="00E003E1" w:rsidP="00E003E1">
      <w:pPr>
        <w:numPr>
          <w:ilvl w:val="0"/>
          <w:numId w:val="21"/>
        </w:numPr>
        <w:snapToGrid w:val="0"/>
        <w:spacing w:after="0" w:line="276" w:lineRule="auto"/>
        <w:jc w:val="both"/>
        <w:rPr>
          <w:rFonts w:ascii="Verdana" w:eastAsia="Calibri" w:hAnsi="Verdana" w:cs="Arial"/>
          <w:lang w:val="es-ES_tradnl"/>
          <w14:ligatures w14:val="standardContextual"/>
        </w:rPr>
      </w:pPr>
      <w:r w:rsidRPr="00E003E1">
        <w:rPr>
          <w:rFonts w:ascii="Verdana" w:eastAsia="Calibri" w:hAnsi="Verdana" w:cs="Arial"/>
          <w:lang w:val="es-ES_tradnl"/>
          <w14:ligatures w14:val="standardContextual"/>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w:t>
      </w:r>
    </w:p>
    <w:p w14:paraId="3889D33B" w14:textId="77777777" w:rsidR="00E003E1" w:rsidRPr="00E003E1" w:rsidRDefault="00E003E1" w:rsidP="00E003E1">
      <w:pPr>
        <w:snapToGrid w:val="0"/>
        <w:spacing w:after="0" w:line="276" w:lineRule="auto"/>
        <w:jc w:val="both"/>
        <w:rPr>
          <w:rFonts w:ascii="Verdana" w:eastAsia="Calibri" w:hAnsi="Verdana" w:cs="Arial"/>
          <w:lang w:val="es-ES_tradnl"/>
          <w14:ligatures w14:val="standardContextual"/>
        </w:rPr>
      </w:pPr>
    </w:p>
    <w:p w14:paraId="1A794804" w14:textId="77777777" w:rsidR="00E003E1" w:rsidRPr="00E003E1" w:rsidRDefault="00E003E1" w:rsidP="00E003E1">
      <w:pPr>
        <w:widowControl w:val="0"/>
        <w:numPr>
          <w:ilvl w:val="0"/>
          <w:numId w:val="21"/>
        </w:numPr>
        <w:autoSpaceDE w:val="0"/>
        <w:autoSpaceDN w:val="0"/>
        <w:snapToGrid w:val="0"/>
        <w:spacing w:after="0" w:line="276" w:lineRule="auto"/>
        <w:jc w:val="both"/>
        <w:rPr>
          <w:rFonts w:ascii="Verdana" w:eastAsia="Calibri" w:hAnsi="Verdana" w:cs="Arial"/>
          <w:lang w:val="es-ES_tradnl"/>
          <w14:ligatures w14:val="standardContextual"/>
        </w:rPr>
      </w:pPr>
      <w:r w:rsidRPr="00E003E1">
        <w:rPr>
          <w:rFonts w:ascii="Verdana" w:eastAsia="Calibri" w:hAnsi="Verdana" w:cs="Arial"/>
          <w:lang w:val="es-ES_tradnl"/>
          <w14:ligatures w14:val="standardContextual"/>
        </w:rPr>
        <w:t>Por ello, si los requisitos no otorgan puntaje y tienen el carácter de habilitantes para la participación en el proceso de contratación, se entiende que, en principio, pueden subsanarse. Además, se precisa que en el caso de la subasta y la mínima cuantía no debe perderse de vista que para este tipo de procedimientos también serán aplicables los criterios para determinar si los documentos faltantes son susceptibles o no de subsanación, analizando si inciden o no en la asignación de puntaje y si se relacionan con el cumplimiento de un requisito que constituye una circunstancia ocurrida con anterioridad o con posterioridad al cierre del proceso.</w:t>
      </w:r>
    </w:p>
    <w:p w14:paraId="39CC832A" w14:textId="77777777" w:rsidR="00E003E1" w:rsidRPr="00E003E1" w:rsidRDefault="00E003E1" w:rsidP="00E003E1">
      <w:pPr>
        <w:widowControl w:val="0"/>
        <w:autoSpaceDE w:val="0"/>
        <w:autoSpaceDN w:val="0"/>
        <w:snapToGrid w:val="0"/>
        <w:spacing w:after="0" w:line="276" w:lineRule="auto"/>
        <w:jc w:val="both"/>
        <w:rPr>
          <w:rFonts w:ascii="Verdana" w:eastAsia="Calibri" w:hAnsi="Verdana" w:cs="Arial"/>
          <w:lang w:val="es-ES_tradnl"/>
          <w14:ligatures w14:val="standardContextual"/>
        </w:rPr>
      </w:pPr>
    </w:p>
    <w:p w14:paraId="75D0C78F" w14:textId="77777777" w:rsidR="00E003E1" w:rsidRPr="00E003E1" w:rsidRDefault="00E003E1" w:rsidP="00E003E1">
      <w:pPr>
        <w:widowControl w:val="0"/>
        <w:numPr>
          <w:ilvl w:val="0"/>
          <w:numId w:val="21"/>
        </w:numPr>
        <w:autoSpaceDE w:val="0"/>
        <w:autoSpaceDN w:val="0"/>
        <w:snapToGrid w:val="0"/>
        <w:spacing w:after="0" w:line="276" w:lineRule="auto"/>
        <w:jc w:val="both"/>
        <w:rPr>
          <w:rFonts w:ascii="Verdana" w:eastAsia="Calibri" w:hAnsi="Verdana" w:cs="Arial"/>
          <w:lang w:val="es-ES_tradnl"/>
          <w14:ligatures w14:val="standardContextual"/>
        </w:rPr>
      </w:pPr>
      <w:r w:rsidRPr="00E003E1">
        <w:rPr>
          <w:rFonts w:ascii="Verdana" w:eastAsia="Calibri" w:hAnsi="Verdana" w:cs="Arial"/>
          <w:lang w:val="es-ES_tradnl"/>
          <w14:ligatures w14:val="standardContextual"/>
        </w:rPr>
        <w:t>Por lo tanto, conforme a la “Guía para Determinar y Verificar la Capacidad Residual del Proponente en los Procesos de Contratación de Obra Pública”, a la cual remiten los documentos tipo para efectos de verificar la capacidad residual del proponente, este último debe presentar un certificado suscrito por su representante legal y su revisor fiscal, si está obligado a tenerlo, o por el Contador Público o auditor independiente, para lo cual se sugiere el formato establecido en el Anexo 3 de la Guía.</w:t>
      </w:r>
    </w:p>
    <w:p w14:paraId="6584A8F7" w14:textId="77777777" w:rsidR="00E003E1" w:rsidRPr="00E003E1" w:rsidRDefault="00E003E1" w:rsidP="00E003E1">
      <w:pPr>
        <w:widowControl w:val="0"/>
        <w:autoSpaceDE w:val="0"/>
        <w:autoSpaceDN w:val="0"/>
        <w:snapToGrid w:val="0"/>
        <w:spacing w:after="0" w:line="276" w:lineRule="auto"/>
        <w:ind w:left="720"/>
        <w:jc w:val="both"/>
        <w:rPr>
          <w:rFonts w:ascii="Verdana" w:eastAsia="Calibri" w:hAnsi="Verdana" w:cs="Arial"/>
          <w:lang w:val="es-ES_tradnl"/>
          <w14:ligatures w14:val="standardContextual"/>
        </w:rPr>
      </w:pPr>
    </w:p>
    <w:p w14:paraId="2D52FADA" w14:textId="77777777" w:rsidR="00E003E1" w:rsidRPr="00E003E1" w:rsidRDefault="00E003E1" w:rsidP="00E003E1">
      <w:pPr>
        <w:widowControl w:val="0"/>
        <w:numPr>
          <w:ilvl w:val="0"/>
          <w:numId w:val="21"/>
        </w:numPr>
        <w:autoSpaceDE w:val="0"/>
        <w:autoSpaceDN w:val="0"/>
        <w:snapToGrid w:val="0"/>
        <w:spacing w:after="0" w:line="276" w:lineRule="auto"/>
        <w:jc w:val="both"/>
        <w:rPr>
          <w:rFonts w:ascii="Verdana" w:eastAsia="Calibri" w:hAnsi="Verdana" w:cs="Arial"/>
          <w:lang w:val="es-ES_tradnl"/>
          <w14:ligatures w14:val="standardContextual"/>
        </w:rPr>
      </w:pPr>
      <w:r w:rsidRPr="00E003E1">
        <w:rPr>
          <w:rFonts w:ascii="Verdana" w:eastAsia="Calibri" w:hAnsi="Verdana" w:cs="Arial"/>
          <w:lang w:val="es-ES_tradnl"/>
          <w14:ligatures w14:val="standardContextual"/>
        </w:rPr>
        <w:t>Si el proponente no tiene Contratos en Ejecución, en el certificado debe constar expresamente esa circunstancia. En todo caso, debe tener en cuenta que no se entenderá como Contratos en Ejecución los que se encuentren en etapa de liquidación o ya fueron liquidados.</w:t>
      </w:r>
    </w:p>
    <w:p w14:paraId="636E3EFB" w14:textId="77777777" w:rsidR="00E003E1" w:rsidRPr="00E003E1" w:rsidRDefault="00E003E1" w:rsidP="00E003E1">
      <w:pPr>
        <w:snapToGrid w:val="0"/>
        <w:spacing w:after="0" w:line="276" w:lineRule="auto"/>
        <w:ind w:left="720"/>
        <w:rPr>
          <w:rFonts w:ascii="Verdana" w:eastAsia="Calibri" w:hAnsi="Verdana" w:cs="Arial"/>
          <w:lang w:val="es-ES_tradnl"/>
          <w14:ligatures w14:val="standardContextual"/>
        </w:rPr>
      </w:pPr>
    </w:p>
    <w:p w14:paraId="17730F75" w14:textId="77777777" w:rsidR="00E003E1" w:rsidRPr="00E003E1" w:rsidRDefault="00E003E1" w:rsidP="00E003E1">
      <w:pPr>
        <w:widowControl w:val="0"/>
        <w:numPr>
          <w:ilvl w:val="0"/>
          <w:numId w:val="21"/>
        </w:numPr>
        <w:autoSpaceDE w:val="0"/>
        <w:autoSpaceDN w:val="0"/>
        <w:snapToGrid w:val="0"/>
        <w:spacing w:after="0" w:line="276" w:lineRule="auto"/>
        <w:jc w:val="both"/>
        <w:rPr>
          <w:rFonts w:ascii="Verdana" w:eastAsia="Calibri" w:hAnsi="Verdana" w:cs="Arial"/>
          <w:lang w:val="es-ES_tradnl"/>
          <w14:ligatures w14:val="standardContextual"/>
        </w:rPr>
      </w:pPr>
      <w:r w:rsidRPr="00E003E1">
        <w:rPr>
          <w:rFonts w:ascii="Verdana" w:eastAsia="Calibri" w:hAnsi="Verdana" w:cs="Arial"/>
          <w:lang w:val="es-ES_tradnl"/>
          <w14:ligatures w14:val="standardContextual"/>
        </w:rPr>
        <w:t xml:space="preserve">Por esta razón, la ausencia del requisito no puede entenderse como una inexistencia de contratos en ejecución, ya que esta es una circunstancia que el proponente debe indicar, de forma expresa, en el certificado que aporte. Además, la falta de este certificado, en caso de no ser subsanado, podrá dar lugar al rechazo de la oferta. </w:t>
      </w:r>
    </w:p>
    <w:p w14:paraId="3424C10A" w14:textId="77777777" w:rsidR="00E003E1" w:rsidRPr="00E003E1" w:rsidRDefault="00E003E1" w:rsidP="00E003E1">
      <w:pPr>
        <w:widowControl w:val="0"/>
        <w:autoSpaceDE w:val="0"/>
        <w:autoSpaceDN w:val="0"/>
        <w:spacing w:after="0" w:line="276" w:lineRule="auto"/>
        <w:jc w:val="both"/>
        <w:rPr>
          <w:rFonts w:ascii="Verdana" w:eastAsia="Calibri" w:hAnsi="Verdana" w:cs="Arial"/>
        </w:rPr>
      </w:pPr>
    </w:p>
    <w:p w14:paraId="010E65B1" w14:textId="77777777" w:rsidR="00E003E1" w:rsidRPr="00E003E1" w:rsidRDefault="00E003E1" w:rsidP="00E003E1">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E003E1">
        <w:rPr>
          <w:rFonts w:ascii="Verdana" w:eastAsia="Century Gothic" w:hAnsi="Verdana" w:cs="Century Gothic"/>
          <w:b/>
          <w:bCs/>
          <w:lang w:val="es-ES"/>
        </w:rPr>
        <w:t>Referencias normativas, jurisprudenciales y otras fuentes:</w:t>
      </w:r>
    </w:p>
    <w:p w14:paraId="205FEE9A" w14:textId="77777777" w:rsidR="00E003E1" w:rsidRPr="00E003E1" w:rsidRDefault="00E003E1" w:rsidP="00E003E1">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E003E1" w:rsidRPr="00E003E1" w14:paraId="56712ADF" w14:textId="77777777" w:rsidTr="00ED4BC2">
        <w:trPr>
          <w:trHeight w:val="870"/>
        </w:trPr>
        <w:tc>
          <w:tcPr>
            <w:tcW w:w="8647" w:type="dxa"/>
          </w:tcPr>
          <w:p w14:paraId="1B513F5F" w14:textId="77777777" w:rsidR="00E003E1" w:rsidRPr="00E003E1" w:rsidRDefault="00E003E1" w:rsidP="00E003E1">
            <w:pPr>
              <w:widowControl w:val="0"/>
              <w:numPr>
                <w:ilvl w:val="0"/>
                <w:numId w:val="17"/>
              </w:numPr>
              <w:autoSpaceDE w:val="0"/>
              <w:autoSpaceDN w:val="0"/>
              <w:spacing w:after="120" w:line="276" w:lineRule="auto"/>
              <w:jc w:val="both"/>
              <w:rPr>
                <w:rFonts w:ascii="Verdana" w:eastAsia="Calibri" w:hAnsi="Verdana" w:cs="Arial"/>
              </w:rPr>
            </w:pPr>
            <w:r w:rsidRPr="00E003E1">
              <w:rPr>
                <w:rFonts w:ascii="Verdana" w:eastAsia="Calibri" w:hAnsi="Verdana" w:cs="Arial"/>
              </w:rPr>
              <w:t>Ley 1150 de 2007, artículos 5 y 6.</w:t>
            </w:r>
          </w:p>
          <w:p w14:paraId="16F8F20C" w14:textId="77777777" w:rsidR="00E003E1" w:rsidRPr="00E003E1" w:rsidRDefault="00E003E1" w:rsidP="00E003E1">
            <w:pPr>
              <w:widowControl w:val="0"/>
              <w:numPr>
                <w:ilvl w:val="0"/>
                <w:numId w:val="17"/>
              </w:numPr>
              <w:autoSpaceDE w:val="0"/>
              <w:autoSpaceDN w:val="0"/>
              <w:spacing w:after="120" w:line="276" w:lineRule="auto"/>
              <w:jc w:val="both"/>
              <w:rPr>
                <w:rFonts w:ascii="Verdana" w:eastAsia="Calibri" w:hAnsi="Verdana" w:cs="Arial"/>
              </w:rPr>
            </w:pPr>
            <w:r w:rsidRPr="00E003E1">
              <w:rPr>
                <w:rFonts w:ascii="Verdana" w:eastAsia="Calibri" w:hAnsi="Verdana" w:cs="Arial"/>
              </w:rPr>
              <w:t>Ley 1882 de 2018, artículo 5.</w:t>
            </w:r>
          </w:p>
          <w:p w14:paraId="676A7FF9" w14:textId="77777777" w:rsidR="00E003E1" w:rsidRPr="00E003E1" w:rsidRDefault="00E003E1" w:rsidP="00E003E1">
            <w:pPr>
              <w:widowControl w:val="0"/>
              <w:numPr>
                <w:ilvl w:val="0"/>
                <w:numId w:val="17"/>
              </w:numPr>
              <w:autoSpaceDE w:val="0"/>
              <w:autoSpaceDN w:val="0"/>
              <w:spacing w:after="120" w:line="276" w:lineRule="auto"/>
              <w:jc w:val="both"/>
              <w:rPr>
                <w:rFonts w:ascii="Verdana" w:eastAsia="Calibri" w:hAnsi="Verdana" w:cs="Arial"/>
              </w:rPr>
            </w:pPr>
            <w:r w:rsidRPr="00E003E1">
              <w:rPr>
                <w:rFonts w:ascii="Verdana" w:eastAsia="Calibri" w:hAnsi="Verdana" w:cs="Arial"/>
                <w:color w:val="000000"/>
                <w:lang w:eastAsia="en-GB"/>
              </w:rPr>
              <w:t>Ley 1682 de 2013, artículo 72.</w:t>
            </w:r>
          </w:p>
          <w:p w14:paraId="7BBC7232" w14:textId="77777777" w:rsidR="00E003E1" w:rsidRPr="00E003E1" w:rsidRDefault="00E003E1" w:rsidP="00E003E1">
            <w:pPr>
              <w:widowControl w:val="0"/>
              <w:numPr>
                <w:ilvl w:val="0"/>
                <w:numId w:val="17"/>
              </w:numPr>
              <w:autoSpaceDE w:val="0"/>
              <w:autoSpaceDN w:val="0"/>
              <w:spacing w:after="120" w:line="276" w:lineRule="auto"/>
              <w:jc w:val="both"/>
              <w:rPr>
                <w:rFonts w:ascii="Verdana" w:eastAsia="Calibri" w:hAnsi="Verdana" w:cs="Arial"/>
              </w:rPr>
            </w:pPr>
            <w:r w:rsidRPr="00E003E1">
              <w:rPr>
                <w:rFonts w:ascii="Verdana" w:eastAsia="Calibri" w:hAnsi="Verdana" w:cs="Arial"/>
              </w:rPr>
              <w:t xml:space="preserve">Decreto 1082 de 2015, artículos 2.2.1.1.1.3.1 y </w:t>
            </w:r>
            <w:r w:rsidRPr="00E003E1">
              <w:rPr>
                <w:rFonts w:ascii="Verdana" w:eastAsia="Calibri" w:hAnsi="Verdana" w:cs="Arial"/>
                <w:color w:val="000000"/>
                <w:lang w:val="es-MX" w:eastAsia="en-GB"/>
              </w:rPr>
              <w:t>2.2.1.1.1.6.4.</w:t>
            </w:r>
          </w:p>
          <w:p w14:paraId="0775DE8E" w14:textId="77777777" w:rsidR="00E003E1" w:rsidRPr="00E003E1" w:rsidRDefault="00E003E1" w:rsidP="00E003E1">
            <w:pPr>
              <w:widowControl w:val="0"/>
              <w:numPr>
                <w:ilvl w:val="0"/>
                <w:numId w:val="17"/>
              </w:numPr>
              <w:autoSpaceDE w:val="0"/>
              <w:autoSpaceDN w:val="0"/>
              <w:spacing w:after="120" w:line="276" w:lineRule="auto"/>
              <w:jc w:val="both"/>
              <w:rPr>
                <w:rFonts w:ascii="Verdana" w:eastAsia="Calibri" w:hAnsi="Verdana" w:cs="Arial"/>
              </w:rPr>
            </w:pPr>
            <w:r w:rsidRPr="00E003E1">
              <w:rPr>
                <w:rFonts w:ascii="Verdana" w:eastAsia="Calibri" w:hAnsi="Verdana" w:cs="Arial"/>
                <w:color w:val="000000"/>
                <w:lang w:val="es-ES_tradnl"/>
              </w:rPr>
              <w:t>Consejo de Estado. Sección Tercera. Sentencia del 26 de junio de 2003. Rad. 13.354. C.P. María Elena Giraldo Gómez.</w:t>
            </w:r>
          </w:p>
          <w:p w14:paraId="4FE7A0C3" w14:textId="77777777" w:rsidR="00E003E1" w:rsidRPr="00E003E1" w:rsidRDefault="00E003E1" w:rsidP="00E003E1">
            <w:pPr>
              <w:widowControl w:val="0"/>
              <w:numPr>
                <w:ilvl w:val="0"/>
                <w:numId w:val="17"/>
              </w:numPr>
              <w:autoSpaceDE w:val="0"/>
              <w:autoSpaceDN w:val="0"/>
              <w:spacing w:after="120" w:line="276" w:lineRule="auto"/>
              <w:jc w:val="both"/>
              <w:rPr>
                <w:rFonts w:ascii="Verdana" w:eastAsia="Calibri" w:hAnsi="Verdana" w:cs="Arial"/>
              </w:rPr>
            </w:pPr>
            <w:r w:rsidRPr="00E003E1">
              <w:rPr>
                <w:rFonts w:ascii="Verdana" w:eastAsia="Times New Roman" w:hAnsi="Verdana" w:cs="Arial"/>
                <w:color w:val="000000"/>
                <w:lang w:val="es-ES_tradnl" w:eastAsia="es-CO"/>
              </w:rPr>
              <w:t>Consejo de Estado. Sala de Consulta y Servicio Civil. Concepto del 20 de mayo de 2010. Exp. 1.992. C.P. Enrique José Arboleda Perdomo.</w:t>
            </w:r>
          </w:p>
          <w:p w14:paraId="040F3501" w14:textId="77777777" w:rsidR="00E003E1" w:rsidRPr="00E003E1" w:rsidRDefault="00E003E1" w:rsidP="00E003E1">
            <w:pPr>
              <w:widowControl w:val="0"/>
              <w:numPr>
                <w:ilvl w:val="0"/>
                <w:numId w:val="17"/>
              </w:numPr>
              <w:autoSpaceDE w:val="0"/>
              <w:autoSpaceDN w:val="0"/>
              <w:spacing w:after="120" w:line="276" w:lineRule="auto"/>
              <w:jc w:val="both"/>
              <w:rPr>
                <w:rFonts w:ascii="Verdana" w:eastAsia="Calibri" w:hAnsi="Verdana" w:cs="Arial"/>
              </w:rPr>
            </w:pPr>
            <w:r w:rsidRPr="00E003E1">
              <w:rPr>
                <w:rFonts w:ascii="Verdana" w:eastAsia="Calibri" w:hAnsi="Verdana" w:cs="Arial"/>
                <w:lang w:val="es-ES_tradnl"/>
              </w:rPr>
              <w:t>Agencia Nacional de Contratación Pública – Colombia Compra Eficiente. Guía para Determinar y Verificar la Capacidad Residual del Proponente en los Procesos de Contratación de Obra Pública. Disponible en:</w:t>
            </w:r>
            <w:r w:rsidRPr="00E003E1">
              <w:rPr>
                <w:rFonts w:ascii="Aptos" w:eastAsia="Aptos" w:hAnsi="Aptos" w:cs="Times New Roman"/>
                <w:lang w:val="es-ES_tradnl"/>
              </w:rPr>
              <w:t xml:space="preserve"> </w:t>
            </w:r>
            <w:hyperlink r:id="rId11" w:history="1">
              <w:r w:rsidRPr="00E003E1">
                <w:rPr>
                  <w:rFonts w:ascii="Verdana" w:eastAsia="Calibri" w:hAnsi="Verdana" w:cs="Arial"/>
                  <w:color w:val="0000FF"/>
                  <w:u w:val="single"/>
                  <w:lang w:val="es-ES_tradnl"/>
                </w:rPr>
                <w:t>https://www.colombiacompra.gov.co/sites/cce_public/files/cce_documents/cce-eicp-gi-22_guia_capacidad_residual_de_contratacion_v1_29-09-2023_.pdf</w:t>
              </w:r>
            </w:hyperlink>
            <w:r w:rsidRPr="00E003E1">
              <w:rPr>
                <w:rFonts w:ascii="Verdana" w:eastAsia="Calibri" w:hAnsi="Verdana" w:cs="Arial"/>
                <w:lang w:val="es-ES_tradnl"/>
              </w:rPr>
              <w:t xml:space="preserve"> </w:t>
            </w:r>
          </w:p>
        </w:tc>
      </w:tr>
    </w:tbl>
    <w:p w14:paraId="4E86A01A" w14:textId="77777777" w:rsidR="00E003E1" w:rsidRPr="00E003E1" w:rsidRDefault="00E003E1" w:rsidP="00E003E1">
      <w:pPr>
        <w:widowControl w:val="0"/>
        <w:autoSpaceDE w:val="0"/>
        <w:autoSpaceDN w:val="0"/>
        <w:spacing w:after="0" w:line="276" w:lineRule="auto"/>
        <w:jc w:val="both"/>
        <w:rPr>
          <w:rFonts w:ascii="Verdana" w:eastAsia="Calibri" w:hAnsi="Verdana" w:cs="Arial"/>
        </w:rPr>
      </w:pPr>
    </w:p>
    <w:p w14:paraId="1DB8DF49" w14:textId="77777777" w:rsidR="00E003E1" w:rsidRPr="00E003E1" w:rsidRDefault="00E003E1" w:rsidP="00E003E1">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E003E1">
        <w:rPr>
          <w:rFonts w:ascii="Verdana" w:eastAsia="Century Gothic" w:hAnsi="Verdana" w:cs="Century Gothic"/>
          <w:b/>
          <w:bCs/>
          <w:lang w:val="es-ES"/>
        </w:rPr>
        <w:t>Doctrina de la Agencia Nacional de Contratación Pública:</w:t>
      </w:r>
    </w:p>
    <w:p w14:paraId="585AC531" w14:textId="77777777" w:rsidR="00E003E1" w:rsidRPr="00E003E1" w:rsidRDefault="00E003E1" w:rsidP="00E003E1">
      <w:pPr>
        <w:widowControl w:val="0"/>
        <w:autoSpaceDE w:val="0"/>
        <w:autoSpaceDN w:val="0"/>
        <w:spacing w:after="0" w:line="276" w:lineRule="auto"/>
        <w:jc w:val="both"/>
        <w:rPr>
          <w:rFonts w:ascii="Verdana" w:eastAsia="Calibri" w:hAnsi="Verdana" w:cs="Arial"/>
          <w:shd w:val="clear" w:color="auto" w:fill="FFFFFF"/>
          <w:lang w:val="es-ES"/>
        </w:rPr>
      </w:pPr>
    </w:p>
    <w:p w14:paraId="2D4BC231" w14:textId="77777777" w:rsidR="00E003E1" w:rsidRPr="00E003E1" w:rsidRDefault="00E003E1" w:rsidP="00E003E1">
      <w:pPr>
        <w:widowControl w:val="0"/>
        <w:autoSpaceDE w:val="0"/>
        <w:autoSpaceDN w:val="0"/>
        <w:spacing w:after="0" w:line="276" w:lineRule="auto"/>
        <w:jc w:val="both"/>
        <w:rPr>
          <w:rFonts w:ascii="Verdana" w:eastAsia="Calibri" w:hAnsi="Verdana" w:cs="Arial"/>
          <w:shd w:val="clear" w:color="auto" w:fill="FFFFFF"/>
          <w:lang w:val="es-ES"/>
        </w:rPr>
      </w:pPr>
      <w:r w:rsidRPr="00E003E1">
        <w:rPr>
          <w:rFonts w:ascii="Verdana" w:eastAsia="Calibri" w:hAnsi="Verdana" w:cs="Arial"/>
          <w:shd w:val="clear" w:color="auto" w:fill="FFFFFF"/>
          <w:lang w:val="es-ES"/>
        </w:rPr>
        <w:t xml:space="preserve">La Agencia Nacional de Contratación Pública – Colombia Compra Eficiente, se ha pronunciado sobre la capacidad residual y la forma como esta se debe acreditar, en los conceptos 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 C-461 del 13 de </w:t>
      </w:r>
      <w:r w:rsidRPr="00E003E1">
        <w:rPr>
          <w:rFonts w:ascii="Verdana" w:eastAsia="Calibri" w:hAnsi="Verdana" w:cs="Arial"/>
          <w:shd w:val="clear" w:color="auto" w:fill="FFFFFF"/>
          <w:lang w:val="es-ES"/>
        </w:rPr>
        <w:lastRenderedPageBreak/>
        <w:t>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C-068 del 9 de marzo de 2022, C-220 del 22 de abril de 2022, C-351 del 23 de mayo de 2022, C-392 del 16 de junio de 2022 y C-411 del 4 de diciembre de 2023. También, esta Agencia se ha</w:t>
      </w:r>
      <w:r w:rsidRPr="00E003E1">
        <w:rPr>
          <w:rFonts w:ascii="Aptos" w:eastAsia="Aptos" w:hAnsi="Aptos" w:cs="Times New Roman"/>
          <w:kern w:val="2"/>
          <w:sz w:val="24"/>
          <w:szCs w:val="24"/>
          <w:lang w:val="es-ES_tradnl"/>
          <w14:ligatures w14:val="standardContextual"/>
        </w:rPr>
        <w:t xml:space="preserve"> </w:t>
      </w:r>
      <w:r w:rsidRPr="00E003E1">
        <w:rPr>
          <w:rFonts w:ascii="Verdana" w:eastAsia="Calibri" w:hAnsi="Verdana" w:cs="Arial"/>
          <w:shd w:val="clear" w:color="auto" w:fill="FFFFFF"/>
          <w:lang w:val="es-ES"/>
        </w:rPr>
        <w:t>pronunciado sobre el alcance de la regla de la subsanabilidad en los conceptos CU - 060 de 16 de enero de 2020 y C-791 del 24 de noviembre del 2022, , C−372 de 30 de junio de 2020, C−410 de 26 de junio de 2020, C−481 de 27 julio de 2020, C−420 de 28 de julio de 2020, C-730 de 14 de diciembre de 2020, C–779 de 18 de enero de 2020, C-077 de 14 de enero de 2021, C-010 de 16 de febrero de 2021, C-250 del 2 de junio de 2021 C-568 del 11 de octubre de 2021, C-728 del 25 de enero de 2022, C-140 del 28 de marzo de 2022, C-285 del 20 de mayo de 2022, C-416 del 30 de junio de 2022, C-431 del 7 de julio de 2022, C-470 del 25 de julio de 2022, C-505 de 8 de agosto de 2022, C-681 de 19 de octubre de 2022, C-181 del 07 de julio de 2023, entre otros. Es</w:t>
      </w:r>
      <w:r w:rsidRPr="00E003E1">
        <w:rPr>
          <w:rFonts w:ascii="Verdana" w:eastAsia="Calibri" w:hAnsi="Verdana" w:cs="Times New Roman"/>
        </w:rPr>
        <w:t>tos y otros conceptos se encuentran disponibles para consulta en el sistema de relatoría de la Agencia, al cual se puede acceder a través del siguiente enlace:</w:t>
      </w:r>
      <w:r w:rsidRPr="00E003E1">
        <w:rPr>
          <w:rFonts w:ascii="Verdana" w:eastAsia="Calibri" w:hAnsi="Verdana" w:cs="Arial"/>
          <w:shd w:val="clear" w:color="auto" w:fill="FFFFFF"/>
          <w:lang w:val="es-ES"/>
        </w:rPr>
        <w:t xml:space="preserve"> </w:t>
      </w:r>
      <w:hyperlink r:id="rId12" w:history="1">
        <w:r w:rsidRPr="00E003E1">
          <w:rPr>
            <w:rFonts w:ascii="Verdana" w:eastAsia="Calibri" w:hAnsi="Verdana" w:cs="Arial"/>
            <w:u w:val="single"/>
            <w:shd w:val="clear" w:color="auto" w:fill="FFFFFF"/>
            <w:lang w:val="es-ES"/>
          </w:rPr>
          <w:t>https://relatoria.colombiacompra.gov.co/busqueda/conceptos</w:t>
        </w:r>
      </w:hyperlink>
      <w:r w:rsidRPr="00E003E1">
        <w:rPr>
          <w:rFonts w:ascii="Verdana" w:eastAsia="Calibri" w:hAnsi="Verdana" w:cs="Arial"/>
          <w:shd w:val="clear" w:color="auto" w:fill="FFFFFF"/>
          <w:lang w:val="es-ES"/>
        </w:rPr>
        <w:t xml:space="preserve">. </w:t>
      </w:r>
    </w:p>
    <w:p w14:paraId="4E65A006" w14:textId="77777777" w:rsidR="00E003E1" w:rsidRPr="00E003E1" w:rsidRDefault="00E003E1" w:rsidP="00E003E1">
      <w:pPr>
        <w:widowControl w:val="0"/>
        <w:autoSpaceDE w:val="0"/>
        <w:autoSpaceDN w:val="0"/>
        <w:spacing w:after="0" w:line="276" w:lineRule="auto"/>
        <w:jc w:val="both"/>
        <w:rPr>
          <w:rFonts w:ascii="Verdana" w:eastAsia="Calibri" w:hAnsi="Verdana" w:cs="Arial"/>
          <w:shd w:val="clear" w:color="auto" w:fill="FFFFFF"/>
          <w:lang w:val="es-ES"/>
        </w:rPr>
      </w:pPr>
    </w:p>
    <w:p w14:paraId="2BB8F84C" w14:textId="77777777" w:rsidR="00E003E1" w:rsidRPr="00E003E1" w:rsidRDefault="00E003E1" w:rsidP="00E003E1">
      <w:pPr>
        <w:widowControl w:val="0"/>
        <w:autoSpaceDE w:val="0"/>
        <w:autoSpaceDN w:val="0"/>
        <w:spacing w:after="0" w:line="276" w:lineRule="auto"/>
        <w:jc w:val="both"/>
        <w:rPr>
          <w:rFonts w:ascii="Verdana" w:eastAsia="Calibri" w:hAnsi="Verdana" w:cs="Arial"/>
          <w:shd w:val="clear" w:color="auto" w:fill="FFFFFF"/>
          <w:lang w:val="es-ES"/>
        </w:rPr>
      </w:pPr>
      <w:r w:rsidRPr="00E003E1">
        <w:rPr>
          <w:rFonts w:ascii="Verdana" w:eastAsia="Calibri"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3" w:history="1">
        <w:r w:rsidRPr="00E003E1">
          <w:rPr>
            <w:rFonts w:ascii="Verdana" w:eastAsia="Calibri" w:hAnsi="Verdana" w:cs="Arial"/>
            <w:u w:val="single"/>
            <w:shd w:val="clear" w:color="auto" w:fill="FFFFFF"/>
            <w:lang w:val="es-ES"/>
          </w:rPr>
          <w:t>https://www.colombiacompra.gov.co/sala-de-prensa/boletin-digital</w:t>
        </w:r>
      </w:hyperlink>
      <w:r w:rsidRPr="00E003E1">
        <w:rPr>
          <w:rFonts w:ascii="Verdana" w:eastAsia="Calibri" w:hAnsi="Verdana" w:cs="Arial"/>
          <w:shd w:val="clear" w:color="auto" w:fill="FFFFFF"/>
          <w:lang w:val="es-ES"/>
        </w:rPr>
        <w:t xml:space="preserve">   </w:t>
      </w:r>
    </w:p>
    <w:p w14:paraId="721A4795" w14:textId="77777777" w:rsidR="00E003E1" w:rsidRPr="00E003E1" w:rsidRDefault="00E003E1" w:rsidP="00E003E1">
      <w:pPr>
        <w:widowControl w:val="0"/>
        <w:autoSpaceDE w:val="0"/>
        <w:autoSpaceDN w:val="0"/>
        <w:spacing w:after="0" w:line="276" w:lineRule="auto"/>
        <w:jc w:val="both"/>
        <w:rPr>
          <w:rFonts w:ascii="Verdana" w:eastAsia="Calibri" w:hAnsi="Verdana" w:cs="Arial"/>
          <w:shd w:val="clear" w:color="auto" w:fill="FFFFFF"/>
          <w:lang w:val="es-ES"/>
        </w:rPr>
      </w:pPr>
    </w:p>
    <w:p w14:paraId="7539265F" w14:textId="77777777" w:rsidR="00E003E1" w:rsidRPr="00E003E1" w:rsidRDefault="00E003E1" w:rsidP="00E003E1">
      <w:pPr>
        <w:spacing w:after="0" w:line="240" w:lineRule="auto"/>
        <w:jc w:val="both"/>
        <w:rPr>
          <w:rFonts w:ascii="Verdana" w:eastAsia="Calibri" w:hAnsi="Verdana" w:cs="Times New Roman"/>
        </w:rPr>
      </w:pPr>
      <w:r w:rsidRPr="00E003E1">
        <w:rPr>
          <w:rFonts w:ascii="Verdana" w:eastAsia="Calibri" w:hAnsi="Verdana" w:cs="Times New Roman"/>
        </w:rPr>
        <w:t xml:space="preserve">Por último, los invitamos a seguirnos en las redes sociales, en las cuales se difunde información institucional: </w:t>
      </w:r>
    </w:p>
    <w:p w14:paraId="2C820578" w14:textId="77777777" w:rsidR="00E003E1" w:rsidRPr="00E003E1" w:rsidRDefault="00E003E1" w:rsidP="00E003E1">
      <w:pPr>
        <w:spacing w:after="0" w:line="240" w:lineRule="auto"/>
        <w:jc w:val="both"/>
        <w:rPr>
          <w:rFonts w:ascii="Verdana" w:eastAsia="Calibri" w:hAnsi="Verdana" w:cs="Times New Roman"/>
        </w:rPr>
      </w:pPr>
    </w:p>
    <w:p w14:paraId="1318A948" w14:textId="77777777" w:rsidR="00E003E1" w:rsidRPr="00E003E1" w:rsidRDefault="00E003E1" w:rsidP="00E003E1">
      <w:pPr>
        <w:spacing w:after="0" w:line="240" w:lineRule="auto"/>
        <w:jc w:val="both"/>
        <w:rPr>
          <w:rFonts w:ascii="Verdana" w:eastAsia="Calibri" w:hAnsi="Verdana" w:cs="Times New Roman"/>
        </w:rPr>
      </w:pPr>
      <w:r w:rsidRPr="00E003E1">
        <w:rPr>
          <w:rFonts w:ascii="Verdana" w:eastAsia="Calibri" w:hAnsi="Verdana" w:cs="Times New Roman"/>
        </w:rPr>
        <w:t xml:space="preserve">Twitter: </w:t>
      </w:r>
      <w:r w:rsidRPr="00E003E1">
        <w:rPr>
          <w:rFonts w:ascii="Verdana" w:eastAsia="Calibri" w:hAnsi="Verdana" w:cs="Times New Roman"/>
          <w:u w:val="single"/>
        </w:rPr>
        <w:t>@colombiacompra</w:t>
      </w:r>
      <w:r w:rsidRPr="00E003E1">
        <w:rPr>
          <w:rFonts w:ascii="Verdana" w:eastAsia="Calibri" w:hAnsi="Verdana" w:cs="Times New Roman"/>
        </w:rPr>
        <w:t xml:space="preserve"> </w:t>
      </w:r>
    </w:p>
    <w:p w14:paraId="3422FD15" w14:textId="77777777" w:rsidR="00E003E1" w:rsidRPr="00E003E1" w:rsidRDefault="00E003E1" w:rsidP="00E003E1">
      <w:pPr>
        <w:spacing w:after="0" w:line="240" w:lineRule="auto"/>
        <w:jc w:val="both"/>
        <w:rPr>
          <w:rFonts w:ascii="Verdana" w:eastAsia="Calibri" w:hAnsi="Verdana" w:cs="Times New Roman"/>
        </w:rPr>
      </w:pPr>
      <w:r w:rsidRPr="00E003E1">
        <w:rPr>
          <w:rFonts w:ascii="Verdana" w:eastAsia="Calibri" w:hAnsi="Verdana" w:cs="Times New Roman"/>
        </w:rPr>
        <w:t xml:space="preserve">Facebook: </w:t>
      </w:r>
      <w:r w:rsidRPr="00E003E1">
        <w:rPr>
          <w:rFonts w:ascii="Verdana" w:eastAsia="Calibri" w:hAnsi="Verdana" w:cs="Times New Roman"/>
          <w:u w:val="single"/>
        </w:rPr>
        <w:t>ColombiaCompraEficiente</w:t>
      </w:r>
    </w:p>
    <w:p w14:paraId="3D53E4DF" w14:textId="77777777" w:rsidR="00E003E1" w:rsidRPr="00E003E1" w:rsidRDefault="00E003E1" w:rsidP="00E003E1">
      <w:pPr>
        <w:spacing w:after="0" w:line="240" w:lineRule="auto"/>
        <w:jc w:val="both"/>
        <w:rPr>
          <w:rFonts w:ascii="Verdana" w:eastAsia="Calibri" w:hAnsi="Verdana" w:cs="Times New Roman"/>
        </w:rPr>
      </w:pPr>
      <w:r w:rsidRPr="00E003E1">
        <w:rPr>
          <w:rFonts w:ascii="Verdana" w:eastAsia="Calibri" w:hAnsi="Verdana" w:cs="Times New Roman"/>
        </w:rPr>
        <w:t xml:space="preserve">LinkedIn: </w:t>
      </w:r>
      <w:r w:rsidRPr="00E003E1">
        <w:rPr>
          <w:rFonts w:ascii="Verdana" w:eastAsia="Calibri" w:hAnsi="Verdana" w:cs="Times New Roman"/>
          <w:u w:val="single"/>
        </w:rPr>
        <w:t>Agencia Nacional de Contratación Pública - Colombia Compra Eficiente</w:t>
      </w:r>
      <w:r w:rsidRPr="00E003E1">
        <w:rPr>
          <w:rFonts w:ascii="Verdana" w:eastAsia="Calibri" w:hAnsi="Verdana" w:cs="Times New Roman"/>
        </w:rPr>
        <w:t xml:space="preserve"> Instagram: </w:t>
      </w:r>
      <w:r w:rsidRPr="00E003E1">
        <w:rPr>
          <w:rFonts w:ascii="Verdana" w:eastAsia="Calibri" w:hAnsi="Verdana" w:cs="Times New Roman"/>
          <w:u w:val="single"/>
        </w:rPr>
        <w:t>@colombiacompraeficiente_cce</w:t>
      </w:r>
    </w:p>
    <w:p w14:paraId="56801B79" w14:textId="77777777" w:rsidR="00E003E1" w:rsidRPr="00E003E1" w:rsidRDefault="00E003E1" w:rsidP="00E003E1">
      <w:pPr>
        <w:widowControl w:val="0"/>
        <w:autoSpaceDE w:val="0"/>
        <w:autoSpaceDN w:val="0"/>
        <w:spacing w:after="0" w:line="276" w:lineRule="auto"/>
        <w:jc w:val="both"/>
        <w:rPr>
          <w:rFonts w:ascii="Verdana" w:eastAsia="Calibri" w:hAnsi="Verdana" w:cs="Arial"/>
        </w:rPr>
      </w:pPr>
    </w:p>
    <w:p w14:paraId="0BAAD058" w14:textId="77777777" w:rsidR="00E003E1" w:rsidRPr="00E003E1" w:rsidRDefault="00E003E1" w:rsidP="00E003E1">
      <w:pPr>
        <w:widowControl w:val="0"/>
        <w:autoSpaceDE w:val="0"/>
        <w:autoSpaceDN w:val="0"/>
        <w:spacing w:after="0" w:line="276" w:lineRule="auto"/>
        <w:jc w:val="both"/>
        <w:rPr>
          <w:rFonts w:ascii="Verdana" w:eastAsia="Calibri" w:hAnsi="Verdana" w:cs="Arial"/>
          <w:lang w:val="es-ES_tradnl"/>
        </w:rPr>
      </w:pPr>
      <w:r w:rsidRPr="00E003E1">
        <w:rPr>
          <w:rFonts w:ascii="Verdana" w:eastAsia="Calibri" w:hAnsi="Verdana" w:cs="Arial"/>
        </w:rPr>
        <w:t xml:space="preserve">Este concepto tiene el alcance previsto en el artículo 28 del Código de Procedimiento Administrativo y de lo Contencioso Administrativo </w:t>
      </w:r>
      <w:r w:rsidRPr="00E003E1">
        <w:rPr>
          <w:rFonts w:ascii="Verdana" w:eastAsia="Calibri" w:hAnsi="Verdana" w:cs="Arial"/>
          <w:lang w:val="es-ES_tradnl"/>
        </w:rPr>
        <w:t>y las expresiones aquí utilizadas con mayúscula inicial deben ser entendidas con el significado que les otorga el artículo 2.2.1.1.1.3.1. del Decreto 1082 de 2015.</w:t>
      </w:r>
    </w:p>
    <w:p w14:paraId="33077C36" w14:textId="77777777" w:rsidR="00E003E1" w:rsidRPr="00E003E1" w:rsidRDefault="00E003E1" w:rsidP="00E003E1">
      <w:pPr>
        <w:widowControl w:val="0"/>
        <w:autoSpaceDE w:val="0"/>
        <w:autoSpaceDN w:val="0"/>
        <w:spacing w:after="0" w:line="276" w:lineRule="auto"/>
        <w:jc w:val="both"/>
        <w:rPr>
          <w:rFonts w:ascii="Verdana" w:eastAsia="Calibri" w:hAnsi="Verdana" w:cs="Arial"/>
        </w:rPr>
      </w:pPr>
    </w:p>
    <w:p w14:paraId="4134FEF4" w14:textId="77777777" w:rsidR="00E003E1" w:rsidRPr="00E003E1" w:rsidRDefault="00E003E1" w:rsidP="00E003E1">
      <w:pPr>
        <w:spacing w:after="0" w:line="240" w:lineRule="auto"/>
        <w:rPr>
          <w:rFonts w:ascii="Verdana" w:eastAsia="Calibri" w:hAnsi="Verdana" w:cs="Arial"/>
          <w:lang w:eastAsia="es-CO"/>
        </w:rPr>
      </w:pPr>
      <w:r w:rsidRPr="00E003E1">
        <w:rPr>
          <w:rFonts w:ascii="Verdana" w:eastAsia="Times New Roman" w:hAnsi="Verdana" w:cs="Arial"/>
          <w:lang w:eastAsia="es-CO"/>
        </w:rPr>
        <w:t>Atentamente,</w:t>
      </w:r>
      <w:r w:rsidRPr="00E003E1">
        <w:rPr>
          <w:rFonts w:ascii="Verdana" w:eastAsia="Calibri" w:hAnsi="Verdana" w:cs="Arial"/>
          <w:lang w:eastAsia="es-CO"/>
        </w:rPr>
        <w:t xml:space="preserve"> </w:t>
      </w:r>
    </w:p>
    <w:p w14:paraId="2925C097" w14:textId="5CE069FC" w:rsidR="00E003E1" w:rsidRPr="00E003E1" w:rsidRDefault="00A76033" w:rsidP="00E003E1">
      <w:pPr>
        <w:spacing w:line="276" w:lineRule="auto"/>
        <w:jc w:val="center"/>
        <w:rPr>
          <w:rFonts w:ascii="Verdana" w:eastAsia="Calibri" w:hAnsi="Verdana" w:cs="Arial"/>
          <w:lang w:val="es-ES_tradnl" w:eastAsia="es-CO"/>
        </w:rPr>
      </w:pPr>
      <w:r>
        <w:rPr>
          <w:noProof/>
        </w:rPr>
        <w:drawing>
          <wp:inline distT="0" distB="0" distL="0" distR="0" wp14:anchorId="40223C77" wp14:editId="111AAE52">
            <wp:extent cx="3771429" cy="1400000"/>
            <wp:effectExtent l="0" t="0" r="635" b="0"/>
            <wp:docPr id="19475778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77807" name="Imagen 1" descr="Texto&#10;&#10;Descripción generada automáticamente"/>
                    <pic:cNvPicPr/>
                  </pic:nvPicPr>
                  <pic:blipFill>
                    <a:blip r:embed="rId14"/>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003E1" w:rsidRPr="00E003E1" w14:paraId="480FC073" w14:textId="77777777" w:rsidTr="00ED4BC2">
        <w:trPr>
          <w:trHeight w:val="315"/>
        </w:trPr>
        <w:tc>
          <w:tcPr>
            <w:tcW w:w="893" w:type="dxa"/>
            <w:vAlign w:val="center"/>
            <w:hideMark/>
          </w:tcPr>
          <w:p w14:paraId="285A348D" w14:textId="77777777" w:rsidR="00E003E1" w:rsidRPr="00E003E1" w:rsidRDefault="00E003E1" w:rsidP="00E003E1">
            <w:pPr>
              <w:rPr>
                <w:rFonts w:ascii="Verdana" w:eastAsia="Calibri" w:hAnsi="Verdana" w:cs="Arial"/>
                <w:sz w:val="16"/>
                <w:szCs w:val="16"/>
                <w:lang w:val="es-ES" w:eastAsia="es-ES"/>
              </w:rPr>
            </w:pPr>
            <w:r w:rsidRPr="00E003E1">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279EDAF1" w14:textId="77777777" w:rsidR="00E003E1" w:rsidRPr="00E003E1" w:rsidRDefault="00E003E1" w:rsidP="00E003E1">
            <w:pPr>
              <w:rPr>
                <w:rFonts w:ascii="Verdana" w:eastAsia="Arial" w:hAnsi="Verdana" w:cs="Arial"/>
                <w:sz w:val="16"/>
                <w:szCs w:val="16"/>
              </w:rPr>
            </w:pPr>
            <w:r w:rsidRPr="00E003E1">
              <w:rPr>
                <w:rFonts w:ascii="Verdana" w:eastAsia="Arial" w:hAnsi="Verdana" w:cs="Arial"/>
                <w:sz w:val="16"/>
                <w:szCs w:val="16"/>
              </w:rPr>
              <w:t>Kevin Arlid Herrera Santa</w:t>
            </w:r>
          </w:p>
          <w:p w14:paraId="1442219A" w14:textId="77777777" w:rsidR="00E003E1" w:rsidRPr="00E003E1" w:rsidRDefault="00E003E1" w:rsidP="00E003E1">
            <w:pPr>
              <w:rPr>
                <w:rFonts w:ascii="Verdana" w:eastAsia="Arial" w:hAnsi="Verdana" w:cs="Arial"/>
                <w:sz w:val="16"/>
                <w:szCs w:val="16"/>
              </w:rPr>
            </w:pPr>
            <w:r w:rsidRPr="00E003E1">
              <w:rPr>
                <w:rFonts w:ascii="Verdana" w:eastAsia="Arial" w:hAnsi="Verdana" w:cs="Arial"/>
                <w:sz w:val="16"/>
                <w:szCs w:val="16"/>
              </w:rPr>
              <w:t>Contratista de la Subdirección de Gestión Contractual</w:t>
            </w:r>
          </w:p>
        </w:tc>
      </w:tr>
      <w:tr w:rsidR="00E003E1" w:rsidRPr="00E003E1" w14:paraId="516E8850" w14:textId="77777777" w:rsidTr="00ED4BC2">
        <w:trPr>
          <w:trHeight w:val="330"/>
        </w:trPr>
        <w:tc>
          <w:tcPr>
            <w:tcW w:w="893" w:type="dxa"/>
            <w:vAlign w:val="center"/>
            <w:hideMark/>
          </w:tcPr>
          <w:p w14:paraId="1F56DBC3" w14:textId="77777777" w:rsidR="00E003E1" w:rsidRPr="00E003E1" w:rsidRDefault="00E003E1" w:rsidP="00E003E1">
            <w:pPr>
              <w:rPr>
                <w:rFonts w:ascii="Verdana" w:eastAsia="Calibri" w:hAnsi="Verdana" w:cs="Arial"/>
                <w:sz w:val="16"/>
                <w:szCs w:val="16"/>
                <w:lang w:val="es-ES" w:eastAsia="es-ES"/>
              </w:rPr>
            </w:pPr>
            <w:r w:rsidRPr="00E003E1">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62399577" w14:textId="77777777" w:rsidR="00E003E1" w:rsidRPr="00E003E1" w:rsidRDefault="00E003E1" w:rsidP="00E003E1">
            <w:pPr>
              <w:textAlignment w:val="baseline"/>
              <w:rPr>
                <w:rFonts w:ascii="Verdana" w:eastAsia="Times New Roman" w:hAnsi="Verdana" w:cs="Segoe UI"/>
                <w:sz w:val="16"/>
                <w:szCs w:val="16"/>
                <w:lang w:eastAsia="es-ES_tradnl"/>
              </w:rPr>
            </w:pPr>
            <w:r w:rsidRPr="00E003E1">
              <w:rPr>
                <w:rFonts w:ascii="Verdana" w:eastAsia="Times New Roman" w:hAnsi="Verdana" w:cs="Segoe UI"/>
                <w:sz w:val="16"/>
                <w:szCs w:val="16"/>
                <w:lang w:eastAsia="es-ES_tradnl"/>
              </w:rPr>
              <w:t>Juan David Cárdenas Cabeza</w:t>
            </w:r>
          </w:p>
          <w:p w14:paraId="5627D6F6" w14:textId="77777777" w:rsidR="00E003E1" w:rsidRPr="00E003E1" w:rsidRDefault="00E003E1" w:rsidP="00E003E1">
            <w:pPr>
              <w:textAlignment w:val="baseline"/>
              <w:rPr>
                <w:rFonts w:ascii="Verdana" w:eastAsia="Times New Roman" w:hAnsi="Verdana" w:cs="Segoe UI"/>
                <w:sz w:val="16"/>
                <w:szCs w:val="16"/>
                <w:lang w:eastAsia="es-ES_tradnl"/>
              </w:rPr>
            </w:pPr>
            <w:r w:rsidRPr="00E003E1">
              <w:rPr>
                <w:rFonts w:ascii="Verdana" w:eastAsia="Times New Roman" w:hAnsi="Verdana" w:cs="Arial"/>
                <w:sz w:val="16"/>
                <w:szCs w:val="16"/>
                <w:lang w:val="es-ES" w:eastAsia="es-ES_tradnl"/>
              </w:rPr>
              <w:t>Contratista de la Subdirección de Gestión Contractual</w:t>
            </w:r>
            <w:r w:rsidRPr="00E003E1">
              <w:rPr>
                <w:rFonts w:ascii="Verdana" w:eastAsia="Times New Roman" w:hAnsi="Verdana" w:cs="Arial"/>
                <w:sz w:val="16"/>
                <w:szCs w:val="16"/>
                <w:lang w:eastAsia="es-ES_tradnl"/>
              </w:rPr>
              <w:t> </w:t>
            </w:r>
          </w:p>
        </w:tc>
      </w:tr>
      <w:tr w:rsidR="00E003E1" w:rsidRPr="00E003E1" w14:paraId="6000D90F" w14:textId="77777777" w:rsidTr="00ED4BC2">
        <w:trPr>
          <w:trHeight w:val="300"/>
        </w:trPr>
        <w:tc>
          <w:tcPr>
            <w:tcW w:w="893" w:type="dxa"/>
            <w:vAlign w:val="center"/>
          </w:tcPr>
          <w:p w14:paraId="187042F3" w14:textId="77777777" w:rsidR="00E003E1" w:rsidRPr="00E003E1" w:rsidRDefault="00E003E1" w:rsidP="00E003E1">
            <w:pPr>
              <w:rPr>
                <w:rFonts w:ascii="Verdana" w:eastAsia="Calibri" w:hAnsi="Verdana" w:cs="Arial"/>
                <w:sz w:val="16"/>
                <w:szCs w:val="16"/>
                <w:lang w:val="es-ES" w:eastAsia="es-ES"/>
              </w:rPr>
            </w:pPr>
            <w:r w:rsidRPr="00E003E1">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25C52E9C" w14:textId="77777777" w:rsidR="00E003E1" w:rsidRPr="00E003E1" w:rsidRDefault="00E003E1" w:rsidP="00E003E1">
            <w:pPr>
              <w:rPr>
                <w:rFonts w:ascii="Verdana" w:eastAsia="Calibri" w:hAnsi="Verdana" w:cs="Arial"/>
                <w:sz w:val="16"/>
                <w:szCs w:val="16"/>
                <w:lang w:val="pt-BR" w:eastAsia="es-ES"/>
              </w:rPr>
            </w:pPr>
            <w:r w:rsidRPr="00E003E1">
              <w:rPr>
                <w:rFonts w:ascii="Verdana" w:eastAsia="Calibri" w:hAnsi="Verdana" w:cs="Arial"/>
                <w:sz w:val="16"/>
                <w:szCs w:val="16"/>
                <w:lang w:val="pt-BR" w:eastAsia="es-ES"/>
              </w:rPr>
              <w:t>Carolina Quintero Gacharná</w:t>
            </w:r>
          </w:p>
          <w:p w14:paraId="1899D158" w14:textId="77777777" w:rsidR="00E003E1" w:rsidRPr="00E003E1" w:rsidRDefault="00E003E1" w:rsidP="00E003E1">
            <w:pPr>
              <w:rPr>
                <w:rFonts w:ascii="Verdana" w:eastAsia="Calibri" w:hAnsi="Verdana" w:cs="Arial"/>
                <w:sz w:val="16"/>
                <w:szCs w:val="16"/>
                <w:lang w:val="pt-BR" w:eastAsia="es-ES"/>
              </w:rPr>
            </w:pPr>
            <w:r w:rsidRPr="00E003E1">
              <w:rPr>
                <w:rFonts w:ascii="Verdana" w:eastAsia="Calibri" w:hAnsi="Verdana" w:cs="Arial"/>
                <w:sz w:val="16"/>
                <w:szCs w:val="16"/>
                <w:lang w:eastAsia="es-ES"/>
              </w:rPr>
              <w:t>Subdirectora</w:t>
            </w:r>
            <w:r w:rsidRPr="00E003E1">
              <w:rPr>
                <w:rFonts w:ascii="Verdana" w:eastAsia="Calibri" w:hAnsi="Verdana" w:cs="Arial"/>
                <w:sz w:val="16"/>
                <w:szCs w:val="16"/>
                <w:lang w:val="pt-BR" w:eastAsia="es-ES"/>
              </w:rPr>
              <w:t xml:space="preserve"> de Gestión Contratual ANCP – CCE</w:t>
            </w:r>
          </w:p>
        </w:tc>
      </w:tr>
    </w:tbl>
    <w:p w14:paraId="1B940837" w14:textId="77777777" w:rsidR="00E003E1" w:rsidRPr="00E003E1" w:rsidRDefault="00E003E1" w:rsidP="00E003E1">
      <w:pPr>
        <w:spacing w:after="0"/>
        <w:rPr>
          <w:rFonts w:ascii="Verdana" w:eastAsia="Calibri" w:hAnsi="Verdana" w:cs="Times New Roman"/>
        </w:rPr>
      </w:pPr>
    </w:p>
    <w:p w14:paraId="190BF1D0" w14:textId="77777777" w:rsidR="00E003E1" w:rsidRPr="00E003E1" w:rsidRDefault="00E003E1" w:rsidP="00E003E1">
      <w:pPr>
        <w:spacing w:after="0" w:line="240" w:lineRule="auto"/>
        <w:rPr>
          <w:rFonts w:ascii="Verdana" w:eastAsia="Aptos" w:hAnsi="Verdana" w:cs="Times New Roman"/>
          <w:kern w:val="2"/>
          <w:sz w:val="24"/>
          <w:szCs w:val="24"/>
          <w:lang w:val="es-ES_tradnl"/>
          <w14:ligatures w14:val="standardContextual"/>
        </w:rPr>
      </w:pPr>
    </w:p>
    <w:p w14:paraId="7A486524" w14:textId="77777777" w:rsidR="00E003E1" w:rsidRPr="00E003E1" w:rsidRDefault="00E003E1" w:rsidP="00E003E1">
      <w:pPr>
        <w:spacing w:after="0"/>
        <w:rPr>
          <w:rFonts w:ascii="Verdana" w:eastAsia="Calibri" w:hAnsi="Verdana" w:cs="Times New Roman"/>
        </w:rPr>
      </w:pPr>
    </w:p>
    <w:p w14:paraId="465D1934" w14:textId="77777777" w:rsidR="00E003E1" w:rsidRPr="00E003E1" w:rsidRDefault="00E003E1" w:rsidP="00E003E1">
      <w:pPr>
        <w:spacing w:after="0" w:line="240" w:lineRule="auto"/>
        <w:rPr>
          <w:rFonts w:ascii="Verdana" w:eastAsia="Aptos" w:hAnsi="Verdana" w:cs="Times New Roman"/>
          <w:kern w:val="2"/>
          <w:sz w:val="24"/>
          <w:szCs w:val="24"/>
          <w:lang w:val="es-ES_tradnl"/>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B18FD" w14:textId="77777777" w:rsidR="00671280" w:rsidRDefault="00671280" w:rsidP="004A1847">
      <w:pPr>
        <w:spacing w:after="0" w:line="240" w:lineRule="auto"/>
      </w:pPr>
      <w:r>
        <w:separator/>
      </w:r>
    </w:p>
  </w:endnote>
  <w:endnote w:type="continuationSeparator" w:id="0">
    <w:p w14:paraId="5001A0A8" w14:textId="77777777" w:rsidR="00671280" w:rsidRDefault="00671280" w:rsidP="004A1847">
      <w:pPr>
        <w:spacing w:after="0" w:line="240" w:lineRule="auto"/>
      </w:pPr>
      <w:r>
        <w:continuationSeparator/>
      </w:r>
    </w:p>
  </w:endnote>
  <w:endnote w:type="continuationNotice" w:id="1">
    <w:p w14:paraId="04DB2190" w14:textId="77777777" w:rsidR="00671280" w:rsidRDefault="00671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E167" w14:textId="77777777" w:rsidR="00671280" w:rsidRDefault="00671280" w:rsidP="004A1847">
      <w:pPr>
        <w:spacing w:after="0" w:line="240" w:lineRule="auto"/>
      </w:pPr>
      <w:r>
        <w:separator/>
      </w:r>
    </w:p>
  </w:footnote>
  <w:footnote w:type="continuationSeparator" w:id="0">
    <w:p w14:paraId="080DB94F" w14:textId="77777777" w:rsidR="00671280" w:rsidRDefault="00671280" w:rsidP="004A1847">
      <w:pPr>
        <w:spacing w:after="0" w:line="240" w:lineRule="auto"/>
      </w:pPr>
      <w:r>
        <w:continuationSeparator/>
      </w:r>
    </w:p>
  </w:footnote>
  <w:footnote w:type="continuationNotice" w:id="1">
    <w:p w14:paraId="1278F729" w14:textId="77777777" w:rsidR="00671280" w:rsidRDefault="00671280">
      <w:pPr>
        <w:spacing w:after="0" w:line="240" w:lineRule="auto"/>
      </w:pPr>
    </w:p>
  </w:footnote>
  <w:footnote w:id="2">
    <w:p w14:paraId="09EBF6D9" w14:textId="77777777" w:rsidR="00E003E1" w:rsidRPr="001B2D9E" w:rsidRDefault="00E003E1" w:rsidP="00E003E1">
      <w:pPr>
        <w:pStyle w:val="Textonotapie"/>
        <w:snapToGrid w:val="0"/>
        <w:ind w:firstLine="709"/>
        <w:jc w:val="both"/>
        <w:rPr>
          <w:rFonts w:ascii="Verdana" w:eastAsia="Calibri" w:hAnsi="Verdana" w:cs="Arial"/>
          <w:color w:val="000000"/>
          <w:sz w:val="18"/>
          <w:szCs w:val="18"/>
        </w:rPr>
      </w:pPr>
      <w:r w:rsidRPr="001B2D9E">
        <w:rPr>
          <w:rStyle w:val="Refdenotaalpie"/>
          <w:rFonts w:ascii="Verdana" w:hAnsi="Verdana" w:cs="Arial"/>
          <w:color w:val="000000"/>
          <w:sz w:val="18"/>
          <w:szCs w:val="18"/>
        </w:rPr>
        <w:footnoteRef/>
      </w:r>
      <w:r w:rsidRPr="001B2D9E">
        <w:rPr>
          <w:rFonts w:ascii="Verdana" w:hAnsi="Verdana" w:cs="Arial"/>
          <w:color w:val="000000"/>
          <w:sz w:val="18"/>
          <w:szCs w:val="18"/>
        </w:rPr>
        <w:t xml:space="preserve"> </w:t>
      </w:r>
      <w:r w:rsidRPr="001B2D9E">
        <w:rPr>
          <w:rFonts w:ascii="Verdana" w:eastAsia="Calibri" w:hAnsi="Verdana" w:cs="Arial"/>
          <w:color w:val="000000"/>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3C69A704" w14:textId="77777777" w:rsidR="00E003E1" w:rsidRPr="001B2D9E" w:rsidRDefault="00E003E1" w:rsidP="00E003E1">
      <w:pPr>
        <w:pStyle w:val="Textonotapie"/>
        <w:snapToGrid w:val="0"/>
        <w:ind w:firstLine="709"/>
        <w:jc w:val="both"/>
        <w:rPr>
          <w:rFonts w:ascii="Verdana" w:eastAsia="Calibri" w:hAnsi="Verdana" w:cs="Arial"/>
          <w:color w:val="000000"/>
          <w:sz w:val="18"/>
          <w:szCs w:val="18"/>
        </w:rPr>
      </w:pPr>
      <w:r w:rsidRPr="001B2D9E">
        <w:rPr>
          <w:rFonts w:ascii="Verdana" w:eastAsia="Calibri" w:hAnsi="Verdana" w:cs="Arial"/>
          <w:color w:val="000000"/>
          <w:sz w:val="18"/>
          <w:szCs w:val="18"/>
        </w:rPr>
        <w:t>[…]</w:t>
      </w:r>
    </w:p>
    <w:p w14:paraId="3C392988" w14:textId="77777777" w:rsidR="00E003E1" w:rsidRPr="001B2D9E" w:rsidRDefault="00E003E1" w:rsidP="00E003E1">
      <w:pPr>
        <w:pStyle w:val="Textonotapie"/>
        <w:snapToGrid w:val="0"/>
        <w:ind w:firstLine="709"/>
        <w:jc w:val="both"/>
        <w:rPr>
          <w:rFonts w:ascii="Verdana" w:hAnsi="Verdana" w:cs="Arial"/>
          <w:color w:val="000000"/>
          <w:sz w:val="18"/>
          <w:szCs w:val="18"/>
          <w:lang w:val="es-CO"/>
        </w:rPr>
      </w:pPr>
      <w:r w:rsidRPr="001B2D9E">
        <w:rPr>
          <w:rFonts w:ascii="Verdana" w:eastAsia="Calibri" w:hAnsi="Verdana" w:cs="Arial"/>
          <w:color w:val="000000"/>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1B2D9E">
        <w:rPr>
          <w:rFonts w:ascii="Verdana" w:hAnsi="Verdana" w:cs="Arial"/>
          <w:color w:val="000000"/>
          <w:sz w:val="18"/>
          <w:szCs w:val="18"/>
          <w:lang w:val="es-CO"/>
        </w:rPr>
        <w:t xml:space="preserve"> </w:t>
      </w:r>
    </w:p>
  </w:footnote>
  <w:footnote w:id="3">
    <w:p w14:paraId="77FB2184" w14:textId="77777777" w:rsidR="00E003E1" w:rsidRPr="001B2D9E" w:rsidRDefault="00E003E1" w:rsidP="00E003E1">
      <w:pPr>
        <w:pStyle w:val="Textonotapie"/>
        <w:snapToGrid w:val="0"/>
        <w:ind w:firstLine="709"/>
        <w:jc w:val="both"/>
        <w:rPr>
          <w:rFonts w:ascii="Verdana" w:hAnsi="Verdana" w:cs="Arial"/>
          <w:color w:val="000000"/>
          <w:sz w:val="18"/>
          <w:szCs w:val="18"/>
          <w:lang w:val="es-CO"/>
        </w:rPr>
      </w:pPr>
      <w:r w:rsidRPr="001B2D9E">
        <w:rPr>
          <w:rFonts w:ascii="Verdana" w:eastAsia="Calibri" w:hAnsi="Verdana" w:cs="Arial"/>
          <w:color w:val="000000"/>
          <w:sz w:val="18"/>
          <w:szCs w:val="18"/>
          <w:vertAlign w:val="superscript"/>
        </w:rPr>
        <w:footnoteRef/>
      </w:r>
      <w:r w:rsidRPr="001B2D9E">
        <w:rPr>
          <w:rFonts w:ascii="Verdana" w:eastAsia="Calibri" w:hAnsi="Verdana" w:cs="Arial"/>
          <w:color w:val="000000"/>
          <w:sz w:val="18"/>
          <w:szCs w:val="18"/>
          <w:vertAlign w:val="superscript"/>
        </w:rPr>
        <w:t xml:space="preserve"> </w:t>
      </w:r>
      <w:r w:rsidRPr="001B2D9E">
        <w:rPr>
          <w:rFonts w:ascii="Verdana" w:eastAsia="Calibri" w:hAnsi="Verdana" w:cs="Arial"/>
          <w:color w:val="000000"/>
          <w:sz w:val="18"/>
          <w:szCs w:val="18"/>
        </w:rPr>
        <w:t xml:space="preserve">Consejo de Estado. Sección Tercera. Sentencia del 26 de junio de 2003. Rad. 13.354. C.P: María Elena Giraldo Gómez. </w:t>
      </w:r>
    </w:p>
  </w:footnote>
  <w:footnote w:id="4">
    <w:p w14:paraId="7841C05B" w14:textId="77777777" w:rsidR="00E003E1" w:rsidRPr="001B2D9E" w:rsidRDefault="00E003E1" w:rsidP="00E47565">
      <w:pPr>
        <w:pStyle w:val="NormalWeb"/>
        <w:shd w:val="clear" w:color="auto" w:fill="FFFFFF"/>
        <w:snapToGrid w:val="0"/>
        <w:spacing w:before="0" w:beforeAutospacing="0" w:after="0" w:afterAutospacing="0"/>
        <w:ind w:firstLine="709"/>
        <w:jc w:val="both"/>
        <w:rPr>
          <w:rFonts w:ascii="Verdana" w:hAnsi="Verdana" w:cs="Arial"/>
          <w:sz w:val="18"/>
          <w:szCs w:val="18"/>
        </w:rPr>
      </w:pPr>
      <w:r w:rsidRPr="001B2D9E">
        <w:rPr>
          <w:rStyle w:val="Refdenotaalpie"/>
          <w:rFonts w:ascii="Verdana" w:hAnsi="Verdana" w:cs="Arial"/>
          <w:sz w:val="18"/>
          <w:szCs w:val="18"/>
        </w:rPr>
        <w:footnoteRef/>
      </w:r>
      <w:r w:rsidRPr="001B2D9E">
        <w:rPr>
          <w:rStyle w:val="Refdenotaalpie"/>
          <w:rFonts w:ascii="Verdana" w:hAnsi="Verdana" w:cs="Arial"/>
          <w:sz w:val="18"/>
          <w:szCs w:val="18"/>
        </w:rPr>
        <w:t xml:space="preserve"> </w:t>
      </w:r>
      <w:r w:rsidRPr="001B2D9E">
        <w:rPr>
          <w:rFonts w:ascii="Verdana" w:hAnsi="Verdana" w:cs="Arial"/>
          <w:sz w:val="18"/>
          <w:szCs w:val="18"/>
        </w:rPr>
        <w:t>“Artículo 2.2.1.1.1.6.4. Capacidad Residual: El interesado en celebrar contratos de obra pública con Entidades Estatales debe acreditar su Capacidad Residual o K de Contratación con los siguientes documentos:</w:t>
      </w:r>
    </w:p>
    <w:p w14:paraId="0D7D698F" w14:textId="77777777" w:rsidR="00E003E1" w:rsidRPr="001B2D9E" w:rsidRDefault="00E003E1" w:rsidP="00E47565">
      <w:pPr>
        <w:shd w:val="clear" w:color="auto" w:fill="FFFFFF"/>
        <w:snapToGrid w:val="0"/>
        <w:spacing w:after="0" w:line="240" w:lineRule="auto"/>
        <w:ind w:firstLine="709"/>
        <w:jc w:val="both"/>
        <w:rPr>
          <w:rFonts w:ascii="Verdana" w:hAnsi="Verdana" w:cs="Arial"/>
          <w:sz w:val="18"/>
          <w:szCs w:val="18"/>
        </w:rPr>
      </w:pPr>
      <w:r w:rsidRPr="001B2D9E">
        <w:rPr>
          <w:rFonts w:ascii="Verdana" w:hAnsi="Verdana" w:cs="Arial"/>
          <w:sz w:val="18"/>
          <w:szCs w:val="18"/>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F47483A" w14:textId="77777777" w:rsidR="00E003E1" w:rsidRPr="001B2D9E" w:rsidRDefault="00E003E1" w:rsidP="00E003E1">
      <w:pPr>
        <w:shd w:val="clear" w:color="auto" w:fill="FFFFFF"/>
        <w:snapToGrid w:val="0"/>
        <w:spacing w:after="0" w:line="240" w:lineRule="auto"/>
        <w:ind w:firstLine="709"/>
        <w:jc w:val="both"/>
        <w:rPr>
          <w:rFonts w:ascii="Verdana" w:hAnsi="Verdana" w:cs="Arial"/>
          <w:sz w:val="18"/>
          <w:szCs w:val="18"/>
        </w:rPr>
      </w:pPr>
      <w:r w:rsidRPr="001B2D9E">
        <w:rPr>
          <w:rFonts w:ascii="Verdana" w:hAnsi="Verdana" w:cs="Arial"/>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CAA922B" w14:textId="77777777" w:rsidR="00E003E1" w:rsidRPr="001B2D9E" w:rsidRDefault="00E003E1" w:rsidP="00E003E1">
      <w:pPr>
        <w:shd w:val="clear" w:color="auto" w:fill="FFFFFF"/>
        <w:snapToGrid w:val="0"/>
        <w:spacing w:after="0" w:line="240" w:lineRule="auto"/>
        <w:ind w:firstLine="709"/>
        <w:jc w:val="both"/>
        <w:rPr>
          <w:rFonts w:ascii="Verdana" w:hAnsi="Verdana" w:cs="Arial"/>
          <w:sz w:val="18"/>
          <w:szCs w:val="18"/>
        </w:rPr>
      </w:pPr>
      <w:r w:rsidRPr="001B2D9E">
        <w:rPr>
          <w:rFonts w:ascii="Verdana" w:hAnsi="Verdana" w:cs="Arial"/>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5">
    <w:p w14:paraId="06B63ED6" w14:textId="77777777" w:rsidR="00E003E1" w:rsidRPr="001B2D9E" w:rsidRDefault="00E003E1" w:rsidP="00E003E1">
      <w:pPr>
        <w:pStyle w:val="Textonotapie"/>
        <w:snapToGrid w:val="0"/>
        <w:ind w:firstLine="708"/>
        <w:jc w:val="both"/>
        <w:rPr>
          <w:rFonts w:ascii="Verdana" w:eastAsia="Times New Roman" w:hAnsi="Verdana" w:cs="Arial"/>
          <w:color w:val="000000"/>
          <w:sz w:val="18"/>
          <w:szCs w:val="18"/>
          <w:lang w:eastAsia="es-CO"/>
        </w:rPr>
      </w:pPr>
      <w:r w:rsidRPr="001B2D9E">
        <w:rPr>
          <w:rStyle w:val="Refdenotaalpie"/>
          <w:rFonts w:ascii="Verdana" w:hAnsi="Verdana" w:cs="Arial"/>
          <w:color w:val="000000"/>
          <w:sz w:val="18"/>
          <w:szCs w:val="18"/>
        </w:rPr>
        <w:footnoteRef/>
      </w:r>
      <w:r w:rsidRPr="001B2D9E">
        <w:rPr>
          <w:rFonts w:ascii="Verdana" w:hAnsi="Verdana" w:cs="Arial"/>
          <w:color w:val="000000"/>
          <w:sz w:val="18"/>
          <w:szCs w:val="18"/>
        </w:rPr>
        <w:t xml:space="preserve"> </w:t>
      </w:r>
      <w:r w:rsidRPr="001B2D9E">
        <w:rPr>
          <w:rFonts w:ascii="Verdana" w:eastAsia="Times New Roman" w:hAnsi="Verdana" w:cs="Arial"/>
          <w:color w:val="000000"/>
          <w:sz w:val="18"/>
          <w:szCs w:val="18"/>
          <w:lang w:eastAsia="es-CO"/>
        </w:rPr>
        <w:t>Consejo de Estado. Sala de Consulta y Servicio Civil. Concepto del 20 de mayo de 2010. Exp. 1.992. C.P. Enrique José Arboleda Perdomo.</w:t>
      </w:r>
    </w:p>
  </w:footnote>
  <w:footnote w:id="6">
    <w:p w14:paraId="18954899" w14:textId="77777777" w:rsidR="00E003E1" w:rsidRPr="001B2D9E" w:rsidRDefault="00E003E1" w:rsidP="00E003E1">
      <w:pPr>
        <w:pStyle w:val="Textonotapie"/>
        <w:snapToGrid w:val="0"/>
        <w:ind w:firstLine="708"/>
        <w:jc w:val="both"/>
        <w:rPr>
          <w:rFonts w:ascii="Verdana" w:eastAsia="Times New Roman" w:hAnsi="Verdana" w:cs="Arial"/>
          <w:color w:val="000000"/>
          <w:sz w:val="18"/>
          <w:szCs w:val="18"/>
          <w:lang w:eastAsia="es-CO"/>
        </w:rPr>
      </w:pPr>
      <w:r w:rsidRPr="001B2D9E">
        <w:rPr>
          <w:rStyle w:val="Refdenotaalpie"/>
          <w:rFonts w:ascii="Verdana" w:hAnsi="Verdana" w:cs="Arial"/>
          <w:color w:val="000000"/>
          <w:sz w:val="18"/>
          <w:szCs w:val="18"/>
        </w:rPr>
        <w:footnoteRef/>
      </w:r>
      <w:r w:rsidRPr="001B2D9E">
        <w:rPr>
          <w:rFonts w:ascii="Verdana" w:hAnsi="Verdana" w:cs="Arial"/>
          <w:color w:val="000000"/>
          <w:sz w:val="18"/>
          <w:szCs w:val="18"/>
        </w:rPr>
        <w:t xml:space="preserve"> </w:t>
      </w:r>
      <w:r w:rsidRPr="001B2D9E">
        <w:rPr>
          <w:rFonts w:ascii="Verdana" w:eastAsia="Times New Roman" w:hAnsi="Verdana" w:cs="Arial"/>
          <w:color w:val="000000"/>
          <w:sz w:val="18"/>
          <w:szCs w:val="18"/>
          <w:lang w:eastAsia="es-CO"/>
        </w:rPr>
        <w:t>Ver conceptos: C-008 del 4 de mayo de 2020, C-267 del 4 de mayo de 2020, C-283 del 4 de mayo de 2020, C-365 del 30 de junio de 2020 y C-730 del 14 de diciembre del 2020 y C-779 de 18 de enero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0861A4E"/>
    <w:multiLevelType w:val="hybridMultilevel"/>
    <w:tmpl w:val="A9B03F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490F2A"/>
    <w:multiLevelType w:val="hybridMultilevel"/>
    <w:tmpl w:val="C4A69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931C0B"/>
    <w:multiLevelType w:val="hybridMultilevel"/>
    <w:tmpl w:val="A61CF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9BF0E26"/>
    <w:multiLevelType w:val="hybridMultilevel"/>
    <w:tmpl w:val="BFEC3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5"/>
  </w:num>
  <w:num w:numId="8" w16cid:durableId="152644682">
    <w:abstractNumId w:val="16"/>
  </w:num>
  <w:num w:numId="9" w16cid:durableId="1317221377">
    <w:abstractNumId w:val="7"/>
  </w:num>
  <w:num w:numId="10" w16cid:durableId="1471245386">
    <w:abstractNumId w:val="15"/>
  </w:num>
  <w:num w:numId="11" w16cid:durableId="289172385">
    <w:abstractNumId w:val="8"/>
  </w:num>
  <w:num w:numId="12" w16cid:durableId="1470781324">
    <w:abstractNumId w:val="1"/>
  </w:num>
  <w:num w:numId="13" w16cid:durableId="1512908409">
    <w:abstractNumId w:val="3"/>
  </w:num>
  <w:num w:numId="14" w16cid:durableId="895897244">
    <w:abstractNumId w:val="18"/>
  </w:num>
  <w:num w:numId="15" w16cid:durableId="390349800">
    <w:abstractNumId w:val="13"/>
  </w:num>
  <w:num w:numId="16" w16cid:durableId="341274352">
    <w:abstractNumId w:val="0"/>
  </w:num>
  <w:num w:numId="17" w16cid:durableId="679089576">
    <w:abstractNumId w:val="9"/>
  </w:num>
  <w:num w:numId="18" w16cid:durableId="1856383363">
    <w:abstractNumId w:val="11"/>
  </w:num>
  <w:num w:numId="19" w16cid:durableId="529685595">
    <w:abstractNumId w:val="14"/>
  </w:num>
  <w:num w:numId="20" w16cid:durableId="1853107304">
    <w:abstractNumId w:val="12"/>
  </w:num>
  <w:num w:numId="21" w16cid:durableId="1039092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83278"/>
    <w:rsid w:val="000A683E"/>
    <w:rsid w:val="000B19B9"/>
    <w:rsid w:val="000D0334"/>
    <w:rsid w:val="000F6486"/>
    <w:rsid w:val="001052BB"/>
    <w:rsid w:val="00125105"/>
    <w:rsid w:val="00127233"/>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4012E3"/>
    <w:rsid w:val="00406575"/>
    <w:rsid w:val="0042722E"/>
    <w:rsid w:val="0044528D"/>
    <w:rsid w:val="004A1847"/>
    <w:rsid w:val="004A305D"/>
    <w:rsid w:val="004F21C4"/>
    <w:rsid w:val="004F685F"/>
    <w:rsid w:val="005566E8"/>
    <w:rsid w:val="00574867"/>
    <w:rsid w:val="00575BEC"/>
    <w:rsid w:val="00591460"/>
    <w:rsid w:val="00592628"/>
    <w:rsid w:val="005C3777"/>
    <w:rsid w:val="005C5CDC"/>
    <w:rsid w:val="005D476C"/>
    <w:rsid w:val="00610812"/>
    <w:rsid w:val="006219F8"/>
    <w:rsid w:val="00650FF7"/>
    <w:rsid w:val="00665D70"/>
    <w:rsid w:val="006679DB"/>
    <w:rsid w:val="00671280"/>
    <w:rsid w:val="00671DAC"/>
    <w:rsid w:val="00672596"/>
    <w:rsid w:val="006900D9"/>
    <w:rsid w:val="006D12F8"/>
    <w:rsid w:val="006E11BE"/>
    <w:rsid w:val="00706C16"/>
    <w:rsid w:val="00756841"/>
    <w:rsid w:val="007649AB"/>
    <w:rsid w:val="00771D0C"/>
    <w:rsid w:val="007833AC"/>
    <w:rsid w:val="007A27A5"/>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76033"/>
    <w:rsid w:val="00AB0ADB"/>
    <w:rsid w:val="00AE1B4E"/>
    <w:rsid w:val="00AE6747"/>
    <w:rsid w:val="00B01B1A"/>
    <w:rsid w:val="00B23BB5"/>
    <w:rsid w:val="00B72CD3"/>
    <w:rsid w:val="00B72FFF"/>
    <w:rsid w:val="00BC3D36"/>
    <w:rsid w:val="00BD7F72"/>
    <w:rsid w:val="00C04FB3"/>
    <w:rsid w:val="00C15B47"/>
    <w:rsid w:val="00C330EB"/>
    <w:rsid w:val="00C754BE"/>
    <w:rsid w:val="00C76B1C"/>
    <w:rsid w:val="00CB6357"/>
    <w:rsid w:val="00CC1B26"/>
    <w:rsid w:val="00CD21EA"/>
    <w:rsid w:val="00D340C9"/>
    <w:rsid w:val="00D423A2"/>
    <w:rsid w:val="00D520D8"/>
    <w:rsid w:val="00D63AC2"/>
    <w:rsid w:val="00D7383B"/>
    <w:rsid w:val="00DA231B"/>
    <w:rsid w:val="00DA23A0"/>
    <w:rsid w:val="00DB4009"/>
    <w:rsid w:val="00DC39FC"/>
    <w:rsid w:val="00DF5254"/>
    <w:rsid w:val="00E003E1"/>
    <w:rsid w:val="00E16408"/>
    <w:rsid w:val="00E20894"/>
    <w:rsid w:val="00E245AB"/>
    <w:rsid w:val="00E2764C"/>
    <w:rsid w:val="00E27F2E"/>
    <w:rsid w:val="00E413EA"/>
    <w:rsid w:val="00E47565"/>
    <w:rsid w:val="00E50AFE"/>
    <w:rsid w:val="00E75C92"/>
    <w:rsid w:val="00E771DC"/>
    <w:rsid w:val="00E8772A"/>
    <w:rsid w:val="00E90F6B"/>
    <w:rsid w:val="00E91BBD"/>
    <w:rsid w:val="00E92C27"/>
    <w:rsid w:val="00EA0E3D"/>
    <w:rsid w:val="00EC38A7"/>
    <w:rsid w:val="00EC6B01"/>
    <w:rsid w:val="00EE1AA8"/>
    <w:rsid w:val="00F31EDC"/>
    <w:rsid w:val="00F362D6"/>
    <w:rsid w:val="00F462B3"/>
    <w:rsid w:val="00F52D37"/>
    <w:rsid w:val="00F5664F"/>
    <w:rsid w:val="00F636BE"/>
    <w:rsid w:val="00F666C4"/>
    <w:rsid w:val="00F76AFC"/>
    <w:rsid w:val="00FA47C0"/>
    <w:rsid w:val="00FB5DD1"/>
    <w:rsid w:val="00FC2B5D"/>
    <w:rsid w:val="00FF1449"/>
    <w:rsid w:val="5CEADB7B"/>
    <w:rsid w:val="76632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003E1"/>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cce_documents/cce-eicp-gi-22_guia_capacidad_residual_de_contratacion_v1_29-09-2023_.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6401B773-042C-440C-8042-1455AC72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3686</Words>
  <Characters>20276</Characters>
  <Application>Microsoft Office Word</Application>
  <DocSecurity>0</DocSecurity>
  <Lines>168</Lines>
  <Paragraphs>47</Paragraphs>
  <ScaleCrop>false</ScaleCrop>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7</cp:revision>
  <cp:lastPrinted>2023-01-10T21:18:00Z</cp:lastPrinted>
  <dcterms:created xsi:type="dcterms:W3CDTF">2024-07-23T20:21:00Z</dcterms:created>
  <dcterms:modified xsi:type="dcterms:W3CDTF">2024-08-01T23:23:00Z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