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2A1" w:rsidRPr="00DB06FE" w:rsidRDefault="007622A1" w:rsidP="007622A1">
      <w:pPr>
        <w:spacing w:after="0" w:line="240" w:lineRule="auto"/>
        <w:jc w:val="both"/>
        <w:rPr>
          <w:rFonts w:ascii="Verdana" w:eastAsia="Calibri" w:hAnsi="Verdana" w:cs="Arial"/>
          <w:b/>
          <w:bCs/>
          <w:color w:val="000000" w:themeColor="text1"/>
          <w:lang w:val="es-ES_tradnl"/>
        </w:rPr>
      </w:pPr>
      <w:r w:rsidRPr="00DB06FE">
        <w:rPr>
          <w:rFonts w:ascii="Verdana" w:eastAsia="Calibri" w:hAnsi="Verdana" w:cs="Arial"/>
          <w:b/>
          <w:bCs/>
          <w:color w:val="000000" w:themeColor="text1"/>
          <w:lang w:val="es-ES_tradnl"/>
        </w:rPr>
        <w:t xml:space="preserve">PRECIO – Concepto – Estructuración </w:t>
      </w:r>
    </w:p>
    <w:p w:rsidR="007622A1" w:rsidRPr="00DB06FE" w:rsidRDefault="007622A1" w:rsidP="007622A1">
      <w:pPr>
        <w:spacing w:after="0" w:line="240" w:lineRule="auto"/>
        <w:jc w:val="both"/>
        <w:rPr>
          <w:rFonts w:ascii="Verdana" w:eastAsia="Calibri" w:hAnsi="Verdana" w:cs="Arial"/>
          <w:b/>
          <w:bCs/>
          <w:color w:val="000000" w:themeColor="text1"/>
          <w:sz w:val="20"/>
          <w:szCs w:val="20"/>
          <w:lang w:val="es-MX"/>
        </w:rPr>
      </w:pPr>
    </w:p>
    <w:p w:rsidR="007622A1" w:rsidRPr="00DB06FE" w:rsidRDefault="007622A1" w:rsidP="007622A1">
      <w:pPr>
        <w:spacing w:after="0" w:line="240" w:lineRule="auto"/>
        <w:jc w:val="both"/>
        <w:rPr>
          <w:rFonts w:ascii="Verdana" w:eastAsia="Calibri" w:hAnsi="Verdana" w:cs="Arial"/>
          <w:color w:val="000000" w:themeColor="text1"/>
          <w:sz w:val="20"/>
          <w:szCs w:val="20"/>
        </w:rPr>
      </w:pPr>
      <w:r w:rsidRPr="00DB06FE">
        <w:rPr>
          <w:rFonts w:ascii="Verdana" w:eastAsia="Calibri" w:hAnsi="Verdana" w:cs="Arial"/>
          <w:color w:val="000000" w:themeColor="text1"/>
          <w:sz w:val="20"/>
          <w:szCs w:val="20"/>
        </w:rPr>
        <w:t>Como es sabido, uno de los elementos de los contratos estatales es el precio, que por lo general se identifica con el valor del contrato. Aunque no todo contrato lo incluye –pues también existen negocios gratuitos– lo usual es que los contratos estatales se configuren como onerosos y, la mayoría de las veces, como conmutativos, cuando hay un acuerdo entre el objeto y la contraprestación pactado por escrito entre la entidad estatal y el contratista. El precio es un importante elemento para el contratista, porque equivale a la remuneración que la entidad contratante le pagará como retribución por la ejecución de las obligaciones de dar, hacer o no hacer previstas a su cargo en el contrato. El precio, entonces, es el valor que se da por el objeto, generalmente en dinero, que debe ser determinado o determinable, en los términos de los artículos 1864 y 1865 del Código Civil y, de manera general está compuesto por dos elementos esenciales: los costos y la utilidad, cuya estructuración interna depende de las condiciones técnicas, financieras, regulatorias, etc. de cada contrato.</w:t>
      </w:r>
    </w:p>
    <w:p w:rsidR="007622A1" w:rsidRPr="00DB06FE" w:rsidRDefault="007622A1" w:rsidP="007622A1">
      <w:pPr>
        <w:spacing w:after="0" w:line="240" w:lineRule="auto"/>
        <w:jc w:val="both"/>
        <w:rPr>
          <w:rFonts w:ascii="Verdana" w:eastAsia="Calibri" w:hAnsi="Verdana" w:cs="Arial"/>
          <w:color w:val="000000" w:themeColor="text1"/>
          <w:sz w:val="20"/>
          <w:szCs w:val="20"/>
        </w:rPr>
      </w:pPr>
    </w:p>
    <w:p w:rsidR="007622A1" w:rsidRPr="00DB06FE" w:rsidRDefault="007622A1" w:rsidP="007622A1">
      <w:pPr>
        <w:spacing w:after="0" w:line="240" w:lineRule="auto"/>
        <w:jc w:val="both"/>
        <w:rPr>
          <w:rFonts w:ascii="Verdana" w:eastAsia="Calibri" w:hAnsi="Verdana" w:cs="Arial"/>
          <w:color w:val="000000" w:themeColor="text1"/>
          <w:sz w:val="20"/>
          <w:szCs w:val="20"/>
        </w:rPr>
      </w:pPr>
      <w:r w:rsidRPr="00DB06FE">
        <w:rPr>
          <w:rFonts w:ascii="Verdana" w:eastAsia="Calibri" w:hAnsi="Verdana" w:cs="Arial"/>
          <w:color w:val="000000" w:themeColor="text1"/>
          <w:sz w:val="20"/>
          <w:szCs w:val="20"/>
        </w:rPr>
        <w:t xml:space="preserve">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 No hay, pues, una sola metodología para pactar el precio y, en gran medida, la manera de hacerlo ha obedecido a la costumbre mercantil y a la influencia de disciplinas técnicas, como la ingeniería o la administración de empresas, en la contratación estatal. </w:t>
      </w:r>
    </w:p>
    <w:p w:rsidR="007622A1" w:rsidRPr="00DB06FE" w:rsidRDefault="007622A1" w:rsidP="007622A1">
      <w:pPr>
        <w:jc w:val="both"/>
        <w:rPr>
          <w:rFonts w:ascii="Verdana" w:eastAsia="Calibri" w:hAnsi="Verdana" w:cs="Arial"/>
          <w:sz w:val="20"/>
          <w:szCs w:val="20"/>
        </w:rPr>
      </w:pPr>
    </w:p>
    <w:p w:rsidR="007622A1" w:rsidRPr="00DB06FE" w:rsidRDefault="007622A1" w:rsidP="007622A1">
      <w:pPr>
        <w:jc w:val="both"/>
        <w:rPr>
          <w:rFonts w:ascii="Verdana" w:eastAsia="Calibri" w:hAnsi="Verdana" w:cs="Arial"/>
          <w:sz w:val="20"/>
          <w:szCs w:val="20"/>
          <w:lang w:val="es-ES_tradnl"/>
        </w:rPr>
      </w:pPr>
      <w:r w:rsidRPr="00DB06FE">
        <w:rPr>
          <w:rFonts w:ascii="Verdana" w:eastAsia="Calibri" w:hAnsi="Verdana" w:cs="Arial"/>
          <w:sz w:val="20"/>
          <w:szCs w:val="20"/>
          <w:lang w:val="es-ES_tradnl"/>
        </w:rPr>
        <w:t xml:space="preserve">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 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w:t>
      </w:r>
      <w:r w:rsidRPr="00DB06FE">
        <w:rPr>
          <w:rFonts w:ascii="Verdana" w:eastAsia="Calibri" w:hAnsi="Verdana" w:cs="Arial"/>
          <w:sz w:val="20"/>
          <w:szCs w:val="20"/>
          <w:lang w:val="es-ES_tradnl"/>
        </w:rPr>
        <w:lastRenderedPageBreak/>
        <w:t>serán pactadas, tanto para la entidad contratante como para el contratista que proveerá el bien, obra o servicio.</w:t>
      </w:r>
    </w:p>
    <w:p w:rsidR="007622A1" w:rsidRPr="00DB06FE" w:rsidRDefault="007622A1" w:rsidP="007622A1">
      <w:pPr>
        <w:spacing w:after="0"/>
        <w:rPr>
          <w:rFonts w:ascii="Verdana" w:eastAsia="Calibri" w:hAnsi="Verdana" w:cs="Arial"/>
          <w:b/>
          <w:bCs/>
          <w:lang w:val="es-ES_tradnl" w:eastAsia="es-ES"/>
        </w:rPr>
      </w:pPr>
    </w:p>
    <w:p w:rsidR="007622A1" w:rsidRPr="00DB06FE" w:rsidRDefault="007622A1" w:rsidP="007622A1">
      <w:pPr>
        <w:spacing w:after="0" w:line="240" w:lineRule="auto"/>
        <w:jc w:val="both"/>
        <w:rPr>
          <w:rFonts w:ascii="Verdana" w:eastAsia="Calibri" w:hAnsi="Verdana" w:cs="Arial"/>
          <w:b/>
          <w:bCs/>
          <w:color w:val="000000" w:themeColor="text1"/>
          <w:lang w:val="es-ES"/>
        </w:rPr>
      </w:pPr>
      <w:r w:rsidRPr="00DB06FE">
        <w:rPr>
          <w:rFonts w:ascii="Verdana" w:eastAsia="Calibri" w:hAnsi="Verdana" w:cs="Arial"/>
          <w:b/>
          <w:bCs/>
          <w:color w:val="000000" w:themeColor="text1"/>
          <w:lang w:val="es-ES"/>
        </w:rPr>
        <w:t xml:space="preserve">CONTRATO POR MONTO AGOTABLE </w:t>
      </w:r>
      <w:r w:rsidRPr="00DB06FE">
        <w:rPr>
          <w:rFonts w:ascii="Verdana" w:eastAsia="Calibri" w:hAnsi="Verdana" w:cs="Arial"/>
          <w:b/>
          <w:bCs/>
          <w:color w:val="000000" w:themeColor="text1"/>
        </w:rPr>
        <w:t xml:space="preserve">– </w:t>
      </w:r>
      <w:r w:rsidRPr="00DB06FE">
        <w:rPr>
          <w:rFonts w:ascii="Verdana" w:eastAsia="Calibri" w:hAnsi="Verdana" w:cs="Arial"/>
          <w:b/>
          <w:bCs/>
          <w:color w:val="000000" w:themeColor="text1"/>
          <w:lang w:val="es-ES"/>
        </w:rPr>
        <w:t xml:space="preserve">Forma de Pago – Legalidad – Contrato típico o atípico – Inexistencia </w:t>
      </w:r>
    </w:p>
    <w:p w:rsidR="007622A1" w:rsidRPr="00DB06FE" w:rsidRDefault="007622A1" w:rsidP="007622A1">
      <w:pPr>
        <w:spacing w:after="0" w:line="240" w:lineRule="auto"/>
        <w:jc w:val="both"/>
        <w:rPr>
          <w:rFonts w:ascii="Verdana" w:eastAsia="Calibri" w:hAnsi="Verdana" w:cs="Arial"/>
          <w:b/>
          <w:bCs/>
          <w:color w:val="000000" w:themeColor="text1"/>
          <w:sz w:val="20"/>
          <w:szCs w:val="20"/>
          <w:lang w:val="es-ES"/>
        </w:rPr>
      </w:pPr>
    </w:p>
    <w:p w:rsidR="007622A1" w:rsidRPr="00DB06FE" w:rsidRDefault="007622A1" w:rsidP="007622A1">
      <w:pPr>
        <w:spacing w:after="0" w:line="240" w:lineRule="auto"/>
        <w:jc w:val="both"/>
        <w:rPr>
          <w:rFonts w:ascii="Verdana" w:eastAsia="Calibri" w:hAnsi="Verdana" w:cs="Arial"/>
          <w:color w:val="000000" w:themeColor="text1"/>
          <w:sz w:val="20"/>
          <w:szCs w:val="20"/>
          <w:lang w:val="es-ES"/>
        </w:rPr>
      </w:pPr>
      <w:r w:rsidRPr="00DB06FE">
        <w:rPr>
          <w:rFonts w:ascii="Verdana" w:eastAsia="Calibri" w:hAnsi="Verdana" w:cs="Arial"/>
          <w:color w:val="000000" w:themeColor="text1"/>
          <w:sz w:val="20"/>
          <w:szCs w:val="20"/>
          <w:lang w:val="es-ES"/>
        </w:rPr>
        <w:t xml:space="preserve">La figura del “contrato por monto agotable” no existe en las leyes civiles y comerciales ni en el EGCAP como una figura contractual típica ni atípica, pues puede corresponder a un contrato de suministro o de obra, donde se pacta el pago de la contraprestación a precios unitarios, conforme a unos valores asignados, que son objeto del negocio y que se entregan a la entidad, durante el plazo de ejecución del contrato, sin exceder el valor o presupuesto oficial asignado por la entidad contratante para el efecto. En este contexto, se encuentra más relacionada con el establecimiento de la forma de pago. </w:t>
      </w:r>
      <w:r w:rsidRPr="00DB06FE">
        <w:rPr>
          <w:rFonts w:ascii="Verdana" w:eastAsia="Calibri" w:hAnsi="Verdana" w:cs="Arial"/>
          <w:bCs/>
          <w:color w:val="000000" w:themeColor="text1"/>
          <w:sz w:val="20"/>
          <w:szCs w:val="20"/>
          <w:lang w:val="es-ES_tradnl"/>
        </w:rPr>
        <w:t xml:space="preserve">Sin perjuicio de lo anterior, la estructuración del precio del contrato y la forma de pago a precios unitarios, según la demanda de obras, bienes o servicios requeridos por la entidad contratante durante el plazo del contrato, sin exceder el presupuesto oficial, es una modalidad de pacto contractual admisible en el contrato estatal que puede utilizarse por las entidades públicas. </w:t>
      </w:r>
    </w:p>
    <w:p w:rsidR="007622A1" w:rsidRPr="00DB06FE" w:rsidRDefault="007622A1" w:rsidP="007622A1">
      <w:pPr>
        <w:spacing w:after="0" w:line="240" w:lineRule="auto"/>
        <w:jc w:val="both"/>
        <w:rPr>
          <w:rFonts w:ascii="Verdana" w:eastAsia="Calibri" w:hAnsi="Verdana" w:cs="Arial"/>
          <w:b/>
          <w:bCs/>
          <w:color w:val="000000" w:themeColor="text1"/>
          <w:sz w:val="20"/>
          <w:szCs w:val="20"/>
          <w:lang w:val="es-ES"/>
        </w:rPr>
      </w:pPr>
    </w:p>
    <w:p w:rsidR="007622A1" w:rsidRPr="00DB06FE" w:rsidRDefault="007622A1" w:rsidP="007622A1">
      <w:pPr>
        <w:spacing w:after="0" w:line="240" w:lineRule="auto"/>
        <w:jc w:val="both"/>
        <w:rPr>
          <w:rFonts w:ascii="Verdana" w:eastAsia="Calibri" w:hAnsi="Verdana" w:cs="Arial"/>
          <w:b/>
          <w:bCs/>
          <w:color w:val="000000" w:themeColor="text1"/>
        </w:rPr>
      </w:pPr>
      <w:r w:rsidRPr="00DB06FE">
        <w:rPr>
          <w:rFonts w:ascii="Verdana" w:eastAsia="Calibri" w:hAnsi="Verdana" w:cs="Arial"/>
          <w:b/>
          <w:bCs/>
          <w:color w:val="000000" w:themeColor="text1"/>
          <w:lang w:val="es-ES"/>
        </w:rPr>
        <w:t xml:space="preserve">FORMA DE PAGO </w:t>
      </w:r>
      <w:r w:rsidRPr="00DB06FE">
        <w:rPr>
          <w:rFonts w:ascii="Verdana" w:eastAsia="Calibri" w:hAnsi="Verdana" w:cs="Arial"/>
          <w:b/>
          <w:bCs/>
          <w:color w:val="000000" w:themeColor="text1"/>
        </w:rPr>
        <w:t xml:space="preserve">– </w:t>
      </w:r>
      <w:r w:rsidRPr="00DB06FE">
        <w:rPr>
          <w:rFonts w:ascii="Verdana" w:eastAsia="Calibri" w:hAnsi="Verdana" w:cs="Arial"/>
          <w:b/>
          <w:bCs/>
          <w:color w:val="000000" w:themeColor="text1"/>
          <w:lang w:val="es-ES"/>
        </w:rPr>
        <w:t>Contrato de suministro – Contrato de obra – Presupuesto limitativo</w:t>
      </w:r>
      <w:r w:rsidRPr="00DB06FE">
        <w:rPr>
          <w:rFonts w:ascii="Verdana" w:eastAsia="Calibri" w:hAnsi="Verdana" w:cs="Arial"/>
          <w:b/>
          <w:bCs/>
          <w:color w:val="000000" w:themeColor="text1"/>
        </w:rPr>
        <w:t xml:space="preserve"> </w:t>
      </w:r>
    </w:p>
    <w:p w:rsidR="007622A1" w:rsidRPr="00DB06FE" w:rsidRDefault="007622A1" w:rsidP="007622A1">
      <w:pPr>
        <w:spacing w:after="0" w:line="240" w:lineRule="auto"/>
        <w:jc w:val="both"/>
        <w:rPr>
          <w:rFonts w:ascii="Verdana" w:eastAsia="Calibri" w:hAnsi="Verdana" w:cs="Arial"/>
          <w:b/>
          <w:bCs/>
          <w:color w:val="000000" w:themeColor="text1"/>
          <w:sz w:val="20"/>
          <w:szCs w:val="20"/>
        </w:rPr>
      </w:pPr>
    </w:p>
    <w:p w:rsidR="007622A1" w:rsidRPr="00DB06FE" w:rsidRDefault="007622A1" w:rsidP="007622A1">
      <w:pPr>
        <w:spacing w:after="0" w:line="240" w:lineRule="auto"/>
        <w:jc w:val="both"/>
        <w:rPr>
          <w:rFonts w:ascii="Verdana" w:eastAsia="Calibri" w:hAnsi="Verdana" w:cs="Arial"/>
          <w:color w:val="000000" w:themeColor="text1"/>
          <w:sz w:val="20"/>
          <w:szCs w:val="20"/>
          <w:lang w:val="es-ES"/>
        </w:rPr>
      </w:pPr>
      <w:r w:rsidRPr="00DB06FE">
        <w:rPr>
          <w:rFonts w:ascii="Verdana" w:eastAsia="Calibri" w:hAnsi="Verdana" w:cs="Arial"/>
          <w:color w:val="000000" w:themeColor="text1"/>
          <w:sz w:val="20"/>
          <w:szCs w:val="20"/>
          <w:lang w:val="es-ES"/>
        </w:rPr>
        <w:t xml:space="preserve">Existen contratos de suministro donde el contratista se obliga a entregar los bienes por un precio unitario, sin que la cuantía se defina exactamente al tiempo de celebrar el contrato, ya que las entregas estas subordinadas a las necesidades de la entidad. Así las cosas, “En este tipo de contratos debe existir un presupuesto limitativo, establecido con el carácter del máximo, y debe preverse la posibilidad de que el objeto del contrato, y por ende el presupuesto máximo, se modifiquen en caso de que la entidad contratante necesite de un mayor número de unidades de producto de las inicialmente estimadas”. Una situación similar se presenta en algunos contratos de obra a precios unitarios donde, pese a que se encuentra establecido los ítems y el valor de cada uno de ellos, las cantidades definitivas dependen de lo efectivamente ejecutado al finalizar el plazo. En este sistema las partes establecen una suma fija por cada unidad de los trabajos que debe ejecutar el contratista, por lo que el precio –a diferencia del ajuste alzado o la suma cerrada– no se determina por la totalidad de la obra, sino por cada parte, unidad o medida. En este caso, también se requiere establecer un tope máximo para la adelantar las obras, ya que “[…] el precio total depende del conjunto de trabajos ejecutados según el presupuesto, pudiendo por tanto variar por nuevos trabajos adicionales […]”. Por lo demás, a pesar de que el precio del contrato se fije por un monto agotable, este no deja de pertenecer a la tipología del artículo 32.1 del Estatuto General de Contratación de la Administración Pública, especialmente, cuando –conforme al tenor literal de la norma– la obra pública existe cualquiera que sea la modalidad de ejecución y pago.   </w:t>
      </w:r>
    </w:p>
    <w:p w:rsidR="007622A1" w:rsidRPr="00DB06FE" w:rsidRDefault="007622A1" w:rsidP="007622A1">
      <w:pPr>
        <w:spacing w:after="0" w:line="240" w:lineRule="auto"/>
        <w:jc w:val="both"/>
        <w:rPr>
          <w:rFonts w:ascii="Verdana" w:eastAsia="Calibri" w:hAnsi="Verdana" w:cs="Arial"/>
          <w:color w:val="000000" w:themeColor="text1"/>
          <w:sz w:val="20"/>
          <w:szCs w:val="20"/>
          <w:lang w:val="es-ES"/>
        </w:rPr>
      </w:pPr>
      <w:r w:rsidRPr="00DB06FE">
        <w:rPr>
          <w:rFonts w:ascii="Verdana" w:eastAsia="Calibri" w:hAnsi="Verdana" w:cs="Arial"/>
          <w:color w:val="000000" w:themeColor="text1"/>
          <w:sz w:val="20"/>
          <w:szCs w:val="20"/>
          <w:lang w:val="es-ES"/>
        </w:rPr>
        <w:t xml:space="preserve"> </w:t>
      </w:r>
    </w:p>
    <w:p w:rsidR="007622A1" w:rsidRPr="00DB06FE" w:rsidRDefault="007622A1" w:rsidP="007622A1">
      <w:pPr>
        <w:spacing w:after="0"/>
        <w:rPr>
          <w:rFonts w:ascii="Verdana" w:hAnsi="Verdana"/>
          <w:b/>
          <w:bCs/>
          <w:lang w:val="es-ES"/>
        </w:rPr>
      </w:pPr>
    </w:p>
    <w:p w:rsidR="007622A1" w:rsidRDefault="007622A1" w:rsidP="007622A1">
      <w:pPr>
        <w:spacing w:after="0"/>
        <w:rPr>
          <w:rFonts w:ascii="Verdana" w:hAnsi="Verdana"/>
        </w:rPr>
      </w:pPr>
    </w:p>
    <w:p w:rsidR="00D904A7" w:rsidRDefault="00D904A7" w:rsidP="007622A1">
      <w:pPr>
        <w:spacing w:after="0"/>
        <w:rPr>
          <w:rFonts w:ascii="Verdana" w:hAnsi="Verdana"/>
        </w:rPr>
      </w:pPr>
    </w:p>
    <w:p w:rsidR="00D904A7" w:rsidRPr="00DB06FE" w:rsidRDefault="00D904A7" w:rsidP="007622A1">
      <w:pPr>
        <w:spacing w:after="0"/>
        <w:rPr>
          <w:rFonts w:ascii="Verdana" w:hAnsi="Verdana"/>
        </w:rPr>
      </w:pPr>
    </w:p>
    <w:p w:rsidR="007622A1" w:rsidRPr="00DB06FE" w:rsidRDefault="007622A1" w:rsidP="007622A1">
      <w:pPr>
        <w:spacing w:after="0"/>
        <w:rPr>
          <w:rFonts w:ascii="Verdana" w:hAnsi="Verdana"/>
        </w:rPr>
      </w:pPr>
      <w:r w:rsidRPr="00DB06FE">
        <w:rPr>
          <w:rFonts w:ascii="Verdana" w:hAnsi="Verdana"/>
        </w:rPr>
        <w:t>Bogotá D.C., [Día] [</w:t>
      </w:r>
      <w:proofErr w:type="spellStart"/>
      <w:r w:rsidRPr="00DB06FE">
        <w:rPr>
          <w:rFonts w:ascii="Verdana" w:hAnsi="Verdana"/>
        </w:rPr>
        <w:t>Mes.NombreCapitalizado</w:t>
      </w:r>
      <w:proofErr w:type="spellEnd"/>
      <w:r w:rsidRPr="00DB06FE">
        <w:rPr>
          <w:rFonts w:ascii="Verdana" w:hAnsi="Verdana"/>
        </w:rPr>
        <w:t>] [Año]</w:t>
      </w:r>
    </w:p>
    <w:p w:rsidR="007622A1" w:rsidRPr="00DB06FE" w:rsidRDefault="00D904A7" w:rsidP="007622A1">
      <w:pPr>
        <w:spacing w:after="0"/>
        <w:rPr>
          <w:rFonts w:ascii="Verdana" w:hAnsi="Verdana"/>
        </w:rPr>
      </w:pPr>
      <w:r w:rsidRPr="00D904A7">
        <w:rPr>
          <w:rFonts w:ascii="Verdana" w:hAnsi="Verdana"/>
        </w:rPr>
        <w:drawing>
          <wp:anchor distT="0" distB="0" distL="114300" distR="114300" simplePos="0" relativeHeight="251658240" behindDoc="1" locked="0" layoutInCell="1" allowOverlap="1" wp14:anchorId="20EECB59">
            <wp:simplePos x="0" y="0"/>
            <wp:positionH relativeFrom="column">
              <wp:posOffset>3408680</wp:posOffset>
            </wp:positionH>
            <wp:positionV relativeFrom="paragraph">
              <wp:posOffset>34429</wp:posOffset>
            </wp:positionV>
            <wp:extent cx="3216666" cy="894576"/>
            <wp:effectExtent l="0" t="0" r="0" b="0"/>
            <wp:wrapNone/>
            <wp:docPr id="10145691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69128" name=""/>
                    <pic:cNvPicPr/>
                  </pic:nvPicPr>
                  <pic:blipFill>
                    <a:blip r:embed="rId7">
                      <a:extLst>
                        <a:ext uri="{28A0092B-C50C-407E-A947-70E740481C1C}">
                          <a14:useLocalDpi xmlns:a14="http://schemas.microsoft.com/office/drawing/2010/main" val="0"/>
                        </a:ext>
                      </a:extLst>
                    </a:blip>
                    <a:stretch>
                      <a:fillRect/>
                    </a:stretch>
                  </pic:blipFill>
                  <pic:spPr>
                    <a:xfrm>
                      <a:off x="0" y="0"/>
                      <a:ext cx="3236673" cy="900140"/>
                    </a:xfrm>
                    <a:prstGeom prst="rect">
                      <a:avLst/>
                    </a:prstGeom>
                  </pic:spPr>
                </pic:pic>
              </a:graphicData>
            </a:graphic>
            <wp14:sizeRelH relativeFrom="page">
              <wp14:pctWidth>0</wp14:pctWidth>
            </wp14:sizeRelH>
            <wp14:sizeRelV relativeFrom="page">
              <wp14:pctHeight>0</wp14:pctHeight>
            </wp14:sizeRelV>
          </wp:anchor>
        </w:drawing>
      </w:r>
    </w:p>
    <w:p w:rsidR="007622A1" w:rsidRPr="00DB06FE" w:rsidRDefault="007622A1" w:rsidP="007622A1">
      <w:pPr>
        <w:spacing w:after="0"/>
        <w:rPr>
          <w:rFonts w:ascii="Verdana" w:hAnsi="Verdana"/>
        </w:rPr>
      </w:pPr>
    </w:p>
    <w:p w:rsidR="007622A1" w:rsidRPr="00DB06FE" w:rsidRDefault="007622A1" w:rsidP="007622A1">
      <w:pPr>
        <w:spacing w:after="0" w:line="276" w:lineRule="auto"/>
        <w:rPr>
          <w:rFonts w:ascii="Verdana" w:hAnsi="Verdana"/>
        </w:rPr>
      </w:pPr>
    </w:p>
    <w:p w:rsidR="007622A1" w:rsidRPr="00DB06FE" w:rsidRDefault="007622A1" w:rsidP="007622A1">
      <w:pPr>
        <w:spacing w:after="0" w:line="276" w:lineRule="auto"/>
        <w:rPr>
          <w:rFonts w:ascii="Verdana" w:eastAsia="Calibri" w:hAnsi="Verdana" w:cs="Arial"/>
          <w:lang w:val="es-ES"/>
        </w:rPr>
      </w:pPr>
    </w:p>
    <w:p w:rsidR="007622A1" w:rsidRPr="00DB06FE" w:rsidRDefault="007622A1" w:rsidP="007622A1">
      <w:pPr>
        <w:spacing w:after="0" w:line="240" w:lineRule="auto"/>
        <w:jc w:val="both"/>
        <w:rPr>
          <w:rFonts w:ascii="Verdana" w:eastAsia="Calibri" w:hAnsi="Verdana" w:cs="Arial"/>
          <w:lang w:val="es-ES" w:eastAsia="es-ES"/>
        </w:rPr>
      </w:pPr>
      <w:r w:rsidRPr="00DB06FE">
        <w:rPr>
          <w:rFonts w:ascii="Verdana" w:eastAsia="Calibri" w:hAnsi="Verdana" w:cs="Arial"/>
          <w:lang w:val="es-ES" w:eastAsia="es-ES"/>
        </w:rPr>
        <w:t>Señor</w:t>
      </w:r>
    </w:p>
    <w:p w:rsidR="007622A1" w:rsidRPr="00D93DDE" w:rsidRDefault="007622A1" w:rsidP="007622A1">
      <w:pPr>
        <w:spacing w:after="0" w:line="240" w:lineRule="auto"/>
        <w:jc w:val="both"/>
        <w:rPr>
          <w:rFonts w:ascii="Verdana" w:eastAsia="Calibri" w:hAnsi="Verdana" w:cs="Arial"/>
          <w:b/>
          <w:bCs/>
          <w:lang w:eastAsia="es-ES"/>
        </w:rPr>
      </w:pPr>
      <w:r w:rsidRPr="00D93DDE">
        <w:rPr>
          <w:rFonts w:ascii="Verdana" w:eastAsia="Calibri" w:hAnsi="Verdana" w:cs="Arial"/>
          <w:b/>
          <w:bCs/>
          <w:lang w:eastAsia="es-ES"/>
        </w:rPr>
        <w:t>John Alexander Mantilla Mesa</w:t>
      </w:r>
    </w:p>
    <w:p w:rsidR="007622A1" w:rsidRPr="00DB06FE" w:rsidRDefault="00000000" w:rsidP="007622A1">
      <w:pPr>
        <w:spacing w:after="0" w:line="240" w:lineRule="auto"/>
        <w:jc w:val="both"/>
        <w:rPr>
          <w:rFonts w:ascii="Verdana" w:hAnsi="Verdana"/>
        </w:rPr>
      </w:pPr>
      <w:hyperlink r:id="rId8" w:history="1">
        <w:r w:rsidR="007622A1" w:rsidRPr="00DB06FE">
          <w:rPr>
            <w:rStyle w:val="Hipervnculo"/>
            <w:rFonts w:ascii="Verdana" w:hAnsi="Verdana"/>
          </w:rPr>
          <w:t>johnmantilla12@hotmail.com</w:t>
        </w:r>
      </w:hyperlink>
    </w:p>
    <w:p w:rsidR="007622A1" w:rsidRPr="00DB06FE" w:rsidRDefault="007622A1" w:rsidP="007622A1">
      <w:pPr>
        <w:spacing w:after="0" w:line="240" w:lineRule="auto"/>
        <w:jc w:val="both"/>
        <w:rPr>
          <w:rFonts w:ascii="Verdana" w:eastAsia="Calibri" w:hAnsi="Verdana" w:cs="Arial"/>
          <w:szCs w:val="24"/>
          <w:lang w:val="es-ES_tradnl" w:eastAsia="es-ES_tradnl"/>
        </w:rPr>
      </w:pPr>
      <w:r w:rsidRPr="00DB06FE">
        <w:rPr>
          <w:rFonts w:ascii="Verdana" w:eastAsia="Calibri" w:hAnsi="Verdana" w:cs="Arial"/>
          <w:szCs w:val="24"/>
          <w:lang w:val="es-ES_tradnl" w:eastAsia="es-ES_tradnl"/>
        </w:rPr>
        <w:t xml:space="preserve">Cali – Valle </w:t>
      </w:r>
    </w:p>
    <w:p w:rsidR="007622A1" w:rsidRPr="00DB06FE" w:rsidRDefault="007622A1" w:rsidP="007622A1">
      <w:pPr>
        <w:spacing w:after="0" w:line="240" w:lineRule="auto"/>
        <w:rPr>
          <w:rFonts w:ascii="Verdana" w:eastAsia="Calibri" w:hAnsi="Verdana" w:cs="Arial"/>
          <w:szCs w:val="24"/>
          <w:lang w:val="es-ES_tradnl" w:eastAsia="es-ES_tradnl"/>
        </w:rPr>
      </w:pPr>
    </w:p>
    <w:p w:rsidR="007622A1" w:rsidRPr="00DB06FE" w:rsidRDefault="007622A1" w:rsidP="007622A1">
      <w:pPr>
        <w:spacing w:after="0" w:line="240" w:lineRule="auto"/>
        <w:ind w:left="2694"/>
        <w:rPr>
          <w:rFonts w:ascii="Verdana" w:eastAsia="Calibri" w:hAnsi="Verdana" w:cs="Arial"/>
          <w:b/>
          <w:bCs/>
          <w:lang w:val="es-ES" w:eastAsia="es-ES"/>
        </w:rPr>
      </w:pPr>
      <w:r w:rsidRPr="00DB06FE">
        <w:rPr>
          <w:rFonts w:ascii="Verdana" w:eastAsia="Calibri" w:hAnsi="Verdana" w:cs="Arial"/>
          <w:b/>
          <w:bCs/>
          <w:lang w:val="es-ES" w:eastAsia="es-ES"/>
        </w:rPr>
        <w:t>Concepto C-163 de 2024</w:t>
      </w:r>
    </w:p>
    <w:p w:rsidR="007622A1" w:rsidRPr="00DB06FE" w:rsidRDefault="007622A1" w:rsidP="007622A1">
      <w:pPr>
        <w:spacing w:after="0" w:line="240" w:lineRule="auto"/>
        <w:ind w:left="2694"/>
        <w:rPr>
          <w:rFonts w:ascii="Verdana" w:eastAsia="Calibri" w:hAnsi="Verdana" w:cs="Arial"/>
          <w:szCs w:val="24"/>
          <w:lang w:val="es-ES_tradnl" w:eastAsia="es-ES_tradnl"/>
        </w:rPr>
      </w:pPr>
    </w:p>
    <w:p w:rsidR="007622A1" w:rsidRPr="00DB06FE" w:rsidRDefault="007622A1" w:rsidP="007622A1">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7622A1" w:rsidRPr="00DB06FE" w:rsidTr="00F567E8">
        <w:trPr>
          <w:trHeight w:val="884"/>
        </w:trPr>
        <w:tc>
          <w:tcPr>
            <w:tcW w:w="2689" w:type="dxa"/>
          </w:tcPr>
          <w:p w:rsidR="007622A1" w:rsidRPr="00DB06FE" w:rsidRDefault="007622A1" w:rsidP="00F567E8">
            <w:pPr>
              <w:jc w:val="both"/>
              <w:rPr>
                <w:rFonts w:ascii="Verdana" w:eastAsia="Calibri" w:hAnsi="Verdana" w:cs="Arial"/>
                <w:szCs w:val="24"/>
                <w:lang w:val="es-ES_tradnl" w:eastAsia="es-ES_tradnl"/>
              </w:rPr>
            </w:pPr>
            <w:r w:rsidRPr="00DB06FE">
              <w:rPr>
                <w:rFonts w:ascii="Verdana" w:eastAsia="Calibri" w:hAnsi="Verdana" w:cs="Arial"/>
                <w:szCs w:val="24"/>
                <w:lang w:val="es-ES_tradnl" w:eastAsia="es-ES_tradnl"/>
              </w:rPr>
              <w:t xml:space="preserve">Temas:                   </w:t>
            </w:r>
          </w:p>
        </w:tc>
        <w:tc>
          <w:tcPr>
            <w:tcW w:w="6237" w:type="dxa"/>
          </w:tcPr>
          <w:p w:rsidR="007622A1" w:rsidRPr="00DB06FE" w:rsidRDefault="007622A1" w:rsidP="00F567E8">
            <w:pPr>
              <w:spacing w:after="120"/>
              <w:contextualSpacing/>
              <w:jc w:val="both"/>
              <w:rPr>
                <w:rFonts w:ascii="Verdana" w:eastAsia="Calibri" w:hAnsi="Verdana" w:cs="Arial"/>
                <w:bCs/>
                <w:lang w:val="es-ES" w:eastAsia="es-ES_tradnl"/>
              </w:rPr>
            </w:pPr>
            <w:r w:rsidRPr="00DB06FE">
              <w:rPr>
                <w:rFonts w:ascii="Verdana" w:eastAsia="Calibri" w:hAnsi="Verdana" w:cs="Arial"/>
                <w:bCs/>
                <w:lang w:val="es-MX" w:eastAsia="es-ES_tradnl"/>
              </w:rPr>
              <w:t xml:space="preserve">PRECIO – Concepto – Estructuración </w:t>
            </w:r>
            <w:r w:rsidRPr="00DB06FE">
              <w:rPr>
                <w:rFonts w:ascii="Verdana" w:eastAsia="Calibri" w:hAnsi="Verdana" w:cs="Arial"/>
                <w:bCs/>
                <w:lang w:val="es-ES_tradnl" w:eastAsia="es-ES_tradnl"/>
              </w:rPr>
              <w:t xml:space="preserve">/ </w:t>
            </w:r>
            <w:r w:rsidRPr="00DB06FE">
              <w:rPr>
                <w:rFonts w:ascii="Verdana" w:eastAsia="Calibri" w:hAnsi="Verdana" w:cs="Arial"/>
                <w:bCs/>
                <w:lang w:val="es-ES" w:eastAsia="es-ES_tradnl"/>
              </w:rPr>
              <w:t>TIPOLOGÍA CONTRACTUAL – Escogencia del tipo de contrato / CONTRATO POR MONTO AGOTABLE – Forma de Pago – Legalidad – Contrato típico o atípico – Inexistencia</w:t>
            </w:r>
            <w:r w:rsidRPr="00DB06FE">
              <w:rPr>
                <w:rFonts w:ascii="Verdana" w:eastAsia="Calibri" w:hAnsi="Verdana" w:cs="Arial"/>
                <w:bCs/>
                <w:lang w:eastAsia="es-ES_tradnl"/>
              </w:rPr>
              <w:t xml:space="preserve"> / </w:t>
            </w:r>
            <w:r w:rsidRPr="00DB06FE">
              <w:rPr>
                <w:rFonts w:ascii="Verdana" w:eastAsia="Calibri" w:hAnsi="Verdana" w:cs="Arial"/>
                <w:bCs/>
                <w:lang w:val="es-ES" w:eastAsia="es-ES_tradnl"/>
              </w:rPr>
              <w:t xml:space="preserve">FORMA DE PAGO – Contrato de suministro – Contrato de obra – Presupuesto limitativo </w:t>
            </w:r>
          </w:p>
          <w:p w:rsidR="007622A1" w:rsidRPr="00DB06FE" w:rsidRDefault="007622A1" w:rsidP="00F567E8">
            <w:pPr>
              <w:jc w:val="both"/>
              <w:rPr>
                <w:rFonts w:ascii="Verdana" w:eastAsia="Calibri" w:hAnsi="Verdana" w:cs="Arial"/>
                <w:lang w:val="es-ES" w:eastAsia="es-ES"/>
              </w:rPr>
            </w:pPr>
          </w:p>
        </w:tc>
        <w:tc>
          <w:tcPr>
            <w:tcW w:w="6237" w:type="dxa"/>
          </w:tcPr>
          <w:p w:rsidR="007622A1" w:rsidRPr="00DB06FE" w:rsidRDefault="007622A1" w:rsidP="00F567E8">
            <w:pPr>
              <w:jc w:val="both"/>
              <w:rPr>
                <w:rFonts w:ascii="Verdana" w:hAnsi="Verdana" w:cs="Arial"/>
                <w:lang w:val="es-ES"/>
              </w:rPr>
            </w:pPr>
          </w:p>
        </w:tc>
      </w:tr>
      <w:tr w:rsidR="007622A1" w:rsidRPr="00DB06FE" w:rsidTr="00F567E8">
        <w:tc>
          <w:tcPr>
            <w:tcW w:w="2689" w:type="dxa"/>
          </w:tcPr>
          <w:p w:rsidR="007622A1" w:rsidRPr="00DB06FE" w:rsidRDefault="007622A1" w:rsidP="00F567E8">
            <w:pPr>
              <w:spacing w:before="120"/>
              <w:jc w:val="both"/>
              <w:rPr>
                <w:rFonts w:ascii="Verdana" w:eastAsia="Calibri" w:hAnsi="Verdana" w:cs="Arial"/>
                <w:szCs w:val="24"/>
                <w:lang w:val="es-ES_tradnl" w:eastAsia="es-ES_tradnl"/>
              </w:rPr>
            </w:pPr>
            <w:r w:rsidRPr="00DB06FE">
              <w:rPr>
                <w:rFonts w:ascii="Verdana" w:eastAsia="Calibri" w:hAnsi="Verdana" w:cs="Arial"/>
                <w:szCs w:val="24"/>
                <w:lang w:val="es-ES_tradnl" w:eastAsia="es-ES_tradnl"/>
              </w:rPr>
              <w:t xml:space="preserve">Radicación:               </w:t>
            </w:r>
          </w:p>
        </w:tc>
        <w:tc>
          <w:tcPr>
            <w:tcW w:w="6237" w:type="dxa"/>
          </w:tcPr>
          <w:p w:rsidR="007622A1" w:rsidRPr="00DB06FE" w:rsidRDefault="007622A1" w:rsidP="00F567E8">
            <w:pPr>
              <w:spacing w:before="120"/>
              <w:jc w:val="both"/>
              <w:rPr>
                <w:rFonts w:ascii="Verdana" w:eastAsia="Calibri" w:hAnsi="Verdana" w:cs="Arial"/>
                <w:szCs w:val="24"/>
                <w:lang w:val="es-ES_tradnl" w:eastAsia="es-ES_tradnl"/>
              </w:rPr>
            </w:pPr>
            <w:r w:rsidRPr="00DB06FE">
              <w:rPr>
                <w:rFonts w:ascii="Verdana" w:eastAsia="Calibri" w:hAnsi="Verdana" w:cs="Arial"/>
                <w:szCs w:val="24"/>
                <w:lang w:val="es-ES_tradnl" w:eastAsia="es-ES_tradnl"/>
              </w:rPr>
              <w:t>Respuesta a consulta con radicado No. P20240704006753</w:t>
            </w:r>
          </w:p>
        </w:tc>
        <w:tc>
          <w:tcPr>
            <w:tcW w:w="6237" w:type="dxa"/>
          </w:tcPr>
          <w:p w:rsidR="007622A1" w:rsidRPr="00DB06FE" w:rsidRDefault="007622A1" w:rsidP="00F567E8">
            <w:pPr>
              <w:spacing w:before="120"/>
              <w:jc w:val="both"/>
              <w:rPr>
                <w:rFonts w:ascii="Verdana" w:eastAsia="Calibri" w:hAnsi="Verdana" w:cs="Arial"/>
                <w:szCs w:val="24"/>
                <w:lang w:val="es-ES_tradnl" w:eastAsia="es-ES_tradnl"/>
              </w:rPr>
            </w:pPr>
          </w:p>
        </w:tc>
      </w:tr>
    </w:tbl>
    <w:p w:rsidR="007622A1" w:rsidRPr="00DB06FE" w:rsidRDefault="007622A1" w:rsidP="007622A1">
      <w:pPr>
        <w:spacing w:after="0" w:line="240" w:lineRule="auto"/>
        <w:jc w:val="both"/>
        <w:rPr>
          <w:rFonts w:ascii="Verdana" w:eastAsia="Calibri" w:hAnsi="Verdana" w:cs="Arial"/>
          <w:szCs w:val="24"/>
          <w:lang w:val="es-ES_tradnl" w:eastAsia="es-ES_tradnl"/>
        </w:rPr>
      </w:pPr>
    </w:p>
    <w:p w:rsidR="007622A1" w:rsidRPr="00DB06FE" w:rsidRDefault="007622A1" w:rsidP="007622A1">
      <w:pPr>
        <w:spacing w:after="0" w:line="240" w:lineRule="auto"/>
        <w:jc w:val="both"/>
        <w:rPr>
          <w:rFonts w:ascii="Verdana" w:eastAsia="Calibri" w:hAnsi="Verdana" w:cs="Arial"/>
          <w:szCs w:val="24"/>
          <w:lang w:val="es-ES_tradnl" w:eastAsia="es-ES_tradnl"/>
        </w:rPr>
      </w:pPr>
    </w:p>
    <w:p w:rsidR="007622A1" w:rsidRPr="00DB06FE" w:rsidRDefault="007622A1" w:rsidP="007622A1">
      <w:pPr>
        <w:spacing w:after="0" w:line="240" w:lineRule="auto"/>
        <w:jc w:val="both"/>
        <w:rPr>
          <w:rFonts w:ascii="Verdana" w:eastAsia="Calibri" w:hAnsi="Verdana" w:cs="Arial"/>
          <w:lang w:val="es-ES" w:eastAsia="es-ES"/>
        </w:rPr>
      </w:pPr>
      <w:r w:rsidRPr="00DB06FE">
        <w:rPr>
          <w:rFonts w:ascii="Verdana" w:eastAsia="Calibri" w:hAnsi="Verdana" w:cs="Arial"/>
          <w:lang w:val="es-ES" w:eastAsia="es-ES"/>
        </w:rPr>
        <w:t xml:space="preserve">Estimada señor Mantilla: </w:t>
      </w:r>
    </w:p>
    <w:p w:rsidR="007622A1" w:rsidRPr="00DB06FE" w:rsidRDefault="007622A1" w:rsidP="007622A1">
      <w:pPr>
        <w:spacing w:after="0" w:line="240" w:lineRule="auto"/>
        <w:jc w:val="both"/>
        <w:rPr>
          <w:rFonts w:ascii="Verdana" w:eastAsia="Calibri" w:hAnsi="Verdana" w:cs="Arial"/>
          <w:lang w:val="es-ES" w:eastAsia="es-ES"/>
        </w:rPr>
      </w:pPr>
    </w:p>
    <w:p w:rsidR="007622A1" w:rsidRPr="00DB06FE" w:rsidRDefault="007622A1" w:rsidP="007622A1">
      <w:pPr>
        <w:spacing w:after="0" w:line="240" w:lineRule="auto"/>
        <w:jc w:val="both"/>
        <w:rPr>
          <w:rFonts w:ascii="Verdana" w:eastAsia="Calibri" w:hAnsi="Verdana" w:cs="Arial"/>
          <w:szCs w:val="24"/>
          <w:lang w:val="es-ES_tradnl" w:eastAsia="es-ES_tradnl"/>
        </w:rPr>
      </w:pPr>
    </w:p>
    <w:p w:rsidR="007622A1" w:rsidRPr="00DB06FE" w:rsidRDefault="007622A1" w:rsidP="007622A1">
      <w:pPr>
        <w:spacing w:after="120" w:line="276" w:lineRule="auto"/>
        <w:jc w:val="both"/>
        <w:rPr>
          <w:rFonts w:ascii="Verdana" w:eastAsia="Calibri" w:hAnsi="Verdana" w:cs="Arial"/>
          <w:lang w:val="es-ES" w:eastAsia="es-ES"/>
        </w:rPr>
      </w:pPr>
      <w:r w:rsidRPr="00DB06FE">
        <w:rPr>
          <w:rFonts w:ascii="Verdana" w:eastAsia="Calibri" w:hAnsi="Verdana" w:cs="Arial"/>
          <w:lang w:val="es-ES" w:eastAsia="es-ES"/>
        </w:rPr>
        <w:t>En ejercicio de la competencia otorgada por los artículos 3, numeral 5º, y 11, numeral 8º, del Decreto Ley 4170 de 2011,</w:t>
      </w:r>
      <w:r w:rsidRPr="00DB06FE">
        <w:rPr>
          <w:rFonts w:ascii="Verdana" w:eastAsia="Arial MT" w:hAnsi="Verdana" w:cs="Arial MT"/>
          <w:lang w:val="es-ES" w:eastAsia="es-ES"/>
        </w:rPr>
        <w:t xml:space="preserve"> </w:t>
      </w:r>
      <w:r w:rsidRPr="00DB06FE">
        <w:rPr>
          <w:rFonts w:ascii="Verdana" w:eastAsia="Calibri" w:hAnsi="Verdana" w:cs="Arial"/>
          <w:lang w:val="es-ES" w:eastAsia="es-ES"/>
        </w:rPr>
        <w:t>la Agencia Nacional de Contratación Pública – Colombia Compra Eficiente– responde sus solicitudes del 4 de julio de 2024. En las cuales manifiesta lo siguiente:</w:t>
      </w:r>
    </w:p>
    <w:p w:rsidR="007622A1" w:rsidRPr="00DB06FE" w:rsidRDefault="007622A1" w:rsidP="007622A1">
      <w:pPr>
        <w:spacing w:after="120" w:line="276" w:lineRule="auto"/>
        <w:jc w:val="both"/>
        <w:rPr>
          <w:rFonts w:ascii="Verdana" w:eastAsia="Calibri" w:hAnsi="Verdana" w:cs="Arial"/>
          <w:sz w:val="21"/>
          <w:szCs w:val="21"/>
          <w:lang w:val="es-ES" w:eastAsia="es-ES"/>
        </w:rPr>
      </w:pPr>
    </w:p>
    <w:p w:rsidR="007622A1" w:rsidRPr="00DB06FE" w:rsidRDefault="007622A1" w:rsidP="007622A1">
      <w:pPr>
        <w:spacing w:after="0" w:line="240" w:lineRule="auto"/>
        <w:ind w:left="709" w:right="709"/>
        <w:jc w:val="both"/>
        <w:rPr>
          <w:rFonts w:ascii="Verdana" w:eastAsia="Calibri" w:hAnsi="Verdana" w:cs="Arial"/>
          <w:sz w:val="21"/>
          <w:szCs w:val="21"/>
          <w:lang w:val="es-ES" w:eastAsia="es-ES"/>
        </w:rPr>
      </w:pPr>
      <w:r w:rsidRPr="00DB06FE">
        <w:rPr>
          <w:rFonts w:ascii="Verdana" w:eastAsia="Calibri" w:hAnsi="Verdana" w:cs="Arial"/>
          <w:sz w:val="21"/>
          <w:szCs w:val="21"/>
          <w:lang w:val="es-ES" w:eastAsia="es-ES"/>
        </w:rPr>
        <w:t xml:space="preserve">“Una entidad estatal en un contrato de obra donde se han establecido precios unitarios de los posibles servicios a ejecutar, para la </w:t>
      </w:r>
      <w:proofErr w:type="spellStart"/>
      <w:r w:rsidRPr="00DB06FE">
        <w:rPr>
          <w:rFonts w:ascii="Verdana" w:eastAsia="Calibri" w:hAnsi="Verdana" w:cs="Arial"/>
          <w:sz w:val="21"/>
          <w:szCs w:val="21"/>
          <w:lang w:val="es-ES" w:eastAsia="es-ES"/>
        </w:rPr>
        <w:t>ejecucion</w:t>
      </w:r>
      <w:proofErr w:type="spellEnd"/>
      <w:r w:rsidRPr="00DB06FE">
        <w:rPr>
          <w:rFonts w:ascii="Verdana" w:eastAsia="Calibri" w:hAnsi="Verdana" w:cs="Arial"/>
          <w:sz w:val="21"/>
          <w:szCs w:val="21"/>
          <w:lang w:val="es-ES" w:eastAsia="es-ES"/>
        </w:rPr>
        <w:t xml:space="preserve">, ¿puede pactarse que para la forma de pago se </w:t>
      </w:r>
      <w:proofErr w:type="spellStart"/>
      <w:r w:rsidRPr="00DB06FE">
        <w:rPr>
          <w:rFonts w:ascii="Verdana" w:eastAsia="Calibri" w:hAnsi="Verdana" w:cs="Arial"/>
          <w:sz w:val="21"/>
          <w:szCs w:val="21"/>
          <w:lang w:val="es-ES" w:eastAsia="es-ES"/>
        </w:rPr>
        <w:t>hara</w:t>
      </w:r>
      <w:proofErr w:type="spellEnd"/>
      <w:r w:rsidRPr="00DB06FE">
        <w:rPr>
          <w:rFonts w:ascii="Verdana" w:eastAsia="Calibri" w:hAnsi="Verdana" w:cs="Arial"/>
          <w:sz w:val="21"/>
          <w:szCs w:val="21"/>
          <w:lang w:val="es-ES" w:eastAsia="es-ES"/>
        </w:rPr>
        <w:t xml:space="preserve"> mediante "consumo" es decir, de conformidad con lo que el contratista vaya ejecutando hasta agotar el presupuesto asignado por el municipio? ¿Puede establecerse como precio </w:t>
      </w:r>
      <w:r w:rsidRPr="00DB06FE">
        <w:rPr>
          <w:rFonts w:ascii="Verdana" w:eastAsia="Calibri" w:hAnsi="Verdana" w:cs="Arial"/>
          <w:sz w:val="21"/>
          <w:szCs w:val="21"/>
          <w:lang w:val="es-ES" w:eastAsia="es-ES"/>
        </w:rPr>
        <w:lastRenderedPageBreak/>
        <w:t xml:space="preserve">del contrato la totalidad del recurso disponible, aun, cuando los precios unitarios establecidos para cada </w:t>
      </w:r>
      <w:proofErr w:type="spellStart"/>
      <w:r w:rsidRPr="00DB06FE">
        <w:rPr>
          <w:rFonts w:ascii="Verdana" w:eastAsia="Calibri" w:hAnsi="Verdana" w:cs="Arial"/>
          <w:sz w:val="21"/>
          <w:szCs w:val="21"/>
          <w:lang w:val="es-ES" w:eastAsia="es-ES"/>
        </w:rPr>
        <w:t>item</w:t>
      </w:r>
      <w:proofErr w:type="spellEnd"/>
      <w:r w:rsidRPr="00DB06FE">
        <w:rPr>
          <w:rFonts w:ascii="Verdana" w:eastAsia="Calibri" w:hAnsi="Verdana" w:cs="Arial"/>
          <w:sz w:val="21"/>
          <w:szCs w:val="21"/>
          <w:lang w:val="es-ES" w:eastAsia="es-ES"/>
        </w:rPr>
        <w:t xml:space="preserve"> suman menor valor?”</w:t>
      </w:r>
    </w:p>
    <w:p w:rsidR="007622A1" w:rsidRPr="00DB06FE" w:rsidRDefault="007622A1" w:rsidP="007622A1">
      <w:pPr>
        <w:spacing w:after="0" w:line="240" w:lineRule="auto"/>
        <w:ind w:left="709" w:right="709"/>
        <w:jc w:val="both"/>
        <w:rPr>
          <w:rFonts w:ascii="Verdana" w:eastAsia="Calibri" w:hAnsi="Verdana" w:cs="Arial"/>
          <w:sz w:val="20"/>
          <w:szCs w:val="20"/>
          <w:lang w:val="es-ES" w:eastAsia="es-ES"/>
        </w:rPr>
      </w:pPr>
    </w:p>
    <w:p w:rsidR="007622A1" w:rsidRPr="00DB06FE" w:rsidRDefault="007622A1" w:rsidP="007622A1">
      <w:pPr>
        <w:spacing w:after="0" w:line="240" w:lineRule="auto"/>
        <w:ind w:left="709" w:right="709"/>
        <w:jc w:val="both"/>
        <w:rPr>
          <w:rFonts w:ascii="Verdana" w:eastAsia="Calibri" w:hAnsi="Verdana" w:cs="Arial"/>
          <w:lang w:val="es-ES_tradnl" w:eastAsia="es-ES_tradnl"/>
        </w:rPr>
      </w:pPr>
    </w:p>
    <w:p w:rsidR="007622A1" w:rsidRPr="00DB06FE" w:rsidRDefault="007622A1" w:rsidP="007622A1">
      <w:pPr>
        <w:spacing w:after="120" w:line="276" w:lineRule="auto"/>
        <w:jc w:val="both"/>
        <w:rPr>
          <w:rFonts w:ascii="Verdana" w:eastAsia="Calibri" w:hAnsi="Verdana" w:cs="Arial"/>
          <w:lang w:val="es-ES" w:eastAsia="es-ES"/>
        </w:rPr>
      </w:pPr>
      <w:r w:rsidRPr="00DB06FE">
        <w:rPr>
          <w:rFonts w:ascii="Verdana" w:eastAsia="Calibri" w:hAnsi="Verdana" w:cs="Arial"/>
          <w:lang w:val="es-ES_tradnl" w:eastAsia="es-ES_tradnl"/>
        </w:rPr>
        <w:tab/>
      </w:r>
      <w:r w:rsidRPr="00DB06FE">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B06FE">
        <w:rPr>
          <w:rFonts w:ascii="Verdana" w:eastAsia="Calibri" w:hAnsi="Verdana" w:cs="Arial"/>
          <w:lang w:val="es-ES" w:eastAsia="es-ES"/>
        </w:rPr>
        <w:tab/>
      </w:r>
    </w:p>
    <w:p w:rsidR="007622A1" w:rsidRPr="00DB06FE" w:rsidRDefault="007622A1" w:rsidP="007622A1">
      <w:pPr>
        <w:spacing w:after="0" w:line="276" w:lineRule="auto"/>
        <w:ind w:firstLine="708"/>
        <w:jc w:val="both"/>
        <w:rPr>
          <w:rFonts w:ascii="Verdana" w:eastAsia="Calibri" w:hAnsi="Verdana" w:cs="Arial"/>
          <w:lang w:val="es-ES" w:eastAsia="es-ES"/>
        </w:rPr>
      </w:pPr>
      <w:r w:rsidRPr="00DB06FE">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rsidR="007622A1" w:rsidRPr="00DB06FE" w:rsidRDefault="007622A1" w:rsidP="007622A1">
      <w:pPr>
        <w:spacing w:after="0" w:line="276" w:lineRule="auto"/>
        <w:ind w:firstLine="708"/>
        <w:jc w:val="both"/>
        <w:rPr>
          <w:rFonts w:ascii="Verdana" w:eastAsia="Calibri" w:hAnsi="Verdana" w:cs="Arial"/>
          <w:lang w:val="es-ES" w:eastAsia="es-ES"/>
        </w:rPr>
      </w:pPr>
    </w:p>
    <w:p w:rsidR="007622A1" w:rsidRPr="00DB06FE" w:rsidRDefault="007622A1" w:rsidP="007622A1">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DB06FE">
        <w:rPr>
          <w:rFonts w:ascii="Verdana" w:eastAsia="Century Gothic" w:hAnsi="Verdana" w:cs="Century Gothic"/>
          <w:b/>
          <w:bCs/>
        </w:rPr>
        <w:t>Problema planteado:</w:t>
      </w:r>
    </w:p>
    <w:p w:rsidR="007622A1" w:rsidRPr="00DB06FE" w:rsidRDefault="007622A1" w:rsidP="007622A1">
      <w:pPr>
        <w:spacing w:after="120" w:line="276" w:lineRule="auto"/>
        <w:jc w:val="both"/>
        <w:rPr>
          <w:rFonts w:ascii="Verdana" w:eastAsia="Century Gothic" w:hAnsi="Verdana" w:cs="Century Gothic"/>
        </w:rPr>
      </w:pPr>
    </w:p>
    <w:p w:rsidR="007622A1" w:rsidRPr="00DB06FE" w:rsidRDefault="007622A1" w:rsidP="007622A1">
      <w:pPr>
        <w:spacing w:after="120" w:line="276" w:lineRule="auto"/>
        <w:jc w:val="both"/>
        <w:rPr>
          <w:rFonts w:ascii="Verdana" w:hAnsi="Verdana" w:cs="Arial"/>
          <w:bCs/>
          <w:lang w:val="es-ES_tradnl"/>
        </w:rPr>
      </w:pPr>
      <w:r w:rsidRPr="00DB06FE">
        <w:rPr>
          <w:rFonts w:ascii="Verdana" w:eastAsia="Century Gothic" w:hAnsi="Verdana" w:cs="Century Gothic"/>
        </w:rPr>
        <w:t xml:space="preserve">De acuerdo con el contenido de su solicitud, esta Agencia resolverá el siguiente problema jurídico: ¿Es admisible que una Entidad regulada por el </w:t>
      </w:r>
      <w:r w:rsidRPr="00DB06FE">
        <w:rPr>
          <w:rFonts w:ascii="Verdana" w:hAnsi="Verdana" w:cs="Arial"/>
          <w:lang w:val="es-ES"/>
        </w:rPr>
        <w:t>Estatuto General de Contratación de la Administración Pública</w:t>
      </w:r>
      <w:r w:rsidRPr="00DB06FE">
        <w:rPr>
          <w:rFonts w:ascii="Verdana" w:eastAsia="Century Gothic" w:hAnsi="Verdana" w:cs="Century Gothic"/>
          <w:lang w:val="es-ES"/>
        </w:rPr>
        <w:t xml:space="preserve">, </w:t>
      </w:r>
      <w:r w:rsidRPr="00DB06FE">
        <w:rPr>
          <w:rFonts w:ascii="Verdana" w:eastAsia="Century Gothic" w:hAnsi="Verdana" w:cs="Century Gothic"/>
        </w:rPr>
        <w:t xml:space="preserve">estructure en la forma de pago de un contrato, que se realizará a través de precios unitarios, según demanda de obras, bienes o servicios  </w:t>
      </w:r>
      <w:r w:rsidRPr="00DB06FE">
        <w:rPr>
          <w:rFonts w:ascii="Verdana" w:hAnsi="Verdana" w:cs="Arial"/>
          <w:bCs/>
          <w:lang w:val="es-ES_tradnl"/>
        </w:rPr>
        <w:t>requeridos por la entidad contratante durante el plazo de ejecución del mismo, sin exceder el presupuesto oficial?</w:t>
      </w:r>
    </w:p>
    <w:p w:rsidR="007622A1" w:rsidRPr="00DB06FE" w:rsidRDefault="007622A1" w:rsidP="007622A1">
      <w:pPr>
        <w:spacing w:after="120" w:line="276" w:lineRule="auto"/>
        <w:jc w:val="both"/>
        <w:rPr>
          <w:rFonts w:ascii="Verdana" w:eastAsia="Century Gothic" w:hAnsi="Verdana" w:cs="Century Gothic"/>
        </w:rPr>
      </w:pPr>
    </w:p>
    <w:p w:rsidR="007622A1" w:rsidRPr="00DB06FE" w:rsidRDefault="007622A1" w:rsidP="007622A1">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B06FE">
        <w:rPr>
          <w:rFonts w:ascii="Verdana" w:eastAsia="Century Gothic" w:hAnsi="Verdana" w:cs="Century Gothic"/>
          <w:b/>
          <w:bCs/>
        </w:rPr>
        <w:t>Respuesta:</w:t>
      </w:r>
    </w:p>
    <w:p w:rsidR="007622A1" w:rsidRPr="00DB06FE" w:rsidRDefault="007622A1" w:rsidP="007622A1">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rsidR="007622A1" w:rsidRPr="00DB06FE" w:rsidRDefault="007622A1" w:rsidP="007622A1">
      <w:pPr>
        <w:spacing w:after="0" w:line="276" w:lineRule="auto"/>
        <w:jc w:val="both"/>
        <w:rPr>
          <w:rFonts w:ascii="Verdana" w:hAnsi="Verdana" w:cs="Arial"/>
          <w:bCs/>
          <w:lang w:val="es-ES_tradnl"/>
        </w:rPr>
      </w:pPr>
      <w:r w:rsidRPr="00DB06FE">
        <w:rPr>
          <w:rFonts w:ascii="Verdana" w:hAnsi="Verdana" w:cs="Arial"/>
          <w:bCs/>
          <w:lang w:val="es-ES_tradnl"/>
        </w:rPr>
        <w:t xml:space="preserve">La estructuración del precio del contrato y la forma de pago a precios unitarios, según la demanda de obras, bienes o servicios requeridos por la entidad contratante durante el plazo del contrato, sin exceder el presupuesto oficial, es una modalidad de pacto </w:t>
      </w:r>
      <w:r w:rsidRPr="00DB06FE">
        <w:rPr>
          <w:rFonts w:ascii="Verdana" w:hAnsi="Verdana" w:cs="Arial"/>
          <w:bCs/>
          <w:lang w:val="es-ES_tradnl"/>
        </w:rPr>
        <w:lastRenderedPageBreak/>
        <w:t xml:space="preserve">contractual admisible en el contrato estatal que puede utilizarse por las entidades públicas. En efecto, puede resultar procedente si en la etapa de planeación del contrato, producto de los estudios previos y el análisis del sector y de los oferentes, se observa que la misma resulta adecuada para satisfacer de mejor manera la necesidad que se pretende satisfacer con el proceso de contratación y puede generar algún beneficio, como por ejemplo, la posibilidad de contar con precios fijos de las obras, bienes o servicios que se adquirirán durante el plazo de ejecución, controlando el gasto con el propósito de evitar el exceso en el presupuesto oficial. En todo caso, la decisión de acudir a este tipo de cláusulas, usualmente incorporadas en la “forma de pago” o en el “valor del contrato”, es de la autonomía de las entidades públicas rectoras de sus procesos de contratación porque no están prohibidas o restringidas en la contratación estatal, y podrá adoptarse previa justificación en los estudios previos que soportan el objeto y las condiciones de ejecución del contrato.     </w:t>
      </w:r>
    </w:p>
    <w:p w:rsidR="007622A1" w:rsidRPr="00DB06FE" w:rsidRDefault="007622A1" w:rsidP="007622A1">
      <w:pPr>
        <w:spacing w:before="120" w:after="120" w:line="276" w:lineRule="auto"/>
        <w:jc w:val="both"/>
        <w:rPr>
          <w:rFonts w:ascii="Verdana" w:eastAsia="Arial" w:hAnsi="Verdana" w:cs="Arial"/>
          <w:lang w:val="es-ES_tradnl"/>
        </w:rPr>
      </w:pPr>
    </w:p>
    <w:p w:rsidR="007622A1" w:rsidRPr="00DB06FE" w:rsidRDefault="007622A1" w:rsidP="007622A1">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B06FE">
        <w:rPr>
          <w:rFonts w:ascii="Verdana" w:eastAsia="Century Gothic" w:hAnsi="Verdana" w:cs="Century Gothic"/>
          <w:b/>
          <w:bCs/>
        </w:rPr>
        <w:t>Razones de la respuesta:</w:t>
      </w:r>
    </w:p>
    <w:p w:rsidR="007622A1" w:rsidRPr="00DB06FE" w:rsidRDefault="007622A1" w:rsidP="007622A1">
      <w:pPr>
        <w:spacing w:after="0" w:line="276" w:lineRule="auto"/>
        <w:jc w:val="both"/>
        <w:rPr>
          <w:rFonts w:ascii="Verdana" w:eastAsia="Calibri" w:hAnsi="Verdana" w:cs="Arial"/>
          <w:color w:val="7030A0"/>
          <w:lang w:val="es-ES"/>
        </w:rPr>
      </w:pPr>
    </w:p>
    <w:p w:rsidR="007622A1" w:rsidRPr="00DB06FE" w:rsidRDefault="007622A1" w:rsidP="007622A1">
      <w:pPr>
        <w:spacing w:after="0" w:line="276" w:lineRule="auto"/>
        <w:jc w:val="both"/>
        <w:rPr>
          <w:rFonts w:ascii="Verdana" w:eastAsia="Calibri" w:hAnsi="Verdana" w:cs="Arial"/>
          <w:lang w:val="es-ES"/>
        </w:rPr>
      </w:pPr>
      <w:r w:rsidRPr="00DB06FE">
        <w:rPr>
          <w:rFonts w:ascii="Verdana" w:eastAsia="Calibri" w:hAnsi="Verdana" w:cs="Arial"/>
          <w:lang w:val="es-ES"/>
        </w:rPr>
        <w:t xml:space="preserve">Lo anterior se sustenta en las siguientes consideraciones: </w:t>
      </w:r>
    </w:p>
    <w:p w:rsidR="007622A1" w:rsidRDefault="007622A1" w:rsidP="007622A1">
      <w:pPr>
        <w:spacing w:after="0" w:line="276" w:lineRule="auto"/>
        <w:jc w:val="both"/>
        <w:rPr>
          <w:rFonts w:ascii="Verdana" w:hAnsi="Verdana" w:cs="Arial"/>
          <w:lang w:val="es-ES" w:eastAsia="es-CO"/>
        </w:rPr>
      </w:pPr>
    </w:p>
    <w:p w:rsidR="007622A1" w:rsidRPr="00452069" w:rsidRDefault="007622A1" w:rsidP="007622A1">
      <w:pPr>
        <w:pStyle w:val="Prrafodelista"/>
        <w:numPr>
          <w:ilvl w:val="0"/>
          <w:numId w:val="6"/>
        </w:numPr>
        <w:spacing w:after="0" w:line="276" w:lineRule="auto"/>
        <w:ind w:left="284"/>
        <w:jc w:val="both"/>
        <w:rPr>
          <w:rFonts w:ascii="Verdana" w:eastAsia="Calibri" w:hAnsi="Verdana" w:cs="Arial"/>
          <w:lang w:val="es-MX"/>
        </w:rPr>
      </w:pPr>
      <w:r w:rsidRPr="00452069">
        <w:rPr>
          <w:rFonts w:ascii="Verdana" w:eastAsia="Calibri" w:hAnsi="Verdana" w:cs="Arial"/>
          <w:lang w:val="es-MX"/>
        </w:rPr>
        <w:t>El precio es el “valor pecuniario en que se estima algo”</w:t>
      </w:r>
      <w:r w:rsidRPr="00DB06FE">
        <w:rPr>
          <w:rStyle w:val="Refdenotaalpie"/>
          <w:rFonts w:ascii="Verdana" w:eastAsia="Calibri" w:hAnsi="Verdana" w:cs="Arial"/>
          <w:lang w:val="es-MX"/>
        </w:rPr>
        <w:footnoteReference w:id="1"/>
      </w:r>
      <w:r w:rsidRPr="00452069">
        <w:rPr>
          <w:rFonts w:ascii="Verdana" w:eastAsia="Calibri" w:hAnsi="Verdana" w:cs="Arial"/>
          <w:lang w:val="es-MX"/>
        </w:rPr>
        <w:t>. En nuestro ordenamiento jurídico, tenemos una definición de precio en el Código Civil y en el Código de Comercio. Ambas codificaciones, al regular el contrato de compraventa, definen el precio como el dinero que el comprador entrega a cambio de la cosa vendida:</w:t>
      </w:r>
    </w:p>
    <w:p w:rsidR="007622A1" w:rsidRPr="00DB06FE" w:rsidRDefault="007622A1" w:rsidP="007622A1">
      <w:pPr>
        <w:spacing w:after="0"/>
        <w:jc w:val="both"/>
        <w:rPr>
          <w:rFonts w:ascii="Verdana" w:eastAsia="Calibri" w:hAnsi="Verdana" w:cs="Arial"/>
          <w:lang w:val="es-MX"/>
        </w:rPr>
      </w:pPr>
      <w:r w:rsidRPr="00DB06FE">
        <w:rPr>
          <w:rFonts w:ascii="Verdana" w:eastAsia="Calibri" w:hAnsi="Verdana" w:cs="Arial"/>
          <w:lang w:val="es-MX"/>
        </w:rPr>
        <w:t xml:space="preserve"> </w:t>
      </w:r>
    </w:p>
    <w:p w:rsidR="007622A1" w:rsidRPr="00DB06FE" w:rsidRDefault="007622A1" w:rsidP="007622A1">
      <w:pPr>
        <w:spacing w:after="120" w:line="240" w:lineRule="auto"/>
        <w:ind w:left="709" w:right="709"/>
        <w:jc w:val="both"/>
        <w:rPr>
          <w:rFonts w:ascii="Verdana" w:eastAsia="Calibri" w:hAnsi="Verdana" w:cs="Arial"/>
          <w:sz w:val="21"/>
          <w:szCs w:val="21"/>
          <w:lang w:val="es-MX"/>
        </w:rPr>
      </w:pPr>
      <w:r w:rsidRPr="00DB06FE">
        <w:rPr>
          <w:rFonts w:ascii="Verdana" w:eastAsia="Calibri" w:hAnsi="Verdana" w:cs="Arial"/>
          <w:sz w:val="21"/>
          <w:szCs w:val="21"/>
          <w:lang w:val="es-MX"/>
        </w:rPr>
        <w:t>“[Artículo 1849 del Código Civil]: La compraventa es un contrato en que una de las partes se obliga a dar una cosa y la otra a pagarla en dinero. Aquella se dice vender y esta comprar. El dinero que el comprador da por la cosa vendida se llama precio.</w:t>
      </w:r>
    </w:p>
    <w:p w:rsidR="007622A1" w:rsidRPr="00DB06FE" w:rsidRDefault="007622A1" w:rsidP="007622A1">
      <w:pPr>
        <w:spacing w:after="0" w:line="240" w:lineRule="auto"/>
        <w:ind w:left="709" w:right="709"/>
        <w:jc w:val="both"/>
        <w:rPr>
          <w:rFonts w:ascii="Verdana" w:eastAsia="Calibri" w:hAnsi="Verdana" w:cs="Arial"/>
          <w:sz w:val="21"/>
          <w:szCs w:val="21"/>
          <w:lang w:val="es-MX"/>
        </w:rPr>
      </w:pPr>
      <w:r w:rsidRPr="00DB06FE">
        <w:rPr>
          <w:rFonts w:ascii="Verdana" w:eastAsia="Calibri" w:hAnsi="Verdana" w:cs="Arial"/>
          <w:sz w:val="21"/>
          <w:szCs w:val="21"/>
          <w:lang w:val="es-MX"/>
        </w:rPr>
        <w:t>[Artículo 905 del Código de Comercio]: La compraventa es un contrato en que una de las partes se obliga a trasmitir la propiedad de una cosa y la otra a pagarla en dinero. El dinero que el comprador da por la cosa vendida se llama precio”.</w:t>
      </w:r>
    </w:p>
    <w:p w:rsidR="007622A1" w:rsidRDefault="007622A1" w:rsidP="007622A1">
      <w:pPr>
        <w:spacing w:after="120" w:line="276" w:lineRule="auto"/>
        <w:jc w:val="both"/>
        <w:rPr>
          <w:rFonts w:ascii="Verdana" w:hAnsi="Verdana" w:cs="Arial"/>
          <w:bCs/>
          <w:lang w:val="es-ES_tradnl"/>
        </w:rPr>
      </w:pPr>
      <w:bookmarkStart w:id="0" w:name="_Hlk131175734"/>
    </w:p>
    <w:p w:rsidR="007622A1" w:rsidRPr="00452069" w:rsidRDefault="007622A1" w:rsidP="007622A1">
      <w:pPr>
        <w:pStyle w:val="Prrafodelista"/>
        <w:numPr>
          <w:ilvl w:val="0"/>
          <w:numId w:val="6"/>
        </w:numPr>
        <w:spacing w:after="120" w:line="276" w:lineRule="auto"/>
        <w:ind w:left="284"/>
        <w:jc w:val="both"/>
        <w:rPr>
          <w:rFonts w:ascii="Verdana" w:hAnsi="Verdana" w:cs="Arial"/>
          <w:bCs/>
          <w:lang w:val="es-ES"/>
        </w:rPr>
      </w:pPr>
      <w:r w:rsidRPr="00452069">
        <w:rPr>
          <w:rFonts w:ascii="Verdana" w:hAnsi="Verdana" w:cs="Arial"/>
          <w:bCs/>
          <w:lang w:val="es-ES_tradnl"/>
        </w:rPr>
        <w:t xml:space="preserve">Como es sabido, uno de los elementos de los contratos estatales es el precio, que por lo general se identifica con el valor del contrato. Aunque no todo contrato lo </w:t>
      </w:r>
      <w:r w:rsidRPr="00452069">
        <w:rPr>
          <w:rFonts w:ascii="Verdana" w:hAnsi="Verdana" w:cs="Arial"/>
          <w:bCs/>
          <w:lang w:val="es-ES_tradnl"/>
        </w:rPr>
        <w:lastRenderedPageBreak/>
        <w:t>incluye –pues también existen negocios gratuitos– lo usual es que los contratos estatales se configuren como onerosos y, la mayoría de las veces, como conmutativos, cuando hay un acuerdo entre el objeto y la contraprestación pactado por escrito entre la entidad estatal y el contratista</w:t>
      </w:r>
      <w:r w:rsidRPr="00DB06FE">
        <w:rPr>
          <w:rStyle w:val="Refdenotaalpie"/>
          <w:rFonts w:ascii="Verdana" w:hAnsi="Verdana" w:cs="Arial"/>
          <w:bCs/>
          <w:lang w:val="es-ES_tradnl"/>
        </w:rPr>
        <w:footnoteReference w:id="2"/>
      </w:r>
      <w:r w:rsidRPr="00452069">
        <w:rPr>
          <w:rFonts w:ascii="Verdana" w:hAnsi="Verdana" w:cs="Arial"/>
          <w:bCs/>
          <w:lang w:val="es-ES_tradnl"/>
        </w:rPr>
        <w:t>. El precio es un importante elemento para el contratista, porque equivale a la remuneración que la entidad contratante le pagará como retribución por la ejecución de las obligaciones de dar, hacer o no hacer previstas a su cargo en el contrato. El precio, entonces, es el valor que se da por el objeto, generalmente en dinero, que debe ser determinado o determinable</w:t>
      </w:r>
      <w:r w:rsidRPr="00DB06FE">
        <w:rPr>
          <w:rStyle w:val="Refdenotaalpie"/>
          <w:rFonts w:ascii="Verdana" w:hAnsi="Verdana" w:cs="Arial"/>
          <w:bCs/>
          <w:lang w:val="es-ES_tradnl"/>
        </w:rPr>
        <w:footnoteReference w:id="3"/>
      </w:r>
      <w:r w:rsidRPr="00452069">
        <w:rPr>
          <w:rFonts w:ascii="Verdana" w:hAnsi="Verdana" w:cs="Arial"/>
          <w:bCs/>
          <w:lang w:val="es-ES_tradnl"/>
        </w:rPr>
        <w:t>, en los términos de los artículos 1864 y 1865 del Código Civil y, de manera general está compuesto por dos elementos esenciales: los costos y la utilidad, cuya estructuración interna depende de las condiciones técnicas, financieras, regulatorias, etc. de cada contrato</w:t>
      </w:r>
      <w:r w:rsidRPr="00DB06FE">
        <w:rPr>
          <w:rStyle w:val="Refdenotaalpie"/>
          <w:rFonts w:ascii="Verdana" w:hAnsi="Verdana" w:cs="Arial"/>
          <w:bCs/>
          <w:lang w:val="es-ES_tradnl"/>
        </w:rPr>
        <w:footnoteReference w:id="4"/>
      </w:r>
      <w:r w:rsidRPr="00452069">
        <w:rPr>
          <w:rFonts w:ascii="Verdana" w:hAnsi="Verdana" w:cs="Arial"/>
          <w:bCs/>
          <w:lang w:val="es-ES_tradnl"/>
        </w:rPr>
        <w:t>.</w:t>
      </w:r>
    </w:p>
    <w:p w:rsidR="007622A1" w:rsidRPr="00452069" w:rsidRDefault="007622A1" w:rsidP="007622A1">
      <w:pPr>
        <w:pStyle w:val="Prrafodelista"/>
        <w:spacing w:after="120" w:line="276" w:lineRule="auto"/>
        <w:ind w:left="284"/>
        <w:jc w:val="both"/>
        <w:rPr>
          <w:rFonts w:ascii="Verdana" w:hAnsi="Verdana" w:cs="Arial"/>
          <w:bCs/>
          <w:lang w:val="es-ES"/>
        </w:rPr>
      </w:pPr>
    </w:p>
    <w:p w:rsidR="007622A1" w:rsidRDefault="007622A1" w:rsidP="007622A1">
      <w:pPr>
        <w:pStyle w:val="Prrafodelista"/>
        <w:numPr>
          <w:ilvl w:val="0"/>
          <w:numId w:val="6"/>
        </w:numPr>
        <w:spacing w:before="120" w:after="120" w:line="276" w:lineRule="auto"/>
        <w:ind w:left="284"/>
        <w:jc w:val="both"/>
        <w:rPr>
          <w:rFonts w:ascii="Verdana" w:hAnsi="Verdana" w:cs="Arial"/>
        </w:rPr>
      </w:pPr>
      <w:bookmarkStart w:id="1" w:name="_Hlk131175799"/>
      <w:bookmarkEnd w:id="0"/>
      <w:r w:rsidRPr="00452069">
        <w:rPr>
          <w:rFonts w:ascii="Verdana" w:hAnsi="Verdana" w:cs="Arial"/>
          <w:lang w:val="es-ES"/>
        </w:rPr>
        <w:t>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DB06FE">
        <w:rPr>
          <w:rStyle w:val="Refdenotaalpie"/>
          <w:rFonts w:ascii="Verdana" w:hAnsi="Verdana" w:cs="Arial"/>
          <w:lang w:val="es-ES"/>
        </w:rPr>
        <w:footnoteReference w:id="5"/>
      </w:r>
      <w:r w:rsidRPr="00452069">
        <w:rPr>
          <w:rFonts w:ascii="Verdana" w:hAnsi="Verdana" w:cs="Arial"/>
          <w:lang w:val="es-ES"/>
        </w:rPr>
        <w:t xml:space="preserve">. No hay, pues, </w:t>
      </w:r>
      <w:r w:rsidRPr="00452069">
        <w:rPr>
          <w:rFonts w:ascii="Verdana" w:hAnsi="Verdana" w:cs="Arial"/>
          <w:lang w:val="es-ES"/>
        </w:rPr>
        <w:lastRenderedPageBreak/>
        <w:t xml:space="preserve">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452069">
        <w:rPr>
          <w:rFonts w:ascii="Verdana" w:hAnsi="Verdana" w:cs="Arial"/>
          <w:lang w:val="es-ES"/>
        </w:rPr>
        <w:t>ii</w:t>
      </w:r>
      <w:proofErr w:type="spellEnd"/>
      <w:r w:rsidRPr="00452069">
        <w:rPr>
          <w:rFonts w:ascii="Verdana" w:hAnsi="Verdana" w:cs="Arial"/>
          <w:lang w:val="es-ES"/>
        </w:rPr>
        <w:t xml:space="preserve">) el precio global –que equivale al monto total, sin discriminar unidades–, y </w:t>
      </w:r>
      <w:proofErr w:type="spellStart"/>
      <w:r w:rsidRPr="00452069">
        <w:rPr>
          <w:rFonts w:ascii="Verdana" w:hAnsi="Verdana" w:cs="Arial"/>
          <w:lang w:val="es-ES"/>
        </w:rPr>
        <w:t>iii</w:t>
      </w:r>
      <w:proofErr w:type="spellEnd"/>
      <w:r w:rsidRPr="00452069">
        <w:rPr>
          <w:rFonts w:ascii="Verdana" w:hAnsi="Verdana" w:cs="Arial"/>
          <w:lang w:val="es-ES"/>
        </w:rPr>
        <w:t>) la administración delegada de recursos –en la que se distinguen los costos de inversión de los honorarios del administrador–.</w:t>
      </w:r>
      <w:bookmarkEnd w:id="1"/>
    </w:p>
    <w:p w:rsidR="007622A1" w:rsidRDefault="007622A1" w:rsidP="007622A1">
      <w:pPr>
        <w:pStyle w:val="Prrafodelista"/>
        <w:spacing w:before="120" w:after="120" w:line="276" w:lineRule="auto"/>
        <w:ind w:left="284"/>
        <w:jc w:val="both"/>
        <w:rPr>
          <w:rFonts w:ascii="Verdana" w:hAnsi="Verdana" w:cs="Arial"/>
        </w:rPr>
      </w:pPr>
    </w:p>
    <w:p w:rsidR="007622A1" w:rsidRPr="00452069" w:rsidRDefault="007622A1" w:rsidP="007622A1">
      <w:pPr>
        <w:pStyle w:val="Prrafodelista"/>
        <w:numPr>
          <w:ilvl w:val="0"/>
          <w:numId w:val="6"/>
        </w:numPr>
        <w:spacing w:before="120" w:after="120" w:line="276" w:lineRule="auto"/>
        <w:ind w:left="284"/>
        <w:jc w:val="both"/>
        <w:rPr>
          <w:rFonts w:ascii="Verdana" w:hAnsi="Verdana" w:cs="Arial"/>
          <w:lang w:val="es-ES"/>
        </w:rPr>
      </w:pPr>
      <w:r w:rsidRPr="00452069">
        <w:rPr>
          <w:rFonts w:ascii="Verdana" w:hAnsi="Verdana" w:cs="Arial"/>
          <w:bCs/>
          <w:lang w:val="es-ES_tradnl"/>
        </w:rPr>
        <w:t xml:space="preserve">Pues bien, en algunos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452069">
        <w:rPr>
          <w:rFonts w:ascii="Verdana" w:hAnsi="Verdana" w:cs="Arial"/>
          <w:bCs/>
          <w:i/>
          <w:iCs/>
          <w:lang w:val="es-ES_tradnl"/>
        </w:rPr>
        <w:t>ítems</w:t>
      </w:r>
      <w:r w:rsidRPr="00452069">
        <w:rPr>
          <w:rFonts w:ascii="Verdana" w:hAnsi="Verdana" w:cs="Arial"/>
          <w:bCs/>
          <w:lang w:val="es-ES_tradnl"/>
        </w:rPr>
        <w:t xml:space="preserve"> según su unidad de medida y cantidades, los costos indirectos se suelen abreviar en las variables que integran el acrónimo AIU –Administración, Imprevistos y Utilidad–, que se calcula como un porcentaje aplicado a los costos directos. </w:t>
      </w:r>
      <w:r w:rsidRPr="00452069">
        <w:rPr>
          <w:rFonts w:ascii="Verdana" w:hAnsi="Verdana" w:cs="Arial"/>
          <w:lang w:val="es-ES_tradnl"/>
        </w:rPr>
        <w:t xml:space="preserve">De acuerdo con la Sección Tercera del Consejo de Estado, el AIU, concepto de común utilización en los contratos de tracto sucesivo –entre ellos, los contratos de obra– </w:t>
      </w:r>
      <w:r w:rsidRPr="00452069">
        <w:rPr>
          <w:rFonts w:ascii="Verdana" w:hAnsi="Verdana" w:cs="Arial"/>
          <w:lang w:val="es-ES_tradnl"/>
        </w:rPr>
        <w:lastRenderedPageBreak/>
        <w:t xml:space="preserve">no cuenta con una definición normativa, pero hay elementos que permiten precisar su alcance, así: </w:t>
      </w:r>
    </w:p>
    <w:p w:rsidR="007622A1" w:rsidRPr="00DB06FE" w:rsidRDefault="007622A1" w:rsidP="007622A1">
      <w:pPr>
        <w:spacing w:after="0" w:line="276" w:lineRule="auto"/>
        <w:ind w:left="709"/>
        <w:jc w:val="both"/>
        <w:rPr>
          <w:rFonts w:ascii="Verdana" w:hAnsi="Verdana" w:cs="Arial"/>
          <w:lang w:val="es-ES_tradnl"/>
        </w:rPr>
      </w:pPr>
    </w:p>
    <w:p w:rsidR="007622A1" w:rsidRPr="00DB06FE" w:rsidRDefault="007622A1" w:rsidP="007622A1">
      <w:pPr>
        <w:spacing w:after="120" w:line="240" w:lineRule="auto"/>
        <w:ind w:left="709" w:right="709"/>
        <w:jc w:val="both"/>
        <w:rPr>
          <w:rFonts w:ascii="Verdana" w:hAnsi="Verdana" w:cs="Arial"/>
          <w:sz w:val="21"/>
          <w:szCs w:val="21"/>
          <w:lang w:val="es-ES_tradnl"/>
        </w:rPr>
      </w:pPr>
      <w:r w:rsidRPr="00DB06FE">
        <w:rPr>
          <w:rFonts w:ascii="Verdana" w:hAnsi="Verdana" w:cs="Arial"/>
          <w:sz w:val="21"/>
          <w:szCs w:val="21"/>
          <w:lang w:val="es-ES_tradnl"/>
        </w:rPr>
        <w:t xml:space="preserve">“[…] el AIU propuesto para el contrato, corresponde a: </w:t>
      </w:r>
    </w:p>
    <w:p w:rsidR="007622A1" w:rsidRPr="00DB06FE" w:rsidRDefault="007622A1" w:rsidP="007622A1">
      <w:pPr>
        <w:spacing w:after="120" w:line="240" w:lineRule="auto"/>
        <w:ind w:left="709" w:right="709"/>
        <w:jc w:val="both"/>
        <w:rPr>
          <w:rFonts w:ascii="Verdana" w:hAnsi="Verdana" w:cs="Arial"/>
          <w:sz w:val="21"/>
          <w:szCs w:val="21"/>
          <w:lang w:val="es-ES_tradnl"/>
        </w:rPr>
      </w:pPr>
      <w:r w:rsidRPr="00DB06FE">
        <w:rPr>
          <w:rFonts w:ascii="Verdana" w:hAnsi="Verdana" w:cs="Arial"/>
          <w:sz w:val="21"/>
          <w:szCs w:val="21"/>
          <w:lang w:val="es-ES_tradnl"/>
        </w:rPr>
        <w:t xml:space="preserve">i) los costos de administración o costos indirectos para la operación del contrato, tales como los gastos de disponibilidad de la organización del contratista, esto es: A; </w:t>
      </w:r>
    </w:p>
    <w:p w:rsidR="007622A1" w:rsidRPr="00DB06FE" w:rsidRDefault="007622A1" w:rsidP="007622A1">
      <w:pPr>
        <w:spacing w:after="120" w:line="240" w:lineRule="auto"/>
        <w:ind w:left="709" w:right="709"/>
        <w:jc w:val="both"/>
        <w:rPr>
          <w:rFonts w:ascii="Verdana" w:hAnsi="Verdana" w:cs="Arial"/>
          <w:sz w:val="21"/>
          <w:szCs w:val="21"/>
          <w:lang w:val="es-ES"/>
        </w:rPr>
      </w:pPr>
      <w:proofErr w:type="spellStart"/>
      <w:r w:rsidRPr="00DB06FE">
        <w:rPr>
          <w:rFonts w:ascii="Verdana" w:hAnsi="Verdana" w:cs="Arial"/>
          <w:sz w:val="21"/>
          <w:szCs w:val="21"/>
          <w:lang w:val="es-ES"/>
        </w:rPr>
        <w:t>ii</w:t>
      </w:r>
      <w:proofErr w:type="spellEnd"/>
      <w:r w:rsidRPr="00DB06FE">
        <w:rPr>
          <w:rFonts w:ascii="Verdana" w:hAnsi="Verdana" w:cs="Arial"/>
          <w:sz w:val="21"/>
          <w:szCs w:val="21"/>
          <w:lang w:val="es-ES"/>
        </w:rPr>
        <w:t xml:space="preserve">) los imprevistos, que es el porcentaje destinado a cubrir los gastos con los que no se contaba y que se presenten durante la ejecución del contrato, esto es, el </w:t>
      </w:r>
      <w:proofErr w:type="spellStart"/>
      <w:r w:rsidRPr="00DB06FE">
        <w:rPr>
          <w:rFonts w:ascii="Verdana" w:hAnsi="Verdana" w:cs="Arial"/>
          <w:sz w:val="21"/>
          <w:szCs w:val="21"/>
          <w:lang w:val="es-ES"/>
        </w:rPr>
        <w:t>álea</w:t>
      </w:r>
      <w:proofErr w:type="spellEnd"/>
      <w:r w:rsidRPr="00DB06FE">
        <w:rPr>
          <w:rFonts w:ascii="Verdana" w:hAnsi="Verdana" w:cs="Arial"/>
          <w:sz w:val="21"/>
          <w:szCs w:val="21"/>
          <w:lang w:val="es-ES"/>
        </w:rPr>
        <w:t xml:space="preserve"> normal del contrato: I; </w:t>
      </w:r>
    </w:p>
    <w:p w:rsidR="007622A1" w:rsidRPr="00DB06FE" w:rsidRDefault="007622A1" w:rsidP="007622A1">
      <w:pPr>
        <w:spacing w:after="120" w:line="240" w:lineRule="auto"/>
        <w:ind w:left="709" w:right="709"/>
        <w:jc w:val="both"/>
        <w:rPr>
          <w:rFonts w:ascii="Verdana" w:hAnsi="Verdana" w:cs="Arial"/>
          <w:sz w:val="21"/>
          <w:szCs w:val="21"/>
          <w:lang w:val="es-ES"/>
        </w:rPr>
      </w:pPr>
      <w:proofErr w:type="spellStart"/>
      <w:r w:rsidRPr="00DB06FE">
        <w:rPr>
          <w:rFonts w:ascii="Verdana" w:hAnsi="Verdana" w:cs="Arial"/>
          <w:sz w:val="21"/>
          <w:szCs w:val="21"/>
          <w:lang w:val="es-ES"/>
        </w:rPr>
        <w:t>iii</w:t>
      </w:r>
      <w:proofErr w:type="spellEnd"/>
      <w:r w:rsidRPr="00DB06FE">
        <w:rPr>
          <w:rFonts w:ascii="Verdana" w:hAnsi="Verdana" w:cs="Arial"/>
          <w:sz w:val="21"/>
          <w:szCs w:val="21"/>
          <w:lang w:val="es-ES"/>
        </w:rPr>
        <w:t xml:space="preserve">) la utilidad o el beneficio económico que pretende percibir el contratista por la ejecución del contrato, esto es: U. </w:t>
      </w:r>
    </w:p>
    <w:p w:rsidR="007622A1" w:rsidRPr="00DB06FE" w:rsidRDefault="007622A1" w:rsidP="007622A1">
      <w:pPr>
        <w:spacing w:after="0" w:line="240" w:lineRule="auto"/>
        <w:ind w:left="709" w:right="709"/>
        <w:jc w:val="both"/>
        <w:rPr>
          <w:rFonts w:ascii="Verdana" w:hAnsi="Verdana" w:cs="Arial"/>
          <w:sz w:val="21"/>
          <w:szCs w:val="21"/>
          <w:lang w:val="es-ES_tradnl"/>
        </w:rPr>
      </w:pPr>
      <w:r w:rsidRPr="00DB06FE">
        <w:rPr>
          <w:rFonts w:ascii="Verdana" w:hAnsi="Verdana" w:cs="Arial"/>
          <w:sz w:val="21"/>
          <w:szCs w:val="21"/>
          <w:lang w:val="es-ES_tradnl"/>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DB06FE">
        <w:rPr>
          <w:rStyle w:val="Refdenotaalpie"/>
          <w:rFonts w:ascii="Verdana" w:hAnsi="Verdana" w:cs="Arial"/>
          <w:sz w:val="21"/>
          <w:szCs w:val="21"/>
          <w:lang w:val="es-ES_tradnl"/>
        </w:rPr>
        <w:footnoteReference w:id="6"/>
      </w:r>
      <w:r w:rsidRPr="00DB06FE">
        <w:rPr>
          <w:rFonts w:ascii="Verdana" w:hAnsi="Verdana" w:cs="Arial"/>
          <w:sz w:val="21"/>
          <w:szCs w:val="21"/>
          <w:lang w:val="es-ES_tradnl"/>
        </w:rPr>
        <w:t>.</w:t>
      </w:r>
    </w:p>
    <w:p w:rsidR="007622A1" w:rsidRPr="00DB06FE" w:rsidRDefault="007622A1" w:rsidP="007622A1">
      <w:pPr>
        <w:spacing w:after="0" w:line="276" w:lineRule="auto"/>
        <w:ind w:firstLine="709"/>
        <w:jc w:val="both"/>
        <w:rPr>
          <w:rFonts w:ascii="Verdana" w:hAnsi="Verdana" w:cs="Arial"/>
          <w:lang w:val="es-ES_tradnl"/>
        </w:rPr>
      </w:pPr>
    </w:p>
    <w:p w:rsidR="007622A1" w:rsidRPr="00DB06FE" w:rsidRDefault="007622A1" w:rsidP="007622A1">
      <w:pPr>
        <w:spacing w:line="276" w:lineRule="auto"/>
        <w:jc w:val="both"/>
        <w:rPr>
          <w:rFonts w:ascii="Verdana" w:hAnsi="Verdana" w:cs="Arial"/>
          <w:lang w:val="es-ES"/>
        </w:rPr>
      </w:pPr>
      <w:r w:rsidRPr="00DB06FE">
        <w:rPr>
          <w:rFonts w:ascii="Verdana" w:hAnsi="Verdana" w:cs="Arial"/>
          <w:lang w:val="es-ES"/>
        </w:rPr>
        <w:t>Por su parte, la Sala de Consulta y Servicio Civil del Consejo de Estado sostuvo en Concepto del 5 de septiembre de 2018</w:t>
      </w:r>
      <w:r w:rsidRPr="00DB06FE">
        <w:rPr>
          <w:rStyle w:val="Refdenotaalpie"/>
          <w:rFonts w:ascii="Verdana" w:hAnsi="Verdana" w:cs="Arial"/>
          <w:lang w:val="es-ES"/>
        </w:rPr>
        <w:footnoteReference w:id="7"/>
      </w:r>
      <w:r w:rsidRPr="00DB06FE">
        <w:rPr>
          <w:rFonts w:ascii="Verdana" w:hAnsi="Verdana" w:cs="Arial"/>
          <w:lang w:val="es-ES"/>
        </w:rPr>
        <w:t xml:space="preserve"> que “el concepto del A.I.U. comprende la Administración (costos indirectos) imprevistos y utilidades, y en algunos contratos este valor aparece cuantificado en forma independiente al valor de la obra y como un porcentaje de la misma</w:t>
      </w:r>
      <w:r w:rsidRPr="00DB06FE">
        <w:rPr>
          <w:rStyle w:val="Refdenotaalpie"/>
          <w:rFonts w:ascii="Verdana" w:hAnsi="Verdana" w:cs="Arial"/>
          <w:lang w:val="es-ES"/>
        </w:rPr>
        <w:footnoteReference w:id="8"/>
      </w:r>
      <w:r w:rsidRPr="00DB06FE">
        <w:rPr>
          <w:rFonts w:ascii="Verdana" w:hAnsi="Verdana" w:cs="Arial"/>
          <w:lang w:val="es-ES"/>
        </w:rPr>
        <w:t>, sin perjuicio que en otros contratos este valor no aparezca discriminado y se incorpore en el valor de los precios unitarios”</w:t>
      </w:r>
      <w:r w:rsidRPr="00DB06FE">
        <w:rPr>
          <w:rStyle w:val="Refdenotaalpie"/>
          <w:rFonts w:ascii="Verdana" w:hAnsi="Verdana" w:cs="Arial"/>
          <w:lang w:val="es-ES"/>
        </w:rPr>
        <w:footnoteReference w:id="9"/>
      </w:r>
      <w:r w:rsidRPr="00DB06FE">
        <w:rPr>
          <w:rFonts w:ascii="Verdana" w:hAnsi="Verdana" w:cs="Arial"/>
          <w:lang w:val="es-ES"/>
        </w:rPr>
        <w:t xml:space="preserve">. </w:t>
      </w:r>
    </w:p>
    <w:p w:rsidR="007622A1" w:rsidRPr="00DB06FE" w:rsidRDefault="007622A1" w:rsidP="007622A1">
      <w:pPr>
        <w:spacing w:before="120" w:after="120" w:line="276" w:lineRule="auto"/>
        <w:jc w:val="both"/>
        <w:rPr>
          <w:rFonts w:ascii="Verdana" w:hAnsi="Verdana" w:cs="Arial"/>
          <w:bCs/>
          <w:lang w:val="es-ES_tradnl"/>
        </w:rPr>
      </w:pPr>
      <w:r w:rsidRPr="00DB06FE">
        <w:rPr>
          <w:rFonts w:ascii="Verdana" w:hAnsi="Verdana" w:cs="Arial"/>
          <w:bCs/>
          <w:lang w:val="es-ES_tradnl"/>
        </w:rPr>
        <w:lastRenderedPageBreak/>
        <w:t>Así pues, 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 “La justificación de esta manera de cotizar el precio procede, incluso, de la formación universitaria que reciben los ingenieros, a quienes les enseñan esta metodología para elaborar las ofertas. En fin, lo que se quiere indicar con estos comentarios es que la necesidad de presentar una propuesta desglosando en forma intensa su precio no procede de la ley, ni del reglamento, sino de la costumbre […]”</w:t>
      </w:r>
      <w:r w:rsidRPr="00DB06FE">
        <w:rPr>
          <w:rStyle w:val="Refdenotaalpie"/>
          <w:rFonts w:ascii="Verdana" w:hAnsi="Verdana" w:cs="Arial"/>
          <w:bCs/>
          <w:lang w:val="es-ES_tradnl"/>
        </w:rPr>
        <w:footnoteReference w:id="10"/>
      </w:r>
      <w:r w:rsidRPr="00DB06FE">
        <w:rPr>
          <w:rFonts w:ascii="Verdana" w:hAnsi="Verdana" w:cs="Arial"/>
          <w:bCs/>
          <w:lang w:val="es-ES_tradnl"/>
        </w:rPr>
        <w:t xml:space="preserve">. De otro lado, en principio quien define el valor de cada </w:t>
      </w:r>
      <w:r w:rsidRPr="00DB06FE">
        <w:rPr>
          <w:rFonts w:ascii="Verdana" w:hAnsi="Verdana" w:cs="Arial"/>
          <w:bCs/>
          <w:i/>
          <w:iCs/>
          <w:lang w:val="es-ES_tradnl"/>
        </w:rPr>
        <w:t>letra</w:t>
      </w:r>
      <w:r w:rsidRPr="00DB06FE">
        <w:rPr>
          <w:rFonts w:ascii="Verdana" w:hAnsi="Verdana" w:cs="Arial"/>
          <w:bCs/>
          <w:lang w:val="es-ES_tradnl"/>
        </w:rPr>
        <w:t xml:space="preserve"> –AIU– es el proponente, pues goza de libertad empresarial para hacerlo en la elaboración de su oferta</w:t>
      </w:r>
      <w:r w:rsidRPr="00DB06FE">
        <w:rPr>
          <w:rStyle w:val="Refdenotaalpie"/>
          <w:rFonts w:ascii="Verdana" w:hAnsi="Verdana" w:cs="Arial"/>
          <w:bCs/>
          <w:lang w:val="es-ES_tradnl"/>
        </w:rPr>
        <w:footnoteReference w:id="11"/>
      </w:r>
      <w:r w:rsidRPr="00DB06FE">
        <w:rPr>
          <w:rFonts w:ascii="Verdana" w:hAnsi="Verdana" w:cs="Arial"/>
          <w:bCs/>
          <w:lang w:val="es-ES_tradnl"/>
        </w:rPr>
        <w:t>.</w:t>
      </w:r>
    </w:p>
    <w:p w:rsidR="007622A1" w:rsidRPr="00452069" w:rsidRDefault="007622A1" w:rsidP="007622A1">
      <w:pPr>
        <w:pStyle w:val="Prrafodelista"/>
        <w:numPr>
          <w:ilvl w:val="0"/>
          <w:numId w:val="7"/>
        </w:numPr>
        <w:spacing w:before="120" w:after="0" w:line="276" w:lineRule="auto"/>
        <w:ind w:left="0" w:firstLine="360"/>
        <w:jc w:val="both"/>
        <w:rPr>
          <w:rFonts w:ascii="Verdana" w:hAnsi="Verdana" w:cs="Arial"/>
          <w:lang w:val="es-ES"/>
        </w:rPr>
      </w:pPr>
      <w:r w:rsidRPr="00452069">
        <w:rPr>
          <w:rFonts w:ascii="Verdana" w:hAnsi="Verdana" w:cs="Arial"/>
          <w:lang w:val="es-ES"/>
        </w:rPr>
        <w:t>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lo son, por ejemplo, los contratos de suministro y obra, respectivamente. Por ende, la decisión de incluir o no  el AIU en el precio unitario de los bienes o servicios ofrecidos, al igual que la metodología de delimitación de sus variables –ítems y porcentajes– debe obedecer a un juicioso análisis de oportunidad y conveniencia, que consulte las reglas de la experiencia, así como los aspectos particulares de cada negocio, y que se armonice con la garantía de los principios de la función administrativa y de la gestión fiscal, dentro de los cuales se halla el principio de economía, el cual exige la optimización de los recursos públicos.</w:t>
      </w:r>
    </w:p>
    <w:p w:rsidR="007622A1" w:rsidRPr="00DB06FE" w:rsidRDefault="007622A1" w:rsidP="007622A1">
      <w:pPr>
        <w:spacing w:after="0" w:line="276" w:lineRule="auto"/>
        <w:jc w:val="both"/>
        <w:rPr>
          <w:rFonts w:ascii="Verdana" w:hAnsi="Verdana" w:cs="Arial"/>
          <w:bCs/>
          <w:lang w:val="es-ES_tradnl"/>
        </w:rPr>
      </w:pPr>
    </w:p>
    <w:p w:rsidR="007622A1" w:rsidRPr="00452069" w:rsidRDefault="007622A1" w:rsidP="007622A1">
      <w:pPr>
        <w:pStyle w:val="Prrafodelista"/>
        <w:numPr>
          <w:ilvl w:val="0"/>
          <w:numId w:val="7"/>
        </w:numPr>
        <w:tabs>
          <w:tab w:val="left" w:pos="0"/>
        </w:tabs>
        <w:spacing w:line="276" w:lineRule="auto"/>
        <w:ind w:left="0" w:firstLine="360"/>
        <w:jc w:val="both"/>
        <w:rPr>
          <w:rFonts w:ascii="Verdana" w:eastAsia="Calibri" w:hAnsi="Verdana" w:cs="Arial"/>
          <w:lang w:val="es-MX"/>
        </w:rPr>
      </w:pPr>
      <w:r w:rsidRPr="00452069">
        <w:rPr>
          <w:rFonts w:ascii="Verdana" w:eastAsia="Calibri" w:hAnsi="Verdana" w:cs="Arial"/>
          <w:lang w:val="es-MX"/>
        </w:rPr>
        <w:t xml:space="preserve">En la etapa precontractual de la contratación estatal, cuando la Administración está elaborando los estudios previos, para lograr con éxito el proceso de contratación que requiere para satisfacer una necesidad de bienes, obras o servicios con la </w:t>
      </w:r>
      <w:r w:rsidRPr="00452069">
        <w:rPr>
          <w:rFonts w:ascii="Verdana" w:eastAsia="Calibri" w:hAnsi="Verdana" w:cs="Arial"/>
          <w:lang w:val="es-MX"/>
        </w:rPr>
        <w:lastRenderedPageBreak/>
        <w:t xml:space="preserve">finalidad de cumplir los cometidos estatales, debe analizarse, según el objeto a contratar, cuál es el tipo de contrato, las obligaciones y prestaciones a pactar que mejor satisfagan los intereses de la Administración como entidad contratante. </w:t>
      </w:r>
      <w:r w:rsidRPr="00452069">
        <w:rPr>
          <w:rFonts w:ascii="Verdana" w:hAnsi="Verdana" w:cs="Arial"/>
          <w:bCs/>
        </w:rPr>
        <w:t>Es así como, por ejemplo, el artículo 40 de la Ley 80 de 1993 permite que dentro del contenido de un contrato estatal se admitan las estipulaciones conformes con las normas civiles, comerciales y las especiales previstas en dicha ley que correspondan a su esencia y naturaleza. Por ello, las entidades pueden celebrar todos los contratos y acuerdos permitidos por la autonomía de la voluntad requeridos para cumplir con los fines estatales.</w:t>
      </w:r>
    </w:p>
    <w:p w:rsidR="007622A1" w:rsidRDefault="007622A1" w:rsidP="007622A1">
      <w:pPr>
        <w:pStyle w:val="Prrafodelista"/>
        <w:spacing w:after="120" w:line="276" w:lineRule="auto"/>
        <w:ind w:left="360"/>
        <w:jc w:val="both"/>
        <w:rPr>
          <w:rFonts w:ascii="Verdana" w:hAnsi="Verdana" w:cs="Arial"/>
          <w:bCs/>
        </w:rPr>
      </w:pPr>
    </w:p>
    <w:p w:rsidR="007622A1" w:rsidRPr="00452069" w:rsidRDefault="007622A1" w:rsidP="007622A1">
      <w:pPr>
        <w:pStyle w:val="Prrafodelista"/>
        <w:numPr>
          <w:ilvl w:val="0"/>
          <w:numId w:val="7"/>
        </w:numPr>
        <w:spacing w:after="120" w:line="276" w:lineRule="auto"/>
        <w:ind w:left="0" w:firstLine="360"/>
        <w:jc w:val="both"/>
        <w:rPr>
          <w:rFonts w:ascii="Verdana" w:hAnsi="Verdana" w:cs="Arial"/>
          <w:bCs/>
        </w:rPr>
      </w:pPr>
      <w:r w:rsidRPr="00452069">
        <w:rPr>
          <w:rFonts w:ascii="Verdana" w:hAnsi="Verdana" w:cs="Arial"/>
          <w:bCs/>
        </w:rPr>
        <w:t>Los contratos estatales admiten todas las modalidades, condiciones y estipulaciones que las partes consideren necesarias y convenientes, siempre que no sean contrarias a Constitución, la ley, el orden público, los principios y finalidades del Estatuto General de Contratación y los de la buena administración. Lo anterior, en consonancia con lo dispuesto en los artículos 13 y 32 de la Ley 80 de 1993, permite concluir que las entidades estatales pueden celebrar los contratos necesarios para la consecución de sus fines, ya sean estos nominados y típicos</w:t>
      </w:r>
      <w:r w:rsidRPr="00DB06FE">
        <w:rPr>
          <w:rStyle w:val="Refdenotaalpie"/>
          <w:rFonts w:ascii="Verdana" w:hAnsi="Verdana" w:cs="Arial"/>
          <w:bCs/>
        </w:rPr>
        <w:footnoteReference w:id="12"/>
      </w:r>
      <w:r w:rsidRPr="00452069">
        <w:rPr>
          <w:rFonts w:ascii="Verdana" w:hAnsi="Verdana" w:cs="Arial"/>
          <w:bCs/>
        </w:rPr>
        <w:t xml:space="preserve"> en la legislación civil y comercial de derecho privado</w:t>
      </w:r>
      <w:r w:rsidRPr="00DB06FE">
        <w:rPr>
          <w:rStyle w:val="Refdenotaalpie"/>
          <w:rFonts w:ascii="Verdana" w:hAnsi="Verdana" w:cs="Arial"/>
          <w:bCs/>
        </w:rPr>
        <w:footnoteReference w:id="13"/>
      </w:r>
      <w:r w:rsidRPr="00452069">
        <w:rPr>
          <w:rFonts w:ascii="Verdana" w:hAnsi="Verdana" w:cs="Arial"/>
          <w:bCs/>
        </w:rPr>
        <w:t xml:space="preserve"> o en el Estatuto General de Contratación Pública</w:t>
      </w:r>
      <w:r w:rsidRPr="00DB06FE">
        <w:rPr>
          <w:rStyle w:val="Refdenotaalpie"/>
          <w:rFonts w:ascii="Verdana" w:hAnsi="Verdana" w:cs="Arial"/>
          <w:bCs/>
        </w:rPr>
        <w:footnoteReference w:id="14"/>
      </w:r>
      <w:r w:rsidRPr="00452069">
        <w:rPr>
          <w:rFonts w:ascii="Verdana" w:hAnsi="Verdana" w:cs="Arial"/>
          <w:bCs/>
        </w:rPr>
        <w:t xml:space="preserve"> o bien pueden acudir a los contratos atípicos, donde sus estipulaciones pueden ser puramente de creación de la voluntad de las partes  –siempre y cuando no contraríen normas de orden público– o pueden ser mixtas, haciendo uso de estipulaciones que responden a diferentes combinaciones de objetos contractuales</w:t>
      </w:r>
      <w:r w:rsidRPr="00DB06FE">
        <w:rPr>
          <w:rStyle w:val="Refdenotaalpie"/>
          <w:rFonts w:ascii="Verdana" w:hAnsi="Verdana" w:cs="Arial"/>
          <w:bCs/>
        </w:rPr>
        <w:footnoteReference w:id="15"/>
      </w:r>
      <w:r w:rsidRPr="00452069">
        <w:rPr>
          <w:rFonts w:ascii="Verdana" w:hAnsi="Verdana" w:cs="Arial"/>
          <w:bCs/>
        </w:rPr>
        <w:t>.</w:t>
      </w:r>
    </w:p>
    <w:p w:rsidR="007622A1" w:rsidRPr="00DB06FE" w:rsidRDefault="007622A1" w:rsidP="007622A1">
      <w:pPr>
        <w:pStyle w:val="Sinespaciado"/>
        <w:spacing w:before="120" w:line="276" w:lineRule="auto"/>
        <w:ind w:firstLine="709"/>
        <w:jc w:val="both"/>
        <w:rPr>
          <w:rFonts w:ascii="Verdana" w:hAnsi="Verdana" w:cs="Arial"/>
          <w:color w:val="000000" w:themeColor="text1"/>
          <w:sz w:val="22"/>
        </w:rPr>
      </w:pPr>
      <w:r w:rsidRPr="00DB06FE">
        <w:rPr>
          <w:rFonts w:ascii="Verdana" w:hAnsi="Verdana" w:cs="Arial"/>
          <w:bCs/>
          <w:sz w:val="22"/>
        </w:rPr>
        <w:t xml:space="preserve">La doctrina reconoce este fenómeno entendiendo que </w:t>
      </w:r>
      <w:r w:rsidRPr="00DB06FE">
        <w:rPr>
          <w:rFonts w:ascii="Verdana" w:hAnsi="Verdana" w:cs="Arial"/>
          <w:bCs/>
          <w:sz w:val="22"/>
          <w:lang w:val="es-ES_tradnl"/>
        </w:rPr>
        <w:t>“</w:t>
      </w:r>
      <w:r w:rsidRPr="00DB06FE">
        <w:rPr>
          <w:rFonts w:ascii="Verdana" w:hAnsi="Verdana" w:cs="Arial"/>
          <w:bCs/>
          <w:sz w:val="22"/>
        </w:rPr>
        <w:t>la ley no crea el contrato, sino que reconoce su existencia, afirmación que implica reconocer que, en un principio, todos los contratos que hoy se reputan como típicos eran innominados – atípicos, deviniendo en típicos con la intervención del legislador</w:t>
      </w:r>
      <w:r w:rsidRPr="00DB06FE">
        <w:rPr>
          <w:rFonts w:ascii="Verdana" w:hAnsi="Verdana" w:cs="Arial"/>
          <w:bCs/>
          <w:sz w:val="22"/>
          <w:lang w:val="es-ES_tradnl"/>
        </w:rPr>
        <w:t>”</w:t>
      </w:r>
      <w:r w:rsidRPr="00DB06FE">
        <w:rPr>
          <w:rStyle w:val="Refdenotaalpie"/>
          <w:rFonts w:ascii="Verdana" w:hAnsi="Verdana" w:cs="Arial"/>
          <w:bCs/>
          <w:sz w:val="22"/>
          <w:lang w:val="es-ES_tradnl"/>
        </w:rPr>
        <w:footnoteReference w:id="16"/>
      </w:r>
      <w:r w:rsidRPr="00DB06FE">
        <w:rPr>
          <w:rFonts w:ascii="Verdana" w:hAnsi="Verdana" w:cs="Arial"/>
          <w:bCs/>
          <w:sz w:val="22"/>
          <w:lang w:val="es-ES_tradnl"/>
        </w:rPr>
        <w:t xml:space="preserve">. Asimismo, cuando se está ante </w:t>
      </w:r>
      <w:r w:rsidRPr="00DB06FE">
        <w:rPr>
          <w:rFonts w:ascii="Verdana" w:hAnsi="Verdana" w:cs="Arial"/>
          <w:color w:val="000000" w:themeColor="text1"/>
          <w:sz w:val="22"/>
        </w:rPr>
        <w:t>la existencia de un contrato complejo</w:t>
      </w:r>
      <w:r w:rsidRPr="00DB06FE">
        <w:rPr>
          <w:rStyle w:val="Refdenotaalpie"/>
          <w:rFonts w:ascii="Verdana" w:hAnsi="Verdana" w:cs="Arial"/>
          <w:color w:val="000000" w:themeColor="text1"/>
          <w:sz w:val="22"/>
        </w:rPr>
        <w:footnoteReference w:id="17"/>
      </w:r>
      <w:r w:rsidRPr="00DB06FE">
        <w:rPr>
          <w:rFonts w:ascii="Verdana" w:hAnsi="Verdana" w:cs="Arial"/>
          <w:color w:val="000000" w:themeColor="text1"/>
          <w:sz w:val="22"/>
        </w:rPr>
        <w:t xml:space="preserve">, porque la voluntad de </w:t>
      </w:r>
      <w:r w:rsidRPr="00DB06FE">
        <w:rPr>
          <w:rFonts w:ascii="Verdana" w:hAnsi="Verdana" w:cs="Arial"/>
          <w:color w:val="000000" w:themeColor="text1"/>
          <w:sz w:val="22"/>
        </w:rPr>
        <w:lastRenderedPageBreak/>
        <w:t>las partes involucra diversas estipulaciones que por lo general son propios de varios tipos contractuales, se dificulta definir el criterio interpretativo para disciplinar el contrato. No obstante, surge la necesidad de desentrañar dicha voluntad de los contratantes y, para el efecto, puede acudirse a la siguiente solución planteada por la Corte Suprema de Justicia, en sentencia de casación del 31 de mayo de 1938:</w:t>
      </w:r>
    </w:p>
    <w:p w:rsidR="007622A1" w:rsidRPr="00DB06FE" w:rsidRDefault="007622A1" w:rsidP="007622A1">
      <w:pPr>
        <w:pStyle w:val="Sinespaciado"/>
        <w:spacing w:line="276" w:lineRule="auto"/>
        <w:jc w:val="both"/>
        <w:rPr>
          <w:rFonts w:ascii="Verdana" w:hAnsi="Verdana" w:cs="Arial"/>
          <w:color w:val="000000" w:themeColor="text1"/>
          <w:sz w:val="22"/>
        </w:rPr>
      </w:pPr>
    </w:p>
    <w:p w:rsidR="007622A1" w:rsidRPr="00DB06FE" w:rsidRDefault="007622A1" w:rsidP="007622A1">
      <w:pPr>
        <w:pStyle w:val="Sinespaciado"/>
        <w:ind w:left="709" w:right="709"/>
        <w:jc w:val="both"/>
        <w:rPr>
          <w:rFonts w:ascii="Verdana" w:hAnsi="Verdana" w:cs="Arial"/>
          <w:color w:val="000000" w:themeColor="text1"/>
          <w:sz w:val="21"/>
          <w:szCs w:val="21"/>
        </w:rPr>
      </w:pPr>
      <w:r w:rsidRPr="00DB06FE">
        <w:rPr>
          <w:rFonts w:ascii="Verdana" w:hAnsi="Verdana" w:cs="Arial"/>
          <w:color w:val="000000" w:themeColor="text1"/>
          <w:sz w:val="21"/>
          <w:szCs w:val="21"/>
        </w:rPr>
        <w:t>“Las relaciones convencionales que no encajan dentro de ninguno de los tipos reglamentados de contrato se aplican por analogía del tipo contractual afín al punto de vista jurídico pertinente, o por los principios generales del derecho de las obligaciones o de los contratos y, a título complementario, por el arbitrio judicial. Bien entendido que esos criterios no han de violentar la voluntad libremente configurada de las partes dentro de los amplios límites a ella trazados por el legislador”</w:t>
      </w:r>
      <w:r w:rsidRPr="00DB06FE">
        <w:rPr>
          <w:rStyle w:val="Refdenotaalpie"/>
          <w:rFonts w:ascii="Verdana" w:hAnsi="Verdana" w:cs="Arial"/>
          <w:color w:val="000000" w:themeColor="text1"/>
          <w:sz w:val="22"/>
        </w:rPr>
        <w:footnoteReference w:id="18"/>
      </w:r>
      <w:r w:rsidRPr="00DB06FE">
        <w:rPr>
          <w:rFonts w:ascii="Verdana" w:hAnsi="Verdana" w:cs="Arial"/>
          <w:color w:val="000000" w:themeColor="text1"/>
          <w:sz w:val="21"/>
          <w:szCs w:val="21"/>
        </w:rPr>
        <w:t>.</w:t>
      </w:r>
    </w:p>
    <w:p w:rsidR="007622A1" w:rsidRPr="00DB06FE" w:rsidRDefault="007622A1" w:rsidP="007622A1">
      <w:pPr>
        <w:pStyle w:val="Sinespaciado"/>
        <w:spacing w:line="276" w:lineRule="auto"/>
        <w:ind w:left="709" w:right="709"/>
        <w:jc w:val="both"/>
        <w:rPr>
          <w:rFonts w:ascii="Verdana" w:hAnsi="Verdana" w:cs="Arial"/>
          <w:color w:val="000000" w:themeColor="text1"/>
          <w:sz w:val="21"/>
          <w:szCs w:val="21"/>
        </w:rPr>
      </w:pPr>
    </w:p>
    <w:p w:rsidR="007622A1" w:rsidRPr="00DB06FE" w:rsidRDefault="007622A1" w:rsidP="007622A1">
      <w:pPr>
        <w:pStyle w:val="Sinespaciado"/>
        <w:spacing w:line="276" w:lineRule="auto"/>
        <w:jc w:val="both"/>
        <w:rPr>
          <w:rFonts w:ascii="Verdana" w:hAnsi="Verdana" w:cs="Arial"/>
          <w:color w:val="000000" w:themeColor="text1"/>
          <w:sz w:val="22"/>
        </w:rPr>
      </w:pPr>
      <w:r w:rsidRPr="00DB06FE">
        <w:rPr>
          <w:rFonts w:ascii="Verdana" w:hAnsi="Verdana" w:cs="Arial"/>
          <w:color w:val="000000" w:themeColor="text1"/>
          <w:sz w:val="22"/>
        </w:rPr>
        <w:t>Por su parte, el Consejo de Estado también ha entendido que los contratos estatales pueden calificarse como contratos mixtos cuando involucran prestaciones de igual connotación y, en reciente pronunciamiento, proferido con ocasión de una consulta relacionada con la causación de la estampilla prouniversidades por la suscripción de contratos de suministro de materiales, personal y mantenimientos para las sedes de una entidad, consideró lo siguiente frente a la interpretación de estos contratos:</w:t>
      </w:r>
    </w:p>
    <w:p w:rsidR="007622A1" w:rsidRPr="00DB06FE" w:rsidRDefault="007622A1" w:rsidP="007622A1">
      <w:pPr>
        <w:pStyle w:val="Sinespaciado"/>
        <w:spacing w:line="276" w:lineRule="auto"/>
        <w:jc w:val="both"/>
        <w:rPr>
          <w:rFonts w:ascii="Verdana" w:hAnsi="Verdana" w:cs="Arial"/>
          <w:color w:val="000000" w:themeColor="text1"/>
          <w:sz w:val="22"/>
        </w:rPr>
      </w:pPr>
    </w:p>
    <w:p w:rsidR="007622A1" w:rsidRPr="00DB06FE" w:rsidRDefault="007622A1" w:rsidP="007622A1">
      <w:pPr>
        <w:pStyle w:val="Sinespaciado"/>
        <w:widowControl w:val="0"/>
        <w:autoSpaceDE w:val="0"/>
        <w:autoSpaceDN w:val="0"/>
        <w:ind w:left="709" w:right="709"/>
        <w:jc w:val="both"/>
        <w:rPr>
          <w:rFonts w:ascii="Verdana" w:hAnsi="Verdana" w:cs="Arial"/>
          <w:color w:val="000000" w:themeColor="text1"/>
          <w:sz w:val="21"/>
          <w:szCs w:val="21"/>
        </w:rPr>
      </w:pPr>
      <w:r w:rsidRPr="00DB06FE">
        <w:rPr>
          <w:rFonts w:ascii="Verdana" w:hAnsi="Verdana" w:cs="Arial"/>
          <w:color w:val="000000" w:themeColor="text1"/>
          <w:sz w:val="21"/>
          <w:szCs w:val="21"/>
        </w:rPr>
        <w:t>“Es posible que existan contratos mixtos que contengan prestaciones correspondientes a varios tipos o clases de contratos, que no se encuentran relacionados con otros contratos típicos o atípicos, nominados o innominados a que se refieren los artículos 32 y 40 de la Ley 80 de 1993.</w:t>
      </w:r>
    </w:p>
    <w:p w:rsidR="007622A1" w:rsidRPr="00DB06FE" w:rsidRDefault="007622A1" w:rsidP="007622A1">
      <w:pPr>
        <w:pStyle w:val="Sinespaciado"/>
        <w:ind w:left="709" w:right="709"/>
        <w:jc w:val="both"/>
        <w:rPr>
          <w:rFonts w:ascii="Verdana" w:hAnsi="Verdana" w:cs="Arial"/>
          <w:color w:val="000000" w:themeColor="text1"/>
          <w:sz w:val="21"/>
          <w:szCs w:val="21"/>
        </w:rPr>
      </w:pPr>
      <w:r w:rsidRPr="00DB06FE">
        <w:rPr>
          <w:rFonts w:ascii="Verdana" w:hAnsi="Verdana" w:cs="Arial"/>
          <w:color w:val="000000" w:themeColor="text1"/>
          <w:sz w:val="21"/>
          <w:szCs w:val="21"/>
        </w:rPr>
        <w:t>[…]</w:t>
      </w:r>
    </w:p>
    <w:p w:rsidR="007622A1" w:rsidRPr="00DB06FE" w:rsidRDefault="007622A1" w:rsidP="007622A1">
      <w:pPr>
        <w:pStyle w:val="Sinespaciado"/>
        <w:widowControl w:val="0"/>
        <w:autoSpaceDE w:val="0"/>
        <w:autoSpaceDN w:val="0"/>
        <w:spacing w:before="120"/>
        <w:ind w:left="709" w:right="709"/>
        <w:jc w:val="both"/>
        <w:rPr>
          <w:rFonts w:ascii="Verdana" w:hAnsi="Verdana" w:cs="Arial"/>
          <w:color w:val="000000" w:themeColor="text1"/>
          <w:sz w:val="21"/>
          <w:szCs w:val="21"/>
        </w:rPr>
      </w:pPr>
      <w:r w:rsidRPr="00DB06FE">
        <w:rPr>
          <w:rFonts w:ascii="Verdana" w:hAnsi="Verdana" w:cs="Arial"/>
          <w:color w:val="000000" w:themeColor="text1"/>
          <w:sz w:val="21"/>
          <w:szCs w:val="21"/>
        </w:rPr>
        <w:t>El contrato es mixto cuando las prestaciones mixtas están esencialmente vinculadas entre sí, por tener relaciones de complemento u obedecer a una unidad funcional dirigida a la satisfacción de la necesidad de la entidad -unidad de causa-. En caso contrario, si las prestaciones son autónomas y no guardan vinculación entre sí, la figura será una unión de contratos -causas distintas-.</w:t>
      </w:r>
    </w:p>
    <w:p w:rsidR="007622A1" w:rsidRPr="00DB06FE" w:rsidRDefault="007622A1" w:rsidP="007622A1">
      <w:pPr>
        <w:pStyle w:val="Sinespaciado"/>
        <w:widowControl w:val="0"/>
        <w:autoSpaceDE w:val="0"/>
        <w:autoSpaceDN w:val="0"/>
        <w:spacing w:before="120"/>
        <w:ind w:left="709" w:right="709"/>
        <w:jc w:val="both"/>
        <w:rPr>
          <w:rFonts w:ascii="Verdana" w:hAnsi="Verdana" w:cs="Arial"/>
          <w:color w:val="000000" w:themeColor="text1"/>
          <w:sz w:val="21"/>
          <w:szCs w:val="21"/>
        </w:rPr>
      </w:pPr>
      <w:r w:rsidRPr="00DB06FE">
        <w:rPr>
          <w:rFonts w:ascii="Verdana" w:hAnsi="Verdana" w:cs="Arial"/>
          <w:color w:val="000000" w:themeColor="text1"/>
          <w:sz w:val="21"/>
          <w:szCs w:val="21"/>
        </w:rPr>
        <w:t xml:space="preserve">El ejemplo de contratos mixtos más común se refiere, como se señaló, al suministro de equipos necesarios para la prestación del servicio público de la entidad, con prestaciones accesorias y necesarias, relacionadas con su instalación y su puesta en funcionamiento, así como servicios de </w:t>
      </w:r>
      <w:r w:rsidRPr="00DB06FE">
        <w:rPr>
          <w:rFonts w:ascii="Verdana" w:hAnsi="Verdana" w:cs="Arial"/>
          <w:color w:val="000000" w:themeColor="text1"/>
          <w:sz w:val="21"/>
          <w:szCs w:val="21"/>
        </w:rPr>
        <w:lastRenderedPageBreak/>
        <w:t>capacitación de asesoría de la entidad en el uso de los mismos”</w:t>
      </w:r>
      <w:r w:rsidRPr="00DB06FE">
        <w:rPr>
          <w:rStyle w:val="Refdenotaalpie"/>
          <w:rFonts w:ascii="Verdana" w:hAnsi="Verdana" w:cs="Arial"/>
          <w:color w:val="000000" w:themeColor="text1"/>
          <w:sz w:val="22"/>
        </w:rPr>
        <w:footnoteReference w:id="19"/>
      </w:r>
      <w:r w:rsidRPr="00DB06FE">
        <w:rPr>
          <w:rFonts w:ascii="Verdana" w:hAnsi="Verdana" w:cs="Arial"/>
          <w:color w:val="000000" w:themeColor="text1"/>
          <w:sz w:val="21"/>
          <w:szCs w:val="21"/>
        </w:rPr>
        <w:t>.</w:t>
      </w:r>
    </w:p>
    <w:p w:rsidR="007622A1" w:rsidRPr="00DB06FE" w:rsidRDefault="007622A1" w:rsidP="007622A1">
      <w:pPr>
        <w:pStyle w:val="Sinespaciado"/>
        <w:widowControl w:val="0"/>
        <w:autoSpaceDE w:val="0"/>
        <w:autoSpaceDN w:val="0"/>
        <w:ind w:right="709"/>
        <w:jc w:val="both"/>
        <w:rPr>
          <w:rFonts w:ascii="Verdana" w:hAnsi="Verdana" w:cs="Arial"/>
          <w:color w:val="000000" w:themeColor="text1"/>
          <w:sz w:val="22"/>
        </w:rPr>
      </w:pPr>
    </w:p>
    <w:p w:rsidR="007622A1" w:rsidRPr="00DB06FE" w:rsidRDefault="007622A1" w:rsidP="007622A1">
      <w:pPr>
        <w:spacing w:after="120" w:line="276" w:lineRule="auto"/>
        <w:jc w:val="both"/>
        <w:rPr>
          <w:rFonts w:ascii="Verdana" w:hAnsi="Verdana" w:cs="Arial"/>
          <w:color w:val="000000" w:themeColor="text1"/>
        </w:rPr>
      </w:pPr>
      <w:r w:rsidRPr="00DB06FE">
        <w:rPr>
          <w:rFonts w:ascii="Verdana" w:hAnsi="Verdana" w:cs="Arial"/>
          <w:color w:val="000000" w:themeColor="text1"/>
        </w:rPr>
        <w:t xml:space="preserve">Resulta del caso precisar que la tipología contractual incide en aspectos como el proceso de selección que debe realizarse, los requisitos habilitantes o ponderables a incorporar en el pliego de condiciones para seleccionar de manera objetiva la mejor oferta; y si debe o no exigirse el Registro Único de Proponentes –RUP–, entre otras cuestiones importantes para el proceso de contratación. Precisado lo anterior, respecto el objeto de la consulta, es pertinente reflexionar sobre dos (2) de los contratos típicos que pueden utilizar las entidades estatales para satisfacer necesidades: el contrato de suministro y el de obra. </w:t>
      </w:r>
    </w:p>
    <w:p w:rsidR="007622A1" w:rsidRPr="00452069" w:rsidRDefault="007622A1" w:rsidP="007622A1">
      <w:pPr>
        <w:pStyle w:val="Prrafodelista"/>
        <w:numPr>
          <w:ilvl w:val="0"/>
          <w:numId w:val="8"/>
        </w:numPr>
        <w:spacing w:after="120" w:line="276" w:lineRule="auto"/>
        <w:ind w:left="0" w:firstLine="567"/>
        <w:jc w:val="both"/>
        <w:rPr>
          <w:rFonts w:ascii="Verdana" w:hAnsi="Verdana" w:cs="Arial"/>
          <w:color w:val="000000" w:themeColor="text1"/>
        </w:rPr>
      </w:pPr>
      <w:r w:rsidRPr="00452069">
        <w:rPr>
          <w:rFonts w:ascii="Verdana" w:hAnsi="Verdana" w:cs="Arial"/>
          <w:color w:val="000000" w:themeColor="text1"/>
        </w:rPr>
        <w:t xml:space="preserve">Por un lado, el término suministro proviene del latín </w:t>
      </w:r>
      <w:r w:rsidRPr="00452069">
        <w:rPr>
          <w:rFonts w:ascii="Verdana" w:hAnsi="Verdana" w:cs="Arial"/>
          <w:i/>
          <w:iCs/>
          <w:color w:val="000000" w:themeColor="text1"/>
        </w:rPr>
        <w:t>subministrare</w:t>
      </w:r>
      <w:r w:rsidRPr="00452069">
        <w:rPr>
          <w:rFonts w:ascii="Verdana" w:hAnsi="Verdana" w:cs="Arial"/>
          <w:color w:val="000000" w:themeColor="text1"/>
        </w:rPr>
        <w:t xml:space="preserve"> que significa proveer a uno algo que necesita. En la actualidad el contrato de suministro tiene una función económica</w:t>
      </w:r>
      <w:r w:rsidRPr="00DB06FE">
        <w:rPr>
          <w:rStyle w:val="Refdenotaalpie"/>
          <w:rFonts w:ascii="Verdana" w:hAnsi="Verdana" w:cs="Arial"/>
          <w:color w:val="000000" w:themeColor="text1"/>
        </w:rPr>
        <w:footnoteReference w:id="20"/>
      </w:r>
      <w:r w:rsidRPr="00452069">
        <w:rPr>
          <w:rFonts w:ascii="Verdana" w:hAnsi="Verdana" w:cs="Arial"/>
          <w:color w:val="000000" w:themeColor="text1"/>
        </w:rPr>
        <w:t xml:space="preserve"> importante pues sirve de instrumento para que un empresario pueda proyectar su actividad comercial y un proveedor pueda planificar su producción y las ventas, brindando certeza sobre el abastecimiento periódico de materias primas, bienes o servicios que el primero necesita del segundo, a cambio de una correlativa remuneración. En el ordenamiento jurídico colombiano el contrato de suministro está definido en el artículo 968 del Código de Comercio como el negocio jurídico </w:t>
      </w:r>
      <w:r w:rsidRPr="00452069">
        <w:rPr>
          <w:rFonts w:ascii="Verdana" w:hAnsi="Verdana" w:cs="Arial"/>
          <w:bCs/>
          <w:lang w:val="es-ES_tradnl"/>
        </w:rPr>
        <w:t>“</w:t>
      </w:r>
      <w:r w:rsidRPr="00452069">
        <w:rPr>
          <w:rFonts w:ascii="Verdana" w:hAnsi="Verdana" w:cs="Arial"/>
          <w:color w:val="000000" w:themeColor="text1"/>
        </w:rPr>
        <w:t>por el cual una parte se obliga, a cambio de una contraprestación, a cumplir en favor de otra, en forma independiente, prestaciones periódicas o continuadas de cosas o servicios</w:t>
      </w:r>
      <w:r w:rsidRPr="00452069">
        <w:rPr>
          <w:rFonts w:ascii="Verdana" w:hAnsi="Verdana" w:cs="Arial"/>
          <w:bCs/>
          <w:lang w:val="es-ES_tradnl"/>
        </w:rPr>
        <w:t>”.</w:t>
      </w:r>
      <w:r w:rsidRPr="00452069">
        <w:rPr>
          <w:rFonts w:ascii="Verdana" w:hAnsi="Verdana" w:cs="Arial"/>
          <w:color w:val="000000" w:themeColor="text1"/>
        </w:rPr>
        <w:t xml:space="preserve"> </w:t>
      </w:r>
    </w:p>
    <w:p w:rsidR="007622A1" w:rsidRPr="00DB06FE" w:rsidRDefault="007622A1" w:rsidP="007622A1">
      <w:pPr>
        <w:spacing w:after="120" w:line="276" w:lineRule="auto"/>
        <w:ind w:firstLine="708"/>
        <w:jc w:val="both"/>
        <w:rPr>
          <w:rFonts w:ascii="Verdana" w:hAnsi="Verdana" w:cs="Arial"/>
          <w:color w:val="000000" w:themeColor="text1"/>
        </w:rPr>
      </w:pPr>
      <w:r w:rsidRPr="00DB06FE">
        <w:rPr>
          <w:rFonts w:ascii="Verdana" w:hAnsi="Verdana" w:cs="Arial"/>
          <w:color w:val="000000" w:themeColor="text1"/>
        </w:rPr>
        <w:t xml:space="preserve">El contrato de suministro reúne las siguientes características: i) es bilateral y conmutativo, ya que crea obligaciones recíprocas para las dos partes del contrato llamadas a reportar beneficios equivalentes para ambos; </w:t>
      </w:r>
      <w:proofErr w:type="spellStart"/>
      <w:r w:rsidRPr="00DB06FE">
        <w:rPr>
          <w:rFonts w:ascii="Verdana" w:hAnsi="Verdana" w:cs="Arial"/>
          <w:color w:val="000000" w:themeColor="text1"/>
        </w:rPr>
        <w:t>ii</w:t>
      </w:r>
      <w:proofErr w:type="spellEnd"/>
      <w:r w:rsidRPr="00DB06FE">
        <w:rPr>
          <w:rFonts w:ascii="Verdana" w:hAnsi="Verdana" w:cs="Arial"/>
          <w:color w:val="000000" w:themeColor="text1"/>
        </w:rPr>
        <w:t xml:space="preserve">) es oneroso, pues genera un lucro, utilidad o beneficio para ambas partes; </w:t>
      </w:r>
      <w:proofErr w:type="spellStart"/>
      <w:r w:rsidRPr="00DB06FE">
        <w:rPr>
          <w:rFonts w:ascii="Verdana" w:hAnsi="Verdana" w:cs="Arial"/>
          <w:color w:val="000000" w:themeColor="text1"/>
        </w:rPr>
        <w:t>iii</w:t>
      </w:r>
      <w:proofErr w:type="spellEnd"/>
      <w:r w:rsidRPr="00DB06FE">
        <w:rPr>
          <w:rFonts w:ascii="Verdana" w:hAnsi="Verdana" w:cs="Arial"/>
          <w:color w:val="000000" w:themeColor="text1"/>
        </w:rPr>
        <w:t xml:space="preserve">) es por regla general consensual, dado que en derecho privado nace con el solo acuerdo de voluntades sobre el objeto –no lo es en contratación estatal, donde es solemne–; </w:t>
      </w:r>
      <w:proofErr w:type="spellStart"/>
      <w:r w:rsidRPr="00DB06FE">
        <w:rPr>
          <w:rFonts w:ascii="Verdana" w:hAnsi="Verdana" w:cs="Arial"/>
          <w:color w:val="000000" w:themeColor="text1"/>
        </w:rPr>
        <w:t>iv</w:t>
      </w:r>
      <w:proofErr w:type="spellEnd"/>
      <w:r w:rsidRPr="00DB06FE">
        <w:rPr>
          <w:rFonts w:ascii="Verdana" w:hAnsi="Verdana" w:cs="Arial"/>
          <w:color w:val="000000" w:themeColor="text1"/>
        </w:rPr>
        <w:t xml:space="preserve">) es de tracto sucesivo, porque la ejecución de las prestaciones se realiza de manera periódica o continua a través del tiempo; v) es principal, porque existe por </w:t>
      </w:r>
      <w:proofErr w:type="spellStart"/>
      <w:r w:rsidRPr="00DB06FE">
        <w:rPr>
          <w:rFonts w:ascii="Verdana" w:hAnsi="Verdana" w:cs="Arial"/>
          <w:color w:val="000000" w:themeColor="text1"/>
        </w:rPr>
        <w:t>si</w:t>
      </w:r>
      <w:proofErr w:type="spellEnd"/>
      <w:r w:rsidRPr="00DB06FE">
        <w:rPr>
          <w:rFonts w:ascii="Verdana" w:hAnsi="Verdana" w:cs="Arial"/>
          <w:color w:val="000000" w:themeColor="text1"/>
        </w:rPr>
        <w:t xml:space="preserve"> solo independientemente de otros contratos; vi) es nominado y típico, dado que cuenta con definición  y regulación legal en los artículos 968 y siguientes del Código de Comercio; y </w:t>
      </w:r>
      <w:proofErr w:type="spellStart"/>
      <w:r w:rsidRPr="00DB06FE">
        <w:rPr>
          <w:rFonts w:ascii="Verdana" w:hAnsi="Verdana" w:cs="Arial"/>
          <w:color w:val="000000" w:themeColor="text1"/>
        </w:rPr>
        <w:t>vii</w:t>
      </w:r>
      <w:proofErr w:type="spellEnd"/>
      <w:r w:rsidRPr="00DB06FE">
        <w:rPr>
          <w:rFonts w:ascii="Verdana" w:hAnsi="Verdana" w:cs="Arial"/>
          <w:color w:val="000000" w:themeColor="text1"/>
        </w:rPr>
        <w:t xml:space="preserve">) en estos </w:t>
      </w:r>
      <w:r w:rsidRPr="00DB06FE">
        <w:rPr>
          <w:rFonts w:ascii="Verdana" w:hAnsi="Verdana" w:cs="Arial"/>
          <w:color w:val="000000" w:themeColor="text1"/>
        </w:rPr>
        <w:lastRenderedPageBreak/>
        <w:t>contratos estatales es potestativa la inclusión de cláusulas excepcionales, de conformidad con el artículo 14 de la Ley 80 de 1993.</w:t>
      </w:r>
    </w:p>
    <w:p w:rsidR="007622A1" w:rsidRPr="00DB06FE" w:rsidRDefault="007622A1" w:rsidP="007622A1">
      <w:pPr>
        <w:spacing w:after="120" w:line="276" w:lineRule="auto"/>
        <w:ind w:firstLine="708"/>
        <w:jc w:val="both"/>
        <w:rPr>
          <w:rFonts w:ascii="Verdana" w:hAnsi="Verdana" w:cs="Arial"/>
        </w:rPr>
      </w:pPr>
      <w:r w:rsidRPr="00DB06FE">
        <w:rPr>
          <w:rFonts w:ascii="Verdana" w:hAnsi="Verdana" w:cs="Arial"/>
        </w:rPr>
        <w:t xml:space="preserve">En el suministro quien se obliga de forma independiente a ejecutar las prestaciones sobre cosas –por lo general bienes muebles para el consumo o producción– o servicios –por lo general prestaciones inmateriales provenientes del esfuerzo humano– de forma periódica o continua se denomina proveedor o </w:t>
      </w:r>
      <w:proofErr w:type="spellStart"/>
      <w:r w:rsidRPr="00DB06FE">
        <w:rPr>
          <w:rFonts w:ascii="Verdana" w:hAnsi="Verdana" w:cs="Arial"/>
        </w:rPr>
        <w:t>suministrante</w:t>
      </w:r>
      <w:proofErr w:type="spellEnd"/>
      <w:r w:rsidRPr="00DB06FE">
        <w:rPr>
          <w:rFonts w:ascii="Verdana" w:hAnsi="Verdana" w:cs="Arial"/>
        </w:rPr>
        <w:t>. Quien se beneficia de las prestaciones ejecutadas y queda a cambio obligado a pagar el precio se denomina consumidor, suministrado, beneficiario o cliente</w:t>
      </w:r>
      <w:r w:rsidRPr="00DB06FE">
        <w:rPr>
          <w:rStyle w:val="Refdenotaalpie"/>
          <w:rFonts w:ascii="Verdana" w:hAnsi="Verdana" w:cs="Arial"/>
        </w:rPr>
        <w:footnoteReference w:id="21"/>
      </w:r>
      <w:r w:rsidRPr="00DB06FE">
        <w:rPr>
          <w:rFonts w:ascii="Verdana" w:hAnsi="Verdana" w:cs="Arial"/>
        </w:rPr>
        <w:t xml:space="preserve">. Este contrato guarda cercanía con otros tipos contractuales. No obstante, su característica identificadora es la periodicidad o continuidad de la ejecución independiente de las prestaciones de cosas o servicios a cargo del proveedor. Por lo anterior, la doctrina reconoce que “debe tenerse en cuenta entonces la posibilidad de que en el contrato de suministro también se apliquen las reglas relativas a otros contratos que le sean compatibles, como son los de compraventa, transporte, obra, etc., particularmente en lo que se relaciona con la prestación periódica individualmente considerada, (art. 980 del </w:t>
      </w:r>
      <w:proofErr w:type="spellStart"/>
      <w:r w:rsidRPr="00DB06FE">
        <w:rPr>
          <w:rFonts w:ascii="Verdana" w:hAnsi="Verdana" w:cs="Arial"/>
        </w:rPr>
        <w:t>C.Co</w:t>
      </w:r>
      <w:proofErr w:type="spellEnd"/>
      <w:r w:rsidRPr="00DB06FE">
        <w:rPr>
          <w:rFonts w:ascii="Verdana" w:hAnsi="Verdana" w:cs="Arial"/>
        </w:rPr>
        <w:t>)”</w:t>
      </w:r>
      <w:r w:rsidRPr="00DB06FE">
        <w:rPr>
          <w:rStyle w:val="Refdenotaalpie"/>
          <w:rFonts w:ascii="Verdana" w:hAnsi="Verdana" w:cs="Arial"/>
        </w:rPr>
        <w:footnoteReference w:id="22"/>
      </w:r>
      <w:r w:rsidRPr="00DB06FE">
        <w:rPr>
          <w:rFonts w:ascii="Verdana" w:hAnsi="Verdana" w:cs="Arial"/>
        </w:rPr>
        <w:t>.</w:t>
      </w:r>
    </w:p>
    <w:p w:rsidR="007622A1" w:rsidRPr="00452069" w:rsidRDefault="007622A1" w:rsidP="007622A1">
      <w:pPr>
        <w:pStyle w:val="Prrafodelista"/>
        <w:widowControl w:val="0"/>
        <w:numPr>
          <w:ilvl w:val="0"/>
          <w:numId w:val="8"/>
        </w:numPr>
        <w:autoSpaceDE w:val="0"/>
        <w:autoSpaceDN w:val="0"/>
        <w:spacing w:line="276" w:lineRule="auto"/>
        <w:ind w:left="0" w:firstLine="567"/>
        <w:jc w:val="both"/>
        <w:rPr>
          <w:rFonts w:ascii="Verdana" w:eastAsia="Calibri" w:hAnsi="Verdana" w:cs="Arial"/>
          <w:color w:val="000000"/>
          <w:lang w:val="es-ES" w:eastAsia="es-ES" w:bidi="es-ES"/>
        </w:rPr>
      </w:pPr>
      <w:r w:rsidRPr="00452069">
        <w:rPr>
          <w:rFonts w:ascii="Verdana" w:hAnsi="Verdana" w:cs="Arial"/>
          <w:lang w:val="es-ES"/>
        </w:rPr>
        <w:t xml:space="preserve">Por otra parte, </w:t>
      </w:r>
      <w:r w:rsidRPr="00452069">
        <w:rPr>
          <w:rFonts w:ascii="Verdana" w:eastAsia="Calibri" w:hAnsi="Verdana" w:cs="Arial"/>
          <w:color w:val="000000" w:themeColor="text1"/>
          <w:lang w:val="es-ES" w:eastAsia="es-ES" w:bidi="es-ES"/>
        </w:rPr>
        <w:t xml:space="preserve">la obra pública es una tipología de los contratos estatales, entendidos estos últimos como los actos jurídicos generadores de obligaciones que han sido celebrados por alguna de las entidades estatales enlistadas en el artículo 2 de la Ley 80 de 1993.  Lo anterior resulta de especial relevancia, en la medida en que dicho tipo contractual se diferencia de la definición y regulación prevista en el derecho privado para el contrato de confección de obra material regulado en el Código Civil.   </w:t>
      </w:r>
    </w:p>
    <w:p w:rsidR="007622A1" w:rsidRPr="00DB06FE" w:rsidRDefault="007622A1" w:rsidP="007622A1">
      <w:pPr>
        <w:widowControl w:val="0"/>
        <w:autoSpaceDE w:val="0"/>
        <w:autoSpaceDN w:val="0"/>
        <w:spacing w:before="120" w:after="0" w:line="276" w:lineRule="auto"/>
        <w:ind w:firstLine="708"/>
        <w:jc w:val="both"/>
        <w:rPr>
          <w:rFonts w:ascii="Verdana" w:eastAsia="Calibri" w:hAnsi="Verdana" w:cs="Arial"/>
          <w:color w:val="000000"/>
          <w:lang w:val="es-ES" w:eastAsia="es-ES" w:bidi="es-ES"/>
        </w:rPr>
      </w:pPr>
      <w:r w:rsidRPr="00DB06FE">
        <w:rPr>
          <w:rFonts w:ascii="Verdana" w:eastAsia="Calibri" w:hAnsi="Verdana" w:cs="Arial"/>
          <w:color w:val="000000" w:themeColor="text1"/>
          <w:lang w:val="es-ES" w:eastAsia="es-ES" w:bidi="es-ES"/>
        </w:rPr>
        <w:t xml:space="preserve">En efecto, </w:t>
      </w:r>
      <w:bookmarkStart w:id="2" w:name="_Hlk81432298"/>
      <w:r w:rsidRPr="00DB06FE">
        <w:rPr>
          <w:rFonts w:ascii="Verdana" w:eastAsia="Calibri" w:hAnsi="Verdana" w:cs="Arial"/>
          <w:color w:val="000000" w:themeColor="text1"/>
          <w:lang w:val="es-ES" w:eastAsia="es-ES" w:bidi="es-ES"/>
        </w:rPr>
        <w:t xml:space="preserve">en el derecho privado brilla por la ausencia una definición del contrato de obra. El artículo 2053 del Código Civil lo tipifica como una de las clases de arrendamiento, y establece reglas para diferenciarlo de la compraventa, para lo cual dispone que “Si al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En todo caso, en la medida en que los artículos 2060 y 2061 del Código disponen reglas especiales para </w:t>
      </w:r>
      <w:r w:rsidRPr="00DB06FE">
        <w:rPr>
          <w:rFonts w:ascii="Verdana" w:eastAsia="Calibri" w:hAnsi="Verdana" w:cs="Arial"/>
          <w:color w:val="000000" w:themeColor="text1"/>
          <w:lang w:val="es-ES" w:eastAsia="es-ES" w:bidi="es-ES"/>
        </w:rPr>
        <w:lastRenderedPageBreak/>
        <w:t xml:space="preserve">los contratos de construcción y de arquitectura, es claro que la realización de trabajos materiales recae tanto sobre bienes muebles como inmuebles. </w:t>
      </w:r>
      <w:bookmarkEnd w:id="2"/>
      <w:r w:rsidRPr="00DB06FE">
        <w:rPr>
          <w:rFonts w:ascii="Verdana" w:eastAsia="Calibri" w:hAnsi="Verdana" w:cs="Arial"/>
          <w:color w:val="000000" w:themeColor="text1"/>
          <w:lang w:val="es-ES" w:eastAsia="es-ES" w:bidi="es-ES"/>
        </w:rPr>
        <w:t>Así, la doctrina considera que:</w:t>
      </w:r>
    </w:p>
    <w:p w:rsidR="007622A1" w:rsidRPr="00DB06FE" w:rsidRDefault="007622A1" w:rsidP="007622A1">
      <w:pPr>
        <w:widowControl w:val="0"/>
        <w:autoSpaceDE w:val="0"/>
        <w:autoSpaceDN w:val="0"/>
        <w:spacing w:after="0" w:line="276" w:lineRule="auto"/>
        <w:ind w:firstLine="708"/>
        <w:jc w:val="both"/>
        <w:rPr>
          <w:rFonts w:ascii="Verdana" w:eastAsia="Calibri" w:hAnsi="Verdana" w:cs="Arial"/>
          <w:color w:val="000000"/>
          <w:lang w:val="es-ES_tradnl" w:eastAsia="es-ES" w:bidi="es-ES"/>
        </w:rPr>
      </w:pPr>
    </w:p>
    <w:p w:rsidR="007622A1" w:rsidRPr="00DB06FE" w:rsidRDefault="007622A1" w:rsidP="007622A1">
      <w:pPr>
        <w:widowControl w:val="0"/>
        <w:autoSpaceDE w:val="0"/>
        <w:autoSpaceDN w:val="0"/>
        <w:spacing w:after="120" w:line="240" w:lineRule="auto"/>
        <w:ind w:left="709" w:right="709"/>
        <w:jc w:val="both"/>
        <w:rPr>
          <w:rFonts w:ascii="Verdana" w:eastAsia="Calibri" w:hAnsi="Verdana" w:cs="Arial"/>
          <w:color w:val="000000"/>
          <w:sz w:val="21"/>
          <w:szCs w:val="21"/>
          <w:lang w:val="es-ES_tradnl" w:eastAsia="es-ES" w:bidi="es-ES"/>
        </w:rPr>
      </w:pPr>
      <w:r w:rsidRPr="00DB06FE">
        <w:rPr>
          <w:rFonts w:ascii="Verdana" w:eastAsia="Calibri" w:hAnsi="Verdana" w:cs="Arial"/>
          <w:color w:val="000000"/>
          <w:sz w:val="21"/>
          <w:szCs w:val="21"/>
          <w:lang w:val="es-ES_tradnl" w:eastAsia="es-ES" w:bidi="es-ES"/>
        </w:rPr>
        <w:t>“Puede definirse el arrendamiento de obra o contrato de confección de obra material como aquél por el cual una persona llamada artífice, se obliga, mediante cierto precio, a ejecutar una obra material. Los elementos de este contrato, fuera del consentimiento indispensable en todo contrato, son la ejecución de la obra y el precio.</w:t>
      </w:r>
    </w:p>
    <w:p w:rsidR="007622A1" w:rsidRPr="00DB06FE" w:rsidRDefault="007622A1" w:rsidP="007622A1">
      <w:pPr>
        <w:widowControl w:val="0"/>
        <w:autoSpaceDE w:val="0"/>
        <w:autoSpaceDN w:val="0"/>
        <w:spacing w:before="120" w:after="0" w:line="240" w:lineRule="auto"/>
        <w:ind w:left="709" w:right="709"/>
        <w:jc w:val="both"/>
        <w:rPr>
          <w:rFonts w:ascii="Verdana" w:eastAsia="Calibri" w:hAnsi="Verdana" w:cs="Arial"/>
          <w:color w:val="000000"/>
          <w:sz w:val="21"/>
          <w:szCs w:val="21"/>
          <w:lang w:val="es-ES_tradnl" w:eastAsia="es-ES" w:bidi="es-ES"/>
        </w:rPr>
      </w:pPr>
      <w:r w:rsidRPr="00DB06FE">
        <w:rPr>
          <w:rFonts w:ascii="Verdana" w:eastAsia="Calibri" w:hAnsi="Verdana" w:cs="Arial"/>
          <w:color w:val="000000"/>
          <w:sz w:val="21"/>
          <w:szCs w:val="21"/>
          <w:lang w:val="es-ES_tradnl" w:eastAsia="es-ES" w:bidi="es-ES"/>
        </w:rPr>
        <w:t>Así como en el arrendamiento de cosas, el arrendador es obligado a suministrar el goce de la cosa, en el arrendamiento de obras es obligado a la ejecución de una obra material; mediante este contrato, el arrendador va a poner su trabajo al servicio de otro para transformar una sustancia en una obra nueva, que puede ser mueble o inmueble; cabe dentro de este contrato los más variados trabajos: el del sastre, del carpintero, del arquitecto, del ingeniero, etc. Lo que caracteriza entonces este contrato es que se haga una obra nueva con una sustancia mediante la transformación de ella por el trabajo del hombre”</w:t>
      </w:r>
      <w:r w:rsidRPr="00DB06FE">
        <w:rPr>
          <w:rFonts w:ascii="Verdana" w:eastAsia="Calibri" w:hAnsi="Verdana" w:cs="Arial"/>
          <w:color w:val="000000"/>
          <w:sz w:val="21"/>
          <w:szCs w:val="21"/>
          <w:vertAlign w:val="superscript"/>
          <w:lang w:val="es-ES_tradnl" w:eastAsia="es-ES" w:bidi="es-ES"/>
        </w:rPr>
        <w:footnoteReference w:id="23"/>
      </w:r>
      <w:r w:rsidRPr="00DB06FE">
        <w:rPr>
          <w:rFonts w:ascii="Verdana" w:eastAsia="Calibri" w:hAnsi="Verdana" w:cs="Arial"/>
          <w:color w:val="000000"/>
          <w:sz w:val="21"/>
          <w:szCs w:val="21"/>
          <w:lang w:val="es-ES_tradnl" w:eastAsia="es-ES" w:bidi="es-ES"/>
        </w:rPr>
        <w:t xml:space="preserve">.  </w:t>
      </w:r>
    </w:p>
    <w:p w:rsidR="007622A1" w:rsidRPr="00DB06FE" w:rsidRDefault="007622A1" w:rsidP="007622A1">
      <w:pPr>
        <w:widowControl w:val="0"/>
        <w:autoSpaceDE w:val="0"/>
        <w:autoSpaceDN w:val="0"/>
        <w:spacing w:after="0" w:line="276" w:lineRule="auto"/>
        <w:ind w:left="709" w:right="709"/>
        <w:jc w:val="both"/>
        <w:rPr>
          <w:rFonts w:ascii="Verdana" w:eastAsia="Calibri" w:hAnsi="Verdana" w:cs="Arial"/>
          <w:color w:val="000000"/>
          <w:lang w:val="es-ES_tradnl" w:eastAsia="es-ES" w:bidi="es-ES"/>
        </w:rPr>
      </w:pPr>
      <w:r w:rsidRPr="00DB06FE">
        <w:rPr>
          <w:rFonts w:ascii="Verdana" w:eastAsia="Calibri" w:hAnsi="Verdana" w:cs="Arial"/>
          <w:color w:val="000000"/>
          <w:sz w:val="21"/>
          <w:szCs w:val="21"/>
          <w:lang w:val="es-ES_tradnl" w:eastAsia="es-ES" w:bidi="es-ES"/>
        </w:rPr>
        <w:t xml:space="preserve">    </w:t>
      </w:r>
    </w:p>
    <w:p w:rsidR="007622A1" w:rsidRPr="00DB06FE" w:rsidRDefault="007622A1" w:rsidP="007622A1">
      <w:pPr>
        <w:widowControl w:val="0"/>
        <w:autoSpaceDE w:val="0"/>
        <w:autoSpaceDN w:val="0"/>
        <w:spacing w:after="0" w:line="276" w:lineRule="auto"/>
        <w:ind w:firstLine="708"/>
        <w:jc w:val="both"/>
        <w:rPr>
          <w:rFonts w:ascii="Verdana" w:eastAsia="Calibri" w:hAnsi="Verdana" w:cs="Arial"/>
          <w:color w:val="000000"/>
          <w:lang w:val="es-ES_tradnl" w:eastAsia="es-ES" w:bidi="es-ES"/>
        </w:rPr>
      </w:pPr>
      <w:bookmarkStart w:id="3" w:name="_Hlk35420344"/>
      <w:r w:rsidRPr="00DB06FE">
        <w:rPr>
          <w:rFonts w:ascii="Verdana" w:eastAsia="Calibri" w:hAnsi="Verdana" w:cs="Arial"/>
          <w:color w:val="000000"/>
          <w:lang w:val="es-ES_tradnl" w:eastAsia="es-ES" w:bidi="es-ES"/>
        </w:rPr>
        <w:t xml:space="preserve">En </w:t>
      </w:r>
      <w:r w:rsidRPr="00DB06FE">
        <w:rPr>
          <w:rFonts w:ascii="Verdana" w:eastAsia="Calibri" w:hAnsi="Verdana" w:cs="Arial"/>
          <w:i/>
          <w:iCs/>
          <w:color w:val="000000"/>
          <w:lang w:val="es-ES_tradnl" w:eastAsia="es-ES" w:bidi="es-ES"/>
        </w:rPr>
        <w:t>sentido amplio</w:t>
      </w:r>
      <w:r w:rsidRPr="00DB06FE">
        <w:rPr>
          <w:rFonts w:ascii="Verdana" w:eastAsia="Calibri" w:hAnsi="Verdana" w:cs="Arial"/>
          <w:color w:val="000000"/>
          <w:lang w:val="es-ES_tradnl" w:eastAsia="es-ES" w:bidi="es-ES"/>
        </w:rPr>
        <w:t xml:space="preserve">, dado que la “obra” es un bien que crea la actividad humana, el hecho de que sea “pública” significa que es todo trabajo material en cuya creación o realización interviene el Estado. No obstante, </w:t>
      </w:r>
      <w:bookmarkStart w:id="4" w:name="_Hlk81428563"/>
      <w:r w:rsidRPr="00DB06FE">
        <w:rPr>
          <w:rFonts w:ascii="Verdana" w:eastAsia="Calibri" w:hAnsi="Verdana" w:cs="Arial"/>
          <w:color w:val="000000"/>
          <w:lang w:val="es-ES_tradnl" w:eastAsia="es-ES" w:bidi="es-ES"/>
        </w:rPr>
        <w:t xml:space="preserve">el numeral 1 del artículo 32 de la Ley 80 de 1993 opta por un </w:t>
      </w:r>
      <w:r w:rsidRPr="00DB06FE">
        <w:rPr>
          <w:rFonts w:ascii="Verdana" w:eastAsia="Calibri" w:hAnsi="Verdana" w:cs="Arial"/>
          <w:i/>
          <w:iCs/>
          <w:color w:val="000000"/>
          <w:lang w:val="es-ES_tradnl" w:eastAsia="es-ES" w:bidi="es-ES"/>
        </w:rPr>
        <w:t>sentido restringido</w:t>
      </w:r>
      <w:r w:rsidRPr="00DB06FE">
        <w:rPr>
          <w:rFonts w:ascii="Verdana" w:eastAsia="Calibri" w:hAnsi="Verdana" w:cs="Arial"/>
          <w:color w:val="000000"/>
          <w:lang w:val="es-ES_tradnl" w:eastAsia="es-ES" w:bidi="es-ES"/>
        </w:rPr>
        <w:t>,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w:t>
      </w:r>
      <w:r w:rsidRPr="00DB06FE">
        <w:rPr>
          <w:rStyle w:val="Refdenotaalpie"/>
          <w:rFonts w:ascii="Verdana" w:eastAsia="Calibri" w:hAnsi="Verdana" w:cs="Arial"/>
          <w:color w:val="000000"/>
          <w:lang w:val="es-ES_tradnl" w:eastAsia="es-ES" w:bidi="es-ES"/>
        </w:rPr>
        <w:footnoteReference w:id="24"/>
      </w:r>
      <w:r w:rsidRPr="00DB06FE">
        <w:rPr>
          <w:rFonts w:ascii="Verdana" w:eastAsia="Calibri" w:hAnsi="Verdana" w:cs="Arial"/>
          <w:color w:val="000000"/>
          <w:lang w:val="es-ES_tradnl" w:eastAsia="es-ES" w:bidi="es-ES"/>
        </w:rPr>
        <w:t xml:space="preserve">.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w:t>
      </w:r>
      <w:r w:rsidRPr="00DB06FE">
        <w:rPr>
          <w:rFonts w:ascii="Verdana" w:eastAsia="Calibri" w:hAnsi="Verdana" w:cs="Arial"/>
          <w:color w:val="000000"/>
          <w:lang w:val="es-ES_tradnl" w:eastAsia="es-ES" w:bidi="es-ES"/>
        </w:rPr>
        <w:lastRenderedPageBreak/>
        <w:t>instalación, conservación, mantenimiento, reparación y demolición de esos mismos</w:t>
      </w:r>
      <w:bookmarkEnd w:id="3"/>
      <w:bookmarkEnd w:id="4"/>
      <w:r w:rsidRPr="00DB06FE">
        <w:rPr>
          <w:rFonts w:ascii="Verdana" w:eastAsia="Calibri" w:hAnsi="Verdana" w:cs="Arial"/>
          <w:color w:val="000000"/>
          <w:vertAlign w:val="superscript"/>
          <w:lang w:val="es-ES_tradnl" w:eastAsia="es-ES" w:bidi="es-ES"/>
        </w:rPr>
        <w:footnoteReference w:id="25"/>
      </w:r>
      <w:r w:rsidRPr="00DB06FE">
        <w:rPr>
          <w:rFonts w:ascii="Verdana" w:eastAsia="Calibri" w:hAnsi="Verdana" w:cs="Arial"/>
          <w:color w:val="000000"/>
          <w:lang w:val="es-ES_tradnl" w:eastAsia="es-ES" w:bidi="es-ES"/>
        </w:rPr>
        <w:t>. De esta manera:</w:t>
      </w:r>
    </w:p>
    <w:p w:rsidR="007622A1" w:rsidRPr="00DB06FE" w:rsidRDefault="007622A1" w:rsidP="007622A1">
      <w:pPr>
        <w:widowControl w:val="0"/>
        <w:autoSpaceDE w:val="0"/>
        <w:autoSpaceDN w:val="0"/>
        <w:spacing w:after="0" w:line="276" w:lineRule="auto"/>
        <w:ind w:firstLine="709"/>
        <w:jc w:val="both"/>
        <w:rPr>
          <w:rFonts w:ascii="Verdana" w:eastAsia="Calibri" w:hAnsi="Verdana" w:cs="Arial"/>
          <w:color w:val="000000"/>
          <w:lang w:val="es-ES_tradnl" w:eastAsia="es-ES" w:bidi="es-ES"/>
        </w:rPr>
      </w:pPr>
    </w:p>
    <w:p w:rsidR="007622A1" w:rsidRPr="00DB06FE" w:rsidRDefault="007622A1" w:rsidP="007622A1">
      <w:pPr>
        <w:widowControl w:val="0"/>
        <w:autoSpaceDE w:val="0"/>
        <w:autoSpaceDN w:val="0"/>
        <w:spacing w:line="240" w:lineRule="auto"/>
        <w:ind w:left="709" w:right="709"/>
        <w:jc w:val="both"/>
        <w:rPr>
          <w:rFonts w:ascii="Verdana" w:eastAsia="Calibri" w:hAnsi="Verdana" w:cs="Arial"/>
          <w:color w:val="000000"/>
          <w:sz w:val="21"/>
          <w:szCs w:val="21"/>
          <w:lang w:val="es-ES_tradnl" w:eastAsia="es-ES" w:bidi="es-ES"/>
        </w:rPr>
      </w:pPr>
      <w:r w:rsidRPr="00DB06FE">
        <w:rPr>
          <w:rFonts w:ascii="Verdana" w:eastAsia="Calibri" w:hAnsi="Verdana" w:cs="Arial"/>
          <w:color w:val="000000"/>
          <w:sz w:val="21"/>
          <w:szCs w:val="21"/>
          <w:lang w:val="es-ES_tradnl" w:eastAsia="es-ES" w:bidi="es-ES"/>
        </w:rPr>
        <w:t xml:space="preserve">“[…] el legislador limitó la naturaleza de los contratos de obra a las actividades de trabajos materiales exclusivamente sobre bienes inmuebles, independientemente de su modalidad de ejecución y pago. De esta forma, acogió la posición de una parte de la doctrina y del derecho comparado, que vinculan la tipificación del contrato de obra a aquellas actividades realizadas sobre bienes inmuebles. </w:t>
      </w:r>
    </w:p>
    <w:p w:rsidR="007622A1" w:rsidRPr="00DB06FE" w:rsidRDefault="007622A1" w:rsidP="007622A1">
      <w:pPr>
        <w:widowControl w:val="0"/>
        <w:autoSpaceDE w:val="0"/>
        <w:autoSpaceDN w:val="0"/>
        <w:spacing w:before="120" w:after="0" w:line="240" w:lineRule="auto"/>
        <w:ind w:left="709" w:right="709"/>
        <w:jc w:val="both"/>
        <w:rPr>
          <w:rFonts w:ascii="Verdana" w:eastAsia="Calibri" w:hAnsi="Verdana" w:cs="Arial"/>
          <w:color w:val="000000"/>
          <w:sz w:val="21"/>
          <w:szCs w:val="21"/>
          <w:lang w:val="es-ES_tradnl" w:eastAsia="es-ES" w:bidi="es-ES"/>
        </w:rPr>
      </w:pPr>
      <w:r w:rsidRPr="00DB06FE">
        <w:rPr>
          <w:rFonts w:ascii="Verdana" w:eastAsia="Calibri" w:hAnsi="Verdana" w:cs="Arial"/>
          <w:color w:val="000000"/>
          <w:sz w:val="21"/>
          <w:szCs w:val="21"/>
          <w:lang w:val="es-ES_tradnl" w:eastAsia="es-ES" w:bidi="es-ES"/>
        </w:rPr>
        <w:t>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w:t>
      </w:r>
      <w:r w:rsidRPr="00DB06FE">
        <w:rPr>
          <w:rFonts w:ascii="Verdana" w:eastAsia="Calibri" w:hAnsi="Verdana" w:cs="Arial"/>
          <w:color w:val="000000"/>
          <w:sz w:val="21"/>
          <w:szCs w:val="21"/>
          <w:vertAlign w:val="superscript"/>
          <w:lang w:val="es-ES_tradnl" w:eastAsia="es-ES" w:bidi="es-ES"/>
        </w:rPr>
        <w:footnoteReference w:id="26"/>
      </w:r>
      <w:r w:rsidRPr="00DB06FE">
        <w:rPr>
          <w:rFonts w:ascii="Verdana" w:eastAsia="Calibri" w:hAnsi="Verdana" w:cs="Arial"/>
          <w:color w:val="000000"/>
          <w:sz w:val="21"/>
          <w:szCs w:val="21"/>
          <w:lang w:val="es-ES_tradnl" w:eastAsia="es-ES" w:bidi="es-ES"/>
        </w:rPr>
        <w:t>.</w:t>
      </w:r>
    </w:p>
    <w:p w:rsidR="007622A1" w:rsidRPr="00DB06FE" w:rsidRDefault="007622A1" w:rsidP="007622A1">
      <w:pPr>
        <w:widowControl w:val="0"/>
        <w:autoSpaceDE w:val="0"/>
        <w:autoSpaceDN w:val="0"/>
        <w:spacing w:after="0" w:line="276" w:lineRule="auto"/>
        <w:ind w:left="709" w:right="709"/>
        <w:jc w:val="both"/>
        <w:rPr>
          <w:rFonts w:ascii="Verdana" w:eastAsia="Calibri" w:hAnsi="Verdana" w:cs="Arial"/>
          <w:color w:val="000000"/>
          <w:lang w:val="es-ES_tradnl" w:eastAsia="es-ES" w:bidi="es-ES"/>
        </w:rPr>
      </w:pPr>
    </w:p>
    <w:p w:rsidR="007622A1" w:rsidRPr="00DB06FE" w:rsidRDefault="007622A1" w:rsidP="007622A1">
      <w:pPr>
        <w:widowControl w:val="0"/>
        <w:autoSpaceDE w:val="0"/>
        <w:autoSpaceDN w:val="0"/>
        <w:spacing w:after="120" w:line="276" w:lineRule="auto"/>
        <w:ind w:firstLine="708"/>
        <w:jc w:val="both"/>
        <w:rPr>
          <w:rFonts w:ascii="Verdana" w:eastAsia="Calibri" w:hAnsi="Verdana" w:cs="Arial"/>
          <w:color w:val="000000"/>
          <w:lang w:val="es-ES_tradnl" w:eastAsia="es-ES" w:bidi="es-ES"/>
        </w:rPr>
      </w:pPr>
      <w:r w:rsidRPr="00DB06FE">
        <w:rPr>
          <w:rFonts w:ascii="Verdana" w:eastAsia="Calibri" w:hAnsi="Verdana" w:cs="Arial"/>
          <w:color w:val="000000"/>
          <w:lang w:val="es-ES_tradnl" w:eastAsia="es-ES" w:bidi="es-ES"/>
        </w:rPr>
        <w:t>En la disposición citada, el contrato de obra pública no se limita a la construcción de inmuebles, pues la definición se extiende a las actividades de mantenimiento e instalación, lo cual supone un bien preexistente. Para la Real Academia Española “construir” significa fabricar, erigir, edificar y hacer de nueva planta una cosa; en tanto que “mantener” significa conservar una cosa en su ser, darle vigor y permanencia; y, finalmente, “instalar” es poner o colocar algo en su lugar debido. Igualmente, el concepto se extiende a cualquier trabajo material realizado sobre bienes inmuebles, tales como la reforma y la demolición.</w:t>
      </w:r>
    </w:p>
    <w:p w:rsidR="007622A1" w:rsidRPr="00DB06FE" w:rsidRDefault="007622A1" w:rsidP="007622A1">
      <w:pPr>
        <w:spacing w:after="0" w:line="276" w:lineRule="auto"/>
        <w:ind w:firstLine="708"/>
        <w:jc w:val="both"/>
        <w:rPr>
          <w:rFonts w:ascii="Verdana" w:hAnsi="Verdana" w:cs="Arial"/>
          <w:bCs/>
          <w:lang w:val="es-ES_tradnl"/>
        </w:rPr>
      </w:pPr>
      <w:r w:rsidRPr="00DB06FE">
        <w:rPr>
          <w:rFonts w:ascii="Verdana" w:hAnsi="Verdana" w:cs="Arial"/>
          <w:bCs/>
          <w:lang w:val="es-ES_tradnl"/>
        </w:rPr>
        <w:t xml:space="preserve">Teniendo en cuenta lo anterior, lo que el peticionario denomina como </w:t>
      </w:r>
      <w:bookmarkStart w:id="5" w:name="_Hlk131153031"/>
      <w:r w:rsidRPr="00DB06FE">
        <w:rPr>
          <w:rFonts w:ascii="Verdana" w:hAnsi="Verdana" w:cs="Arial"/>
          <w:bCs/>
          <w:i/>
          <w:iCs/>
          <w:lang w:val="es-ES_tradnl"/>
        </w:rPr>
        <w:t>“contrato por monto agotable”</w:t>
      </w:r>
      <w:bookmarkEnd w:id="5"/>
      <w:r w:rsidRPr="00DB06FE">
        <w:rPr>
          <w:rFonts w:ascii="Verdana" w:hAnsi="Verdana" w:cs="Arial"/>
          <w:bCs/>
          <w:i/>
          <w:iCs/>
          <w:lang w:val="es-ES_tradnl"/>
        </w:rPr>
        <w:t xml:space="preserve">, </w:t>
      </w:r>
      <w:r w:rsidRPr="00DB06FE">
        <w:rPr>
          <w:rFonts w:ascii="Verdana" w:hAnsi="Verdana" w:cs="Arial"/>
          <w:bCs/>
          <w:lang w:val="es-ES_tradnl"/>
        </w:rPr>
        <w:t xml:space="preserve">en realidad puede corresponder a un contrato de suministro o de obra, donde se pacta el pago de la contraprestación a precios unitarios, conforme a unos valores asignados, que son objeto del negocio y que se entregan a la entidad, durante el plazo de ejecución del contrato, sin exceder el valor o presupuesto oficial asignado por la entidad contratante para el efecto. Lo anterior, en vista de que la figura del “contrato por monto agotable” no existe en las leyes civiles y comerciales ni en el EGCAP como una figura contractual típica ni atípica. En este contexto, se encuentra más relacionada con el establecimiento de la forma de pago. Como explica </w:t>
      </w:r>
      <w:r w:rsidRPr="00DB06FE">
        <w:rPr>
          <w:rFonts w:ascii="Verdana" w:hAnsi="Verdana" w:cs="Arial"/>
          <w:bCs/>
          <w:lang w:val="es-ES_tradnl"/>
        </w:rPr>
        <w:lastRenderedPageBreak/>
        <w:t xml:space="preserve">la doctrina, existen </w:t>
      </w:r>
      <w:r w:rsidRPr="00DB06FE">
        <w:rPr>
          <w:rFonts w:ascii="Verdana" w:hAnsi="Verdana" w:cs="Arial"/>
          <w:bCs/>
          <w:i/>
          <w:iCs/>
          <w:lang w:val="es-ES_tradnl"/>
        </w:rPr>
        <w:t>contratos de suministro</w:t>
      </w:r>
      <w:r w:rsidRPr="00DB06FE">
        <w:rPr>
          <w:rFonts w:ascii="Verdana" w:hAnsi="Verdana" w:cs="Arial"/>
          <w:bCs/>
          <w:lang w:val="es-ES_tradnl"/>
        </w:rPr>
        <w:t xml:space="preserve"> donde el contratista se obliga a entregar los bienes por un precio unitario, sin que la cuantía se defina exactamente al tiempo de celebrar el contrato, ya que las entregas estas subordinadas a las necesidades de la entidad:</w:t>
      </w:r>
    </w:p>
    <w:p w:rsidR="007622A1" w:rsidRPr="00DB06FE" w:rsidRDefault="007622A1" w:rsidP="007622A1">
      <w:pPr>
        <w:spacing w:after="0" w:line="276" w:lineRule="auto"/>
        <w:ind w:firstLine="708"/>
        <w:jc w:val="both"/>
        <w:rPr>
          <w:rFonts w:ascii="Verdana" w:hAnsi="Verdana" w:cs="Arial"/>
          <w:bCs/>
          <w:lang w:val="es-ES_tradnl"/>
        </w:rPr>
      </w:pPr>
    </w:p>
    <w:p w:rsidR="007622A1" w:rsidRPr="00DB06FE" w:rsidRDefault="007622A1" w:rsidP="007622A1">
      <w:pPr>
        <w:spacing w:after="0" w:line="240" w:lineRule="auto"/>
        <w:ind w:left="709" w:right="709"/>
        <w:jc w:val="both"/>
        <w:rPr>
          <w:rFonts w:ascii="Verdana" w:hAnsi="Verdana" w:cs="Arial"/>
          <w:bCs/>
          <w:sz w:val="21"/>
          <w:szCs w:val="21"/>
          <w:lang w:val="es-ES_tradnl"/>
        </w:rPr>
      </w:pPr>
      <w:r w:rsidRPr="00DB06FE">
        <w:rPr>
          <w:rFonts w:ascii="Verdana" w:hAnsi="Verdana" w:cs="Arial"/>
          <w:bCs/>
          <w:sz w:val="21"/>
          <w:szCs w:val="21"/>
          <w:lang w:val="es-ES_tradnl"/>
        </w:rPr>
        <w:t>“Esta modalidad de suministro, conocida como contrato de suministro de tracto sucesivo por precio unitario, se caracteriza por la indeterminación relativa del objeto del contrato y, por lo tanto, del precio, ya que están identificados el producto a suministrar y el precio unitario del mismo, pero no el número de unidades que deberán entregarse a la entidad contratante al amparo del contrato, lo que implica que no se conozca con exactitud, tampoco, el precio global que deberá abonarse al contratista.</w:t>
      </w:r>
    </w:p>
    <w:p w:rsidR="007622A1" w:rsidRPr="00DB06FE" w:rsidRDefault="007622A1" w:rsidP="007622A1">
      <w:pPr>
        <w:spacing w:after="120" w:line="240" w:lineRule="auto"/>
        <w:ind w:left="709" w:right="709"/>
        <w:jc w:val="both"/>
        <w:rPr>
          <w:rFonts w:ascii="Verdana" w:hAnsi="Verdana" w:cs="Arial"/>
          <w:bCs/>
          <w:sz w:val="21"/>
          <w:szCs w:val="21"/>
          <w:lang w:val="es-ES_tradnl"/>
        </w:rPr>
      </w:pPr>
      <w:r w:rsidRPr="00DB06FE">
        <w:rPr>
          <w:rFonts w:ascii="Verdana" w:hAnsi="Verdana" w:cs="Arial"/>
          <w:bCs/>
          <w:sz w:val="21"/>
          <w:szCs w:val="21"/>
          <w:lang w:val="es-ES_tradnl"/>
        </w:rPr>
        <w:t>[…]</w:t>
      </w:r>
    </w:p>
    <w:p w:rsidR="007622A1" w:rsidRPr="00DB06FE" w:rsidRDefault="007622A1" w:rsidP="007622A1">
      <w:pPr>
        <w:spacing w:after="0" w:line="240" w:lineRule="auto"/>
        <w:ind w:left="709" w:right="709"/>
        <w:jc w:val="both"/>
        <w:rPr>
          <w:rFonts w:ascii="Verdana" w:hAnsi="Verdana" w:cs="Arial"/>
          <w:bCs/>
          <w:sz w:val="21"/>
          <w:szCs w:val="21"/>
          <w:lang w:val="es-ES_tradnl"/>
        </w:rPr>
      </w:pPr>
      <w:bookmarkStart w:id="6" w:name="_Hlk131174588"/>
      <w:r w:rsidRPr="00DB06FE">
        <w:rPr>
          <w:rFonts w:ascii="Verdana" w:hAnsi="Verdana" w:cs="Arial"/>
          <w:bCs/>
          <w:i/>
          <w:iCs/>
          <w:sz w:val="21"/>
          <w:szCs w:val="21"/>
          <w:lang w:val="es-ES_tradnl"/>
        </w:rPr>
        <w:t>En este tipo de contratos debe existir un presupuesto limitativo, establecido con el carácter del máximo, y debe preverse la posibilidad de que el objeto del contrato, y por ende el presupuesto máximo, se modifiquen en caso de que la entidad contratante necesite de un mayor número de unidades de producto de las inicialmente estimadas</w:t>
      </w:r>
      <w:r w:rsidRPr="00DB06FE">
        <w:rPr>
          <w:rFonts w:ascii="Verdana" w:hAnsi="Verdana" w:cs="Arial"/>
          <w:bCs/>
          <w:sz w:val="21"/>
          <w:szCs w:val="21"/>
          <w:lang w:val="es-ES_tradnl"/>
        </w:rPr>
        <w:t xml:space="preserve"> </w:t>
      </w:r>
      <w:bookmarkEnd w:id="6"/>
      <w:r w:rsidRPr="00DB06FE">
        <w:rPr>
          <w:rFonts w:ascii="Verdana" w:hAnsi="Verdana" w:cs="Arial"/>
          <w:bCs/>
          <w:sz w:val="21"/>
          <w:szCs w:val="21"/>
          <w:lang w:val="es-ES_tradnl"/>
        </w:rPr>
        <w:t>[…] Es muy importante destacar que por vía de modificación del contrato no pueden establecerse nuevos precios unitarios no previstos inicialmente, por lo que […] se trata de prever la ampliación del número de unidades a suministrar, manteniéndose el precio unitario pactado originalmente”</w:t>
      </w:r>
      <w:r w:rsidRPr="00DB06FE">
        <w:rPr>
          <w:rStyle w:val="Refdenotaalpie"/>
          <w:rFonts w:ascii="Verdana" w:hAnsi="Verdana" w:cs="Arial"/>
          <w:bCs/>
          <w:sz w:val="21"/>
          <w:szCs w:val="21"/>
          <w:lang w:val="es-ES_tradnl"/>
        </w:rPr>
        <w:footnoteReference w:id="27"/>
      </w:r>
      <w:r w:rsidRPr="00DB06FE">
        <w:rPr>
          <w:rFonts w:ascii="Verdana" w:hAnsi="Verdana" w:cs="Arial"/>
          <w:bCs/>
          <w:sz w:val="21"/>
          <w:szCs w:val="21"/>
          <w:lang w:val="es-ES_tradnl"/>
        </w:rPr>
        <w:t xml:space="preserve">. (Énfasis fuera de texto)           </w:t>
      </w:r>
    </w:p>
    <w:p w:rsidR="007622A1" w:rsidRPr="00DB06FE" w:rsidRDefault="007622A1" w:rsidP="007622A1">
      <w:pPr>
        <w:spacing w:after="0" w:line="276" w:lineRule="auto"/>
        <w:ind w:left="709" w:right="709"/>
        <w:jc w:val="both"/>
        <w:rPr>
          <w:rFonts w:ascii="Verdana" w:hAnsi="Verdana" w:cs="Arial"/>
          <w:bCs/>
          <w:lang w:val="es-ES_tradnl"/>
        </w:rPr>
      </w:pPr>
    </w:p>
    <w:p w:rsidR="007622A1" w:rsidRPr="00DB06FE" w:rsidRDefault="007622A1" w:rsidP="007622A1">
      <w:pPr>
        <w:spacing w:after="120" w:line="276" w:lineRule="auto"/>
        <w:ind w:firstLine="708"/>
        <w:jc w:val="both"/>
        <w:rPr>
          <w:rFonts w:ascii="Verdana" w:hAnsi="Verdana" w:cs="Arial"/>
          <w:bCs/>
          <w:lang w:val="es-ES_tradnl"/>
        </w:rPr>
      </w:pPr>
      <w:r w:rsidRPr="00DB06FE">
        <w:rPr>
          <w:rFonts w:ascii="Verdana" w:hAnsi="Verdana" w:cs="Arial"/>
          <w:bCs/>
          <w:lang w:val="es-ES_tradnl"/>
        </w:rPr>
        <w:t xml:space="preserve">Una situación similar se presenta en algunos </w:t>
      </w:r>
      <w:r w:rsidRPr="00DB06FE">
        <w:rPr>
          <w:rFonts w:ascii="Verdana" w:hAnsi="Verdana" w:cs="Arial"/>
          <w:bCs/>
          <w:i/>
          <w:iCs/>
          <w:lang w:val="es-ES_tradnl"/>
        </w:rPr>
        <w:t>contratos de obra</w:t>
      </w:r>
      <w:r w:rsidRPr="00DB06FE">
        <w:rPr>
          <w:rFonts w:ascii="Verdana" w:hAnsi="Verdana" w:cs="Arial"/>
          <w:bCs/>
          <w:lang w:val="es-ES_tradnl"/>
        </w:rPr>
        <w:t xml:space="preserve"> a precios unitarios donde, pese a que se encuentra establecido los ítems y el valor de cada uno de ellos, las cantidades definitivas dependen de lo efectivamente ejecutado al finalizar el plazo</w:t>
      </w:r>
      <w:r w:rsidRPr="00DB06FE">
        <w:rPr>
          <w:rStyle w:val="Refdenotaalpie"/>
          <w:rFonts w:ascii="Verdana" w:hAnsi="Verdana" w:cs="Arial"/>
          <w:bCs/>
          <w:lang w:val="es-ES_tradnl"/>
        </w:rPr>
        <w:footnoteReference w:id="28"/>
      </w:r>
      <w:r w:rsidRPr="00DB06FE">
        <w:rPr>
          <w:rFonts w:ascii="Verdana" w:hAnsi="Verdana" w:cs="Arial"/>
          <w:bCs/>
          <w:lang w:val="es-ES_tradnl"/>
        </w:rPr>
        <w:t xml:space="preserve">. En este sistema las partes establecen una suma fija por cada unidad de los trabajos que debe ejecutar el contratista, por lo que el precio –a diferencia del ajuste alzado o la suma cerrada– no se determina por la totalidad de la obra, sino por cada parte, unidad o medida. Para la doctrina, “Se trata de un sistema flexible en el precio y en la obra, por cuanto ambos solo van a queda definitivamente determinados al momento de la conclusión de las obras, circunstancia en la que recién podrán conocerse con exactitud la cantidad de unidades ejecutadas por el constructor y, del </w:t>
      </w:r>
      <w:r w:rsidRPr="00DB06FE">
        <w:rPr>
          <w:rFonts w:ascii="Verdana" w:hAnsi="Verdana" w:cs="Arial"/>
          <w:bCs/>
          <w:lang w:val="es-ES_tradnl"/>
        </w:rPr>
        <w:lastRenderedPageBreak/>
        <w:t>mismo modo, el precio definitivo a ser pagado por el comitente”</w:t>
      </w:r>
      <w:r w:rsidRPr="00DB06FE">
        <w:rPr>
          <w:rStyle w:val="Refdenotaalpie"/>
          <w:rFonts w:ascii="Verdana" w:hAnsi="Verdana" w:cs="Arial"/>
          <w:bCs/>
          <w:lang w:val="es-ES_tradnl"/>
        </w:rPr>
        <w:footnoteReference w:id="29"/>
      </w:r>
      <w:r w:rsidRPr="00DB06FE">
        <w:rPr>
          <w:rFonts w:ascii="Verdana" w:hAnsi="Verdana" w:cs="Arial"/>
          <w:bCs/>
          <w:lang w:val="es-ES_tradnl"/>
        </w:rPr>
        <w:t>. En este caso, también se requiere establecer un tope máximo para la adelantar las obras, ya que “[…] el precio total depende del conjunto de trabajos ejecutados según el presupuesto, pudiendo por tanto variar por nuevos trabajos adicionales […]”</w:t>
      </w:r>
      <w:r w:rsidRPr="00DB06FE">
        <w:rPr>
          <w:rStyle w:val="Refdenotaalpie"/>
          <w:rFonts w:ascii="Verdana" w:hAnsi="Verdana" w:cs="Arial"/>
          <w:bCs/>
          <w:lang w:val="es-ES_tradnl"/>
        </w:rPr>
        <w:footnoteReference w:id="30"/>
      </w:r>
      <w:r w:rsidRPr="00DB06FE">
        <w:rPr>
          <w:rFonts w:ascii="Verdana" w:hAnsi="Verdana" w:cs="Arial"/>
          <w:bCs/>
          <w:lang w:val="es-ES_tradnl"/>
        </w:rPr>
        <w:t xml:space="preserve">. Por lo demás, a pesar de que el precio del contrato se fije por un monto agotable, este no deja de pertenecer a la tipología del artículo 32.1 del Estatuto General de Contratación de la Administración Pública, especialmente, cuando –conforme al tenor literal de la norma– la obra pública existe </w:t>
      </w:r>
      <w:r w:rsidRPr="00DB06FE">
        <w:rPr>
          <w:rFonts w:ascii="Verdana" w:eastAsia="Calibri" w:hAnsi="Verdana" w:cs="Arial"/>
          <w:color w:val="000000"/>
          <w:lang w:val="es-ES_tradnl" w:eastAsia="es-ES" w:bidi="es-ES"/>
        </w:rPr>
        <w:t>cualquiera que sea la modalidad de ejecución y pago.</w:t>
      </w:r>
      <w:r w:rsidRPr="00DB06FE">
        <w:rPr>
          <w:rFonts w:ascii="Verdana" w:hAnsi="Verdana" w:cs="Arial"/>
          <w:bCs/>
          <w:lang w:val="es-ES_tradnl"/>
        </w:rPr>
        <w:t xml:space="preserve">      </w:t>
      </w:r>
    </w:p>
    <w:p w:rsidR="007622A1" w:rsidRPr="00DB06FE" w:rsidRDefault="007622A1" w:rsidP="007622A1">
      <w:pPr>
        <w:spacing w:after="120" w:line="276" w:lineRule="auto"/>
        <w:ind w:firstLine="708"/>
        <w:jc w:val="both"/>
        <w:rPr>
          <w:rFonts w:ascii="Verdana" w:hAnsi="Verdana" w:cs="Arial"/>
          <w:bCs/>
          <w:lang w:val="es-ES_tradnl"/>
        </w:rPr>
      </w:pPr>
      <w:r w:rsidRPr="00DB06FE">
        <w:rPr>
          <w:rFonts w:ascii="Verdana" w:hAnsi="Verdana" w:cs="Arial"/>
          <w:bCs/>
          <w:lang w:val="es-ES_tradnl"/>
        </w:rPr>
        <w:t xml:space="preserve">Sin perjuicio de lo anterior, la estructuración del precio del contrato y la forma de pago a precios unitarios, según la demanda de obras, bienes o servicios requeridos por la entidad contratante durante el plazo del contrato, sin exceder el presupuesto oficial, es una modalidad de pacto contractual admisible en el contrato estatal que puede utilizarse por las entidades públicas. En efecto, puede resultar procedente si en la etapa de planeación del contrato, producto de los estudios previos y el análisis del sector y de los oferentes, se observa que la misma resulta adecuada para satisfacer de mejor manera la necesidad que se pretende satisfacer con el proceso de contratación y puede generar algún beneficio, como por ejemplo, la posibilidad de contar con precios fijos de las obras, bienes o servicios que se adquirirán durante el plazo de ejecución, controlando el gasto con el propósito de evitar el exceso en el presupuesto oficial. En todo caso, la decisión de acudir a este tipo de cláusulas, usualmente incorporadas en la “forma de pago” o en el “valor del contrato”, es de la autonomía de las entidades públicas rectoras de sus procesos de contratación porque no están prohibidas o restringidas en la contratación estatal, y podrá adoptarse previa justificación en los estudios previos que soportan el objeto y las condiciones de ejecución del contrato.   </w:t>
      </w:r>
    </w:p>
    <w:p w:rsidR="007622A1" w:rsidRPr="00DB06FE" w:rsidRDefault="007622A1" w:rsidP="007622A1">
      <w:pPr>
        <w:spacing w:after="0" w:line="276" w:lineRule="auto"/>
        <w:ind w:firstLine="708"/>
        <w:jc w:val="both"/>
        <w:rPr>
          <w:rFonts w:ascii="Verdana" w:hAnsi="Verdana" w:cs="Arial"/>
          <w:bCs/>
          <w:lang w:val="es-ES_tradnl"/>
        </w:rPr>
      </w:pPr>
      <w:r w:rsidRPr="00DB06FE">
        <w:rPr>
          <w:rFonts w:ascii="Verdana" w:hAnsi="Verdana" w:cs="Arial"/>
          <w:bCs/>
          <w:lang w:val="es-ES_tradnl"/>
        </w:rPr>
        <w:t>De acuerdo con la explicación precedente, el denominado “contrato por monto agotable” no es una forma de contratación típica ni atípica en el ordenamiento colombiano, pues –aunque no esté expresamente regulado– corresponde una las formas en que puede pactarse el pago en los contratos a precios unitarios. Si bien es usual en algunos contratos de obra y suministro, nada obsta para que –de acuerdo con los estudios previos– se incluya en otras tipologías contractuales cuando la Administración lo estime conveniente y necesario, pues “</w:t>
      </w:r>
      <w:r w:rsidRPr="00DB06FE">
        <w:rPr>
          <w:rFonts w:ascii="Verdana" w:hAnsi="Verdana" w:cs="Arial"/>
          <w:bCs/>
        </w:rPr>
        <w:t xml:space="preserve">Las entidades podrán </w:t>
      </w:r>
      <w:r w:rsidRPr="00DB06FE">
        <w:rPr>
          <w:rFonts w:ascii="Verdana" w:hAnsi="Verdana" w:cs="Arial"/>
          <w:bCs/>
        </w:rPr>
        <w:lastRenderedPageBreak/>
        <w:t>celebrar los contratos y acuerdos que permitan la autonomía de la voluntad y requieran el cumplimiento de los fines estatales” y, por tanto, “En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 (</w:t>
      </w:r>
      <w:r w:rsidRPr="00DB06FE">
        <w:rPr>
          <w:rFonts w:ascii="Verdana" w:hAnsi="Verdana" w:cs="Arial"/>
          <w:bCs/>
          <w:lang w:val="es-ES_tradnl"/>
        </w:rPr>
        <w:t>artículo 40 de la Ley 80 de 1993)</w:t>
      </w:r>
      <w:r w:rsidRPr="00DB06FE">
        <w:rPr>
          <w:rFonts w:ascii="Verdana" w:hAnsi="Verdana" w:cs="Arial"/>
          <w:bCs/>
        </w:rPr>
        <w:t xml:space="preserve">. Por ello, dado que el contrato objeto de consulta carece de autonomía normativa como contrato atípico no existe registro de las necesidades, entidades o cuantías solicitadas en la consulta, pues no es un parámetro válido para la búsqueda en SECOP.  </w:t>
      </w:r>
    </w:p>
    <w:p w:rsidR="007622A1" w:rsidRPr="00DB06FE" w:rsidRDefault="007622A1" w:rsidP="007622A1">
      <w:pPr>
        <w:spacing w:after="120" w:line="276" w:lineRule="auto"/>
        <w:jc w:val="both"/>
        <w:rPr>
          <w:rFonts w:ascii="Verdana" w:hAnsi="Verdana" w:cs="Arial"/>
          <w:noProof/>
          <w:lang w:val="es-ES_tradnl"/>
        </w:rPr>
      </w:pPr>
    </w:p>
    <w:p w:rsidR="007622A1" w:rsidRPr="00DB06FE" w:rsidRDefault="007622A1" w:rsidP="007622A1">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B06FE">
        <w:rPr>
          <w:rFonts w:ascii="Verdana" w:eastAsia="Century Gothic" w:hAnsi="Verdana" w:cs="Century Gothic"/>
          <w:b/>
          <w:bCs/>
        </w:rPr>
        <w:t>Referencias normativas, jurisprudenciales y otras fuentes:</w:t>
      </w:r>
    </w:p>
    <w:p w:rsidR="007622A1" w:rsidRPr="00DB06FE" w:rsidRDefault="007622A1" w:rsidP="007622A1">
      <w:pPr>
        <w:spacing w:after="120" w:line="276" w:lineRule="auto"/>
        <w:ind w:right="709" w:firstLine="709"/>
        <w:jc w:val="both"/>
        <w:rPr>
          <w:rFonts w:ascii="Verdana" w:hAnsi="Verdana" w:cs="Arial"/>
          <w:noProof/>
          <w:lang w:val="es-ES"/>
        </w:rPr>
      </w:pPr>
    </w:p>
    <w:p w:rsidR="007622A1" w:rsidRPr="00DB06FE" w:rsidRDefault="007622A1" w:rsidP="007622A1">
      <w:pPr>
        <w:pStyle w:val="Prrafodelista"/>
        <w:numPr>
          <w:ilvl w:val="0"/>
          <w:numId w:val="2"/>
        </w:numPr>
        <w:spacing w:after="120" w:line="276" w:lineRule="auto"/>
        <w:ind w:right="709"/>
        <w:jc w:val="both"/>
        <w:rPr>
          <w:rFonts w:ascii="Verdana" w:hAnsi="Verdana" w:cs="Arial"/>
          <w:noProof/>
          <w:lang w:val="es-ES_tradnl"/>
        </w:rPr>
      </w:pPr>
      <w:r>
        <w:rPr>
          <w:rFonts w:ascii="Verdana" w:eastAsia="Calibri" w:hAnsi="Verdana" w:cs="Arial"/>
          <w:bCs/>
          <w:lang w:val="es-MX"/>
        </w:rPr>
        <w:t xml:space="preserve">Artículo </w:t>
      </w:r>
      <w:r w:rsidRPr="00DB06FE">
        <w:rPr>
          <w:rFonts w:ascii="Verdana" w:hAnsi="Verdana" w:cs="Arial"/>
          <w:bCs/>
        </w:rPr>
        <w:t>13</w:t>
      </w:r>
      <w:r>
        <w:rPr>
          <w:rFonts w:ascii="Verdana" w:hAnsi="Verdana" w:cs="Arial"/>
          <w:bCs/>
        </w:rPr>
        <w:t xml:space="preserve">, </w:t>
      </w:r>
      <w:r w:rsidRPr="00DB06FE">
        <w:rPr>
          <w:rFonts w:ascii="Verdana" w:hAnsi="Verdana" w:cs="Arial"/>
          <w:bCs/>
        </w:rPr>
        <w:t>32</w:t>
      </w:r>
      <w:r>
        <w:rPr>
          <w:rFonts w:ascii="Verdana" w:eastAsia="Calibri" w:hAnsi="Verdana" w:cs="Arial"/>
          <w:bCs/>
          <w:lang w:val="es-MX"/>
        </w:rPr>
        <w:t xml:space="preserve"> y 40 de </w:t>
      </w:r>
      <w:r w:rsidRPr="00DB06FE">
        <w:rPr>
          <w:rFonts w:ascii="Verdana" w:eastAsia="Calibri" w:hAnsi="Verdana" w:cs="Arial"/>
          <w:color w:val="000000"/>
          <w:lang w:val="es-ES_tradnl"/>
        </w:rPr>
        <w:t xml:space="preserve">Ley 80 de 1993 </w:t>
      </w:r>
      <w:r w:rsidRPr="00DB06FE">
        <w:rPr>
          <w:rFonts w:ascii="Verdana" w:hAnsi="Verdana" w:cs="Arial"/>
          <w:noProof/>
          <w:lang w:val="es-ES_tradnl"/>
        </w:rPr>
        <w:t xml:space="preserve">Disponible en: </w:t>
      </w:r>
      <w:hyperlink r:id="rId9" w:history="1">
        <w:r w:rsidRPr="00DB06FE">
          <w:rPr>
            <w:rStyle w:val="Hipervnculo"/>
            <w:rFonts w:ascii="Verdana" w:hAnsi="Verdana" w:cs="Arial"/>
            <w:noProof/>
            <w:lang w:val="es-ES_tradnl"/>
          </w:rPr>
          <w:t>https://relatoria.colombiacompra.gov.co/normativa/ley-1882-de-2018/</w:t>
        </w:r>
      </w:hyperlink>
      <w:r w:rsidRPr="00DB06FE">
        <w:rPr>
          <w:rFonts w:ascii="Verdana" w:hAnsi="Verdana" w:cs="Arial"/>
          <w:noProof/>
          <w:lang w:val="es-ES_tradnl"/>
        </w:rPr>
        <w:t xml:space="preserve"> </w:t>
      </w:r>
    </w:p>
    <w:p w:rsidR="007622A1" w:rsidRPr="007247DF" w:rsidRDefault="007622A1" w:rsidP="007622A1">
      <w:pPr>
        <w:pStyle w:val="Prrafodelista"/>
        <w:numPr>
          <w:ilvl w:val="0"/>
          <w:numId w:val="2"/>
        </w:numPr>
        <w:spacing w:after="120" w:line="276" w:lineRule="auto"/>
        <w:ind w:right="709"/>
        <w:jc w:val="both"/>
        <w:rPr>
          <w:rFonts w:ascii="Verdana" w:hAnsi="Verdana" w:cs="Arial"/>
          <w:noProof/>
          <w:lang w:val="es-ES_tradnl"/>
        </w:rPr>
      </w:pPr>
      <w:r w:rsidRPr="00DB06FE">
        <w:rPr>
          <w:rFonts w:ascii="Verdana" w:hAnsi="Verdana" w:cs="Arial"/>
        </w:rPr>
        <w:t xml:space="preserve">Jurisprudencia del Consejo de Estado. </w:t>
      </w:r>
    </w:p>
    <w:p w:rsidR="007622A1" w:rsidRPr="007247DF" w:rsidRDefault="007622A1" w:rsidP="007622A1">
      <w:pPr>
        <w:pStyle w:val="Prrafodelista"/>
        <w:numPr>
          <w:ilvl w:val="0"/>
          <w:numId w:val="3"/>
        </w:numPr>
        <w:spacing w:after="120" w:line="276" w:lineRule="auto"/>
        <w:ind w:right="709"/>
        <w:jc w:val="both"/>
        <w:rPr>
          <w:rFonts w:ascii="Verdana" w:hAnsi="Verdana" w:cs="Arial"/>
          <w:noProof/>
          <w:lang w:val="es-ES_tradnl"/>
        </w:rPr>
      </w:pPr>
      <w:r w:rsidRPr="007247DF">
        <w:rPr>
          <w:rFonts w:ascii="Verdana" w:hAnsi="Verdana" w:cs="Arial"/>
          <w:noProof/>
          <w:lang w:val="es-ES_tradnl"/>
        </w:rPr>
        <w:t>Consejo de Estado. Sección Tercera. Subsección B. Sentencia del 14 de octubre de 2011. Exp. 20811, C.P. Ruth Stella Correa Palacio.</w:t>
      </w:r>
    </w:p>
    <w:p w:rsidR="007622A1" w:rsidRDefault="007622A1" w:rsidP="007622A1">
      <w:pPr>
        <w:pStyle w:val="Prrafodelista"/>
        <w:numPr>
          <w:ilvl w:val="0"/>
          <w:numId w:val="3"/>
        </w:numPr>
        <w:spacing w:after="120" w:line="276" w:lineRule="auto"/>
        <w:ind w:right="709"/>
        <w:jc w:val="both"/>
        <w:rPr>
          <w:rFonts w:ascii="Verdana" w:hAnsi="Verdana" w:cs="Arial"/>
          <w:noProof/>
          <w:lang w:val="es-ES_tradnl"/>
        </w:rPr>
      </w:pPr>
      <w:r w:rsidRPr="007247DF">
        <w:rPr>
          <w:rFonts w:ascii="Verdana" w:hAnsi="Verdana" w:cs="Arial"/>
          <w:noProof/>
          <w:lang w:val="es-ES_tradnl"/>
        </w:rPr>
        <w:t xml:space="preserve">Consejo de Estado. Sala de Consulta y Servicio Civil. Concepto del 5 de septiembre de 2018, radicado No. 11001-03-06-000-2018-00124-00 C.P. Édgar González </w:t>
      </w:r>
    </w:p>
    <w:p w:rsidR="007622A1" w:rsidRPr="007247DF" w:rsidRDefault="007622A1" w:rsidP="007622A1">
      <w:pPr>
        <w:pStyle w:val="Prrafodelista"/>
        <w:numPr>
          <w:ilvl w:val="0"/>
          <w:numId w:val="3"/>
        </w:numPr>
        <w:spacing w:after="120" w:line="276" w:lineRule="auto"/>
        <w:ind w:right="709"/>
        <w:jc w:val="both"/>
        <w:rPr>
          <w:rFonts w:ascii="Verdana" w:hAnsi="Verdana" w:cs="Arial"/>
          <w:noProof/>
          <w:lang w:val="es-ES_tradnl"/>
        </w:rPr>
      </w:pPr>
      <w:r w:rsidRPr="007247DF">
        <w:rPr>
          <w:rFonts w:ascii="Verdana" w:hAnsi="Verdana" w:cs="Arial"/>
          <w:noProof/>
          <w:lang w:val="es-ES_tradnl"/>
        </w:rPr>
        <w:t>Consejo de Estado. Sección Tercera. Subsección A</w:t>
      </w:r>
      <w:r w:rsidRPr="007247DF">
        <w:rPr>
          <w:rFonts w:ascii="Verdana" w:hAnsi="Verdana" w:cs="Arial"/>
        </w:rPr>
        <w:t xml:space="preserve"> sentencia de 19 de julio de 2018, M.P. Marta Nubia Velázquez Rico, Rad. 2013-01826(57.576) </w:t>
      </w:r>
      <w:r w:rsidRPr="007247DF">
        <w:rPr>
          <w:rFonts w:ascii="Verdana" w:hAnsi="Verdana" w:cs="Arial"/>
          <w:noProof/>
          <w:lang w:val="es-ES_tradnl"/>
        </w:rPr>
        <w:t xml:space="preserve">López. </w:t>
      </w:r>
      <w:r w:rsidRPr="007247DF">
        <w:rPr>
          <w:rFonts w:ascii="Verdana" w:hAnsi="Verdana" w:cs="Arial"/>
          <w:lang w:val="es-ES_tradnl"/>
        </w:rPr>
        <w:t xml:space="preserve">Disponible </w:t>
      </w:r>
      <w:r w:rsidRPr="007247DF">
        <w:rPr>
          <w:rFonts w:ascii="Verdana" w:hAnsi="Verdana" w:cs="Arial"/>
        </w:rPr>
        <w:t xml:space="preserve">en: </w:t>
      </w:r>
      <w:r w:rsidRPr="007247DF">
        <w:rPr>
          <w:rFonts w:ascii="Verdana" w:hAnsi="Verdana" w:cs="Arial"/>
          <w:noProof/>
          <w:lang w:val="es-ES_tradnl"/>
        </w:rPr>
        <w:t xml:space="preserve"> </w:t>
      </w:r>
      <w:hyperlink r:id="rId10" w:history="1">
        <w:r w:rsidRPr="007247DF">
          <w:rPr>
            <w:rStyle w:val="Hipervnculo"/>
            <w:rFonts w:ascii="Verdana" w:hAnsi="Verdana" w:cs="Arial"/>
            <w:noProof/>
            <w:lang w:val="es-ES_tradnl"/>
          </w:rPr>
          <w:t>https://relatoria.colombiacompra.gov.co/providencias-consejo-de-estado/</w:t>
        </w:r>
      </w:hyperlink>
      <w:r w:rsidRPr="007247DF">
        <w:rPr>
          <w:rFonts w:ascii="Verdana" w:hAnsi="Verdana" w:cs="Arial"/>
          <w:noProof/>
          <w:lang w:val="es-ES_tradnl"/>
        </w:rPr>
        <w:t xml:space="preserve"> </w:t>
      </w:r>
    </w:p>
    <w:p w:rsidR="007622A1" w:rsidRPr="00DB06FE" w:rsidRDefault="007622A1" w:rsidP="007622A1">
      <w:pPr>
        <w:spacing w:after="120" w:line="276" w:lineRule="auto"/>
        <w:jc w:val="both"/>
        <w:rPr>
          <w:rFonts w:ascii="Verdana" w:eastAsia="Times New Roman" w:hAnsi="Verdana" w:cs="Arial"/>
          <w:i/>
          <w:lang w:val="es-ES_tradnl" w:eastAsia="es-ES"/>
        </w:rPr>
      </w:pPr>
    </w:p>
    <w:p w:rsidR="007622A1" w:rsidRPr="00DB06FE" w:rsidRDefault="007622A1" w:rsidP="007622A1">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B06FE">
        <w:rPr>
          <w:rFonts w:ascii="Verdana" w:eastAsia="Century Gothic" w:hAnsi="Verdana" w:cs="Century Gothic"/>
          <w:b/>
          <w:bCs/>
        </w:rPr>
        <w:t>Doctrina de la Agencia Nacional de Contratación Pública:</w:t>
      </w:r>
    </w:p>
    <w:p w:rsidR="007622A1" w:rsidRPr="00DB06FE" w:rsidRDefault="007622A1" w:rsidP="007622A1">
      <w:pPr>
        <w:spacing w:after="120" w:line="276" w:lineRule="auto"/>
        <w:jc w:val="both"/>
        <w:rPr>
          <w:rFonts w:ascii="Verdana" w:hAnsi="Verdana" w:cs="Arial"/>
          <w:color w:val="000000" w:themeColor="text1"/>
          <w:lang w:val="es-ES"/>
        </w:rPr>
      </w:pPr>
    </w:p>
    <w:p w:rsidR="007622A1" w:rsidRPr="00DB06FE" w:rsidRDefault="007622A1" w:rsidP="007622A1">
      <w:pPr>
        <w:pStyle w:val="Textonotapie"/>
        <w:jc w:val="both"/>
        <w:rPr>
          <w:rFonts w:ascii="Verdana" w:hAnsi="Verdana" w:cs="Arial"/>
          <w:sz w:val="22"/>
          <w:szCs w:val="22"/>
          <w:shd w:val="clear" w:color="auto" w:fill="E6E6E6"/>
        </w:rPr>
      </w:pPr>
      <w:r w:rsidRPr="00DB06FE">
        <w:rPr>
          <w:rFonts w:ascii="Verdana" w:eastAsia="Calibri" w:hAnsi="Verdana" w:cs="Arial"/>
          <w:sz w:val="22"/>
          <w:szCs w:val="22"/>
          <w:lang w:val="es-ES" w:eastAsia="es-ES"/>
        </w:rPr>
        <w:t xml:space="preserve">Sobre </w:t>
      </w:r>
      <w:r w:rsidRPr="00DB06FE">
        <w:rPr>
          <w:rFonts w:ascii="Verdana" w:eastAsia="Calibri" w:hAnsi="Verdana" w:cs="Arial"/>
          <w:color w:val="000000" w:themeColor="text1"/>
          <w:sz w:val="22"/>
          <w:szCs w:val="22"/>
          <w:lang w:val="es-ES"/>
        </w:rPr>
        <w:t>el régimen del precio en la contratación estatal y los contratos por bolsa o a monto agotable</w:t>
      </w:r>
      <w:r w:rsidRPr="00DB06FE">
        <w:rPr>
          <w:rFonts w:ascii="Verdana" w:eastAsia="Calibri" w:hAnsi="Verdana" w:cs="Arial"/>
          <w:color w:val="000000"/>
          <w:sz w:val="22"/>
          <w:szCs w:val="22"/>
          <w:lang w:val="es-ES_tradnl"/>
        </w:rPr>
        <w:t xml:space="preserve">, </w:t>
      </w:r>
      <w:r w:rsidRPr="00DB06FE">
        <w:rPr>
          <w:rStyle w:val="normaltextrun"/>
          <w:rFonts w:ascii="Verdana" w:hAnsi="Verdana" w:cs="Arial"/>
          <w:sz w:val="22"/>
          <w:szCs w:val="22"/>
          <w:shd w:val="clear" w:color="auto" w:fill="FFFFFF"/>
          <w:lang w:val="es-ES"/>
        </w:rPr>
        <w:t xml:space="preserve">se pronunció esta Subdirección </w:t>
      </w:r>
      <w:r w:rsidRPr="00DB06FE">
        <w:rPr>
          <w:rFonts w:ascii="Verdana" w:eastAsia="Calibri" w:hAnsi="Verdana" w:cs="Arial"/>
          <w:sz w:val="22"/>
          <w:szCs w:val="22"/>
          <w:lang w:val="es-ES"/>
        </w:rPr>
        <w:t xml:space="preserve">en los conceptos </w:t>
      </w:r>
      <w:r w:rsidRPr="00DB06FE">
        <w:rPr>
          <w:rFonts w:ascii="Verdana" w:eastAsia="Calibri" w:hAnsi="Verdana" w:cs="Arial"/>
          <w:color w:val="000000" w:themeColor="text1"/>
          <w:sz w:val="22"/>
          <w:szCs w:val="22"/>
        </w:rPr>
        <w:t xml:space="preserve">4201912000007092 del 29 de noviembre de 2019, 2201913000008566 del 18 de noviembre de 2019, 4201913000007822 de 27 de diciembre de 2019, C-037 del 28 de enero de 2020, C-191 del 16 de marzo de 2020 y C-211 del 8 de abril de 2020, C-469 del 27 de </w:t>
      </w:r>
      <w:r w:rsidRPr="00DB06FE">
        <w:rPr>
          <w:rFonts w:ascii="Verdana" w:eastAsia="Calibri" w:hAnsi="Verdana" w:cs="Arial"/>
          <w:color w:val="000000" w:themeColor="text1"/>
          <w:sz w:val="22"/>
          <w:szCs w:val="22"/>
        </w:rPr>
        <w:lastRenderedPageBreak/>
        <w:t>septiembre de 2020, C-480 del 16 de septiembre de 2020, C-059 del 10 de marzo de 2021, C-613 del 6 de octubre de 2022, C-716 del 15 de noviembre de 2022</w:t>
      </w:r>
      <w:r w:rsidRPr="00DB06FE">
        <w:rPr>
          <w:rFonts w:ascii="Verdana" w:eastAsia="Calibri" w:hAnsi="Verdana" w:cs="Arial"/>
          <w:color w:val="000000" w:themeColor="text1"/>
          <w:sz w:val="22"/>
          <w:szCs w:val="22"/>
          <w:lang w:val="es-ES"/>
        </w:rPr>
        <w:t xml:space="preserve">, C-017 del 22 de febrero de 2022 y C-104 del 27 de abril de 2023, </w:t>
      </w:r>
      <w:r w:rsidRPr="00DB06FE">
        <w:rPr>
          <w:rStyle w:val="normaltextrun"/>
          <w:rFonts w:ascii="Verdana" w:hAnsi="Verdana" w:cs="Arial"/>
          <w:sz w:val="22"/>
          <w:szCs w:val="22"/>
          <w:shd w:val="clear" w:color="auto" w:fill="FFFFFF"/>
          <w:lang w:val="es-ES"/>
        </w:rPr>
        <w:t>Es</w:t>
      </w:r>
      <w:r w:rsidRPr="00DB06FE">
        <w:rPr>
          <w:rFonts w:ascii="Verdana" w:hAnsi="Verdana"/>
          <w:sz w:val="22"/>
          <w:szCs w:val="22"/>
        </w:rPr>
        <w:t xml:space="preserve">tos y otros conceptos se encuentran disponibles para consulta en el Sistema de relatoría de la Agencia, al cual se puede acceder a través del siguiente enlace: </w:t>
      </w:r>
      <w:r>
        <w:fldChar w:fldCharType="begin"/>
      </w:r>
      <w:r>
        <w:instrText>HYPERLINK "https://relatoria.colombiacompra.gov.co/busqueda/conceptos"</w:instrText>
      </w:r>
      <w:r>
        <w:fldChar w:fldCharType="separate"/>
      </w:r>
      <w:r w:rsidRPr="00DB06FE">
        <w:rPr>
          <w:rStyle w:val="Hipervnculo"/>
          <w:rFonts w:ascii="Verdana" w:hAnsi="Verdana" w:cs="Arial"/>
        </w:rPr>
        <w:t>https://relatoria.colombiacompra.gov.co/busqueda/conceptos</w:t>
      </w:r>
      <w:r>
        <w:rPr>
          <w:rStyle w:val="Hipervnculo"/>
          <w:rFonts w:ascii="Verdana" w:hAnsi="Verdana" w:cs="Arial"/>
          <w:sz w:val="22"/>
          <w:szCs w:val="22"/>
        </w:rPr>
        <w:fldChar w:fldCharType="end"/>
      </w:r>
      <w:r w:rsidRPr="00DB06FE">
        <w:rPr>
          <w:rStyle w:val="Hipervnculo"/>
          <w:rFonts w:ascii="Verdana" w:hAnsi="Verdana" w:cs="Arial"/>
        </w:rPr>
        <w:t xml:space="preserve">. </w:t>
      </w:r>
      <w:r w:rsidRPr="00DB06FE">
        <w:rPr>
          <w:rFonts w:ascii="Verdana" w:hAnsi="Verdana" w:cs="Arial"/>
          <w:sz w:val="22"/>
          <w:szCs w:val="22"/>
          <w:shd w:val="clear" w:color="auto" w:fill="E6E6E6"/>
        </w:rPr>
        <w:t xml:space="preserve"> </w:t>
      </w:r>
    </w:p>
    <w:p w:rsidR="007622A1" w:rsidRPr="00DB06FE" w:rsidRDefault="007622A1" w:rsidP="007622A1">
      <w:pPr>
        <w:spacing w:after="120" w:line="276" w:lineRule="auto"/>
        <w:jc w:val="both"/>
        <w:rPr>
          <w:rFonts w:ascii="Verdana" w:hAnsi="Verdana" w:cs="Arial"/>
          <w:lang w:val="es-ES"/>
        </w:rPr>
      </w:pPr>
    </w:p>
    <w:p w:rsidR="007622A1" w:rsidRPr="00DB06FE" w:rsidRDefault="007622A1" w:rsidP="007622A1">
      <w:pPr>
        <w:spacing w:after="0" w:line="240" w:lineRule="auto"/>
        <w:jc w:val="both"/>
        <w:rPr>
          <w:rFonts w:ascii="Verdana" w:hAnsi="Verdana"/>
        </w:rPr>
      </w:pPr>
      <w:r w:rsidRPr="00DB06FE">
        <w:rPr>
          <w:rFonts w:ascii="Verdana" w:hAnsi="Verdana"/>
        </w:rPr>
        <w:t xml:space="preserve">Por último, lo invitamos a seguirnos en las redes sociales en las cuales se difunde información institucional: </w:t>
      </w:r>
    </w:p>
    <w:p w:rsidR="007622A1" w:rsidRPr="00DB06FE" w:rsidRDefault="007622A1" w:rsidP="007622A1">
      <w:pPr>
        <w:spacing w:after="0" w:line="240" w:lineRule="auto"/>
        <w:jc w:val="both"/>
        <w:rPr>
          <w:rFonts w:ascii="Verdana" w:hAnsi="Verdana"/>
        </w:rPr>
      </w:pPr>
    </w:p>
    <w:p w:rsidR="007622A1" w:rsidRPr="00DB06FE" w:rsidRDefault="007622A1" w:rsidP="007622A1">
      <w:pPr>
        <w:spacing w:after="0" w:line="240" w:lineRule="auto"/>
        <w:jc w:val="both"/>
        <w:rPr>
          <w:rFonts w:ascii="Verdana" w:hAnsi="Verdana"/>
        </w:rPr>
      </w:pPr>
      <w:r w:rsidRPr="00DB06FE">
        <w:rPr>
          <w:rFonts w:ascii="Verdana" w:hAnsi="Verdana"/>
        </w:rPr>
        <w:t xml:space="preserve">Twitter: </w:t>
      </w:r>
      <w:r w:rsidRPr="00DB06FE">
        <w:rPr>
          <w:rStyle w:val="Hipervnculo"/>
          <w:rFonts w:ascii="Verdana" w:hAnsi="Verdana"/>
          <w:color w:val="4472C4" w:themeColor="accent1"/>
        </w:rPr>
        <w:t>@colombiacompra</w:t>
      </w:r>
      <w:r w:rsidRPr="00DB06FE">
        <w:rPr>
          <w:rFonts w:ascii="Verdana" w:hAnsi="Verdana"/>
          <w:color w:val="4472C4" w:themeColor="accent1"/>
        </w:rPr>
        <w:t xml:space="preserve"> </w:t>
      </w:r>
    </w:p>
    <w:p w:rsidR="007622A1" w:rsidRPr="00DB06FE" w:rsidRDefault="007622A1" w:rsidP="007622A1">
      <w:pPr>
        <w:spacing w:after="0" w:line="240" w:lineRule="auto"/>
        <w:jc w:val="both"/>
        <w:rPr>
          <w:rFonts w:ascii="Verdana" w:hAnsi="Verdana"/>
        </w:rPr>
      </w:pPr>
      <w:r w:rsidRPr="00DB06FE">
        <w:rPr>
          <w:rFonts w:ascii="Verdana" w:hAnsi="Verdana"/>
        </w:rPr>
        <w:t xml:space="preserve">Facebook: </w:t>
      </w:r>
      <w:proofErr w:type="spellStart"/>
      <w:r w:rsidRPr="00DB06FE">
        <w:rPr>
          <w:rStyle w:val="Hipervnculo"/>
          <w:rFonts w:ascii="Verdana" w:hAnsi="Verdana"/>
          <w:color w:val="4472C4" w:themeColor="accent1"/>
        </w:rPr>
        <w:t>ColombiaCompraEficiente</w:t>
      </w:r>
      <w:proofErr w:type="spellEnd"/>
    </w:p>
    <w:p w:rsidR="007622A1" w:rsidRPr="00DB06FE" w:rsidRDefault="007622A1" w:rsidP="007622A1">
      <w:pPr>
        <w:spacing w:after="0" w:line="240" w:lineRule="auto"/>
        <w:jc w:val="both"/>
        <w:rPr>
          <w:rFonts w:ascii="Verdana" w:hAnsi="Verdana"/>
        </w:rPr>
      </w:pPr>
      <w:r w:rsidRPr="00DB06FE">
        <w:rPr>
          <w:rFonts w:ascii="Verdana" w:hAnsi="Verdana"/>
        </w:rPr>
        <w:t xml:space="preserve">LinkedIn: </w:t>
      </w:r>
      <w:r w:rsidRPr="00DB06FE">
        <w:rPr>
          <w:rStyle w:val="Hipervnculo"/>
          <w:rFonts w:ascii="Verdana" w:hAnsi="Verdana"/>
          <w:color w:val="4472C4" w:themeColor="accent1"/>
        </w:rPr>
        <w:t>Agencia Nacional de Contratación Pública - Colombia Compra Eficiente</w:t>
      </w:r>
      <w:r w:rsidRPr="00DB06FE">
        <w:rPr>
          <w:rFonts w:ascii="Verdana" w:hAnsi="Verdana"/>
          <w:color w:val="4472C4" w:themeColor="accent1"/>
        </w:rPr>
        <w:t xml:space="preserve"> </w:t>
      </w:r>
      <w:r w:rsidRPr="00DB06FE">
        <w:rPr>
          <w:rFonts w:ascii="Verdana" w:hAnsi="Verdana"/>
        </w:rPr>
        <w:t xml:space="preserve">Instagram: </w:t>
      </w:r>
      <w:r w:rsidRPr="00DB06FE">
        <w:rPr>
          <w:rStyle w:val="Hipervnculo"/>
          <w:rFonts w:ascii="Verdana" w:hAnsi="Verdana"/>
          <w:color w:val="4472C4" w:themeColor="accent1"/>
        </w:rPr>
        <w:t>@colombiacompraeficiente_cce</w:t>
      </w:r>
    </w:p>
    <w:p w:rsidR="007622A1" w:rsidRPr="00DB06FE" w:rsidRDefault="007622A1" w:rsidP="007622A1">
      <w:pPr>
        <w:spacing w:after="120" w:line="276" w:lineRule="auto"/>
        <w:jc w:val="both"/>
        <w:rPr>
          <w:rFonts w:ascii="Verdana" w:hAnsi="Verdana" w:cs="Arial"/>
          <w:lang w:val="es-ES"/>
        </w:rPr>
      </w:pPr>
    </w:p>
    <w:p w:rsidR="007622A1" w:rsidRPr="00DB06FE" w:rsidRDefault="007622A1" w:rsidP="007622A1">
      <w:pPr>
        <w:spacing w:after="120" w:line="276" w:lineRule="auto"/>
        <w:jc w:val="both"/>
        <w:rPr>
          <w:rFonts w:ascii="Verdana" w:hAnsi="Verdana" w:cs="Arial"/>
          <w:color w:val="000000" w:themeColor="text1"/>
          <w:lang w:val="es-ES_tradnl"/>
        </w:rPr>
      </w:pPr>
      <w:r w:rsidRPr="00DB06FE">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rsidR="007622A1" w:rsidRPr="00DB06FE" w:rsidRDefault="007622A1" w:rsidP="007622A1">
      <w:pPr>
        <w:spacing w:after="120" w:line="276" w:lineRule="auto"/>
        <w:jc w:val="both"/>
        <w:rPr>
          <w:rFonts w:ascii="Verdana" w:eastAsia="Times New Roman" w:hAnsi="Verdana" w:cs="Arial"/>
          <w:i/>
          <w:lang w:val="es-ES" w:eastAsia="es-ES"/>
        </w:rPr>
      </w:pPr>
    </w:p>
    <w:p w:rsidR="007622A1" w:rsidRPr="00DB06FE" w:rsidRDefault="007622A1" w:rsidP="007622A1">
      <w:pPr>
        <w:spacing w:after="0" w:line="240" w:lineRule="auto"/>
        <w:rPr>
          <w:rFonts w:ascii="Verdana" w:eastAsia="Times New Roman" w:hAnsi="Verdana" w:cs="Arial"/>
          <w:lang w:eastAsia="es-CO"/>
        </w:rPr>
      </w:pPr>
      <w:r w:rsidRPr="00DB06FE">
        <w:rPr>
          <w:rFonts w:ascii="Verdana" w:eastAsia="Times New Roman" w:hAnsi="Verdana" w:cs="Arial"/>
          <w:lang w:eastAsia="es-CO"/>
        </w:rPr>
        <w:t>Atentamente,</w:t>
      </w:r>
    </w:p>
    <w:p w:rsidR="007622A1" w:rsidRPr="00DB06FE" w:rsidRDefault="007622A1" w:rsidP="007622A1">
      <w:pPr>
        <w:spacing w:after="0" w:line="276" w:lineRule="auto"/>
        <w:jc w:val="center"/>
        <w:rPr>
          <w:rFonts w:ascii="Verdana" w:eastAsia="Times New Roman" w:hAnsi="Verdana" w:cs="Arial"/>
          <w:color w:val="000000"/>
          <w:lang w:val="es-ES_tradnl" w:eastAsia="es-CO"/>
        </w:rPr>
      </w:pPr>
    </w:p>
    <w:p w:rsidR="007622A1" w:rsidRPr="00DB06FE" w:rsidRDefault="00D904A7" w:rsidP="007622A1">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1650582C" wp14:editId="23534C87">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1"/>
                    <a:stretch>
                      <a:fillRect/>
                    </a:stretch>
                  </pic:blipFill>
                  <pic:spPr>
                    <a:xfrm>
                      <a:off x="0" y="0"/>
                      <a:ext cx="3705742" cy="1590897"/>
                    </a:xfrm>
                    <a:prstGeom prst="rect">
                      <a:avLst/>
                    </a:prstGeom>
                  </pic:spPr>
                </pic:pic>
              </a:graphicData>
            </a:graphic>
          </wp:inline>
        </w:drawing>
      </w:r>
    </w:p>
    <w:p w:rsidR="007622A1" w:rsidRPr="00DB06FE" w:rsidRDefault="007622A1" w:rsidP="007622A1">
      <w:pPr>
        <w:spacing w:after="0" w:line="276" w:lineRule="auto"/>
        <w:jc w:val="center"/>
        <w:rPr>
          <w:rFonts w:ascii="Verdana" w:eastAsia="Times New Roman" w:hAnsi="Verdana" w:cs="Arial"/>
          <w:color w:val="000000"/>
          <w:sz w:val="18"/>
          <w:szCs w:val="18"/>
          <w:lang w:val="es-ES"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7622A1" w:rsidRPr="00DB06FE" w:rsidTr="00F567E8">
        <w:trPr>
          <w:trHeight w:val="409"/>
        </w:trPr>
        <w:tc>
          <w:tcPr>
            <w:tcW w:w="817" w:type="dxa"/>
            <w:tcBorders>
              <w:top w:val="nil"/>
              <w:left w:val="nil"/>
              <w:bottom w:val="nil"/>
              <w:right w:val="nil"/>
            </w:tcBorders>
            <w:vAlign w:val="center"/>
            <w:hideMark/>
          </w:tcPr>
          <w:p w:rsidR="007622A1" w:rsidRPr="00DB06FE" w:rsidRDefault="007622A1" w:rsidP="00F567E8">
            <w:pPr>
              <w:spacing w:after="0" w:line="240" w:lineRule="auto"/>
              <w:jc w:val="both"/>
              <w:rPr>
                <w:rFonts w:ascii="Verdana" w:hAnsi="Verdana" w:cs="Arial"/>
                <w:sz w:val="16"/>
                <w:szCs w:val="16"/>
              </w:rPr>
            </w:pPr>
            <w:r w:rsidRPr="00DB06FE">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rsidR="007622A1" w:rsidRPr="00DB06FE" w:rsidRDefault="007622A1" w:rsidP="00F567E8">
            <w:pPr>
              <w:spacing w:after="0" w:line="240" w:lineRule="auto"/>
              <w:jc w:val="both"/>
              <w:rPr>
                <w:rFonts w:ascii="Verdana" w:hAnsi="Verdana" w:cs="Arial"/>
                <w:sz w:val="16"/>
                <w:szCs w:val="16"/>
              </w:rPr>
            </w:pPr>
            <w:proofErr w:type="spellStart"/>
            <w:r w:rsidRPr="00DB06FE">
              <w:rPr>
                <w:rFonts w:ascii="Verdana" w:hAnsi="Verdana" w:cs="Arial"/>
                <w:sz w:val="16"/>
                <w:szCs w:val="16"/>
              </w:rPr>
              <w:t>Jhonattan</w:t>
            </w:r>
            <w:proofErr w:type="spellEnd"/>
            <w:r w:rsidRPr="00DB06FE">
              <w:rPr>
                <w:rFonts w:ascii="Verdana" w:hAnsi="Verdana" w:cs="Arial"/>
                <w:sz w:val="16"/>
                <w:szCs w:val="16"/>
              </w:rPr>
              <w:t xml:space="preserve"> </w:t>
            </w:r>
            <w:proofErr w:type="spellStart"/>
            <w:r w:rsidRPr="00DB06FE">
              <w:rPr>
                <w:rFonts w:ascii="Verdana" w:hAnsi="Verdana" w:cs="Arial"/>
                <w:sz w:val="16"/>
                <w:szCs w:val="16"/>
              </w:rPr>
              <w:t>Gualdrón</w:t>
            </w:r>
            <w:proofErr w:type="spellEnd"/>
            <w:r w:rsidRPr="00DB06FE">
              <w:rPr>
                <w:rFonts w:ascii="Verdana" w:hAnsi="Verdana" w:cs="Arial"/>
                <w:sz w:val="16"/>
                <w:szCs w:val="16"/>
              </w:rPr>
              <w:t xml:space="preserve"> Salazar</w:t>
            </w:r>
          </w:p>
          <w:p w:rsidR="007622A1" w:rsidRPr="00DB06FE" w:rsidRDefault="007622A1" w:rsidP="00F567E8">
            <w:pPr>
              <w:spacing w:after="0" w:line="240" w:lineRule="auto"/>
              <w:jc w:val="both"/>
              <w:rPr>
                <w:rFonts w:ascii="Verdana" w:hAnsi="Verdana" w:cs="Arial"/>
                <w:sz w:val="16"/>
                <w:szCs w:val="16"/>
              </w:rPr>
            </w:pPr>
            <w:r w:rsidRPr="00DB06FE">
              <w:rPr>
                <w:rFonts w:ascii="Verdana" w:hAnsi="Verdana" w:cs="Arial"/>
                <w:sz w:val="16"/>
                <w:szCs w:val="16"/>
              </w:rPr>
              <w:t>Contratista de la Subdirección de Gestión Contractual</w:t>
            </w:r>
          </w:p>
        </w:tc>
      </w:tr>
      <w:tr w:rsidR="007622A1" w:rsidRPr="00DB06FE" w:rsidTr="00F567E8">
        <w:trPr>
          <w:trHeight w:val="409"/>
        </w:trPr>
        <w:tc>
          <w:tcPr>
            <w:tcW w:w="817" w:type="dxa"/>
            <w:tcBorders>
              <w:top w:val="nil"/>
              <w:left w:val="nil"/>
              <w:right w:val="nil"/>
            </w:tcBorders>
            <w:vAlign w:val="center"/>
          </w:tcPr>
          <w:p w:rsidR="007622A1" w:rsidRPr="00DB06FE" w:rsidRDefault="007622A1" w:rsidP="00F567E8">
            <w:pPr>
              <w:spacing w:after="0"/>
              <w:jc w:val="both"/>
              <w:rPr>
                <w:rFonts w:ascii="Verdana" w:hAnsi="Verdana" w:cs="Arial"/>
                <w:sz w:val="16"/>
                <w:szCs w:val="16"/>
              </w:rPr>
            </w:pPr>
            <w:r w:rsidRPr="00DB06FE">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rsidR="007622A1" w:rsidRPr="00DB06FE" w:rsidRDefault="007622A1" w:rsidP="00F567E8">
            <w:pPr>
              <w:spacing w:after="0"/>
              <w:rPr>
                <w:rFonts w:ascii="Verdana" w:eastAsia="Arial" w:hAnsi="Verdana" w:cs="Arial"/>
                <w:color w:val="000000" w:themeColor="text1"/>
                <w:sz w:val="16"/>
                <w:szCs w:val="16"/>
              </w:rPr>
            </w:pPr>
            <w:r w:rsidRPr="00DB06FE">
              <w:rPr>
                <w:rStyle w:val="normaltextrun"/>
                <w:rFonts w:ascii="Verdana" w:eastAsia="Arial" w:hAnsi="Verdana" w:cs="Arial"/>
                <w:color w:val="000000" w:themeColor="text1"/>
                <w:sz w:val="16"/>
                <w:szCs w:val="16"/>
              </w:rPr>
              <w:t xml:space="preserve">Juan David </w:t>
            </w:r>
            <w:proofErr w:type="spellStart"/>
            <w:r w:rsidRPr="00DB06FE">
              <w:rPr>
                <w:rStyle w:val="normaltextrun"/>
                <w:rFonts w:ascii="Verdana" w:eastAsia="Arial" w:hAnsi="Verdana" w:cs="Arial"/>
                <w:color w:val="000000" w:themeColor="text1"/>
                <w:sz w:val="16"/>
                <w:szCs w:val="16"/>
              </w:rPr>
              <w:t>Cardenas</w:t>
            </w:r>
            <w:proofErr w:type="spellEnd"/>
          </w:p>
          <w:p w:rsidR="007622A1" w:rsidRPr="00DB06FE" w:rsidRDefault="007622A1" w:rsidP="00F567E8">
            <w:pPr>
              <w:spacing w:after="0" w:line="240" w:lineRule="auto"/>
              <w:jc w:val="both"/>
              <w:rPr>
                <w:rFonts w:ascii="Verdana" w:hAnsi="Verdana" w:cs="Arial"/>
                <w:sz w:val="16"/>
                <w:szCs w:val="16"/>
              </w:rPr>
            </w:pPr>
            <w:r w:rsidRPr="00DB06FE">
              <w:rPr>
                <w:rStyle w:val="normaltextrun"/>
                <w:rFonts w:ascii="Verdana" w:eastAsia="Arial" w:hAnsi="Verdana" w:cs="Arial"/>
                <w:color w:val="000000" w:themeColor="text1"/>
                <w:sz w:val="16"/>
                <w:szCs w:val="16"/>
              </w:rPr>
              <w:t>Contratista de la Subdirección de Gestión Contractual </w:t>
            </w:r>
          </w:p>
        </w:tc>
      </w:tr>
      <w:tr w:rsidR="007622A1" w:rsidRPr="00DB06FE" w:rsidTr="00F567E8">
        <w:trPr>
          <w:trHeight w:val="389"/>
        </w:trPr>
        <w:tc>
          <w:tcPr>
            <w:tcW w:w="817" w:type="dxa"/>
            <w:tcBorders>
              <w:top w:val="nil"/>
              <w:left w:val="nil"/>
              <w:bottom w:val="nil"/>
              <w:right w:val="nil"/>
            </w:tcBorders>
            <w:vAlign w:val="center"/>
            <w:hideMark/>
          </w:tcPr>
          <w:p w:rsidR="007622A1" w:rsidRPr="00DB06FE" w:rsidRDefault="007622A1" w:rsidP="00F567E8">
            <w:pPr>
              <w:spacing w:after="0" w:line="240" w:lineRule="auto"/>
              <w:jc w:val="both"/>
              <w:rPr>
                <w:rFonts w:ascii="Verdana" w:hAnsi="Verdana" w:cs="Arial"/>
                <w:sz w:val="16"/>
                <w:szCs w:val="16"/>
              </w:rPr>
            </w:pPr>
            <w:r w:rsidRPr="00DB06FE">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rsidR="007622A1" w:rsidRPr="00DB06FE" w:rsidRDefault="007622A1" w:rsidP="00F567E8">
            <w:pPr>
              <w:spacing w:after="0"/>
              <w:rPr>
                <w:rFonts w:ascii="Verdana" w:eastAsia="Calibri" w:hAnsi="Verdana" w:cs="Arial"/>
                <w:sz w:val="16"/>
                <w:szCs w:val="16"/>
                <w:lang w:val="pt-BR" w:eastAsia="es-ES"/>
              </w:rPr>
            </w:pPr>
            <w:r w:rsidRPr="00DB06FE">
              <w:rPr>
                <w:rFonts w:ascii="Verdana" w:eastAsia="Calibri" w:hAnsi="Verdana" w:cs="Arial"/>
                <w:sz w:val="16"/>
                <w:szCs w:val="16"/>
                <w:lang w:val="pt-BR" w:eastAsia="es-ES"/>
              </w:rPr>
              <w:t xml:space="preserve">Carolina Quintero </w:t>
            </w:r>
            <w:proofErr w:type="spellStart"/>
            <w:r w:rsidRPr="00DB06FE">
              <w:rPr>
                <w:rFonts w:ascii="Verdana" w:eastAsia="Calibri" w:hAnsi="Verdana" w:cs="Arial"/>
                <w:sz w:val="16"/>
                <w:szCs w:val="16"/>
                <w:lang w:val="pt-BR" w:eastAsia="es-ES"/>
              </w:rPr>
              <w:t>Gacharná</w:t>
            </w:r>
            <w:proofErr w:type="spellEnd"/>
          </w:p>
          <w:p w:rsidR="007622A1" w:rsidRPr="00DB06FE" w:rsidRDefault="007622A1" w:rsidP="00F567E8">
            <w:pPr>
              <w:spacing w:after="0" w:line="240" w:lineRule="auto"/>
              <w:jc w:val="both"/>
              <w:rPr>
                <w:rFonts w:ascii="Verdana" w:hAnsi="Verdana" w:cs="Arial"/>
                <w:sz w:val="16"/>
                <w:szCs w:val="16"/>
              </w:rPr>
            </w:pPr>
            <w:r w:rsidRPr="00DB06FE">
              <w:rPr>
                <w:rFonts w:ascii="Verdana" w:hAnsi="Verdana" w:cs="Arial"/>
                <w:sz w:val="16"/>
                <w:szCs w:val="16"/>
              </w:rPr>
              <w:t>Subdirectora de Gestión Contractual ANCP – CCE</w:t>
            </w:r>
          </w:p>
        </w:tc>
      </w:tr>
    </w:tbl>
    <w:p w:rsidR="007622A1" w:rsidRPr="00DB06FE" w:rsidRDefault="007622A1" w:rsidP="007622A1">
      <w:pPr>
        <w:pStyle w:val="Default"/>
        <w:tabs>
          <w:tab w:val="left" w:pos="2864"/>
        </w:tabs>
        <w:jc w:val="both"/>
        <w:rPr>
          <w:rFonts w:ascii="Verdana" w:hAnsi="Verdana"/>
          <w:sz w:val="22"/>
          <w:szCs w:val="22"/>
          <w:lang w:val="es-ES"/>
        </w:rPr>
      </w:pPr>
    </w:p>
    <w:p w:rsidR="007622A1" w:rsidRPr="00DB06FE" w:rsidRDefault="007622A1" w:rsidP="007622A1">
      <w:pPr>
        <w:spacing w:after="0"/>
        <w:rPr>
          <w:rFonts w:ascii="Verdana" w:hAnsi="Verdana"/>
          <w:lang w:val="es-ES"/>
        </w:rPr>
      </w:pPr>
    </w:p>
    <w:p w:rsidR="007622A1" w:rsidRPr="00DB06FE" w:rsidRDefault="007622A1" w:rsidP="007622A1">
      <w:pPr>
        <w:rPr>
          <w:rFonts w:ascii="Verdana" w:hAnsi="Verdana"/>
          <w:lang w:val="es-ES"/>
        </w:rPr>
      </w:pPr>
    </w:p>
    <w:p w:rsidR="007622A1" w:rsidRPr="00DB06FE" w:rsidRDefault="007622A1" w:rsidP="007622A1">
      <w:pPr>
        <w:rPr>
          <w:rFonts w:ascii="Verdana" w:hAnsi="Verdana"/>
          <w:lang w:val="es-ES"/>
        </w:rPr>
      </w:pPr>
    </w:p>
    <w:p w:rsidR="007622A1" w:rsidRPr="00DB06FE" w:rsidRDefault="007622A1" w:rsidP="007622A1">
      <w:pPr>
        <w:rPr>
          <w:rFonts w:ascii="Verdana" w:hAnsi="Verdana"/>
          <w:lang w:val="es-ES"/>
        </w:rPr>
      </w:pPr>
    </w:p>
    <w:p w:rsidR="007622A1" w:rsidRPr="00D93DDE" w:rsidRDefault="007622A1" w:rsidP="007622A1">
      <w:pPr>
        <w:rPr>
          <w:lang w:val="es-ES"/>
        </w:rPr>
      </w:pPr>
    </w:p>
    <w:p w:rsidR="00536CDF" w:rsidRPr="007622A1" w:rsidRDefault="00536CDF" w:rsidP="007622A1">
      <w:pPr>
        <w:rPr>
          <w:lang w:val="es-ES"/>
        </w:rPr>
      </w:pPr>
    </w:p>
    <w:sectPr w:rsidR="00536CDF" w:rsidRPr="007622A1" w:rsidSect="00A211EE">
      <w:headerReference w:type="default" r:id="rId12"/>
      <w:footerReference w:type="default" r:id="rId13"/>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28BD" w:rsidRDefault="008928BD" w:rsidP="00EC5DC1">
      <w:pPr>
        <w:spacing w:after="0" w:line="240" w:lineRule="auto"/>
      </w:pPr>
      <w:r>
        <w:separator/>
      </w:r>
    </w:p>
  </w:endnote>
  <w:endnote w:type="continuationSeparator" w:id="0">
    <w:p w:rsidR="008928BD" w:rsidRDefault="008928BD" w:rsidP="00EC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CDF" w:rsidRDefault="00536CDF" w:rsidP="00A211EE">
    <w:pPr>
      <w:spacing w:after="0"/>
      <w:rPr>
        <w:rFonts w:ascii="Verdana" w:hAnsi="Verdana"/>
        <w:b/>
        <w:bCs/>
        <w:sz w:val="20"/>
        <w:szCs w:val="20"/>
      </w:rPr>
    </w:pPr>
  </w:p>
  <w:p w:rsidR="00536CDF" w:rsidRPr="00174B77" w:rsidRDefault="00000000"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536CDF" w:rsidRDefault="00000000" w:rsidP="00A211EE">
    <w:pPr>
      <w:spacing w:after="0"/>
      <w:jc w:val="both"/>
      <w:rPr>
        <w:rFonts w:ascii="Verdana" w:hAnsi="Verdana"/>
        <w:sz w:val="18"/>
        <w:szCs w:val="18"/>
      </w:rPr>
    </w:pPr>
    <w:r w:rsidRPr="00E41027">
      <w:rPr>
        <w:rFonts w:ascii="Verdana" w:hAnsi="Verdana"/>
        <w:sz w:val="18"/>
        <w:szCs w:val="18"/>
      </w:rPr>
      <w:t>Dirección: Carrera 7 # 26 – 20 - Bogotá, Colombia</w:t>
    </w:r>
  </w:p>
  <w:p w:rsidR="00536CDF" w:rsidRPr="00E41027" w:rsidRDefault="00000000" w:rsidP="00A211EE">
    <w:pPr>
      <w:spacing w:after="0"/>
      <w:jc w:val="both"/>
      <w:rPr>
        <w:rFonts w:ascii="Verdana" w:hAnsi="Verdana"/>
        <w:sz w:val="18"/>
        <w:szCs w:val="18"/>
      </w:rPr>
    </w:pPr>
    <w:r w:rsidRPr="00E41027">
      <w:rPr>
        <w:rFonts w:ascii="Verdana" w:hAnsi="Verdana"/>
        <w:sz w:val="18"/>
        <w:szCs w:val="18"/>
      </w:rPr>
      <w:t>Mesa de servicio: (+57) 601 7456788</w:t>
    </w:r>
  </w:p>
  <w:p w:rsidR="00536CDF" w:rsidRPr="00A211EE" w:rsidRDefault="00000000"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rsidR="00536CDF" w:rsidRDefault="00536CDF"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28BD" w:rsidRDefault="008928BD" w:rsidP="00EC5DC1">
      <w:pPr>
        <w:spacing w:after="0" w:line="240" w:lineRule="auto"/>
      </w:pPr>
      <w:r>
        <w:separator/>
      </w:r>
    </w:p>
  </w:footnote>
  <w:footnote w:type="continuationSeparator" w:id="0">
    <w:p w:rsidR="008928BD" w:rsidRDefault="008928BD" w:rsidP="00EC5DC1">
      <w:pPr>
        <w:spacing w:after="0" w:line="240" w:lineRule="auto"/>
      </w:pPr>
      <w:r>
        <w:continuationSeparator/>
      </w:r>
    </w:p>
  </w:footnote>
  <w:footnote w:id="1">
    <w:p w:rsidR="007622A1" w:rsidRDefault="007622A1" w:rsidP="007622A1">
      <w:pPr>
        <w:pStyle w:val="Textonotapie"/>
        <w:ind w:firstLine="708"/>
        <w:jc w:val="both"/>
        <w:rPr>
          <w:rFonts w:ascii="Arial" w:hAnsi="Arial" w:cs="Arial"/>
          <w:sz w:val="18"/>
          <w:szCs w:val="18"/>
          <w:lang w:val="es-ES"/>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ES"/>
        </w:rPr>
        <w:t>Diccionario de la Lengua Española.</w:t>
      </w:r>
    </w:p>
    <w:p w:rsidR="007622A1" w:rsidRPr="00D977D2" w:rsidRDefault="007622A1" w:rsidP="007622A1">
      <w:pPr>
        <w:pStyle w:val="Textonotapie"/>
        <w:ind w:firstLine="708"/>
        <w:jc w:val="both"/>
        <w:rPr>
          <w:rFonts w:ascii="Arial" w:hAnsi="Arial" w:cs="Arial"/>
          <w:sz w:val="18"/>
          <w:szCs w:val="18"/>
          <w:lang w:val="es-ES"/>
        </w:rPr>
      </w:pPr>
    </w:p>
  </w:footnote>
  <w:footnote w:id="2">
    <w:p w:rsidR="007622A1" w:rsidRPr="00D977D2" w:rsidRDefault="007622A1" w:rsidP="007622A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Al respecto, la doctrina sostiene que “Los contratos instados por los entes, organismos y entidades del sector público […] tienen […] un carácter oneroso. Efectivamente, el carácter sinalagmático del contrato comporta […] que cada una de las partes subjetivas recíprocamente tienen una serie de derechos y obligaciones, y el término oneroso nos indica igualmente que el contrato tiene prestaciones recíprocas entre sus partes, por lo que en un contrato en el que existe una determinada prestación (la entrega de un bien mueble, la prestación de un servicio, la realización de una obra) es evidente que debe ser retribuida mediante el abono de la correspondiente contraprestación, es decir, el carácter oneroso del contrato se refiere a la contraprestación que se ofrece por la entidad adjudicadora al contratista por la realización de las actividades objeto del contrato” (Cfr. FERNÁNDEZ ASTUDILLO, José María: El nuevo régimen de la contratación pública. Madrid: Wolker Kluwer, 2018. P. 268).     </w:t>
      </w:r>
    </w:p>
    <w:p w:rsidR="007622A1" w:rsidRPr="00D977D2" w:rsidRDefault="007622A1" w:rsidP="007622A1">
      <w:pPr>
        <w:pStyle w:val="Textonotapie"/>
        <w:ind w:firstLine="708"/>
        <w:jc w:val="both"/>
        <w:rPr>
          <w:rFonts w:ascii="Arial" w:hAnsi="Arial" w:cs="Arial"/>
          <w:sz w:val="18"/>
          <w:szCs w:val="18"/>
        </w:rPr>
      </w:pPr>
    </w:p>
  </w:footnote>
  <w:footnote w:id="3">
    <w:p w:rsidR="007622A1" w:rsidRPr="00D977D2" w:rsidRDefault="007622A1" w:rsidP="007622A1">
      <w:pPr>
        <w:pStyle w:val="Textonotapie"/>
        <w:ind w:firstLine="708"/>
        <w:jc w:val="both"/>
        <w:rPr>
          <w:rFonts w:ascii="Arial" w:hAnsi="Arial" w:cs="Arial"/>
          <w:sz w:val="18"/>
          <w:szCs w:val="18"/>
          <w:lang w:val="es-ES"/>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ES"/>
        </w:rPr>
        <w:t xml:space="preserve">MARÍN CORTÉS, Fabián G. El precio. Ed. Librería Jurídica Sánchez R. Ltda. y Centro de Estudios de Derecho Administrativo, Medellín, 2012, p. 60. </w:t>
      </w:r>
    </w:p>
  </w:footnote>
  <w:footnote w:id="4">
    <w:p w:rsidR="007622A1" w:rsidRPr="00D977D2" w:rsidRDefault="007622A1" w:rsidP="007622A1">
      <w:pPr>
        <w:pStyle w:val="Textonotapie"/>
        <w:ind w:firstLine="708"/>
        <w:jc w:val="both"/>
        <w:rPr>
          <w:rFonts w:ascii="Arial" w:hAnsi="Arial" w:cs="Arial"/>
          <w:sz w:val="18"/>
          <w:szCs w:val="18"/>
        </w:rPr>
      </w:pPr>
    </w:p>
    <w:p w:rsidR="007622A1" w:rsidRPr="00D977D2" w:rsidRDefault="007622A1" w:rsidP="007622A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ES"/>
        </w:rPr>
        <w:t>Consejo de Estado, Sección Tercera, Subsección A sentencia de 19 de julio de 2018, M.P. Marta Nubia Velázquez Rico, Rad. 2013-01826(57.576)</w:t>
      </w:r>
      <w:r w:rsidRPr="00D977D2">
        <w:rPr>
          <w:rFonts w:ascii="Arial" w:hAnsi="Arial" w:cs="Arial"/>
          <w:sz w:val="18"/>
          <w:szCs w:val="18"/>
        </w:rPr>
        <w:t xml:space="preserve"> </w:t>
      </w:r>
    </w:p>
  </w:footnote>
  <w:footnote w:id="5">
    <w:p w:rsidR="007622A1" w:rsidRPr="00D977D2" w:rsidRDefault="007622A1" w:rsidP="007622A1">
      <w:pPr>
        <w:pStyle w:val="Textonotapie"/>
        <w:ind w:firstLine="709"/>
        <w:jc w:val="both"/>
        <w:rPr>
          <w:rFonts w:ascii="Arial" w:hAnsi="Arial" w:cs="Arial"/>
          <w:sz w:val="18"/>
          <w:szCs w:val="18"/>
        </w:rPr>
      </w:pPr>
    </w:p>
    <w:p w:rsidR="007622A1" w:rsidRPr="00D977D2" w:rsidRDefault="007622A1" w:rsidP="007622A1">
      <w:pPr>
        <w:pStyle w:val="Textonotapie"/>
        <w:ind w:firstLine="709"/>
        <w:jc w:val="both"/>
        <w:rPr>
          <w:rFonts w:ascii="Arial" w:hAnsi="Arial" w:cs="Arial"/>
          <w:sz w:val="18"/>
          <w:szCs w:val="18"/>
          <w:lang w:val="es-ES"/>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rsidR="007622A1" w:rsidRPr="00D977D2" w:rsidRDefault="007622A1" w:rsidP="007622A1">
      <w:pPr>
        <w:pStyle w:val="Textonotapie"/>
        <w:ind w:firstLine="709"/>
        <w:jc w:val="both"/>
        <w:rPr>
          <w:rFonts w:ascii="Arial" w:hAnsi="Arial" w:cs="Arial"/>
          <w:sz w:val="18"/>
          <w:szCs w:val="18"/>
          <w:lang w:val="es-ES"/>
        </w:rPr>
      </w:pPr>
      <w:r w:rsidRPr="00D977D2">
        <w:rPr>
          <w:rFonts w:ascii="Arial" w:hAnsi="Arial" w:cs="Arial"/>
          <w:sz w:val="18"/>
          <w:szCs w:val="18"/>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D977D2">
        <w:rPr>
          <w:rFonts w:ascii="Arial" w:hAnsi="Arial" w:cs="Arial"/>
          <w:i/>
          <w:iCs/>
          <w:sz w:val="18"/>
          <w:szCs w:val="18"/>
          <w:lang w:val="es-ES"/>
        </w:rPr>
        <w:t>costos directos</w:t>
      </w:r>
      <w:r w:rsidRPr="00D977D2">
        <w:rPr>
          <w:rFonts w:ascii="Arial" w:hAnsi="Arial" w:cs="Arial"/>
          <w:sz w:val="18"/>
          <w:szCs w:val="18"/>
          <w:lang w:val="es-ES"/>
        </w:rPr>
        <w:t xml:space="preserve"> y los</w:t>
      </w:r>
      <w:r w:rsidRPr="00D977D2">
        <w:rPr>
          <w:rFonts w:ascii="Arial" w:hAnsi="Arial" w:cs="Arial"/>
          <w:i/>
          <w:iCs/>
          <w:sz w:val="18"/>
          <w:szCs w:val="18"/>
          <w:lang w:val="es-ES"/>
        </w:rPr>
        <w:t xml:space="preserve"> costos indirectos</w:t>
      </w:r>
      <w:r w:rsidRPr="00D977D2">
        <w:rPr>
          <w:rFonts w:ascii="Arial" w:hAnsi="Arial" w:cs="Arial"/>
          <w:sz w:val="18"/>
          <w:szCs w:val="18"/>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D977D2">
        <w:rPr>
          <w:rFonts w:ascii="Arial" w:hAnsi="Arial" w:cs="Arial"/>
          <w:i/>
          <w:iCs/>
          <w:sz w:val="18"/>
          <w:szCs w:val="18"/>
          <w:lang w:val="es-ES"/>
        </w:rPr>
        <w:t>ítems</w:t>
      </w:r>
      <w:r w:rsidRPr="00D977D2">
        <w:rPr>
          <w:rFonts w:ascii="Arial" w:hAnsi="Arial" w:cs="Arial"/>
          <w:sz w:val="18"/>
          <w:szCs w:val="18"/>
          <w:lang w:val="es-ES"/>
        </w:rPr>
        <w:t xml:space="preserve"> que componen el contrato–. Los costos </w:t>
      </w:r>
      <w:r w:rsidRPr="00D977D2">
        <w:rPr>
          <w:rFonts w:ascii="Arial" w:hAnsi="Arial" w:cs="Arial"/>
          <w:i/>
          <w:iCs/>
          <w:sz w:val="18"/>
          <w:szCs w:val="18"/>
          <w:lang w:val="es-ES"/>
        </w:rPr>
        <w:t>indirectos</w:t>
      </w:r>
      <w:r w:rsidRPr="00D977D2">
        <w:rPr>
          <w:rFonts w:ascii="Arial" w:hAnsi="Arial" w:cs="Arial"/>
          <w:sz w:val="18"/>
          <w:szCs w:val="18"/>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6">
    <w:p w:rsidR="007622A1" w:rsidRDefault="007622A1" w:rsidP="007622A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Consejo de Estado. Sección Tercera. Subsección B. Sentencia del 14 de octubre de 2011. Exp. 20811, C.P. Ruth Stella Correa Palacio.</w:t>
      </w:r>
    </w:p>
    <w:p w:rsidR="007622A1" w:rsidRPr="00D977D2" w:rsidRDefault="007622A1" w:rsidP="007622A1">
      <w:pPr>
        <w:pStyle w:val="Textonotapie"/>
        <w:ind w:firstLine="708"/>
        <w:jc w:val="both"/>
        <w:rPr>
          <w:rFonts w:ascii="Arial" w:hAnsi="Arial" w:cs="Arial"/>
          <w:sz w:val="18"/>
          <w:szCs w:val="18"/>
        </w:rPr>
      </w:pPr>
    </w:p>
  </w:footnote>
  <w:footnote w:id="7">
    <w:p w:rsidR="007622A1" w:rsidRPr="00D977D2" w:rsidRDefault="007622A1" w:rsidP="007622A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Consejo de Estado. Sala de Consulta y Servicio Civil. Concepto del 5 de septiembre de 2018, radicado No. 11001-03-06-000-2018-00124-00 C.P. Édgar González López.</w:t>
      </w:r>
    </w:p>
  </w:footnote>
  <w:footnote w:id="8">
    <w:p w:rsidR="007622A1" w:rsidRDefault="007622A1" w:rsidP="007622A1">
      <w:pPr>
        <w:pStyle w:val="Textonotapie"/>
        <w:ind w:firstLine="708"/>
        <w:jc w:val="both"/>
        <w:rPr>
          <w:rFonts w:ascii="Arial" w:hAnsi="Arial" w:cs="Arial"/>
          <w:sz w:val="18"/>
          <w:szCs w:val="18"/>
        </w:rPr>
      </w:pPr>
    </w:p>
    <w:p w:rsidR="007622A1" w:rsidRPr="00D977D2" w:rsidRDefault="007622A1" w:rsidP="007622A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footnote>
  <w:footnote w:id="9">
    <w:p w:rsidR="007622A1" w:rsidRDefault="007622A1" w:rsidP="007622A1">
      <w:pPr>
        <w:pStyle w:val="Textonotapie"/>
        <w:ind w:firstLine="708"/>
        <w:jc w:val="both"/>
        <w:rPr>
          <w:rFonts w:ascii="Arial" w:hAnsi="Arial" w:cs="Arial"/>
          <w:sz w:val="18"/>
          <w:szCs w:val="18"/>
        </w:rPr>
      </w:pPr>
    </w:p>
    <w:p w:rsidR="007622A1" w:rsidRPr="00D977D2" w:rsidRDefault="007622A1" w:rsidP="007622A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eastAsia="Times New Roman" w:hAnsi="Arial" w:cs="Arial"/>
          <w:sz w:val="18"/>
          <w:szCs w:val="18"/>
          <w:lang w:eastAsia="es-ES"/>
        </w:rPr>
        <w:t>…] 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w:t>
      </w:r>
      <w:r w:rsidRPr="00D977D2">
        <w:rPr>
          <w:rFonts w:ascii="Arial" w:hAnsi="Arial" w:cs="Arial"/>
          <w:sz w:val="18"/>
          <w:szCs w:val="18"/>
        </w:rPr>
        <w:t>” (</w:t>
      </w:r>
      <w:r w:rsidRPr="00D977D2">
        <w:rPr>
          <w:rFonts w:ascii="Arial" w:hAnsi="Arial" w:cs="Arial"/>
          <w:sz w:val="18"/>
          <w:szCs w:val="18"/>
          <w:lang w:val="es-CO"/>
        </w:rPr>
        <w:t>Consejo de Estado. Sección Tercera. Consejero Ponente: Ramiro Saavedra Becerra. Sentencia del 28 de agosto de 2003. Radicado: 17.554).</w:t>
      </w:r>
      <w:r w:rsidRPr="00D977D2">
        <w:rPr>
          <w:rFonts w:ascii="Arial" w:hAnsi="Arial" w:cs="Arial"/>
          <w:sz w:val="18"/>
          <w:szCs w:val="18"/>
        </w:rPr>
        <w:t xml:space="preserve"> </w:t>
      </w:r>
    </w:p>
  </w:footnote>
  <w:footnote w:id="10">
    <w:p w:rsidR="007622A1" w:rsidRDefault="007622A1" w:rsidP="007622A1">
      <w:pPr>
        <w:pStyle w:val="Textonotapie"/>
        <w:ind w:firstLine="708"/>
        <w:jc w:val="both"/>
        <w:rPr>
          <w:rFonts w:ascii="Arial" w:hAnsi="Arial" w:cs="Arial"/>
          <w:sz w:val="18"/>
          <w:szCs w:val="18"/>
        </w:rPr>
      </w:pPr>
    </w:p>
    <w:p w:rsidR="007622A1" w:rsidRPr="00D977D2" w:rsidRDefault="007622A1" w:rsidP="007622A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MARÍN CORTÉS, Op. Cit., pp. 64-65.</w:t>
      </w:r>
    </w:p>
  </w:footnote>
  <w:footnote w:id="11">
    <w:p w:rsidR="007622A1" w:rsidRDefault="007622A1" w:rsidP="007622A1">
      <w:pPr>
        <w:pStyle w:val="Textonotapie"/>
        <w:ind w:firstLine="709"/>
        <w:jc w:val="both"/>
        <w:rPr>
          <w:rFonts w:ascii="Arial" w:hAnsi="Arial" w:cs="Arial"/>
          <w:sz w:val="18"/>
          <w:szCs w:val="18"/>
        </w:rPr>
      </w:pPr>
    </w:p>
    <w:p w:rsidR="007622A1" w:rsidRPr="00D977D2" w:rsidRDefault="007622A1" w:rsidP="007622A1">
      <w:pPr>
        <w:pStyle w:val="Textonotapie"/>
        <w:ind w:firstLine="709"/>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Ibíd., p. 66.</w:t>
      </w:r>
    </w:p>
  </w:footnote>
  <w:footnote w:id="12">
    <w:p w:rsidR="007622A1" w:rsidRDefault="007622A1" w:rsidP="007622A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Que tienen una definición y regulación establecida en la ley. </w:t>
      </w:r>
    </w:p>
    <w:p w:rsidR="007622A1" w:rsidRPr="00D977D2" w:rsidRDefault="007622A1" w:rsidP="007622A1">
      <w:pPr>
        <w:pStyle w:val="Textonotapie"/>
        <w:ind w:firstLine="708"/>
        <w:jc w:val="both"/>
        <w:rPr>
          <w:rFonts w:ascii="Arial" w:hAnsi="Arial" w:cs="Arial"/>
          <w:sz w:val="18"/>
          <w:szCs w:val="18"/>
        </w:rPr>
      </w:pPr>
    </w:p>
  </w:footnote>
  <w:footnote w:id="13">
    <w:p w:rsidR="007622A1" w:rsidRPr="00D977D2" w:rsidRDefault="007622A1" w:rsidP="007622A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Por ejemplo: contratos de compraventa, suministro, depósito, seguro, arrendamiento, mutuo, mandato etc. </w:t>
      </w:r>
    </w:p>
  </w:footnote>
  <w:footnote w:id="14">
    <w:p w:rsidR="007622A1" w:rsidRDefault="007622A1" w:rsidP="007622A1">
      <w:pPr>
        <w:pStyle w:val="Textonotapie"/>
        <w:ind w:firstLine="708"/>
        <w:jc w:val="both"/>
        <w:rPr>
          <w:rFonts w:ascii="Arial" w:hAnsi="Arial" w:cs="Arial"/>
          <w:sz w:val="18"/>
          <w:szCs w:val="18"/>
        </w:rPr>
      </w:pPr>
    </w:p>
    <w:p w:rsidR="007622A1" w:rsidRPr="00D977D2" w:rsidRDefault="007622A1" w:rsidP="007622A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Por ejemplo: contratos de obra pública, prestación de servicios, consultoría, concesión, fiducia pública y encargo fiduciario. </w:t>
      </w:r>
    </w:p>
  </w:footnote>
  <w:footnote w:id="15">
    <w:p w:rsidR="007622A1" w:rsidRDefault="007622A1" w:rsidP="007622A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OSPINA MENA, Jesús Marino. Régimen de la Contratación Estatal. Un salto a la contratación liquida, Ed 1ª Dike, 2020, Bogotá, p. 164. </w:t>
      </w:r>
    </w:p>
    <w:p w:rsidR="007622A1" w:rsidRPr="00D977D2" w:rsidRDefault="007622A1" w:rsidP="007622A1">
      <w:pPr>
        <w:pStyle w:val="Textonotapie"/>
        <w:ind w:firstLine="708"/>
        <w:jc w:val="both"/>
        <w:rPr>
          <w:rFonts w:ascii="Arial" w:hAnsi="Arial" w:cs="Arial"/>
          <w:sz w:val="18"/>
          <w:szCs w:val="18"/>
        </w:rPr>
      </w:pPr>
    </w:p>
  </w:footnote>
  <w:footnote w:id="16">
    <w:p w:rsidR="007622A1" w:rsidRPr="00D977D2" w:rsidRDefault="007622A1" w:rsidP="007622A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Style w:val="Refdenotaalpie"/>
          <w:rFonts w:ascii="Arial" w:hAnsi="Arial" w:cs="Arial"/>
          <w:sz w:val="18"/>
          <w:szCs w:val="18"/>
        </w:rPr>
        <w:t xml:space="preserve"> </w:t>
      </w:r>
      <w:r w:rsidRPr="00D977D2">
        <w:rPr>
          <w:rFonts w:ascii="Arial" w:hAnsi="Arial" w:cs="Arial"/>
          <w:sz w:val="18"/>
          <w:szCs w:val="18"/>
        </w:rPr>
        <w:t>ARRUBLA PAUCAR, Jaime. Contratos Mercantiles, Tomo III, Contratos Atípicos, 8 Ed, Legis, 2015, p. 23.</w:t>
      </w:r>
    </w:p>
  </w:footnote>
  <w:footnote w:id="17">
    <w:p w:rsidR="007622A1" w:rsidRDefault="007622A1" w:rsidP="007622A1">
      <w:pPr>
        <w:pStyle w:val="Textonotapie"/>
        <w:ind w:firstLine="708"/>
        <w:jc w:val="both"/>
        <w:rPr>
          <w:rFonts w:ascii="Arial" w:hAnsi="Arial" w:cs="Arial"/>
          <w:color w:val="000000" w:themeColor="text1"/>
          <w:sz w:val="18"/>
          <w:szCs w:val="18"/>
        </w:rPr>
      </w:pPr>
    </w:p>
    <w:p w:rsidR="007622A1" w:rsidRPr="00D977D2" w:rsidRDefault="007622A1" w:rsidP="007622A1">
      <w:pPr>
        <w:pStyle w:val="Textonotapie"/>
        <w:ind w:firstLine="708"/>
        <w:jc w:val="both"/>
        <w:rPr>
          <w:rFonts w:ascii="Arial" w:hAnsi="Arial" w:cs="Arial"/>
          <w:iCs/>
          <w:color w:val="000000" w:themeColor="text1"/>
          <w:sz w:val="18"/>
          <w:szCs w:val="18"/>
        </w:rPr>
      </w:pPr>
      <w:r w:rsidRPr="00D977D2">
        <w:rPr>
          <w:rStyle w:val="Refdenotaalpie"/>
          <w:rFonts w:ascii="Arial" w:hAnsi="Arial" w:cs="Arial"/>
          <w:color w:val="000000" w:themeColor="text1"/>
          <w:sz w:val="18"/>
          <w:szCs w:val="18"/>
        </w:rPr>
        <w:footnoteRef/>
      </w:r>
      <w:r w:rsidRPr="00D977D2">
        <w:rPr>
          <w:rFonts w:ascii="Arial" w:hAnsi="Arial" w:cs="Arial"/>
          <w:color w:val="000000" w:themeColor="text1"/>
          <w:sz w:val="18"/>
          <w:szCs w:val="18"/>
        </w:rPr>
        <w:t xml:space="preserve"> </w:t>
      </w:r>
      <w:r w:rsidRPr="00D977D2">
        <w:rPr>
          <w:rFonts w:ascii="Arial" w:hAnsi="Arial" w:cs="Arial"/>
          <w:iCs/>
          <w:color w:val="000000" w:themeColor="text1"/>
          <w:sz w:val="18"/>
          <w:szCs w:val="18"/>
        </w:rPr>
        <w:t>NARVAEZ GARCÍA, José Ignacio, Derecho mercantil colombiano. Obligaciones y contratos mercantiles. 2 Ed. Bogotá: Legis, 2002. p.67.</w:t>
      </w:r>
    </w:p>
  </w:footnote>
  <w:footnote w:id="18">
    <w:p w:rsidR="007622A1" w:rsidRDefault="007622A1" w:rsidP="007622A1">
      <w:pPr>
        <w:pStyle w:val="Textonotapie"/>
        <w:ind w:firstLine="708"/>
        <w:jc w:val="both"/>
        <w:rPr>
          <w:rFonts w:ascii="Arial" w:hAnsi="Arial" w:cs="Arial"/>
          <w:color w:val="000000" w:themeColor="text1"/>
          <w:sz w:val="18"/>
          <w:szCs w:val="18"/>
        </w:rPr>
      </w:pPr>
    </w:p>
    <w:p w:rsidR="007622A1" w:rsidRPr="00D977D2" w:rsidRDefault="007622A1" w:rsidP="007622A1">
      <w:pPr>
        <w:pStyle w:val="Textonotapie"/>
        <w:ind w:firstLine="708"/>
        <w:jc w:val="both"/>
        <w:rPr>
          <w:rFonts w:ascii="Arial" w:hAnsi="Arial" w:cs="Arial"/>
          <w:iCs/>
          <w:color w:val="000000" w:themeColor="text1"/>
          <w:sz w:val="18"/>
          <w:szCs w:val="18"/>
        </w:rPr>
      </w:pPr>
      <w:r w:rsidRPr="00D977D2">
        <w:rPr>
          <w:rStyle w:val="Refdenotaalpie"/>
          <w:rFonts w:ascii="Arial" w:hAnsi="Arial" w:cs="Arial"/>
          <w:color w:val="000000" w:themeColor="text1"/>
          <w:sz w:val="18"/>
          <w:szCs w:val="18"/>
        </w:rPr>
        <w:footnoteRef/>
      </w:r>
      <w:r w:rsidRPr="00D977D2">
        <w:rPr>
          <w:rFonts w:ascii="Arial" w:hAnsi="Arial" w:cs="Arial"/>
          <w:color w:val="000000" w:themeColor="text1"/>
          <w:sz w:val="18"/>
          <w:szCs w:val="18"/>
        </w:rPr>
        <w:t xml:space="preserve"> </w:t>
      </w:r>
      <w:r w:rsidRPr="00D977D2">
        <w:rPr>
          <w:rFonts w:ascii="Arial" w:hAnsi="Arial" w:cs="Arial"/>
          <w:iCs/>
          <w:color w:val="000000" w:themeColor="text1"/>
          <w:sz w:val="18"/>
          <w:szCs w:val="18"/>
        </w:rPr>
        <w:t>Gaceta Judicial T.XLVIII, p.50. Citada por: SUAREZ BELTRÁN, Gonzalo. Estudios de derecho contractual público. Bogotá: Legis, 2014. p. 239.</w:t>
      </w:r>
    </w:p>
  </w:footnote>
  <w:footnote w:id="19">
    <w:p w:rsidR="007622A1" w:rsidRPr="00D977D2" w:rsidRDefault="007622A1" w:rsidP="007622A1">
      <w:pPr>
        <w:pStyle w:val="Textonotapie"/>
        <w:ind w:firstLine="708"/>
        <w:jc w:val="both"/>
        <w:rPr>
          <w:rFonts w:ascii="Arial" w:hAnsi="Arial" w:cs="Arial"/>
          <w:color w:val="000000" w:themeColor="text1"/>
          <w:sz w:val="18"/>
          <w:szCs w:val="18"/>
          <w:lang w:val="es-CO"/>
        </w:rPr>
      </w:pPr>
      <w:r w:rsidRPr="00D977D2">
        <w:rPr>
          <w:rStyle w:val="Refdenotaalpie"/>
          <w:rFonts w:ascii="Arial" w:hAnsi="Arial" w:cs="Arial"/>
          <w:color w:val="000000" w:themeColor="text1"/>
          <w:sz w:val="18"/>
          <w:szCs w:val="18"/>
        </w:rPr>
        <w:footnoteRef/>
      </w:r>
      <w:r w:rsidRPr="00D977D2">
        <w:rPr>
          <w:rFonts w:ascii="Arial" w:hAnsi="Arial" w:cs="Arial"/>
          <w:color w:val="000000" w:themeColor="text1"/>
          <w:sz w:val="18"/>
          <w:szCs w:val="18"/>
        </w:rPr>
        <w:t xml:space="preserve"> </w:t>
      </w:r>
      <w:r w:rsidRPr="001625A4">
        <w:rPr>
          <w:rFonts w:ascii="Arial" w:hAnsi="Arial" w:cs="Arial"/>
          <w:iCs/>
          <w:color w:val="000000" w:themeColor="text1"/>
          <w:sz w:val="18"/>
          <w:szCs w:val="18"/>
        </w:rPr>
        <w:t>CONSEJO DE ESTADO</w:t>
      </w:r>
      <w:r w:rsidRPr="00D977D2">
        <w:rPr>
          <w:rFonts w:ascii="Arial" w:hAnsi="Arial" w:cs="Arial"/>
          <w:iCs/>
          <w:color w:val="000000" w:themeColor="text1"/>
          <w:sz w:val="18"/>
          <w:szCs w:val="18"/>
        </w:rPr>
        <w:t>. Sala de Consulta y Servicio Civil. Concepto</w:t>
      </w:r>
      <w:r w:rsidRPr="00D977D2">
        <w:rPr>
          <w:rFonts w:ascii="Arial" w:hAnsi="Arial" w:cs="Arial"/>
          <w:bCs/>
          <w:color w:val="000000" w:themeColor="text1"/>
          <w:sz w:val="18"/>
          <w:szCs w:val="18"/>
        </w:rPr>
        <w:t xml:space="preserve"> </w:t>
      </w:r>
      <w:r w:rsidRPr="00D977D2">
        <w:rPr>
          <w:rFonts w:ascii="Arial" w:hAnsi="Arial" w:cs="Arial"/>
          <w:iCs/>
          <w:color w:val="000000" w:themeColor="text1"/>
          <w:sz w:val="18"/>
          <w:szCs w:val="18"/>
        </w:rPr>
        <w:t>del 5 de septiembre de 2018. Exp. 2.386. C.P. Edgar González López. Este concepto reitera pronunciamientos anteriores relacionados con la estampilla pro-universidades, tales como: Conceptos 2.229 de 2015, 2.271 de 2016, 2.229 de 2017, 2.324 de 2017.</w:t>
      </w:r>
    </w:p>
  </w:footnote>
  <w:footnote w:id="20">
    <w:p w:rsidR="007622A1" w:rsidRDefault="007622A1" w:rsidP="007622A1">
      <w:pPr>
        <w:pStyle w:val="Textonotapie"/>
        <w:ind w:firstLine="708"/>
        <w:jc w:val="both"/>
        <w:rPr>
          <w:rFonts w:ascii="Arial" w:hAnsi="Arial" w:cs="Arial"/>
          <w:sz w:val="18"/>
          <w:szCs w:val="18"/>
        </w:rPr>
      </w:pPr>
    </w:p>
    <w:p w:rsidR="007622A1" w:rsidRPr="00D977D2" w:rsidRDefault="007622A1" w:rsidP="007622A1">
      <w:pPr>
        <w:pStyle w:val="Textonotapie"/>
        <w:ind w:firstLine="708"/>
        <w:jc w:val="both"/>
        <w:rPr>
          <w:rFonts w:ascii="Arial" w:hAnsi="Arial" w:cs="Arial"/>
          <w:iCs/>
          <w:color w:val="000000" w:themeColor="text1"/>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iCs/>
          <w:color w:val="000000" w:themeColor="text1"/>
          <w:sz w:val="18"/>
          <w:szCs w:val="18"/>
        </w:rPr>
        <w:t>NOSSA PEÑA, Lisandro. De los contratos mercantiles, Universidad Católica de Colombia, 2 Ed, 2006, p. 279.</w:t>
      </w:r>
    </w:p>
  </w:footnote>
  <w:footnote w:id="21">
    <w:p w:rsidR="007622A1" w:rsidRPr="00D977D2" w:rsidRDefault="007622A1" w:rsidP="007622A1">
      <w:pPr>
        <w:pStyle w:val="Textonotapie"/>
        <w:ind w:firstLine="708"/>
        <w:jc w:val="both"/>
        <w:rPr>
          <w:rFonts w:ascii="Arial" w:hAnsi="Arial" w:cs="Arial"/>
          <w:iCs/>
          <w:color w:val="000000" w:themeColor="text1"/>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iCs/>
          <w:color w:val="000000" w:themeColor="text1"/>
          <w:sz w:val="18"/>
          <w:szCs w:val="18"/>
        </w:rPr>
        <w:t xml:space="preserve">LAFONT PIANETTA, Pedro. Manual de contratos, Tomo I, Ediciones Librería del Profesional, 1 Ed, 2001, p.110. </w:t>
      </w:r>
    </w:p>
  </w:footnote>
  <w:footnote w:id="22">
    <w:p w:rsidR="007622A1" w:rsidRPr="00D977D2" w:rsidRDefault="007622A1" w:rsidP="007622A1">
      <w:pPr>
        <w:pStyle w:val="Textonotapie"/>
        <w:ind w:firstLine="708"/>
        <w:jc w:val="both"/>
        <w:rPr>
          <w:rFonts w:ascii="Arial" w:hAnsi="Arial" w:cs="Arial"/>
          <w:iCs/>
          <w:color w:val="000000" w:themeColor="text1"/>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iCs/>
          <w:color w:val="000000" w:themeColor="text1"/>
          <w:sz w:val="18"/>
          <w:szCs w:val="18"/>
        </w:rPr>
        <w:t xml:space="preserve">Ibídem, p. 114. </w:t>
      </w:r>
    </w:p>
  </w:footnote>
  <w:footnote w:id="23">
    <w:p w:rsidR="007622A1" w:rsidRPr="00D977D2" w:rsidRDefault="007622A1" w:rsidP="007622A1">
      <w:pPr>
        <w:pStyle w:val="Textonotapie"/>
        <w:ind w:firstLine="709"/>
        <w:jc w:val="both"/>
        <w:rPr>
          <w:rFonts w:ascii="Arial" w:hAnsi="Arial" w:cs="Arial"/>
          <w:color w:val="000000"/>
          <w:sz w:val="18"/>
          <w:szCs w:val="18"/>
        </w:rPr>
      </w:pPr>
      <w:r w:rsidRPr="00D977D2">
        <w:rPr>
          <w:rStyle w:val="Refdenotaalpie"/>
          <w:rFonts w:ascii="Arial" w:hAnsi="Arial" w:cs="Arial"/>
          <w:color w:val="000000"/>
          <w:sz w:val="18"/>
          <w:szCs w:val="18"/>
        </w:rPr>
        <w:footnoteRef/>
      </w:r>
      <w:r w:rsidRPr="00D977D2">
        <w:rPr>
          <w:rFonts w:ascii="Arial" w:hAnsi="Arial" w:cs="Arial"/>
          <w:color w:val="000000"/>
          <w:sz w:val="18"/>
          <w:szCs w:val="18"/>
        </w:rPr>
        <w:t xml:space="preserve"> ALESSANDRI RODRÍGUEZ, Arturo. De los contratos. Santiago de Chile: Editorial Jurídica EDIAR-CONOCSUR LTDA, 1988. p. 182. </w:t>
      </w:r>
    </w:p>
  </w:footnote>
  <w:footnote w:id="24">
    <w:p w:rsidR="007622A1" w:rsidRDefault="007622A1" w:rsidP="007622A1">
      <w:pPr>
        <w:pStyle w:val="Textonotapie"/>
        <w:ind w:firstLine="708"/>
        <w:jc w:val="both"/>
        <w:rPr>
          <w:rFonts w:ascii="Arial" w:hAnsi="Arial" w:cs="Arial"/>
          <w:sz w:val="18"/>
          <w:szCs w:val="18"/>
          <w:lang w:val="es-ES_tradnl"/>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ES_tradnl"/>
        </w:rPr>
        <w:t xml:space="preserve">Respecto a la referencia a los bienes inmuebles, debe considerarse la definición de los artículos 656 y 658 del Código Civil, que incluye en esa categoría tanto a los inmuebles por adhesión como por destinación. De esta manera, la referencia contenida en el numeral 1 del artículo 32 la Ley 80 de 1993 a inmuebles debe entenderse que se extiende a los inmuebles anteriormente mencionados, razón por la cual la tipicidad del contrato de obra incluye cualquier clase de trabajo sobre inmuebles por adhesión o por destinación. </w:t>
      </w:r>
    </w:p>
    <w:p w:rsidR="007622A1" w:rsidRPr="00D977D2" w:rsidRDefault="007622A1" w:rsidP="007622A1">
      <w:pPr>
        <w:pStyle w:val="Textonotapie"/>
        <w:ind w:firstLine="708"/>
        <w:jc w:val="both"/>
        <w:rPr>
          <w:rFonts w:ascii="Arial" w:hAnsi="Arial" w:cs="Arial"/>
          <w:sz w:val="18"/>
          <w:szCs w:val="18"/>
          <w:lang w:val="es-ES_tradnl"/>
        </w:rPr>
      </w:pPr>
    </w:p>
  </w:footnote>
  <w:footnote w:id="25">
    <w:p w:rsidR="007622A1" w:rsidRDefault="007622A1" w:rsidP="007622A1">
      <w:pPr>
        <w:pStyle w:val="Textonotapie"/>
        <w:ind w:firstLine="709"/>
        <w:jc w:val="both"/>
        <w:rPr>
          <w:rFonts w:ascii="Arial" w:hAnsi="Arial" w:cs="Arial"/>
          <w:color w:val="000000"/>
          <w:sz w:val="18"/>
          <w:szCs w:val="18"/>
        </w:rPr>
      </w:pPr>
      <w:r w:rsidRPr="00D977D2">
        <w:rPr>
          <w:rStyle w:val="Refdenotaalpie"/>
          <w:rFonts w:ascii="Arial" w:hAnsi="Arial" w:cs="Arial"/>
          <w:color w:val="000000"/>
          <w:sz w:val="18"/>
          <w:szCs w:val="18"/>
        </w:rPr>
        <w:footnoteRef/>
      </w:r>
      <w:r w:rsidRPr="00D977D2">
        <w:rPr>
          <w:rFonts w:ascii="Arial" w:hAnsi="Arial" w:cs="Arial"/>
          <w:color w:val="000000"/>
          <w:sz w:val="18"/>
          <w:szCs w:val="18"/>
        </w:rPr>
        <w:t xml:space="preserve"> OSPINA MENA, Jesús Marino. Régimen de la Contratación Estatal. Un salto a la contratación liquida. Bogotá: Dike, 2020. p. 168.</w:t>
      </w:r>
    </w:p>
    <w:p w:rsidR="007622A1" w:rsidRPr="00D977D2" w:rsidRDefault="007622A1" w:rsidP="007622A1">
      <w:pPr>
        <w:pStyle w:val="Textonotapie"/>
        <w:ind w:firstLine="709"/>
        <w:jc w:val="both"/>
        <w:rPr>
          <w:rFonts w:ascii="Arial" w:hAnsi="Arial" w:cs="Arial"/>
          <w:color w:val="000000"/>
          <w:sz w:val="18"/>
          <w:szCs w:val="18"/>
        </w:rPr>
      </w:pPr>
    </w:p>
  </w:footnote>
  <w:footnote w:id="26">
    <w:p w:rsidR="007622A1" w:rsidRDefault="007622A1" w:rsidP="007622A1">
      <w:pPr>
        <w:pStyle w:val="Textonotapie"/>
        <w:ind w:firstLine="709"/>
        <w:jc w:val="both"/>
        <w:rPr>
          <w:rFonts w:ascii="Arial" w:hAnsi="Arial" w:cs="Arial"/>
          <w:color w:val="000000"/>
          <w:sz w:val="18"/>
          <w:szCs w:val="18"/>
        </w:rPr>
      </w:pPr>
      <w:r w:rsidRPr="00D977D2">
        <w:rPr>
          <w:rStyle w:val="Refdenotaalpie"/>
          <w:rFonts w:ascii="Arial" w:hAnsi="Arial" w:cs="Arial"/>
          <w:color w:val="000000"/>
          <w:sz w:val="18"/>
          <w:szCs w:val="18"/>
        </w:rPr>
        <w:footnoteRef/>
      </w:r>
      <w:r w:rsidRPr="00D977D2">
        <w:rPr>
          <w:rFonts w:ascii="Arial" w:hAnsi="Arial" w:cs="Arial"/>
          <w:color w:val="000000"/>
          <w:sz w:val="18"/>
          <w:szCs w:val="18"/>
        </w:rPr>
        <w:t xml:space="preserve"> </w:t>
      </w:r>
      <w:r w:rsidRPr="001625A4">
        <w:rPr>
          <w:rFonts w:ascii="Arial" w:hAnsi="Arial" w:cs="Arial"/>
          <w:color w:val="000000"/>
          <w:sz w:val="18"/>
          <w:szCs w:val="18"/>
        </w:rPr>
        <w:t>CONSEJO DE ESTADO</w:t>
      </w:r>
      <w:r w:rsidRPr="00D977D2">
        <w:rPr>
          <w:rFonts w:ascii="Arial" w:hAnsi="Arial" w:cs="Arial"/>
          <w:color w:val="000000"/>
          <w:sz w:val="18"/>
          <w:szCs w:val="18"/>
        </w:rPr>
        <w:t>. Sala de Consulta y Servicio Civil. Concepto del 5 de septiembre de 2018. Rad. 2.386. C.P. Edgar González López.</w:t>
      </w:r>
    </w:p>
    <w:p w:rsidR="007622A1" w:rsidRPr="00D977D2" w:rsidRDefault="007622A1" w:rsidP="007622A1">
      <w:pPr>
        <w:pStyle w:val="Textonotapie"/>
        <w:ind w:firstLine="709"/>
        <w:jc w:val="both"/>
        <w:rPr>
          <w:rFonts w:ascii="Arial" w:hAnsi="Arial" w:cs="Arial"/>
          <w:color w:val="000000"/>
          <w:sz w:val="18"/>
          <w:szCs w:val="18"/>
        </w:rPr>
      </w:pPr>
    </w:p>
  </w:footnote>
  <w:footnote w:id="27">
    <w:p w:rsidR="007622A1" w:rsidRDefault="007622A1" w:rsidP="007622A1">
      <w:pPr>
        <w:pStyle w:val="Textonotapie"/>
        <w:ind w:firstLine="708"/>
        <w:jc w:val="both"/>
        <w:rPr>
          <w:rFonts w:ascii="Arial" w:hAnsi="Arial" w:cs="Arial"/>
          <w:sz w:val="18"/>
          <w:szCs w:val="18"/>
          <w:lang w:val="es-CO"/>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CO"/>
        </w:rPr>
        <w:t>MELÓN PARDO, Carlos. El contrato de suministro. En: Tratado de los contratos del sector público. Tomo III. Valencia: Tirant lo Blanch, 2018. pp. 2620-2621. Esto también concuerda con la regla del numeral 2 del artículo 969 del Código de Comercio, pues “Para establecer la cuantía del suministro si las partes no lo hubieren fijado en cantidad determinada o señalado las bases para determinarla, se aplicarán las siguientes reglas: […] Si las partes han fijado solamente un límite máximo corresponderá al consumidor determinar la cuantía, sin exceder dicho máximo […]”.</w:t>
      </w:r>
    </w:p>
    <w:p w:rsidR="007622A1" w:rsidRPr="00D977D2" w:rsidRDefault="007622A1" w:rsidP="007622A1">
      <w:pPr>
        <w:pStyle w:val="Textonotapie"/>
        <w:ind w:firstLine="708"/>
        <w:jc w:val="both"/>
        <w:rPr>
          <w:rFonts w:ascii="Arial" w:hAnsi="Arial" w:cs="Arial"/>
          <w:sz w:val="18"/>
          <w:szCs w:val="18"/>
        </w:rPr>
      </w:pPr>
    </w:p>
  </w:footnote>
  <w:footnote w:id="28">
    <w:p w:rsidR="007622A1" w:rsidRPr="00D977D2" w:rsidRDefault="007622A1" w:rsidP="007622A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Cfr. </w:t>
      </w:r>
      <w:r w:rsidRPr="001625A4">
        <w:rPr>
          <w:rFonts w:ascii="Arial" w:hAnsi="Arial" w:cs="Arial"/>
          <w:sz w:val="18"/>
          <w:szCs w:val="18"/>
        </w:rPr>
        <w:t>MARTÍNEZ MAS</w:t>
      </w:r>
      <w:r w:rsidRPr="00D977D2">
        <w:rPr>
          <w:rFonts w:ascii="Arial" w:hAnsi="Arial" w:cs="Arial"/>
          <w:sz w:val="18"/>
          <w:szCs w:val="18"/>
        </w:rPr>
        <w:t>, Francisco. La terminación, entrega, recepción, y liquidación en el contrato de obra. Madrid: Dykinson, 2001. pp. 176-177.</w:t>
      </w:r>
    </w:p>
  </w:footnote>
  <w:footnote w:id="29">
    <w:p w:rsidR="007622A1" w:rsidRDefault="007622A1" w:rsidP="007622A1">
      <w:pPr>
        <w:pStyle w:val="Textonotapie"/>
        <w:ind w:firstLine="708"/>
        <w:jc w:val="both"/>
        <w:rPr>
          <w:rFonts w:ascii="Arial" w:hAnsi="Arial" w:cs="Arial"/>
          <w:sz w:val="18"/>
          <w:szCs w:val="18"/>
        </w:rPr>
      </w:pPr>
    </w:p>
    <w:p w:rsidR="007622A1" w:rsidRPr="00D977D2" w:rsidRDefault="007622A1" w:rsidP="007622A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PODETTI, Humberto. El contrato de construcción. Buenos Aires: Astrea, 2004. </w:t>
      </w:r>
      <w:r w:rsidRPr="001625A4">
        <w:rPr>
          <w:rFonts w:ascii="Arial" w:hAnsi="Arial" w:cs="Arial"/>
          <w:sz w:val="18"/>
          <w:szCs w:val="18"/>
        </w:rPr>
        <w:t>P</w:t>
      </w:r>
      <w:r w:rsidRPr="00D977D2">
        <w:rPr>
          <w:rFonts w:ascii="Arial" w:hAnsi="Arial" w:cs="Arial"/>
          <w:sz w:val="18"/>
          <w:szCs w:val="18"/>
        </w:rPr>
        <w:t>p. 254-255.</w:t>
      </w:r>
    </w:p>
  </w:footnote>
  <w:footnote w:id="30">
    <w:p w:rsidR="007622A1" w:rsidRDefault="007622A1" w:rsidP="007622A1">
      <w:pPr>
        <w:pStyle w:val="Textonotapie"/>
        <w:ind w:firstLine="708"/>
        <w:jc w:val="both"/>
        <w:rPr>
          <w:rFonts w:ascii="Arial" w:hAnsi="Arial" w:cs="Arial"/>
          <w:sz w:val="18"/>
          <w:szCs w:val="18"/>
        </w:rPr>
      </w:pPr>
    </w:p>
    <w:p w:rsidR="007622A1" w:rsidRPr="00D977D2" w:rsidRDefault="007622A1" w:rsidP="007622A1">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PLANIOL, Marcel &amp; RIPERT, Jeorge. Tratado práctico de derecho civil francés. Tomo XI. La Habana: Cultural SA, 1940. p. 163.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CDF" w:rsidRDefault="0000000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7A345C52" wp14:editId="45C6AD4D">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71F33205" wp14:editId="19D2DBD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536CDF" w:rsidRDefault="00536CDF" w:rsidP="00A211EE">
    <w:pPr>
      <w:pStyle w:val="Encabezado"/>
      <w:jc w:val="center"/>
    </w:pPr>
  </w:p>
  <w:p w:rsidR="00536CDF" w:rsidRDefault="00536CDF">
    <w:pPr>
      <w:pStyle w:val="Encabezado"/>
    </w:pPr>
  </w:p>
  <w:p w:rsidR="00536CDF" w:rsidRDefault="00536CDF" w:rsidP="00A211EE">
    <w:pPr>
      <w:spacing w:after="0"/>
      <w:rPr>
        <w:rFonts w:ascii="Verdana" w:hAnsi="Verdana"/>
        <w:b/>
        <w:bCs/>
        <w:sz w:val="24"/>
        <w:szCs w:val="24"/>
      </w:rPr>
    </w:pPr>
  </w:p>
  <w:p w:rsidR="00536CDF" w:rsidRDefault="00000000" w:rsidP="00A211EE">
    <w:pPr>
      <w:spacing w:after="0"/>
      <w:rPr>
        <w:rFonts w:ascii="Verdana" w:hAnsi="Verdana"/>
        <w:b/>
        <w:bCs/>
        <w:sz w:val="24"/>
        <w:szCs w:val="24"/>
      </w:rPr>
    </w:pPr>
    <w:r w:rsidRPr="00A211EE">
      <w:rPr>
        <w:rFonts w:ascii="Verdana" w:hAnsi="Verdana"/>
        <w:b/>
        <w:bCs/>
        <w:sz w:val="24"/>
        <w:szCs w:val="24"/>
      </w:rPr>
      <w:t>FORMATO PQRSD</w:t>
    </w:r>
  </w:p>
  <w:p w:rsidR="00536CDF" w:rsidRPr="00A211EE" w:rsidRDefault="00536CDF"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9A0292"/>
    <w:multiLevelType w:val="hybridMultilevel"/>
    <w:tmpl w:val="B602E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265D1D"/>
    <w:multiLevelType w:val="multilevel"/>
    <w:tmpl w:val="442CD38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5A58BD"/>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3B2B87"/>
    <w:multiLevelType w:val="hybridMultilevel"/>
    <w:tmpl w:val="18AE1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7A6BA1"/>
    <w:multiLevelType w:val="hybridMultilevel"/>
    <w:tmpl w:val="A8C87CF0"/>
    <w:lvl w:ilvl="0" w:tplc="25BE362E">
      <w:numFmt w:val="bullet"/>
      <w:lvlText w:val="•"/>
      <w:lvlJc w:val="left"/>
      <w:pPr>
        <w:ind w:left="1440" w:hanging="360"/>
      </w:pPr>
      <w:rPr>
        <w:rFonts w:hint="default"/>
        <w:lang w:val="es-ES" w:eastAsia="en-US" w:bidi="ar-SA"/>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3415C76"/>
    <w:multiLevelType w:val="hybridMultilevel"/>
    <w:tmpl w:val="9C8C101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341274352">
    <w:abstractNumId w:val="0"/>
  </w:num>
  <w:num w:numId="2" w16cid:durableId="784039179">
    <w:abstractNumId w:val="6"/>
  </w:num>
  <w:num w:numId="3" w16cid:durableId="450248607">
    <w:abstractNumId w:val="5"/>
  </w:num>
  <w:num w:numId="4" w16cid:durableId="660700943">
    <w:abstractNumId w:val="3"/>
  </w:num>
  <w:num w:numId="5" w16cid:durableId="398868489">
    <w:abstractNumId w:val="2"/>
  </w:num>
  <w:num w:numId="6" w16cid:durableId="1974678414">
    <w:abstractNumId w:val="1"/>
  </w:num>
  <w:num w:numId="7" w16cid:durableId="1523519647">
    <w:abstractNumId w:val="4"/>
  </w:num>
  <w:num w:numId="8" w16cid:durableId="12109180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C1"/>
    <w:rsid w:val="00001412"/>
    <w:rsid w:val="00095903"/>
    <w:rsid w:val="002005BE"/>
    <w:rsid w:val="00206879"/>
    <w:rsid w:val="002870A5"/>
    <w:rsid w:val="003F22A4"/>
    <w:rsid w:val="0043496D"/>
    <w:rsid w:val="00536CDF"/>
    <w:rsid w:val="006113E1"/>
    <w:rsid w:val="007622A1"/>
    <w:rsid w:val="007E5F77"/>
    <w:rsid w:val="008928BD"/>
    <w:rsid w:val="009C5D1A"/>
    <w:rsid w:val="00B77912"/>
    <w:rsid w:val="00B92F35"/>
    <w:rsid w:val="00C76BC7"/>
    <w:rsid w:val="00D904A7"/>
    <w:rsid w:val="00DA7907"/>
    <w:rsid w:val="00DB06FE"/>
    <w:rsid w:val="00EC5DC1"/>
    <w:rsid w:val="00F74D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B3B0"/>
  <w15:chartTrackingRefBased/>
  <w15:docId w15:val="{06BA1932-508B-734C-ABEE-51D7C994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DC1"/>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5D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DC1"/>
    <w:rPr>
      <w:kern w:val="0"/>
      <w:sz w:val="22"/>
      <w:szCs w:val="22"/>
      <w14:ligatures w14:val="none"/>
    </w:rPr>
  </w:style>
  <w:style w:type="paragraph" w:styleId="Piedepgina">
    <w:name w:val="footer"/>
    <w:basedOn w:val="Normal"/>
    <w:link w:val="PiedepginaCar"/>
    <w:uiPriority w:val="99"/>
    <w:unhideWhenUsed/>
    <w:rsid w:val="00EC5D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DC1"/>
    <w:rPr>
      <w:kern w:val="0"/>
      <w:sz w:val="22"/>
      <w:szCs w:val="22"/>
      <w14:ligatures w14:val="none"/>
    </w:rPr>
  </w:style>
  <w:style w:type="paragraph" w:customStyle="1" w:styleId="Default">
    <w:name w:val="Default"/>
    <w:rsid w:val="00EC5DC1"/>
    <w:pPr>
      <w:autoSpaceDE w:val="0"/>
      <w:autoSpaceDN w:val="0"/>
      <w:adjustRightInd w:val="0"/>
    </w:pPr>
    <w:rPr>
      <w:rFonts w:ascii="Arial" w:hAnsi="Arial" w:cs="Arial"/>
      <w:color w:val="000000"/>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C5DC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EC5DC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EC5DC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EC5DC1"/>
    <w:rPr>
      <w:vertAlign w:val="superscript"/>
    </w:rPr>
  </w:style>
  <w:style w:type="character" w:customStyle="1" w:styleId="normaltextrun">
    <w:name w:val="normaltextrun"/>
    <w:basedOn w:val="Fuentedeprrafopredeter"/>
    <w:uiPriority w:val="1"/>
    <w:rsid w:val="00EC5DC1"/>
  </w:style>
  <w:style w:type="table" w:styleId="Tablaconcuadrcula">
    <w:name w:val="Table Grid"/>
    <w:basedOn w:val="Tablanormal"/>
    <w:uiPriority w:val="39"/>
    <w:qFormat/>
    <w:rsid w:val="00EC5DC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C5DC1"/>
    <w:rPr>
      <w:color w:val="0000FF"/>
      <w:u w:val="single"/>
    </w:rPr>
  </w:style>
  <w:style w:type="paragraph" w:customStyle="1" w:styleId="Appelnotedebasde">
    <w:name w:val="Appel note de bas de..."/>
    <w:basedOn w:val="Normal"/>
    <w:link w:val="Refdenotaalpie"/>
    <w:uiPriority w:val="99"/>
    <w:rsid w:val="00EC5DC1"/>
    <w:pPr>
      <w:spacing w:line="240" w:lineRule="exact"/>
    </w:pPr>
    <w:rPr>
      <w:kern w:val="2"/>
      <w:sz w:val="24"/>
      <w:szCs w:val="24"/>
      <w:vertAlign w:val="superscript"/>
      <w14:ligatures w14:val="standardContextual"/>
    </w:rPr>
  </w:style>
  <w:style w:type="paragraph" w:styleId="NormalWeb">
    <w:name w:val="Normal (Web)"/>
    <w:basedOn w:val="Normal"/>
    <w:link w:val="NormalWebCar"/>
    <w:uiPriority w:val="99"/>
    <w:unhideWhenUsed/>
    <w:rsid w:val="00EC5DC1"/>
    <w:pPr>
      <w:spacing w:line="256" w:lineRule="auto"/>
    </w:pPr>
    <w:rPr>
      <w:rFonts w:ascii="Times New Roman" w:hAnsi="Times New Roman" w:cs="Times New Roman"/>
      <w:sz w:val="24"/>
      <w:szCs w:val="24"/>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C5DC1"/>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C5DC1"/>
    <w:rPr>
      <w:kern w:val="0"/>
      <w:sz w:val="22"/>
      <w:szCs w:val="22"/>
      <w14:ligatures w14:val="none"/>
    </w:rPr>
  </w:style>
  <w:style w:type="character" w:customStyle="1" w:styleId="NormalWebCar">
    <w:name w:val="Normal (Web) Car"/>
    <w:link w:val="NormalWeb"/>
    <w:uiPriority w:val="99"/>
    <w:rsid w:val="00EC5DC1"/>
    <w:rPr>
      <w:rFonts w:ascii="Times New Roman" w:hAnsi="Times New Roman" w:cs="Times New Roman"/>
      <w:kern w:val="0"/>
      <w14:ligatures w14:val="none"/>
    </w:rPr>
  </w:style>
  <w:style w:type="character" w:styleId="Mencinsinresolver">
    <w:name w:val="Unresolved Mention"/>
    <w:basedOn w:val="Fuentedeprrafopredeter"/>
    <w:uiPriority w:val="99"/>
    <w:semiHidden/>
    <w:unhideWhenUsed/>
    <w:rsid w:val="00095903"/>
    <w:rPr>
      <w:color w:val="605E5C"/>
      <w:shd w:val="clear" w:color="auto" w:fill="E1DFDD"/>
    </w:rPr>
  </w:style>
  <w:style w:type="paragraph" w:styleId="Textoindependiente">
    <w:name w:val="Body Text"/>
    <w:basedOn w:val="Normal"/>
    <w:link w:val="TextoindependienteCar"/>
    <w:uiPriority w:val="99"/>
    <w:unhideWhenUsed/>
    <w:rsid w:val="00B77912"/>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B77912"/>
    <w:rPr>
      <w:rFonts w:eastAsiaTheme="minorEastAsia"/>
      <w:kern w:val="0"/>
      <w:sz w:val="22"/>
      <w:szCs w:val="22"/>
      <w:lang w:eastAsia="es-CO"/>
      <w14:ligatures w14:val="none"/>
    </w:rPr>
  </w:style>
  <w:style w:type="paragraph" w:styleId="Sinespaciado">
    <w:name w:val="No Spacing"/>
    <w:aliases w:val="No Indent"/>
    <w:uiPriority w:val="3"/>
    <w:qFormat/>
    <w:rsid w:val="00B77912"/>
    <w:rPr>
      <w:kern w:val="0"/>
      <w:szCs w:val="22"/>
      <w:lang w:val="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mantilla12@hotmail.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latoria.colombiacompra.gov.co/providencias-consejo-de-estado/" TargetMode="External"/><Relationship Id="rId4" Type="http://schemas.openxmlformats.org/officeDocument/2006/relationships/webSettings" Target="webSettings.xml"/><Relationship Id="rId9" Type="http://schemas.openxmlformats.org/officeDocument/2006/relationships/hyperlink" Target="https://relatoria.colombiacompra.gov.co/normativa/ley-1882-de-201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BA131-4681-4C1F-9A46-9A9A8C1FE38C}"/>
</file>

<file path=customXml/itemProps2.xml><?xml version="1.0" encoding="utf-8"?>
<ds:datastoreItem xmlns:ds="http://schemas.openxmlformats.org/officeDocument/2006/customXml" ds:itemID="{07D9D04E-9B9E-4519-88FC-F82FC71FBE23}"/>
</file>

<file path=customXml/itemProps3.xml><?xml version="1.0" encoding="utf-8"?>
<ds:datastoreItem xmlns:ds="http://schemas.openxmlformats.org/officeDocument/2006/customXml" ds:itemID="{18DE0DB6-BFF2-4753-9189-CCD9FFB28F64}"/>
</file>

<file path=docProps/app.xml><?xml version="1.0" encoding="utf-8"?>
<Properties xmlns="http://schemas.openxmlformats.org/officeDocument/2006/extended-properties" xmlns:vt="http://schemas.openxmlformats.org/officeDocument/2006/docPropsVTypes">
  <Template>Normal.dotm</Template>
  <TotalTime>4</TotalTime>
  <Pages>20</Pages>
  <Words>6496</Words>
  <Characters>35729</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Jhonattan Gualdron Salazar</cp:lastModifiedBy>
  <cp:revision>4</cp:revision>
  <dcterms:created xsi:type="dcterms:W3CDTF">2024-08-04T12:50:00Z</dcterms:created>
  <dcterms:modified xsi:type="dcterms:W3CDTF">2024-08-16T16:01:00Z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