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75D14" w:rsidR="00A75D14" w:rsidP="00A75D14" w:rsidRDefault="00A75D14" w14:paraId="60DECF23" w14:textId="1AAFA692">
      <w:pPr>
        <w:spacing w:after="0"/>
        <w:jc w:val="both"/>
        <w:rPr>
          <w:rFonts w:ascii="Verdana" w:hAnsi="Verdana"/>
        </w:rPr>
      </w:pPr>
      <w:bookmarkStart w:name="_Hlk143780582" w:id="0"/>
      <w:r w:rsidRPr="00A75D14">
        <w:rPr>
          <w:rFonts w:ascii="Verdana" w:hAnsi="Verdana" w:eastAsia="Calibri" w:cs="Arial"/>
          <w:b/>
          <w:kern w:val="2"/>
          <w:lang w:val="es-ES_tradnl" w:eastAsia="es-ES_tradnl"/>
          <w14:ligatures w14:val="standardContextual"/>
        </w:rPr>
        <w:t>LEY 2195 DE 2022 – Artículo 56 – Alcance – Excepción</w:t>
      </w:r>
    </w:p>
    <w:p w:rsidRPr="00A75D14" w:rsidR="00A75D14" w:rsidP="00A75D14" w:rsidRDefault="00A75D14" w14:paraId="5EBD55BE" w14:textId="77777777">
      <w:pPr>
        <w:tabs>
          <w:tab w:val="left" w:pos="0"/>
        </w:tabs>
        <w:spacing w:after="0" w:line="276" w:lineRule="auto"/>
        <w:jc w:val="both"/>
        <w:rPr>
          <w:rFonts w:ascii="Verdana" w:hAnsi="Verdana" w:eastAsia="Calibri" w:cs="Arial"/>
          <w:b/>
          <w:kern w:val="2"/>
          <w:lang w:val="es-ES_tradnl" w:eastAsia="es-ES_tradnl"/>
          <w14:ligatures w14:val="standardContextual"/>
        </w:rPr>
      </w:pPr>
    </w:p>
    <w:p w:rsidRPr="00A22D0B" w:rsidR="00A22D0B" w:rsidP="00A22D0B" w:rsidRDefault="00A22D0B" w14:paraId="06633288" w14:textId="77777777">
      <w:pPr>
        <w:snapToGrid w:val="0"/>
        <w:spacing w:after="0" w:line="240" w:lineRule="auto"/>
        <w:jc w:val="both"/>
        <w:rPr>
          <w:rFonts w:ascii="Verdana" w:hAnsi="Verdana" w:eastAsia="Calibri" w:cs="Arial"/>
          <w:kern w:val="2"/>
          <w:sz w:val="20"/>
          <w:szCs w:val="20"/>
          <w:lang w:val="es-ES" w:eastAsia="es-ES"/>
          <w14:ligatures w14:val="standardContextual"/>
        </w:rPr>
      </w:pPr>
      <w:r w:rsidRPr="00A22D0B">
        <w:rPr>
          <w:rFonts w:ascii="Verdana" w:hAnsi="Verdana" w:eastAsia="Calibri" w:cs="Arial"/>
          <w:kern w:val="2"/>
          <w:sz w:val="20"/>
          <w:szCs w:val="20"/>
          <w:lang w:val="es-ES" w:eastAsia="es-ES"/>
          <w14:ligatures w14:val="standardContextual"/>
        </w:rPr>
        <w:t xml:space="preserve">Es necesario precisar el alcance de lo dispuesto en los dos primeros incisos del artículo 56, de acuerdo con lo establecido en su parágrafo, el cual excluye de la aplicación de los primeros incisos del artículo 56, a cierto tipo de entidades, en lo relacionado con la contratación de su </w:t>
      </w:r>
      <w:r w:rsidRPr="00A22D0B">
        <w:rPr>
          <w:rFonts w:ascii="Verdana" w:hAnsi="Verdana" w:eastAsia="Calibri" w:cs="Arial"/>
          <w:i/>
          <w:kern w:val="2"/>
          <w:sz w:val="20"/>
          <w:szCs w:val="20"/>
          <w:lang w:val="es-ES" w:eastAsia="es-ES"/>
          <w14:ligatures w14:val="standardContextual"/>
        </w:rPr>
        <w:t>giro ordinario</w:t>
      </w:r>
      <w:r w:rsidRPr="00A22D0B">
        <w:rPr>
          <w:rFonts w:ascii="Verdana" w:hAnsi="Verdana" w:eastAsia="Calibri" w:cs="Arial"/>
          <w:kern w:val="2"/>
          <w:sz w:val="20"/>
          <w:szCs w:val="20"/>
          <w:lang w:val="es-ES" w:eastAsia="es-ES"/>
          <w14:ligatures w14:val="standardContextual"/>
        </w:rPr>
        <w:t xml:space="preserve">. Conforme se desprende del texto del referido parágrafo, se exceptúa de lo señalado en los dos primeros incisos a: i) las instituciones de educación superior públicas, </w:t>
      </w:r>
      <w:proofErr w:type="spellStart"/>
      <w:r w:rsidRPr="00A22D0B">
        <w:rPr>
          <w:rFonts w:ascii="Verdana" w:hAnsi="Verdana" w:eastAsia="Calibri" w:cs="Arial"/>
          <w:kern w:val="2"/>
          <w:sz w:val="20"/>
          <w:szCs w:val="20"/>
          <w:lang w:val="es-ES" w:eastAsia="es-ES"/>
          <w14:ligatures w14:val="standardContextual"/>
        </w:rPr>
        <w:t>ii</w:t>
      </w:r>
      <w:proofErr w:type="spellEnd"/>
      <w:r w:rsidRPr="00A22D0B">
        <w:rPr>
          <w:rFonts w:ascii="Verdana" w:hAnsi="Verdana" w:eastAsia="Calibri" w:cs="Arial"/>
          <w:kern w:val="2"/>
          <w:sz w:val="20"/>
          <w:szCs w:val="20"/>
          <w:lang w:val="es-ES" w:eastAsia="es-ES"/>
          <w14:ligatures w14:val="standardContextual"/>
        </w:rPr>
        <w:t xml:space="preserve">) las empresas sociales del Estado, </w:t>
      </w:r>
      <w:proofErr w:type="spellStart"/>
      <w:r w:rsidRPr="00A22D0B">
        <w:rPr>
          <w:rFonts w:ascii="Verdana" w:hAnsi="Verdana" w:eastAsia="Calibri" w:cs="Arial"/>
          <w:kern w:val="2"/>
          <w:sz w:val="20"/>
          <w:szCs w:val="20"/>
          <w:lang w:val="es-ES" w:eastAsia="es-ES"/>
          <w14:ligatures w14:val="standardContextual"/>
        </w:rPr>
        <w:t>iii</w:t>
      </w:r>
      <w:proofErr w:type="spellEnd"/>
      <w:r w:rsidRPr="00A22D0B">
        <w:rPr>
          <w:rFonts w:ascii="Verdana" w:hAnsi="Verdana" w:eastAsia="Calibri" w:cs="Arial"/>
          <w:kern w:val="2"/>
          <w:sz w:val="20"/>
          <w:szCs w:val="20"/>
          <w:lang w:val="es-ES" w:eastAsia="es-ES"/>
          <w14:ligatures w14:val="standardContextual"/>
        </w:rPr>
        <w:t xml:space="preserve">) las sociedades de economía mixta y </w:t>
      </w:r>
      <w:proofErr w:type="spellStart"/>
      <w:r w:rsidRPr="00A22D0B">
        <w:rPr>
          <w:rFonts w:ascii="Verdana" w:hAnsi="Verdana" w:eastAsia="Calibri" w:cs="Arial"/>
          <w:kern w:val="2"/>
          <w:sz w:val="20"/>
          <w:szCs w:val="20"/>
          <w:lang w:val="es-ES" w:eastAsia="es-ES"/>
          <w14:ligatures w14:val="standardContextual"/>
        </w:rPr>
        <w:t>iv</w:t>
      </w:r>
      <w:proofErr w:type="spellEnd"/>
      <w:r w:rsidRPr="00A22D0B">
        <w:rPr>
          <w:rFonts w:ascii="Verdana" w:hAnsi="Verdana" w:eastAsia="Calibri" w:cs="Arial"/>
          <w:kern w:val="2"/>
          <w:sz w:val="20"/>
          <w:szCs w:val="20"/>
          <w:lang w:val="es-ES" w:eastAsia="es-ES"/>
          <w14:ligatures w14:val="standardContextual"/>
        </w:rPr>
        <w:t xml:space="preserve">) las empresas industriales y comerciales del Estado, únicamente, en la contratación relacionada con el </w:t>
      </w:r>
      <w:r w:rsidRPr="00A22D0B">
        <w:rPr>
          <w:rFonts w:ascii="Verdana" w:hAnsi="Verdana" w:eastAsia="Calibri" w:cs="Arial"/>
          <w:i/>
          <w:kern w:val="2"/>
          <w:sz w:val="20"/>
          <w:szCs w:val="20"/>
          <w:lang w:val="es-ES" w:eastAsia="es-ES"/>
          <w14:ligatures w14:val="standardContextual"/>
        </w:rPr>
        <w:t>giro ordinario.</w:t>
      </w:r>
      <w:r w:rsidRPr="00A22D0B">
        <w:rPr>
          <w:rFonts w:ascii="Verdana" w:hAnsi="Verdana" w:eastAsia="Calibri" w:cs="Arial"/>
          <w:kern w:val="2"/>
          <w:sz w:val="20"/>
          <w:szCs w:val="20"/>
          <w:lang w:val="es-ES" w:eastAsia="es-ES"/>
          <w14:ligatures w14:val="standardContextual"/>
        </w:rPr>
        <w:t xml:space="preserve"> Esto significa que, en la contratación asociada a su </w:t>
      </w:r>
      <w:r w:rsidRPr="00A22D0B">
        <w:rPr>
          <w:rFonts w:ascii="Verdana" w:hAnsi="Verdana" w:eastAsia="Calibri" w:cs="Arial"/>
          <w:i/>
          <w:kern w:val="2"/>
          <w:sz w:val="20"/>
          <w:szCs w:val="20"/>
          <w:lang w:val="es-ES" w:eastAsia="es-ES"/>
          <w14:ligatures w14:val="standardContextual"/>
        </w:rPr>
        <w:t xml:space="preserve">giro ordinario, </w:t>
      </w:r>
      <w:r w:rsidRPr="00A22D0B">
        <w:rPr>
          <w:rFonts w:ascii="Verdana" w:hAnsi="Verdana" w:eastAsia="Calibri" w:cs="Arial"/>
          <w:kern w:val="2"/>
          <w:sz w:val="20"/>
          <w:szCs w:val="20"/>
          <w:lang w:val="es-ES" w:eastAsia="es-ES"/>
          <w14:ligatures w14:val="standardContextua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rsidRPr="00A75D14" w:rsidR="00A75D14" w:rsidP="00A75D14" w:rsidRDefault="00A75D14" w14:paraId="3396F67F" w14:textId="77777777">
      <w:pPr>
        <w:tabs>
          <w:tab w:val="left" w:pos="0"/>
        </w:tabs>
        <w:spacing w:after="0" w:line="276" w:lineRule="auto"/>
        <w:jc w:val="both"/>
        <w:rPr>
          <w:rFonts w:ascii="Verdana" w:hAnsi="Verdana" w:eastAsia="Calibri" w:cs="Arial"/>
          <w:b/>
          <w:kern w:val="2"/>
          <w:sz w:val="21"/>
          <w:szCs w:val="21"/>
          <w:lang w:val="es-ES_tradnl"/>
          <w14:ligatures w14:val="standardContextual"/>
        </w:rPr>
      </w:pPr>
    </w:p>
    <w:p w:rsidRPr="00A75D14" w:rsidR="00A75D14" w:rsidP="00A75D14" w:rsidRDefault="00A75D14" w14:paraId="417B40F3" w14:textId="77777777">
      <w:pPr>
        <w:tabs>
          <w:tab w:val="left" w:pos="0"/>
        </w:tabs>
        <w:spacing w:after="0" w:line="276" w:lineRule="auto"/>
        <w:jc w:val="both"/>
        <w:rPr>
          <w:rFonts w:ascii="Verdana" w:hAnsi="Verdana" w:eastAsia="Calibri" w:cs="Arial"/>
          <w:b/>
          <w:kern w:val="2"/>
          <w:lang w:val="es-ES_tradnl"/>
          <w14:ligatures w14:val="standardContextual"/>
        </w:rPr>
      </w:pPr>
      <w:r w:rsidRPr="00A75D14">
        <w:rPr>
          <w:rFonts w:ascii="Verdana" w:hAnsi="Verdana" w:eastAsia="Calibri" w:cs="Arial"/>
          <w:b/>
          <w:kern w:val="2"/>
          <w:lang w:val="es-ES_tradnl"/>
          <w14:ligatures w14:val="standardContextual"/>
        </w:rPr>
        <w:t>LEY 2195 DE 2022 – Artículo 56 – Parágrafo – Excepciones – Giro ordinario – Interpretación</w:t>
      </w:r>
    </w:p>
    <w:p w:rsidRPr="00A75D14" w:rsidR="00A75D14" w:rsidP="00A75D14" w:rsidRDefault="00A75D14" w14:paraId="307789D0" w14:textId="77777777">
      <w:pPr>
        <w:tabs>
          <w:tab w:val="left" w:pos="0"/>
        </w:tabs>
        <w:spacing w:after="0" w:line="276" w:lineRule="auto"/>
        <w:jc w:val="both"/>
        <w:rPr>
          <w:rFonts w:ascii="Verdana" w:hAnsi="Verdana" w:eastAsia="Calibri" w:cs="Arial"/>
          <w:bCs/>
          <w:kern w:val="2"/>
          <w:lang w:val="es-ES_tradnl"/>
          <w14:ligatures w14:val="standardContextual"/>
        </w:rPr>
      </w:pPr>
    </w:p>
    <w:p w:rsidRPr="00A22D0B" w:rsidR="00A22D0B" w:rsidP="00A22D0B" w:rsidRDefault="00A22D0B" w14:paraId="5FF94C1E" w14:textId="77777777">
      <w:pPr>
        <w:snapToGrid w:val="0"/>
        <w:spacing w:after="0" w:line="240" w:lineRule="auto"/>
        <w:jc w:val="both"/>
        <w:rPr>
          <w:rFonts w:ascii="Verdana" w:hAnsi="Verdana" w:eastAsia="Calibri" w:cs="Arial"/>
          <w:kern w:val="2"/>
          <w:sz w:val="20"/>
          <w:szCs w:val="20"/>
          <w:lang w:val="es-ES" w:eastAsia="es-ES"/>
          <w14:ligatures w14:val="standardContextual"/>
        </w:rPr>
      </w:pPr>
      <w:r w:rsidRPr="00A22D0B">
        <w:rPr>
          <w:rFonts w:ascii="Verdana" w:hAnsi="Verdana" w:eastAsia="Calibri" w:cs="Arial"/>
          <w:kern w:val="2"/>
          <w:sz w:val="20"/>
          <w:szCs w:val="20"/>
          <w:lang w:val="es-ES" w:eastAsia="es-ES"/>
          <w14:ligatures w14:val="standardContextual"/>
        </w:rPr>
        <w:t xml:space="preserve">Es necesario precisar el alcance de lo dispuesto en los dos primeros incisos del artículo 56, de acuerdo con lo establecido en su parágrafo, el cual excluye de la aplicación de los primeros incisos del artículo 56, a cierto tipo de entidades, en lo relacionado con la contratación de su </w:t>
      </w:r>
      <w:r w:rsidRPr="00A22D0B">
        <w:rPr>
          <w:rFonts w:ascii="Verdana" w:hAnsi="Verdana" w:eastAsia="Calibri" w:cs="Arial"/>
          <w:i/>
          <w:kern w:val="2"/>
          <w:sz w:val="20"/>
          <w:szCs w:val="20"/>
          <w:lang w:val="es-ES" w:eastAsia="es-ES"/>
          <w14:ligatures w14:val="standardContextual"/>
        </w:rPr>
        <w:t>giro ordinario</w:t>
      </w:r>
      <w:r w:rsidRPr="00A22D0B">
        <w:rPr>
          <w:rFonts w:ascii="Verdana" w:hAnsi="Verdana" w:eastAsia="Calibri" w:cs="Arial"/>
          <w:kern w:val="2"/>
          <w:sz w:val="20"/>
          <w:szCs w:val="20"/>
          <w:lang w:val="es-ES" w:eastAsia="es-ES"/>
          <w14:ligatures w14:val="standardContextual"/>
        </w:rPr>
        <w:t xml:space="preserve">. Conforme se desprende del texto del referido parágrafo, se exceptúa de lo señalado en los dos primeros incisos a: i) las instituciones de educación superior públicas, </w:t>
      </w:r>
      <w:proofErr w:type="spellStart"/>
      <w:r w:rsidRPr="00A22D0B">
        <w:rPr>
          <w:rFonts w:ascii="Verdana" w:hAnsi="Verdana" w:eastAsia="Calibri" w:cs="Arial"/>
          <w:kern w:val="2"/>
          <w:sz w:val="20"/>
          <w:szCs w:val="20"/>
          <w:lang w:val="es-ES" w:eastAsia="es-ES"/>
          <w14:ligatures w14:val="standardContextual"/>
        </w:rPr>
        <w:t>ii</w:t>
      </w:r>
      <w:proofErr w:type="spellEnd"/>
      <w:r w:rsidRPr="00A22D0B">
        <w:rPr>
          <w:rFonts w:ascii="Verdana" w:hAnsi="Verdana" w:eastAsia="Calibri" w:cs="Arial"/>
          <w:kern w:val="2"/>
          <w:sz w:val="20"/>
          <w:szCs w:val="20"/>
          <w:lang w:val="es-ES" w:eastAsia="es-ES"/>
          <w14:ligatures w14:val="standardContextual"/>
        </w:rPr>
        <w:t xml:space="preserve">) las empresas sociales del Estado, </w:t>
      </w:r>
      <w:proofErr w:type="spellStart"/>
      <w:r w:rsidRPr="00A22D0B">
        <w:rPr>
          <w:rFonts w:ascii="Verdana" w:hAnsi="Verdana" w:eastAsia="Calibri" w:cs="Arial"/>
          <w:kern w:val="2"/>
          <w:sz w:val="20"/>
          <w:szCs w:val="20"/>
          <w:lang w:val="es-ES" w:eastAsia="es-ES"/>
          <w14:ligatures w14:val="standardContextual"/>
        </w:rPr>
        <w:t>iii</w:t>
      </w:r>
      <w:proofErr w:type="spellEnd"/>
      <w:r w:rsidRPr="00A22D0B">
        <w:rPr>
          <w:rFonts w:ascii="Verdana" w:hAnsi="Verdana" w:eastAsia="Calibri" w:cs="Arial"/>
          <w:kern w:val="2"/>
          <w:sz w:val="20"/>
          <w:szCs w:val="20"/>
          <w:lang w:val="es-ES" w:eastAsia="es-ES"/>
          <w14:ligatures w14:val="standardContextual"/>
        </w:rPr>
        <w:t xml:space="preserve">) las sociedades de economía mixta y </w:t>
      </w:r>
      <w:proofErr w:type="spellStart"/>
      <w:r w:rsidRPr="00A22D0B">
        <w:rPr>
          <w:rFonts w:ascii="Verdana" w:hAnsi="Verdana" w:eastAsia="Calibri" w:cs="Arial"/>
          <w:kern w:val="2"/>
          <w:sz w:val="20"/>
          <w:szCs w:val="20"/>
          <w:lang w:val="es-ES" w:eastAsia="es-ES"/>
          <w14:ligatures w14:val="standardContextual"/>
        </w:rPr>
        <w:t>iv</w:t>
      </w:r>
      <w:proofErr w:type="spellEnd"/>
      <w:r w:rsidRPr="00A22D0B">
        <w:rPr>
          <w:rFonts w:ascii="Verdana" w:hAnsi="Verdana" w:eastAsia="Calibri" w:cs="Arial"/>
          <w:kern w:val="2"/>
          <w:sz w:val="20"/>
          <w:szCs w:val="20"/>
          <w:lang w:val="es-ES" w:eastAsia="es-ES"/>
          <w14:ligatures w14:val="standardContextual"/>
        </w:rPr>
        <w:t xml:space="preserve">) las empresas industriales y comerciales del Estado, únicamente, en la contratación relacionada con el </w:t>
      </w:r>
      <w:r w:rsidRPr="00A22D0B">
        <w:rPr>
          <w:rFonts w:ascii="Verdana" w:hAnsi="Verdana" w:eastAsia="Calibri" w:cs="Arial"/>
          <w:i/>
          <w:kern w:val="2"/>
          <w:sz w:val="20"/>
          <w:szCs w:val="20"/>
          <w:lang w:val="es-ES" w:eastAsia="es-ES"/>
          <w14:ligatures w14:val="standardContextual"/>
        </w:rPr>
        <w:t>giro ordinario.</w:t>
      </w:r>
      <w:r w:rsidRPr="00A22D0B">
        <w:rPr>
          <w:rFonts w:ascii="Verdana" w:hAnsi="Verdana" w:eastAsia="Calibri" w:cs="Arial"/>
          <w:kern w:val="2"/>
          <w:sz w:val="20"/>
          <w:szCs w:val="20"/>
          <w:lang w:val="es-ES" w:eastAsia="es-ES"/>
          <w14:ligatures w14:val="standardContextual"/>
        </w:rPr>
        <w:t xml:space="preserve"> Esto significa que, en la contratación asociada a su </w:t>
      </w:r>
      <w:r w:rsidRPr="00A22D0B">
        <w:rPr>
          <w:rFonts w:ascii="Verdana" w:hAnsi="Verdana" w:eastAsia="Calibri" w:cs="Arial"/>
          <w:i/>
          <w:kern w:val="2"/>
          <w:sz w:val="20"/>
          <w:szCs w:val="20"/>
          <w:lang w:val="es-ES" w:eastAsia="es-ES"/>
          <w14:ligatures w14:val="standardContextual"/>
        </w:rPr>
        <w:t xml:space="preserve">giro ordinario, </w:t>
      </w:r>
      <w:r w:rsidRPr="00A22D0B">
        <w:rPr>
          <w:rFonts w:ascii="Verdana" w:hAnsi="Verdana" w:eastAsia="Calibri" w:cs="Arial"/>
          <w:kern w:val="2"/>
          <w:sz w:val="20"/>
          <w:szCs w:val="20"/>
          <w:lang w:val="es-ES" w:eastAsia="es-ES"/>
          <w14:ligatures w14:val="standardContextua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rsidRPr="00A22D0B" w:rsidR="00A22D0B" w:rsidP="00A22D0B" w:rsidRDefault="00A22D0B" w14:paraId="79E9FF60" w14:textId="77777777">
      <w:pPr>
        <w:snapToGrid w:val="0"/>
        <w:spacing w:after="0" w:line="240" w:lineRule="auto"/>
        <w:ind w:left="720"/>
        <w:jc w:val="both"/>
        <w:rPr>
          <w:rFonts w:ascii="Verdana" w:hAnsi="Verdana" w:eastAsia="Calibri" w:cs="Arial"/>
          <w:kern w:val="2"/>
          <w:sz w:val="20"/>
          <w:szCs w:val="20"/>
          <w:lang w:val="es-ES" w:eastAsia="es-ES"/>
          <w14:ligatures w14:val="standardContextual"/>
        </w:rPr>
      </w:pPr>
    </w:p>
    <w:p w:rsidRPr="00A22D0B" w:rsidR="00A22D0B" w:rsidP="00A22D0B" w:rsidRDefault="00A22D0B" w14:paraId="20F6F5F8" w14:textId="265BD8CD">
      <w:pPr>
        <w:tabs>
          <w:tab w:val="left" w:pos="0"/>
        </w:tabs>
        <w:snapToGrid w:val="0"/>
        <w:spacing w:after="0" w:line="240" w:lineRule="auto"/>
        <w:jc w:val="both"/>
        <w:rPr>
          <w:rFonts w:ascii="Verdana" w:hAnsi="Verdana" w:eastAsia="Arial" w:cs="Arial"/>
          <w:kern w:val="2"/>
          <w:sz w:val="20"/>
          <w:szCs w:val="20"/>
          <w:lang w:val="es-ES_tradnl" w:eastAsia="es-ES_tradnl"/>
          <w14:ligatures w14:val="standardContextual"/>
        </w:rPr>
      </w:pPr>
      <w:r w:rsidRPr="00A22D0B">
        <w:rPr>
          <w:rFonts w:ascii="Verdana" w:hAnsi="Verdana" w:eastAsia="Calibri" w:cs="Arial"/>
          <w:bCs/>
          <w:kern w:val="2"/>
          <w:sz w:val="20"/>
          <w:szCs w:val="20"/>
          <w:lang w:val="es-ES_tradnl" w:eastAsia="es-ES_tradnl"/>
          <w14:ligatures w14:val="standardContextual"/>
        </w:rPr>
        <w:t xml:space="preserve">Ahora, es importante tener en cuenta que cuando la norma se refiere a la contratación del </w:t>
      </w:r>
      <w:r w:rsidRPr="00A22D0B">
        <w:rPr>
          <w:rFonts w:ascii="Verdana" w:hAnsi="Verdana" w:eastAsia="Calibri" w:cs="Arial"/>
          <w:bCs/>
          <w:i/>
          <w:iCs/>
          <w:kern w:val="2"/>
          <w:sz w:val="20"/>
          <w:szCs w:val="20"/>
          <w:lang w:val="es-ES_tradnl" w:eastAsia="es-ES_tradnl"/>
          <w14:ligatures w14:val="standardContextual"/>
        </w:rPr>
        <w:t>giro ordinario</w:t>
      </w:r>
      <w:r w:rsidRPr="00A22D0B">
        <w:rPr>
          <w:rFonts w:ascii="Verdana" w:hAnsi="Verdana" w:eastAsia="Calibri" w:cs="Arial"/>
          <w:bCs/>
          <w:kern w:val="2"/>
          <w:sz w:val="20"/>
          <w:szCs w:val="20"/>
          <w:lang w:val="es-ES_tradnl" w:eastAsia="es-ES_tradnl"/>
          <w14:ligatures w14:val="standardContextual"/>
        </w:rPr>
        <w:t xml:space="preserve">, emplea un concepto jurídico indeterminado. </w:t>
      </w:r>
      <w:r w:rsidRPr="00A22D0B">
        <w:rPr>
          <w:rFonts w:ascii="Verdana" w:hAnsi="Verdana" w:eastAsia="Arial" w:cs="Arial"/>
          <w:kern w:val="2"/>
          <w:sz w:val="20"/>
          <w:szCs w:val="20"/>
          <w:lang w:val="es-ES_tradnl" w:eastAsia="es-ES_tradnl"/>
          <w14:ligatures w14:val="standardContextua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 </w:t>
      </w:r>
    </w:p>
    <w:p w:rsidRPr="00A75D14" w:rsidR="00A75D14" w:rsidP="00A75D14" w:rsidRDefault="00A75D14" w14:paraId="22920D1B" w14:textId="77777777">
      <w:pPr>
        <w:spacing w:after="0" w:line="240" w:lineRule="auto"/>
        <w:contextualSpacing/>
        <w:jc w:val="both"/>
        <w:rPr>
          <w:rFonts w:ascii="Verdana" w:hAnsi="Verdana" w:eastAsia="Aptos" w:cs="Arial"/>
          <w:kern w:val="2"/>
          <w:sz w:val="20"/>
          <w:szCs w:val="20"/>
          <w:lang w:val="es-ES"/>
          <w14:ligatures w14:val="standardContextual"/>
        </w:rPr>
      </w:pPr>
    </w:p>
    <w:p w:rsidRPr="00A75D14" w:rsidR="00A75D14" w:rsidP="00A75D14" w:rsidRDefault="00A75D14" w14:paraId="580D938F" w14:textId="77777777">
      <w:pPr>
        <w:spacing w:after="0" w:line="240" w:lineRule="auto"/>
        <w:rPr>
          <w:rFonts w:ascii="Verdana" w:hAnsi="Verdana" w:eastAsia="Geomanist Light" w:cs="Arial"/>
          <w:sz w:val="20"/>
          <w:szCs w:val="20"/>
          <w:lang w:val="es-MX"/>
        </w:rPr>
      </w:pPr>
    </w:p>
    <w:p w:rsidRPr="00A75D14" w:rsidR="00A75D14" w:rsidP="00A75D14" w:rsidRDefault="00A75D14" w14:paraId="1BE2AB1F" w14:textId="77777777">
      <w:pPr>
        <w:spacing w:after="0" w:line="240" w:lineRule="auto"/>
        <w:rPr>
          <w:rFonts w:ascii="Verdana" w:hAnsi="Verdana" w:eastAsia="Geomanist Light" w:cs="Arial"/>
          <w:lang w:val="es-MX"/>
        </w:rPr>
      </w:pPr>
    </w:p>
    <w:p w:rsidRPr="00A75D14" w:rsidR="00A75D14" w:rsidP="00A75D14" w:rsidRDefault="00A75D14" w14:paraId="61CB7364" w14:textId="77777777">
      <w:pPr>
        <w:spacing w:after="0" w:line="240" w:lineRule="auto"/>
        <w:rPr>
          <w:rFonts w:ascii="Verdana" w:hAnsi="Verdana" w:eastAsia="Geomanist Light" w:cs="Arial"/>
          <w:lang w:val="es-MX"/>
        </w:rPr>
      </w:pPr>
    </w:p>
    <w:p w:rsidRPr="00A75D14" w:rsidR="00A75D14" w:rsidP="00A75D14" w:rsidRDefault="00A75D14" w14:paraId="5516A6D5" w14:textId="77777777">
      <w:pPr>
        <w:spacing w:after="0" w:line="240" w:lineRule="auto"/>
        <w:rPr>
          <w:rFonts w:ascii="Verdana" w:hAnsi="Verdana" w:eastAsia="Geomanist Light" w:cs="Arial"/>
          <w:lang w:val="es-MX"/>
        </w:rPr>
      </w:pPr>
    </w:p>
    <w:p w:rsidRPr="00A75D14" w:rsidR="00A75D14" w:rsidP="00A75D14" w:rsidRDefault="00A75D14" w14:paraId="610B1B9C" w14:textId="77777777">
      <w:pPr>
        <w:spacing w:after="0" w:line="240" w:lineRule="auto"/>
        <w:rPr>
          <w:rFonts w:ascii="Verdana" w:hAnsi="Verdana" w:eastAsia="Geomanist Light" w:cs="Arial"/>
          <w:lang w:val="es-MX"/>
        </w:rPr>
      </w:pPr>
    </w:p>
    <w:p w:rsidRPr="00A75D14" w:rsidR="00A75D14" w:rsidP="00A75D14" w:rsidRDefault="00A75D14" w14:paraId="022F0E89" w14:textId="77777777">
      <w:pPr>
        <w:spacing w:after="0" w:line="240" w:lineRule="auto"/>
        <w:jc w:val="both"/>
        <w:rPr>
          <w:rFonts w:ascii="Verdana" w:hAnsi="Verdana" w:eastAsia="Geomanist Light" w:cs="Arial"/>
          <w:lang w:val="es-MX"/>
        </w:rPr>
      </w:pPr>
    </w:p>
    <w:p w:rsidRPr="00A75D14" w:rsidR="00A75D14" w:rsidP="00A75D14" w:rsidRDefault="00A75D14" w14:paraId="4AF37268" w14:textId="099BA109">
      <w:pPr>
        <w:spacing w:after="0" w:line="240" w:lineRule="auto"/>
        <w:jc w:val="both"/>
        <w:rPr>
          <w:rFonts w:ascii="Verdana" w:hAnsi="Verdana" w:eastAsia="Calibri" w:cs="Arial"/>
          <w:lang w:val="es-ES"/>
        </w:rPr>
      </w:pPr>
      <w:r w:rsidRPr="0044528D">
        <w:rPr>
          <w:rFonts w:ascii="Verdana" w:hAnsi="Verdana"/>
        </w:rPr>
        <w:lastRenderedPageBreak/>
        <w:t>Bogotá D.C.</w:t>
      </w:r>
    </w:p>
    <w:p w:rsidR="00A75D14" w:rsidP="00A75D14" w:rsidRDefault="00A75D14" w14:paraId="7878D7BE" w14:textId="77777777">
      <w:pPr>
        <w:spacing w:after="0" w:line="240" w:lineRule="auto"/>
        <w:jc w:val="both"/>
        <w:rPr>
          <w:rFonts w:ascii="Verdana" w:hAnsi="Verdana" w:eastAsia="Calibri" w:cs="Arial"/>
          <w:lang w:val="es-ES"/>
        </w:rPr>
      </w:pPr>
    </w:p>
    <w:p w:rsidRPr="00A75D14" w:rsidR="00A75D14" w:rsidP="000A031D" w:rsidRDefault="000A031D" w14:paraId="23420DAD" w14:textId="7837472E">
      <w:pPr>
        <w:spacing w:after="0" w:line="240" w:lineRule="auto"/>
        <w:jc w:val="right"/>
        <w:rPr>
          <w:rFonts w:ascii="Verdana" w:hAnsi="Verdana" w:eastAsia="Calibri" w:cs="Arial"/>
          <w:lang w:val="es-ES"/>
        </w:rPr>
      </w:pPr>
      <w:r>
        <w:rPr>
          <w:rFonts w:ascii="Verdana" w:hAnsi="Verdana" w:eastAsia="Calibri" w:cs="Arial"/>
          <w:noProof/>
          <w:lang w:val="es-ES"/>
        </w:rPr>
        <w:drawing>
          <wp:inline distT="0" distB="0" distL="0" distR="0" wp14:anchorId="7BB29514" wp14:editId="327D7A16">
            <wp:extent cx="4240530" cy="1282523"/>
            <wp:effectExtent l="0" t="0" r="1270" b="635"/>
            <wp:docPr id="19193630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363026" name="Imagen 19193630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5476" cy="1290068"/>
                    </a:xfrm>
                    <a:prstGeom prst="rect">
                      <a:avLst/>
                    </a:prstGeom>
                  </pic:spPr>
                </pic:pic>
              </a:graphicData>
            </a:graphic>
          </wp:inline>
        </w:drawing>
      </w:r>
    </w:p>
    <w:p w:rsidRPr="00A75D14" w:rsidR="00A75D14" w:rsidP="00A75D14" w:rsidRDefault="00A75D14" w14:paraId="4EF99DAB" w14:textId="77777777">
      <w:pPr>
        <w:spacing w:after="0" w:line="240" w:lineRule="auto"/>
        <w:jc w:val="both"/>
        <w:rPr>
          <w:rFonts w:ascii="Verdana" w:hAnsi="Verdana" w:eastAsia="Calibri" w:cs="Arial"/>
          <w:lang w:val="es-ES" w:eastAsia="es-ES"/>
        </w:rPr>
      </w:pPr>
      <w:r w:rsidRPr="00A75D14">
        <w:rPr>
          <w:rFonts w:ascii="Verdana" w:hAnsi="Verdana" w:eastAsia="Calibri" w:cs="Arial"/>
          <w:lang w:val="es-ES" w:eastAsia="es-ES"/>
        </w:rPr>
        <w:t>Señora</w:t>
      </w:r>
    </w:p>
    <w:p w:rsidRPr="00A75D14" w:rsidR="00A75D14" w:rsidP="7790C891" w:rsidRDefault="00A75D14" w14:paraId="59227685" w14:textId="77777777">
      <w:pPr>
        <w:spacing w:after="0" w:line="240" w:lineRule="auto"/>
        <w:rPr>
          <w:rFonts w:ascii="Verdana" w:hAnsi="Verdana" w:eastAsia="Calibri" w:cs="Arial"/>
          <w:b w:val="1"/>
          <w:bCs w:val="1"/>
          <w:lang w:val="es-ES" w:eastAsia="es-ES"/>
        </w:rPr>
      </w:pPr>
      <w:r w:rsidRPr="7790C891" w:rsidR="00A75D14">
        <w:rPr>
          <w:rFonts w:ascii="Verdana" w:hAnsi="Verdana" w:eastAsia="Calibri" w:cs="Arial"/>
          <w:b w:val="1"/>
          <w:bCs w:val="1"/>
          <w:lang w:val="es-ES" w:eastAsia="es-ES"/>
        </w:rPr>
        <w:t>Nicolle</w:t>
      </w:r>
      <w:r w:rsidRPr="7790C891" w:rsidR="00A75D14">
        <w:rPr>
          <w:rFonts w:ascii="Verdana" w:hAnsi="Verdana" w:eastAsia="Calibri" w:cs="Arial"/>
          <w:b w:val="1"/>
          <w:bCs w:val="1"/>
          <w:lang w:val="es-ES" w:eastAsia="es-ES"/>
        </w:rPr>
        <w:t xml:space="preserve"> Daniela Rueda Fernández</w:t>
      </w:r>
    </w:p>
    <w:p w:rsidRPr="00A75D14" w:rsidR="00A75D14" w:rsidP="00A75D14" w:rsidRDefault="00A75D14" w14:paraId="1A29BE82" w14:textId="77777777">
      <w:pPr>
        <w:spacing w:after="0" w:line="240" w:lineRule="auto"/>
        <w:rPr>
          <w:rFonts w:ascii="Verdana" w:hAnsi="Verdana" w:eastAsia="Calibri" w:cs="Arial"/>
          <w:b/>
          <w:bCs/>
          <w:lang w:val="es-ES" w:eastAsia="es-ES"/>
        </w:rPr>
      </w:pPr>
      <w:r w:rsidRPr="00A75D14">
        <w:rPr>
          <w:rFonts w:ascii="Verdana" w:hAnsi="Verdana" w:eastAsia="Calibri" w:cs="Arial"/>
          <w:lang w:val="es-ES" w:eastAsia="es-ES"/>
        </w:rPr>
        <w:t>Bucaramanga, Santander</w:t>
      </w:r>
    </w:p>
    <w:p w:rsidRPr="00A75D14" w:rsidR="00A75D14" w:rsidP="00A75D14" w:rsidRDefault="00A75D14" w14:paraId="4E7E542C" w14:textId="77777777">
      <w:pPr>
        <w:spacing w:after="0" w:line="240" w:lineRule="auto"/>
        <w:rPr>
          <w:rFonts w:ascii="Verdana" w:hAnsi="Verdana" w:eastAsia="Calibri" w:cs="Arial"/>
          <w:b/>
          <w:bCs/>
          <w:lang w:val="es-ES_tradnl" w:eastAsia="es-ES_tradnl"/>
        </w:rPr>
      </w:pPr>
    </w:p>
    <w:p w:rsidRPr="00A75D14" w:rsidR="00A75D14" w:rsidP="00A75D14" w:rsidRDefault="00A75D14" w14:paraId="5F6FF8BE" w14:textId="77777777">
      <w:pPr>
        <w:spacing w:after="0" w:line="240" w:lineRule="auto"/>
        <w:rPr>
          <w:rFonts w:ascii="Verdana" w:hAnsi="Verdana" w:eastAsia="Calibri" w:cs="Arial"/>
          <w:b/>
          <w:bCs/>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A75D14" w:rsidR="00A75D14" w:rsidTr="00E347A5" w14:paraId="2CF318A1" w14:textId="77777777">
        <w:trPr>
          <w:trHeight w:val="884"/>
        </w:trPr>
        <w:tc>
          <w:tcPr>
            <w:tcW w:w="2689" w:type="dxa"/>
          </w:tcPr>
          <w:p w:rsidRPr="00A75D14" w:rsidR="00A75D14" w:rsidP="00A75D14" w:rsidRDefault="00A75D14" w14:paraId="65A68C47" w14:textId="77777777">
            <w:pPr>
              <w:jc w:val="both"/>
              <w:rPr>
                <w:rFonts w:ascii="Verdana" w:hAnsi="Verdana" w:eastAsia="Calibri" w:cs="Arial"/>
                <w:b/>
                <w:bCs/>
                <w:lang w:val="es-ES_tradnl" w:eastAsia="es-ES_tradnl"/>
              </w:rPr>
            </w:pPr>
          </w:p>
        </w:tc>
        <w:tc>
          <w:tcPr>
            <w:tcW w:w="6100" w:type="dxa"/>
          </w:tcPr>
          <w:p w:rsidRPr="00A75D14" w:rsidR="00A75D14" w:rsidP="00A75D14" w:rsidRDefault="00A75D14" w14:paraId="41607847" w14:textId="77777777">
            <w:pPr>
              <w:jc w:val="both"/>
              <w:rPr>
                <w:rFonts w:ascii="Verdana" w:hAnsi="Verdana" w:eastAsia="Calibri" w:cs="Arial"/>
                <w:b/>
                <w:bCs/>
                <w:lang w:val="es-ES" w:eastAsia="es-ES"/>
              </w:rPr>
            </w:pPr>
            <w:r w:rsidRPr="00A75D14">
              <w:rPr>
                <w:rFonts w:ascii="Verdana" w:hAnsi="Verdana" w:eastAsia="Calibri" w:cs="Arial"/>
                <w:b/>
                <w:bCs/>
                <w:lang w:val="es-ES" w:eastAsia="es-ES"/>
              </w:rPr>
              <w:t>Concepto C – 169 de 2024</w:t>
            </w:r>
          </w:p>
        </w:tc>
      </w:tr>
      <w:tr w:rsidRPr="00A75D14" w:rsidR="00A75D14" w:rsidTr="00E347A5" w14:paraId="5EDECCB7" w14:textId="77777777">
        <w:trPr>
          <w:trHeight w:val="884"/>
        </w:trPr>
        <w:tc>
          <w:tcPr>
            <w:tcW w:w="2689" w:type="dxa"/>
          </w:tcPr>
          <w:p w:rsidRPr="00A75D14" w:rsidR="00A75D14" w:rsidP="00A75D14" w:rsidRDefault="00A75D14" w14:paraId="0504B45B" w14:textId="77777777">
            <w:pPr>
              <w:jc w:val="both"/>
              <w:rPr>
                <w:rFonts w:ascii="Verdana" w:hAnsi="Verdana" w:eastAsia="Calibri" w:cs="Arial"/>
                <w:lang w:val="es-ES_tradnl" w:eastAsia="es-ES_tradnl"/>
              </w:rPr>
            </w:pPr>
            <w:r w:rsidRPr="00A75D14">
              <w:rPr>
                <w:rFonts w:ascii="Verdana" w:hAnsi="Verdana" w:eastAsia="Calibri" w:cs="Arial"/>
                <w:b/>
                <w:lang w:val="es-ES_tradnl" w:eastAsia="es-ES_tradnl"/>
              </w:rPr>
              <w:t>Temas:</w:t>
            </w:r>
            <w:r w:rsidRPr="00A75D14">
              <w:rPr>
                <w:rFonts w:ascii="Verdana" w:hAnsi="Verdana" w:eastAsia="Calibri" w:cs="Arial"/>
                <w:lang w:val="es-ES_tradnl" w:eastAsia="es-ES_tradnl"/>
              </w:rPr>
              <w:t xml:space="preserve">                   </w:t>
            </w:r>
          </w:p>
        </w:tc>
        <w:tc>
          <w:tcPr>
            <w:tcW w:w="6100" w:type="dxa"/>
          </w:tcPr>
          <w:p w:rsidRPr="00A75D14" w:rsidR="00A75D14" w:rsidP="00A75D14" w:rsidRDefault="00A75D14" w14:paraId="2087AEB3" w14:textId="77777777">
            <w:pPr>
              <w:tabs>
                <w:tab w:val="left" w:pos="0"/>
              </w:tabs>
              <w:spacing w:line="276" w:lineRule="auto"/>
              <w:jc w:val="both"/>
              <w:rPr>
                <w:rFonts w:ascii="Verdana" w:hAnsi="Verdana" w:eastAsia="Calibri" w:cs="Arial"/>
                <w:bCs/>
                <w:kern w:val="2"/>
                <w:lang w:val="es-ES_tradnl"/>
                <w14:ligatures w14:val="standardContextual"/>
              </w:rPr>
            </w:pPr>
            <w:r w:rsidRPr="00A75D14">
              <w:rPr>
                <w:rFonts w:ascii="Verdana" w:hAnsi="Verdana" w:eastAsia="Calibri" w:cs="Arial"/>
                <w:bCs/>
                <w:kern w:val="2"/>
                <w:lang w:val="es-ES_tradnl" w:eastAsia="es-ES_tradnl"/>
                <w14:ligatures w14:val="standardContextual"/>
              </w:rPr>
              <w:t xml:space="preserve">LEY 2195 DE 2022 – Artículo 56 – </w:t>
            </w:r>
            <w:r w:rsidRPr="00A75D14">
              <w:rPr>
                <w:rFonts w:ascii="Verdana" w:hAnsi="Verdana" w:eastAsia="Calibri" w:cs="Arial"/>
                <w:bCs/>
                <w:lang w:val="es-ES_tradnl" w:eastAsia="es-ES_tradnl"/>
              </w:rPr>
              <w:t xml:space="preserve">Alcance – Excepción / </w:t>
            </w:r>
            <w:r w:rsidRPr="00A75D14">
              <w:rPr>
                <w:rFonts w:ascii="Verdana" w:hAnsi="Verdana" w:eastAsia="Calibri" w:cs="Arial"/>
                <w:bCs/>
                <w:lang w:val="es-ES_tradnl"/>
              </w:rPr>
              <w:t>L</w:t>
            </w:r>
            <w:r w:rsidRPr="00A75D14">
              <w:rPr>
                <w:rFonts w:ascii="Verdana" w:hAnsi="Verdana" w:eastAsia="Calibri" w:cs="Arial"/>
                <w:bCs/>
                <w:kern w:val="2"/>
                <w:lang w:val="es-ES_tradnl"/>
                <w14:ligatures w14:val="standardContextual"/>
              </w:rPr>
              <w:t>EY 2195 DE 2022 – Artículo 56 – Parágrafo – Excepciones – Giro ordinario</w:t>
            </w:r>
            <w:r w:rsidRPr="00A75D14">
              <w:rPr>
                <w:rFonts w:ascii="Verdana" w:hAnsi="Verdana" w:eastAsia="Calibri" w:cs="Arial"/>
                <w:bCs/>
                <w:lang w:val="es-ES_tradnl"/>
              </w:rPr>
              <w:t xml:space="preserve"> – Interpretación</w:t>
            </w:r>
          </w:p>
          <w:p w:rsidRPr="00A75D14" w:rsidR="00A75D14" w:rsidP="00A75D14" w:rsidRDefault="00A75D14" w14:paraId="1045BFE1" w14:textId="77777777">
            <w:pPr>
              <w:spacing w:line="276" w:lineRule="auto"/>
              <w:jc w:val="both"/>
              <w:rPr>
                <w:rFonts w:ascii="Verdana" w:hAnsi="Verdana" w:eastAsia="Calibri" w:cs="Arial"/>
                <w:lang w:val="es-ES" w:eastAsia="es-ES"/>
              </w:rPr>
            </w:pPr>
          </w:p>
        </w:tc>
      </w:tr>
      <w:tr w:rsidRPr="00A75D14" w:rsidR="00A75D14" w:rsidTr="00E347A5" w14:paraId="0B00F69F" w14:textId="77777777">
        <w:tc>
          <w:tcPr>
            <w:tcW w:w="2689" w:type="dxa"/>
          </w:tcPr>
          <w:p w:rsidRPr="00A75D14" w:rsidR="00A75D14" w:rsidP="00A75D14" w:rsidRDefault="00A75D14" w14:paraId="2460683E" w14:textId="77777777">
            <w:pPr>
              <w:jc w:val="both"/>
              <w:rPr>
                <w:rFonts w:ascii="Verdana" w:hAnsi="Verdana" w:eastAsia="Calibri" w:cs="Arial"/>
                <w:b/>
                <w:lang w:val="es-ES_tradnl" w:eastAsia="es-ES_tradnl"/>
              </w:rPr>
            </w:pPr>
            <w:r w:rsidRPr="00A75D14">
              <w:rPr>
                <w:rFonts w:ascii="Verdana" w:hAnsi="Verdana" w:eastAsia="Calibri" w:cs="Arial"/>
                <w:b/>
                <w:lang w:val="es-ES_tradnl" w:eastAsia="es-ES_tradnl"/>
              </w:rPr>
              <w:t>Radicación:</w:t>
            </w:r>
            <w:r w:rsidRPr="00A75D14">
              <w:rPr>
                <w:rFonts w:ascii="Verdana" w:hAnsi="Verdana" w:eastAsia="Calibri" w:cs="Arial"/>
                <w:lang w:val="es-ES_tradnl" w:eastAsia="es-ES_tradnl"/>
              </w:rPr>
              <w:t xml:space="preserve">               </w:t>
            </w:r>
          </w:p>
        </w:tc>
        <w:tc>
          <w:tcPr>
            <w:tcW w:w="6100" w:type="dxa"/>
          </w:tcPr>
          <w:p w:rsidRPr="00A75D14" w:rsidR="00A75D14" w:rsidP="00A75D14" w:rsidRDefault="00A75D14" w14:paraId="218BCB3F" w14:textId="77777777">
            <w:pPr>
              <w:jc w:val="both"/>
              <w:rPr>
                <w:rFonts w:ascii="Verdana" w:hAnsi="Verdana" w:eastAsia="Calibri" w:cs="Arial"/>
                <w:lang w:val="es-ES_tradnl" w:eastAsia="es-ES_tradnl"/>
              </w:rPr>
            </w:pPr>
            <w:r w:rsidRPr="00A75D14">
              <w:rPr>
                <w:rFonts w:ascii="Verdana" w:hAnsi="Verdana" w:eastAsia="Calibri" w:cs="Arial"/>
                <w:lang w:val="es-ES_tradnl" w:eastAsia="es-ES_tradnl"/>
              </w:rPr>
              <w:t>Respuesta a consulta con radicado No. P20240612006018</w:t>
            </w:r>
          </w:p>
        </w:tc>
      </w:tr>
    </w:tbl>
    <w:p w:rsidRPr="00A75D14" w:rsidR="00A75D14" w:rsidP="00A75D14" w:rsidRDefault="00A75D14" w14:paraId="3F01F738" w14:textId="77777777">
      <w:pPr>
        <w:spacing w:after="0" w:line="240" w:lineRule="auto"/>
        <w:jc w:val="both"/>
        <w:rPr>
          <w:rFonts w:ascii="Verdana" w:hAnsi="Verdana" w:eastAsia="Calibri" w:cs="Arial"/>
          <w:lang w:val="es-ES_tradnl" w:eastAsia="es-ES_tradnl"/>
        </w:rPr>
      </w:pPr>
    </w:p>
    <w:p w:rsidRPr="00A75D14" w:rsidR="00A75D14" w:rsidP="00A75D14" w:rsidRDefault="00A75D14" w14:paraId="497607CB" w14:textId="77777777">
      <w:pPr>
        <w:spacing w:after="0" w:line="240" w:lineRule="auto"/>
        <w:jc w:val="both"/>
        <w:rPr>
          <w:rFonts w:ascii="Verdana" w:hAnsi="Verdana" w:eastAsia="Calibri" w:cs="Arial"/>
          <w:lang w:val="es-ES_tradnl" w:eastAsia="es-ES_tradnl"/>
        </w:rPr>
      </w:pPr>
    </w:p>
    <w:p w:rsidRPr="00A75D14" w:rsidR="00A75D14" w:rsidP="00A75D14" w:rsidRDefault="00A75D14" w14:paraId="5015D887" w14:textId="77777777">
      <w:pPr>
        <w:spacing w:after="0" w:line="276" w:lineRule="auto"/>
        <w:jc w:val="both"/>
        <w:rPr>
          <w:rFonts w:ascii="Verdana" w:hAnsi="Verdana" w:eastAsia="Calibri" w:cs="Arial"/>
          <w:lang w:val="es-ES" w:eastAsia="es-ES"/>
        </w:rPr>
      </w:pPr>
      <w:r w:rsidRPr="00A75D14">
        <w:rPr>
          <w:rFonts w:ascii="Verdana" w:hAnsi="Verdana" w:eastAsia="Calibri" w:cs="Arial"/>
          <w:lang w:val="es-ES" w:eastAsia="es-ES"/>
        </w:rPr>
        <w:t xml:space="preserve">Estimada señora Rueda Fernández: </w:t>
      </w:r>
    </w:p>
    <w:p w:rsidRPr="00A75D14" w:rsidR="00A75D14" w:rsidP="00A75D14" w:rsidRDefault="00A75D14" w14:paraId="71208E74" w14:textId="77777777">
      <w:pPr>
        <w:tabs>
          <w:tab w:val="left" w:pos="3768"/>
        </w:tabs>
        <w:spacing w:after="0" w:line="276" w:lineRule="auto"/>
        <w:jc w:val="both"/>
        <w:rPr>
          <w:rFonts w:ascii="Verdana" w:hAnsi="Verdana" w:eastAsia="Calibri" w:cs="Arial"/>
          <w:lang w:val="es-ES" w:eastAsia="es-ES"/>
        </w:rPr>
      </w:pPr>
      <w:r w:rsidRPr="00A75D14">
        <w:rPr>
          <w:rFonts w:ascii="Verdana" w:hAnsi="Verdana" w:eastAsia="Calibri" w:cs="Arial"/>
          <w:lang w:val="es-ES" w:eastAsia="es-ES"/>
        </w:rPr>
        <w:tab/>
      </w:r>
    </w:p>
    <w:p w:rsidRPr="00A75D14" w:rsidR="00A75D14" w:rsidP="00A75D14" w:rsidRDefault="00A75D14" w14:paraId="0905E910" w14:textId="77777777">
      <w:pPr>
        <w:spacing w:after="0" w:line="276" w:lineRule="auto"/>
        <w:jc w:val="both"/>
        <w:rPr>
          <w:rFonts w:ascii="Verdana" w:hAnsi="Verdana" w:eastAsia="Calibri" w:cs="Arial"/>
          <w:lang w:val="es-ES" w:eastAsia="es-ES"/>
        </w:rPr>
      </w:pPr>
      <w:r w:rsidRPr="00A75D14">
        <w:rPr>
          <w:rFonts w:ascii="Verdana" w:hAnsi="Verdana" w:eastAsia="Calibri" w:cs="Arial"/>
          <w:lang w:val="es-ES" w:eastAsia="es-ES"/>
        </w:rPr>
        <w:t>En ejercicio de la competencia otorgada por los artículos 3, numeral 5º, y 11, numeral 8º, del Decreto Ley 4170 de 2011,</w:t>
      </w:r>
      <w:r w:rsidRPr="00A75D14">
        <w:rPr>
          <w:rFonts w:ascii="Verdana" w:hAnsi="Verdana" w:eastAsia="Arial MT" w:cs="Arial MT"/>
          <w:lang w:val="es-ES" w:eastAsia="es-ES"/>
        </w:rPr>
        <w:t xml:space="preserve"> </w:t>
      </w:r>
      <w:r w:rsidRPr="00A75D14">
        <w:rPr>
          <w:rFonts w:ascii="Verdana" w:hAnsi="Verdana" w:eastAsia="Calibri" w:cs="Arial"/>
        </w:rPr>
        <w:t xml:space="preserve">así como lo establecido en el artículo 4 de la Resolución 1707 de 2018 expedida por esta Entidad, </w:t>
      </w:r>
      <w:r w:rsidRPr="00A75D14">
        <w:rPr>
          <w:rFonts w:ascii="Verdana" w:hAnsi="Verdana" w:eastAsia="Calibri" w:cs="Arial"/>
          <w:lang w:val="es-ES" w:eastAsia="es-ES"/>
        </w:rPr>
        <w:t>la Agencia Nacional de Contratación Pública – Colombia Compra Eficiente– responde su solicitud de consulta de fecha 12 de junio de 2024. Usted manifiesta lo siguiente:</w:t>
      </w:r>
    </w:p>
    <w:p w:rsidRPr="00A75D14" w:rsidR="00A75D14" w:rsidP="00A75D14" w:rsidRDefault="00A75D14" w14:paraId="42CAB419" w14:textId="77777777">
      <w:pPr>
        <w:tabs>
          <w:tab w:val="left" w:pos="142"/>
          <w:tab w:val="left" w:pos="284"/>
        </w:tabs>
        <w:spacing w:line="276" w:lineRule="auto"/>
        <w:contextualSpacing/>
        <w:jc w:val="both"/>
        <w:rPr>
          <w:rFonts w:ascii="Verdana" w:hAnsi="Verdana" w:eastAsia="Century Gothic" w:cs="Century Gothic"/>
          <w:b/>
          <w:bCs/>
          <w:lang w:val="es-ES"/>
        </w:rPr>
      </w:pPr>
    </w:p>
    <w:p w:rsidRPr="00A75D14" w:rsidR="00A75D14" w:rsidP="00A75D14" w:rsidRDefault="00A75D14" w14:paraId="756C0024" w14:textId="77777777">
      <w:pPr>
        <w:spacing w:after="0" w:line="240" w:lineRule="auto"/>
        <w:ind w:left="709" w:right="709"/>
        <w:jc w:val="both"/>
        <w:rPr>
          <w:rFonts w:ascii="Verdana" w:hAnsi="Verdana" w:eastAsia="Century Gothic" w:cs="Century Gothic"/>
          <w:sz w:val="20"/>
          <w:szCs w:val="20"/>
          <w:lang w:val="es-ES"/>
        </w:rPr>
      </w:pPr>
      <w:r w:rsidRPr="00A75D14">
        <w:rPr>
          <w:rFonts w:ascii="Verdana" w:hAnsi="Verdana" w:eastAsia="Century Gothic" w:cs="Century Gothic"/>
          <w:sz w:val="20"/>
          <w:szCs w:val="20"/>
          <w:lang w:val="es-ES"/>
        </w:rPr>
        <w:t xml:space="preserve">“En conformidad con el artículo 56 de la ley 2195 de 20221, nos queda claro que queda exceptuado para la aplicación de los pliegos tipo cuatro categorías de Entidades; Instituciones de Educación Superior, Empresas Sociales del Estado, Empresas Industriales y Comerciales del Estado, Sociedades de Economía mixta en virtud del giro ordinario. Pero, falta conocer si otras categorías de Entidades como de fondo mixto o asociaciones de municipios u otras, que tienen un régimen de contratación de Derecho Privado o que no aplican el Estatuto General de Contratación Pública ¿quedan cobijadas bajo esta interpretación del giro ordinario? </w:t>
      </w:r>
      <w:r w:rsidRPr="00A75D14">
        <w:rPr>
          <w:rFonts w:ascii="Verdana" w:hAnsi="Verdana" w:eastAsia="Century Gothic" w:cs="Century Gothic"/>
          <w:sz w:val="20"/>
          <w:szCs w:val="20"/>
          <w:lang w:val="es-ES"/>
        </w:rPr>
        <w:lastRenderedPageBreak/>
        <w:t>Ejemplo; ¿los fondos mixtos están exceptuados de aplicar pliegos tipo según la normatividad presente?”</w:t>
      </w:r>
    </w:p>
    <w:p w:rsidRPr="00A75D14" w:rsidR="00A75D14" w:rsidP="00A75D14" w:rsidRDefault="00A75D14" w14:paraId="4B4E55D8" w14:textId="77777777">
      <w:pPr>
        <w:spacing w:after="0" w:line="240" w:lineRule="auto"/>
        <w:ind w:left="709" w:right="709"/>
        <w:jc w:val="both"/>
        <w:rPr>
          <w:rFonts w:ascii="Verdana" w:hAnsi="Verdana" w:eastAsia="Century Gothic" w:cs="Century Gothic"/>
          <w:lang w:val="es-ES"/>
        </w:rPr>
      </w:pPr>
      <w:r w:rsidRPr="00A75D14">
        <w:rPr>
          <w:rFonts w:ascii="Verdana" w:hAnsi="Verdana" w:eastAsia="Century Gothic" w:cs="Century Gothic"/>
          <w:sz w:val="20"/>
          <w:szCs w:val="20"/>
          <w:lang w:val="es-ES"/>
        </w:rPr>
        <w:t xml:space="preserve">   </w:t>
      </w:r>
    </w:p>
    <w:p w:rsidRPr="00A75D14" w:rsidR="00A75D14" w:rsidP="00A75D14" w:rsidRDefault="00A75D14" w14:paraId="1740278C" w14:textId="77777777">
      <w:pPr>
        <w:spacing w:after="120" w:line="276" w:lineRule="auto"/>
        <w:ind w:firstLine="709"/>
        <w:jc w:val="both"/>
        <w:rPr>
          <w:rFonts w:ascii="Verdana" w:hAnsi="Verdana" w:eastAsia="Calibri" w:cs="Arial"/>
          <w:szCs w:val="24"/>
          <w:lang w:val="es-ES_tradnl" w:eastAsia="es-ES_tradnl"/>
        </w:rPr>
      </w:pPr>
      <w:r w:rsidRPr="00A75D14">
        <w:rPr>
          <w:rFonts w:ascii="Verdana" w:hAnsi="Verdana" w:eastAsia="Calibri"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A75D14">
        <w:rPr>
          <w:rFonts w:ascii="Verdana" w:hAnsi="Verdana" w:eastAsia="Calibri" w:cs="Arial"/>
          <w:szCs w:val="24"/>
          <w:lang w:val="es-ES_tradnl" w:eastAsia="es-ES_tradnl"/>
        </w:rPr>
        <w:tab/>
      </w:r>
    </w:p>
    <w:p w:rsidRPr="00A75D14" w:rsidR="00A75D14" w:rsidP="00A75D14" w:rsidRDefault="00A75D14" w14:paraId="1339E4CD" w14:textId="77777777">
      <w:pPr>
        <w:spacing w:after="0" w:line="276" w:lineRule="auto"/>
        <w:ind w:firstLine="709"/>
        <w:jc w:val="both"/>
        <w:rPr>
          <w:rFonts w:ascii="Verdana" w:hAnsi="Verdana" w:eastAsia="Calibri" w:cs="Arial"/>
          <w:lang w:val="es-ES" w:eastAsia="es-ES"/>
        </w:rPr>
      </w:pPr>
      <w:r w:rsidRPr="00A75D14">
        <w:rPr>
          <w:rFonts w:ascii="Verdana" w:hAnsi="Verdana" w:eastAsia="Calibri"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rsidRPr="00A75D14" w:rsidR="00A75D14" w:rsidP="00A75D14" w:rsidRDefault="00A75D14" w14:paraId="2F0B5621" w14:textId="77777777">
      <w:pPr>
        <w:spacing w:after="0" w:line="276" w:lineRule="auto"/>
        <w:ind w:firstLine="709"/>
        <w:jc w:val="both"/>
        <w:rPr>
          <w:rFonts w:ascii="Verdana" w:hAnsi="Verdana" w:eastAsia="Calibri" w:cs="Arial"/>
          <w:lang w:val="es-ES" w:eastAsia="es-ES"/>
        </w:rPr>
      </w:pPr>
    </w:p>
    <w:p w:rsidRPr="00A75D14" w:rsidR="00A75D14" w:rsidP="00A75D14" w:rsidRDefault="00A75D14" w14:paraId="60F3F8AB" w14:textId="77777777">
      <w:pPr>
        <w:numPr>
          <w:ilvl w:val="0"/>
          <w:numId w:val="16"/>
        </w:numPr>
        <w:tabs>
          <w:tab w:val="left" w:pos="142"/>
          <w:tab w:val="left" w:pos="284"/>
        </w:tabs>
        <w:spacing w:after="0" w:line="276" w:lineRule="auto"/>
        <w:ind w:left="357" w:hanging="357"/>
        <w:contextualSpacing/>
        <w:jc w:val="both"/>
        <w:rPr>
          <w:rFonts w:ascii="Verdana" w:hAnsi="Verdana" w:eastAsia="Century Gothic" w:cs="Century Gothic"/>
          <w:b/>
          <w:bCs/>
          <w:lang w:val="es-ES"/>
        </w:rPr>
      </w:pPr>
      <w:r w:rsidRPr="00A75D14">
        <w:rPr>
          <w:rFonts w:ascii="Verdana" w:hAnsi="Verdana" w:eastAsia="Century Gothic" w:cs="Century Gothic"/>
          <w:b/>
          <w:bCs/>
          <w:lang w:val="es-ES"/>
        </w:rPr>
        <w:t>Problema planteado:</w:t>
      </w:r>
    </w:p>
    <w:p w:rsidRPr="00A75D14" w:rsidR="00A75D14" w:rsidP="00A75D14" w:rsidRDefault="00A75D14" w14:paraId="0A97994F" w14:textId="77777777">
      <w:pPr>
        <w:tabs>
          <w:tab w:val="left" w:pos="426"/>
        </w:tabs>
        <w:spacing w:after="0" w:line="276" w:lineRule="auto"/>
        <w:jc w:val="both"/>
        <w:rPr>
          <w:rFonts w:ascii="Verdana" w:hAnsi="Verdana" w:eastAsia="Century Gothic" w:cs="Century Gothic"/>
          <w:lang w:val="es-ES"/>
        </w:rPr>
      </w:pPr>
    </w:p>
    <w:p w:rsidRPr="00A75D14" w:rsidR="00A75D14" w:rsidP="00A75D14" w:rsidRDefault="00A75D14" w14:paraId="74E10F5D" w14:textId="77777777">
      <w:pPr>
        <w:snapToGrid w:val="0"/>
        <w:spacing w:after="0" w:line="276" w:lineRule="auto"/>
        <w:jc w:val="both"/>
        <w:rPr>
          <w:rFonts w:ascii="Verdana" w:hAnsi="Verdana" w:eastAsia="Century Gothic" w:cs="Century Gothic"/>
        </w:rPr>
      </w:pPr>
      <w:r w:rsidRPr="00A75D14">
        <w:rPr>
          <w:rFonts w:ascii="Verdana" w:hAnsi="Verdana" w:eastAsia="Century Gothic" w:cs="Century Gothic"/>
        </w:rPr>
        <w:t>De acuerdo con el contenido de su solicitud, esta Agencia resolverá el siguiente problema jurídico: ¿qué otras entidades, además de las señaladas en el parágrafo del artículo 56 de la Ley 2195 de 2022, quedan exceptuadas de la aplicación del referido artículo, en cuanto a la contratación de su giro ordinario?</w:t>
      </w:r>
    </w:p>
    <w:p w:rsidRPr="00A75D14" w:rsidR="00A75D14" w:rsidP="00A75D14" w:rsidRDefault="00A75D14" w14:paraId="79174E4E" w14:textId="77777777">
      <w:pPr>
        <w:snapToGrid w:val="0"/>
        <w:spacing w:after="0" w:line="276" w:lineRule="auto"/>
        <w:jc w:val="both"/>
        <w:rPr>
          <w:rFonts w:ascii="Verdana" w:hAnsi="Verdana" w:eastAsia="Calibri" w:cs="Arial"/>
          <w:lang w:val="es-ES"/>
        </w:rPr>
      </w:pPr>
    </w:p>
    <w:p w:rsidRPr="00A75D14" w:rsidR="00A75D14" w:rsidP="00A75D14" w:rsidRDefault="00A75D14" w14:paraId="0E23F95B" w14:textId="77777777">
      <w:pPr>
        <w:numPr>
          <w:ilvl w:val="0"/>
          <w:numId w:val="16"/>
        </w:numPr>
        <w:tabs>
          <w:tab w:val="left" w:pos="142"/>
          <w:tab w:val="left" w:pos="284"/>
        </w:tabs>
        <w:snapToGrid w:val="0"/>
        <w:spacing w:after="0" w:line="276" w:lineRule="auto"/>
        <w:ind w:left="357" w:hanging="357"/>
        <w:jc w:val="both"/>
        <w:rPr>
          <w:rFonts w:ascii="Verdana" w:hAnsi="Verdana" w:eastAsia="Century Gothic" w:cs="Century Gothic"/>
          <w:b/>
          <w:bCs/>
          <w:lang w:val="es-ES"/>
        </w:rPr>
      </w:pPr>
      <w:r w:rsidRPr="00A75D14">
        <w:rPr>
          <w:rFonts w:ascii="Verdana" w:hAnsi="Verdana" w:eastAsia="Century Gothic" w:cs="Century Gothic"/>
          <w:b/>
          <w:bCs/>
          <w:lang w:val="es-ES"/>
        </w:rPr>
        <w:t>Respuesta:</w:t>
      </w:r>
    </w:p>
    <w:p w:rsidRPr="00A75D14" w:rsidR="00A75D14" w:rsidP="00A75D14" w:rsidRDefault="00A75D14" w14:paraId="1521C4A5" w14:textId="77777777">
      <w:pPr>
        <w:tabs>
          <w:tab w:val="left" w:pos="142"/>
          <w:tab w:val="left" w:pos="284"/>
        </w:tabs>
        <w:snapToGrid w:val="0"/>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A75D14" w:rsidR="00A75D14" w:rsidTr="00E347A5" w14:paraId="25A2329A" w14:textId="77777777">
        <w:tc>
          <w:tcPr>
            <w:tcW w:w="8828" w:type="dxa"/>
            <w:shd w:val="clear" w:color="auto" w:fill="auto"/>
          </w:tcPr>
          <w:p w:rsidRPr="00A75D14" w:rsidR="00A75D14" w:rsidP="00A75D14" w:rsidRDefault="00A75D14" w14:paraId="4B81A457" w14:textId="77777777">
            <w:pPr>
              <w:snapToGrid w:val="0"/>
              <w:spacing w:line="276" w:lineRule="auto"/>
              <w:jc w:val="both"/>
              <w:rPr>
                <w:rFonts w:ascii="Verdana" w:hAnsi="Verdana" w:eastAsia="Calibri" w:cs="Arial"/>
                <w:lang w:val="es-ES" w:eastAsia="es-ES"/>
              </w:rPr>
            </w:pPr>
            <w:r w:rsidRPr="00A75D14">
              <w:rPr>
                <w:rFonts w:ascii="Verdana" w:hAnsi="Verdana" w:eastAsia="Calibri" w:cs="Arial"/>
                <w:lang w:val="es-ES" w:eastAsia="es-ES"/>
              </w:rPr>
              <w:t xml:space="preserve">Lo dispuesto en el parágrafo del artículo 56 de la Ley 2195 de 2022 implica que las instituciones de educación superior públicas, las empresas sociales del Estado, las sociedades de economía mixta y las empresas industriales y comerciales del Estado, no tendrán que implementar los documentos tipo únicamente para la contratación relacionada con el </w:t>
            </w:r>
            <w:r w:rsidRPr="00A75D14">
              <w:rPr>
                <w:rFonts w:ascii="Verdana" w:hAnsi="Verdana" w:eastAsia="Calibri" w:cs="Arial"/>
                <w:i/>
                <w:lang w:val="es-ES" w:eastAsia="es-ES"/>
              </w:rPr>
              <w:t xml:space="preserve">giro ordinario </w:t>
            </w:r>
            <w:r w:rsidRPr="00A75D14">
              <w:rPr>
                <w:rFonts w:ascii="Verdana" w:hAnsi="Verdana" w:eastAsia="Calibri" w:cs="Arial"/>
                <w:lang w:val="es-ES" w:eastAsia="es-ES"/>
              </w:rPr>
              <w:t xml:space="preserve">de sus asuntos, salvo que los manuales internos de contratación de estas entidades dispongan la obligación de tener en cuenta los documentos tipo como una buena práctica contractual. En otras palabras, ninguna entidad cuya </w:t>
            </w:r>
            <w:r w:rsidRPr="00A75D14">
              <w:rPr>
                <w:rFonts w:ascii="Verdana" w:hAnsi="Verdana" w:eastAsia="Calibri" w:cs="Arial"/>
                <w:lang w:val="es-ES" w:eastAsia="es-ES"/>
              </w:rPr>
              <w:lastRenderedPageBreak/>
              <w:t xml:space="preserve">naturaleza jurídica coincida con las mencionadas en el parágrafo del artículo 56, tendrá que someterse de manera obligatoria a los documentos tipo o el EGCAP para la contratación de obras o servicios asociadas a su </w:t>
            </w:r>
            <w:r w:rsidRPr="00A75D14">
              <w:rPr>
                <w:rFonts w:ascii="Verdana" w:hAnsi="Verdana" w:eastAsia="Calibri" w:cs="Arial"/>
                <w:i/>
                <w:lang w:val="es-ES" w:eastAsia="es-ES"/>
              </w:rPr>
              <w:t>giro ordinario</w:t>
            </w:r>
            <w:r w:rsidRPr="00A75D14">
              <w:rPr>
                <w:rFonts w:ascii="Verdana" w:hAnsi="Verdana" w:eastAsia="Calibri" w:cs="Arial"/>
                <w:lang w:val="es-ES" w:eastAsia="es-ES"/>
              </w:rPr>
              <w:t xml:space="preserve">, a menos que su manual de contratación establezca lo contrario. </w:t>
            </w:r>
          </w:p>
          <w:p w:rsidRPr="00A75D14" w:rsidR="00A75D14" w:rsidP="00A75D14" w:rsidRDefault="00A75D14" w14:paraId="478A7280" w14:textId="77777777">
            <w:pPr>
              <w:snapToGrid w:val="0"/>
              <w:spacing w:line="276" w:lineRule="auto"/>
              <w:jc w:val="both"/>
              <w:rPr>
                <w:rFonts w:ascii="Verdana" w:hAnsi="Verdana" w:eastAsia="Calibri" w:cs="Arial"/>
                <w:lang w:val="es-ES" w:eastAsia="es-ES"/>
              </w:rPr>
            </w:pPr>
          </w:p>
          <w:p w:rsidRPr="00A75D14" w:rsidR="00A75D14" w:rsidP="00A75D14" w:rsidRDefault="00A75D14" w14:paraId="25576AA0" w14:textId="77777777">
            <w:pPr>
              <w:snapToGrid w:val="0"/>
              <w:spacing w:line="276" w:lineRule="auto"/>
              <w:jc w:val="both"/>
              <w:rPr>
                <w:rFonts w:ascii="Verdana" w:hAnsi="Verdana" w:eastAsia="Calibri" w:cs="Arial"/>
                <w:lang w:val="es-ES" w:eastAsia="es-ES"/>
              </w:rPr>
            </w:pPr>
            <w:r w:rsidRPr="00A75D14">
              <w:rPr>
                <w:rFonts w:ascii="Verdana" w:hAnsi="Verdana" w:eastAsia="Calibri" w:cs="Arial"/>
                <w:lang w:val="es-ES" w:eastAsia="es-ES"/>
              </w:rPr>
              <w:t xml:space="preserve">Por otra parte, es importante señalar que la excepción del parágrafo en comento es de interpretación restrictiva y es clara en establecer cuáles son las entidades exceptuadas de la aplicación del artículo 56 de la Ley 2195 de 2022. En ese sentido, la Agencia Nacional de Contratación Pública – Colombia Compra Eficiente, en sede consultiva, no puede establecer si otras entidades, como los fondos mixtos, se enmarcan en la aludida excepción, toda vez que este es un análisis que deberá realizarse en cada caso concreto, con el fin de i) determinar si la entidad puede catalogarse como una de aquellas definidas en el parágrafo y </w:t>
            </w:r>
            <w:proofErr w:type="spellStart"/>
            <w:r w:rsidRPr="00A75D14">
              <w:rPr>
                <w:rFonts w:ascii="Verdana" w:hAnsi="Verdana" w:eastAsia="Calibri" w:cs="Arial"/>
                <w:lang w:val="es-ES" w:eastAsia="es-ES"/>
              </w:rPr>
              <w:t>ii</w:t>
            </w:r>
            <w:proofErr w:type="spellEnd"/>
            <w:r w:rsidRPr="00A75D14">
              <w:rPr>
                <w:rFonts w:ascii="Verdana" w:hAnsi="Verdana" w:eastAsia="Calibri" w:cs="Arial"/>
                <w:lang w:val="es-ES" w:eastAsia="es-ES"/>
              </w:rPr>
              <w:t xml:space="preserve">) si el objeto a contratar se enmarca en el concepto de </w:t>
            </w:r>
            <w:r w:rsidRPr="00A75D14">
              <w:rPr>
                <w:rFonts w:ascii="Verdana" w:hAnsi="Verdana" w:eastAsia="Calibri" w:cs="Arial"/>
                <w:i/>
                <w:iCs/>
                <w:lang w:val="es-ES" w:eastAsia="es-ES"/>
              </w:rPr>
              <w:t>giro ordinario.</w:t>
            </w:r>
            <w:r w:rsidRPr="00A75D14">
              <w:rPr>
                <w:rFonts w:ascii="Verdana" w:hAnsi="Verdana" w:eastAsia="Calibri" w:cs="Arial"/>
                <w:lang w:val="es-ES" w:eastAsia="es-ES"/>
              </w:rPr>
              <w:t xml:space="preserve"> </w:t>
            </w:r>
          </w:p>
        </w:tc>
      </w:tr>
    </w:tbl>
    <w:p w:rsidRPr="00A75D14" w:rsidR="00A75D14" w:rsidP="00A75D14" w:rsidRDefault="00A75D14" w14:paraId="5A7BF371" w14:textId="77777777">
      <w:pPr>
        <w:tabs>
          <w:tab w:val="left" w:pos="142"/>
          <w:tab w:val="left" w:pos="284"/>
        </w:tabs>
        <w:snapToGrid w:val="0"/>
        <w:spacing w:after="0" w:line="276" w:lineRule="auto"/>
        <w:jc w:val="both"/>
        <w:rPr>
          <w:rFonts w:ascii="Verdana" w:hAnsi="Verdana" w:eastAsia="Century Gothic" w:cs="Century Gothic"/>
          <w:b/>
          <w:bCs/>
          <w:lang w:val="es-ES"/>
        </w:rPr>
      </w:pPr>
    </w:p>
    <w:p w:rsidRPr="00A75D14" w:rsidR="00A75D14" w:rsidP="00A75D14" w:rsidRDefault="00A75D14" w14:paraId="60372A6A" w14:textId="77777777">
      <w:pPr>
        <w:numPr>
          <w:ilvl w:val="0"/>
          <w:numId w:val="16"/>
        </w:numPr>
        <w:tabs>
          <w:tab w:val="left" w:pos="142"/>
          <w:tab w:val="left" w:pos="284"/>
        </w:tabs>
        <w:snapToGrid w:val="0"/>
        <w:spacing w:after="0" w:line="276" w:lineRule="auto"/>
        <w:ind w:left="357" w:hanging="357"/>
        <w:jc w:val="both"/>
        <w:rPr>
          <w:rFonts w:ascii="Verdana" w:hAnsi="Verdana" w:eastAsia="Century Gothic" w:cs="Century Gothic"/>
          <w:b/>
          <w:bCs/>
          <w:lang w:val="es-ES"/>
        </w:rPr>
      </w:pPr>
      <w:r w:rsidRPr="00A75D14">
        <w:rPr>
          <w:rFonts w:ascii="Verdana" w:hAnsi="Verdana" w:eastAsia="Century Gothic" w:cs="Century Gothic"/>
          <w:b/>
          <w:bCs/>
          <w:lang w:val="es-ES"/>
        </w:rPr>
        <w:t>Razones de la respuesta:</w:t>
      </w:r>
    </w:p>
    <w:p w:rsidRPr="00A75D14" w:rsidR="00A75D14" w:rsidP="00A75D14" w:rsidRDefault="00A75D14" w14:paraId="3F6301B8" w14:textId="77777777">
      <w:pPr>
        <w:tabs>
          <w:tab w:val="left" w:pos="142"/>
          <w:tab w:val="left" w:pos="284"/>
        </w:tabs>
        <w:snapToGrid w:val="0"/>
        <w:spacing w:after="0" w:line="276" w:lineRule="auto"/>
        <w:ind w:left="357"/>
        <w:jc w:val="both"/>
        <w:rPr>
          <w:rFonts w:ascii="Verdana" w:hAnsi="Verdana" w:eastAsia="Century Gothic" w:cs="Century Gothic"/>
          <w:b/>
          <w:bCs/>
          <w:lang w:val="es-ES"/>
        </w:rPr>
      </w:pPr>
    </w:p>
    <w:p w:rsidRPr="00A75D14" w:rsidR="00A75D14" w:rsidP="00A75D14" w:rsidRDefault="00A75D14" w14:paraId="5445C82F" w14:textId="77777777">
      <w:pPr>
        <w:snapToGrid w:val="0"/>
        <w:spacing w:after="0" w:line="276" w:lineRule="auto"/>
        <w:jc w:val="both"/>
        <w:rPr>
          <w:rFonts w:ascii="Verdana" w:hAnsi="Verdana" w:eastAsia="Calibri" w:cs="Arial"/>
          <w:lang w:val="es-ES"/>
        </w:rPr>
      </w:pPr>
      <w:r w:rsidRPr="00A75D14">
        <w:rPr>
          <w:rFonts w:ascii="Verdana" w:hAnsi="Verdana" w:eastAsia="Calibri" w:cs="Arial"/>
          <w:lang w:val="es-ES"/>
        </w:rPr>
        <w:t xml:space="preserve">Lo anterior se sustenta en las siguientes consideraciones: </w:t>
      </w:r>
    </w:p>
    <w:p w:rsidRPr="00A75D14" w:rsidR="00A75D14" w:rsidP="00A75D14" w:rsidRDefault="00A75D14" w14:paraId="141D92D6" w14:textId="77777777">
      <w:pPr>
        <w:snapToGrid w:val="0"/>
        <w:spacing w:after="0" w:line="276" w:lineRule="auto"/>
        <w:jc w:val="both"/>
        <w:rPr>
          <w:rFonts w:ascii="Verdana" w:hAnsi="Verdana" w:eastAsia="Calibri" w:cs="Arial"/>
          <w:lang w:val="es-ES"/>
        </w:rPr>
      </w:pPr>
    </w:p>
    <w:p w:rsidRPr="00A75D14" w:rsidR="00A75D14" w:rsidP="00A75D14" w:rsidRDefault="00A75D14" w14:paraId="4D96D476" w14:textId="77777777">
      <w:pPr>
        <w:numPr>
          <w:ilvl w:val="0"/>
          <w:numId w:val="19"/>
        </w:numPr>
        <w:tabs>
          <w:tab w:val="left" w:pos="0"/>
        </w:tabs>
        <w:snapToGrid w:val="0"/>
        <w:spacing w:after="0" w:line="276" w:lineRule="auto"/>
        <w:contextualSpacing/>
        <w:jc w:val="both"/>
        <w:rPr>
          <w:rFonts w:ascii="Verdana" w:hAnsi="Verdana" w:eastAsia="Calibri" w:cs="Arial"/>
          <w:bCs/>
          <w:kern w:val="2"/>
          <w:lang w:val="es-ES_tradnl" w:eastAsia="es-ES_tradnl"/>
          <w14:ligatures w14:val="standardContextual"/>
        </w:rPr>
      </w:pPr>
      <w:r w:rsidRPr="00A75D14">
        <w:rPr>
          <w:rFonts w:ascii="Verdana" w:hAnsi="Verdana" w:eastAsia="Calibri" w:cs="Arial"/>
          <w:color w:val="000000"/>
          <w:lang w:val="es-ES"/>
        </w:rPr>
        <w:t>El texto del artículo 56 de la Ley 2195 de 2022 aprobado por el Congreso de la República</w:t>
      </w:r>
      <w:r w:rsidRPr="00A75D14">
        <w:rPr>
          <w:rFonts w:ascii="Verdana" w:hAnsi="Verdana" w:eastAsia="Calibri" w:cs="Arial"/>
          <w:kern w:val="2"/>
          <w:lang w:val="es-ES_tradnl" w:eastAsia="es-ES_tradnl"/>
          <w14:ligatures w14:val="standardContextual"/>
        </w:rPr>
        <w:t xml:space="preserve"> en ambas cámaras</w:t>
      </w:r>
      <w:r w:rsidRPr="00A75D14">
        <w:rPr>
          <w:rFonts w:ascii="Aptos" w:hAnsi="Aptos" w:eastAsia="Times New Roman" w:cs="Times New Roman"/>
          <w:kern w:val="2"/>
          <w:sz w:val="24"/>
          <w:szCs w:val="24"/>
          <w:vertAlign w:val="superscript"/>
          <w:lang w:val="es-ES_tradnl" w:eastAsia="es-ES_tradnl"/>
          <w14:ligatures w14:val="standardContextual"/>
        </w:rPr>
        <w:footnoteReference w:id="2"/>
      </w:r>
      <w:r w:rsidRPr="00A75D14">
        <w:rPr>
          <w:rFonts w:ascii="Verdana" w:hAnsi="Verdana" w:eastAsia="Calibri" w:cs="Arial"/>
          <w:kern w:val="2"/>
          <w:lang w:val="es-ES_tradnl" w:eastAsia="es-ES_tradnl"/>
          <w14:ligatures w14:val="standardContextual"/>
        </w:rPr>
        <w:t>, prescribe una redacción en los siguientes términos:</w:t>
      </w:r>
      <w:r w:rsidRPr="00A75D14">
        <w:rPr>
          <w:rFonts w:ascii="Verdana" w:hAnsi="Verdana" w:eastAsia="Calibri" w:cs="Arial"/>
          <w:bCs/>
          <w:kern w:val="2"/>
          <w:lang w:val="es-ES_tradnl" w:eastAsia="es-ES_tradnl"/>
          <w14:ligatures w14:val="standardContextual"/>
        </w:rPr>
        <w:t xml:space="preserve"> </w:t>
      </w:r>
    </w:p>
    <w:p w:rsidRPr="00A75D14" w:rsidR="00A75D14" w:rsidP="00A75D14" w:rsidRDefault="00A75D14" w14:paraId="2E619FF7" w14:textId="77777777">
      <w:pPr>
        <w:tabs>
          <w:tab w:val="left" w:pos="0"/>
        </w:tabs>
        <w:snapToGrid w:val="0"/>
        <w:spacing w:after="0" w:line="276" w:lineRule="auto"/>
        <w:jc w:val="both"/>
        <w:rPr>
          <w:rFonts w:ascii="Verdana" w:hAnsi="Verdana" w:eastAsia="Calibri" w:cs="Arial"/>
          <w:bCs/>
          <w:kern w:val="2"/>
          <w:lang w:val="es-ES_tradnl" w:eastAsia="es-ES_tradnl"/>
          <w14:ligatures w14:val="standardContextual"/>
        </w:rPr>
      </w:pPr>
    </w:p>
    <w:p w:rsidRPr="00A75D14" w:rsidR="00A75D14" w:rsidP="00A75D14" w:rsidRDefault="00A75D14" w14:paraId="72428C30" w14:textId="77777777">
      <w:pPr>
        <w:tabs>
          <w:tab w:val="left" w:pos="0"/>
        </w:tabs>
        <w:snapToGrid w:val="0"/>
        <w:spacing w:after="0" w:line="240" w:lineRule="auto"/>
        <w:ind w:left="709" w:right="709"/>
        <w:jc w:val="both"/>
        <w:rPr>
          <w:rFonts w:ascii="Verdana" w:hAnsi="Verdana" w:eastAsia="Times New Roman" w:cs="Arial"/>
          <w:kern w:val="2"/>
          <w:sz w:val="21"/>
          <w:szCs w:val="21"/>
          <w:lang w:val="es-ES_tradnl" w:eastAsia="es-ES_tradnl"/>
          <w14:ligatures w14:val="standardContextual"/>
        </w:rPr>
      </w:pPr>
      <w:r w:rsidRPr="00A75D14">
        <w:rPr>
          <w:rFonts w:ascii="Verdana" w:hAnsi="Verdana" w:eastAsia="Times New Roman" w:cs="Arial"/>
          <w:kern w:val="2"/>
          <w:sz w:val="21"/>
          <w:szCs w:val="21"/>
          <w:lang w:val="es-ES_tradnl" w:eastAsia="es-ES_tradnl"/>
          <w14:ligatures w14:val="standardContextua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rsidRPr="00A75D14" w:rsidR="00A75D14" w:rsidP="00A75D14" w:rsidRDefault="00A75D14" w14:paraId="7E08F5E2" w14:textId="77777777">
      <w:pPr>
        <w:tabs>
          <w:tab w:val="left" w:pos="0"/>
        </w:tabs>
        <w:snapToGrid w:val="0"/>
        <w:spacing w:after="0" w:line="240" w:lineRule="auto"/>
        <w:ind w:left="709" w:right="709"/>
        <w:jc w:val="both"/>
        <w:rPr>
          <w:rFonts w:ascii="Verdana" w:hAnsi="Verdana" w:eastAsia="Times New Roman" w:cs="Arial"/>
          <w:kern w:val="2"/>
          <w:sz w:val="21"/>
          <w:szCs w:val="21"/>
          <w:lang w:val="es-ES_tradnl" w:eastAsia="es-ES_tradnl"/>
          <w14:ligatures w14:val="standardContextual"/>
        </w:rPr>
      </w:pPr>
    </w:p>
    <w:p w:rsidRPr="00A75D14" w:rsidR="00A75D14" w:rsidP="00A75D14" w:rsidRDefault="00A75D14" w14:paraId="38CDE766" w14:textId="77777777">
      <w:pPr>
        <w:tabs>
          <w:tab w:val="left" w:pos="0"/>
        </w:tabs>
        <w:snapToGrid w:val="0"/>
        <w:spacing w:after="0" w:line="240" w:lineRule="auto"/>
        <w:ind w:left="709" w:right="709"/>
        <w:jc w:val="both"/>
        <w:rPr>
          <w:rFonts w:ascii="Verdana" w:hAnsi="Verdana" w:eastAsia="Times New Roman" w:cs="Arial"/>
          <w:kern w:val="2"/>
          <w:sz w:val="21"/>
          <w:szCs w:val="21"/>
          <w:lang w:val="es-ES_tradnl" w:eastAsia="es-ES_tradnl"/>
          <w14:ligatures w14:val="standardContextual"/>
        </w:rPr>
      </w:pPr>
      <w:r w:rsidRPr="00A75D14">
        <w:rPr>
          <w:rFonts w:ascii="Verdana" w:hAnsi="Verdana" w:eastAsia="Times New Roman" w:cs="Arial"/>
          <w:kern w:val="2"/>
          <w:sz w:val="21"/>
          <w:szCs w:val="21"/>
          <w:lang w:val="es-ES_tradnl" w:eastAsia="es-ES_tradnl"/>
          <w14:ligatures w14:val="standardContextual"/>
        </w:rPr>
        <w:lastRenderedPageBreak/>
        <w:t xml:space="preserve">Los procedimientos de selección y los contratos que realicen en desarrollo de los anteriores negocios jurídicos, donde apliquen los documentos tipo se regirán por el Estatuto General de Contratación de la Administración Pública. </w:t>
      </w:r>
    </w:p>
    <w:p w:rsidRPr="00A75D14" w:rsidR="00A75D14" w:rsidP="00A75D14" w:rsidRDefault="00A75D14" w14:paraId="4E32F71D" w14:textId="77777777">
      <w:pPr>
        <w:tabs>
          <w:tab w:val="left" w:pos="0"/>
        </w:tabs>
        <w:snapToGrid w:val="0"/>
        <w:spacing w:after="0" w:line="240" w:lineRule="auto"/>
        <w:ind w:left="709" w:right="709"/>
        <w:jc w:val="both"/>
        <w:rPr>
          <w:rFonts w:ascii="Verdana" w:hAnsi="Verdana" w:eastAsia="Times New Roman" w:cs="Arial"/>
          <w:kern w:val="2"/>
          <w:sz w:val="21"/>
          <w:szCs w:val="21"/>
          <w:lang w:val="es-ES_tradnl" w:eastAsia="es-ES_tradnl"/>
          <w14:ligatures w14:val="standardContextual"/>
        </w:rPr>
      </w:pPr>
    </w:p>
    <w:p w:rsidRPr="00A75D14" w:rsidR="00A75D14" w:rsidP="00A75D14" w:rsidRDefault="00A75D14" w14:paraId="143F032E" w14:textId="77777777">
      <w:pPr>
        <w:snapToGrid w:val="0"/>
        <w:spacing w:after="0" w:line="240" w:lineRule="auto"/>
        <w:ind w:left="709" w:right="709"/>
        <w:jc w:val="both"/>
        <w:rPr>
          <w:rFonts w:ascii="Verdana" w:hAnsi="Verdana" w:eastAsia="Times New Roman" w:cs="Arial"/>
          <w:kern w:val="2"/>
          <w:sz w:val="21"/>
          <w:szCs w:val="21"/>
          <w:lang w:val="es-ES" w:eastAsia="es-ES"/>
          <w14:ligatures w14:val="standardContextual"/>
        </w:rPr>
      </w:pPr>
      <w:r w:rsidRPr="00A75D14">
        <w:rPr>
          <w:rFonts w:ascii="Verdana" w:hAnsi="Verdana" w:eastAsia="Times New Roman" w:cs="Arial"/>
          <w:kern w:val="2"/>
          <w:sz w:val="21"/>
          <w:szCs w:val="21"/>
          <w:lang w:val="es-ES" w:eastAsia="es-ES"/>
          <w14:ligatures w14:val="standardContextual"/>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rsidRPr="00A75D14" w:rsidR="00A75D14" w:rsidP="00A75D14" w:rsidRDefault="00A75D14" w14:paraId="5069C7EA" w14:textId="77777777">
      <w:pPr>
        <w:snapToGrid w:val="0"/>
        <w:spacing w:after="0" w:line="240" w:lineRule="auto"/>
        <w:ind w:left="709" w:right="709"/>
        <w:jc w:val="both"/>
        <w:rPr>
          <w:rFonts w:ascii="Verdana" w:hAnsi="Verdana" w:eastAsia="Calibri" w:cs="Arial"/>
          <w:kern w:val="2"/>
          <w:lang w:val="es-ES" w:eastAsia="es-ES"/>
          <w14:ligatures w14:val="standardContextual"/>
        </w:rPr>
      </w:pPr>
    </w:p>
    <w:p w:rsidRPr="00A75D14" w:rsidR="00A75D14" w:rsidP="00A75D14" w:rsidRDefault="00A75D14" w14:paraId="05272B70" w14:textId="77777777">
      <w:pPr>
        <w:numPr>
          <w:ilvl w:val="0"/>
          <w:numId w:val="18"/>
        </w:numPr>
        <w:snapToGrid w:val="0"/>
        <w:spacing w:after="0" w:line="276" w:lineRule="auto"/>
        <w:jc w:val="both"/>
        <w:rPr>
          <w:rFonts w:ascii="Verdana" w:hAnsi="Verdana" w:eastAsia="Calibri" w:cs="Arial"/>
          <w:kern w:val="2"/>
          <w:lang w:val="es-ES" w:eastAsia="es-ES"/>
          <w14:ligatures w14:val="standardContextual"/>
        </w:rPr>
      </w:pPr>
      <w:r w:rsidRPr="00A75D14">
        <w:rPr>
          <w:rFonts w:ascii="Verdana" w:hAnsi="Verdana" w:eastAsia="Calibri" w:cs="Arial"/>
          <w:kern w:val="2"/>
          <w:lang w:val="es-ES" w:eastAsia="es-ES"/>
          <w14:ligatures w14:val="standardContextual"/>
        </w:rPr>
        <w:t xml:space="preserve">Es necesario precisar el alcance de lo dispuesto en los dos primeros incisos del artículo 56, de acuerdo con lo establecido en su parágrafo, el cual excluye de la aplicación de los primeros incisos del artículo 56, a cierto tipo de entidades, en lo relacionado con la contratación de su </w:t>
      </w:r>
      <w:r w:rsidRPr="00A75D14">
        <w:rPr>
          <w:rFonts w:ascii="Verdana" w:hAnsi="Verdana" w:eastAsia="Calibri" w:cs="Arial"/>
          <w:i/>
          <w:kern w:val="2"/>
          <w:lang w:val="es-ES" w:eastAsia="es-ES"/>
          <w14:ligatures w14:val="standardContextual"/>
        </w:rPr>
        <w:t>giro ordinario</w:t>
      </w:r>
      <w:r w:rsidRPr="00A75D14">
        <w:rPr>
          <w:rFonts w:ascii="Verdana" w:hAnsi="Verdana" w:eastAsia="Calibri" w:cs="Arial"/>
          <w:kern w:val="2"/>
          <w:lang w:val="es-ES" w:eastAsia="es-ES"/>
          <w14:ligatures w14:val="standardContextual"/>
        </w:rPr>
        <w:t xml:space="preserve">. Conforme se desprende del texto del referido parágrafo, se exceptúa de lo señalado en los dos primeros incisos a: i) las instituciones de educación superior públicas, </w:t>
      </w:r>
      <w:proofErr w:type="spellStart"/>
      <w:r w:rsidRPr="00A75D14">
        <w:rPr>
          <w:rFonts w:ascii="Verdana" w:hAnsi="Verdana" w:eastAsia="Calibri" w:cs="Arial"/>
          <w:kern w:val="2"/>
          <w:lang w:val="es-ES" w:eastAsia="es-ES"/>
          <w14:ligatures w14:val="standardContextual"/>
        </w:rPr>
        <w:t>ii</w:t>
      </w:r>
      <w:proofErr w:type="spellEnd"/>
      <w:r w:rsidRPr="00A75D14">
        <w:rPr>
          <w:rFonts w:ascii="Verdana" w:hAnsi="Verdana" w:eastAsia="Calibri" w:cs="Arial"/>
          <w:kern w:val="2"/>
          <w:lang w:val="es-ES" w:eastAsia="es-ES"/>
          <w14:ligatures w14:val="standardContextual"/>
        </w:rPr>
        <w:t xml:space="preserve">) las empresas sociales del Estado, </w:t>
      </w:r>
      <w:proofErr w:type="spellStart"/>
      <w:r w:rsidRPr="00A75D14">
        <w:rPr>
          <w:rFonts w:ascii="Verdana" w:hAnsi="Verdana" w:eastAsia="Calibri" w:cs="Arial"/>
          <w:kern w:val="2"/>
          <w:lang w:val="es-ES" w:eastAsia="es-ES"/>
          <w14:ligatures w14:val="standardContextual"/>
        </w:rPr>
        <w:t>iii</w:t>
      </w:r>
      <w:proofErr w:type="spellEnd"/>
      <w:r w:rsidRPr="00A75D14">
        <w:rPr>
          <w:rFonts w:ascii="Verdana" w:hAnsi="Verdana" w:eastAsia="Calibri" w:cs="Arial"/>
          <w:kern w:val="2"/>
          <w:lang w:val="es-ES" w:eastAsia="es-ES"/>
          <w14:ligatures w14:val="standardContextual"/>
        </w:rPr>
        <w:t xml:space="preserve">) las sociedades de economía mixta y </w:t>
      </w:r>
      <w:proofErr w:type="spellStart"/>
      <w:r w:rsidRPr="00A75D14">
        <w:rPr>
          <w:rFonts w:ascii="Verdana" w:hAnsi="Verdana" w:eastAsia="Calibri" w:cs="Arial"/>
          <w:kern w:val="2"/>
          <w:lang w:val="es-ES" w:eastAsia="es-ES"/>
          <w14:ligatures w14:val="standardContextual"/>
        </w:rPr>
        <w:t>iv</w:t>
      </w:r>
      <w:proofErr w:type="spellEnd"/>
      <w:r w:rsidRPr="00A75D14">
        <w:rPr>
          <w:rFonts w:ascii="Verdana" w:hAnsi="Verdana" w:eastAsia="Calibri" w:cs="Arial"/>
          <w:kern w:val="2"/>
          <w:lang w:val="es-ES" w:eastAsia="es-ES"/>
          <w14:ligatures w14:val="standardContextual"/>
        </w:rPr>
        <w:t xml:space="preserve">) las empresas industriales y comerciales del Estado, únicamente, en la contratación relacionada con el </w:t>
      </w:r>
      <w:r w:rsidRPr="00A75D14">
        <w:rPr>
          <w:rFonts w:ascii="Verdana" w:hAnsi="Verdana" w:eastAsia="Calibri" w:cs="Arial"/>
          <w:i/>
          <w:kern w:val="2"/>
          <w:lang w:val="es-ES" w:eastAsia="es-ES"/>
          <w14:ligatures w14:val="standardContextual"/>
        </w:rPr>
        <w:t>giro ordinario.</w:t>
      </w:r>
      <w:r w:rsidRPr="00A75D14">
        <w:rPr>
          <w:rFonts w:ascii="Verdana" w:hAnsi="Verdana" w:eastAsia="Calibri" w:cs="Arial"/>
          <w:kern w:val="2"/>
          <w:lang w:val="es-ES" w:eastAsia="es-ES"/>
          <w14:ligatures w14:val="standardContextual"/>
        </w:rPr>
        <w:t xml:space="preserve"> Esto significa que, en la contratación asociada a su </w:t>
      </w:r>
      <w:r w:rsidRPr="00A75D14">
        <w:rPr>
          <w:rFonts w:ascii="Verdana" w:hAnsi="Verdana" w:eastAsia="Calibri" w:cs="Arial"/>
          <w:i/>
          <w:kern w:val="2"/>
          <w:lang w:val="es-ES" w:eastAsia="es-ES"/>
          <w14:ligatures w14:val="standardContextual"/>
        </w:rPr>
        <w:t xml:space="preserve">giro ordinario, </w:t>
      </w:r>
      <w:r w:rsidRPr="00A75D14">
        <w:rPr>
          <w:rFonts w:ascii="Verdana" w:hAnsi="Verdana" w:eastAsia="Calibri" w:cs="Arial"/>
          <w:kern w:val="2"/>
          <w:lang w:val="es-ES" w:eastAsia="es-ES"/>
          <w14:ligatures w14:val="standardContextua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rsidRPr="00A75D14" w:rsidR="00A75D14" w:rsidP="00A75D14" w:rsidRDefault="00A75D14" w14:paraId="4ABA097B" w14:textId="77777777">
      <w:pPr>
        <w:snapToGrid w:val="0"/>
        <w:spacing w:after="0" w:line="276" w:lineRule="auto"/>
        <w:ind w:left="720"/>
        <w:jc w:val="both"/>
        <w:rPr>
          <w:rFonts w:ascii="Verdana" w:hAnsi="Verdana" w:eastAsia="Calibri" w:cs="Arial"/>
          <w:kern w:val="2"/>
          <w:lang w:val="es-ES" w:eastAsia="es-ES"/>
          <w14:ligatures w14:val="standardContextual"/>
        </w:rPr>
      </w:pPr>
    </w:p>
    <w:p w:rsidRPr="00A75D14" w:rsidR="00A75D14" w:rsidP="00A75D14" w:rsidRDefault="00A75D14" w14:paraId="5E0A8A73" w14:textId="77777777">
      <w:pPr>
        <w:numPr>
          <w:ilvl w:val="0"/>
          <w:numId w:val="18"/>
        </w:numPr>
        <w:tabs>
          <w:tab w:val="left" w:pos="0"/>
        </w:tabs>
        <w:snapToGrid w:val="0"/>
        <w:spacing w:after="0" w:line="276" w:lineRule="auto"/>
        <w:jc w:val="both"/>
        <w:rPr>
          <w:rFonts w:ascii="Verdana" w:hAnsi="Verdana" w:eastAsia="Arial" w:cs="Arial"/>
          <w:kern w:val="2"/>
          <w:lang w:val="es-ES_tradnl" w:eastAsia="es-ES_tradnl"/>
          <w14:ligatures w14:val="standardContextual"/>
        </w:rPr>
      </w:pPr>
      <w:r w:rsidRPr="00A75D14">
        <w:rPr>
          <w:rFonts w:ascii="Verdana" w:hAnsi="Verdana" w:eastAsia="Calibri" w:cs="Arial"/>
          <w:bCs/>
          <w:kern w:val="2"/>
          <w:lang w:val="es-ES_tradnl" w:eastAsia="es-ES_tradnl"/>
          <w14:ligatures w14:val="standardContextual"/>
        </w:rPr>
        <w:t xml:space="preserve">Ahora, es importante tener en cuenta que cuando la norma se refiere a la contratación del </w:t>
      </w:r>
      <w:r w:rsidRPr="00A75D14">
        <w:rPr>
          <w:rFonts w:ascii="Verdana" w:hAnsi="Verdana" w:eastAsia="Calibri" w:cs="Arial"/>
          <w:bCs/>
          <w:i/>
          <w:iCs/>
          <w:kern w:val="2"/>
          <w:lang w:val="es-ES_tradnl" w:eastAsia="es-ES_tradnl"/>
          <w14:ligatures w14:val="standardContextual"/>
        </w:rPr>
        <w:t>giro ordinario</w:t>
      </w:r>
      <w:r w:rsidRPr="00A75D14">
        <w:rPr>
          <w:rFonts w:ascii="Verdana" w:hAnsi="Verdana" w:eastAsia="Calibri" w:cs="Arial"/>
          <w:bCs/>
          <w:kern w:val="2"/>
          <w:lang w:val="es-ES_tradnl" w:eastAsia="es-ES_tradnl"/>
          <w14:ligatures w14:val="standardContextual"/>
        </w:rPr>
        <w:t>, emplea un concepto jurídico indeterminado</w:t>
      </w:r>
      <w:r w:rsidRPr="00A75D14">
        <w:rPr>
          <w:rFonts w:ascii="Verdana" w:hAnsi="Verdana" w:eastAsia="Aptos" w:cs="Times New Roman"/>
          <w:kern w:val="2"/>
          <w:vertAlign w:val="superscript"/>
          <w:lang w:val="es-ES_tradnl" w:eastAsia="es-ES_tradnl"/>
          <w14:ligatures w14:val="standardContextual"/>
        </w:rPr>
        <w:footnoteReference w:id="3"/>
      </w:r>
      <w:r w:rsidRPr="00A75D14">
        <w:rPr>
          <w:rFonts w:ascii="Verdana" w:hAnsi="Verdana" w:eastAsia="Calibri" w:cs="Arial"/>
          <w:bCs/>
          <w:kern w:val="2"/>
          <w:lang w:val="es-ES_tradnl" w:eastAsia="es-ES_tradnl"/>
          <w14:ligatures w14:val="standardContextual"/>
        </w:rPr>
        <w:t xml:space="preserve">. </w:t>
      </w:r>
      <w:r w:rsidRPr="00A75D14">
        <w:rPr>
          <w:rFonts w:ascii="Verdana" w:hAnsi="Verdana" w:eastAsia="Arial" w:cs="Arial"/>
          <w:kern w:val="2"/>
          <w:lang w:val="es-ES_tradnl" w:eastAsia="es-ES_tradnl"/>
          <w14:ligatures w14:val="standardContextual"/>
        </w:rPr>
        <w:t xml:space="preserve">Un concepto adquiere esta denominación en el Derecho cuando se trata de un enunciado que goza de vaguedad y que debe materializarse en cada caso, atendiendo a las técnicas de la interpretación </w:t>
      </w:r>
      <w:r w:rsidRPr="00A75D14">
        <w:rPr>
          <w:rFonts w:ascii="Verdana" w:hAnsi="Verdana" w:eastAsia="Arial" w:cs="Arial"/>
          <w:kern w:val="2"/>
          <w:lang w:val="es-ES_tradnl" w:eastAsia="es-ES_tradnl"/>
          <w14:ligatures w14:val="standardContextual"/>
        </w:rPr>
        <w:lastRenderedPageBreak/>
        <w:t xml:space="preserve">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 </w:t>
      </w:r>
    </w:p>
    <w:p w:rsidRPr="00A75D14" w:rsidR="00A75D14" w:rsidP="00A75D14" w:rsidRDefault="00A75D14" w14:paraId="556E44A7" w14:textId="77777777">
      <w:pPr>
        <w:tabs>
          <w:tab w:val="left" w:pos="0"/>
        </w:tabs>
        <w:snapToGrid w:val="0"/>
        <w:spacing w:after="0" w:line="276" w:lineRule="auto"/>
        <w:jc w:val="both"/>
        <w:rPr>
          <w:rFonts w:ascii="Verdana" w:hAnsi="Verdana" w:eastAsia="Arial" w:cs="Arial"/>
          <w:kern w:val="2"/>
          <w:lang w:val="es-ES_tradnl" w:eastAsia="es-ES_tradnl"/>
          <w14:ligatures w14:val="standardContextual"/>
        </w:rPr>
      </w:pPr>
    </w:p>
    <w:p w:rsidRPr="00A75D14" w:rsidR="00A75D14" w:rsidP="00A75D14" w:rsidRDefault="00A75D14" w14:paraId="024CA392" w14:textId="77777777">
      <w:pPr>
        <w:numPr>
          <w:ilvl w:val="0"/>
          <w:numId w:val="18"/>
        </w:numPr>
        <w:tabs>
          <w:tab w:val="left" w:pos="0"/>
        </w:tabs>
        <w:snapToGrid w:val="0"/>
        <w:spacing w:after="0" w:line="276" w:lineRule="auto"/>
        <w:jc w:val="both"/>
        <w:rPr>
          <w:rFonts w:ascii="Verdana" w:hAnsi="Verdana" w:eastAsia="Calibri" w:cs="Arial"/>
          <w:bCs/>
          <w:kern w:val="2"/>
          <w:lang w:val="es-ES_tradnl" w:eastAsia="es-ES_tradnl"/>
          <w14:ligatures w14:val="standardContextual"/>
        </w:rPr>
      </w:pPr>
      <w:r w:rsidRPr="00A75D14">
        <w:rPr>
          <w:rFonts w:ascii="Verdana" w:hAnsi="Verdana" w:eastAsia="Calibri" w:cs="Arial"/>
          <w:bCs/>
          <w:kern w:val="2"/>
          <w:lang w:val="es-ES_tradnl" w:eastAsia="es-ES_tradnl"/>
          <w14:ligatures w14:val="standardContextua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A75D14">
        <w:rPr>
          <w:rFonts w:ascii="Verdana" w:hAnsi="Verdana" w:eastAsia="Calibri" w:cs="Arial"/>
          <w:bCs/>
          <w:i/>
          <w:iCs/>
          <w:kern w:val="2"/>
          <w:lang w:val="es-ES_tradnl" w:eastAsia="es-ES_tradnl"/>
          <w14:ligatures w14:val="standardContextual"/>
        </w:rPr>
        <w:t xml:space="preserve">giro ordinario </w:t>
      </w:r>
      <w:r w:rsidRPr="00A75D14">
        <w:rPr>
          <w:rFonts w:ascii="Verdana" w:hAnsi="Verdana" w:eastAsia="Calibri" w:cs="Arial"/>
          <w:bCs/>
          <w:kern w:val="2"/>
          <w:lang w:val="es-ES_tradnl" w:eastAsia="es-ES_tradnl"/>
          <w14:ligatures w14:val="standardContextual"/>
        </w:rPr>
        <w:t>incluida en la redacción original del parágrafo 1 del artículo 32 de la Ley 80 de 1993</w:t>
      </w:r>
      <w:r w:rsidRPr="00A75D14">
        <w:rPr>
          <w:rFonts w:ascii="Verdana" w:hAnsi="Verdana" w:eastAsia="Aptos" w:cs="Times New Roman"/>
          <w:kern w:val="2"/>
          <w:vertAlign w:val="superscript"/>
          <w:lang w:val="es-ES_tradnl" w:eastAsia="es-ES_tradnl"/>
          <w14:ligatures w14:val="standardContextual"/>
        </w:rPr>
        <w:footnoteReference w:id="4"/>
      </w:r>
      <w:r w:rsidRPr="00A75D14">
        <w:rPr>
          <w:rFonts w:ascii="Verdana" w:hAnsi="Verdana" w:eastAsia="Calibri" w:cs="Arial"/>
          <w:bCs/>
          <w:kern w:val="2"/>
          <w:lang w:val="es-ES_tradnl" w:eastAsia="es-ES_tradnl"/>
          <w14:ligatures w14:val="standardContextual"/>
        </w:rPr>
        <w:t xml:space="preserve">, la Sección Tercera manifestó lo siguiente: </w:t>
      </w:r>
    </w:p>
    <w:p w:rsidRPr="00A75D14" w:rsidR="00A75D14" w:rsidP="00A75D14" w:rsidRDefault="00A75D14" w14:paraId="512BD6E7" w14:textId="77777777">
      <w:pPr>
        <w:tabs>
          <w:tab w:val="left" w:pos="0"/>
        </w:tabs>
        <w:snapToGrid w:val="0"/>
        <w:spacing w:after="0" w:line="276" w:lineRule="auto"/>
        <w:ind w:left="720"/>
        <w:jc w:val="both"/>
        <w:rPr>
          <w:rFonts w:ascii="Verdana" w:hAnsi="Verdana" w:eastAsia="Calibri" w:cs="Arial"/>
          <w:bCs/>
          <w:kern w:val="2"/>
          <w:lang w:val="es-ES_tradnl" w:eastAsia="es-ES_tradnl"/>
          <w14:ligatures w14:val="standardContextual"/>
        </w:rPr>
      </w:pPr>
    </w:p>
    <w:p w:rsidRPr="00A75D14" w:rsidR="00A75D14" w:rsidP="7790C891" w:rsidRDefault="00A75D14" w14:paraId="19E044F9" w14:textId="77777777" w14:noSpellErr="1">
      <w:pPr>
        <w:snapToGrid w:val="0"/>
        <w:spacing w:after="0" w:line="240" w:lineRule="auto"/>
        <w:ind w:left="720" w:right="709"/>
        <w:jc w:val="both"/>
        <w:rPr>
          <w:rFonts w:ascii="Verdana" w:hAnsi="Verdana" w:eastAsia="Times New Roman" w:cs="Arial"/>
          <w:kern w:val="2"/>
          <w:sz w:val="21"/>
          <w:szCs w:val="21"/>
          <w:lang w:val="es-ES" w:eastAsia="es-CO"/>
          <w14:ligatures w14:val="standardContextual"/>
        </w:rPr>
      </w:pPr>
      <w:r w:rsidRPr="7790C891" w:rsidR="00A75D14">
        <w:rPr>
          <w:rFonts w:ascii="Verdana" w:hAnsi="Verdana" w:eastAsia="Times New Roman" w:cs="Arial"/>
          <w:kern w:val="2"/>
          <w:sz w:val="21"/>
          <w:szCs w:val="21"/>
          <w:lang w:val="es-ES" w:eastAsia="es-ES"/>
          <w14:ligatures w14:val="standardContextua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w:t>
      </w:r>
      <w:r w:rsidRPr="7790C891" w:rsidR="00A75D14">
        <w:rPr>
          <w:rFonts w:ascii="Verdana" w:hAnsi="Verdana" w:eastAsia="Times New Roman" w:cs="Arial"/>
          <w:kern w:val="2"/>
          <w:sz w:val="21"/>
          <w:szCs w:val="21"/>
          <w:lang w:val="es-ES" w:eastAsia="es-ES"/>
          <w14:ligatures w14:val="standardContextual"/>
        </w:rPr>
        <w:t>Siendo</w:t>
      </w:r>
      <w:r w:rsidRPr="7790C891" w:rsidR="00A75D14">
        <w:rPr>
          <w:rFonts w:ascii="Verdana" w:hAnsi="Verdana" w:eastAsia="Times New Roman" w:cs="Arial"/>
          <w:kern w:val="2"/>
          <w:sz w:val="21"/>
          <w:szCs w:val="21"/>
          <w:lang w:val="es-ES" w:eastAsia="es-ES"/>
          <w14:ligatures w14:val="standardContextual"/>
        </w:rPr>
        <w:t xml:space="preserve">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7790C891">
        <w:rPr>
          <w:rFonts w:ascii="Verdana" w:hAnsi="Verdana" w:eastAsia="Aptos" w:cs="Times New Roman"/>
          <w:kern w:val="2"/>
          <w:sz w:val="21"/>
          <w:szCs w:val="21"/>
          <w:vertAlign w:val="superscript"/>
          <w:lang w:val="es-ES" w:eastAsia="es-ES"/>
          <w14:ligatures w14:val="standardContextual"/>
        </w:rPr>
        <w:footnoteReference w:id="5"/>
      </w:r>
      <w:r w:rsidRPr="7790C891" w:rsidR="00A75D14">
        <w:rPr>
          <w:rFonts w:ascii="Verdana" w:hAnsi="Verdana" w:eastAsia="Times New Roman" w:cs="Arial"/>
          <w:kern w:val="2"/>
          <w:sz w:val="21"/>
          <w:szCs w:val="21"/>
          <w:lang w:val="es-ES" w:eastAsia="es-ES"/>
          <w14:ligatures w14:val="standardContextual"/>
        </w:rPr>
        <w:t>.</w:t>
      </w:r>
    </w:p>
    <w:p w:rsidRPr="00A75D14" w:rsidR="00A75D14" w:rsidP="00A75D14" w:rsidRDefault="00A75D14" w14:paraId="4BC2C1E6" w14:textId="77777777">
      <w:pPr>
        <w:tabs>
          <w:tab w:val="left" w:pos="0"/>
        </w:tabs>
        <w:snapToGrid w:val="0"/>
        <w:spacing w:after="0" w:line="276" w:lineRule="auto"/>
        <w:ind w:left="720"/>
        <w:jc w:val="both"/>
        <w:rPr>
          <w:rFonts w:ascii="Verdana" w:hAnsi="Verdana" w:eastAsia="Calibri" w:cs="Arial"/>
          <w:bCs/>
          <w:i/>
          <w:iCs/>
          <w:kern w:val="2"/>
          <w:lang w:val="es-ES_tradnl" w:eastAsia="es-ES_tradnl"/>
          <w14:ligatures w14:val="standardContextual"/>
        </w:rPr>
      </w:pPr>
    </w:p>
    <w:p w:rsidRPr="00A75D14" w:rsidR="00A75D14" w:rsidP="00A75D14" w:rsidRDefault="00A75D14" w14:paraId="09956C4D" w14:textId="77777777">
      <w:pPr>
        <w:numPr>
          <w:ilvl w:val="0"/>
          <w:numId w:val="18"/>
        </w:numPr>
        <w:tabs>
          <w:tab w:val="left" w:pos="0"/>
        </w:tabs>
        <w:snapToGrid w:val="0"/>
        <w:spacing w:after="0" w:line="276" w:lineRule="auto"/>
        <w:jc w:val="both"/>
        <w:rPr>
          <w:rFonts w:ascii="Verdana" w:hAnsi="Verdana" w:eastAsia="Calibri" w:cs="Arial"/>
          <w:bCs/>
          <w:kern w:val="2"/>
          <w:lang w:val="es-ES_tradnl" w:eastAsia="es-ES_tradnl"/>
          <w14:ligatures w14:val="standardContextual"/>
        </w:rPr>
      </w:pPr>
      <w:r w:rsidRPr="00A75D14">
        <w:rPr>
          <w:rFonts w:ascii="Verdana" w:hAnsi="Verdana" w:eastAsia="Calibri" w:cs="Arial"/>
          <w:bCs/>
          <w:kern w:val="2"/>
          <w:lang w:val="es-ES_tradnl" w:eastAsia="es-ES_tradnl"/>
          <w14:ligatures w14:val="standardContextual"/>
        </w:rPr>
        <w:t xml:space="preserve">En el mismo sentido se pronunció el Alto Tribunal de lo Contencioso Administrativo, reiterando las anteriores consideraciones, al expresar que: </w:t>
      </w:r>
    </w:p>
    <w:p w:rsidRPr="00A75D14" w:rsidR="00A75D14" w:rsidP="00A75D14" w:rsidRDefault="00A75D14" w14:paraId="44686DFC" w14:textId="77777777">
      <w:pPr>
        <w:tabs>
          <w:tab w:val="left" w:pos="0"/>
        </w:tabs>
        <w:snapToGrid w:val="0"/>
        <w:spacing w:after="0" w:line="276" w:lineRule="auto"/>
        <w:ind w:left="720" w:right="709"/>
        <w:jc w:val="both"/>
        <w:rPr>
          <w:rFonts w:ascii="Verdana" w:hAnsi="Verdana" w:eastAsia="Calibri" w:cs="Arial"/>
          <w:bCs/>
          <w:kern w:val="2"/>
          <w:lang w:val="es-ES_tradnl" w:eastAsia="es-ES_tradnl"/>
          <w14:ligatures w14:val="standardContextual"/>
        </w:rPr>
      </w:pPr>
    </w:p>
    <w:p w:rsidRPr="00A75D14" w:rsidR="00A75D14" w:rsidP="00A75D14" w:rsidRDefault="00A75D14" w14:paraId="7550363C" w14:textId="77777777">
      <w:pPr>
        <w:snapToGrid w:val="0"/>
        <w:spacing w:after="0" w:line="240" w:lineRule="auto"/>
        <w:ind w:left="720" w:right="709"/>
        <w:jc w:val="both"/>
        <w:rPr>
          <w:rFonts w:ascii="Verdana" w:hAnsi="Verdana" w:eastAsia="Calibri" w:cs="Arial"/>
          <w:kern w:val="2"/>
          <w:sz w:val="21"/>
          <w:szCs w:val="21"/>
          <w:lang w:val="es-ES" w:eastAsia="es-ES"/>
          <w14:ligatures w14:val="standardContextual"/>
        </w:rPr>
      </w:pPr>
      <w:r w:rsidRPr="00A75D14">
        <w:rPr>
          <w:rFonts w:ascii="Verdana" w:hAnsi="Verdana" w:eastAsia="Calibri" w:cs="Arial"/>
          <w:kern w:val="2"/>
          <w:sz w:val="21"/>
          <w:szCs w:val="21"/>
          <w:lang w:val="es-ES" w:eastAsia="es-ES"/>
          <w14:ligatures w14:val="standardContextua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rsidRPr="00A75D14" w:rsidR="00A75D14" w:rsidP="00A75D14" w:rsidRDefault="00A75D14" w14:paraId="213D85E6" w14:textId="77777777">
      <w:pPr>
        <w:tabs>
          <w:tab w:val="left" w:pos="0"/>
        </w:tabs>
        <w:snapToGrid w:val="0"/>
        <w:spacing w:after="0" w:line="240" w:lineRule="auto"/>
        <w:ind w:left="720" w:right="709"/>
        <w:jc w:val="both"/>
        <w:rPr>
          <w:rFonts w:ascii="Verdana" w:hAnsi="Verdana" w:eastAsia="Calibri" w:cs="Arial"/>
          <w:bCs/>
          <w:kern w:val="2"/>
          <w:sz w:val="21"/>
          <w:szCs w:val="21"/>
          <w:lang w:val="es-ES_tradnl" w:eastAsia="es-ES_tradnl"/>
          <w14:ligatures w14:val="standardContextual"/>
        </w:rPr>
      </w:pPr>
    </w:p>
    <w:p w:rsidRPr="00A75D14" w:rsidR="00A75D14" w:rsidP="00A75D14" w:rsidRDefault="00A75D14" w14:paraId="504683D3" w14:textId="77777777">
      <w:pPr>
        <w:snapToGrid w:val="0"/>
        <w:spacing w:after="0" w:line="240" w:lineRule="auto"/>
        <w:ind w:left="720" w:right="709"/>
        <w:jc w:val="both"/>
        <w:rPr>
          <w:rFonts w:ascii="Verdana" w:hAnsi="Verdana" w:eastAsia="Calibri" w:cs="Arial"/>
          <w:kern w:val="2"/>
          <w:sz w:val="21"/>
          <w:szCs w:val="21"/>
          <w:lang w:val="es-ES" w:eastAsia="es-ES"/>
          <w14:ligatures w14:val="standardContextual"/>
        </w:rPr>
      </w:pPr>
      <w:r w:rsidRPr="00A75D14">
        <w:rPr>
          <w:rFonts w:ascii="Verdana" w:hAnsi="Verdana" w:eastAsia="Calibri" w:cs="Arial"/>
          <w:kern w:val="2"/>
          <w:sz w:val="21"/>
          <w:szCs w:val="21"/>
          <w:lang w:val="es-ES" w:eastAsia="es-ES"/>
          <w14:ligatures w14:val="standardContextua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A75D14">
        <w:rPr>
          <w:rFonts w:ascii="Verdana" w:hAnsi="Verdana" w:eastAsia="Calibri" w:cs="Arial"/>
          <w:kern w:val="2"/>
          <w:sz w:val="21"/>
          <w:szCs w:val="21"/>
          <w:lang w:val="es-ES" w:eastAsia="es-ES"/>
          <w14:ligatures w14:val="standardContextual"/>
        </w:rPr>
        <w:t>Fonade</w:t>
      </w:r>
      <w:proofErr w:type="spellEnd"/>
      <w:r w:rsidRPr="00A75D14">
        <w:rPr>
          <w:rFonts w:ascii="Verdana" w:hAnsi="Verdana" w:eastAsia="Calibri" w:cs="Arial"/>
          <w:kern w:val="2"/>
          <w:sz w:val="21"/>
          <w:szCs w:val="21"/>
          <w:lang w:val="es-ES" w:eastAsia="es-ES"/>
          <w14:ligatures w14:val="standardContextua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rsidRPr="00A75D14" w:rsidR="00A75D14" w:rsidP="00A75D14" w:rsidRDefault="00A75D14" w14:paraId="3C3C0321" w14:textId="77777777">
      <w:pPr>
        <w:tabs>
          <w:tab w:val="left" w:pos="0"/>
        </w:tabs>
        <w:snapToGrid w:val="0"/>
        <w:spacing w:after="0" w:line="240" w:lineRule="auto"/>
        <w:ind w:left="720" w:right="709"/>
        <w:jc w:val="both"/>
        <w:rPr>
          <w:rFonts w:ascii="Verdana" w:hAnsi="Verdana" w:eastAsia="Calibri" w:cs="Arial"/>
          <w:bCs/>
          <w:kern w:val="2"/>
          <w:sz w:val="21"/>
          <w:szCs w:val="21"/>
          <w:lang w:val="es-ES_tradnl" w:eastAsia="es-ES_tradnl"/>
          <w14:ligatures w14:val="standardContextual"/>
        </w:rPr>
      </w:pPr>
    </w:p>
    <w:p w:rsidRPr="00A75D14" w:rsidR="00A75D14" w:rsidP="00A75D14" w:rsidRDefault="00A75D14" w14:paraId="6550DBC8" w14:textId="77777777">
      <w:pPr>
        <w:tabs>
          <w:tab w:val="left" w:pos="0"/>
        </w:tabs>
        <w:snapToGrid w:val="0"/>
        <w:spacing w:after="0" w:line="240" w:lineRule="auto"/>
        <w:ind w:left="720" w:right="709"/>
        <w:jc w:val="both"/>
        <w:rPr>
          <w:rFonts w:ascii="Verdana" w:hAnsi="Verdana" w:eastAsia="Calibri" w:cs="Arial"/>
          <w:bCs/>
          <w:kern w:val="2"/>
          <w:sz w:val="21"/>
          <w:szCs w:val="21"/>
          <w:lang w:val="es-ES_tradnl" w:eastAsia="es-ES_tradnl"/>
          <w14:ligatures w14:val="standardContextual"/>
        </w:rPr>
      </w:pPr>
      <w:r w:rsidRPr="00A75D14">
        <w:rPr>
          <w:rFonts w:ascii="Verdana" w:hAnsi="Verdana" w:eastAsia="Calibri" w:cs="Arial"/>
          <w:bCs/>
          <w:kern w:val="2"/>
          <w:sz w:val="21"/>
          <w:szCs w:val="21"/>
          <w:lang w:val="es-ES_tradnl" w:eastAsia="es-ES_tradnl"/>
          <w14:ligatures w14:val="standardContextua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A75D14">
        <w:rPr>
          <w:rFonts w:ascii="Verdana" w:hAnsi="Verdana" w:eastAsia="Aptos" w:cs="Times New Roman"/>
          <w:kern w:val="2"/>
          <w:sz w:val="21"/>
          <w:szCs w:val="21"/>
          <w:vertAlign w:val="superscript"/>
          <w:lang w:val="es-ES_tradnl" w:eastAsia="es-ES_tradnl"/>
          <w14:ligatures w14:val="standardContextual"/>
        </w:rPr>
        <w:footnoteReference w:id="6"/>
      </w:r>
      <w:r w:rsidRPr="00A75D14">
        <w:rPr>
          <w:rFonts w:ascii="Verdana" w:hAnsi="Verdana" w:eastAsia="Calibri" w:cs="Arial"/>
          <w:bCs/>
          <w:kern w:val="2"/>
          <w:sz w:val="21"/>
          <w:szCs w:val="21"/>
          <w:lang w:val="es-ES_tradnl" w:eastAsia="es-ES_tradnl"/>
          <w14:ligatures w14:val="standardContextual"/>
        </w:rPr>
        <w:t xml:space="preserve">. </w:t>
      </w:r>
    </w:p>
    <w:p w:rsidRPr="00A75D14" w:rsidR="00A75D14" w:rsidP="00A75D14" w:rsidRDefault="00A75D14" w14:paraId="6A0C7CD8" w14:textId="77777777">
      <w:pPr>
        <w:tabs>
          <w:tab w:val="left" w:pos="0"/>
        </w:tabs>
        <w:snapToGrid w:val="0"/>
        <w:spacing w:after="0" w:line="276" w:lineRule="auto"/>
        <w:ind w:left="720"/>
        <w:jc w:val="both"/>
        <w:rPr>
          <w:rFonts w:ascii="Verdana" w:hAnsi="Verdana" w:eastAsia="Calibri" w:cs="Arial"/>
          <w:bCs/>
          <w:kern w:val="2"/>
          <w:lang w:val="es-ES_tradnl" w:eastAsia="es-ES_tradnl"/>
          <w14:ligatures w14:val="standardContextual"/>
        </w:rPr>
      </w:pPr>
      <w:r w:rsidRPr="00A75D14">
        <w:rPr>
          <w:rFonts w:ascii="Verdana" w:hAnsi="Verdana" w:eastAsia="Calibri" w:cs="Arial"/>
          <w:bCs/>
          <w:kern w:val="2"/>
          <w:lang w:val="es-ES_tradnl" w:eastAsia="es-ES_tradnl"/>
          <w14:ligatures w14:val="standardContextual"/>
        </w:rPr>
        <w:tab/>
      </w:r>
    </w:p>
    <w:p w:rsidRPr="00A75D14" w:rsidR="00A75D14" w:rsidP="7790C891" w:rsidRDefault="00A75D14" w14:paraId="7C1E479A" w14:textId="77777777" w14:noSpellErr="1">
      <w:pPr>
        <w:numPr>
          <w:ilvl w:val="0"/>
          <w:numId w:val="18"/>
        </w:numPr>
        <w:snapToGrid w:val="0"/>
        <w:spacing w:after="0" w:line="276" w:lineRule="auto"/>
        <w:jc w:val="both"/>
        <w:rPr>
          <w:rFonts w:ascii="Verdana" w:hAnsi="Verdana" w:eastAsia="Calibri" w:cs="Arial"/>
          <w:kern w:val="2"/>
          <w:lang w:val="es-ES" w:eastAsia="es-ES"/>
          <w14:ligatures w14:val="standardContextual"/>
        </w:rPr>
      </w:pPr>
      <w:r w:rsidRPr="7790C891" w:rsidR="00A75D14">
        <w:rPr>
          <w:rFonts w:ascii="Verdana" w:hAnsi="Verdana" w:eastAsia="Calibri" w:cs="Arial"/>
          <w:kern w:val="2"/>
          <w:lang w:val="es-ES" w:eastAsia="es-ES"/>
          <w14:ligatures w14:val="standardContextual"/>
        </w:rPr>
        <w:t xml:space="preserve">Conforme con lo expresado en estas providencias, el </w:t>
      </w:r>
      <w:r w:rsidRPr="7790C891" w:rsidR="00A75D14">
        <w:rPr>
          <w:rFonts w:ascii="Verdana" w:hAnsi="Verdana" w:eastAsia="Calibri" w:cs="Arial"/>
          <w:i w:val="1"/>
          <w:iCs w:val="1"/>
          <w:kern w:val="2"/>
          <w:lang w:val="es-ES" w:eastAsia="es-ES"/>
          <w14:ligatures w14:val="standardContextual"/>
        </w:rPr>
        <w:t xml:space="preserve">giro ordinario </w:t>
      </w:r>
      <w:r w:rsidRPr="7790C891" w:rsidR="00A75D14">
        <w:rPr>
          <w:rFonts w:ascii="Verdana" w:hAnsi="Verdana" w:eastAsia="Calibri" w:cs="Arial"/>
          <w:kern w:val="2"/>
          <w:lang w:val="es-ES" w:eastAsia="es-ES"/>
          <w14:ligatures w14:val="standardContextual"/>
        </w:rPr>
        <w:t xml:space="preserve">involucra los asuntos que integran el desarrollo del objeto social de una sociedad comercial, una empresa o entidad pública, lo cual comprende tanto unas actividades directamente relacionadas con dicho objeto social, </w:t>
      </w:r>
      <w:r w:rsidRPr="7790C891" w:rsidR="00A75D14">
        <w:rPr>
          <w:rFonts w:ascii="Verdana" w:hAnsi="Verdana" w:eastAsia="Calibri" w:cs="Arial"/>
          <w:kern w:val="2"/>
          <w:lang w:val="es-ES" w:eastAsia="es-ES"/>
          <w14:ligatures w14:val="standardContextual"/>
        </w:rPr>
        <w:t>así como otros actos conexos al mismo.</w:t>
      </w:r>
      <w:r w:rsidRPr="7790C891" w:rsidR="00A75D14">
        <w:rPr>
          <w:rFonts w:ascii="Verdana" w:hAnsi="Verdana" w:eastAsia="Calibri" w:cs="Arial"/>
          <w:kern w:val="2"/>
          <w:lang w:val="es-ES" w:eastAsia="es-ES"/>
          <w14:ligatures w14:val="standardContextual"/>
        </w:rPr>
        <w:lastRenderedPageBreak/>
        <w:t xml:space="preserve"> Esta interpretación, en principio, es coherente con la regulación de la capacidad de las sociedades comerciales establecida en el Código de Comercio, cuyo artículo 99 dispone que “[</w:t>
      </w:r>
      <w:r w:rsidRPr="7790C891" w:rsidR="00A75D14">
        <w:rPr>
          <w:rFonts w:ascii="Verdana" w:hAnsi="Verdana" w:eastAsia="Times New Roman" w:cs="Arial"/>
          <w:kern w:val="2"/>
          <w:lang w:val="es-ES" w:eastAsia="es-ES"/>
          <w14:ligatures w14:val="standardContextual"/>
        </w:rPr>
        <w:t>s]e</w:t>
      </w:r>
      <w:r w:rsidRPr="7790C891" w:rsidR="00A75D14">
        <w:rPr>
          <w:rFonts w:ascii="Verdana" w:hAnsi="Verdana" w:eastAsia="Calibri" w:cs="Arial"/>
          <w:kern w:val="2"/>
          <w:lang w:val="es-ES" w:eastAsia="es-ES"/>
          <w14:ligatures w14:val="standardContextua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7790C891">
        <w:rPr>
          <w:rFonts w:ascii="Verdana" w:hAnsi="Verdana" w:eastAsia="Aptos" w:cs="Times New Roman"/>
          <w:kern w:val="2"/>
          <w:vertAlign w:val="superscript"/>
          <w:lang w:val="es-ES" w:eastAsia="es-ES"/>
          <w14:ligatures w14:val="standardContextual"/>
        </w:rPr>
        <w:footnoteReference w:id="7"/>
      </w:r>
      <w:r w:rsidRPr="7790C891" w:rsidR="00A75D14">
        <w:rPr>
          <w:rFonts w:ascii="Verdana" w:hAnsi="Verdana" w:eastAsia="Calibri" w:cs="Arial"/>
          <w:kern w:val="2"/>
          <w:lang w:val="es-ES" w:eastAsia="es-ES"/>
          <w14:ligatures w14:val="standardContextual"/>
        </w:rPr>
        <w:t xml:space="preserve">. </w:t>
      </w:r>
    </w:p>
    <w:p w:rsidRPr="00A75D14" w:rsidR="00A75D14" w:rsidP="00A75D14" w:rsidRDefault="00A75D14" w14:paraId="30ADD6AF" w14:textId="77777777">
      <w:pPr>
        <w:tabs>
          <w:tab w:val="left" w:pos="0"/>
        </w:tabs>
        <w:snapToGrid w:val="0"/>
        <w:spacing w:after="0" w:line="276" w:lineRule="auto"/>
        <w:ind w:left="720"/>
        <w:jc w:val="both"/>
        <w:rPr>
          <w:rFonts w:ascii="Verdana" w:hAnsi="Verdana" w:eastAsia="Calibri" w:cs="Arial"/>
          <w:bCs/>
          <w:kern w:val="2"/>
          <w:lang w:val="es-ES_tradnl" w:eastAsia="es-ES_tradnl"/>
          <w14:ligatures w14:val="standardContextual"/>
        </w:rPr>
      </w:pPr>
    </w:p>
    <w:p w:rsidRPr="00A75D14" w:rsidR="00A75D14" w:rsidP="00A75D14" w:rsidRDefault="00A75D14" w14:paraId="1811B53E" w14:textId="77777777">
      <w:pPr>
        <w:numPr>
          <w:ilvl w:val="0"/>
          <w:numId w:val="18"/>
        </w:numPr>
        <w:tabs>
          <w:tab w:val="left" w:pos="0"/>
        </w:tabs>
        <w:snapToGrid w:val="0"/>
        <w:spacing w:after="0" w:line="276" w:lineRule="auto"/>
        <w:jc w:val="both"/>
        <w:rPr>
          <w:rFonts w:ascii="Verdana" w:hAnsi="Verdana" w:eastAsia="Calibri" w:cs="Arial"/>
          <w:bCs/>
          <w:kern w:val="2"/>
          <w:lang w:val="es-ES_tradnl" w:eastAsia="es-ES_tradnl"/>
          <w14:ligatures w14:val="standardContextual"/>
        </w:rPr>
      </w:pPr>
      <w:r w:rsidRPr="00A75D14">
        <w:rPr>
          <w:rFonts w:ascii="Verdana" w:hAnsi="Verdana" w:eastAsia="Calibri" w:cs="Arial"/>
          <w:bCs/>
          <w:kern w:val="2"/>
          <w:lang w:val="es-ES_tradnl" w:eastAsia="es-ES_tradnl"/>
          <w14:ligatures w14:val="standardContextual"/>
        </w:rPr>
        <w:t xml:space="preserve">De otra parte, la doctrina societaria también se ha encargado de definir el </w:t>
      </w:r>
      <w:r w:rsidRPr="00A75D14">
        <w:rPr>
          <w:rFonts w:ascii="Verdana" w:hAnsi="Verdana" w:eastAsia="Calibri" w:cs="Arial"/>
          <w:bCs/>
          <w:i/>
          <w:iCs/>
          <w:kern w:val="2"/>
          <w:lang w:val="es-ES_tradnl" w:eastAsia="es-ES_tradnl"/>
          <w14:ligatures w14:val="standardContextual"/>
        </w:rPr>
        <w:t>objeto social</w:t>
      </w:r>
      <w:r w:rsidRPr="00A75D14">
        <w:rPr>
          <w:rFonts w:ascii="Verdana" w:hAnsi="Verdana" w:eastAsia="Calibri" w:cs="Arial"/>
          <w:bCs/>
          <w:kern w:val="2"/>
          <w:lang w:val="es-ES_tradnl" w:eastAsia="es-ES_tradnl"/>
          <w14:ligatures w14:val="standardContextual"/>
        </w:rPr>
        <w:t xml:space="preserve">, así como su relación con el concepto de </w:t>
      </w:r>
      <w:r w:rsidRPr="00A75D14">
        <w:rPr>
          <w:rFonts w:ascii="Verdana" w:hAnsi="Verdana" w:eastAsia="Calibri" w:cs="Arial"/>
          <w:bCs/>
          <w:i/>
          <w:iCs/>
          <w:kern w:val="2"/>
          <w:lang w:val="es-ES_tradnl" w:eastAsia="es-ES_tradnl"/>
          <w14:ligatures w14:val="standardContextual"/>
        </w:rPr>
        <w:t>giro ordinario</w:t>
      </w:r>
      <w:r w:rsidRPr="00A75D14">
        <w:rPr>
          <w:rFonts w:ascii="Verdana" w:hAnsi="Verdana" w:eastAsia="Calibri" w:cs="Arial"/>
          <w:bCs/>
          <w:kern w:val="2"/>
          <w:lang w:val="es-ES_tradnl" w:eastAsia="es-ES_tradnl"/>
          <w14:ligatures w14:val="standardContextual"/>
        </w:rPr>
        <w:t>. Al respecto, la Superintendencia de Sociedades, citando doctrina autorizada en la materia, ha señalado:</w:t>
      </w:r>
    </w:p>
    <w:p w:rsidRPr="00A75D14" w:rsidR="00A75D14" w:rsidP="00A75D14" w:rsidRDefault="00A75D14" w14:paraId="7A62D1CE" w14:textId="77777777">
      <w:pPr>
        <w:tabs>
          <w:tab w:val="left" w:pos="0"/>
        </w:tabs>
        <w:snapToGrid w:val="0"/>
        <w:spacing w:after="0" w:line="240" w:lineRule="auto"/>
        <w:ind w:left="720"/>
        <w:jc w:val="both"/>
        <w:rPr>
          <w:rFonts w:ascii="Verdana" w:hAnsi="Verdana" w:eastAsia="Calibri" w:cs="Arial"/>
          <w:bCs/>
          <w:kern w:val="2"/>
          <w:sz w:val="21"/>
          <w:szCs w:val="21"/>
          <w:lang w:val="es-ES_tradnl" w:eastAsia="es-ES_tradnl"/>
          <w14:ligatures w14:val="standardContextual"/>
        </w:rPr>
      </w:pPr>
    </w:p>
    <w:p w:rsidRPr="00A75D14" w:rsidR="00A75D14" w:rsidP="00A75D14" w:rsidRDefault="00A75D14" w14:paraId="3C17B436" w14:textId="77777777">
      <w:pPr>
        <w:snapToGrid w:val="0"/>
        <w:spacing w:after="0" w:line="240" w:lineRule="auto"/>
        <w:ind w:left="720" w:right="709"/>
        <w:jc w:val="both"/>
        <w:rPr>
          <w:rFonts w:ascii="Verdana" w:hAnsi="Verdana" w:eastAsia="Times New Roman" w:cs="Arial"/>
          <w:kern w:val="2"/>
          <w:sz w:val="21"/>
          <w:szCs w:val="21"/>
          <w:lang w:val="es-ES" w:eastAsia="es-ES"/>
          <w14:ligatures w14:val="standardContextual"/>
        </w:rPr>
      </w:pPr>
      <w:r w:rsidRPr="00A75D14">
        <w:rPr>
          <w:rFonts w:ascii="Verdana" w:hAnsi="Verdana" w:eastAsia="Times New Roman" w:cs="Arial"/>
          <w:kern w:val="2"/>
          <w:sz w:val="21"/>
          <w:szCs w:val="21"/>
          <w:lang w:val="es-ES" w:eastAsia="es-ES"/>
          <w14:ligatures w14:val="standardContextual"/>
        </w:rPr>
        <w:t xml:space="preserve">“Si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w:t>
      </w:r>
      <w:proofErr w:type="gramStart"/>
      <w:r w:rsidRPr="00A75D14">
        <w:rPr>
          <w:rFonts w:ascii="Verdana" w:hAnsi="Verdana" w:eastAsia="Times New Roman" w:cs="Arial"/>
          <w:kern w:val="2"/>
          <w:sz w:val="21"/>
          <w:szCs w:val="21"/>
          <w:lang w:val="es-ES" w:eastAsia="es-ES"/>
          <w14:ligatures w14:val="standardContextual"/>
        </w:rPr>
        <w:t>que</w:t>
      </w:r>
      <w:proofErr w:type="gramEnd"/>
      <w:r w:rsidRPr="00A75D14">
        <w:rPr>
          <w:rFonts w:ascii="Verdana" w:hAnsi="Verdana" w:eastAsia="Times New Roman" w:cs="Arial"/>
          <w:kern w:val="2"/>
          <w:sz w:val="21"/>
          <w:szCs w:val="21"/>
          <w:lang w:val="es-ES" w:eastAsia="es-ES"/>
          <w14:ligatures w14:val="standardContextual"/>
        </w:rPr>
        <w:t xml:space="preserve"> en forma habitual u ordinaria, ejecuta la sociedad.</w:t>
      </w:r>
    </w:p>
    <w:p w:rsidRPr="00A75D14" w:rsidR="00A75D14" w:rsidP="00A75D14" w:rsidRDefault="00A75D14" w14:paraId="74695681" w14:textId="77777777">
      <w:pPr>
        <w:tabs>
          <w:tab w:val="left" w:pos="0"/>
        </w:tabs>
        <w:snapToGrid w:val="0"/>
        <w:spacing w:after="0" w:line="240" w:lineRule="auto"/>
        <w:ind w:left="720" w:right="709"/>
        <w:jc w:val="both"/>
        <w:rPr>
          <w:rFonts w:ascii="Verdana" w:hAnsi="Verdana" w:eastAsia="Calibri" w:cs="Arial"/>
          <w:bCs/>
          <w:kern w:val="2"/>
          <w:sz w:val="21"/>
          <w:szCs w:val="21"/>
          <w:lang w:val="es-ES_tradnl" w:eastAsia="es-ES_tradnl"/>
          <w14:ligatures w14:val="standardContextual"/>
        </w:rPr>
      </w:pPr>
      <w:r w:rsidRPr="00A75D14">
        <w:rPr>
          <w:rFonts w:ascii="Verdana" w:hAnsi="Verdana" w:eastAsia="Times New Roman" w:cs="Arial"/>
          <w:kern w:val="2"/>
          <w:sz w:val="21"/>
          <w:szCs w:val="21"/>
          <w:lang w:val="es-ES_tradnl" w:eastAsia="es-ES_tradnl"/>
          <w14:ligatures w14:val="standardContextual"/>
        </w:rPr>
        <w:t xml:space="preserve">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w:t>
      </w:r>
      <w:r w:rsidRPr="00A75D14">
        <w:rPr>
          <w:rFonts w:ascii="Verdana" w:hAnsi="Verdana" w:eastAsia="Times New Roman" w:cs="Arial"/>
          <w:kern w:val="2"/>
          <w:sz w:val="21"/>
          <w:szCs w:val="21"/>
          <w:lang w:val="es-ES_tradnl" w:eastAsia="es-ES_tradnl"/>
          <w14:ligatures w14:val="standardContextual"/>
        </w:rPr>
        <w:lastRenderedPageBreak/>
        <w:t>ordinario una especie que se enmarca al interior del genérico objeto social”</w:t>
      </w:r>
      <w:r w:rsidRPr="00A75D14">
        <w:rPr>
          <w:rFonts w:ascii="Verdana" w:hAnsi="Verdana" w:eastAsia="Aptos" w:cs="Times New Roman"/>
          <w:kern w:val="2"/>
          <w:sz w:val="21"/>
          <w:szCs w:val="21"/>
          <w:vertAlign w:val="superscript"/>
          <w:lang w:val="es-ES_tradnl" w:eastAsia="es-ES_tradnl"/>
          <w14:ligatures w14:val="standardContextual"/>
        </w:rPr>
        <w:footnoteReference w:id="8"/>
      </w:r>
      <w:r w:rsidRPr="00A75D14">
        <w:rPr>
          <w:rFonts w:ascii="Verdana" w:hAnsi="Verdana" w:eastAsia="Times New Roman" w:cs="Arial"/>
          <w:kern w:val="2"/>
          <w:sz w:val="21"/>
          <w:szCs w:val="21"/>
          <w:lang w:val="es-ES_tradnl" w:eastAsia="es-ES_tradnl"/>
          <w14:ligatures w14:val="standardContextual"/>
        </w:rPr>
        <w:t>.</w:t>
      </w:r>
    </w:p>
    <w:p w:rsidRPr="00A75D14" w:rsidR="00A75D14" w:rsidP="00A75D14" w:rsidRDefault="00A75D14" w14:paraId="0828795E" w14:textId="77777777">
      <w:pPr>
        <w:tabs>
          <w:tab w:val="left" w:pos="0"/>
        </w:tabs>
        <w:snapToGrid w:val="0"/>
        <w:spacing w:after="0" w:line="276" w:lineRule="auto"/>
        <w:ind w:left="720"/>
        <w:jc w:val="both"/>
        <w:rPr>
          <w:rFonts w:ascii="Verdana" w:hAnsi="Verdana" w:eastAsia="Calibri" w:cs="Arial"/>
          <w:bCs/>
          <w:kern w:val="2"/>
          <w:lang w:val="es-ES_tradnl" w:eastAsia="es-ES_tradnl"/>
          <w14:ligatures w14:val="standardContextual"/>
        </w:rPr>
      </w:pPr>
    </w:p>
    <w:p w:rsidRPr="00A75D14" w:rsidR="00A75D14" w:rsidP="00A75D14" w:rsidRDefault="00A75D14" w14:paraId="13C4D136" w14:textId="77777777">
      <w:pPr>
        <w:numPr>
          <w:ilvl w:val="0"/>
          <w:numId w:val="18"/>
        </w:numPr>
        <w:snapToGrid w:val="0"/>
        <w:spacing w:after="0" w:line="276" w:lineRule="auto"/>
        <w:jc w:val="both"/>
        <w:rPr>
          <w:rFonts w:ascii="Verdana" w:hAnsi="Verdana" w:eastAsia="Calibri" w:cs="Arial"/>
          <w:kern w:val="2"/>
          <w:lang w:val="es-ES" w:eastAsia="es-ES"/>
          <w14:ligatures w14:val="standardContextual"/>
        </w:rPr>
      </w:pPr>
      <w:r w:rsidRPr="00A75D14">
        <w:rPr>
          <w:rFonts w:ascii="Verdana" w:hAnsi="Verdana" w:eastAsia="Calibri" w:cs="Arial"/>
          <w:kern w:val="2"/>
          <w:lang w:val="es-ES" w:eastAsia="es-ES"/>
          <w14:ligatures w14:val="standardContextual"/>
        </w:rPr>
        <w:t xml:space="preserve">De acuerdo con estas consideraciones, no hay una plena equivalencia entre las </w:t>
      </w:r>
      <w:bookmarkStart w:name="_Hlk95322109" w:id="1"/>
      <w:r w:rsidRPr="00A75D14">
        <w:rPr>
          <w:rFonts w:ascii="Verdana" w:hAnsi="Verdana" w:eastAsia="Calibri" w:cs="Arial"/>
          <w:kern w:val="2"/>
          <w:lang w:val="es-ES" w:eastAsia="es-ES"/>
          <w14:ligatures w14:val="standardContextual"/>
        </w:rPr>
        <w:t xml:space="preserve">actividades que hacen parte del desarrollo del </w:t>
      </w:r>
      <w:r w:rsidRPr="00A75D14">
        <w:rPr>
          <w:rFonts w:ascii="Verdana" w:hAnsi="Verdana" w:eastAsia="Calibri" w:cs="Arial"/>
          <w:i/>
          <w:kern w:val="2"/>
          <w:lang w:val="es-ES" w:eastAsia="es-ES"/>
          <w14:ligatures w14:val="standardContextual"/>
        </w:rPr>
        <w:t>objeto social</w:t>
      </w:r>
      <w:r w:rsidRPr="00A75D14">
        <w:rPr>
          <w:rFonts w:ascii="Verdana" w:hAnsi="Verdana" w:eastAsia="Calibri" w:cs="Arial"/>
          <w:kern w:val="2"/>
          <w:lang w:val="es-ES" w:eastAsia="es-ES"/>
          <w14:ligatures w14:val="standardContextual"/>
        </w:rPr>
        <w:t xml:space="preserve"> y las que comprende el </w:t>
      </w:r>
      <w:r w:rsidRPr="00A75D14">
        <w:rPr>
          <w:rFonts w:ascii="Verdana" w:hAnsi="Verdana" w:eastAsia="Calibri" w:cs="Arial"/>
          <w:i/>
          <w:kern w:val="2"/>
          <w:lang w:val="es-ES" w:eastAsia="es-ES"/>
          <w14:ligatures w14:val="standardContextual"/>
        </w:rPr>
        <w:t>giro ordinario</w:t>
      </w:r>
      <w:r w:rsidRPr="00A75D14">
        <w:rPr>
          <w:rFonts w:ascii="Verdana" w:hAnsi="Verdana" w:eastAsia="Calibri" w:cs="Arial"/>
          <w:kern w:val="2"/>
          <w:lang w:val="es-ES" w:eastAsia="es-ES"/>
          <w14:ligatures w14:val="standardContextual"/>
        </w:rPr>
        <w:t xml:space="preserve">, pues, como precisa la Superintendencia de Sociedades, entre lo que designan estas categorías existe una relación de género a especie. </w:t>
      </w:r>
    </w:p>
    <w:p w:rsidRPr="00A75D14" w:rsidR="00A75D14" w:rsidP="00A75D14" w:rsidRDefault="00A75D14" w14:paraId="009AB1BA" w14:textId="77777777">
      <w:pPr>
        <w:snapToGrid w:val="0"/>
        <w:spacing w:after="0" w:line="276" w:lineRule="auto"/>
        <w:ind w:left="720"/>
        <w:jc w:val="both"/>
        <w:rPr>
          <w:rFonts w:ascii="Verdana" w:hAnsi="Verdana" w:eastAsia="Calibri" w:cs="Arial"/>
          <w:kern w:val="2"/>
          <w:lang w:val="es-ES" w:eastAsia="es-ES"/>
          <w14:ligatures w14:val="standardContextual"/>
        </w:rPr>
      </w:pPr>
    </w:p>
    <w:p w:rsidRPr="00A75D14" w:rsidR="00A75D14" w:rsidP="00A75D14" w:rsidRDefault="00A75D14" w14:paraId="49A0ED62" w14:textId="77777777">
      <w:pPr>
        <w:numPr>
          <w:ilvl w:val="0"/>
          <w:numId w:val="18"/>
        </w:numPr>
        <w:snapToGrid w:val="0"/>
        <w:spacing w:after="0" w:line="276" w:lineRule="auto"/>
        <w:jc w:val="both"/>
        <w:rPr>
          <w:rFonts w:ascii="Verdana" w:hAnsi="Verdana" w:eastAsia="Calibri" w:cs="Arial"/>
          <w:kern w:val="2"/>
          <w:lang w:val="es-ES" w:eastAsia="es-ES"/>
          <w14:ligatures w14:val="standardContextual"/>
        </w:rPr>
      </w:pPr>
      <w:r w:rsidRPr="00A75D14">
        <w:rPr>
          <w:rFonts w:ascii="Verdana" w:hAnsi="Verdana" w:eastAsia="Calibri" w:cs="Arial"/>
          <w:kern w:val="2"/>
          <w:lang w:val="es-ES" w:eastAsia="es-ES"/>
          <w14:ligatures w14:val="standardContextual"/>
        </w:rPr>
        <w:t xml:space="preserve">En relación con la aplicación de lo dispuesto en el parágrafo del artículo 56 de la Ley 2195 de 2022, conviene aclarar que, a juicio de esta Agencia, la expresión </w:t>
      </w:r>
      <w:r w:rsidRPr="00A75D14">
        <w:rPr>
          <w:rFonts w:ascii="Verdana" w:hAnsi="Verdana" w:eastAsia="Calibri" w:cs="Arial"/>
          <w:i/>
          <w:kern w:val="2"/>
          <w:lang w:val="es-ES" w:eastAsia="es-ES"/>
          <w14:ligatures w14:val="standardContextual"/>
        </w:rPr>
        <w:t xml:space="preserve">giro ordinario </w:t>
      </w:r>
      <w:r w:rsidRPr="00A75D14">
        <w:rPr>
          <w:rFonts w:ascii="Verdana" w:hAnsi="Verdana" w:eastAsia="Calibri" w:cs="Arial"/>
          <w:kern w:val="2"/>
          <w:lang w:val="es-ES" w:eastAsia="es-ES"/>
          <w14:ligatures w14:val="standardContextual"/>
        </w:rPr>
        <w:t xml:space="preserve">en dicha norma se usa para designar a la contratación relacionada con los asuntos de la gestión habitual u ordinaria de los tipos de entidades mencionadas en el parágrafo. No obstante, la determinación de las actividades que comprenden el </w:t>
      </w:r>
      <w:r w:rsidRPr="00A75D14">
        <w:rPr>
          <w:rFonts w:ascii="Verdana" w:hAnsi="Verdana" w:eastAsia="Calibri" w:cs="Arial"/>
          <w:i/>
          <w:kern w:val="2"/>
          <w:lang w:val="es-ES" w:eastAsia="es-ES"/>
          <w14:ligatures w14:val="standardContextual"/>
        </w:rPr>
        <w:t>giro ordinario</w:t>
      </w:r>
      <w:r w:rsidRPr="00A75D14">
        <w:rPr>
          <w:rFonts w:ascii="Verdana" w:hAnsi="Verdana" w:eastAsia="Calibri" w:cs="Arial"/>
          <w:kern w:val="2"/>
          <w:lang w:val="es-ES" w:eastAsia="es-ES"/>
          <w14:ligatures w14:val="standardContextual"/>
        </w:rPr>
        <w:t xml:space="preserve"> es un asunto que se debe definir en cada caso concreto por parte de las entidades estatales –analizando lo establecido en sus actos de creación y verificando los negocios habituales u ordinarios que desarrollan–, pues el parágrafo del artículo 56 </w:t>
      </w:r>
      <w:proofErr w:type="spellStart"/>
      <w:r w:rsidRPr="00A75D14">
        <w:rPr>
          <w:rFonts w:ascii="Verdana" w:hAnsi="Verdana" w:eastAsia="Calibri" w:cs="Arial"/>
          <w:i/>
          <w:kern w:val="2"/>
          <w:lang w:val="es-ES" w:eastAsia="es-ES"/>
          <w14:ligatures w14:val="standardContextual"/>
        </w:rPr>
        <w:t>ejusdem</w:t>
      </w:r>
      <w:proofErr w:type="spellEnd"/>
      <w:r w:rsidRPr="00A75D14">
        <w:rPr>
          <w:rFonts w:ascii="Verdana" w:hAnsi="Verdana" w:eastAsia="Calibri" w:cs="Arial"/>
          <w:kern w:val="2"/>
          <w:lang w:val="es-ES" w:eastAsia="es-ES"/>
          <w14:ligatures w14:val="standardContextual"/>
        </w:rPr>
        <w:t xml:space="preserve"> se limita a enunciar algunos tipos de entidades estatales, las cuales no solo difieren en su naturaleza jurídica, sino también en las actividades que realizan. </w:t>
      </w:r>
    </w:p>
    <w:p w:rsidRPr="00A75D14" w:rsidR="00A75D14" w:rsidP="00A75D14" w:rsidRDefault="00A75D14" w14:paraId="3DBFA703" w14:textId="77777777">
      <w:pPr>
        <w:snapToGrid w:val="0"/>
        <w:spacing w:after="0" w:line="276" w:lineRule="auto"/>
        <w:jc w:val="both"/>
        <w:rPr>
          <w:rFonts w:ascii="Verdana" w:hAnsi="Verdana" w:eastAsia="Calibri" w:cs="Arial"/>
          <w:kern w:val="2"/>
          <w:lang w:val="es-ES" w:eastAsia="es-ES"/>
          <w14:ligatures w14:val="standardContextual"/>
        </w:rPr>
      </w:pPr>
    </w:p>
    <w:p w:rsidRPr="00A75D14" w:rsidR="00A75D14" w:rsidP="00A75D14" w:rsidRDefault="00A75D14" w14:paraId="7C76FE4B" w14:textId="77777777">
      <w:pPr>
        <w:numPr>
          <w:ilvl w:val="0"/>
          <w:numId w:val="18"/>
        </w:numPr>
        <w:snapToGrid w:val="0"/>
        <w:spacing w:after="0" w:line="276" w:lineRule="auto"/>
        <w:jc w:val="both"/>
        <w:rPr>
          <w:rFonts w:ascii="Verdana" w:hAnsi="Verdana" w:eastAsia="Calibri" w:cs="Arial"/>
          <w:kern w:val="2"/>
          <w:lang w:val="es-ES" w:eastAsia="es-ES"/>
          <w14:ligatures w14:val="standardContextual"/>
        </w:rPr>
      </w:pPr>
      <w:r w:rsidRPr="00A75D14">
        <w:rPr>
          <w:rFonts w:ascii="Verdana" w:hAnsi="Verdana" w:eastAsia="Calibri" w:cs="Arial"/>
          <w:kern w:val="2"/>
          <w:lang w:val="es-ES" w:eastAsia="es-ES"/>
          <w14:ligatures w14:val="standardContextual"/>
        </w:rPr>
        <w:t xml:space="preserve">Por otra parte, es importante señalar que la excepción del parágrafo en comento es clara en establecer cuáles son las entidades exceptuadas de la aplicación del artículo 56 de la Ley 2195 de 2022. En ese sentido, la Agencia Nacional de Contratación Pública – Colombia Compra Eficiente, en sede consultiva, no puede establecer si otras entidades como los fondos mixtos se enmarcan en la aludida excepción, toda vez que este es un análisis que deberá realizarse en cada caso concreto, con el fin de i) determinar si la entidad puede catalogarse como una de aquellas definidas en el parágrafo y </w:t>
      </w:r>
      <w:proofErr w:type="spellStart"/>
      <w:r w:rsidRPr="00A75D14">
        <w:rPr>
          <w:rFonts w:ascii="Verdana" w:hAnsi="Verdana" w:eastAsia="Calibri" w:cs="Arial"/>
          <w:kern w:val="2"/>
          <w:lang w:val="es-ES" w:eastAsia="es-ES"/>
          <w14:ligatures w14:val="standardContextual"/>
        </w:rPr>
        <w:t>ii</w:t>
      </w:r>
      <w:proofErr w:type="spellEnd"/>
      <w:r w:rsidRPr="00A75D14">
        <w:rPr>
          <w:rFonts w:ascii="Verdana" w:hAnsi="Verdana" w:eastAsia="Calibri" w:cs="Arial"/>
          <w:kern w:val="2"/>
          <w:lang w:val="es-ES" w:eastAsia="es-ES"/>
          <w14:ligatures w14:val="standardContextual"/>
        </w:rPr>
        <w:t xml:space="preserve">) si el objeto a contratar se enmarca en el concepto de </w:t>
      </w:r>
      <w:r w:rsidRPr="00A75D14">
        <w:rPr>
          <w:rFonts w:ascii="Verdana" w:hAnsi="Verdana" w:eastAsia="Calibri" w:cs="Arial"/>
          <w:i/>
          <w:iCs/>
          <w:kern w:val="2"/>
          <w:lang w:val="es-ES" w:eastAsia="es-ES"/>
          <w14:ligatures w14:val="standardContextual"/>
        </w:rPr>
        <w:t>giro ordinario.</w:t>
      </w:r>
      <w:r w:rsidRPr="00A75D14">
        <w:rPr>
          <w:rFonts w:ascii="Verdana" w:hAnsi="Verdana" w:eastAsia="Calibri" w:cs="Arial"/>
          <w:kern w:val="2"/>
          <w:lang w:val="es-ES" w:eastAsia="es-ES"/>
          <w14:ligatures w14:val="standardContextual"/>
        </w:rPr>
        <w:t xml:space="preserve"> </w:t>
      </w:r>
    </w:p>
    <w:p w:rsidRPr="00A75D14" w:rsidR="00A75D14" w:rsidP="00A75D14" w:rsidRDefault="00A75D14" w14:paraId="7C068C23" w14:textId="77777777">
      <w:pPr>
        <w:snapToGrid w:val="0"/>
        <w:spacing w:after="0" w:line="276" w:lineRule="auto"/>
        <w:jc w:val="both"/>
        <w:rPr>
          <w:rFonts w:ascii="Verdana" w:hAnsi="Verdana" w:eastAsia="Calibri" w:cs="Arial"/>
          <w:kern w:val="2"/>
          <w:lang w:val="es-ES" w:eastAsia="es-ES"/>
          <w14:ligatures w14:val="standardContextual"/>
        </w:rPr>
      </w:pPr>
    </w:p>
    <w:bookmarkEnd w:id="1"/>
    <w:p w:rsidRPr="00A75D14" w:rsidR="00A75D14" w:rsidP="00A75D14" w:rsidRDefault="00A75D14" w14:paraId="223B1586" w14:textId="77777777">
      <w:pPr>
        <w:numPr>
          <w:ilvl w:val="0"/>
          <w:numId w:val="18"/>
        </w:numPr>
        <w:snapToGrid w:val="0"/>
        <w:spacing w:after="0" w:line="276" w:lineRule="auto"/>
        <w:jc w:val="both"/>
        <w:rPr>
          <w:rFonts w:ascii="Verdana" w:hAnsi="Verdana" w:eastAsia="Calibri" w:cs="Arial"/>
          <w:kern w:val="2"/>
          <w:lang w:val="es-ES" w:eastAsia="es-ES"/>
          <w14:ligatures w14:val="standardContextual"/>
        </w:rPr>
      </w:pPr>
      <w:r w:rsidRPr="00A75D14">
        <w:rPr>
          <w:rFonts w:ascii="Verdana" w:hAnsi="Verdana" w:eastAsia="Calibri" w:cs="Arial"/>
          <w:kern w:val="2"/>
          <w:lang w:val="es-ES" w:eastAsia="es-ES"/>
          <w14:ligatures w14:val="standardContextual"/>
        </w:rPr>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los documentos tipo únicamente para la contratación relacionada con el </w:t>
      </w:r>
      <w:r w:rsidRPr="00A75D14">
        <w:rPr>
          <w:rFonts w:ascii="Verdana" w:hAnsi="Verdana" w:eastAsia="Calibri" w:cs="Arial"/>
          <w:i/>
          <w:kern w:val="2"/>
          <w:lang w:val="es-ES" w:eastAsia="es-ES"/>
          <w14:ligatures w14:val="standardContextual"/>
        </w:rPr>
        <w:t xml:space="preserve">giro ordinario </w:t>
      </w:r>
      <w:r w:rsidRPr="00A75D14">
        <w:rPr>
          <w:rFonts w:ascii="Verdana" w:hAnsi="Verdana" w:eastAsia="Calibri" w:cs="Arial"/>
          <w:kern w:val="2"/>
          <w:lang w:val="es-ES" w:eastAsia="es-ES"/>
          <w14:ligatures w14:val="standardContextual"/>
        </w:rPr>
        <w:t xml:space="preserve">de sus asuntos, salvo que los manuales internos de contratación de estas entidades dispongan la obligación de tener en cuenta los documentos tipo como una buena práctica contractual. De acuerdo con este entendimiento, estas entidades,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A75D14">
        <w:rPr>
          <w:rFonts w:ascii="Verdana" w:hAnsi="Verdana" w:eastAsia="Calibri" w:cs="Arial"/>
          <w:i/>
          <w:kern w:val="2"/>
          <w:lang w:val="es-ES" w:eastAsia="es-ES"/>
          <w14:ligatures w14:val="standardContextual"/>
        </w:rPr>
        <w:t>su giro ordinario</w:t>
      </w:r>
      <w:r w:rsidRPr="00A75D14">
        <w:rPr>
          <w:rFonts w:ascii="Verdana" w:hAnsi="Verdana" w:eastAsia="Calibri" w:cs="Arial"/>
          <w:kern w:val="2"/>
          <w:lang w:val="es-ES" w:eastAsia="es-ES"/>
          <w14:ligatures w14:val="standardContextual"/>
        </w:rPr>
        <w:t xml:space="preserve">, entendido este conforme a los criterios jurisprudenciales y doctrinarios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A75D14">
        <w:rPr>
          <w:rFonts w:ascii="Verdana" w:hAnsi="Verdana" w:eastAsia="Calibri" w:cs="Arial"/>
          <w:i/>
          <w:kern w:val="2"/>
          <w:lang w:val="es-ES" w:eastAsia="es-ES"/>
          <w14:ligatures w14:val="standardContextual"/>
        </w:rPr>
        <w:t>giro ordinario</w:t>
      </w:r>
      <w:r w:rsidRPr="00A75D14">
        <w:rPr>
          <w:rFonts w:ascii="Verdana" w:hAnsi="Verdana" w:eastAsia="Calibri" w:cs="Arial"/>
          <w:kern w:val="2"/>
          <w:lang w:val="es-ES" w:eastAsia="es-ES"/>
          <w14:ligatures w14:val="standardContextual"/>
        </w:rPr>
        <w:t xml:space="preserve">, a menos que su manual de contratación establezca lo contrario. </w:t>
      </w:r>
    </w:p>
    <w:p w:rsidRPr="00A75D14" w:rsidR="00A75D14" w:rsidP="00A75D14" w:rsidRDefault="00A75D14" w14:paraId="4FB5846E" w14:textId="77777777">
      <w:pPr>
        <w:snapToGrid w:val="0"/>
        <w:spacing w:after="0" w:line="276" w:lineRule="auto"/>
        <w:ind w:left="720"/>
        <w:jc w:val="both"/>
        <w:rPr>
          <w:rFonts w:ascii="Verdana" w:hAnsi="Verdana" w:eastAsia="Calibri" w:cs="Arial"/>
          <w:kern w:val="2"/>
          <w:lang w:val="es-ES" w:eastAsia="es-ES"/>
          <w14:ligatures w14:val="standardContextual"/>
        </w:rPr>
      </w:pPr>
    </w:p>
    <w:p w:rsidRPr="00A75D14" w:rsidR="00A75D14" w:rsidP="7790C891" w:rsidRDefault="00A75D14" w14:paraId="01A64622" w14:textId="77777777" w14:noSpellErr="1">
      <w:pPr>
        <w:numPr>
          <w:ilvl w:val="0"/>
          <w:numId w:val="18"/>
        </w:numPr>
        <w:snapToGrid w:val="0"/>
        <w:spacing w:after="0" w:line="276" w:lineRule="auto"/>
        <w:jc w:val="both"/>
        <w:rPr>
          <w:rFonts w:ascii="Verdana" w:hAnsi="Verdana" w:eastAsia="Calibri" w:cs="Arial"/>
          <w:kern w:val="2"/>
          <w:lang w:val="es-ES" w:eastAsia="es-ES"/>
          <w14:ligatures w14:val="standardContextual"/>
        </w:rPr>
      </w:pPr>
      <w:r w:rsidRPr="7790C891" w:rsidR="00A75D14">
        <w:rPr>
          <w:rFonts w:ascii="Verdana" w:hAnsi="Verdana" w:eastAsia="Calibri" w:cs="Arial"/>
          <w:kern w:val="2"/>
          <w:lang w:val="es-ES" w:eastAsia="es-ES"/>
          <w14:ligatures w14:val="standardContextual"/>
        </w:rPr>
        <w:t>Esta interpretación, a juicio de la Agencia, no solo se desprende de la literalidad del texto de la norma en comento, sino que además está en armonía con la voluntad del órgano legislativo. Al respecto se estima que, el Legislador, en materia de contratación estatal, goza de un amplio margen de configuración normativa, de conformidad con lo dispuesto en el inciso final del artículo 150 de la Constitución Política</w:t>
      </w:r>
      <w:r w:rsidRPr="7790C891">
        <w:rPr>
          <w:rFonts w:ascii="Verdana" w:hAnsi="Verdana" w:eastAsia="Aptos" w:cs="Times New Roman"/>
          <w:kern w:val="2"/>
          <w:vertAlign w:val="superscript"/>
          <w:lang w:val="es-ES" w:eastAsia="es-ES"/>
          <w14:ligatures w14:val="standardContextual"/>
        </w:rPr>
        <w:footnoteReference w:id="9"/>
      </w:r>
      <w:r w:rsidRPr="7790C891" w:rsidR="00A75D14">
        <w:rPr>
          <w:rFonts w:ascii="Verdana" w:hAnsi="Verdana" w:eastAsia="Calibri" w:cs="Arial"/>
          <w:kern w:val="2"/>
          <w:lang w:val="es-ES" w:eastAsia="es-ES"/>
          <w14:ligatures w14:val="standardContextual"/>
        </w:rPr>
        <w:t xml:space="preserve">. </w:t>
      </w:r>
      <w:r w:rsidRPr="7790C891" w:rsidR="00A75D14">
        <w:rPr>
          <w:rFonts w:ascii="Verdana" w:hAnsi="Verdana" w:eastAsia="Calibri" w:cs="Arial"/>
          <w:kern w:val="2"/>
          <w:lang w:val="es-ES" w:eastAsia="es-ES"/>
          <w14:ligatures w14:val="standardContextual"/>
        </w:rPr>
        <w:t xml:space="preserve">En ese sentido, </w:t>
      </w:r>
      <w:r w:rsidRPr="7790C891" w:rsidR="00A75D14">
        <w:rPr>
          <w:rFonts w:ascii="Verdana" w:hAnsi="Verdana" w:eastAsia="Calibri" w:cs="Arial"/>
          <w:kern w:val="2"/>
          <w:lang w:val="es-ES" w:eastAsia="es-ES"/>
          <w14:ligatures w14:val="standardContextual"/>
        </w:rPr>
        <w:lastRenderedPageBreak/>
        <w:t xml:space="preserve">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7790C891" w:rsidR="00A75D14">
        <w:rPr>
          <w:rFonts w:ascii="Verdana" w:hAnsi="Verdana" w:eastAsia="Calibri" w:cs="Arial"/>
          <w:i w:val="1"/>
          <w:iCs w:val="1"/>
          <w:kern w:val="2"/>
          <w:lang w:val="es-ES" w:eastAsia="es-ES"/>
          <w14:ligatures w14:val="standardContextual"/>
        </w:rPr>
        <w:t>giro ordinario.</w:t>
      </w:r>
      <w:r w:rsidRPr="7790C891" w:rsidR="00A75D14">
        <w:rPr>
          <w:rFonts w:ascii="Verdana" w:hAnsi="Verdana" w:eastAsia="Calibri" w:cs="Arial"/>
          <w:kern w:val="2"/>
          <w:lang w:val="es-ES" w:eastAsia="es-ES"/>
          <w14:ligatures w14:val="standardContextua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7790C891">
        <w:rPr>
          <w:rFonts w:ascii="Verdana" w:hAnsi="Verdana" w:eastAsia="Aptos" w:cs="Times New Roman"/>
          <w:kern w:val="2"/>
          <w:vertAlign w:val="superscript"/>
          <w:lang w:val="es-ES" w:eastAsia="es-ES"/>
          <w14:ligatures w14:val="standardContextual"/>
        </w:rPr>
        <w:footnoteReference w:id="10"/>
      </w:r>
      <w:r w:rsidRPr="7790C891" w:rsidR="00A75D14">
        <w:rPr>
          <w:rFonts w:ascii="Verdana" w:hAnsi="Verdana" w:eastAsia="Calibri" w:cs="Arial"/>
          <w:kern w:val="2"/>
          <w:lang w:val="es-ES" w:eastAsia="es-ES"/>
          <w14:ligatures w14:val="standardContextual"/>
        </w:rPr>
        <w:t>.</w:t>
      </w:r>
    </w:p>
    <w:p w:rsidRPr="00A75D14" w:rsidR="00A75D14" w:rsidP="00A75D14" w:rsidRDefault="00A75D14" w14:paraId="62DD357B" w14:textId="77777777">
      <w:pPr>
        <w:shd w:val="clear" w:color="auto" w:fill="FFFFFF"/>
        <w:spacing w:line="276" w:lineRule="auto"/>
        <w:contextualSpacing/>
        <w:jc w:val="both"/>
        <w:rPr>
          <w:rFonts w:ascii="Verdana" w:hAnsi="Verdana" w:eastAsia="Calibri" w:cs="Arial"/>
        </w:rPr>
      </w:pPr>
    </w:p>
    <w:p w:rsidRPr="00A75D14" w:rsidR="00A75D14" w:rsidP="00A75D14" w:rsidRDefault="00A75D14" w14:paraId="5B599330" w14:textId="77777777">
      <w:pPr>
        <w:numPr>
          <w:ilvl w:val="0"/>
          <w:numId w:val="16"/>
        </w:numPr>
        <w:tabs>
          <w:tab w:val="left" w:pos="142"/>
          <w:tab w:val="left" w:pos="284"/>
        </w:tabs>
        <w:spacing w:after="0" w:line="276" w:lineRule="auto"/>
        <w:ind w:left="357" w:hanging="357"/>
        <w:jc w:val="both"/>
        <w:rPr>
          <w:rFonts w:ascii="Verdana" w:hAnsi="Verdana" w:eastAsia="Century Gothic" w:cs="Century Gothic"/>
          <w:b/>
          <w:bCs/>
          <w:lang w:val="es-ES"/>
        </w:rPr>
      </w:pPr>
      <w:r w:rsidRPr="00A75D14">
        <w:rPr>
          <w:rFonts w:ascii="Verdana" w:hAnsi="Verdana" w:eastAsia="Century Gothic" w:cs="Century Gothic"/>
          <w:b/>
          <w:bCs/>
          <w:lang w:val="es-ES"/>
        </w:rPr>
        <w:t>Referencias normativas, jurisprudenciales y otras fuentes:</w:t>
      </w:r>
    </w:p>
    <w:p w:rsidRPr="00A75D14" w:rsidR="00A75D14" w:rsidP="00A75D14" w:rsidRDefault="00A75D14" w14:paraId="16708623" w14:textId="77777777">
      <w:pPr>
        <w:widowControl w:val="0"/>
        <w:autoSpaceDE w:val="0"/>
        <w:autoSpaceDN w:val="0"/>
        <w:spacing w:after="0" w:line="276" w:lineRule="auto"/>
        <w:jc w:val="both"/>
        <w:rPr>
          <w:rFonts w:ascii="Verdana" w:hAnsi="Verdana" w:eastAsia="Calibri"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Look w:val="04A0" w:firstRow="1" w:lastRow="0" w:firstColumn="1" w:lastColumn="0" w:noHBand="0" w:noVBand="1"/>
      </w:tblPr>
      <w:tblGrid>
        <w:gridCol w:w="8647"/>
      </w:tblGrid>
      <w:tr w:rsidRPr="00A75D14" w:rsidR="00A75D14" w:rsidTr="00E347A5" w14:paraId="390BFAB9" w14:textId="77777777">
        <w:trPr>
          <w:trHeight w:val="870"/>
        </w:trPr>
        <w:tc>
          <w:tcPr>
            <w:tcW w:w="8647" w:type="dxa"/>
          </w:tcPr>
          <w:p w:rsidRPr="00A75D14" w:rsidR="00A75D14" w:rsidP="00A75D14" w:rsidRDefault="00A75D14" w14:paraId="75D69D31" w14:textId="77777777">
            <w:pPr>
              <w:widowControl w:val="0"/>
              <w:numPr>
                <w:ilvl w:val="0"/>
                <w:numId w:val="17"/>
              </w:numPr>
              <w:autoSpaceDE w:val="0"/>
              <w:autoSpaceDN w:val="0"/>
              <w:spacing w:after="120" w:line="276" w:lineRule="auto"/>
              <w:jc w:val="both"/>
              <w:rPr>
                <w:rFonts w:ascii="Verdana" w:hAnsi="Verdana" w:eastAsia="Calibri" w:cs="Arial"/>
              </w:rPr>
            </w:pPr>
            <w:r w:rsidRPr="00A75D14">
              <w:rPr>
                <w:rFonts w:ascii="Verdana" w:hAnsi="Verdana" w:eastAsia="Calibri" w:cs="Arial"/>
              </w:rPr>
              <w:t>Constitución Política, artículo 150.</w:t>
            </w:r>
          </w:p>
          <w:p w:rsidRPr="00A75D14" w:rsidR="00A75D14" w:rsidP="00A75D14" w:rsidRDefault="00A75D14" w14:paraId="45594EA5" w14:textId="77777777">
            <w:pPr>
              <w:widowControl w:val="0"/>
              <w:numPr>
                <w:ilvl w:val="0"/>
                <w:numId w:val="17"/>
              </w:numPr>
              <w:autoSpaceDE w:val="0"/>
              <w:autoSpaceDN w:val="0"/>
              <w:spacing w:after="120" w:line="276" w:lineRule="auto"/>
              <w:jc w:val="both"/>
              <w:rPr>
                <w:rFonts w:ascii="Verdana" w:hAnsi="Verdana" w:eastAsia="Calibri" w:cs="Arial"/>
              </w:rPr>
            </w:pPr>
            <w:r w:rsidRPr="00A75D14">
              <w:rPr>
                <w:rFonts w:ascii="Verdana" w:hAnsi="Verdana" w:eastAsia="Calibri" w:cs="Arial"/>
              </w:rPr>
              <w:t>Ley 2195 de 2022, artículo 56.</w:t>
            </w:r>
          </w:p>
          <w:p w:rsidRPr="00A75D14" w:rsidR="00A75D14" w:rsidP="00A75D14" w:rsidRDefault="00A75D14" w14:paraId="0E2AF4E0" w14:textId="77777777">
            <w:pPr>
              <w:widowControl w:val="0"/>
              <w:numPr>
                <w:ilvl w:val="0"/>
                <w:numId w:val="17"/>
              </w:numPr>
              <w:autoSpaceDE w:val="0"/>
              <w:autoSpaceDN w:val="0"/>
              <w:spacing w:after="120" w:line="276" w:lineRule="auto"/>
              <w:jc w:val="both"/>
              <w:rPr>
                <w:rFonts w:ascii="Verdana" w:hAnsi="Verdana" w:eastAsia="Calibri" w:cs="Arial"/>
              </w:rPr>
            </w:pPr>
            <w:r w:rsidRPr="00A75D14">
              <w:rPr>
                <w:rFonts w:ascii="Verdana" w:hAnsi="Verdana" w:eastAsia="Calibri" w:cs="Arial"/>
              </w:rPr>
              <w:t xml:space="preserve">Consejo de Estado. Sección Tercera. Subsección B. Sentencia del 12 de octubre de 2011. </w:t>
            </w:r>
            <w:proofErr w:type="spellStart"/>
            <w:r w:rsidRPr="00A75D14">
              <w:rPr>
                <w:rFonts w:ascii="Verdana" w:hAnsi="Verdana" w:eastAsia="Calibri" w:cs="Arial"/>
              </w:rPr>
              <w:t>Exp</w:t>
            </w:r>
            <w:proofErr w:type="spellEnd"/>
            <w:r w:rsidRPr="00A75D14">
              <w:rPr>
                <w:rFonts w:ascii="Verdana" w:hAnsi="Verdana" w:eastAsia="Calibri" w:cs="Arial"/>
              </w:rPr>
              <w:t>. No. 20070. C.P. Danilo Rojas Betancourt.</w:t>
            </w:r>
          </w:p>
          <w:p w:rsidRPr="00A75D14" w:rsidR="00A75D14" w:rsidP="00A75D14" w:rsidRDefault="00A75D14" w14:paraId="2100DC31" w14:textId="77777777">
            <w:pPr>
              <w:widowControl w:val="0"/>
              <w:numPr>
                <w:ilvl w:val="0"/>
                <w:numId w:val="17"/>
              </w:numPr>
              <w:autoSpaceDE w:val="0"/>
              <w:autoSpaceDN w:val="0"/>
              <w:spacing w:after="120" w:line="276" w:lineRule="auto"/>
              <w:jc w:val="both"/>
              <w:rPr>
                <w:rFonts w:ascii="Verdana" w:hAnsi="Verdana" w:eastAsia="Calibri" w:cs="Arial"/>
              </w:rPr>
            </w:pPr>
            <w:r w:rsidRPr="00A75D14">
              <w:rPr>
                <w:rFonts w:ascii="Verdana" w:hAnsi="Verdana" w:eastAsia="Calibri" w:cs="Arial"/>
              </w:rPr>
              <w:t xml:space="preserve">Consejo de Estado. Sección Tercera. Subsección A. Sentencia del 3 de marzo de 2021. </w:t>
            </w:r>
            <w:proofErr w:type="spellStart"/>
            <w:r w:rsidRPr="00A75D14">
              <w:rPr>
                <w:rFonts w:ascii="Verdana" w:hAnsi="Verdana" w:eastAsia="Calibri" w:cs="Arial"/>
              </w:rPr>
              <w:t>Exp</w:t>
            </w:r>
            <w:proofErr w:type="spellEnd"/>
            <w:r w:rsidRPr="00A75D14">
              <w:rPr>
                <w:rFonts w:ascii="Verdana" w:hAnsi="Verdana" w:eastAsia="Calibri" w:cs="Arial"/>
              </w:rPr>
              <w:t>. No. 51373. C.P. José Roberto Sáchica Méndez.</w:t>
            </w:r>
          </w:p>
        </w:tc>
      </w:tr>
    </w:tbl>
    <w:p w:rsidRPr="00A75D14" w:rsidR="00A75D14" w:rsidP="00A75D14" w:rsidRDefault="00A75D14" w14:paraId="1B9E6A85" w14:textId="77777777">
      <w:pPr>
        <w:widowControl w:val="0"/>
        <w:autoSpaceDE w:val="0"/>
        <w:autoSpaceDN w:val="0"/>
        <w:spacing w:after="0" w:line="276" w:lineRule="auto"/>
        <w:jc w:val="both"/>
        <w:rPr>
          <w:rFonts w:ascii="Verdana" w:hAnsi="Verdana" w:eastAsia="Calibri" w:cs="Arial"/>
        </w:rPr>
      </w:pPr>
    </w:p>
    <w:p w:rsidRPr="00A75D14" w:rsidR="00A75D14" w:rsidP="00A75D14" w:rsidRDefault="00A75D14" w14:paraId="27692598" w14:textId="77777777">
      <w:pPr>
        <w:numPr>
          <w:ilvl w:val="0"/>
          <w:numId w:val="16"/>
        </w:numPr>
        <w:tabs>
          <w:tab w:val="left" w:pos="142"/>
          <w:tab w:val="left" w:pos="284"/>
        </w:tabs>
        <w:spacing w:after="0" w:line="276" w:lineRule="auto"/>
        <w:ind w:left="357" w:hanging="357"/>
        <w:jc w:val="both"/>
        <w:rPr>
          <w:rFonts w:ascii="Verdana" w:hAnsi="Verdana" w:eastAsia="Century Gothic" w:cs="Century Gothic"/>
          <w:b/>
          <w:bCs/>
          <w:lang w:val="es-ES"/>
        </w:rPr>
      </w:pPr>
      <w:r w:rsidRPr="00A75D14">
        <w:rPr>
          <w:rFonts w:ascii="Verdana" w:hAnsi="Verdana" w:eastAsia="Century Gothic" w:cs="Century Gothic"/>
          <w:b/>
          <w:bCs/>
          <w:lang w:val="es-ES"/>
        </w:rPr>
        <w:t>Doctrina de la Agencia Nacional de Contratación Pública:</w:t>
      </w:r>
    </w:p>
    <w:p w:rsidRPr="00A75D14" w:rsidR="00A75D14" w:rsidP="00A75D14" w:rsidRDefault="00A75D14" w14:paraId="07D3F151" w14:textId="77777777">
      <w:pPr>
        <w:widowControl w:val="0"/>
        <w:autoSpaceDE w:val="0"/>
        <w:autoSpaceDN w:val="0"/>
        <w:spacing w:after="0" w:line="276" w:lineRule="auto"/>
        <w:jc w:val="both"/>
        <w:rPr>
          <w:rFonts w:ascii="Verdana" w:hAnsi="Verdana" w:eastAsia="Calibri" w:cs="Arial"/>
        </w:rPr>
      </w:pPr>
    </w:p>
    <w:p w:rsidRPr="00A75D14" w:rsidR="00A75D14" w:rsidP="00A75D14" w:rsidRDefault="00A75D14" w14:paraId="68DD73A2" w14:textId="77777777">
      <w:pPr>
        <w:widowControl w:val="0"/>
        <w:autoSpaceDE w:val="0"/>
        <w:autoSpaceDN w:val="0"/>
        <w:spacing w:after="0" w:line="276" w:lineRule="auto"/>
        <w:jc w:val="both"/>
        <w:rPr>
          <w:rFonts w:ascii="Verdana" w:hAnsi="Verdana" w:eastAsia="Calibri" w:cs="Arial"/>
          <w:shd w:val="clear" w:color="auto" w:fill="FFFFFF"/>
          <w:lang w:val="es-ES"/>
        </w:rPr>
      </w:pPr>
      <w:r w:rsidRPr="00A75D14">
        <w:rPr>
          <w:rFonts w:ascii="Verdana" w:hAnsi="Verdana" w:eastAsia="Calibri" w:cs="Arial"/>
          <w:shd w:val="clear" w:color="auto" w:fill="FFFFFF"/>
          <w:lang w:val="es-ES"/>
        </w:rPr>
        <w:t>La Agencia Nacional de Contratación Pública – Colombia Compra Eficiente se ha pronunciado sobre el alcance del artículo 56 de la Ley 2195 de 2022, específicamente, a partir del concepto C-066 del 28 de enero de 2022, cuya tesis se desarrolló y complementó en varios conceptos, como el C-320 del 20 de mayo de 2022, C-333 del 24 de mayo de 2022, C-404 del 26 de mayo de 2023, C-341 del 27 de mayo de 2022, C-382 del 27 de mayo de 2022, C-388 del 15 de junio de 2022, C-423 del 5 de julio de 2022, C-435 del 6 de julio de 2023, C-453 del 15 de julio de 2022, C-449 del 25 de julio de 2022, C-494 del 26 de julio de 2022, C-488 del 29 de julio de 2022, C-483 del 5 de agosto de 2022, C-496 del 3 de agosto de 2022, C-501 del 29 de julio de 2022, C-556 del 3 de agosto de 2022 y C-532 del 22 de agosto de 2022, entre otros. El mismo tema ha sido estudiado por esta Subdirección en los conceptos C-486 del 2 de septiembre de 2022, C-671 del 19 de octubre de 2022, C-576 del 25 de octubre de 2022, C-042 del 29 de marzo de 2023, C-299 del 24 de julio de 2023, C-399 del 29 de septiembre de 2023, C-055 del 9 de mayo de 2024 y C-079 del 5 de junio de 2024. Es</w:t>
      </w:r>
      <w:r w:rsidRPr="00A75D14">
        <w:rPr>
          <w:rFonts w:ascii="Verdana" w:hAnsi="Verdana" w:eastAsia="Calibri" w:cs="Times New Roman"/>
        </w:rPr>
        <w:t>tos y otros conceptos se encuentran disponibles para consulta en el sistema de relatoría de la Agencia, al cual se puede acceder a través del siguiente enlace:</w:t>
      </w:r>
      <w:r w:rsidRPr="00A75D14">
        <w:rPr>
          <w:rFonts w:ascii="Verdana" w:hAnsi="Verdana" w:eastAsia="Calibri" w:cs="Arial"/>
          <w:shd w:val="clear" w:color="auto" w:fill="FFFFFF"/>
          <w:lang w:val="es-ES"/>
        </w:rPr>
        <w:t xml:space="preserve"> </w:t>
      </w:r>
      <w:hyperlink w:history="1" r:id="rId11">
        <w:r w:rsidRPr="00A75D14">
          <w:rPr>
            <w:rFonts w:ascii="Verdana" w:hAnsi="Verdana" w:eastAsia="Calibri" w:cs="Arial"/>
            <w:u w:val="single"/>
            <w:shd w:val="clear" w:color="auto" w:fill="FFFFFF"/>
            <w:lang w:val="es-ES"/>
          </w:rPr>
          <w:t>https://relatoria.colombiacompra.gov.co/busqueda/conceptos</w:t>
        </w:r>
      </w:hyperlink>
      <w:r w:rsidRPr="00A75D14">
        <w:rPr>
          <w:rFonts w:ascii="Verdana" w:hAnsi="Verdana" w:eastAsia="Calibri" w:cs="Arial"/>
          <w:shd w:val="clear" w:color="auto" w:fill="FFFFFF"/>
          <w:lang w:val="es-ES"/>
        </w:rPr>
        <w:t xml:space="preserve">. </w:t>
      </w:r>
    </w:p>
    <w:p w:rsidRPr="00A75D14" w:rsidR="00A75D14" w:rsidP="00A75D14" w:rsidRDefault="00A75D14" w14:paraId="12AA0B6F" w14:textId="77777777">
      <w:pPr>
        <w:widowControl w:val="0"/>
        <w:autoSpaceDE w:val="0"/>
        <w:autoSpaceDN w:val="0"/>
        <w:spacing w:after="0" w:line="276" w:lineRule="auto"/>
        <w:jc w:val="both"/>
        <w:rPr>
          <w:rFonts w:ascii="Verdana" w:hAnsi="Verdana" w:eastAsia="Calibri" w:cs="Arial"/>
          <w:shd w:val="clear" w:color="auto" w:fill="FFFFFF"/>
          <w:lang w:val="es-ES"/>
        </w:rPr>
      </w:pPr>
    </w:p>
    <w:p w:rsidRPr="00A75D14" w:rsidR="00A75D14" w:rsidP="00A75D14" w:rsidRDefault="00A75D14" w14:paraId="20856549" w14:textId="77777777">
      <w:pPr>
        <w:widowControl w:val="0"/>
        <w:autoSpaceDE w:val="0"/>
        <w:autoSpaceDN w:val="0"/>
        <w:spacing w:after="0" w:line="276" w:lineRule="auto"/>
        <w:jc w:val="both"/>
        <w:rPr>
          <w:rFonts w:ascii="Verdana" w:hAnsi="Verdana" w:eastAsia="Calibri" w:cs="Arial"/>
          <w:shd w:val="clear" w:color="auto" w:fill="FFFFFF"/>
          <w:lang w:val="es-ES"/>
        </w:rPr>
      </w:pPr>
      <w:r w:rsidRPr="00A75D14">
        <w:rPr>
          <w:rFonts w:ascii="Verdana" w:hAnsi="Verdana" w:eastAsia="Calibri"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hyperlink w:history="1" r:id="rId12">
        <w:r w:rsidRPr="00A75D14">
          <w:rPr>
            <w:rFonts w:ascii="Verdana" w:hAnsi="Verdana" w:eastAsia="Calibri" w:cs="Arial"/>
            <w:u w:val="single"/>
            <w:shd w:val="clear" w:color="auto" w:fill="FFFFFF"/>
            <w:lang w:val="es-ES"/>
          </w:rPr>
          <w:t>https://www.colombiacompra.gov.co/sala-de-prensa/boletin-digital</w:t>
        </w:r>
      </w:hyperlink>
      <w:r w:rsidRPr="00A75D14">
        <w:rPr>
          <w:rFonts w:ascii="Verdana" w:hAnsi="Verdana" w:eastAsia="Calibri" w:cs="Arial"/>
          <w:shd w:val="clear" w:color="auto" w:fill="FFFFFF"/>
          <w:lang w:val="es-ES"/>
        </w:rPr>
        <w:t xml:space="preserve">   </w:t>
      </w:r>
    </w:p>
    <w:p w:rsidRPr="00A75D14" w:rsidR="00A75D14" w:rsidP="00A75D14" w:rsidRDefault="00A75D14" w14:paraId="388B71B2" w14:textId="77777777">
      <w:pPr>
        <w:widowControl w:val="0"/>
        <w:autoSpaceDE w:val="0"/>
        <w:autoSpaceDN w:val="0"/>
        <w:spacing w:after="0" w:line="276" w:lineRule="auto"/>
        <w:jc w:val="both"/>
        <w:rPr>
          <w:rFonts w:ascii="Verdana" w:hAnsi="Verdana" w:eastAsia="Calibri" w:cs="Arial"/>
          <w:shd w:val="clear" w:color="auto" w:fill="FFFFFF"/>
          <w:lang w:val="es-ES"/>
        </w:rPr>
      </w:pPr>
    </w:p>
    <w:p w:rsidRPr="00A75D14" w:rsidR="00A75D14" w:rsidP="00A75D14" w:rsidRDefault="00A75D14" w14:paraId="58957AC7" w14:textId="77777777">
      <w:pPr>
        <w:spacing w:after="0" w:line="240" w:lineRule="auto"/>
        <w:jc w:val="both"/>
        <w:rPr>
          <w:rFonts w:ascii="Verdana" w:hAnsi="Verdana" w:eastAsia="Calibri" w:cs="Times New Roman"/>
        </w:rPr>
      </w:pPr>
      <w:r w:rsidRPr="00A75D14">
        <w:rPr>
          <w:rFonts w:ascii="Verdana" w:hAnsi="Verdana" w:eastAsia="Calibri" w:cs="Times New Roman"/>
        </w:rPr>
        <w:t xml:space="preserve">Por último, los invitamos a seguirnos en las redes sociales, en las cuales se difunde información institucional: </w:t>
      </w:r>
    </w:p>
    <w:p w:rsidRPr="00A75D14" w:rsidR="00A75D14" w:rsidP="00A75D14" w:rsidRDefault="00A75D14" w14:paraId="7993F836" w14:textId="77777777">
      <w:pPr>
        <w:spacing w:after="0" w:line="240" w:lineRule="auto"/>
        <w:jc w:val="both"/>
        <w:rPr>
          <w:rFonts w:ascii="Verdana" w:hAnsi="Verdana" w:eastAsia="Calibri" w:cs="Times New Roman"/>
        </w:rPr>
      </w:pPr>
    </w:p>
    <w:p w:rsidRPr="00A75D14" w:rsidR="00A75D14" w:rsidP="00A75D14" w:rsidRDefault="00A75D14" w14:paraId="3CA61A3E" w14:textId="77777777">
      <w:pPr>
        <w:spacing w:after="0" w:line="240" w:lineRule="auto"/>
        <w:jc w:val="both"/>
        <w:rPr>
          <w:rFonts w:ascii="Verdana" w:hAnsi="Verdana" w:eastAsia="Calibri" w:cs="Times New Roman"/>
        </w:rPr>
      </w:pPr>
      <w:r w:rsidRPr="00A75D14">
        <w:rPr>
          <w:rFonts w:ascii="Verdana" w:hAnsi="Verdana" w:eastAsia="Calibri" w:cs="Times New Roman"/>
        </w:rPr>
        <w:t xml:space="preserve">Twitter: </w:t>
      </w:r>
      <w:r w:rsidRPr="00A75D14">
        <w:rPr>
          <w:rFonts w:ascii="Verdana" w:hAnsi="Verdana" w:eastAsia="Calibri" w:cs="Times New Roman"/>
          <w:u w:val="single"/>
        </w:rPr>
        <w:t>@colombiacompra</w:t>
      </w:r>
      <w:r w:rsidRPr="00A75D14">
        <w:rPr>
          <w:rFonts w:ascii="Verdana" w:hAnsi="Verdana" w:eastAsia="Calibri" w:cs="Times New Roman"/>
        </w:rPr>
        <w:t xml:space="preserve"> </w:t>
      </w:r>
    </w:p>
    <w:p w:rsidRPr="00A75D14" w:rsidR="00A75D14" w:rsidP="00A75D14" w:rsidRDefault="00A75D14" w14:paraId="4B498248" w14:textId="77777777">
      <w:pPr>
        <w:spacing w:after="0" w:line="240" w:lineRule="auto"/>
        <w:jc w:val="both"/>
        <w:rPr>
          <w:rFonts w:ascii="Verdana" w:hAnsi="Verdana" w:eastAsia="Calibri" w:cs="Times New Roman"/>
        </w:rPr>
      </w:pPr>
      <w:r w:rsidRPr="00A75D14">
        <w:rPr>
          <w:rFonts w:ascii="Verdana" w:hAnsi="Verdana" w:eastAsia="Calibri" w:cs="Times New Roman"/>
        </w:rPr>
        <w:t xml:space="preserve">Facebook: </w:t>
      </w:r>
      <w:proofErr w:type="spellStart"/>
      <w:r w:rsidRPr="00A75D14">
        <w:rPr>
          <w:rFonts w:ascii="Verdana" w:hAnsi="Verdana" w:eastAsia="Calibri" w:cs="Times New Roman"/>
          <w:u w:val="single"/>
        </w:rPr>
        <w:t>ColombiaCompraEficiente</w:t>
      </w:r>
      <w:proofErr w:type="spellEnd"/>
    </w:p>
    <w:p w:rsidRPr="00A75D14" w:rsidR="00A75D14" w:rsidP="00A75D14" w:rsidRDefault="00A75D14" w14:paraId="5E17E21D" w14:textId="77777777">
      <w:pPr>
        <w:spacing w:after="0" w:line="240" w:lineRule="auto"/>
        <w:jc w:val="both"/>
        <w:rPr>
          <w:rFonts w:ascii="Verdana" w:hAnsi="Verdana" w:eastAsia="Calibri" w:cs="Times New Roman"/>
        </w:rPr>
      </w:pPr>
      <w:r w:rsidRPr="00A75D14">
        <w:rPr>
          <w:rFonts w:ascii="Verdana" w:hAnsi="Verdana" w:eastAsia="Calibri" w:cs="Times New Roman"/>
        </w:rPr>
        <w:t xml:space="preserve">LinkedIn: </w:t>
      </w:r>
      <w:r w:rsidRPr="00A75D14">
        <w:rPr>
          <w:rFonts w:ascii="Verdana" w:hAnsi="Verdana" w:eastAsia="Calibri" w:cs="Times New Roman"/>
          <w:u w:val="single"/>
        </w:rPr>
        <w:t>Agencia Nacional de Contratación Pública - Colombia Compra Eficiente</w:t>
      </w:r>
      <w:r w:rsidRPr="00A75D14">
        <w:rPr>
          <w:rFonts w:ascii="Verdana" w:hAnsi="Verdana" w:eastAsia="Calibri" w:cs="Times New Roman"/>
        </w:rPr>
        <w:t xml:space="preserve"> Instagram: </w:t>
      </w:r>
      <w:r w:rsidRPr="00A75D14">
        <w:rPr>
          <w:rFonts w:ascii="Verdana" w:hAnsi="Verdana" w:eastAsia="Calibri" w:cs="Times New Roman"/>
          <w:u w:val="single"/>
        </w:rPr>
        <w:t>@colombiacompraeficiente_cce</w:t>
      </w:r>
    </w:p>
    <w:p w:rsidRPr="00A75D14" w:rsidR="00A75D14" w:rsidP="00A75D14" w:rsidRDefault="00A75D14" w14:paraId="554A6A32" w14:textId="77777777">
      <w:pPr>
        <w:widowControl w:val="0"/>
        <w:autoSpaceDE w:val="0"/>
        <w:autoSpaceDN w:val="0"/>
        <w:spacing w:after="0" w:line="276" w:lineRule="auto"/>
        <w:jc w:val="both"/>
        <w:rPr>
          <w:rFonts w:ascii="Verdana" w:hAnsi="Verdana" w:eastAsia="Calibri" w:cs="Arial"/>
        </w:rPr>
      </w:pPr>
    </w:p>
    <w:p w:rsidRPr="00A75D14" w:rsidR="00A75D14" w:rsidP="00A75D14" w:rsidRDefault="00A75D14" w14:paraId="22D8DD14" w14:textId="77777777">
      <w:pPr>
        <w:widowControl w:val="0"/>
        <w:autoSpaceDE w:val="0"/>
        <w:autoSpaceDN w:val="0"/>
        <w:spacing w:after="0" w:line="276" w:lineRule="auto"/>
        <w:jc w:val="both"/>
        <w:rPr>
          <w:rFonts w:ascii="Verdana" w:hAnsi="Verdana" w:eastAsia="Calibri" w:cs="Arial"/>
          <w:lang w:val="es-ES_tradnl"/>
        </w:rPr>
      </w:pPr>
      <w:r w:rsidRPr="00A75D14">
        <w:rPr>
          <w:rFonts w:ascii="Verdana" w:hAnsi="Verdana" w:eastAsia="Calibri" w:cs="Arial"/>
        </w:rPr>
        <w:t xml:space="preserve">Este concepto tiene el alcance previsto en el artículo 28 del Código de Procedimiento Administrativo y de lo Contencioso Administrativo </w:t>
      </w:r>
      <w:r w:rsidRPr="00A75D14">
        <w:rPr>
          <w:rFonts w:ascii="Verdana" w:hAnsi="Verdana" w:eastAsia="Calibri" w:cs="Arial"/>
          <w:lang w:val="es-ES_tradnl"/>
        </w:rPr>
        <w:t>y las expresiones aquí utilizadas con mayúscula inicial deben ser entendidas con el significado que les otorga el artículo 2.2.1.1.1.3.1. del Decreto 1082 de 2015.</w:t>
      </w:r>
    </w:p>
    <w:p w:rsidRPr="00A75D14" w:rsidR="00A75D14" w:rsidP="00A75D14" w:rsidRDefault="00A75D14" w14:paraId="74A604BB" w14:textId="77777777">
      <w:pPr>
        <w:widowControl w:val="0"/>
        <w:autoSpaceDE w:val="0"/>
        <w:autoSpaceDN w:val="0"/>
        <w:spacing w:after="0" w:line="276" w:lineRule="auto"/>
        <w:jc w:val="both"/>
        <w:rPr>
          <w:rFonts w:ascii="Verdana" w:hAnsi="Verdana" w:eastAsia="Calibri" w:cs="Arial"/>
        </w:rPr>
      </w:pPr>
    </w:p>
    <w:p w:rsidRPr="00A75D14" w:rsidR="00A75D14" w:rsidP="00A75D14" w:rsidRDefault="00A75D14" w14:paraId="20106A2E" w14:textId="77777777">
      <w:pPr>
        <w:spacing w:after="0" w:line="240" w:lineRule="auto"/>
        <w:rPr>
          <w:rFonts w:ascii="Verdana" w:hAnsi="Verdana" w:eastAsia="Calibri" w:cs="Arial"/>
          <w:lang w:eastAsia="es-CO"/>
        </w:rPr>
      </w:pPr>
      <w:r w:rsidRPr="00A75D14">
        <w:rPr>
          <w:rFonts w:ascii="Verdana" w:hAnsi="Verdana" w:eastAsia="Times New Roman" w:cs="Arial"/>
          <w:lang w:eastAsia="es-CO"/>
        </w:rPr>
        <w:t>Atentamente,</w:t>
      </w:r>
      <w:r w:rsidRPr="00A75D14">
        <w:rPr>
          <w:rFonts w:ascii="Verdana" w:hAnsi="Verdana" w:eastAsia="Calibri" w:cs="Arial"/>
          <w:lang w:eastAsia="es-CO"/>
        </w:rPr>
        <w:t xml:space="preserve"> </w:t>
      </w:r>
    </w:p>
    <w:p w:rsidRPr="00A75D14" w:rsidR="00A75D14" w:rsidP="00A75D14" w:rsidRDefault="005242BD" w14:paraId="30C61E16" w14:textId="1E82ECE0">
      <w:pPr>
        <w:spacing w:line="276" w:lineRule="auto"/>
        <w:jc w:val="center"/>
        <w:rPr>
          <w:rFonts w:ascii="Verdana" w:hAnsi="Verdana" w:eastAsia="Calibri" w:cs="Arial"/>
          <w:lang w:val="es-ES_tradnl" w:eastAsia="es-CO"/>
        </w:rPr>
      </w:pPr>
      <w:r w:rsidRPr="002C3AD6">
        <w:rPr>
          <w:rFonts w:ascii="Century Gothic" w:hAnsi="Century Gothic"/>
          <w:noProof/>
        </w:rPr>
        <w:drawing>
          <wp:inline distT="0" distB="0" distL="0" distR="0" wp14:anchorId="1FC60965" wp14:editId="0B632E21">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3"/>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A75D14" w:rsidR="00A75D14" w:rsidTr="00E347A5" w14:paraId="5D44BF12" w14:textId="77777777">
        <w:trPr>
          <w:trHeight w:val="315"/>
        </w:trPr>
        <w:tc>
          <w:tcPr>
            <w:tcW w:w="893" w:type="dxa"/>
            <w:vAlign w:val="center"/>
            <w:hideMark/>
          </w:tcPr>
          <w:p w:rsidRPr="00A75D14" w:rsidR="00A75D14" w:rsidP="00A75D14" w:rsidRDefault="00A75D14" w14:paraId="3B7CEE63" w14:textId="77777777">
            <w:pPr>
              <w:rPr>
                <w:rFonts w:ascii="Verdana" w:hAnsi="Verdana" w:eastAsia="Calibri" w:cs="Arial"/>
                <w:sz w:val="16"/>
                <w:szCs w:val="16"/>
                <w:lang w:val="es-ES" w:eastAsia="es-ES"/>
              </w:rPr>
            </w:pPr>
            <w:r w:rsidRPr="00A75D14">
              <w:rPr>
                <w:rFonts w:ascii="Verdana" w:hAnsi="Verdana" w:eastAsia="Calibri" w:cs="Arial"/>
                <w:sz w:val="16"/>
                <w:szCs w:val="16"/>
                <w:lang w:val="es-ES" w:eastAsia="es-ES"/>
              </w:rPr>
              <w:t>Elaboró:</w:t>
            </w:r>
          </w:p>
        </w:tc>
        <w:tc>
          <w:tcPr>
            <w:tcW w:w="5628" w:type="dxa"/>
            <w:tcBorders>
              <w:top w:val="nil"/>
              <w:left w:val="nil"/>
              <w:bottom w:val="dotted" w:color="7F7F7F" w:sz="4" w:space="0"/>
              <w:right w:val="nil"/>
            </w:tcBorders>
            <w:vAlign w:val="center"/>
            <w:hideMark/>
          </w:tcPr>
          <w:p w:rsidRPr="00A75D14" w:rsidR="00A75D14" w:rsidP="00A75D14" w:rsidRDefault="00A75D14" w14:paraId="42D20EE0" w14:textId="77777777">
            <w:pPr>
              <w:rPr>
                <w:rFonts w:ascii="Verdana" w:hAnsi="Verdana" w:eastAsia="Arial" w:cs="Arial"/>
                <w:sz w:val="16"/>
                <w:szCs w:val="16"/>
              </w:rPr>
            </w:pPr>
            <w:r w:rsidRPr="00A75D14">
              <w:rPr>
                <w:rFonts w:ascii="Verdana" w:hAnsi="Verdana" w:eastAsia="Arial" w:cs="Arial"/>
                <w:sz w:val="16"/>
                <w:szCs w:val="16"/>
              </w:rPr>
              <w:t>Kevin Arlid Herrera Santa</w:t>
            </w:r>
          </w:p>
          <w:p w:rsidRPr="00A75D14" w:rsidR="00A75D14" w:rsidP="00A75D14" w:rsidRDefault="00A75D14" w14:paraId="0F918916" w14:textId="77777777">
            <w:pPr>
              <w:rPr>
                <w:rFonts w:ascii="Verdana" w:hAnsi="Verdana" w:eastAsia="Arial" w:cs="Arial"/>
                <w:sz w:val="16"/>
                <w:szCs w:val="16"/>
              </w:rPr>
            </w:pPr>
            <w:r w:rsidRPr="00A75D14">
              <w:rPr>
                <w:rFonts w:ascii="Verdana" w:hAnsi="Verdana" w:eastAsia="Arial" w:cs="Arial"/>
                <w:sz w:val="16"/>
                <w:szCs w:val="16"/>
              </w:rPr>
              <w:t>Contratista de la Subdirección de Gestión Contractual</w:t>
            </w:r>
          </w:p>
        </w:tc>
      </w:tr>
      <w:tr w:rsidRPr="00A75D14" w:rsidR="00A75D14" w:rsidTr="00E347A5" w14:paraId="1E486A1A" w14:textId="77777777">
        <w:trPr>
          <w:trHeight w:val="330"/>
        </w:trPr>
        <w:tc>
          <w:tcPr>
            <w:tcW w:w="893" w:type="dxa"/>
            <w:vAlign w:val="center"/>
            <w:hideMark/>
          </w:tcPr>
          <w:p w:rsidRPr="00A75D14" w:rsidR="00A75D14" w:rsidP="00A75D14" w:rsidRDefault="00A75D14" w14:paraId="31630A94" w14:textId="77777777">
            <w:pPr>
              <w:rPr>
                <w:rFonts w:ascii="Verdana" w:hAnsi="Verdana" w:eastAsia="Calibri" w:cs="Arial"/>
                <w:sz w:val="16"/>
                <w:szCs w:val="16"/>
                <w:lang w:val="es-ES" w:eastAsia="es-ES"/>
              </w:rPr>
            </w:pPr>
            <w:r w:rsidRPr="00A75D14">
              <w:rPr>
                <w:rFonts w:ascii="Verdana" w:hAnsi="Verdana" w:eastAsia="Calibri" w:cs="Arial"/>
                <w:sz w:val="16"/>
                <w:szCs w:val="16"/>
                <w:lang w:val="es-ES" w:eastAsia="es-ES"/>
              </w:rPr>
              <w:t>Revisó:</w:t>
            </w:r>
          </w:p>
        </w:tc>
        <w:tc>
          <w:tcPr>
            <w:tcW w:w="5628" w:type="dxa"/>
            <w:tcBorders>
              <w:top w:val="dotted" w:color="7F7F7F" w:sz="4" w:space="0"/>
              <w:left w:val="nil"/>
              <w:bottom w:val="dotted" w:color="7F7F7F" w:sz="4" w:space="0"/>
              <w:right w:val="nil"/>
            </w:tcBorders>
            <w:vAlign w:val="center"/>
            <w:hideMark/>
          </w:tcPr>
          <w:p w:rsidRPr="00A75D14" w:rsidR="00A75D14" w:rsidP="00A75D14" w:rsidRDefault="00A75D14" w14:paraId="3F999EF7" w14:textId="77777777">
            <w:pPr>
              <w:textAlignment w:val="baseline"/>
              <w:rPr>
                <w:rFonts w:ascii="Verdana" w:hAnsi="Verdana" w:eastAsia="Times New Roman" w:cs="Segoe UI"/>
                <w:sz w:val="16"/>
                <w:szCs w:val="16"/>
                <w:lang w:eastAsia="es-ES_tradnl"/>
              </w:rPr>
            </w:pPr>
            <w:r w:rsidRPr="00A75D14">
              <w:rPr>
                <w:rFonts w:ascii="Verdana" w:hAnsi="Verdana" w:eastAsia="Times New Roman" w:cs="Segoe UI"/>
                <w:sz w:val="16"/>
                <w:szCs w:val="16"/>
                <w:lang w:eastAsia="es-ES_tradnl"/>
              </w:rPr>
              <w:t>Juan David Cárdenas Cabeza</w:t>
            </w:r>
          </w:p>
          <w:p w:rsidRPr="00A75D14" w:rsidR="00A75D14" w:rsidP="00A75D14" w:rsidRDefault="00A75D14" w14:paraId="03744359" w14:textId="77777777">
            <w:pPr>
              <w:textAlignment w:val="baseline"/>
              <w:rPr>
                <w:rFonts w:ascii="Verdana" w:hAnsi="Verdana" w:eastAsia="Times New Roman" w:cs="Segoe UI"/>
                <w:sz w:val="16"/>
                <w:szCs w:val="16"/>
                <w:lang w:eastAsia="es-ES_tradnl"/>
              </w:rPr>
            </w:pPr>
            <w:r w:rsidRPr="00A75D14">
              <w:rPr>
                <w:rFonts w:ascii="Verdana" w:hAnsi="Verdana" w:eastAsia="Times New Roman" w:cs="Arial"/>
                <w:sz w:val="16"/>
                <w:szCs w:val="16"/>
                <w:lang w:val="es-ES" w:eastAsia="es-ES_tradnl"/>
              </w:rPr>
              <w:t>Contratista de la Subdirección de Gestión Contractual</w:t>
            </w:r>
            <w:r w:rsidRPr="00A75D14">
              <w:rPr>
                <w:rFonts w:ascii="Verdana" w:hAnsi="Verdana" w:eastAsia="Times New Roman" w:cs="Arial"/>
                <w:sz w:val="16"/>
                <w:szCs w:val="16"/>
                <w:lang w:eastAsia="es-ES_tradnl"/>
              </w:rPr>
              <w:t> </w:t>
            </w:r>
          </w:p>
        </w:tc>
      </w:tr>
      <w:tr w:rsidRPr="00A75D14" w:rsidR="00A75D14" w:rsidTr="00E347A5" w14:paraId="17A6F274" w14:textId="77777777">
        <w:trPr>
          <w:trHeight w:val="300"/>
        </w:trPr>
        <w:tc>
          <w:tcPr>
            <w:tcW w:w="893" w:type="dxa"/>
            <w:vAlign w:val="center"/>
          </w:tcPr>
          <w:p w:rsidRPr="00A75D14" w:rsidR="00A75D14" w:rsidP="00A75D14" w:rsidRDefault="00A75D14" w14:paraId="5B1B26D5" w14:textId="77777777">
            <w:pPr>
              <w:rPr>
                <w:rFonts w:ascii="Verdana" w:hAnsi="Verdana" w:eastAsia="Calibri" w:cs="Arial"/>
                <w:sz w:val="16"/>
                <w:szCs w:val="16"/>
                <w:lang w:val="es-ES" w:eastAsia="es-ES"/>
              </w:rPr>
            </w:pPr>
            <w:r w:rsidRPr="00A75D14">
              <w:rPr>
                <w:rFonts w:ascii="Verdana" w:hAnsi="Verdana" w:eastAsia="Calibri" w:cs="Arial"/>
                <w:sz w:val="16"/>
                <w:szCs w:val="16"/>
                <w:lang w:val="es-ES" w:eastAsia="es-ES"/>
              </w:rPr>
              <w:t>Aprobó:</w:t>
            </w:r>
          </w:p>
        </w:tc>
        <w:tc>
          <w:tcPr>
            <w:tcW w:w="5628" w:type="dxa"/>
            <w:tcBorders>
              <w:top w:val="dotted" w:color="7F7F7F" w:sz="4" w:space="0"/>
              <w:left w:val="nil"/>
              <w:bottom w:val="dotted" w:color="7F7F7F" w:sz="4" w:space="0"/>
              <w:right w:val="nil"/>
            </w:tcBorders>
            <w:vAlign w:val="center"/>
          </w:tcPr>
          <w:p w:rsidRPr="00A75D14" w:rsidR="00A75D14" w:rsidP="00A75D14" w:rsidRDefault="00A75D14" w14:paraId="3BADACD8" w14:textId="77777777">
            <w:pPr>
              <w:rPr>
                <w:rFonts w:ascii="Verdana" w:hAnsi="Verdana" w:eastAsia="Calibri" w:cs="Arial"/>
                <w:sz w:val="16"/>
                <w:szCs w:val="16"/>
                <w:lang w:val="pt-BR" w:eastAsia="es-ES"/>
              </w:rPr>
            </w:pPr>
            <w:r w:rsidRPr="00A75D14">
              <w:rPr>
                <w:rFonts w:ascii="Verdana" w:hAnsi="Verdana" w:eastAsia="Calibri" w:cs="Arial"/>
                <w:sz w:val="16"/>
                <w:szCs w:val="16"/>
                <w:lang w:val="pt-BR" w:eastAsia="es-ES"/>
              </w:rPr>
              <w:t xml:space="preserve">Carolina Quintero </w:t>
            </w:r>
            <w:proofErr w:type="spellStart"/>
            <w:r w:rsidRPr="00A75D14">
              <w:rPr>
                <w:rFonts w:ascii="Verdana" w:hAnsi="Verdana" w:eastAsia="Calibri" w:cs="Arial"/>
                <w:sz w:val="16"/>
                <w:szCs w:val="16"/>
                <w:lang w:val="pt-BR" w:eastAsia="es-ES"/>
              </w:rPr>
              <w:t>Gacharná</w:t>
            </w:r>
            <w:proofErr w:type="spellEnd"/>
          </w:p>
          <w:p w:rsidRPr="00A75D14" w:rsidR="00A75D14" w:rsidP="00A75D14" w:rsidRDefault="00A75D14" w14:paraId="10CCB0CA" w14:textId="77777777">
            <w:pPr>
              <w:rPr>
                <w:rFonts w:ascii="Verdana" w:hAnsi="Verdana" w:eastAsia="Calibri" w:cs="Arial"/>
                <w:sz w:val="16"/>
                <w:szCs w:val="16"/>
                <w:lang w:val="pt-BR" w:eastAsia="es-ES"/>
              </w:rPr>
            </w:pPr>
            <w:r w:rsidRPr="00A75D14">
              <w:rPr>
                <w:rFonts w:ascii="Verdana" w:hAnsi="Verdana" w:eastAsia="Calibri" w:cs="Arial"/>
                <w:sz w:val="16"/>
                <w:szCs w:val="16"/>
                <w:lang w:eastAsia="es-ES"/>
              </w:rPr>
              <w:t>Subdirectora</w:t>
            </w:r>
            <w:r w:rsidRPr="00A75D14">
              <w:rPr>
                <w:rFonts w:ascii="Verdana" w:hAnsi="Verdana" w:eastAsia="Calibri" w:cs="Arial"/>
                <w:sz w:val="16"/>
                <w:szCs w:val="16"/>
                <w:lang w:val="pt-BR" w:eastAsia="es-ES"/>
              </w:rPr>
              <w:t xml:space="preserve"> de Gestión Contratual ANCP – CCE</w:t>
            </w:r>
          </w:p>
        </w:tc>
      </w:tr>
      <w:bookmarkEnd w:id="0"/>
    </w:tbl>
    <w:p w:rsidRPr="0044528D" w:rsidR="00E245AB" w:rsidP="00E245AB" w:rsidRDefault="00E245AB" w14:paraId="0465BA6D" w14:textId="77777777">
      <w:pPr>
        <w:spacing w:after="0"/>
        <w:rPr>
          <w:rFonts w:ascii="Verdana" w:hAnsi="Verdana"/>
        </w:rPr>
      </w:pPr>
    </w:p>
    <w:sectPr w:rsidRPr="0044528D" w:rsidR="00E245AB" w:rsidSect="007C0C0F">
      <w:headerReference w:type="default" r:id="rId14"/>
      <w:footerReference w:type="default" r:id="rId15"/>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7895" w:rsidP="004A1847" w:rsidRDefault="00AF7895" w14:paraId="659134C6" w14:textId="77777777">
      <w:pPr>
        <w:spacing w:after="0" w:line="240" w:lineRule="auto"/>
      </w:pPr>
      <w:r>
        <w:separator/>
      </w:r>
    </w:p>
  </w:endnote>
  <w:endnote w:type="continuationSeparator" w:id="0">
    <w:p w:rsidR="00AF7895" w:rsidP="004A1847" w:rsidRDefault="00AF7895" w14:paraId="0816B85D" w14:textId="77777777">
      <w:pPr>
        <w:spacing w:after="0" w:line="240" w:lineRule="auto"/>
      </w:pPr>
      <w:r>
        <w:continuationSeparator/>
      </w:r>
    </w:p>
  </w:endnote>
  <w:endnote w:type="continuationNotice" w:id="1">
    <w:p w:rsidR="00AF7895" w:rsidRDefault="00AF7895" w14:paraId="4E4B9A8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7895" w:rsidP="004A1847" w:rsidRDefault="00AF7895" w14:paraId="511C4B45" w14:textId="77777777">
      <w:pPr>
        <w:spacing w:after="0" w:line="240" w:lineRule="auto"/>
      </w:pPr>
      <w:r>
        <w:separator/>
      </w:r>
    </w:p>
  </w:footnote>
  <w:footnote w:type="continuationSeparator" w:id="0">
    <w:p w:rsidR="00AF7895" w:rsidP="004A1847" w:rsidRDefault="00AF7895" w14:paraId="6A99F13A" w14:textId="77777777">
      <w:pPr>
        <w:spacing w:after="0" w:line="240" w:lineRule="auto"/>
      </w:pPr>
      <w:r>
        <w:continuationSeparator/>
      </w:r>
    </w:p>
  </w:footnote>
  <w:footnote w:type="continuationNotice" w:id="1">
    <w:p w:rsidR="00AF7895" w:rsidRDefault="00AF7895" w14:paraId="52409E27" w14:textId="77777777">
      <w:pPr>
        <w:spacing w:after="0" w:line="240" w:lineRule="auto"/>
      </w:pPr>
    </w:p>
  </w:footnote>
  <w:footnote w:id="2">
    <w:p w:rsidRPr="00743AC5" w:rsidR="00A75D14" w:rsidP="00A75D14" w:rsidRDefault="00A75D14" w14:paraId="11377D6A" w14:textId="77777777">
      <w:pPr>
        <w:pStyle w:val="Textonotapie"/>
        <w:ind w:firstLine="708"/>
        <w:jc w:val="both"/>
        <w:rPr>
          <w:rFonts w:ascii="Verdana" w:hAnsi="Verdana" w:cs="Arial"/>
          <w:sz w:val="18"/>
          <w:szCs w:val="18"/>
        </w:rPr>
      </w:pPr>
    </w:p>
    <w:p w:rsidRPr="00743AC5" w:rsidR="00A75D14" w:rsidP="00A75D14" w:rsidRDefault="00A75D14" w14:paraId="18D2F698" w14:textId="77777777">
      <w:pPr>
        <w:pStyle w:val="Textonotapie"/>
        <w:ind w:firstLine="708"/>
        <w:jc w:val="both"/>
        <w:rPr>
          <w:rFonts w:ascii="Verdana" w:hAnsi="Verdana" w:cs="Arial"/>
          <w:sz w:val="18"/>
          <w:szCs w:val="18"/>
          <w:lang w:val="es-CO"/>
        </w:rPr>
      </w:pPr>
      <w:r w:rsidRPr="00743AC5">
        <w:rPr>
          <w:rStyle w:val="Refdenotaalpie"/>
          <w:rFonts w:ascii="Verdana" w:hAnsi="Verdana" w:cs="Arial"/>
          <w:sz w:val="18"/>
          <w:szCs w:val="18"/>
        </w:rPr>
        <w:footnoteRef/>
      </w:r>
      <w:r w:rsidRPr="00743AC5">
        <w:rPr>
          <w:rFonts w:ascii="Verdana" w:hAnsi="Verdana" w:cs="Arial"/>
          <w:sz w:val="18"/>
          <w:szCs w:val="18"/>
        </w:rPr>
        <w:t xml:space="preserve"> CONGRESO DE LA REPÚBLICA. Gacetas</w:t>
      </w:r>
      <w:r w:rsidRPr="00743AC5">
        <w:rPr>
          <w:rFonts w:ascii="Verdana" w:hAnsi="Verdana" w:cs="Arial"/>
          <w:sz w:val="18"/>
          <w:szCs w:val="18"/>
          <w:lang w:val="es-CO"/>
        </w:rPr>
        <w:t xml:space="preserve"> legislativas No. 1860 y 1861 de 2021, de Cámara de Representantes y Senado, respectivamente.</w:t>
      </w:r>
    </w:p>
  </w:footnote>
  <w:footnote w:id="3">
    <w:p w:rsidRPr="00743AC5" w:rsidR="00A75D14" w:rsidP="00A75D14" w:rsidRDefault="00A75D14" w14:paraId="704AE9B3" w14:textId="77777777">
      <w:pPr>
        <w:pStyle w:val="Textonotapie"/>
        <w:ind w:firstLine="709"/>
        <w:jc w:val="both"/>
        <w:rPr>
          <w:rFonts w:ascii="Verdana" w:hAnsi="Verdana" w:cs="Arial"/>
          <w:sz w:val="18"/>
          <w:szCs w:val="18"/>
        </w:rPr>
      </w:pPr>
      <w:r w:rsidRPr="00743AC5">
        <w:rPr>
          <w:rStyle w:val="Refdenotaalpie"/>
          <w:rFonts w:ascii="Verdana" w:hAnsi="Verdana" w:cs="Arial"/>
          <w:sz w:val="18"/>
          <w:szCs w:val="18"/>
        </w:rPr>
        <w:footnoteRef/>
      </w:r>
      <w:r w:rsidRPr="00743AC5">
        <w:rPr>
          <w:rFonts w:ascii="Verdana" w:hAnsi="Verdana" w:cs="Arial"/>
          <w:sz w:val="18"/>
          <w:szCs w:val="18"/>
        </w:rPr>
        <w:t xml:space="preserve"> </w:t>
      </w:r>
      <w:r w:rsidRPr="00743AC5">
        <w:rPr>
          <w:rFonts w:ascii="Verdana" w:hAnsi="Verdana" w:cs="Arial"/>
          <w:color w:val="000000"/>
          <w:sz w:val="18"/>
          <w:szCs w:val="18"/>
          <w:lang w:val="es-ES"/>
        </w:rPr>
        <w:t>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4">
    <w:p w:rsidRPr="00743AC5" w:rsidR="00A75D14" w:rsidP="00A75D14" w:rsidRDefault="00A75D14" w14:paraId="04F478FC" w14:textId="77777777">
      <w:pPr>
        <w:pStyle w:val="Textonotapie"/>
        <w:ind w:firstLine="709"/>
        <w:jc w:val="both"/>
        <w:rPr>
          <w:rFonts w:ascii="Verdana" w:hAnsi="Verdana" w:cs="Arial"/>
          <w:color w:val="000000"/>
          <w:sz w:val="18"/>
          <w:szCs w:val="18"/>
        </w:rPr>
      </w:pPr>
      <w:r w:rsidRPr="00743AC5">
        <w:rPr>
          <w:rStyle w:val="Refdenotaalpie"/>
          <w:rFonts w:ascii="Verdana" w:hAnsi="Verdana" w:cs="Arial"/>
          <w:sz w:val="18"/>
          <w:szCs w:val="18"/>
        </w:rPr>
        <w:footnoteRef/>
      </w:r>
      <w:r w:rsidRPr="00743AC5">
        <w:rPr>
          <w:rFonts w:ascii="Verdana" w:hAnsi="Verdana" w:cs="Arial"/>
          <w:color w:val="000000"/>
          <w:sz w:val="18"/>
          <w:szCs w:val="18"/>
        </w:rPr>
        <w:t xml:space="preserve"> La redacción original del parágrafo primero del artículo 32 de la Ley 80 de 1993, incluía la expresión </w:t>
      </w:r>
      <w:r w:rsidRPr="00743AC5">
        <w:rPr>
          <w:rFonts w:ascii="Verdana" w:hAnsi="Verdana" w:cs="Arial"/>
          <w:i/>
          <w:iCs/>
          <w:color w:val="000000"/>
          <w:sz w:val="18"/>
          <w:szCs w:val="18"/>
        </w:rPr>
        <w:t>giro ordinario</w:t>
      </w:r>
      <w:r w:rsidRPr="00743AC5">
        <w:rPr>
          <w:rFonts w:ascii="Verdana" w:hAnsi="Verdana" w:cs="Arial"/>
          <w:color w:val="000000"/>
          <w:sz w:val="18"/>
          <w:szCs w:val="18"/>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743AC5">
        <w:rPr>
          <w:rFonts w:ascii="Verdana" w:hAnsi="Verdana" w:cs="Arial"/>
          <w:i/>
          <w:iCs/>
          <w:color w:val="000000"/>
          <w:sz w:val="18"/>
          <w:szCs w:val="18"/>
        </w:rPr>
        <w:t>al giro ordinario de las actividades propias de su objeto social,</w:t>
      </w:r>
      <w:r w:rsidRPr="00743AC5">
        <w:rPr>
          <w:rFonts w:ascii="Verdana" w:hAnsi="Verdana" w:cs="Arial"/>
          <w:color w:val="000000"/>
          <w:sz w:val="18"/>
          <w:szCs w:val="18"/>
        </w:rPr>
        <w:t xml:space="preserve"> no estarán sujetos a las disposiciones del presente estatuto y se regirán por las disposiciones legales y reglamentarias aplicables a dichas actividades” [Énfasis fuera de texto].</w:t>
      </w:r>
    </w:p>
    <w:p w:rsidRPr="00743AC5" w:rsidR="00A75D14" w:rsidP="00A75D14" w:rsidRDefault="00A75D14" w14:paraId="31D1FFE3" w14:textId="77777777">
      <w:pPr>
        <w:pStyle w:val="Textonotapie"/>
        <w:ind w:firstLine="709"/>
        <w:jc w:val="both"/>
        <w:rPr>
          <w:rFonts w:ascii="Verdana" w:hAnsi="Verdana" w:cs="Arial"/>
          <w:color w:val="000000"/>
          <w:sz w:val="18"/>
          <w:szCs w:val="18"/>
        </w:rPr>
      </w:pPr>
    </w:p>
  </w:footnote>
  <w:footnote w:id="5">
    <w:p w:rsidRPr="00743AC5" w:rsidR="00A75D14" w:rsidP="00A75D14" w:rsidRDefault="00A75D14" w14:paraId="605284F9" w14:textId="77777777">
      <w:pPr>
        <w:pStyle w:val="Textonotapie"/>
        <w:ind w:firstLine="709"/>
        <w:jc w:val="both"/>
        <w:rPr>
          <w:rFonts w:ascii="Verdana" w:hAnsi="Verdana" w:cs="Arial"/>
          <w:color w:val="000000"/>
          <w:sz w:val="18"/>
          <w:szCs w:val="18"/>
        </w:rPr>
      </w:pPr>
      <w:r w:rsidRPr="00743AC5">
        <w:rPr>
          <w:rStyle w:val="Refdenotaalpie"/>
          <w:rFonts w:ascii="Verdana" w:hAnsi="Verdana" w:cs="Arial"/>
          <w:sz w:val="18"/>
          <w:szCs w:val="18"/>
        </w:rPr>
        <w:footnoteRef/>
      </w:r>
      <w:r w:rsidRPr="00743AC5">
        <w:rPr>
          <w:rFonts w:ascii="Verdana" w:hAnsi="Verdana" w:cs="Arial"/>
          <w:color w:val="000000"/>
          <w:sz w:val="18"/>
          <w:szCs w:val="18"/>
        </w:rPr>
        <w:t xml:space="preserve"> Consejo de Estado. Sección Tercera. Subsección B. Sentencia del 12 de octubre de 2011. Exp. No. 20070. C.P. Danilo Rojas Betancourt.</w:t>
      </w:r>
    </w:p>
    <w:p w:rsidRPr="00743AC5" w:rsidR="00A75D14" w:rsidP="00A75D14" w:rsidRDefault="00A75D14" w14:paraId="58C438AB" w14:textId="77777777">
      <w:pPr>
        <w:pStyle w:val="Textonotapie"/>
        <w:ind w:firstLine="709"/>
        <w:jc w:val="both"/>
        <w:rPr>
          <w:rFonts w:ascii="Verdana" w:hAnsi="Verdana" w:cs="Arial"/>
          <w:color w:val="000000"/>
          <w:sz w:val="18"/>
          <w:szCs w:val="18"/>
          <w:lang w:val="es-ES"/>
        </w:rPr>
      </w:pPr>
    </w:p>
  </w:footnote>
  <w:footnote w:id="6">
    <w:p w:rsidRPr="00743AC5" w:rsidR="00A75D14" w:rsidP="00A75D14" w:rsidRDefault="00A75D14" w14:paraId="7ABEEDC1" w14:textId="77777777">
      <w:pPr>
        <w:spacing w:line="240" w:lineRule="auto"/>
        <w:ind w:firstLine="709"/>
        <w:jc w:val="both"/>
        <w:rPr>
          <w:rFonts w:ascii="Verdana" w:hAnsi="Verdana" w:cs="Arial"/>
          <w:color w:val="000000"/>
          <w:sz w:val="18"/>
          <w:szCs w:val="18"/>
        </w:rPr>
      </w:pPr>
      <w:r w:rsidRPr="00743AC5">
        <w:rPr>
          <w:rStyle w:val="Refdenotaalpie"/>
          <w:rFonts w:ascii="Verdana" w:hAnsi="Verdana" w:cs="Arial"/>
          <w:sz w:val="18"/>
          <w:szCs w:val="18"/>
        </w:rPr>
        <w:footnoteRef/>
      </w:r>
      <w:r w:rsidRPr="00743AC5">
        <w:rPr>
          <w:rFonts w:ascii="Verdana" w:hAnsi="Verdana" w:cs="Arial"/>
          <w:color w:val="000000"/>
          <w:sz w:val="18"/>
          <w:szCs w:val="18"/>
        </w:rPr>
        <w:t xml:space="preserve"> Consejo de Estado. Sección Tercera. Subsección A. Sentencia del 3 de marzo de 2021. Exp. No. 51373. C.P. José Roberto Sáchica Méndez.</w:t>
      </w:r>
    </w:p>
    <w:p w:rsidRPr="00743AC5" w:rsidR="00A75D14" w:rsidP="00A75D14" w:rsidRDefault="00A75D14" w14:paraId="09B40C10" w14:textId="77777777">
      <w:pPr>
        <w:spacing w:line="240" w:lineRule="auto"/>
        <w:ind w:firstLine="709"/>
        <w:jc w:val="both"/>
        <w:rPr>
          <w:rFonts w:ascii="Verdana" w:hAnsi="Verdana" w:cs="Arial"/>
          <w:color w:val="000000"/>
          <w:sz w:val="18"/>
          <w:szCs w:val="18"/>
        </w:rPr>
      </w:pPr>
      <w:r w:rsidRPr="00743AC5">
        <w:rPr>
          <w:rFonts w:ascii="Verdana" w:hAnsi="Verdana" w:cs="Arial"/>
          <w:color w:val="000000"/>
          <w:sz w:val="18"/>
          <w:szCs w:val="18"/>
        </w:rPr>
        <w:t xml:space="preserve"> </w:t>
      </w:r>
    </w:p>
  </w:footnote>
  <w:footnote w:id="7">
    <w:p w:rsidRPr="00743AC5" w:rsidR="00A75D14" w:rsidP="00A75D14" w:rsidRDefault="00A75D14" w14:paraId="5B3F7A88" w14:textId="77777777">
      <w:pPr>
        <w:pStyle w:val="Textonotapie"/>
        <w:ind w:firstLine="709"/>
        <w:jc w:val="both"/>
        <w:rPr>
          <w:rFonts w:ascii="Verdana" w:hAnsi="Verdana" w:cs="Arial"/>
          <w:color w:val="000000"/>
          <w:sz w:val="18"/>
          <w:szCs w:val="18"/>
        </w:rPr>
      </w:pPr>
      <w:r w:rsidRPr="00743AC5">
        <w:rPr>
          <w:rStyle w:val="Refdenotaalpie"/>
          <w:rFonts w:ascii="Verdana" w:hAnsi="Verdana" w:cs="Arial"/>
          <w:sz w:val="18"/>
          <w:szCs w:val="18"/>
        </w:rPr>
        <w:footnoteRef/>
      </w:r>
      <w:r w:rsidRPr="00743AC5">
        <w:rPr>
          <w:rFonts w:ascii="Verdana" w:hAnsi="Verdana" w:cs="Arial"/>
          <w:color w:val="000000"/>
          <w:sz w:val="18"/>
          <w:szCs w:val="18"/>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rsidRPr="00743AC5" w:rsidR="00A75D14" w:rsidP="00A75D14" w:rsidRDefault="00A75D14" w14:paraId="2D4CA081" w14:textId="77777777">
      <w:pPr>
        <w:pStyle w:val="Textonotapie"/>
        <w:ind w:firstLine="709"/>
        <w:jc w:val="both"/>
        <w:rPr>
          <w:rFonts w:ascii="Verdana" w:hAnsi="Verdana" w:cs="Arial"/>
          <w:color w:val="000000"/>
          <w:sz w:val="18"/>
          <w:szCs w:val="18"/>
        </w:rPr>
      </w:pPr>
      <w:r w:rsidRPr="00743AC5">
        <w:rPr>
          <w:rFonts w:ascii="Verdana" w:hAnsi="Verdana" w:cs="Arial"/>
          <w:color w:val="000000"/>
          <w:sz w:val="18"/>
          <w:szCs w:val="18"/>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8">
    <w:p w:rsidRPr="00743AC5" w:rsidR="00A75D14" w:rsidP="00A75D14" w:rsidRDefault="00A75D14" w14:paraId="6FB63A52" w14:textId="77777777">
      <w:pPr>
        <w:pStyle w:val="Textonotapie"/>
        <w:ind w:firstLine="709"/>
        <w:jc w:val="both"/>
        <w:rPr>
          <w:rFonts w:ascii="Verdana" w:hAnsi="Verdana" w:cs="Arial"/>
          <w:color w:val="000000"/>
          <w:sz w:val="18"/>
          <w:szCs w:val="18"/>
        </w:rPr>
      </w:pPr>
    </w:p>
    <w:p w:rsidRPr="00743AC5" w:rsidR="00A75D14" w:rsidP="00A75D14" w:rsidRDefault="00A75D14" w14:paraId="3CE8443D" w14:textId="77777777">
      <w:pPr>
        <w:pStyle w:val="Textonotapie"/>
        <w:ind w:firstLine="709"/>
        <w:jc w:val="both"/>
        <w:rPr>
          <w:rFonts w:ascii="Verdana" w:hAnsi="Verdana" w:cs="Arial"/>
          <w:color w:val="000000"/>
          <w:sz w:val="18"/>
          <w:szCs w:val="18"/>
        </w:rPr>
      </w:pPr>
      <w:r w:rsidRPr="00743AC5">
        <w:rPr>
          <w:rStyle w:val="Refdenotaalpie"/>
          <w:rFonts w:ascii="Verdana" w:hAnsi="Verdana" w:cs="Arial"/>
          <w:sz w:val="18"/>
          <w:szCs w:val="18"/>
        </w:rPr>
        <w:footnoteRef/>
      </w:r>
      <w:r w:rsidRPr="00743AC5">
        <w:rPr>
          <w:rFonts w:ascii="Verdana" w:hAnsi="Verdana" w:cs="Arial"/>
          <w:color w:val="000000"/>
          <w:sz w:val="18"/>
          <w:szCs w:val="18"/>
        </w:rPr>
        <w:t xml:space="preserve"> Superintendencia de Sociedades. Oficio 220-014111 del 18 de febrero de 2015. Consultado el 4 de junio de 2024 en: </w:t>
      </w:r>
      <w:hyperlink w:history="1" r:id="rId1">
        <w:r w:rsidRPr="00743AC5">
          <w:rPr>
            <w:rStyle w:val="Hipervnculo"/>
            <w:rFonts w:ascii="Verdana" w:hAnsi="Verdana" w:cs="Arial"/>
            <w:sz w:val="18"/>
            <w:szCs w:val="18"/>
          </w:rPr>
          <w:t>https://www.google.com/url?sa=t&amp;source=web&amp;rct=j&amp;opi=89978449&amp;url=https://www.supersociedades.gov.co/documents/107391/159040/OFICIO%2B220-014111%2BDE%2B2015.pdf/eb5e710f-d8b7-df76-125b-960ff46a9304%3Ft%3D1670899573061%26download%3Dtrue&amp;ved=2ahUKEwj9kJParMKGAxXuTTABHaENC7wQFnoECBIQAQ&amp;usg=AOvVaw3ndDRzYhuwXRRSLBYPpr25</w:t>
        </w:r>
      </w:hyperlink>
      <w:r w:rsidRPr="00743AC5">
        <w:rPr>
          <w:rFonts w:ascii="Verdana" w:hAnsi="Verdana" w:cs="Arial"/>
          <w:color w:val="000000"/>
          <w:sz w:val="18"/>
          <w:szCs w:val="18"/>
        </w:rPr>
        <w:t xml:space="preserve"> </w:t>
      </w:r>
    </w:p>
  </w:footnote>
  <w:footnote w:id="9">
    <w:p w:rsidRPr="00743AC5" w:rsidR="00A75D14" w:rsidP="00A75D14" w:rsidRDefault="00A75D14" w14:paraId="358EBA18" w14:textId="77777777">
      <w:pPr>
        <w:pStyle w:val="Textonotapie"/>
        <w:ind w:firstLine="709"/>
        <w:jc w:val="both"/>
        <w:rPr>
          <w:rFonts w:ascii="Verdana" w:hAnsi="Verdana" w:cs="Arial"/>
          <w:color w:val="000000"/>
          <w:sz w:val="18"/>
          <w:szCs w:val="18"/>
        </w:rPr>
      </w:pPr>
      <w:r w:rsidRPr="00743AC5">
        <w:rPr>
          <w:rStyle w:val="Refdenotaalpie"/>
          <w:rFonts w:ascii="Verdana" w:hAnsi="Verdana" w:cs="Arial"/>
          <w:sz w:val="18"/>
          <w:szCs w:val="18"/>
        </w:rPr>
        <w:footnoteRef/>
      </w:r>
      <w:r w:rsidRPr="00743AC5">
        <w:rPr>
          <w:rFonts w:ascii="Verdana" w:hAnsi="Verdana" w:cs="Arial"/>
          <w:color w:val="000000"/>
          <w:sz w:val="18"/>
          <w:szCs w:val="18"/>
        </w:rPr>
        <w:t xml:space="preserve"> Al respecto ha señalado la Corte Constitucional: “En relación con el ámbito de configuración del legislador en materia contractual la jurisprudencia constitucional ha señalado los siguientes criterios:</w:t>
      </w:r>
    </w:p>
    <w:p w:rsidRPr="00743AC5" w:rsidR="00A75D14" w:rsidP="00A75D14" w:rsidRDefault="00A75D14" w14:paraId="3F85EDB4" w14:textId="77777777">
      <w:pPr>
        <w:pStyle w:val="Textonotapie"/>
        <w:ind w:firstLine="709"/>
        <w:jc w:val="both"/>
        <w:rPr>
          <w:rFonts w:ascii="Verdana" w:hAnsi="Verdana" w:cs="Arial"/>
          <w:color w:val="000000"/>
          <w:sz w:val="18"/>
          <w:szCs w:val="18"/>
        </w:rPr>
      </w:pPr>
      <w:r w:rsidRPr="00743AC5">
        <w:rPr>
          <w:rFonts w:ascii="Verdana" w:hAnsi="Verdana" w:cs="Arial"/>
          <w:color w:val="000000"/>
          <w:sz w:val="18"/>
          <w:szCs w:val="18"/>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w:t>
      </w:r>
    </w:p>
    <w:p w:rsidRPr="00743AC5" w:rsidR="00A75D14" w:rsidP="00A75D14" w:rsidRDefault="00A75D14" w14:paraId="0FFCFB12" w14:textId="77777777">
      <w:pPr>
        <w:pStyle w:val="Textonotapie"/>
        <w:ind w:firstLine="709"/>
        <w:jc w:val="both"/>
        <w:rPr>
          <w:rFonts w:ascii="Verdana" w:hAnsi="Verdana" w:cs="Arial"/>
          <w:color w:val="000000"/>
          <w:sz w:val="18"/>
          <w:szCs w:val="18"/>
        </w:rPr>
      </w:pPr>
      <w:r w:rsidRPr="00743AC5">
        <w:rPr>
          <w:rFonts w:ascii="Verdana" w:hAnsi="Verdana" w:cs="Arial"/>
          <w:color w:val="000000"/>
          <w:sz w:val="18"/>
          <w:szCs w:val="18"/>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w:t>
      </w:r>
    </w:p>
    <w:p w:rsidRPr="00743AC5" w:rsidR="00A75D14" w:rsidP="00A75D14" w:rsidRDefault="00A75D14" w14:paraId="77388B7F" w14:textId="77777777">
      <w:pPr>
        <w:pStyle w:val="Textonotapie"/>
        <w:ind w:firstLine="709"/>
        <w:jc w:val="both"/>
        <w:rPr>
          <w:rFonts w:ascii="Verdana" w:hAnsi="Verdana" w:cs="Arial"/>
          <w:color w:val="000000"/>
          <w:sz w:val="18"/>
          <w:szCs w:val="18"/>
        </w:rPr>
      </w:pPr>
      <w:r w:rsidRPr="00743AC5">
        <w:rPr>
          <w:rFonts w:ascii="Verdana" w:hAnsi="Verdana" w:cs="Arial"/>
          <w:color w:val="000000"/>
          <w:sz w:val="18"/>
          <w:szCs w:val="18"/>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rsidRPr="00743AC5" w:rsidR="00A75D14" w:rsidP="00A75D14" w:rsidRDefault="00A75D14" w14:paraId="4F4C7C8C" w14:textId="77777777">
      <w:pPr>
        <w:pStyle w:val="Textonotapie"/>
        <w:ind w:firstLine="709"/>
        <w:jc w:val="both"/>
        <w:rPr>
          <w:rFonts w:ascii="Verdana" w:hAnsi="Verdana" w:cs="Arial"/>
          <w:color w:val="000000"/>
          <w:sz w:val="18"/>
          <w:szCs w:val="18"/>
        </w:rPr>
      </w:pPr>
      <w:r w:rsidRPr="00743AC5">
        <w:rPr>
          <w:rFonts w:ascii="Verdana" w:hAnsi="Verdana" w:cs="Arial"/>
          <w:color w:val="000000"/>
          <w:sz w:val="18"/>
          <w:szCs w:val="18"/>
        </w:rPr>
        <w:t xml:space="preserve"> </w:t>
      </w:r>
    </w:p>
  </w:footnote>
  <w:footnote w:id="10">
    <w:p w:rsidRPr="00743AC5" w:rsidR="00A75D14" w:rsidP="00A75D14" w:rsidRDefault="00A75D14" w14:paraId="4452F8FA" w14:textId="77777777">
      <w:pPr>
        <w:pStyle w:val="Textonotapie"/>
        <w:ind w:firstLine="709"/>
        <w:jc w:val="both"/>
        <w:rPr>
          <w:rFonts w:ascii="Verdana" w:hAnsi="Verdana" w:cs="Arial"/>
          <w:color w:val="000000"/>
          <w:sz w:val="18"/>
          <w:szCs w:val="18"/>
        </w:rPr>
      </w:pPr>
      <w:r w:rsidRPr="00743AC5">
        <w:rPr>
          <w:rStyle w:val="Refdenotaalpie"/>
          <w:rFonts w:ascii="Verdana" w:hAnsi="Verdana" w:cs="Arial"/>
          <w:sz w:val="18"/>
          <w:szCs w:val="18"/>
        </w:rPr>
        <w:footnoteRef/>
      </w:r>
      <w:r w:rsidRPr="00743AC5">
        <w:rPr>
          <w:rFonts w:ascii="Verdana" w:hAnsi="Verdana" w:cs="Arial"/>
          <w:sz w:val="18"/>
          <w:szCs w:val="18"/>
        </w:rPr>
        <w:t xml:space="preserve"> </w:t>
      </w:r>
      <w:r w:rsidRPr="00743AC5">
        <w:rPr>
          <w:rFonts w:ascii="Verdana" w:hAnsi="Verdana" w:cs="Arial"/>
          <w:color w:val="000000"/>
          <w:sz w:val="18"/>
          <w:szCs w:val="18"/>
        </w:rPr>
        <w:t>Consejo de Estado. Sección Tercera. Subsección A. Sentencia del 24 de junio de 2015. Exp. 40.635. Consejero Ponente: Hernán Andrade Rincón (E).</w:t>
      </w:r>
    </w:p>
    <w:p w:rsidRPr="00743AC5" w:rsidR="00A75D14" w:rsidP="00A75D14" w:rsidRDefault="00A75D14" w14:paraId="3E265ACC" w14:textId="77777777">
      <w:pPr>
        <w:pStyle w:val="Textonotapie"/>
        <w:ind w:firstLine="709"/>
        <w:jc w:val="both"/>
        <w:rPr>
          <w:rFonts w:ascii="Verdana" w:hAnsi="Verdana" w:cs="Arial"/>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86" style="width:10.3pt;height:10.3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 w15:restartNumberingAfterBreak="0">
    <w:nsid w:val="51E463C4"/>
    <w:multiLevelType w:val="hybridMultilevel"/>
    <w:tmpl w:val="3EA81EB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614E4230"/>
    <w:multiLevelType w:val="hybridMultilevel"/>
    <w:tmpl w:val="F43A1A0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5"/>
  </w:num>
  <w:num w:numId="8" w16cid:durableId="152644682">
    <w:abstractNumId w:val="14"/>
  </w:num>
  <w:num w:numId="9" w16cid:durableId="1317221377">
    <w:abstractNumId w:val="7"/>
  </w:num>
  <w:num w:numId="10" w16cid:durableId="1471245386">
    <w:abstractNumId w:val="13"/>
  </w:num>
  <w:num w:numId="11" w16cid:durableId="289172385">
    <w:abstractNumId w:val="8"/>
  </w:num>
  <w:num w:numId="12" w16cid:durableId="1470781324">
    <w:abstractNumId w:val="1"/>
  </w:num>
  <w:num w:numId="13" w16cid:durableId="1512908409">
    <w:abstractNumId w:val="3"/>
  </w:num>
  <w:num w:numId="14" w16cid:durableId="895897244">
    <w:abstractNumId w:val="16"/>
  </w:num>
  <w:num w:numId="15" w16cid:durableId="390349800">
    <w:abstractNumId w:val="12"/>
  </w:num>
  <w:num w:numId="16" w16cid:durableId="341274352">
    <w:abstractNumId w:val="0"/>
  </w:num>
  <w:num w:numId="17" w16cid:durableId="679089576">
    <w:abstractNumId w:val="9"/>
  </w:num>
  <w:num w:numId="18" w16cid:durableId="1655985476">
    <w:abstractNumId w:val="10"/>
  </w:num>
  <w:num w:numId="19" w16cid:durableId="18875224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031D"/>
    <w:rsid w:val="000A683E"/>
    <w:rsid w:val="000B19B9"/>
    <w:rsid w:val="000D0334"/>
    <w:rsid w:val="000F6486"/>
    <w:rsid w:val="00125105"/>
    <w:rsid w:val="00127233"/>
    <w:rsid w:val="00166571"/>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57D11"/>
    <w:rsid w:val="00374F5E"/>
    <w:rsid w:val="00377E3E"/>
    <w:rsid w:val="003A26D1"/>
    <w:rsid w:val="003A779E"/>
    <w:rsid w:val="003D0F4D"/>
    <w:rsid w:val="003D5B0D"/>
    <w:rsid w:val="003E0499"/>
    <w:rsid w:val="003F3941"/>
    <w:rsid w:val="00406575"/>
    <w:rsid w:val="0042722E"/>
    <w:rsid w:val="0044528D"/>
    <w:rsid w:val="004A1847"/>
    <w:rsid w:val="004A305D"/>
    <w:rsid w:val="004F21C4"/>
    <w:rsid w:val="004F685F"/>
    <w:rsid w:val="005242BD"/>
    <w:rsid w:val="005566E8"/>
    <w:rsid w:val="00557F97"/>
    <w:rsid w:val="00574867"/>
    <w:rsid w:val="00575BEC"/>
    <w:rsid w:val="00591460"/>
    <w:rsid w:val="00592628"/>
    <w:rsid w:val="005C3777"/>
    <w:rsid w:val="005C5CDC"/>
    <w:rsid w:val="005D476C"/>
    <w:rsid w:val="00610812"/>
    <w:rsid w:val="00611911"/>
    <w:rsid w:val="006219F8"/>
    <w:rsid w:val="00650FF7"/>
    <w:rsid w:val="00665D70"/>
    <w:rsid w:val="00671DAC"/>
    <w:rsid w:val="006900D9"/>
    <w:rsid w:val="006D12F8"/>
    <w:rsid w:val="006E47B3"/>
    <w:rsid w:val="00706C16"/>
    <w:rsid w:val="00756841"/>
    <w:rsid w:val="007649AB"/>
    <w:rsid w:val="00771D0C"/>
    <w:rsid w:val="007833AC"/>
    <w:rsid w:val="007B268C"/>
    <w:rsid w:val="007B7171"/>
    <w:rsid w:val="007C0C0F"/>
    <w:rsid w:val="007C3DC2"/>
    <w:rsid w:val="007E5497"/>
    <w:rsid w:val="00806F5F"/>
    <w:rsid w:val="00820278"/>
    <w:rsid w:val="00824CAD"/>
    <w:rsid w:val="00864FB7"/>
    <w:rsid w:val="008843B6"/>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D68B4"/>
    <w:rsid w:val="009F3A13"/>
    <w:rsid w:val="00A122D3"/>
    <w:rsid w:val="00A17F13"/>
    <w:rsid w:val="00A20739"/>
    <w:rsid w:val="00A22D0B"/>
    <w:rsid w:val="00A25BDE"/>
    <w:rsid w:val="00A33C78"/>
    <w:rsid w:val="00A75D14"/>
    <w:rsid w:val="00AB0ADB"/>
    <w:rsid w:val="00AF7895"/>
    <w:rsid w:val="00B01B1A"/>
    <w:rsid w:val="00B32738"/>
    <w:rsid w:val="00B33810"/>
    <w:rsid w:val="00B72CD3"/>
    <w:rsid w:val="00B72FFF"/>
    <w:rsid w:val="00BC3D36"/>
    <w:rsid w:val="00BD7F72"/>
    <w:rsid w:val="00C04FB3"/>
    <w:rsid w:val="00C330EB"/>
    <w:rsid w:val="00C754BE"/>
    <w:rsid w:val="00C76B1C"/>
    <w:rsid w:val="00CB6357"/>
    <w:rsid w:val="00CC1B26"/>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76AFC"/>
    <w:rsid w:val="00FA47C0"/>
    <w:rsid w:val="00FB5DD1"/>
    <w:rsid w:val="00FC262E"/>
    <w:rsid w:val="00FC2B5D"/>
    <w:rsid w:val="00FF1449"/>
    <w:rsid w:val="5CEADB7B"/>
    <w:rsid w:val="7790C8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A75D14"/>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colombiacompra.gov.co/sala-de-prensa/boletin-digita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relatoria.colombiacompra.gov.co/busqueda/concepto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source=web&amp;rct=j&amp;opi=89978449&amp;url=https://www.supersociedades.gov.co/documents/107391/159040/OFICIO%2B220-014111%2BDE%2B2015.pdf/eb5e710f-d8b7-df76-125b-960ff46a9304%3Ft%3D1670899573061%26download%3Dtrue&amp;ved=2ahUKEwj9kJParMKGAxXuTTABHaENC7wQFnoECBIQAQ&amp;usg=AOvVaw3ndDRzYhuwXRRSLBYPpr2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859C6E6F-386D-4512-AACE-3C7A04E116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Rey David Saido Quintero</lastModifiedBy>
  <revision>5</revision>
  <lastPrinted>2023-01-10T21:18:00.0000000Z</lastPrinted>
  <dcterms:created xsi:type="dcterms:W3CDTF">2024-08-04T00:25:00.0000000Z</dcterms:created>
  <dcterms:modified xsi:type="dcterms:W3CDTF">2024-08-06T22:30:09.9890250Z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