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DFF9" w14:textId="77777777" w:rsidR="00F12C0F" w:rsidRPr="003A604C" w:rsidRDefault="00F12C0F" w:rsidP="00F12C0F">
      <w:pPr>
        <w:contextualSpacing/>
        <w:jc w:val="both"/>
        <w:rPr>
          <w:rFonts w:ascii="Verdana" w:hAnsi="Verdana" w:cs="Arial"/>
          <w:b/>
          <w:bdr w:val="none" w:sz="0" w:space="0" w:color="auto" w:frame="1"/>
          <w:lang w:eastAsia="es-CO"/>
        </w:rPr>
      </w:pPr>
      <w:r w:rsidRPr="003A604C">
        <w:rPr>
          <w:rFonts w:ascii="Verdana" w:hAnsi="Verdana" w:cs="Arial"/>
          <w:b/>
          <w:bdr w:val="none" w:sz="0" w:space="0" w:color="auto" w:frame="1"/>
          <w:lang w:eastAsia="es-CO"/>
        </w:rPr>
        <w:t>SUBSANACIÓN – Requisitos Habilitantes – Reglas</w:t>
      </w:r>
    </w:p>
    <w:p w14:paraId="7DC63755" w14:textId="77777777" w:rsidR="00F12C0F" w:rsidRDefault="00F12C0F" w:rsidP="00F12C0F">
      <w:pPr>
        <w:spacing w:before="240"/>
        <w:contextualSpacing/>
        <w:jc w:val="both"/>
        <w:rPr>
          <w:rFonts w:ascii="Century Gothic" w:hAnsi="Century Gothic"/>
          <w:sz w:val="20"/>
          <w:szCs w:val="20"/>
        </w:rPr>
      </w:pPr>
    </w:p>
    <w:p w14:paraId="3845BCF4" w14:textId="77777777" w:rsidR="00F12C0F" w:rsidRPr="003A604C" w:rsidRDefault="00F12C0F" w:rsidP="00F12C0F">
      <w:pPr>
        <w:contextualSpacing/>
        <w:jc w:val="both"/>
        <w:rPr>
          <w:rFonts w:ascii="Verdana" w:eastAsia="Calibri" w:hAnsi="Verdana" w:cs="Arial"/>
          <w:color w:val="000000" w:themeColor="text1"/>
          <w:sz w:val="20"/>
          <w:szCs w:val="20"/>
          <w:lang w:val="es-ES"/>
        </w:rPr>
      </w:pPr>
      <w:r w:rsidRPr="003A604C">
        <w:rPr>
          <w:rFonts w:ascii="Verdana" w:eastAsia="Calibri" w:hAnsi="Verdana" w:cs="Arial"/>
          <w:color w:val="000000" w:themeColor="text1"/>
          <w:sz w:val="20"/>
          <w:szCs w:val="20"/>
          <w:lang w:val="es-ES"/>
        </w:rPr>
        <w:t>En consecuencia, una vez verificada la ausencia de requisitos y/o documentos de la oferta, para efectos de saber si se pueden subsanar, la Entidad Estatal se debe preguntar, en primer lugar, si lo que hace falta o debe corregirse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666EA6E4" w14:textId="77777777" w:rsidR="00F12C0F" w:rsidRDefault="00F12C0F" w:rsidP="00F12C0F">
      <w:pPr>
        <w:contextualSpacing/>
        <w:jc w:val="both"/>
        <w:rPr>
          <w:rFonts w:ascii="Century Gothic" w:eastAsia="Calibri" w:hAnsi="Century Gothic" w:cs="Arial"/>
          <w:b/>
          <w:bCs/>
          <w:sz w:val="20"/>
          <w:szCs w:val="20"/>
        </w:rPr>
      </w:pPr>
    </w:p>
    <w:p w14:paraId="3E057941" w14:textId="77777777" w:rsidR="00F12C0F" w:rsidRPr="003A604C" w:rsidRDefault="00F12C0F" w:rsidP="00F12C0F">
      <w:pPr>
        <w:contextualSpacing/>
        <w:jc w:val="both"/>
        <w:rPr>
          <w:rFonts w:ascii="Verdana" w:hAnsi="Verdana" w:cs="Arial"/>
          <w:b/>
          <w:bdr w:val="none" w:sz="0" w:space="0" w:color="auto" w:frame="1"/>
          <w:lang w:eastAsia="es-CO"/>
        </w:rPr>
      </w:pPr>
      <w:r w:rsidRPr="003A604C">
        <w:rPr>
          <w:rFonts w:ascii="Verdana" w:hAnsi="Verdana" w:cs="Arial"/>
          <w:b/>
          <w:bdr w:val="none" w:sz="0" w:space="0" w:color="auto" w:frame="1"/>
          <w:lang w:eastAsia="es-CO"/>
        </w:rPr>
        <w:t xml:space="preserve">MÍNIMA CUANTÍA - Subsanación </w:t>
      </w:r>
    </w:p>
    <w:p w14:paraId="73099930" w14:textId="77777777" w:rsidR="00F12C0F" w:rsidRDefault="00F12C0F" w:rsidP="00F12C0F">
      <w:pPr>
        <w:spacing w:after="0" w:line="240" w:lineRule="auto"/>
        <w:jc w:val="both"/>
        <w:rPr>
          <w:rFonts w:ascii="Century Gothic" w:hAnsi="Century Gothic"/>
          <w:sz w:val="20"/>
          <w:szCs w:val="20"/>
        </w:rPr>
      </w:pPr>
    </w:p>
    <w:p w14:paraId="5246B9D4" w14:textId="77777777" w:rsidR="00F12C0F" w:rsidRPr="003A604C" w:rsidRDefault="00F12C0F" w:rsidP="00F12C0F">
      <w:pPr>
        <w:contextualSpacing/>
        <w:jc w:val="both"/>
        <w:rPr>
          <w:rFonts w:ascii="Verdana" w:eastAsia="Calibri" w:hAnsi="Verdana" w:cs="Arial"/>
          <w:color w:val="000000" w:themeColor="text1"/>
          <w:sz w:val="20"/>
          <w:szCs w:val="20"/>
          <w:lang w:val="es-ES"/>
        </w:rPr>
      </w:pPr>
      <w:r w:rsidRPr="003A604C">
        <w:rPr>
          <w:rFonts w:ascii="Verdana" w:eastAsia="Calibri" w:hAnsi="Verdana" w:cs="Arial"/>
          <w:color w:val="000000" w:themeColor="text1"/>
          <w:sz w:val="20"/>
          <w:szCs w:val="20"/>
          <w:lang w:val="es-ES"/>
        </w:rPr>
        <w:t xml:space="preserve">Ahora bien, en relación con el término para subsanar ofertas en los procesos de selección por mínima cuantía, previo a la expedición del Decreto 1860 de 2021, surgían tres posibles interpretaciones: i) que en la mínima cuantía no se permite la subsanabilidad – interpretación que no es acorde con el principio de la prevalencia de lo sustancial sobre lo formal–, ii) que el término para presentar los requisitos subsanados es el mismo de publicación del informe de evaluación, es decir, un (1) día hábil, iii) que existe un vacío y que este puede llenarse discrecionalmente por la entidad estatal, disponiendo de un término razonable de subsanabilidad. </w:t>
      </w:r>
    </w:p>
    <w:p w14:paraId="7E53C95C" w14:textId="77777777" w:rsidR="00F12C0F" w:rsidRPr="003A604C" w:rsidRDefault="00F12C0F" w:rsidP="00F12C0F">
      <w:pPr>
        <w:contextualSpacing/>
        <w:jc w:val="both"/>
        <w:rPr>
          <w:rFonts w:ascii="Verdana" w:eastAsia="Calibri" w:hAnsi="Verdana" w:cs="Arial"/>
          <w:color w:val="000000" w:themeColor="text1"/>
          <w:sz w:val="20"/>
          <w:szCs w:val="20"/>
          <w:lang w:val="es-ES"/>
        </w:rPr>
      </w:pPr>
    </w:p>
    <w:p w14:paraId="6F60DC55" w14:textId="77777777" w:rsidR="00F12C0F" w:rsidRPr="003A604C" w:rsidRDefault="00F12C0F" w:rsidP="00F12C0F">
      <w:pPr>
        <w:contextualSpacing/>
        <w:jc w:val="both"/>
        <w:rPr>
          <w:rFonts w:ascii="Verdana" w:eastAsia="Calibri" w:hAnsi="Verdana" w:cs="Arial"/>
          <w:color w:val="000000" w:themeColor="text1"/>
          <w:sz w:val="20"/>
          <w:szCs w:val="20"/>
          <w:lang w:val="es-ES"/>
        </w:rPr>
      </w:pPr>
      <w:r w:rsidRPr="003A604C">
        <w:rPr>
          <w:rFonts w:ascii="Verdana" w:eastAsia="Calibri" w:hAnsi="Verdana" w:cs="Arial"/>
          <w:color w:val="000000" w:themeColor="text1"/>
          <w:sz w:val="20"/>
          <w:szCs w:val="20"/>
          <w:lang w:val="es-ES"/>
        </w:rPr>
        <w:t>Esta Subdirección acogió hasta la expedición del Decreto 1860 de 2021 la tercera opción, en concordancia con el numeral 6.1. de la Circular Externa Única de la Agencia Nacional de Contratación Pública – Colombia Compra Eficiente, que atiende a la discrecionalidad administrativa, respetando los principios de proporcionalidad y razonabilidad. Sin embargo, esto evidenció la necesidad que a través de la facultad reglamentaria el Gobierno Nacional limitara estos criterios interpretativos en los procesos de mínima cuantía, y se establezca un plazo límite para recibir los documentos subsanables, so pena de verificar la oferta con el siguiente proponente que ofrezca el mejor precio.</w:t>
      </w:r>
    </w:p>
    <w:p w14:paraId="71F1AA47" w14:textId="77777777" w:rsidR="00F12C0F" w:rsidRPr="003A604C" w:rsidRDefault="00F12C0F" w:rsidP="00F12C0F">
      <w:pPr>
        <w:contextualSpacing/>
        <w:jc w:val="both"/>
        <w:rPr>
          <w:rFonts w:ascii="Verdana" w:eastAsia="Calibri" w:hAnsi="Verdana" w:cs="Arial"/>
          <w:color w:val="000000" w:themeColor="text1"/>
          <w:sz w:val="20"/>
          <w:szCs w:val="20"/>
          <w:lang w:val="es-ES"/>
        </w:rPr>
      </w:pPr>
    </w:p>
    <w:p w14:paraId="5F1E5A4E" w14:textId="77777777" w:rsidR="00F12C0F" w:rsidRPr="003A604C" w:rsidRDefault="00F12C0F" w:rsidP="00F12C0F">
      <w:pPr>
        <w:spacing w:after="0"/>
        <w:contextualSpacing/>
        <w:jc w:val="both"/>
        <w:rPr>
          <w:rFonts w:ascii="Verdana" w:eastAsia="Calibri" w:hAnsi="Verdana" w:cs="Arial"/>
          <w:color w:val="000000" w:themeColor="text1"/>
          <w:sz w:val="20"/>
          <w:szCs w:val="20"/>
          <w:lang w:val="es-ES"/>
        </w:rPr>
      </w:pPr>
      <w:r w:rsidRPr="003A604C">
        <w:rPr>
          <w:rFonts w:ascii="Verdana" w:eastAsia="Calibri" w:hAnsi="Verdana" w:cs="Arial"/>
          <w:color w:val="000000" w:themeColor="text1"/>
          <w:sz w:val="20"/>
          <w:szCs w:val="20"/>
          <w:lang w:val="es-ES"/>
        </w:rPr>
        <w:t>En ese contexto, en virtud de garantizar: i)una prevalencia de lo sustancial sobre lo formal; ii) una mayor concurrencia real en los procedimientos de selección; iii) una mayor posibilidad de que las entidades estatales se beneficien al poder seleccionar entre un abanico más amplio la oferta que le resulte materialmente más favorable a sus intereses, se contempló en el Decreto 1860 de 2021, la posibilidad de que las entidades estatales establecieran, a su criterio, términos preclusivos para la subsanación de ofertas, y a su vez, se contempló un término supletorio para ello a falta de regulación en la invitación, inclusión que beneficia y robustece el principio de selección objetiva.</w:t>
      </w:r>
    </w:p>
    <w:p w14:paraId="2A7B4D8F" w14:textId="77777777" w:rsidR="00F12C0F" w:rsidRPr="003A604C" w:rsidRDefault="00F12C0F" w:rsidP="00F12C0F">
      <w:pPr>
        <w:spacing w:after="0" w:line="276" w:lineRule="auto"/>
        <w:jc w:val="both"/>
        <w:rPr>
          <w:rFonts w:ascii="Verdana" w:eastAsia="Calibri" w:hAnsi="Verdana" w:cs="Arial"/>
          <w:color w:val="000000" w:themeColor="text1"/>
          <w:sz w:val="20"/>
          <w:szCs w:val="20"/>
        </w:rPr>
      </w:pPr>
    </w:p>
    <w:p w14:paraId="575B3E04" w14:textId="77777777" w:rsidR="00F12C0F" w:rsidRPr="00C409E6" w:rsidRDefault="00F12C0F" w:rsidP="00F12C0F">
      <w:pPr>
        <w:contextualSpacing/>
        <w:jc w:val="both"/>
        <w:rPr>
          <w:rFonts w:ascii="Verdana" w:hAnsi="Verdana" w:cs="Arial"/>
          <w:b/>
          <w:bdr w:val="none" w:sz="0" w:space="0" w:color="auto" w:frame="1"/>
          <w:lang w:eastAsia="es-CO"/>
        </w:rPr>
      </w:pPr>
      <w:r w:rsidRPr="00C409E6">
        <w:rPr>
          <w:rFonts w:ascii="Verdana" w:hAnsi="Verdana" w:cs="Arial"/>
          <w:b/>
          <w:bdr w:val="none" w:sz="0" w:space="0" w:color="auto" w:frame="1"/>
          <w:lang w:eastAsia="es-CO"/>
        </w:rPr>
        <w:t>CAPACIDAD RESIDUAL – Definición</w:t>
      </w:r>
    </w:p>
    <w:p w14:paraId="6266FBD7" w14:textId="77777777" w:rsidR="00F12C0F" w:rsidRPr="00543959" w:rsidRDefault="00F12C0F" w:rsidP="00F12C0F">
      <w:pPr>
        <w:spacing w:after="0"/>
        <w:jc w:val="both"/>
        <w:rPr>
          <w:rFonts w:ascii="Arial" w:eastAsia="Calibri" w:hAnsi="Arial" w:cs="Arial"/>
          <w:b/>
          <w:color w:val="000000" w:themeColor="text1"/>
          <w:sz w:val="20"/>
          <w:szCs w:val="20"/>
        </w:rPr>
      </w:pPr>
    </w:p>
    <w:p w14:paraId="23D83F86" w14:textId="77777777" w:rsidR="00F12C0F" w:rsidRPr="00C409E6" w:rsidRDefault="00F12C0F" w:rsidP="00F12C0F">
      <w:pPr>
        <w:spacing w:after="120"/>
        <w:jc w:val="both"/>
        <w:rPr>
          <w:rFonts w:ascii="Verdana" w:eastAsia="Calibri" w:hAnsi="Verdana" w:cs="Arial"/>
          <w:color w:val="000000" w:themeColor="text1"/>
          <w:sz w:val="20"/>
          <w:szCs w:val="20"/>
          <w:lang w:val="es-ES"/>
        </w:rPr>
      </w:pPr>
      <w:r w:rsidRPr="00C409E6">
        <w:rPr>
          <w:rFonts w:ascii="Verdana" w:eastAsia="Calibri" w:hAnsi="Verdana" w:cs="Arial"/>
          <w:color w:val="000000" w:themeColor="text1"/>
          <w:sz w:val="20"/>
          <w:szCs w:val="20"/>
          <w:lang w:val="es-ES"/>
        </w:rPr>
        <w:lastRenderedPageBreak/>
        <w:t>La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14:paraId="3A09B80B" w14:textId="77777777" w:rsidR="00F12C0F" w:rsidRDefault="00F12C0F" w:rsidP="00F12C0F">
      <w:pPr>
        <w:spacing w:after="0"/>
        <w:jc w:val="both"/>
        <w:rPr>
          <w:rFonts w:ascii="Verdana" w:eastAsia="Calibri" w:hAnsi="Verdana" w:cs="Arial"/>
          <w:color w:val="000000" w:themeColor="text1"/>
          <w:sz w:val="20"/>
          <w:szCs w:val="20"/>
          <w:lang w:val="es-ES"/>
        </w:rPr>
      </w:pPr>
      <w:r w:rsidRPr="00C409E6">
        <w:rPr>
          <w:rFonts w:ascii="Verdana" w:eastAsia="Calibri" w:hAnsi="Verdana" w:cs="Arial"/>
          <w:color w:val="000000" w:themeColor="text1"/>
          <w:sz w:val="20"/>
          <w:szCs w:val="20"/>
          <w:lang w:val="es-ES"/>
        </w:rPr>
        <w:t>Teniendo en cuenta lo dicho antes, la Agencia Nacional de Contratación Pública – Colombia Compra Eficiente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14:paraId="21E658F6" w14:textId="77777777" w:rsidR="00F12C0F" w:rsidRDefault="00F12C0F" w:rsidP="00F12C0F">
      <w:pPr>
        <w:spacing w:after="0"/>
        <w:jc w:val="both"/>
        <w:rPr>
          <w:rFonts w:ascii="Arial" w:eastAsia="Calibri" w:hAnsi="Arial" w:cs="Arial"/>
          <w:bCs/>
          <w:color w:val="000000" w:themeColor="text1"/>
          <w:sz w:val="20"/>
          <w:szCs w:val="20"/>
        </w:rPr>
      </w:pPr>
    </w:p>
    <w:p w14:paraId="1CEF9C7A" w14:textId="77777777" w:rsidR="00F12C0F" w:rsidRPr="00C409E6" w:rsidRDefault="00F12C0F" w:rsidP="00F12C0F">
      <w:pPr>
        <w:contextualSpacing/>
        <w:jc w:val="both"/>
        <w:rPr>
          <w:rFonts w:ascii="Verdana" w:hAnsi="Verdana" w:cs="Arial"/>
          <w:b/>
          <w:bdr w:val="none" w:sz="0" w:space="0" w:color="auto" w:frame="1"/>
          <w:lang w:eastAsia="es-CO"/>
        </w:rPr>
      </w:pPr>
      <w:r w:rsidRPr="00C409E6">
        <w:rPr>
          <w:rFonts w:ascii="Verdana" w:hAnsi="Verdana" w:cs="Arial"/>
          <w:b/>
          <w:bdr w:val="none" w:sz="0" w:space="0" w:color="auto" w:frame="1"/>
          <w:lang w:eastAsia="es-CO"/>
        </w:rPr>
        <w:t>CAPACIDAD RESIDUAL – Alcance – Aplicabilidad – Mínima cuantía</w:t>
      </w:r>
    </w:p>
    <w:p w14:paraId="2F52B642" w14:textId="77777777" w:rsidR="00F12C0F" w:rsidRDefault="00F12C0F" w:rsidP="00F12C0F">
      <w:pPr>
        <w:spacing w:after="0"/>
        <w:jc w:val="both"/>
        <w:rPr>
          <w:rFonts w:ascii="Arial" w:eastAsia="Calibri" w:hAnsi="Arial" w:cs="Arial"/>
          <w:bCs/>
          <w:color w:val="000000" w:themeColor="text1"/>
          <w:sz w:val="20"/>
          <w:szCs w:val="20"/>
        </w:rPr>
      </w:pPr>
    </w:p>
    <w:p w14:paraId="1326D5D3" w14:textId="77777777" w:rsidR="00F12C0F" w:rsidRPr="00C409E6" w:rsidRDefault="00F12C0F" w:rsidP="00F12C0F">
      <w:pPr>
        <w:spacing w:after="120"/>
        <w:jc w:val="both"/>
        <w:rPr>
          <w:rFonts w:ascii="Verdana" w:eastAsia="Calibri" w:hAnsi="Verdana" w:cs="Arial"/>
          <w:color w:val="000000" w:themeColor="text1"/>
          <w:sz w:val="20"/>
          <w:szCs w:val="20"/>
          <w:lang w:val="es-ES"/>
        </w:rPr>
      </w:pPr>
      <w:r w:rsidRPr="00C409E6">
        <w:rPr>
          <w:rFonts w:ascii="Verdana" w:eastAsia="Calibri" w:hAnsi="Verdana" w:cs="Arial"/>
          <w:color w:val="000000" w:themeColor="text1"/>
          <w:sz w:val="20"/>
          <w:szCs w:val="20"/>
          <w:lang w:val="es-ES"/>
        </w:rPr>
        <w:t>Tanto el artículo 6 de la Ley 1150 de 2007, como el artículo 72 de la Ley 1682 de 2013, al regular lo relativo a la capacidad residual determinan su aplicación respecto de una tipología contractual –contrato de obra– sin restringirla a una modalidad de selección específica. De acuerdo con lo anterior, todas las entidades estatales que adelanten procesos de contratación de obra pública, sin importar la modalidad de selección del contratista, están obligadas a verificar la capacidad residual de los proponentes, como requisito habilitante para participar en el proceso y, por ende, se puede concluir que lo establecido en el artículo 72 de la Ley 1682 de 2013 es aplicable en los procesos de obra realizados a través de la modalidad de selección de mínima cuantía.</w:t>
      </w:r>
    </w:p>
    <w:p w14:paraId="53E5BCF1" w14:textId="77777777" w:rsidR="00F12C0F" w:rsidRPr="00C409E6" w:rsidRDefault="00F12C0F" w:rsidP="00F12C0F">
      <w:pPr>
        <w:spacing w:after="120"/>
        <w:jc w:val="both"/>
        <w:rPr>
          <w:rFonts w:ascii="Verdana" w:eastAsia="Calibri" w:hAnsi="Verdana" w:cs="Arial"/>
          <w:color w:val="000000" w:themeColor="text1"/>
          <w:sz w:val="20"/>
          <w:szCs w:val="20"/>
          <w:lang w:val="es-ES"/>
        </w:rPr>
      </w:pPr>
      <w:r w:rsidRPr="00C409E6">
        <w:rPr>
          <w:rFonts w:ascii="Verdana" w:eastAsia="Calibri" w:hAnsi="Verdana" w:cs="Arial"/>
          <w:color w:val="000000" w:themeColor="text1"/>
          <w:sz w:val="20"/>
          <w:szCs w:val="20"/>
          <w:lang w:val="es-ES"/>
        </w:rPr>
        <w:t>La postura anterior además es sostenida en forma concreta por la Agencia Nacional de Contratación – Colombia Compra Eficiente en el Manual para la modalidad de selección de mínima cuantía, al establecer que: «en los Procesos de Contratación de obra pública en la modalidad de selección de mínima cuantía las Entidades Estatales deberán solicitar la Capacidad Residual o K de Contratación y verificarla directamente, sin solicitar RUP».</w:t>
      </w:r>
    </w:p>
    <w:p w14:paraId="2F8E59B8" w14:textId="77777777" w:rsidR="00F12C0F" w:rsidRDefault="00F12C0F" w:rsidP="00F12C0F">
      <w:pPr>
        <w:spacing w:after="0" w:line="240" w:lineRule="auto"/>
        <w:rPr>
          <w:rFonts w:ascii="Verdana" w:eastAsia="Geomanist Light" w:hAnsi="Verdana" w:cs="Arial"/>
          <w:color w:val="000000" w:themeColor="text1"/>
          <w:lang w:val="es-MX"/>
        </w:rPr>
      </w:pPr>
    </w:p>
    <w:p w14:paraId="0314BE77" w14:textId="77777777" w:rsidR="00F12C0F" w:rsidRDefault="00F12C0F" w:rsidP="00F12C0F">
      <w:pPr>
        <w:spacing w:after="0" w:line="240" w:lineRule="auto"/>
        <w:rPr>
          <w:rFonts w:ascii="Verdana" w:eastAsia="Geomanist Light" w:hAnsi="Verdana" w:cs="Arial"/>
          <w:color w:val="000000" w:themeColor="text1"/>
          <w:lang w:val="es-MX"/>
        </w:rPr>
      </w:pPr>
    </w:p>
    <w:p w14:paraId="4DDB8DCE" w14:textId="77777777" w:rsidR="00F12C0F" w:rsidRDefault="00F12C0F" w:rsidP="00F12C0F">
      <w:pPr>
        <w:spacing w:after="0" w:line="240" w:lineRule="auto"/>
        <w:rPr>
          <w:rFonts w:ascii="Verdana" w:eastAsia="Geomanist Light" w:hAnsi="Verdana" w:cs="Arial"/>
          <w:color w:val="000000" w:themeColor="text1"/>
          <w:lang w:val="es-MX"/>
        </w:rPr>
      </w:pPr>
    </w:p>
    <w:p w14:paraId="7ADC08FA" w14:textId="77777777" w:rsidR="00F12C0F" w:rsidRDefault="00F12C0F" w:rsidP="00F12C0F">
      <w:pPr>
        <w:spacing w:after="0" w:line="240" w:lineRule="auto"/>
        <w:rPr>
          <w:rFonts w:ascii="Verdana" w:eastAsia="Geomanist Light" w:hAnsi="Verdana" w:cs="Arial"/>
          <w:color w:val="000000" w:themeColor="text1"/>
          <w:lang w:val="es-MX"/>
        </w:rPr>
      </w:pPr>
    </w:p>
    <w:p w14:paraId="66515A4D" w14:textId="77777777" w:rsidR="00F12C0F" w:rsidRDefault="00F12C0F" w:rsidP="00F12C0F">
      <w:pPr>
        <w:spacing w:after="0" w:line="240" w:lineRule="auto"/>
        <w:rPr>
          <w:rFonts w:ascii="Verdana" w:eastAsia="Geomanist Light" w:hAnsi="Verdana" w:cs="Arial"/>
          <w:color w:val="000000" w:themeColor="text1"/>
          <w:lang w:val="es-MX"/>
        </w:rPr>
      </w:pPr>
    </w:p>
    <w:p w14:paraId="5A0222FF" w14:textId="77777777" w:rsidR="00F12C0F" w:rsidRDefault="00F12C0F" w:rsidP="00F12C0F">
      <w:pPr>
        <w:spacing w:after="0" w:line="240" w:lineRule="auto"/>
        <w:rPr>
          <w:rFonts w:ascii="Verdana" w:eastAsia="Geomanist Light" w:hAnsi="Verdana" w:cs="Arial"/>
          <w:color w:val="000000" w:themeColor="text1"/>
          <w:lang w:val="es-MX"/>
        </w:rPr>
      </w:pPr>
    </w:p>
    <w:p w14:paraId="1F05877A" w14:textId="77777777" w:rsidR="00F12C0F" w:rsidRDefault="00F12C0F" w:rsidP="00F12C0F">
      <w:pPr>
        <w:spacing w:after="0" w:line="240" w:lineRule="auto"/>
        <w:rPr>
          <w:rFonts w:ascii="Verdana" w:eastAsia="Geomanist Light" w:hAnsi="Verdana" w:cs="Arial"/>
          <w:color w:val="000000" w:themeColor="text1"/>
          <w:lang w:val="es-MX"/>
        </w:rPr>
      </w:pPr>
    </w:p>
    <w:p w14:paraId="322B09F2" w14:textId="77777777" w:rsidR="00F12C0F" w:rsidRDefault="00F12C0F" w:rsidP="00F12C0F">
      <w:pPr>
        <w:spacing w:after="0" w:line="240" w:lineRule="auto"/>
        <w:rPr>
          <w:rFonts w:ascii="Verdana" w:eastAsia="Geomanist Light" w:hAnsi="Verdana" w:cs="Arial"/>
          <w:color w:val="000000" w:themeColor="text1"/>
          <w:lang w:val="es-MX"/>
        </w:rPr>
      </w:pPr>
    </w:p>
    <w:p w14:paraId="38294C5A" w14:textId="77777777" w:rsidR="00F12C0F" w:rsidRDefault="00F12C0F" w:rsidP="00F12C0F">
      <w:pPr>
        <w:spacing w:after="0" w:line="240" w:lineRule="auto"/>
        <w:rPr>
          <w:rFonts w:ascii="Verdana" w:eastAsia="Geomanist Light" w:hAnsi="Verdana" w:cs="Arial"/>
          <w:color w:val="000000" w:themeColor="text1"/>
          <w:lang w:val="es-MX"/>
        </w:rPr>
      </w:pPr>
    </w:p>
    <w:p w14:paraId="2362DE75" w14:textId="77777777" w:rsidR="00F12C0F" w:rsidRDefault="00F12C0F" w:rsidP="00F12C0F">
      <w:pPr>
        <w:spacing w:after="0" w:line="240" w:lineRule="auto"/>
        <w:rPr>
          <w:rFonts w:ascii="Verdana" w:eastAsia="Geomanist Light" w:hAnsi="Verdana" w:cs="Arial"/>
          <w:color w:val="000000" w:themeColor="text1"/>
          <w:lang w:val="es-MX"/>
        </w:rPr>
      </w:pPr>
    </w:p>
    <w:p w14:paraId="22FCE61A" w14:textId="77777777" w:rsidR="00F12C0F" w:rsidRDefault="00F12C0F" w:rsidP="00F12C0F">
      <w:pPr>
        <w:spacing w:after="0" w:line="240" w:lineRule="auto"/>
        <w:rPr>
          <w:rFonts w:ascii="Verdana" w:eastAsia="Geomanist Light" w:hAnsi="Verdana" w:cs="Arial"/>
          <w:color w:val="000000" w:themeColor="text1"/>
          <w:lang w:val="es-MX"/>
        </w:rPr>
      </w:pPr>
    </w:p>
    <w:p w14:paraId="2066C7FF" w14:textId="77777777" w:rsidR="00315F9E" w:rsidRDefault="00315F9E" w:rsidP="00CE4A9B">
      <w:pPr>
        <w:spacing w:after="0" w:line="240" w:lineRule="auto"/>
        <w:rPr>
          <w:rFonts w:ascii="Verdana" w:eastAsia="Geomanist Light" w:hAnsi="Verdana" w:cs="Arial"/>
          <w:color w:val="000000" w:themeColor="text1"/>
          <w:lang w:val="es-MX"/>
        </w:rPr>
      </w:pPr>
    </w:p>
    <w:p w14:paraId="5B2D8E8D" w14:textId="77777777" w:rsidR="00315F9E" w:rsidRDefault="00315F9E" w:rsidP="00CE4A9B">
      <w:pPr>
        <w:spacing w:after="0" w:line="240" w:lineRule="auto"/>
        <w:rPr>
          <w:rFonts w:ascii="Verdana" w:eastAsia="Geomanist Light" w:hAnsi="Verdana" w:cs="Arial"/>
          <w:color w:val="000000" w:themeColor="text1"/>
          <w:lang w:val="es-MX"/>
        </w:rPr>
      </w:pPr>
    </w:p>
    <w:p w14:paraId="6167988E" w14:textId="22135842" w:rsidR="00CE4A9B" w:rsidRPr="00593A5F" w:rsidRDefault="00CE4A9B" w:rsidP="00CE4A9B">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[Mes.NombreCapitalizado] de [Año]</w:t>
      </w:r>
    </w:p>
    <w:p w14:paraId="5E54724D" w14:textId="77777777" w:rsidR="00CE4A9B" w:rsidRDefault="00CE4A9B" w:rsidP="00CE4A9B">
      <w:pPr>
        <w:spacing w:after="0" w:line="240" w:lineRule="auto"/>
        <w:jc w:val="both"/>
        <w:rPr>
          <w:rFonts w:ascii="Verdana" w:eastAsia="Calibri" w:hAnsi="Verdana" w:cs="Arial"/>
          <w:color w:val="000000"/>
          <w:lang w:val="es-ES"/>
        </w:rPr>
      </w:pPr>
    </w:p>
    <w:p w14:paraId="2FC1DC44" w14:textId="77777777" w:rsidR="00315F9E" w:rsidRDefault="00315F9E" w:rsidP="00CE4A9B">
      <w:pPr>
        <w:spacing w:after="0" w:line="240" w:lineRule="auto"/>
        <w:jc w:val="both"/>
        <w:rPr>
          <w:rFonts w:ascii="Verdana" w:eastAsia="Calibri" w:hAnsi="Verdana" w:cs="Arial"/>
          <w:color w:val="000000"/>
          <w:lang w:val="es-ES"/>
        </w:rPr>
      </w:pPr>
    </w:p>
    <w:p w14:paraId="1E36DFD9" w14:textId="688E82F6" w:rsidR="00315F9E" w:rsidRDefault="00315F9E" w:rsidP="00315F9E">
      <w:pPr>
        <w:spacing w:after="0" w:line="240" w:lineRule="auto"/>
        <w:jc w:val="right"/>
        <w:rPr>
          <w:rFonts w:ascii="Verdana" w:eastAsia="Calibri" w:hAnsi="Verdana" w:cs="Arial"/>
          <w:color w:val="000000"/>
          <w:lang w:val="es-ES"/>
        </w:rPr>
      </w:pPr>
      <w:r>
        <w:rPr>
          <w:noProof/>
          <w14:ligatures w14:val="standardContextual"/>
        </w:rPr>
        <w:drawing>
          <wp:inline distT="0" distB="0" distL="0" distR="0" wp14:anchorId="3E42F601" wp14:editId="7161F3A5">
            <wp:extent cx="4218932" cy="1200150"/>
            <wp:effectExtent l="0" t="0" r="0" b="0"/>
            <wp:docPr id="1420755954"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55954" name="Imagen 1" descr="Código QR&#10;&#10;Descripción generada automáticamente"/>
                    <pic:cNvPicPr/>
                  </pic:nvPicPr>
                  <pic:blipFill rotWithShape="1">
                    <a:blip r:embed="rId7"/>
                    <a:srcRect l="29192" t="43050" r="5974" b="24159"/>
                    <a:stretch/>
                  </pic:blipFill>
                  <pic:spPr bwMode="auto">
                    <a:xfrm>
                      <a:off x="0" y="0"/>
                      <a:ext cx="4223133" cy="1201345"/>
                    </a:xfrm>
                    <a:prstGeom prst="rect">
                      <a:avLst/>
                    </a:prstGeom>
                    <a:ln>
                      <a:noFill/>
                    </a:ln>
                    <a:extLst>
                      <a:ext uri="{53640926-AAD7-44D8-BBD7-CCE9431645EC}">
                        <a14:shadowObscured xmlns:a14="http://schemas.microsoft.com/office/drawing/2010/main"/>
                      </a:ext>
                    </a:extLst>
                  </pic:spPr>
                </pic:pic>
              </a:graphicData>
            </a:graphic>
          </wp:inline>
        </w:drawing>
      </w:r>
    </w:p>
    <w:p w14:paraId="461B59B6" w14:textId="77777777" w:rsidR="00315F9E" w:rsidRPr="00593A5F" w:rsidRDefault="00315F9E" w:rsidP="00CE4A9B">
      <w:pPr>
        <w:spacing w:after="0" w:line="240" w:lineRule="auto"/>
        <w:jc w:val="both"/>
        <w:rPr>
          <w:rFonts w:ascii="Verdana" w:eastAsia="Calibri" w:hAnsi="Verdana" w:cs="Arial"/>
          <w:color w:val="000000"/>
          <w:lang w:val="es-ES"/>
        </w:rPr>
      </w:pPr>
    </w:p>
    <w:p w14:paraId="08B89029" w14:textId="77777777" w:rsidR="00CE4A9B" w:rsidRPr="00B96799" w:rsidRDefault="00CE4A9B" w:rsidP="00CE4A9B">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2B7F260D" w14:textId="77777777" w:rsidR="00CE4A9B" w:rsidRDefault="00CE4A9B" w:rsidP="00CE4A9B">
      <w:pPr>
        <w:spacing w:after="0" w:line="240" w:lineRule="auto"/>
        <w:rPr>
          <w:rFonts w:ascii="Verdana" w:eastAsia="Calibri" w:hAnsi="Verdana" w:cs="Arial"/>
          <w:b/>
          <w:lang w:val="es-ES" w:eastAsia="es-ES"/>
        </w:rPr>
      </w:pPr>
      <w:r w:rsidRPr="5FF69664">
        <w:rPr>
          <w:rFonts w:ascii="Verdana" w:eastAsia="Calibri" w:hAnsi="Verdana" w:cs="Arial"/>
          <w:b/>
          <w:lang w:val="es-ES" w:eastAsia="es-ES"/>
        </w:rPr>
        <w:t>Jose Felipe Rhenals Almanza</w:t>
      </w:r>
    </w:p>
    <w:p w14:paraId="47E37A31" w14:textId="77777777" w:rsidR="00CE4A9B" w:rsidRPr="00A32316" w:rsidRDefault="00000000" w:rsidP="00CE4A9B">
      <w:pPr>
        <w:spacing w:after="0" w:line="240" w:lineRule="auto"/>
        <w:rPr>
          <w:rFonts w:ascii="Verdana" w:hAnsi="Verdana"/>
        </w:rPr>
      </w:pPr>
      <w:hyperlink r:id="rId8" w:history="1">
        <w:r w:rsidR="00CE4A9B" w:rsidRPr="00A32316">
          <w:rPr>
            <w:rStyle w:val="Hipervnculo"/>
            <w:rFonts w:ascii="Verdana" w:hAnsi="Verdana"/>
          </w:rPr>
          <w:t>joferheal@hotmail.com</w:t>
        </w:r>
      </w:hyperlink>
    </w:p>
    <w:p w14:paraId="7CD38FDA" w14:textId="77777777" w:rsidR="00CE4A9B" w:rsidRPr="00B96799" w:rsidRDefault="00CE4A9B" w:rsidP="00CE4A9B">
      <w:pPr>
        <w:spacing w:after="0" w:line="240" w:lineRule="auto"/>
        <w:rPr>
          <w:rFonts w:ascii="Verdana" w:eastAsia="Calibri" w:hAnsi="Verdana" w:cs="Arial"/>
          <w:b/>
          <w:bCs/>
          <w:lang w:val="es-ES" w:eastAsia="es-ES"/>
        </w:rPr>
      </w:pPr>
      <w:r>
        <w:rPr>
          <w:rFonts w:ascii="Verdana" w:eastAsia="Calibri" w:hAnsi="Verdana" w:cs="Arial"/>
          <w:lang w:val="es-ES" w:eastAsia="es-ES"/>
        </w:rPr>
        <w:t>Ciudad</w:t>
      </w:r>
    </w:p>
    <w:p w14:paraId="5B42872B" w14:textId="77777777" w:rsidR="00CE4A9B" w:rsidRPr="00593A5F" w:rsidRDefault="00CE4A9B" w:rsidP="00CE4A9B">
      <w:pPr>
        <w:spacing w:after="0" w:line="240" w:lineRule="auto"/>
        <w:rPr>
          <w:rFonts w:ascii="Verdana" w:eastAsia="Calibri" w:hAnsi="Verdana" w:cs="Arial"/>
          <w:b/>
          <w:bCs/>
          <w:color w:val="000000"/>
          <w:lang w:val="es-ES_tradnl" w:eastAsia="es-ES_tradnl"/>
        </w:rPr>
      </w:pPr>
    </w:p>
    <w:p w14:paraId="224868E5" w14:textId="77777777" w:rsidR="00CE4A9B" w:rsidRPr="00593A5F" w:rsidRDefault="00CE4A9B" w:rsidP="00CE4A9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5103"/>
      </w:tblGrid>
      <w:tr w:rsidR="00CE4A9B" w:rsidRPr="00593A5F" w14:paraId="7BBA2DC8" w14:textId="77777777" w:rsidTr="00F522E7">
        <w:trPr>
          <w:trHeight w:val="382"/>
        </w:trPr>
        <w:tc>
          <w:tcPr>
            <w:tcW w:w="3686" w:type="dxa"/>
          </w:tcPr>
          <w:p w14:paraId="4EECDEB9" w14:textId="77777777" w:rsidR="00CE4A9B" w:rsidRPr="00C00976" w:rsidRDefault="00CE4A9B" w:rsidP="00E075F9">
            <w:pPr>
              <w:jc w:val="both"/>
              <w:rPr>
                <w:rFonts w:ascii="Verdana" w:eastAsia="Calibri" w:hAnsi="Verdana" w:cs="Arial"/>
                <w:b/>
                <w:bCs/>
                <w:color w:val="7030A0"/>
                <w:lang w:val="es-ES_tradnl" w:eastAsia="es-ES_tradnl"/>
              </w:rPr>
            </w:pPr>
          </w:p>
        </w:tc>
        <w:tc>
          <w:tcPr>
            <w:tcW w:w="5103" w:type="dxa"/>
          </w:tcPr>
          <w:p w14:paraId="70294E9F" w14:textId="77777777" w:rsidR="00CE4A9B" w:rsidRPr="00C00976" w:rsidRDefault="00CE4A9B" w:rsidP="00E075F9">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Pr>
                <w:rFonts w:ascii="Verdana" w:eastAsia="Calibri" w:hAnsi="Verdana" w:cs="Arial"/>
                <w:b/>
                <w:bCs/>
                <w:lang w:val="es-ES" w:eastAsia="es-ES"/>
              </w:rPr>
              <w:t>175</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313E4D">
              <w:rPr>
                <w:rFonts w:ascii="Verdana" w:eastAsia="Calibri" w:hAnsi="Verdana" w:cs="Arial"/>
                <w:b/>
                <w:bCs/>
                <w:lang w:val="es-ES" w:eastAsia="es-ES"/>
              </w:rPr>
              <w:t>2024</w:t>
            </w:r>
          </w:p>
        </w:tc>
      </w:tr>
      <w:tr w:rsidR="00CE4A9B" w:rsidRPr="00593A5F" w14:paraId="60F1B36A" w14:textId="77777777" w:rsidTr="00F522E7">
        <w:trPr>
          <w:trHeight w:val="884"/>
        </w:trPr>
        <w:tc>
          <w:tcPr>
            <w:tcW w:w="3686" w:type="dxa"/>
          </w:tcPr>
          <w:p w14:paraId="307B53F5" w14:textId="77777777" w:rsidR="00CE4A9B" w:rsidRPr="00CB3311" w:rsidRDefault="00CE4A9B" w:rsidP="00E075F9">
            <w:pPr>
              <w:jc w:val="both"/>
              <w:rPr>
                <w:rFonts w:ascii="Verdana" w:eastAsia="Calibri" w:hAnsi="Verdana" w:cs="Arial"/>
                <w:color w:val="000000" w:themeColor="text1"/>
                <w:lang w:val="es-ES_tradnl" w:eastAsia="es-ES_tradnl"/>
              </w:rPr>
            </w:pPr>
            <w:r w:rsidRPr="00CB3311">
              <w:rPr>
                <w:rFonts w:ascii="Verdana" w:eastAsia="Calibri" w:hAnsi="Verdana" w:cs="Arial"/>
                <w:b/>
                <w:color w:val="000000" w:themeColor="text1"/>
                <w:lang w:val="es-ES_tradnl" w:eastAsia="es-ES_tradnl"/>
              </w:rPr>
              <w:t>Temas:</w:t>
            </w:r>
            <w:r w:rsidRPr="00CB3311">
              <w:rPr>
                <w:rFonts w:ascii="Verdana" w:eastAsia="Calibri" w:hAnsi="Verdana" w:cs="Arial"/>
                <w:color w:val="000000" w:themeColor="text1"/>
                <w:lang w:val="es-ES_tradnl" w:eastAsia="es-ES_tradnl"/>
              </w:rPr>
              <w:t xml:space="preserve">                   </w:t>
            </w:r>
          </w:p>
        </w:tc>
        <w:tc>
          <w:tcPr>
            <w:tcW w:w="5103" w:type="dxa"/>
          </w:tcPr>
          <w:p w14:paraId="0650B30D" w14:textId="77777777" w:rsidR="00CE4A9B" w:rsidRPr="001B5724" w:rsidRDefault="00CE4A9B" w:rsidP="00E075F9">
            <w:pPr>
              <w:spacing w:after="120" w:line="276" w:lineRule="auto"/>
              <w:jc w:val="both"/>
              <w:rPr>
                <w:rFonts w:ascii="Verdana" w:eastAsia="Calibri" w:hAnsi="Verdana" w:cs="Arial"/>
                <w:color w:val="000000" w:themeColor="text1"/>
                <w:lang w:eastAsia="es-ES"/>
              </w:rPr>
            </w:pPr>
            <w:r w:rsidRPr="001B5724">
              <w:rPr>
                <w:rFonts w:ascii="Verdana" w:eastAsia="Calibri" w:hAnsi="Verdana" w:cs="Arial"/>
                <w:color w:val="000000" w:themeColor="text1"/>
                <w:lang w:val="es-ES" w:eastAsia="es-ES"/>
              </w:rPr>
              <w:t>MÍNIMA CUANTÍA – Término de traslado del informe de evaluación - Subsanación / SUBSANACIÓN – Requisitos Habilitantes – Reglas</w:t>
            </w:r>
            <w:r>
              <w:rPr>
                <w:rFonts w:ascii="Verdana" w:eastAsia="Calibri" w:hAnsi="Verdana" w:cs="Arial"/>
                <w:color w:val="000000" w:themeColor="text1"/>
                <w:lang w:val="es-ES" w:eastAsia="es-ES"/>
              </w:rPr>
              <w:t xml:space="preserve"> – Certificado de Existencia y Representación Legal / </w:t>
            </w:r>
            <w:r w:rsidRPr="004D7F13">
              <w:rPr>
                <w:rFonts w:ascii="Verdana" w:eastAsia="Calibri" w:hAnsi="Verdana" w:cs="Arial"/>
                <w:color w:val="000000" w:themeColor="text1"/>
                <w:lang w:val="es-ES" w:eastAsia="es-ES"/>
              </w:rPr>
              <w:t>CAPACIDAD RESIDUAL – Definición / CAPACIDAD RESIDUAL – Alcance – Aplicabilidad – Mínima cuantía</w:t>
            </w:r>
          </w:p>
        </w:tc>
      </w:tr>
      <w:tr w:rsidR="00CE4A9B" w:rsidRPr="00593A5F" w14:paraId="40FC766D" w14:textId="77777777" w:rsidTr="00F522E7">
        <w:tc>
          <w:tcPr>
            <w:tcW w:w="3686" w:type="dxa"/>
          </w:tcPr>
          <w:p w14:paraId="337CE477" w14:textId="77777777" w:rsidR="00CE4A9B" w:rsidRPr="00CB3311" w:rsidRDefault="00CE4A9B" w:rsidP="00E075F9">
            <w:pPr>
              <w:jc w:val="both"/>
              <w:rPr>
                <w:rFonts w:ascii="Verdana" w:eastAsia="Calibri" w:hAnsi="Verdana" w:cs="Arial"/>
                <w:b/>
                <w:color w:val="000000" w:themeColor="text1"/>
                <w:lang w:val="es-ES_tradnl" w:eastAsia="es-ES_tradnl"/>
              </w:rPr>
            </w:pPr>
            <w:r w:rsidRPr="00CB3311">
              <w:rPr>
                <w:rFonts w:ascii="Verdana" w:eastAsia="Calibri" w:hAnsi="Verdana" w:cs="Arial"/>
                <w:b/>
                <w:color w:val="000000" w:themeColor="text1"/>
                <w:lang w:val="es-ES_tradnl" w:eastAsia="es-ES_tradnl"/>
              </w:rPr>
              <w:t>Radicación:</w:t>
            </w:r>
            <w:r w:rsidRPr="00CB3311">
              <w:rPr>
                <w:rFonts w:ascii="Verdana" w:eastAsia="Calibri" w:hAnsi="Verdana" w:cs="Arial"/>
                <w:color w:val="000000" w:themeColor="text1"/>
                <w:lang w:val="es-ES_tradnl" w:eastAsia="es-ES_tradnl"/>
              </w:rPr>
              <w:t xml:space="preserve">               </w:t>
            </w:r>
          </w:p>
        </w:tc>
        <w:tc>
          <w:tcPr>
            <w:tcW w:w="5103" w:type="dxa"/>
          </w:tcPr>
          <w:p w14:paraId="595585D7" w14:textId="77777777" w:rsidR="00CE4A9B" w:rsidRPr="00CB3311" w:rsidRDefault="00CE4A9B" w:rsidP="00E075F9">
            <w:pPr>
              <w:jc w:val="both"/>
              <w:rPr>
                <w:rFonts w:ascii="Verdana" w:eastAsia="Calibri" w:hAnsi="Verdana" w:cs="Arial"/>
                <w:color w:val="000000" w:themeColor="text1"/>
                <w:lang w:val="es-ES_tradnl" w:eastAsia="es-ES_tradnl"/>
              </w:rPr>
            </w:pPr>
            <w:r w:rsidRPr="00CB3311">
              <w:rPr>
                <w:rFonts w:ascii="Verdana" w:eastAsia="Calibri" w:hAnsi="Verdana" w:cs="Arial"/>
                <w:color w:val="000000" w:themeColor="text1"/>
                <w:lang w:val="es-ES_tradnl" w:eastAsia="es-ES_tradnl"/>
              </w:rPr>
              <w:t xml:space="preserve">Respuesta a consulta con radicado No. </w:t>
            </w:r>
            <w:r w:rsidRPr="009758A9">
              <w:rPr>
                <w:rFonts w:ascii="Verdana" w:eastAsia="Calibri" w:hAnsi="Verdana" w:cs="Arial"/>
                <w:color w:val="000000" w:themeColor="text1"/>
                <w:lang w:val="es-ES_tradnl" w:eastAsia="es-ES_tradnl"/>
              </w:rPr>
              <w:t>P20240614006097</w:t>
            </w:r>
          </w:p>
        </w:tc>
      </w:tr>
    </w:tbl>
    <w:p w14:paraId="30580DF6" w14:textId="77777777" w:rsidR="00CE4A9B" w:rsidRPr="00593A5F" w:rsidRDefault="00CE4A9B" w:rsidP="00CE4A9B">
      <w:pPr>
        <w:spacing w:after="0" w:line="240" w:lineRule="auto"/>
        <w:jc w:val="both"/>
        <w:rPr>
          <w:rFonts w:ascii="Verdana" w:eastAsia="Calibri" w:hAnsi="Verdana" w:cs="Arial"/>
          <w:color w:val="000000"/>
          <w:lang w:val="es-ES_tradnl" w:eastAsia="es-ES_tradnl"/>
        </w:rPr>
      </w:pPr>
    </w:p>
    <w:p w14:paraId="3D1C7274" w14:textId="77777777" w:rsidR="00CE4A9B" w:rsidRPr="00CB3311" w:rsidRDefault="00CE4A9B" w:rsidP="00CE4A9B">
      <w:pPr>
        <w:spacing w:after="0" w:line="240" w:lineRule="auto"/>
        <w:jc w:val="both"/>
        <w:rPr>
          <w:rFonts w:ascii="Verdana" w:eastAsia="Calibri" w:hAnsi="Verdana" w:cs="Arial"/>
          <w:color w:val="000000" w:themeColor="text1"/>
          <w:lang w:val="es-ES_tradnl" w:eastAsia="es-ES_tradnl"/>
        </w:rPr>
      </w:pPr>
    </w:p>
    <w:p w14:paraId="075FAF0D" w14:textId="77777777" w:rsidR="00CE4A9B" w:rsidRPr="00CB3311" w:rsidRDefault="00CE4A9B" w:rsidP="00CE4A9B">
      <w:pPr>
        <w:spacing w:after="0" w:line="276" w:lineRule="auto"/>
        <w:jc w:val="both"/>
        <w:rPr>
          <w:rFonts w:ascii="Verdana" w:eastAsia="Calibri" w:hAnsi="Verdana" w:cs="Arial"/>
          <w:color w:val="000000" w:themeColor="text1"/>
          <w:lang w:val="es-ES" w:eastAsia="es-ES"/>
        </w:rPr>
      </w:pPr>
      <w:r w:rsidRPr="00CB3311">
        <w:rPr>
          <w:rFonts w:ascii="Verdana" w:eastAsia="Calibri" w:hAnsi="Verdana" w:cs="Arial"/>
          <w:color w:val="000000" w:themeColor="text1"/>
          <w:lang w:val="es-ES" w:eastAsia="es-ES"/>
        </w:rPr>
        <w:t>Estimado señor</w:t>
      </w:r>
      <w:r>
        <w:rPr>
          <w:rFonts w:ascii="Verdana" w:eastAsia="Calibri" w:hAnsi="Verdana" w:cs="Arial"/>
          <w:color w:val="000000" w:themeColor="text1"/>
          <w:lang w:val="es-ES" w:eastAsia="es-ES"/>
        </w:rPr>
        <w:t xml:space="preserve"> </w:t>
      </w:r>
      <w:r w:rsidRPr="000872D7">
        <w:rPr>
          <w:rFonts w:ascii="Verdana" w:eastAsia="Calibri" w:hAnsi="Verdana" w:cs="Arial"/>
          <w:color w:val="000000" w:themeColor="text1"/>
          <w:lang w:val="es-ES" w:eastAsia="es-ES"/>
        </w:rPr>
        <w:t>Rhenals Almanza</w:t>
      </w:r>
      <w:r w:rsidRPr="00CB3311">
        <w:rPr>
          <w:rFonts w:ascii="Verdana" w:eastAsia="Calibri" w:hAnsi="Verdana" w:cs="Arial"/>
          <w:color w:val="000000" w:themeColor="text1"/>
          <w:lang w:val="es-ES" w:eastAsia="es-ES"/>
        </w:rPr>
        <w:t xml:space="preserve">: </w:t>
      </w:r>
    </w:p>
    <w:p w14:paraId="7CCB3034" w14:textId="77777777" w:rsidR="00CE4A9B" w:rsidRDefault="00CE4A9B" w:rsidP="00CE4A9B">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1A053AB9" w14:textId="77777777" w:rsidR="00CE4A9B" w:rsidRPr="001C55ED" w:rsidRDefault="00CE4A9B" w:rsidP="00CE4A9B">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fecha</w:t>
      </w:r>
      <w:r w:rsidRPr="00593A5F">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14</w:t>
      </w:r>
      <w:r w:rsidRPr="001C55ED">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de</w:t>
      </w:r>
      <w:r w:rsidRPr="001C55E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junio</w:t>
      </w:r>
      <w:r w:rsidRPr="001C55ED">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de 20</w:t>
      </w:r>
      <w:r>
        <w:rPr>
          <w:rFonts w:ascii="Verdana" w:eastAsia="Calibri" w:hAnsi="Verdana" w:cs="Arial"/>
          <w:color w:val="000000" w:themeColor="text1"/>
          <w:lang w:val="es-ES" w:eastAsia="es-ES"/>
        </w:rPr>
        <w:t>24</w:t>
      </w:r>
      <w:r w:rsidRPr="001C55ED">
        <w:rPr>
          <w:rFonts w:ascii="Verdana" w:eastAsia="Calibri" w:hAnsi="Verdana" w:cs="Arial"/>
          <w:color w:val="000000" w:themeColor="text1"/>
          <w:lang w:val="es-ES" w:eastAsia="es-ES"/>
        </w:rPr>
        <w:t xml:space="preserve">, en la cual </w:t>
      </w:r>
      <w:r>
        <w:rPr>
          <w:rFonts w:ascii="Verdana" w:eastAsia="Calibri" w:hAnsi="Verdana" w:cs="Arial"/>
          <w:color w:val="000000" w:themeColor="text1"/>
          <w:lang w:val="es-ES" w:eastAsia="es-ES"/>
        </w:rPr>
        <w:t>interroga</w:t>
      </w:r>
      <w:r w:rsidRPr="001C55ED">
        <w:rPr>
          <w:rFonts w:ascii="Verdana" w:eastAsia="Calibri" w:hAnsi="Verdana" w:cs="Arial"/>
          <w:color w:val="000000" w:themeColor="text1"/>
          <w:lang w:val="es-ES" w:eastAsia="es-ES"/>
        </w:rPr>
        <w:t xml:space="preserve"> lo siguiente: </w:t>
      </w:r>
    </w:p>
    <w:p w14:paraId="55AA7A30" w14:textId="77777777" w:rsidR="00CE4A9B" w:rsidRDefault="00CE4A9B" w:rsidP="00CE4A9B">
      <w:pPr>
        <w:spacing w:after="0" w:line="240" w:lineRule="auto"/>
        <w:ind w:left="709" w:right="709"/>
        <w:jc w:val="both"/>
        <w:rPr>
          <w:rFonts w:ascii="Verdana" w:eastAsia="Century Gothic" w:hAnsi="Verdana" w:cs="Century Gothic"/>
          <w:color w:val="000000" w:themeColor="text1"/>
          <w:sz w:val="20"/>
          <w:szCs w:val="20"/>
          <w:lang w:val="es-ES"/>
        </w:rPr>
      </w:pPr>
      <w:bookmarkStart w:id="0" w:name="_Hlk95313578"/>
    </w:p>
    <w:p w14:paraId="081E5902" w14:textId="77777777" w:rsidR="00CE4A9B" w:rsidRPr="00AB5B4E" w:rsidRDefault="00CE4A9B" w:rsidP="00CE4A9B">
      <w:pPr>
        <w:spacing w:after="0" w:line="240" w:lineRule="auto"/>
        <w:ind w:left="709" w:right="709"/>
        <w:jc w:val="both"/>
        <w:rPr>
          <w:rStyle w:val="normaltextrun"/>
          <w:rFonts w:ascii="Verdana" w:hAnsi="Verdana" w:cs="Arial"/>
          <w:color w:val="000000" w:themeColor="text1"/>
          <w:sz w:val="20"/>
          <w:szCs w:val="20"/>
          <w:shd w:val="clear" w:color="auto" w:fill="FFFFFF"/>
          <w:lang w:val="es-ES"/>
        </w:rPr>
      </w:pPr>
      <w:r w:rsidRPr="00CB3311">
        <w:rPr>
          <w:rFonts w:ascii="Verdana" w:eastAsia="Century Gothic" w:hAnsi="Verdana" w:cs="Century Gothic"/>
          <w:color w:val="000000" w:themeColor="text1"/>
          <w:sz w:val="20"/>
          <w:szCs w:val="20"/>
          <w:lang w:val="es-ES"/>
        </w:rPr>
        <w:t>“</w:t>
      </w:r>
      <w:r>
        <w:rPr>
          <w:rFonts w:ascii="Verdana" w:eastAsia="Century Gothic" w:hAnsi="Verdana" w:cs="Century Gothic"/>
          <w:color w:val="000000" w:themeColor="text1"/>
          <w:sz w:val="20"/>
          <w:szCs w:val="20"/>
          <w:lang w:val="es-ES"/>
        </w:rPr>
        <w:t xml:space="preserve">[…] </w:t>
      </w:r>
      <w:r w:rsidRPr="00AB5B4E">
        <w:rPr>
          <w:rStyle w:val="normaltextrun"/>
          <w:rFonts w:ascii="Verdana" w:hAnsi="Verdana" w:cs="Arial"/>
          <w:color w:val="000000" w:themeColor="text1"/>
          <w:sz w:val="20"/>
          <w:szCs w:val="20"/>
          <w:shd w:val="clear" w:color="auto" w:fill="FFFFFF"/>
          <w:lang w:val="es-ES"/>
        </w:rPr>
        <w:t>Apliqué al proceso MINIMA CUANTIA 85 DE 2024, Reparaciones Locativas de la Comisión de regulación de comunicaciones, cerrado el 4-6-2024, del que adjunto estudio previo.</w:t>
      </w:r>
    </w:p>
    <w:p w14:paraId="0F4965D7" w14:textId="77777777" w:rsidR="00CE4A9B" w:rsidRPr="00AB5B4E" w:rsidRDefault="00CE4A9B" w:rsidP="00CE4A9B">
      <w:pPr>
        <w:spacing w:after="0" w:line="240" w:lineRule="auto"/>
        <w:ind w:left="709" w:right="709"/>
        <w:jc w:val="both"/>
        <w:rPr>
          <w:rStyle w:val="normaltextrun"/>
          <w:rFonts w:ascii="Verdana" w:hAnsi="Verdana" w:cs="Arial"/>
          <w:color w:val="000000" w:themeColor="text1"/>
          <w:sz w:val="20"/>
          <w:szCs w:val="20"/>
          <w:shd w:val="clear" w:color="auto" w:fill="FFFFFF"/>
          <w:lang w:val="es-ES"/>
        </w:rPr>
      </w:pPr>
    </w:p>
    <w:p w14:paraId="0DD4A0DB" w14:textId="77777777" w:rsidR="00CE4A9B" w:rsidRPr="00307016" w:rsidRDefault="00CE4A9B" w:rsidP="00CE4A9B">
      <w:pPr>
        <w:pStyle w:val="Prrafodelista"/>
        <w:numPr>
          <w:ilvl w:val="0"/>
          <w:numId w:val="4"/>
        </w:numPr>
        <w:spacing w:after="0" w:line="240" w:lineRule="auto"/>
        <w:ind w:left="1418" w:right="567" w:hanging="709"/>
        <w:jc w:val="both"/>
        <w:rPr>
          <w:rStyle w:val="normaltextrun"/>
          <w:rFonts w:ascii="Verdana" w:hAnsi="Verdana" w:cs="Arial"/>
          <w:color w:val="000000" w:themeColor="text1"/>
          <w:sz w:val="20"/>
          <w:szCs w:val="20"/>
          <w:shd w:val="clear" w:color="auto" w:fill="FFFFFF"/>
        </w:rPr>
      </w:pPr>
      <w:r w:rsidRPr="00307016">
        <w:rPr>
          <w:rStyle w:val="normaltextrun"/>
          <w:rFonts w:ascii="Verdana" w:hAnsi="Verdana" w:cs="Arial"/>
          <w:color w:val="000000" w:themeColor="text1"/>
          <w:sz w:val="20"/>
          <w:szCs w:val="20"/>
          <w:shd w:val="clear" w:color="auto" w:fill="FFFFFF"/>
        </w:rPr>
        <w:lastRenderedPageBreak/>
        <w:t>En el proceso, lastimosamente no fuimos seleccionados como persona juridica, pero llegamos a subsanar documentos, tales como el certificado de existencia y representacion legal, ya que habiamos presentado uno equivocado.</w:t>
      </w:r>
    </w:p>
    <w:p w14:paraId="312BAA6E" w14:textId="77777777" w:rsidR="00CE4A9B" w:rsidRPr="00307016" w:rsidRDefault="00CE4A9B" w:rsidP="00CE4A9B">
      <w:pPr>
        <w:pStyle w:val="Prrafodelista"/>
        <w:numPr>
          <w:ilvl w:val="0"/>
          <w:numId w:val="4"/>
        </w:numPr>
        <w:spacing w:after="0" w:line="240" w:lineRule="auto"/>
        <w:ind w:left="1418" w:right="567" w:hanging="709"/>
        <w:jc w:val="both"/>
        <w:rPr>
          <w:rStyle w:val="normaltextrun"/>
          <w:rFonts w:ascii="Verdana" w:hAnsi="Verdana" w:cs="Arial"/>
          <w:color w:val="000000" w:themeColor="text1"/>
          <w:sz w:val="20"/>
          <w:szCs w:val="20"/>
          <w:shd w:val="clear" w:color="auto" w:fill="FFFFFF"/>
        </w:rPr>
      </w:pPr>
      <w:r w:rsidRPr="00307016">
        <w:rPr>
          <w:rStyle w:val="normaltextrun"/>
          <w:rFonts w:ascii="Verdana" w:hAnsi="Verdana" w:cs="Arial"/>
          <w:color w:val="000000" w:themeColor="text1"/>
          <w:sz w:val="20"/>
          <w:szCs w:val="20"/>
          <w:shd w:val="clear" w:color="auto" w:fill="FFFFFF"/>
        </w:rPr>
        <w:t>Subsanamos el documento con un certificado nuevo, recién comprado en la Cámara de Comercio de Bogotá, a lo que la entidad respondió que no era aceptado porque el pliego dice que el documento no debe ser de expedición mayor a 30 días a la fecha de cierre o sea 4-6-2024.</w:t>
      </w:r>
    </w:p>
    <w:p w14:paraId="733612A1" w14:textId="77777777" w:rsidR="00CE4A9B" w:rsidRPr="00307016" w:rsidRDefault="00CE4A9B" w:rsidP="00CE4A9B">
      <w:pPr>
        <w:pStyle w:val="Prrafodelista"/>
        <w:numPr>
          <w:ilvl w:val="0"/>
          <w:numId w:val="4"/>
        </w:numPr>
        <w:spacing w:after="0" w:line="240" w:lineRule="auto"/>
        <w:ind w:left="1418" w:right="567" w:hanging="709"/>
        <w:jc w:val="both"/>
        <w:rPr>
          <w:rStyle w:val="normaltextrun"/>
          <w:rFonts w:ascii="Verdana" w:hAnsi="Verdana" w:cs="Arial"/>
          <w:color w:val="000000" w:themeColor="text1"/>
          <w:sz w:val="20"/>
          <w:szCs w:val="20"/>
          <w:shd w:val="clear" w:color="auto" w:fill="FFFFFF"/>
        </w:rPr>
      </w:pPr>
      <w:r w:rsidRPr="00307016">
        <w:rPr>
          <w:rStyle w:val="normaltextrun"/>
          <w:rFonts w:ascii="Verdana" w:hAnsi="Verdana" w:cs="Arial"/>
          <w:color w:val="000000" w:themeColor="text1"/>
          <w:sz w:val="20"/>
          <w:szCs w:val="20"/>
          <w:shd w:val="clear" w:color="auto" w:fill="FFFFFF"/>
        </w:rPr>
        <w:t xml:space="preserve">Entendemos que el pliego de condiciones dice que </w:t>
      </w:r>
      <w:bookmarkStart w:id="1" w:name="_Hlk172108395"/>
      <w:r w:rsidRPr="00307016">
        <w:rPr>
          <w:rStyle w:val="normaltextrun"/>
          <w:rFonts w:ascii="Verdana" w:hAnsi="Verdana" w:cs="Arial"/>
          <w:color w:val="000000" w:themeColor="text1"/>
          <w:sz w:val="20"/>
          <w:szCs w:val="20"/>
          <w:shd w:val="clear" w:color="auto" w:fill="FFFFFF"/>
        </w:rPr>
        <w:t xml:space="preserve">no se acepta la presentación de certificado superior a 30 días de expedido por cámara de comercio, </w:t>
      </w:r>
      <w:bookmarkEnd w:id="1"/>
      <w:r w:rsidRPr="00307016">
        <w:rPr>
          <w:rStyle w:val="normaltextrun"/>
          <w:rFonts w:ascii="Verdana" w:hAnsi="Verdana" w:cs="Arial"/>
          <w:color w:val="000000" w:themeColor="text1"/>
          <w:sz w:val="20"/>
          <w:szCs w:val="20"/>
          <w:shd w:val="clear" w:color="auto" w:fill="FFFFFF"/>
        </w:rPr>
        <w:t>pero si se presenta uno mucho mas actualizado, pues es muestra de la fiabilidad del registro activo en CCB.</w:t>
      </w:r>
    </w:p>
    <w:p w14:paraId="7C758E11" w14:textId="77777777" w:rsidR="00CE4A9B" w:rsidRPr="00307016" w:rsidRDefault="00CE4A9B" w:rsidP="00CE4A9B">
      <w:pPr>
        <w:pStyle w:val="Prrafodelista"/>
        <w:numPr>
          <w:ilvl w:val="0"/>
          <w:numId w:val="4"/>
        </w:numPr>
        <w:spacing w:after="0" w:line="240" w:lineRule="auto"/>
        <w:ind w:left="1418" w:right="567" w:hanging="709"/>
        <w:jc w:val="both"/>
        <w:rPr>
          <w:rFonts w:ascii="Verdana" w:eastAsia="Century Gothic" w:hAnsi="Verdana" w:cs="Century Gothic"/>
          <w:color w:val="000000" w:themeColor="text1"/>
          <w:sz w:val="20"/>
          <w:szCs w:val="20"/>
        </w:rPr>
      </w:pPr>
      <w:r w:rsidRPr="00307016">
        <w:rPr>
          <w:rStyle w:val="normaltextrun"/>
          <w:rFonts w:ascii="Verdana" w:hAnsi="Verdana" w:cs="Arial"/>
          <w:color w:val="000000" w:themeColor="text1"/>
          <w:sz w:val="20"/>
          <w:szCs w:val="20"/>
          <w:shd w:val="clear" w:color="auto" w:fill="FFFFFF"/>
        </w:rPr>
        <w:t>En el mismo proceso, se solicitó a nosotros los oferentes, el K de contratación, siendo mínima cuantía, igualmente entendemos que en este tipo de procesos y según la cartilla única de contratación, no se solicita dicho documento en mínimas cuantías, por favor corregirnos si estamos equivocados.</w:t>
      </w:r>
      <w:r w:rsidRPr="00307016">
        <w:rPr>
          <w:rFonts w:ascii="Verdana" w:eastAsia="Century Gothic" w:hAnsi="Verdana" w:cs="Century Gothic"/>
          <w:color w:val="000000" w:themeColor="text1"/>
          <w:sz w:val="20"/>
          <w:szCs w:val="20"/>
        </w:rPr>
        <w:t>”</w:t>
      </w:r>
      <w:bookmarkEnd w:id="0"/>
      <w:r>
        <w:rPr>
          <w:rFonts w:ascii="Verdana" w:eastAsia="Century Gothic" w:hAnsi="Verdana" w:cs="Century Gothic"/>
          <w:color w:val="000000" w:themeColor="text1"/>
          <w:sz w:val="20"/>
          <w:szCs w:val="20"/>
        </w:rPr>
        <w:t xml:space="preserve"> [SIC]</w:t>
      </w:r>
    </w:p>
    <w:p w14:paraId="44D80B73" w14:textId="77777777" w:rsidR="00CE4A9B" w:rsidRDefault="00CE4A9B" w:rsidP="00CE4A9B">
      <w:pPr>
        <w:spacing w:after="120" w:line="276" w:lineRule="auto"/>
        <w:ind w:firstLine="709"/>
        <w:jc w:val="both"/>
        <w:rPr>
          <w:rFonts w:ascii="Verdana" w:eastAsia="Calibri" w:hAnsi="Verdana" w:cs="Arial"/>
          <w:color w:val="000000"/>
          <w:lang w:val="es-ES" w:eastAsia="es-ES"/>
        </w:rPr>
      </w:pPr>
    </w:p>
    <w:p w14:paraId="2F3C1C8F" w14:textId="77777777" w:rsidR="00CE4A9B" w:rsidRDefault="00CE4A9B" w:rsidP="00CE4A9B">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020755D" w14:textId="77777777" w:rsidR="00CE4A9B" w:rsidRDefault="00CE4A9B" w:rsidP="00CE4A9B">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los interrogantes planteados</w:t>
      </w:r>
      <w:r w:rsidRPr="00593A5F">
        <w:rPr>
          <w:rFonts w:ascii="Verdana" w:eastAsia="Calibri" w:hAnsi="Verdana" w:cs="Arial"/>
          <w:color w:val="000000"/>
          <w:lang w:val="es-ES" w:eastAsia="es-ES"/>
        </w:rPr>
        <w:t xml:space="preserve">. </w:t>
      </w:r>
    </w:p>
    <w:p w14:paraId="68433B56" w14:textId="77777777" w:rsidR="00CE4A9B" w:rsidRPr="00593A5F" w:rsidRDefault="00CE4A9B" w:rsidP="00CE4A9B">
      <w:pPr>
        <w:spacing w:after="0" w:line="276" w:lineRule="auto"/>
        <w:ind w:firstLine="709"/>
        <w:jc w:val="both"/>
        <w:rPr>
          <w:rFonts w:ascii="Verdana" w:eastAsia="Calibri" w:hAnsi="Verdana" w:cs="Arial"/>
          <w:color w:val="000000"/>
          <w:lang w:val="es-ES" w:eastAsia="es-ES"/>
        </w:rPr>
      </w:pPr>
    </w:p>
    <w:p w14:paraId="7648482D" w14:textId="77777777" w:rsidR="00CE4A9B" w:rsidRPr="00593A5F" w:rsidRDefault="00CE4A9B" w:rsidP="00CE4A9B">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4E05E2CE" w14:textId="77777777" w:rsidR="00CE4A9B" w:rsidRPr="00593A5F" w:rsidRDefault="00CE4A9B" w:rsidP="00CE4A9B">
      <w:pPr>
        <w:tabs>
          <w:tab w:val="left" w:pos="426"/>
        </w:tabs>
        <w:spacing w:after="0" w:line="276" w:lineRule="auto"/>
        <w:jc w:val="both"/>
        <w:rPr>
          <w:rFonts w:ascii="Verdana" w:eastAsia="Century Gothic" w:hAnsi="Verdana" w:cs="Century Gothic"/>
          <w:lang w:val="es-ES"/>
        </w:rPr>
      </w:pPr>
    </w:p>
    <w:p w14:paraId="52DAC76F" w14:textId="77777777" w:rsidR="00CE4A9B" w:rsidRPr="00593A5F" w:rsidRDefault="00CE4A9B" w:rsidP="00CE4A9B">
      <w:pPr>
        <w:spacing w:after="0" w:line="276" w:lineRule="auto"/>
        <w:jc w:val="both"/>
        <w:rPr>
          <w:rFonts w:ascii="Verdana" w:eastAsia="Century Gothic" w:hAnsi="Verdana" w:cs="Century Gothic"/>
        </w:rPr>
      </w:pPr>
      <w:r>
        <w:rPr>
          <w:rFonts w:ascii="Verdana" w:eastAsia="Century Gothic" w:hAnsi="Verdana" w:cs="Century Gothic"/>
        </w:rPr>
        <w:lastRenderedPageBreak/>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i) ¿Es viable jurídicamente que el proponente subsane certificado de existencia y representación legal de la persona jurídica, reemplazando el documento inicialmente presentado por uno expedido con fecha posterior al cierre del proceso de selección? ; ii) ¿En desarrollo de un proceso de selección de contratistas adelantado en la modalidad de mínima cuantía, la entidad estatal contratante resulta exigible la acreditación de la capacidad residual?</w:t>
      </w:r>
    </w:p>
    <w:p w14:paraId="2E21DBEB" w14:textId="77777777" w:rsidR="00CE4A9B" w:rsidRPr="00593A5F" w:rsidRDefault="00CE4A9B" w:rsidP="00CE4A9B">
      <w:pPr>
        <w:spacing w:after="0" w:line="276" w:lineRule="auto"/>
        <w:jc w:val="both"/>
        <w:rPr>
          <w:rFonts w:ascii="Verdana" w:eastAsia="Calibri" w:hAnsi="Verdana" w:cs="Arial"/>
          <w:color w:val="7030A0"/>
          <w:lang w:val="es-ES"/>
        </w:rPr>
      </w:pPr>
    </w:p>
    <w:p w14:paraId="63FEA41B" w14:textId="77777777" w:rsidR="00CE4A9B" w:rsidRPr="00593A5F" w:rsidRDefault="00CE4A9B" w:rsidP="00CE4A9B">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AEA8291" w14:textId="77777777" w:rsidR="00CE4A9B" w:rsidRPr="00593A5F" w:rsidRDefault="00CE4A9B" w:rsidP="00CE4A9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E4A9B" w:rsidRPr="00593A5F" w14:paraId="5B4C1413" w14:textId="77777777" w:rsidTr="00E075F9">
        <w:trPr>
          <w:trHeight w:val="1777"/>
        </w:trPr>
        <w:tc>
          <w:tcPr>
            <w:tcW w:w="8828" w:type="dxa"/>
            <w:shd w:val="clear" w:color="auto" w:fill="auto"/>
          </w:tcPr>
          <w:p w14:paraId="519FB796" w14:textId="77777777" w:rsidR="00CE4A9B" w:rsidRDefault="00CE4A9B" w:rsidP="00E075F9">
            <w:pPr>
              <w:spacing w:line="276" w:lineRule="auto"/>
              <w:jc w:val="both"/>
              <w:rPr>
                <w:rFonts w:ascii="Verdana" w:eastAsia="Calibri" w:hAnsi="Verdana" w:cs="Arial"/>
                <w:color w:val="000000" w:themeColor="text1"/>
                <w:lang w:val="es-ES"/>
              </w:rPr>
            </w:pPr>
            <w:r>
              <w:rPr>
                <w:rFonts w:ascii="Verdana" w:eastAsia="Calibri" w:hAnsi="Verdana" w:cs="Arial"/>
                <w:color w:val="000000" w:themeColor="text1"/>
                <w:lang w:val="es-ES"/>
              </w:rPr>
              <w:t xml:space="preserve">En respuesta a los problemas antes planteados la Subdirección manifiesta: </w:t>
            </w:r>
          </w:p>
          <w:p w14:paraId="7752D732" w14:textId="77777777" w:rsidR="00CE4A9B" w:rsidRDefault="00CE4A9B" w:rsidP="00E075F9">
            <w:pPr>
              <w:spacing w:line="276" w:lineRule="auto"/>
              <w:jc w:val="both"/>
              <w:rPr>
                <w:rFonts w:ascii="Verdana" w:eastAsia="Calibri" w:hAnsi="Verdana" w:cs="Arial"/>
                <w:color w:val="000000" w:themeColor="text1"/>
                <w:lang w:val="es-ES"/>
              </w:rPr>
            </w:pPr>
          </w:p>
          <w:p w14:paraId="401693F9" w14:textId="77777777" w:rsidR="00CE4A9B" w:rsidRDefault="00CE4A9B" w:rsidP="00E075F9">
            <w:pPr>
              <w:spacing w:line="276" w:lineRule="auto"/>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 xml:space="preserve">i) </w:t>
            </w:r>
            <w:r w:rsidRPr="00781B38">
              <w:rPr>
                <w:rFonts w:ascii="Verdana" w:eastAsia="Calibri" w:hAnsi="Verdana" w:cs="Arial"/>
                <w:color w:val="000000" w:themeColor="text1"/>
                <w:lang w:val="es-ES_tradnl"/>
              </w:rPr>
              <w:t xml:space="preserve">De conformidad con el </w:t>
            </w:r>
            <w:r>
              <w:rPr>
                <w:rFonts w:ascii="Verdana" w:eastAsia="Calibri" w:hAnsi="Verdana" w:cs="Arial"/>
                <w:color w:val="000000" w:themeColor="text1"/>
                <w:lang w:val="es-ES_tradnl"/>
              </w:rPr>
              <w:t>parágrafo 1 del</w:t>
            </w:r>
            <w:r w:rsidRPr="00781B38">
              <w:rPr>
                <w:rFonts w:ascii="Verdana" w:eastAsia="Calibri" w:hAnsi="Verdana" w:cs="Arial"/>
                <w:color w:val="000000" w:themeColor="text1"/>
                <w:lang w:val="es-ES_tradnl"/>
              </w:rPr>
              <w:t xml:space="preserve"> artículo 5 de la Ley </w:t>
            </w:r>
            <w:r>
              <w:rPr>
                <w:rFonts w:ascii="Verdana" w:eastAsia="Calibri" w:hAnsi="Verdana" w:cs="Arial"/>
                <w:color w:val="000000" w:themeColor="text1"/>
                <w:lang w:val="es-ES_tradnl"/>
              </w:rPr>
              <w:t>1150 de 2007, modificado por la</w:t>
            </w:r>
            <w:r w:rsidRPr="00781B38">
              <w:rPr>
                <w:rFonts w:ascii="Verdana" w:eastAsia="Calibri" w:hAnsi="Verdana" w:cs="Arial"/>
                <w:color w:val="000000" w:themeColor="text1"/>
                <w:lang w:val="es-ES_tradnl"/>
              </w:rPr>
              <w:t xml:space="preserve"> Ley 1882 de 2018, lo subsanable es la prueba de todas las circunstancias ocurridas antes del vencimiento del término para presentar las ofertas, </w:t>
            </w:r>
            <w:r>
              <w:rPr>
                <w:rFonts w:ascii="Verdana" w:eastAsia="Calibri" w:hAnsi="Verdana" w:cs="Arial"/>
                <w:color w:val="000000" w:themeColor="text1"/>
                <w:lang w:val="es-ES_tradnl"/>
              </w:rPr>
              <w:t xml:space="preserve">ante </w:t>
            </w:r>
            <w:r w:rsidRPr="00781B38">
              <w:rPr>
                <w:rFonts w:ascii="Verdana" w:eastAsia="Calibri" w:hAnsi="Verdana" w:cs="Arial"/>
                <w:color w:val="000000" w:themeColor="text1"/>
                <w:lang w:val="es-ES_tradnl"/>
              </w:rPr>
              <w:t xml:space="preserve">la prohibición de acreditar circunstancias ocurridas con posterioridad al “cierre del proceso”. </w:t>
            </w:r>
            <w:r>
              <w:rPr>
                <w:rFonts w:ascii="Verdana" w:eastAsia="Calibri" w:hAnsi="Verdana" w:cs="Arial"/>
                <w:color w:val="000000" w:themeColor="text1"/>
                <w:lang w:val="es-ES_tradnl"/>
              </w:rPr>
              <w:t>De esta manera, s</w:t>
            </w:r>
            <w:r w:rsidRPr="00A93D9C">
              <w:rPr>
                <w:rFonts w:ascii="Verdana" w:eastAsia="Calibri" w:hAnsi="Verdana" w:cs="Arial"/>
                <w:color w:val="000000" w:themeColor="text1"/>
                <w:lang w:val="es-ES_tradnl"/>
              </w:rPr>
              <w:t xml:space="preserve">i un oferente no anexó el </w:t>
            </w:r>
            <w:r>
              <w:rPr>
                <w:rFonts w:ascii="Verdana" w:eastAsia="Calibri" w:hAnsi="Verdana" w:cs="Arial"/>
                <w:color w:val="000000" w:themeColor="text1"/>
                <w:lang w:val="es-ES_tradnl"/>
              </w:rPr>
              <w:t>c</w:t>
            </w:r>
            <w:r w:rsidRPr="00A93D9C">
              <w:rPr>
                <w:rFonts w:ascii="Verdana" w:eastAsia="Calibri" w:hAnsi="Verdana" w:cs="Arial"/>
                <w:color w:val="000000" w:themeColor="text1"/>
                <w:lang w:val="es-ES_tradnl"/>
              </w:rPr>
              <w:t xml:space="preserve">ertificado de existencia y representación legal, </w:t>
            </w:r>
            <w:r>
              <w:rPr>
                <w:rFonts w:ascii="Verdana" w:eastAsia="Calibri" w:hAnsi="Verdana" w:cs="Arial"/>
                <w:color w:val="000000" w:themeColor="text1"/>
                <w:lang w:val="es-ES_tradnl"/>
              </w:rPr>
              <w:t xml:space="preserve">este podrá subsanarlo siempre que </w:t>
            </w:r>
            <w:r w:rsidRPr="00A93D9C">
              <w:rPr>
                <w:rFonts w:ascii="Verdana" w:eastAsia="Calibri" w:hAnsi="Verdana" w:cs="Arial"/>
                <w:color w:val="000000" w:themeColor="text1"/>
                <w:lang w:val="es-ES_tradnl"/>
              </w:rPr>
              <w:t>el documento aportado con posterioridad debe dar cuenta de que la sociedad existía antes del cierre del proceso</w:t>
            </w:r>
            <w:r>
              <w:rPr>
                <w:rFonts w:ascii="Verdana" w:eastAsia="Calibri" w:hAnsi="Verdana" w:cs="Arial"/>
                <w:color w:val="000000" w:themeColor="text1"/>
                <w:lang w:val="es-ES_tradnl"/>
              </w:rPr>
              <w:t xml:space="preserve">. </w:t>
            </w:r>
          </w:p>
          <w:p w14:paraId="3D378635" w14:textId="77777777" w:rsidR="00CE4A9B" w:rsidRDefault="00CE4A9B" w:rsidP="00E075F9">
            <w:pPr>
              <w:spacing w:line="276" w:lineRule="auto"/>
              <w:jc w:val="both"/>
              <w:rPr>
                <w:rFonts w:ascii="Verdana" w:eastAsia="Calibri" w:hAnsi="Verdana" w:cs="Arial"/>
                <w:color w:val="000000" w:themeColor="text1"/>
                <w:lang w:val="es-ES"/>
              </w:rPr>
            </w:pPr>
          </w:p>
          <w:p w14:paraId="1624756D" w14:textId="77777777" w:rsidR="00CE4A9B" w:rsidRDefault="00CE4A9B" w:rsidP="00E075F9">
            <w:pPr>
              <w:spacing w:line="276" w:lineRule="auto"/>
              <w:jc w:val="both"/>
              <w:rPr>
                <w:rFonts w:ascii="Verdana" w:eastAsia="Calibri" w:hAnsi="Verdana" w:cs="Arial"/>
                <w:color w:val="000000" w:themeColor="text1"/>
                <w:lang w:val="es-ES"/>
              </w:rPr>
            </w:pPr>
            <w:r>
              <w:rPr>
                <w:rFonts w:ascii="Verdana" w:eastAsia="Calibri" w:hAnsi="Verdana" w:cs="Arial"/>
                <w:color w:val="000000" w:themeColor="text1"/>
                <w:lang w:val="es-ES"/>
              </w:rPr>
              <w:t xml:space="preserve">ii) En atención a lo dispuesto en el parágrafo 1 del artículo 6 de la Ley 1150 de 2007, para poder participar en proceso de selección de contratos de obra, incluidos los adelantados en la modalidad de mínima cuantía, resulta necesario acreditar el requisito habilitante de capacidad residual. Esto implica que el proponente acredite que su capacidad residual o </w:t>
            </w:r>
            <w:r w:rsidRPr="00BA3EFF">
              <w:rPr>
                <w:rFonts w:ascii="Verdana" w:eastAsia="Calibri" w:hAnsi="Verdana" w:cs="Arial"/>
                <w:i/>
                <w:iCs/>
                <w:color w:val="000000" w:themeColor="text1"/>
                <w:lang w:val="es-ES"/>
              </w:rPr>
              <w:t>K de contratación</w:t>
            </w:r>
            <w:r>
              <w:rPr>
                <w:rFonts w:ascii="Verdana" w:eastAsia="Calibri" w:hAnsi="Verdana" w:cs="Arial"/>
                <w:color w:val="000000" w:themeColor="text1"/>
                <w:lang w:val="es-ES"/>
              </w:rPr>
              <w:t xml:space="preserve"> es superior al del Proceso de Contratación.  </w:t>
            </w:r>
          </w:p>
          <w:p w14:paraId="0FB985BB" w14:textId="77777777" w:rsidR="00CE4A9B" w:rsidRPr="00593A5F" w:rsidRDefault="00CE4A9B" w:rsidP="00E075F9">
            <w:pPr>
              <w:spacing w:line="276" w:lineRule="auto"/>
              <w:jc w:val="both"/>
              <w:rPr>
                <w:rFonts w:ascii="Verdana" w:eastAsia="Calibri" w:hAnsi="Verdana" w:cs="Arial"/>
                <w:color w:val="7030A0"/>
                <w:lang w:val="es-ES"/>
              </w:rPr>
            </w:pPr>
          </w:p>
        </w:tc>
      </w:tr>
    </w:tbl>
    <w:p w14:paraId="10AAFF23" w14:textId="77777777" w:rsidR="00CE4A9B" w:rsidRPr="00593A5F" w:rsidRDefault="00CE4A9B" w:rsidP="00CE4A9B">
      <w:pPr>
        <w:tabs>
          <w:tab w:val="left" w:pos="142"/>
          <w:tab w:val="left" w:pos="284"/>
        </w:tabs>
        <w:spacing w:after="0" w:line="276" w:lineRule="auto"/>
        <w:jc w:val="both"/>
        <w:rPr>
          <w:rFonts w:ascii="Verdana" w:eastAsia="Century Gothic" w:hAnsi="Verdana" w:cs="Century Gothic"/>
          <w:b/>
          <w:bCs/>
          <w:lang w:val="es-ES"/>
        </w:rPr>
      </w:pPr>
    </w:p>
    <w:p w14:paraId="0B0A9A37" w14:textId="77777777" w:rsidR="00CE4A9B" w:rsidRPr="00593A5F" w:rsidRDefault="00CE4A9B" w:rsidP="00CE4A9B">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0CAE1CF" w14:textId="77777777" w:rsidR="00CE4A9B" w:rsidRPr="00593A5F" w:rsidRDefault="00CE4A9B" w:rsidP="00CE4A9B">
      <w:pPr>
        <w:spacing w:after="0" w:line="276" w:lineRule="auto"/>
        <w:jc w:val="both"/>
        <w:rPr>
          <w:rFonts w:ascii="Verdana" w:eastAsia="Calibri" w:hAnsi="Verdana" w:cs="Arial"/>
          <w:color w:val="7030A0"/>
          <w:lang w:val="es-ES"/>
        </w:rPr>
      </w:pPr>
    </w:p>
    <w:p w14:paraId="72459405" w14:textId="77777777" w:rsidR="00CE4A9B" w:rsidRPr="00B96799" w:rsidRDefault="00CE4A9B" w:rsidP="00CE4A9B">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724C6B24" w14:textId="77777777" w:rsidR="00CE4A9B" w:rsidRPr="00593A5F" w:rsidRDefault="00CE4A9B" w:rsidP="00CE4A9B">
      <w:pPr>
        <w:spacing w:after="0" w:line="276" w:lineRule="auto"/>
        <w:jc w:val="both"/>
        <w:rPr>
          <w:rFonts w:ascii="Verdana" w:eastAsia="Calibri" w:hAnsi="Verdana" w:cs="Arial"/>
          <w:color w:val="7030A0"/>
          <w:lang w:val="es-ES"/>
        </w:rPr>
      </w:pPr>
    </w:p>
    <w:p w14:paraId="78B7307F" w14:textId="77777777" w:rsidR="00CE4A9B" w:rsidRPr="002D7692"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7210EC">
        <w:rPr>
          <w:rFonts w:ascii="Verdana" w:eastAsia="Calibri" w:hAnsi="Verdana" w:cs="Arial"/>
          <w:color w:val="000000" w:themeColor="text1"/>
        </w:rPr>
        <w:t xml:space="preserve">Por regla general, la falta de entrega y los defectos, en la acreditación de los requisitos habilitantes de la oferta presentada por los proponentes son aspectos subsanables. La excepción se encuentra en los casos, previstos en la ley, que limitan la subsanabilidad, por ejemplo, en la prohibición de </w:t>
      </w:r>
      <w:r w:rsidRPr="007210EC">
        <w:rPr>
          <w:rFonts w:ascii="Verdana" w:eastAsia="Calibri" w:hAnsi="Verdana" w:cs="Arial"/>
          <w:color w:val="000000" w:themeColor="text1"/>
        </w:rPr>
        <w:lastRenderedPageBreak/>
        <w:t>permitir la entrega de la garantía de seriedad de la oferta que no fue aportada con la propuesta o de valer la acreditación de circunstancias ocurridas con posterioridad al cierre del proceso, entre otros. En esta línea, la posibilidad de enmendar, corregir o subsanar los errores en los que se incurre en los documentos contentivos de la oferta es un tema que ha tenido diferentes momentos o etapas en el ordenamiento jurídico colombiano.</w:t>
      </w:r>
      <w:r>
        <w:rPr>
          <w:rFonts w:ascii="Verdana" w:eastAsia="Calibri" w:hAnsi="Verdana" w:cs="Arial"/>
          <w:color w:val="000000" w:themeColor="text1"/>
        </w:rPr>
        <w:t xml:space="preserve"> A estos efectos, </w:t>
      </w:r>
      <w:r>
        <w:rPr>
          <w:rFonts w:ascii="Verdana" w:hAnsi="Verdana" w:cs="Arial"/>
          <w:color w:val="000000" w:themeColor="text1"/>
        </w:rPr>
        <w:t>el parágrafo 1 del artículo 5 de la Ley 1150 de 2007 modificado por</w:t>
      </w:r>
      <w:r w:rsidRPr="00FA447B">
        <w:rPr>
          <w:rFonts w:ascii="Verdana" w:hAnsi="Verdana" w:cs="Arial"/>
          <w:color w:val="000000" w:themeColor="text1"/>
        </w:rPr>
        <w:t xml:space="preserve"> la Ley 1882 de 2018,</w:t>
      </w:r>
      <w:r>
        <w:rPr>
          <w:rFonts w:ascii="Verdana" w:hAnsi="Verdana" w:cs="Arial"/>
          <w:color w:val="000000" w:themeColor="text1"/>
        </w:rPr>
        <w:t xml:space="preserve"> establece la regla </w:t>
      </w:r>
      <w:r w:rsidRPr="00FA447B">
        <w:rPr>
          <w:rFonts w:ascii="Verdana" w:hAnsi="Verdana" w:cs="Arial"/>
          <w:color w:val="000000" w:themeColor="text1"/>
        </w:rPr>
        <w:t>:</w:t>
      </w:r>
    </w:p>
    <w:p w14:paraId="26CC720C" w14:textId="77777777" w:rsidR="00CE4A9B" w:rsidRPr="002D7692" w:rsidRDefault="00CE4A9B" w:rsidP="00CE4A9B">
      <w:pPr>
        <w:pStyle w:val="Prrafodelista"/>
        <w:rPr>
          <w:rFonts w:ascii="Verdana" w:eastAsia="Calibri" w:hAnsi="Verdana" w:cs="Arial"/>
          <w:color w:val="000000" w:themeColor="text1"/>
        </w:rPr>
      </w:pPr>
    </w:p>
    <w:p w14:paraId="0C3FFE38" w14:textId="77777777" w:rsidR="00CE4A9B" w:rsidRPr="004407B5" w:rsidRDefault="00CE4A9B" w:rsidP="00CE4A9B">
      <w:pPr>
        <w:pStyle w:val="Prrafodelista"/>
        <w:spacing w:after="0" w:line="276" w:lineRule="auto"/>
        <w:ind w:left="907" w:right="737"/>
        <w:jc w:val="both"/>
        <w:rPr>
          <w:rFonts w:ascii="Verdana" w:hAnsi="Verdana"/>
          <w:i/>
          <w:iCs/>
          <w:sz w:val="21"/>
          <w:szCs w:val="21"/>
        </w:rPr>
      </w:pPr>
      <w:r w:rsidRPr="004407B5">
        <w:rPr>
          <w:rFonts w:ascii="Verdana" w:hAnsi="Verdana"/>
          <w:i/>
          <w:iCs/>
          <w:sz w:val="21"/>
          <w:szCs w:val="21"/>
        </w:rPr>
        <w:t xml:space="preserve">“Artículo 5°. De la selección objetiva. </w:t>
      </w:r>
    </w:p>
    <w:p w14:paraId="0E08653E" w14:textId="77777777" w:rsidR="00CE4A9B" w:rsidRPr="004407B5" w:rsidRDefault="00CE4A9B" w:rsidP="00CE4A9B">
      <w:pPr>
        <w:pStyle w:val="Prrafodelista"/>
        <w:spacing w:after="0" w:line="276" w:lineRule="auto"/>
        <w:ind w:left="907" w:right="737"/>
        <w:jc w:val="both"/>
        <w:rPr>
          <w:rFonts w:ascii="Verdana" w:hAnsi="Verdana"/>
          <w:i/>
          <w:iCs/>
          <w:sz w:val="21"/>
          <w:szCs w:val="21"/>
        </w:rPr>
      </w:pPr>
      <w:r w:rsidRPr="004407B5">
        <w:rPr>
          <w:rFonts w:ascii="Verdana" w:hAnsi="Verdana"/>
          <w:i/>
          <w:iCs/>
          <w:sz w:val="21"/>
          <w:szCs w:val="21"/>
        </w:rPr>
        <w:t>[... ]</w:t>
      </w:r>
    </w:p>
    <w:p w14:paraId="7320A628" w14:textId="77777777" w:rsidR="00CE4A9B" w:rsidRPr="004407B5" w:rsidRDefault="00CE4A9B" w:rsidP="00CE4A9B">
      <w:pPr>
        <w:pStyle w:val="Prrafodelista"/>
        <w:spacing w:after="0" w:line="276" w:lineRule="auto"/>
        <w:ind w:left="907" w:right="737"/>
        <w:jc w:val="both"/>
        <w:rPr>
          <w:rFonts w:ascii="Verdana" w:hAnsi="Verdana"/>
          <w:i/>
          <w:iCs/>
          <w:sz w:val="21"/>
          <w:szCs w:val="21"/>
        </w:rPr>
      </w:pPr>
      <w:r w:rsidRPr="004407B5">
        <w:rPr>
          <w:rFonts w:ascii="Verdana" w:hAnsi="Verdana"/>
          <w:i/>
          <w:iCs/>
          <w:sz w:val="21"/>
          <w:szCs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469333EF" w14:textId="77777777" w:rsidR="00CE4A9B" w:rsidRPr="001F4A81" w:rsidRDefault="00CE4A9B" w:rsidP="00CE4A9B">
      <w:pPr>
        <w:pStyle w:val="Prrafodelista"/>
        <w:rPr>
          <w:rFonts w:ascii="Verdana" w:eastAsia="Calibri" w:hAnsi="Verdana" w:cs="Arial"/>
          <w:color w:val="000000" w:themeColor="text1"/>
        </w:rPr>
      </w:pPr>
    </w:p>
    <w:p w14:paraId="183C24C7" w14:textId="77777777" w:rsidR="00CE4A9B" w:rsidRDefault="00CE4A9B" w:rsidP="00CE4A9B">
      <w:pPr>
        <w:pStyle w:val="Prrafodelista"/>
        <w:numPr>
          <w:ilvl w:val="0"/>
          <w:numId w:val="2"/>
        </w:numPr>
        <w:spacing w:after="0" w:line="276" w:lineRule="auto"/>
        <w:jc w:val="both"/>
        <w:rPr>
          <w:rFonts w:ascii="Verdana" w:hAnsi="Verdana" w:cs="Arial"/>
          <w:color w:val="000000" w:themeColor="text1"/>
        </w:rPr>
      </w:pPr>
      <w:r w:rsidRPr="00194B9D">
        <w:rPr>
          <w:rFonts w:ascii="Verdana" w:hAnsi="Verdana" w:cs="Arial"/>
          <w:color w:val="000000" w:themeColor="text1"/>
        </w:rPr>
        <w:t xml:space="preserve">Como puede observarse, la Ley 1882 de 2018: i) el criterio de la Ley 80 de 1993, relativo a que todo lo que no sea necesario para la comparación de propuestas no es título suficiente para su rechazo; ii) </w:t>
      </w:r>
      <w:r>
        <w:rPr>
          <w:rFonts w:ascii="Verdana" w:hAnsi="Verdana" w:cs="Arial"/>
          <w:color w:val="000000" w:themeColor="text1"/>
        </w:rPr>
        <w:t>establece</w:t>
      </w:r>
      <w:r w:rsidRPr="00194B9D">
        <w:rPr>
          <w:rFonts w:ascii="Verdana" w:hAnsi="Verdana" w:cs="Arial"/>
          <w:color w:val="000000" w:themeColor="text1"/>
        </w:rPr>
        <w:t xml:space="preserve"> el criterio aclaratorio de la Ley 1150 de 2007, según el cual todo lo que no afecte la asignación de puntaje puede subsanarse; y, iii) introduce modificaciones en relación con algunos aspectos que se analizarán a continuación. </w:t>
      </w:r>
    </w:p>
    <w:p w14:paraId="565BAEAC" w14:textId="77777777" w:rsidR="00CE4A9B" w:rsidRDefault="00CE4A9B" w:rsidP="00CE4A9B">
      <w:pPr>
        <w:pStyle w:val="Prrafodelista"/>
        <w:spacing w:after="0" w:line="276" w:lineRule="auto"/>
        <w:jc w:val="both"/>
        <w:rPr>
          <w:rFonts w:ascii="Verdana" w:hAnsi="Verdana" w:cs="Arial"/>
          <w:color w:val="000000" w:themeColor="text1"/>
        </w:rPr>
      </w:pPr>
    </w:p>
    <w:p w14:paraId="1648E829" w14:textId="77777777" w:rsidR="00CE4A9B" w:rsidRPr="00194B9D" w:rsidRDefault="00CE4A9B" w:rsidP="00CE4A9B">
      <w:pPr>
        <w:pStyle w:val="Prrafodelista"/>
        <w:numPr>
          <w:ilvl w:val="0"/>
          <w:numId w:val="2"/>
        </w:numPr>
        <w:spacing w:after="0" w:line="276" w:lineRule="auto"/>
        <w:jc w:val="both"/>
        <w:rPr>
          <w:rFonts w:ascii="Verdana" w:hAnsi="Verdana" w:cs="Arial"/>
          <w:color w:val="000000" w:themeColor="text1"/>
        </w:rPr>
      </w:pPr>
      <w:r w:rsidRPr="00465BA4">
        <w:rPr>
          <w:rFonts w:ascii="Verdana" w:hAnsi="Verdana" w:cs="Arial"/>
          <w:color w:val="000000" w:themeColor="text1"/>
        </w:rPr>
        <w:t xml:space="preserve">El </w:t>
      </w:r>
      <w:r w:rsidRPr="006A7C46">
        <w:rPr>
          <w:rFonts w:ascii="Verdana" w:hAnsi="Verdana" w:cs="Arial"/>
          <w:i/>
          <w:iCs/>
          <w:color w:val="000000" w:themeColor="text1"/>
        </w:rPr>
        <w:t>primero</w:t>
      </w:r>
      <w:r w:rsidRPr="00465BA4">
        <w:rPr>
          <w:rFonts w:ascii="Verdana" w:hAnsi="Verdana" w:cs="Arial"/>
          <w:color w:val="000000" w:themeColor="text1"/>
        </w:rPr>
        <w:t xml:space="preserve"> es el ámbito temporal para ejercer la facultad de subsanar la oferta, pues la Ley 1882 de 2018 fijó una regla general y una excepción. La regla</w:t>
      </w:r>
      <w:r>
        <w:rPr>
          <w:rFonts w:ascii="Verdana" w:hAnsi="Verdana" w:cs="Arial"/>
          <w:color w:val="000000" w:themeColor="text1"/>
        </w:rPr>
        <w:t xml:space="preserve"> </w:t>
      </w:r>
      <w:r w:rsidRPr="00565CA4">
        <w:rPr>
          <w:rFonts w:ascii="Verdana" w:hAnsi="Verdana" w:cs="Arial"/>
          <w:color w:val="000000" w:themeColor="text1"/>
        </w:rPr>
        <w:t xml:space="preserve">general es que el límite para que la entidad solicite y para que el proponente corrija lo que haga falta es hasta el término de traslado del </w:t>
      </w:r>
      <w:r w:rsidRPr="00565CA4">
        <w:rPr>
          <w:rFonts w:ascii="Verdana" w:hAnsi="Verdana" w:cs="Arial"/>
          <w:color w:val="000000" w:themeColor="text1"/>
        </w:rPr>
        <w:lastRenderedPageBreak/>
        <w:t>informe de evaluación que corresponda a cada modalidad de selección. La excepción es que el límite anterior no aplica para los procesos de mínima cuantía y para el proceso de selección a través del sistema de subasta</w:t>
      </w:r>
      <w:r w:rsidRPr="0029340D">
        <w:rPr>
          <w:rFonts w:ascii="Century Gothic" w:hAnsi="Century Gothic" w:cs="Arial"/>
          <w:vertAlign w:val="superscript"/>
          <w:lang w:val="es-ES_tradnl"/>
        </w:rPr>
        <w:footnoteReference w:id="1"/>
      </w:r>
      <w:r w:rsidRPr="00565CA4">
        <w:rPr>
          <w:rFonts w:ascii="Verdana" w:hAnsi="Verdana" w:cs="Arial"/>
          <w:color w:val="000000" w:themeColor="text1"/>
        </w:rPr>
        <w:t>; en el último los documentos o requisitos subsanables pueden y deben solicitarse hasta el momento previo a la celebración de la audiencia. En cuanto al proceso de selección por mínima cuantía, el Decreto 1860 de 2021 que modifica el Decreto 1082 de 2015, en su artículo 2.2.1.2.1.5.2., numeral 5° dispone que, sin perjuicio de la oportunidad que deben otorgar las Entidades para subsanar las ofertas, de acuerdo con el artículo 5 de la Ley 1150 de 2007, las entidades estatales en el cronograma de la invitación podrán establecer un término preclusivo para recibir los documentos subsanables. En el evento que no se regule este término los proponentes podrán subsanar sus ofertas hasta antes que finalice el traslado del informe de evaluación</w:t>
      </w:r>
      <w:r>
        <w:rPr>
          <w:rStyle w:val="Refdenotaalpie"/>
          <w:rFonts w:ascii="Verdana" w:hAnsi="Verdana" w:cs="Arial"/>
          <w:color w:val="000000" w:themeColor="text1"/>
        </w:rPr>
        <w:footnoteReference w:id="2"/>
      </w:r>
      <w:r w:rsidRPr="00565CA4">
        <w:rPr>
          <w:rFonts w:ascii="Verdana" w:hAnsi="Verdana" w:cs="Arial"/>
          <w:color w:val="000000" w:themeColor="text1"/>
        </w:rPr>
        <w:t>.</w:t>
      </w:r>
    </w:p>
    <w:p w14:paraId="05FF210C" w14:textId="77777777" w:rsidR="00CE4A9B" w:rsidRPr="000B0286" w:rsidRDefault="00CE4A9B" w:rsidP="00CE4A9B">
      <w:pPr>
        <w:pStyle w:val="Prrafodelista"/>
        <w:rPr>
          <w:rFonts w:ascii="Verdana" w:eastAsia="Calibri" w:hAnsi="Verdana" w:cs="Arial"/>
          <w:color w:val="000000" w:themeColor="text1"/>
        </w:rPr>
      </w:pPr>
    </w:p>
    <w:p w14:paraId="27A38D05" w14:textId="77777777" w:rsidR="00CE4A9B" w:rsidRPr="00CB0D64"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9F72FB">
        <w:rPr>
          <w:rFonts w:ascii="Verdana" w:eastAsia="Calibri" w:hAnsi="Verdana" w:cs="Arial"/>
          <w:color w:val="000000" w:themeColor="text1"/>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C60761">
        <w:rPr>
          <w:rFonts w:ascii="Verdana" w:eastAsia="Calibri" w:hAnsi="Verdana" w:cs="Arial"/>
          <w:i/>
          <w:iCs/>
          <w:color w:val="000000" w:themeColor="text1"/>
        </w:rPr>
        <w:t>deberán ser solicitados por las entidades estatales y deberán ser entregados por los proponentes hasta el término de traslado del informe de evaluación que corresponda a cada modalidad de selección</w:t>
      </w:r>
      <w:r w:rsidRPr="009F72FB">
        <w:rPr>
          <w:rFonts w:ascii="Verdana" w:eastAsia="Calibri" w:hAnsi="Verdana" w:cs="Arial"/>
          <w:color w:val="000000" w:themeColor="text1"/>
        </w:rPr>
        <w:t>”.</w:t>
      </w:r>
    </w:p>
    <w:p w14:paraId="4865D37B" w14:textId="77777777" w:rsidR="00CE4A9B" w:rsidRPr="00CB0D64" w:rsidRDefault="00CE4A9B" w:rsidP="00CE4A9B">
      <w:pPr>
        <w:pStyle w:val="Prrafodelista"/>
        <w:rPr>
          <w:rFonts w:ascii="Verdana" w:eastAsia="Calibri" w:hAnsi="Verdana" w:cs="Arial"/>
          <w:color w:val="000000" w:themeColor="text1"/>
        </w:rPr>
      </w:pPr>
    </w:p>
    <w:p w14:paraId="056EE749" w14:textId="77777777" w:rsidR="00CE4A9B" w:rsidRPr="00DF50D2"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954002">
        <w:rPr>
          <w:rFonts w:ascii="Verdana" w:eastAsia="Calibri" w:hAnsi="Verdana" w:cs="Arial"/>
          <w:color w:val="000000" w:themeColor="text1"/>
        </w:rPr>
        <w:t xml:space="preserve">El </w:t>
      </w:r>
      <w:r w:rsidRPr="00477B76">
        <w:rPr>
          <w:rFonts w:ascii="Verdana" w:eastAsia="Calibri" w:hAnsi="Verdana" w:cs="Arial"/>
          <w:i/>
          <w:iCs/>
          <w:color w:val="000000" w:themeColor="text1"/>
        </w:rPr>
        <w:t>segundo</w:t>
      </w:r>
      <w:r w:rsidRPr="00954002">
        <w:rPr>
          <w:rFonts w:ascii="Verdana" w:eastAsia="Calibri" w:hAnsi="Verdana" w:cs="Arial"/>
          <w:color w:val="000000" w:themeColor="text1"/>
        </w:rPr>
        <w:t xml:space="preserve"> cambio importante</w:t>
      </w:r>
      <w:r>
        <w:rPr>
          <w:rFonts w:ascii="Verdana" w:eastAsia="Calibri" w:hAnsi="Verdana" w:cs="Arial"/>
          <w:color w:val="000000" w:themeColor="text1"/>
        </w:rPr>
        <w:t>, que trajo la</w:t>
      </w:r>
      <w:r w:rsidRPr="00954002">
        <w:rPr>
          <w:rFonts w:ascii="Verdana" w:eastAsia="Calibri" w:hAnsi="Verdana" w:cs="Arial"/>
          <w:color w:val="000000" w:themeColor="text1"/>
        </w:rPr>
        <w:t xml:space="preserve"> Ley 1882 de 2018</w:t>
      </w:r>
      <w:r>
        <w:rPr>
          <w:rFonts w:ascii="Verdana" w:eastAsia="Calibri" w:hAnsi="Verdana" w:cs="Arial"/>
          <w:color w:val="000000" w:themeColor="text1"/>
        </w:rPr>
        <w:t xml:space="preserve"> y al que hicimos referencia en la respuesta expuesta arriba,</w:t>
      </w:r>
      <w:r w:rsidRPr="00954002">
        <w:rPr>
          <w:rFonts w:ascii="Verdana" w:eastAsia="Calibri" w:hAnsi="Verdana" w:cs="Arial"/>
          <w:color w:val="000000" w:themeColor="text1"/>
        </w:rPr>
        <w:t xml:space="preserve"> fue la introducción de un criterio material, directamente relacionado con los aspectos subsanables: “</w:t>
      </w:r>
      <w:r w:rsidRPr="00580DAF">
        <w:rPr>
          <w:rFonts w:ascii="Verdana" w:eastAsia="Calibri" w:hAnsi="Verdana" w:cs="Arial"/>
          <w:i/>
          <w:iCs/>
          <w:color w:val="000000" w:themeColor="text1"/>
        </w:rPr>
        <w:t>los proponentes no podrán acreditar circunstancias ocurridas con posterioridad al cierre del proceso</w:t>
      </w:r>
      <w:r w:rsidRPr="00954002">
        <w:rPr>
          <w:rFonts w:ascii="Verdana" w:eastAsia="Calibri" w:hAnsi="Verdana" w:cs="Arial"/>
          <w:color w:val="000000" w:themeColor="text1"/>
        </w:rPr>
        <w:t xml:space="preserve">”. Lo anterior ofrece dos aspectos que merecen clarificación; primero, qué debe entenderse por </w:t>
      </w:r>
      <w:r w:rsidRPr="00954002">
        <w:rPr>
          <w:rFonts w:ascii="Verdana" w:eastAsia="Calibri" w:hAnsi="Verdana" w:cs="Arial"/>
          <w:color w:val="000000" w:themeColor="text1"/>
        </w:rPr>
        <w:lastRenderedPageBreak/>
        <w:t>circunstancias ocurridas con posterioridad; y segundo, qué es el cierre del proceso.</w:t>
      </w:r>
    </w:p>
    <w:p w14:paraId="0AAB8795" w14:textId="77777777" w:rsidR="00CE4A9B" w:rsidRPr="00DF50D2" w:rsidRDefault="00CE4A9B" w:rsidP="00CE4A9B">
      <w:pPr>
        <w:pStyle w:val="Prrafodelista"/>
        <w:rPr>
          <w:rFonts w:ascii="Verdana" w:eastAsia="Calibri" w:hAnsi="Verdana" w:cs="Arial"/>
          <w:color w:val="000000" w:themeColor="text1"/>
        </w:rPr>
      </w:pPr>
    </w:p>
    <w:p w14:paraId="717D0B1C" w14:textId="77777777" w:rsidR="00CE4A9B" w:rsidRPr="008A0554"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06639C">
        <w:rPr>
          <w:rFonts w:ascii="Verdana" w:eastAsia="Calibri" w:hAnsi="Verdana" w:cs="Arial"/>
          <w:color w:val="000000" w:themeColor="text1"/>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Pr>
          <w:rStyle w:val="Refdenotaalpie"/>
          <w:rFonts w:ascii="Verdana" w:eastAsia="Calibri" w:hAnsi="Verdana" w:cs="Arial"/>
          <w:color w:val="000000" w:themeColor="text1"/>
        </w:rPr>
        <w:footnoteReference w:id="3"/>
      </w:r>
      <w:r>
        <w:rPr>
          <w:rFonts w:ascii="Verdana" w:eastAsia="Calibri" w:hAnsi="Verdana" w:cs="Arial"/>
          <w:color w:val="000000" w:themeColor="text1"/>
        </w:rPr>
        <w:t>.</w:t>
      </w:r>
    </w:p>
    <w:p w14:paraId="652022E9" w14:textId="77777777" w:rsidR="00CE4A9B" w:rsidRPr="008A0554" w:rsidRDefault="00CE4A9B" w:rsidP="00CE4A9B">
      <w:pPr>
        <w:pStyle w:val="Prrafodelista"/>
        <w:rPr>
          <w:rFonts w:ascii="Verdana" w:eastAsia="Calibri" w:hAnsi="Verdana" w:cs="Arial"/>
          <w:color w:val="000000" w:themeColor="text1"/>
        </w:rPr>
      </w:pPr>
    </w:p>
    <w:p w14:paraId="1CE83AA9" w14:textId="77777777" w:rsidR="00CE4A9B"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132A71">
        <w:rPr>
          <w:rFonts w:ascii="Verdana" w:eastAsia="Calibri" w:hAnsi="Verdana" w:cs="Arial"/>
          <w:color w:val="000000" w:themeColor="text1"/>
        </w:rPr>
        <w:t>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Pr>
          <w:rStyle w:val="Refdenotaalpie"/>
          <w:rFonts w:ascii="Verdana" w:eastAsia="Calibri" w:hAnsi="Verdana" w:cs="Arial"/>
          <w:color w:val="000000" w:themeColor="text1"/>
        </w:rPr>
        <w:footnoteReference w:id="4"/>
      </w:r>
      <w:r>
        <w:rPr>
          <w:rFonts w:ascii="Verdana" w:eastAsia="Calibri" w:hAnsi="Verdana" w:cs="Arial"/>
          <w:color w:val="000000" w:themeColor="text1"/>
        </w:rPr>
        <w:t>.</w:t>
      </w:r>
    </w:p>
    <w:p w14:paraId="141F1C18" w14:textId="77777777" w:rsidR="00CE4A9B" w:rsidRPr="009B6E12" w:rsidRDefault="00CE4A9B" w:rsidP="00CE4A9B">
      <w:pPr>
        <w:pStyle w:val="Prrafodelista"/>
        <w:rPr>
          <w:rFonts w:ascii="Verdana" w:eastAsia="Calibri" w:hAnsi="Verdana" w:cs="Arial"/>
          <w:color w:val="000000" w:themeColor="text1"/>
        </w:rPr>
      </w:pPr>
    </w:p>
    <w:p w14:paraId="08858F20" w14:textId="77777777" w:rsidR="00CE4A9B"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12541A">
        <w:rPr>
          <w:rFonts w:ascii="Verdana" w:eastAsia="Calibri" w:hAnsi="Verdana" w:cs="Arial"/>
          <w:color w:val="000000" w:themeColor="text1"/>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Pr>
          <w:rStyle w:val="Refdenotaalpie"/>
          <w:rFonts w:ascii="Verdana" w:eastAsia="Calibri" w:hAnsi="Verdana" w:cs="Arial"/>
          <w:color w:val="000000" w:themeColor="text1"/>
        </w:rPr>
        <w:footnoteReference w:id="5"/>
      </w:r>
      <w:r>
        <w:rPr>
          <w:rFonts w:ascii="Verdana" w:eastAsia="Calibri" w:hAnsi="Verdana" w:cs="Arial"/>
          <w:color w:val="000000" w:themeColor="text1"/>
        </w:rPr>
        <w:t xml:space="preserve">; </w:t>
      </w:r>
      <w:r w:rsidRPr="0008153C">
        <w:rPr>
          <w:rFonts w:ascii="Verdana" w:eastAsia="Calibri" w:hAnsi="Verdana" w:cs="Arial"/>
          <w:color w:val="000000" w:themeColor="text1"/>
        </w:rPr>
        <w:t>iii) si un oferente no anexó el Certificado de existencia y representación legal, el documento aportado con posterioridad debe dar cuenta de que la sociedad existía antes del cierre del proceso</w:t>
      </w:r>
      <w:r>
        <w:rPr>
          <w:rStyle w:val="Refdenotaalpie"/>
          <w:rFonts w:ascii="Verdana" w:eastAsia="Calibri" w:hAnsi="Verdana" w:cs="Arial"/>
          <w:color w:val="000000" w:themeColor="text1"/>
        </w:rPr>
        <w:footnoteReference w:id="6"/>
      </w:r>
      <w:r>
        <w:rPr>
          <w:rFonts w:ascii="Verdana" w:eastAsia="Calibri" w:hAnsi="Verdana" w:cs="Arial"/>
          <w:color w:val="000000" w:themeColor="text1"/>
        </w:rPr>
        <w:t xml:space="preserve">; </w:t>
      </w:r>
      <w:r w:rsidRPr="001B7501">
        <w:rPr>
          <w:rFonts w:ascii="Verdana" w:eastAsia="Calibri" w:hAnsi="Verdana" w:cs="Arial"/>
          <w:color w:val="000000" w:themeColor="text1"/>
        </w:rPr>
        <w:t>iv) si un oferente olvidó adjuntar un certificado</w:t>
      </w:r>
      <w:r>
        <w:rPr>
          <w:rFonts w:ascii="Verdana" w:eastAsia="Calibri" w:hAnsi="Verdana" w:cs="Arial"/>
          <w:color w:val="000000" w:themeColor="text1"/>
        </w:rPr>
        <w:t xml:space="preserve"> </w:t>
      </w:r>
      <w:r w:rsidRPr="00C1150A">
        <w:rPr>
          <w:rFonts w:ascii="Verdana" w:eastAsia="Calibri" w:hAnsi="Verdana" w:cs="Arial"/>
          <w:color w:val="000000" w:themeColor="text1"/>
        </w:rPr>
        <w:t>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así entre otras circunstancias que pueden ser utilizadas a manera de ejemplo.</w:t>
      </w:r>
    </w:p>
    <w:p w14:paraId="06D08044" w14:textId="77777777" w:rsidR="00CE4A9B" w:rsidRDefault="00CE4A9B" w:rsidP="00CE4A9B">
      <w:pPr>
        <w:pStyle w:val="Prrafodelista"/>
        <w:spacing w:after="0" w:line="276" w:lineRule="auto"/>
        <w:jc w:val="both"/>
        <w:rPr>
          <w:rFonts w:ascii="Verdana" w:eastAsia="Calibri" w:hAnsi="Verdana" w:cs="Arial"/>
          <w:color w:val="000000" w:themeColor="text1"/>
        </w:rPr>
      </w:pPr>
    </w:p>
    <w:p w14:paraId="07D568AE" w14:textId="77777777" w:rsidR="00CE4A9B"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973F9D">
        <w:rPr>
          <w:rFonts w:ascii="Verdana" w:eastAsia="Calibri" w:hAnsi="Verdana" w:cs="Arial"/>
          <w:color w:val="000000" w:themeColor="text1"/>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por lo que el Consejo de Estado sostiene que “</w:t>
      </w:r>
      <w:r w:rsidRPr="003D0CA7">
        <w:rPr>
          <w:rFonts w:ascii="Verdana" w:eastAsia="Calibri" w:hAnsi="Verdana" w:cs="Arial"/>
          <w:i/>
          <w:iCs/>
          <w:color w:val="000000" w:themeColor="text1"/>
        </w:rPr>
        <w:t xml:space="preserve">lo que se subsana es la prueba y no la condición habilitante o un elemento de la propuesta [...] lo que se puede remediar es la prueba y no el requisito: La posibilidad </w:t>
      </w:r>
      <w:r w:rsidRPr="003D0CA7">
        <w:rPr>
          <w:rFonts w:ascii="Verdana" w:eastAsia="Calibri" w:hAnsi="Verdana" w:cs="Arial"/>
          <w:i/>
          <w:iCs/>
          <w:color w:val="000000" w:themeColor="text1"/>
        </w:rPr>
        <w:lastRenderedPageBreak/>
        <w:t>debe recaer exclusivamente sobre circunstancias acaecidas antes del cierre del respectivo proceso, esto es, del vencimiento del plazo para presentar ofertas</w:t>
      </w:r>
      <w:r w:rsidRPr="00973F9D">
        <w:rPr>
          <w:rFonts w:ascii="Verdana" w:eastAsia="Calibri" w:hAnsi="Verdana" w:cs="Arial"/>
          <w:color w:val="000000" w:themeColor="text1"/>
        </w:rPr>
        <w:t>”</w:t>
      </w:r>
      <w:r>
        <w:rPr>
          <w:rStyle w:val="Refdenotaalpie"/>
          <w:rFonts w:ascii="Verdana" w:eastAsia="Calibri" w:hAnsi="Verdana" w:cs="Arial"/>
          <w:color w:val="000000" w:themeColor="text1"/>
        </w:rPr>
        <w:footnoteReference w:id="7"/>
      </w:r>
      <w:r>
        <w:rPr>
          <w:rFonts w:ascii="Verdana" w:eastAsia="Calibri" w:hAnsi="Verdana" w:cs="Arial"/>
          <w:color w:val="000000" w:themeColor="text1"/>
        </w:rPr>
        <w:t>.</w:t>
      </w:r>
    </w:p>
    <w:p w14:paraId="211D82A0" w14:textId="77777777" w:rsidR="00CE4A9B" w:rsidRPr="003D0CA7" w:rsidRDefault="00CE4A9B" w:rsidP="00CE4A9B">
      <w:pPr>
        <w:spacing w:after="0" w:line="276" w:lineRule="auto"/>
        <w:jc w:val="both"/>
        <w:rPr>
          <w:rFonts w:ascii="Verdana" w:eastAsia="Calibri" w:hAnsi="Verdana" w:cs="Arial"/>
          <w:color w:val="000000" w:themeColor="text1"/>
        </w:rPr>
      </w:pPr>
    </w:p>
    <w:p w14:paraId="0428FC6F" w14:textId="77777777" w:rsidR="00CE4A9B" w:rsidRPr="00230B3F" w:rsidRDefault="00CE4A9B" w:rsidP="00CE4A9B">
      <w:pPr>
        <w:pStyle w:val="Prrafodelista"/>
        <w:numPr>
          <w:ilvl w:val="0"/>
          <w:numId w:val="2"/>
        </w:numPr>
        <w:spacing w:after="0" w:line="276" w:lineRule="auto"/>
        <w:jc w:val="both"/>
        <w:rPr>
          <w:rFonts w:ascii="Verdana" w:eastAsia="Calibri" w:hAnsi="Verdana" w:cs="Arial"/>
          <w:color w:val="000000" w:themeColor="text1"/>
        </w:rPr>
      </w:pPr>
      <w:r w:rsidRPr="00230B3F">
        <w:rPr>
          <w:rFonts w:ascii="Verdana" w:eastAsia="Calibri" w:hAnsi="Verdana" w:cs="Arial"/>
          <w:color w:val="000000" w:themeColor="text1"/>
        </w:rPr>
        <w:t>En consecuencia, una vez verificada la ausencia de requisitos y/o documentos de la oferta, para efectos de saber si se pueden subsanar, la Entidad Estatal se debe preguntar, en primer lugar, si lo que hace falta o debe corregirse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3368ECAA" w14:textId="77777777" w:rsidR="00CE4A9B" w:rsidRPr="006117C0" w:rsidRDefault="00CE4A9B" w:rsidP="00CE4A9B">
      <w:pPr>
        <w:pStyle w:val="Prrafodelista"/>
        <w:spacing w:after="0" w:line="276" w:lineRule="auto"/>
        <w:jc w:val="both"/>
        <w:rPr>
          <w:rFonts w:ascii="Verdana" w:eastAsia="Calibri" w:hAnsi="Verdana" w:cs="Arial"/>
          <w:color w:val="000000" w:themeColor="text1"/>
        </w:rPr>
      </w:pPr>
    </w:p>
    <w:p w14:paraId="5B4C1464" w14:textId="77777777" w:rsidR="00CE4A9B" w:rsidRDefault="00CE4A9B" w:rsidP="00CE4A9B">
      <w:pPr>
        <w:pStyle w:val="Prrafodelista"/>
        <w:numPr>
          <w:ilvl w:val="0"/>
          <w:numId w:val="2"/>
        </w:numPr>
        <w:spacing w:after="0" w:line="276" w:lineRule="auto"/>
        <w:jc w:val="both"/>
        <w:rPr>
          <w:rFonts w:ascii="Verdana" w:hAnsi="Verdana"/>
          <w:color w:val="000000" w:themeColor="text1"/>
        </w:rPr>
      </w:pPr>
      <w:r w:rsidRPr="008C6011">
        <w:rPr>
          <w:rFonts w:ascii="Verdana" w:eastAsia="Times New Roman" w:hAnsi="Verdana" w:cs="Arial"/>
          <w:color w:val="000000" w:themeColor="text1"/>
          <w:lang w:eastAsia="es-ES"/>
        </w:rPr>
        <w:t xml:space="preserve">Ahora bien, frente al segundo problema planteado, </w:t>
      </w:r>
      <w:r>
        <w:rPr>
          <w:rFonts w:ascii="Verdana" w:eastAsia="Times New Roman" w:hAnsi="Verdana" w:cs="Arial"/>
          <w:color w:val="000000" w:themeColor="text1"/>
          <w:lang w:eastAsia="es-ES"/>
        </w:rPr>
        <w:t xml:space="preserve">se destaca que </w:t>
      </w:r>
      <w:r>
        <w:rPr>
          <w:rFonts w:ascii="Verdana" w:hAnsi="Verdana"/>
          <w:color w:val="000000" w:themeColor="text1"/>
        </w:rPr>
        <w:t>l</w:t>
      </w:r>
      <w:r w:rsidRPr="008C6011">
        <w:rPr>
          <w:rFonts w:ascii="Verdana" w:hAnsi="Verdana"/>
          <w:color w:val="000000" w:themeColor="text1"/>
        </w:rPr>
        <w:t>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w:t>
      </w:r>
      <w:r w:rsidRPr="008C6011">
        <w:rPr>
          <w:rStyle w:val="Refdenotaalpie"/>
          <w:rFonts w:ascii="Verdana" w:hAnsi="Verdana"/>
          <w:color w:val="000000" w:themeColor="text1"/>
        </w:rPr>
        <w:footnoteReference w:id="8"/>
      </w:r>
      <w:r w:rsidRPr="008C6011">
        <w:rPr>
          <w:rFonts w:ascii="Verdana" w:hAnsi="Verdana"/>
          <w:color w:val="000000" w:themeColor="text1"/>
        </w:rPr>
        <w:t xml:space="preserve">. El Consejo de Estado ha definido la capacidad residual como </w:t>
      </w:r>
      <w:r>
        <w:rPr>
          <w:rFonts w:ascii="Verdana" w:hAnsi="Verdana"/>
          <w:color w:val="000000" w:themeColor="text1"/>
        </w:rPr>
        <w:t>“</w:t>
      </w:r>
      <w:r w:rsidRPr="008C6011">
        <w:rPr>
          <w:rFonts w:ascii="Verdana" w:hAnsi="Verdana"/>
          <w:i/>
          <w:iCs/>
          <w:color w:val="000000" w:themeColor="text1"/>
        </w:rPr>
        <w:t>la diferencia que existe entre el potencial de contratación que se tiene y los compromisos que haya adquirido y que se encuentren en ejecución, para la fecha de presentación de la oferta</w:t>
      </w:r>
      <w:r>
        <w:rPr>
          <w:rFonts w:ascii="Verdana" w:hAnsi="Verdana"/>
          <w:color w:val="000000" w:themeColor="text1"/>
        </w:rPr>
        <w:t>”</w:t>
      </w:r>
      <w:r w:rsidRPr="008C6011">
        <w:rPr>
          <w:rStyle w:val="Refdenotaalpie"/>
          <w:rFonts w:ascii="Verdana" w:hAnsi="Verdana"/>
          <w:color w:val="000000" w:themeColor="text1"/>
        </w:rPr>
        <w:footnoteReference w:id="9"/>
      </w:r>
      <w:r w:rsidRPr="008C6011">
        <w:rPr>
          <w:rFonts w:ascii="Verdana" w:hAnsi="Verdana"/>
          <w:color w:val="000000" w:themeColor="text1"/>
        </w:rPr>
        <w:t>.</w:t>
      </w:r>
    </w:p>
    <w:p w14:paraId="10B729FB" w14:textId="77777777" w:rsidR="00CE4A9B" w:rsidRPr="004E2D45" w:rsidRDefault="00CE4A9B" w:rsidP="00CE4A9B">
      <w:pPr>
        <w:pStyle w:val="Prrafodelista"/>
        <w:rPr>
          <w:rFonts w:ascii="Verdana" w:hAnsi="Verdana"/>
          <w:color w:val="000000" w:themeColor="text1"/>
        </w:rPr>
      </w:pPr>
    </w:p>
    <w:p w14:paraId="5DD23A01" w14:textId="77777777" w:rsidR="00CE4A9B" w:rsidRDefault="00CE4A9B" w:rsidP="00CE4A9B">
      <w:pPr>
        <w:pStyle w:val="Prrafodelista"/>
        <w:numPr>
          <w:ilvl w:val="0"/>
          <w:numId w:val="2"/>
        </w:numPr>
        <w:spacing w:after="0" w:line="276" w:lineRule="auto"/>
        <w:jc w:val="both"/>
        <w:rPr>
          <w:rFonts w:ascii="Verdana" w:hAnsi="Verdana"/>
          <w:color w:val="000000" w:themeColor="text1"/>
        </w:rPr>
      </w:pPr>
      <w:r w:rsidRPr="00D4789F">
        <w:rPr>
          <w:rFonts w:ascii="Verdana" w:hAnsi="Verdana"/>
          <w:color w:val="000000" w:themeColor="text1"/>
        </w:rPr>
        <w:t>Teniendo en cuenta lo dicho antes, la Agencia Nacional de Contratación Pública – Colombia Compra Eficiente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14:paraId="65081E90" w14:textId="77777777" w:rsidR="00CE4A9B" w:rsidRPr="00D4789F" w:rsidRDefault="00CE4A9B" w:rsidP="00CE4A9B">
      <w:pPr>
        <w:pStyle w:val="Prrafodelista"/>
        <w:rPr>
          <w:rFonts w:ascii="Verdana" w:hAnsi="Verdana"/>
          <w:color w:val="000000" w:themeColor="text1"/>
        </w:rPr>
      </w:pPr>
    </w:p>
    <w:p w14:paraId="0389713A" w14:textId="77777777" w:rsidR="00CE4A9B" w:rsidRDefault="00CE4A9B" w:rsidP="00CE4A9B">
      <w:pPr>
        <w:pStyle w:val="Prrafodelista"/>
        <w:numPr>
          <w:ilvl w:val="0"/>
          <w:numId w:val="2"/>
        </w:numPr>
        <w:spacing w:after="0" w:line="276" w:lineRule="auto"/>
        <w:jc w:val="both"/>
        <w:rPr>
          <w:rFonts w:ascii="Verdana" w:hAnsi="Verdana"/>
          <w:color w:val="000000" w:themeColor="text1"/>
        </w:rPr>
      </w:pPr>
      <w:r w:rsidRPr="006E155D">
        <w:rPr>
          <w:rFonts w:ascii="Verdana" w:hAnsi="Verdana"/>
          <w:color w:val="000000" w:themeColor="text1"/>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4AC97BA9" w14:textId="77777777" w:rsidR="00CE4A9B" w:rsidRPr="006E155D" w:rsidRDefault="00CE4A9B" w:rsidP="00CE4A9B">
      <w:pPr>
        <w:pStyle w:val="Prrafodelista"/>
        <w:rPr>
          <w:rFonts w:ascii="Verdana" w:hAnsi="Verdana"/>
          <w:color w:val="000000" w:themeColor="text1"/>
        </w:rPr>
      </w:pPr>
    </w:p>
    <w:p w14:paraId="2E99E813" w14:textId="77777777" w:rsidR="00CE4A9B" w:rsidRPr="00FE5683" w:rsidRDefault="00CE4A9B" w:rsidP="00CE4A9B">
      <w:pPr>
        <w:pStyle w:val="Prrafodelista"/>
        <w:spacing w:after="0" w:line="276" w:lineRule="auto"/>
        <w:ind w:left="907" w:right="737"/>
        <w:jc w:val="both"/>
        <w:rPr>
          <w:rFonts w:ascii="Verdana" w:hAnsi="Verdana"/>
          <w:i/>
          <w:iCs/>
          <w:sz w:val="21"/>
          <w:szCs w:val="21"/>
        </w:rPr>
      </w:pPr>
      <w:r w:rsidRPr="00FE5683">
        <w:rPr>
          <w:rFonts w:ascii="Verdana" w:hAnsi="Verdana"/>
          <w:i/>
          <w:iCs/>
          <w:sz w:val="21"/>
          <w:szCs w:val="21"/>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168E709" w14:textId="77777777" w:rsidR="00CE4A9B" w:rsidRPr="00FE5683" w:rsidRDefault="00CE4A9B" w:rsidP="00CE4A9B">
      <w:pPr>
        <w:pStyle w:val="Prrafodelista"/>
        <w:spacing w:after="0" w:line="276" w:lineRule="auto"/>
        <w:ind w:left="907" w:right="737"/>
        <w:jc w:val="both"/>
        <w:rPr>
          <w:rFonts w:ascii="Verdana" w:hAnsi="Verdana"/>
          <w:i/>
          <w:iCs/>
          <w:sz w:val="21"/>
          <w:szCs w:val="21"/>
        </w:rPr>
      </w:pPr>
      <w:r w:rsidRPr="00FE5683">
        <w:rPr>
          <w:rFonts w:ascii="Verdana" w:hAnsi="Verdana"/>
          <w:i/>
          <w:iCs/>
          <w:sz w:val="21"/>
          <w:szCs w:val="21"/>
        </w:rPr>
        <w:t>[…]</w:t>
      </w:r>
    </w:p>
    <w:p w14:paraId="10741EB6" w14:textId="77777777" w:rsidR="00CE4A9B" w:rsidRDefault="00CE4A9B" w:rsidP="00CE4A9B">
      <w:pPr>
        <w:pStyle w:val="Prrafodelista"/>
        <w:spacing w:after="0" w:line="276" w:lineRule="auto"/>
        <w:ind w:left="907" w:right="737"/>
        <w:jc w:val="both"/>
        <w:rPr>
          <w:rFonts w:ascii="Verdana" w:hAnsi="Verdana"/>
          <w:i/>
          <w:iCs/>
          <w:sz w:val="21"/>
          <w:szCs w:val="21"/>
        </w:rPr>
      </w:pPr>
      <w:r w:rsidRPr="00FE5683">
        <w:rPr>
          <w:rFonts w:ascii="Verdana" w:hAnsi="Verdana"/>
          <w:i/>
          <w:iCs/>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51CAE8CF" w14:textId="77777777" w:rsidR="00CE4A9B" w:rsidRDefault="00CE4A9B" w:rsidP="00CE4A9B">
      <w:pPr>
        <w:pStyle w:val="Prrafodelista"/>
        <w:spacing w:after="0" w:line="276" w:lineRule="auto"/>
        <w:ind w:left="907" w:right="737"/>
        <w:jc w:val="both"/>
        <w:rPr>
          <w:rFonts w:ascii="Verdana" w:hAnsi="Verdana"/>
          <w:i/>
          <w:iCs/>
          <w:sz w:val="21"/>
          <w:szCs w:val="21"/>
        </w:rPr>
      </w:pPr>
    </w:p>
    <w:p w14:paraId="70522BFB" w14:textId="77777777" w:rsidR="00CE4A9B" w:rsidRPr="006F76BB" w:rsidRDefault="00CE4A9B" w:rsidP="00CE4A9B">
      <w:pPr>
        <w:pStyle w:val="Prrafodelista"/>
        <w:numPr>
          <w:ilvl w:val="0"/>
          <w:numId w:val="2"/>
        </w:numPr>
        <w:spacing w:after="0" w:line="276" w:lineRule="auto"/>
        <w:jc w:val="both"/>
        <w:rPr>
          <w:rFonts w:ascii="Verdana" w:hAnsi="Verdana"/>
          <w:color w:val="000000" w:themeColor="text1"/>
        </w:rPr>
      </w:pPr>
      <w:r w:rsidRPr="006F76BB">
        <w:rPr>
          <w:rFonts w:ascii="Verdana" w:hAnsi="Verdana"/>
          <w:color w:val="000000" w:themeColor="text1"/>
        </w:rPr>
        <w:t>El artículo 72 de la Ley 1682 de 2013, corregido por el artículo 1 del Decreto 476 de 2014, por la cual se adoptan medidas y disposiciones para los proyectos de infraestructura de transporte, establece:</w:t>
      </w:r>
    </w:p>
    <w:p w14:paraId="1B6E33C6" w14:textId="77777777" w:rsidR="00CE4A9B" w:rsidRDefault="00CE4A9B" w:rsidP="00CE4A9B">
      <w:pPr>
        <w:pStyle w:val="Prrafodelista"/>
        <w:spacing w:after="0" w:line="276" w:lineRule="auto"/>
        <w:jc w:val="both"/>
        <w:rPr>
          <w:rFonts w:ascii="Verdana" w:hAnsi="Verdana"/>
          <w:color w:val="000000" w:themeColor="text1"/>
        </w:rPr>
      </w:pPr>
    </w:p>
    <w:p w14:paraId="6DC4E282" w14:textId="77777777" w:rsidR="00CE4A9B" w:rsidRPr="007338B6" w:rsidRDefault="00CE4A9B" w:rsidP="00CE4A9B">
      <w:pPr>
        <w:pStyle w:val="Prrafodelista"/>
        <w:spacing w:after="0" w:line="276" w:lineRule="auto"/>
        <w:ind w:left="907" w:right="737"/>
        <w:jc w:val="both"/>
        <w:rPr>
          <w:rFonts w:ascii="Verdana" w:hAnsi="Verdana"/>
          <w:i/>
          <w:iCs/>
          <w:color w:val="000000" w:themeColor="text1"/>
          <w:sz w:val="21"/>
          <w:szCs w:val="21"/>
        </w:rPr>
      </w:pPr>
      <w:r w:rsidRPr="007338B6">
        <w:rPr>
          <w:rFonts w:ascii="Verdana" w:hAnsi="Verdana"/>
          <w:i/>
          <w:iCs/>
          <w:color w:val="000000" w:themeColor="text1"/>
          <w:sz w:val="21"/>
          <w:szCs w:val="21"/>
        </w:rPr>
        <w:t>La capacidad residual de contratación cuando se realicen contratos de obra pública se obtendrá de sustraer de la capacidad de contratación, el saldo del valor de los contratos en ejecución.</w:t>
      </w:r>
    </w:p>
    <w:p w14:paraId="35327C2E" w14:textId="77777777" w:rsidR="00CE4A9B" w:rsidRPr="007338B6" w:rsidRDefault="00CE4A9B" w:rsidP="00CE4A9B">
      <w:pPr>
        <w:pStyle w:val="Prrafodelista"/>
        <w:spacing w:after="0" w:line="276" w:lineRule="auto"/>
        <w:ind w:left="907" w:right="737"/>
        <w:jc w:val="both"/>
        <w:rPr>
          <w:rFonts w:ascii="Verdana" w:hAnsi="Verdana"/>
          <w:i/>
          <w:iCs/>
          <w:color w:val="000000" w:themeColor="text1"/>
          <w:sz w:val="21"/>
          <w:szCs w:val="21"/>
        </w:rPr>
      </w:pPr>
      <w:r w:rsidRPr="007338B6">
        <w:rPr>
          <w:rFonts w:ascii="Verdana" w:hAnsi="Verdana"/>
          <w:i/>
          <w:iCs/>
          <w:color w:val="000000" w:themeColor="text1"/>
          <w:sz w:val="21"/>
          <w:szCs w:val="21"/>
        </w:rPr>
        <w:t>La capacidad de contratación se deberá calcular mediante la evaluación de los siguientes factores: Experiencia (E), Capacidad Financiera (CF), Capacidad Técnica (CT), y Capacidad de Organización (CO).</w:t>
      </w:r>
    </w:p>
    <w:p w14:paraId="6CD2BA5D" w14:textId="77777777" w:rsidR="00CE4A9B" w:rsidRPr="007338B6" w:rsidRDefault="00CE4A9B" w:rsidP="00CE4A9B">
      <w:pPr>
        <w:pStyle w:val="Prrafodelista"/>
        <w:spacing w:after="0" w:line="276" w:lineRule="auto"/>
        <w:ind w:left="907" w:right="737"/>
        <w:jc w:val="both"/>
        <w:rPr>
          <w:rFonts w:ascii="Verdana" w:hAnsi="Verdana"/>
          <w:i/>
          <w:iCs/>
          <w:color w:val="000000" w:themeColor="text1"/>
          <w:sz w:val="21"/>
          <w:szCs w:val="21"/>
        </w:rPr>
      </w:pPr>
      <w:r w:rsidRPr="007338B6">
        <w:rPr>
          <w:rFonts w:ascii="Verdana" w:hAnsi="Verdana"/>
          <w:i/>
          <w:iCs/>
          <w:color w:val="000000" w:themeColor="text1"/>
          <w:sz w:val="21"/>
          <w:szCs w:val="21"/>
        </w:rPr>
        <w:lastRenderedPageBreak/>
        <w:t>Para los efectos de la evaluación de los factores mencionados en el inciso anterior, por ningún motivo, ni bajo ninguna circunstancia se podrán tener en cuenta la rentabilidad y las utilidades.</w:t>
      </w:r>
    </w:p>
    <w:p w14:paraId="6B4470D4" w14:textId="77777777" w:rsidR="00CE4A9B" w:rsidRDefault="00CE4A9B" w:rsidP="00CE4A9B">
      <w:pPr>
        <w:pStyle w:val="Prrafodelista"/>
        <w:spacing w:after="0" w:line="276" w:lineRule="auto"/>
        <w:ind w:left="907" w:right="737"/>
        <w:jc w:val="both"/>
        <w:rPr>
          <w:rFonts w:ascii="Verdana" w:hAnsi="Verdana"/>
          <w:i/>
          <w:iCs/>
          <w:color w:val="000000" w:themeColor="text1"/>
          <w:sz w:val="21"/>
          <w:szCs w:val="21"/>
        </w:rPr>
      </w:pPr>
      <w:r w:rsidRPr="007338B6">
        <w:rPr>
          <w:rFonts w:ascii="Verdana" w:hAnsi="Verdana"/>
          <w:i/>
          <w:iCs/>
          <w:color w:val="000000" w:themeColor="text1"/>
          <w:sz w:val="21"/>
          <w:szCs w:val="21"/>
        </w:rPr>
        <w:t>El Gobierno Nacional reglamentará la materia, dentro de los sesenta (60) días siguientes a la promulgación de la presente ley, acudiendo al concepto técnico de la Sociedad Colombiana de ingenieros, en virtud de la Ley 46 de 1904, para propender por una reglamentación equitativa en la implementación de mínimos y máximos que garanticen los derechos de los pequeños contratistas.</w:t>
      </w:r>
    </w:p>
    <w:p w14:paraId="3BA95659" w14:textId="77777777" w:rsidR="00CE4A9B" w:rsidRDefault="00CE4A9B" w:rsidP="00CE4A9B">
      <w:pPr>
        <w:pStyle w:val="Prrafodelista"/>
        <w:spacing w:after="0" w:line="276" w:lineRule="auto"/>
        <w:ind w:left="907" w:right="737"/>
        <w:jc w:val="both"/>
        <w:rPr>
          <w:rFonts w:ascii="Verdana" w:hAnsi="Verdana"/>
          <w:i/>
          <w:iCs/>
          <w:color w:val="000000" w:themeColor="text1"/>
          <w:sz w:val="21"/>
          <w:szCs w:val="21"/>
        </w:rPr>
      </w:pPr>
    </w:p>
    <w:p w14:paraId="6A626C5F" w14:textId="77777777" w:rsidR="00CE4A9B" w:rsidRDefault="00CE4A9B" w:rsidP="00CE4A9B">
      <w:pPr>
        <w:pStyle w:val="Prrafodelista"/>
        <w:numPr>
          <w:ilvl w:val="0"/>
          <w:numId w:val="2"/>
        </w:numPr>
        <w:spacing w:after="0" w:line="276" w:lineRule="auto"/>
        <w:jc w:val="both"/>
        <w:rPr>
          <w:rFonts w:ascii="Verdana" w:hAnsi="Verdana"/>
          <w:color w:val="000000" w:themeColor="text1"/>
        </w:rPr>
      </w:pPr>
      <w:r w:rsidRPr="0069135B">
        <w:rPr>
          <w:rFonts w:ascii="Verdana" w:hAnsi="Verdana"/>
          <w:color w:val="000000" w:themeColor="text1"/>
        </w:rPr>
        <w:t>El Decreto 1082 de 2015 en el artículo 2.2.1.1.1.6.4. recoge el desarrollo legislativo de la capacidad residual, en especial los componentes de la Ley 1682 de 2013. De tal forma, el artículo en mención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5CE462C2" w14:textId="77777777" w:rsidR="00CE4A9B" w:rsidRDefault="00CE4A9B" w:rsidP="00CE4A9B">
      <w:pPr>
        <w:spacing w:after="0" w:line="276" w:lineRule="auto"/>
        <w:jc w:val="both"/>
        <w:rPr>
          <w:rFonts w:ascii="Verdana" w:hAnsi="Verdana"/>
          <w:color w:val="000000" w:themeColor="text1"/>
        </w:rPr>
      </w:pPr>
    </w:p>
    <w:p w14:paraId="40AD9C0C" w14:textId="77777777" w:rsidR="00CE4A9B" w:rsidRPr="00714C3C" w:rsidRDefault="00CE4A9B" w:rsidP="00CE4A9B">
      <w:pPr>
        <w:pStyle w:val="Prrafodelista"/>
        <w:spacing w:after="0" w:line="276" w:lineRule="auto"/>
        <w:ind w:left="907" w:right="737"/>
        <w:jc w:val="both"/>
        <w:rPr>
          <w:rFonts w:ascii="Verdana" w:hAnsi="Verdana"/>
          <w:i/>
          <w:iCs/>
          <w:color w:val="000000" w:themeColor="text1"/>
          <w:sz w:val="21"/>
          <w:szCs w:val="21"/>
        </w:rPr>
      </w:pPr>
      <w:r w:rsidRPr="00714C3C">
        <w:rPr>
          <w:rFonts w:ascii="Verdana" w:hAnsi="Verdana"/>
          <w:i/>
          <w:iCs/>
          <w:color w:val="000000" w:themeColor="text1"/>
          <w:sz w:val="21"/>
          <w:szCs w:val="21"/>
        </w:rPr>
        <w:t>Artículo 2.2.1.1.1.6.4. Capacidad Residual. El interesado en celebrar contratos de obra pública con Entidades Estatales debe acreditar su Capacidad Residual o K de Contratación con los siguientes documentos: […]</w:t>
      </w:r>
    </w:p>
    <w:p w14:paraId="5F483D97" w14:textId="77777777" w:rsidR="00CE4A9B" w:rsidRPr="00714C3C" w:rsidRDefault="00CE4A9B" w:rsidP="00CE4A9B">
      <w:pPr>
        <w:pStyle w:val="Prrafodelista"/>
        <w:spacing w:after="0" w:line="276" w:lineRule="auto"/>
        <w:ind w:left="907" w:right="737"/>
        <w:jc w:val="both"/>
        <w:rPr>
          <w:rFonts w:ascii="Verdana" w:hAnsi="Verdana"/>
          <w:i/>
          <w:iCs/>
          <w:color w:val="000000" w:themeColor="text1"/>
          <w:sz w:val="21"/>
          <w:szCs w:val="21"/>
        </w:rPr>
      </w:pPr>
      <w:r w:rsidRPr="00714C3C">
        <w:rPr>
          <w:rFonts w:ascii="Verdana" w:hAnsi="Verdana"/>
          <w:i/>
          <w:iCs/>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16FC3C3" w14:textId="77777777" w:rsidR="00CE4A9B" w:rsidRPr="00714C3C" w:rsidRDefault="00CE4A9B" w:rsidP="00CE4A9B">
      <w:pPr>
        <w:spacing w:after="0" w:line="276" w:lineRule="auto"/>
        <w:jc w:val="both"/>
        <w:rPr>
          <w:rFonts w:ascii="Verdana" w:hAnsi="Verdana"/>
          <w:color w:val="000000" w:themeColor="text1"/>
          <w:lang w:val="es-ES"/>
        </w:rPr>
      </w:pPr>
    </w:p>
    <w:p w14:paraId="67B5FDFB" w14:textId="77777777" w:rsidR="00CE4A9B" w:rsidRPr="009163D6" w:rsidRDefault="00CE4A9B" w:rsidP="00CE4A9B">
      <w:pPr>
        <w:pStyle w:val="Prrafodelista"/>
        <w:numPr>
          <w:ilvl w:val="0"/>
          <w:numId w:val="2"/>
        </w:numPr>
        <w:spacing w:after="0" w:line="276" w:lineRule="auto"/>
        <w:ind w:left="709"/>
        <w:jc w:val="both"/>
        <w:rPr>
          <w:rFonts w:ascii="Verdana" w:hAnsi="Verdana"/>
        </w:rPr>
      </w:pPr>
      <w:r w:rsidRPr="009163D6">
        <w:rPr>
          <w:rFonts w:ascii="Verdana" w:hAnsi="Verdana"/>
        </w:rPr>
        <w:t xml:space="preserve">De conformidad con lo anterior, la Agencia Nacional de Contratación Pública – Colombia Compra Eficiente expidió la </w:t>
      </w:r>
      <w:r>
        <w:rPr>
          <w:rFonts w:ascii="Verdana" w:hAnsi="Verdana"/>
        </w:rPr>
        <w:t>“</w:t>
      </w:r>
      <w:r w:rsidRPr="009163D6">
        <w:rPr>
          <w:rFonts w:ascii="Verdana" w:hAnsi="Verdana"/>
        </w:rPr>
        <w:t>Guía para Determinar y Verificar la Capacidad Residual del Proponente en los Procesos de Contratación de Obra Pública</w:t>
      </w:r>
      <w:r>
        <w:rPr>
          <w:rFonts w:ascii="Verdana" w:hAnsi="Verdana"/>
        </w:rPr>
        <w:t>”</w:t>
      </w:r>
      <w:r w:rsidRPr="009163D6">
        <w:rPr>
          <w:rFonts w:ascii="Verdana" w:hAnsi="Verdana"/>
        </w:rPr>
        <w:t xml:space="preserve">. Este documento establece, entre otras cuestiones, que a la entidad contratante le corresponde, primero, establecer la capacidad residual del proceso de contratación –CRPC– y, segundo, determinar si los proponentes cumplen con la capacidad residual del proceso de contratación, </w:t>
      </w:r>
      <w:r>
        <w:rPr>
          <w:rFonts w:ascii="Verdana" w:hAnsi="Verdana"/>
        </w:rPr>
        <w:t>de acuerdo con la metodología explicada en dicha guía.</w:t>
      </w:r>
    </w:p>
    <w:p w14:paraId="4BDD86FC" w14:textId="77777777" w:rsidR="00CE4A9B" w:rsidRPr="00AC2C81" w:rsidRDefault="00CE4A9B" w:rsidP="00CE4A9B">
      <w:pPr>
        <w:spacing w:after="0" w:line="276" w:lineRule="auto"/>
        <w:ind w:left="709"/>
        <w:jc w:val="both"/>
        <w:rPr>
          <w:rFonts w:ascii="Verdana" w:hAnsi="Verdana" w:cs="Arial"/>
        </w:rPr>
      </w:pPr>
    </w:p>
    <w:p w14:paraId="0C90549B" w14:textId="77777777" w:rsidR="00CE4A9B" w:rsidRDefault="00CE4A9B" w:rsidP="00CE4A9B">
      <w:pPr>
        <w:pStyle w:val="Prrafodelista"/>
        <w:widowControl w:val="0"/>
        <w:numPr>
          <w:ilvl w:val="0"/>
          <w:numId w:val="2"/>
        </w:numPr>
        <w:autoSpaceDE w:val="0"/>
        <w:autoSpaceDN w:val="0"/>
        <w:spacing w:after="0" w:line="276" w:lineRule="auto"/>
        <w:jc w:val="both"/>
        <w:rPr>
          <w:rFonts w:ascii="Verdana" w:hAnsi="Verdana" w:cs="Arial"/>
        </w:rPr>
      </w:pPr>
      <w:r w:rsidRPr="00910FE7">
        <w:rPr>
          <w:rFonts w:ascii="Verdana" w:hAnsi="Verdana" w:cs="Arial"/>
        </w:rPr>
        <w:t>En suma, a la entidad contratante le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p>
    <w:p w14:paraId="180A76BB" w14:textId="77777777" w:rsidR="00CE4A9B" w:rsidRPr="00910FE7" w:rsidRDefault="00CE4A9B" w:rsidP="00CE4A9B">
      <w:pPr>
        <w:pStyle w:val="Prrafodelista"/>
        <w:rPr>
          <w:rFonts w:ascii="Verdana" w:hAnsi="Verdana" w:cs="Arial"/>
        </w:rPr>
      </w:pPr>
    </w:p>
    <w:p w14:paraId="6479B527" w14:textId="77777777" w:rsidR="00CE4A9B" w:rsidRDefault="00CE4A9B" w:rsidP="00CE4A9B">
      <w:pPr>
        <w:pStyle w:val="Prrafodelista"/>
        <w:widowControl w:val="0"/>
        <w:numPr>
          <w:ilvl w:val="0"/>
          <w:numId w:val="2"/>
        </w:numPr>
        <w:autoSpaceDE w:val="0"/>
        <w:autoSpaceDN w:val="0"/>
        <w:spacing w:after="0" w:line="276" w:lineRule="auto"/>
        <w:jc w:val="both"/>
        <w:rPr>
          <w:rFonts w:ascii="Verdana" w:hAnsi="Verdana" w:cs="Arial"/>
        </w:rPr>
      </w:pPr>
      <w:r w:rsidRPr="002767F6">
        <w:rPr>
          <w:rFonts w:ascii="Verdana" w:hAnsi="Verdana" w:cs="Arial"/>
        </w:rPr>
        <w:t xml:space="preserve">Expuesto el régimen jurídico general, relacionado con la capacidad residual, debe tenerse en cuenta que el </w:t>
      </w:r>
      <w:r>
        <w:rPr>
          <w:rFonts w:ascii="Verdana" w:hAnsi="Verdana" w:cs="Arial"/>
        </w:rPr>
        <w:t>“</w:t>
      </w:r>
      <w:r w:rsidRPr="00D24E6F">
        <w:rPr>
          <w:rFonts w:ascii="Verdana" w:hAnsi="Verdana" w:cs="Arial"/>
          <w:i/>
          <w:iCs/>
        </w:rPr>
        <w:t>Manual para la modalidad de selección de mínima cuantía</w:t>
      </w:r>
      <w:r>
        <w:rPr>
          <w:rFonts w:ascii="Verdana" w:hAnsi="Verdana" w:cs="Arial"/>
        </w:rPr>
        <w:t>”</w:t>
      </w:r>
      <w:r w:rsidRPr="002767F6">
        <w:rPr>
          <w:rFonts w:ascii="Verdana" w:hAnsi="Verdana" w:cs="Arial"/>
        </w:rPr>
        <w:t xml:space="preserve">, expedido por la Agencia Nacional de Contratación Pública – Colombia Compra Eficiente, al determinar las características propias de esta modalidad establece que </w:t>
      </w:r>
      <w:r>
        <w:rPr>
          <w:rFonts w:ascii="Verdana" w:hAnsi="Verdana" w:cs="Arial"/>
        </w:rPr>
        <w:t>“</w:t>
      </w:r>
      <w:r w:rsidRPr="002767F6">
        <w:rPr>
          <w:rFonts w:ascii="Verdana" w:hAnsi="Verdana" w:cs="Arial"/>
        </w:rPr>
        <w:t>en los Procesos de Contratación de obra pública en la modalidad de selección de mínima cuantía las Entidades Estatales deberán solicitar la Capacidad Residual o K de Contratación y verificarla directamente, sin solicitar RUP</w:t>
      </w:r>
      <w:r>
        <w:rPr>
          <w:rFonts w:ascii="Verdana" w:hAnsi="Verdana" w:cs="Arial"/>
        </w:rPr>
        <w:t>”</w:t>
      </w:r>
      <w:r w:rsidRPr="002767F6">
        <w:rPr>
          <w:rFonts w:ascii="Verdana" w:hAnsi="Verdana" w:cs="Arial"/>
        </w:rPr>
        <w:t>. De ahí que se afirme que la diferencia, por ejemplo, con la licitación pública, consiste en la forma de verificación de la capacidad residual, mas no su exigencia, toda vez que el último aspecto depende de la tipología contractual, esto es, si se trata de un contrato de obra es procedente el requisito de la capacidad residual.</w:t>
      </w:r>
    </w:p>
    <w:p w14:paraId="2C27957A" w14:textId="77777777" w:rsidR="00CE4A9B" w:rsidRPr="002767F6" w:rsidRDefault="00CE4A9B" w:rsidP="00CE4A9B">
      <w:pPr>
        <w:pStyle w:val="Prrafodelista"/>
        <w:rPr>
          <w:rFonts w:ascii="Verdana" w:hAnsi="Verdana" w:cs="Arial"/>
        </w:rPr>
      </w:pPr>
    </w:p>
    <w:p w14:paraId="059E29EA" w14:textId="77777777" w:rsidR="00CE4A9B" w:rsidRDefault="00CE4A9B" w:rsidP="00CE4A9B">
      <w:pPr>
        <w:pStyle w:val="Prrafodelista"/>
        <w:widowControl w:val="0"/>
        <w:numPr>
          <w:ilvl w:val="0"/>
          <w:numId w:val="2"/>
        </w:numPr>
        <w:autoSpaceDE w:val="0"/>
        <w:autoSpaceDN w:val="0"/>
        <w:spacing w:after="0" w:line="276" w:lineRule="auto"/>
        <w:jc w:val="both"/>
        <w:rPr>
          <w:rFonts w:ascii="Verdana" w:hAnsi="Verdana" w:cs="Arial"/>
        </w:rPr>
      </w:pPr>
      <w:r w:rsidRPr="00EF12DE">
        <w:rPr>
          <w:rFonts w:ascii="Verdana" w:hAnsi="Verdana" w:cs="Arial"/>
        </w:rPr>
        <w:t>Sin embargo, como se desprende del manual, en el aparte transcrito, la entidad en la invitación debe establecer los requisitos y documentos que exigirá a los proponentes dirigidos a evaluar su capacidad residual, toda vez que en los procesos de mínima cuantía no resulta exigible el Registro Único de Proponentes.</w:t>
      </w:r>
    </w:p>
    <w:p w14:paraId="1FBA9927" w14:textId="77777777" w:rsidR="00CE4A9B" w:rsidRPr="000C78C5" w:rsidRDefault="00CE4A9B" w:rsidP="00CE4A9B">
      <w:pPr>
        <w:pStyle w:val="Prrafodelista"/>
        <w:rPr>
          <w:rFonts w:ascii="Verdana" w:hAnsi="Verdana" w:cs="Arial"/>
        </w:rPr>
      </w:pPr>
    </w:p>
    <w:p w14:paraId="549227E9" w14:textId="77777777" w:rsidR="00CE4A9B" w:rsidRPr="005A24C7" w:rsidRDefault="00CE4A9B" w:rsidP="00CE4A9B">
      <w:pPr>
        <w:pStyle w:val="Prrafodelista"/>
        <w:widowControl w:val="0"/>
        <w:numPr>
          <w:ilvl w:val="0"/>
          <w:numId w:val="2"/>
        </w:numPr>
        <w:autoSpaceDE w:val="0"/>
        <w:autoSpaceDN w:val="0"/>
        <w:spacing w:after="0" w:line="276" w:lineRule="auto"/>
        <w:jc w:val="both"/>
        <w:rPr>
          <w:rFonts w:ascii="Verdana" w:hAnsi="Verdana" w:cs="Arial"/>
        </w:rPr>
      </w:pPr>
      <w:r w:rsidRPr="005A24C7">
        <w:rPr>
          <w:rFonts w:ascii="Verdana" w:hAnsi="Verdana" w:cs="Arial"/>
        </w:rPr>
        <w:t xml:space="preserve">A modo de ejemplo, lo invitamos a consulta la invitación de los Documentos Tipo </w:t>
      </w:r>
      <w:r w:rsidRPr="005A24C7">
        <w:rPr>
          <w:rFonts w:ascii="Verdana" w:eastAsia="Calibri" w:hAnsi="Verdana" w:cs="Arial"/>
          <w:color w:val="000000" w:themeColor="text1"/>
          <w:lang w:val="es-ES_tradnl"/>
        </w:rPr>
        <w:t>aplicables a los procesos de mínima cuantía de obra pública de infraestructura de transporte</w:t>
      </w:r>
      <w:r>
        <w:rPr>
          <w:rStyle w:val="Refdenotaalpie"/>
          <w:rFonts w:ascii="Verdana" w:eastAsia="Calibri" w:hAnsi="Verdana" w:cs="Arial"/>
          <w:color w:val="000000" w:themeColor="text1"/>
          <w:lang w:val="es-ES_tradnl"/>
        </w:rPr>
        <w:footnoteReference w:id="10"/>
      </w:r>
      <w:r w:rsidRPr="005A24C7">
        <w:rPr>
          <w:rFonts w:ascii="Verdana" w:eastAsia="Calibri" w:hAnsi="Verdana" w:cs="Arial"/>
          <w:color w:val="000000" w:themeColor="text1"/>
          <w:lang w:val="es-ES_tradnl"/>
        </w:rPr>
        <w:t>, que contiene la metodología acogida por esta Agencia en el numeral 4.7 para la acreditación de la capacidad residual en aquellos procesos de selección donde sea obligatoria su adopción.</w:t>
      </w:r>
    </w:p>
    <w:p w14:paraId="0611FF13" w14:textId="77777777" w:rsidR="00CE4A9B" w:rsidRPr="00EF12DE" w:rsidRDefault="00CE4A9B" w:rsidP="00CE4A9B">
      <w:pPr>
        <w:pStyle w:val="Prrafodelista"/>
        <w:rPr>
          <w:rFonts w:ascii="Verdana" w:hAnsi="Verdana" w:cs="Arial"/>
        </w:rPr>
      </w:pPr>
    </w:p>
    <w:p w14:paraId="7B731ED1" w14:textId="77777777" w:rsidR="00CE4A9B" w:rsidRPr="00ED1FE2" w:rsidRDefault="00CE4A9B" w:rsidP="00CE4A9B">
      <w:pPr>
        <w:pStyle w:val="Prrafodelista"/>
        <w:widowControl w:val="0"/>
        <w:numPr>
          <w:ilvl w:val="0"/>
          <w:numId w:val="2"/>
        </w:numPr>
        <w:autoSpaceDE w:val="0"/>
        <w:autoSpaceDN w:val="0"/>
        <w:spacing w:after="0" w:line="276" w:lineRule="auto"/>
        <w:jc w:val="both"/>
        <w:rPr>
          <w:rFonts w:ascii="Verdana" w:hAnsi="Verdana" w:cs="Arial"/>
        </w:rPr>
      </w:pPr>
      <w:r w:rsidRPr="00063DA5">
        <w:rPr>
          <w:rFonts w:ascii="Verdana" w:hAnsi="Verdana" w:cs="Arial"/>
        </w:rPr>
        <w:t xml:space="preserve">En suma, en respuesta a la pregunta del peticionario, de acuerdo con las </w:t>
      </w:r>
      <w:r w:rsidRPr="00063DA5">
        <w:rPr>
          <w:rFonts w:ascii="Verdana" w:hAnsi="Verdana" w:cs="Arial"/>
        </w:rPr>
        <w:lastRenderedPageBreak/>
        <w:t>normas mencionadas, particularmente el artículo 6 de la Ley 1150 de 2007 y el artículo 72 de la Ley 1682 de 2013, debido a que la normativa hace referencia a una tipología contractual –contrato de obra– y no restringe a una modalidad de selección específica su aplicación, todas las entidades estatales que adelanten procesos de contratación de obra pública, sin importar la modalidad de selección del contratista, están obligadas a verificar la capacidad residual de los proponentes, como requisito habilitante para participar en el procedimiento de selección.</w:t>
      </w:r>
    </w:p>
    <w:p w14:paraId="0A722A7F" w14:textId="77777777" w:rsidR="00CE4A9B" w:rsidRPr="00EF28C8" w:rsidRDefault="00CE4A9B" w:rsidP="00CE4A9B">
      <w:pPr>
        <w:widowControl w:val="0"/>
        <w:autoSpaceDE w:val="0"/>
        <w:autoSpaceDN w:val="0"/>
        <w:spacing w:after="0" w:line="276" w:lineRule="auto"/>
        <w:jc w:val="both"/>
        <w:rPr>
          <w:rFonts w:ascii="Verdana" w:hAnsi="Verdana" w:cs="Arial"/>
          <w:lang w:val="es-ES"/>
        </w:rPr>
      </w:pPr>
    </w:p>
    <w:p w14:paraId="58D4F345" w14:textId="77777777" w:rsidR="00CE4A9B" w:rsidRPr="00593A5F" w:rsidRDefault="00CE4A9B" w:rsidP="00CE4A9B">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7C85938D" w14:textId="77777777" w:rsidR="00CE4A9B" w:rsidRPr="00593A5F" w:rsidRDefault="00CE4A9B" w:rsidP="00CE4A9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E4A9B" w:rsidRPr="00593A5F" w14:paraId="7B4F59AD" w14:textId="77777777" w:rsidTr="00E075F9">
        <w:trPr>
          <w:trHeight w:val="870"/>
        </w:trPr>
        <w:tc>
          <w:tcPr>
            <w:tcW w:w="8647" w:type="dxa"/>
          </w:tcPr>
          <w:p w14:paraId="2B7A813C" w14:textId="77777777" w:rsidR="00CE4A9B" w:rsidRPr="00805B11" w:rsidRDefault="00CE4A9B" w:rsidP="00CE4A9B">
            <w:pPr>
              <w:pStyle w:val="Prrafodelista"/>
              <w:widowControl w:val="0"/>
              <w:numPr>
                <w:ilvl w:val="0"/>
                <w:numId w:val="3"/>
              </w:numPr>
              <w:autoSpaceDE w:val="0"/>
              <w:autoSpaceDN w:val="0"/>
              <w:spacing w:after="120" w:line="276" w:lineRule="auto"/>
              <w:jc w:val="both"/>
              <w:rPr>
                <w:rFonts w:ascii="Verdana" w:hAnsi="Verdana" w:cs="Arial"/>
                <w:color w:val="000000" w:themeColor="text1"/>
              </w:rPr>
            </w:pPr>
            <w:r w:rsidRPr="00C74338">
              <w:rPr>
                <w:rFonts w:ascii="Verdana" w:hAnsi="Verdana" w:cs="Arial"/>
                <w:color w:val="000000" w:themeColor="text1"/>
              </w:rPr>
              <w:t>Constitución</w:t>
            </w:r>
            <w:r>
              <w:rPr>
                <w:rFonts w:ascii="Verdana" w:hAnsi="Verdana" w:cs="Arial"/>
                <w:color w:val="000000" w:themeColor="text1"/>
              </w:rPr>
              <w:t xml:space="preserve"> Política de Colombia</w:t>
            </w:r>
            <w:r w:rsidRPr="00C74338">
              <w:rPr>
                <w:rFonts w:ascii="Verdana" w:hAnsi="Verdana" w:cs="Arial"/>
                <w:color w:val="000000" w:themeColor="text1"/>
              </w:rPr>
              <w:t xml:space="preserve"> de 1991, artículo 228</w:t>
            </w:r>
            <w:r w:rsidRPr="00805B11">
              <w:rPr>
                <w:rFonts w:ascii="Verdana" w:hAnsi="Verdana" w:cs="Arial"/>
                <w:color w:val="000000" w:themeColor="text1"/>
              </w:rPr>
              <w:t xml:space="preserve">. </w:t>
            </w:r>
          </w:p>
          <w:p w14:paraId="15BC9BC3" w14:textId="77777777" w:rsidR="00CE4A9B" w:rsidRPr="00EF0BA1" w:rsidRDefault="00CE4A9B" w:rsidP="00CE4A9B">
            <w:pPr>
              <w:pStyle w:val="Prrafodelista"/>
              <w:widowControl w:val="0"/>
              <w:numPr>
                <w:ilvl w:val="0"/>
                <w:numId w:val="3"/>
              </w:numPr>
              <w:autoSpaceDE w:val="0"/>
              <w:autoSpaceDN w:val="0"/>
              <w:spacing w:after="120" w:line="276" w:lineRule="auto"/>
              <w:jc w:val="both"/>
              <w:rPr>
                <w:rFonts w:ascii="Verdana" w:hAnsi="Verdana" w:cs="Arial"/>
                <w:color w:val="000000" w:themeColor="text1"/>
                <w:u w:val="single"/>
              </w:rPr>
            </w:pPr>
            <w:r w:rsidRPr="00E81863">
              <w:rPr>
                <w:rFonts w:ascii="Verdana" w:hAnsi="Verdana" w:cs="Arial"/>
                <w:color w:val="000000" w:themeColor="text1"/>
              </w:rPr>
              <w:t>Ley 80 de 1993</w:t>
            </w:r>
            <w:r>
              <w:rPr>
                <w:rFonts w:ascii="Verdana" w:hAnsi="Verdana" w:cs="Arial"/>
                <w:color w:val="000000" w:themeColor="text1"/>
              </w:rPr>
              <w:t xml:space="preserve">, </w:t>
            </w:r>
            <w:r w:rsidRPr="002749F8">
              <w:rPr>
                <w:rFonts w:ascii="Verdana" w:eastAsia="Calibri" w:hAnsi="Verdana"/>
                <w:color w:val="000000" w:themeColor="text1"/>
              </w:rPr>
              <w:t>artículo 25 numeral 15</w:t>
            </w:r>
            <w:r>
              <w:rPr>
                <w:rFonts w:ascii="Verdana" w:eastAsia="Calibri" w:hAnsi="Verdana"/>
                <w:color w:val="000000" w:themeColor="text1"/>
              </w:rPr>
              <w:t xml:space="preserve">; </w:t>
            </w:r>
            <w:r w:rsidRPr="00E32EC5">
              <w:rPr>
                <w:rFonts w:ascii="Verdana" w:eastAsia="Calibri" w:hAnsi="Verdana"/>
                <w:color w:val="000000" w:themeColor="text1"/>
              </w:rPr>
              <w:t>artículo 30.7</w:t>
            </w:r>
            <w:r>
              <w:rPr>
                <w:rFonts w:ascii="Verdana" w:eastAsia="Calibri" w:hAnsi="Verdana"/>
                <w:color w:val="000000" w:themeColor="text1"/>
              </w:rPr>
              <w:t xml:space="preserve">; </w:t>
            </w:r>
            <w:r w:rsidRPr="00E32EC5">
              <w:rPr>
                <w:rFonts w:ascii="Verdana" w:eastAsia="Calibri" w:hAnsi="Verdana"/>
                <w:color w:val="000000" w:themeColor="text1"/>
              </w:rPr>
              <w:t>artículo 30.8</w:t>
            </w:r>
          </w:p>
          <w:p w14:paraId="7FB04DD2" w14:textId="77777777" w:rsidR="00CE4A9B" w:rsidRPr="00B455FA" w:rsidRDefault="00CE4A9B" w:rsidP="00CE4A9B">
            <w:pPr>
              <w:pStyle w:val="Prrafodelista"/>
              <w:widowControl w:val="0"/>
              <w:numPr>
                <w:ilvl w:val="0"/>
                <w:numId w:val="3"/>
              </w:numPr>
              <w:autoSpaceDE w:val="0"/>
              <w:autoSpaceDN w:val="0"/>
              <w:spacing w:after="120" w:line="276" w:lineRule="auto"/>
              <w:jc w:val="both"/>
              <w:rPr>
                <w:rFonts w:ascii="Verdana" w:hAnsi="Verdana" w:cs="Arial"/>
                <w:color w:val="000000" w:themeColor="text1"/>
              </w:rPr>
            </w:pPr>
            <w:r>
              <w:rPr>
                <w:rFonts w:ascii="Verdana" w:eastAsia="Century Gothic" w:hAnsi="Verdana" w:cs="Century Gothic"/>
              </w:rPr>
              <w:t xml:space="preserve">Ley 1150 de 2007, </w:t>
            </w:r>
            <w:r w:rsidRPr="007203B4">
              <w:rPr>
                <w:rFonts w:ascii="Verdana" w:eastAsia="Calibri" w:hAnsi="Verdana" w:cs="Arial"/>
                <w:color w:val="000000" w:themeColor="text1"/>
              </w:rPr>
              <w:t>artículo 5</w:t>
            </w:r>
            <w:r>
              <w:rPr>
                <w:rFonts w:ascii="Verdana" w:eastAsia="Calibri" w:hAnsi="Verdana" w:cs="Arial"/>
                <w:color w:val="000000" w:themeColor="text1"/>
              </w:rPr>
              <w:t xml:space="preserve"> </w:t>
            </w:r>
            <w:r w:rsidRPr="007203B4">
              <w:rPr>
                <w:rFonts w:ascii="Verdana" w:eastAsia="Calibri" w:hAnsi="Verdana" w:cs="Arial"/>
                <w:color w:val="000000" w:themeColor="text1"/>
              </w:rPr>
              <w:t>parágrafo 1</w:t>
            </w:r>
            <w:r>
              <w:rPr>
                <w:rFonts w:ascii="Verdana" w:eastAsia="Calibri" w:hAnsi="Verdana" w:cs="Arial"/>
                <w:color w:val="000000" w:themeColor="text1"/>
              </w:rPr>
              <w:t xml:space="preserve">; </w:t>
            </w:r>
            <w:r>
              <w:rPr>
                <w:rFonts w:ascii="Verdana" w:eastAsia="Century Gothic" w:hAnsi="Verdana" w:cs="Century Gothic"/>
              </w:rPr>
              <w:t>artículo 6</w:t>
            </w:r>
            <w:r>
              <w:t xml:space="preserve"> </w:t>
            </w:r>
            <w:r w:rsidRPr="00BA06E3">
              <w:rPr>
                <w:rFonts w:ascii="Verdana" w:eastAsia="Century Gothic" w:hAnsi="Verdana" w:cs="Century Gothic"/>
              </w:rPr>
              <w:t>parágrafo 1</w:t>
            </w:r>
            <w:r w:rsidRPr="006F76BB">
              <w:rPr>
                <w:rFonts w:ascii="Verdana" w:hAnsi="Verdana"/>
                <w:color w:val="000000" w:themeColor="text1"/>
              </w:rPr>
              <w:t xml:space="preserve"> </w:t>
            </w:r>
          </w:p>
          <w:p w14:paraId="29A66428" w14:textId="77777777" w:rsidR="00CE4A9B" w:rsidRPr="00C7462B" w:rsidRDefault="00CE4A9B" w:rsidP="00CE4A9B">
            <w:pPr>
              <w:pStyle w:val="Prrafodelista"/>
              <w:widowControl w:val="0"/>
              <w:numPr>
                <w:ilvl w:val="0"/>
                <w:numId w:val="3"/>
              </w:numPr>
              <w:autoSpaceDE w:val="0"/>
              <w:autoSpaceDN w:val="0"/>
              <w:spacing w:after="120" w:line="276" w:lineRule="auto"/>
              <w:jc w:val="both"/>
              <w:rPr>
                <w:rFonts w:ascii="Verdana" w:hAnsi="Verdana" w:cs="Arial"/>
                <w:color w:val="000000" w:themeColor="text1"/>
              </w:rPr>
            </w:pPr>
            <w:r w:rsidRPr="006F76BB">
              <w:rPr>
                <w:rFonts w:ascii="Verdana" w:hAnsi="Verdana"/>
                <w:color w:val="000000" w:themeColor="text1"/>
              </w:rPr>
              <w:t>Ley 1682 de 2013</w:t>
            </w:r>
            <w:r>
              <w:rPr>
                <w:rFonts w:ascii="Verdana" w:hAnsi="Verdana"/>
                <w:color w:val="000000" w:themeColor="text1"/>
              </w:rPr>
              <w:t xml:space="preserve">, </w:t>
            </w:r>
            <w:r w:rsidRPr="006F76BB">
              <w:rPr>
                <w:rFonts w:ascii="Verdana" w:hAnsi="Verdana"/>
                <w:color w:val="000000" w:themeColor="text1"/>
              </w:rPr>
              <w:t>artículo 72</w:t>
            </w:r>
          </w:p>
          <w:p w14:paraId="6F5D178A" w14:textId="77777777" w:rsidR="00CE4A9B" w:rsidRPr="004E34F9" w:rsidRDefault="00CE4A9B" w:rsidP="00CE4A9B">
            <w:pPr>
              <w:pStyle w:val="Prrafodelista"/>
              <w:widowControl w:val="0"/>
              <w:numPr>
                <w:ilvl w:val="0"/>
                <w:numId w:val="3"/>
              </w:numPr>
              <w:autoSpaceDE w:val="0"/>
              <w:autoSpaceDN w:val="0"/>
              <w:spacing w:after="120" w:line="276" w:lineRule="auto"/>
              <w:jc w:val="both"/>
              <w:rPr>
                <w:rFonts w:ascii="Verdana" w:eastAsia="Century Gothic" w:hAnsi="Verdana" w:cs="Century Gothic"/>
              </w:rPr>
            </w:pPr>
            <w:r w:rsidRPr="005F2791">
              <w:rPr>
                <w:rFonts w:ascii="Verdana" w:eastAsia="Century Gothic" w:hAnsi="Verdana" w:cs="Century Gothic"/>
              </w:rPr>
              <w:t>Ley 1882 de 2018, artículo 5</w:t>
            </w:r>
          </w:p>
          <w:p w14:paraId="615CEE22" w14:textId="77777777" w:rsidR="00CE4A9B" w:rsidRDefault="00CE4A9B" w:rsidP="00CE4A9B">
            <w:pPr>
              <w:pStyle w:val="Prrafodelista"/>
              <w:widowControl w:val="0"/>
              <w:numPr>
                <w:ilvl w:val="0"/>
                <w:numId w:val="3"/>
              </w:numPr>
              <w:autoSpaceDE w:val="0"/>
              <w:autoSpaceDN w:val="0"/>
              <w:spacing w:after="120" w:line="276" w:lineRule="auto"/>
              <w:jc w:val="both"/>
              <w:rPr>
                <w:rFonts w:ascii="Verdana" w:eastAsia="Century Gothic" w:hAnsi="Verdana" w:cs="Century Gothic"/>
              </w:rPr>
            </w:pPr>
            <w:r w:rsidRPr="00B34272">
              <w:rPr>
                <w:rFonts w:ascii="Verdana" w:eastAsia="Century Gothic" w:hAnsi="Verdana" w:cs="Century Gothic"/>
              </w:rPr>
              <w:t>Decreto 1082 de 2015 artículo 2.2.1.2.1.5.2.</w:t>
            </w:r>
          </w:p>
          <w:p w14:paraId="452888DC" w14:textId="77777777" w:rsidR="00CE4A9B" w:rsidRDefault="00CE4A9B" w:rsidP="00CE4A9B">
            <w:pPr>
              <w:pStyle w:val="Prrafodelista"/>
              <w:widowControl w:val="0"/>
              <w:numPr>
                <w:ilvl w:val="0"/>
                <w:numId w:val="3"/>
              </w:numPr>
              <w:autoSpaceDE w:val="0"/>
              <w:autoSpaceDN w:val="0"/>
              <w:spacing w:after="120" w:line="276" w:lineRule="auto"/>
              <w:jc w:val="both"/>
              <w:rPr>
                <w:rFonts w:ascii="Verdana" w:eastAsia="Century Gothic" w:hAnsi="Verdana" w:cs="Century Gothic"/>
              </w:rPr>
            </w:pPr>
            <w:r w:rsidRPr="008F50D2">
              <w:rPr>
                <w:rFonts w:ascii="Verdana" w:eastAsia="Century Gothic" w:hAnsi="Verdana" w:cs="Century Gothic"/>
              </w:rPr>
              <w:t>Consejo de Estado. Sala de Consulta y Servicio Civil. Concepto del 6 de noviembre de 2008. Expediente: 1927. Consejero Ponente: William Zambrano Cetina</w:t>
            </w:r>
            <w:r>
              <w:rPr>
                <w:rFonts w:ascii="Verdana" w:eastAsia="Century Gothic" w:hAnsi="Verdana" w:cs="Century Gothic"/>
              </w:rPr>
              <w:t>:</w:t>
            </w:r>
          </w:p>
          <w:p w14:paraId="3F173916" w14:textId="77777777" w:rsidR="00CE4A9B" w:rsidRDefault="00000000" w:rsidP="00E075F9">
            <w:pPr>
              <w:pStyle w:val="Prrafodelista"/>
              <w:widowControl w:val="0"/>
              <w:autoSpaceDE w:val="0"/>
              <w:autoSpaceDN w:val="0"/>
              <w:spacing w:after="120" w:line="276" w:lineRule="auto"/>
              <w:jc w:val="both"/>
              <w:rPr>
                <w:rFonts w:ascii="Verdana" w:eastAsia="Century Gothic" w:hAnsi="Verdana" w:cs="Century Gothic"/>
              </w:rPr>
            </w:pPr>
            <w:hyperlink r:id="rId9" w:history="1">
              <w:r w:rsidR="00CE4A9B" w:rsidRPr="008F55CF">
                <w:rPr>
                  <w:rStyle w:val="Hipervnculo"/>
                  <w:rFonts w:ascii="Verdana" w:eastAsia="Century Gothic" w:hAnsi="Verdana" w:cs="Century Gothic"/>
                </w:rPr>
                <w:t>https://www.consejodeestado.gov.co/documentos/boletines/PDF/1.927.pdf</w:t>
              </w:r>
            </w:hyperlink>
            <w:r w:rsidR="00CE4A9B">
              <w:rPr>
                <w:rFonts w:ascii="Verdana" w:eastAsia="Century Gothic" w:hAnsi="Verdana" w:cs="Century Gothic"/>
              </w:rPr>
              <w:t xml:space="preserve"> </w:t>
            </w:r>
          </w:p>
          <w:p w14:paraId="78F5E0AC" w14:textId="77777777" w:rsidR="00CE4A9B" w:rsidRDefault="00CE4A9B" w:rsidP="00CE4A9B">
            <w:pPr>
              <w:pStyle w:val="Prrafodelista"/>
              <w:widowControl w:val="0"/>
              <w:numPr>
                <w:ilvl w:val="0"/>
                <w:numId w:val="3"/>
              </w:numPr>
              <w:autoSpaceDE w:val="0"/>
              <w:autoSpaceDN w:val="0"/>
              <w:spacing w:after="120" w:line="276" w:lineRule="auto"/>
              <w:jc w:val="both"/>
              <w:rPr>
                <w:rFonts w:ascii="Verdana" w:eastAsia="Century Gothic" w:hAnsi="Verdana" w:cs="Century Gothic"/>
              </w:rPr>
            </w:pPr>
            <w:r w:rsidRPr="00BA34F7">
              <w:rPr>
                <w:rFonts w:ascii="Verdana" w:eastAsia="Century Gothic" w:hAnsi="Verdana" w:cs="Century Gothic"/>
              </w:rPr>
              <w:t>Consejo de Estado</w:t>
            </w:r>
            <w:r>
              <w:rPr>
                <w:rFonts w:ascii="Verdana" w:eastAsia="Century Gothic" w:hAnsi="Verdana" w:cs="Century Gothic"/>
              </w:rPr>
              <w:t xml:space="preserve">, </w:t>
            </w:r>
            <w:r w:rsidRPr="003948BB">
              <w:rPr>
                <w:rFonts w:ascii="Verdana" w:eastAsia="Century Gothic" w:hAnsi="Verdana" w:cs="Century Gothic"/>
              </w:rPr>
              <w:t xml:space="preserve">Sección Tercera, Subsección C. Sentencia del 26 de </w:t>
            </w:r>
            <w:r>
              <w:rPr>
                <w:rFonts w:ascii="Verdana" w:eastAsia="Century Gothic" w:hAnsi="Verdana" w:cs="Century Gothic"/>
              </w:rPr>
              <w:t>enero</w:t>
            </w:r>
            <w:r w:rsidRPr="003948BB">
              <w:rPr>
                <w:rFonts w:ascii="Verdana" w:eastAsia="Century Gothic" w:hAnsi="Verdana" w:cs="Century Gothic"/>
              </w:rPr>
              <w:t xml:space="preserve"> de 2011. C.P. Jaime Orlando Santofimio. Rad. 36.408</w:t>
            </w:r>
            <w:r>
              <w:rPr>
                <w:rFonts w:ascii="Verdana" w:eastAsia="Century Gothic" w:hAnsi="Verdana" w:cs="Century Gothic"/>
              </w:rPr>
              <w:t>:</w:t>
            </w:r>
          </w:p>
          <w:p w14:paraId="0BB924F8" w14:textId="77777777" w:rsidR="00CE4A9B" w:rsidRDefault="00000000" w:rsidP="00E075F9">
            <w:pPr>
              <w:pStyle w:val="Prrafodelista"/>
              <w:widowControl w:val="0"/>
              <w:autoSpaceDE w:val="0"/>
              <w:autoSpaceDN w:val="0"/>
              <w:spacing w:after="120" w:line="276" w:lineRule="auto"/>
              <w:jc w:val="both"/>
              <w:rPr>
                <w:rFonts w:ascii="Verdana" w:eastAsia="Century Gothic" w:hAnsi="Verdana" w:cs="Century Gothic"/>
              </w:rPr>
            </w:pPr>
            <w:hyperlink r:id="rId10" w:history="1">
              <w:r w:rsidR="00CE4A9B" w:rsidRPr="008F55CF">
                <w:rPr>
                  <w:rStyle w:val="Hipervnculo"/>
                  <w:rFonts w:ascii="Verdana" w:eastAsia="Century Gothic" w:hAnsi="Verdana" w:cs="Century Gothic"/>
                </w:rPr>
                <w:t>http://servicios.consejodeestado.gov.co/WebRelatoria/FileReferenceServlet?corp=ce&amp;ext=doc&amp;file=2109207</w:t>
              </w:r>
            </w:hyperlink>
            <w:r w:rsidR="00CE4A9B">
              <w:rPr>
                <w:rFonts w:ascii="Verdana" w:eastAsia="Century Gothic" w:hAnsi="Verdana" w:cs="Century Gothic"/>
              </w:rPr>
              <w:t xml:space="preserve"> </w:t>
            </w:r>
          </w:p>
          <w:p w14:paraId="58CBE295" w14:textId="77777777" w:rsidR="00CE4A9B" w:rsidRDefault="00CE4A9B" w:rsidP="00CE4A9B">
            <w:pPr>
              <w:pStyle w:val="Prrafodelista"/>
              <w:widowControl w:val="0"/>
              <w:numPr>
                <w:ilvl w:val="0"/>
                <w:numId w:val="3"/>
              </w:numPr>
              <w:autoSpaceDE w:val="0"/>
              <w:autoSpaceDN w:val="0"/>
              <w:spacing w:after="120" w:line="276" w:lineRule="auto"/>
              <w:jc w:val="both"/>
              <w:rPr>
                <w:rFonts w:ascii="Verdana" w:eastAsia="Century Gothic" w:hAnsi="Verdana" w:cs="Century Gothic"/>
              </w:rPr>
            </w:pPr>
            <w:r w:rsidRPr="00BA34F7">
              <w:rPr>
                <w:rFonts w:ascii="Verdana" w:eastAsia="Century Gothic" w:hAnsi="Verdana" w:cs="Century Gothic"/>
              </w:rPr>
              <w:t>Consejo de Estado, Sección Tercera, Subsección C. Sentencia del 26 de febrero de 2014. C.P. Enrique Gil Botero. Rad. 25.804</w:t>
            </w:r>
            <w:r>
              <w:rPr>
                <w:rFonts w:ascii="Verdana" w:eastAsia="Century Gothic" w:hAnsi="Verdana" w:cs="Century Gothic"/>
              </w:rPr>
              <w:t>:</w:t>
            </w:r>
          </w:p>
          <w:p w14:paraId="20C05994" w14:textId="77777777" w:rsidR="00CE4A9B" w:rsidRDefault="00000000" w:rsidP="00E075F9">
            <w:pPr>
              <w:pStyle w:val="Prrafodelista"/>
              <w:widowControl w:val="0"/>
              <w:autoSpaceDE w:val="0"/>
              <w:autoSpaceDN w:val="0"/>
              <w:spacing w:after="120" w:line="276" w:lineRule="auto"/>
              <w:jc w:val="both"/>
              <w:rPr>
                <w:rFonts w:ascii="Verdana" w:eastAsia="Century Gothic" w:hAnsi="Verdana" w:cs="Century Gothic"/>
              </w:rPr>
            </w:pPr>
            <w:hyperlink r:id="rId11" w:history="1">
              <w:r w:rsidR="00CE4A9B" w:rsidRPr="008F55CF">
                <w:rPr>
                  <w:rStyle w:val="Hipervnculo"/>
                  <w:rFonts w:ascii="Verdana" w:eastAsia="Century Gothic" w:hAnsi="Verdana" w:cs="Century Gothic"/>
                </w:rPr>
                <w:t>http://servicios.consejodeestado.gov.co/WebRelatoria/FileReferenceServlet?corp=ce&amp;ext=doc&amp;file=2018845</w:t>
              </w:r>
            </w:hyperlink>
            <w:r w:rsidR="00CE4A9B">
              <w:rPr>
                <w:rFonts w:ascii="Verdana" w:eastAsia="Century Gothic" w:hAnsi="Verdana" w:cs="Century Gothic"/>
              </w:rPr>
              <w:t xml:space="preserve"> </w:t>
            </w:r>
          </w:p>
          <w:p w14:paraId="0E394861" w14:textId="77777777" w:rsidR="00CE4A9B" w:rsidRDefault="00CE4A9B" w:rsidP="00CE4A9B">
            <w:pPr>
              <w:pStyle w:val="Prrafodelista"/>
              <w:widowControl w:val="0"/>
              <w:numPr>
                <w:ilvl w:val="0"/>
                <w:numId w:val="3"/>
              </w:numPr>
              <w:autoSpaceDE w:val="0"/>
              <w:autoSpaceDN w:val="0"/>
              <w:spacing w:after="120" w:line="276" w:lineRule="auto"/>
              <w:jc w:val="both"/>
              <w:rPr>
                <w:rFonts w:ascii="Verdana" w:hAnsi="Verdana" w:cs="Arial"/>
                <w:color w:val="000000" w:themeColor="text1"/>
              </w:rPr>
            </w:pPr>
            <w:r w:rsidRPr="00A54888">
              <w:rPr>
                <w:rFonts w:ascii="Verdana" w:hAnsi="Verdana" w:cs="Arial"/>
                <w:color w:val="000000" w:themeColor="text1"/>
              </w:rPr>
              <w:t>Consejo de Estado. Sala de Consulta y Servicio Civil. Concepto del 20 de mayo de 2010. Expediente: 1992. Consejero Ponente: Enrique José Arboleda Perdomo</w:t>
            </w:r>
            <w:r>
              <w:rPr>
                <w:rFonts w:ascii="Verdana" w:hAnsi="Verdana" w:cs="Arial"/>
                <w:color w:val="000000" w:themeColor="text1"/>
              </w:rPr>
              <w:t>:</w:t>
            </w:r>
          </w:p>
          <w:p w14:paraId="469A5AE6" w14:textId="77777777" w:rsidR="00CE4A9B" w:rsidRDefault="00000000" w:rsidP="00E075F9">
            <w:pPr>
              <w:pStyle w:val="Prrafodelista"/>
              <w:widowControl w:val="0"/>
              <w:autoSpaceDE w:val="0"/>
              <w:autoSpaceDN w:val="0"/>
              <w:spacing w:after="120" w:line="276" w:lineRule="auto"/>
              <w:jc w:val="both"/>
              <w:rPr>
                <w:rFonts w:ascii="Verdana" w:eastAsia="Century Gothic" w:hAnsi="Verdana" w:cs="Century Gothic"/>
              </w:rPr>
            </w:pPr>
            <w:hyperlink r:id="rId12" w:history="1">
              <w:r w:rsidR="00CE4A9B" w:rsidRPr="008F55CF">
                <w:rPr>
                  <w:rStyle w:val="Hipervnculo"/>
                  <w:rFonts w:ascii="Verdana" w:hAnsi="Verdana" w:cs="Arial"/>
                </w:rPr>
                <w:t>http://servicios.consejodeestado.gov.co/WebRelatoria/FileReferenceServlet?corp=ce&amp;ext=doc&amp;file=2002457</w:t>
              </w:r>
            </w:hyperlink>
          </w:p>
          <w:p w14:paraId="2A9E0318" w14:textId="77777777" w:rsidR="00CE4A9B" w:rsidRDefault="00CE4A9B" w:rsidP="00CE4A9B">
            <w:pPr>
              <w:pStyle w:val="Prrafodelista"/>
              <w:widowControl w:val="0"/>
              <w:numPr>
                <w:ilvl w:val="0"/>
                <w:numId w:val="3"/>
              </w:numPr>
              <w:autoSpaceDE w:val="0"/>
              <w:autoSpaceDN w:val="0"/>
              <w:spacing w:after="120" w:line="276" w:lineRule="auto"/>
              <w:jc w:val="both"/>
              <w:rPr>
                <w:rFonts w:ascii="Verdana" w:eastAsia="Calibri" w:hAnsi="Verdana" w:cs="Arial"/>
                <w:color w:val="000000" w:themeColor="text1"/>
                <w:lang w:val="es-ES_tradnl"/>
              </w:rPr>
            </w:pPr>
            <w:r w:rsidRPr="00583C8E">
              <w:rPr>
                <w:rFonts w:ascii="Verdana" w:eastAsia="Calibri" w:hAnsi="Verdana" w:cs="Arial"/>
                <w:color w:val="000000" w:themeColor="text1"/>
                <w:lang w:val="es-ES_tradnl"/>
              </w:rPr>
              <w:t>Manual para la modalidad de selección de mínima cuantía</w:t>
            </w:r>
            <w:r>
              <w:rPr>
                <w:rFonts w:ascii="Verdana" w:eastAsia="Calibri" w:hAnsi="Verdana" w:cs="Arial"/>
                <w:color w:val="000000" w:themeColor="text1"/>
                <w:lang w:val="es-ES_tradnl"/>
              </w:rPr>
              <w:t>:</w:t>
            </w:r>
          </w:p>
          <w:p w14:paraId="0AE98BE2" w14:textId="77777777" w:rsidR="00CE4A9B" w:rsidRDefault="00000000" w:rsidP="00E075F9">
            <w:pPr>
              <w:pStyle w:val="Prrafodelista"/>
              <w:widowControl w:val="0"/>
              <w:autoSpaceDE w:val="0"/>
              <w:autoSpaceDN w:val="0"/>
              <w:spacing w:after="120" w:line="276" w:lineRule="auto"/>
              <w:jc w:val="both"/>
              <w:rPr>
                <w:rFonts w:ascii="Verdana" w:eastAsia="Calibri" w:hAnsi="Verdana" w:cs="Arial"/>
                <w:color w:val="000000" w:themeColor="text1"/>
                <w:lang w:val="es-ES_tradnl"/>
              </w:rPr>
            </w:pPr>
            <w:hyperlink r:id="rId13" w:history="1">
              <w:r w:rsidR="00CE4A9B" w:rsidRPr="008F55CF">
                <w:rPr>
                  <w:rStyle w:val="Hipervnculo"/>
                  <w:rFonts w:ascii="Verdana" w:eastAsia="Calibri" w:hAnsi="Verdana" w:cs="Arial"/>
                  <w:lang w:val="es-ES_tradnl"/>
                </w:rPr>
                <w:t>https://www.colombiacompra.gov.co/sites/cce_public/files/cce_documents/manual_de_la_modalidad_de_seleccion_de_minima_cuantia.p</w:t>
              </w:r>
              <w:r w:rsidR="00CE4A9B" w:rsidRPr="008F55CF">
                <w:rPr>
                  <w:rStyle w:val="Hipervnculo"/>
                  <w:rFonts w:ascii="Verdana" w:eastAsia="Calibri" w:hAnsi="Verdana" w:cs="Arial"/>
                  <w:lang w:val="es-ES_tradnl"/>
                </w:rPr>
                <w:lastRenderedPageBreak/>
                <w:t>df</w:t>
              </w:r>
            </w:hyperlink>
            <w:r w:rsidR="00CE4A9B">
              <w:rPr>
                <w:rFonts w:ascii="Verdana" w:eastAsia="Calibri" w:hAnsi="Verdana" w:cs="Arial"/>
                <w:color w:val="000000" w:themeColor="text1"/>
                <w:lang w:val="es-ES_tradnl"/>
              </w:rPr>
              <w:t xml:space="preserve"> </w:t>
            </w:r>
          </w:p>
          <w:p w14:paraId="3CA8209D" w14:textId="77777777" w:rsidR="00CE4A9B" w:rsidRDefault="00CE4A9B" w:rsidP="00CE4A9B">
            <w:pPr>
              <w:pStyle w:val="Prrafodelista"/>
              <w:widowControl w:val="0"/>
              <w:numPr>
                <w:ilvl w:val="0"/>
                <w:numId w:val="3"/>
              </w:numPr>
              <w:autoSpaceDE w:val="0"/>
              <w:autoSpaceDN w:val="0"/>
              <w:spacing w:after="120" w:line="276" w:lineRule="auto"/>
              <w:jc w:val="both"/>
              <w:rPr>
                <w:rFonts w:ascii="Verdana" w:hAnsi="Verdana"/>
              </w:rPr>
            </w:pPr>
            <w:r w:rsidRPr="009163D6">
              <w:rPr>
                <w:rFonts w:ascii="Verdana" w:hAnsi="Verdana"/>
              </w:rPr>
              <w:t>Guía para Determinar y Verificar la Capacidad Residual del Proponente en los Procesos de Contratación de Obra Pública</w:t>
            </w:r>
            <w:r>
              <w:rPr>
                <w:rFonts w:ascii="Verdana" w:hAnsi="Verdana"/>
              </w:rPr>
              <w:t>:</w:t>
            </w:r>
          </w:p>
          <w:p w14:paraId="18F7F3C4" w14:textId="77777777" w:rsidR="00CE4A9B" w:rsidRPr="00805B11" w:rsidRDefault="00000000" w:rsidP="00E075F9">
            <w:pPr>
              <w:pStyle w:val="Prrafodelista"/>
              <w:widowControl w:val="0"/>
              <w:autoSpaceDE w:val="0"/>
              <w:autoSpaceDN w:val="0"/>
              <w:spacing w:after="120" w:line="276" w:lineRule="auto"/>
              <w:jc w:val="both"/>
              <w:rPr>
                <w:rFonts w:ascii="Verdana" w:hAnsi="Verdana" w:cs="Arial"/>
              </w:rPr>
            </w:pPr>
            <w:hyperlink r:id="rId14" w:history="1">
              <w:r w:rsidR="00CE4A9B" w:rsidRPr="008F55CF">
                <w:rPr>
                  <w:rStyle w:val="Hipervnculo"/>
                  <w:rFonts w:ascii="Verdana" w:hAnsi="Verdana"/>
                </w:rPr>
                <w:t>https://www.colombiacompra.gov.co/sites/cce_public/files/cce_documents/cce-eicp-gi-22_guia_capacidad_residual_de_contratacion_v1_29-09-2023_.pdf</w:t>
              </w:r>
            </w:hyperlink>
            <w:r w:rsidR="00CE4A9B">
              <w:rPr>
                <w:rFonts w:ascii="Verdana" w:eastAsia="Calibri" w:hAnsi="Verdana"/>
                <w:color w:val="000000" w:themeColor="text1"/>
              </w:rPr>
              <w:t xml:space="preserve"> </w:t>
            </w:r>
          </w:p>
        </w:tc>
      </w:tr>
    </w:tbl>
    <w:p w14:paraId="2E3039E2" w14:textId="77777777" w:rsidR="00CE4A9B" w:rsidRPr="00593A5F" w:rsidRDefault="00CE4A9B" w:rsidP="00CE4A9B">
      <w:pPr>
        <w:widowControl w:val="0"/>
        <w:autoSpaceDE w:val="0"/>
        <w:autoSpaceDN w:val="0"/>
        <w:spacing w:after="0" w:line="276" w:lineRule="auto"/>
        <w:jc w:val="both"/>
        <w:rPr>
          <w:rFonts w:ascii="Verdana" w:hAnsi="Verdana" w:cs="Arial"/>
        </w:rPr>
      </w:pPr>
    </w:p>
    <w:p w14:paraId="0B296CA5" w14:textId="77777777" w:rsidR="00CE4A9B" w:rsidRPr="00593A5F" w:rsidRDefault="00CE4A9B" w:rsidP="00CE4A9B">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F39ABBD" w14:textId="77777777" w:rsidR="00CE4A9B" w:rsidRPr="00593A5F" w:rsidRDefault="00CE4A9B" w:rsidP="00CE4A9B">
      <w:pPr>
        <w:widowControl w:val="0"/>
        <w:autoSpaceDE w:val="0"/>
        <w:autoSpaceDN w:val="0"/>
        <w:spacing w:after="0" w:line="276" w:lineRule="auto"/>
        <w:jc w:val="both"/>
        <w:rPr>
          <w:rFonts w:ascii="Verdana" w:hAnsi="Verdana" w:cs="Arial"/>
        </w:rPr>
      </w:pPr>
    </w:p>
    <w:p w14:paraId="727E5B88" w14:textId="77777777" w:rsidR="00CE4A9B" w:rsidRPr="007C0198" w:rsidRDefault="00CE4A9B" w:rsidP="00CE4A9B">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_tradnl"/>
        </w:rPr>
      </w:pPr>
      <w:r w:rsidRPr="00DC5708">
        <w:rPr>
          <w:rStyle w:val="normaltextrun"/>
          <w:rFonts w:ascii="Verdana" w:hAnsi="Verdana" w:cs="Arial"/>
          <w:color w:val="000000" w:themeColor="text1"/>
          <w:shd w:val="clear" w:color="auto" w:fill="FFFFFF"/>
          <w:lang w:val="es-ES"/>
        </w:rPr>
        <w:t>Sobre la regla de subsanabilidad de la oferta esta entidad unificó concepto CU — 060 de 16 de enero de 2020, posición que ha sido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C-681 de 19 de octubre de 2022, C-793 del 21 de noviembre de 2022, C-882 de 21 de diciembre de 2022, C-216 de 6 de junio de 2023, y C-261de 13 de julio de 2023, entre otros . Por su parte, frente a la subsanación en procesos de mínima cuantía, la Agencia emitió el concepto C-877 del 26 de diciembre de 2022, la respuesta con radicado de salida RS20230623006465 del 22 de junio de 2023 y el concepto c-333 de 16 de julio de 2023.</w:t>
      </w:r>
      <w:r>
        <w:rPr>
          <w:rStyle w:val="normaltextrun"/>
          <w:rFonts w:ascii="Verdana" w:hAnsi="Verdana" w:cs="Arial"/>
          <w:color w:val="000000" w:themeColor="text1"/>
          <w:shd w:val="clear" w:color="auto" w:fill="FFFFFF"/>
          <w:lang w:val="es-ES"/>
        </w:rPr>
        <w:t xml:space="preserve"> </w:t>
      </w:r>
      <w:r w:rsidRPr="00A1554D">
        <w:rPr>
          <w:rStyle w:val="normaltextrun"/>
          <w:rFonts w:ascii="Verdana" w:hAnsi="Verdana" w:cs="Arial"/>
          <w:color w:val="7030A0"/>
          <w:shd w:val="clear" w:color="auto" w:fill="FFFFFF"/>
          <w:lang w:val="es-ES"/>
        </w:rPr>
        <w:t xml:space="preserve"> </w:t>
      </w:r>
      <w:r>
        <w:rPr>
          <w:rStyle w:val="normaltextrun"/>
          <w:rFonts w:ascii="Verdana" w:hAnsi="Verdana" w:cs="Arial"/>
          <w:color w:val="000000" w:themeColor="text1"/>
          <w:shd w:val="clear" w:color="auto" w:fill="FFFFFF"/>
          <w:lang w:val="es-ES"/>
        </w:rPr>
        <w:t xml:space="preserve">Así mismo, </w:t>
      </w:r>
      <w:r w:rsidRPr="00407458">
        <w:rPr>
          <w:rStyle w:val="normaltextrun"/>
          <w:rFonts w:ascii="Verdana" w:hAnsi="Verdana" w:cs="Arial"/>
          <w:color w:val="000000" w:themeColor="text1"/>
          <w:shd w:val="clear" w:color="auto" w:fill="FFFFFF"/>
          <w:lang w:val="es-ES"/>
        </w:rPr>
        <w:t>se ha pronunciado sobre la capacidad residual y la forma en que se debe acreditar, en los conceptos del 27 de agosto y el 20 y 26 (2) de diciembre de 2019 −radicados Nos. 2201913000006275, 2201913000009465, 2201913000009642 y 2201913000009640−. Así como también en los conceptos C-022, C-089, C-112, C-133, C-222 y C-458 de 2020.</w:t>
      </w:r>
      <w:r w:rsidRPr="00407458">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hyperlink r:id="rId15"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748A637E" w14:textId="77777777" w:rsidR="00CE4A9B" w:rsidRDefault="00CE4A9B" w:rsidP="00CE4A9B">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C17D8F9" w14:textId="77777777" w:rsidR="00CE4A9B" w:rsidRDefault="00CE4A9B" w:rsidP="00CE4A9B">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6" w:history="1">
        <w:r w:rsidRPr="00B86AB5">
          <w:rPr>
            <w:rStyle w:val="Hipervnculo"/>
            <w:rFonts w:ascii="Verdana" w:hAnsi="Verdana" w:cs="Arial"/>
            <w:shd w:val="clear" w:color="auto" w:fill="FFFFFF"/>
            <w:lang w:val="es-ES"/>
          </w:rPr>
          <w:t>https://www.colombiacompra.gov.co/sala-de-</w:t>
        </w:r>
        <w:r w:rsidRPr="00B86AB5">
          <w:rPr>
            <w:rStyle w:val="Hipervnculo"/>
            <w:rFonts w:ascii="Verdana" w:hAnsi="Verdana" w:cs="Arial"/>
            <w:shd w:val="clear" w:color="auto" w:fill="FFFFFF"/>
            <w:lang w:val="es-ES"/>
          </w:rPr>
          <w:lastRenderedPageBreak/>
          <w:t>prensa/boletin-digital</w:t>
        </w:r>
      </w:hyperlink>
      <w:r>
        <w:rPr>
          <w:rStyle w:val="normaltextrun"/>
          <w:rFonts w:ascii="Verdana" w:hAnsi="Verdana" w:cs="Arial"/>
          <w:color w:val="FF0000"/>
          <w:shd w:val="clear" w:color="auto" w:fill="FFFFFF"/>
          <w:lang w:val="es-ES"/>
        </w:rPr>
        <w:t xml:space="preserve"> </w:t>
      </w:r>
    </w:p>
    <w:p w14:paraId="39EBC091" w14:textId="77777777" w:rsidR="00CE4A9B" w:rsidRDefault="00CE4A9B" w:rsidP="00CE4A9B">
      <w:pPr>
        <w:spacing w:after="0" w:line="240" w:lineRule="auto"/>
        <w:jc w:val="both"/>
        <w:rPr>
          <w:rFonts w:ascii="Verdana" w:hAnsi="Verdana"/>
        </w:rPr>
      </w:pPr>
    </w:p>
    <w:p w14:paraId="24475B1C" w14:textId="77777777" w:rsidR="00CE4A9B" w:rsidRPr="003E2460" w:rsidRDefault="00CE4A9B" w:rsidP="00CE4A9B">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607F123E" w14:textId="77777777" w:rsidR="00CE4A9B" w:rsidRPr="003E2460" w:rsidRDefault="00CE4A9B" w:rsidP="00CE4A9B">
      <w:pPr>
        <w:spacing w:after="0" w:line="240" w:lineRule="auto"/>
        <w:jc w:val="both"/>
        <w:rPr>
          <w:rFonts w:ascii="Verdana" w:hAnsi="Verdana"/>
        </w:rPr>
      </w:pPr>
    </w:p>
    <w:p w14:paraId="05EBC2E6" w14:textId="77777777" w:rsidR="00CE4A9B" w:rsidRPr="003E2460" w:rsidRDefault="00CE4A9B" w:rsidP="00CE4A9B">
      <w:pPr>
        <w:spacing w:after="0" w:line="240" w:lineRule="auto"/>
        <w:jc w:val="both"/>
        <w:rPr>
          <w:rFonts w:ascii="Verdana" w:hAnsi="Verdana"/>
        </w:rPr>
      </w:pPr>
      <w:r w:rsidRPr="003E2460">
        <w:rPr>
          <w:rFonts w:ascii="Verdana" w:hAnsi="Verdana"/>
        </w:rPr>
        <w:t xml:space="preserve">Twitter: </w:t>
      </w:r>
      <w:r w:rsidRPr="007C0198">
        <w:rPr>
          <w:rStyle w:val="Hipervnculo"/>
          <w:rFonts w:ascii="Verdana" w:hAnsi="Verdana" w:cs="Arial"/>
          <w:shd w:val="clear" w:color="auto" w:fill="FFFFFF"/>
          <w:lang w:val="es-ES"/>
        </w:rPr>
        <w:t>@colombiacompra</w:t>
      </w:r>
      <w:r w:rsidRPr="003E2460">
        <w:rPr>
          <w:rFonts w:ascii="Verdana" w:hAnsi="Verdana"/>
          <w:color w:val="4472C4" w:themeColor="accent1"/>
        </w:rPr>
        <w:t xml:space="preserve"> </w:t>
      </w:r>
    </w:p>
    <w:p w14:paraId="40A09406" w14:textId="77777777" w:rsidR="00CE4A9B" w:rsidRPr="003E2460" w:rsidRDefault="00CE4A9B" w:rsidP="00CE4A9B">
      <w:pPr>
        <w:spacing w:after="0" w:line="240" w:lineRule="auto"/>
        <w:jc w:val="both"/>
        <w:rPr>
          <w:rFonts w:ascii="Verdana" w:hAnsi="Verdana"/>
        </w:rPr>
      </w:pPr>
      <w:r w:rsidRPr="003E2460">
        <w:rPr>
          <w:rFonts w:ascii="Verdana" w:hAnsi="Verdana"/>
        </w:rPr>
        <w:t xml:space="preserve">Facebook: </w:t>
      </w:r>
      <w:r w:rsidRPr="007C0198">
        <w:rPr>
          <w:rStyle w:val="Hipervnculo"/>
          <w:rFonts w:ascii="Verdana" w:hAnsi="Verdana" w:cs="Arial"/>
          <w:shd w:val="clear" w:color="auto" w:fill="FFFFFF"/>
          <w:lang w:val="es-ES"/>
        </w:rPr>
        <w:t>ColombiaCompraEficiente</w:t>
      </w:r>
    </w:p>
    <w:p w14:paraId="6B5B72EF" w14:textId="77777777" w:rsidR="00CE4A9B" w:rsidRPr="003E2460" w:rsidRDefault="00CE4A9B" w:rsidP="00CE4A9B">
      <w:pPr>
        <w:spacing w:after="0" w:line="240" w:lineRule="auto"/>
        <w:jc w:val="both"/>
        <w:rPr>
          <w:rFonts w:ascii="Verdana" w:hAnsi="Verdana"/>
        </w:rPr>
      </w:pPr>
      <w:r w:rsidRPr="003E2460">
        <w:rPr>
          <w:rFonts w:ascii="Verdana" w:hAnsi="Verdana"/>
        </w:rPr>
        <w:t xml:space="preserve">LinkedIn: </w:t>
      </w:r>
      <w:r w:rsidRPr="007C0198">
        <w:rPr>
          <w:rStyle w:val="Hipervnculo"/>
          <w:rFonts w:ascii="Verdana" w:hAnsi="Verdana" w:cs="Arial"/>
          <w:shd w:val="clear" w:color="auto" w:fill="FFFFFF"/>
          <w:lang w:val="es-ES"/>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7C0198">
        <w:rPr>
          <w:rStyle w:val="Hipervnculo"/>
          <w:rFonts w:ascii="Verdana" w:hAnsi="Verdana" w:cs="Arial"/>
          <w:shd w:val="clear" w:color="auto" w:fill="FFFFFF"/>
          <w:lang w:val="es-ES"/>
        </w:rPr>
        <w:t>@colombiacompraeficiente_cce</w:t>
      </w:r>
    </w:p>
    <w:p w14:paraId="2E5522FA" w14:textId="77777777" w:rsidR="00CE4A9B" w:rsidRPr="0044528D" w:rsidRDefault="00CE4A9B" w:rsidP="00CE4A9B">
      <w:pPr>
        <w:widowControl w:val="0"/>
        <w:autoSpaceDE w:val="0"/>
        <w:autoSpaceDN w:val="0"/>
        <w:spacing w:after="0" w:line="276" w:lineRule="auto"/>
        <w:jc w:val="both"/>
        <w:rPr>
          <w:rFonts w:ascii="Verdana" w:hAnsi="Verdana"/>
        </w:rPr>
      </w:pPr>
    </w:p>
    <w:p w14:paraId="132B96E2" w14:textId="77777777" w:rsidR="00CE4A9B" w:rsidRPr="00593A5F" w:rsidRDefault="00CE4A9B" w:rsidP="00CE4A9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A480936" w14:textId="77777777" w:rsidR="00CE4A9B" w:rsidRPr="00593A5F" w:rsidRDefault="00CE4A9B" w:rsidP="00CE4A9B">
      <w:pPr>
        <w:widowControl w:val="0"/>
        <w:autoSpaceDE w:val="0"/>
        <w:autoSpaceDN w:val="0"/>
        <w:spacing w:after="0" w:line="276" w:lineRule="auto"/>
        <w:jc w:val="both"/>
        <w:rPr>
          <w:rFonts w:ascii="Verdana" w:hAnsi="Verdana" w:cs="Arial"/>
        </w:rPr>
      </w:pPr>
    </w:p>
    <w:p w14:paraId="08961D6F" w14:textId="77777777" w:rsidR="00CE4A9B" w:rsidRPr="00593A5F" w:rsidRDefault="00CE4A9B" w:rsidP="00CE4A9B">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1F3E360" w14:textId="7E317C0E" w:rsidR="00CE4A9B" w:rsidRPr="00593A5F" w:rsidRDefault="005C7E33" w:rsidP="00CE4A9B">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4B711A80" wp14:editId="4D126C4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E4A9B" w:rsidRPr="00593A5F" w14:paraId="66F71D01" w14:textId="77777777" w:rsidTr="00E075F9">
        <w:trPr>
          <w:trHeight w:val="315"/>
        </w:trPr>
        <w:tc>
          <w:tcPr>
            <w:tcW w:w="893" w:type="dxa"/>
            <w:vAlign w:val="center"/>
            <w:hideMark/>
          </w:tcPr>
          <w:p w14:paraId="04668842" w14:textId="77777777" w:rsidR="00CE4A9B" w:rsidRPr="003751C7" w:rsidRDefault="00CE4A9B" w:rsidP="00E075F9">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C861029" w14:textId="77777777" w:rsidR="00CE4A9B" w:rsidRPr="002A6DE9" w:rsidRDefault="00CE4A9B" w:rsidP="00E075F9">
            <w:pPr>
              <w:contextualSpacing/>
              <w:rPr>
                <w:rStyle w:val="normaltextrun"/>
              </w:rPr>
            </w:pPr>
            <w:r w:rsidRPr="002A6DE9">
              <w:rPr>
                <w:rStyle w:val="normaltextrun"/>
                <w:rFonts w:ascii="Verdana" w:eastAsia="Arial" w:hAnsi="Verdana" w:cs="Arial"/>
                <w:sz w:val="16"/>
                <w:szCs w:val="16"/>
              </w:rPr>
              <w:t>Sergio Enrique Caballero Lesmes</w:t>
            </w:r>
          </w:p>
          <w:p w14:paraId="6E26F0F7" w14:textId="77777777" w:rsidR="00CE4A9B" w:rsidRPr="003751C7" w:rsidRDefault="00CE4A9B" w:rsidP="00E075F9">
            <w:pPr>
              <w:contextualSpacing/>
              <w:rPr>
                <w:rFonts w:ascii="Verdana" w:eastAsia="Arial" w:hAnsi="Verdana" w:cs="Arial"/>
                <w:sz w:val="16"/>
                <w:szCs w:val="16"/>
              </w:rPr>
            </w:pPr>
            <w:r w:rsidRPr="002A6DE9">
              <w:rPr>
                <w:rStyle w:val="normaltextrun"/>
                <w:rFonts w:ascii="Verdana" w:eastAsia="Arial" w:hAnsi="Verdana" w:cs="Arial"/>
                <w:sz w:val="16"/>
                <w:szCs w:val="16"/>
              </w:rPr>
              <w:t xml:space="preserve">Analista T2 - 01 </w:t>
            </w:r>
            <w:r w:rsidRPr="003751C7">
              <w:rPr>
                <w:rStyle w:val="normaltextrun"/>
                <w:rFonts w:ascii="Verdana" w:eastAsia="Arial" w:hAnsi="Verdana" w:cs="Arial"/>
                <w:sz w:val="16"/>
                <w:szCs w:val="16"/>
              </w:rPr>
              <w:t>de la Subdirección de Gestión Contractual</w:t>
            </w:r>
          </w:p>
        </w:tc>
      </w:tr>
      <w:tr w:rsidR="00CE4A9B" w:rsidRPr="00593A5F" w14:paraId="1A75BF1D" w14:textId="77777777" w:rsidTr="00E075F9">
        <w:trPr>
          <w:trHeight w:val="330"/>
        </w:trPr>
        <w:tc>
          <w:tcPr>
            <w:tcW w:w="893" w:type="dxa"/>
            <w:vAlign w:val="center"/>
            <w:hideMark/>
          </w:tcPr>
          <w:p w14:paraId="31209125" w14:textId="77777777" w:rsidR="00CE4A9B" w:rsidRPr="003751C7" w:rsidRDefault="00CE4A9B" w:rsidP="00E075F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96D13DB" w14:textId="77777777" w:rsidR="00CE4A9B" w:rsidRPr="004356D6" w:rsidRDefault="00CE4A9B" w:rsidP="00E075F9">
            <w:pPr>
              <w:contextualSpacing/>
              <w:rPr>
                <w:rStyle w:val="normaltextrun"/>
                <w:rFonts w:ascii="Verdana" w:eastAsia="Arial" w:hAnsi="Verdana" w:cs="Arial"/>
                <w:sz w:val="16"/>
                <w:szCs w:val="16"/>
              </w:rPr>
            </w:pPr>
            <w:r>
              <w:rPr>
                <w:rStyle w:val="normaltextrun"/>
                <w:rFonts w:ascii="Verdana" w:eastAsia="Arial" w:hAnsi="Verdana" w:cs="Arial"/>
                <w:sz w:val="16"/>
                <w:szCs w:val="16"/>
              </w:rPr>
              <w:t>Raúl Alejandro Sarmiento Cantillo</w:t>
            </w:r>
          </w:p>
          <w:p w14:paraId="789F831C" w14:textId="77777777" w:rsidR="00CE4A9B" w:rsidRPr="003751C7" w:rsidRDefault="00CE4A9B" w:rsidP="00E075F9">
            <w:pPr>
              <w:contextualSpacing/>
              <w:rPr>
                <w:rFonts w:ascii="Verdana" w:hAnsi="Verdana" w:cs="Segoe UI"/>
                <w:sz w:val="16"/>
                <w:szCs w:val="16"/>
              </w:rPr>
            </w:pPr>
            <w:r>
              <w:rPr>
                <w:rStyle w:val="normaltextrun"/>
                <w:rFonts w:ascii="Verdana" w:eastAsia="Arial" w:hAnsi="Verdana" w:cs="Arial"/>
                <w:sz w:val="16"/>
                <w:szCs w:val="16"/>
              </w:rPr>
              <w:t>Gestor T1 - 15</w:t>
            </w:r>
            <w:r w:rsidRPr="002A6DE9">
              <w:rPr>
                <w:rStyle w:val="normaltextrun"/>
                <w:rFonts w:ascii="Verdana" w:eastAsia="Arial" w:hAnsi="Verdana" w:cs="Arial"/>
                <w:sz w:val="16"/>
                <w:szCs w:val="16"/>
              </w:rPr>
              <w:t xml:space="preserve"> de la Subdirección</w:t>
            </w:r>
            <w:r w:rsidRPr="003751C7">
              <w:rPr>
                <w:rStyle w:val="normaltextrun"/>
                <w:rFonts w:ascii="Verdana" w:hAnsi="Verdana" w:cs="Arial"/>
                <w:sz w:val="16"/>
                <w:szCs w:val="16"/>
                <w:lang w:val="es-ES"/>
              </w:rPr>
              <w:t xml:space="preserve"> de Gestión Contractual</w:t>
            </w:r>
            <w:r w:rsidRPr="003751C7">
              <w:rPr>
                <w:rStyle w:val="eop"/>
                <w:rFonts w:ascii="Verdana" w:hAnsi="Verdana" w:cs="Arial"/>
                <w:sz w:val="16"/>
                <w:szCs w:val="16"/>
              </w:rPr>
              <w:t> </w:t>
            </w:r>
          </w:p>
        </w:tc>
      </w:tr>
      <w:tr w:rsidR="00CE4A9B" w:rsidRPr="00593A5F" w14:paraId="7508B4EC" w14:textId="77777777" w:rsidTr="00E075F9">
        <w:trPr>
          <w:trHeight w:val="300"/>
        </w:trPr>
        <w:tc>
          <w:tcPr>
            <w:tcW w:w="893" w:type="dxa"/>
            <w:vAlign w:val="center"/>
          </w:tcPr>
          <w:p w14:paraId="32316B6A" w14:textId="77777777" w:rsidR="00CE4A9B" w:rsidRPr="003751C7" w:rsidRDefault="00CE4A9B" w:rsidP="00E075F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CF29DF9" w14:textId="77777777" w:rsidR="00CE4A9B" w:rsidRPr="003751C7" w:rsidRDefault="00CE4A9B" w:rsidP="00E075F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72A3127A" w14:textId="77777777" w:rsidR="00CE4A9B" w:rsidRPr="003751C7" w:rsidRDefault="00CE4A9B" w:rsidP="00E075F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6A11C36F" w14:textId="77777777" w:rsidR="00CE4A9B" w:rsidRPr="00593A5F" w:rsidRDefault="00CE4A9B" w:rsidP="00CE4A9B">
      <w:pPr>
        <w:spacing w:after="0" w:line="240" w:lineRule="auto"/>
        <w:rPr>
          <w:rFonts w:ascii="Verdana" w:eastAsia="Times New Roman" w:hAnsi="Verdana" w:cs="Arial"/>
          <w:sz w:val="24"/>
          <w:szCs w:val="24"/>
          <w:lang w:eastAsia="es-ES"/>
        </w:rPr>
      </w:pPr>
    </w:p>
    <w:p w14:paraId="46836359" w14:textId="77777777" w:rsidR="00CE4A9B" w:rsidRPr="00871B59" w:rsidRDefault="00CE4A9B" w:rsidP="00CE4A9B"/>
    <w:p w14:paraId="398727FF" w14:textId="77777777" w:rsidR="00CE4A9B" w:rsidRPr="00F63F26" w:rsidRDefault="00CE4A9B" w:rsidP="00CE4A9B"/>
    <w:p w14:paraId="1116333D" w14:textId="77777777" w:rsidR="00CE4A9B" w:rsidRDefault="00CE4A9B" w:rsidP="00CE4A9B"/>
    <w:p w14:paraId="1BB85738" w14:textId="77777777" w:rsidR="00CE4A9B" w:rsidRPr="00535FA8" w:rsidRDefault="00CE4A9B" w:rsidP="00CE4A9B"/>
    <w:p w14:paraId="70D5F286" w14:textId="77777777" w:rsidR="00C24FFE" w:rsidRDefault="00C24FFE" w:rsidP="00CE4A9B">
      <w:pPr>
        <w:spacing w:after="0" w:line="240" w:lineRule="auto"/>
      </w:pPr>
    </w:p>
    <w:sectPr w:rsidR="00C24FFE" w:rsidSect="00F12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69399" w14:textId="77777777" w:rsidR="00D336C7" w:rsidRDefault="00D336C7" w:rsidP="00F12C0F">
      <w:pPr>
        <w:spacing w:after="0" w:line="240" w:lineRule="auto"/>
      </w:pPr>
      <w:r>
        <w:separator/>
      </w:r>
    </w:p>
  </w:endnote>
  <w:endnote w:type="continuationSeparator" w:id="0">
    <w:p w14:paraId="0850768A" w14:textId="77777777" w:rsidR="00D336C7" w:rsidRDefault="00D336C7" w:rsidP="00F1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BB85" w14:textId="77777777" w:rsidR="00F12C0F" w:rsidRDefault="00F12C0F">
    <w:pPr>
      <w:pStyle w:val="Piedepgina"/>
    </w:pPr>
  </w:p>
  <w:p w14:paraId="6F36D127" w14:textId="77777777" w:rsidR="00F12C0F" w:rsidRPr="00174B77" w:rsidRDefault="00F12C0F"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502BE7B" w14:textId="77777777" w:rsidR="00F12C0F" w:rsidRDefault="00F12C0F"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75522B27" w14:textId="77777777" w:rsidR="00F12C0F" w:rsidRPr="00E41027" w:rsidRDefault="00F12C0F" w:rsidP="00D520D8">
    <w:pPr>
      <w:spacing w:after="0"/>
      <w:jc w:val="both"/>
      <w:rPr>
        <w:rFonts w:ascii="Verdana" w:hAnsi="Verdana"/>
        <w:sz w:val="18"/>
        <w:szCs w:val="18"/>
      </w:rPr>
    </w:pPr>
    <w:r w:rsidRPr="00E41027">
      <w:rPr>
        <w:rFonts w:ascii="Verdana" w:hAnsi="Verdana"/>
        <w:sz w:val="18"/>
        <w:szCs w:val="18"/>
      </w:rPr>
      <w:t>Mesa de servicio: (+57) 601 7456788</w:t>
    </w:r>
  </w:p>
  <w:p w14:paraId="6C4E7964" w14:textId="77777777" w:rsidR="00F12C0F" w:rsidRDefault="00F12C0F"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F72E" w14:textId="77777777" w:rsidR="00D336C7" w:rsidRDefault="00D336C7" w:rsidP="00F12C0F">
      <w:pPr>
        <w:spacing w:after="0" w:line="240" w:lineRule="auto"/>
      </w:pPr>
      <w:r>
        <w:separator/>
      </w:r>
    </w:p>
  </w:footnote>
  <w:footnote w:type="continuationSeparator" w:id="0">
    <w:p w14:paraId="0CB0F356" w14:textId="77777777" w:rsidR="00D336C7" w:rsidRDefault="00D336C7" w:rsidP="00F12C0F">
      <w:pPr>
        <w:spacing w:after="0" w:line="240" w:lineRule="auto"/>
      </w:pPr>
      <w:r>
        <w:continuationSeparator/>
      </w:r>
    </w:p>
  </w:footnote>
  <w:footnote w:id="1">
    <w:p w14:paraId="488C68B6" w14:textId="77777777" w:rsidR="00CE4A9B" w:rsidRPr="004208DF" w:rsidRDefault="00CE4A9B" w:rsidP="00CE4A9B">
      <w:pPr>
        <w:pStyle w:val="Textonotapie"/>
        <w:ind w:firstLine="709"/>
        <w:jc w:val="both"/>
        <w:rPr>
          <w:rFonts w:ascii="Verdana" w:hAnsi="Verdana" w:cs="Arial"/>
          <w:color w:val="000000"/>
          <w:sz w:val="14"/>
          <w:szCs w:val="14"/>
        </w:rPr>
      </w:pPr>
      <w:r w:rsidRPr="004208DF">
        <w:rPr>
          <w:rStyle w:val="Refdenotaalpie"/>
          <w:rFonts w:ascii="Verdana" w:hAnsi="Verdana"/>
          <w:color w:val="000000"/>
          <w:sz w:val="14"/>
          <w:szCs w:val="14"/>
        </w:rPr>
        <w:footnoteRef/>
      </w:r>
      <w:r w:rsidRPr="004208DF">
        <w:rPr>
          <w:rStyle w:val="Refdenotaalpie"/>
          <w:rFonts w:ascii="Verdana" w:hAnsi="Verdana"/>
          <w:color w:val="000000"/>
          <w:sz w:val="14"/>
          <w:szCs w:val="14"/>
        </w:rPr>
        <w:t xml:space="preserve"> </w:t>
      </w:r>
      <w:r w:rsidRPr="004208DF">
        <w:rPr>
          <w:rFonts w:ascii="Verdana" w:hAnsi="Verdana" w:cs="Arial"/>
          <w:color w:val="000000"/>
          <w:sz w:val="14"/>
          <w:szCs w:val="14"/>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4D99DD3E" w14:textId="77777777" w:rsidR="00CE4A9B" w:rsidRPr="004208DF" w:rsidRDefault="00CE4A9B" w:rsidP="00CE4A9B">
      <w:pPr>
        <w:pStyle w:val="Textonotapie"/>
        <w:ind w:firstLine="709"/>
        <w:jc w:val="both"/>
        <w:rPr>
          <w:rFonts w:ascii="Verdana" w:hAnsi="Verdana" w:cs="Arial"/>
          <w:color w:val="000000"/>
          <w:sz w:val="14"/>
          <w:szCs w:val="14"/>
        </w:rPr>
      </w:pPr>
    </w:p>
  </w:footnote>
  <w:footnote w:id="2">
    <w:p w14:paraId="22C9662C" w14:textId="77777777" w:rsidR="00CE4A9B" w:rsidRPr="004208DF" w:rsidRDefault="00CE4A9B" w:rsidP="00CE4A9B">
      <w:pPr>
        <w:pStyle w:val="Textonotapie"/>
        <w:ind w:firstLine="708"/>
        <w:jc w:val="both"/>
        <w:rPr>
          <w:rFonts w:ascii="Verdana" w:hAnsi="Verdana"/>
          <w:sz w:val="14"/>
          <w:szCs w:val="14"/>
        </w:rPr>
      </w:pPr>
      <w:r w:rsidRPr="004208DF">
        <w:rPr>
          <w:rStyle w:val="Refdenotaalpie"/>
          <w:rFonts w:ascii="Verdana" w:hAnsi="Verdana"/>
          <w:sz w:val="14"/>
          <w:szCs w:val="14"/>
        </w:rPr>
        <w:footnoteRef/>
      </w:r>
      <w:r w:rsidRPr="004208DF">
        <w:rPr>
          <w:rFonts w:ascii="Verdana" w:hAnsi="Verdana"/>
          <w:sz w:val="14"/>
          <w:szCs w:val="14"/>
        </w:rPr>
        <w:t xml:space="preserve"> “2.2.1.2.1.5.25. Procedimiento para la contratación de mínima cuantía. Las siguientes reglas son aplicables a la contratación cuyo valor no excede del diez por ciento (10%) de la menor cuantía de la Entidad Estatal, independientemente de su objeto: […]</w:t>
      </w:r>
    </w:p>
  </w:footnote>
  <w:footnote w:id="3">
    <w:p w14:paraId="236166E0" w14:textId="77777777" w:rsidR="00CE4A9B" w:rsidRPr="004208DF" w:rsidRDefault="00CE4A9B" w:rsidP="00CE4A9B">
      <w:pPr>
        <w:pStyle w:val="Textonotapie"/>
        <w:ind w:firstLine="709"/>
        <w:jc w:val="both"/>
        <w:rPr>
          <w:rFonts w:ascii="Verdana" w:hAnsi="Verdana" w:cs="Arial"/>
          <w:color w:val="000000"/>
          <w:sz w:val="14"/>
          <w:szCs w:val="14"/>
        </w:rPr>
      </w:pPr>
      <w:r w:rsidRPr="004208DF">
        <w:rPr>
          <w:rStyle w:val="Refdenotaalpie"/>
          <w:rFonts w:ascii="Verdana" w:hAnsi="Verdana"/>
          <w:sz w:val="14"/>
          <w:szCs w:val="14"/>
        </w:rPr>
        <w:footnoteRef/>
      </w:r>
      <w:r w:rsidRPr="004208DF">
        <w:rPr>
          <w:rFonts w:ascii="Verdana" w:hAnsi="Verdana"/>
          <w:sz w:val="14"/>
          <w:szCs w:val="14"/>
        </w:rPr>
        <w:t xml:space="preserve"> </w:t>
      </w:r>
      <w:r w:rsidRPr="004208DF">
        <w:rPr>
          <w:rFonts w:ascii="Verdana" w:hAnsi="Verdana" w:cs="Arial"/>
          <w:color w:val="000000"/>
          <w:sz w:val="14"/>
          <w:szCs w:val="14"/>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6AB45E63" w14:textId="77777777" w:rsidR="00CE4A9B" w:rsidRPr="004208DF" w:rsidRDefault="00CE4A9B" w:rsidP="00CE4A9B">
      <w:pPr>
        <w:pStyle w:val="Textonotapie"/>
        <w:ind w:firstLine="709"/>
        <w:jc w:val="both"/>
        <w:rPr>
          <w:rFonts w:ascii="Verdana" w:hAnsi="Verdana" w:cs="Arial"/>
          <w:color w:val="000000"/>
          <w:sz w:val="14"/>
          <w:szCs w:val="14"/>
        </w:rPr>
      </w:pPr>
      <w:r w:rsidRPr="004208DF">
        <w:rPr>
          <w:rFonts w:ascii="Verdana" w:hAnsi="Verdana" w:cs="Arial"/>
          <w:color w:val="000000"/>
          <w:sz w:val="14"/>
          <w:szCs w:val="14"/>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2495F2F4" w14:textId="77777777" w:rsidR="00CE4A9B" w:rsidRPr="004208DF" w:rsidRDefault="00CE4A9B" w:rsidP="00CE4A9B">
      <w:pPr>
        <w:pStyle w:val="Textonotapie"/>
        <w:jc w:val="both"/>
        <w:rPr>
          <w:rFonts w:ascii="Verdana" w:hAnsi="Verdana"/>
          <w:sz w:val="14"/>
          <w:szCs w:val="14"/>
        </w:rPr>
      </w:pPr>
    </w:p>
  </w:footnote>
  <w:footnote w:id="4">
    <w:p w14:paraId="27963F34" w14:textId="77777777" w:rsidR="00CE4A9B" w:rsidRPr="004208DF" w:rsidRDefault="00CE4A9B" w:rsidP="00CE4A9B">
      <w:pPr>
        <w:pStyle w:val="Textonotapie"/>
        <w:ind w:firstLine="709"/>
        <w:jc w:val="both"/>
        <w:rPr>
          <w:rFonts w:ascii="Verdana" w:hAnsi="Verdana" w:cs="Arial"/>
          <w:color w:val="000000"/>
          <w:sz w:val="14"/>
          <w:szCs w:val="14"/>
        </w:rPr>
      </w:pPr>
      <w:r w:rsidRPr="004208DF">
        <w:rPr>
          <w:rStyle w:val="Refdenotaalpie"/>
          <w:rFonts w:ascii="Verdana" w:hAnsi="Verdana"/>
          <w:sz w:val="14"/>
          <w:szCs w:val="14"/>
        </w:rPr>
        <w:footnoteRef/>
      </w:r>
      <w:r w:rsidRPr="004208DF">
        <w:rPr>
          <w:rFonts w:ascii="Verdana" w:hAnsi="Verdana"/>
          <w:sz w:val="14"/>
          <w:szCs w:val="14"/>
        </w:rPr>
        <w:t xml:space="preserve"> </w:t>
      </w:r>
      <w:r w:rsidRPr="004208DF">
        <w:rPr>
          <w:rFonts w:ascii="Verdana" w:hAnsi="Verdana" w:cs="Arial"/>
          <w:color w:val="000000"/>
          <w:sz w:val="14"/>
          <w:szCs w:val="14"/>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4A036915" w14:textId="77777777" w:rsidR="00CE4A9B" w:rsidRPr="004208DF" w:rsidRDefault="00CE4A9B" w:rsidP="00CE4A9B">
      <w:pPr>
        <w:pStyle w:val="Textonotapie"/>
        <w:ind w:firstLine="709"/>
        <w:jc w:val="both"/>
        <w:rPr>
          <w:rFonts w:ascii="Verdana" w:hAnsi="Verdana" w:cs="Arial"/>
          <w:color w:val="000000"/>
          <w:sz w:val="14"/>
          <w:szCs w:val="14"/>
        </w:rPr>
      </w:pPr>
      <w:r w:rsidRPr="004208DF">
        <w:rPr>
          <w:rFonts w:ascii="Verdana" w:hAnsi="Verdana" w:cs="Arial"/>
          <w:color w:val="000000"/>
          <w:sz w:val="14"/>
          <w:szCs w:val="14"/>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1" w:history="1">
        <w:r w:rsidRPr="004208DF">
          <w:rPr>
            <w:rStyle w:val="Hipervnculo"/>
            <w:rFonts w:ascii="Verdana" w:hAnsi="Verdana"/>
            <w:sz w:val="14"/>
            <w:szCs w:val="14"/>
          </w:rPr>
          <w:t>https://www.colombiacompra.gov.co/sites/cce_public/files/cce_circulares/circular_externa_unica_version_3_vf49.pdf</w:t>
        </w:r>
      </w:hyperlink>
      <w:r w:rsidRPr="004208DF">
        <w:rPr>
          <w:rFonts w:ascii="Verdana" w:hAnsi="Verdana"/>
          <w:sz w:val="14"/>
          <w:szCs w:val="14"/>
        </w:rPr>
        <w:t xml:space="preserve"> </w:t>
      </w:r>
    </w:p>
    <w:p w14:paraId="7FE3377F" w14:textId="77777777" w:rsidR="00CE4A9B" w:rsidRPr="004208DF" w:rsidRDefault="00CE4A9B" w:rsidP="00CE4A9B">
      <w:pPr>
        <w:pStyle w:val="Textonotapie"/>
        <w:jc w:val="both"/>
        <w:rPr>
          <w:rFonts w:ascii="Verdana" w:hAnsi="Verdana"/>
          <w:sz w:val="14"/>
          <w:szCs w:val="14"/>
        </w:rPr>
      </w:pPr>
    </w:p>
  </w:footnote>
  <w:footnote w:id="5">
    <w:p w14:paraId="4AD5006B" w14:textId="77777777" w:rsidR="00CE4A9B" w:rsidRPr="004208DF" w:rsidRDefault="00CE4A9B" w:rsidP="00CE4A9B">
      <w:pPr>
        <w:pStyle w:val="Textonotapie"/>
        <w:ind w:firstLine="709"/>
        <w:jc w:val="both"/>
        <w:rPr>
          <w:rFonts w:ascii="Verdana" w:hAnsi="Verdana" w:cs="Arial"/>
          <w:color w:val="000000"/>
          <w:sz w:val="14"/>
          <w:szCs w:val="14"/>
        </w:rPr>
      </w:pPr>
      <w:r w:rsidRPr="004208DF">
        <w:rPr>
          <w:rStyle w:val="Refdenotaalpie"/>
          <w:rFonts w:ascii="Verdana" w:hAnsi="Verdana"/>
          <w:sz w:val="14"/>
          <w:szCs w:val="14"/>
        </w:rPr>
        <w:footnoteRef/>
      </w:r>
      <w:r w:rsidRPr="004208DF">
        <w:rPr>
          <w:rFonts w:ascii="Verdana" w:hAnsi="Verdana"/>
          <w:sz w:val="14"/>
          <w:szCs w:val="14"/>
        </w:rPr>
        <w:t xml:space="preserve"> </w:t>
      </w:r>
      <w:r w:rsidRPr="004208DF">
        <w:rPr>
          <w:rFonts w:ascii="Verdana" w:hAnsi="Verdana" w:cs="Arial"/>
          <w:color w:val="000000"/>
          <w:sz w:val="14"/>
          <w:szCs w:val="14"/>
        </w:rPr>
        <w:t xml:space="preserve">Ver CONSEJO DE ESTADO, Sección Tercera, Subsección C. Sentencia del 26 de febrero de 2011. C.P. Jaime Orlando Santofimio. Rad. 36.408. </w:t>
      </w:r>
    </w:p>
    <w:p w14:paraId="687DD752" w14:textId="77777777" w:rsidR="00CE4A9B" w:rsidRPr="004208DF" w:rsidRDefault="00CE4A9B" w:rsidP="00CE4A9B">
      <w:pPr>
        <w:pStyle w:val="Textonotapie"/>
        <w:jc w:val="both"/>
        <w:rPr>
          <w:rFonts w:ascii="Verdana" w:hAnsi="Verdana"/>
          <w:sz w:val="14"/>
          <w:szCs w:val="14"/>
        </w:rPr>
      </w:pPr>
    </w:p>
  </w:footnote>
  <w:footnote w:id="6">
    <w:p w14:paraId="3EBA4572" w14:textId="77777777" w:rsidR="00CE4A9B" w:rsidRPr="004208DF" w:rsidRDefault="00CE4A9B" w:rsidP="00CE4A9B">
      <w:pPr>
        <w:pStyle w:val="Textonotapie"/>
        <w:ind w:firstLine="709"/>
        <w:jc w:val="both"/>
        <w:rPr>
          <w:rFonts w:ascii="Verdana" w:hAnsi="Verdana" w:cs="Arial"/>
          <w:color w:val="000000"/>
          <w:sz w:val="14"/>
          <w:szCs w:val="14"/>
        </w:rPr>
      </w:pPr>
      <w:r w:rsidRPr="004208DF">
        <w:rPr>
          <w:rStyle w:val="Refdenotaalpie"/>
          <w:rFonts w:ascii="Verdana" w:hAnsi="Verdana"/>
          <w:sz w:val="14"/>
          <w:szCs w:val="14"/>
        </w:rPr>
        <w:footnoteRef/>
      </w:r>
      <w:r w:rsidRPr="004208DF">
        <w:rPr>
          <w:rFonts w:ascii="Verdana" w:hAnsi="Verdana"/>
          <w:sz w:val="14"/>
          <w:szCs w:val="14"/>
        </w:rPr>
        <w:t xml:space="preserve"> </w:t>
      </w:r>
      <w:r w:rsidRPr="004208DF">
        <w:rPr>
          <w:rFonts w:ascii="Verdana" w:hAnsi="Verdana" w:cs="Arial"/>
          <w:color w:val="000000"/>
          <w:sz w:val="14"/>
          <w:szCs w:val="14"/>
        </w:rPr>
        <w:t xml:space="preserve">Ver CONSEJO DE ESTADO, Sección Tercera, Subsección C. Sentencia del 26 de febrero de 2014. C.P. Enrique Gil Botero. Rad. 25.804. </w:t>
      </w:r>
    </w:p>
    <w:p w14:paraId="0B070C65" w14:textId="77777777" w:rsidR="00CE4A9B" w:rsidRPr="004208DF" w:rsidRDefault="00CE4A9B" w:rsidP="00CE4A9B">
      <w:pPr>
        <w:pStyle w:val="Textonotapie"/>
        <w:jc w:val="both"/>
        <w:rPr>
          <w:rFonts w:ascii="Verdana" w:hAnsi="Verdana"/>
          <w:sz w:val="14"/>
          <w:szCs w:val="14"/>
        </w:rPr>
      </w:pPr>
    </w:p>
  </w:footnote>
  <w:footnote w:id="7">
    <w:p w14:paraId="28733A56" w14:textId="77777777" w:rsidR="00CE4A9B" w:rsidRPr="004208DF" w:rsidRDefault="00CE4A9B" w:rsidP="00CE4A9B">
      <w:pPr>
        <w:pStyle w:val="Textonotapie"/>
        <w:ind w:firstLine="709"/>
        <w:jc w:val="both"/>
        <w:rPr>
          <w:rFonts w:ascii="Verdana" w:hAnsi="Verdana" w:cs="Arial"/>
          <w:color w:val="000000"/>
          <w:sz w:val="14"/>
          <w:szCs w:val="14"/>
        </w:rPr>
      </w:pPr>
      <w:r w:rsidRPr="004208DF">
        <w:rPr>
          <w:rStyle w:val="Refdenotaalpie"/>
          <w:rFonts w:ascii="Verdana" w:hAnsi="Verdana"/>
          <w:sz w:val="14"/>
          <w:szCs w:val="14"/>
        </w:rPr>
        <w:footnoteRef/>
      </w:r>
      <w:r w:rsidRPr="004208DF">
        <w:rPr>
          <w:rFonts w:ascii="Verdana" w:hAnsi="Verdana"/>
          <w:sz w:val="14"/>
          <w:szCs w:val="14"/>
        </w:rPr>
        <w:t xml:space="preserve"> </w:t>
      </w:r>
      <w:r w:rsidRPr="004208DF">
        <w:rPr>
          <w:rFonts w:ascii="Verdana" w:hAnsi="Verdana" w:cs="Arial"/>
          <w:color w:val="000000"/>
          <w:sz w:val="14"/>
          <w:szCs w:val="14"/>
        </w:rPr>
        <w:t>CONSEJO DE ESTADO. Sala de Consulta y Servicio Civil. Concepto del 20 de mayo de 2010. Expediente: 1992. Consejero Ponente: Enrique José Arboleda Perdomo.</w:t>
      </w:r>
    </w:p>
    <w:p w14:paraId="6791BF32" w14:textId="77777777" w:rsidR="00CE4A9B" w:rsidRPr="004208DF" w:rsidRDefault="00CE4A9B" w:rsidP="00CE4A9B">
      <w:pPr>
        <w:pStyle w:val="Textonotapie"/>
        <w:jc w:val="both"/>
        <w:rPr>
          <w:rFonts w:ascii="Verdana" w:hAnsi="Verdana"/>
          <w:sz w:val="14"/>
          <w:szCs w:val="14"/>
        </w:rPr>
      </w:pPr>
    </w:p>
  </w:footnote>
  <w:footnote w:id="8">
    <w:p w14:paraId="5D60C5B7" w14:textId="77777777" w:rsidR="00CE4A9B" w:rsidRPr="004208DF" w:rsidRDefault="00CE4A9B" w:rsidP="00CE4A9B">
      <w:pPr>
        <w:spacing w:after="0"/>
        <w:ind w:right="49" w:firstLine="720"/>
        <w:jc w:val="both"/>
        <w:rPr>
          <w:rFonts w:ascii="Verdana" w:hAnsi="Verdana" w:cs="Arial"/>
          <w:color w:val="000000" w:themeColor="text1"/>
          <w:sz w:val="14"/>
          <w:szCs w:val="14"/>
        </w:rPr>
      </w:pPr>
      <w:r w:rsidRPr="004208DF">
        <w:rPr>
          <w:rStyle w:val="Refdenotaalpie"/>
          <w:rFonts w:ascii="Verdana" w:hAnsi="Verdana"/>
          <w:color w:val="000000" w:themeColor="text1"/>
          <w:sz w:val="14"/>
          <w:szCs w:val="14"/>
        </w:rPr>
        <w:footnoteRef/>
      </w:r>
      <w:r w:rsidRPr="004208DF">
        <w:rPr>
          <w:rFonts w:ascii="Verdana" w:hAnsi="Verdana" w:cs="Arial"/>
          <w:color w:val="000000" w:themeColor="text1"/>
          <w:sz w:val="14"/>
          <w:szCs w:val="14"/>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4208DF">
        <w:rPr>
          <w:rFonts w:ascii="Verdana" w:hAnsi="Verdana" w:cs="Arial"/>
          <w:color w:val="000000" w:themeColor="text1"/>
          <w:spacing w:val="-14"/>
          <w:sz w:val="14"/>
          <w:szCs w:val="14"/>
        </w:rPr>
        <w:t xml:space="preserve"> </w:t>
      </w:r>
      <w:r w:rsidRPr="004208DF">
        <w:rPr>
          <w:rFonts w:ascii="Verdana" w:hAnsi="Verdana" w:cs="Arial"/>
          <w:color w:val="000000" w:themeColor="text1"/>
          <w:sz w:val="14"/>
          <w:szCs w:val="14"/>
        </w:rPr>
        <w:t>utilizados.</w:t>
      </w:r>
    </w:p>
    <w:p w14:paraId="648DF48A" w14:textId="77777777" w:rsidR="00CE4A9B" w:rsidRPr="004208DF" w:rsidRDefault="00CE4A9B" w:rsidP="00CE4A9B">
      <w:pPr>
        <w:spacing w:after="0"/>
        <w:ind w:right="49" w:firstLine="720"/>
        <w:jc w:val="both"/>
        <w:rPr>
          <w:rFonts w:ascii="Verdana" w:hAnsi="Verdana" w:cs="Arial"/>
          <w:color w:val="000000" w:themeColor="text1"/>
          <w:sz w:val="14"/>
          <w:szCs w:val="14"/>
        </w:rPr>
      </w:pPr>
      <w:r w:rsidRPr="004208DF">
        <w:rPr>
          <w:rFonts w:ascii="Verdana" w:hAnsi="Verdana" w:cs="Arial"/>
          <w:color w:val="000000" w:themeColor="text1"/>
          <w:sz w:val="14"/>
          <w:szCs w:val="14"/>
        </w:rPr>
        <w:t>[…]</w:t>
      </w:r>
    </w:p>
    <w:p w14:paraId="34EB4406" w14:textId="77777777" w:rsidR="00CE4A9B" w:rsidRPr="004208DF" w:rsidRDefault="00CE4A9B" w:rsidP="00CE4A9B">
      <w:pPr>
        <w:ind w:right="49" w:firstLine="708"/>
        <w:jc w:val="both"/>
        <w:rPr>
          <w:rFonts w:ascii="Verdana" w:hAnsi="Verdana" w:cs="Arial"/>
          <w:color w:val="000000" w:themeColor="text1"/>
          <w:sz w:val="14"/>
          <w:szCs w:val="14"/>
        </w:rPr>
      </w:pPr>
      <w:r w:rsidRPr="004208DF">
        <w:rPr>
          <w:rFonts w:ascii="Verdana" w:hAnsi="Verdana" w:cs="Arial"/>
          <w:color w:val="000000" w:themeColor="text1"/>
          <w:sz w:val="14"/>
          <w:szCs w:val="14"/>
        </w:rPr>
        <w:t>Capacidad Residual o K de Contratación: Aptitud de un oferente para cumplir oportuna y cabalmente con el objeto de un contrato de obra, sin que sus otros compromisos contractuales afecten su habilidad de cumplir con el contrato que está en proceso de selección”.</w:t>
      </w:r>
    </w:p>
  </w:footnote>
  <w:footnote w:id="9">
    <w:p w14:paraId="409D779E" w14:textId="77777777" w:rsidR="00CE4A9B" w:rsidRPr="004208DF" w:rsidRDefault="00CE4A9B" w:rsidP="00CE4A9B">
      <w:pPr>
        <w:ind w:right="49" w:firstLine="720"/>
        <w:jc w:val="both"/>
        <w:rPr>
          <w:rFonts w:ascii="Verdana" w:hAnsi="Verdana" w:cs="Arial"/>
          <w:color w:val="000000" w:themeColor="text1"/>
          <w:sz w:val="14"/>
          <w:szCs w:val="14"/>
        </w:rPr>
      </w:pPr>
      <w:r w:rsidRPr="004208DF">
        <w:rPr>
          <w:rStyle w:val="Refdenotaalpie"/>
          <w:rFonts w:ascii="Verdana" w:hAnsi="Verdana"/>
          <w:color w:val="000000" w:themeColor="text1"/>
          <w:sz w:val="14"/>
          <w:szCs w:val="14"/>
        </w:rPr>
        <w:footnoteRef/>
      </w:r>
      <w:r w:rsidRPr="004208DF">
        <w:rPr>
          <w:rFonts w:ascii="Verdana" w:hAnsi="Verdana" w:cs="Arial"/>
          <w:color w:val="000000" w:themeColor="text1"/>
          <w:sz w:val="14"/>
          <w:szCs w:val="14"/>
        </w:rPr>
        <w:t xml:space="preserve"> Consejo de Estado. Sección Tercera. Providencia del 26 de junio de 2003. Exp. 13.354. M.P. María Elena Giraldo Gómez.</w:t>
      </w:r>
    </w:p>
    <w:p w14:paraId="7402AF47" w14:textId="77777777" w:rsidR="00CE4A9B" w:rsidRPr="004208DF" w:rsidRDefault="00CE4A9B" w:rsidP="00CE4A9B">
      <w:pPr>
        <w:pStyle w:val="Textonotapie"/>
        <w:ind w:right="49"/>
        <w:jc w:val="both"/>
        <w:rPr>
          <w:rFonts w:ascii="Verdana" w:hAnsi="Verdana" w:cs="Arial"/>
          <w:color w:val="000000" w:themeColor="text1"/>
          <w:sz w:val="14"/>
          <w:szCs w:val="14"/>
          <w:lang w:val="es-CO"/>
        </w:rPr>
      </w:pPr>
    </w:p>
  </w:footnote>
  <w:footnote w:id="10">
    <w:p w14:paraId="260B308E" w14:textId="77777777" w:rsidR="00CE4A9B" w:rsidRPr="004208DF" w:rsidRDefault="00CE4A9B" w:rsidP="00CE4A9B">
      <w:pPr>
        <w:pStyle w:val="Textonotapie"/>
        <w:ind w:firstLine="708"/>
        <w:jc w:val="both"/>
        <w:rPr>
          <w:rFonts w:ascii="Verdana" w:hAnsi="Verdana"/>
          <w:sz w:val="14"/>
          <w:szCs w:val="14"/>
        </w:rPr>
      </w:pPr>
      <w:r w:rsidRPr="004208DF">
        <w:rPr>
          <w:rStyle w:val="Refdenotaalpie"/>
          <w:rFonts w:ascii="Verdana" w:hAnsi="Verdana"/>
          <w:sz w:val="14"/>
          <w:szCs w:val="14"/>
        </w:rPr>
        <w:footnoteRef/>
      </w:r>
      <w:r w:rsidRPr="004208DF">
        <w:rPr>
          <w:rFonts w:ascii="Verdana" w:hAnsi="Verdana"/>
          <w:sz w:val="14"/>
          <w:szCs w:val="14"/>
        </w:rPr>
        <w:t xml:space="preserve"> Documentos Tipo Para Procesos De Mínima Cuantía De Infraestructura De Transporte - Versión 2: </w:t>
      </w:r>
      <w:hyperlink r:id="rId2" w:history="1">
        <w:r w:rsidRPr="004208DF">
          <w:rPr>
            <w:rStyle w:val="Hipervnculo"/>
            <w:rFonts w:ascii="Verdana" w:hAnsi="Verdana"/>
            <w:sz w:val="14"/>
            <w:szCs w:val="14"/>
          </w:rPr>
          <w:t>https://www.colombiacompra.gov.co/content/02-documentos-tipo-para-procesos-de-minima-cuantia-de-infraestructura-de-transporte-version</w:t>
        </w:r>
      </w:hyperlink>
      <w:r w:rsidRPr="004208DF">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23B3" w14:textId="77777777" w:rsidR="00F12C0F" w:rsidRDefault="00F12C0F">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9E55454" wp14:editId="4DE0F195">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9A0BD84" wp14:editId="3693495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2559505" w14:textId="77777777" w:rsidR="00F12C0F" w:rsidRDefault="00F12C0F">
    <w:pPr>
      <w:pStyle w:val="Encabezado"/>
    </w:pPr>
  </w:p>
  <w:p w14:paraId="1842B88F" w14:textId="77777777" w:rsidR="00F12C0F" w:rsidRDefault="00F12C0F" w:rsidP="004A305D">
    <w:pPr>
      <w:spacing w:after="0"/>
      <w:rPr>
        <w:rFonts w:ascii="Verdana" w:hAnsi="Verdana"/>
        <w:b/>
        <w:bCs/>
      </w:rPr>
    </w:pPr>
  </w:p>
  <w:p w14:paraId="52AF1453" w14:textId="77777777" w:rsidR="00F12C0F" w:rsidRPr="004A305D" w:rsidRDefault="00F12C0F" w:rsidP="00B01B1A">
    <w:pPr>
      <w:spacing w:after="0" w:line="120" w:lineRule="auto"/>
      <w:rPr>
        <w:rFonts w:ascii="Century Gothic" w:eastAsia="Geo" w:hAnsi="Century Gothic" w:cs="Geo"/>
        <w:sz w:val="16"/>
        <w:szCs w:val="16"/>
        <w:lang w:eastAsia="es-CO"/>
      </w:rPr>
    </w:pPr>
  </w:p>
  <w:p w14:paraId="21AB8DD8" w14:textId="77777777" w:rsidR="00F12C0F" w:rsidRDefault="00F12C0F"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D0F87976"/>
    <w:lvl w:ilvl="0" w:tplc="35C2BE24">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56FC5C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CC30760"/>
    <w:multiLevelType w:val="hybridMultilevel"/>
    <w:tmpl w:val="5C4095B8"/>
    <w:lvl w:ilvl="0" w:tplc="ADF2BC94">
      <w:start w:val="1"/>
      <w:numFmt w:val="decimal"/>
      <w:lvlText w:val="%1."/>
      <w:lvlJc w:val="left"/>
      <w:pPr>
        <w:ind w:left="2128" w:hanging="71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341274352">
    <w:abstractNumId w:val="0"/>
  </w:num>
  <w:num w:numId="2" w16cid:durableId="1492209491">
    <w:abstractNumId w:val="1"/>
  </w:num>
  <w:num w:numId="3" w16cid:durableId="679089576">
    <w:abstractNumId w:val="2"/>
  </w:num>
  <w:num w:numId="4" w16cid:durableId="412357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0F"/>
    <w:rsid w:val="00315F9E"/>
    <w:rsid w:val="00474DF4"/>
    <w:rsid w:val="004F471F"/>
    <w:rsid w:val="005C7E33"/>
    <w:rsid w:val="00790631"/>
    <w:rsid w:val="008E3A2C"/>
    <w:rsid w:val="00B366E6"/>
    <w:rsid w:val="00C24FFE"/>
    <w:rsid w:val="00CE4A9B"/>
    <w:rsid w:val="00D336C7"/>
    <w:rsid w:val="00D97ED6"/>
    <w:rsid w:val="00F12C0F"/>
    <w:rsid w:val="00F522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330F"/>
  <w15:chartTrackingRefBased/>
  <w15:docId w15:val="{C1F8CAEF-BD6F-462F-BD94-39946FA4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0F"/>
    <w:rPr>
      <w:kern w:val="0"/>
      <w14:ligatures w14:val="none"/>
    </w:rPr>
  </w:style>
  <w:style w:type="paragraph" w:styleId="Ttulo1">
    <w:name w:val="heading 1"/>
    <w:basedOn w:val="Normal"/>
    <w:next w:val="Normal"/>
    <w:link w:val="Ttulo1Car"/>
    <w:uiPriority w:val="9"/>
    <w:qFormat/>
    <w:rsid w:val="00F12C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12C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12C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12C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12C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12C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2C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2C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2C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C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12C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12C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12C0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12C0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12C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2C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2C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2C0F"/>
    <w:rPr>
      <w:rFonts w:eastAsiaTheme="majorEastAsia" w:cstheme="majorBidi"/>
      <w:color w:val="272727" w:themeColor="text1" w:themeTint="D8"/>
    </w:rPr>
  </w:style>
  <w:style w:type="paragraph" w:styleId="Ttulo">
    <w:name w:val="Title"/>
    <w:basedOn w:val="Normal"/>
    <w:next w:val="Normal"/>
    <w:link w:val="TtuloCar"/>
    <w:uiPriority w:val="10"/>
    <w:qFormat/>
    <w:rsid w:val="00F12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2C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2C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2C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2C0F"/>
    <w:pPr>
      <w:spacing w:before="160"/>
      <w:jc w:val="center"/>
    </w:pPr>
    <w:rPr>
      <w:i/>
      <w:iCs/>
      <w:color w:val="404040" w:themeColor="text1" w:themeTint="BF"/>
    </w:rPr>
  </w:style>
  <w:style w:type="character" w:customStyle="1" w:styleId="CitaCar">
    <w:name w:val="Cita Car"/>
    <w:basedOn w:val="Fuentedeprrafopredeter"/>
    <w:link w:val="Cita"/>
    <w:uiPriority w:val="29"/>
    <w:rsid w:val="00F12C0F"/>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12C0F"/>
    <w:pPr>
      <w:ind w:left="720"/>
      <w:contextualSpacing/>
    </w:pPr>
  </w:style>
  <w:style w:type="character" w:styleId="nfasisintenso">
    <w:name w:val="Intense Emphasis"/>
    <w:basedOn w:val="Fuentedeprrafopredeter"/>
    <w:uiPriority w:val="21"/>
    <w:qFormat/>
    <w:rsid w:val="00F12C0F"/>
    <w:rPr>
      <w:i/>
      <w:iCs/>
      <w:color w:val="2F5496" w:themeColor="accent1" w:themeShade="BF"/>
    </w:rPr>
  </w:style>
  <w:style w:type="paragraph" w:styleId="Citadestacada">
    <w:name w:val="Intense Quote"/>
    <w:basedOn w:val="Normal"/>
    <w:next w:val="Normal"/>
    <w:link w:val="CitadestacadaCar"/>
    <w:uiPriority w:val="30"/>
    <w:qFormat/>
    <w:rsid w:val="00F12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12C0F"/>
    <w:rPr>
      <w:i/>
      <w:iCs/>
      <w:color w:val="2F5496" w:themeColor="accent1" w:themeShade="BF"/>
    </w:rPr>
  </w:style>
  <w:style w:type="character" w:styleId="Referenciaintensa">
    <w:name w:val="Intense Reference"/>
    <w:basedOn w:val="Fuentedeprrafopredeter"/>
    <w:uiPriority w:val="32"/>
    <w:qFormat/>
    <w:rsid w:val="00F12C0F"/>
    <w:rPr>
      <w:b/>
      <w:bCs/>
      <w:smallCaps/>
      <w:color w:val="2F5496" w:themeColor="accent1" w:themeShade="BF"/>
      <w:spacing w:val="5"/>
    </w:rPr>
  </w:style>
  <w:style w:type="paragraph" w:styleId="Encabezado">
    <w:name w:val="header"/>
    <w:basedOn w:val="Normal"/>
    <w:link w:val="EncabezadoCar"/>
    <w:uiPriority w:val="99"/>
    <w:unhideWhenUsed/>
    <w:rsid w:val="00F12C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C0F"/>
    <w:rPr>
      <w:kern w:val="0"/>
      <w14:ligatures w14:val="none"/>
    </w:rPr>
  </w:style>
  <w:style w:type="paragraph" w:styleId="Piedepgina">
    <w:name w:val="footer"/>
    <w:basedOn w:val="Normal"/>
    <w:link w:val="PiedepginaCar"/>
    <w:uiPriority w:val="99"/>
    <w:unhideWhenUsed/>
    <w:rsid w:val="00F12C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2C0F"/>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12C0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12C0F"/>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12C0F"/>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12C0F"/>
    <w:rPr>
      <w:vertAlign w:val="superscript"/>
    </w:rPr>
  </w:style>
  <w:style w:type="character" w:customStyle="1" w:styleId="normaltextrun">
    <w:name w:val="normaltextrun"/>
    <w:basedOn w:val="Fuentedeprrafopredeter"/>
    <w:rsid w:val="00F12C0F"/>
  </w:style>
  <w:style w:type="table" w:styleId="Tablaconcuadrcula">
    <w:name w:val="Table Grid"/>
    <w:basedOn w:val="Tablanormal"/>
    <w:uiPriority w:val="39"/>
    <w:qFormat/>
    <w:rsid w:val="00F12C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2C0F"/>
    <w:rPr>
      <w:color w:val="0000FF"/>
      <w:u w:val="single"/>
    </w:rPr>
  </w:style>
  <w:style w:type="character" w:customStyle="1" w:styleId="eop">
    <w:name w:val="eop"/>
    <w:basedOn w:val="Fuentedeprrafopredeter"/>
    <w:rsid w:val="00F12C0F"/>
  </w:style>
  <w:style w:type="paragraph" w:customStyle="1" w:styleId="Appelnotedebasde">
    <w:name w:val="Appel note de bas de..."/>
    <w:basedOn w:val="Normal"/>
    <w:link w:val="Refdenotaalpie"/>
    <w:uiPriority w:val="99"/>
    <w:rsid w:val="00F12C0F"/>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1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ferheal@hotmail.com" TargetMode="External"/><Relationship Id="rId13" Type="http://schemas.openxmlformats.org/officeDocument/2006/relationships/hyperlink" Target="https://www.colombiacompra.gov.co/sites/cce_public/files/cce_documents/manual_de_la_modalidad_de_seleccion_de_minima_cuantia.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rvicios.consejodeestado.gov.co/WebRelatoria/FileReferenceServlet?corp=ce&amp;ext=doc&amp;file=2002457"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ios.consejodeestado.gov.co/WebRelatoria/FileReferenceServlet?corp=ce&amp;ext=doc&amp;file=2018845"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relatoria.colombiacompra.gov.co/busqueda/conceptos" TargetMode="External"/><Relationship Id="rId23" Type="http://schemas.openxmlformats.org/officeDocument/2006/relationships/customXml" Target="../customXml/item2.xml"/><Relationship Id="rId10" Type="http://schemas.openxmlformats.org/officeDocument/2006/relationships/hyperlink" Target="http://servicios.consejodeestado.gov.co/WebRelatoria/FileReferenceServlet?corp=ce&amp;ext=doc&amp;file=210920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ejodeestado.gov.co/documentos/boletines/PDF/1.927.pdf" TargetMode="External"/><Relationship Id="rId14" Type="http://schemas.openxmlformats.org/officeDocument/2006/relationships/hyperlink" Target="https://www.colombiacompra.gov.co/sites/cce_public/files/cce_documents/cce-eicp-gi-22_guia_capacidad_residual_de_contratacion_v1_29-09-2023_.pdf" TargetMode="Externa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02-documentos-tipo-para-procesos-de-minima-cuantia-de-infraestructura-de-transporte-version" TargetMode="External"/><Relationship Id="rId1" Type="http://schemas.openxmlformats.org/officeDocument/2006/relationships/hyperlink" Target="https://www.colombiacompra.gov.co/sites/cce_public/files/cce_circulares/circular_externa_unica_version_3_vf4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8F301-55DB-4F33-B1AB-B5BCE726370B}"/>
</file>

<file path=customXml/itemProps2.xml><?xml version="1.0" encoding="utf-8"?>
<ds:datastoreItem xmlns:ds="http://schemas.openxmlformats.org/officeDocument/2006/customXml" ds:itemID="{771519DC-3AB8-4CC2-A369-126C3B5BA541}"/>
</file>

<file path=customXml/itemProps3.xml><?xml version="1.0" encoding="utf-8"?>
<ds:datastoreItem xmlns:ds="http://schemas.openxmlformats.org/officeDocument/2006/customXml" ds:itemID="{A96EF54A-0FC6-4527-80C3-F961B31CB2CB}"/>
</file>

<file path=docProps/app.xml><?xml version="1.0" encoding="utf-8"?>
<Properties xmlns="http://schemas.openxmlformats.org/officeDocument/2006/extended-properties" xmlns:vt="http://schemas.openxmlformats.org/officeDocument/2006/docPropsVTypes">
  <Template>Normal</Template>
  <TotalTime>4</TotalTime>
  <Pages>16</Pages>
  <Words>5050</Words>
  <Characters>27778</Characters>
  <Application>Microsoft Office Word</Application>
  <DocSecurity>0</DocSecurity>
  <Lines>231</Lines>
  <Paragraphs>65</Paragraphs>
  <ScaleCrop>false</ScaleCrop>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Sergio Enrique Caballero Lesmes</cp:lastModifiedBy>
  <cp:revision>8</cp:revision>
  <dcterms:created xsi:type="dcterms:W3CDTF">2024-07-23T18:50:00Z</dcterms:created>
  <dcterms:modified xsi:type="dcterms:W3CDTF">2024-07-30T01:29:00Z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