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170E2" w14:textId="77777777" w:rsidR="00EA23FA" w:rsidRPr="00EA23FA" w:rsidRDefault="00EA23FA" w:rsidP="00EA23FA">
      <w:pPr>
        <w:spacing w:after="0"/>
        <w:jc w:val="both"/>
        <w:rPr>
          <w:rFonts w:ascii="Verdana" w:hAnsi="Verdana"/>
          <w:b/>
          <w:bCs/>
        </w:rPr>
      </w:pPr>
      <w:r w:rsidRPr="00EA23FA">
        <w:rPr>
          <w:rFonts w:ascii="Verdana" w:hAnsi="Verdana"/>
          <w:b/>
          <w:bCs/>
        </w:rPr>
        <w:t xml:space="preserve">CONTRATOS O CONVENIOS INTERADMINISTRATIVOS – Definición – Criterio orgánico </w:t>
      </w:r>
    </w:p>
    <w:p w14:paraId="495475BA" w14:textId="77777777" w:rsidR="00EA23FA" w:rsidRPr="00EA23FA" w:rsidRDefault="00EA23FA" w:rsidP="00EA23FA">
      <w:pPr>
        <w:spacing w:after="0"/>
        <w:jc w:val="both"/>
        <w:rPr>
          <w:rFonts w:ascii="Verdana" w:hAnsi="Verdana"/>
        </w:rPr>
      </w:pPr>
    </w:p>
    <w:p w14:paraId="4835426D" w14:textId="77777777" w:rsidR="00EA23FA" w:rsidRPr="00EA23FA" w:rsidRDefault="00EA23FA" w:rsidP="00EA23FA">
      <w:pPr>
        <w:spacing w:after="0"/>
        <w:jc w:val="both"/>
        <w:rPr>
          <w:rFonts w:ascii="Verdana" w:hAnsi="Verdana"/>
        </w:rPr>
      </w:pPr>
      <w:r w:rsidRPr="00EA23FA">
        <w:rPr>
          <w:rFonts w:ascii="Verdana" w:hAnsi="Verdana"/>
        </w:rPr>
        <w:t>La tipología del contrato o convenio interadministrativo fue creada en la Ley 80 de 1993, y el Decreto 1082 de 2015 la califica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3E4231FB" w14:textId="77777777" w:rsidR="00EA23FA" w:rsidRPr="00EA23FA" w:rsidRDefault="00EA23FA" w:rsidP="00EA23FA">
      <w:pPr>
        <w:spacing w:after="0"/>
        <w:jc w:val="both"/>
        <w:rPr>
          <w:rFonts w:ascii="Verdana" w:hAnsi="Verdana"/>
        </w:rPr>
      </w:pPr>
    </w:p>
    <w:p w14:paraId="0C84309F" w14:textId="77777777" w:rsidR="00EA23FA" w:rsidRPr="00EA23FA" w:rsidRDefault="00EA23FA" w:rsidP="00EA23FA">
      <w:pPr>
        <w:spacing w:after="0"/>
        <w:jc w:val="both"/>
        <w:rPr>
          <w:rFonts w:ascii="Verdana" w:hAnsi="Verdana"/>
        </w:rPr>
      </w:pPr>
      <w:r w:rsidRPr="00EA23FA">
        <w:rPr>
          <w:rFonts w:ascii="Verdana" w:hAnsi="Verdana"/>
        </w:rPr>
        <w:t>[…]</w:t>
      </w:r>
    </w:p>
    <w:p w14:paraId="4649ED59" w14:textId="77777777" w:rsidR="00EA23FA" w:rsidRPr="00EA23FA" w:rsidRDefault="00EA23FA" w:rsidP="00EA23FA">
      <w:pPr>
        <w:spacing w:after="0"/>
        <w:jc w:val="both"/>
        <w:rPr>
          <w:rFonts w:ascii="Verdana" w:hAnsi="Verdana"/>
        </w:rPr>
      </w:pPr>
    </w:p>
    <w:p w14:paraId="1D2341E8" w14:textId="77777777" w:rsidR="00EA23FA" w:rsidRDefault="00EA23FA" w:rsidP="00EA23FA">
      <w:pPr>
        <w:spacing w:after="0"/>
        <w:jc w:val="both"/>
        <w:rPr>
          <w:rFonts w:ascii="Verdana" w:hAnsi="Verdana"/>
        </w:rPr>
      </w:pPr>
      <w:r w:rsidRPr="00EA23FA">
        <w:rPr>
          <w:rFonts w:ascii="Verdana" w:hAnsi="Verdana"/>
        </w:rPr>
        <w:t>Un contrato o convenio interadministrativo no está determinado por la modalidad de selección utilizada para celebrarlo. La Ley 1150 de 2007 dispone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 Nótese que, en este caso, lo que cambia es la modalidad de selección y no la naturaleza de contrato interadministrativo.</w:t>
      </w:r>
    </w:p>
    <w:p w14:paraId="6DED3C7E" w14:textId="77777777" w:rsidR="00EA23FA" w:rsidRPr="00EA23FA" w:rsidRDefault="00EA23FA" w:rsidP="00EA23FA">
      <w:pPr>
        <w:spacing w:after="0"/>
        <w:jc w:val="both"/>
        <w:rPr>
          <w:rFonts w:ascii="Verdana" w:hAnsi="Verdana"/>
        </w:rPr>
      </w:pPr>
    </w:p>
    <w:p w14:paraId="27FC2EE9" w14:textId="77777777" w:rsidR="00EA23FA" w:rsidRPr="00EA23FA" w:rsidRDefault="00EA23FA" w:rsidP="00EA23FA">
      <w:pPr>
        <w:spacing w:after="0"/>
        <w:jc w:val="both"/>
        <w:rPr>
          <w:rFonts w:ascii="Verdana" w:hAnsi="Verdana"/>
          <w:b/>
          <w:bCs/>
        </w:rPr>
      </w:pPr>
      <w:r w:rsidRPr="00EA23FA">
        <w:rPr>
          <w:rFonts w:ascii="Verdana" w:hAnsi="Verdana"/>
          <w:b/>
          <w:bCs/>
        </w:rPr>
        <w:t xml:space="preserve">CONTRATOS Y CONVENIOS INTERADMINISTRATIVOS – Diferencias – Similitudes </w:t>
      </w:r>
    </w:p>
    <w:p w14:paraId="10A0662E" w14:textId="77777777" w:rsidR="00EA23FA" w:rsidRPr="00EA23FA" w:rsidRDefault="00EA23FA" w:rsidP="00EA23FA">
      <w:pPr>
        <w:spacing w:after="0"/>
        <w:jc w:val="both"/>
        <w:rPr>
          <w:rFonts w:ascii="Verdana" w:hAnsi="Verdana"/>
        </w:rPr>
      </w:pPr>
    </w:p>
    <w:p w14:paraId="747CBBC3" w14:textId="77777777" w:rsidR="00EA23FA" w:rsidRPr="00EA23FA" w:rsidRDefault="00EA23FA" w:rsidP="00EA23FA">
      <w:pPr>
        <w:spacing w:after="0"/>
        <w:jc w:val="both"/>
        <w:rPr>
          <w:rFonts w:ascii="Verdana" w:hAnsi="Verdana"/>
        </w:rPr>
      </w:pPr>
      <w:r w:rsidRPr="00EA23FA">
        <w:rPr>
          <w:rFonts w:ascii="Verdana" w:hAnsi="Verdana"/>
        </w:rPr>
        <w:t xml:space="preserve">[…] mientras que el contrato interadministrativo se caracteriza por su naturaleza onerosa, patrimonial y se conforma por intereses básicamente contrapuestos, los convenios interadministrativos, por su parte, tienen una finalidad asociativa perseguida por las partes suscriptoras cuyos intereses se encaminan en la misma dirección y persiguen los mismos objetivos, de conformidad con el ejercicio de las funciones y competencias que les son propias y propendiendo por la cooperación interinstitucional […] la distinción también se plantea en el ámbito del derecho privado con la referencia a los contratos de contraprestación y de colaboración; sin embargo, también se rigen por unos principios comunes, pues se forman por el consentimiento y de ambos se derivan el nacimiento de </w:t>
      </w:r>
      <w:r w:rsidRPr="00EA23FA">
        <w:rPr>
          <w:rFonts w:ascii="Verdana" w:hAnsi="Verdana"/>
        </w:rPr>
        <w:lastRenderedPageBreak/>
        <w:t xml:space="preserve">obligaciones para las partes. Por ello, “[…] Es evidente que el hecho de que las partes tengan intereses concordantes no implica en modo alguno que estas relaciones no quepan en el campo de la contratación […]”. Teniendo en cuenta lo anterior, no existe una definición legal que diferencie los conceptos de contrato y convenio. En tal sentido, teniendo en cuenta sus características comunes, las referencias realizadas por el legislador a estos términos deben asimilarse, salvo que de su contenido logre inferirse que se quiere otorgar un contenido en particular. </w:t>
      </w:r>
    </w:p>
    <w:p w14:paraId="73AB0BC6" w14:textId="77777777" w:rsidR="00351776" w:rsidRPr="00F76F07" w:rsidRDefault="00351776" w:rsidP="00EA23FA">
      <w:pPr>
        <w:spacing w:after="0"/>
        <w:jc w:val="both"/>
        <w:rPr>
          <w:rFonts w:ascii="Verdana" w:hAnsi="Verdana"/>
        </w:rPr>
      </w:pPr>
    </w:p>
    <w:p w14:paraId="03EF99AD" w14:textId="29375083" w:rsidR="00351776" w:rsidRDefault="00351776" w:rsidP="00351776">
      <w:pPr>
        <w:spacing w:after="0"/>
        <w:rPr>
          <w:rFonts w:ascii="Verdana" w:hAnsi="Verdana"/>
        </w:rPr>
      </w:pPr>
    </w:p>
    <w:p w14:paraId="2A732F17" w14:textId="77777777" w:rsidR="005F5C2D" w:rsidRDefault="005F5C2D" w:rsidP="00351776">
      <w:pPr>
        <w:spacing w:after="0"/>
        <w:rPr>
          <w:rFonts w:ascii="Verdana" w:hAnsi="Verdana"/>
        </w:rPr>
      </w:pPr>
    </w:p>
    <w:p w14:paraId="4A95F0E5" w14:textId="77777777" w:rsidR="005F5C2D" w:rsidRDefault="005F5C2D" w:rsidP="00351776">
      <w:pPr>
        <w:spacing w:after="0"/>
        <w:rPr>
          <w:rFonts w:ascii="Verdana" w:hAnsi="Verdana"/>
        </w:rPr>
      </w:pPr>
    </w:p>
    <w:p w14:paraId="4FA6DA9E" w14:textId="77777777" w:rsidR="005F5C2D" w:rsidRDefault="005F5C2D" w:rsidP="00351776">
      <w:pPr>
        <w:spacing w:after="0"/>
        <w:rPr>
          <w:rFonts w:ascii="Verdana" w:hAnsi="Verdana"/>
        </w:rPr>
      </w:pPr>
    </w:p>
    <w:p w14:paraId="43D399C3" w14:textId="77777777" w:rsidR="005F5C2D" w:rsidRDefault="005F5C2D" w:rsidP="00351776">
      <w:pPr>
        <w:spacing w:after="0"/>
        <w:rPr>
          <w:rFonts w:ascii="Verdana" w:hAnsi="Verdana"/>
        </w:rPr>
      </w:pPr>
    </w:p>
    <w:p w14:paraId="5719DC8E" w14:textId="77777777" w:rsidR="005F5C2D" w:rsidRDefault="005F5C2D" w:rsidP="00351776">
      <w:pPr>
        <w:spacing w:after="0"/>
        <w:rPr>
          <w:rFonts w:ascii="Verdana" w:hAnsi="Verdana"/>
        </w:rPr>
      </w:pPr>
    </w:p>
    <w:p w14:paraId="2919BE21" w14:textId="77777777" w:rsidR="005F5C2D" w:rsidRDefault="005F5C2D" w:rsidP="00351776">
      <w:pPr>
        <w:spacing w:after="0"/>
        <w:rPr>
          <w:rFonts w:ascii="Verdana" w:hAnsi="Verdana"/>
        </w:rPr>
      </w:pPr>
    </w:p>
    <w:p w14:paraId="1B1F5C43" w14:textId="77777777" w:rsidR="005F5C2D" w:rsidRDefault="005F5C2D" w:rsidP="00351776">
      <w:pPr>
        <w:spacing w:after="0"/>
        <w:rPr>
          <w:rFonts w:ascii="Verdana" w:hAnsi="Verdana"/>
        </w:rPr>
      </w:pPr>
    </w:p>
    <w:p w14:paraId="6B526E36" w14:textId="77777777" w:rsidR="005F5C2D" w:rsidRDefault="005F5C2D" w:rsidP="00351776">
      <w:pPr>
        <w:spacing w:after="0"/>
        <w:rPr>
          <w:rFonts w:ascii="Verdana" w:hAnsi="Verdana"/>
        </w:rPr>
      </w:pPr>
    </w:p>
    <w:p w14:paraId="449B3E1F" w14:textId="77777777" w:rsidR="005F5C2D" w:rsidRDefault="005F5C2D" w:rsidP="00351776">
      <w:pPr>
        <w:spacing w:after="0"/>
        <w:rPr>
          <w:rFonts w:ascii="Verdana" w:hAnsi="Verdana"/>
        </w:rPr>
      </w:pPr>
    </w:p>
    <w:p w14:paraId="4670E24C" w14:textId="77777777" w:rsidR="005F5C2D" w:rsidRDefault="005F5C2D" w:rsidP="00351776">
      <w:pPr>
        <w:spacing w:after="0"/>
        <w:rPr>
          <w:rFonts w:ascii="Verdana" w:hAnsi="Verdana"/>
        </w:rPr>
      </w:pPr>
    </w:p>
    <w:p w14:paraId="5058BE3B" w14:textId="77777777" w:rsidR="005F5C2D" w:rsidRDefault="005F5C2D" w:rsidP="00351776">
      <w:pPr>
        <w:spacing w:after="0"/>
        <w:rPr>
          <w:rFonts w:ascii="Verdana" w:hAnsi="Verdana"/>
        </w:rPr>
      </w:pPr>
    </w:p>
    <w:p w14:paraId="091768BD" w14:textId="77777777" w:rsidR="005F5C2D" w:rsidRDefault="005F5C2D" w:rsidP="00351776">
      <w:pPr>
        <w:spacing w:after="0"/>
        <w:rPr>
          <w:rFonts w:ascii="Verdana" w:hAnsi="Verdana"/>
        </w:rPr>
      </w:pPr>
    </w:p>
    <w:p w14:paraId="14985449" w14:textId="77777777" w:rsidR="005F5C2D" w:rsidRDefault="005F5C2D" w:rsidP="00351776">
      <w:pPr>
        <w:spacing w:after="0"/>
        <w:rPr>
          <w:rFonts w:ascii="Verdana" w:hAnsi="Verdana"/>
        </w:rPr>
      </w:pPr>
    </w:p>
    <w:p w14:paraId="424E76AC" w14:textId="77777777" w:rsidR="005F5C2D" w:rsidRDefault="005F5C2D" w:rsidP="00351776">
      <w:pPr>
        <w:spacing w:after="0"/>
        <w:rPr>
          <w:rFonts w:ascii="Verdana" w:hAnsi="Verdana"/>
        </w:rPr>
      </w:pPr>
    </w:p>
    <w:p w14:paraId="3958164F" w14:textId="77777777" w:rsidR="005F5C2D" w:rsidRDefault="005F5C2D" w:rsidP="00351776">
      <w:pPr>
        <w:spacing w:after="0"/>
        <w:rPr>
          <w:rFonts w:ascii="Verdana" w:hAnsi="Verdana"/>
        </w:rPr>
      </w:pPr>
    </w:p>
    <w:p w14:paraId="15BD7484" w14:textId="77777777" w:rsidR="005F5C2D" w:rsidRDefault="005F5C2D" w:rsidP="00351776">
      <w:pPr>
        <w:spacing w:after="0"/>
        <w:rPr>
          <w:rFonts w:ascii="Verdana" w:hAnsi="Verdana"/>
        </w:rPr>
      </w:pPr>
    </w:p>
    <w:p w14:paraId="44119653" w14:textId="77777777" w:rsidR="005F5C2D" w:rsidRDefault="005F5C2D" w:rsidP="00351776">
      <w:pPr>
        <w:spacing w:after="0"/>
        <w:rPr>
          <w:rFonts w:ascii="Verdana" w:hAnsi="Verdana"/>
        </w:rPr>
      </w:pPr>
    </w:p>
    <w:p w14:paraId="0A217FD5" w14:textId="77777777" w:rsidR="005F5C2D" w:rsidRDefault="005F5C2D" w:rsidP="00351776">
      <w:pPr>
        <w:spacing w:after="0"/>
        <w:rPr>
          <w:rFonts w:ascii="Verdana" w:hAnsi="Verdana"/>
        </w:rPr>
      </w:pPr>
    </w:p>
    <w:p w14:paraId="0803D5F6" w14:textId="77777777" w:rsidR="005F5C2D" w:rsidRDefault="005F5C2D" w:rsidP="00351776">
      <w:pPr>
        <w:spacing w:after="0"/>
        <w:rPr>
          <w:rFonts w:ascii="Verdana" w:hAnsi="Verdana"/>
        </w:rPr>
      </w:pPr>
    </w:p>
    <w:p w14:paraId="62057AD0" w14:textId="77777777" w:rsidR="005F5C2D" w:rsidRDefault="005F5C2D" w:rsidP="00351776">
      <w:pPr>
        <w:spacing w:after="0"/>
        <w:rPr>
          <w:rFonts w:ascii="Verdana" w:hAnsi="Verdana"/>
        </w:rPr>
      </w:pPr>
    </w:p>
    <w:p w14:paraId="0A875879" w14:textId="77777777" w:rsidR="005F5C2D" w:rsidRDefault="005F5C2D" w:rsidP="00351776">
      <w:pPr>
        <w:spacing w:after="0"/>
        <w:rPr>
          <w:rFonts w:ascii="Verdana" w:hAnsi="Verdana"/>
        </w:rPr>
      </w:pPr>
    </w:p>
    <w:p w14:paraId="610E2E4A" w14:textId="77777777" w:rsidR="005F5C2D" w:rsidRDefault="005F5C2D" w:rsidP="00351776">
      <w:pPr>
        <w:spacing w:after="0"/>
        <w:rPr>
          <w:rFonts w:ascii="Verdana" w:hAnsi="Verdana"/>
        </w:rPr>
      </w:pPr>
    </w:p>
    <w:p w14:paraId="7EEED4BD" w14:textId="77777777" w:rsidR="005F5C2D" w:rsidRDefault="005F5C2D" w:rsidP="00351776">
      <w:pPr>
        <w:spacing w:after="0"/>
        <w:rPr>
          <w:rFonts w:ascii="Verdana" w:hAnsi="Verdana"/>
        </w:rPr>
      </w:pPr>
    </w:p>
    <w:p w14:paraId="40D00BC7" w14:textId="77777777" w:rsidR="005F5C2D" w:rsidRDefault="005F5C2D" w:rsidP="00351776">
      <w:pPr>
        <w:spacing w:after="0"/>
        <w:rPr>
          <w:rFonts w:ascii="Verdana" w:hAnsi="Verdana"/>
        </w:rPr>
      </w:pPr>
    </w:p>
    <w:p w14:paraId="7EDCF12B" w14:textId="77777777" w:rsidR="005F5C2D" w:rsidRDefault="005F5C2D" w:rsidP="00351776">
      <w:pPr>
        <w:spacing w:after="0"/>
        <w:rPr>
          <w:rFonts w:ascii="Verdana" w:hAnsi="Verdana"/>
        </w:rPr>
      </w:pPr>
    </w:p>
    <w:p w14:paraId="5B01667D" w14:textId="77777777" w:rsidR="005F5C2D" w:rsidRDefault="005F5C2D" w:rsidP="00351776">
      <w:pPr>
        <w:spacing w:after="0"/>
        <w:rPr>
          <w:rFonts w:ascii="Verdana" w:hAnsi="Verdana"/>
        </w:rPr>
      </w:pPr>
    </w:p>
    <w:p w14:paraId="3E7BC43F" w14:textId="77777777" w:rsidR="005F5C2D" w:rsidRDefault="005F5C2D" w:rsidP="00351776">
      <w:pPr>
        <w:spacing w:after="0"/>
        <w:rPr>
          <w:rFonts w:ascii="Verdana" w:hAnsi="Verdana"/>
        </w:rPr>
      </w:pPr>
    </w:p>
    <w:p w14:paraId="6C1E773D" w14:textId="77777777" w:rsidR="005F5C2D" w:rsidRDefault="005F5C2D" w:rsidP="00351776">
      <w:pPr>
        <w:spacing w:after="0"/>
        <w:rPr>
          <w:rFonts w:ascii="Verdana" w:hAnsi="Verdana"/>
        </w:rPr>
      </w:pPr>
    </w:p>
    <w:p w14:paraId="477544A1" w14:textId="77777777" w:rsidR="005F5C2D" w:rsidRPr="00F76F07" w:rsidRDefault="005F5C2D" w:rsidP="00351776">
      <w:pPr>
        <w:spacing w:after="0"/>
        <w:rPr>
          <w:rFonts w:ascii="Verdana" w:hAnsi="Verdana"/>
        </w:rPr>
      </w:pPr>
    </w:p>
    <w:p w14:paraId="19E74729" w14:textId="15A4D3E7" w:rsidR="00351776" w:rsidRPr="00F76F07" w:rsidRDefault="00351776" w:rsidP="00351776">
      <w:pPr>
        <w:spacing w:after="0"/>
        <w:rPr>
          <w:rFonts w:ascii="Verdana" w:hAnsi="Verdana"/>
        </w:rPr>
      </w:pPr>
      <w:r w:rsidRPr="00F76F07">
        <w:rPr>
          <w:rFonts w:ascii="Verdana" w:hAnsi="Verdana"/>
        </w:rPr>
        <w:t>Bogotá D.C., [Día] [Mes.NombreCapitalizado] [Año]</w:t>
      </w:r>
    </w:p>
    <w:p w14:paraId="58A1A40B" w14:textId="7063FADC" w:rsidR="00351776" w:rsidRPr="00F76F07" w:rsidRDefault="00351776" w:rsidP="00351776">
      <w:pPr>
        <w:spacing w:after="0"/>
        <w:rPr>
          <w:rFonts w:ascii="Verdana" w:hAnsi="Verdana"/>
        </w:rPr>
      </w:pPr>
    </w:p>
    <w:p w14:paraId="4C1F2405" w14:textId="2485CB6B" w:rsidR="00351776" w:rsidRPr="00F76F07" w:rsidRDefault="005F5C2D" w:rsidP="00351776">
      <w:pPr>
        <w:spacing w:after="0"/>
        <w:rPr>
          <w:rFonts w:ascii="Verdana" w:hAnsi="Verdana"/>
        </w:rPr>
      </w:pPr>
      <w:r w:rsidRPr="005F5C2D">
        <w:rPr>
          <w:rFonts w:ascii="Verdana" w:hAnsi="Verdana"/>
          <w:noProof/>
        </w:rPr>
        <w:drawing>
          <wp:anchor distT="0" distB="0" distL="114300" distR="114300" simplePos="0" relativeHeight="251658240" behindDoc="1" locked="0" layoutInCell="1" allowOverlap="1" wp14:anchorId="57CE91BC" wp14:editId="08D27DD4">
            <wp:simplePos x="0" y="0"/>
            <wp:positionH relativeFrom="column">
              <wp:posOffset>2505934</wp:posOffset>
            </wp:positionH>
            <wp:positionV relativeFrom="paragraph">
              <wp:posOffset>44898</wp:posOffset>
            </wp:positionV>
            <wp:extent cx="3180497" cy="884517"/>
            <wp:effectExtent l="0" t="0" r="0" b="5080"/>
            <wp:wrapNone/>
            <wp:docPr id="14205164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516483" name=""/>
                    <pic:cNvPicPr/>
                  </pic:nvPicPr>
                  <pic:blipFill>
                    <a:blip r:embed="rId10">
                      <a:extLst>
                        <a:ext uri="{28A0092B-C50C-407E-A947-70E740481C1C}">
                          <a14:useLocalDpi xmlns:a14="http://schemas.microsoft.com/office/drawing/2010/main" val="0"/>
                        </a:ext>
                      </a:extLst>
                    </a:blip>
                    <a:stretch>
                      <a:fillRect/>
                    </a:stretch>
                  </pic:blipFill>
                  <pic:spPr>
                    <a:xfrm>
                      <a:off x="0" y="0"/>
                      <a:ext cx="3180497" cy="884517"/>
                    </a:xfrm>
                    <a:prstGeom prst="rect">
                      <a:avLst/>
                    </a:prstGeom>
                  </pic:spPr>
                </pic:pic>
              </a:graphicData>
            </a:graphic>
            <wp14:sizeRelH relativeFrom="page">
              <wp14:pctWidth>0</wp14:pctWidth>
            </wp14:sizeRelH>
            <wp14:sizeRelV relativeFrom="page">
              <wp14:pctHeight>0</wp14:pctHeight>
            </wp14:sizeRelV>
          </wp:anchor>
        </w:drawing>
      </w:r>
    </w:p>
    <w:p w14:paraId="61B5AE7A" w14:textId="68B5A697" w:rsidR="00351776" w:rsidRPr="00F76F07" w:rsidRDefault="00351776" w:rsidP="00351776">
      <w:pPr>
        <w:spacing w:after="0"/>
        <w:rPr>
          <w:rFonts w:ascii="Verdana" w:hAnsi="Verdana"/>
        </w:rPr>
      </w:pPr>
    </w:p>
    <w:p w14:paraId="11F37649" w14:textId="5BDAD00F" w:rsidR="00351776" w:rsidRPr="00F76F07" w:rsidRDefault="00351776" w:rsidP="00351776">
      <w:pPr>
        <w:spacing w:after="0"/>
        <w:rPr>
          <w:rFonts w:ascii="Verdana" w:hAnsi="Verdana"/>
        </w:rPr>
      </w:pPr>
    </w:p>
    <w:p w14:paraId="440D7A94" w14:textId="7B5C71C7" w:rsidR="00351776" w:rsidRPr="00F76F07" w:rsidRDefault="00351776" w:rsidP="00351776">
      <w:pPr>
        <w:contextualSpacing/>
        <w:jc w:val="both"/>
        <w:rPr>
          <w:rFonts w:ascii="Verdana" w:eastAsia="Calibri" w:hAnsi="Verdana" w:cs="Arial"/>
          <w:lang w:eastAsia="es-ES_tradnl"/>
        </w:rPr>
      </w:pPr>
      <w:r w:rsidRPr="00F76F07">
        <w:rPr>
          <w:rFonts w:ascii="Verdana" w:eastAsia="Calibri" w:hAnsi="Verdana" w:cs="Arial"/>
          <w:lang w:eastAsia="es-ES_tradnl"/>
        </w:rPr>
        <w:t>Señora</w:t>
      </w:r>
    </w:p>
    <w:p w14:paraId="5424521C" w14:textId="77777777" w:rsidR="00351776" w:rsidRPr="00F76F07" w:rsidRDefault="00351776" w:rsidP="00351776">
      <w:pPr>
        <w:contextualSpacing/>
        <w:jc w:val="both"/>
        <w:rPr>
          <w:rFonts w:ascii="Verdana" w:eastAsia="Calibri" w:hAnsi="Verdana" w:cs="Arial"/>
          <w:b/>
          <w:lang w:eastAsia="es-ES_tradnl"/>
        </w:rPr>
      </w:pPr>
      <w:r w:rsidRPr="00F76F07">
        <w:rPr>
          <w:rFonts w:ascii="Verdana" w:eastAsia="Calibri" w:hAnsi="Verdana" w:cs="Arial"/>
          <w:b/>
          <w:lang w:eastAsia="es-ES_tradnl"/>
        </w:rPr>
        <w:t>MARCELA MONTOYA PALACIO</w:t>
      </w:r>
    </w:p>
    <w:p w14:paraId="106EEDEB" w14:textId="77777777" w:rsidR="00351776" w:rsidRPr="00F76F07" w:rsidRDefault="00000000" w:rsidP="00351776">
      <w:pPr>
        <w:contextualSpacing/>
        <w:jc w:val="both"/>
        <w:rPr>
          <w:rFonts w:ascii="Verdana" w:hAnsi="Verdana"/>
        </w:rPr>
      </w:pPr>
      <w:hyperlink r:id="rId11" w:history="1">
        <w:r w:rsidR="00351776" w:rsidRPr="00F76F07">
          <w:rPr>
            <w:rStyle w:val="Hipervnculo"/>
            <w:rFonts w:ascii="Verdana" w:hAnsi="Verdana"/>
          </w:rPr>
          <w:t>marcejami_22@hotmail.com</w:t>
        </w:r>
      </w:hyperlink>
    </w:p>
    <w:p w14:paraId="0AA9F983" w14:textId="77777777" w:rsidR="00351776" w:rsidRPr="00F76F07" w:rsidRDefault="00351776" w:rsidP="00351776">
      <w:pPr>
        <w:contextualSpacing/>
        <w:jc w:val="both"/>
        <w:rPr>
          <w:rFonts w:ascii="Verdana" w:eastAsia="Geomanist Light" w:hAnsi="Verdana" w:cs="Arial"/>
          <w:color w:val="000000" w:themeColor="text1"/>
          <w:lang w:val="es-MX"/>
        </w:rPr>
      </w:pPr>
      <w:r w:rsidRPr="00F76F07">
        <w:rPr>
          <w:rFonts w:ascii="Verdana" w:eastAsia="Geomanist Light" w:hAnsi="Verdana" w:cs="Arial"/>
          <w:color w:val="000000" w:themeColor="text1"/>
          <w:lang w:val="es-MX"/>
        </w:rPr>
        <w:t>Medellin – Antioquia</w:t>
      </w:r>
    </w:p>
    <w:p w14:paraId="35D5BF5A" w14:textId="77777777" w:rsidR="00351776" w:rsidRPr="00F76F07" w:rsidRDefault="00351776" w:rsidP="00351776">
      <w:pPr>
        <w:contextualSpacing/>
        <w:jc w:val="both"/>
        <w:rPr>
          <w:rFonts w:ascii="Verdana" w:eastAsia="Geomanist Light" w:hAnsi="Verdana" w:cs="Arial"/>
          <w:color w:val="000000" w:themeColor="text1"/>
          <w:lang w:val="es-MX"/>
        </w:rPr>
      </w:pPr>
    </w:p>
    <w:p w14:paraId="641AB257" w14:textId="77777777" w:rsidR="00351776" w:rsidRPr="00F76F07" w:rsidRDefault="00351776" w:rsidP="00351776">
      <w:pPr>
        <w:contextualSpacing/>
        <w:jc w:val="both"/>
        <w:rPr>
          <w:rFonts w:ascii="Verdana" w:eastAsia="Geomanist Light" w:hAnsi="Verdana" w:cs="Arial"/>
          <w:color w:val="000000" w:themeColor="text1"/>
          <w:lang w:val="es-MX"/>
        </w:rPr>
      </w:pPr>
    </w:p>
    <w:p w14:paraId="6F389ADB" w14:textId="1192450A" w:rsidR="00351776" w:rsidRPr="00F76F07" w:rsidRDefault="00351776" w:rsidP="00351776">
      <w:pPr>
        <w:ind w:left="2694"/>
        <w:contextualSpacing/>
        <w:jc w:val="both"/>
        <w:rPr>
          <w:rFonts w:ascii="Verdana" w:eastAsia="Calibri" w:hAnsi="Verdana" w:cs="Arial"/>
          <w:bCs/>
          <w:lang w:eastAsia="es-ES_tradnl"/>
        </w:rPr>
      </w:pPr>
      <w:r w:rsidRPr="00F76F07">
        <w:rPr>
          <w:rFonts w:ascii="Verdana" w:eastAsia="Calibri" w:hAnsi="Verdana" w:cs="Arial"/>
          <w:b/>
          <w:bCs/>
          <w:lang w:val="es-ES" w:eastAsia="es-ES"/>
        </w:rPr>
        <w:t>Concepto C- 18</w:t>
      </w:r>
      <w:r w:rsidR="00683AAE">
        <w:rPr>
          <w:rFonts w:ascii="Verdana" w:eastAsia="Calibri" w:hAnsi="Verdana" w:cs="Arial"/>
          <w:b/>
          <w:bCs/>
          <w:lang w:val="es-ES" w:eastAsia="es-ES"/>
        </w:rPr>
        <w:t>3</w:t>
      </w:r>
      <w:r w:rsidRPr="00F76F07">
        <w:rPr>
          <w:rFonts w:ascii="Verdana" w:eastAsia="Calibri" w:hAnsi="Verdana" w:cs="Arial"/>
          <w:b/>
          <w:bCs/>
          <w:lang w:val="es-ES" w:eastAsia="es-ES"/>
        </w:rPr>
        <w:t xml:space="preserve"> de 2024</w:t>
      </w:r>
    </w:p>
    <w:p w14:paraId="6999A8EF" w14:textId="77777777" w:rsidR="00351776" w:rsidRPr="00F76F07" w:rsidRDefault="00351776" w:rsidP="00351776">
      <w:pPr>
        <w:contextualSpacing/>
        <w:jc w:val="both"/>
        <w:rPr>
          <w:rFonts w:ascii="Verdana" w:eastAsia="Calibri" w:hAnsi="Verdana" w:cs="Arial"/>
          <w:lang w:val="es-ES_tradnl" w:eastAsia="es-ES_tradnl"/>
        </w:rPr>
      </w:pPr>
    </w:p>
    <w:p w14:paraId="46F2CFE3" w14:textId="77777777" w:rsidR="00351776" w:rsidRPr="00F76F07" w:rsidRDefault="00351776" w:rsidP="00351776">
      <w:pPr>
        <w:contextualSpacing/>
        <w:jc w:val="both"/>
        <w:rPr>
          <w:rFonts w:ascii="Verdana" w:eastAsia="Calibri" w:hAnsi="Verdana"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A23FA" w:rsidRPr="00F76F07" w14:paraId="65A58B44" w14:textId="77777777" w:rsidTr="008B0AE8">
        <w:tc>
          <w:tcPr>
            <w:tcW w:w="2689" w:type="dxa"/>
          </w:tcPr>
          <w:p w14:paraId="6C1E02FD" w14:textId="77777777" w:rsidR="00EA23FA" w:rsidRPr="00F76F07" w:rsidRDefault="00EA23FA" w:rsidP="00EA23FA">
            <w:pPr>
              <w:contextualSpacing/>
              <w:jc w:val="both"/>
              <w:rPr>
                <w:rFonts w:ascii="Verdana" w:eastAsia="Calibri" w:hAnsi="Verdana" w:cs="Arial"/>
                <w:lang w:val="es-ES_tradnl" w:eastAsia="es-ES_tradnl"/>
              </w:rPr>
            </w:pPr>
            <w:r w:rsidRPr="00F76F07">
              <w:rPr>
                <w:rFonts w:ascii="Verdana" w:eastAsia="Calibri" w:hAnsi="Verdana" w:cs="Arial"/>
                <w:b/>
                <w:lang w:val="es-ES_tradnl" w:eastAsia="es-ES_tradnl"/>
              </w:rPr>
              <w:t>Temas:</w:t>
            </w:r>
            <w:r w:rsidRPr="00F76F07">
              <w:rPr>
                <w:rFonts w:ascii="Verdana" w:eastAsia="Calibri" w:hAnsi="Verdana" w:cs="Arial"/>
                <w:lang w:val="es-ES_tradnl" w:eastAsia="es-ES_tradnl"/>
              </w:rPr>
              <w:t xml:space="preserve">                                      </w:t>
            </w:r>
          </w:p>
        </w:tc>
        <w:tc>
          <w:tcPr>
            <w:tcW w:w="6237" w:type="dxa"/>
          </w:tcPr>
          <w:p w14:paraId="54E7A634" w14:textId="38E95AC0" w:rsidR="00EA23FA" w:rsidRDefault="00EA23FA" w:rsidP="00EA23FA">
            <w:pPr>
              <w:spacing w:after="120"/>
              <w:contextualSpacing/>
              <w:jc w:val="both"/>
              <w:rPr>
                <w:rFonts w:ascii="Century Gothic" w:eastAsia="Calibri" w:hAnsi="Century Gothic"/>
                <w:bCs/>
                <w:lang w:val="es-ES_tradnl" w:eastAsia="es-ES_tradnl"/>
              </w:rPr>
            </w:pPr>
            <w:r w:rsidRPr="00560F9A">
              <w:rPr>
                <w:rFonts w:ascii="Century Gothic" w:eastAsia="Calibri" w:hAnsi="Century Gothic"/>
                <w:color w:val="000000" w:themeColor="text1"/>
              </w:rPr>
              <w:t xml:space="preserve">CONTRATOS Y </w:t>
            </w:r>
            <w:r w:rsidRPr="00560F9A">
              <w:rPr>
                <w:rFonts w:ascii="Century Gothic" w:hAnsi="Century Gothic"/>
                <w:color w:val="000000" w:themeColor="text1"/>
              </w:rPr>
              <w:t>CONVENIOS INTERADMINISTRATIVOS –</w:t>
            </w:r>
            <w:r w:rsidRPr="00560F9A">
              <w:rPr>
                <w:rFonts w:ascii="Century Gothic" w:hAnsi="Century Gothic"/>
                <w:bCs/>
              </w:rPr>
              <w:t xml:space="preserve"> Noción – </w:t>
            </w:r>
            <w:r w:rsidR="00E347E8">
              <w:rPr>
                <w:rFonts w:ascii="Century Gothic" w:hAnsi="Century Gothic"/>
                <w:bCs/>
              </w:rPr>
              <w:t xml:space="preserve">Elementos - </w:t>
            </w:r>
            <w:r w:rsidRPr="00560F9A">
              <w:rPr>
                <w:rFonts w:ascii="Century Gothic" w:hAnsi="Century Gothic"/>
                <w:bCs/>
              </w:rPr>
              <w:t xml:space="preserve">Criterio orgánico </w:t>
            </w:r>
            <w:r>
              <w:rPr>
                <w:rFonts w:ascii="Century Gothic" w:hAnsi="Century Gothic"/>
                <w:bCs/>
              </w:rPr>
              <w:t xml:space="preserve">/ </w:t>
            </w:r>
            <w:r>
              <w:rPr>
                <w:rFonts w:ascii="Century Gothic" w:eastAsia="Calibri" w:hAnsi="Century Gothic"/>
                <w:lang w:val="es-ES_tradnl"/>
              </w:rPr>
              <w:t xml:space="preserve">/ </w:t>
            </w:r>
            <w:r w:rsidRPr="00560F9A">
              <w:rPr>
                <w:rFonts w:ascii="Century Gothic" w:hAnsi="Century Gothic"/>
                <w:color w:val="000000" w:themeColor="text1"/>
              </w:rPr>
              <w:t xml:space="preserve">CONTRATOS Y CONVENIOS INTERADMINISTRATIVOS </w:t>
            </w:r>
            <w:r w:rsidRPr="00560F9A">
              <w:rPr>
                <w:rFonts w:ascii="Century Gothic" w:hAnsi="Century Gothic"/>
                <w:bCs/>
              </w:rPr>
              <w:t>–</w:t>
            </w:r>
            <w:r>
              <w:rPr>
                <w:rFonts w:ascii="Century Gothic" w:hAnsi="Century Gothic"/>
                <w:bCs/>
              </w:rPr>
              <w:t xml:space="preserve"> </w:t>
            </w:r>
            <w:r w:rsidRPr="00560F9A">
              <w:rPr>
                <w:rFonts w:ascii="Century Gothic" w:eastAsia="Calibri" w:hAnsi="Century Gothic"/>
                <w:bCs/>
                <w:lang w:val="es-ES_tradnl" w:eastAsia="es-ES_tradnl"/>
              </w:rPr>
              <w:t>Diferencias – Similitudes</w:t>
            </w:r>
          </w:p>
          <w:p w14:paraId="14DFB814" w14:textId="70F0656E" w:rsidR="00EA23FA" w:rsidRPr="00F76F07" w:rsidRDefault="00EA23FA" w:rsidP="00EA23FA">
            <w:pPr>
              <w:spacing w:after="120"/>
              <w:contextualSpacing/>
              <w:jc w:val="both"/>
              <w:rPr>
                <w:rFonts w:ascii="Verdana" w:eastAsia="Calibri" w:hAnsi="Verdana" w:cs="Arial"/>
                <w:bCs/>
                <w:sz w:val="12"/>
                <w:szCs w:val="12"/>
                <w:lang w:val="es-ES_tradnl" w:eastAsia="es-ES_tradnl"/>
              </w:rPr>
            </w:pPr>
          </w:p>
        </w:tc>
      </w:tr>
      <w:tr w:rsidR="00EA23FA" w:rsidRPr="00F76F07" w14:paraId="007D92BC" w14:textId="77777777" w:rsidTr="008B0AE8">
        <w:trPr>
          <w:trHeight w:val="227"/>
        </w:trPr>
        <w:tc>
          <w:tcPr>
            <w:tcW w:w="2689" w:type="dxa"/>
          </w:tcPr>
          <w:p w14:paraId="1ADC8BCB" w14:textId="77777777" w:rsidR="00EA23FA" w:rsidRPr="00F76F07" w:rsidRDefault="00EA23FA" w:rsidP="00EA23FA">
            <w:pPr>
              <w:contextualSpacing/>
              <w:jc w:val="both"/>
              <w:rPr>
                <w:rFonts w:ascii="Verdana" w:eastAsia="Calibri" w:hAnsi="Verdana" w:cs="Arial"/>
                <w:b/>
                <w:lang w:val="es-ES_tradnl" w:eastAsia="es-ES_tradnl"/>
              </w:rPr>
            </w:pPr>
            <w:r w:rsidRPr="00F76F07">
              <w:rPr>
                <w:rFonts w:ascii="Verdana" w:eastAsia="Calibri" w:hAnsi="Verdana" w:cs="Arial"/>
                <w:b/>
                <w:lang w:val="es-ES_tradnl" w:eastAsia="es-ES_tradnl"/>
              </w:rPr>
              <w:t>Radicación:</w:t>
            </w:r>
            <w:r w:rsidRPr="00F76F07">
              <w:rPr>
                <w:rFonts w:ascii="Verdana" w:eastAsia="Calibri" w:hAnsi="Verdana" w:cs="Arial"/>
                <w:lang w:val="es-ES_tradnl" w:eastAsia="es-ES_tradnl"/>
              </w:rPr>
              <w:t xml:space="preserve">                             </w:t>
            </w:r>
          </w:p>
        </w:tc>
        <w:tc>
          <w:tcPr>
            <w:tcW w:w="6237" w:type="dxa"/>
          </w:tcPr>
          <w:p w14:paraId="19EBA74A" w14:textId="77777777" w:rsidR="00EA23FA" w:rsidRPr="00F76F07" w:rsidRDefault="00EA23FA" w:rsidP="00EA23FA">
            <w:pPr>
              <w:contextualSpacing/>
              <w:jc w:val="both"/>
              <w:rPr>
                <w:rFonts w:ascii="Verdana" w:eastAsia="Calibri" w:hAnsi="Verdana" w:cs="Arial"/>
                <w:lang w:val="es-ES_tradnl" w:eastAsia="es-ES_tradnl"/>
              </w:rPr>
            </w:pPr>
            <w:r w:rsidRPr="00F76F07">
              <w:rPr>
                <w:rFonts w:ascii="Verdana" w:eastAsia="Calibri" w:hAnsi="Verdana" w:cs="Arial"/>
                <w:lang w:val="es-ES_tradnl" w:eastAsia="es-ES_tradnl"/>
              </w:rPr>
              <w:t>Respuesta a la consulta P20240617006132</w:t>
            </w:r>
          </w:p>
        </w:tc>
      </w:tr>
    </w:tbl>
    <w:p w14:paraId="6C72E965" w14:textId="77777777" w:rsidR="00351776" w:rsidRPr="00F76F07" w:rsidRDefault="00351776" w:rsidP="00351776">
      <w:pPr>
        <w:contextualSpacing/>
        <w:jc w:val="both"/>
        <w:rPr>
          <w:rFonts w:ascii="Verdana" w:eastAsia="Calibri" w:hAnsi="Verdana" w:cs="Arial"/>
          <w:lang w:val="es-ES_tradnl" w:eastAsia="es-ES_tradnl"/>
        </w:rPr>
      </w:pPr>
    </w:p>
    <w:p w14:paraId="0F70C341" w14:textId="77777777" w:rsidR="00351776" w:rsidRPr="00F76F07" w:rsidRDefault="00351776" w:rsidP="00351776">
      <w:pPr>
        <w:contextualSpacing/>
        <w:jc w:val="both"/>
        <w:rPr>
          <w:rFonts w:ascii="Verdana" w:eastAsia="Calibri" w:hAnsi="Verdana" w:cs="Arial"/>
          <w:lang w:val="es-ES_tradnl" w:eastAsia="es-ES_tradnl"/>
        </w:rPr>
      </w:pPr>
    </w:p>
    <w:p w14:paraId="73FF4158" w14:textId="77777777" w:rsidR="00351776" w:rsidRPr="00F76F07" w:rsidRDefault="00351776" w:rsidP="00351776">
      <w:pPr>
        <w:contextualSpacing/>
        <w:jc w:val="both"/>
        <w:rPr>
          <w:rFonts w:ascii="Verdana" w:eastAsia="Calibri" w:hAnsi="Verdana" w:cs="Arial"/>
          <w:lang w:val="es-ES" w:eastAsia="es-ES"/>
        </w:rPr>
      </w:pPr>
      <w:r w:rsidRPr="00F76F07">
        <w:rPr>
          <w:rFonts w:ascii="Verdana" w:eastAsia="Calibri" w:hAnsi="Verdana" w:cs="Arial"/>
          <w:lang w:val="es-ES" w:eastAsia="es-ES"/>
        </w:rPr>
        <w:t xml:space="preserve">Respetada señora </w:t>
      </w:r>
      <w:r w:rsidRPr="00F76F07">
        <w:rPr>
          <w:rFonts w:ascii="Verdana" w:eastAsia="Calibri" w:hAnsi="Verdana" w:cs="Arial"/>
          <w:bCs/>
          <w:lang w:eastAsia="es-ES_tradnl"/>
        </w:rPr>
        <w:t>Marcela</w:t>
      </w:r>
      <w:r w:rsidRPr="00F76F07">
        <w:rPr>
          <w:rFonts w:ascii="Verdana" w:eastAsia="Calibri" w:hAnsi="Verdana" w:cs="Arial"/>
          <w:lang w:val="es-ES" w:eastAsia="es-ES"/>
        </w:rPr>
        <w:t xml:space="preserve">: </w:t>
      </w:r>
    </w:p>
    <w:p w14:paraId="227AB7AB" w14:textId="77777777" w:rsidR="00351776" w:rsidRPr="00F76F07" w:rsidRDefault="00351776" w:rsidP="00351776">
      <w:pPr>
        <w:spacing w:line="276" w:lineRule="auto"/>
        <w:contextualSpacing/>
        <w:jc w:val="both"/>
        <w:rPr>
          <w:rFonts w:ascii="Verdana" w:eastAsia="Calibri" w:hAnsi="Verdana" w:cs="Arial"/>
          <w:szCs w:val="24"/>
          <w:lang w:val="es-ES_tradnl" w:eastAsia="es-ES_tradnl"/>
        </w:rPr>
      </w:pPr>
    </w:p>
    <w:p w14:paraId="58E4E7C6" w14:textId="77777777" w:rsidR="00351776" w:rsidRPr="00F76F07" w:rsidRDefault="00351776" w:rsidP="00351776">
      <w:pPr>
        <w:spacing w:after="0" w:line="276" w:lineRule="auto"/>
        <w:jc w:val="both"/>
        <w:rPr>
          <w:rFonts w:ascii="Verdana" w:eastAsia="Calibri" w:hAnsi="Verdana" w:cs="Arial"/>
          <w:color w:val="000000" w:themeColor="text1"/>
          <w:lang w:val="es-ES_tradnl"/>
        </w:rPr>
      </w:pPr>
      <w:r w:rsidRPr="00F76F07">
        <w:rPr>
          <w:rFonts w:ascii="Verdana" w:eastAsia="Calibri" w:hAnsi="Verdana" w:cs="Arial"/>
          <w:color w:val="000000" w:themeColor="text1"/>
          <w:lang w:val="es-ES_tradnl"/>
        </w:rPr>
        <w:t>En ejercicio de la competencia otorgada por el numeral 8° del artículo 11 y el numeral 5° del artículo 3 del Decreto Ley 4170 de 2011</w:t>
      </w:r>
      <w:bookmarkStart w:id="0" w:name="_Hlk99120496"/>
      <w:r w:rsidRPr="00F76F07">
        <w:rPr>
          <w:rFonts w:ascii="Verdana" w:eastAsia="Arial MT" w:hAnsi="Verdana" w:cs="Arial MT"/>
          <w:lang w:val="es-ES"/>
        </w:rPr>
        <w:t xml:space="preserve">, </w:t>
      </w:r>
      <w:bookmarkEnd w:id="0"/>
      <w:r w:rsidRPr="00F76F07">
        <w:rPr>
          <w:rFonts w:ascii="Verdana" w:eastAsia="Calibri" w:hAnsi="Verdana" w:cs="Arial"/>
          <w:color w:val="000000" w:themeColor="text1"/>
          <w:lang w:val="es-ES_tradnl"/>
        </w:rPr>
        <w:t xml:space="preserve">la Agencia Nacional de Contratación Pública – Colombia Compra Eficiente </w:t>
      </w:r>
      <w:r w:rsidR="00F76F07" w:rsidRPr="00F76F07">
        <w:rPr>
          <w:rFonts w:ascii="Verdana" w:eastAsia="Calibri" w:hAnsi="Verdana" w:cs="Arial"/>
          <w:color w:val="000000" w:themeColor="text1"/>
          <w:lang w:val="es-ES_tradnl"/>
        </w:rPr>
        <w:t xml:space="preserve">– </w:t>
      </w:r>
      <w:r w:rsidRPr="00F76F07">
        <w:rPr>
          <w:rFonts w:ascii="Verdana" w:eastAsia="Calibri" w:hAnsi="Verdana" w:cs="Arial"/>
          <w:color w:val="000000" w:themeColor="text1"/>
          <w:lang w:val="es-ES_tradnl"/>
        </w:rPr>
        <w:t>responde</w:t>
      </w:r>
      <w:r w:rsidR="00F76F07" w:rsidRPr="00F76F07">
        <w:rPr>
          <w:rFonts w:ascii="Verdana" w:eastAsia="Calibri" w:hAnsi="Verdana" w:cs="Arial"/>
          <w:color w:val="000000" w:themeColor="text1"/>
          <w:lang w:val="es-ES_tradnl"/>
        </w:rPr>
        <w:t xml:space="preserve"> </w:t>
      </w:r>
      <w:r w:rsidRPr="00F76F07">
        <w:rPr>
          <w:rFonts w:ascii="Verdana" w:eastAsia="Calibri" w:hAnsi="Verdana" w:cs="Arial"/>
          <w:color w:val="000000" w:themeColor="text1"/>
          <w:lang w:val="es-ES_tradnl"/>
        </w:rPr>
        <w:t xml:space="preserve"> la consulta radicada el 17 de junio de 2024, en la cual usted solicita:</w:t>
      </w:r>
    </w:p>
    <w:p w14:paraId="609C69CC" w14:textId="77777777" w:rsidR="00351776" w:rsidRPr="00F76F07" w:rsidRDefault="00351776" w:rsidP="00351776">
      <w:pPr>
        <w:spacing w:after="0" w:line="276" w:lineRule="auto"/>
        <w:jc w:val="both"/>
        <w:rPr>
          <w:rFonts w:ascii="Verdana" w:eastAsia="Calibri" w:hAnsi="Verdana" w:cs="Arial"/>
          <w:color w:val="000000" w:themeColor="text1"/>
          <w:lang w:val="es-ES_tradnl"/>
        </w:rPr>
      </w:pPr>
    </w:p>
    <w:p w14:paraId="6B93B343" w14:textId="77777777" w:rsidR="00351776" w:rsidRPr="00F76F07" w:rsidRDefault="00351776" w:rsidP="00351776">
      <w:pPr>
        <w:spacing w:after="120" w:line="240" w:lineRule="auto"/>
        <w:ind w:left="709" w:right="709"/>
        <w:jc w:val="both"/>
        <w:rPr>
          <w:rFonts w:ascii="Verdana" w:eastAsia="Calibri" w:hAnsi="Verdana" w:cs="Arial"/>
          <w:color w:val="000000" w:themeColor="text1"/>
          <w:sz w:val="21"/>
          <w:szCs w:val="21"/>
          <w:lang w:val="es-ES"/>
        </w:rPr>
      </w:pPr>
      <w:r w:rsidRPr="00F76F07">
        <w:rPr>
          <w:rFonts w:ascii="Verdana" w:eastAsia="Calibri" w:hAnsi="Verdana" w:cs="Arial"/>
          <w:color w:val="000000" w:themeColor="text1"/>
          <w:sz w:val="21"/>
          <w:szCs w:val="21"/>
          <w:lang w:val="es-ES"/>
        </w:rPr>
        <w:t>“Solicito que por favor me orienten respecto a los contratos interadministrativos por administración delegada de recursos que firmen las entidades territoriales del orden departamental, que tengan como fin último la construcción de edificaciones educativas, con sociedades de economía mixta, entidades sin animo de lucro y empresas industriales y comerciales del estado, teniendo en cuenta lo contemplado en el artículo 92 de la Ley 1474 de 2011.”.</w:t>
      </w:r>
    </w:p>
    <w:p w14:paraId="1C5110B8" w14:textId="77777777" w:rsidR="00F76F07" w:rsidRPr="00F76F07" w:rsidRDefault="00F76F07" w:rsidP="00F76F07">
      <w:pPr>
        <w:spacing w:after="120" w:line="276" w:lineRule="auto"/>
        <w:ind w:firstLine="708"/>
        <w:jc w:val="both"/>
        <w:rPr>
          <w:rFonts w:ascii="Verdana" w:hAnsi="Verdana" w:cs="Arial"/>
          <w:bCs/>
        </w:rPr>
      </w:pPr>
      <w:bookmarkStart w:id="1" w:name="_Hlk78820161"/>
      <w:r w:rsidRPr="00F76F07">
        <w:rPr>
          <w:rFonts w:ascii="Verdana" w:hAnsi="Verdana" w:cs="Arial"/>
          <w:bCs/>
        </w:rPr>
        <w:lastRenderedPageBreak/>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F76F07">
        <w:rPr>
          <w:rFonts w:ascii="Verdana" w:hAnsi="Verdana" w:cs="Arial"/>
          <w:bCs/>
        </w:rPr>
        <w:tab/>
      </w:r>
    </w:p>
    <w:p w14:paraId="6CFB3497" w14:textId="77777777" w:rsidR="00F76F07" w:rsidRPr="00F76F07" w:rsidRDefault="00F76F07" w:rsidP="00F76F07">
      <w:pPr>
        <w:spacing w:after="120" w:line="276" w:lineRule="auto"/>
        <w:ind w:firstLine="708"/>
        <w:jc w:val="both"/>
        <w:rPr>
          <w:rFonts w:ascii="Verdana" w:hAnsi="Verdana" w:cs="Arial"/>
          <w:bCs/>
        </w:rPr>
      </w:pPr>
      <w:r w:rsidRPr="00F76F07">
        <w:rPr>
          <w:rFonts w:ascii="Verdana" w:hAnsi="Verdana" w:cs="Arial"/>
          <w:bC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p>
    <w:p w14:paraId="7C1D6536" w14:textId="77777777" w:rsidR="00F76F07" w:rsidRPr="00F76F07" w:rsidRDefault="00F76F07" w:rsidP="00F76F07">
      <w:pPr>
        <w:spacing w:after="120" w:line="276" w:lineRule="auto"/>
        <w:ind w:firstLine="708"/>
        <w:jc w:val="both"/>
        <w:rPr>
          <w:rFonts w:ascii="Verdana" w:hAnsi="Verdana" w:cs="Arial"/>
          <w:bCs/>
        </w:rPr>
      </w:pPr>
    </w:p>
    <w:p w14:paraId="0EC0B916" w14:textId="77777777" w:rsidR="00F76F07" w:rsidRPr="00F76F07" w:rsidRDefault="00F76F07" w:rsidP="00F76F07">
      <w:pPr>
        <w:pStyle w:val="Prrafodelista"/>
        <w:numPr>
          <w:ilvl w:val="0"/>
          <w:numId w:val="1"/>
        </w:numPr>
        <w:tabs>
          <w:tab w:val="left" w:pos="142"/>
          <w:tab w:val="left" w:pos="284"/>
        </w:tabs>
        <w:spacing w:line="276" w:lineRule="auto"/>
        <w:ind w:left="0" w:firstLine="0"/>
        <w:jc w:val="both"/>
        <w:rPr>
          <w:rFonts w:ascii="Verdana" w:eastAsia="Century Gothic" w:hAnsi="Verdana" w:cs="Century Gothic"/>
          <w:b/>
          <w:bCs/>
          <w:lang w:val="es-ES"/>
        </w:rPr>
      </w:pPr>
      <w:r w:rsidRPr="00F76F07">
        <w:rPr>
          <w:rFonts w:ascii="Verdana" w:eastAsia="Century Gothic" w:hAnsi="Verdana" w:cs="Century Gothic"/>
          <w:b/>
          <w:bCs/>
          <w:lang w:val="es-ES"/>
        </w:rPr>
        <w:t>Problema planteado:</w:t>
      </w:r>
    </w:p>
    <w:p w14:paraId="12894D33" w14:textId="77777777" w:rsidR="00F76F07" w:rsidRPr="00F76F07" w:rsidRDefault="00F76F07" w:rsidP="00F76F07">
      <w:pPr>
        <w:spacing w:after="120" w:line="276" w:lineRule="auto"/>
        <w:jc w:val="both"/>
        <w:rPr>
          <w:rFonts w:ascii="Verdana" w:hAnsi="Verdana" w:cs="Arial"/>
          <w:bCs/>
        </w:rPr>
      </w:pPr>
    </w:p>
    <w:p w14:paraId="38634697" w14:textId="77777777" w:rsidR="00F76F07" w:rsidRDefault="00903847" w:rsidP="00F76F07">
      <w:pPr>
        <w:spacing w:after="120" w:line="276" w:lineRule="auto"/>
        <w:jc w:val="both"/>
        <w:rPr>
          <w:rFonts w:ascii="Verdana" w:eastAsia="Calibri" w:hAnsi="Verdana" w:cs="Arial"/>
          <w:color w:val="000000" w:themeColor="text1"/>
          <w:sz w:val="21"/>
          <w:szCs w:val="21"/>
          <w:lang w:val="es-ES"/>
        </w:rPr>
      </w:pPr>
      <w:r w:rsidRPr="00903847">
        <w:rPr>
          <w:rFonts w:ascii="Verdana" w:hAnsi="Verdana" w:cs="Arial"/>
          <w:bCs/>
        </w:rPr>
        <w:t>De acuerdo con el contenido de su solicitud, esta Agencia resolverá el  siguiente problema jurídico:</w:t>
      </w:r>
      <w:r w:rsidR="00F76F07">
        <w:rPr>
          <w:rFonts w:ascii="Verdana" w:hAnsi="Verdana" w:cs="Arial"/>
          <w:bCs/>
        </w:rPr>
        <w:t>¿Cómo determinar la tipología contra</w:t>
      </w:r>
      <w:r>
        <w:rPr>
          <w:rFonts w:ascii="Verdana" w:hAnsi="Verdana" w:cs="Arial"/>
          <w:bCs/>
        </w:rPr>
        <w:t xml:space="preserve">ctual aplicable a los contratos o convenios interadministrativos suscritos </w:t>
      </w:r>
      <w:r w:rsidRPr="00F76F07">
        <w:rPr>
          <w:rFonts w:ascii="Verdana" w:eastAsia="Calibri" w:hAnsi="Verdana" w:cs="Arial"/>
          <w:color w:val="000000" w:themeColor="text1"/>
          <w:sz w:val="21"/>
          <w:szCs w:val="21"/>
          <w:lang w:val="es-ES"/>
        </w:rPr>
        <w:t>con sociedades de economía mixta, entidades sin ánimo de lucro y empresas industriales y comerciales del estado, teniendo en cuenta lo contemplado en el artículo 92 de la Ley 1474 de 2011</w:t>
      </w:r>
      <w:r>
        <w:rPr>
          <w:rFonts w:ascii="Verdana" w:eastAsia="Calibri" w:hAnsi="Verdana" w:cs="Arial"/>
          <w:color w:val="000000" w:themeColor="text1"/>
          <w:sz w:val="21"/>
          <w:szCs w:val="21"/>
          <w:lang w:val="es-ES"/>
        </w:rPr>
        <w:t>?</w:t>
      </w:r>
    </w:p>
    <w:p w14:paraId="5397D703" w14:textId="77777777" w:rsidR="00903847" w:rsidRDefault="00903847" w:rsidP="00F76F07">
      <w:pPr>
        <w:spacing w:after="120" w:line="276" w:lineRule="auto"/>
        <w:jc w:val="both"/>
        <w:rPr>
          <w:rFonts w:ascii="Verdana" w:eastAsia="Calibri" w:hAnsi="Verdana" w:cs="Arial"/>
          <w:color w:val="000000" w:themeColor="text1"/>
          <w:sz w:val="21"/>
          <w:szCs w:val="21"/>
          <w:lang w:val="es-ES"/>
        </w:rPr>
      </w:pPr>
    </w:p>
    <w:p w14:paraId="032064DC" w14:textId="77777777" w:rsidR="00903847" w:rsidRPr="00593A5F" w:rsidRDefault="00903847" w:rsidP="00903847">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lang w:val="es-ES"/>
        </w:rPr>
      </w:pPr>
      <w:r w:rsidRPr="00593A5F">
        <w:rPr>
          <w:rFonts w:ascii="Verdana" w:eastAsia="Century Gothic" w:hAnsi="Verdana" w:cs="Century Gothic"/>
          <w:b/>
          <w:bCs/>
          <w:lang w:val="es-ES"/>
        </w:rPr>
        <w:t>Respuesta:</w:t>
      </w:r>
    </w:p>
    <w:p w14:paraId="0CCA0C70" w14:textId="77777777" w:rsidR="00903847" w:rsidRPr="00F76F07" w:rsidRDefault="00903847" w:rsidP="00F76F07">
      <w:pPr>
        <w:spacing w:after="120" w:line="276" w:lineRule="auto"/>
        <w:jc w:val="both"/>
        <w:rPr>
          <w:rFonts w:ascii="Verdana" w:hAnsi="Verdana" w:cs="Arial"/>
          <w:bCs/>
        </w:rPr>
      </w:pPr>
    </w:p>
    <w:p w14:paraId="3E4BE73A" w14:textId="77777777" w:rsidR="00351776" w:rsidRPr="00F76F07" w:rsidRDefault="00351776" w:rsidP="00903847">
      <w:pPr>
        <w:spacing w:after="120" w:line="276" w:lineRule="auto"/>
        <w:jc w:val="both"/>
        <w:rPr>
          <w:rFonts w:ascii="Verdana" w:eastAsia="Times New Roman" w:hAnsi="Verdana" w:cs="Arial"/>
          <w:lang w:val="es-ES" w:eastAsia="es-ES"/>
        </w:rPr>
      </w:pPr>
      <w:r w:rsidRPr="00F76F07">
        <w:rPr>
          <w:rFonts w:ascii="Verdana" w:eastAsiaTheme="minorEastAsia" w:hAnsi="Verdana"/>
          <w:lang w:eastAsia="es-CO"/>
        </w:rPr>
        <w:t xml:space="preserve">La tipología del contrato o convenio interadministrativo fue creada en la Ley 80 de 1993, y el Decreto 1082 de 2015 la califica como aquella contratación entre </w:t>
      </w:r>
      <w:r w:rsidRPr="00F76F07">
        <w:rPr>
          <w:rFonts w:ascii="Verdana" w:eastAsiaTheme="minorEastAsia" w:hAnsi="Verdana"/>
          <w:lang w:eastAsia="es-CO"/>
        </w:rPr>
        <w:lastRenderedPageBreak/>
        <w:t>Entidades Estatales</w:t>
      </w:r>
      <w:r w:rsidRPr="00F76F07">
        <w:rPr>
          <w:rFonts w:ascii="Verdana" w:eastAsiaTheme="minorEastAsia" w:hAnsi="Verdana"/>
          <w:vertAlign w:val="superscript"/>
          <w:lang w:eastAsia="es-CO"/>
        </w:rPr>
        <w:footnoteReference w:id="1"/>
      </w:r>
      <w:r w:rsidRPr="00F76F07">
        <w:rPr>
          <w:rFonts w:ascii="Verdana" w:eastAsiaTheme="minorEastAsia" w:hAnsi="Verdana"/>
          <w:lang w:eastAsia="es-CO"/>
        </w:rPr>
        <w:t>. De acuerdo con lo anterior</w:t>
      </w:r>
      <w:bookmarkStart w:id="3" w:name="_Hlk144078675"/>
      <w:r w:rsidRPr="00F76F07">
        <w:rPr>
          <w:rFonts w:ascii="Verdana" w:eastAsiaTheme="minorEastAsia" w:hAnsi="Verdana"/>
          <w:lang w:eastAsia="es-CO"/>
        </w:rPr>
        <w:t xml:space="preserve">, el contrato o el convenio interadministrativo es el acuerdo donde concurre la voluntad de dos o más personas jurídicas de derecho </w:t>
      </w:r>
      <w:bookmarkStart w:id="4" w:name="_Hlk144108542"/>
      <w:r w:rsidRPr="00F76F07">
        <w:rPr>
          <w:rFonts w:ascii="Verdana" w:eastAsiaTheme="minorEastAsia" w:hAnsi="Verdana"/>
          <w:lang w:eastAsia="es-CO"/>
        </w:rPr>
        <w:t xml:space="preserve">público con la finalidad de cumplir, en el marco de sus objetivos misionales y sus competencias, con los fines del Estado. </w:t>
      </w:r>
      <w:bookmarkEnd w:id="4"/>
      <w:r w:rsidRPr="00F76F07">
        <w:rPr>
          <w:rFonts w:ascii="Verdana" w:eastAsiaTheme="minorEastAsia" w:hAnsi="Verdana"/>
          <w:lang w:eastAsia="es-CO"/>
        </w:rPr>
        <w:t>Es decir, los contratos o convenios interadministrativos están determinados por un criterio orgánico, pues es necesario que los extremos de la relación contractual sean Entidades</w:t>
      </w:r>
      <w:r w:rsidRPr="00F76F07">
        <w:rPr>
          <w:rFonts w:ascii="Verdana" w:eastAsiaTheme="minorEastAsia" w:hAnsi="Verdana"/>
          <w:spacing w:val="-6"/>
          <w:lang w:eastAsia="es-CO"/>
        </w:rPr>
        <w:t xml:space="preserve"> </w:t>
      </w:r>
      <w:r w:rsidRPr="00F76F07">
        <w:rPr>
          <w:rFonts w:ascii="Verdana" w:eastAsiaTheme="minorEastAsia" w:hAnsi="Verdana"/>
          <w:lang w:eastAsia="es-CO"/>
        </w:rPr>
        <w:t>Estatales.</w:t>
      </w:r>
    </w:p>
    <w:p w14:paraId="00F271EF" w14:textId="77777777" w:rsidR="00351776" w:rsidRPr="00F76F07" w:rsidRDefault="00351776" w:rsidP="00903847">
      <w:pPr>
        <w:spacing w:line="276" w:lineRule="auto"/>
        <w:jc w:val="both"/>
        <w:rPr>
          <w:rFonts w:ascii="Verdana" w:eastAsiaTheme="minorEastAsia" w:hAnsi="Verdana"/>
          <w:lang w:eastAsia="es-CO"/>
        </w:rPr>
      </w:pPr>
      <w:bookmarkStart w:id="5" w:name="_Hlk78820654"/>
      <w:bookmarkEnd w:id="1"/>
      <w:bookmarkEnd w:id="3"/>
      <w:r w:rsidRPr="00F76F07">
        <w:rPr>
          <w:rFonts w:ascii="Verdana" w:eastAsiaTheme="minorEastAsia" w:hAnsi="Verdana"/>
          <w:lang w:eastAsia="es-CO"/>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5"/>
    <w:p w14:paraId="70098828" w14:textId="77777777" w:rsidR="00351776" w:rsidRPr="00F76F07" w:rsidRDefault="00351776" w:rsidP="00903847">
      <w:pPr>
        <w:spacing w:line="276" w:lineRule="auto"/>
        <w:jc w:val="both"/>
        <w:rPr>
          <w:rFonts w:ascii="Verdana" w:eastAsiaTheme="minorEastAsia" w:hAnsi="Verdana"/>
          <w:lang w:eastAsia="es-CO"/>
        </w:rPr>
      </w:pPr>
      <w:r w:rsidRPr="00F76F07">
        <w:rPr>
          <w:rFonts w:ascii="Verdana" w:eastAsiaTheme="minorEastAsia" w:hAnsi="Verdana"/>
          <w:lang w:eastAsia="es-CO"/>
        </w:rPr>
        <w:t>Un contrato o convenio interadministrativo no está determinado por la modalidad de selección utilizada para celebrarlo. La Ley 1150 de 2007 dispone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F76F07">
        <w:rPr>
          <w:rFonts w:ascii="Verdana" w:eastAsiaTheme="minorEastAsia" w:hAnsi="Verdana"/>
          <w:vertAlign w:val="superscript"/>
          <w:lang w:eastAsia="es-CO"/>
        </w:rPr>
        <w:footnoteReference w:id="2"/>
      </w:r>
      <w:r w:rsidRPr="00F76F07">
        <w:rPr>
          <w:rFonts w:ascii="Verdana" w:eastAsiaTheme="minorEastAsia" w:hAnsi="Verdana"/>
          <w:lang w:eastAsia="es-CO"/>
        </w:rPr>
        <w:t>. Nótese que, en este caso, lo que cambia es la modalidad de selección y no la naturaleza de contrato</w:t>
      </w:r>
      <w:r w:rsidRPr="00F76F07">
        <w:rPr>
          <w:rFonts w:ascii="Verdana" w:eastAsiaTheme="minorEastAsia" w:hAnsi="Verdana"/>
          <w:spacing w:val="-18"/>
          <w:lang w:eastAsia="es-CO"/>
        </w:rPr>
        <w:t xml:space="preserve"> </w:t>
      </w:r>
      <w:r w:rsidRPr="00F76F07">
        <w:rPr>
          <w:rFonts w:ascii="Verdana" w:eastAsiaTheme="minorEastAsia" w:hAnsi="Verdana"/>
          <w:lang w:eastAsia="es-CO"/>
        </w:rPr>
        <w:t>interadministrativo.</w:t>
      </w:r>
    </w:p>
    <w:p w14:paraId="38B9586D" w14:textId="77777777" w:rsidR="00903847" w:rsidRDefault="00903847" w:rsidP="00351776">
      <w:pPr>
        <w:spacing w:after="0" w:line="276" w:lineRule="auto"/>
        <w:ind w:firstLine="709"/>
        <w:jc w:val="both"/>
        <w:rPr>
          <w:rFonts w:ascii="Verdana" w:eastAsiaTheme="minorEastAsia" w:hAnsi="Verdana"/>
          <w:lang w:eastAsia="es-CO"/>
        </w:rPr>
      </w:pPr>
    </w:p>
    <w:p w14:paraId="39821036" w14:textId="77777777" w:rsidR="00903847" w:rsidRPr="00593A5F" w:rsidRDefault="00903847" w:rsidP="00903847">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lang w:val="es-ES"/>
        </w:rPr>
      </w:pPr>
      <w:r w:rsidRPr="00593A5F">
        <w:rPr>
          <w:rFonts w:ascii="Verdana" w:eastAsia="Century Gothic" w:hAnsi="Verdana" w:cs="Century Gothic"/>
          <w:b/>
          <w:bCs/>
          <w:lang w:val="es-ES"/>
        </w:rPr>
        <w:lastRenderedPageBreak/>
        <w:t>Razones de la respuesta:</w:t>
      </w:r>
    </w:p>
    <w:p w14:paraId="4DB4AD73" w14:textId="77777777" w:rsidR="00903847" w:rsidRPr="00593A5F" w:rsidRDefault="00903847" w:rsidP="00903847">
      <w:pPr>
        <w:spacing w:after="0" w:line="276" w:lineRule="auto"/>
        <w:jc w:val="both"/>
        <w:rPr>
          <w:rFonts w:ascii="Verdana" w:eastAsia="Calibri" w:hAnsi="Verdana" w:cs="Arial"/>
          <w:color w:val="7030A0"/>
          <w:lang w:val="es-ES"/>
        </w:rPr>
      </w:pPr>
    </w:p>
    <w:p w14:paraId="276EF9B5" w14:textId="77777777" w:rsidR="00903847" w:rsidRPr="00B96799" w:rsidRDefault="00903847" w:rsidP="00903847">
      <w:pPr>
        <w:spacing w:after="0" w:line="276" w:lineRule="auto"/>
        <w:jc w:val="both"/>
        <w:rPr>
          <w:rFonts w:ascii="Verdana" w:eastAsia="Calibri" w:hAnsi="Verdana" w:cs="Arial"/>
          <w:lang w:val="es-ES"/>
        </w:rPr>
      </w:pPr>
      <w:r w:rsidRPr="00B96799">
        <w:rPr>
          <w:rFonts w:ascii="Verdana" w:eastAsia="Calibri" w:hAnsi="Verdana" w:cs="Arial"/>
          <w:lang w:val="es-ES"/>
        </w:rPr>
        <w:t xml:space="preserve">Lo anterior se sustenta en las siguientes consideraciones: </w:t>
      </w:r>
    </w:p>
    <w:p w14:paraId="676E61EE" w14:textId="77777777" w:rsidR="00903847" w:rsidRDefault="00903847" w:rsidP="00903847">
      <w:pPr>
        <w:spacing w:after="0" w:line="276" w:lineRule="auto"/>
        <w:jc w:val="both"/>
        <w:rPr>
          <w:rFonts w:ascii="Verdana" w:eastAsiaTheme="minorEastAsia" w:hAnsi="Verdana"/>
          <w:lang w:eastAsia="es-CO"/>
        </w:rPr>
      </w:pPr>
    </w:p>
    <w:p w14:paraId="10AFC4C0" w14:textId="77777777" w:rsidR="00351776" w:rsidRPr="00F76F07" w:rsidRDefault="00351776" w:rsidP="00351776">
      <w:pPr>
        <w:spacing w:after="0" w:line="276" w:lineRule="auto"/>
        <w:ind w:firstLine="709"/>
        <w:jc w:val="both"/>
        <w:rPr>
          <w:rFonts w:ascii="Verdana" w:eastAsiaTheme="minorEastAsia" w:hAnsi="Verdana"/>
          <w:lang w:eastAsia="es-CO"/>
        </w:rPr>
      </w:pPr>
      <w:r w:rsidRPr="00F76F07">
        <w:rPr>
          <w:rFonts w:ascii="Verdana" w:eastAsiaTheme="minorEastAsia" w:hAnsi="Verdana"/>
          <w:lang w:eastAsia="es-CO"/>
        </w:rPr>
        <w:t>La Corte Constitucional, en Sentencia C-671 de 2015, expresó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F76F07">
        <w:rPr>
          <w:rFonts w:ascii="Verdana" w:eastAsiaTheme="minorEastAsia" w:hAnsi="Verdana"/>
          <w:spacing w:val="-13"/>
          <w:lang w:eastAsia="es-CO"/>
        </w:rPr>
        <w:t xml:space="preserve"> </w:t>
      </w:r>
      <w:r w:rsidRPr="00F76F07">
        <w:rPr>
          <w:rFonts w:ascii="Verdana" w:eastAsiaTheme="minorEastAsia" w:hAnsi="Verdana"/>
          <w:lang w:eastAsia="es-CO"/>
        </w:rPr>
        <w:t>que:</w:t>
      </w:r>
    </w:p>
    <w:p w14:paraId="421BB2B2" w14:textId="77777777" w:rsidR="00351776" w:rsidRPr="00F76F07" w:rsidRDefault="00351776" w:rsidP="00351776">
      <w:pPr>
        <w:spacing w:after="0" w:line="276" w:lineRule="auto"/>
        <w:ind w:firstLine="709"/>
        <w:jc w:val="both"/>
        <w:rPr>
          <w:rFonts w:ascii="Verdana" w:eastAsiaTheme="minorEastAsia" w:hAnsi="Verdana"/>
          <w:lang w:eastAsia="es-CO"/>
        </w:rPr>
      </w:pPr>
    </w:p>
    <w:p w14:paraId="3BA3324D" w14:textId="77777777" w:rsidR="00351776" w:rsidRPr="00F76F07" w:rsidRDefault="00351776" w:rsidP="00351776">
      <w:pPr>
        <w:spacing w:after="0" w:line="276" w:lineRule="auto"/>
        <w:ind w:left="709" w:right="709"/>
        <w:jc w:val="both"/>
        <w:rPr>
          <w:rFonts w:ascii="Verdana" w:eastAsia="Times New Roman" w:hAnsi="Verdana"/>
          <w:sz w:val="20"/>
          <w:szCs w:val="20"/>
          <w:lang w:eastAsia="es-ES_tradnl"/>
        </w:rPr>
      </w:pPr>
      <w:r w:rsidRPr="00F76F07">
        <w:rPr>
          <w:rFonts w:ascii="Verdana" w:eastAsia="Times New Roman" w:hAnsi="Verdana"/>
          <w:sz w:val="20"/>
          <w:szCs w:val="20"/>
          <w:lang w:eastAsia="es-ES_tradnl"/>
        </w:rPr>
        <w:t xml:space="preserve">“[…] se puede señalar que los convenios o contratos interadministrativos tienen como características principales las siguientes: (i) constituyen verdaderos contratos en los términos del Código de Comercio cuando su objeto lo constituyen obligaciones patrimoniales; (ii) </w:t>
      </w:r>
      <w:bookmarkStart w:id="6" w:name="_Hlk144078695"/>
      <w:r w:rsidRPr="00F76F07">
        <w:rPr>
          <w:rFonts w:ascii="Verdana" w:eastAsia="Times New Roman" w:hAnsi="Verdana"/>
          <w:sz w:val="20"/>
          <w:szCs w:val="20"/>
          <w:lang w:eastAsia="es-ES_tradnl"/>
        </w:rPr>
        <w:t>tienen como fuente la autonomía contractual</w:t>
      </w:r>
      <w:bookmarkEnd w:id="6"/>
      <w:r w:rsidRPr="00F76F07">
        <w:rPr>
          <w:rFonts w:ascii="Verdana" w:eastAsia="Times New Roman" w:hAnsi="Verdana"/>
          <w:sz w:val="20"/>
          <w:szCs w:val="20"/>
          <w:lang w:eastAsia="es-ES_tradnl"/>
        </w:rPr>
        <w:t>;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F76F07">
        <w:rPr>
          <w:rFonts w:ascii="Verdana" w:eastAsia="Times New Roman" w:hAnsi="Verdana"/>
          <w:sz w:val="20"/>
          <w:szCs w:val="20"/>
          <w:vertAlign w:val="superscript"/>
          <w:lang w:eastAsia="es-ES_tradnl"/>
        </w:rPr>
        <w:footnoteReference w:id="3"/>
      </w:r>
      <w:r w:rsidRPr="00F76F07">
        <w:rPr>
          <w:rFonts w:ascii="Verdana" w:eastAsia="Times New Roman" w:hAnsi="Verdana"/>
          <w:sz w:val="20"/>
          <w:szCs w:val="20"/>
          <w:lang w:eastAsia="es-ES_tradnl"/>
        </w:rPr>
        <w:t>.</w:t>
      </w:r>
    </w:p>
    <w:p w14:paraId="7ECD936E" w14:textId="77777777" w:rsidR="00351776" w:rsidRPr="00F76F07" w:rsidRDefault="00351776" w:rsidP="00351776">
      <w:pPr>
        <w:spacing w:after="0" w:line="276" w:lineRule="auto"/>
        <w:ind w:left="709" w:right="709"/>
        <w:jc w:val="both"/>
        <w:rPr>
          <w:rFonts w:ascii="Verdana" w:eastAsia="Times New Roman" w:hAnsi="Verdana"/>
          <w:lang w:eastAsia="es-ES_tradnl"/>
        </w:rPr>
      </w:pPr>
    </w:p>
    <w:p w14:paraId="2F9DCC89" w14:textId="77777777" w:rsidR="00351776" w:rsidRPr="00F76F07" w:rsidRDefault="00351776" w:rsidP="00351776">
      <w:pPr>
        <w:spacing w:line="276" w:lineRule="auto"/>
        <w:ind w:firstLine="707"/>
        <w:jc w:val="both"/>
        <w:rPr>
          <w:rFonts w:ascii="Verdana" w:eastAsiaTheme="minorEastAsia" w:hAnsi="Verdana"/>
          <w:lang w:eastAsia="es-CO"/>
        </w:rPr>
      </w:pPr>
      <w:r w:rsidRPr="00F76F07">
        <w:rPr>
          <w:rFonts w:ascii="Verdana" w:eastAsiaTheme="minorEastAsia" w:hAnsi="Verdana"/>
          <w:lang w:eastAsia="es-CO"/>
        </w:rPr>
        <w:lastRenderedPageBreak/>
        <w:t>En ese sentido, los convenios interadministrativos se caracterizan por los sujetos que intervienen y por la modalidad de selección que la ley permite aplicar para su celebración, pues comporta un grado de excepcionalidad frente a las demás tipologías contractuales, donde los sujetos no están restringidos a una cualificación particular y aplican otras modalidades de selección. El Estatuto General de Contratación de la Administración Pública – en adelante EGCAP – establece la contratación directa como la modalidad de selección aplicable, por regla general, a la celebración de los contratos interadministrativos, no obstante, como se verá más adelante existen algunas excepciones.</w:t>
      </w:r>
    </w:p>
    <w:p w14:paraId="53BC7B0F" w14:textId="77777777" w:rsidR="00351776" w:rsidRPr="00F76F07" w:rsidRDefault="00351776" w:rsidP="00351776">
      <w:pPr>
        <w:spacing w:line="276" w:lineRule="auto"/>
        <w:ind w:firstLine="707"/>
        <w:jc w:val="both"/>
        <w:rPr>
          <w:rFonts w:ascii="Verdana" w:eastAsiaTheme="minorEastAsia" w:hAnsi="Verdana"/>
          <w:lang w:eastAsia="es-CO"/>
        </w:rPr>
      </w:pPr>
      <w:r w:rsidRPr="00F76F07">
        <w:rPr>
          <w:rFonts w:ascii="Verdana" w:eastAsiaTheme="minorEastAsia" w:hAnsi="Verdana"/>
          <w:lang w:eastAsia="es-CO"/>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plausible que se celebren contratos interadministrativos en el marco de un proceso donde sea posible la participación de los interesados en ofertar, es decir, a través de las otras modalidades de selección previstas en la Ley 1150 de 2007 diferentes a la de contratación directa. Como se indicó, la existencia de un contrato interadministrativo no está determinada por la modalidad de selección sino, entre otras cosas, por la calidad de las partes que lo suscriben, es decir, debe tratarse de Entidades</w:t>
      </w:r>
      <w:r w:rsidRPr="00F76F07">
        <w:rPr>
          <w:rFonts w:ascii="Verdana" w:eastAsiaTheme="minorEastAsia" w:hAnsi="Verdana"/>
          <w:spacing w:val="-3"/>
          <w:lang w:eastAsia="es-CO"/>
        </w:rPr>
        <w:t xml:space="preserve"> </w:t>
      </w:r>
      <w:r w:rsidRPr="00F76F07">
        <w:rPr>
          <w:rFonts w:ascii="Verdana" w:eastAsiaTheme="minorEastAsia" w:hAnsi="Verdana"/>
          <w:lang w:eastAsia="es-CO"/>
        </w:rPr>
        <w:t>Estatales.</w:t>
      </w:r>
    </w:p>
    <w:p w14:paraId="00C9DFBF" w14:textId="77777777" w:rsidR="00351776" w:rsidRPr="00F76F07" w:rsidRDefault="00351776" w:rsidP="00351776">
      <w:pPr>
        <w:spacing w:line="276" w:lineRule="auto"/>
        <w:ind w:firstLine="709"/>
        <w:jc w:val="both"/>
        <w:rPr>
          <w:rFonts w:ascii="Verdana" w:eastAsiaTheme="minorEastAsia" w:hAnsi="Verdana"/>
          <w:lang w:eastAsia="es-CO"/>
        </w:rPr>
      </w:pPr>
      <w:r w:rsidRPr="00F76F07">
        <w:rPr>
          <w:rFonts w:ascii="Verdana" w:eastAsiaTheme="minorEastAsia" w:hAnsi="Verdana"/>
          <w:lang w:eastAsia="es-CO"/>
        </w:rPr>
        <w:t xml:space="preserve">Además, es necesario tener en cuenta que </w:t>
      </w:r>
      <w:bookmarkStart w:id="7" w:name="_Hlk144078745"/>
      <w:r w:rsidRPr="00F76F07">
        <w:rPr>
          <w:rFonts w:ascii="Verdana" w:eastAsiaTheme="minorEastAsia" w:hAnsi="Verdana"/>
          <w:lang w:eastAsia="es-CO"/>
        </w:rPr>
        <w:t>para que un contrato o convenio interadministrativo exista, debe cumplir con los siguientes elementos: acuerdo sobre el objeto y la contraprestación, y que se eleve a escrito</w:t>
      </w:r>
      <w:bookmarkEnd w:id="7"/>
      <w:r w:rsidRPr="00F76F07">
        <w:rPr>
          <w:rFonts w:ascii="Verdana" w:eastAsiaTheme="minorEastAsia" w:hAnsi="Verdana"/>
          <w:lang w:eastAsia="es-CO"/>
        </w:rPr>
        <w:t xml:space="preserve">. Por otra parte, si bien actualmente el EGCAP hace referencia de manera expresa a los contratos interadministrativos y no a los convenios,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w:t>
      </w:r>
      <w:r w:rsidRPr="00F76F07">
        <w:rPr>
          <w:rFonts w:ascii="Verdana" w:eastAsiaTheme="minorEastAsia" w:hAnsi="Verdana"/>
          <w:lang w:eastAsia="es-CO"/>
        </w:rPr>
        <w:lastRenderedPageBreak/>
        <w:t>faculta a las Entidades Públicas a celebrar los demás acuerdos que permitan la autonomía de la voluntad y requieran el cumplimiento de los fines</w:t>
      </w:r>
      <w:r w:rsidRPr="00F76F07">
        <w:rPr>
          <w:rFonts w:ascii="Verdana" w:eastAsiaTheme="minorEastAsia" w:hAnsi="Verdana"/>
          <w:spacing w:val="-4"/>
          <w:lang w:eastAsia="es-CO"/>
        </w:rPr>
        <w:t xml:space="preserve"> </w:t>
      </w:r>
      <w:r w:rsidRPr="00F76F07">
        <w:rPr>
          <w:rFonts w:ascii="Verdana" w:eastAsiaTheme="minorEastAsia" w:hAnsi="Verdana"/>
          <w:lang w:eastAsia="es-CO"/>
        </w:rPr>
        <w:t>estatales.</w:t>
      </w:r>
    </w:p>
    <w:p w14:paraId="5B994813" w14:textId="77777777" w:rsidR="00351776" w:rsidRPr="00F76F07" w:rsidRDefault="00351776" w:rsidP="00351776">
      <w:pPr>
        <w:spacing w:line="276" w:lineRule="auto"/>
        <w:ind w:firstLine="708"/>
        <w:jc w:val="both"/>
        <w:rPr>
          <w:rFonts w:ascii="Verdana" w:eastAsiaTheme="minorEastAsia" w:hAnsi="Verdana"/>
          <w:lang w:eastAsia="es-CO"/>
        </w:rPr>
      </w:pPr>
      <w:r w:rsidRPr="00F76F07">
        <w:rPr>
          <w:rFonts w:ascii="Verdana" w:eastAsiaTheme="minorEastAsia" w:hAnsi="Verdana"/>
          <w:lang w:eastAsia="es-CO"/>
        </w:rPr>
        <w:t>Es conveniente destacar que el Decreto 1082 de 2015 dispone que los convenios o contratos interadministrativos, así denominados en su artículo 2.2.1.2.1.4.4, se contratan directamente, por lo que representan figuras similares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226EE8C2" w14:textId="77777777" w:rsidR="00351776" w:rsidRPr="00F76F07" w:rsidRDefault="00351776" w:rsidP="00351776">
      <w:pPr>
        <w:spacing w:line="276" w:lineRule="auto"/>
        <w:ind w:firstLine="708"/>
        <w:jc w:val="both"/>
        <w:rPr>
          <w:rFonts w:ascii="Verdana" w:eastAsiaTheme="minorEastAsia" w:hAnsi="Verdana"/>
          <w:lang w:eastAsia="es-CO"/>
        </w:rPr>
      </w:pPr>
      <w:r w:rsidRPr="00F76F07">
        <w:rPr>
          <w:rFonts w:ascii="Verdana" w:eastAsiaTheme="minorEastAsia" w:hAnsi="Verdana"/>
          <w:lang w:eastAsia="es-CO"/>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EGCAP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F76F07">
        <w:rPr>
          <w:rFonts w:ascii="Verdana" w:eastAsiaTheme="minorEastAsia" w:hAnsi="Verdana"/>
          <w:spacing w:val="-4"/>
          <w:lang w:eastAsia="es-CO"/>
        </w:rPr>
        <w:t xml:space="preserve"> </w:t>
      </w:r>
      <w:r w:rsidRPr="00F76F07">
        <w:rPr>
          <w:rFonts w:ascii="Verdana" w:eastAsiaTheme="minorEastAsia" w:hAnsi="Verdana"/>
          <w:lang w:eastAsia="es-CO"/>
        </w:rPr>
        <w:t>[…]”</w:t>
      </w:r>
      <w:r w:rsidRPr="00F76F07">
        <w:rPr>
          <w:rFonts w:ascii="Verdana" w:eastAsiaTheme="minorEastAsia" w:hAnsi="Verdana"/>
          <w:vertAlign w:val="superscript"/>
          <w:lang w:eastAsia="es-CO"/>
        </w:rPr>
        <w:footnoteReference w:id="4"/>
      </w:r>
      <w:r w:rsidRPr="00F76F07">
        <w:rPr>
          <w:rFonts w:ascii="Verdana" w:eastAsiaTheme="minorEastAsia" w:hAnsi="Verdana"/>
          <w:lang w:eastAsia="es-CO"/>
        </w:rPr>
        <w:t>.</w:t>
      </w:r>
    </w:p>
    <w:p w14:paraId="13E40FFA" w14:textId="77777777" w:rsidR="00351776" w:rsidRPr="00F76F07" w:rsidRDefault="00351776" w:rsidP="00351776">
      <w:pPr>
        <w:snapToGrid w:val="0"/>
        <w:spacing w:before="120" w:after="0" w:line="276" w:lineRule="auto"/>
        <w:ind w:firstLine="709"/>
        <w:jc w:val="both"/>
        <w:rPr>
          <w:rFonts w:ascii="Verdana" w:eastAsia="Calibri" w:hAnsi="Verdana"/>
          <w:bCs/>
          <w:lang w:eastAsia="es-ES_tradnl" w:bidi="es-ES"/>
        </w:rPr>
      </w:pPr>
      <w:r w:rsidRPr="00F76F07">
        <w:rPr>
          <w:rFonts w:ascii="Verdana" w:eastAsia="Calibri" w:hAnsi="Verdana"/>
          <w:bCs/>
          <w:lang w:eastAsia="es-ES_tradnl" w:bidi="es-ES"/>
        </w:rPr>
        <w:t>Si bien tanto los contratos como convenios comparten características comunes explicadas en los párrafos precedentes, difieren en cuanto a ciertos aspectos esenciales</w:t>
      </w:r>
      <w:r w:rsidRPr="00F76F07">
        <w:rPr>
          <w:rFonts w:ascii="Verdana" w:eastAsia="Calibri" w:hAnsi="Verdana"/>
          <w:lang w:eastAsia="es-ES_tradnl" w:bidi="es-ES"/>
        </w:rPr>
        <w:t xml:space="preserve">. </w:t>
      </w:r>
      <w:r w:rsidRPr="00F76F07">
        <w:rPr>
          <w:rFonts w:ascii="Verdana" w:eastAsia="Calibri" w:hAnsi="Verdana"/>
          <w:bCs/>
          <w:lang w:eastAsia="es-ES_tradnl" w:bidi="es-ES"/>
        </w:rPr>
        <w:t xml:space="preserve">Así, mientras que el </w:t>
      </w:r>
      <w:r w:rsidRPr="00F76F07">
        <w:rPr>
          <w:rFonts w:ascii="Verdana" w:eastAsia="Calibri" w:hAnsi="Verdana"/>
          <w:bCs/>
          <w:i/>
          <w:iCs/>
          <w:lang w:eastAsia="es-ES_tradnl" w:bidi="es-ES"/>
        </w:rPr>
        <w:t>contrato interadministrativo</w:t>
      </w:r>
      <w:r w:rsidRPr="00F76F07">
        <w:rPr>
          <w:rFonts w:ascii="Verdana" w:eastAsia="Calibri" w:hAnsi="Verdana"/>
          <w:bCs/>
          <w:lang w:eastAsia="es-ES_tradnl" w:bidi="es-ES"/>
        </w:rPr>
        <w:t xml:space="preserve"> se caracteriza por su naturaleza onerosa, patrimonial y se conforma por intereses básicamente contrapuestos, los </w:t>
      </w:r>
      <w:r w:rsidRPr="00F76F07">
        <w:rPr>
          <w:rFonts w:ascii="Verdana" w:eastAsia="Calibri" w:hAnsi="Verdana"/>
          <w:bCs/>
          <w:i/>
          <w:iCs/>
          <w:lang w:eastAsia="es-ES_tradnl" w:bidi="es-ES"/>
        </w:rPr>
        <w:t>convenios interadministrativos</w:t>
      </w:r>
      <w:r w:rsidRPr="00F76F07">
        <w:rPr>
          <w:rFonts w:ascii="Verdana" w:eastAsia="Calibri" w:hAnsi="Verdana"/>
          <w:bCs/>
          <w:lang w:eastAsia="es-ES_tradnl" w:bidi="es-ES"/>
        </w:rPr>
        <w:t xml:space="preserve">, por su parte, tienen una finalidad asociativa perseguida por las partes suscriptoras cuyos intereses se encaminan en la misma dirección y persiguen los mismos objetivos, de conformidad con el ejercicio de las funciones y competencias que les son propias y propendiendo por la cooperación interinstitucional. De aquí que la Sala de Consulta y Servicio Civil del Consejo de Estado haya señalado la necesidad </w:t>
      </w:r>
      <w:r w:rsidRPr="00F76F07">
        <w:rPr>
          <w:rFonts w:ascii="Verdana" w:eastAsia="Calibri" w:hAnsi="Verdana"/>
          <w:bCs/>
          <w:lang w:eastAsia="es-ES_tradnl" w:bidi="es-ES"/>
        </w:rPr>
        <w:lastRenderedPageBreak/>
        <w:t>de diferenciar el régimen jurídico aplicable a ciertas situaciones específicas del convenio interadministrativo que se separan del régimen jurídico común:</w:t>
      </w:r>
    </w:p>
    <w:p w14:paraId="2F45B7D2" w14:textId="77777777" w:rsidR="00351776" w:rsidRPr="00F76F07" w:rsidRDefault="00351776" w:rsidP="00351776">
      <w:pPr>
        <w:spacing w:after="0" w:line="276" w:lineRule="auto"/>
        <w:ind w:firstLine="709"/>
        <w:jc w:val="both"/>
        <w:rPr>
          <w:rFonts w:ascii="Verdana" w:eastAsia="Calibri" w:hAnsi="Verdana"/>
          <w:bCs/>
          <w:lang w:eastAsia="es-ES_tradnl" w:bidi="es-ES"/>
        </w:rPr>
      </w:pPr>
    </w:p>
    <w:p w14:paraId="20A9D081" w14:textId="77777777" w:rsidR="00351776" w:rsidRPr="00F76F07" w:rsidRDefault="00351776" w:rsidP="00351776">
      <w:pPr>
        <w:spacing w:after="0" w:line="276" w:lineRule="auto"/>
        <w:ind w:left="709" w:right="709"/>
        <w:contextualSpacing/>
        <w:jc w:val="both"/>
        <w:rPr>
          <w:rFonts w:ascii="Verdana" w:eastAsia="Calibri" w:hAnsi="Verdana"/>
          <w:bCs/>
          <w:sz w:val="20"/>
          <w:szCs w:val="20"/>
          <w:lang w:eastAsia="es-ES_tradnl" w:bidi="es-ES"/>
        </w:rPr>
      </w:pPr>
      <w:r w:rsidRPr="00F76F07">
        <w:rPr>
          <w:rFonts w:ascii="Verdana" w:eastAsia="Calibri" w:hAnsi="Verdana"/>
          <w:bCs/>
          <w:sz w:val="20"/>
          <w:szCs w:val="20"/>
          <w:lang w:eastAsia="es-ES_tradnl" w:bidi="es-ES"/>
        </w:rPr>
        <w:t xml:space="preserve">“[E]s preciso señalar que los convenios interadministrativos se someten a los principios constitucionales y legales de la actividad contractual del Estado (transparencia, planeación, buena fe, entre otros) y, obviamente, a los principios de la función administrativa previstos en el artículo 209 CP (moralidad, economía, celeridad, entre otros), en virtud del carácter vinculante de los mismos, dentro del contexto de un ánimo de cooperación que se refleja en el plano de igualdad o equivalencia en que se celebran y ejecutan, lo que significa ausencia de prerrogativas en favor de una parte a costa de la otra. </w:t>
      </w:r>
    </w:p>
    <w:p w14:paraId="2DB096D8" w14:textId="77777777" w:rsidR="00351776" w:rsidRPr="00F76F07" w:rsidRDefault="00351776" w:rsidP="00351776">
      <w:pPr>
        <w:spacing w:after="0" w:line="276" w:lineRule="auto"/>
        <w:ind w:left="709" w:right="709"/>
        <w:contextualSpacing/>
        <w:jc w:val="both"/>
        <w:rPr>
          <w:rFonts w:ascii="Verdana" w:eastAsia="Calibri" w:hAnsi="Verdana"/>
          <w:bCs/>
          <w:sz w:val="20"/>
          <w:szCs w:val="20"/>
          <w:lang w:eastAsia="es-ES_tradnl" w:bidi="es-ES"/>
        </w:rPr>
      </w:pPr>
    </w:p>
    <w:p w14:paraId="6A9795DD" w14:textId="77777777" w:rsidR="00351776" w:rsidRPr="00F76F07" w:rsidRDefault="00351776" w:rsidP="00351776">
      <w:pPr>
        <w:spacing w:after="0" w:line="276" w:lineRule="auto"/>
        <w:ind w:left="709" w:right="709"/>
        <w:contextualSpacing/>
        <w:jc w:val="both"/>
        <w:rPr>
          <w:rFonts w:ascii="Verdana" w:eastAsia="Calibri" w:hAnsi="Verdana"/>
          <w:bCs/>
          <w:sz w:val="20"/>
          <w:szCs w:val="20"/>
          <w:lang w:eastAsia="es-ES_tradnl" w:bidi="es-ES"/>
        </w:rPr>
      </w:pPr>
      <w:r w:rsidRPr="00F76F07">
        <w:rPr>
          <w:rFonts w:ascii="Verdana" w:eastAsia="Calibri" w:hAnsi="Verdana"/>
          <w:bCs/>
          <w:sz w:val="20"/>
          <w:szCs w:val="20"/>
          <w:lang w:eastAsia="es-ES_tradnl" w:bidi="es-ES"/>
        </w:rPr>
        <w:t>Ahora, dada la naturaleza jurídica explicada de los convenios interadministrativos</w:t>
      </w:r>
      <w:r w:rsidRPr="00F76F07">
        <w:rPr>
          <w:rFonts w:ascii="Verdana" w:eastAsia="Calibri" w:hAnsi="Verdana"/>
          <w:bCs/>
          <w:i/>
          <w:iCs/>
          <w:sz w:val="20"/>
          <w:szCs w:val="20"/>
          <w:lang w:eastAsia="es-ES_tradnl" w:bidi="es-ES"/>
        </w:rPr>
        <w:t>, las reglas del Estatuto General de Contratación de la Administración Pública contenidas en la actualidad en las Leyes 80 de 1993, 1150 de 2007 y 1474 de 2011, no resultan de aplicación automática a tales convenios, toda vez que ese Estatuto lo que esencialmente regula son relaciones contractuales de contenido patrimonial y oneroso. En tal sentido, en cada caso concreto deberá analizarse, de conformidad con la naturaleza jurídica, objeto y finalidad que se pretende cumplir o desarrollar con el respectivo convenio, si la disposición correspondiente del Estatuto Contractual es aplicable o no”</w:t>
      </w:r>
      <w:r w:rsidRPr="00F76F07">
        <w:rPr>
          <w:rFonts w:ascii="Verdana" w:eastAsia="Calibri" w:hAnsi="Verdana"/>
          <w:bCs/>
          <w:sz w:val="20"/>
          <w:szCs w:val="20"/>
          <w:lang w:eastAsia="es-ES_tradnl" w:bidi="es-ES"/>
        </w:rPr>
        <w:t>.</w:t>
      </w:r>
      <w:r w:rsidRPr="00F76F07">
        <w:rPr>
          <w:rFonts w:ascii="Verdana" w:eastAsia="Calibri" w:hAnsi="Verdana"/>
          <w:bCs/>
          <w:sz w:val="20"/>
          <w:szCs w:val="20"/>
          <w:vertAlign w:val="superscript"/>
          <w:lang w:eastAsia="es-ES_tradnl" w:bidi="es-ES"/>
        </w:rPr>
        <w:footnoteReference w:id="5"/>
      </w:r>
      <w:r w:rsidRPr="00F76F07">
        <w:rPr>
          <w:rFonts w:ascii="Verdana" w:eastAsia="Calibri" w:hAnsi="Verdana"/>
          <w:bCs/>
          <w:sz w:val="20"/>
          <w:szCs w:val="20"/>
          <w:lang w:eastAsia="es-ES_tradnl" w:bidi="es-ES"/>
        </w:rPr>
        <w:t xml:space="preserve"> (Énfasis fuera del texto original) </w:t>
      </w:r>
    </w:p>
    <w:p w14:paraId="545D1E5E" w14:textId="77777777" w:rsidR="00351776" w:rsidRPr="00F76F07" w:rsidRDefault="00351776" w:rsidP="00351776">
      <w:pPr>
        <w:tabs>
          <w:tab w:val="left" w:pos="426"/>
        </w:tabs>
        <w:spacing w:after="0" w:line="276" w:lineRule="auto"/>
        <w:jc w:val="both"/>
        <w:rPr>
          <w:rFonts w:ascii="Verdana" w:eastAsia="Calibri" w:hAnsi="Verdana"/>
          <w:lang w:eastAsia="en-GB"/>
        </w:rPr>
      </w:pPr>
    </w:p>
    <w:p w14:paraId="1362E93F" w14:textId="77777777" w:rsidR="00351776" w:rsidRPr="00F76F07" w:rsidRDefault="00351776" w:rsidP="00351776">
      <w:pPr>
        <w:tabs>
          <w:tab w:val="left" w:pos="426"/>
        </w:tabs>
        <w:spacing w:line="276" w:lineRule="auto"/>
        <w:jc w:val="both"/>
        <w:rPr>
          <w:rFonts w:ascii="Verdana" w:eastAsia="Calibri" w:hAnsi="Verdana"/>
          <w:lang w:eastAsia="en-GB"/>
        </w:rPr>
      </w:pPr>
      <w:r w:rsidRPr="00F76F07">
        <w:rPr>
          <w:rFonts w:ascii="Verdana" w:eastAsia="Calibri" w:hAnsi="Verdana"/>
          <w:lang w:eastAsia="en-GB"/>
        </w:rPr>
        <w:tab/>
      </w:r>
      <w:r w:rsidRPr="00F76F07">
        <w:rPr>
          <w:rFonts w:ascii="Verdana" w:eastAsia="Calibri" w:hAnsi="Verdana"/>
          <w:lang w:eastAsia="en-GB"/>
        </w:rPr>
        <w:tab/>
        <w:t>De hecho, la distinción también se plantea en el ámbito del derecho privado con la referencia a los contratos de contraprestación y de colaboración</w:t>
      </w:r>
      <w:r w:rsidRPr="00F76F07">
        <w:rPr>
          <w:rFonts w:ascii="Verdana" w:eastAsia="Calibri" w:hAnsi="Verdana"/>
          <w:vertAlign w:val="superscript"/>
          <w:lang w:eastAsia="en-GB"/>
        </w:rPr>
        <w:footnoteReference w:id="6"/>
      </w:r>
      <w:r w:rsidRPr="00F76F07">
        <w:rPr>
          <w:rFonts w:ascii="Verdana" w:eastAsia="Calibri" w:hAnsi="Verdana"/>
          <w:lang w:eastAsia="en-GB"/>
        </w:rPr>
        <w:t xml:space="preserve">; </w:t>
      </w:r>
      <w:r w:rsidRPr="00F76F07">
        <w:rPr>
          <w:rFonts w:ascii="Verdana" w:eastAsia="Calibri" w:hAnsi="Verdana"/>
          <w:lang w:eastAsia="en-GB"/>
        </w:rPr>
        <w:lastRenderedPageBreak/>
        <w:t>sin embargo, también se rigen por unos principios comunes, pues se forman por el consentimiento y de ambos se derivan el nacimiento de obligaciones para las partes. Por ello, “[…] Es evidente que el hecho de que las partes tengan intereses concordantes no implica en modo alguno que estas relaciones no quepan en el campo de la contratación […]”</w:t>
      </w:r>
      <w:r w:rsidRPr="00F76F07">
        <w:rPr>
          <w:rFonts w:ascii="Verdana" w:eastAsia="Calibri" w:hAnsi="Verdana"/>
          <w:vertAlign w:val="superscript"/>
          <w:lang w:eastAsia="en-GB"/>
        </w:rPr>
        <w:footnoteReference w:id="7"/>
      </w:r>
      <w:r w:rsidRPr="00F76F07">
        <w:rPr>
          <w:rFonts w:ascii="Verdana" w:eastAsia="Calibri" w:hAnsi="Verdana"/>
          <w:lang w:eastAsia="en-GB"/>
        </w:rPr>
        <w:t xml:space="preserve">. </w:t>
      </w:r>
    </w:p>
    <w:p w14:paraId="549ADB58" w14:textId="77777777" w:rsidR="00351776" w:rsidRPr="00F76F07" w:rsidRDefault="00351776" w:rsidP="00351776">
      <w:pPr>
        <w:spacing w:line="276" w:lineRule="auto"/>
        <w:ind w:firstLine="709"/>
        <w:jc w:val="both"/>
        <w:rPr>
          <w:rFonts w:ascii="Verdana" w:eastAsiaTheme="minorEastAsia" w:hAnsi="Verdana"/>
          <w:lang w:eastAsia="es-CO"/>
        </w:rPr>
      </w:pPr>
      <w:r w:rsidRPr="00F76F07">
        <w:rPr>
          <w:rFonts w:ascii="Verdana" w:eastAsiaTheme="minorEastAsia" w:hAnsi="Verdana"/>
          <w:lang w:eastAsia="es-CO"/>
        </w:rPr>
        <w:t xml:space="preserve">Teniendo en cuenta lo anterior, no existe una definición legal que diferencie los conceptos de contrato y convenio. En tal sentido, teniendo en cuenta sus características comunes, las referencias realizadas por el legislador a estos términos deben asimilarse, salvo que de su contenido logre inferirse que se quiere otorgar un contenido en particular. Por lo demás, se reitera la conclusión en el sentido de que lo que define los contratos o convenios interadministrativos es la naturaleza de las partes, de manera que están determinados por un criterio orgánico, en el sentido de que lo serán aquellos celebrados entre Entidades Estatales. </w:t>
      </w:r>
    </w:p>
    <w:p w14:paraId="53DDA76B" w14:textId="77777777" w:rsidR="00351776" w:rsidRPr="00F76F07" w:rsidRDefault="00351776" w:rsidP="00351776">
      <w:pPr>
        <w:spacing w:line="276" w:lineRule="auto"/>
        <w:ind w:firstLine="709"/>
        <w:jc w:val="both"/>
        <w:rPr>
          <w:rFonts w:ascii="Verdana" w:eastAsia="Times New Roman" w:hAnsi="Verdana"/>
          <w:lang w:eastAsia="es-ES_tradnl"/>
        </w:rPr>
      </w:pPr>
      <w:r w:rsidRPr="00F76F07">
        <w:rPr>
          <w:rFonts w:ascii="Verdana" w:eastAsia="Times New Roman" w:hAnsi="Verdana"/>
          <w:lang w:eastAsia="es-ES_tradnl"/>
        </w:rPr>
        <w:t xml:space="preserve">En atención a la consulta planteada, es importante señalar que, en virtud del principio de autonomía de la voluntad de las partes, reconocido en los artículos 13, 32 y 40 de la Ley 80 de 1993, así como lo dispuesto en el artículo 1602 del Código Civil, es viable que las Entidades Estatales celebren contratos y convenios interadministrativos para satisfacer sus necesidades. En consecuencia, si una Entidad Estatal requiere contratar la ejecución de una obra con otra Entidad Pública podrá celebrar un contrato o convenio interadministrativo, con la finalidad de cumplir, en el marco de sus objetivos </w:t>
      </w:r>
      <w:r w:rsidRPr="00F76F07">
        <w:rPr>
          <w:rFonts w:ascii="Verdana" w:eastAsia="Times New Roman" w:hAnsi="Verdana"/>
          <w:lang w:eastAsia="es-ES_tradnl"/>
        </w:rPr>
        <w:lastRenderedPageBreak/>
        <w:t xml:space="preserve">misionales y sus competencias, con los fines del Estado. En todo caso, para la celebración de los contratos y convenios interadministrativos es indispensable que la entidad ejecutora cuente con un objeto que, de acuerdo con la ley o el reglamento, sea idóneo para la ejecución de la actividad contratada. Asimismo, debe tenerse en cuenta que, conforme el inciso 4 del literal c), del numeral 4, del artículo 2 de la Ley 1150 de 2007, se encuentran </w:t>
      </w:r>
      <w:r w:rsidRPr="00F76F07">
        <w:rPr>
          <w:rFonts w:ascii="Verdana" w:hAnsi="Verdana"/>
        </w:rPr>
        <w:t>exceptuados de la figura del contrato interadministrativo, los contratos de seguro de las Entidades Estatales.</w:t>
      </w:r>
    </w:p>
    <w:p w14:paraId="796C95A6" w14:textId="77777777" w:rsidR="00351776" w:rsidRPr="00F76F07" w:rsidRDefault="00351776" w:rsidP="00351776">
      <w:pPr>
        <w:spacing w:line="276" w:lineRule="auto"/>
        <w:ind w:firstLine="709"/>
        <w:jc w:val="both"/>
        <w:rPr>
          <w:rFonts w:ascii="Verdana" w:hAnsi="Verdana"/>
        </w:rPr>
      </w:pPr>
      <w:r w:rsidRPr="00F76F07">
        <w:rPr>
          <w:rFonts w:ascii="Verdana" w:eastAsia="Times New Roman" w:hAnsi="Verdana"/>
          <w:lang w:eastAsia="es-ES_tradnl"/>
        </w:rPr>
        <w:t xml:space="preserve">Ahora bien, es menester tener en cuenta que, el inciso 2 del del literal c) del numeral 4 del artículo 2 de la Ley 1150 de 2007 establece una excepción a la modalidad de selección de contratación directa para la celebración de convenios y contratos interadministrativos, al señalar que </w:t>
      </w:r>
      <w:r w:rsidRPr="00F76F07">
        <w:rPr>
          <w:rFonts w:ascii="Verdana" w:hAnsi="Verdana"/>
        </w:rPr>
        <w:t>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podrán ser ejecutados por las mismas, siempre que participen en procesos de licitación pública o contratación abreviada.</w:t>
      </w:r>
    </w:p>
    <w:p w14:paraId="55B60314" w14:textId="77777777" w:rsidR="00351776" w:rsidRPr="00F76F07" w:rsidRDefault="00351776" w:rsidP="00351776">
      <w:pPr>
        <w:spacing w:before="120" w:after="0" w:line="276" w:lineRule="auto"/>
        <w:ind w:firstLine="709"/>
        <w:jc w:val="both"/>
        <w:rPr>
          <w:rFonts w:ascii="Verdana" w:eastAsia="Calibri" w:hAnsi="Verdana"/>
          <w:lang w:val="es-ES_tradnl" w:eastAsia="es-ES_tradnl"/>
        </w:rPr>
      </w:pPr>
      <w:r w:rsidRPr="00F76F07">
        <w:rPr>
          <w:rFonts w:ascii="Verdana" w:eastAsia="Calibri" w:hAnsi="Verdana"/>
          <w:lang w:val="es-ES_tradnl" w:eastAsia="es-ES_tradnl"/>
        </w:rPr>
        <w:t>Teniendo en cuenta lo anterior es necesario hacer referencia a la modificación realizada por el artículo 92 de la Ley 1474 de 2011 al literal </w:t>
      </w:r>
      <w:hyperlink r:id="rId12" w:anchor="2.4.c" w:history="1">
        <w:r w:rsidRPr="00F76F07">
          <w:rPr>
            <w:rFonts w:ascii="Verdana" w:eastAsia="Calibri" w:hAnsi="Verdana"/>
            <w:lang w:val="es-ES_tradnl" w:eastAsia="es-ES_tradnl"/>
          </w:rPr>
          <w:t>c)</w:t>
        </w:r>
      </w:hyperlink>
      <w:r w:rsidRPr="00F76F07">
        <w:rPr>
          <w:rFonts w:ascii="Verdana" w:eastAsia="Calibri" w:hAnsi="Verdana"/>
          <w:lang w:val="es-ES_tradnl" w:eastAsia="es-ES_tradnl"/>
        </w:rPr>
        <w:t xml:space="preserve"> del numeral 4 del artículo 2 de la Ley 1150 de 2007. En efecto, el artículo 92 indicado prohíbe acudir a la causal de contratación directa para celebrar ciertas tipologías y objetos contractuales por parte de algunas entidades, incluyendo en esta restricción a las </w:t>
      </w:r>
      <w:r w:rsidRPr="00F76F07">
        <w:rPr>
          <w:rFonts w:ascii="Verdana" w:hAnsi="Verdana"/>
        </w:rPr>
        <w:t>Sociedades de Economía Mixta con participación mayoritaria del Estado</w:t>
      </w:r>
      <w:r w:rsidRPr="00F76F07">
        <w:rPr>
          <w:rFonts w:ascii="Verdana" w:eastAsia="Calibri" w:hAnsi="Verdana"/>
          <w:lang w:val="es-ES_tradnl" w:eastAsia="es-ES_tradnl"/>
        </w:rPr>
        <w:t>. En efecto, la disposición establece:</w:t>
      </w:r>
    </w:p>
    <w:p w14:paraId="42A1072F" w14:textId="77777777" w:rsidR="00351776" w:rsidRPr="00F76F07" w:rsidRDefault="00351776" w:rsidP="00351776">
      <w:pPr>
        <w:widowControl w:val="0"/>
        <w:autoSpaceDE w:val="0"/>
        <w:autoSpaceDN w:val="0"/>
        <w:spacing w:after="0" w:line="276" w:lineRule="auto"/>
        <w:ind w:left="709" w:right="709"/>
        <w:jc w:val="both"/>
        <w:rPr>
          <w:rFonts w:ascii="Verdana" w:hAnsi="Verdana"/>
          <w:lang w:val="es-ES_tradnl"/>
        </w:rPr>
      </w:pPr>
    </w:p>
    <w:p w14:paraId="369D65A6" w14:textId="77777777" w:rsidR="00351776" w:rsidRPr="00F76F07" w:rsidRDefault="00351776" w:rsidP="00351776">
      <w:pPr>
        <w:widowControl w:val="0"/>
        <w:autoSpaceDE w:val="0"/>
        <w:autoSpaceDN w:val="0"/>
        <w:spacing w:after="0" w:line="276" w:lineRule="auto"/>
        <w:ind w:left="709" w:right="709"/>
        <w:jc w:val="both"/>
        <w:rPr>
          <w:rFonts w:ascii="Verdana" w:hAnsi="Verdana"/>
          <w:sz w:val="21"/>
          <w:szCs w:val="21"/>
          <w:lang w:val="es-ES_tradnl"/>
        </w:rPr>
      </w:pPr>
      <w:r w:rsidRPr="00F76F07">
        <w:rPr>
          <w:rFonts w:ascii="Verdana" w:hAnsi="Verdana"/>
          <w:sz w:val="21"/>
          <w:szCs w:val="21"/>
          <w:lang w:val="es-ES_tradnl"/>
        </w:rPr>
        <w:t>“Artículo 92. Contratos interadministrativos. Modificase el inciso primero del literal c) del numeral 4 del artículo 2o de la Ley 1150 de 2007, el cual quedará así:</w:t>
      </w:r>
    </w:p>
    <w:p w14:paraId="4F516766" w14:textId="77777777" w:rsidR="00351776" w:rsidRPr="00F76F07" w:rsidRDefault="00351776" w:rsidP="00351776">
      <w:pPr>
        <w:widowControl w:val="0"/>
        <w:autoSpaceDE w:val="0"/>
        <w:autoSpaceDN w:val="0"/>
        <w:spacing w:after="0" w:line="276" w:lineRule="auto"/>
        <w:ind w:left="709" w:right="709"/>
        <w:jc w:val="both"/>
        <w:rPr>
          <w:rFonts w:ascii="Verdana" w:hAnsi="Verdana"/>
          <w:sz w:val="21"/>
          <w:szCs w:val="21"/>
          <w:lang w:val="es-ES_tradnl"/>
        </w:rPr>
      </w:pPr>
    </w:p>
    <w:p w14:paraId="00F88295" w14:textId="77777777" w:rsidR="00351776" w:rsidRPr="00F76F07" w:rsidRDefault="00351776" w:rsidP="00351776">
      <w:pPr>
        <w:widowControl w:val="0"/>
        <w:autoSpaceDE w:val="0"/>
        <w:autoSpaceDN w:val="0"/>
        <w:spacing w:after="0" w:line="276" w:lineRule="auto"/>
        <w:ind w:left="709" w:right="709"/>
        <w:jc w:val="both"/>
        <w:rPr>
          <w:rFonts w:ascii="Verdana" w:hAnsi="Verdana"/>
          <w:sz w:val="21"/>
          <w:szCs w:val="21"/>
          <w:lang w:val="es-ES"/>
        </w:rPr>
      </w:pPr>
      <w:r w:rsidRPr="00F76F07">
        <w:rPr>
          <w:rFonts w:ascii="Verdana" w:hAnsi="Verdana"/>
          <w:sz w:val="21"/>
          <w:szCs w:val="21"/>
          <w:lang w:val="es-ES"/>
        </w:rPr>
        <w:t xml:space="preserve">c) Contratos interadministrativos, siempre que las obligaciones derivadas del mismo tengan relación directa con el objeto de la entidad </w:t>
      </w:r>
      <w:r w:rsidRPr="00F76F07">
        <w:rPr>
          <w:rFonts w:ascii="Verdana" w:hAnsi="Verdana"/>
          <w:sz w:val="21"/>
          <w:szCs w:val="21"/>
          <w:lang w:val="es-ES"/>
        </w:rPr>
        <w:lastRenderedPageBreak/>
        <w:t>ejecutora señalado en la ley o en sus reglamentos.</w:t>
      </w:r>
    </w:p>
    <w:p w14:paraId="58B64F64" w14:textId="77777777" w:rsidR="00351776" w:rsidRPr="00F76F07" w:rsidRDefault="00351776" w:rsidP="00351776">
      <w:pPr>
        <w:widowControl w:val="0"/>
        <w:autoSpaceDE w:val="0"/>
        <w:autoSpaceDN w:val="0"/>
        <w:spacing w:after="0" w:line="276" w:lineRule="auto"/>
        <w:ind w:left="709" w:right="709"/>
        <w:jc w:val="both"/>
        <w:rPr>
          <w:rFonts w:ascii="Verdana" w:hAnsi="Verdana"/>
          <w:i/>
          <w:iCs/>
          <w:sz w:val="21"/>
          <w:szCs w:val="21"/>
          <w:lang w:val="es-ES_tradnl"/>
        </w:rPr>
      </w:pPr>
    </w:p>
    <w:p w14:paraId="6510912F" w14:textId="77777777" w:rsidR="00351776" w:rsidRPr="00F76F07" w:rsidRDefault="00351776" w:rsidP="00351776">
      <w:pPr>
        <w:widowControl w:val="0"/>
        <w:autoSpaceDE w:val="0"/>
        <w:autoSpaceDN w:val="0"/>
        <w:spacing w:after="0" w:line="276" w:lineRule="auto"/>
        <w:ind w:left="709" w:right="709"/>
        <w:jc w:val="both"/>
        <w:rPr>
          <w:rFonts w:ascii="Verdana" w:hAnsi="Verdana"/>
          <w:sz w:val="21"/>
          <w:szCs w:val="21"/>
          <w:lang w:val="es-ES_tradnl"/>
        </w:rPr>
      </w:pPr>
      <w:r w:rsidRPr="00F76F07">
        <w:rPr>
          <w:rFonts w:ascii="Verdana" w:hAnsi="Verdana"/>
          <w:i/>
          <w:iCs/>
          <w:sz w:val="21"/>
          <w:szCs w:val="21"/>
          <w:lang w:val="es-ES_tradnl"/>
        </w:rPr>
        <w:t>Se exceptúan los contratos de obra, suministro, prestación de servicios de evaluación de conformidad respecto de las normas o reglamentos técnicos, encargos fiduciarios y fiducia pública cuando</w:t>
      </w:r>
      <w:r w:rsidRPr="00F76F07">
        <w:rPr>
          <w:rFonts w:ascii="Verdana" w:hAnsi="Verdana"/>
          <w:sz w:val="21"/>
          <w:szCs w:val="21"/>
          <w:lang w:val="es-ES_tradnl"/>
        </w:rPr>
        <w:t xml:space="preserve"> las instituciones de educación superior públicas o las Sociedades de Economía Mixta con participación mayoritaria del Estado, o </w:t>
      </w:r>
      <w:r w:rsidRPr="00F76F07">
        <w:rPr>
          <w:rFonts w:ascii="Verdana" w:hAnsi="Verdana"/>
          <w:i/>
          <w:iCs/>
          <w:sz w:val="21"/>
          <w:szCs w:val="21"/>
          <w:lang w:val="es-ES_tradnl"/>
        </w:rPr>
        <w:t>las personas jurídicas sin ánimo de lucro conformadas por la asociación de entidades públicas, o las federaciones de entidades territoriales sean las ejecutoras</w:t>
      </w:r>
      <w:r w:rsidRPr="00F76F07">
        <w:rPr>
          <w:rFonts w:ascii="Verdana" w:hAnsi="Verdana"/>
          <w:sz w:val="21"/>
          <w:szCs w:val="21"/>
          <w:lang w:val="es-ES_tradnl"/>
        </w:rPr>
        <w:t>. Estos contratos podrán ser ejecutados por las mismas, siempre que participen en procesos de licitación pública o contratación abreviada de acuerdo con lo dispuesto por los numerales 1 y 2 del presente artículo”. (Cursiva fuera de texto)</w:t>
      </w:r>
    </w:p>
    <w:p w14:paraId="479EA5EB" w14:textId="77777777" w:rsidR="00351776" w:rsidRPr="00F76F07" w:rsidRDefault="00351776" w:rsidP="00351776">
      <w:pPr>
        <w:widowControl w:val="0"/>
        <w:autoSpaceDE w:val="0"/>
        <w:autoSpaceDN w:val="0"/>
        <w:spacing w:after="0" w:line="276" w:lineRule="auto"/>
        <w:ind w:left="709" w:right="709"/>
        <w:jc w:val="both"/>
        <w:rPr>
          <w:rFonts w:ascii="Verdana" w:hAnsi="Verdana"/>
          <w:lang w:val="es-ES_tradnl"/>
        </w:rPr>
      </w:pPr>
    </w:p>
    <w:p w14:paraId="2C500D27" w14:textId="77777777" w:rsidR="00351776" w:rsidRPr="008C650A" w:rsidRDefault="00351776" w:rsidP="00351776">
      <w:pPr>
        <w:spacing w:before="120" w:after="0" w:line="276" w:lineRule="auto"/>
        <w:ind w:firstLine="709"/>
        <w:jc w:val="both"/>
        <w:rPr>
          <w:rFonts w:ascii="Verdana" w:eastAsia="Calibri" w:hAnsi="Verdana"/>
          <w:lang w:val="es-ES_tradnl" w:eastAsia="es-ES_tradnl"/>
        </w:rPr>
      </w:pPr>
      <w:r w:rsidRPr="008C650A">
        <w:rPr>
          <w:rFonts w:ascii="Verdana" w:eastAsia="Calibri" w:hAnsi="Verdana"/>
          <w:lang w:val="es-ES_tradnl" w:eastAsia="es-ES_tradnl"/>
        </w:rPr>
        <w:t>La anterior constituye otra prohibición precisa para celebrar ciertos objetos y tipologías contractuales por</w:t>
      </w:r>
      <w:r w:rsidRPr="008C650A">
        <w:rPr>
          <w:rFonts w:ascii="Verdana" w:hAnsi="Verdana"/>
        </w:rPr>
        <w:t xml:space="preserve"> Sociedades de Economía Mixta con participación mayoritaria del Estado</w:t>
      </w:r>
      <w:r w:rsidRPr="008C650A">
        <w:rPr>
          <w:rFonts w:ascii="Verdana" w:eastAsia="Calibri" w:hAnsi="Verdana"/>
          <w:lang w:val="es-ES_tradnl" w:eastAsia="es-ES_tradnl"/>
        </w:rPr>
        <w:t>. En particular, se exceptúa la posibilidad de acudir a la causal de los contratos interadministrativos para celebrar directamente contratos de obra, suministro, prestación de servicios de evaluación respecto de las normas o reglamentos técnicos, encargos fiduciarios y fiducia pública.</w:t>
      </w:r>
    </w:p>
    <w:p w14:paraId="16155069" w14:textId="77777777" w:rsidR="00351776" w:rsidRPr="008C650A" w:rsidRDefault="00351776" w:rsidP="00351776">
      <w:pPr>
        <w:spacing w:before="120" w:after="0" w:line="276" w:lineRule="auto"/>
        <w:ind w:firstLine="709"/>
        <w:jc w:val="both"/>
        <w:rPr>
          <w:rFonts w:ascii="Verdana" w:eastAsia="Calibri" w:hAnsi="Verdana" w:cs="Arial"/>
          <w:color w:val="000000"/>
          <w:kern w:val="2"/>
          <w:lang w:val="es-ES" w:eastAsia="es-ES"/>
          <w14:ligatures w14:val="standardContextual"/>
        </w:rPr>
      </w:pPr>
      <w:r w:rsidRPr="008C650A">
        <w:rPr>
          <w:rFonts w:ascii="Verdana" w:eastAsia="Calibri" w:hAnsi="Verdana" w:cs="Arial"/>
          <w:color w:val="000000"/>
          <w:kern w:val="2"/>
          <w:lang w:val="es-ES" w:eastAsia="es-ES"/>
          <w14:ligatures w14:val="standardContextual"/>
        </w:rPr>
        <w:t>Respecto a su consulta debemos señalar que el artículo 92 de la Ley 1474 de 2011, expresa de manera taxativa que cuando las ejecutoras de la obra sean las instituciones de educación superior públicas o las Sociedades de Economía Mixta con participación mayoritaria del Estado, o las personas jurídicas sin ánimo de lucro conformadas por la asociación de entidades públicas, o las federaciones de entidades territoriales se prohíbe acudir a la causal de contratación directa para realizar contratos interadministrativos,  por lo anterior, la entidad debe evaluar su naturaleza para establecer si se encuentra dentro de las cuatros excepciones establecidas por la norma para que aplique esa restricción .</w:t>
      </w:r>
    </w:p>
    <w:p w14:paraId="7905A930" w14:textId="77777777" w:rsidR="008C650A" w:rsidRPr="008C650A" w:rsidRDefault="008C650A" w:rsidP="008C650A">
      <w:pPr>
        <w:spacing w:before="120" w:line="276" w:lineRule="auto"/>
        <w:ind w:firstLine="708"/>
        <w:jc w:val="both"/>
        <w:rPr>
          <w:rFonts w:ascii="Verdana" w:eastAsia="Calibri" w:hAnsi="Verdana" w:cs="Arial"/>
          <w:color w:val="000000" w:themeColor="text1"/>
          <w:lang w:val="es-ES_tradnl"/>
        </w:rPr>
      </w:pPr>
      <w:r w:rsidRPr="008C650A">
        <w:rPr>
          <w:rFonts w:ascii="Verdana" w:eastAsia="Calibri" w:hAnsi="Verdana" w:cs="Arial"/>
          <w:color w:val="000000" w:themeColor="text1"/>
          <w:lang w:val="es-ES_tradnl"/>
        </w:rPr>
        <w:t xml:space="preserve">Conforme a lo expuesto, las Entidades Estatales sometidas al Estatuto de Contratación de la Administración Pública están facultadas para celebrar contratos interadministrativos con otras entidades estatales, conforme a la causal de contratación directa establecida en el literal c) del artículo 2, numeral </w:t>
      </w:r>
      <w:r w:rsidRPr="008C650A">
        <w:rPr>
          <w:rFonts w:ascii="Verdana" w:eastAsia="Calibri" w:hAnsi="Verdana" w:cs="Arial"/>
          <w:color w:val="000000" w:themeColor="text1"/>
          <w:lang w:val="es-ES_tradnl"/>
        </w:rPr>
        <w:lastRenderedPageBreak/>
        <w:t xml:space="preserve">4 de la Ley 1150 de 2007. Dicha posibilidad </w:t>
      </w:r>
      <w:r w:rsidRPr="008C650A">
        <w:rPr>
          <w:rFonts w:ascii="Verdana" w:hAnsi="Verdana" w:cs="Arial"/>
          <w:lang w:val="es-ES_tradnl"/>
        </w:rPr>
        <w:t>está sujeta a que las obligaciones del contrato tengan relación directa con el objeto de la entidad ejecutora establecido en la ley o en sus reglamentos.</w:t>
      </w:r>
    </w:p>
    <w:p w14:paraId="69389DC1" w14:textId="6A28F183" w:rsidR="008C650A" w:rsidRPr="008C650A" w:rsidRDefault="008C650A" w:rsidP="008C650A">
      <w:pPr>
        <w:spacing w:before="120" w:after="0" w:line="276" w:lineRule="auto"/>
        <w:ind w:firstLine="708"/>
        <w:jc w:val="both"/>
        <w:rPr>
          <w:rFonts w:ascii="Verdana" w:hAnsi="Verdana" w:cs="Arial"/>
          <w:lang w:val="es-ES"/>
        </w:rPr>
      </w:pPr>
      <w:r w:rsidRPr="008C650A">
        <w:rPr>
          <w:rFonts w:ascii="Verdana" w:eastAsia="Calibri" w:hAnsi="Verdana" w:cs="Arial"/>
          <w:color w:val="000000" w:themeColor="text1"/>
          <w:lang w:val="es-ES"/>
        </w:rPr>
        <w:t>Sin embargo, el inciso segundo del referido literal c) establece una restricción dirig</w:t>
      </w:r>
      <w:r>
        <w:rPr>
          <w:rFonts w:ascii="Verdana" w:eastAsia="Calibri" w:hAnsi="Verdana" w:cs="Arial"/>
          <w:color w:val="000000" w:themeColor="text1"/>
          <w:lang w:val="es-ES"/>
        </w:rPr>
        <w:t>i</w:t>
      </w:r>
      <w:r w:rsidRPr="008C650A">
        <w:rPr>
          <w:rFonts w:ascii="Verdana" w:eastAsia="Calibri" w:hAnsi="Verdana" w:cs="Arial"/>
          <w:color w:val="000000" w:themeColor="text1"/>
          <w:lang w:val="es-ES"/>
        </w:rPr>
        <w:t>da</w:t>
      </w:r>
      <w:r w:rsidRPr="008C650A">
        <w:rPr>
          <w:rFonts w:ascii="Verdana" w:hAnsi="Verdana" w:cs="Arial"/>
          <w:lang w:val="es-ES"/>
        </w:rPr>
        <w:t xml:space="preserve"> a los contratos interadministrativo cuyo objeto sea obra, suministro, prestación de servicios de evaluación de conformidad respecto de las normas o reglamentos técnicos, encargos fiduciarios y fiducia pública, en que los que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De manera que cuando ellas sean las ejecutoras, no se pueden celebrar contratos interadministrativos de manera directa, utilizando la causal del literal c), tratándose de “contratos de obra, suministro, prestación de servicios de evaluación de conformidad respecto de las normas o reglamentos técnicos, encargos fiduciarios y fiducia pública”. En esos supuestos específicos deberán adelantarse procesos competitivos, de acuerdo con las demás modalidades de selección establecidas en el EGCAP, en los cuales dichas entidades podrían participar en igualdad de condiciones e, incluso, resultar adjudicatarias.</w:t>
      </w:r>
    </w:p>
    <w:p w14:paraId="3C08F6F7" w14:textId="77777777" w:rsidR="008C650A" w:rsidRPr="008C650A" w:rsidRDefault="008C650A" w:rsidP="08DF62E5">
      <w:pPr>
        <w:spacing w:before="120" w:after="0" w:line="276" w:lineRule="auto"/>
        <w:ind w:firstLine="708"/>
        <w:jc w:val="both"/>
        <w:rPr>
          <w:rFonts w:ascii="Verdana" w:hAnsi="Verdana" w:cs="Arial"/>
          <w:lang w:val="es-ES"/>
        </w:rPr>
      </w:pPr>
      <w:r w:rsidRPr="08DF62E5">
        <w:rPr>
          <w:rFonts w:ascii="Verdana" w:hAnsi="Verdana" w:cs="Arial"/>
          <w:lang w:val="es-ES"/>
        </w:rPr>
        <w:t xml:space="preserve">En todo caso, es claro que la restricción no alude a las empresas industriales y comerciales del Estado, como si alude a las sociedades de economía mixta. En ese sentido, tratándose de los objetos mencionados, mientras que las empresas industriales y comerciales del Estado podrían acogerse a la referida causal, celebrando el contrato interadministrativo de manera directa, las sociedades de economía mixta tendrían que participar en un proceso competitivo para poder celebrar dicho contrato. </w:t>
      </w:r>
    </w:p>
    <w:p w14:paraId="3EF73341" w14:textId="77777777" w:rsidR="008C650A" w:rsidRPr="008C650A" w:rsidRDefault="008C650A" w:rsidP="008C650A">
      <w:pPr>
        <w:spacing w:before="120" w:after="0" w:line="276" w:lineRule="auto"/>
        <w:jc w:val="both"/>
        <w:rPr>
          <w:rFonts w:ascii="Verdana" w:hAnsi="Verdana" w:cs="Arial"/>
          <w:lang w:val="es-ES_tradnl"/>
        </w:rPr>
      </w:pPr>
      <w:r w:rsidRPr="008C650A">
        <w:rPr>
          <w:rFonts w:ascii="Verdana" w:hAnsi="Verdana" w:cs="Arial"/>
          <w:lang w:val="es-ES_tradnl"/>
        </w:rPr>
        <w:tab/>
        <w:t xml:space="preserve">Sin perjuicio de lo anterior, es necesario llamar la atención sobre el hecho de que las empresas industriales y comerciales del Estado se caracterizan por ser entes creados por la ley o con autorización de la ley, los cuales tienen capital independiente </w:t>
      </w:r>
      <w:r w:rsidRPr="008C650A">
        <w:rPr>
          <w:rFonts w:ascii="Verdana" w:hAnsi="Verdana" w:cs="Arial"/>
          <w:i/>
          <w:iCs/>
          <w:lang w:val="es-ES_tradnl"/>
        </w:rPr>
        <w:t>“constituido totalmente con bienes o fondos públicos comunes, los productos de ellos, o el rendimiento de tasas que perciban por las funciones o servicios, y contribuciones de destinación especial en los casos autorizados por la Constitución”</w:t>
      </w:r>
      <w:r w:rsidRPr="008C650A">
        <w:rPr>
          <w:rFonts w:ascii="Verdana" w:hAnsi="Verdana" w:cs="Arial"/>
          <w:lang w:val="es-ES_tradnl"/>
        </w:rPr>
        <w:t xml:space="preserve">, conforme establece el literal c) del artículo 85 de la Ley 489 de </w:t>
      </w:r>
      <w:r w:rsidRPr="008C650A">
        <w:rPr>
          <w:rFonts w:ascii="Verdana" w:hAnsi="Verdana" w:cs="Arial"/>
          <w:lang w:val="es-ES_tradnl"/>
        </w:rPr>
        <w:lastRenderedPageBreak/>
        <w:t xml:space="preserve">1998. Esto a diferencia de las sociedades de economía mixta, las cuales son organismos </w:t>
      </w:r>
      <w:r w:rsidRPr="008C650A">
        <w:rPr>
          <w:rFonts w:ascii="Verdana" w:hAnsi="Verdana" w:cs="Arial"/>
          <w:i/>
          <w:iCs/>
          <w:lang w:val="es-ES_tradnl"/>
        </w:rPr>
        <w:t>“[…] constituidos bajo la forma de sociedades comerciales con aportes estatales y de capital privado”</w:t>
      </w:r>
      <w:r w:rsidRPr="008C650A">
        <w:rPr>
          <w:rFonts w:ascii="Verdana" w:hAnsi="Verdana" w:cs="Arial"/>
          <w:lang w:val="es-ES_tradnl"/>
        </w:rPr>
        <w:t xml:space="preserve">, según indica el artículo 97 de la Ley 489 de 1998. </w:t>
      </w:r>
    </w:p>
    <w:p w14:paraId="2BA52192" w14:textId="47FD6373" w:rsidR="008C650A" w:rsidRPr="008C650A" w:rsidRDefault="008C650A" w:rsidP="08DF62E5">
      <w:pPr>
        <w:spacing w:before="120" w:after="0" w:line="276" w:lineRule="auto"/>
        <w:jc w:val="both"/>
        <w:rPr>
          <w:rFonts w:ascii="Verdana" w:hAnsi="Verdana" w:cs="Arial"/>
          <w:lang w:val="es-ES"/>
        </w:rPr>
      </w:pPr>
      <w:r w:rsidRPr="008C650A">
        <w:rPr>
          <w:rFonts w:ascii="Verdana" w:hAnsi="Verdana" w:cs="Arial"/>
          <w:lang w:val="es-ES_tradnl"/>
        </w:rPr>
        <w:tab/>
      </w:r>
      <w:r w:rsidRPr="08DF62E5">
        <w:rPr>
          <w:rFonts w:ascii="Verdana" w:hAnsi="Verdana" w:cs="Arial"/>
          <w:lang w:val="es-ES"/>
        </w:rPr>
        <w:t xml:space="preserve">Dado lo anterior, la posibilidad de celebrar un negocio jurídico sobre el que versa la consulta dependerá del objeto del contrato y la naturaleza jurídica de la entidad a la que usted se refiere en la petición. De cualquier modo, la viabilidad de dicho contrato debe ser determinada por la entidad estatal contratante, a quien corresponde estudiar la naturaleza y el régimen jurídico de la otra entidad estatal con la que se pretende suscribir el contrato, para dilucidar si se trata de una sociedad de economía mixta o una empresa industrial y comercial del Estado. </w:t>
      </w:r>
    </w:p>
    <w:p w14:paraId="4ABA8B4F" w14:textId="77777777" w:rsidR="00351776" w:rsidRDefault="00351776" w:rsidP="00351776">
      <w:pPr>
        <w:spacing w:before="120" w:after="0" w:line="276" w:lineRule="auto"/>
        <w:ind w:firstLine="709"/>
        <w:jc w:val="both"/>
        <w:rPr>
          <w:rFonts w:ascii="Verdana" w:eastAsia="Calibri" w:hAnsi="Verdana" w:cs="Arial"/>
          <w:color w:val="000000"/>
          <w:kern w:val="2"/>
          <w:lang w:val="es-ES" w:eastAsia="es-ES"/>
          <w14:ligatures w14:val="standardContextual"/>
        </w:rPr>
      </w:pPr>
      <w:r w:rsidRPr="00F76F07">
        <w:rPr>
          <w:rFonts w:ascii="Verdana" w:eastAsia="Calibri" w:hAnsi="Verdana" w:cs="Arial"/>
          <w:color w:val="000000"/>
          <w:kern w:val="2"/>
          <w:lang w:val="es-ES" w:eastAsia="es-ES"/>
          <w14:ligatures w14:val="standardContextual"/>
        </w:rPr>
        <w:t xml:space="preserve">Por otra parte, respecto a si es aplicable esta prohibición a entidades del régimen especial se debe mencionar que respecto de los contratos interadministrativos y los convenios interadministrativos estos están determinados por un criterio orgánico, pues es necesario que los extremos de la relación contractual sean Entidades Estatales para que puedan ser realizados, solo sería aplicable la prohibición aquellas entidades señaladas en el mencionado artículo. Sin embargo, es necesario reiterar que las entidades de régimen especial al administrar recursos públicos deberán ceñirse a reglas mínimas que garanticen el cumplimiento de los principios de la función pública, el control fiscal y los principios rectores de la contratación estatal. Dentro de estas reglas deben indicar el contenido de las propuestas y los procedimientos de selección, llevar una descripción precisa del procedimiento, los plazos de las etapas y los criterios de evaluación y desempate, y todos los criterios necesarios para garantizar la selección objetiva y la protección del interés general. </w:t>
      </w:r>
    </w:p>
    <w:p w14:paraId="717F3442" w14:textId="77777777" w:rsidR="00217D30" w:rsidRDefault="00217D30" w:rsidP="00351776">
      <w:pPr>
        <w:spacing w:before="120" w:after="0" w:line="276" w:lineRule="auto"/>
        <w:ind w:firstLine="709"/>
        <w:jc w:val="both"/>
        <w:rPr>
          <w:rFonts w:ascii="Verdana" w:eastAsia="Calibri" w:hAnsi="Verdana" w:cs="Arial"/>
          <w:color w:val="000000"/>
          <w:kern w:val="2"/>
          <w:lang w:val="es-ES" w:eastAsia="es-ES"/>
          <w14:ligatures w14:val="standardContextual"/>
        </w:rPr>
      </w:pPr>
    </w:p>
    <w:p w14:paraId="3804AAA8" w14:textId="77777777" w:rsidR="00217D30" w:rsidRPr="00593A5F" w:rsidRDefault="00217D30" w:rsidP="00217D30">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lang w:val="es-ES"/>
        </w:rPr>
      </w:pPr>
      <w:r w:rsidRPr="00593A5F">
        <w:rPr>
          <w:rFonts w:ascii="Verdana" w:eastAsia="Century Gothic" w:hAnsi="Verdana" w:cs="Century Gothic"/>
          <w:b/>
          <w:bCs/>
          <w:lang w:val="es-ES"/>
        </w:rPr>
        <w:t>Referencias normativas, jurisprudenciales y otras fuentes:</w:t>
      </w:r>
    </w:p>
    <w:p w14:paraId="2613D16A" w14:textId="77777777" w:rsidR="00217D30" w:rsidRDefault="00217D30" w:rsidP="00217D30">
      <w:pPr>
        <w:spacing w:before="120" w:after="0" w:line="276" w:lineRule="auto"/>
        <w:jc w:val="both"/>
        <w:rPr>
          <w:rFonts w:ascii="Verdana" w:eastAsia="Calibri" w:hAnsi="Verdana" w:cs="Arial"/>
          <w:color w:val="000000"/>
          <w:kern w:val="2"/>
          <w:lang w:val="es-ES" w:eastAsia="es-ES"/>
          <w14:ligatures w14:val="standardContextual"/>
        </w:rPr>
      </w:pPr>
    </w:p>
    <w:p w14:paraId="42CC9FD0" w14:textId="5B525CC4" w:rsidR="00057853" w:rsidRPr="00057853" w:rsidRDefault="00057853" w:rsidP="00217D30">
      <w:pPr>
        <w:pStyle w:val="Prrafodelista"/>
        <w:widowControl w:val="0"/>
        <w:numPr>
          <w:ilvl w:val="0"/>
          <w:numId w:val="2"/>
        </w:numPr>
        <w:autoSpaceDE w:val="0"/>
        <w:autoSpaceDN w:val="0"/>
        <w:spacing w:after="120" w:line="276" w:lineRule="auto"/>
        <w:contextualSpacing w:val="0"/>
        <w:jc w:val="both"/>
        <w:rPr>
          <w:rFonts w:ascii="Verdana" w:hAnsi="Verdana" w:cs="Arial"/>
          <w:color w:val="7030A0"/>
          <w:sz w:val="22"/>
        </w:rPr>
      </w:pPr>
      <w:r w:rsidRPr="00F76F07">
        <w:rPr>
          <w:rFonts w:ascii="Verdana" w:eastAsiaTheme="minorEastAsia" w:hAnsi="Verdana"/>
          <w:lang w:eastAsia="es-CO"/>
        </w:rPr>
        <w:t>artículo 2.2.1.2.1.4.4</w:t>
      </w:r>
      <w:r>
        <w:rPr>
          <w:rFonts w:ascii="Verdana" w:eastAsiaTheme="minorEastAsia" w:hAnsi="Verdana"/>
          <w:lang w:eastAsia="es-CO"/>
        </w:rPr>
        <w:t xml:space="preserve"> del decreto 1082 de 2015, Disponible en: </w:t>
      </w:r>
      <w:hyperlink r:id="rId13" w:history="1">
        <w:r w:rsidRPr="00836E04">
          <w:rPr>
            <w:rStyle w:val="Hipervnculo"/>
            <w:rFonts w:ascii="Verdana" w:eastAsiaTheme="minorEastAsia" w:hAnsi="Verdana"/>
            <w:lang w:eastAsia="es-CO"/>
          </w:rPr>
          <w:t>https://relatoria.colombiacompra.gov.co/normativa/decreto-1082-de-2015/</w:t>
        </w:r>
      </w:hyperlink>
      <w:r>
        <w:rPr>
          <w:rFonts w:ascii="Verdana" w:eastAsiaTheme="minorEastAsia" w:hAnsi="Verdana"/>
          <w:lang w:eastAsia="es-CO"/>
        </w:rPr>
        <w:t xml:space="preserve"> </w:t>
      </w:r>
    </w:p>
    <w:p w14:paraId="615595F0" w14:textId="20930251" w:rsidR="008A59FE" w:rsidRPr="008A59FE" w:rsidRDefault="008A59FE" w:rsidP="00217D30">
      <w:pPr>
        <w:pStyle w:val="Prrafodelista"/>
        <w:widowControl w:val="0"/>
        <w:numPr>
          <w:ilvl w:val="0"/>
          <w:numId w:val="2"/>
        </w:numPr>
        <w:autoSpaceDE w:val="0"/>
        <w:autoSpaceDN w:val="0"/>
        <w:spacing w:after="120" w:line="276" w:lineRule="auto"/>
        <w:contextualSpacing w:val="0"/>
        <w:jc w:val="both"/>
        <w:rPr>
          <w:rFonts w:ascii="Verdana" w:hAnsi="Verdana" w:cs="Arial"/>
          <w:color w:val="7030A0"/>
          <w:sz w:val="22"/>
        </w:rPr>
      </w:pPr>
      <w:r w:rsidRPr="008A59FE">
        <w:rPr>
          <w:rFonts w:ascii="Verdana" w:eastAsia="Calibri" w:hAnsi="Verdana" w:cs="Arial"/>
          <w:color w:val="000000" w:themeColor="text1"/>
          <w:sz w:val="22"/>
          <w:lang w:val="es-ES"/>
        </w:rPr>
        <w:lastRenderedPageBreak/>
        <w:t>Artículo 92 de la Ley 1474 de 2011</w:t>
      </w:r>
      <w:r w:rsidR="00057853">
        <w:rPr>
          <w:rFonts w:ascii="Verdana" w:eastAsia="Calibri" w:hAnsi="Verdana" w:cs="Arial"/>
          <w:color w:val="000000" w:themeColor="text1"/>
          <w:sz w:val="22"/>
          <w:lang w:val="es-ES"/>
        </w:rPr>
        <w:t xml:space="preserve">, Disponible en: </w:t>
      </w:r>
      <w:hyperlink r:id="rId14" w:history="1">
        <w:r w:rsidR="00057853" w:rsidRPr="00836E04">
          <w:rPr>
            <w:rStyle w:val="Hipervnculo"/>
            <w:rFonts w:ascii="Verdana" w:eastAsia="Calibri" w:hAnsi="Verdana" w:cs="Arial"/>
            <w:sz w:val="22"/>
            <w:lang w:val="es-ES"/>
          </w:rPr>
          <w:t>https://relatoria.colombiacompra.gov.co/normativa/ley-1474-de-2011/</w:t>
        </w:r>
      </w:hyperlink>
      <w:r w:rsidR="00057853">
        <w:rPr>
          <w:rFonts w:ascii="Verdana" w:eastAsia="Calibri" w:hAnsi="Verdana" w:cs="Arial"/>
          <w:color w:val="000000" w:themeColor="text1"/>
          <w:sz w:val="22"/>
          <w:lang w:val="es-ES"/>
        </w:rPr>
        <w:t xml:space="preserve"> </w:t>
      </w:r>
    </w:p>
    <w:p w14:paraId="30264D2A" w14:textId="77777777" w:rsidR="00057853" w:rsidRPr="008C650A" w:rsidRDefault="00217D30" w:rsidP="00217D30">
      <w:pPr>
        <w:pStyle w:val="Prrafodelista"/>
        <w:widowControl w:val="0"/>
        <w:numPr>
          <w:ilvl w:val="0"/>
          <w:numId w:val="2"/>
        </w:numPr>
        <w:autoSpaceDE w:val="0"/>
        <w:autoSpaceDN w:val="0"/>
        <w:spacing w:after="120" w:line="276" w:lineRule="auto"/>
        <w:contextualSpacing w:val="0"/>
        <w:jc w:val="both"/>
        <w:rPr>
          <w:rFonts w:ascii="Verdana" w:hAnsi="Verdana" w:cs="Arial"/>
        </w:rPr>
      </w:pPr>
      <w:r w:rsidRPr="008C650A">
        <w:rPr>
          <w:rFonts w:ascii="Verdana" w:hAnsi="Verdana" w:cs="Arial"/>
        </w:rPr>
        <w:t xml:space="preserve">Jurisprudencia del Consejo de Estado. </w:t>
      </w:r>
    </w:p>
    <w:p w14:paraId="4FFB7BED" w14:textId="62E52DD7" w:rsidR="00057853" w:rsidRDefault="00057853" w:rsidP="00057853">
      <w:pPr>
        <w:pStyle w:val="Prrafodelista"/>
        <w:widowControl w:val="0"/>
        <w:numPr>
          <w:ilvl w:val="1"/>
          <w:numId w:val="2"/>
        </w:numPr>
        <w:autoSpaceDE w:val="0"/>
        <w:autoSpaceDN w:val="0"/>
        <w:spacing w:after="120" w:line="276" w:lineRule="auto"/>
        <w:contextualSpacing w:val="0"/>
        <w:jc w:val="both"/>
        <w:rPr>
          <w:rFonts w:ascii="Verdana" w:hAnsi="Verdana" w:cs="Arial"/>
        </w:rPr>
      </w:pPr>
      <w:r w:rsidRPr="00057853">
        <w:rPr>
          <w:rFonts w:ascii="Verdana" w:hAnsi="Verdana" w:cs="Arial"/>
        </w:rPr>
        <w:t xml:space="preserve">Consejo de Estado. Sección Tercera. Sentencia del 23 de junio de 2010. </w:t>
      </w:r>
      <w:r w:rsidR="00FD01BC">
        <w:rPr>
          <w:rFonts w:ascii="Verdana" w:hAnsi="Verdana" w:cs="Arial"/>
        </w:rPr>
        <w:t>E</w:t>
      </w:r>
      <w:r>
        <w:rPr>
          <w:rFonts w:ascii="Verdana" w:hAnsi="Verdana" w:cs="Arial"/>
        </w:rPr>
        <w:t>xp</w:t>
      </w:r>
      <w:r w:rsidR="00FD01BC">
        <w:rPr>
          <w:rFonts w:ascii="Verdana" w:hAnsi="Verdana" w:cs="Arial"/>
        </w:rPr>
        <w:t>.</w:t>
      </w:r>
      <w:r>
        <w:rPr>
          <w:rFonts w:ascii="Verdana" w:hAnsi="Verdana" w:cs="Arial"/>
        </w:rPr>
        <w:t xml:space="preserve"> </w:t>
      </w:r>
      <w:r w:rsidRPr="00057853">
        <w:rPr>
          <w:rFonts w:ascii="Verdana" w:hAnsi="Verdana" w:cs="Arial"/>
        </w:rPr>
        <w:t>(17.860). Consejero Ponente: Mauricio Fajardo Gómez.</w:t>
      </w:r>
    </w:p>
    <w:p w14:paraId="4BA5E5DF" w14:textId="4BBFE559" w:rsidR="00057853" w:rsidRDefault="00057853" w:rsidP="00057853">
      <w:pPr>
        <w:pStyle w:val="Prrafodelista"/>
        <w:widowControl w:val="0"/>
        <w:numPr>
          <w:ilvl w:val="1"/>
          <w:numId w:val="2"/>
        </w:numPr>
        <w:autoSpaceDE w:val="0"/>
        <w:autoSpaceDN w:val="0"/>
        <w:spacing w:after="120" w:line="276" w:lineRule="auto"/>
        <w:contextualSpacing w:val="0"/>
        <w:jc w:val="both"/>
        <w:rPr>
          <w:rFonts w:ascii="Verdana" w:hAnsi="Verdana" w:cs="Arial"/>
        </w:rPr>
      </w:pPr>
      <w:r w:rsidRPr="00057853">
        <w:rPr>
          <w:rFonts w:ascii="Verdana" w:hAnsi="Verdana" w:cs="Arial"/>
        </w:rPr>
        <w:t>Consejo de Estado. Sección Tercera. Subsección C. Sentencia del 11 de diciembre de 2019. Exp. 46.986. C.P. Jaime Enrique Rodríguez Navas.</w:t>
      </w:r>
    </w:p>
    <w:p w14:paraId="134CEDD3" w14:textId="300806CE" w:rsidR="00217D30" w:rsidRPr="008C650A" w:rsidRDefault="00FD01BC" w:rsidP="00FD01BC">
      <w:pPr>
        <w:pStyle w:val="Prrafodelista"/>
        <w:widowControl w:val="0"/>
        <w:numPr>
          <w:ilvl w:val="1"/>
          <w:numId w:val="2"/>
        </w:numPr>
        <w:autoSpaceDE w:val="0"/>
        <w:autoSpaceDN w:val="0"/>
        <w:spacing w:after="120" w:line="276" w:lineRule="auto"/>
        <w:contextualSpacing w:val="0"/>
        <w:jc w:val="both"/>
        <w:rPr>
          <w:rFonts w:ascii="Verdana" w:hAnsi="Verdana" w:cs="Arial"/>
        </w:rPr>
      </w:pPr>
      <w:r w:rsidRPr="00FD01BC">
        <w:rPr>
          <w:rFonts w:ascii="Verdana" w:hAnsi="Verdana" w:cs="Arial"/>
        </w:rPr>
        <w:t>Consejo De Estado. Sala de Consulta y Servicio Civil. Concepto 26 de julio de 2016. Exp. 2.257. C.P. Álvaro Namén Vargas.</w:t>
      </w:r>
      <w:r>
        <w:rPr>
          <w:rFonts w:ascii="Verdana" w:hAnsi="Verdana" w:cs="Arial"/>
        </w:rPr>
        <w:t xml:space="preserve"> </w:t>
      </w:r>
      <w:r w:rsidR="00217D30" w:rsidRPr="00FD01BC">
        <w:rPr>
          <w:rFonts w:ascii="Verdana" w:hAnsi="Verdana" w:cs="Arial"/>
        </w:rPr>
        <w:t xml:space="preserve">Disponible en: </w:t>
      </w:r>
      <w:hyperlink r:id="rId15" w:history="1">
        <w:r w:rsidR="00217D30" w:rsidRPr="008C650A">
          <w:rPr>
            <w:rStyle w:val="Hipervnculo"/>
            <w:rFonts w:ascii="Verdana" w:hAnsi="Verdana" w:cs="Arial"/>
            <w:color w:val="auto"/>
          </w:rPr>
          <w:t>https://relatoria.colombiacompra.gov.co/providencias-consejo-de-estado/</w:t>
        </w:r>
      </w:hyperlink>
      <w:r w:rsidR="00217D30" w:rsidRPr="008C650A">
        <w:rPr>
          <w:rFonts w:ascii="Verdana" w:hAnsi="Verdana" w:cs="Arial"/>
        </w:rPr>
        <w:t xml:space="preserve"> </w:t>
      </w:r>
    </w:p>
    <w:p w14:paraId="560F67A1" w14:textId="77777777" w:rsidR="00217D30" w:rsidRPr="00217D30" w:rsidRDefault="00217D30" w:rsidP="00217D30">
      <w:pPr>
        <w:spacing w:before="120" w:after="0" w:line="276" w:lineRule="auto"/>
        <w:jc w:val="both"/>
        <w:rPr>
          <w:rFonts w:ascii="Verdana" w:eastAsia="Calibri" w:hAnsi="Verdana" w:cs="Arial"/>
          <w:color w:val="000000"/>
          <w:kern w:val="2"/>
          <w:lang w:val="es-MX" w:eastAsia="es-ES"/>
          <w14:ligatures w14:val="standardContextual"/>
        </w:rPr>
      </w:pPr>
    </w:p>
    <w:p w14:paraId="280779EF" w14:textId="77777777" w:rsidR="008A59FE" w:rsidRPr="00593A5F" w:rsidRDefault="008A59FE" w:rsidP="008A59FE">
      <w:pPr>
        <w:widowControl w:val="0"/>
        <w:autoSpaceDE w:val="0"/>
        <w:autoSpaceDN w:val="0"/>
        <w:spacing w:after="0" w:line="276" w:lineRule="auto"/>
        <w:jc w:val="both"/>
        <w:rPr>
          <w:rFonts w:ascii="Verdana" w:hAnsi="Verdana" w:cs="Arial"/>
        </w:rPr>
      </w:pPr>
    </w:p>
    <w:p w14:paraId="41DD95A0" w14:textId="77777777" w:rsidR="008A59FE" w:rsidRPr="00593A5F" w:rsidRDefault="008A59FE" w:rsidP="008A59FE">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lang w:val="es-ES"/>
        </w:rPr>
      </w:pPr>
      <w:r>
        <w:rPr>
          <w:rFonts w:ascii="Verdana" w:eastAsia="Century Gothic" w:hAnsi="Verdana" w:cs="Century Gothic"/>
          <w:b/>
          <w:bCs/>
          <w:lang w:val="es-ES"/>
        </w:rPr>
        <w:t>Doctrina de la Agencia Nacional de Contratación Pública</w:t>
      </w:r>
      <w:r w:rsidRPr="00593A5F">
        <w:rPr>
          <w:rFonts w:ascii="Verdana" w:eastAsia="Century Gothic" w:hAnsi="Verdana" w:cs="Century Gothic"/>
          <w:b/>
          <w:bCs/>
          <w:lang w:val="es-ES"/>
        </w:rPr>
        <w:t>:</w:t>
      </w:r>
    </w:p>
    <w:p w14:paraId="6CC1DFC2" w14:textId="77777777" w:rsidR="008A59FE" w:rsidRPr="00593A5F" w:rsidRDefault="008A59FE" w:rsidP="008A59FE">
      <w:pPr>
        <w:widowControl w:val="0"/>
        <w:autoSpaceDE w:val="0"/>
        <w:autoSpaceDN w:val="0"/>
        <w:spacing w:after="0" w:line="276" w:lineRule="auto"/>
        <w:jc w:val="both"/>
        <w:rPr>
          <w:rFonts w:ascii="Verdana" w:hAnsi="Verdana" w:cs="Arial"/>
        </w:rPr>
      </w:pPr>
    </w:p>
    <w:p w14:paraId="64B1FE00" w14:textId="61EA11B2" w:rsidR="008A59FE" w:rsidRDefault="008A59FE" w:rsidP="008A59FE">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8A59FE">
        <w:rPr>
          <w:rStyle w:val="normaltextrun"/>
          <w:rFonts w:ascii="Verdana" w:hAnsi="Verdana" w:cs="Arial"/>
          <w:shd w:val="clear" w:color="auto" w:fill="FFFFFF"/>
          <w:lang w:val="es-ES"/>
        </w:rPr>
        <w:t xml:space="preserve">Sobre la tipología contractual de los contratos y convenios interadministrativos se pronunció esta Subdirección en los </w:t>
      </w:r>
      <w:r w:rsidRPr="008A59FE">
        <w:rPr>
          <w:rFonts w:ascii="Century Gothic" w:eastAsia="Calibri" w:hAnsi="Century Gothic" w:cs="Arial"/>
          <w:lang w:val="es-ES" w:eastAsia="es-ES"/>
        </w:rPr>
        <w:t xml:space="preserve">Conceptos </w:t>
      </w:r>
      <w:r w:rsidRPr="00A446AF">
        <w:rPr>
          <w:rFonts w:ascii="Century Gothic" w:eastAsia="Calibri" w:hAnsi="Century Gothic" w:cs="Arial"/>
          <w:color w:val="000000"/>
          <w:lang w:val="es-ES" w:eastAsia="es-ES"/>
        </w:rPr>
        <w:t xml:space="preserve">4201913000004536 del 27 de julio del 2019, C-023 del 13 de febrero del 2020, C-220 del 13 de abril del 2020, C-681 del 19 de noviembre del 2020, C-552 del 5 de octubre del 2021, C-387 del 15 de junio de 2022, C-562 del 7 de septiembre del 2022 y C-114 del 4 de mayo de 2023. Asimismo, en los conceptos 2201913000007117 del 25 de septiembre del 2019, C-211 del 11 de abril del 2020, C-714 del 9 de diciembre del 2020, </w:t>
      </w:r>
      <w:r w:rsidRPr="00A446AF">
        <w:rPr>
          <w:rFonts w:ascii="Century Gothic" w:eastAsia="Calibri" w:hAnsi="Century Gothic"/>
          <w:lang w:eastAsia="en-GB"/>
        </w:rPr>
        <w:t xml:space="preserve">C-168 del 14 de abril de 2021, </w:t>
      </w:r>
      <w:r w:rsidRPr="00A446AF">
        <w:rPr>
          <w:rFonts w:ascii="Century Gothic" w:eastAsia="Calibri" w:hAnsi="Century Gothic"/>
          <w:lang w:val="es-ES" w:eastAsia="es-ES_tradnl"/>
        </w:rPr>
        <w:t xml:space="preserve">C-585 de 15 de octubre de 2021, C-639 del 14 de marzo de 2021, </w:t>
      </w:r>
      <w:r w:rsidRPr="00A446AF">
        <w:rPr>
          <w:rFonts w:ascii="Century Gothic" w:eastAsia="Calibri" w:hAnsi="Century Gothic"/>
          <w:lang w:eastAsia="en-GB"/>
        </w:rPr>
        <w:t xml:space="preserve">C-664 del 1° de septiembre de 2022, </w:t>
      </w:r>
      <w:r w:rsidRPr="00A446AF">
        <w:rPr>
          <w:rFonts w:ascii="Century Gothic" w:eastAsia="Calibri" w:hAnsi="Century Gothic"/>
          <w:lang w:val="es-ES" w:eastAsia="es-ES_tradnl"/>
        </w:rPr>
        <w:t>C-771 del 29 de diciembre de 2022, y C-354 del 6 de septiembre de 2023,</w:t>
      </w:r>
      <w:r w:rsidRPr="00A446AF">
        <w:rPr>
          <w:rFonts w:ascii="Century Gothic" w:eastAsia="Times New Roman" w:hAnsi="Century Gothic" w:cs="Arial"/>
          <w:lang w:val="es-ES" w:eastAsia="es-ES"/>
        </w:rPr>
        <w:t xml:space="preserve"> </w:t>
      </w:r>
      <w:r w:rsidRPr="00A1554D">
        <w:rPr>
          <w:rStyle w:val="normaltextrun"/>
          <w:rFonts w:ascii="Verdana" w:hAnsi="Verdana" w:cs="Arial"/>
          <w:shd w:val="clear" w:color="auto" w:fill="FFFFFF"/>
          <w:lang w:val="es-ES"/>
        </w:rPr>
        <w:t>Es</w:t>
      </w:r>
      <w:r w:rsidRPr="00A1554D">
        <w:rPr>
          <w:rFonts w:ascii="Verdana" w:hAnsi="Verdana"/>
        </w:rPr>
        <w:t xml:space="preserve">tos y otros conceptos se encuentran disponibles para consulta en el Sistema de </w:t>
      </w:r>
      <w:r>
        <w:rPr>
          <w:rFonts w:ascii="Verdana" w:hAnsi="Verdana"/>
        </w:rPr>
        <w:t>r</w:t>
      </w:r>
      <w:r w:rsidRPr="00A1554D">
        <w:rPr>
          <w:rFonts w:ascii="Verdana" w:hAnsi="Verdana"/>
        </w:rPr>
        <w:t>elatoría de la Agencia, al cual se puede acceder a través del siguiente enlace:</w:t>
      </w:r>
      <w:r w:rsidRPr="00A1554D">
        <w:rPr>
          <w:rStyle w:val="normaltextrun"/>
          <w:rFonts w:ascii="Verdana" w:hAnsi="Verdana" w:cs="Arial"/>
          <w:shd w:val="clear" w:color="auto" w:fill="FFFFFF"/>
          <w:lang w:val="es-ES"/>
        </w:rPr>
        <w:t xml:space="preserve"> </w:t>
      </w:r>
      <w:hyperlink r:id="rId16" w:history="1">
        <w:r w:rsidRPr="00836E04">
          <w:rPr>
            <w:rStyle w:val="Hipervnculo"/>
            <w:rFonts w:ascii="Verdana" w:hAnsi="Verdana" w:cs="Arial"/>
            <w:shd w:val="clear" w:color="auto" w:fill="FFFFFF"/>
            <w:lang w:val="es-ES"/>
          </w:rPr>
          <w:t>https://relatoria.colombiacompra.gov.co/busqueda/conceptos</w:t>
        </w:r>
      </w:hyperlink>
      <w:r w:rsidRPr="008A59FE">
        <w:rPr>
          <w:rStyle w:val="normaltextrun"/>
          <w:rFonts w:ascii="Verdana" w:hAnsi="Verdana" w:cs="Arial"/>
          <w:shd w:val="clear" w:color="auto" w:fill="FFFFFF"/>
          <w:lang w:val="es-ES"/>
        </w:rPr>
        <w:t>.</w:t>
      </w:r>
      <w:r>
        <w:rPr>
          <w:rStyle w:val="normaltextrun"/>
          <w:rFonts w:ascii="Verdana" w:hAnsi="Verdana" w:cs="Arial"/>
          <w:shd w:val="clear" w:color="auto" w:fill="FFFFFF"/>
          <w:lang w:val="es-ES"/>
        </w:rPr>
        <w:t xml:space="preserve"> </w:t>
      </w:r>
    </w:p>
    <w:p w14:paraId="1B6A2ED4" w14:textId="77777777" w:rsidR="008A59FE" w:rsidRDefault="008A59FE" w:rsidP="008A59FE">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539332E9" w14:textId="77777777" w:rsidR="008A59FE" w:rsidRDefault="008A59FE" w:rsidP="008A59FE">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985B04">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r:id="rId17" w:history="1">
        <w:r w:rsidRPr="003705EA">
          <w:rPr>
            <w:rStyle w:val="Hipervnculo"/>
            <w:rFonts w:ascii="Verdana" w:hAnsi="Verdana" w:cs="Arial"/>
            <w:shd w:val="clear" w:color="auto" w:fill="FFFFFF"/>
            <w:lang w:val="es-ES"/>
          </w:rPr>
          <w:t>https://www.colombiacompra.gov.co/sala-de-prensa/boletin-digital</w:t>
        </w:r>
      </w:hyperlink>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1815A720" w14:textId="77777777" w:rsidR="008A59FE" w:rsidRDefault="008A59FE" w:rsidP="008A59FE">
      <w:pPr>
        <w:spacing w:after="0" w:line="240" w:lineRule="auto"/>
        <w:jc w:val="both"/>
        <w:rPr>
          <w:rFonts w:ascii="Verdana" w:hAnsi="Verdana"/>
        </w:rPr>
      </w:pPr>
    </w:p>
    <w:p w14:paraId="511501D0" w14:textId="403A4FD6" w:rsidR="008A59FE" w:rsidRPr="003E2460" w:rsidRDefault="008A59FE" w:rsidP="008A59FE">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2DF37B5B" w14:textId="77777777" w:rsidR="008A59FE" w:rsidRPr="003E2460" w:rsidRDefault="008A59FE" w:rsidP="008A59FE">
      <w:pPr>
        <w:spacing w:after="0" w:line="240" w:lineRule="auto"/>
        <w:jc w:val="both"/>
        <w:rPr>
          <w:rFonts w:ascii="Verdana" w:hAnsi="Verdana"/>
        </w:rPr>
      </w:pPr>
    </w:p>
    <w:p w14:paraId="70D01006" w14:textId="77777777" w:rsidR="008A59FE" w:rsidRPr="003E2460" w:rsidRDefault="008A59FE" w:rsidP="008A59FE">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79039855" w14:textId="77777777" w:rsidR="008A59FE" w:rsidRPr="003E2460" w:rsidRDefault="008A59FE" w:rsidP="008A59FE">
      <w:pPr>
        <w:spacing w:after="0" w:line="240" w:lineRule="auto"/>
        <w:jc w:val="both"/>
        <w:rPr>
          <w:rFonts w:ascii="Verdana" w:hAnsi="Verdana"/>
        </w:rPr>
      </w:pPr>
      <w:r w:rsidRPr="003E2460">
        <w:rPr>
          <w:rFonts w:ascii="Verdana" w:hAnsi="Verdana"/>
        </w:rPr>
        <w:t xml:space="preserve">Facebook: </w:t>
      </w:r>
      <w:r w:rsidRPr="003E2460">
        <w:rPr>
          <w:rStyle w:val="Hipervnculo"/>
          <w:rFonts w:ascii="Verdana" w:hAnsi="Verdana"/>
          <w:color w:val="4472C4" w:themeColor="accent1"/>
        </w:rPr>
        <w:t>ColombiaCompraEficiente</w:t>
      </w:r>
    </w:p>
    <w:p w14:paraId="2452B1A2" w14:textId="14212BDE" w:rsidR="00217D30" w:rsidRDefault="008A59FE" w:rsidP="008A59FE">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4236EF56" w14:textId="77777777" w:rsidR="008A59FE" w:rsidRPr="008A59FE" w:rsidRDefault="008A59FE" w:rsidP="008A59FE">
      <w:pPr>
        <w:spacing w:after="0" w:line="240" w:lineRule="auto"/>
        <w:jc w:val="both"/>
        <w:rPr>
          <w:rFonts w:ascii="Verdana" w:hAnsi="Verdana"/>
        </w:rPr>
      </w:pPr>
    </w:p>
    <w:p w14:paraId="13754874" w14:textId="77777777" w:rsidR="00351776" w:rsidRPr="00F76F07" w:rsidRDefault="00351776" w:rsidP="00351776">
      <w:pPr>
        <w:spacing w:before="120" w:after="0" w:line="276" w:lineRule="auto"/>
        <w:ind w:firstLine="709"/>
        <w:jc w:val="both"/>
        <w:rPr>
          <w:rFonts w:ascii="Verdana" w:eastAsia="Calibri" w:hAnsi="Verdana"/>
          <w:lang w:val="es-ES_tradnl" w:eastAsia="es-ES_tradnl"/>
        </w:rPr>
      </w:pPr>
      <w:r w:rsidRPr="00F76F07">
        <w:rPr>
          <w:rFonts w:ascii="Verdana" w:eastAsia="Calibri" w:hAnsi="Verdana" w:cs="Arial"/>
          <w:lang w:val="es-ES"/>
        </w:rPr>
        <w:t>E</w:t>
      </w:r>
      <w:r w:rsidRPr="00F76F07">
        <w:rPr>
          <w:rFonts w:ascii="Verdana" w:hAnsi="Verdana" w:cs="Arial"/>
          <w:color w:val="000000" w:themeColor="text1"/>
          <w:lang w:val="es-ES"/>
        </w:rPr>
        <w:t xml:space="preserve">ste concepto tiene el alcance previsto en el artículo 28 del Código de Procedimiento Administrativo y de lo Contencioso Administrativo. De acuerdo con el inciso 3 del artículo 226 del Código General del Proceso, aplicable por remisión del artículo 241 del Código General Disciplinario, el presente oficio no tiene el valor de un dictamen pericial, pues versa sobre puntos de derecho. </w:t>
      </w:r>
    </w:p>
    <w:p w14:paraId="15695140" w14:textId="77777777" w:rsidR="00351776" w:rsidRPr="00F76F07" w:rsidRDefault="00351776" w:rsidP="00351776">
      <w:pPr>
        <w:spacing w:after="0" w:line="276" w:lineRule="auto"/>
        <w:jc w:val="both"/>
        <w:rPr>
          <w:rFonts w:ascii="Verdana" w:hAnsi="Verdana" w:cs="Arial"/>
          <w:color w:val="000000" w:themeColor="text1"/>
          <w:lang w:val="es-ES_tradnl"/>
        </w:rPr>
      </w:pPr>
    </w:p>
    <w:p w14:paraId="045EC631" w14:textId="77777777" w:rsidR="00351776" w:rsidRPr="00F76F07" w:rsidRDefault="00351776" w:rsidP="00351776">
      <w:pPr>
        <w:tabs>
          <w:tab w:val="left" w:pos="426"/>
        </w:tabs>
        <w:spacing w:line="276" w:lineRule="auto"/>
        <w:jc w:val="both"/>
        <w:rPr>
          <w:rFonts w:ascii="Verdana" w:eastAsia="Times New Roman" w:hAnsi="Verdana" w:cs="Arial"/>
          <w:color w:val="000000" w:themeColor="text1"/>
        </w:rPr>
      </w:pPr>
      <w:r w:rsidRPr="00F76F07">
        <w:rPr>
          <w:rFonts w:ascii="Verdana" w:eastAsia="Times New Roman" w:hAnsi="Verdana" w:cs="Arial"/>
          <w:color w:val="000000" w:themeColor="text1"/>
        </w:rPr>
        <w:t>Atentamente,</w:t>
      </w:r>
    </w:p>
    <w:p w14:paraId="42E5F348" w14:textId="17DEC3FF" w:rsidR="00351776" w:rsidRPr="00F76F07" w:rsidRDefault="005F5C2D" w:rsidP="00351776">
      <w:pPr>
        <w:jc w:val="center"/>
        <w:rPr>
          <w:rFonts w:ascii="Verdana" w:eastAsia="Times New Roman" w:hAnsi="Verdana" w:cs="Arial"/>
          <w:lang w:eastAsia="es-CO"/>
        </w:rPr>
      </w:pPr>
      <w:r w:rsidRPr="004D5C25">
        <w:rPr>
          <w:rFonts w:ascii="Century Gothic" w:hAnsi="Century Gothic"/>
          <w:noProof/>
        </w:rPr>
        <w:drawing>
          <wp:inline distT="0" distB="0" distL="0" distR="0" wp14:anchorId="5811DCAF" wp14:editId="404C179E">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8"/>
                    <a:stretch>
                      <a:fillRect/>
                    </a:stretch>
                  </pic:blipFill>
                  <pic:spPr>
                    <a:xfrm>
                      <a:off x="0" y="0"/>
                      <a:ext cx="3705742" cy="1590897"/>
                    </a:xfrm>
                    <a:prstGeom prst="rect">
                      <a:avLst/>
                    </a:prstGeom>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351776" w:rsidRPr="00F76F07" w14:paraId="277D1525" w14:textId="77777777" w:rsidTr="008B0AE8">
        <w:trPr>
          <w:trHeight w:val="409"/>
        </w:trPr>
        <w:tc>
          <w:tcPr>
            <w:tcW w:w="817" w:type="dxa"/>
            <w:tcBorders>
              <w:top w:val="nil"/>
              <w:left w:val="nil"/>
              <w:bottom w:val="nil"/>
              <w:right w:val="nil"/>
            </w:tcBorders>
            <w:vAlign w:val="center"/>
            <w:hideMark/>
          </w:tcPr>
          <w:p w14:paraId="0AB2F4D1" w14:textId="77777777" w:rsidR="00351776" w:rsidRPr="00F76F07" w:rsidRDefault="00351776" w:rsidP="008B0AE8">
            <w:pPr>
              <w:spacing w:after="0" w:line="240" w:lineRule="auto"/>
              <w:jc w:val="both"/>
              <w:rPr>
                <w:rFonts w:ascii="Verdana" w:hAnsi="Verdana" w:cs="Arial"/>
                <w:sz w:val="16"/>
                <w:szCs w:val="16"/>
              </w:rPr>
            </w:pPr>
            <w:r w:rsidRPr="00F76F07">
              <w:rPr>
                <w:rFonts w:ascii="Verdana" w:hAnsi="Verdana"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0E66995F" w14:textId="77777777" w:rsidR="00351776" w:rsidRPr="00F76F07" w:rsidRDefault="00351776" w:rsidP="008B0AE8">
            <w:pPr>
              <w:spacing w:after="0" w:line="240" w:lineRule="auto"/>
              <w:jc w:val="both"/>
              <w:rPr>
                <w:rFonts w:ascii="Verdana" w:hAnsi="Verdana" w:cs="Arial"/>
                <w:sz w:val="16"/>
                <w:szCs w:val="16"/>
              </w:rPr>
            </w:pPr>
            <w:r w:rsidRPr="00F76F07">
              <w:rPr>
                <w:rFonts w:ascii="Verdana" w:hAnsi="Verdana" w:cs="Arial"/>
                <w:sz w:val="16"/>
                <w:szCs w:val="16"/>
              </w:rPr>
              <w:t>Jhonattan Gualdrón Salazar</w:t>
            </w:r>
          </w:p>
          <w:p w14:paraId="111681C5" w14:textId="77777777" w:rsidR="00351776" w:rsidRPr="00F76F07" w:rsidRDefault="00351776" w:rsidP="008B0AE8">
            <w:pPr>
              <w:spacing w:after="0" w:line="240" w:lineRule="auto"/>
              <w:jc w:val="both"/>
              <w:rPr>
                <w:rFonts w:ascii="Verdana" w:hAnsi="Verdana" w:cs="Arial"/>
                <w:sz w:val="16"/>
                <w:szCs w:val="16"/>
              </w:rPr>
            </w:pPr>
            <w:r w:rsidRPr="00F76F07">
              <w:rPr>
                <w:rFonts w:ascii="Verdana" w:hAnsi="Verdana" w:cs="Arial"/>
                <w:sz w:val="16"/>
                <w:szCs w:val="16"/>
              </w:rPr>
              <w:t>Contratista de la Subdirección de Gestión Contractual</w:t>
            </w:r>
          </w:p>
        </w:tc>
      </w:tr>
      <w:tr w:rsidR="00351776" w:rsidRPr="00F76F07" w14:paraId="30A7A240" w14:textId="77777777" w:rsidTr="008B0AE8">
        <w:trPr>
          <w:trHeight w:val="409"/>
        </w:trPr>
        <w:tc>
          <w:tcPr>
            <w:tcW w:w="817" w:type="dxa"/>
            <w:tcBorders>
              <w:top w:val="nil"/>
              <w:left w:val="nil"/>
              <w:right w:val="nil"/>
            </w:tcBorders>
            <w:vAlign w:val="center"/>
          </w:tcPr>
          <w:p w14:paraId="04A0F739" w14:textId="77777777" w:rsidR="00351776" w:rsidRPr="00F76F07" w:rsidRDefault="00351776" w:rsidP="008B0AE8">
            <w:pPr>
              <w:jc w:val="both"/>
              <w:rPr>
                <w:rFonts w:ascii="Verdana" w:hAnsi="Verdana" w:cs="Arial"/>
                <w:sz w:val="16"/>
                <w:szCs w:val="16"/>
              </w:rPr>
            </w:pPr>
            <w:r w:rsidRPr="00F76F07">
              <w:rPr>
                <w:rFonts w:ascii="Verdana" w:hAnsi="Verdana"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2E3903D3" w14:textId="77777777" w:rsidR="00351776" w:rsidRPr="00F76F07" w:rsidRDefault="00351776" w:rsidP="008B0AE8">
            <w:pPr>
              <w:pStyle w:val="Sinespaciado"/>
              <w:jc w:val="both"/>
              <w:rPr>
                <w:rFonts w:ascii="Verdana" w:hAnsi="Verdana" w:cs="Arial"/>
                <w:sz w:val="16"/>
                <w:szCs w:val="16"/>
              </w:rPr>
            </w:pPr>
            <w:r w:rsidRPr="00F76F07">
              <w:rPr>
                <w:rFonts w:ascii="Verdana" w:hAnsi="Verdana" w:cs="Arial"/>
                <w:sz w:val="16"/>
                <w:szCs w:val="16"/>
              </w:rPr>
              <w:t>Alejandro Sarmiento Cantillo</w:t>
            </w:r>
          </w:p>
          <w:p w14:paraId="5C547F61" w14:textId="77777777" w:rsidR="00351776" w:rsidRPr="00F76F07" w:rsidRDefault="00351776" w:rsidP="008B0AE8">
            <w:pPr>
              <w:spacing w:after="0" w:line="240" w:lineRule="auto"/>
              <w:jc w:val="both"/>
              <w:rPr>
                <w:rFonts w:ascii="Verdana" w:hAnsi="Verdana" w:cs="Arial"/>
                <w:sz w:val="16"/>
                <w:szCs w:val="16"/>
              </w:rPr>
            </w:pPr>
            <w:r w:rsidRPr="00F76F07">
              <w:rPr>
                <w:rFonts w:ascii="Verdana" w:hAnsi="Verdana" w:cs="Arial"/>
                <w:sz w:val="16"/>
                <w:szCs w:val="16"/>
              </w:rPr>
              <w:t>Gestor T1 ‒ 15 de Subdirección de Gestión Contractual</w:t>
            </w:r>
          </w:p>
        </w:tc>
      </w:tr>
      <w:tr w:rsidR="00351776" w:rsidRPr="00F76F07" w14:paraId="28C723C5" w14:textId="77777777" w:rsidTr="008B0AE8">
        <w:trPr>
          <w:trHeight w:val="389"/>
        </w:trPr>
        <w:tc>
          <w:tcPr>
            <w:tcW w:w="817" w:type="dxa"/>
            <w:tcBorders>
              <w:top w:val="nil"/>
              <w:left w:val="nil"/>
              <w:bottom w:val="nil"/>
              <w:right w:val="nil"/>
            </w:tcBorders>
            <w:vAlign w:val="center"/>
            <w:hideMark/>
          </w:tcPr>
          <w:p w14:paraId="2A084E50" w14:textId="77777777" w:rsidR="00351776" w:rsidRPr="00F76F07" w:rsidRDefault="00351776" w:rsidP="008B0AE8">
            <w:pPr>
              <w:spacing w:after="0" w:line="240" w:lineRule="auto"/>
              <w:jc w:val="both"/>
              <w:rPr>
                <w:rFonts w:ascii="Verdana" w:hAnsi="Verdana" w:cs="Arial"/>
                <w:sz w:val="16"/>
                <w:szCs w:val="16"/>
              </w:rPr>
            </w:pPr>
            <w:r w:rsidRPr="00F76F07">
              <w:rPr>
                <w:rFonts w:ascii="Verdana" w:hAnsi="Verdana"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1BB11D78" w14:textId="77777777" w:rsidR="00351776" w:rsidRPr="00F76F07" w:rsidRDefault="00351776" w:rsidP="008B0AE8">
            <w:pPr>
              <w:spacing w:after="0"/>
              <w:jc w:val="both"/>
              <w:rPr>
                <w:rFonts w:ascii="Verdana" w:eastAsia="Calibri" w:hAnsi="Verdana" w:cs="Arial"/>
                <w:sz w:val="16"/>
                <w:szCs w:val="16"/>
                <w:lang w:val="pt-BR" w:eastAsia="es-ES"/>
              </w:rPr>
            </w:pPr>
            <w:r w:rsidRPr="00F76F07">
              <w:rPr>
                <w:rFonts w:ascii="Verdana" w:eastAsia="Calibri" w:hAnsi="Verdana" w:cs="Arial"/>
                <w:sz w:val="16"/>
                <w:szCs w:val="16"/>
                <w:lang w:val="pt-BR" w:eastAsia="es-ES"/>
              </w:rPr>
              <w:t>Carolina Quintero Gacharna</w:t>
            </w:r>
          </w:p>
          <w:p w14:paraId="74C4463A" w14:textId="77777777" w:rsidR="00351776" w:rsidRPr="00F76F07" w:rsidRDefault="00351776" w:rsidP="008B0AE8">
            <w:pPr>
              <w:spacing w:after="0" w:line="240" w:lineRule="auto"/>
              <w:jc w:val="both"/>
              <w:rPr>
                <w:rFonts w:ascii="Verdana" w:hAnsi="Verdana" w:cs="Arial"/>
                <w:sz w:val="16"/>
                <w:szCs w:val="16"/>
              </w:rPr>
            </w:pPr>
            <w:r w:rsidRPr="00F76F07">
              <w:rPr>
                <w:rFonts w:ascii="Verdana" w:hAnsi="Verdana" w:cs="Arial"/>
                <w:sz w:val="16"/>
                <w:szCs w:val="16"/>
              </w:rPr>
              <w:t>Subdirectora de Gestión Contractual ANCP – CCE</w:t>
            </w:r>
          </w:p>
        </w:tc>
      </w:tr>
    </w:tbl>
    <w:p w14:paraId="7AB40A6A" w14:textId="77777777" w:rsidR="00351776" w:rsidRPr="00F76F07" w:rsidRDefault="00351776" w:rsidP="00351776">
      <w:pPr>
        <w:jc w:val="both"/>
        <w:rPr>
          <w:rFonts w:ascii="Verdana" w:hAnsi="Verdana"/>
        </w:rPr>
      </w:pPr>
    </w:p>
    <w:p w14:paraId="68007A25" w14:textId="77777777" w:rsidR="00351776" w:rsidRPr="00F76F07" w:rsidRDefault="00351776" w:rsidP="00351776">
      <w:pPr>
        <w:jc w:val="both"/>
        <w:rPr>
          <w:rFonts w:ascii="Verdana" w:hAnsi="Verdana"/>
        </w:rPr>
      </w:pPr>
    </w:p>
    <w:p w14:paraId="755ABE05" w14:textId="77777777" w:rsidR="00351776" w:rsidRPr="00F76F07" w:rsidRDefault="00351776" w:rsidP="00351776">
      <w:pPr>
        <w:jc w:val="both"/>
        <w:rPr>
          <w:rFonts w:ascii="Verdana" w:hAnsi="Verdana"/>
        </w:rPr>
      </w:pPr>
      <w:r w:rsidRPr="00F76F07">
        <w:rPr>
          <w:rFonts w:ascii="Verdana" w:hAnsi="Verdana"/>
        </w:rPr>
        <w:t xml:space="preserve"> </w:t>
      </w:r>
    </w:p>
    <w:p w14:paraId="3538CB31" w14:textId="77777777" w:rsidR="00351776" w:rsidRPr="00F76F07" w:rsidRDefault="00351776" w:rsidP="00351776">
      <w:pPr>
        <w:jc w:val="both"/>
        <w:rPr>
          <w:rFonts w:ascii="Verdana" w:hAnsi="Verdana"/>
        </w:rPr>
      </w:pPr>
    </w:p>
    <w:p w14:paraId="5ED7D690" w14:textId="77777777" w:rsidR="00351776" w:rsidRPr="00F76F07" w:rsidRDefault="00351776" w:rsidP="00351776">
      <w:pPr>
        <w:spacing w:after="0"/>
        <w:rPr>
          <w:rFonts w:ascii="Verdana" w:hAnsi="Verdana"/>
        </w:rPr>
      </w:pPr>
    </w:p>
    <w:p w14:paraId="194F4242" w14:textId="77777777" w:rsidR="00762852" w:rsidRPr="00F76F07" w:rsidRDefault="00762852" w:rsidP="00351776">
      <w:pPr>
        <w:rPr>
          <w:rFonts w:ascii="Verdana" w:hAnsi="Verdana"/>
        </w:rPr>
      </w:pPr>
    </w:p>
    <w:sectPr w:rsidR="00762852" w:rsidRPr="00F76F07" w:rsidSect="004368BC">
      <w:headerReference w:type="default" r:id="rId19"/>
      <w:footerReference w:type="default" r:id="rId20"/>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3A649" w14:textId="77777777" w:rsidR="0052689E" w:rsidRDefault="0052689E" w:rsidP="00636DC0">
      <w:pPr>
        <w:spacing w:after="0" w:line="240" w:lineRule="auto"/>
      </w:pPr>
      <w:r>
        <w:separator/>
      </w:r>
    </w:p>
  </w:endnote>
  <w:endnote w:type="continuationSeparator" w:id="0">
    <w:p w14:paraId="294CF0A3" w14:textId="77777777" w:rsidR="0052689E" w:rsidRDefault="0052689E" w:rsidP="00636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909B1" w14:textId="77777777" w:rsidR="00351776" w:rsidRDefault="00351776" w:rsidP="00351776">
    <w:pPr>
      <w:spacing w:after="0"/>
      <w:rPr>
        <w:rFonts w:ascii="Verdana" w:hAnsi="Verdana"/>
        <w:b/>
        <w:bCs/>
        <w:sz w:val="20"/>
        <w:szCs w:val="20"/>
      </w:rPr>
    </w:pPr>
  </w:p>
  <w:p w14:paraId="7D85885D" w14:textId="77777777" w:rsidR="00351776" w:rsidRPr="00174B77" w:rsidRDefault="00351776" w:rsidP="00351776">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6CD596A" w14:textId="77777777" w:rsidR="00351776" w:rsidRDefault="00351776" w:rsidP="00351776">
    <w:pPr>
      <w:spacing w:after="0"/>
      <w:jc w:val="both"/>
      <w:rPr>
        <w:rFonts w:ascii="Verdana" w:hAnsi="Verdana"/>
        <w:sz w:val="18"/>
        <w:szCs w:val="18"/>
      </w:rPr>
    </w:pPr>
    <w:r w:rsidRPr="00E41027">
      <w:rPr>
        <w:rFonts w:ascii="Verdana" w:hAnsi="Verdana"/>
        <w:sz w:val="18"/>
        <w:szCs w:val="18"/>
      </w:rPr>
      <w:t>Dirección: Carrera 7 # 26 – 20 - Bogotá, Colombia</w:t>
    </w:r>
  </w:p>
  <w:p w14:paraId="0EEBF421" w14:textId="77777777" w:rsidR="00351776" w:rsidRPr="00E41027" w:rsidRDefault="00351776" w:rsidP="00351776">
    <w:pPr>
      <w:spacing w:after="0"/>
      <w:jc w:val="both"/>
      <w:rPr>
        <w:rFonts w:ascii="Verdana" w:hAnsi="Verdana"/>
        <w:sz w:val="18"/>
        <w:szCs w:val="18"/>
      </w:rPr>
    </w:pPr>
    <w:r w:rsidRPr="00E41027">
      <w:rPr>
        <w:rFonts w:ascii="Verdana" w:hAnsi="Verdana"/>
        <w:sz w:val="18"/>
        <w:szCs w:val="18"/>
      </w:rPr>
      <w:t>Mesa de servicio: (+57) 601 7456788</w:t>
    </w:r>
  </w:p>
  <w:p w14:paraId="0D014772" w14:textId="77777777" w:rsidR="00351776" w:rsidRPr="00A211EE" w:rsidRDefault="00351776" w:rsidP="00351776">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r w:rsidRPr="00A211EE">
      <w:rPr>
        <w:rFonts w:ascii="Verdana" w:eastAsia="Geo" w:hAnsi="Verdana" w:cs="Geo"/>
        <w:bCs/>
        <w:color w:val="000000"/>
        <w:sz w:val="16"/>
        <w:szCs w:val="16"/>
        <w:lang w:eastAsia="es-CO"/>
      </w:rPr>
      <w:t>Código: CCE-REC-FM-13 Versión</w:t>
    </w:r>
    <w:r w:rsidRPr="00A211EE">
      <w:rPr>
        <w:rFonts w:ascii="Verdana" w:eastAsia="Arial Nova" w:hAnsi="Verdana" w:cs="Arial Nova"/>
        <w:bCs/>
        <w:color w:val="000000"/>
        <w:sz w:val="16"/>
        <w:szCs w:val="16"/>
        <w:lang w:eastAsia="es-CO"/>
      </w:rPr>
      <w:t>:</w:t>
    </w:r>
    <w:r w:rsidRPr="00A211EE">
      <w:rPr>
        <w:rFonts w:ascii="Verdana" w:eastAsia="Arial Nova" w:hAnsi="Verdana" w:cs="Arial Nova"/>
        <w:b/>
        <w:color w:val="000000"/>
        <w:sz w:val="16"/>
        <w:szCs w:val="16"/>
        <w:lang w:eastAsia="es-CO"/>
      </w:rPr>
      <w:t xml:space="preserve"> </w:t>
    </w:r>
    <w:r w:rsidRPr="00A211EE">
      <w:rPr>
        <w:rFonts w:ascii="Verdana" w:eastAsia="Geo" w:hAnsi="Verdana" w:cs="Geo"/>
        <w:sz w:val="16"/>
        <w:szCs w:val="16"/>
        <w:lang w:eastAsia="es-CO"/>
      </w:rPr>
      <w:t>01 Fecha:15-06-2023</w:t>
    </w:r>
  </w:p>
  <w:p w14:paraId="051E8F66" w14:textId="77777777" w:rsidR="00351776" w:rsidRDefault="00351776" w:rsidP="00351776">
    <w:pPr>
      <w:pStyle w:val="Piedepgina"/>
    </w:pPr>
  </w:p>
  <w:p w14:paraId="006FEB44" w14:textId="77777777" w:rsidR="00762852" w:rsidRPr="00351776" w:rsidRDefault="00762852" w:rsidP="003517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F8C0F" w14:textId="77777777" w:rsidR="0052689E" w:rsidRDefault="0052689E" w:rsidP="00636DC0">
      <w:pPr>
        <w:spacing w:after="0" w:line="240" w:lineRule="auto"/>
      </w:pPr>
      <w:r>
        <w:separator/>
      </w:r>
    </w:p>
  </w:footnote>
  <w:footnote w:type="continuationSeparator" w:id="0">
    <w:p w14:paraId="2FF3F4FE" w14:textId="77777777" w:rsidR="0052689E" w:rsidRDefault="0052689E" w:rsidP="00636DC0">
      <w:pPr>
        <w:spacing w:after="0" w:line="240" w:lineRule="auto"/>
      </w:pPr>
      <w:r>
        <w:continuationSeparator/>
      </w:r>
    </w:p>
  </w:footnote>
  <w:footnote w:id="1">
    <w:p w14:paraId="39AD1968" w14:textId="77777777" w:rsidR="00351776" w:rsidRPr="00386FE6" w:rsidRDefault="00351776" w:rsidP="00351776">
      <w:pPr>
        <w:spacing w:after="0" w:line="240" w:lineRule="auto"/>
        <w:ind w:firstLine="709"/>
        <w:contextualSpacing/>
        <w:jc w:val="both"/>
        <w:rPr>
          <w:rFonts w:ascii="Century Gothic" w:hAnsi="Century Gothic"/>
          <w:sz w:val="16"/>
          <w:szCs w:val="16"/>
        </w:rPr>
      </w:pPr>
      <w:r w:rsidRPr="00386FE6">
        <w:rPr>
          <w:rStyle w:val="Refdenotaalpie"/>
          <w:rFonts w:ascii="Century Gothic" w:hAnsi="Century Gothic"/>
          <w:sz w:val="16"/>
          <w:szCs w:val="16"/>
        </w:rPr>
        <w:footnoteRef/>
      </w:r>
      <w:r w:rsidRPr="00386FE6">
        <w:rPr>
          <w:rFonts w:ascii="Century Gothic" w:hAnsi="Century Gothic"/>
          <w:sz w:val="16"/>
          <w:szCs w:val="16"/>
        </w:rPr>
        <w:t xml:space="preserve"> Decreto 1082 de 2015: “Artículo </w:t>
      </w:r>
      <w:bookmarkStart w:id="2" w:name="_Hlk132977831"/>
      <w:r w:rsidRPr="00386FE6">
        <w:rPr>
          <w:rFonts w:ascii="Century Gothic" w:hAnsi="Century Gothic"/>
          <w:sz w:val="16"/>
          <w:szCs w:val="16"/>
        </w:rPr>
        <w:t>2.2.1.2.1.4.4</w:t>
      </w:r>
      <w:bookmarkEnd w:id="2"/>
      <w:r w:rsidRPr="00386FE6">
        <w:rPr>
          <w:rFonts w:ascii="Century Gothic" w:hAnsi="Century Gothic"/>
          <w:sz w:val="16"/>
          <w:szCs w:val="16"/>
        </w:rPr>
        <w:t>. Convenios o contratos interadministrativos. La modalidad de selección para la contratación entre Entidades Estatales es la contratación directa; y en consecuencia, le es aplicable lo establecido en el artículo 2.2.1.2.1.4.1 del presente decreto.</w:t>
      </w:r>
    </w:p>
    <w:p w14:paraId="40B47376" w14:textId="77777777" w:rsidR="00351776" w:rsidRPr="00386FE6" w:rsidRDefault="00351776" w:rsidP="00351776">
      <w:pPr>
        <w:spacing w:after="0" w:line="240" w:lineRule="auto"/>
        <w:ind w:firstLine="709"/>
        <w:contextualSpacing/>
        <w:jc w:val="both"/>
        <w:rPr>
          <w:rFonts w:ascii="Century Gothic" w:hAnsi="Century Gothic"/>
          <w:sz w:val="16"/>
          <w:szCs w:val="16"/>
        </w:rPr>
      </w:pPr>
      <w:r w:rsidRPr="00386FE6">
        <w:rPr>
          <w:rFonts w:ascii="Century Gothic" w:hAnsi="Century Gothic"/>
          <w:sz w:val="16"/>
          <w:szCs w:val="16"/>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386FE6">
        <w:rPr>
          <w:rFonts w:ascii="Century Gothic" w:hAnsi="Century Gothic"/>
          <w:spacing w:val="-1"/>
          <w:sz w:val="16"/>
          <w:szCs w:val="16"/>
        </w:rPr>
        <w:t xml:space="preserve"> </w:t>
      </w:r>
      <w:r w:rsidRPr="00386FE6">
        <w:rPr>
          <w:rFonts w:ascii="Century Gothic" w:hAnsi="Century Gothic"/>
          <w:sz w:val="16"/>
          <w:szCs w:val="16"/>
        </w:rPr>
        <w:t>Estatales”.</w:t>
      </w:r>
    </w:p>
    <w:p w14:paraId="65BE570C" w14:textId="77777777" w:rsidR="00351776" w:rsidRPr="00386FE6" w:rsidRDefault="00351776" w:rsidP="00351776">
      <w:pPr>
        <w:spacing w:after="0" w:line="240" w:lineRule="auto"/>
        <w:ind w:firstLine="709"/>
        <w:contextualSpacing/>
        <w:jc w:val="both"/>
        <w:rPr>
          <w:rFonts w:ascii="Century Gothic" w:hAnsi="Century Gothic"/>
          <w:sz w:val="16"/>
          <w:szCs w:val="16"/>
        </w:rPr>
      </w:pPr>
    </w:p>
  </w:footnote>
  <w:footnote w:id="2">
    <w:p w14:paraId="521E57C0" w14:textId="77777777" w:rsidR="00351776" w:rsidRPr="00386FE6" w:rsidRDefault="00351776" w:rsidP="00351776">
      <w:pPr>
        <w:spacing w:after="0" w:line="240" w:lineRule="auto"/>
        <w:ind w:firstLine="709"/>
        <w:contextualSpacing/>
        <w:jc w:val="both"/>
        <w:rPr>
          <w:rFonts w:ascii="Century Gothic" w:hAnsi="Century Gothic"/>
          <w:sz w:val="16"/>
          <w:szCs w:val="16"/>
        </w:rPr>
      </w:pPr>
      <w:r w:rsidRPr="00386FE6">
        <w:rPr>
          <w:rStyle w:val="Refdenotaalpie"/>
          <w:rFonts w:ascii="Century Gothic" w:hAnsi="Century Gothic"/>
          <w:sz w:val="16"/>
          <w:szCs w:val="16"/>
        </w:rPr>
        <w:footnoteRef/>
      </w:r>
      <w:r w:rsidRPr="00386FE6">
        <w:rPr>
          <w:rFonts w:ascii="Century Gothic" w:hAnsi="Century Gothic"/>
          <w:sz w:val="16"/>
          <w:szCs w:val="16"/>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386FE6">
        <w:rPr>
          <w:rFonts w:ascii="Century Gothic" w:hAnsi="Century Gothic"/>
          <w:spacing w:val="-6"/>
          <w:sz w:val="16"/>
          <w:szCs w:val="16"/>
        </w:rPr>
        <w:t xml:space="preserve"> </w:t>
      </w:r>
      <w:r w:rsidRPr="00386FE6">
        <w:rPr>
          <w:rFonts w:ascii="Century Gothic" w:hAnsi="Century Gothic"/>
          <w:sz w:val="16"/>
          <w:szCs w:val="16"/>
        </w:rPr>
        <w:t>artículo”.</w:t>
      </w:r>
    </w:p>
    <w:p w14:paraId="71194C45" w14:textId="77777777" w:rsidR="00351776" w:rsidRPr="00386FE6" w:rsidRDefault="00351776" w:rsidP="00351776">
      <w:pPr>
        <w:spacing w:after="0" w:line="240" w:lineRule="auto"/>
        <w:ind w:firstLine="709"/>
        <w:contextualSpacing/>
        <w:jc w:val="both"/>
        <w:rPr>
          <w:rFonts w:ascii="Century Gothic" w:hAnsi="Century Gothic"/>
          <w:sz w:val="16"/>
          <w:szCs w:val="16"/>
        </w:rPr>
      </w:pPr>
    </w:p>
  </w:footnote>
  <w:footnote w:id="3">
    <w:p w14:paraId="728FE601" w14:textId="77777777" w:rsidR="00351776" w:rsidRPr="00386FE6" w:rsidRDefault="00351776" w:rsidP="00351776">
      <w:pPr>
        <w:spacing w:after="0" w:line="240" w:lineRule="auto"/>
        <w:ind w:firstLine="709"/>
        <w:contextualSpacing/>
        <w:jc w:val="both"/>
        <w:rPr>
          <w:rFonts w:ascii="Century Gothic" w:hAnsi="Century Gothic"/>
          <w:sz w:val="16"/>
          <w:szCs w:val="16"/>
        </w:rPr>
      </w:pPr>
      <w:r w:rsidRPr="00386FE6">
        <w:rPr>
          <w:rStyle w:val="Refdenotaalpie"/>
          <w:rFonts w:ascii="Century Gothic" w:hAnsi="Century Gothic"/>
          <w:sz w:val="16"/>
          <w:szCs w:val="16"/>
        </w:rPr>
        <w:footnoteRef/>
      </w:r>
      <w:r w:rsidRPr="00386FE6">
        <w:rPr>
          <w:rFonts w:ascii="Century Gothic" w:hAnsi="Century Gothic"/>
          <w:position w:val="7"/>
          <w:sz w:val="16"/>
          <w:szCs w:val="16"/>
        </w:rPr>
        <w:t xml:space="preserve"> </w:t>
      </w:r>
      <w:r w:rsidRPr="00386FE6">
        <w:rPr>
          <w:rFonts w:ascii="Century Gothic" w:hAnsi="Century Gothic"/>
          <w:sz w:val="16"/>
          <w:szCs w:val="16"/>
        </w:rPr>
        <w:t>Consejo de Estado. Sección Tercera. Sentencia del 23 de junio de 2010. Radicación No. 66001-23-31-000-1998-00261-01(17.860). Consejero Ponente: Mauricio Fajardo Gómez.</w:t>
      </w:r>
    </w:p>
    <w:p w14:paraId="1577A6A2" w14:textId="77777777" w:rsidR="00351776" w:rsidRPr="00386FE6" w:rsidRDefault="00351776" w:rsidP="00351776">
      <w:pPr>
        <w:spacing w:after="0" w:line="240" w:lineRule="auto"/>
        <w:ind w:firstLine="709"/>
        <w:contextualSpacing/>
        <w:jc w:val="both"/>
        <w:rPr>
          <w:rFonts w:ascii="Century Gothic" w:hAnsi="Century Gothic"/>
          <w:sz w:val="16"/>
          <w:szCs w:val="16"/>
        </w:rPr>
      </w:pPr>
    </w:p>
  </w:footnote>
  <w:footnote w:id="4">
    <w:p w14:paraId="2A40487B" w14:textId="77777777" w:rsidR="00351776" w:rsidRPr="00386FE6" w:rsidRDefault="00351776" w:rsidP="00351776">
      <w:pPr>
        <w:spacing w:after="0" w:line="240" w:lineRule="auto"/>
        <w:ind w:firstLine="709"/>
        <w:contextualSpacing/>
        <w:jc w:val="both"/>
        <w:rPr>
          <w:rFonts w:ascii="Century Gothic" w:hAnsi="Century Gothic"/>
          <w:sz w:val="16"/>
          <w:szCs w:val="16"/>
        </w:rPr>
      </w:pPr>
      <w:r w:rsidRPr="00386FE6">
        <w:rPr>
          <w:rStyle w:val="Refdenotaalpie"/>
          <w:rFonts w:ascii="Century Gothic" w:hAnsi="Century Gothic"/>
          <w:sz w:val="16"/>
          <w:szCs w:val="16"/>
        </w:rPr>
        <w:footnoteRef/>
      </w:r>
      <w:r w:rsidRPr="00386FE6">
        <w:rPr>
          <w:rFonts w:ascii="Century Gothic" w:hAnsi="Century Gothic"/>
          <w:sz w:val="16"/>
          <w:szCs w:val="16"/>
        </w:rPr>
        <w:t xml:space="preserve"> Consejo de Estado. Sección Tercera. Subsección C. Sentencia del 11 de diciembre de 2019. Exp. 46.986. C.P. Jaime Enrique Rodríguez Navas.</w:t>
      </w:r>
    </w:p>
    <w:p w14:paraId="7F294FED" w14:textId="77777777" w:rsidR="00351776" w:rsidRPr="00386FE6" w:rsidRDefault="00351776" w:rsidP="00351776">
      <w:pPr>
        <w:spacing w:after="0" w:line="240" w:lineRule="auto"/>
        <w:ind w:firstLine="709"/>
        <w:contextualSpacing/>
        <w:jc w:val="both"/>
        <w:rPr>
          <w:rFonts w:ascii="Century Gothic" w:hAnsi="Century Gothic"/>
          <w:sz w:val="16"/>
          <w:szCs w:val="16"/>
        </w:rPr>
      </w:pPr>
    </w:p>
  </w:footnote>
  <w:footnote w:id="5">
    <w:p w14:paraId="6EEC2E9B" w14:textId="77777777" w:rsidR="00351776" w:rsidRPr="00386FE6" w:rsidRDefault="00351776" w:rsidP="00351776">
      <w:pPr>
        <w:pStyle w:val="Textonotapie"/>
        <w:ind w:firstLine="708"/>
        <w:contextualSpacing/>
        <w:jc w:val="both"/>
        <w:rPr>
          <w:rFonts w:ascii="Century Gothic" w:hAnsi="Century Gothic"/>
          <w:sz w:val="16"/>
          <w:szCs w:val="16"/>
        </w:rPr>
      </w:pPr>
      <w:r w:rsidRPr="00386FE6">
        <w:rPr>
          <w:rStyle w:val="Refdenotaalpie"/>
          <w:rFonts w:ascii="Century Gothic" w:hAnsi="Century Gothic"/>
          <w:sz w:val="16"/>
          <w:szCs w:val="16"/>
        </w:rPr>
        <w:footnoteRef/>
      </w:r>
      <w:r w:rsidRPr="00386FE6">
        <w:rPr>
          <w:rFonts w:ascii="Century Gothic" w:hAnsi="Century Gothic"/>
          <w:sz w:val="16"/>
          <w:szCs w:val="16"/>
        </w:rPr>
        <w:t xml:space="preserve"> CONSEJO DE ESTADO. Sala de Consulta y Servicio Civil. Concepto 26 de julio de 2016. Exp. 2.257. C.P. Álvaro Namén Vargas. Esta diferencia entre contrato y convenio está mucho más apuntalada en el derecho español de acuerdo con el artículo 47.1 de la Ley 40 de 2015, la cual regula el régimen jurídico del sector público. Por ello, la doctrina extrajera también estima que: “De la figura del “contrato” se diferencia la del “convenio”. Mientras el núcleo característico del “contrato” es el contenido económico de las obligaciones que asumen las partes que lo celebran, el “convenio” tiene por objeto el desarrollo de una actividad de una actividad de colaboración interadministrativa. El convenio tiene una función esencialmente organizatoria, o de promoción y fomento de actividades públicas y privadas; de forma indirecta el convenio puede tener efectos económicos, pero el fundamento de la celebración del convenio es la colaboración entre dos personas” (Cfr. BLANQUER CRIADO, David. Los contratos del sector público. Valencia: Tirant lo Blanch, 2013. p. 39).</w:t>
      </w:r>
    </w:p>
    <w:p w14:paraId="75C4E5B8" w14:textId="77777777" w:rsidR="00351776" w:rsidRPr="00386FE6" w:rsidRDefault="00351776" w:rsidP="00351776">
      <w:pPr>
        <w:pStyle w:val="Textonotapie"/>
        <w:ind w:firstLine="708"/>
        <w:contextualSpacing/>
        <w:jc w:val="both"/>
        <w:rPr>
          <w:rFonts w:ascii="Century Gothic" w:hAnsi="Century Gothic"/>
          <w:sz w:val="16"/>
          <w:szCs w:val="16"/>
        </w:rPr>
      </w:pPr>
    </w:p>
  </w:footnote>
  <w:footnote w:id="6">
    <w:p w14:paraId="1DADB5F6" w14:textId="77777777" w:rsidR="00351776" w:rsidRPr="00386FE6" w:rsidRDefault="00351776" w:rsidP="00351776">
      <w:pPr>
        <w:pStyle w:val="Textonotapie"/>
        <w:ind w:firstLine="709"/>
        <w:contextualSpacing/>
        <w:jc w:val="both"/>
        <w:rPr>
          <w:rFonts w:ascii="Century Gothic" w:hAnsi="Century Gothic"/>
          <w:sz w:val="16"/>
          <w:szCs w:val="16"/>
        </w:rPr>
      </w:pPr>
      <w:r w:rsidRPr="00386FE6">
        <w:rPr>
          <w:rStyle w:val="Refdenotaalpie"/>
          <w:rFonts w:ascii="Century Gothic" w:hAnsi="Century Gothic"/>
          <w:sz w:val="16"/>
          <w:szCs w:val="16"/>
        </w:rPr>
        <w:footnoteRef/>
      </w:r>
      <w:r w:rsidRPr="00386FE6">
        <w:rPr>
          <w:rFonts w:ascii="Century Gothic" w:hAnsi="Century Gothic"/>
          <w:sz w:val="16"/>
          <w:szCs w:val="16"/>
        </w:rPr>
        <w:t xml:space="preserve"> Por ejemplo, </w:t>
      </w:r>
      <w:bookmarkStart w:id="8" w:name="_Hlk131016907"/>
      <w:r w:rsidRPr="00386FE6">
        <w:rPr>
          <w:rFonts w:ascii="Century Gothic" w:hAnsi="Century Gothic"/>
          <w:sz w:val="16"/>
          <w:szCs w:val="16"/>
        </w:rPr>
        <w:t xml:space="preserve">Peña Nossa </w:t>
      </w:r>
      <w:bookmarkEnd w:id="8"/>
      <w:r w:rsidRPr="00386FE6">
        <w:rPr>
          <w:rFonts w:ascii="Century Gothic" w:hAnsi="Century Gothic"/>
          <w:sz w:val="16"/>
          <w:szCs w:val="16"/>
        </w:rPr>
        <w:t>estima que “La noción tradicional de contrato restringe su aplicación a los actos jurídicos de contraprestación, esto es, aquellos en los que solo existen dos partes, dos manifestaciones de voluntad, con intereses distintos y opuestos, en donde las obligaciones de las partes son interdependientes, esto es, en donde el objeto de la obligación de una de las partes es causa de la obligación de la otra. Como ejemplo de este tipo de actos tenemos la compraventa y el arrendamiento.</w:t>
      </w:r>
    </w:p>
    <w:p w14:paraId="2C2A6A6C" w14:textId="77777777" w:rsidR="00351776" w:rsidRPr="00386FE6" w:rsidRDefault="00351776" w:rsidP="00351776">
      <w:pPr>
        <w:pStyle w:val="Textonotapie"/>
        <w:ind w:firstLine="708"/>
        <w:contextualSpacing/>
        <w:jc w:val="both"/>
        <w:rPr>
          <w:rFonts w:ascii="Century Gothic" w:hAnsi="Century Gothic"/>
          <w:sz w:val="16"/>
          <w:szCs w:val="16"/>
        </w:rPr>
      </w:pPr>
      <w:r w:rsidRPr="00386FE6">
        <w:rPr>
          <w:rFonts w:ascii="Century Gothic" w:hAnsi="Century Gothic"/>
          <w:sz w:val="16"/>
          <w:szCs w:val="16"/>
        </w:rPr>
        <w:t xml:space="preserve">Una concepción moderna señala que el contrato no solo recoge relaciones jurídicas de contraprestación, debido a la existencia de actos o negocios jurídicos complejos o de colaboración en los que pueden intervenir más de dos partes, que persiguen intereses comunes y por tanto colaboran en su realización. Aquí, a diferencia de lo que sucede en los actos de contraprestación, las obligaciones de las partes son autónomas e independientes, por lo que el incumplimiento de una de ellas no afecta las obligaciones de las demás, y también difiere porque la nulidad que se pronuncie con relación a una de las partes no involucra a las demás ni afecta la validez del negocio jurídico, salvo que la nulidad sea esencial para la consecución del objeto (C. de Co., art. 903). Como ejemplo de este tipo de actos tenemos el contrato de sociedad, las uniones temporales, el contrato de </w:t>
      </w:r>
      <w:r w:rsidRPr="00386FE6">
        <w:rPr>
          <w:rFonts w:ascii="Century Gothic" w:hAnsi="Century Gothic"/>
          <w:i/>
          <w:sz w:val="16"/>
          <w:szCs w:val="16"/>
        </w:rPr>
        <w:t>joint venture,</w:t>
      </w:r>
      <w:r w:rsidRPr="00386FE6">
        <w:rPr>
          <w:rFonts w:ascii="Century Gothic" w:hAnsi="Century Gothic"/>
          <w:sz w:val="16"/>
          <w:szCs w:val="16"/>
        </w:rPr>
        <w:t xml:space="preserve"> etc.” (Cfr. PEÑA NOSSA, Lisandro. De los contratos mercantiles nacionales e internacionales. Quinta edición. Bogotá: ECOE Ediciones, 2014. Libro electrónico en formato EPUB. En el mismo sentido, ARRUBLA PAUCAR, Jaime Alberto. Contratos mercantiles: teoría general del negocio mercantil. Tomo I. Decimotercera edición. Bogotá: Legis, 2012. pp. 89-91).  </w:t>
      </w:r>
    </w:p>
    <w:p w14:paraId="724172B8" w14:textId="77777777" w:rsidR="00351776" w:rsidRPr="00386FE6" w:rsidRDefault="00351776" w:rsidP="00351776">
      <w:pPr>
        <w:pStyle w:val="Textonotapie"/>
        <w:ind w:firstLine="708"/>
        <w:contextualSpacing/>
        <w:jc w:val="both"/>
        <w:rPr>
          <w:rFonts w:ascii="Century Gothic" w:hAnsi="Century Gothic"/>
          <w:sz w:val="16"/>
          <w:szCs w:val="16"/>
        </w:rPr>
      </w:pPr>
    </w:p>
  </w:footnote>
  <w:footnote w:id="7">
    <w:p w14:paraId="53DAF39B" w14:textId="77777777" w:rsidR="00351776" w:rsidRPr="00D40808" w:rsidRDefault="00351776" w:rsidP="00351776">
      <w:pPr>
        <w:pStyle w:val="Textonotapie"/>
        <w:ind w:firstLine="708"/>
        <w:contextualSpacing/>
        <w:jc w:val="both"/>
        <w:rPr>
          <w:sz w:val="16"/>
          <w:szCs w:val="16"/>
        </w:rPr>
      </w:pPr>
      <w:r w:rsidRPr="00386FE6">
        <w:rPr>
          <w:rStyle w:val="Refdenotaalpie"/>
          <w:rFonts w:ascii="Century Gothic" w:hAnsi="Century Gothic"/>
          <w:sz w:val="16"/>
          <w:szCs w:val="16"/>
        </w:rPr>
        <w:footnoteRef/>
      </w:r>
      <w:r w:rsidRPr="00386FE6">
        <w:rPr>
          <w:rFonts w:ascii="Century Gothic" w:hAnsi="Century Gothic"/>
          <w:sz w:val="16"/>
          <w:szCs w:val="16"/>
        </w:rPr>
        <w:t xml:space="preserve"> PLANIOL</w:t>
      </w:r>
      <w:r w:rsidRPr="00D40808">
        <w:rPr>
          <w:sz w:val="16"/>
          <w:szCs w:val="16"/>
        </w:rPr>
        <w:t xml:space="preserve">, Marcel &amp; RIPERT, Jeorge. Tratado práctico de derecho civil francés. Tomo VI. La Habana: Cultural SA, 1940. p. 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0B303" w14:textId="77777777" w:rsidR="00351776" w:rsidRDefault="00351776" w:rsidP="00351776">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5C995929" wp14:editId="01FE6CEA">
          <wp:simplePos x="0" y="0"/>
          <wp:positionH relativeFrom="margin">
            <wp:align>center</wp:align>
          </wp:positionH>
          <wp:positionV relativeFrom="paragraph">
            <wp:posOffset>-250190</wp:posOffset>
          </wp:positionV>
          <wp:extent cx="1924050" cy="856004"/>
          <wp:effectExtent l="0" t="0" r="0" b="1270"/>
          <wp:wrapNone/>
          <wp:docPr id="1309089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309089902"/>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4384" behindDoc="0" locked="0" layoutInCell="1" allowOverlap="1" wp14:anchorId="18A4F985" wp14:editId="0C0512C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3040853C" w14:textId="77777777" w:rsidR="00351776" w:rsidRDefault="00351776" w:rsidP="00351776">
    <w:pPr>
      <w:pStyle w:val="Encabezado"/>
      <w:jc w:val="center"/>
    </w:pPr>
  </w:p>
  <w:p w14:paraId="36440E1D" w14:textId="77777777" w:rsidR="00351776" w:rsidRDefault="00351776" w:rsidP="00351776">
    <w:pPr>
      <w:pStyle w:val="Encabezado"/>
    </w:pPr>
  </w:p>
  <w:p w14:paraId="6BDE34AA" w14:textId="77777777" w:rsidR="00351776" w:rsidRDefault="00351776" w:rsidP="00351776">
    <w:pPr>
      <w:spacing w:after="0"/>
      <w:rPr>
        <w:rFonts w:ascii="Verdana" w:hAnsi="Verdana"/>
        <w:b/>
        <w:bCs/>
        <w:sz w:val="24"/>
        <w:szCs w:val="24"/>
      </w:rPr>
    </w:pPr>
  </w:p>
  <w:p w14:paraId="46975E8F" w14:textId="77777777" w:rsidR="00351776" w:rsidRDefault="00351776" w:rsidP="00351776">
    <w:pPr>
      <w:spacing w:after="0"/>
      <w:rPr>
        <w:rFonts w:ascii="Verdana" w:hAnsi="Verdana"/>
        <w:b/>
        <w:bCs/>
        <w:sz w:val="24"/>
        <w:szCs w:val="24"/>
      </w:rPr>
    </w:pPr>
    <w:r w:rsidRPr="00A211EE">
      <w:rPr>
        <w:rFonts w:ascii="Verdana" w:hAnsi="Verdana"/>
        <w:b/>
        <w:bCs/>
        <w:sz w:val="24"/>
        <w:szCs w:val="24"/>
      </w:rPr>
      <w:t>FORMATO PQRSD</w:t>
    </w:r>
  </w:p>
  <w:p w14:paraId="38137715" w14:textId="77777777" w:rsidR="00351776" w:rsidRPr="00A211EE" w:rsidRDefault="00351776" w:rsidP="00351776">
    <w:pPr>
      <w:spacing w:after="0" w:line="120" w:lineRule="auto"/>
      <w:rPr>
        <w:rFonts w:ascii="Verdana" w:hAnsi="Verdana"/>
        <w:b/>
        <w:bCs/>
        <w:sz w:val="24"/>
        <w:szCs w:val="24"/>
      </w:rPr>
    </w:pPr>
  </w:p>
  <w:p w14:paraId="5DCC2004" w14:textId="77777777" w:rsidR="00762852" w:rsidRPr="005B5D8B" w:rsidRDefault="00762852" w:rsidP="005B5D8B">
    <w:pPr>
      <w:spacing w:after="0"/>
      <w:rPr>
        <w:rFonts w:ascii="Century Gothic" w:eastAsia="Geo" w:hAnsi="Century Gothic" w:cs="Geo"/>
        <w:sz w:val="16"/>
        <w:szCs w:val="16"/>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9D726F5"/>
    <w:multiLevelType w:val="hybridMultilevel"/>
    <w:tmpl w:val="BD7CCD68"/>
    <w:lvl w:ilvl="0" w:tplc="040A0001">
      <w:start w:val="1"/>
      <w:numFmt w:val="bullet"/>
      <w:lvlText w:val=""/>
      <w:lvlJc w:val="left"/>
      <w:pPr>
        <w:ind w:left="720" w:hanging="360"/>
      </w:pPr>
      <w:rPr>
        <w:rFonts w:ascii="Symbol" w:hAnsi="Symbol" w:hint="default"/>
      </w:rPr>
    </w:lvl>
    <w:lvl w:ilvl="1" w:tplc="25BE362E">
      <w:numFmt w:val="bullet"/>
      <w:lvlText w:val="•"/>
      <w:lvlJc w:val="left"/>
      <w:pPr>
        <w:ind w:left="1440" w:hanging="360"/>
      </w:pPr>
      <w:rPr>
        <w:rFonts w:hint="default"/>
        <w:lang w:val="es-ES" w:eastAsia="en-US" w:bidi="ar-SA"/>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341274352">
    <w:abstractNumId w:val="0"/>
  </w:num>
  <w:num w:numId="2" w16cid:durableId="679089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DC0"/>
    <w:rsid w:val="00017B1D"/>
    <w:rsid w:val="00057853"/>
    <w:rsid w:val="00186A95"/>
    <w:rsid w:val="002005BE"/>
    <w:rsid w:val="00217D30"/>
    <w:rsid w:val="002870A5"/>
    <w:rsid w:val="00317111"/>
    <w:rsid w:val="00351776"/>
    <w:rsid w:val="00386FE6"/>
    <w:rsid w:val="004208B9"/>
    <w:rsid w:val="0043496D"/>
    <w:rsid w:val="00503302"/>
    <w:rsid w:val="0052689E"/>
    <w:rsid w:val="005C577B"/>
    <w:rsid w:val="005F5C2D"/>
    <w:rsid w:val="006113E1"/>
    <w:rsid w:val="00636DC0"/>
    <w:rsid w:val="00683AAE"/>
    <w:rsid w:val="00762852"/>
    <w:rsid w:val="00823B2F"/>
    <w:rsid w:val="008A59FE"/>
    <w:rsid w:val="008C650A"/>
    <w:rsid w:val="00903847"/>
    <w:rsid w:val="00A446AF"/>
    <w:rsid w:val="00B92F35"/>
    <w:rsid w:val="00D369D8"/>
    <w:rsid w:val="00D46553"/>
    <w:rsid w:val="00D55FC7"/>
    <w:rsid w:val="00DE7F2D"/>
    <w:rsid w:val="00E270E6"/>
    <w:rsid w:val="00E347E8"/>
    <w:rsid w:val="00EA23FA"/>
    <w:rsid w:val="00F76F07"/>
    <w:rsid w:val="00FD01BC"/>
    <w:rsid w:val="08DF62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59C32"/>
  <w15:chartTrackingRefBased/>
  <w15:docId w15:val="{A47B306E-524A-5848-A3D1-FB627B242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DC0"/>
    <w:pPr>
      <w:spacing w:after="160" w:line="259" w:lineRule="auto"/>
    </w:pPr>
    <w:rPr>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6D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6DC0"/>
    <w:rPr>
      <w:kern w:val="0"/>
      <w:sz w:val="22"/>
      <w:szCs w:val="22"/>
      <w14:ligatures w14:val="none"/>
    </w:rPr>
  </w:style>
  <w:style w:type="paragraph" w:styleId="Piedepgina">
    <w:name w:val="footer"/>
    <w:basedOn w:val="Normal"/>
    <w:link w:val="PiedepginaCar"/>
    <w:uiPriority w:val="99"/>
    <w:unhideWhenUsed/>
    <w:rsid w:val="00636D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6DC0"/>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36DC0"/>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36DC0"/>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636DC0"/>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36DC0"/>
    <w:rPr>
      <w:vertAlign w:val="superscript"/>
    </w:rPr>
  </w:style>
  <w:style w:type="table" w:styleId="Tablaconcuadrcula">
    <w:name w:val="Table Grid"/>
    <w:basedOn w:val="Tablanormal"/>
    <w:uiPriority w:val="39"/>
    <w:qFormat/>
    <w:rsid w:val="00636DC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36DC0"/>
    <w:rPr>
      <w:color w:val="0000FF"/>
      <w:u w:val="single"/>
    </w:rPr>
  </w:style>
  <w:style w:type="paragraph" w:customStyle="1" w:styleId="Appelnotedebasde">
    <w:name w:val="Appel note de bas de..."/>
    <w:basedOn w:val="Normal"/>
    <w:link w:val="Refdenotaalpie"/>
    <w:uiPriority w:val="99"/>
    <w:rsid w:val="00636DC0"/>
    <w:pPr>
      <w:spacing w:line="240" w:lineRule="exact"/>
    </w:pPr>
    <w:rPr>
      <w:kern w:val="2"/>
      <w:sz w:val="24"/>
      <w:szCs w:val="24"/>
      <w:vertAlign w:val="superscript"/>
      <w14:ligatures w14:val="standardContextual"/>
    </w:rPr>
  </w:style>
  <w:style w:type="paragraph" w:styleId="Sinespaciado">
    <w:name w:val="No Spacing"/>
    <w:aliases w:val="No Indent"/>
    <w:uiPriority w:val="1"/>
    <w:qFormat/>
    <w:rsid w:val="00636DC0"/>
    <w:rPr>
      <w:kern w:val="0"/>
      <w:sz w:val="22"/>
      <w:szCs w:val="22"/>
      <w14:ligatures w14:val="none"/>
    </w:rPr>
  </w:style>
  <w:style w:type="character" w:styleId="Mencinsinresolver">
    <w:name w:val="Unresolved Mention"/>
    <w:basedOn w:val="Fuentedeprrafopredeter"/>
    <w:uiPriority w:val="99"/>
    <w:semiHidden/>
    <w:unhideWhenUsed/>
    <w:rsid w:val="00636DC0"/>
    <w:rPr>
      <w:color w:val="605E5C"/>
      <w:shd w:val="clear" w:color="auto" w:fill="E1DFDD"/>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A446AF"/>
    <w:pPr>
      <w:spacing w:after="0" w:line="240" w:lineRule="auto"/>
      <w:ind w:left="720"/>
      <w:contextualSpacing/>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446AF"/>
    <w:rPr>
      <w:kern w:val="0"/>
      <w:szCs w:val="22"/>
      <w:lang w:val="es-MX"/>
      <w14:ligatures w14:val="none"/>
    </w:rPr>
  </w:style>
  <w:style w:type="character" w:styleId="Hipervnculovisitado">
    <w:name w:val="FollowedHyperlink"/>
    <w:basedOn w:val="Fuentedeprrafopredeter"/>
    <w:uiPriority w:val="99"/>
    <w:semiHidden/>
    <w:unhideWhenUsed/>
    <w:rsid w:val="00217D30"/>
    <w:rPr>
      <w:color w:val="954F72" w:themeColor="followedHyperlink"/>
      <w:u w:val="single"/>
    </w:rPr>
  </w:style>
  <w:style w:type="character" w:styleId="Refdecomentario">
    <w:name w:val="annotation reference"/>
    <w:basedOn w:val="Fuentedeprrafopredeter"/>
    <w:uiPriority w:val="99"/>
    <w:semiHidden/>
    <w:unhideWhenUsed/>
    <w:rsid w:val="008A59FE"/>
    <w:rPr>
      <w:sz w:val="16"/>
      <w:szCs w:val="16"/>
    </w:rPr>
  </w:style>
  <w:style w:type="paragraph" w:styleId="Textocomentario">
    <w:name w:val="annotation text"/>
    <w:basedOn w:val="Normal"/>
    <w:link w:val="TextocomentarioCar"/>
    <w:uiPriority w:val="99"/>
    <w:unhideWhenUsed/>
    <w:rsid w:val="008A59FE"/>
    <w:pPr>
      <w:spacing w:line="240" w:lineRule="auto"/>
    </w:pPr>
    <w:rPr>
      <w:sz w:val="20"/>
      <w:szCs w:val="20"/>
    </w:rPr>
  </w:style>
  <w:style w:type="character" w:customStyle="1" w:styleId="TextocomentarioCar">
    <w:name w:val="Texto comentario Car"/>
    <w:basedOn w:val="Fuentedeprrafopredeter"/>
    <w:link w:val="Textocomentario"/>
    <w:uiPriority w:val="99"/>
    <w:rsid w:val="008A59FE"/>
    <w:rPr>
      <w:kern w:val="0"/>
      <w:sz w:val="20"/>
      <w:szCs w:val="20"/>
      <w14:ligatures w14:val="none"/>
    </w:rPr>
  </w:style>
  <w:style w:type="character" w:customStyle="1" w:styleId="normaltextrun">
    <w:name w:val="normaltextrun"/>
    <w:basedOn w:val="Fuentedeprrafopredeter"/>
    <w:rsid w:val="008A5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normativa/decreto-1082-de-2015/"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uncionpublica.gov.co/eva/gestornormativo/norma.php?i=25678" TargetMode="External"/><Relationship Id="rId17" Type="http://schemas.openxmlformats.org/officeDocument/2006/relationships/hyperlink" Target="https://www.colombiacompra.gov.co/sala-de-prensa/boletin-digital" TargetMode="External"/><Relationship Id="rId2" Type="http://schemas.openxmlformats.org/officeDocument/2006/relationships/customXml" Target="../customXml/item2.xml"/><Relationship Id="rId16" Type="http://schemas.openxmlformats.org/officeDocument/2006/relationships/hyperlink" Target="https://relatoria.colombiacompra.gov.co/busqueda/concepto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cejami_22@hotmail.com" TargetMode="External"/><Relationship Id="rId5" Type="http://schemas.openxmlformats.org/officeDocument/2006/relationships/styles" Target="styles.xml"/><Relationship Id="rId15" Type="http://schemas.openxmlformats.org/officeDocument/2006/relationships/hyperlink" Target="https://relatoria.colombiacompra.gov.co/providencias-consejo-de-estado/"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normativa/ley-1474-de-2011/"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0F518F-F1CD-4140-A0AD-0A7870D1B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C609F-9381-4F1F-BDE2-C4213BC9ACBE}">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BC494A54-F560-4568-93D6-8CEA3B9CAF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4600</Words>
  <Characters>25305</Characters>
  <Application>Microsoft Office Word</Application>
  <DocSecurity>0</DocSecurity>
  <Lines>210</Lines>
  <Paragraphs>59</Paragraphs>
  <ScaleCrop>false</ScaleCrop>
  <Company/>
  <LinksUpToDate>false</LinksUpToDate>
  <CharactersWithSpaces>29846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Jhonattan Gualdron Salazar</dc:creator>
  <cp:keywords/>
  <dc:description/>
  <cp:lastModifiedBy>Andreina Cerpa Muñoz</cp:lastModifiedBy>
  <cp:revision>4</cp:revision>
  <dcterms:created xsi:type="dcterms:W3CDTF">2024-07-29T22:07:00Z</dcterms:created>
  <dcterms:modified xsi:type="dcterms:W3CDTF">2024-08-01T21:45:00Z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