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DD0EA" w14:textId="486C3DE2" w:rsidR="006D7843" w:rsidRPr="006D7843" w:rsidRDefault="006D7843" w:rsidP="006D7843">
      <w:pPr>
        <w:spacing w:line="240" w:lineRule="auto"/>
        <w:jc w:val="both"/>
        <w:rPr>
          <w:rFonts w:ascii="Verdana" w:hAnsi="Verdana" w:cs="Arial"/>
          <w:b/>
          <w:lang w:val="es-ES_tradnl"/>
        </w:rPr>
      </w:pPr>
      <w:r w:rsidRPr="006D7843">
        <w:rPr>
          <w:rFonts w:ascii="Verdana" w:hAnsi="Verdana" w:cs="Arial"/>
          <w:b/>
          <w:lang w:val="es-ES_tradnl"/>
        </w:rPr>
        <w:t>ANTICIPO – Regulación normativa</w:t>
      </w:r>
    </w:p>
    <w:p w14:paraId="5E6469E9" w14:textId="2E98B3B1" w:rsidR="006D7843" w:rsidRPr="006D7843" w:rsidRDefault="006D7843" w:rsidP="006D7843">
      <w:pPr>
        <w:spacing w:line="240" w:lineRule="auto"/>
        <w:jc w:val="both"/>
        <w:rPr>
          <w:rFonts w:ascii="Verdana" w:hAnsi="Verdana" w:cs="Arial"/>
          <w:sz w:val="20"/>
          <w:szCs w:val="20"/>
          <w:lang w:val="es-ES_tradnl"/>
        </w:rPr>
      </w:pPr>
      <w:r w:rsidRPr="006D7843">
        <w:rPr>
          <w:rFonts w:ascii="Verdana" w:hAnsi="Verdana" w:cs="Arial"/>
          <w:sz w:val="20"/>
          <w:szCs w:val="20"/>
          <w:lang w:val="es-ES_tradnl"/>
        </w:rPr>
        <w:t xml:space="preserve">En materia de contratación pública, la figura del anticipo está prevista en dos (2) normas: el inciso primero del parágrafo del artículo 40 de la Ley 80 de 1993 y en el artículo 91 de la Ley 1474 de 2011. En cuanto al Estatuto General de Contratación de la Administración Pública, se dispone la posibilidad de pactar anticipos en los contratos, pero sujeto a determinadas limitaciones. En efecto, la norma prescribe que </w:t>
      </w:r>
      <w:r w:rsidR="00B0312D">
        <w:rPr>
          <w:rFonts w:ascii="Verdana" w:hAnsi="Verdana" w:cs="Arial"/>
          <w:sz w:val="20"/>
          <w:szCs w:val="20"/>
          <w:lang w:val="es-ES_tradnl"/>
        </w:rPr>
        <w:t>“</w:t>
      </w:r>
      <w:r w:rsidRPr="006D7843">
        <w:rPr>
          <w:rFonts w:ascii="Verdana" w:hAnsi="Verdana" w:cs="Arial"/>
          <w:sz w:val="20"/>
          <w:szCs w:val="20"/>
          <w:lang w:val="es-ES_tradnl"/>
        </w:rPr>
        <w:t>En los contratos que celebren las entidades estatales se podrá pactar el pago anticipado y la entrega de anticipos, pero su monto no podrá exceder del cincuenta por ciento (50%) del valor del respectivo contrato</w:t>
      </w:r>
      <w:r w:rsidR="00B0312D">
        <w:rPr>
          <w:rFonts w:ascii="Verdana" w:hAnsi="Verdana" w:cs="Arial"/>
          <w:sz w:val="20"/>
          <w:szCs w:val="20"/>
          <w:lang w:val="es-ES_tradnl"/>
        </w:rPr>
        <w:t>”</w:t>
      </w:r>
      <w:r w:rsidRPr="006D7843">
        <w:rPr>
          <w:rFonts w:ascii="Verdana" w:hAnsi="Verdana" w:cs="Arial"/>
          <w:sz w:val="20"/>
          <w:szCs w:val="20"/>
          <w:lang w:val="es-ES_tradnl"/>
        </w:rPr>
        <w:t xml:space="preserve">. Por su parte, el artículo 91 de la Ley 1474 de 2011 consagra una regla especial para el manejo del anticipo. </w:t>
      </w:r>
    </w:p>
    <w:p w14:paraId="4D4005BB" w14:textId="77777777" w:rsidR="006D7843" w:rsidRPr="006D7843" w:rsidRDefault="006D7843" w:rsidP="006D7843">
      <w:pPr>
        <w:spacing w:line="240" w:lineRule="auto"/>
        <w:jc w:val="both"/>
        <w:rPr>
          <w:rFonts w:ascii="Verdana" w:hAnsi="Verdana" w:cs="Arial"/>
          <w:b/>
          <w:lang w:val="es-MX"/>
        </w:rPr>
      </w:pPr>
      <w:r w:rsidRPr="006D7843">
        <w:rPr>
          <w:rFonts w:ascii="Verdana" w:hAnsi="Verdana" w:cs="Arial"/>
          <w:b/>
        </w:rPr>
        <w:t>ANTICIPO – Definición jurisprudencial</w:t>
      </w:r>
    </w:p>
    <w:p w14:paraId="1DDEB488" w14:textId="0B63F873" w:rsidR="006D7843" w:rsidRPr="006D7843" w:rsidRDefault="006D7843" w:rsidP="006D7843">
      <w:pPr>
        <w:spacing w:after="0" w:line="240" w:lineRule="auto"/>
        <w:jc w:val="both"/>
        <w:rPr>
          <w:rFonts w:ascii="Verdana" w:hAnsi="Verdana" w:cs="Arial"/>
          <w:sz w:val="20"/>
          <w:szCs w:val="20"/>
          <w:lang w:val="es-ES_tradnl"/>
        </w:rPr>
      </w:pPr>
      <w:r w:rsidRPr="006D7843">
        <w:rPr>
          <w:rFonts w:ascii="Verdana" w:hAnsi="Verdana" w:cs="Arial"/>
          <w:sz w:val="20"/>
          <w:szCs w:val="20"/>
          <w:lang w:val="es-ES_tradnl"/>
        </w:rPr>
        <w:t xml:space="preserve">[…], el Consejo de Estado se refirió a la noción de anticipo como </w:t>
      </w:r>
      <w:r w:rsidR="00B0312D">
        <w:rPr>
          <w:rFonts w:ascii="Verdana" w:hAnsi="Verdana" w:cs="Arial"/>
          <w:sz w:val="20"/>
          <w:szCs w:val="20"/>
          <w:lang w:val="es-ES_tradnl"/>
        </w:rPr>
        <w:t>“</w:t>
      </w:r>
      <w:r w:rsidRPr="006D7843">
        <w:rPr>
          <w:rFonts w:ascii="Verdana" w:hAnsi="Verdana" w:cs="Arial"/>
          <w:sz w:val="20"/>
          <w:szCs w:val="20"/>
          <w:lang w:val="es-ES_tradnl"/>
        </w:rPr>
        <w:t>un recurso o suma correspondiente a un porcentaje del valor total del contrato, pactado como contraprestación, que la entidad pública le entrega al contratista para que sea invertida específicamente en la ejecución del contrato y sea manejada generalmente en cuenta separada, con imposición de obligaciones relacionadas con legalización y amortización de la inversión, de suerte que el monto entregado como anticipo no ingresa al patrimonio del contratista sino cuando ha sido debidamente amortizado</w:t>
      </w:r>
      <w:r w:rsidR="00B0312D">
        <w:rPr>
          <w:rFonts w:ascii="Verdana" w:hAnsi="Verdana" w:cs="Arial"/>
          <w:sz w:val="20"/>
          <w:szCs w:val="20"/>
          <w:lang w:val="es-ES_tradnl"/>
        </w:rPr>
        <w:t>”</w:t>
      </w:r>
      <w:r w:rsidRPr="006D7843">
        <w:rPr>
          <w:rFonts w:ascii="Verdana" w:hAnsi="Verdana" w:cs="Arial"/>
          <w:sz w:val="20"/>
          <w:szCs w:val="20"/>
          <w:lang w:val="es-ES_tradnl"/>
        </w:rPr>
        <w:t>.</w:t>
      </w:r>
    </w:p>
    <w:p w14:paraId="0D514097" w14:textId="77777777" w:rsidR="006D7843" w:rsidRPr="006D7843" w:rsidRDefault="006D7843" w:rsidP="006D7843">
      <w:pPr>
        <w:spacing w:after="0" w:line="240" w:lineRule="auto"/>
        <w:jc w:val="both"/>
        <w:rPr>
          <w:rFonts w:ascii="Verdana" w:hAnsi="Verdana" w:cs="Arial"/>
          <w:sz w:val="20"/>
          <w:szCs w:val="20"/>
          <w:lang w:val="es-ES_tradnl"/>
        </w:rPr>
      </w:pPr>
    </w:p>
    <w:p w14:paraId="4504D0F8" w14:textId="77777777" w:rsidR="006D7843" w:rsidRPr="006D7843" w:rsidRDefault="006D7843" w:rsidP="006D7843">
      <w:pPr>
        <w:spacing w:line="240" w:lineRule="auto"/>
        <w:jc w:val="both"/>
        <w:rPr>
          <w:rFonts w:ascii="Verdana" w:eastAsia="Calibri" w:hAnsi="Verdana" w:cs="Arial"/>
          <w:b/>
          <w:bCs/>
        </w:rPr>
      </w:pPr>
      <w:r w:rsidRPr="006D7843">
        <w:rPr>
          <w:rFonts w:ascii="Verdana" w:eastAsia="Calibri" w:hAnsi="Verdana" w:cs="Arial"/>
          <w:b/>
          <w:bCs/>
        </w:rPr>
        <w:t>PAGO ANTICIPADO Y/O ANTICIPO – Límites – Aplicación – Tipo contractual</w:t>
      </w:r>
    </w:p>
    <w:p w14:paraId="58589BA8" w14:textId="77777777" w:rsidR="006D7843" w:rsidRPr="006D7843" w:rsidRDefault="006D7843" w:rsidP="006D7843">
      <w:pPr>
        <w:spacing w:line="240" w:lineRule="auto"/>
        <w:jc w:val="both"/>
        <w:rPr>
          <w:rFonts w:ascii="Verdana" w:eastAsia="Calibri" w:hAnsi="Verdana" w:cs="Arial"/>
          <w:sz w:val="20"/>
          <w:szCs w:val="20"/>
        </w:rPr>
      </w:pPr>
      <w:r w:rsidRPr="006D7843">
        <w:rPr>
          <w:rFonts w:ascii="Verdana" w:eastAsia="Calibri" w:hAnsi="Verdana" w:cs="Arial"/>
          <w:sz w:val="20"/>
          <w:szCs w:val="20"/>
        </w:rPr>
        <w:t xml:space="preserve">La citada disposición, además de contener la facultad expresa mencionada, establece un límite a su ejercicio, pues el pago anticipado o la entrega del anticipo no podrá superar el cincuenta por ciento (50%) del valor o precio del negocio jurídico celebrado por la entidad estatal. </w:t>
      </w:r>
    </w:p>
    <w:p w14:paraId="6D4776FF" w14:textId="1242A37D" w:rsidR="006D7843" w:rsidRDefault="006D7843" w:rsidP="00936EDC">
      <w:pPr>
        <w:spacing w:line="240" w:lineRule="auto"/>
        <w:jc w:val="both"/>
        <w:rPr>
          <w:rFonts w:ascii="Verdana" w:eastAsia="Calibri" w:hAnsi="Verdana" w:cs="Arial"/>
          <w:sz w:val="20"/>
          <w:szCs w:val="20"/>
        </w:rPr>
      </w:pPr>
      <w:r w:rsidRPr="006D7843">
        <w:rPr>
          <w:rFonts w:ascii="Verdana" w:eastAsia="Calibri" w:hAnsi="Verdana" w:cs="Arial"/>
          <w:sz w:val="20"/>
          <w:szCs w:val="20"/>
        </w:rPr>
        <w:t>Otro aspecto que se destaca de dicha disposición consiste que no restringe el tipo de contratos estatales en los cuales es aplicable esa facultad, es decir, por ejemplo, no limita la posibilidad de pactar anticipo o pago anticipado en contratos de tracto sucesivo o en contratos de ejecución instantánea, o dependiendo de la tipología contractual o la modalidad de selección del contratista.</w:t>
      </w:r>
    </w:p>
    <w:p w14:paraId="676CDC4F" w14:textId="77777777" w:rsidR="00D602C5" w:rsidRPr="00D602C5" w:rsidRDefault="00D602C5" w:rsidP="00D602C5">
      <w:pPr>
        <w:spacing w:after="0" w:line="240" w:lineRule="auto"/>
        <w:jc w:val="both"/>
        <w:textAlignment w:val="baseline"/>
        <w:rPr>
          <w:rFonts w:ascii="Verdana" w:eastAsia="Times New Roman" w:hAnsi="Verdana" w:cs="Segoe UI"/>
          <w:lang w:eastAsia="es-CO"/>
        </w:rPr>
      </w:pPr>
      <w:r w:rsidRPr="00D602C5">
        <w:rPr>
          <w:rFonts w:ascii="Verdana" w:eastAsia="Times New Roman" w:hAnsi="Verdana" w:cs="Segoe UI"/>
          <w:b/>
          <w:bCs/>
          <w:lang w:val="es-ES" w:eastAsia="es-CO"/>
        </w:rPr>
        <w:t>MODIFICACION DE LOS CONTRATOS ESTATALES – Procedencia – Límites</w:t>
      </w:r>
      <w:r w:rsidRPr="00D602C5">
        <w:rPr>
          <w:rFonts w:ascii="Verdana" w:eastAsia="Times New Roman" w:hAnsi="Verdana" w:cs="Segoe UI"/>
          <w:lang w:eastAsia="es-CO"/>
        </w:rPr>
        <w:t> </w:t>
      </w:r>
    </w:p>
    <w:p w14:paraId="564C9EDC" w14:textId="77777777" w:rsidR="00D602C5" w:rsidRPr="00D602C5" w:rsidRDefault="00D602C5" w:rsidP="00D602C5">
      <w:pPr>
        <w:spacing w:after="0" w:line="240" w:lineRule="auto"/>
        <w:jc w:val="both"/>
        <w:textAlignment w:val="baseline"/>
        <w:rPr>
          <w:rFonts w:ascii="Verdana" w:eastAsia="Times New Roman" w:hAnsi="Verdana" w:cs="Segoe UI"/>
          <w:lang w:eastAsia="es-CO"/>
        </w:rPr>
      </w:pPr>
      <w:r w:rsidRPr="00D602C5">
        <w:rPr>
          <w:rFonts w:ascii="Verdana" w:eastAsia="Times New Roman" w:hAnsi="Verdana" w:cs="Segoe UI"/>
          <w:lang w:eastAsia="es-CO"/>
        </w:rPr>
        <w:t> </w:t>
      </w:r>
    </w:p>
    <w:p w14:paraId="2186A55D" w14:textId="547747CB" w:rsidR="00454147" w:rsidRPr="00D602C5" w:rsidRDefault="00D602C5" w:rsidP="00D602C5">
      <w:pPr>
        <w:spacing w:line="240" w:lineRule="auto"/>
        <w:jc w:val="both"/>
        <w:rPr>
          <w:rFonts w:ascii="Verdana" w:eastAsia="Calibri" w:hAnsi="Verdana" w:cs="Arial"/>
          <w:sz w:val="20"/>
          <w:szCs w:val="20"/>
        </w:rPr>
      </w:pPr>
      <w:r w:rsidRPr="00D602C5">
        <w:rPr>
          <w:rFonts w:ascii="Verdana" w:eastAsia="Times New Roman" w:hAnsi="Verdana" w:cs="Segoe UI"/>
          <w:sz w:val="20"/>
          <w:szCs w:val="20"/>
          <w:lang w:val="es-ES" w:eastAsia="es-CO"/>
        </w:rPr>
        <w:t xml:space="preserve">Conforme a la regulación legal y a la interpretación que de la misma han hecho el Consejo de Estado y la Corte Constitucional, la cual se comparte por esta Agencia, es viable jurídicamente modificar los contratos estatales, pero esta medida tienen carácter excepcional y solo procede cuando con ella se pretenda garantizar el interés público, cuando la entidad haya verificado y así pueda constatarse por cualquier que la causa de </w:t>
      </w:r>
      <w:r w:rsidRPr="00D602C5">
        <w:rPr>
          <w:rFonts w:ascii="Verdana" w:eastAsia="Times New Roman" w:hAnsi="Verdana" w:cs="Segoe UI"/>
          <w:sz w:val="20"/>
          <w:szCs w:val="20"/>
          <w:lang w:val="es-ES" w:eastAsia="es-CO"/>
        </w:rPr>
        <w:lastRenderedPageBreak/>
        <w:t>la modificación es real y cierta y cuando se deriva de previsiones legales, esto es, cuando la modificación encuentra sustento no solo en circunstancias fácticas propias de la ejecución del contrato, sino, además, cuando tales situaciones ponen de presente la necesidad de dar cumplimiento a previsiones establecidas por el legislador. Así las cosas, para establecer si un contrato determinado puede ser susceptible de modificación, se hace necesario que la Administración analice, en cada caso, la concurrencia de los aspectos antes referidos.</w:t>
      </w:r>
    </w:p>
    <w:p w14:paraId="3941137A" w14:textId="77777777" w:rsidR="00871B59" w:rsidRDefault="00871B59" w:rsidP="00871B59">
      <w:pPr>
        <w:spacing w:after="0" w:line="240" w:lineRule="auto"/>
        <w:rPr>
          <w:rFonts w:ascii="Verdana" w:eastAsia="Geomanist Light" w:hAnsi="Verdana" w:cs="Arial"/>
          <w:color w:val="000000" w:themeColor="text1"/>
          <w:lang w:val="es-MX"/>
        </w:rPr>
      </w:pPr>
    </w:p>
    <w:p w14:paraId="1094F455" w14:textId="77777777" w:rsidR="00871B59" w:rsidRDefault="00871B59" w:rsidP="00871B59">
      <w:pPr>
        <w:spacing w:after="0" w:line="240" w:lineRule="auto"/>
        <w:rPr>
          <w:rFonts w:ascii="Verdana" w:eastAsia="Geomanist Light" w:hAnsi="Verdana" w:cs="Arial"/>
          <w:color w:val="000000" w:themeColor="text1"/>
          <w:lang w:val="es-MX"/>
        </w:rPr>
      </w:pPr>
    </w:p>
    <w:p w14:paraId="3D6E1F85" w14:textId="77777777" w:rsidR="00871B59" w:rsidRDefault="00871B59" w:rsidP="00871B59">
      <w:pPr>
        <w:spacing w:after="0" w:line="240" w:lineRule="auto"/>
        <w:rPr>
          <w:rFonts w:ascii="Verdana" w:eastAsia="Geomanist Light" w:hAnsi="Verdana" w:cs="Arial"/>
          <w:color w:val="000000" w:themeColor="text1"/>
          <w:lang w:val="es-MX"/>
        </w:rPr>
      </w:pPr>
    </w:p>
    <w:p w14:paraId="44BC0576" w14:textId="77777777" w:rsidR="00871B59" w:rsidRDefault="00871B59" w:rsidP="00871B59">
      <w:pPr>
        <w:spacing w:after="0" w:line="240" w:lineRule="auto"/>
        <w:rPr>
          <w:rFonts w:ascii="Verdana" w:eastAsia="Geomanist Light" w:hAnsi="Verdana" w:cs="Arial"/>
          <w:color w:val="000000" w:themeColor="text1"/>
          <w:lang w:val="es-MX"/>
        </w:rPr>
      </w:pPr>
    </w:p>
    <w:p w14:paraId="7C2A5907" w14:textId="77777777" w:rsidR="00871B59" w:rsidRDefault="00871B59" w:rsidP="00871B59">
      <w:pPr>
        <w:spacing w:after="0" w:line="240" w:lineRule="auto"/>
        <w:rPr>
          <w:rFonts w:ascii="Verdana" w:eastAsia="Geomanist Light" w:hAnsi="Verdana" w:cs="Arial"/>
          <w:color w:val="000000" w:themeColor="text1"/>
          <w:lang w:val="es-MX"/>
        </w:rPr>
      </w:pPr>
    </w:p>
    <w:p w14:paraId="7FA66796" w14:textId="77777777" w:rsidR="00871B59" w:rsidRDefault="00871B59" w:rsidP="00871B59">
      <w:pPr>
        <w:spacing w:after="0" w:line="240" w:lineRule="auto"/>
        <w:rPr>
          <w:rFonts w:ascii="Verdana" w:eastAsia="Geomanist Light" w:hAnsi="Verdana" w:cs="Arial"/>
          <w:color w:val="000000" w:themeColor="text1"/>
          <w:lang w:val="es-MX"/>
        </w:rPr>
      </w:pPr>
    </w:p>
    <w:p w14:paraId="2DE0E40C" w14:textId="77777777" w:rsidR="00871B59" w:rsidRDefault="00871B59" w:rsidP="00871B59">
      <w:pPr>
        <w:spacing w:after="0" w:line="240" w:lineRule="auto"/>
        <w:rPr>
          <w:rFonts w:ascii="Verdana" w:eastAsia="Geomanist Light" w:hAnsi="Verdana" w:cs="Arial"/>
          <w:color w:val="000000" w:themeColor="text1"/>
          <w:lang w:val="es-MX"/>
        </w:rPr>
      </w:pPr>
    </w:p>
    <w:p w14:paraId="27997242" w14:textId="77777777" w:rsidR="00871B59" w:rsidRDefault="00871B59" w:rsidP="00871B59">
      <w:pPr>
        <w:spacing w:after="0" w:line="240" w:lineRule="auto"/>
        <w:rPr>
          <w:rFonts w:ascii="Verdana" w:eastAsia="Geomanist Light" w:hAnsi="Verdana" w:cs="Arial"/>
          <w:color w:val="000000" w:themeColor="text1"/>
          <w:lang w:val="es-MX"/>
        </w:rPr>
      </w:pPr>
    </w:p>
    <w:p w14:paraId="44C115E8" w14:textId="77777777" w:rsidR="00871B59" w:rsidRDefault="00871B59" w:rsidP="00871B59">
      <w:pPr>
        <w:spacing w:after="0" w:line="240" w:lineRule="auto"/>
        <w:rPr>
          <w:rFonts w:ascii="Verdana" w:eastAsia="Geomanist Light" w:hAnsi="Verdana" w:cs="Arial"/>
          <w:color w:val="000000" w:themeColor="text1"/>
          <w:lang w:val="es-MX"/>
        </w:rPr>
      </w:pPr>
    </w:p>
    <w:p w14:paraId="6D4ABED7" w14:textId="77777777" w:rsidR="006D7843" w:rsidRDefault="006D7843" w:rsidP="00871B59">
      <w:pPr>
        <w:spacing w:after="0" w:line="240" w:lineRule="auto"/>
        <w:rPr>
          <w:rFonts w:ascii="Verdana" w:eastAsia="Geomanist Light" w:hAnsi="Verdana" w:cs="Arial"/>
          <w:color w:val="000000" w:themeColor="text1"/>
          <w:lang w:val="es-MX"/>
        </w:rPr>
      </w:pPr>
    </w:p>
    <w:p w14:paraId="2B008BD9" w14:textId="77777777" w:rsidR="00117EA2" w:rsidRDefault="00117EA2" w:rsidP="00871B59">
      <w:pPr>
        <w:spacing w:after="0" w:line="240" w:lineRule="auto"/>
        <w:rPr>
          <w:rFonts w:ascii="Verdana" w:eastAsia="Geomanist Light" w:hAnsi="Verdana" w:cs="Arial"/>
          <w:color w:val="000000" w:themeColor="text1"/>
          <w:lang w:val="es-MX"/>
        </w:rPr>
      </w:pPr>
    </w:p>
    <w:p w14:paraId="15A4C108" w14:textId="77777777" w:rsidR="00117EA2" w:rsidRDefault="00117EA2" w:rsidP="00871B59">
      <w:pPr>
        <w:spacing w:after="0" w:line="240" w:lineRule="auto"/>
        <w:rPr>
          <w:rFonts w:ascii="Verdana" w:eastAsia="Geomanist Light" w:hAnsi="Verdana" w:cs="Arial"/>
          <w:color w:val="000000" w:themeColor="text1"/>
          <w:lang w:val="es-MX"/>
        </w:rPr>
      </w:pPr>
    </w:p>
    <w:p w14:paraId="1E75402A" w14:textId="77777777" w:rsidR="00117EA2" w:rsidRDefault="00117EA2" w:rsidP="00871B59">
      <w:pPr>
        <w:spacing w:after="0" w:line="240" w:lineRule="auto"/>
        <w:rPr>
          <w:rFonts w:ascii="Verdana" w:eastAsia="Geomanist Light" w:hAnsi="Verdana" w:cs="Arial"/>
          <w:color w:val="000000" w:themeColor="text1"/>
          <w:lang w:val="es-MX"/>
        </w:rPr>
      </w:pPr>
    </w:p>
    <w:p w14:paraId="0031A005" w14:textId="77777777" w:rsidR="00117EA2" w:rsidRDefault="00117EA2" w:rsidP="00871B59">
      <w:pPr>
        <w:spacing w:after="0" w:line="240" w:lineRule="auto"/>
        <w:rPr>
          <w:rFonts w:ascii="Verdana" w:eastAsia="Geomanist Light" w:hAnsi="Verdana" w:cs="Arial"/>
          <w:color w:val="000000" w:themeColor="text1"/>
          <w:lang w:val="es-MX"/>
        </w:rPr>
      </w:pPr>
    </w:p>
    <w:p w14:paraId="18DB6DA5" w14:textId="77777777" w:rsidR="00117EA2" w:rsidRDefault="00117EA2" w:rsidP="00871B59">
      <w:pPr>
        <w:spacing w:after="0" w:line="240" w:lineRule="auto"/>
        <w:rPr>
          <w:rFonts w:ascii="Verdana" w:eastAsia="Geomanist Light" w:hAnsi="Verdana" w:cs="Arial"/>
          <w:color w:val="000000" w:themeColor="text1"/>
          <w:lang w:val="es-MX"/>
        </w:rPr>
      </w:pPr>
    </w:p>
    <w:p w14:paraId="5F734C3C" w14:textId="77777777" w:rsidR="00117EA2" w:rsidRDefault="00117EA2" w:rsidP="00871B59">
      <w:pPr>
        <w:spacing w:after="0" w:line="240" w:lineRule="auto"/>
        <w:rPr>
          <w:rFonts w:ascii="Verdana" w:eastAsia="Geomanist Light" w:hAnsi="Verdana" w:cs="Arial"/>
          <w:color w:val="000000" w:themeColor="text1"/>
          <w:lang w:val="es-MX"/>
        </w:rPr>
      </w:pPr>
    </w:p>
    <w:p w14:paraId="7879898D" w14:textId="77777777" w:rsidR="00117EA2" w:rsidRDefault="00117EA2" w:rsidP="00871B59">
      <w:pPr>
        <w:spacing w:after="0" w:line="240" w:lineRule="auto"/>
        <w:rPr>
          <w:rFonts w:ascii="Verdana" w:eastAsia="Geomanist Light" w:hAnsi="Verdana" w:cs="Arial"/>
          <w:color w:val="000000" w:themeColor="text1"/>
          <w:lang w:val="es-MX"/>
        </w:rPr>
      </w:pPr>
    </w:p>
    <w:p w14:paraId="1095EE5D" w14:textId="77777777" w:rsidR="00117EA2" w:rsidRDefault="00117EA2" w:rsidP="00871B59">
      <w:pPr>
        <w:spacing w:after="0" w:line="240" w:lineRule="auto"/>
        <w:rPr>
          <w:rFonts w:ascii="Verdana" w:eastAsia="Geomanist Light" w:hAnsi="Verdana" w:cs="Arial"/>
          <w:color w:val="000000" w:themeColor="text1"/>
          <w:lang w:val="es-MX"/>
        </w:rPr>
      </w:pPr>
    </w:p>
    <w:p w14:paraId="32833892" w14:textId="77777777" w:rsidR="00117EA2" w:rsidRDefault="00117EA2" w:rsidP="00871B59">
      <w:pPr>
        <w:spacing w:after="0" w:line="240" w:lineRule="auto"/>
        <w:rPr>
          <w:rFonts w:ascii="Verdana" w:eastAsia="Geomanist Light" w:hAnsi="Verdana" w:cs="Arial"/>
          <w:color w:val="000000" w:themeColor="text1"/>
          <w:lang w:val="es-MX"/>
        </w:rPr>
      </w:pPr>
    </w:p>
    <w:p w14:paraId="6DF8483B" w14:textId="7B95B5DF" w:rsidR="00117EA2" w:rsidRDefault="00117EA2" w:rsidP="00871B59">
      <w:pPr>
        <w:spacing w:after="0" w:line="240" w:lineRule="auto"/>
        <w:rPr>
          <w:rFonts w:ascii="Verdana" w:eastAsia="Geomanist Light" w:hAnsi="Verdana" w:cs="Arial"/>
          <w:color w:val="000000" w:themeColor="text1"/>
          <w:lang w:val="es-MX"/>
        </w:rPr>
      </w:pPr>
    </w:p>
    <w:p w14:paraId="396F32BC" w14:textId="79FA208C" w:rsidR="00D602C5" w:rsidRDefault="00D602C5" w:rsidP="00871B59">
      <w:pPr>
        <w:spacing w:after="0" w:line="240" w:lineRule="auto"/>
        <w:rPr>
          <w:rFonts w:ascii="Verdana" w:eastAsia="Geomanist Light" w:hAnsi="Verdana" w:cs="Arial"/>
          <w:color w:val="000000" w:themeColor="text1"/>
          <w:lang w:val="es-MX"/>
        </w:rPr>
      </w:pPr>
    </w:p>
    <w:p w14:paraId="0BBF9B4A" w14:textId="50B5263F" w:rsidR="00D602C5" w:rsidRDefault="00D602C5" w:rsidP="00871B59">
      <w:pPr>
        <w:spacing w:after="0" w:line="240" w:lineRule="auto"/>
        <w:rPr>
          <w:rFonts w:ascii="Verdana" w:eastAsia="Geomanist Light" w:hAnsi="Verdana" w:cs="Arial"/>
          <w:color w:val="000000" w:themeColor="text1"/>
          <w:lang w:val="es-MX"/>
        </w:rPr>
      </w:pPr>
    </w:p>
    <w:p w14:paraId="508919D9" w14:textId="36B1874E" w:rsidR="00D602C5" w:rsidRDefault="00D602C5" w:rsidP="00871B59">
      <w:pPr>
        <w:spacing w:after="0" w:line="240" w:lineRule="auto"/>
        <w:rPr>
          <w:rFonts w:ascii="Verdana" w:eastAsia="Geomanist Light" w:hAnsi="Verdana" w:cs="Arial"/>
          <w:color w:val="000000" w:themeColor="text1"/>
          <w:lang w:val="es-MX"/>
        </w:rPr>
      </w:pPr>
    </w:p>
    <w:p w14:paraId="53A07D46" w14:textId="4EF2BA46" w:rsidR="00D602C5" w:rsidRDefault="00D602C5" w:rsidP="00871B59">
      <w:pPr>
        <w:spacing w:after="0" w:line="240" w:lineRule="auto"/>
        <w:rPr>
          <w:rFonts w:ascii="Verdana" w:eastAsia="Geomanist Light" w:hAnsi="Verdana" w:cs="Arial"/>
          <w:color w:val="000000" w:themeColor="text1"/>
          <w:lang w:val="es-MX"/>
        </w:rPr>
      </w:pPr>
    </w:p>
    <w:p w14:paraId="50E0F315" w14:textId="60DA5CCB" w:rsidR="00D602C5" w:rsidRDefault="00D602C5" w:rsidP="00871B59">
      <w:pPr>
        <w:spacing w:after="0" w:line="240" w:lineRule="auto"/>
        <w:rPr>
          <w:rFonts w:ascii="Verdana" w:eastAsia="Geomanist Light" w:hAnsi="Verdana" w:cs="Arial"/>
          <w:color w:val="000000" w:themeColor="text1"/>
          <w:lang w:val="es-MX"/>
        </w:rPr>
      </w:pPr>
    </w:p>
    <w:p w14:paraId="3426D4BA" w14:textId="50BBBC82" w:rsidR="00D602C5" w:rsidRDefault="00D602C5" w:rsidP="00871B59">
      <w:pPr>
        <w:spacing w:after="0" w:line="240" w:lineRule="auto"/>
        <w:rPr>
          <w:rFonts w:ascii="Verdana" w:eastAsia="Geomanist Light" w:hAnsi="Verdana" w:cs="Arial"/>
          <w:color w:val="000000" w:themeColor="text1"/>
          <w:lang w:val="es-MX"/>
        </w:rPr>
      </w:pPr>
    </w:p>
    <w:p w14:paraId="4D3BB85E" w14:textId="071CD2A2" w:rsidR="00D602C5" w:rsidRDefault="00D602C5" w:rsidP="00871B59">
      <w:pPr>
        <w:spacing w:after="0" w:line="240" w:lineRule="auto"/>
        <w:rPr>
          <w:rFonts w:ascii="Verdana" w:eastAsia="Geomanist Light" w:hAnsi="Verdana" w:cs="Arial"/>
          <w:color w:val="000000" w:themeColor="text1"/>
          <w:lang w:val="es-MX"/>
        </w:rPr>
      </w:pPr>
    </w:p>
    <w:p w14:paraId="77C93437" w14:textId="7CE517FD" w:rsidR="00D602C5" w:rsidRDefault="00D602C5" w:rsidP="00871B59">
      <w:pPr>
        <w:spacing w:after="0" w:line="240" w:lineRule="auto"/>
        <w:rPr>
          <w:rFonts w:ascii="Verdana" w:eastAsia="Geomanist Light" w:hAnsi="Verdana" w:cs="Arial"/>
          <w:color w:val="000000" w:themeColor="text1"/>
          <w:lang w:val="es-MX"/>
        </w:rPr>
      </w:pPr>
    </w:p>
    <w:p w14:paraId="7BD64868" w14:textId="66A4B597" w:rsidR="00D602C5" w:rsidRDefault="00D602C5" w:rsidP="00871B59">
      <w:pPr>
        <w:spacing w:after="0" w:line="240" w:lineRule="auto"/>
        <w:rPr>
          <w:rFonts w:ascii="Verdana" w:eastAsia="Geomanist Light" w:hAnsi="Verdana" w:cs="Arial"/>
          <w:color w:val="000000" w:themeColor="text1"/>
          <w:lang w:val="es-MX"/>
        </w:rPr>
      </w:pPr>
    </w:p>
    <w:p w14:paraId="57D74CC7" w14:textId="79A94FD9" w:rsidR="00D602C5" w:rsidRDefault="00D602C5" w:rsidP="00871B59">
      <w:pPr>
        <w:spacing w:after="0" w:line="240" w:lineRule="auto"/>
        <w:rPr>
          <w:rFonts w:ascii="Verdana" w:eastAsia="Geomanist Light" w:hAnsi="Verdana" w:cs="Arial"/>
          <w:color w:val="000000" w:themeColor="text1"/>
          <w:lang w:val="es-MX"/>
        </w:rPr>
      </w:pPr>
    </w:p>
    <w:p w14:paraId="6F6924B3" w14:textId="2FB1E462" w:rsidR="00D602C5" w:rsidRDefault="00D602C5" w:rsidP="00871B59">
      <w:pPr>
        <w:spacing w:after="0" w:line="240" w:lineRule="auto"/>
        <w:rPr>
          <w:rFonts w:ascii="Verdana" w:eastAsia="Geomanist Light" w:hAnsi="Verdana" w:cs="Arial"/>
          <w:color w:val="000000" w:themeColor="text1"/>
          <w:lang w:val="es-MX"/>
        </w:rPr>
      </w:pPr>
    </w:p>
    <w:p w14:paraId="2D91AE89" w14:textId="77777777" w:rsidR="00E26AE3" w:rsidRDefault="00E26AE3" w:rsidP="00871B59">
      <w:pPr>
        <w:spacing w:after="0" w:line="240" w:lineRule="auto"/>
        <w:rPr>
          <w:rFonts w:ascii="Verdana" w:eastAsia="Geomanist Light" w:hAnsi="Verdana" w:cs="Arial"/>
          <w:color w:val="000000" w:themeColor="text1"/>
          <w:lang w:val="es-MX"/>
        </w:rPr>
      </w:pPr>
    </w:p>
    <w:p w14:paraId="6700D6DA" w14:textId="5010BA27" w:rsidR="00871B59" w:rsidRPr="00593A5F" w:rsidRDefault="00871B59" w:rsidP="00871B59">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DC6A7A">
        <w:rPr>
          <w:rFonts w:ascii="Verdana" w:eastAsia="Geomanist Light" w:hAnsi="Verdana" w:cs="Arial"/>
          <w:color w:val="201F1E"/>
          <w:lang w:val="es-MX"/>
        </w:rPr>
        <w:t>31</w:t>
      </w:r>
      <w:r w:rsidRPr="00593A5F">
        <w:rPr>
          <w:rFonts w:ascii="Verdana" w:eastAsia="Geomanist Light" w:hAnsi="Verdana" w:cs="Arial"/>
          <w:color w:val="201F1E"/>
          <w:lang w:val="es-MX"/>
        </w:rPr>
        <w:t xml:space="preserve"> de </w:t>
      </w:r>
      <w:r w:rsidR="00DC6A7A">
        <w:rPr>
          <w:rFonts w:ascii="Verdana" w:eastAsia="Geomanist Light" w:hAnsi="Verdana" w:cs="Arial"/>
          <w:color w:val="201F1E"/>
          <w:lang w:val="es-MX"/>
        </w:rPr>
        <w:t>julio de 2024</w:t>
      </w:r>
      <w:bookmarkStart w:id="0" w:name="_GoBack"/>
      <w:bookmarkEnd w:id="0"/>
    </w:p>
    <w:p w14:paraId="263F56BE" w14:textId="74A7D1F1" w:rsidR="00871B59" w:rsidRPr="00593A5F" w:rsidRDefault="00EE556C" w:rsidP="00871B59">
      <w:pPr>
        <w:spacing w:after="0" w:line="240" w:lineRule="auto"/>
        <w:jc w:val="both"/>
        <w:rPr>
          <w:rFonts w:ascii="Verdana" w:eastAsia="Calibri" w:hAnsi="Verdana" w:cs="Arial"/>
          <w:color w:val="000000"/>
          <w:lang w:val="es-ES"/>
        </w:rPr>
      </w:pPr>
      <w:r w:rsidRPr="00EE556C">
        <w:rPr>
          <w:rStyle w:val="Hipervnculo"/>
          <w:rFonts w:ascii="Verdana" w:hAnsi="Verdana"/>
          <w:color w:val="auto"/>
          <w:u w:val="none"/>
        </w:rPr>
        <w:drawing>
          <wp:anchor distT="0" distB="0" distL="114300" distR="114300" simplePos="0" relativeHeight="251658240" behindDoc="1" locked="0" layoutInCell="1" allowOverlap="1" wp14:anchorId="15573984" wp14:editId="2B8F9E5F">
            <wp:simplePos x="0" y="0"/>
            <wp:positionH relativeFrom="margin">
              <wp:align>right</wp:align>
            </wp:positionH>
            <wp:positionV relativeFrom="paragraph">
              <wp:posOffset>129374</wp:posOffset>
            </wp:positionV>
            <wp:extent cx="3299319" cy="11052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299319" cy="1105231"/>
                    </a:xfrm>
                    <a:prstGeom prst="rect">
                      <a:avLst/>
                    </a:prstGeom>
                  </pic:spPr>
                </pic:pic>
              </a:graphicData>
            </a:graphic>
            <wp14:sizeRelH relativeFrom="margin">
              <wp14:pctWidth>0</wp14:pctWidth>
            </wp14:sizeRelH>
            <wp14:sizeRelV relativeFrom="margin">
              <wp14:pctHeight>0</wp14:pctHeight>
            </wp14:sizeRelV>
          </wp:anchor>
        </w:drawing>
      </w:r>
    </w:p>
    <w:p w14:paraId="0D6BBC6C" w14:textId="70C5FA42" w:rsidR="00E26AE3" w:rsidRDefault="00E26AE3" w:rsidP="00871B59">
      <w:pPr>
        <w:spacing w:after="0" w:line="240" w:lineRule="auto"/>
        <w:jc w:val="both"/>
        <w:rPr>
          <w:rFonts w:ascii="Verdana" w:eastAsia="Calibri" w:hAnsi="Verdana" w:cs="Arial"/>
          <w:lang w:val="es-ES" w:eastAsia="es-ES"/>
        </w:rPr>
      </w:pPr>
    </w:p>
    <w:p w14:paraId="66EF7FED" w14:textId="349166C2" w:rsidR="00871B59" w:rsidRPr="00E65BF3" w:rsidRDefault="00871B59" w:rsidP="00871B59">
      <w:pPr>
        <w:spacing w:after="0" w:line="240" w:lineRule="auto"/>
        <w:jc w:val="both"/>
        <w:rPr>
          <w:rFonts w:ascii="Verdana" w:eastAsia="Calibri" w:hAnsi="Verdana" w:cs="Arial"/>
          <w:lang w:val="es-ES" w:eastAsia="es-ES"/>
        </w:rPr>
      </w:pPr>
      <w:r w:rsidRPr="00E65BF3">
        <w:rPr>
          <w:rFonts w:ascii="Verdana" w:eastAsia="Calibri" w:hAnsi="Verdana" w:cs="Arial"/>
          <w:lang w:val="es-ES" w:eastAsia="es-ES"/>
        </w:rPr>
        <w:t>Señor</w:t>
      </w:r>
    </w:p>
    <w:p w14:paraId="0D0B9D30" w14:textId="1F5D3178" w:rsidR="00871B59" w:rsidRPr="00E65BF3" w:rsidRDefault="00267F19" w:rsidP="00871B59">
      <w:pPr>
        <w:spacing w:after="0" w:line="240" w:lineRule="auto"/>
        <w:rPr>
          <w:rFonts w:ascii="Verdana" w:eastAsia="Calibri" w:hAnsi="Verdana" w:cs="Arial"/>
          <w:b/>
          <w:lang w:val="es-ES_tradnl" w:eastAsia="es-ES_tradnl"/>
        </w:rPr>
      </w:pPr>
      <w:r w:rsidRPr="00E65BF3">
        <w:rPr>
          <w:rFonts w:ascii="Verdana" w:eastAsia="Calibri" w:hAnsi="Verdana" w:cs="Arial"/>
          <w:b/>
          <w:lang w:val="es-ES_tradnl" w:eastAsia="es-ES_tradnl"/>
        </w:rPr>
        <w:t>Jhon Vega</w:t>
      </w:r>
    </w:p>
    <w:p w14:paraId="47776454" w14:textId="77F7B356" w:rsidR="00E65BF3" w:rsidRPr="00E65BF3" w:rsidRDefault="00F377BB" w:rsidP="00871B59">
      <w:pPr>
        <w:spacing w:after="0" w:line="240" w:lineRule="auto"/>
        <w:rPr>
          <w:rFonts w:ascii="Verdana" w:hAnsi="Verdana"/>
        </w:rPr>
      </w:pPr>
      <w:hyperlink r:id="rId12" w:history="1">
        <w:r w:rsidR="00E65BF3" w:rsidRPr="00E65BF3">
          <w:rPr>
            <w:rStyle w:val="Hipervnculo"/>
            <w:rFonts w:ascii="Verdana" w:hAnsi="Verdana"/>
            <w:color w:val="auto"/>
            <w:u w:val="none"/>
          </w:rPr>
          <w:t>jhonvega.2058@gmail.com</w:t>
        </w:r>
      </w:hyperlink>
      <w:r w:rsidR="00EE556C">
        <w:rPr>
          <w:rStyle w:val="Hipervnculo"/>
          <w:rFonts w:ascii="Verdana" w:hAnsi="Verdana"/>
          <w:color w:val="auto"/>
          <w:u w:val="none"/>
        </w:rPr>
        <w:t xml:space="preserve">   </w:t>
      </w:r>
    </w:p>
    <w:p w14:paraId="75545CBA" w14:textId="195EFA55" w:rsidR="00871B59" w:rsidRDefault="00E26AE3" w:rsidP="00871B59">
      <w:pPr>
        <w:spacing w:after="0" w:line="240" w:lineRule="auto"/>
        <w:rPr>
          <w:rFonts w:ascii="Verdana" w:eastAsia="Calibri" w:hAnsi="Verdana" w:cs="Arial"/>
          <w:lang w:val="es-ES" w:eastAsia="es-ES"/>
        </w:rPr>
      </w:pPr>
      <w:r>
        <w:rPr>
          <w:rFonts w:ascii="Verdana" w:eastAsia="Calibri" w:hAnsi="Verdana" w:cs="Arial"/>
          <w:lang w:val="es-ES" w:eastAsia="es-ES"/>
        </w:rPr>
        <w:t>Ciudad</w:t>
      </w:r>
    </w:p>
    <w:p w14:paraId="161907D8" w14:textId="77777777" w:rsidR="00E26AE3" w:rsidRDefault="00E26AE3" w:rsidP="00871B59">
      <w:pPr>
        <w:spacing w:after="0" w:line="240" w:lineRule="auto"/>
        <w:rPr>
          <w:rFonts w:ascii="Verdana" w:eastAsia="Calibri" w:hAnsi="Verdana" w:cs="Arial"/>
          <w:lang w:val="es-ES" w:eastAsia="es-ES"/>
        </w:rPr>
      </w:pPr>
    </w:p>
    <w:p w14:paraId="6CCFF59A" w14:textId="77777777" w:rsidR="003E4C6C" w:rsidRPr="00593A5F" w:rsidRDefault="003E4C6C" w:rsidP="00871B59">
      <w:pPr>
        <w:spacing w:after="0" w:line="240" w:lineRule="auto"/>
        <w:rPr>
          <w:rFonts w:ascii="Verdana" w:eastAsia="Calibri" w:hAnsi="Verdana" w:cs="Arial"/>
          <w:b/>
          <w:bCs/>
          <w:color w:val="000000"/>
          <w:lang w:val="es-ES_tradnl" w:eastAsia="es-ES_tradnl"/>
        </w:rPr>
      </w:pPr>
    </w:p>
    <w:p w14:paraId="40764CBF" w14:textId="77777777" w:rsidR="00871B59" w:rsidRPr="00593A5F" w:rsidRDefault="00871B59" w:rsidP="00871B59">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871B59" w:rsidRPr="00593A5F" w14:paraId="6AC1791A" w14:textId="77777777" w:rsidTr="002607A7">
        <w:trPr>
          <w:trHeight w:val="884"/>
        </w:trPr>
        <w:tc>
          <w:tcPr>
            <w:tcW w:w="2689" w:type="dxa"/>
          </w:tcPr>
          <w:p w14:paraId="156B1AEC" w14:textId="77777777" w:rsidR="00871B59" w:rsidRPr="00C00976" w:rsidRDefault="00871B59" w:rsidP="002607A7">
            <w:pPr>
              <w:jc w:val="both"/>
              <w:rPr>
                <w:rFonts w:ascii="Verdana" w:eastAsia="Calibri" w:hAnsi="Verdana" w:cs="Arial"/>
                <w:b/>
                <w:bCs/>
                <w:color w:val="7030A0"/>
                <w:lang w:val="es-ES_tradnl" w:eastAsia="es-ES_tradnl"/>
              </w:rPr>
            </w:pPr>
          </w:p>
        </w:tc>
        <w:tc>
          <w:tcPr>
            <w:tcW w:w="6100" w:type="dxa"/>
          </w:tcPr>
          <w:p w14:paraId="48F499EA" w14:textId="725F061E" w:rsidR="00871B59" w:rsidRPr="007B60E9" w:rsidRDefault="00871B59" w:rsidP="002607A7">
            <w:pPr>
              <w:jc w:val="both"/>
              <w:rPr>
                <w:rFonts w:ascii="Verdana" w:eastAsia="Calibri" w:hAnsi="Verdana" w:cs="Arial"/>
                <w:b/>
                <w:bCs/>
                <w:color w:val="7030A0"/>
                <w:lang w:val="es-ES" w:eastAsia="es-ES"/>
              </w:rPr>
            </w:pPr>
            <w:r w:rsidRPr="007B60E9">
              <w:rPr>
                <w:rFonts w:ascii="Verdana" w:eastAsia="Calibri" w:hAnsi="Verdana" w:cs="Arial"/>
                <w:b/>
                <w:bCs/>
                <w:lang w:val="es-ES" w:eastAsia="es-ES"/>
              </w:rPr>
              <w:t>Concepto C-</w:t>
            </w:r>
            <w:r w:rsidR="007B60E9" w:rsidRPr="007B60E9">
              <w:rPr>
                <w:rFonts w:ascii="Verdana" w:eastAsia="Calibri" w:hAnsi="Verdana" w:cs="Arial"/>
                <w:b/>
                <w:bCs/>
                <w:lang w:val="es-ES" w:eastAsia="es-ES"/>
              </w:rPr>
              <w:t>188</w:t>
            </w:r>
            <w:r w:rsidRPr="007B60E9">
              <w:rPr>
                <w:rFonts w:ascii="Verdana" w:eastAsia="Calibri" w:hAnsi="Verdana" w:cs="Arial"/>
                <w:b/>
                <w:bCs/>
                <w:lang w:val="es-ES" w:eastAsia="es-ES"/>
              </w:rPr>
              <w:t xml:space="preserve"> de </w:t>
            </w:r>
            <w:r w:rsidR="007B60E9" w:rsidRPr="007B60E9">
              <w:rPr>
                <w:rFonts w:ascii="Verdana" w:eastAsia="Calibri" w:hAnsi="Verdana" w:cs="Arial"/>
                <w:b/>
                <w:bCs/>
                <w:lang w:val="es-ES" w:eastAsia="es-ES"/>
              </w:rPr>
              <w:t>2024</w:t>
            </w:r>
          </w:p>
        </w:tc>
      </w:tr>
      <w:tr w:rsidR="00871B59" w:rsidRPr="00593A5F" w14:paraId="0DD246A7" w14:textId="77777777" w:rsidTr="002607A7">
        <w:trPr>
          <w:trHeight w:val="884"/>
        </w:trPr>
        <w:tc>
          <w:tcPr>
            <w:tcW w:w="2689" w:type="dxa"/>
          </w:tcPr>
          <w:p w14:paraId="1B4FC525" w14:textId="77777777" w:rsidR="00871B59" w:rsidRPr="004B40A6" w:rsidRDefault="00871B59" w:rsidP="002607A7">
            <w:pPr>
              <w:jc w:val="both"/>
              <w:rPr>
                <w:rFonts w:ascii="Verdana" w:eastAsia="Calibri" w:hAnsi="Verdana" w:cs="Arial"/>
                <w:lang w:val="es-ES_tradnl" w:eastAsia="es-ES_tradnl"/>
              </w:rPr>
            </w:pPr>
            <w:r w:rsidRPr="004B40A6">
              <w:rPr>
                <w:rFonts w:ascii="Verdana" w:eastAsia="Calibri" w:hAnsi="Verdana" w:cs="Arial"/>
                <w:b/>
                <w:lang w:val="es-ES_tradnl" w:eastAsia="es-ES_tradnl"/>
              </w:rPr>
              <w:t>Temas:</w:t>
            </w:r>
            <w:r w:rsidRPr="004B40A6">
              <w:rPr>
                <w:rFonts w:ascii="Verdana" w:eastAsia="Calibri" w:hAnsi="Verdana" w:cs="Arial"/>
                <w:lang w:val="es-ES_tradnl" w:eastAsia="es-ES_tradnl"/>
              </w:rPr>
              <w:t xml:space="preserve">                   </w:t>
            </w:r>
          </w:p>
        </w:tc>
        <w:tc>
          <w:tcPr>
            <w:tcW w:w="6100" w:type="dxa"/>
          </w:tcPr>
          <w:p w14:paraId="7ADD1096" w14:textId="0D0264FA" w:rsidR="00871B59" w:rsidRPr="004B40A6" w:rsidRDefault="006D7843" w:rsidP="002607A7">
            <w:pPr>
              <w:spacing w:line="276" w:lineRule="auto"/>
              <w:jc w:val="both"/>
              <w:rPr>
                <w:rFonts w:ascii="Verdana" w:eastAsia="Calibri" w:hAnsi="Verdana" w:cs="Arial"/>
                <w:bCs/>
                <w:lang w:val="es-ES" w:eastAsia="es-ES"/>
              </w:rPr>
            </w:pPr>
            <w:r w:rsidRPr="004B40A6">
              <w:rPr>
                <w:rFonts w:ascii="Verdana" w:hAnsi="Verdana" w:cs="Arial"/>
                <w:bCs/>
                <w:lang w:val="es-ES_tradnl"/>
              </w:rPr>
              <w:t>ANTICIPO – Regulación normativa</w:t>
            </w:r>
            <w:r w:rsidRPr="004B40A6">
              <w:rPr>
                <w:rFonts w:ascii="Verdana" w:eastAsia="Calibri" w:hAnsi="Verdana" w:cs="Arial"/>
                <w:bCs/>
                <w:lang w:val="es-ES" w:eastAsia="es-ES"/>
              </w:rPr>
              <w:t xml:space="preserve"> / </w:t>
            </w:r>
            <w:r w:rsidRPr="004B40A6">
              <w:rPr>
                <w:rFonts w:ascii="Verdana" w:hAnsi="Verdana" w:cs="Arial"/>
                <w:bCs/>
              </w:rPr>
              <w:t xml:space="preserve">ANTICIPO – Definición jurisprudencial / </w:t>
            </w:r>
            <w:r w:rsidRPr="004B40A6">
              <w:rPr>
                <w:rFonts w:ascii="Verdana" w:eastAsia="Calibri" w:hAnsi="Verdana" w:cs="Arial"/>
                <w:bCs/>
              </w:rPr>
              <w:t>PAGO ANTICIPADO Y/O ANTICIPO – Límites – Aplicación – Tipo contractual</w:t>
            </w:r>
            <w:r w:rsidR="009A3734">
              <w:rPr>
                <w:rFonts w:ascii="Verdana" w:eastAsia="Calibri" w:hAnsi="Verdana" w:cs="Arial"/>
                <w:bCs/>
              </w:rPr>
              <w:t xml:space="preserve"> / </w:t>
            </w:r>
            <w:r w:rsidR="009A3734" w:rsidRPr="009A3734">
              <w:rPr>
                <w:rFonts w:ascii="Verdana" w:eastAsia="Times New Roman" w:hAnsi="Verdana" w:cs="Segoe UI"/>
                <w:lang w:val="es-ES" w:eastAsia="es-CO"/>
              </w:rPr>
              <w:t>MODIFICACION DE LOS CONTRATOS ESTATALES – Procedencia – Límites</w:t>
            </w:r>
          </w:p>
        </w:tc>
      </w:tr>
      <w:tr w:rsidR="00871B59" w:rsidRPr="00593A5F" w14:paraId="0A874006" w14:textId="77777777" w:rsidTr="002607A7">
        <w:tc>
          <w:tcPr>
            <w:tcW w:w="2689" w:type="dxa"/>
          </w:tcPr>
          <w:p w14:paraId="56ED2765" w14:textId="77777777" w:rsidR="00871B59" w:rsidRPr="004B40A6" w:rsidRDefault="00871B59" w:rsidP="002607A7">
            <w:pPr>
              <w:jc w:val="both"/>
              <w:rPr>
                <w:rFonts w:ascii="Verdana" w:eastAsia="Calibri" w:hAnsi="Verdana" w:cs="Arial"/>
                <w:b/>
                <w:lang w:val="es-ES_tradnl" w:eastAsia="es-ES_tradnl"/>
              </w:rPr>
            </w:pPr>
            <w:r w:rsidRPr="004B40A6">
              <w:rPr>
                <w:rFonts w:ascii="Verdana" w:eastAsia="Calibri" w:hAnsi="Verdana" w:cs="Arial"/>
                <w:b/>
                <w:lang w:val="es-ES_tradnl" w:eastAsia="es-ES_tradnl"/>
              </w:rPr>
              <w:t>Radicación:</w:t>
            </w:r>
            <w:r w:rsidRPr="004B40A6">
              <w:rPr>
                <w:rFonts w:ascii="Verdana" w:eastAsia="Calibri" w:hAnsi="Verdana" w:cs="Arial"/>
                <w:lang w:val="es-ES_tradnl" w:eastAsia="es-ES_tradnl"/>
              </w:rPr>
              <w:t xml:space="preserve">               </w:t>
            </w:r>
          </w:p>
        </w:tc>
        <w:tc>
          <w:tcPr>
            <w:tcW w:w="6100" w:type="dxa"/>
          </w:tcPr>
          <w:p w14:paraId="630D2668" w14:textId="250EF5AB" w:rsidR="00871B59" w:rsidRPr="004B40A6" w:rsidRDefault="00871B59" w:rsidP="002607A7">
            <w:pPr>
              <w:jc w:val="both"/>
              <w:rPr>
                <w:rFonts w:ascii="Verdana" w:eastAsia="Calibri" w:hAnsi="Verdana" w:cs="Arial"/>
                <w:lang w:val="es-ES_tradnl" w:eastAsia="es-ES_tradnl"/>
              </w:rPr>
            </w:pPr>
            <w:r w:rsidRPr="004B40A6">
              <w:rPr>
                <w:rFonts w:ascii="Verdana" w:eastAsia="Calibri" w:hAnsi="Verdana" w:cs="Arial"/>
                <w:lang w:val="es-ES_tradnl" w:eastAsia="es-ES_tradnl"/>
              </w:rPr>
              <w:t xml:space="preserve">Respuesta a consulta con radicado No. </w:t>
            </w:r>
            <w:r w:rsidR="004B40A6" w:rsidRPr="004B40A6">
              <w:rPr>
                <w:rFonts w:ascii="Verdana" w:eastAsia="Calibri" w:hAnsi="Verdana" w:cs="Arial"/>
                <w:lang w:val="es-ES_tradnl" w:eastAsia="es-ES_tradnl"/>
              </w:rPr>
              <w:t>P20240618006209</w:t>
            </w:r>
          </w:p>
        </w:tc>
      </w:tr>
    </w:tbl>
    <w:p w14:paraId="01AFCA4D" w14:textId="77777777" w:rsidR="00871B59" w:rsidRPr="00593A5F" w:rsidRDefault="00871B59" w:rsidP="00871B59">
      <w:pPr>
        <w:spacing w:after="0" w:line="240" w:lineRule="auto"/>
        <w:jc w:val="both"/>
        <w:rPr>
          <w:rFonts w:ascii="Verdana" w:eastAsia="Calibri" w:hAnsi="Verdana" w:cs="Arial"/>
          <w:color w:val="000000"/>
          <w:lang w:val="es-ES_tradnl" w:eastAsia="es-ES_tradnl"/>
        </w:rPr>
      </w:pPr>
    </w:p>
    <w:p w14:paraId="4FF08E37" w14:textId="77777777" w:rsidR="00871B59" w:rsidRPr="00593A5F" w:rsidRDefault="00871B59" w:rsidP="00871B59">
      <w:pPr>
        <w:spacing w:after="0" w:line="240" w:lineRule="auto"/>
        <w:jc w:val="both"/>
        <w:rPr>
          <w:rFonts w:ascii="Verdana" w:eastAsia="Calibri" w:hAnsi="Verdana" w:cs="Arial"/>
          <w:color w:val="000000"/>
          <w:lang w:val="es-ES_tradnl" w:eastAsia="es-ES_tradnl"/>
        </w:rPr>
      </w:pPr>
    </w:p>
    <w:p w14:paraId="5A8CAE32" w14:textId="675A3438" w:rsidR="00871B59" w:rsidRPr="004B40A6" w:rsidRDefault="00871B59" w:rsidP="00871B59">
      <w:pPr>
        <w:spacing w:after="0" w:line="276" w:lineRule="auto"/>
        <w:jc w:val="both"/>
        <w:rPr>
          <w:rFonts w:ascii="Verdana" w:eastAsia="Calibri" w:hAnsi="Verdana" w:cs="Arial"/>
          <w:lang w:val="es-ES" w:eastAsia="es-ES"/>
        </w:rPr>
      </w:pPr>
      <w:r w:rsidRPr="004B40A6">
        <w:rPr>
          <w:rFonts w:ascii="Verdana" w:eastAsia="Calibri" w:hAnsi="Verdana" w:cs="Arial"/>
          <w:lang w:val="es-ES" w:eastAsia="es-ES"/>
        </w:rPr>
        <w:t xml:space="preserve">Estimado señor </w:t>
      </w:r>
      <w:r w:rsidR="004B40A6" w:rsidRPr="004B40A6">
        <w:rPr>
          <w:rFonts w:ascii="Verdana" w:eastAsia="Calibri" w:hAnsi="Verdana" w:cs="Arial"/>
          <w:lang w:val="es-ES" w:eastAsia="es-ES"/>
        </w:rPr>
        <w:t>Vega</w:t>
      </w:r>
      <w:r w:rsidRPr="004B40A6">
        <w:rPr>
          <w:rFonts w:ascii="Verdana" w:eastAsia="Calibri" w:hAnsi="Verdana" w:cs="Arial"/>
          <w:lang w:val="es-ES" w:eastAsia="es-ES"/>
        </w:rPr>
        <w:t xml:space="preserve">: </w:t>
      </w:r>
    </w:p>
    <w:p w14:paraId="62039951" w14:textId="77777777" w:rsidR="00871B59" w:rsidRPr="004B40A6" w:rsidRDefault="00871B59" w:rsidP="00871B59">
      <w:pPr>
        <w:tabs>
          <w:tab w:val="left" w:pos="3768"/>
        </w:tabs>
        <w:spacing w:after="0" w:line="276" w:lineRule="auto"/>
        <w:jc w:val="both"/>
        <w:rPr>
          <w:rFonts w:ascii="Verdana" w:eastAsia="Calibri" w:hAnsi="Verdana" w:cs="Arial"/>
          <w:lang w:val="es-ES" w:eastAsia="es-ES"/>
        </w:rPr>
      </w:pPr>
      <w:r w:rsidRPr="004B40A6">
        <w:rPr>
          <w:rFonts w:ascii="Verdana" w:eastAsia="Calibri" w:hAnsi="Verdana" w:cs="Arial"/>
          <w:lang w:val="es-ES" w:eastAsia="es-ES"/>
        </w:rPr>
        <w:tab/>
      </w:r>
    </w:p>
    <w:p w14:paraId="3F1D9A82" w14:textId="7DC4B750" w:rsidR="00871B59" w:rsidRPr="004B40A6" w:rsidRDefault="00871B59" w:rsidP="00871B59">
      <w:pPr>
        <w:spacing w:after="0" w:line="276" w:lineRule="auto"/>
        <w:jc w:val="both"/>
        <w:rPr>
          <w:rFonts w:ascii="Verdana" w:eastAsia="Calibri" w:hAnsi="Verdana" w:cs="Arial"/>
          <w:lang w:val="es-ES" w:eastAsia="es-ES"/>
        </w:rPr>
      </w:pPr>
      <w:r w:rsidRPr="004B40A6">
        <w:rPr>
          <w:rFonts w:ascii="Verdana" w:eastAsia="Calibri" w:hAnsi="Verdana" w:cs="Arial"/>
          <w:lang w:val="es-ES" w:eastAsia="es-ES"/>
        </w:rPr>
        <w:t>En ejercicio de la competencia otorgada por los artículos 3, numeral 5º, y 11, numeral 8º, del Decreto Ley 4170 de 2011,</w:t>
      </w:r>
      <w:r w:rsidRPr="004B40A6">
        <w:rPr>
          <w:rFonts w:ascii="Verdana" w:eastAsia="Arial MT" w:hAnsi="Verdana" w:cs="Arial MT"/>
          <w:lang w:val="es-ES" w:eastAsia="es-ES"/>
        </w:rPr>
        <w:t xml:space="preserve"> </w:t>
      </w:r>
      <w:r w:rsidRPr="004B40A6">
        <w:rPr>
          <w:rFonts w:ascii="Verdana" w:hAnsi="Verdana" w:cs="Arial"/>
        </w:rPr>
        <w:t xml:space="preserve">así como lo establecido en el artículo 4 de la Resolución 1707 de 2018 expedida por esta Entidad, </w:t>
      </w:r>
      <w:r w:rsidRPr="004B40A6">
        <w:rPr>
          <w:rFonts w:ascii="Verdana" w:eastAsia="Calibri" w:hAnsi="Verdana" w:cs="Arial"/>
          <w:lang w:val="es-ES" w:eastAsia="es-ES"/>
        </w:rPr>
        <w:t xml:space="preserve">la Agencia Nacional de Contratación Pública – Colombia Compra Eficiente– responde su solicitud de consulta de fecha </w:t>
      </w:r>
      <w:r w:rsidR="004B40A6" w:rsidRPr="004B40A6">
        <w:rPr>
          <w:rFonts w:ascii="Verdana" w:eastAsia="Calibri" w:hAnsi="Verdana" w:cs="Arial"/>
          <w:lang w:val="es-ES" w:eastAsia="es-ES"/>
        </w:rPr>
        <w:t>18</w:t>
      </w:r>
      <w:r w:rsidRPr="004B40A6">
        <w:rPr>
          <w:rFonts w:ascii="Verdana" w:eastAsia="Calibri" w:hAnsi="Verdana" w:cs="Arial"/>
          <w:lang w:val="es-ES" w:eastAsia="es-ES"/>
        </w:rPr>
        <w:t xml:space="preserve"> de </w:t>
      </w:r>
      <w:r w:rsidR="004B40A6" w:rsidRPr="004B40A6">
        <w:rPr>
          <w:rFonts w:ascii="Verdana" w:eastAsia="Calibri" w:hAnsi="Verdana" w:cs="Arial"/>
          <w:lang w:val="es-ES" w:eastAsia="es-ES"/>
        </w:rPr>
        <w:t>junio</w:t>
      </w:r>
      <w:r w:rsidRPr="004B40A6">
        <w:rPr>
          <w:rFonts w:ascii="Verdana" w:eastAsia="Calibri" w:hAnsi="Verdana" w:cs="Arial"/>
          <w:lang w:val="es-ES" w:eastAsia="es-ES"/>
        </w:rPr>
        <w:t xml:space="preserve"> de 20</w:t>
      </w:r>
      <w:r w:rsidR="004B40A6" w:rsidRPr="004B40A6">
        <w:rPr>
          <w:rFonts w:ascii="Verdana" w:eastAsia="Calibri" w:hAnsi="Verdana" w:cs="Arial"/>
          <w:lang w:val="es-ES" w:eastAsia="es-ES"/>
        </w:rPr>
        <w:t>24</w:t>
      </w:r>
      <w:r w:rsidRPr="004B40A6">
        <w:rPr>
          <w:rFonts w:ascii="Verdana" w:eastAsia="Calibri" w:hAnsi="Verdana" w:cs="Arial"/>
          <w:lang w:val="es-ES" w:eastAsia="es-ES"/>
        </w:rPr>
        <w:t xml:space="preserve">, en la cual manifiesta lo siguiente: </w:t>
      </w:r>
    </w:p>
    <w:p w14:paraId="6DBD3E26" w14:textId="77777777" w:rsidR="00871B59" w:rsidRPr="004B40A6" w:rsidRDefault="00871B59" w:rsidP="00871B59">
      <w:pPr>
        <w:pStyle w:val="Prrafodelista"/>
        <w:tabs>
          <w:tab w:val="left" w:pos="142"/>
          <w:tab w:val="left" w:pos="284"/>
        </w:tabs>
        <w:spacing w:line="276" w:lineRule="auto"/>
        <w:ind w:left="0"/>
        <w:jc w:val="both"/>
        <w:rPr>
          <w:rFonts w:ascii="Verdana" w:eastAsia="Century Gothic" w:hAnsi="Verdana" w:cs="Century Gothic"/>
          <w:b/>
          <w:bCs/>
          <w:lang w:val="es-ES"/>
        </w:rPr>
      </w:pPr>
    </w:p>
    <w:p w14:paraId="1006183E" w14:textId="50F058E3" w:rsidR="00871B59" w:rsidRPr="00EB6AD2" w:rsidRDefault="00871B59" w:rsidP="00871B59">
      <w:pPr>
        <w:spacing w:after="0" w:line="240" w:lineRule="auto"/>
        <w:ind w:left="709" w:right="709"/>
        <w:jc w:val="both"/>
        <w:rPr>
          <w:rFonts w:ascii="Verdana" w:eastAsia="Century Gothic" w:hAnsi="Verdana" w:cs="Century Gothic"/>
          <w:color w:val="7030A0"/>
          <w:sz w:val="20"/>
          <w:szCs w:val="20"/>
          <w:lang w:val="es-ES"/>
        </w:rPr>
      </w:pPr>
      <w:bookmarkStart w:id="1" w:name="_Hlk95313578"/>
      <w:r w:rsidRPr="00EB6AD2">
        <w:rPr>
          <w:rFonts w:ascii="Verdana" w:eastAsia="Century Gothic" w:hAnsi="Verdana" w:cs="Century Gothic"/>
          <w:sz w:val="20"/>
          <w:szCs w:val="20"/>
          <w:lang w:val="es-ES"/>
        </w:rPr>
        <w:t>“</w:t>
      </w:r>
      <w:r w:rsidR="004B40A6" w:rsidRPr="00EB6AD2">
        <w:rPr>
          <w:rFonts w:ascii="Verdana" w:hAnsi="Verdana"/>
          <w:sz w:val="20"/>
          <w:szCs w:val="20"/>
        </w:rPr>
        <w:t>¿puede un contratista renunciar al anticipo, si ya está adjudicado el contrato?</w:t>
      </w:r>
      <w:r w:rsidRPr="00EB6AD2">
        <w:rPr>
          <w:rFonts w:ascii="Verdana" w:eastAsia="Century Gothic" w:hAnsi="Verdana" w:cs="Century Gothic"/>
          <w:sz w:val="20"/>
          <w:szCs w:val="20"/>
          <w:lang w:val="es-ES"/>
        </w:rPr>
        <w:t>”</w:t>
      </w:r>
      <w:bookmarkEnd w:id="1"/>
      <w:r w:rsidRPr="00EB6AD2">
        <w:rPr>
          <w:rFonts w:ascii="Verdana" w:eastAsia="Century Gothic" w:hAnsi="Verdana" w:cs="Century Gothic"/>
          <w:sz w:val="20"/>
          <w:szCs w:val="20"/>
          <w:lang w:val="es-ES"/>
        </w:rPr>
        <w:t>.</w:t>
      </w:r>
    </w:p>
    <w:p w14:paraId="54DCAD4E" w14:textId="77777777" w:rsidR="00871B59" w:rsidRPr="00593A5F" w:rsidRDefault="00871B59" w:rsidP="00871B59">
      <w:pPr>
        <w:pStyle w:val="Prrafodelista"/>
        <w:tabs>
          <w:tab w:val="left" w:pos="142"/>
          <w:tab w:val="left" w:pos="284"/>
        </w:tabs>
        <w:spacing w:line="276" w:lineRule="auto"/>
        <w:ind w:left="0"/>
        <w:jc w:val="both"/>
        <w:rPr>
          <w:rFonts w:ascii="Verdana" w:eastAsia="Century Gothic" w:hAnsi="Verdana" w:cs="Century Gothic"/>
          <w:b/>
          <w:bCs/>
          <w:lang w:val="es-ES"/>
        </w:rPr>
      </w:pPr>
    </w:p>
    <w:p w14:paraId="30F17EAD" w14:textId="61D1B130" w:rsidR="00871B59" w:rsidRDefault="00871B59" w:rsidP="00871B59">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w:t>
      </w:r>
      <w:r w:rsidR="006B6160">
        <w:rPr>
          <w:rFonts w:ascii="Verdana" w:eastAsia="Calibri" w:hAnsi="Verdana" w:cs="Arial"/>
          <w:color w:val="000000"/>
          <w:lang w:val="es-ES" w:eastAsia="es-ES"/>
        </w:rPr>
        <w:t>precisar</w:t>
      </w:r>
      <w:r w:rsidRPr="00593A5F">
        <w:rPr>
          <w:rFonts w:ascii="Verdana" w:eastAsia="Calibri" w:hAnsi="Verdana" w:cs="Arial"/>
          <w:color w:val="000000"/>
          <w:lang w:val="es-ES" w:eastAsia="es-ES"/>
        </w:rPr>
        <w:t xml:space="preserve"> que esta entidad solo tiene competencia para responder consultas sobre la aplicación de normas de </w:t>
      </w:r>
      <w:r w:rsidRPr="00593A5F">
        <w:rPr>
          <w:rFonts w:ascii="Verdana" w:eastAsia="Calibri" w:hAnsi="Verdana" w:cs="Arial"/>
          <w:color w:val="000000"/>
          <w:lang w:val="es-ES" w:eastAsia="es-ES"/>
        </w:rPr>
        <w:lastRenderedPageBreak/>
        <w:t xml:space="preserve">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3B95778F" w14:textId="77777777" w:rsidR="00871B59" w:rsidRPr="004B40A6" w:rsidRDefault="00871B59" w:rsidP="00871B59">
      <w:pPr>
        <w:spacing w:after="0" w:line="276" w:lineRule="auto"/>
        <w:ind w:firstLine="709"/>
        <w:jc w:val="both"/>
        <w:rPr>
          <w:rFonts w:ascii="Verdana" w:eastAsia="Calibri" w:hAnsi="Verdana" w:cs="Arial"/>
          <w:lang w:val="es-ES" w:eastAsia="es-ES"/>
        </w:rPr>
      </w:pPr>
      <w:r w:rsidRPr="004B40A6">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14:paraId="70187214" w14:textId="77777777" w:rsidR="00871B59" w:rsidRPr="00593A5F" w:rsidRDefault="00871B59" w:rsidP="00871B59">
      <w:pPr>
        <w:spacing w:after="0" w:line="276" w:lineRule="auto"/>
        <w:ind w:firstLine="709"/>
        <w:jc w:val="both"/>
        <w:rPr>
          <w:rFonts w:ascii="Verdana" w:eastAsia="Calibri" w:hAnsi="Verdana" w:cs="Arial"/>
          <w:color w:val="000000"/>
          <w:lang w:val="es-ES" w:eastAsia="es-ES"/>
        </w:rPr>
      </w:pPr>
    </w:p>
    <w:p w14:paraId="74DD4DE4" w14:textId="77777777" w:rsidR="00871B59" w:rsidRPr="00593A5F" w:rsidRDefault="00871B59" w:rsidP="00871B59">
      <w:pPr>
        <w:pStyle w:val="Prrafodelista"/>
        <w:numPr>
          <w:ilvl w:val="0"/>
          <w:numId w:val="4"/>
        </w:numPr>
        <w:tabs>
          <w:tab w:val="left" w:pos="142"/>
          <w:tab w:val="left" w:pos="284"/>
        </w:tabs>
        <w:spacing w:after="0" w:line="276" w:lineRule="auto"/>
        <w:ind w:left="0" w:firstLine="0"/>
        <w:jc w:val="both"/>
        <w:rPr>
          <w:rFonts w:ascii="Verdana" w:eastAsia="Century Gothic" w:hAnsi="Verdana" w:cs="Century Gothic"/>
          <w:b/>
          <w:bCs/>
          <w:lang w:val="es-ES"/>
        </w:rPr>
      </w:pPr>
      <w:r w:rsidRPr="00593A5F">
        <w:rPr>
          <w:rFonts w:ascii="Verdana" w:eastAsia="Century Gothic" w:hAnsi="Verdana" w:cs="Century Gothic"/>
          <w:b/>
          <w:bCs/>
          <w:lang w:val="es-ES"/>
        </w:rPr>
        <w:t>Problema planteado:</w:t>
      </w:r>
    </w:p>
    <w:p w14:paraId="690221EE" w14:textId="77777777" w:rsidR="00871B59" w:rsidRPr="00593A5F" w:rsidRDefault="00871B59" w:rsidP="00871B59">
      <w:pPr>
        <w:tabs>
          <w:tab w:val="left" w:pos="426"/>
        </w:tabs>
        <w:spacing w:after="0" w:line="276" w:lineRule="auto"/>
        <w:jc w:val="both"/>
        <w:rPr>
          <w:rFonts w:ascii="Verdana" w:eastAsia="Century Gothic" w:hAnsi="Verdana" w:cs="Century Gothic"/>
          <w:lang w:val="es-ES"/>
        </w:rPr>
      </w:pPr>
    </w:p>
    <w:p w14:paraId="11DC9C47" w14:textId="470D5570" w:rsidR="00871B59" w:rsidRPr="004B40A6" w:rsidRDefault="00871B59" w:rsidP="00871B59">
      <w:pPr>
        <w:spacing w:after="0" w:line="276" w:lineRule="auto"/>
        <w:jc w:val="both"/>
        <w:rPr>
          <w:rFonts w:ascii="Verdana" w:eastAsia="Century Gothic" w:hAnsi="Verdana" w:cs="Century Gothic"/>
        </w:rPr>
      </w:pPr>
      <w:r w:rsidRPr="004B40A6">
        <w:rPr>
          <w:rFonts w:ascii="Verdana" w:eastAsia="Century Gothic" w:hAnsi="Verdana" w:cs="Century Gothic"/>
        </w:rPr>
        <w:t>De acuerdo con el contenido de su solicitud, esta Agencia resolverá</w:t>
      </w:r>
      <w:r w:rsidR="00AD3F51">
        <w:rPr>
          <w:rFonts w:ascii="Verdana" w:eastAsia="Century Gothic" w:hAnsi="Verdana" w:cs="Century Gothic"/>
        </w:rPr>
        <w:t xml:space="preserve"> la </w:t>
      </w:r>
      <w:r w:rsidR="00AD3F51" w:rsidRPr="004B40A6">
        <w:rPr>
          <w:rFonts w:ascii="Verdana" w:eastAsia="Century Gothic" w:hAnsi="Verdana" w:cs="Century Gothic"/>
        </w:rPr>
        <w:t xml:space="preserve">siguiente </w:t>
      </w:r>
      <w:r w:rsidR="00AD3F51">
        <w:rPr>
          <w:rFonts w:ascii="Verdana" w:eastAsia="Century Gothic" w:hAnsi="Verdana" w:cs="Century Gothic"/>
        </w:rPr>
        <w:t xml:space="preserve">cuestión </w:t>
      </w:r>
      <w:r w:rsidR="00AD3F51" w:rsidRPr="004B40A6">
        <w:rPr>
          <w:rFonts w:ascii="Verdana" w:eastAsia="Century Gothic" w:hAnsi="Verdana" w:cs="Century Gothic"/>
        </w:rPr>
        <w:t>jurídic</w:t>
      </w:r>
      <w:r w:rsidR="00AD3F51">
        <w:rPr>
          <w:rFonts w:ascii="Verdana" w:eastAsia="Century Gothic" w:hAnsi="Verdana" w:cs="Century Gothic"/>
        </w:rPr>
        <w:t>a</w:t>
      </w:r>
      <w:r w:rsidR="00AD3F51" w:rsidRPr="004B40A6">
        <w:rPr>
          <w:rFonts w:ascii="Verdana" w:eastAsia="Century Gothic" w:hAnsi="Verdana" w:cs="Century Gothic"/>
        </w:rPr>
        <w:t>:</w:t>
      </w:r>
      <w:r w:rsidR="00AD3F51">
        <w:rPr>
          <w:rFonts w:ascii="Verdana" w:eastAsia="Century Gothic" w:hAnsi="Verdana" w:cs="Century Gothic"/>
        </w:rPr>
        <w:t xml:space="preserve"> </w:t>
      </w:r>
      <w:r w:rsidRPr="004B40A6">
        <w:rPr>
          <w:rFonts w:ascii="Verdana" w:eastAsia="Century Gothic" w:hAnsi="Verdana" w:cs="Century Gothic"/>
        </w:rPr>
        <w:t>¿</w:t>
      </w:r>
      <w:r w:rsidR="004B40A6" w:rsidRPr="004B40A6">
        <w:rPr>
          <w:rFonts w:ascii="Verdana" w:eastAsia="Century Gothic" w:hAnsi="Verdana" w:cs="Century Gothic"/>
        </w:rPr>
        <w:t xml:space="preserve">Puede un contratista renunciar al anticipo, así este adjudicado el contrato con la entidad estatal? </w:t>
      </w:r>
    </w:p>
    <w:p w14:paraId="57640A16" w14:textId="77777777" w:rsidR="00871B59" w:rsidRPr="00593A5F" w:rsidRDefault="00871B59" w:rsidP="00871B59">
      <w:pPr>
        <w:spacing w:after="0" w:line="276" w:lineRule="auto"/>
        <w:jc w:val="both"/>
        <w:rPr>
          <w:rFonts w:ascii="Verdana" w:eastAsia="Calibri" w:hAnsi="Verdana" w:cs="Arial"/>
          <w:color w:val="7030A0"/>
          <w:lang w:val="es-ES"/>
        </w:rPr>
      </w:pPr>
    </w:p>
    <w:p w14:paraId="33E3D3F8" w14:textId="77777777" w:rsidR="00871B59" w:rsidRPr="00593A5F"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Respuesta:</w:t>
      </w:r>
    </w:p>
    <w:p w14:paraId="4647B31A" w14:textId="77777777" w:rsidR="00871B59" w:rsidRPr="00593A5F" w:rsidRDefault="00871B59" w:rsidP="00871B59">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871B59" w:rsidRPr="00593A5F" w14:paraId="14984B9D" w14:textId="77777777" w:rsidTr="002607A7">
        <w:tc>
          <w:tcPr>
            <w:tcW w:w="8828" w:type="dxa"/>
            <w:shd w:val="clear" w:color="auto" w:fill="auto"/>
          </w:tcPr>
          <w:p w14:paraId="06F2621D" w14:textId="5F9DC5CD" w:rsidR="000612B8" w:rsidRDefault="00A5703C" w:rsidP="0049103D">
            <w:pPr>
              <w:spacing w:line="276" w:lineRule="auto"/>
              <w:jc w:val="both"/>
              <w:rPr>
                <w:rFonts w:ascii="Verdana" w:hAnsi="Verdana"/>
              </w:rPr>
            </w:pPr>
            <w:r>
              <w:rPr>
                <w:rFonts w:ascii="Verdana" w:hAnsi="Verdana"/>
              </w:rPr>
              <w:t>Atendiendo el</w:t>
            </w:r>
            <w:r w:rsidR="00266156">
              <w:rPr>
                <w:rFonts w:ascii="Verdana" w:hAnsi="Verdana"/>
              </w:rPr>
              <w:t xml:space="preserve"> </w:t>
            </w:r>
            <w:r w:rsidR="004E7E29">
              <w:rPr>
                <w:rFonts w:ascii="Verdana" w:hAnsi="Verdana"/>
              </w:rPr>
              <w:t xml:space="preserve">problema </w:t>
            </w:r>
            <w:r w:rsidR="001E6C9A">
              <w:rPr>
                <w:rFonts w:ascii="Verdana" w:hAnsi="Verdana"/>
              </w:rPr>
              <w:t>planteado</w:t>
            </w:r>
            <w:r w:rsidR="004E7E29">
              <w:rPr>
                <w:rFonts w:ascii="Verdana" w:hAnsi="Verdana"/>
              </w:rPr>
              <w:t xml:space="preserve"> objeto de consulta</w:t>
            </w:r>
            <w:r w:rsidR="005C4902" w:rsidRPr="0049103D">
              <w:rPr>
                <w:rFonts w:ascii="Verdana" w:hAnsi="Verdana"/>
              </w:rPr>
              <w:t xml:space="preserve">, es </w:t>
            </w:r>
            <w:r w:rsidR="004E7E29">
              <w:rPr>
                <w:rFonts w:ascii="Verdana" w:hAnsi="Verdana"/>
              </w:rPr>
              <w:t>viable</w:t>
            </w:r>
            <w:r w:rsidR="00266156">
              <w:rPr>
                <w:rFonts w:ascii="Verdana" w:hAnsi="Verdana"/>
              </w:rPr>
              <w:t xml:space="preserve"> afirmar</w:t>
            </w:r>
            <w:r w:rsidR="004E7E29">
              <w:rPr>
                <w:rFonts w:ascii="Verdana" w:hAnsi="Verdana"/>
              </w:rPr>
              <w:t xml:space="preserve"> que </w:t>
            </w:r>
            <w:r w:rsidR="00691CC8">
              <w:rPr>
                <w:rFonts w:ascii="Verdana" w:hAnsi="Verdana"/>
              </w:rPr>
              <w:t>el</w:t>
            </w:r>
            <w:r w:rsidR="004E7E29">
              <w:rPr>
                <w:rFonts w:ascii="Verdana" w:hAnsi="Verdana"/>
              </w:rPr>
              <w:t xml:space="preserve"> contratista puede renunciar</w:t>
            </w:r>
            <w:r w:rsidR="005C4902" w:rsidRPr="0049103D">
              <w:rPr>
                <w:rFonts w:ascii="Verdana" w:hAnsi="Verdana"/>
              </w:rPr>
              <w:t xml:space="preserve"> </w:t>
            </w:r>
            <w:r w:rsidR="00266156">
              <w:rPr>
                <w:rFonts w:ascii="Verdana" w:hAnsi="Verdana"/>
              </w:rPr>
              <w:t>al anticipo</w:t>
            </w:r>
            <w:r w:rsidR="004E7E29">
              <w:rPr>
                <w:rFonts w:ascii="Verdana" w:hAnsi="Verdana"/>
              </w:rPr>
              <w:t xml:space="preserve"> así </w:t>
            </w:r>
            <w:r w:rsidR="00691CC8">
              <w:rPr>
                <w:rFonts w:ascii="Verdana" w:hAnsi="Verdana"/>
              </w:rPr>
              <w:t>el contrato</w:t>
            </w:r>
            <w:r w:rsidR="004E7E29">
              <w:rPr>
                <w:rFonts w:ascii="Verdana" w:hAnsi="Verdana"/>
              </w:rPr>
              <w:t xml:space="preserve"> se encuentre adjudicado</w:t>
            </w:r>
            <w:r w:rsidR="00691CC8">
              <w:rPr>
                <w:rFonts w:ascii="Verdana" w:hAnsi="Verdana"/>
              </w:rPr>
              <w:t xml:space="preserve">, a causa de </w:t>
            </w:r>
            <w:r w:rsidR="008914D5">
              <w:rPr>
                <w:rFonts w:ascii="Verdana" w:hAnsi="Verdana"/>
              </w:rPr>
              <w:t>que,</w:t>
            </w:r>
            <w:r w:rsidR="00B4790C">
              <w:rPr>
                <w:rFonts w:ascii="Verdana" w:hAnsi="Verdana"/>
              </w:rPr>
              <w:t xml:space="preserve"> </w:t>
            </w:r>
            <w:r w:rsidR="00B4790C" w:rsidRPr="00B4790C">
              <w:rPr>
                <w:rFonts w:ascii="Verdana" w:hAnsi="Verdana"/>
              </w:rPr>
              <w:t xml:space="preserve">en los contratos estatales, debido a su carácter solemne definido por la ley (artículo 41 de la Ley 80 de 1993), estos no se perfeccionan con la notificación del acto de adjudicación, sino con la suscripción, por las dos partes, del documento que contenga las respectivas cláusulas o estipulaciones. Consecuencia de lo anterior es que el acto de adjudicación no da lugar, por sí mismo, al nacimiento de las obligaciones y los derechos que genera el </w:t>
            </w:r>
            <w:r w:rsidR="00B4790C" w:rsidRPr="00B4790C">
              <w:rPr>
                <w:rFonts w:ascii="Verdana" w:hAnsi="Verdana"/>
              </w:rPr>
              <w:lastRenderedPageBreak/>
              <w:t>contrato</w:t>
            </w:r>
            <w:r w:rsidR="000612B8">
              <w:rPr>
                <w:rFonts w:ascii="Verdana" w:hAnsi="Verdana"/>
              </w:rPr>
              <w:t>. Es decir</w:t>
            </w:r>
            <w:r w:rsidR="000612B8" w:rsidRPr="000612B8">
              <w:rPr>
                <w:rFonts w:ascii="Verdana" w:hAnsi="Verdana"/>
              </w:rPr>
              <w:t xml:space="preserve">, los contratos estatales se perfeccionan cuando se logre acuerdo sobre el objeto y la contraprestación, y este se eleve a escrito. En este sentido, la existencia y perfeccionamiento del contrato se produce cuando se cumplen los elementos y solemnidades del mismo, </w:t>
            </w:r>
            <w:r w:rsidR="000612B8">
              <w:rPr>
                <w:rFonts w:ascii="Verdana" w:hAnsi="Verdana"/>
              </w:rPr>
              <w:t>o sea</w:t>
            </w:r>
            <w:r w:rsidR="000612B8" w:rsidRPr="000612B8">
              <w:rPr>
                <w:rFonts w:ascii="Verdana" w:hAnsi="Verdana"/>
              </w:rPr>
              <w:t>, cuando existe un acuerdo de voluntades exento de vicios sobre el objeto, la contraprestación, y este conste por escrito.</w:t>
            </w:r>
          </w:p>
          <w:p w14:paraId="7F925185" w14:textId="77777777" w:rsidR="000612B8" w:rsidRDefault="000612B8" w:rsidP="0049103D">
            <w:pPr>
              <w:spacing w:line="276" w:lineRule="auto"/>
              <w:jc w:val="both"/>
            </w:pPr>
          </w:p>
          <w:p w14:paraId="75A5FB94" w14:textId="330BD6F3" w:rsidR="00D50855" w:rsidRPr="00D50855" w:rsidRDefault="000612B8" w:rsidP="0049103D">
            <w:pPr>
              <w:spacing w:line="276" w:lineRule="auto"/>
              <w:jc w:val="both"/>
              <w:rPr>
                <w:rFonts w:ascii="Verdana" w:hAnsi="Verdana" w:cs="Arial"/>
                <w:color w:val="000000" w:themeColor="text1"/>
              </w:rPr>
            </w:pPr>
            <w:r w:rsidRPr="00D50855">
              <w:rPr>
                <w:rFonts w:ascii="Verdana" w:hAnsi="Verdana"/>
              </w:rPr>
              <w:t xml:space="preserve">No obstante, </w:t>
            </w:r>
            <w:r w:rsidR="00D50855">
              <w:rPr>
                <w:rFonts w:ascii="Verdana" w:hAnsi="Verdana"/>
              </w:rPr>
              <w:t>ante la voluntad</w:t>
            </w:r>
            <w:r w:rsidR="00BC04E4" w:rsidRPr="00D50855">
              <w:rPr>
                <w:rFonts w:ascii="Verdana" w:hAnsi="Verdana"/>
              </w:rPr>
              <w:t xml:space="preserve"> del adjudicatario de renunciar al anticipo </w:t>
            </w:r>
            <w:r w:rsidR="00D50855">
              <w:rPr>
                <w:rFonts w:ascii="Verdana" w:hAnsi="Verdana"/>
              </w:rPr>
              <w:t>pactado en la etapa pre</w:t>
            </w:r>
            <w:r w:rsidR="00211DCA">
              <w:rPr>
                <w:rFonts w:ascii="Verdana" w:hAnsi="Verdana"/>
              </w:rPr>
              <w:t>via</w:t>
            </w:r>
            <w:r w:rsidR="00BC04E4" w:rsidRPr="00D50855">
              <w:rPr>
                <w:rFonts w:ascii="Verdana" w:hAnsi="Verdana"/>
              </w:rPr>
              <w:t xml:space="preserve">, </w:t>
            </w:r>
            <w:r w:rsidR="007F36CF" w:rsidRPr="00D50855">
              <w:rPr>
                <w:rFonts w:ascii="Verdana" w:hAnsi="Verdana"/>
              </w:rPr>
              <w:t>es evidente</w:t>
            </w:r>
            <w:r w:rsidR="00BC04E4" w:rsidRPr="00D50855">
              <w:rPr>
                <w:rFonts w:ascii="Verdana" w:hAnsi="Verdana"/>
              </w:rPr>
              <w:t xml:space="preserve"> la necesidad de suscribir documentos de modificación del contrato en los cuales se cambie parte de las estipulaciones pactadas en un comienzo</w:t>
            </w:r>
            <w:r w:rsidR="00762AE0">
              <w:rPr>
                <w:rFonts w:ascii="Verdana" w:hAnsi="Verdana"/>
              </w:rPr>
              <w:t>.</w:t>
            </w:r>
            <w:r w:rsidR="00BC04E4" w:rsidRPr="00D50855">
              <w:rPr>
                <w:rFonts w:ascii="Verdana" w:hAnsi="Verdana"/>
              </w:rPr>
              <w:t xml:space="preserve"> </w:t>
            </w:r>
            <w:r w:rsidR="00762AE0">
              <w:rPr>
                <w:rFonts w:ascii="Verdana" w:hAnsi="Verdana"/>
              </w:rPr>
              <w:t>E</w:t>
            </w:r>
            <w:r w:rsidR="00D50855" w:rsidRPr="00D50855">
              <w:rPr>
                <w:rFonts w:ascii="Verdana" w:hAnsi="Verdana" w:cs="Arial"/>
                <w:lang w:val="es-MX" w:eastAsia="es-ES_tradnl"/>
              </w:rPr>
              <w:t>l mutuo acuerdo es una forma de modificación del contrato estatal, la más usada en la práctica y preferida por la legislación vigente; advirtiendo, que toda modificación debe tener una causa real y cierta, contemplada en la ley, diferente de la mera voluntad de los contratantes.</w:t>
            </w:r>
          </w:p>
          <w:p w14:paraId="0C91E2BB" w14:textId="77777777" w:rsidR="000612B8" w:rsidRDefault="000612B8" w:rsidP="0045491E">
            <w:pPr>
              <w:spacing w:line="276" w:lineRule="auto"/>
              <w:jc w:val="both"/>
              <w:rPr>
                <w:rFonts w:ascii="Verdana" w:hAnsi="Verdana"/>
              </w:rPr>
            </w:pPr>
          </w:p>
          <w:p w14:paraId="47AEB666" w14:textId="6B4FBC87" w:rsidR="0068221E" w:rsidRPr="00202737" w:rsidRDefault="00097B67" w:rsidP="0045491E">
            <w:pPr>
              <w:spacing w:line="276" w:lineRule="auto"/>
              <w:jc w:val="both"/>
              <w:rPr>
                <w:rFonts w:ascii="Verdana" w:hAnsi="Verdana"/>
              </w:rPr>
            </w:pPr>
            <w:r>
              <w:rPr>
                <w:rFonts w:ascii="Verdana" w:hAnsi="Verdana"/>
              </w:rPr>
              <w:t>Siendo así</w:t>
            </w:r>
            <w:r w:rsidRPr="00097B67">
              <w:rPr>
                <w:rFonts w:ascii="Verdana" w:hAnsi="Verdana"/>
              </w:rPr>
              <w:t xml:space="preserve">, en aquellos casos en que el proponente a quien se le acepto </w:t>
            </w:r>
            <w:r w:rsidR="00117806" w:rsidRPr="00097B67">
              <w:rPr>
                <w:rFonts w:ascii="Verdana" w:hAnsi="Verdana"/>
              </w:rPr>
              <w:t>oferta no</w:t>
            </w:r>
            <w:r w:rsidRPr="00097B67">
              <w:rPr>
                <w:rFonts w:ascii="Verdana" w:hAnsi="Verdana"/>
              </w:rPr>
              <w:t xml:space="preserve"> requiera la entrega de anticipo podrá renunciar a él, </w:t>
            </w:r>
            <w:r w:rsidR="000612B8">
              <w:rPr>
                <w:rFonts w:ascii="Verdana" w:hAnsi="Verdana"/>
              </w:rPr>
              <w:t>con antelación</w:t>
            </w:r>
            <w:r w:rsidRPr="00097B67">
              <w:rPr>
                <w:rFonts w:ascii="Verdana" w:hAnsi="Verdana"/>
              </w:rPr>
              <w:t xml:space="preserve"> a</w:t>
            </w:r>
            <w:r w:rsidR="00D50855">
              <w:rPr>
                <w:rFonts w:ascii="Verdana" w:hAnsi="Verdana"/>
              </w:rPr>
              <w:t>l perfeccionamiento</w:t>
            </w:r>
            <w:r w:rsidRPr="00097B67">
              <w:rPr>
                <w:rFonts w:ascii="Verdana" w:hAnsi="Verdana"/>
              </w:rPr>
              <w:t xml:space="preserve"> del contrato</w:t>
            </w:r>
            <w:r w:rsidR="00117806">
              <w:rPr>
                <w:rFonts w:ascii="Verdana" w:hAnsi="Verdana"/>
              </w:rPr>
              <w:t xml:space="preserve"> con la entidad estatal</w:t>
            </w:r>
            <w:r w:rsidR="0068221E">
              <w:rPr>
                <w:rFonts w:ascii="Verdana" w:hAnsi="Verdana"/>
              </w:rPr>
              <w:t xml:space="preserve">, </w:t>
            </w:r>
            <w:r w:rsidR="0068221E" w:rsidRPr="00DA41EC">
              <w:rPr>
                <w:rFonts w:ascii="Verdana" w:hAnsi="Verdana"/>
              </w:rPr>
              <w:t>en el entendido que se respeten las reglas establecidas en el ordenamiento jurídico</w:t>
            </w:r>
            <w:r w:rsidR="0068221E" w:rsidRPr="00DA41EC">
              <w:rPr>
                <w:rFonts w:ascii="Verdana" w:hAnsi="Verdana" w:cs="Arial"/>
                <w:bCs/>
                <w:lang w:val="es-MX" w:eastAsia="es-ES_tradnl" w:bidi="es-ES"/>
              </w:rPr>
              <w:t>, además de definir previamente su procedencia desde la perspectiva jurídica, técnica y financiera.</w:t>
            </w:r>
          </w:p>
        </w:tc>
      </w:tr>
    </w:tbl>
    <w:p w14:paraId="3199705F" w14:textId="77777777" w:rsidR="00871B59" w:rsidRPr="00593A5F" w:rsidRDefault="00871B59" w:rsidP="00871B59">
      <w:pPr>
        <w:tabs>
          <w:tab w:val="left" w:pos="142"/>
          <w:tab w:val="left" w:pos="284"/>
        </w:tabs>
        <w:spacing w:after="0" w:line="276" w:lineRule="auto"/>
        <w:jc w:val="both"/>
        <w:rPr>
          <w:rFonts w:ascii="Verdana" w:eastAsia="Century Gothic" w:hAnsi="Verdana" w:cs="Century Gothic"/>
          <w:b/>
          <w:bCs/>
          <w:lang w:val="es-ES"/>
        </w:rPr>
      </w:pPr>
    </w:p>
    <w:p w14:paraId="6678B80A" w14:textId="77777777" w:rsidR="00871B59" w:rsidRPr="00593A5F"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Razones de la respuesta:</w:t>
      </w:r>
    </w:p>
    <w:p w14:paraId="40393512" w14:textId="77777777" w:rsidR="00871B59" w:rsidRPr="00593A5F" w:rsidRDefault="00871B59" w:rsidP="00871B59">
      <w:pPr>
        <w:spacing w:after="0" w:line="276" w:lineRule="auto"/>
        <w:jc w:val="both"/>
        <w:rPr>
          <w:rFonts w:ascii="Verdana" w:eastAsia="Calibri" w:hAnsi="Verdana" w:cs="Arial"/>
          <w:color w:val="7030A0"/>
          <w:lang w:val="es-ES"/>
        </w:rPr>
      </w:pPr>
    </w:p>
    <w:p w14:paraId="6DB5BA6B" w14:textId="77777777" w:rsidR="00871B59" w:rsidRPr="00FB372A" w:rsidRDefault="00871B59" w:rsidP="00273382">
      <w:pPr>
        <w:spacing w:after="0" w:line="276" w:lineRule="auto"/>
        <w:jc w:val="both"/>
        <w:rPr>
          <w:rFonts w:ascii="Verdana" w:eastAsia="Calibri" w:hAnsi="Verdana" w:cs="Arial"/>
          <w:lang w:val="es-ES"/>
        </w:rPr>
      </w:pPr>
      <w:r w:rsidRPr="00FB372A">
        <w:rPr>
          <w:rFonts w:ascii="Verdana" w:eastAsia="Calibri" w:hAnsi="Verdana" w:cs="Arial"/>
          <w:lang w:val="es-ES"/>
        </w:rPr>
        <w:t xml:space="preserve">Lo anterior se sustenta en las siguientes consideraciones: </w:t>
      </w:r>
    </w:p>
    <w:p w14:paraId="6FBD94A1" w14:textId="77777777" w:rsidR="00871B59" w:rsidRPr="00FB372A" w:rsidRDefault="00871B59" w:rsidP="00273382">
      <w:pPr>
        <w:spacing w:after="0" w:line="276" w:lineRule="auto"/>
        <w:jc w:val="both"/>
        <w:rPr>
          <w:rFonts w:ascii="Verdana" w:eastAsia="Calibri" w:hAnsi="Verdana" w:cs="Arial"/>
          <w:color w:val="7030A0"/>
          <w:lang w:val="es-ES"/>
        </w:rPr>
      </w:pPr>
    </w:p>
    <w:p w14:paraId="1CFAE030" w14:textId="77777777" w:rsidR="00E26AE3" w:rsidRDefault="008E52AC" w:rsidP="00E26AE3">
      <w:pPr>
        <w:pStyle w:val="Prrafodelista"/>
        <w:numPr>
          <w:ilvl w:val="0"/>
          <w:numId w:val="11"/>
        </w:numPr>
        <w:tabs>
          <w:tab w:val="left" w:pos="0"/>
        </w:tabs>
        <w:spacing w:after="0" w:line="276" w:lineRule="auto"/>
        <w:ind w:left="709"/>
        <w:jc w:val="both"/>
        <w:rPr>
          <w:rFonts w:ascii="Verdana" w:hAnsi="Verdana" w:cs="Arial"/>
          <w:color w:val="000000" w:themeColor="text1"/>
        </w:rPr>
      </w:pPr>
      <w:r w:rsidRPr="00FB372A">
        <w:rPr>
          <w:rFonts w:ascii="Verdana" w:hAnsi="Verdana" w:cs="Arial"/>
          <w:color w:val="000000"/>
          <w:lang w:eastAsia="en-GB"/>
        </w:rPr>
        <w:t>En materia de contratación pública, la figura del anticipo está prevista en dos (2) normas: el</w:t>
      </w:r>
      <w:r w:rsidRPr="00FB372A">
        <w:rPr>
          <w:rFonts w:ascii="Verdana" w:hAnsi="Verdana" w:cs="Arial"/>
          <w:color w:val="000000" w:themeColor="text1"/>
        </w:rPr>
        <w:t xml:space="preserve"> inciso primero del parágrafo del artículo 40 de la Ley 80 de 1993 y en el artículo 91 de la Ley 1474 de 2011. En cuanto al Estatuto General de Contratación de la Administración Pública, se dispone la posibilidad de pactar anticipos en los contratos, pero sujeto a determinadas limitaciones. En efecto, la norma prescribe que </w:t>
      </w:r>
      <w:r w:rsidR="00E8586F" w:rsidRPr="00FB372A">
        <w:rPr>
          <w:rFonts w:ascii="Verdana" w:hAnsi="Verdana" w:cs="Arial"/>
          <w:color w:val="000000" w:themeColor="text1"/>
        </w:rPr>
        <w:t>“</w:t>
      </w:r>
      <w:r w:rsidRPr="00FB372A">
        <w:rPr>
          <w:rFonts w:ascii="Verdana" w:hAnsi="Verdana" w:cs="Arial"/>
          <w:color w:val="000000" w:themeColor="text1"/>
        </w:rPr>
        <w:t>En los contratos que celebren las entidades estatales se podrá pactar el pago anticipado y la entrega de anticipos, pero su monto no podrá exceder del cincuenta por ciento (50%) del valor del respectivo contrato</w:t>
      </w:r>
      <w:r w:rsidR="00E8586F" w:rsidRPr="00FB372A">
        <w:rPr>
          <w:rFonts w:ascii="Verdana" w:hAnsi="Verdana" w:cs="Arial"/>
          <w:color w:val="000000" w:themeColor="text1"/>
        </w:rPr>
        <w:t>”</w:t>
      </w:r>
      <w:r w:rsidRPr="00FB372A">
        <w:rPr>
          <w:rFonts w:ascii="Verdana" w:hAnsi="Verdana" w:cs="Arial"/>
          <w:color w:val="000000" w:themeColor="text1"/>
        </w:rPr>
        <w:t xml:space="preserve">. </w:t>
      </w:r>
    </w:p>
    <w:p w14:paraId="45A16B91" w14:textId="77777777" w:rsidR="00E26AE3" w:rsidRDefault="00E26AE3" w:rsidP="00E26AE3">
      <w:pPr>
        <w:pStyle w:val="Prrafodelista"/>
        <w:tabs>
          <w:tab w:val="left" w:pos="0"/>
        </w:tabs>
        <w:spacing w:after="0" w:line="276" w:lineRule="auto"/>
        <w:ind w:left="709"/>
        <w:jc w:val="both"/>
        <w:rPr>
          <w:rFonts w:ascii="Verdana" w:hAnsi="Verdana" w:cs="Arial"/>
          <w:color w:val="000000" w:themeColor="text1"/>
        </w:rPr>
      </w:pPr>
    </w:p>
    <w:p w14:paraId="305152E3" w14:textId="2291922C" w:rsidR="00E26AE3" w:rsidRDefault="008E52AC" w:rsidP="00E26AE3">
      <w:pPr>
        <w:pStyle w:val="Prrafodelista"/>
        <w:numPr>
          <w:ilvl w:val="0"/>
          <w:numId w:val="11"/>
        </w:numPr>
        <w:tabs>
          <w:tab w:val="left" w:pos="0"/>
        </w:tabs>
        <w:spacing w:after="0" w:line="276" w:lineRule="auto"/>
        <w:ind w:left="709"/>
        <w:jc w:val="both"/>
        <w:rPr>
          <w:rFonts w:ascii="Verdana" w:hAnsi="Verdana" w:cs="Arial"/>
          <w:color w:val="000000" w:themeColor="text1"/>
        </w:rPr>
      </w:pPr>
      <w:r w:rsidRPr="00E26AE3">
        <w:rPr>
          <w:rFonts w:ascii="Verdana" w:hAnsi="Verdana" w:cs="Arial"/>
          <w:color w:val="000000" w:themeColor="text1"/>
        </w:rPr>
        <w:t>Por su parte, el artículo 91 de la Ley 1474 de 2011 consagra una regla especial para el manejo del anticipo. Según esta disposición, cuando se pacte en contratos de obra, concesión o salud, que no sean de menor o mínima cuantía, o en todos aquellos que se realicen por licitación pública, el contratista tiene la obligación de constituir una fiducia o un patrimonio autónomo irrevocable. Lo anterior, para el manejo de los recursos desembolsados bajo el mencionado concepto, con el fin de garantizar que se destinen exclusivamente a la ejecución del contrato.</w:t>
      </w:r>
    </w:p>
    <w:p w14:paraId="3C54E61B" w14:textId="77777777" w:rsidR="00E26AE3" w:rsidRDefault="00E26AE3" w:rsidP="00E26AE3">
      <w:pPr>
        <w:pStyle w:val="Prrafodelista"/>
        <w:tabs>
          <w:tab w:val="left" w:pos="0"/>
        </w:tabs>
        <w:spacing w:after="0" w:line="276" w:lineRule="auto"/>
        <w:ind w:left="709"/>
        <w:jc w:val="both"/>
        <w:rPr>
          <w:rFonts w:ascii="Verdana" w:hAnsi="Verdana" w:cs="Arial"/>
          <w:color w:val="000000" w:themeColor="text1"/>
        </w:rPr>
      </w:pPr>
    </w:p>
    <w:p w14:paraId="761FC9A8" w14:textId="77777777" w:rsidR="00E26AE3" w:rsidRDefault="008E52AC" w:rsidP="00E26AE3">
      <w:pPr>
        <w:pStyle w:val="Prrafodelista"/>
        <w:numPr>
          <w:ilvl w:val="0"/>
          <w:numId w:val="11"/>
        </w:numPr>
        <w:tabs>
          <w:tab w:val="left" w:pos="0"/>
        </w:tabs>
        <w:spacing w:after="0" w:line="276" w:lineRule="auto"/>
        <w:ind w:left="709"/>
        <w:jc w:val="both"/>
        <w:rPr>
          <w:rFonts w:ascii="Verdana" w:hAnsi="Verdana" w:cs="Arial"/>
          <w:color w:val="000000" w:themeColor="text1"/>
        </w:rPr>
      </w:pPr>
      <w:r w:rsidRPr="00E26AE3">
        <w:rPr>
          <w:rFonts w:ascii="Verdana" w:hAnsi="Verdana" w:cs="Arial"/>
        </w:rPr>
        <w:t>Aunque las normas citadas no definen el anticipo, el Consejo de Estado ha precisado su naturaleza jurídica fijando parámetros para su aplicación</w:t>
      </w:r>
      <w:r w:rsidRPr="00FB372A">
        <w:rPr>
          <w:vertAlign w:val="superscript"/>
        </w:rPr>
        <w:footnoteReference w:id="2"/>
      </w:r>
      <w:r w:rsidRPr="00E26AE3">
        <w:rPr>
          <w:rFonts w:ascii="Verdana" w:hAnsi="Verdana" w:cs="Arial"/>
        </w:rPr>
        <w:t xml:space="preserve">. En uno de sus pronunciamientos, el Consejo de Estado se refirió al anticipo como </w:t>
      </w:r>
      <w:r w:rsidR="00AD02A6" w:rsidRPr="00E26AE3">
        <w:rPr>
          <w:rFonts w:ascii="Verdana" w:hAnsi="Verdana" w:cs="Arial"/>
          <w:color w:val="000000" w:themeColor="text1"/>
        </w:rPr>
        <w:t>“</w:t>
      </w:r>
      <w:r w:rsidRPr="00E26AE3">
        <w:rPr>
          <w:rFonts w:ascii="Verdana" w:hAnsi="Verdana" w:cs="Arial"/>
        </w:rPr>
        <w:t>un recurso o suma correspondiente a un porcentaje del valor total del contrato, pactado como contraprestación, que la entidad pública le entrega al contratista para que sea invertida específicamente en la ejecución del contrato y sea manejada generalmente en cuenta separada, con imposición de obligaciones relacionadas con legalización y amortización de la inversión, de suerte que el monto entregado como anticipo no ingresa al patrimonio del contratista sino cuando ha sido debidamente amortizado</w:t>
      </w:r>
      <w:r w:rsidR="00AD02A6" w:rsidRPr="00E26AE3">
        <w:rPr>
          <w:rFonts w:ascii="Verdana" w:hAnsi="Verdana" w:cs="Arial"/>
          <w:color w:val="000000" w:themeColor="text1"/>
        </w:rPr>
        <w:t>”</w:t>
      </w:r>
      <w:r w:rsidRPr="00FB372A">
        <w:rPr>
          <w:vertAlign w:val="superscript"/>
        </w:rPr>
        <w:footnoteReference w:id="3"/>
      </w:r>
      <w:r w:rsidRPr="00E26AE3">
        <w:rPr>
          <w:rFonts w:ascii="Verdana" w:hAnsi="Verdana" w:cs="Arial"/>
          <w:color w:val="000000" w:themeColor="text1"/>
        </w:rPr>
        <w:t>.</w:t>
      </w:r>
    </w:p>
    <w:p w14:paraId="3C881B15" w14:textId="77777777" w:rsidR="00E26AE3" w:rsidRPr="00E26AE3" w:rsidRDefault="00E26AE3" w:rsidP="00E26AE3">
      <w:pPr>
        <w:pStyle w:val="Prrafodelista"/>
        <w:rPr>
          <w:rFonts w:ascii="Verdana" w:hAnsi="Verdana" w:cs="Arial"/>
        </w:rPr>
      </w:pPr>
    </w:p>
    <w:p w14:paraId="3386E415" w14:textId="77777777" w:rsidR="00E26AE3" w:rsidRPr="00E26AE3" w:rsidRDefault="008E52AC" w:rsidP="00E26AE3">
      <w:pPr>
        <w:pStyle w:val="Prrafodelista"/>
        <w:numPr>
          <w:ilvl w:val="0"/>
          <w:numId w:val="11"/>
        </w:numPr>
        <w:tabs>
          <w:tab w:val="left" w:pos="0"/>
        </w:tabs>
        <w:spacing w:after="0" w:line="276" w:lineRule="auto"/>
        <w:ind w:left="709"/>
        <w:jc w:val="both"/>
        <w:rPr>
          <w:rFonts w:ascii="Verdana" w:hAnsi="Verdana" w:cs="Arial"/>
          <w:color w:val="000000" w:themeColor="text1"/>
        </w:rPr>
      </w:pPr>
      <w:r w:rsidRPr="00E26AE3">
        <w:rPr>
          <w:rFonts w:ascii="Verdana" w:hAnsi="Verdana" w:cs="Arial"/>
        </w:rPr>
        <w:t xml:space="preserve">Sobre la calidad de recurso público del anticipo, la jurisprudencia ha reiterado que </w:t>
      </w:r>
      <w:r w:rsidR="00AD02A6" w:rsidRPr="00E26AE3">
        <w:rPr>
          <w:rFonts w:ascii="Verdana" w:hAnsi="Verdana" w:cs="Arial"/>
          <w:color w:val="000000" w:themeColor="text1"/>
        </w:rPr>
        <w:t>“</w:t>
      </w:r>
      <w:r w:rsidRPr="00E26AE3">
        <w:rPr>
          <w:rFonts w:ascii="Verdana" w:hAnsi="Verdana" w:cs="Arial"/>
        </w:rPr>
        <w:t>dicho dinero no hace parte del patrimonio del contratista y le pertenece a la entidad contratante hasta tanto se amortice. De allí se deduce que la función del anticipo en el contrato es, de entrada, financiar las prestaciones del contratista, y hace razonable el amparo del buen manejo y correcta inversión de estos recursos dentro de la garantía única de cumplimiento</w:t>
      </w:r>
      <w:r w:rsidR="00AD02A6" w:rsidRPr="00E26AE3">
        <w:rPr>
          <w:rFonts w:ascii="Verdana" w:hAnsi="Verdana" w:cs="Arial"/>
          <w:color w:val="000000" w:themeColor="text1"/>
        </w:rPr>
        <w:t>”</w:t>
      </w:r>
      <w:r w:rsidRPr="00FB372A">
        <w:rPr>
          <w:vertAlign w:val="superscript"/>
        </w:rPr>
        <w:footnoteReference w:id="4"/>
      </w:r>
      <w:r w:rsidRPr="00E26AE3">
        <w:rPr>
          <w:rFonts w:ascii="Verdana" w:hAnsi="Verdana" w:cs="Arial"/>
        </w:rPr>
        <w:t xml:space="preserve">. Igualmente, explica que el anticipo, al facilitar al </w:t>
      </w:r>
      <w:r w:rsidRPr="00E26AE3">
        <w:rPr>
          <w:rFonts w:ascii="Verdana" w:hAnsi="Verdana" w:cs="Arial"/>
        </w:rPr>
        <w:lastRenderedPageBreak/>
        <w:t>contratista la financiación de los bienes y servicios que se le han encargado, es un factor determinante para impulsar la ejecución del contrato</w:t>
      </w:r>
      <w:r w:rsidRPr="00FB372A">
        <w:rPr>
          <w:vertAlign w:val="superscript"/>
        </w:rPr>
        <w:footnoteReference w:id="5"/>
      </w:r>
      <w:r w:rsidRPr="00E26AE3">
        <w:rPr>
          <w:rFonts w:ascii="Verdana" w:hAnsi="Verdana" w:cs="Arial"/>
        </w:rPr>
        <w:t>. Este también es el entendimiento de la doctrina</w:t>
      </w:r>
      <w:r w:rsidRPr="00E26AE3">
        <w:rPr>
          <w:rFonts w:ascii="Verdana" w:hAnsi="Verdana" w:cs="Arial"/>
          <w:color w:val="000000" w:themeColor="text1"/>
        </w:rPr>
        <w:t>,</w:t>
      </w:r>
      <w:r w:rsidRPr="00E26AE3">
        <w:rPr>
          <w:rFonts w:ascii="Verdana" w:hAnsi="Verdana" w:cs="Arial"/>
        </w:rPr>
        <w:t xml:space="preserve"> que ha considerado el anticipo como un dinero entregado al contratista que debe cancelarse mediante descuentos parciales, siendo una práctica común que permite impulsar la ejecución del contrato</w:t>
      </w:r>
      <w:r w:rsidRPr="00FB372A">
        <w:rPr>
          <w:vertAlign w:val="superscript"/>
        </w:rPr>
        <w:footnoteReference w:id="6"/>
      </w:r>
      <w:r w:rsidRPr="00E26AE3">
        <w:rPr>
          <w:rFonts w:ascii="Verdana" w:hAnsi="Verdana" w:cs="Arial"/>
        </w:rPr>
        <w:t xml:space="preserve">. </w:t>
      </w:r>
    </w:p>
    <w:p w14:paraId="58E8D664" w14:textId="77777777" w:rsidR="00E26AE3" w:rsidRPr="00E26AE3" w:rsidRDefault="00E26AE3" w:rsidP="00E26AE3">
      <w:pPr>
        <w:pStyle w:val="Prrafodelista"/>
        <w:rPr>
          <w:rFonts w:ascii="Verdana" w:hAnsi="Verdana" w:cs="Arial"/>
          <w:color w:val="000000" w:themeColor="text1"/>
        </w:rPr>
      </w:pPr>
    </w:p>
    <w:p w14:paraId="25CA903A" w14:textId="77777777" w:rsidR="00E26AE3" w:rsidRPr="00E26AE3" w:rsidRDefault="008E52AC" w:rsidP="00E26AE3">
      <w:pPr>
        <w:pStyle w:val="Prrafodelista"/>
        <w:numPr>
          <w:ilvl w:val="0"/>
          <w:numId w:val="11"/>
        </w:numPr>
        <w:tabs>
          <w:tab w:val="left" w:pos="0"/>
        </w:tabs>
        <w:spacing w:after="0" w:line="276" w:lineRule="auto"/>
        <w:ind w:left="709"/>
        <w:jc w:val="both"/>
        <w:rPr>
          <w:rFonts w:ascii="Verdana" w:hAnsi="Verdana" w:cs="Arial"/>
          <w:color w:val="000000" w:themeColor="text1"/>
        </w:rPr>
      </w:pPr>
      <w:r w:rsidRPr="00E26AE3">
        <w:rPr>
          <w:rFonts w:ascii="Verdana" w:hAnsi="Verdana" w:cs="Arial"/>
          <w:color w:val="000000" w:themeColor="text1"/>
        </w:rPr>
        <w:t xml:space="preserve">Así, de acuerdo con las consideraciones de la jurisprudencia y la doctrina, el anticipo es </w:t>
      </w:r>
      <w:r w:rsidRPr="00E26AE3">
        <w:rPr>
          <w:rFonts w:ascii="Verdana" w:hAnsi="Verdana" w:cs="Arial"/>
        </w:rPr>
        <w:t>aquella suma de dinero entregada al contratista con la finalidad de apalancarlo financieramente para solventar los costos de la ejecución del contrato. Este dinero debe amortizarse de acuerdo con el avance en la ejecución. De esta forma, los recursos entregados a título de anticipo son del erario, razón por la que debe garantizarse su buen manejo y correcta inversión.</w:t>
      </w:r>
      <w:r w:rsidRPr="00E26AE3">
        <w:rPr>
          <w:rFonts w:ascii="Verdana" w:hAnsi="Verdana" w:cs="Times New Roman"/>
          <w:lang w:eastAsia="es-CO"/>
        </w:rPr>
        <w:t xml:space="preserve"> </w:t>
      </w:r>
    </w:p>
    <w:p w14:paraId="670BB6DE" w14:textId="77777777" w:rsidR="00E26AE3" w:rsidRPr="00E26AE3" w:rsidRDefault="00E26AE3" w:rsidP="00E26AE3">
      <w:pPr>
        <w:pStyle w:val="Prrafodelista"/>
        <w:rPr>
          <w:rFonts w:ascii="Verdana" w:hAnsi="Verdana" w:cs="Arial"/>
          <w:color w:val="000000" w:themeColor="text1"/>
        </w:rPr>
      </w:pPr>
    </w:p>
    <w:p w14:paraId="643E11D6" w14:textId="5B13E87B" w:rsidR="008554BE" w:rsidRPr="00E26AE3" w:rsidRDefault="008E52AC" w:rsidP="00E26AE3">
      <w:pPr>
        <w:pStyle w:val="Prrafodelista"/>
        <w:numPr>
          <w:ilvl w:val="0"/>
          <w:numId w:val="11"/>
        </w:numPr>
        <w:tabs>
          <w:tab w:val="left" w:pos="0"/>
        </w:tabs>
        <w:spacing w:after="0" w:line="276" w:lineRule="auto"/>
        <w:ind w:left="709"/>
        <w:jc w:val="both"/>
        <w:rPr>
          <w:rFonts w:ascii="Verdana" w:hAnsi="Verdana" w:cs="Arial"/>
          <w:color w:val="000000" w:themeColor="text1"/>
        </w:rPr>
      </w:pPr>
      <w:r w:rsidRPr="00E26AE3">
        <w:rPr>
          <w:rFonts w:ascii="Verdana" w:hAnsi="Verdana" w:cs="Arial"/>
          <w:color w:val="000000" w:themeColor="text1"/>
        </w:rPr>
        <w:t>Como característica esencial del anticipo, derivada del artículo 40 de la Ley 80 de 1993, el pacto proviene de la autonomía de la voluntad de las partes. De allí que se generen una serie de derechos y obligaciones recíprocos entre ellas. Por un lado, el contratante tiene la obligación de entregar el valor pactado como anticipo y el derecho a que los recursos sean empleados en la forma estipulada. Por otro lado, el contratista tiene derecho a recibir dicho anticipo y la obligación de destinarlo a la ejecución del contrato. De esta manera, el Consejo de Estado explica lo siguiente:</w:t>
      </w:r>
    </w:p>
    <w:p w14:paraId="4E948181" w14:textId="1456E28E" w:rsidR="008E52AC" w:rsidRPr="00FB372A" w:rsidRDefault="008E52AC" w:rsidP="008554BE">
      <w:pPr>
        <w:spacing w:after="0" w:line="240" w:lineRule="auto"/>
        <w:ind w:left="709" w:firstLine="709"/>
        <w:jc w:val="both"/>
        <w:rPr>
          <w:rFonts w:ascii="Verdana" w:hAnsi="Verdana" w:cs="Arial"/>
        </w:rPr>
      </w:pPr>
      <w:r w:rsidRPr="00FB372A">
        <w:rPr>
          <w:rFonts w:ascii="Verdana" w:hAnsi="Verdana" w:cs="Arial"/>
          <w:color w:val="000000" w:themeColor="text1"/>
        </w:rPr>
        <w:t xml:space="preserve"> </w:t>
      </w:r>
    </w:p>
    <w:p w14:paraId="32390DE0" w14:textId="36ED3094" w:rsidR="008E52AC" w:rsidRPr="00E26AE3" w:rsidRDefault="008E52AC" w:rsidP="00E26AE3">
      <w:pPr>
        <w:spacing w:after="0" w:line="240" w:lineRule="auto"/>
        <w:ind w:left="709" w:right="49"/>
        <w:jc w:val="both"/>
        <w:rPr>
          <w:rFonts w:ascii="Verdana" w:hAnsi="Verdana" w:cs="Arial"/>
          <w:i/>
          <w:iCs/>
          <w:sz w:val="21"/>
          <w:szCs w:val="21"/>
        </w:rPr>
      </w:pPr>
      <w:r w:rsidRPr="00E26AE3">
        <w:rPr>
          <w:rFonts w:ascii="Verdana" w:hAnsi="Verdana" w:cs="Arial"/>
          <w:i/>
          <w:iCs/>
          <w:sz w:val="20"/>
          <w:szCs w:val="20"/>
        </w:rPr>
        <w:t>[…] En una primera instancia es obligación del contratante y derecho del contratista, de entregar y recibir - previa constitución de la garantía -, respectivamente, una suma determinada de dinero, con cargo a los recursos del contrato, con el objeto financiar al contratista en las prestaciones a su cargo (adquisición de bienes, servicios, obras</w:t>
      </w:r>
      <w:r w:rsidR="00A32D28" w:rsidRPr="00E26AE3">
        <w:rPr>
          <w:rFonts w:ascii="Verdana" w:hAnsi="Verdana" w:cs="Arial"/>
          <w:i/>
          <w:iCs/>
          <w:sz w:val="20"/>
          <w:szCs w:val="20"/>
        </w:rPr>
        <w:t>,</w:t>
      </w:r>
      <w:r w:rsidRPr="00E26AE3">
        <w:rPr>
          <w:rFonts w:ascii="Verdana" w:hAnsi="Verdana" w:cs="Arial"/>
          <w:i/>
          <w:iCs/>
          <w:sz w:val="20"/>
          <w:szCs w:val="20"/>
        </w:rPr>
        <w:t xml:space="preserve"> </w:t>
      </w:r>
      <w:r w:rsidR="00A32D28" w:rsidRPr="00E26AE3">
        <w:rPr>
          <w:rFonts w:ascii="Verdana" w:hAnsi="Verdana" w:cs="Arial"/>
          <w:i/>
          <w:iCs/>
          <w:sz w:val="20"/>
          <w:szCs w:val="20"/>
        </w:rPr>
        <w:t>etc.</w:t>
      </w:r>
      <w:r w:rsidRPr="00E26AE3">
        <w:rPr>
          <w:rFonts w:ascii="Verdana" w:hAnsi="Verdana" w:cs="Arial"/>
          <w:i/>
          <w:iCs/>
          <w:sz w:val="20"/>
          <w:szCs w:val="20"/>
        </w:rPr>
        <w:t>).</w:t>
      </w:r>
      <w:r w:rsidRPr="00E26AE3">
        <w:rPr>
          <w:rFonts w:ascii="Verdana" w:hAnsi="Verdana" w:cs="Arial"/>
          <w:i/>
          <w:iCs/>
          <w:sz w:val="21"/>
          <w:szCs w:val="21"/>
        </w:rPr>
        <w:t xml:space="preserve"> </w:t>
      </w:r>
      <w:r w:rsidRPr="00E26AE3">
        <w:rPr>
          <w:rFonts w:ascii="Verdana" w:hAnsi="Verdana" w:cs="Arial"/>
          <w:i/>
          <w:iCs/>
          <w:sz w:val="20"/>
          <w:szCs w:val="20"/>
        </w:rPr>
        <w:t xml:space="preserve">En segunda instancia el anticipo, en su resultado, constituye una obligación del contratista y un derecho del </w:t>
      </w:r>
      <w:r w:rsidRPr="00E26AE3">
        <w:rPr>
          <w:rFonts w:ascii="Verdana" w:hAnsi="Verdana" w:cs="Arial"/>
          <w:i/>
          <w:iCs/>
          <w:sz w:val="20"/>
          <w:szCs w:val="20"/>
        </w:rPr>
        <w:lastRenderedPageBreak/>
        <w:t>contratante, en los siguientes aspectos: -De inversión en los objetos determinados en el contrato y de pago por amortización, por parte del contratista. -De recibir, por amortización, y/o hacer efectiva la garantía de anticipo, o de cumplimiento, según el Estatuto de Contratación vigente, por parte del contratante</w:t>
      </w:r>
      <w:r w:rsidRPr="00E26AE3">
        <w:rPr>
          <w:rFonts w:ascii="Verdana" w:hAnsi="Verdana" w:cs="Arial"/>
          <w:b/>
          <w:bCs/>
          <w:i/>
          <w:iCs/>
          <w:sz w:val="20"/>
          <w:szCs w:val="20"/>
        </w:rPr>
        <w:t xml:space="preserve">, </w:t>
      </w:r>
      <w:r w:rsidRPr="00E26AE3">
        <w:rPr>
          <w:rFonts w:ascii="Verdana" w:hAnsi="Verdana" w:cs="Arial"/>
          <w:i/>
          <w:iCs/>
          <w:sz w:val="20"/>
          <w:szCs w:val="20"/>
        </w:rPr>
        <w:t>por hechos del contratista que impliquen mal manejo o incorrecta inversión de los dineros de propiedad pública. Las partes contratantes, acuerdan además en el contrato, las condiciones de efectividad, la proporción con el valor del contrato, la oportunidad en que debe entregarse, la vigilancia Estatal sobre las sumas y las amortizaciones</w:t>
      </w:r>
      <w:r w:rsidRPr="00E26AE3">
        <w:rPr>
          <w:rFonts w:ascii="Verdana" w:hAnsi="Verdana" w:cs="Arial"/>
          <w:i/>
          <w:iCs/>
          <w:sz w:val="20"/>
          <w:szCs w:val="20"/>
          <w:vertAlign w:val="superscript"/>
        </w:rPr>
        <w:footnoteReference w:id="7"/>
      </w:r>
      <w:r w:rsidRPr="00E26AE3">
        <w:rPr>
          <w:rFonts w:ascii="Verdana" w:hAnsi="Verdana" w:cs="Arial"/>
          <w:i/>
          <w:iCs/>
          <w:sz w:val="20"/>
          <w:szCs w:val="20"/>
        </w:rPr>
        <w:t>.</w:t>
      </w:r>
    </w:p>
    <w:p w14:paraId="446D7715" w14:textId="77777777" w:rsidR="005E3436" w:rsidRPr="00FB372A" w:rsidRDefault="005E3436" w:rsidP="005E3436">
      <w:pPr>
        <w:spacing w:after="0" w:line="240" w:lineRule="auto"/>
        <w:ind w:left="709" w:right="709"/>
        <w:jc w:val="both"/>
        <w:rPr>
          <w:rFonts w:ascii="Verdana" w:hAnsi="Verdana" w:cs="Arial"/>
          <w:sz w:val="21"/>
          <w:szCs w:val="21"/>
        </w:rPr>
      </w:pPr>
    </w:p>
    <w:p w14:paraId="257535FE" w14:textId="77777777" w:rsidR="00E26AE3" w:rsidRDefault="008E52AC" w:rsidP="00E26AE3">
      <w:pPr>
        <w:pStyle w:val="Prrafodelista"/>
        <w:numPr>
          <w:ilvl w:val="0"/>
          <w:numId w:val="11"/>
        </w:numPr>
        <w:tabs>
          <w:tab w:val="left" w:pos="0"/>
        </w:tabs>
        <w:spacing w:line="276" w:lineRule="auto"/>
        <w:ind w:left="709"/>
        <w:jc w:val="both"/>
        <w:rPr>
          <w:rFonts w:ascii="Verdana" w:hAnsi="Verdana" w:cs="Arial"/>
        </w:rPr>
      </w:pPr>
      <w:r w:rsidRPr="00E26AE3">
        <w:rPr>
          <w:rFonts w:ascii="Verdana" w:hAnsi="Verdana" w:cs="Arial"/>
        </w:rPr>
        <w:t>Las entidades estatales tienen la facultad de pactar la entrega de anticipos en los contratos que celebren. Para ello, deberán realizar el estudio correspondiente con el fin de determinar la conveniencia de otorgar recursos al contratista bajo esa denominación. De este modo, las entidades podrán determinar las condiciones de entrega, el monto –que no podrá ser superior al 50% del valor del contrato–, el plazo de amortización, las condiciones necesarias para su exigibilidad, así como todas las obligaciones para su correcta inversión.</w:t>
      </w:r>
    </w:p>
    <w:p w14:paraId="5EDCCF71" w14:textId="77777777" w:rsidR="00E26AE3" w:rsidRDefault="00E26AE3" w:rsidP="00E26AE3">
      <w:pPr>
        <w:pStyle w:val="Prrafodelista"/>
        <w:tabs>
          <w:tab w:val="left" w:pos="0"/>
        </w:tabs>
        <w:spacing w:line="276" w:lineRule="auto"/>
        <w:ind w:left="709"/>
        <w:jc w:val="both"/>
        <w:rPr>
          <w:rFonts w:ascii="Verdana" w:hAnsi="Verdana" w:cs="Arial"/>
        </w:rPr>
      </w:pPr>
    </w:p>
    <w:p w14:paraId="30A2D1AA" w14:textId="77777777" w:rsidR="00E26AE3" w:rsidRPr="00E26AE3" w:rsidRDefault="008E52AC" w:rsidP="00E26AE3">
      <w:pPr>
        <w:pStyle w:val="Prrafodelista"/>
        <w:numPr>
          <w:ilvl w:val="0"/>
          <w:numId w:val="11"/>
        </w:numPr>
        <w:tabs>
          <w:tab w:val="left" w:pos="0"/>
        </w:tabs>
        <w:spacing w:line="276" w:lineRule="auto"/>
        <w:ind w:left="709"/>
        <w:jc w:val="both"/>
        <w:rPr>
          <w:rFonts w:ascii="Verdana" w:hAnsi="Verdana" w:cs="Arial"/>
        </w:rPr>
      </w:pPr>
      <w:r w:rsidRPr="00E26AE3">
        <w:rPr>
          <w:rFonts w:ascii="Verdana" w:hAnsi="Verdana" w:cs="Arial"/>
        </w:rPr>
        <w:t xml:space="preserve">Adicionalmente, el parágrafo del artículo 40 de la Ley 80 de 1993 no restringe el tipo de contratos estatales en los cuales es posible el ejercicio de esta facultad. Es decir, no limita la posibilidad de pactar anticipo dependiendo de la tipología contractual o la modalidad de selección del contratista. </w:t>
      </w:r>
      <w:r w:rsidRPr="00E26AE3">
        <w:rPr>
          <w:rFonts w:ascii="Verdana" w:hAnsi="Verdana" w:cs="Arial"/>
          <w:color w:val="000000" w:themeColor="text1"/>
        </w:rPr>
        <w:t xml:space="preserve">De hecho, el Estatuto General de Contratación de la Administración Pública dispone como única limitación el valor máximo que puede desembolsar la entidad para pactar el anticipo. </w:t>
      </w:r>
    </w:p>
    <w:p w14:paraId="7152453D" w14:textId="77777777" w:rsidR="00E26AE3" w:rsidRPr="00E26AE3" w:rsidRDefault="00E26AE3" w:rsidP="00E26AE3">
      <w:pPr>
        <w:pStyle w:val="Prrafodelista"/>
        <w:rPr>
          <w:rFonts w:ascii="Verdana" w:hAnsi="Verdana" w:cs="Arial"/>
          <w:color w:val="000000" w:themeColor="text1"/>
        </w:rPr>
      </w:pPr>
    </w:p>
    <w:p w14:paraId="7FB8E8A6" w14:textId="67A98DE2" w:rsidR="00E26AE3" w:rsidRPr="00E26AE3" w:rsidRDefault="008E52AC" w:rsidP="00E26AE3">
      <w:pPr>
        <w:pStyle w:val="Prrafodelista"/>
        <w:numPr>
          <w:ilvl w:val="0"/>
          <w:numId w:val="11"/>
        </w:numPr>
        <w:tabs>
          <w:tab w:val="left" w:pos="0"/>
        </w:tabs>
        <w:spacing w:line="276" w:lineRule="auto"/>
        <w:ind w:left="709"/>
        <w:jc w:val="both"/>
        <w:rPr>
          <w:rFonts w:ascii="Verdana" w:hAnsi="Verdana" w:cs="Arial"/>
        </w:rPr>
      </w:pPr>
      <w:r w:rsidRPr="00E26AE3">
        <w:rPr>
          <w:rFonts w:ascii="Verdana" w:hAnsi="Verdana" w:cs="Arial"/>
          <w:color w:val="000000" w:themeColor="text1"/>
        </w:rPr>
        <w:t xml:space="preserve">Del análisis realizado se desprende que los recursos entregados al contratista en calidad de anticipo son recursos públicos. Por tanto, corresponde a la entidad </w:t>
      </w:r>
      <w:r w:rsidRPr="00E26AE3">
        <w:rPr>
          <w:rFonts w:ascii="Verdana" w:hAnsi="Verdana" w:cs="Arial"/>
        </w:rPr>
        <w:t xml:space="preserve">adoptar las medidas necesarias y razonables para asegurar la correcta inversión de los dineros entregados, las cuales deberán reflejarse en el contrato celebrado. En consecuencia, deberán constituir la garantía única de cumplimiento e incluir el amparo previsto </w:t>
      </w:r>
      <w:r w:rsidRPr="00E26AE3">
        <w:rPr>
          <w:rFonts w:ascii="Verdana" w:hAnsi="Verdana" w:cs="Arial"/>
        </w:rPr>
        <w:lastRenderedPageBreak/>
        <w:t>en el artículo 2.2.1.2.3.1.7 del Decreto 1082 de 2015. Este amparo establece tres circunstancias que deben ser objeto de cobertura: i) la no inversión del anticipo; ii) el uso indebido del anticipo; y iii) la apropiación indebida de los recursos recibidos en calidad de anticipo</w:t>
      </w:r>
      <w:r w:rsidRPr="00FB372A">
        <w:rPr>
          <w:vertAlign w:val="superscript"/>
        </w:rPr>
        <w:footnoteReference w:id="8"/>
      </w:r>
      <w:r w:rsidRPr="00E26AE3">
        <w:rPr>
          <w:rFonts w:ascii="Verdana" w:hAnsi="Verdana" w:cs="Arial"/>
        </w:rPr>
        <w:t>.</w:t>
      </w:r>
      <w:r w:rsidRPr="00E26AE3">
        <w:rPr>
          <w:rFonts w:ascii="Verdana" w:hAnsi="Verdana" w:cs="Times New Roman"/>
          <w:lang w:eastAsia="es-CO"/>
        </w:rPr>
        <w:t xml:space="preserve"> </w:t>
      </w:r>
    </w:p>
    <w:p w14:paraId="73C21FD0" w14:textId="77777777" w:rsidR="00E26AE3" w:rsidRPr="00E26AE3" w:rsidRDefault="00E26AE3" w:rsidP="00E26AE3">
      <w:pPr>
        <w:pStyle w:val="Prrafodelista"/>
        <w:rPr>
          <w:rFonts w:ascii="Verdana" w:hAnsi="Verdana"/>
        </w:rPr>
      </w:pPr>
    </w:p>
    <w:p w14:paraId="1E2A520B" w14:textId="77777777" w:rsidR="00E26AE3" w:rsidRPr="00E26AE3" w:rsidRDefault="000C0708" w:rsidP="00E26AE3">
      <w:pPr>
        <w:pStyle w:val="Prrafodelista"/>
        <w:numPr>
          <w:ilvl w:val="0"/>
          <w:numId w:val="11"/>
        </w:numPr>
        <w:tabs>
          <w:tab w:val="left" w:pos="0"/>
        </w:tabs>
        <w:spacing w:line="276" w:lineRule="auto"/>
        <w:ind w:left="709"/>
        <w:jc w:val="both"/>
        <w:rPr>
          <w:rFonts w:ascii="Verdana" w:hAnsi="Verdana" w:cs="Arial"/>
        </w:rPr>
      </w:pPr>
      <w:r w:rsidRPr="00E26AE3">
        <w:rPr>
          <w:rFonts w:ascii="Verdana" w:hAnsi="Verdana"/>
        </w:rPr>
        <w:t xml:space="preserve">Respecto a la modificación de los contratos estatales, El </w:t>
      </w:r>
      <w:r w:rsidR="0076276E" w:rsidRPr="00E26AE3">
        <w:rPr>
          <w:rFonts w:ascii="Verdana" w:hAnsi="Verdana"/>
        </w:rPr>
        <w:t>Estatuto General de Contratación de la Administración Pública, contenido en las Leyes 80 de 1993, 1150 de 2007 y 1474 de 2011, así como en las normas que las han modificado y las reglamentan, no consagran una regulación expresa sobre la posibilidad de modificar los contratos celebrados por las Entidades Estatales. Ello encuentra sustento en que, en principio, los contratos deben ejecutarse en las condiciones pactadas inicialmente, pues tales condiciones fueron convenidas luego de que la entidad pública surtiera todos los procedimientos previstos para la selección de su contratista y definiera los aspectos, técnicos, legales y financieros propios de cada caso, con observancia de los principios de la función administrativa, aplicables al proceso de gestión contractual. La regulación expresa contenida en la ley, se limita a fijar los porcentajes límite para adicionar los valores inicialmente pactados, como lo hace el artículo 40 de la Ley 80 de 1993</w:t>
      </w:r>
      <w:r w:rsidR="0076276E" w:rsidRPr="003663E3">
        <w:rPr>
          <w:rFonts w:cs="Arial"/>
          <w:bCs/>
          <w:szCs w:val="24"/>
          <w:vertAlign w:val="superscript"/>
          <w:lang w:val="es-MX" w:eastAsia="es-ES_tradnl"/>
        </w:rPr>
        <w:footnoteReference w:id="9"/>
      </w:r>
      <w:r w:rsidR="0076276E" w:rsidRPr="00E26AE3">
        <w:rPr>
          <w:rFonts w:ascii="Verdana" w:hAnsi="Verdana" w:cs="Arial"/>
          <w:bCs/>
          <w:szCs w:val="24"/>
          <w:lang w:val="es-MX" w:eastAsia="es-ES_tradnl" w:bidi="es-ES"/>
        </w:rPr>
        <w:t>.</w:t>
      </w:r>
    </w:p>
    <w:p w14:paraId="589A2E1C" w14:textId="77777777" w:rsidR="00E26AE3" w:rsidRPr="00E26AE3" w:rsidRDefault="00E26AE3" w:rsidP="00E26AE3">
      <w:pPr>
        <w:pStyle w:val="Prrafodelista"/>
        <w:rPr>
          <w:rFonts w:ascii="Verdana" w:hAnsi="Verdana"/>
        </w:rPr>
      </w:pPr>
    </w:p>
    <w:p w14:paraId="7E948975" w14:textId="13EA4A1F" w:rsidR="000C0708" w:rsidRPr="00E26AE3" w:rsidRDefault="000C0708" w:rsidP="00E26AE3">
      <w:pPr>
        <w:pStyle w:val="Prrafodelista"/>
        <w:numPr>
          <w:ilvl w:val="0"/>
          <w:numId w:val="11"/>
        </w:numPr>
        <w:tabs>
          <w:tab w:val="left" w:pos="0"/>
        </w:tabs>
        <w:spacing w:line="276" w:lineRule="auto"/>
        <w:ind w:left="709"/>
        <w:jc w:val="both"/>
        <w:rPr>
          <w:rFonts w:ascii="Verdana" w:hAnsi="Verdana" w:cs="Arial"/>
        </w:rPr>
      </w:pPr>
      <w:r w:rsidRPr="00E26AE3">
        <w:rPr>
          <w:rFonts w:ascii="Verdana" w:hAnsi="Verdana"/>
        </w:rPr>
        <w:t xml:space="preserve">Ahora bien, no existe ninguna restricción expresa para modificar los contratos estatales, pues los mismos principios antes referidos, pueden </w:t>
      </w:r>
      <w:r w:rsidRPr="00E26AE3">
        <w:rPr>
          <w:rFonts w:ascii="Verdana" w:hAnsi="Verdana"/>
        </w:rPr>
        <w:lastRenderedPageBreak/>
        <w:t>poner en evidencia la necesidad de suscribir documentos de modificación en los cuales se cambie parte de las estipulaciones pactadas en un comienzo. En el contexto antes expuesto, la jurisprudencia ha fijado pautas generales conforme a las cuales la Administración Pública debe evaluar, teniendo en cuenta las particularidades de cada caso, si resulta procedente suscribir documentos de modificación a los contratos que ha celebrado. Así, por ejemplo, la Corte Constitucional, mediante sentencia C-416 de 2012, expresó lo siguiente sobre la posibilidad de modificar los contratos estatales:</w:t>
      </w:r>
    </w:p>
    <w:p w14:paraId="472DBADB" w14:textId="4066311C" w:rsidR="000C0708" w:rsidRDefault="000C0708" w:rsidP="0076276E">
      <w:pPr>
        <w:spacing w:after="0" w:line="276" w:lineRule="auto"/>
        <w:jc w:val="both"/>
        <w:rPr>
          <w:rFonts w:ascii="Century Gothic" w:hAnsi="Century Gothic"/>
        </w:rPr>
      </w:pPr>
    </w:p>
    <w:p w14:paraId="4F17DA43" w14:textId="6C4FEA57" w:rsidR="000C0708" w:rsidRPr="00E26AE3" w:rsidRDefault="000C0708" w:rsidP="00E26AE3">
      <w:pPr>
        <w:spacing w:after="0" w:line="240" w:lineRule="auto"/>
        <w:ind w:left="709" w:right="49"/>
        <w:jc w:val="both"/>
        <w:rPr>
          <w:rFonts w:ascii="Verdana" w:hAnsi="Verdana" w:cs="Arial"/>
          <w:i/>
          <w:iCs/>
          <w:sz w:val="20"/>
          <w:szCs w:val="20"/>
          <w:lang w:val="es-MX" w:eastAsia="es-ES_tradnl"/>
        </w:rPr>
      </w:pPr>
      <w:r w:rsidRPr="00E26AE3">
        <w:rPr>
          <w:rFonts w:ascii="Verdana" w:hAnsi="Verdana" w:cs="Arial"/>
          <w:i/>
          <w:iCs/>
          <w:sz w:val="20"/>
          <w:szCs w:val="20"/>
          <w:lang w:val="es-MX" w:eastAsia="es-ES_tradnl"/>
        </w:rPr>
        <w:t>“Por regla general, los contratos estatales pueden ser modificados cuando sea necesario para lograr su finalidad y en aras de la realización de los fines del Estado, a los cuales sirve el contrato.</w:t>
      </w:r>
      <w:r w:rsidRPr="00E26AE3">
        <w:rPr>
          <w:rFonts w:ascii="Verdana" w:hAnsi="Verdana" w:cs="Arial"/>
          <w:i/>
          <w:iCs/>
          <w:sz w:val="20"/>
          <w:szCs w:val="20"/>
          <w:vertAlign w:val="superscript"/>
          <w:lang w:val="es-MX" w:eastAsia="es-ES_tradnl"/>
        </w:rPr>
        <w:footnoteReference w:id="10"/>
      </w:r>
      <w:r w:rsidRPr="00E26AE3">
        <w:rPr>
          <w:rFonts w:ascii="Verdana" w:hAnsi="Verdana" w:cs="Arial"/>
          <w:i/>
          <w:iCs/>
          <w:sz w:val="20"/>
          <w:szCs w:val="20"/>
          <w:lang w:val="es-MX" w:eastAsia="es-ES_tradnl"/>
        </w:rPr>
        <w:t xml:space="preserve"> Así lo prevén por ejemplo los artículos 14 y 16 de la ley 80, los cuales facultan a la entidades contratantes a modificar los contratos de común acuerdo o de forma unilateral, para “[…] evitar la paralización o la afectación grave de los servicios públicos a su cargo y asegurar la inmediata, continua y adecuada prestación”, entre otros. En el mismo sentido, en la sentencia C-949 de 201</w:t>
      </w:r>
      <w:r w:rsidRPr="00E26AE3">
        <w:rPr>
          <w:rFonts w:ascii="Verdana" w:hAnsi="Verdana" w:cs="Arial"/>
          <w:i/>
          <w:iCs/>
          <w:sz w:val="20"/>
          <w:szCs w:val="20"/>
          <w:lang w:val="es-MX" w:eastAsia="es-ES_tradnl"/>
        </w:rPr>
        <w:footnoteReference w:id="11"/>
      </w:r>
      <w:r w:rsidRPr="00E26AE3">
        <w:rPr>
          <w:rFonts w:ascii="Verdana" w:hAnsi="Verdana" w:cs="Arial"/>
          <w:i/>
          <w:iCs/>
          <w:sz w:val="20"/>
          <w:szCs w:val="20"/>
          <w:lang w:val="es-MX" w:eastAsia="es-ES_tradnl"/>
        </w:rPr>
        <w:t>, la Corte Constitucional señaló que las prórrogas de los contratos –como especie de modificación- pueden ser un instrumento útil para lograr los fines propios de la contratación estatal.</w:t>
      </w:r>
      <w:r w:rsidR="00E26AE3" w:rsidRPr="00E26AE3">
        <w:rPr>
          <w:rFonts w:ascii="Verdana" w:hAnsi="Verdana" w:cs="Arial"/>
          <w:i/>
          <w:iCs/>
          <w:sz w:val="20"/>
          <w:szCs w:val="20"/>
          <w:lang w:val="es-MX" w:eastAsia="es-ES_tradnl"/>
        </w:rPr>
        <w:t>”</w:t>
      </w:r>
      <w:r w:rsidRPr="00E26AE3">
        <w:rPr>
          <w:rFonts w:ascii="Verdana" w:hAnsi="Verdana" w:cs="Arial"/>
          <w:i/>
          <w:iCs/>
          <w:sz w:val="20"/>
          <w:szCs w:val="20"/>
          <w:vertAlign w:val="superscript"/>
          <w:lang w:val="es-MX" w:eastAsia="es-ES_tradnl"/>
        </w:rPr>
        <w:footnoteReference w:id="12"/>
      </w:r>
    </w:p>
    <w:p w14:paraId="22331CC4" w14:textId="77777777" w:rsidR="00E26AE3" w:rsidRPr="00E26AE3" w:rsidRDefault="00E26AE3" w:rsidP="00E26AE3">
      <w:pPr>
        <w:spacing w:after="0" w:line="240" w:lineRule="auto"/>
        <w:ind w:left="709" w:right="709"/>
        <w:jc w:val="both"/>
        <w:rPr>
          <w:rFonts w:ascii="Verdana" w:hAnsi="Verdana" w:cs="Arial"/>
          <w:sz w:val="20"/>
          <w:szCs w:val="20"/>
          <w:lang w:val="es-MX" w:eastAsia="es-ES_tradnl"/>
        </w:rPr>
      </w:pPr>
    </w:p>
    <w:p w14:paraId="6E0397AD" w14:textId="3B43CAEA" w:rsidR="000C0708" w:rsidRPr="00E26AE3" w:rsidRDefault="000C0708" w:rsidP="00E26AE3">
      <w:pPr>
        <w:pStyle w:val="Prrafodelista"/>
        <w:numPr>
          <w:ilvl w:val="0"/>
          <w:numId w:val="11"/>
        </w:numPr>
        <w:spacing w:after="0" w:line="276" w:lineRule="auto"/>
        <w:ind w:left="709"/>
        <w:jc w:val="both"/>
        <w:rPr>
          <w:rFonts w:ascii="Verdana" w:hAnsi="Verdana"/>
        </w:rPr>
      </w:pPr>
      <w:r w:rsidRPr="00E26AE3">
        <w:rPr>
          <w:rFonts w:ascii="Verdana" w:hAnsi="Verdana"/>
        </w:rPr>
        <w:t>Por otro</w:t>
      </w:r>
      <w:r w:rsidR="003663E3" w:rsidRPr="00E26AE3">
        <w:rPr>
          <w:rFonts w:ascii="Verdana" w:hAnsi="Verdana"/>
        </w:rPr>
        <w:t xml:space="preserve"> lado,</w:t>
      </w:r>
      <w:r w:rsidRPr="00E26AE3">
        <w:rPr>
          <w:rFonts w:ascii="Verdana" w:hAnsi="Verdana"/>
        </w:rPr>
        <w:t xml:space="preserve"> el Consejo de Estado</w:t>
      </w:r>
      <w:r w:rsidRPr="003663E3">
        <w:rPr>
          <w:rFonts w:cs="Arial"/>
          <w:bCs/>
          <w:szCs w:val="24"/>
          <w:vertAlign w:val="superscript"/>
          <w:lang w:val="es-MX" w:eastAsia="es-ES_tradnl" w:bidi="es-ES"/>
        </w:rPr>
        <w:footnoteReference w:id="13"/>
      </w:r>
      <w:r w:rsidRPr="00E26AE3">
        <w:rPr>
          <w:rFonts w:ascii="Verdana" w:hAnsi="Verdana"/>
        </w:rPr>
        <w:t xml:space="preserve">, sobre el particular ha manifestado lo siguiente: </w:t>
      </w:r>
    </w:p>
    <w:p w14:paraId="1ADEBA57" w14:textId="77777777" w:rsidR="000C0708" w:rsidRPr="00737F92" w:rsidRDefault="000C0708" w:rsidP="000C0708">
      <w:pPr>
        <w:spacing w:after="0" w:line="276" w:lineRule="auto"/>
        <w:jc w:val="both"/>
        <w:rPr>
          <w:rFonts w:ascii="Century Gothic" w:hAnsi="Century Gothic"/>
        </w:rPr>
      </w:pPr>
    </w:p>
    <w:p w14:paraId="6D9F640F" w14:textId="77777777" w:rsidR="000C0708" w:rsidRPr="00E26AE3" w:rsidRDefault="000C0708" w:rsidP="00E26AE3">
      <w:pPr>
        <w:spacing w:after="0" w:line="240" w:lineRule="auto"/>
        <w:ind w:left="709" w:right="49"/>
        <w:jc w:val="both"/>
        <w:rPr>
          <w:rFonts w:ascii="Verdana" w:hAnsi="Verdana" w:cs="Arial"/>
          <w:i/>
          <w:iCs/>
          <w:sz w:val="20"/>
          <w:szCs w:val="20"/>
          <w:lang w:val="es-MX" w:eastAsia="es-ES_tradnl"/>
        </w:rPr>
      </w:pPr>
      <w:r w:rsidRPr="00E26AE3">
        <w:rPr>
          <w:rFonts w:ascii="Verdana" w:hAnsi="Verdana" w:cs="Arial"/>
          <w:i/>
          <w:iCs/>
          <w:sz w:val="20"/>
          <w:szCs w:val="20"/>
          <w:lang w:val="es-MX" w:eastAsia="es-ES_tradnl"/>
        </w:rPr>
        <w:t xml:space="preserve">“La contratación estatal responde de múltiples maneras a ese mandato y, en cuanto al concepto que se emite, se resalta que la posibilidad de modificar los contratos estatales es una especial forma de hacer prevalecer la finalidad del contrato sobre los restantes elementos del mismo. Por mutabilidad del contrato estatal se entiende el derecho que tiene la administración de variar, dadas ciertas </w:t>
      </w:r>
      <w:r w:rsidRPr="00E26AE3">
        <w:rPr>
          <w:rFonts w:ascii="Verdana" w:hAnsi="Verdana" w:cs="Arial"/>
          <w:i/>
          <w:iCs/>
          <w:sz w:val="20"/>
          <w:szCs w:val="20"/>
          <w:lang w:val="es-MX" w:eastAsia="es-ES_tradnl"/>
        </w:rPr>
        <w:lastRenderedPageBreak/>
        <w:t>condiciones, las obligaciones a cargo del contratista particular, cuando sea necesario para el cumplimiento del objeto y de los fines generales del Estado.</w:t>
      </w:r>
    </w:p>
    <w:p w14:paraId="16CE8618" w14:textId="77777777" w:rsidR="000C0708" w:rsidRPr="00E26AE3" w:rsidRDefault="000C0708" w:rsidP="00E26AE3">
      <w:pPr>
        <w:spacing w:after="0" w:line="240" w:lineRule="auto"/>
        <w:ind w:left="709" w:right="49"/>
        <w:jc w:val="both"/>
        <w:rPr>
          <w:rFonts w:ascii="Verdana" w:hAnsi="Verdana" w:cs="Arial"/>
          <w:i/>
          <w:iCs/>
          <w:sz w:val="20"/>
          <w:szCs w:val="20"/>
          <w:lang w:val="es-MX" w:eastAsia="es-ES_tradnl"/>
        </w:rPr>
      </w:pPr>
      <w:r w:rsidRPr="00E26AE3">
        <w:rPr>
          <w:rFonts w:ascii="Verdana" w:hAnsi="Verdana" w:cs="Arial"/>
          <w:i/>
          <w:iCs/>
          <w:sz w:val="20"/>
          <w:szCs w:val="20"/>
          <w:lang w:val="es-MX" w:eastAsia="es-ES_tradnl"/>
        </w:rPr>
        <w:t>[…]</w:t>
      </w:r>
    </w:p>
    <w:p w14:paraId="0BFAF6E7" w14:textId="77777777" w:rsidR="000C0708" w:rsidRPr="00E26AE3" w:rsidRDefault="000C0708" w:rsidP="00E26AE3">
      <w:pPr>
        <w:spacing w:after="0" w:line="240" w:lineRule="auto"/>
        <w:ind w:left="709" w:right="49"/>
        <w:jc w:val="both"/>
        <w:rPr>
          <w:rFonts w:ascii="Verdana" w:hAnsi="Verdana" w:cs="Arial"/>
          <w:i/>
          <w:iCs/>
          <w:sz w:val="20"/>
          <w:szCs w:val="20"/>
          <w:lang w:val="es-MX" w:eastAsia="es-ES_tradnl"/>
        </w:rPr>
      </w:pPr>
      <w:r w:rsidRPr="00E26AE3">
        <w:rPr>
          <w:rFonts w:ascii="Verdana" w:hAnsi="Verdana" w:cs="Arial"/>
          <w:i/>
          <w:iCs/>
          <w:sz w:val="20"/>
          <w:szCs w:val="20"/>
          <w:lang w:val="es-MX" w:eastAsia="es-ES_tradnl"/>
        </w:rPr>
        <w:t>La ley permite una cierta discrecionalidad en la toma de las decisiones de modificar los contratos, pues es muy difícil regular detalladamente el tema, en especial ante la infinidad de situaciones que pueden presentarse durante la ejecución. Por esto utiliza locuciones relativamente amplias, a las que debe someterse la administración. A manera de ejemplo, se citan las siguientes tomadas del Estatuto General de Contratación de la Administración Pública: mantener las condiciones técnicas, económicas y financieras, (artículo 4.8), no sobrevenga mayor onerosidad, (artículo 4.9), acordarán los mecanismos y procedimientos pertinentes para precaver o solucionar … diferencias, (ibídem), evitar la paralización y la afectación grave de los servicios públicos a su cargo y asegurar la inmediata, continua y adecuada prestación, (artículo 14); etc. Nótese que, sin embargo, en ellas van inmersas las ideas de una causa cierta y unos fines públicos que hay que salvaguardar.</w:t>
      </w:r>
    </w:p>
    <w:p w14:paraId="35DEA787" w14:textId="6F071054" w:rsidR="000C0708" w:rsidRPr="00E26AE3" w:rsidRDefault="000C0708" w:rsidP="00E26AE3">
      <w:pPr>
        <w:spacing w:before="120" w:after="0" w:line="240" w:lineRule="auto"/>
        <w:ind w:left="709" w:right="49"/>
        <w:jc w:val="both"/>
        <w:rPr>
          <w:rFonts w:ascii="Century Gothic" w:hAnsi="Century Gothic" w:cs="Arial"/>
          <w:i/>
          <w:iCs/>
          <w:sz w:val="20"/>
          <w:szCs w:val="20"/>
          <w:lang w:val="es-MX" w:eastAsia="es-ES_tradnl"/>
        </w:rPr>
      </w:pPr>
      <w:r w:rsidRPr="00E26AE3">
        <w:rPr>
          <w:rFonts w:ascii="Verdana" w:hAnsi="Verdana" w:cs="Arial"/>
          <w:i/>
          <w:iCs/>
          <w:sz w:val="20"/>
          <w:szCs w:val="20"/>
          <w:lang w:val="es-MX" w:eastAsia="es-ES_tradnl"/>
        </w:rPr>
        <w:t>Puede adicionarse una razón a las expuestas para justificar que la simple voluntad de las partes no es causa de modificación de los contratos estatales, la cual consiste en el respeto por el principio de igualdad de los oferentes. Si se acepta que los contratos pueden modificarse por el simple común acuerdo, fácilmente se podría licitar determinado objeto con el fin de adjudicárselo a cierta persona, a sabiendas de que se cambiarán las obligaciones, una vez celebrado.</w:t>
      </w:r>
      <w:r w:rsidRPr="00E26AE3">
        <w:rPr>
          <w:rFonts w:ascii="Century Gothic" w:hAnsi="Century Gothic" w:cs="Arial"/>
          <w:i/>
          <w:iCs/>
          <w:sz w:val="20"/>
          <w:szCs w:val="20"/>
          <w:lang w:val="es-MX" w:eastAsia="es-ES_tradnl"/>
        </w:rPr>
        <w:t xml:space="preserve"> </w:t>
      </w:r>
    </w:p>
    <w:p w14:paraId="7D0A68E3" w14:textId="77777777" w:rsidR="000C0708" w:rsidRPr="00D075D3" w:rsidRDefault="000C0708" w:rsidP="000C0708">
      <w:pPr>
        <w:spacing w:before="120" w:after="0" w:line="240" w:lineRule="auto"/>
        <w:ind w:left="709" w:right="709"/>
        <w:jc w:val="both"/>
        <w:rPr>
          <w:rFonts w:ascii="Century Gothic" w:hAnsi="Century Gothic" w:cs="Arial"/>
          <w:sz w:val="20"/>
          <w:szCs w:val="20"/>
          <w:lang w:val="es-MX" w:eastAsia="es-ES_tradnl"/>
        </w:rPr>
      </w:pPr>
    </w:p>
    <w:p w14:paraId="5A87B0BA" w14:textId="77777777" w:rsidR="00E26AE3" w:rsidRDefault="000C0708" w:rsidP="00E26AE3">
      <w:pPr>
        <w:pStyle w:val="Prrafodelista"/>
        <w:numPr>
          <w:ilvl w:val="0"/>
          <w:numId w:val="11"/>
        </w:numPr>
        <w:spacing w:after="0" w:line="276" w:lineRule="auto"/>
        <w:ind w:left="709"/>
        <w:jc w:val="both"/>
        <w:rPr>
          <w:rFonts w:ascii="Verdana" w:hAnsi="Verdana" w:cs="Arial"/>
          <w:lang w:val="es-MX" w:eastAsia="es-ES_tradnl"/>
        </w:rPr>
      </w:pPr>
      <w:r w:rsidRPr="00E26AE3">
        <w:rPr>
          <w:rFonts w:ascii="Verdana" w:hAnsi="Verdana" w:cs="Arial"/>
          <w:lang w:val="es-MX" w:eastAsia="es-ES_tradnl"/>
        </w:rPr>
        <w:t>De lo expuesto, y a manera de solución al interrogante planteado, surgen estas dos ideas que han servido de hilo conductor al análisis que aquí se hace: el mutuo acuerdo es una forma de modificación del contrato estatal</w:t>
      </w:r>
      <w:r w:rsidR="00EF56E4" w:rsidRPr="00E26AE3">
        <w:rPr>
          <w:rFonts w:ascii="Verdana" w:hAnsi="Verdana" w:cs="Arial"/>
          <w:lang w:val="es-MX" w:eastAsia="es-ES_tradnl"/>
        </w:rPr>
        <w:t xml:space="preserve">, en casos que se requiera ajustar cláusulas pactadas en la etapa </w:t>
      </w:r>
      <w:r w:rsidR="007E64FF" w:rsidRPr="00E26AE3">
        <w:rPr>
          <w:rFonts w:ascii="Verdana" w:hAnsi="Verdana" w:cs="Arial"/>
          <w:lang w:val="es-MX" w:eastAsia="es-ES_tradnl"/>
        </w:rPr>
        <w:t>previa</w:t>
      </w:r>
      <w:r w:rsidR="00EF56E4" w:rsidRPr="00E26AE3">
        <w:rPr>
          <w:rFonts w:ascii="Verdana" w:hAnsi="Verdana" w:cs="Arial"/>
          <w:lang w:val="es-MX" w:eastAsia="es-ES_tradnl"/>
        </w:rPr>
        <w:t xml:space="preserve"> o en el caso en concreto renunciar a</w:t>
      </w:r>
      <w:r w:rsidR="007E64FF" w:rsidRPr="00E26AE3">
        <w:rPr>
          <w:rFonts w:ascii="Verdana" w:hAnsi="Verdana" w:cs="Arial"/>
          <w:lang w:val="es-MX" w:eastAsia="es-ES_tradnl"/>
        </w:rPr>
        <w:t xml:space="preserve"> alguna de ellas</w:t>
      </w:r>
      <w:r w:rsidR="00EF56E4" w:rsidRPr="00E26AE3">
        <w:rPr>
          <w:rFonts w:ascii="Verdana" w:hAnsi="Verdana" w:cs="Arial"/>
          <w:lang w:val="es-MX" w:eastAsia="es-ES_tradnl"/>
        </w:rPr>
        <w:t>, es</w:t>
      </w:r>
      <w:r w:rsidR="007E64FF" w:rsidRPr="00E26AE3">
        <w:rPr>
          <w:rFonts w:ascii="Verdana" w:hAnsi="Verdana" w:cs="Arial"/>
          <w:lang w:val="es-MX" w:eastAsia="es-ES_tradnl"/>
        </w:rPr>
        <w:t xml:space="preserve"> la</w:t>
      </w:r>
      <w:r w:rsidR="00EF56E4" w:rsidRPr="00E26AE3">
        <w:rPr>
          <w:rFonts w:ascii="Verdana" w:hAnsi="Verdana" w:cs="Arial"/>
          <w:lang w:val="es-MX" w:eastAsia="es-ES_tradnl"/>
        </w:rPr>
        <w:t xml:space="preserve"> </w:t>
      </w:r>
      <w:r w:rsidRPr="00E26AE3">
        <w:rPr>
          <w:rFonts w:ascii="Verdana" w:hAnsi="Verdana" w:cs="Arial"/>
          <w:lang w:val="es-MX" w:eastAsia="es-ES_tradnl"/>
        </w:rPr>
        <w:t>más usada en la práctica y preferida por la legislación vigente; advirtiendo, y esta es la segunda idea, que toda modificación debe tener una causa real y cierta, contemplada en la ley, diferente de la mera voluntad de los contratantes.</w:t>
      </w:r>
    </w:p>
    <w:p w14:paraId="1801B9DC" w14:textId="77777777" w:rsidR="00E26AE3" w:rsidRDefault="00E26AE3" w:rsidP="00E26AE3">
      <w:pPr>
        <w:pStyle w:val="Prrafodelista"/>
        <w:spacing w:after="0" w:line="276" w:lineRule="auto"/>
        <w:ind w:left="709"/>
        <w:jc w:val="both"/>
        <w:rPr>
          <w:rFonts w:ascii="Verdana" w:hAnsi="Verdana" w:cs="Arial"/>
          <w:lang w:val="es-MX" w:eastAsia="es-ES_tradnl"/>
        </w:rPr>
      </w:pPr>
    </w:p>
    <w:p w14:paraId="7F2BB311" w14:textId="77777777" w:rsidR="00B0312D" w:rsidRPr="00B0312D" w:rsidRDefault="000C0708" w:rsidP="00E26AE3">
      <w:pPr>
        <w:pStyle w:val="Prrafodelista"/>
        <w:numPr>
          <w:ilvl w:val="0"/>
          <w:numId w:val="11"/>
        </w:numPr>
        <w:spacing w:after="0" w:line="276" w:lineRule="auto"/>
        <w:ind w:left="709"/>
        <w:jc w:val="both"/>
        <w:rPr>
          <w:rFonts w:ascii="Verdana" w:hAnsi="Verdana" w:cs="Arial"/>
          <w:lang w:val="es-MX" w:eastAsia="es-ES_tradnl"/>
        </w:rPr>
      </w:pPr>
      <w:r w:rsidRPr="00E26AE3">
        <w:rPr>
          <w:rFonts w:ascii="Verdana" w:hAnsi="Verdana"/>
        </w:rPr>
        <w:t xml:space="preserve">Es claro entonces, que conforme a la regulación legal y a la interpretación que de la misma han realizado el Consejo de Estado y la Corte Constitucional, la cual es compartida por esta Agencia, es viable jurídicamente modificar los contratos estatales, pero dicha medida tiene un carácter excepcional y sólo procede cuando con ella se pretende garantizar el interés público, cuando la entidad haya verificado y así pueda </w:t>
      </w:r>
      <w:r w:rsidRPr="00E26AE3">
        <w:rPr>
          <w:rFonts w:ascii="Verdana" w:hAnsi="Verdana"/>
        </w:rPr>
        <w:lastRenderedPageBreak/>
        <w:t>constatarse, que la causa de la modificación es real y cierta; y cuando se deriva de previsiones legales, esto es, cuando la modificación encuentra sustento no sólo en circunstancias fácticas propias de la ejecución del contrato, sino, además, cuando tales situaciones ponen de presente la necesidad de dar cumplimiento a previsiones establecidas por el legislador. De esta manera, para establecer si un contrato determinado puede ser susceptible de modificación, se hace necesario que la Administración analice, en cada caso, la concurrencia de los aspectos antes referidos.</w:t>
      </w:r>
    </w:p>
    <w:p w14:paraId="4A818D3C" w14:textId="77777777" w:rsidR="00B0312D" w:rsidRPr="00B0312D" w:rsidRDefault="00B0312D" w:rsidP="00B0312D">
      <w:pPr>
        <w:pStyle w:val="Prrafodelista"/>
        <w:rPr>
          <w:rFonts w:ascii="Verdana" w:hAnsi="Verdana"/>
        </w:rPr>
      </w:pPr>
    </w:p>
    <w:p w14:paraId="49061B0F" w14:textId="77777777" w:rsidR="00B0312D" w:rsidRPr="00B0312D" w:rsidRDefault="00B0312D" w:rsidP="00DA41EC">
      <w:pPr>
        <w:pStyle w:val="Prrafodelista"/>
        <w:numPr>
          <w:ilvl w:val="0"/>
          <w:numId w:val="11"/>
        </w:numPr>
        <w:spacing w:after="0" w:line="276" w:lineRule="auto"/>
        <w:ind w:left="709"/>
        <w:jc w:val="both"/>
        <w:rPr>
          <w:rFonts w:ascii="Verdana" w:hAnsi="Verdana" w:cs="Arial"/>
          <w:lang w:val="es-MX" w:eastAsia="es-ES_tradnl"/>
        </w:rPr>
      </w:pPr>
      <w:r>
        <w:rPr>
          <w:rFonts w:ascii="Verdana" w:hAnsi="Verdana"/>
        </w:rPr>
        <w:t>L</w:t>
      </w:r>
      <w:r w:rsidR="003663E3" w:rsidRPr="00B0312D">
        <w:rPr>
          <w:rFonts w:ascii="Verdana" w:hAnsi="Verdana"/>
        </w:rPr>
        <w:t xml:space="preserve">as modificaciones no podrán suponer la variación del objeto de un contrato, pues ello supondría la alteración de su esencia y lo convertiría en otro tipo de negocio jurídico. Si se presentara esta situación lo indicado sería no modificar el contrato, sino, celebrar uno nuevo. </w:t>
      </w:r>
      <w:r w:rsidR="003663E3" w:rsidRPr="00B0312D">
        <w:rPr>
          <w:rFonts w:ascii="Verdana" w:hAnsi="Verdana" w:cs="Arial"/>
          <w:bCs/>
          <w:szCs w:val="24"/>
          <w:lang w:val="es-MX" w:eastAsia="es-ES_tradnl" w:bidi="es-ES"/>
        </w:rPr>
        <w:t>Sobre este último punto, la doctrina</w:t>
      </w:r>
      <w:r w:rsidR="003663E3" w:rsidRPr="002A2EBF">
        <w:rPr>
          <w:rFonts w:cs="Arial"/>
          <w:bCs/>
          <w:szCs w:val="24"/>
          <w:vertAlign w:val="superscript"/>
          <w:lang w:val="es-MX" w:eastAsia="es-ES_tradnl" w:bidi="es-ES"/>
        </w:rPr>
        <w:footnoteReference w:id="14"/>
      </w:r>
      <w:r w:rsidR="003663E3" w:rsidRPr="00B0312D">
        <w:rPr>
          <w:rFonts w:ascii="Verdana" w:hAnsi="Verdana" w:cs="Arial"/>
          <w:bCs/>
          <w:szCs w:val="24"/>
          <w:lang w:val="es-MX" w:eastAsia="es-ES_tradnl" w:bidi="es-ES"/>
        </w:rPr>
        <w:t xml:space="preserve"> ha precisado que cuando </w:t>
      </w:r>
      <w:r w:rsidR="003663E3" w:rsidRPr="00B0312D">
        <w:rPr>
          <w:rFonts w:ascii="Verdana" w:hAnsi="Verdana" w:cs="Arial"/>
          <w:bCs/>
          <w:szCs w:val="24"/>
          <w:lang w:val="es-MX" w:eastAsia="es-ES_tradnl"/>
        </w:rPr>
        <w:t>“</w:t>
      </w:r>
      <w:r w:rsidR="003663E3" w:rsidRPr="00B0312D">
        <w:rPr>
          <w:rFonts w:ascii="Verdana" w:hAnsi="Verdana" w:cs="Arial"/>
          <w:bCs/>
          <w:szCs w:val="24"/>
          <w:lang w:val="es-MX" w:eastAsia="es-ES_tradnl" w:bidi="es-ES"/>
        </w:rPr>
        <w:t>se alude a la modificación del contrato se lo hace para referirse a alteraciones, variaciones, sustituciones de calidad, componentes o número de obras, bienes o servicios. No implican la sustitución del género del contrato sino modificaciones que responden a necesidades sobrevivientes o a errores en la fase previa</w:t>
      </w:r>
      <w:r w:rsidR="003663E3" w:rsidRPr="00B0312D">
        <w:rPr>
          <w:rFonts w:ascii="Verdana" w:hAnsi="Verdana" w:cs="Arial"/>
          <w:bCs/>
          <w:szCs w:val="24"/>
          <w:lang w:val="es-MX" w:eastAsia="es-ES_tradnl"/>
        </w:rPr>
        <w:t>”</w:t>
      </w:r>
      <w:r w:rsidR="003663E3" w:rsidRPr="002A2EBF">
        <w:rPr>
          <w:rFonts w:cs="Arial"/>
          <w:bCs/>
          <w:i/>
          <w:iCs/>
          <w:szCs w:val="24"/>
          <w:vertAlign w:val="superscript"/>
          <w:lang w:val="es-MX" w:eastAsia="es-ES_tradnl"/>
        </w:rPr>
        <w:footnoteReference w:id="15"/>
      </w:r>
      <w:r w:rsidR="003663E3" w:rsidRPr="00B0312D">
        <w:rPr>
          <w:rFonts w:ascii="Verdana" w:hAnsi="Verdana" w:cs="Arial"/>
          <w:bCs/>
          <w:szCs w:val="24"/>
          <w:lang w:val="es-MX" w:eastAsia="es-ES_tradnl" w:bidi="es-ES"/>
        </w:rPr>
        <w:t>.</w:t>
      </w:r>
    </w:p>
    <w:p w14:paraId="0A48DBA1" w14:textId="77777777" w:rsidR="00B0312D" w:rsidRPr="00B0312D" w:rsidRDefault="00B0312D" w:rsidP="00B0312D">
      <w:pPr>
        <w:pStyle w:val="Prrafodelista"/>
        <w:rPr>
          <w:rFonts w:ascii="Verdana" w:hAnsi="Verdana"/>
        </w:rPr>
      </w:pPr>
    </w:p>
    <w:p w14:paraId="4D55A2AC" w14:textId="2340E979" w:rsidR="00EB52B4" w:rsidRPr="00B0312D" w:rsidRDefault="00B0312D" w:rsidP="00DA41EC">
      <w:pPr>
        <w:pStyle w:val="Prrafodelista"/>
        <w:numPr>
          <w:ilvl w:val="0"/>
          <w:numId w:val="11"/>
        </w:numPr>
        <w:spacing w:after="0" w:line="276" w:lineRule="auto"/>
        <w:ind w:left="709"/>
        <w:jc w:val="both"/>
        <w:rPr>
          <w:rFonts w:ascii="Verdana" w:hAnsi="Verdana" w:cs="Arial"/>
          <w:lang w:val="es-MX" w:eastAsia="es-ES_tradnl"/>
        </w:rPr>
      </w:pPr>
      <w:r>
        <w:rPr>
          <w:rFonts w:ascii="Verdana" w:hAnsi="Verdana"/>
        </w:rPr>
        <w:t>C</w:t>
      </w:r>
      <w:r w:rsidR="00EF56E4" w:rsidRPr="00B0312D">
        <w:rPr>
          <w:rFonts w:ascii="Verdana" w:hAnsi="Verdana"/>
        </w:rPr>
        <w:t xml:space="preserve">orresponderá a cada Entidad Estatal realizar el análisis respecto a la procedencia de modificar determinado contrato estatal, en el entendido que se respeten las reglas establecidas en el ordenamiento jurídico, de acuerdo </w:t>
      </w:r>
      <w:r w:rsidR="00EF56E4" w:rsidRPr="00B0312D">
        <w:rPr>
          <w:rFonts w:ascii="Verdana" w:hAnsi="Verdana" w:cs="Arial"/>
          <w:bCs/>
          <w:lang w:val="es-MX" w:eastAsia="es-ES_tradnl" w:bidi="es-ES"/>
        </w:rPr>
        <w:t>con lo expuesto anteriormente, además de definir previamente su procedencia desde la perspectiva jurídica, técnica y financiera.</w:t>
      </w:r>
    </w:p>
    <w:p w14:paraId="7DF4FB88" w14:textId="77777777" w:rsidR="00EF56E4" w:rsidRPr="00EF56E4" w:rsidRDefault="00EF56E4" w:rsidP="00EF56E4">
      <w:pPr>
        <w:spacing w:after="0" w:line="276" w:lineRule="auto"/>
        <w:jc w:val="both"/>
        <w:rPr>
          <w:rFonts w:ascii="Century Gothic" w:hAnsi="Century Gothic" w:cs="Arial"/>
          <w:bCs/>
          <w:szCs w:val="24"/>
          <w:lang w:val="es-MX" w:eastAsia="es-ES_tradnl" w:bidi="es-ES"/>
        </w:rPr>
      </w:pPr>
    </w:p>
    <w:p w14:paraId="53133908" w14:textId="77777777" w:rsidR="00871B59" w:rsidRPr="00593A5F"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Referencias normativas, jurisprudenciales y otras fuentes:</w:t>
      </w:r>
    </w:p>
    <w:p w14:paraId="237FD993" w14:textId="77777777" w:rsidR="00871B59" w:rsidRPr="00593A5F" w:rsidRDefault="00871B59" w:rsidP="00871B59">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871B59" w:rsidRPr="00593A5F" w14:paraId="150F7C2A" w14:textId="77777777" w:rsidTr="002607A7">
        <w:trPr>
          <w:trHeight w:val="870"/>
        </w:trPr>
        <w:tc>
          <w:tcPr>
            <w:tcW w:w="8647" w:type="dxa"/>
          </w:tcPr>
          <w:p w14:paraId="481493F4" w14:textId="6E45D357" w:rsidR="00631FFE" w:rsidRPr="00631FFE" w:rsidRDefault="0001217D" w:rsidP="00631FFE">
            <w:pPr>
              <w:pStyle w:val="Prrafodelista"/>
              <w:widowControl w:val="0"/>
              <w:numPr>
                <w:ilvl w:val="0"/>
                <w:numId w:val="8"/>
              </w:numPr>
              <w:autoSpaceDE w:val="0"/>
              <w:autoSpaceDN w:val="0"/>
              <w:spacing w:after="120" w:line="276" w:lineRule="auto"/>
              <w:jc w:val="both"/>
              <w:rPr>
                <w:rFonts w:ascii="Verdana" w:hAnsi="Verdana" w:cs="Arial"/>
              </w:rPr>
            </w:pPr>
            <w:r w:rsidRPr="0001217D">
              <w:rPr>
                <w:rFonts w:ascii="Verdana" w:hAnsi="Verdana" w:cs="Arial"/>
              </w:rPr>
              <w:lastRenderedPageBreak/>
              <w:t>Ley</w:t>
            </w:r>
            <w:r w:rsidR="00631FFE">
              <w:rPr>
                <w:rFonts w:ascii="Verdana" w:hAnsi="Verdana" w:cs="Arial"/>
              </w:rPr>
              <w:t>es</w:t>
            </w:r>
            <w:r w:rsidRPr="0001217D">
              <w:rPr>
                <w:rFonts w:ascii="Verdana" w:hAnsi="Verdana" w:cs="Arial"/>
              </w:rPr>
              <w:t xml:space="preserve"> 80 de 1993 - artículo 40</w:t>
            </w:r>
            <w:r w:rsidR="00631FFE">
              <w:rPr>
                <w:rFonts w:ascii="Verdana" w:hAnsi="Verdana" w:cs="Arial"/>
              </w:rPr>
              <w:t xml:space="preserve">; </w:t>
            </w:r>
            <w:r w:rsidR="00631FFE" w:rsidRPr="0001217D">
              <w:rPr>
                <w:rFonts w:ascii="Verdana" w:hAnsi="Verdana" w:cs="Arial"/>
              </w:rPr>
              <w:t>1474 de 2011 - artículo 91</w:t>
            </w:r>
            <w:r w:rsidR="00631FFE">
              <w:rPr>
                <w:rFonts w:ascii="Verdana" w:hAnsi="Verdana" w:cs="Arial"/>
              </w:rPr>
              <w:t>; 1150 de 2007.</w:t>
            </w:r>
          </w:p>
          <w:p w14:paraId="6EBA0B4D" w14:textId="07C9A9B1" w:rsidR="0001217D" w:rsidRDefault="0001217D" w:rsidP="00871B59">
            <w:pPr>
              <w:pStyle w:val="Prrafodelista"/>
              <w:widowControl w:val="0"/>
              <w:numPr>
                <w:ilvl w:val="0"/>
                <w:numId w:val="8"/>
              </w:numPr>
              <w:tabs>
                <w:tab w:val="left" w:pos="8419"/>
              </w:tabs>
              <w:autoSpaceDE w:val="0"/>
              <w:autoSpaceDN w:val="0"/>
              <w:spacing w:after="120" w:line="276" w:lineRule="auto"/>
              <w:contextualSpacing w:val="0"/>
              <w:jc w:val="both"/>
              <w:rPr>
                <w:rFonts w:ascii="Verdana" w:hAnsi="Verdana" w:cs="Arial"/>
              </w:rPr>
            </w:pPr>
            <w:r w:rsidRPr="0001217D">
              <w:rPr>
                <w:rFonts w:ascii="Verdana" w:hAnsi="Verdana" w:cs="Arial"/>
              </w:rPr>
              <w:t>Decreto 1082 de 2015 - artículo 2.2.1.2.3.1.7; artículo 2.2.1.1.2.4.1.</w:t>
            </w:r>
          </w:p>
          <w:p w14:paraId="1EC04504" w14:textId="38EA3EE2" w:rsidR="00631FFE" w:rsidRDefault="00631FFE" w:rsidP="00871B59">
            <w:pPr>
              <w:pStyle w:val="Prrafodelista"/>
              <w:widowControl w:val="0"/>
              <w:numPr>
                <w:ilvl w:val="0"/>
                <w:numId w:val="8"/>
              </w:numPr>
              <w:tabs>
                <w:tab w:val="left" w:pos="8419"/>
              </w:tabs>
              <w:autoSpaceDE w:val="0"/>
              <w:autoSpaceDN w:val="0"/>
              <w:spacing w:after="120" w:line="276" w:lineRule="auto"/>
              <w:contextualSpacing w:val="0"/>
              <w:jc w:val="both"/>
              <w:rPr>
                <w:rFonts w:ascii="Verdana" w:hAnsi="Verdana" w:cs="Arial"/>
              </w:rPr>
            </w:pPr>
            <w:r w:rsidRPr="00631FFE">
              <w:rPr>
                <w:rFonts w:ascii="Verdana" w:hAnsi="Verdana" w:cs="Arial"/>
              </w:rPr>
              <w:t>C</w:t>
            </w:r>
            <w:r>
              <w:rPr>
                <w:rFonts w:ascii="Verdana" w:hAnsi="Verdana" w:cs="Arial"/>
              </w:rPr>
              <w:t>onsejo</w:t>
            </w:r>
            <w:r w:rsidRPr="00631FFE">
              <w:rPr>
                <w:rFonts w:ascii="Verdana" w:hAnsi="Verdana" w:cs="Arial"/>
              </w:rPr>
              <w:t xml:space="preserve"> </w:t>
            </w:r>
            <w:r>
              <w:rPr>
                <w:rFonts w:ascii="Verdana" w:hAnsi="Verdana" w:cs="Arial"/>
              </w:rPr>
              <w:t>de</w:t>
            </w:r>
            <w:r w:rsidRPr="00631FFE">
              <w:rPr>
                <w:rFonts w:ascii="Verdana" w:hAnsi="Verdana" w:cs="Arial"/>
              </w:rPr>
              <w:t xml:space="preserve"> E</w:t>
            </w:r>
            <w:r>
              <w:rPr>
                <w:rFonts w:ascii="Verdana" w:hAnsi="Verdana" w:cs="Arial"/>
              </w:rPr>
              <w:t>stado</w:t>
            </w:r>
            <w:r w:rsidRPr="00631FFE">
              <w:rPr>
                <w:rFonts w:ascii="Verdana" w:hAnsi="Verdana" w:cs="Arial"/>
              </w:rPr>
              <w:t>. Sala de lo Contencioso Administrativo. Sección Tercera</w:t>
            </w:r>
            <w:r>
              <w:rPr>
                <w:rFonts w:ascii="Verdana" w:hAnsi="Verdana" w:cs="Arial"/>
              </w:rPr>
              <w:t xml:space="preserve"> – Sentencia del 16 de mayo 2019 Exp</w:t>
            </w:r>
            <w:r w:rsidRPr="00631FFE">
              <w:rPr>
                <w:rFonts w:ascii="Verdana" w:hAnsi="Verdana" w:cs="Arial"/>
              </w:rPr>
              <w:t>. 40102</w:t>
            </w:r>
            <w:r>
              <w:rPr>
                <w:rFonts w:ascii="Verdana" w:hAnsi="Verdana" w:cs="Arial"/>
              </w:rPr>
              <w:t xml:space="preserve">; Sentencia </w:t>
            </w:r>
            <w:r w:rsidRPr="00631FFE">
              <w:rPr>
                <w:rFonts w:ascii="Verdana" w:hAnsi="Verdana" w:cs="Arial"/>
              </w:rPr>
              <w:t xml:space="preserve">del 2 de octubre del 2020. </w:t>
            </w:r>
            <w:r>
              <w:rPr>
                <w:rFonts w:ascii="Verdana" w:hAnsi="Verdana" w:cs="Arial"/>
              </w:rPr>
              <w:t>Exp</w:t>
            </w:r>
            <w:r w:rsidRPr="00631FFE">
              <w:rPr>
                <w:rFonts w:ascii="Verdana" w:hAnsi="Verdana" w:cs="Arial"/>
              </w:rPr>
              <w:t>. 63644. CP. Jaime Enrique Rodríguez Nava</w:t>
            </w:r>
            <w:r>
              <w:rPr>
                <w:rFonts w:ascii="Verdana" w:hAnsi="Verdana" w:cs="Arial"/>
              </w:rPr>
              <w:t xml:space="preserve">; Sentencia de </w:t>
            </w:r>
            <w:r w:rsidRPr="00631FFE">
              <w:rPr>
                <w:rFonts w:ascii="Verdana" w:hAnsi="Verdana" w:cs="Arial"/>
              </w:rPr>
              <w:t xml:space="preserve">22 de junio de 2001. </w:t>
            </w:r>
            <w:r>
              <w:rPr>
                <w:rFonts w:ascii="Verdana" w:hAnsi="Verdana" w:cs="Arial"/>
              </w:rPr>
              <w:t>Exp</w:t>
            </w:r>
            <w:r w:rsidRPr="00631FFE">
              <w:rPr>
                <w:rFonts w:ascii="Verdana" w:hAnsi="Verdana" w:cs="Arial"/>
              </w:rPr>
              <w:t>. 13436, C.P. Ricardo Hoyos Duque</w:t>
            </w:r>
            <w:r>
              <w:rPr>
                <w:rFonts w:ascii="Verdana" w:hAnsi="Verdana" w:cs="Arial"/>
              </w:rPr>
              <w:t xml:space="preserve">; </w:t>
            </w:r>
            <w:r w:rsidRPr="00631FFE">
              <w:rPr>
                <w:rFonts w:ascii="Verdana" w:hAnsi="Verdana" w:cs="Arial"/>
              </w:rPr>
              <w:t>Sala Plena de lo Contencioso Administrativo. Sentencia del 8 de agosto de 2001. Exp. AC-10966 - AC-11274.</w:t>
            </w:r>
            <w:r>
              <w:rPr>
                <w:rFonts w:ascii="Verdana" w:hAnsi="Verdana" w:cs="Arial"/>
              </w:rPr>
              <w:t xml:space="preserve"> C.P. </w:t>
            </w:r>
            <w:r w:rsidRPr="00631FFE">
              <w:rPr>
                <w:rFonts w:ascii="Verdana" w:hAnsi="Verdana" w:cs="Arial"/>
              </w:rPr>
              <w:t>Reinaldo Chavarro Buriticá.</w:t>
            </w:r>
          </w:p>
          <w:p w14:paraId="593AEA27" w14:textId="037B2A53" w:rsidR="00ED15BE" w:rsidRDefault="00631FFE" w:rsidP="00871B59">
            <w:pPr>
              <w:pStyle w:val="Prrafodelista"/>
              <w:widowControl w:val="0"/>
              <w:numPr>
                <w:ilvl w:val="0"/>
                <w:numId w:val="8"/>
              </w:numPr>
              <w:tabs>
                <w:tab w:val="left" w:pos="8419"/>
              </w:tabs>
              <w:autoSpaceDE w:val="0"/>
              <w:autoSpaceDN w:val="0"/>
              <w:spacing w:after="120" w:line="276" w:lineRule="auto"/>
              <w:contextualSpacing w:val="0"/>
              <w:jc w:val="both"/>
              <w:rPr>
                <w:rFonts w:ascii="Verdana" w:hAnsi="Verdana" w:cs="Arial"/>
              </w:rPr>
            </w:pPr>
            <w:r w:rsidRPr="00631FFE">
              <w:rPr>
                <w:rFonts w:ascii="Verdana" w:hAnsi="Verdana" w:cs="Arial"/>
              </w:rPr>
              <w:t>Consejo de Estado</w:t>
            </w:r>
            <w:r w:rsidR="008831EA">
              <w:rPr>
                <w:rFonts w:ascii="Verdana" w:hAnsi="Verdana" w:cs="Arial"/>
              </w:rPr>
              <w:t>.</w:t>
            </w:r>
            <w:r w:rsidRPr="00631FFE">
              <w:rPr>
                <w:rFonts w:ascii="Verdana" w:hAnsi="Verdana" w:cs="Arial"/>
              </w:rPr>
              <w:t xml:space="preserve"> Sala de Consulta y Servicio Civil, concepto del 13 de agosto de 2009, rad. 1.952, C.P. Enrique José Arboleda Perdomo.</w:t>
            </w:r>
          </w:p>
          <w:p w14:paraId="20CF2EE0" w14:textId="77777777" w:rsidR="00ED15BE" w:rsidRDefault="00ED15BE" w:rsidP="00871B59">
            <w:pPr>
              <w:pStyle w:val="Prrafodelista"/>
              <w:widowControl w:val="0"/>
              <w:numPr>
                <w:ilvl w:val="0"/>
                <w:numId w:val="8"/>
              </w:numPr>
              <w:tabs>
                <w:tab w:val="left" w:pos="8419"/>
              </w:tabs>
              <w:autoSpaceDE w:val="0"/>
              <w:autoSpaceDN w:val="0"/>
              <w:spacing w:after="120" w:line="276" w:lineRule="auto"/>
              <w:contextualSpacing w:val="0"/>
              <w:jc w:val="both"/>
              <w:rPr>
                <w:rFonts w:ascii="Verdana" w:hAnsi="Verdana" w:cs="Arial"/>
              </w:rPr>
            </w:pPr>
            <w:r w:rsidRPr="00ED15BE">
              <w:rPr>
                <w:rFonts w:ascii="Verdana" w:hAnsi="Verdana" w:cs="Arial"/>
              </w:rPr>
              <w:t>Corte Constitucional sentencia C-416 de 2012</w:t>
            </w:r>
            <w:r>
              <w:rPr>
                <w:rFonts w:ascii="Verdana" w:hAnsi="Verdana" w:cs="Arial"/>
              </w:rPr>
              <w:t>.</w:t>
            </w:r>
          </w:p>
          <w:p w14:paraId="6D64B2AB" w14:textId="75118805" w:rsidR="00ED15BE" w:rsidRPr="00ED15BE" w:rsidRDefault="00ED15BE" w:rsidP="00ED15BE">
            <w:pPr>
              <w:pStyle w:val="Prrafodelista"/>
              <w:widowControl w:val="0"/>
              <w:numPr>
                <w:ilvl w:val="0"/>
                <w:numId w:val="8"/>
              </w:numPr>
              <w:tabs>
                <w:tab w:val="left" w:pos="8419"/>
              </w:tabs>
              <w:autoSpaceDE w:val="0"/>
              <w:autoSpaceDN w:val="0"/>
              <w:spacing w:after="120" w:line="276" w:lineRule="auto"/>
              <w:jc w:val="both"/>
              <w:rPr>
                <w:rFonts w:ascii="Verdana" w:hAnsi="Verdana" w:cs="Arial"/>
              </w:rPr>
            </w:pPr>
            <w:r>
              <w:rPr>
                <w:rFonts w:ascii="Verdana" w:hAnsi="Verdana" w:cs="Arial"/>
              </w:rPr>
              <w:t>S</w:t>
            </w:r>
            <w:r w:rsidRPr="00ED15BE">
              <w:rPr>
                <w:rFonts w:ascii="Verdana" w:hAnsi="Verdana" w:cs="Arial"/>
              </w:rPr>
              <w:t>entencia C-932 de 2007, M.P. Marco Gerardo Monroy Cabra.</w:t>
            </w:r>
          </w:p>
          <w:p w14:paraId="5E7FB328" w14:textId="4D3F5EFF" w:rsidR="00631FFE" w:rsidRPr="0001217D" w:rsidRDefault="00ED15BE" w:rsidP="00ED15BE">
            <w:pPr>
              <w:pStyle w:val="Prrafodelista"/>
              <w:widowControl w:val="0"/>
              <w:numPr>
                <w:ilvl w:val="0"/>
                <w:numId w:val="8"/>
              </w:numPr>
              <w:tabs>
                <w:tab w:val="left" w:pos="8419"/>
              </w:tabs>
              <w:autoSpaceDE w:val="0"/>
              <w:autoSpaceDN w:val="0"/>
              <w:spacing w:after="120" w:line="276" w:lineRule="auto"/>
              <w:contextualSpacing w:val="0"/>
              <w:jc w:val="both"/>
              <w:rPr>
                <w:rFonts w:ascii="Verdana" w:hAnsi="Verdana" w:cs="Arial"/>
              </w:rPr>
            </w:pPr>
            <w:r>
              <w:rPr>
                <w:rFonts w:ascii="Verdana" w:hAnsi="Verdana" w:cs="Arial"/>
              </w:rPr>
              <w:t>S</w:t>
            </w:r>
            <w:r w:rsidRPr="00ED15BE">
              <w:rPr>
                <w:rFonts w:ascii="Verdana" w:hAnsi="Verdana" w:cs="Arial"/>
              </w:rPr>
              <w:t>entencia C-068 de 2009, M.P. Mauricio González Cuervo.</w:t>
            </w:r>
            <w:r w:rsidR="00631FFE">
              <w:rPr>
                <w:rFonts w:ascii="Verdana" w:hAnsi="Verdana" w:cs="Arial"/>
              </w:rPr>
              <w:t xml:space="preserve"> </w:t>
            </w:r>
          </w:p>
          <w:p w14:paraId="190A1CF8" w14:textId="77777777" w:rsidR="00871B59" w:rsidRPr="00340039" w:rsidRDefault="00871B59" w:rsidP="00871B59">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01217D">
              <w:rPr>
                <w:rFonts w:ascii="Verdana" w:hAnsi="Verdana" w:cs="Arial"/>
              </w:rPr>
              <w:t>Jurisprudencia del Consejo de Estado. Disponible en:</w:t>
            </w:r>
            <w:r w:rsidRPr="00D769C5">
              <w:rPr>
                <w:rFonts w:ascii="Verdana" w:hAnsi="Verdana" w:cs="Arial"/>
                <w:color w:val="7030A0"/>
              </w:rPr>
              <w:t xml:space="preserve"> </w:t>
            </w:r>
            <w:hyperlink r:id="rId13" w:history="1">
              <w:r w:rsidRPr="003705EA">
                <w:rPr>
                  <w:rStyle w:val="Hipervnculo"/>
                  <w:rFonts w:ascii="Verdana" w:hAnsi="Verdana" w:cs="Arial"/>
                </w:rPr>
                <w:t>https://relatoria.colombiacompra.gov.co/providencias-consejo-de-estado/</w:t>
              </w:r>
            </w:hyperlink>
            <w:r>
              <w:rPr>
                <w:rFonts w:ascii="Verdana" w:hAnsi="Verdana" w:cs="Arial"/>
              </w:rPr>
              <w:t xml:space="preserve"> </w:t>
            </w:r>
          </w:p>
          <w:p w14:paraId="6ACEA7FD" w14:textId="6DA869DD" w:rsidR="00871B59" w:rsidRPr="00A80929" w:rsidRDefault="00871B59" w:rsidP="00A80929">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01217D">
              <w:rPr>
                <w:rFonts w:ascii="Verdana" w:hAnsi="Verdana" w:cs="Arial"/>
              </w:rPr>
              <w:t>Guías y manuales expedidos por la ANCP-CCE. Disponible en:</w:t>
            </w:r>
            <w:r w:rsidRPr="00340039">
              <w:rPr>
                <w:color w:val="7030A0"/>
              </w:rPr>
              <w:t xml:space="preserve"> </w:t>
            </w:r>
            <w:hyperlink r:id="rId14" w:history="1">
              <w:r w:rsidRPr="00340039">
                <w:rPr>
                  <w:rStyle w:val="Hipervnculo"/>
                  <w:rFonts w:ascii="Verdana" w:hAnsi="Verdana" w:cs="Arial"/>
                </w:rPr>
                <w:t>https://www.colombiacompra.gov.co/manuales-guias-y-pliegos-tipo/manuales-y-guias</w:t>
              </w:r>
            </w:hyperlink>
            <w:r>
              <w:rPr>
                <w:rFonts w:ascii="Verdana" w:hAnsi="Verdana" w:cs="Arial"/>
              </w:rPr>
              <w:t xml:space="preserve"> </w:t>
            </w:r>
          </w:p>
        </w:tc>
      </w:tr>
    </w:tbl>
    <w:p w14:paraId="0E1B166D" w14:textId="77777777" w:rsidR="00871B59" w:rsidRPr="00593A5F" w:rsidRDefault="00871B59" w:rsidP="00871B59">
      <w:pPr>
        <w:widowControl w:val="0"/>
        <w:autoSpaceDE w:val="0"/>
        <w:autoSpaceDN w:val="0"/>
        <w:spacing w:after="0" w:line="276" w:lineRule="auto"/>
        <w:jc w:val="both"/>
        <w:rPr>
          <w:rFonts w:ascii="Verdana" w:hAnsi="Verdana" w:cs="Arial"/>
        </w:rPr>
      </w:pPr>
    </w:p>
    <w:p w14:paraId="40380BCB" w14:textId="77777777" w:rsidR="00871B59" w:rsidRPr="00593A5F"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Pr>
          <w:rFonts w:ascii="Verdana" w:eastAsia="Century Gothic" w:hAnsi="Verdana" w:cs="Century Gothic"/>
          <w:b/>
          <w:bCs/>
          <w:lang w:val="es-ES"/>
        </w:rPr>
        <w:t>Doctrina de la Agencia Nacional de Contratación Pública</w:t>
      </w:r>
      <w:r w:rsidRPr="00593A5F">
        <w:rPr>
          <w:rFonts w:ascii="Verdana" w:eastAsia="Century Gothic" w:hAnsi="Verdana" w:cs="Century Gothic"/>
          <w:b/>
          <w:bCs/>
          <w:lang w:val="es-ES"/>
        </w:rPr>
        <w:t>:</w:t>
      </w:r>
    </w:p>
    <w:p w14:paraId="41294D6D" w14:textId="77777777" w:rsidR="00871B59" w:rsidRPr="00593A5F" w:rsidRDefault="00871B59" w:rsidP="00871B59">
      <w:pPr>
        <w:widowControl w:val="0"/>
        <w:autoSpaceDE w:val="0"/>
        <w:autoSpaceDN w:val="0"/>
        <w:spacing w:after="0" w:line="276" w:lineRule="auto"/>
        <w:jc w:val="both"/>
        <w:rPr>
          <w:rFonts w:ascii="Verdana" w:hAnsi="Verdana" w:cs="Arial"/>
        </w:rPr>
      </w:pPr>
    </w:p>
    <w:p w14:paraId="688C30E7" w14:textId="70546DC2" w:rsidR="00871B59" w:rsidRDefault="00871B59" w:rsidP="00AD44E8">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AD44E8">
        <w:rPr>
          <w:rFonts w:ascii="Verdana" w:hAnsi="Verdana"/>
        </w:rPr>
        <w:t>Sobre</w:t>
      </w:r>
      <w:r w:rsidR="00E1151D" w:rsidRPr="00AD44E8">
        <w:rPr>
          <w:rFonts w:ascii="Verdana" w:hAnsi="Verdana"/>
        </w:rPr>
        <w:t xml:space="preserve"> el ámbito de aplicación de</w:t>
      </w:r>
      <w:r w:rsidR="00A57ACF" w:rsidRPr="00AD44E8">
        <w:rPr>
          <w:rFonts w:ascii="Verdana" w:hAnsi="Verdana"/>
        </w:rPr>
        <w:t xml:space="preserve">l </w:t>
      </w:r>
      <w:r w:rsidR="00E1151D" w:rsidRPr="00AD44E8">
        <w:rPr>
          <w:rFonts w:ascii="Verdana" w:hAnsi="Verdana"/>
        </w:rPr>
        <w:t>anticipo</w:t>
      </w:r>
      <w:r w:rsidR="006E563B" w:rsidRPr="00AD44E8">
        <w:rPr>
          <w:rFonts w:ascii="Verdana" w:hAnsi="Verdana"/>
        </w:rPr>
        <w:t xml:space="preserve">, modificaciones del contrato </w:t>
      </w:r>
      <w:r w:rsidRPr="00AD44E8">
        <w:rPr>
          <w:rFonts w:ascii="Verdana" w:hAnsi="Verdana"/>
        </w:rPr>
        <w:t>se pronunció esta Subdirección en los conceptos</w:t>
      </w:r>
      <w:r w:rsidR="00E1151D" w:rsidRPr="00AD44E8">
        <w:rPr>
          <w:rFonts w:ascii="Verdana" w:hAnsi="Verdana"/>
        </w:rPr>
        <w:t xml:space="preserve"> C-796 de noviembre de 2022,</w:t>
      </w:r>
      <w:r w:rsidRPr="00AD44E8">
        <w:rPr>
          <w:rFonts w:ascii="Verdana" w:hAnsi="Verdana"/>
        </w:rPr>
        <w:t xml:space="preserve"> </w:t>
      </w:r>
      <w:r w:rsidR="00E1151D" w:rsidRPr="00AD44E8">
        <w:rPr>
          <w:rFonts w:ascii="Verdana" w:hAnsi="Verdana"/>
        </w:rPr>
        <w:t>C-825 de diciembre de 2022, C-842 de 2022 de diciembre 2022, C-109 de mayo 2023, C-455 de diciembre de 2023,</w:t>
      </w:r>
      <w:r w:rsidR="006E563B" w:rsidRPr="00AD44E8">
        <w:rPr>
          <w:rFonts w:ascii="Verdana" w:hAnsi="Verdana"/>
        </w:rPr>
        <w:t xml:space="preserve"> C-471 de 2023,</w:t>
      </w:r>
      <w:r w:rsidR="00AD44E8" w:rsidRPr="00AD44E8">
        <w:rPr>
          <w:rFonts w:ascii="Verdana" w:hAnsi="Verdana"/>
        </w:rPr>
        <w:t xml:space="preserve"> C-452 de 2023, C-396 de 2023, C-090 de 2024</w:t>
      </w:r>
      <w:r w:rsidR="006E563B" w:rsidRPr="00AD44E8">
        <w:rPr>
          <w:rFonts w:ascii="Verdana" w:hAnsi="Verdana"/>
        </w:rPr>
        <w:t xml:space="preserve"> </w:t>
      </w:r>
      <w:r w:rsidR="00E1151D" w:rsidRPr="00AD44E8">
        <w:rPr>
          <w:rFonts w:ascii="Verdana" w:hAnsi="Verdana"/>
        </w:rPr>
        <w:t xml:space="preserve"> se abordó el análisis y estudio de la facultad de las entidades estatales para pactar la entrega de anticipos en los contratos estatales</w:t>
      </w:r>
      <w:r w:rsidR="006E563B" w:rsidRPr="00AD44E8">
        <w:rPr>
          <w:rFonts w:ascii="Verdana" w:hAnsi="Verdana"/>
        </w:rPr>
        <w:t>, además de las modificaciones al contrato estatal.</w:t>
      </w:r>
      <w:r w:rsidR="00AD44E8" w:rsidRPr="00AD44E8">
        <w:rPr>
          <w:rFonts w:ascii="Verdana" w:hAnsi="Verdana"/>
        </w:rPr>
        <w:t xml:space="preserve"> </w:t>
      </w:r>
      <w:r w:rsidRPr="00AD44E8">
        <w:rPr>
          <w:rFonts w:ascii="Verdana" w:hAnsi="Verdana"/>
        </w:rPr>
        <w:t xml:space="preserve">Estos y otros </w:t>
      </w:r>
      <w:r w:rsidRPr="00AD44E8">
        <w:rPr>
          <w:rFonts w:ascii="Verdana" w:hAnsi="Verdana"/>
        </w:rPr>
        <w:lastRenderedPageBreak/>
        <w:t>conceptos se encuentran disponibles para consulta en el Sistema de relatoría de la Agencia, al cual se puede acceder a través del siguiente enlace:</w:t>
      </w:r>
      <w:r w:rsidRPr="00AD44E8">
        <w:rPr>
          <w:rStyle w:val="normaltextrun"/>
          <w:rFonts w:ascii="Verdana" w:hAnsi="Verdana" w:cs="Arial"/>
          <w:shd w:val="clear" w:color="auto" w:fill="FFFFFF"/>
          <w:lang w:val="es-ES"/>
        </w:rPr>
        <w:t xml:space="preserve"> </w:t>
      </w:r>
      <w:hyperlink r:id="rId15" w:history="1">
        <w:r w:rsidRPr="00A1554D">
          <w:rPr>
            <w:rStyle w:val="Hipervnculo"/>
            <w:rFonts w:ascii="Verdana" w:hAnsi="Verdana" w:cs="Arial"/>
            <w:shd w:val="clear" w:color="auto" w:fill="FFFFFF"/>
            <w:lang w:val="es-ES"/>
          </w:rPr>
          <w:t>https://relatoria.colombiacompra.gov.co/busqueda/conceptos</w:t>
        </w:r>
      </w:hyperlink>
      <w:r>
        <w:rPr>
          <w:rStyle w:val="normaltextrun"/>
          <w:rFonts w:ascii="Verdana" w:hAnsi="Verdana" w:cs="Arial"/>
          <w:color w:val="FF0000"/>
          <w:shd w:val="clear" w:color="auto" w:fill="FFFFFF"/>
          <w:lang w:val="es-ES"/>
        </w:rPr>
        <w:t xml:space="preserve">. </w:t>
      </w:r>
    </w:p>
    <w:p w14:paraId="653CF3BE" w14:textId="77777777" w:rsidR="00871B59" w:rsidRDefault="00871B59" w:rsidP="00871B59">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E5FBA74" w14:textId="77777777" w:rsidR="00871B59" w:rsidRDefault="00871B59" w:rsidP="00871B59">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6" w:history="1">
        <w:r w:rsidRPr="003705EA">
          <w:rPr>
            <w:rStyle w:val="Hipervnculo"/>
            <w:rFonts w:ascii="Verdana" w:hAnsi="Verdana" w:cs="Arial"/>
            <w:shd w:val="clear" w:color="auto" w:fill="FFFFFF"/>
            <w:lang w:val="es-ES"/>
          </w:rPr>
          <w:t>https://www.colombiacompra.gov.co/sala-de-prensa/boletin-digital</w:t>
        </w:r>
      </w:hyperlink>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1570ED43"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284AF384" w14:textId="77777777" w:rsidR="008815E5" w:rsidRPr="003E2460" w:rsidRDefault="008815E5" w:rsidP="008815E5">
      <w:pPr>
        <w:spacing w:after="0" w:line="240" w:lineRule="auto"/>
        <w:jc w:val="both"/>
        <w:rPr>
          <w:rFonts w:ascii="Verdana" w:hAnsi="Verdana"/>
        </w:rPr>
      </w:pPr>
    </w:p>
    <w:p w14:paraId="5E6CD010"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0F76F019"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14:paraId="60E5B357"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6980ECB3" w14:textId="77777777" w:rsidR="00871B59" w:rsidRPr="00593A5F" w:rsidRDefault="00871B59" w:rsidP="00871B59">
      <w:pPr>
        <w:widowControl w:val="0"/>
        <w:autoSpaceDE w:val="0"/>
        <w:autoSpaceDN w:val="0"/>
        <w:spacing w:after="0" w:line="276" w:lineRule="auto"/>
        <w:jc w:val="both"/>
        <w:rPr>
          <w:rFonts w:ascii="Verdana" w:hAnsi="Verdana" w:cs="Arial"/>
        </w:rPr>
      </w:pPr>
    </w:p>
    <w:p w14:paraId="120572E9" w14:textId="77777777" w:rsidR="00871B59" w:rsidRPr="00593A5F" w:rsidRDefault="00871B59" w:rsidP="00871B59">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76160CFD" w14:textId="18A06711" w:rsidR="00871B59" w:rsidRPr="00593A5F" w:rsidRDefault="00871B59" w:rsidP="00871B59">
      <w:pPr>
        <w:widowControl w:val="0"/>
        <w:autoSpaceDE w:val="0"/>
        <w:autoSpaceDN w:val="0"/>
        <w:spacing w:after="0" w:line="276" w:lineRule="auto"/>
        <w:jc w:val="both"/>
        <w:rPr>
          <w:rFonts w:ascii="Verdana" w:hAnsi="Verdana" w:cs="Arial"/>
        </w:rPr>
      </w:pPr>
    </w:p>
    <w:p w14:paraId="46FD3687" w14:textId="620E051B" w:rsidR="00871B59" w:rsidRDefault="00871B59" w:rsidP="00871B59">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07EB91CB" w14:textId="1DF8B8F0" w:rsidR="00A826AC" w:rsidRDefault="00A826AC" w:rsidP="00871B59">
      <w:pPr>
        <w:spacing w:after="0" w:line="240" w:lineRule="auto"/>
        <w:rPr>
          <w:rFonts w:ascii="Verdana" w:hAnsi="Verdana" w:cs="Arial"/>
          <w:lang w:eastAsia="es-CO"/>
        </w:rPr>
      </w:pPr>
    </w:p>
    <w:p w14:paraId="7387031B" w14:textId="69DB825C" w:rsidR="00A826AC" w:rsidRDefault="00A826AC" w:rsidP="00871B59">
      <w:pPr>
        <w:spacing w:after="0" w:line="240" w:lineRule="auto"/>
        <w:rPr>
          <w:rFonts w:ascii="Verdana" w:hAnsi="Verdana" w:cs="Arial"/>
          <w:lang w:eastAsia="es-CO"/>
        </w:rPr>
      </w:pPr>
      <w:r>
        <w:rPr>
          <w:rFonts w:ascii="Verdana" w:hAnsi="Verdana" w:cs="Arial"/>
          <w:noProof/>
          <w:lang w:eastAsia="es-CO"/>
        </w:rPr>
        <w:drawing>
          <wp:anchor distT="0" distB="0" distL="114300" distR="114300" simplePos="0" relativeHeight="251659264" behindDoc="0" locked="0" layoutInCell="1" allowOverlap="1" wp14:anchorId="7DC18DFD" wp14:editId="252505F3">
            <wp:simplePos x="0" y="0"/>
            <wp:positionH relativeFrom="margin">
              <wp:align>center</wp:align>
            </wp:positionH>
            <wp:positionV relativeFrom="paragraph">
              <wp:posOffset>52733</wp:posOffset>
            </wp:positionV>
            <wp:extent cx="3771900" cy="14001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png"/>
                    <pic:cNvPicPr/>
                  </pic:nvPicPr>
                  <pic:blipFill>
                    <a:blip r:embed="rId17">
                      <a:extLst>
                        <a:ext uri="{28A0092B-C50C-407E-A947-70E740481C1C}">
                          <a14:useLocalDpi xmlns:a14="http://schemas.microsoft.com/office/drawing/2010/main" val="0"/>
                        </a:ext>
                      </a:extLst>
                    </a:blip>
                    <a:stretch>
                      <a:fillRect/>
                    </a:stretch>
                  </pic:blipFill>
                  <pic:spPr>
                    <a:xfrm>
                      <a:off x="0" y="0"/>
                      <a:ext cx="3771900" cy="1400175"/>
                    </a:xfrm>
                    <a:prstGeom prst="rect">
                      <a:avLst/>
                    </a:prstGeom>
                  </pic:spPr>
                </pic:pic>
              </a:graphicData>
            </a:graphic>
          </wp:anchor>
        </w:drawing>
      </w:r>
    </w:p>
    <w:p w14:paraId="1772B983" w14:textId="5D411D85" w:rsidR="00A826AC" w:rsidRPr="00593A5F" w:rsidRDefault="00A826AC" w:rsidP="00871B59">
      <w:pPr>
        <w:spacing w:after="0" w:line="240" w:lineRule="auto"/>
        <w:rPr>
          <w:rFonts w:ascii="Verdana" w:hAnsi="Verdana" w:cs="Arial"/>
          <w:lang w:eastAsia="es-CO"/>
        </w:rPr>
      </w:pPr>
    </w:p>
    <w:p w14:paraId="7B21B32E" w14:textId="4CC31C5B" w:rsidR="00871B59" w:rsidRDefault="00871B59" w:rsidP="00871B59">
      <w:pPr>
        <w:spacing w:line="276" w:lineRule="auto"/>
        <w:jc w:val="center"/>
        <w:rPr>
          <w:rFonts w:ascii="Verdana" w:hAnsi="Verdana" w:cs="Arial"/>
          <w:color w:val="000000"/>
          <w:lang w:val="es-ES_tradnl" w:eastAsia="es-CO"/>
        </w:rPr>
      </w:pPr>
    </w:p>
    <w:p w14:paraId="7423B303" w14:textId="4F92487E" w:rsidR="00A826AC" w:rsidRDefault="00A826AC" w:rsidP="00871B59">
      <w:pPr>
        <w:spacing w:line="276" w:lineRule="auto"/>
        <w:jc w:val="center"/>
        <w:rPr>
          <w:rFonts w:ascii="Verdana" w:hAnsi="Verdana" w:cs="Arial"/>
          <w:color w:val="000000"/>
          <w:lang w:val="es-ES_tradnl" w:eastAsia="es-CO"/>
        </w:rPr>
      </w:pPr>
    </w:p>
    <w:p w14:paraId="39F3E9E8" w14:textId="5D6144D8" w:rsidR="00A826AC" w:rsidRDefault="00A826AC" w:rsidP="00871B59">
      <w:pPr>
        <w:spacing w:line="276" w:lineRule="auto"/>
        <w:jc w:val="center"/>
        <w:rPr>
          <w:rFonts w:ascii="Verdana" w:hAnsi="Verdana" w:cs="Arial"/>
          <w:color w:val="000000"/>
          <w:lang w:val="es-ES_tradnl" w:eastAsia="es-CO"/>
        </w:rPr>
      </w:pPr>
    </w:p>
    <w:p w14:paraId="779AEAF5" w14:textId="0D34A6B4" w:rsidR="00A826AC" w:rsidRDefault="00A826AC" w:rsidP="00871B59">
      <w:pPr>
        <w:spacing w:line="276" w:lineRule="auto"/>
        <w:jc w:val="center"/>
        <w:rPr>
          <w:rFonts w:ascii="Verdana" w:hAnsi="Verdana" w:cs="Arial"/>
          <w:color w:val="000000"/>
          <w:lang w:val="es-ES_tradnl" w:eastAsia="es-CO"/>
        </w:rPr>
      </w:pPr>
    </w:p>
    <w:p w14:paraId="37EBF7DF" w14:textId="7290ED7E" w:rsidR="00A826AC" w:rsidRDefault="00A826AC" w:rsidP="00871B59">
      <w:pPr>
        <w:spacing w:line="276" w:lineRule="auto"/>
        <w:jc w:val="center"/>
        <w:rPr>
          <w:rFonts w:ascii="Verdana" w:hAnsi="Verdana" w:cs="Arial"/>
          <w:color w:val="000000"/>
          <w:lang w:val="es-ES_tradnl" w:eastAsia="es-CO"/>
        </w:rPr>
      </w:pPr>
    </w:p>
    <w:p w14:paraId="3CF3DF8D" w14:textId="77777777" w:rsidR="00A826AC" w:rsidRDefault="00A826AC" w:rsidP="00871B59">
      <w:pPr>
        <w:spacing w:line="276" w:lineRule="auto"/>
        <w:jc w:val="center"/>
        <w:rPr>
          <w:rFonts w:ascii="Verdana" w:hAnsi="Verdana" w:cs="Arial"/>
          <w:color w:val="000000"/>
          <w:lang w:val="es-ES_tradnl" w:eastAsia="es-CO"/>
        </w:rPr>
      </w:pPr>
    </w:p>
    <w:p w14:paraId="75F5E982" w14:textId="77777777" w:rsidR="00A826AC" w:rsidRPr="00593A5F" w:rsidRDefault="00A826AC" w:rsidP="00871B59">
      <w:pPr>
        <w:spacing w:line="276" w:lineRule="auto"/>
        <w:jc w:val="center"/>
        <w:rPr>
          <w:rFonts w:ascii="Verdana" w:hAnsi="Verdana" w:cs="Arial"/>
          <w:color w:val="000000"/>
          <w:lang w:val="es-ES_tradnl"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871B59" w:rsidRPr="00593A5F" w14:paraId="2A20789D" w14:textId="77777777" w:rsidTr="002607A7">
        <w:trPr>
          <w:trHeight w:val="315"/>
        </w:trPr>
        <w:tc>
          <w:tcPr>
            <w:tcW w:w="893" w:type="dxa"/>
            <w:vAlign w:val="center"/>
            <w:hideMark/>
          </w:tcPr>
          <w:p w14:paraId="56E3D941" w14:textId="77777777" w:rsidR="00871B59" w:rsidRPr="003751C7" w:rsidRDefault="00871B59" w:rsidP="002607A7">
            <w:pPr>
              <w:contextualSpacing/>
              <w:rPr>
                <w:rFonts w:ascii="Verdana" w:hAnsi="Verdana" w:cs="Arial"/>
                <w:sz w:val="16"/>
                <w:szCs w:val="16"/>
                <w:lang w:val="es-ES" w:eastAsia="es-ES"/>
              </w:rPr>
            </w:pPr>
            <w:r w:rsidRPr="003751C7">
              <w:rPr>
                <w:rFonts w:ascii="Verdana" w:hAnsi="Verdana" w:cs="Arial"/>
                <w:sz w:val="16"/>
                <w:szCs w:val="16"/>
                <w:lang w:val="es-ES" w:eastAsia="es-ES"/>
              </w:rPr>
              <w:lastRenderedPageBreak/>
              <w:t>Elaboró:</w:t>
            </w:r>
          </w:p>
        </w:tc>
        <w:tc>
          <w:tcPr>
            <w:tcW w:w="5628" w:type="dxa"/>
            <w:tcBorders>
              <w:top w:val="nil"/>
              <w:left w:val="nil"/>
              <w:bottom w:val="dotted" w:sz="4" w:space="0" w:color="7F7F7F" w:themeColor="text1" w:themeTint="80"/>
              <w:right w:val="nil"/>
            </w:tcBorders>
            <w:vAlign w:val="center"/>
            <w:hideMark/>
          </w:tcPr>
          <w:p w14:paraId="7E128207" w14:textId="0C823241" w:rsidR="00871B59" w:rsidRPr="00E1151D" w:rsidRDefault="00E1151D" w:rsidP="002607A7">
            <w:pPr>
              <w:contextualSpacing/>
              <w:rPr>
                <w:rFonts w:ascii="Verdana" w:eastAsia="Arial" w:hAnsi="Verdana" w:cs="Arial"/>
                <w:sz w:val="16"/>
                <w:szCs w:val="16"/>
              </w:rPr>
            </w:pPr>
            <w:r w:rsidRPr="00E1151D">
              <w:rPr>
                <w:rStyle w:val="normaltextrun"/>
                <w:rFonts w:ascii="Verdana" w:hAnsi="Verdana"/>
                <w:sz w:val="16"/>
                <w:szCs w:val="16"/>
              </w:rPr>
              <w:t>Sergio Andrés Rivera Cano</w:t>
            </w:r>
          </w:p>
          <w:p w14:paraId="27134A92" w14:textId="7DA38114" w:rsidR="00871B59" w:rsidRPr="003751C7" w:rsidRDefault="00E1151D" w:rsidP="002607A7">
            <w:pPr>
              <w:contextualSpacing/>
              <w:rPr>
                <w:rFonts w:ascii="Verdana" w:eastAsia="Arial" w:hAnsi="Verdana" w:cs="Arial"/>
                <w:sz w:val="16"/>
                <w:szCs w:val="16"/>
              </w:rPr>
            </w:pPr>
            <w:r w:rsidRPr="00E1151D">
              <w:rPr>
                <w:rStyle w:val="normaltextrun"/>
                <w:rFonts w:ascii="Verdana" w:eastAsia="Arial" w:hAnsi="Verdana" w:cs="Arial"/>
                <w:sz w:val="16"/>
                <w:szCs w:val="16"/>
              </w:rPr>
              <w:t>Contratista</w:t>
            </w:r>
            <w:r w:rsidR="00871B59" w:rsidRPr="00E1151D">
              <w:rPr>
                <w:rStyle w:val="normaltextrun"/>
                <w:rFonts w:ascii="Verdana" w:eastAsia="Arial" w:hAnsi="Verdana" w:cs="Arial"/>
                <w:sz w:val="16"/>
                <w:szCs w:val="16"/>
              </w:rPr>
              <w:t xml:space="preserve"> de la Subdirección de Gestión Contractual</w:t>
            </w:r>
          </w:p>
        </w:tc>
      </w:tr>
      <w:tr w:rsidR="00871B59" w:rsidRPr="00593A5F" w14:paraId="409BBACC" w14:textId="77777777" w:rsidTr="002607A7">
        <w:trPr>
          <w:trHeight w:val="330"/>
        </w:trPr>
        <w:tc>
          <w:tcPr>
            <w:tcW w:w="893" w:type="dxa"/>
            <w:vAlign w:val="center"/>
            <w:hideMark/>
          </w:tcPr>
          <w:p w14:paraId="3ABFF401" w14:textId="77777777" w:rsidR="00871B59" w:rsidRPr="003751C7" w:rsidRDefault="00871B59" w:rsidP="002607A7">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709BC0F" w14:textId="77777777" w:rsidR="00DC6BD8" w:rsidRPr="00DC6BD8" w:rsidRDefault="00DC6BD8" w:rsidP="002607A7">
            <w:pPr>
              <w:pStyle w:val="paragraph"/>
              <w:spacing w:before="0" w:beforeAutospacing="0" w:after="0" w:afterAutospacing="0"/>
              <w:contextualSpacing/>
              <w:textAlignment w:val="baseline"/>
              <w:rPr>
                <w:rStyle w:val="normaltextrun"/>
                <w:rFonts w:cs="Arial"/>
                <w:sz w:val="16"/>
                <w:szCs w:val="16"/>
                <w:lang w:val="es-ES"/>
              </w:rPr>
            </w:pPr>
            <w:r w:rsidRPr="00DC6BD8">
              <w:rPr>
                <w:rStyle w:val="normaltextrun"/>
                <w:rFonts w:ascii="Verdana" w:hAnsi="Verdana" w:cs="Arial"/>
                <w:sz w:val="16"/>
                <w:szCs w:val="16"/>
                <w:lang w:val="es-ES"/>
              </w:rPr>
              <w:t xml:space="preserve">Libardo Alberto Verjel De Filippis </w:t>
            </w:r>
          </w:p>
          <w:p w14:paraId="408B71DB" w14:textId="0974DFD4" w:rsidR="00871B59" w:rsidRPr="003751C7" w:rsidRDefault="00DC6BD8" w:rsidP="002607A7">
            <w:pPr>
              <w:pStyle w:val="paragraph"/>
              <w:spacing w:before="0" w:beforeAutospacing="0" w:after="0" w:afterAutospacing="0"/>
              <w:contextualSpacing/>
              <w:textAlignment w:val="baseline"/>
              <w:rPr>
                <w:rFonts w:ascii="Verdana" w:hAnsi="Verdana" w:cs="Segoe UI"/>
                <w:sz w:val="16"/>
                <w:szCs w:val="16"/>
              </w:rPr>
            </w:pPr>
            <w:r w:rsidRPr="00DC6BD8">
              <w:rPr>
                <w:rStyle w:val="normaltextrun"/>
                <w:rFonts w:ascii="Verdana" w:hAnsi="Verdana" w:cs="Arial"/>
                <w:sz w:val="16"/>
                <w:szCs w:val="16"/>
                <w:lang w:val="es-ES"/>
              </w:rPr>
              <w:t xml:space="preserve">Experto G3-08 </w:t>
            </w:r>
            <w:r w:rsidR="00871B59" w:rsidRPr="00DC6BD8">
              <w:rPr>
                <w:rStyle w:val="normaltextrun"/>
                <w:rFonts w:ascii="Verdana" w:hAnsi="Verdana" w:cs="Arial"/>
                <w:sz w:val="16"/>
                <w:szCs w:val="16"/>
                <w:lang w:val="es-ES"/>
              </w:rPr>
              <w:t>de la Subdirección de Gestión Contractual</w:t>
            </w:r>
            <w:r w:rsidR="00871B59" w:rsidRPr="00DC6BD8">
              <w:rPr>
                <w:rStyle w:val="eop"/>
                <w:rFonts w:ascii="Verdana" w:hAnsi="Verdana" w:cs="Arial"/>
                <w:sz w:val="16"/>
                <w:szCs w:val="16"/>
              </w:rPr>
              <w:t> </w:t>
            </w:r>
          </w:p>
        </w:tc>
      </w:tr>
      <w:tr w:rsidR="00871B59" w:rsidRPr="00593A5F" w14:paraId="2A81CFC8" w14:textId="77777777" w:rsidTr="002607A7">
        <w:trPr>
          <w:trHeight w:val="300"/>
        </w:trPr>
        <w:tc>
          <w:tcPr>
            <w:tcW w:w="893" w:type="dxa"/>
            <w:vAlign w:val="center"/>
          </w:tcPr>
          <w:p w14:paraId="3159EE97" w14:textId="77777777" w:rsidR="00871B59" w:rsidRPr="003751C7" w:rsidRDefault="00871B59" w:rsidP="002607A7">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222DF76" w14:textId="77777777" w:rsidR="00871B59" w:rsidRPr="003751C7" w:rsidRDefault="00871B59" w:rsidP="002607A7">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Carolina Quintero Gacharná</w:t>
            </w:r>
          </w:p>
          <w:p w14:paraId="6EE38C14" w14:textId="77777777" w:rsidR="00871B59" w:rsidRPr="003751C7" w:rsidRDefault="00871B59" w:rsidP="002607A7">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Contractual ANCP – CCE</w:t>
            </w:r>
          </w:p>
        </w:tc>
      </w:tr>
    </w:tbl>
    <w:p w14:paraId="510CF084" w14:textId="77777777" w:rsidR="00871B59" w:rsidRPr="00593A5F" w:rsidRDefault="00871B59" w:rsidP="00A826AC">
      <w:pPr>
        <w:spacing w:after="0" w:line="240" w:lineRule="auto"/>
        <w:rPr>
          <w:rFonts w:ascii="Verdana" w:eastAsia="Times New Roman" w:hAnsi="Verdana" w:cs="Arial"/>
          <w:sz w:val="24"/>
          <w:szCs w:val="24"/>
          <w:lang w:eastAsia="es-ES"/>
        </w:rPr>
      </w:pPr>
    </w:p>
    <w:sectPr w:rsidR="00871B59" w:rsidRPr="00593A5F" w:rsidSect="00E45F4B">
      <w:headerReference w:type="default" r:id="rId18"/>
      <w:footerReference w:type="default" r:id="rId1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365D0" w14:textId="77777777" w:rsidR="00F377BB" w:rsidRDefault="00F377BB" w:rsidP="00B30448">
      <w:pPr>
        <w:spacing w:after="0" w:line="240" w:lineRule="auto"/>
      </w:pPr>
      <w:r>
        <w:separator/>
      </w:r>
    </w:p>
  </w:endnote>
  <w:endnote w:type="continuationSeparator" w:id="0">
    <w:p w14:paraId="7628ED3E" w14:textId="77777777" w:rsidR="00F377BB" w:rsidRDefault="00F377BB" w:rsidP="00B30448">
      <w:pPr>
        <w:spacing w:after="0" w:line="240" w:lineRule="auto"/>
      </w:pPr>
      <w:r>
        <w:continuationSeparator/>
      </w:r>
    </w:p>
  </w:endnote>
  <w:endnote w:type="continuationNotice" w:id="1">
    <w:p w14:paraId="0FA97BB8" w14:textId="77777777" w:rsidR="00F377BB" w:rsidRDefault="00F377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Geomanist Light">
    <w:altName w:val="Calibri"/>
    <w:charset w:val="4D"/>
    <w:family w:val="auto"/>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38754" w14:textId="77777777" w:rsidR="00F377BB" w:rsidRDefault="00F377BB" w:rsidP="00B30448">
      <w:pPr>
        <w:spacing w:after="0" w:line="240" w:lineRule="auto"/>
      </w:pPr>
      <w:r>
        <w:separator/>
      </w:r>
    </w:p>
  </w:footnote>
  <w:footnote w:type="continuationSeparator" w:id="0">
    <w:p w14:paraId="218BCC99" w14:textId="77777777" w:rsidR="00F377BB" w:rsidRDefault="00F377BB" w:rsidP="00B30448">
      <w:pPr>
        <w:spacing w:after="0" w:line="240" w:lineRule="auto"/>
      </w:pPr>
      <w:r>
        <w:continuationSeparator/>
      </w:r>
    </w:p>
  </w:footnote>
  <w:footnote w:type="continuationNotice" w:id="1">
    <w:p w14:paraId="06A3BC4F" w14:textId="77777777" w:rsidR="00F377BB" w:rsidRDefault="00F377BB">
      <w:pPr>
        <w:spacing w:after="0" w:line="240" w:lineRule="auto"/>
      </w:pPr>
    </w:p>
  </w:footnote>
  <w:footnote w:id="2">
    <w:p w14:paraId="6E2A8CFD" w14:textId="2CDA2236" w:rsidR="008E52AC" w:rsidRPr="00B0312D" w:rsidRDefault="008E52AC" w:rsidP="008E52AC">
      <w:pPr>
        <w:pStyle w:val="Textonotapie"/>
        <w:ind w:firstLine="709"/>
        <w:jc w:val="both"/>
        <w:rPr>
          <w:rFonts w:ascii="Verdana" w:hAnsi="Verdana"/>
          <w:sz w:val="11"/>
          <w:szCs w:val="11"/>
        </w:rPr>
      </w:pPr>
      <w:r w:rsidRPr="00B0312D">
        <w:rPr>
          <w:rStyle w:val="Refdenotaalpie"/>
          <w:rFonts w:ascii="Verdana" w:hAnsi="Verdana"/>
          <w:sz w:val="11"/>
          <w:szCs w:val="11"/>
        </w:rPr>
        <w:footnoteRef/>
      </w:r>
      <w:r w:rsidR="00B0312D">
        <w:rPr>
          <w:rFonts w:ascii="Verdana" w:hAnsi="Verdana"/>
          <w:color w:val="000000" w:themeColor="text1"/>
          <w:sz w:val="11"/>
          <w:szCs w:val="11"/>
        </w:rPr>
        <w:t>“</w:t>
      </w:r>
      <w:r w:rsidRPr="00B0312D">
        <w:rPr>
          <w:rFonts w:ascii="Verdana" w:hAnsi="Verdana"/>
          <w:sz w:val="11"/>
          <w:szCs w:val="11"/>
        </w:rPr>
        <w:t>Ver, entre otros: Consejo de Estado. Sala Plena de lo Contencioso Administrativo. Sentencia del 8 de agosto de 2001. Rad. AC-10966 - AC-11274; y Sala de lo Contencioso Administrativo - Sección Tercera. Providencias del 13 de septiembre de 1999. Rad. 10607; del 13 de julio de 2000. Rad. 12513; del 10 de noviembre de 2000. Rad. 18709; del 22 de junio de 2001. Rad. 12136; del 11 de diciembre de 2003. Rad. 25000-23-26-000-1993-08696-01(13348); del 19 de agosto de 2004. Rad. 25000-23-26-000-1994-00114-01(14111)</w:t>
      </w:r>
      <w:r w:rsidR="00B0312D">
        <w:rPr>
          <w:rFonts w:ascii="Verdana" w:hAnsi="Verdana"/>
          <w:color w:val="000000" w:themeColor="text1"/>
          <w:sz w:val="11"/>
          <w:szCs w:val="11"/>
        </w:rPr>
        <w:t>”</w:t>
      </w:r>
      <w:r w:rsidRPr="00B0312D">
        <w:rPr>
          <w:rFonts w:ascii="Verdana" w:hAnsi="Verdana"/>
          <w:color w:val="000000" w:themeColor="text1"/>
          <w:sz w:val="11"/>
          <w:szCs w:val="11"/>
        </w:rPr>
        <w:t>.</w:t>
      </w:r>
      <w:r w:rsidRPr="00B0312D">
        <w:rPr>
          <w:rFonts w:ascii="Verdana" w:hAnsi="Verdana"/>
          <w:sz w:val="11"/>
          <w:szCs w:val="11"/>
        </w:rPr>
        <w:t xml:space="preserve"> Citado en CONSEJO DE ESTADO. Sala de lo Contencioso Administrativo. Sección Tercera – Subsección A. Sentencia del 16 de mayo de 2019. Rad. (40102). C.P: María Adriana Marín [cita No. 35]. </w:t>
      </w:r>
    </w:p>
  </w:footnote>
  <w:footnote w:id="3">
    <w:p w14:paraId="716FA79D" w14:textId="77777777" w:rsidR="008E52AC" w:rsidRPr="00B0312D" w:rsidRDefault="008E52AC" w:rsidP="008E52AC">
      <w:pPr>
        <w:pStyle w:val="Textonotapie"/>
        <w:ind w:firstLine="709"/>
        <w:jc w:val="both"/>
        <w:rPr>
          <w:rFonts w:ascii="Verdana" w:hAnsi="Verdana"/>
          <w:sz w:val="11"/>
          <w:szCs w:val="11"/>
        </w:rPr>
      </w:pPr>
      <w:r w:rsidRPr="00B0312D">
        <w:rPr>
          <w:rStyle w:val="Refdenotaalpie"/>
          <w:rFonts w:ascii="Verdana" w:hAnsi="Verdana"/>
          <w:sz w:val="11"/>
          <w:szCs w:val="11"/>
        </w:rPr>
        <w:footnoteRef/>
      </w:r>
      <w:r w:rsidRPr="00B0312D">
        <w:rPr>
          <w:rFonts w:ascii="Verdana" w:hAnsi="Verdana"/>
          <w:sz w:val="11"/>
          <w:szCs w:val="11"/>
        </w:rPr>
        <w:t xml:space="preserve"> CONSEJO DE ESTADO. Sala de lo Contencioso Administrativo. Sección Tercera – Subsección A. Sentencia del 16 de mayo de 2019. Rad. (40102). C.P: María Adriana Marín</w:t>
      </w:r>
    </w:p>
  </w:footnote>
  <w:footnote w:id="4">
    <w:p w14:paraId="637E2CD7" w14:textId="77777777" w:rsidR="008E52AC" w:rsidRPr="00B0312D" w:rsidRDefault="008E52AC" w:rsidP="002A2EBF">
      <w:pPr>
        <w:pStyle w:val="Textonotapie"/>
        <w:ind w:firstLine="709"/>
        <w:jc w:val="both"/>
        <w:rPr>
          <w:rFonts w:ascii="Verdana" w:hAnsi="Verdana"/>
          <w:sz w:val="11"/>
          <w:szCs w:val="11"/>
          <w:lang w:val="es-CO"/>
        </w:rPr>
      </w:pPr>
      <w:r w:rsidRPr="00B0312D">
        <w:rPr>
          <w:rStyle w:val="Refdenotaalpie"/>
          <w:rFonts w:ascii="Verdana" w:hAnsi="Verdana"/>
          <w:sz w:val="11"/>
          <w:szCs w:val="11"/>
        </w:rPr>
        <w:footnoteRef/>
      </w:r>
      <w:r w:rsidRPr="00B0312D">
        <w:rPr>
          <w:rFonts w:ascii="Verdana" w:hAnsi="Verdana"/>
          <w:sz w:val="11"/>
          <w:szCs w:val="11"/>
        </w:rPr>
        <w:t xml:space="preserve"> CONSEJO DE ESTADO. Sala de lo Contencioso Administrativo. Sección Tercera – Subsección C. Sentencia del 2 de octubre del 2020. Rad. 63644. CP. Jaime Enrique Rodríguez Nava. </w:t>
      </w:r>
    </w:p>
  </w:footnote>
  <w:footnote w:id="5">
    <w:p w14:paraId="7A8B2937" w14:textId="77777777" w:rsidR="008E52AC" w:rsidRPr="00B0312D" w:rsidRDefault="008E52AC" w:rsidP="002A2EBF">
      <w:pPr>
        <w:pStyle w:val="Textonotapie"/>
        <w:ind w:firstLine="709"/>
        <w:rPr>
          <w:rFonts w:ascii="Verdana" w:hAnsi="Verdana"/>
          <w:sz w:val="11"/>
          <w:szCs w:val="11"/>
        </w:rPr>
      </w:pPr>
      <w:r w:rsidRPr="00B0312D">
        <w:rPr>
          <w:rStyle w:val="Refdenotaalpie"/>
          <w:rFonts w:ascii="Verdana" w:hAnsi="Verdana"/>
          <w:sz w:val="11"/>
          <w:szCs w:val="11"/>
        </w:rPr>
        <w:footnoteRef/>
      </w:r>
      <w:r w:rsidRPr="00B0312D">
        <w:rPr>
          <w:rFonts w:ascii="Verdana" w:hAnsi="Verdana"/>
          <w:sz w:val="11"/>
          <w:szCs w:val="11"/>
        </w:rPr>
        <w:t xml:space="preserve"> </w:t>
      </w:r>
      <w:r w:rsidRPr="00B0312D">
        <w:rPr>
          <w:rFonts w:ascii="Verdana" w:hAnsi="Verdana"/>
          <w:color w:val="000000" w:themeColor="text1"/>
          <w:sz w:val="11"/>
          <w:szCs w:val="11"/>
        </w:rPr>
        <w:t>CONSEJO DE ESTADO. Sección Tercera. Sentencia de 22 de junio de 2001. Exp. 13436, C.P. Ricardo Hoyos Duque</w:t>
      </w:r>
    </w:p>
  </w:footnote>
  <w:footnote w:id="6">
    <w:p w14:paraId="47B91F83" w14:textId="08F847D2" w:rsidR="008E52AC" w:rsidRPr="00B0312D" w:rsidRDefault="008E52AC" w:rsidP="002A2EBF">
      <w:pPr>
        <w:pStyle w:val="Textonotapie"/>
        <w:ind w:firstLine="709"/>
        <w:jc w:val="both"/>
        <w:rPr>
          <w:rFonts w:ascii="Verdana" w:hAnsi="Verdana"/>
          <w:sz w:val="11"/>
          <w:szCs w:val="11"/>
        </w:rPr>
      </w:pPr>
      <w:r w:rsidRPr="00B0312D">
        <w:rPr>
          <w:rStyle w:val="Refdenotaalpie"/>
          <w:rFonts w:ascii="Verdana" w:hAnsi="Verdana"/>
          <w:sz w:val="11"/>
          <w:szCs w:val="11"/>
        </w:rPr>
        <w:footnoteRef/>
      </w:r>
      <w:r w:rsidR="00B0312D">
        <w:rPr>
          <w:rFonts w:ascii="Verdana" w:hAnsi="Verdana"/>
          <w:sz w:val="11"/>
          <w:szCs w:val="11"/>
        </w:rPr>
        <w:t>“</w:t>
      </w:r>
      <w:r w:rsidRPr="00B0312D">
        <w:rPr>
          <w:rFonts w:ascii="Verdana" w:hAnsi="Verdana"/>
          <w:sz w:val="11"/>
          <w:szCs w:val="11"/>
        </w:rPr>
        <w:t>Se trata de un dinero entregado a título de crédito a favor de la entidad contratante, el cual debe ser debidamente cancelado a través de los descuentos hechos a los valores cobrados por el contratista, de modo que por medio de dicho mecanismos el dinero entregado como anticipo se convierta en parte del pago como contraprestación a la ejecución de las actividades propias del objeto pactado en virtud del contrato, siendo una práctica usual que permite impulsar la ejecución del contrato con la agilidad que requiere la administración para concluir la ejecución del objeto contratado, en aras de dar cumplimiento al mandato de una continua y eficiente prestación del servicio público a su cargo</w:t>
      </w:r>
      <w:r w:rsidR="00B0312D">
        <w:rPr>
          <w:rFonts w:ascii="Verdana" w:eastAsia="Calibri" w:hAnsi="Verdana"/>
          <w:color w:val="000000" w:themeColor="text1"/>
          <w:sz w:val="11"/>
          <w:szCs w:val="11"/>
        </w:rPr>
        <w:t>”</w:t>
      </w:r>
      <w:r w:rsidRPr="00B0312D">
        <w:rPr>
          <w:rFonts w:ascii="Verdana" w:eastAsia="Calibri" w:hAnsi="Verdana"/>
          <w:color w:val="000000" w:themeColor="text1"/>
          <w:sz w:val="11"/>
          <w:szCs w:val="11"/>
        </w:rPr>
        <w:t xml:space="preserve"> (</w:t>
      </w:r>
      <w:r w:rsidRPr="00B0312D">
        <w:rPr>
          <w:rFonts w:ascii="Verdana" w:hAnsi="Verdana"/>
          <w:sz w:val="11"/>
          <w:szCs w:val="11"/>
        </w:rPr>
        <w:t xml:space="preserve">EXPÓSITO VÉLEZ, Juan Carlos. Forma y contenido del contrato estatal. Bogotá: Universidad Externado de Colombia, 2013, p. 165-166). De igual manera, se ha expuesto que </w:t>
      </w:r>
      <w:r w:rsidR="00B0312D">
        <w:rPr>
          <w:rFonts w:ascii="Verdana" w:hAnsi="Verdana"/>
          <w:sz w:val="11"/>
          <w:szCs w:val="11"/>
        </w:rPr>
        <w:t>“</w:t>
      </w:r>
      <w:r w:rsidRPr="00B0312D">
        <w:rPr>
          <w:rFonts w:ascii="Verdana" w:hAnsi="Verdana"/>
          <w:sz w:val="11"/>
          <w:szCs w:val="11"/>
        </w:rPr>
        <w:t>Son recursos que deberán amortizarse en proporción a la ejecución del contrato pues se trata de una especie muy particular de préstamo. Lo anterior tiene consecuencias muy importantes, porque se trata de recursos públicos administrados por un particular (contratista), y en esa medida cualquier desviación de estos recursos a fines distintos a los contemplados dentro del contrato podrá propiciar las correspondientes acciones de carácter penal</w:t>
      </w:r>
      <w:r w:rsidR="00B0312D">
        <w:rPr>
          <w:rFonts w:ascii="Verdana" w:eastAsia="Calibri" w:hAnsi="Verdana"/>
          <w:color w:val="000000" w:themeColor="text1"/>
          <w:sz w:val="11"/>
          <w:szCs w:val="11"/>
        </w:rPr>
        <w:t>”</w:t>
      </w:r>
      <w:r w:rsidRPr="00B0312D">
        <w:rPr>
          <w:rFonts w:ascii="Verdana" w:hAnsi="Verdana"/>
          <w:sz w:val="11"/>
          <w:szCs w:val="11"/>
        </w:rPr>
        <w:t xml:space="preserve"> (MATALLANA CAMACHO, Ernesto. Manual de Contratación de la Administración Pública. Reforma de la Ley 80 de 1993. Bogotá: Universidad Externado de Colombia, 4 ed., 2015, p. 921 y ss).</w:t>
      </w:r>
    </w:p>
  </w:footnote>
  <w:footnote w:id="7">
    <w:p w14:paraId="0554AE5B" w14:textId="77777777" w:rsidR="008E52AC" w:rsidRPr="00B0312D" w:rsidRDefault="008E52AC" w:rsidP="008E52AC">
      <w:pPr>
        <w:spacing w:line="240" w:lineRule="auto"/>
        <w:ind w:firstLine="709"/>
        <w:rPr>
          <w:rFonts w:ascii="Verdana" w:eastAsia="Calibri" w:hAnsi="Verdana" w:cs="Calibri"/>
          <w:sz w:val="11"/>
          <w:szCs w:val="11"/>
          <w:lang w:val="es-MX" w:eastAsia="es-ES_tradnl"/>
        </w:rPr>
      </w:pPr>
      <w:r w:rsidRPr="00B0312D">
        <w:rPr>
          <w:rStyle w:val="Refdenotaalpie"/>
          <w:rFonts w:ascii="Verdana" w:hAnsi="Verdana"/>
          <w:sz w:val="11"/>
          <w:szCs w:val="11"/>
        </w:rPr>
        <w:footnoteRef/>
      </w:r>
      <w:r w:rsidRPr="00B0312D">
        <w:rPr>
          <w:rFonts w:ascii="Verdana" w:hAnsi="Verdana"/>
          <w:sz w:val="11"/>
          <w:szCs w:val="11"/>
        </w:rPr>
        <w:t xml:space="preserve"> Consejo de Estado. Sala Plena de lo Contencioso Administrativo. Sentencia del 8 de agosto de 2001. Exp. AC-10966 - AC-11274. Consejero Ponente: Reinaldo Chavarro Buriticá.</w:t>
      </w:r>
    </w:p>
    <w:p w14:paraId="1CB18EEF" w14:textId="77777777" w:rsidR="008E52AC" w:rsidRPr="00B0312D" w:rsidRDefault="008E52AC" w:rsidP="008E52AC">
      <w:pPr>
        <w:spacing w:line="240" w:lineRule="auto"/>
        <w:ind w:firstLine="709"/>
        <w:rPr>
          <w:rFonts w:ascii="Verdana" w:hAnsi="Verdana"/>
          <w:sz w:val="11"/>
          <w:szCs w:val="11"/>
        </w:rPr>
      </w:pPr>
    </w:p>
  </w:footnote>
  <w:footnote w:id="8">
    <w:p w14:paraId="62C5314D" w14:textId="77777777" w:rsidR="008E52AC" w:rsidRPr="00B0312D" w:rsidRDefault="008E52AC" w:rsidP="008E52AC">
      <w:pPr>
        <w:pStyle w:val="Sinespaciado"/>
        <w:ind w:firstLine="708"/>
        <w:jc w:val="both"/>
        <w:rPr>
          <w:rFonts w:ascii="Verdana" w:hAnsi="Verdana" w:cs="Arial"/>
          <w:sz w:val="11"/>
          <w:szCs w:val="11"/>
        </w:rPr>
      </w:pPr>
      <w:r w:rsidRPr="00B0312D">
        <w:rPr>
          <w:rStyle w:val="Refdenotaalpie"/>
          <w:rFonts w:ascii="Verdana" w:hAnsi="Verdana" w:cs="Arial"/>
          <w:sz w:val="11"/>
          <w:szCs w:val="11"/>
        </w:rPr>
        <w:footnoteRef/>
      </w:r>
      <w:r w:rsidRPr="00B0312D">
        <w:rPr>
          <w:rFonts w:ascii="Verdana" w:hAnsi="Verdana"/>
          <w:sz w:val="11"/>
          <w:szCs w:val="11"/>
        </w:rPr>
        <w:t xml:space="preserve"> </w:t>
      </w:r>
      <w:r w:rsidRPr="00B0312D">
        <w:rPr>
          <w:rFonts w:ascii="Verdana" w:hAnsi="Verdana" w:cs="Arial"/>
          <w:sz w:val="11"/>
          <w:szCs w:val="11"/>
        </w:rPr>
        <w:t>ARTÍCULO 2.2.1.2.3.1.7. Garantía de cumplimiento. La garantía de cumplimiento del contrato debe cubrir:</w:t>
      </w:r>
    </w:p>
    <w:p w14:paraId="420145F1" w14:textId="06624732" w:rsidR="008E52AC" w:rsidRPr="00B0312D" w:rsidRDefault="008E52AC" w:rsidP="008E52AC">
      <w:pPr>
        <w:pStyle w:val="Sinespaciado"/>
        <w:ind w:firstLine="708"/>
        <w:jc w:val="both"/>
        <w:rPr>
          <w:rFonts w:ascii="Verdana" w:hAnsi="Verdana" w:cs="Arial"/>
          <w:sz w:val="11"/>
          <w:szCs w:val="11"/>
        </w:rPr>
      </w:pPr>
      <w:r w:rsidRPr="00B0312D">
        <w:rPr>
          <w:rFonts w:ascii="Verdana" w:hAnsi="Verdana" w:cs="Arial"/>
          <w:sz w:val="11"/>
          <w:szCs w:val="11"/>
        </w:rPr>
        <w:t>1. Buen manejo y correcta inversión del anticipo. Este amparo cubre los perjuicios sufridos por la Entidad Estatal con ocasión de: (i) la no inversión del anticipo; (ii) el uso indebido del anticipo; y (iii) la apropiación indebida de los recursos recibidos en calidad de anticipo.</w:t>
      </w:r>
    </w:p>
    <w:p w14:paraId="45E508C4" w14:textId="51CED22F" w:rsidR="008E52AC" w:rsidRPr="00B0312D" w:rsidRDefault="008E52AC" w:rsidP="008E52AC">
      <w:pPr>
        <w:pStyle w:val="Sinespaciado"/>
        <w:ind w:firstLine="708"/>
        <w:jc w:val="both"/>
        <w:rPr>
          <w:rFonts w:ascii="Verdana" w:hAnsi="Verdana" w:cs="Arial"/>
          <w:sz w:val="11"/>
          <w:szCs w:val="11"/>
        </w:rPr>
      </w:pPr>
      <w:r w:rsidRPr="00B0312D">
        <w:rPr>
          <w:rFonts w:ascii="Verdana" w:hAnsi="Verdana" w:cs="Arial"/>
          <w:sz w:val="11"/>
          <w:szCs w:val="11"/>
        </w:rPr>
        <w:t>2. Devolución del pago anticipado. Este amparo cubre los perjuicios sufridos por la Entidad Estatal por la no devolución total o parcial del dinero entregado al contratista a título de pago anticipado, cuando a ello hubiere lugar.</w:t>
      </w:r>
    </w:p>
    <w:p w14:paraId="7E8E155A" w14:textId="37E7F3FE" w:rsidR="008E52AC" w:rsidRPr="00B0312D" w:rsidRDefault="008E52AC" w:rsidP="008E52AC">
      <w:pPr>
        <w:pStyle w:val="Sinespaciado"/>
        <w:ind w:firstLine="708"/>
        <w:jc w:val="both"/>
        <w:rPr>
          <w:rFonts w:ascii="Verdana" w:hAnsi="Verdana" w:cs="Arial"/>
          <w:sz w:val="11"/>
          <w:szCs w:val="11"/>
        </w:rPr>
      </w:pPr>
      <w:r w:rsidRPr="00B0312D">
        <w:rPr>
          <w:rFonts w:ascii="Verdana" w:hAnsi="Verdana" w:cs="Arial"/>
          <w:sz w:val="11"/>
          <w:szCs w:val="11"/>
        </w:rPr>
        <w:t>3. Cumplimiento del contrato. Este amparo cubre a la Entidad Estatal de los perjuicios derivados de:</w:t>
      </w:r>
    </w:p>
    <w:p w14:paraId="2BD608D8" w14:textId="588833A9" w:rsidR="008E52AC" w:rsidRPr="00B0312D" w:rsidRDefault="008E52AC" w:rsidP="008E52AC">
      <w:pPr>
        <w:pStyle w:val="Sinespaciado"/>
        <w:ind w:firstLine="708"/>
        <w:jc w:val="both"/>
        <w:rPr>
          <w:rFonts w:ascii="Verdana" w:hAnsi="Verdana" w:cs="Arial"/>
          <w:sz w:val="11"/>
          <w:szCs w:val="11"/>
        </w:rPr>
      </w:pPr>
      <w:r w:rsidRPr="00B0312D">
        <w:rPr>
          <w:rFonts w:ascii="Verdana" w:hAnsi="Verdana" w:cs="Arial"/>
          <w:sz w:val="11"/>
          <w:szCs w:val="11"/>
        </w:rPr>
        <w:t>3.1. El incumplimiento total o parcial del contrato, cuando el incumplimiento es imputable al contratista;</w:t>
      </w:r>
    </w:p>
    <w:p w14:paraId="4D1E16B7" w14:textId="7C32B2CE" w:rsidR="008E52AC" w:rsidRPr="00B0312D" w:rsidRDefault="008E52AC" w:rsidP="008E52AC">
      <w:pPr>
        <w:pStyle w:val="Sinespaciado"/>
        <w:ind w:firstLine="708"/>
        <w:jc w:val="both"/>
        <w:rPr>
          <w:rFonts w:ascii="Verdana" w:hAnsi="Verdana" w:cs="Arial"/>
          <w:sz w:val="11"/>
          <w:szCs w:val="11"/>
        </w:rPr>
      </w:pPr>
      <w:r w:rsidRPr="00B0312D">
        <w:rPr>
          <w:rFonts w:ascii="Verdana" w:hAnsi="Verdana" w:cs="Arial"/>
          <w:sz w:val="11"/>
          <w:szCs w:val="11"/>
        </w:rPr>
        <w:t>3.2. El cumplimiento tardío o defectuoso del contrato, cuando el incumplimiento es imputable al contratista;</w:t>
      </w:r>
    </w:p>
    <w:p w14:paraId="165A58ED" w14:textId="400295ED" w:rsidR="008E52AC" w:rsidRPr="00B0312D" w:rsidRDefault="008E52AC" w:rsidP="008E52AC">
      <w:pPr>
        <w:pStyle w:val="Sinespaciado"/>
        <w:ind w:firstLine="708"/>
        <w:jc w:val="both"/>
        <w:rPr>
          <w:rFonts w:ascii="Verdana" w:hAnsi="Verdana" w:cs="Arial"/>
          <w:sz w:val="11"/>
          <w:szCs w:val="11"/>
        </w:rPr>
      </w:pPr>
      <w:r w:rsidRPr="00B0312D">
        <w:rPr>
          <w:rFonts w:ascii="Verdana" w:hAnsi="Verdana" w:cs="Arial"/>
          <w:sz w:val="11"/>
          <w:szCs w:val="11"/>
        </w:rPr>
        <w:t>3.3. Los daños imputables al contratista por entregas parciales de la obra, cuando el contrato no prevé entregas parciales; y</w:t>
      </w:r>
    </w:p>
    <w:p w14:paraId="23124BE6" w14:textId="3E3E8023" w:rsidR="008E52AC" w:rsidRPr="00B0312D" w:rsidRDefault="008E52AC" w:rsidP="008E52AC">
      <w:pPr>
        <w:pStyle w:val="Sinespaciado"/>
        <w:ind w:firstLine="708"/>
        <w:jc w:val="both"/>
        <w:rPr>
          <w:rFonts w:ascii="Verdana" w:hAnsi="Verdana" w:cs="Arial"/>
          <w:sz w:val="11"/>
          <w:szCs w:val="11"/>
        </w:rPr>
      </w:pPr>
      <w:r w:rsidRPr="00B0312D">
        <w:rPr>
          <w:rFonts w:ascii="Verdana" w:hAnsi="Verdana" w:cs="Arial"/>
          <w:sz w:val="11"/>
          <w:szCs w:val="11"/>
        </w:rPr>
        <w:t>3.4. El pago del valor de las multas y de la cláusula penal pecuniaria.</w:t>
      </w:r>
    </w:p>
    <w:p w14:paraId="0FF67B31" w14:textId="7EC68CC9" w:rsidR="008E52AC" w:rsidRPr="00B0312D" w:rsidRDefault="008E52AC" w:rsidP="008E52AC">
      <w:pPr>
        <w:pStyle w:val="Sinespaciado"/>
        <w:ind w:firstLine="708"/>
        <w:jc w:val="both"/>
        <w:rPr>
          <w:rFonts w:ascii="Verdana" w:hAnsi="Verdana" w:cs="Arial"/>
          <w:sz w:val="11"/>
          <w:szCs w:val="11"/>
        </w:rPr>
      </w:pPr>
      <w:r w:rsidRPr="00B0312D">
        <w:rPr>
          <w:rFonts w:ascii="Verdana" w:hAnsi="Verdana" w:cs="Arial"/>
          <w:sz w:val="11"/>
          <w:szCs w:val="11"/>
        </w:rPr>
        <w:t>4. Pago de salarios, prestaciones sociales legales e indemnizaciones laborales. Este amparo debe cubrir a la Entidad Estatal de los perjuicios ocasionados por el incumplimiento de las obligaciones laborales del contratista derivadas de la contratación del personal utilizado en el territorio nacional para la ejecución del contrato amparado.</w:t>
      </w:r>
    </w:p>
    <w:p w14:paraId="7DE0C8F6" w14:textId="22140590" w:rsidR="008E52AC" w:rsidRPr="00B0312D" w:rsidRDefault="008E52AC" w:rsidP="008E52AC">
      <w:pPr>
        <w:pStyle w:val="Sinespaciado"/>
        <w:ind w:firstLine="708"/>
        <w:jc w:val="both"/>
        <w:rPr>
          <w:rFonts w:ascii="Verdana" w:hAnsi="Verdana" w:cs="Arial"/>
          <w:sz w:val="11"/>
          <w:szCs w:val="11"/>
        </w:rPr>
      </w:pPr>
      <w:r w:rsidRPr="00B0312D">
        <w:rPr>
          <w:rFonts w:ascii="Verdana" w:hAnsi="Verdana" w:cs="Arial"/>
          <w:sz w:val="11"/>
          <w:szCs w:val="11"/>
        </w:rPr>
        <w:t>La Entidad Estatal no debe exigir una garantía para cubrir este Riesgo en los contratos que se ejecuten fuera del territorio nacional con personal contratado bajo un régimen jurídico distinto al colombiano.</w:t>
      </w:r>
    </w:p>
    <w:p w14:paraId="338A6E1E" w14:textId="6E58C05B" w:rsidR="008E52AC" w:rsidRPr="00B0312D" w:rsidRDefault="008E52AC" w:rsidP="00B0312D">
      <w:pPr>
        <w:pStyle w:val="Sinespaciado"/>
        <w:ind w:firstLine="708"/>
        <w:jc w:val="both"/>
        <w:rPr>
          <w:rFonts w:ascii="Verdana" w:eastAsia="Calibri" w:hAnsi="Verdana" w:cs="Arial"/>
          <w:sz w:val="11"/>
          <w:szCs w:val="11"/>
          <w:lang w:val="es-ES"/>
        </w:rPr>
      </w:pPr>
      <w:r w:rsidRPr="00B0312D">
        <w:rPr>
          <w:rFonts w:ascii="Verdana" w:hAnsi="Verdana" w:cs="Arial"/>
          <w:sz w:val="11"/>
          <w:szCs w:val="11"/>
        </w:rPr>
        <w:t>5. Estabilidad y calidad de la obra. Este amparo cubre a la Entidad Estatal de los perjuicios ocasionados por cualquier tipo de daño o deterioro, imputable al contratista, sufrido por la obra entregada a satisfacción.</w:t>
      </w:r>
    </w:p>
    <w:p w14:paraId="60AF4C57" w14:textId="5DD84D3B" w:rsidR="008E52AC" w:rsidRPr="00B0312D" w:rsidRDefault="008E52AC" w:rsidP="008E52AC">
      <w:pPr>
        <w:pStyle w:val="Sinespaciado"/>
        <w:ind w:firstLine="708"/>
        <w:jc w:val="both"/>
        <w:rPr>
          <w:rFonts w:ascii="Verdana" w:hAnsi="Verdana" w:cs="Arial"/>
          <w:sz w:val="11"/>
          <w:szCs w:val="11"/>
        </w:rPr>
      </w:pPr>
      <w:r w:rsidRPr="00B0312D">
        <w:rPr>
          <w:rFonts w:ascii="Verdana" w:hAnsi="Verdana" w:cs="Arial"/>
          <w:sz w:val="11"/>
          <w:szCs w:val="11"/>
        </w:rPr>
        <w:t>6. Calidad del servicio. Este amparo cubre a la Entidad Estatal por los perjuicios derivados de la deficiente calidad del servicio prestado.</w:t>
      </w:r>
    </w:p>
    <w:p w14:paraId="40107E79" w14:textId="4E17B91C" w:rsidR="008E52AC" w:rsidRPr="00B0312D" w:rsidRDefault="008E52AC" w:rsidP="008E52AC">
      <w:pPr>
        <w:pStyle w:val="Sinespaciado"/>
        <w:ind w:firstLine="708"/>
        <w:jc w:val="both"/>
        <w:rPr>
          <w:rFonts w:ascii="Verdana" w:hAnsi="Verdana" w:cs="Arial"/>
          <w:sz w:val="11"/>
          <w:szCs w:val="11"/>
        </w:rPr>
      </w:pPr>
      <w:r w:rsidRPr="00B0312D">
        <w:rPr>
          <w:rFonts w:ascii="Verdana" w:hAnsi="Verdana" w:cs="Arial"/>
          <w:sz w:val="11"/>
          <w:szCs w:val="11"/>
        </w:rPr>
        <w:t>7. Calidad y correcto funcionamiento de los bienes. Este amparo debe cubrir la calidad y el correcto funcionamiento de los bienes que recibe la Entidad Estatal en cumplimiento de un contrato.</w:t>
      </w:r>
    </w:p>
    <w:p w14:paraId="53D0ABC4" w14:textId="7F25377E" w:rsidR="008E52AC" w:rsidRPr="00B0312D" w:rsidRDefault="008E52AC" w:rsidP="008E52AC">
      <w:pPr>
        <w:pStyle w:val="Sinespaciado"/>
        <w:ind w:firstLine="708"/>
        <w:jc w:val="both"/>
        <w:rPr>
          <w:rFonts w:ascii="Verdana" w:hAnsi="Verdana" w:cs="Arial"/>
          <w:sz w:val="11"/>
          <w:szCs w:val="11"/>
          <w:lang w:val="es-CO"/>
        </w:rPr>
      </w:pPr>
      <w:r w:rsidRPr="00B0312D">
        <w:rPr>
          <w:rFonts w:ascii="Verdana" w:hAnsi="Verdana" w:cs="Arial"/>
          <w:sz w:val="11"/>
          <w:szCs w:val="11"/>
        </w:rPr>
        <w:t>8. Los demás incumplimientos de obligaciones que la Entidad Estatal considere deben ser amparados de manera proporcional y acorde a la naturaleza del contrato.</w:t>
      </w:r>
    </w:p>
  </w:footnote>
  <w:footnote w:id="9">
    <w:p w14:paraId="20A63978" w14:textId="77777777" w:rsidR="0076276E" w:rsidRPr="00B0312D" w:rsidRDefault="0076276E" w:rsidP="0076276E">
      <w:pPr>
        <w:pStyle w:val="Textonotapie"/>
        <w:ind w:firstLine="708"/>
        <w:jc w:val="both"/>
        <w:rPr>
          <w:rFonts w:ascii="Verdana" w:hAnsi="Verdana" w:cs="Arial"/>
          <w:sz w:val="11"/>
          <w:szCs w:val="11"/>
          <w:lang w:val="es-CO"/>
        </w:rPr>
      </w:pPr>
      <w:r w:rsidRPr="00B0312D">
        <w:rPr>
          <w:rStyle w:val="Refdenotaalpie"/>
          <w:rFonts w:ascii="Verdana" w:hAnsi="Verdana" w:cs="Arial"/>
          <w:sz w:val="11"/>
          <w:szCs w:val="11"/>
        </w:rPr>
        <w:footnoteRef/>
      </w:r>
      <w:r w:rsidRPr="00B0312D">
        <w:rPr>
          <w:rFonts w:ascii="Verdana" w:hAnsi="Verdana" w:cs="Arial"/>
          <w:sz w:val="11"/>
          <w:szCs w:val="11"/>
        </w:rPr>
        <w:t xml:space="preserve"> </w:t>
      </w:r>
      <w:r w:rsidRPr="00B0312D">
        <w:rPr>
          <w:rFonts w:ascii="Verdana" w:hAnsi="Verdana" w:cs="Arial"/>
          <w:color w:val="000000" w:themeColor="text1"/>
          <w:sz w:val="11"/>
          <w:szCs w:val="11"/>
        </w:rPr>
        <w:t>El artículo 40 de la Ley 80 de 1993 dispone que los contratos no podrán adicionarse en más del 50% de su valor inicial, expresado en SMLMV.</w:t>
      </w:r>
    </w:p>
    <w:p w14:paraId="23F76618" w14:textId="77777777" w:rsidR="0076276E" w:rsidRPr="00B0312D" w:rsidRDefault="0076276E" w:rsidP="0076276E">
      <w:pPr>
        <w:pStyle w:val="Textonotapie"/>
        <w:ind w:firstLine="708"/>
        <w:jc w:val="both"/>
        <w:rPr>
          <w:rFonts w:ascii="Verdana" w:hAnsi="Verdana" w:cs="Arial"/>
          <w:sz w:val="11"/>
          <w:szCs w:val="11"/>
          <w:lang w:val="es-CO"/>
        </w:rPr>
      </w:pPr>
    </w:p>
  </w:footnote>
  <w:footnote w:id="10">
    <w:p w14:paraId="4AD8649B" w14:textId="77777777" w:rsidR="000C0708" w:rsidRPr="00B0312D" w:rsidRDefault="000C0708" w:rsidP="000C0708">
      <w:pPr>
        <w:pStyle w:val="Textonotapie"/>
        <w:ind w:firstLine="708"/>
        <w:jc w:val="both"/>
        <w:rPr>
          <w:rFonts w:ascii="Verdana" w:hAnsi="Verdana" w:cs="Arial"/>
          <w:color w:val="000000" w:themeColor="text1"/>
          <w:sz w:val="11"/>
          <w:szCs w:val="11"/>
        </w:rPr>
      </w:pPr>
      <w:r w:rsidRPr="00B0312D">
        <w:rPr>
          <w:rStyle w:val="Refdenotaalpie"/>
          <w:rFonts w:ascii="Verdana" w:hAnsi="Verdana" w:cs="Arial"/>
          <w:sz w:val="11"/>
          <w:szCs w:val="11"/>
        </w:rPr>
        <w:footnoteRef/>
      </w:r>
      <w:r w:rsidRPr="00B0312D">
        <w:rPr>
          <w:rFonts w:ascii="Verdana" w:hAnsi="Verdana" w:cs="Arial"/>
          <w:sz w:val="11"/>
          <w:szCs w:val="11"/>
        </w:rPr>
        <w:t xml:space="preserve"> </w:t>
      </w:r>
      <w:r w:rsidRPr="00B0312D">
        <w:rPr>
          <w:rFonts w:ascii="Verdana" w:hAnsi="Verdana" w:cs="Arial"/>
          <w:color w:val="000000" w:themeColor="text1"/>
          <w:sz w:val="11"/>
          <w:szCs w:val="11"/>
        </w:rPr>
        <w:t>Sobre la naturaleza instrumental del contrato para alcanzar los fines propios del estado social de derecho, ver la sentencia C-932 de 2007, M.P. Marco Gerardo Monroy Cabra.</w:t>
      </w:r>
    </w:p>
    <w:p w14:paraId="6A9867EC" w14:textId="77777777" w:rsidR="000C0708" w:rsidRPr="00B0312D" w:rsidRDefault="000C0708" w:rsidP="000C0708">
      <w:pPr>
        <w:pStyle w:val="Textonotapie"/>
        <w:ind w:firstLine="708"/>
        <w:jc w:val="both"/>
        <w:rPr>
          <w:rFonts w:ascii="Verdana" w:hAnsi="Verdana" w:cs="Arial"/>
          <w:sz w:val="11"/>
          <w:szCs w:val="11"/>
        </w:rPr>
      </w:pPr>
    </w:p>
  </w:footnote>
  <w:footnote w:id="11">
    <w:p w14:paraId="73D7ABDD" w14:textId="77777777" w:rsidR="000C0708" w:rsidRPr="00B0312D" w:rsidRDefault="000C0708" w:rsidP="000C0708">
      <w:pPr>
        <w:pStyle w:val="Textonotapie"/>
        <w:ind w:firstLine="708"/>
        <w:jc w:val="both"/>
        <w:rPr>
          <w:rFonts w:ascii="Verdana" w:hAnsi="Verdana" w:cs="Arial"/>
          <w:sz w:val="11"/>
          <w:szCs w:val="11"/>
        </w:rPr>
      </w:pPr>
      <w:r w:rsidRPr="00B0312D">
        <w:rPr>
          <w:rStyle w:val="Refdenotaalpie"/>
          <w:rFonts w:ascii="Verdana" w:hAnsi="Verdana" w:cs="Arial"/>
          <w:sz w:val="11"/>
          <w:szCs w:val="11"/>
        </w:rPr>
        <w:footnoteRef/>
      </w:r>
      <w:r w:rsidRPr="00B0312D">
        <w:rPr>
          <w:rFonts w:ascii="Verdana" w:hAnsi="Verdana" w:cs="Arial"/>
          <w:sz w:val="11"/>
          <w:szCs w:val="11"/>
        </w:rPr>
        <w:t xml:space="preserve"> M.P. Clara Inés Vargas Hernández.</w:t>
      </w:r>
    </w:p>
    <w:p w14:paraId="33E9230A" w14:textId="77777777" w:rsidR="000C0708" w:rsidRPr="00B0312D" w:rsidRDefault="000C0708" w:rsidP="000C0708">
      <w:pPr>
        <w:pStyle w:val="Textonotapie"/>
        <w:ind w:firstLine="708"/>
        <w:jc w:val="both"/>
        <w:rPr>
          <w:rFonts w:ascii="Verdana" w:hAnsi="Verdana" w:cs="Arial"/>
          <w:sz w:val="11"/>
          <w:szCs w:val="11"/>
        </w:rPr>
      </w:pPr>
    </w:p>
  </w:footnote>
  <w:footnote w:id="12">
    <w:p w14:paraId="11F203E3" w14:textId="566F4DB1" w:rsidR="000C0708" w:rsidRPr="00B0312D" w:rsidRDefault="000C0708" w:rsidP="000C0708">
      <w:pPr>
        <w:pStyle w:val="Textonotapie"/>
        <w:ind w:firstLine="708"/>
        <w:jc w:val="both"/>
        <w:rPr>
          <w:rFonts w:ascii="Verdana" w:hAnsi="Verdana" w:cs="Arial"/>
          <w:sz w:val="11"/>
          <w:szCs w:val="11"/>
        </w:rPr>
      </w:pPr>
      <w:r w:rsidRPr="00B0312D">
        <w:rPr>
          <w:rStyle w:val="Refdenotaalpie"/>
          <w:rFonts w:ascii="Verdana" w:hAnsi="Verdana" w:cs="Arial"/>
          <w:sz w:val="11"/>
          <w:szCs w:val="11"/>
        </w:rPr>
        <w:footnoteRef/>
      </w:r>
      <w:r w:rsidRPr="00B0312D">
        <w:rPr>
          <w:rFonts w:ascii="Verdana" w:hAnsi="Verdana" w:cs="Arial"/>
          <w:sz w:val="11"/>
          <w:szCs w:val="11"/>
        </w:rPr>
        <w:t xml:space="preserve"> </w:t>
      </w:r>
      <w:r w:rsidRPr="00B0312D">
        <w:rPr>
          <w:rFonts w:ascii="Verdana" w:hAnsi="Verdana" w:cs="Arial"/>
          <w:color w:val="000000" w:themeColor="text1"/>
          <w:sz w:val="11"/>
          <w:szCs w:val="11"/>
        </w:rPr>
        <w:t xml:space="preserve">Ver también la sentencia C-068 de 2009, M.P. Mauricio González Cuervo, sobre la constitucional de la posibilidad de prorrogar los contratos de concesión portuaria (artículo </w:t>
      </w:r>
      <w:r w:rsidR="002A2EBF" w:rsidRPr="00B0312D">
        <w:rPr>
          <w:rFonts w:ascii="Verdana" w:hAnsi="Verdana" w:cs="Arial"/>
          <w:color w:val="000000" w:themeColor="text1"/>
          <w:sz w:val="11"/>
          <w:szCs w:val="11"/>
        </w:rPr>
        <w:t>8º de</w:t>
      </w:r>
      <w:r w:rsidRPr="00B0312D">
        <w:rPr>
          <w:rFonts w:ascii="Verdana" w:hAnsi="Verdana" w:cs="Arial"/>
          <w:color w:val="000000" w:themeColor="text1"/>
          <w:sz w:val="11"/>
          <w:szCs w:val="11"/>
        </w:rPr>
        <w:t xml:space="preserve"> la ley 1º de 1991).</w:t>
      </w:r>
    </w:p>
  </w:footnote>
  <w:footnote w:id="13">
    <w:p w14:paraId="23A365A8" w14:textId="77777777" w:rsidR="000C0708" w:rsidRPr="00B0312D" w:rsidRDefault="000C0708" w:rsidP="000C0708">
      <w:pPr>
        <w:pStyle w:val="Textonotapie"/>
        <w:ind w:firstLine="708"/>
        <w:jc w:val="both"/>
        <w:rPr>
          <w:rFonts w:ascii="Verdana" w:hAnsi="Verdana" w:cs="Arial"/>
          <w:sz w:val="11"/>
          <w:szCs w:val="11"/>
        </w:rPr>
      </w:pPr>
      <w:r w:rsidRPr="00B0312D">
        <w:rPr>
          <w:rStyle w:val="Refdenotaalpie"/>
          <w:rFonts w:ascii="Verdana" w:hAnsi="Verdana" w:cs="Arial"/>
          <w:sz w:val="11"/>
          <w:szCs w:val="11"/>
        </w:rPr>
        <w:footnoteRef/>
      </w:r>
      <w:r w:rsidRPr="00B0312D">
        <w:rPr>
          <w:rFonts w:ascii="Verdana" w:hAnsi="Verdana" w:cs="Arial"/>
          <w:sz w:val="11"/>
          <w:szCs w:val="11"/>
        </w:rPr>
        <w:t xml:space="preserve"> </w:t>
      </w:r>
      <w:r w:rsidRPr="00B0312D">
        <w:rPr>
          <w:rFonts w:ascii="Verdana" w:hAnsi="Verdana" w:cs="Arial"/>
          <w:color w:val="000000" w:themeColor="text1"/>
          <w:sz w:val="11"/>
          <w:szCs w:val="11"/>
        </w:rPr>
        <w:t>Cfr. Consejo de Estado, Sala de Consulta y Servicio Civil, concepto del 13 de agosto de 2009, rad. 1.952, C.P. Enrique José Arboleda Perdomo. En este concepto la Sala de Consulta se ocupó, entre otras preguntas, de la siguiente formulada por el Ministerio de Transporte: “1. ¿Bajo el supuesto que en un contrato de concesión existan razones de conveniencia que permitan una mejora del objeto contratado y una mejor prestación del servicio público encomendado a la entidad estatal contratante, es posible, por fuera de lo dispuesto en el artículo 16 de la Ley 80 de 1993 y en caso de que las partes hubieran pactado una modificación de común acuerdo desde la licitación, acudir a tal previsión y modificar el contrato, teniendo en cuenta, además, que con la modificación se busca un efectivo cumplimiento de los fines estatales y una eficiente prestación de los servicios públicos?”.</w:t>
      </w:r>
    </w:p>
  </w:footnote>
  <w:footnote w:id="14">
    <w:p w14:paraId="0501FD83" w14:textId="77777777" w:rsidR="003663E3" w:rsidRPr="00B0312D" w:rsidRDefault="003663E3" w:rsidP="003663E3">
      <w:pPr>
        <w:pStyle w:val="Textonotapie"/>
        <w:ind w:firstLine="708"/>
        <w:jc w:val="both"/>
        <w:rPr>
          <w:rFonts w:ascii="Verdana" w:hAnsi="Verdana" w:cs="Arial"/>
          <w:sz w:val="11"/>
          <w:szCs w:val="11"/>
        </w:rPr>
      </w:pPr>
      <w:r w:rsidRPr="00B0312D">
        <w:rPr>
          <w:rStyle w:val="Refdenotaalpie"/>
          <w:rFonts w:ascii="Verdana" w:hAnsi="Verdana" w:cs="Arial"/>
          <w:sz w:val="11"/>
          <w:szCs w:val="11"/>
        </w:rPr>
        <w:footnoteRef/>
      </w:r>
      <w:r w:rsidRPr="00B0312D">
        <w:rPr>
          <w:rFonts w:ascii="Verdana" w:hAnsi="Verdana" w:cs="Arial"/>
          <w:sz w:val="11"/>
          <w:szCs w:val="11"/>
        </w:rPr>
        <w:t xml:space="preserve"> </w:t>
      </w:r>
      <w:r w:rsidRPr="00B0312D">
        <w:rPr>
          <w:rFonts w:ascii="Verdana" w:hAnsi="Verdana" w:cs="Arial"/>
          <w:color w:val="000000" w:themeColor="text1"/>
          <w:sz w:val="11"/>
          <w:szCs w:val="11"/>
        </w:rPr>
        <w:t>Cfr. DAVILA VINUEZA Luis Guillermo. Régimen Jurídico de la contratación estatal. Bogotá: Editorial Legis, 2001, p. 387.</w:t>
      </w:r>
    </w:p>
    <w:p w14:paraId="3867366C" w14:textId="77777777" w:rsidR="003663E3" w:rsidRPr="00B0312D" w:rsidRDefault="003663E3" w:rsidP="003663E3">
      <w:pPr>
        <w:pStyle w:val="Textonotapie"/>
        <w:ind w:firstLine="708"/>
        <w:jc w:val="both"/>
        <w:rPr>
          <w:rFonts w:ascii="Verdana" w:hAnsi="Verdana" w:cs="Arial"/>
          <w:sz w:val="11"/>
          <w:szCs w:val="11"/>
          <w:lang w:val="es-CO"/>
        </w:rPr>
      </w:pPr>
    </w:p>
  </w:footnote>
  <w:footnote w:id="15">
    <w:p w14:paraId="6A9FB109" w14:textId="77777777" w:rsidR="003663E3" w:rsidRPr="00B0312D" w:rsidRDefault="003663E3" w:rsidP="003663E3">
      <w:pPr>
        <w:pStyle w:val="Textonotapie"/>
        <w:ind w:firstLine="708"/>
        <w:jc w:val="both"/>
        <w:rPr>
          <w:rFonts w:ascii="Verdana" w:hAnsi="Verdana" w:cs="Arial"/>
          <w:sz w:val="11"/>
          <w:szCs w:val="11"/>
          <w:lang w:val="es-CO"/>
        </w:rPr>
      </w:pPr>
      <w:r w:rsidRPr="00B0312D">
        <w:rPr>
          <w:rStyle w:val="Refdenotaalpie"/>
          <w:rFonts w:ascii="Verdana" w:hAnsi="Verdana" w:cs="Arial"/>
          <w:sz w:val="11"/>
          <w:szCs w:val="11"/>
        </w:rPr>
        <w:footnoteRef/>
      </w:r>
      <w:r w:rsidRPr="00B0312D">
        <w:rPr>
          <w:rFonts w:ascii="Verdana" w:hAnsi="Verdana" w:cs="Arial"/>
          <w:sz w:val="11"/>
          <w:szCs w:val="11"/>
        </w:rPr>
        <w:t xml:space="preserve"> </w:t>
      </w:r>
      <w:r w:rsidRPr="00B0312D">
        <w:rPr>
          <w:rFonts w:ascii="Verdana" w:hAnsi="Verdana" w:cs="Arial"/>
          <w:color w:val="000000" w:themeColor="text1"/>
          <w:sz w:val="11"/>
          <w:szCs w:val="11"/>
        </w:rPr>
        <w:t>Sobre el particular resultan pertinentes las consideraciones efectuadas en el mismo sentido por la Sala de Consulta y Servicio Civil del Consejo de Estado en el concepto del 13 de agosto de 2009, rad. 1.952, C.P. Enrique José Arboleda Perdomo y por la Corte Constitucional en la sentencia C-300 de 2012.</w:t>
      </w:r>
      <w:r w:rsidRPr="00B0312D">
        <w:rPr>
          <w:rFonts w:ascii="Verdana" w:eastAsia="Times New Roman" w:hAnsi="Verdana" w:cs="Arial"/>
          <w:bCs/>
          <w:sz w:val="11"/>
          <w:szCs w:val="11"/>
          <w:lang w:val="es-ES" w:eastAsia="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jc w:val="left"/>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jc w:val="left"/>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D7A448F"/>
    <w:multiLevelType w:val="hybridMultilevel"/>
    <w:tmpl w:val="EF3ECB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9" w15:restartNumberingAfterBreak="0">
    <w:nsid w:val="59932C94"/>
    <w:multiLevelType w:val="hybridMultilevel"/>
    <w:tmpl w:val="A79A57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AC07AAF"/>
    <w:multiLevelType w:val="hybridMultilevel"/>
    <w:tmpl w:val="DCFC369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8"/>
  </w:num>
  <w:num w:numId="6">
    <w:abstractNumId w:val="1"/>
  </w:num>
  <w:num w:numId="7">
    <w:abstractNumId w:val="5"/>
  </w:num>
  <w:num w:numId="8">
    <w:abstractNumId w:val="7"/>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2913"/>
    <w:rsid w:val="000037AE"/>
    <w:rsid w:val="00005BB0"/>
    <w:rsid w:val="0001025F"/>
    <w:rsid w:val="0001217D"/>
    <w:rsid w:val="0001222D"/>
    <w:rsid w:val="000135EB"/>
    <w:rsid w:val="00015D2B"/>
    <w:rsid w:val="00031584"/>
    <w:rsid w:val="00032A0E"/>
    <w:rsid w:val="00037347"/>
    <w:rsid w:val="000442CC"/>
    <w:rsid w:val="000556D4"/>
    <w:rsid w:val="000612B8"/>
    <w:rsid w:val="000716AB"/>
    <w:rsid w:val="0008071E"/>
    <w:rsid w:val="00082E4C"/>
    <w:rsid w:val="000849D5"/>
    <w:rsid w:val="0008528F"/>
    <w:rsid w:val="00086D82"/>
    <w:rsid w:val="00097B67"/>
    <w:rsid w:val="000A6E0C"/>
    <w:rsid w:val="000A7A56"/>
    <w:rsid w:val="000B1FF7"/>
    <w:rsid w:val="000B2513"/>
    <w:rsid w:val="000B4024"/>
    <w:rsid w:val="000C0708"/>
    <w:rsid w:val="000C3C51"/>
    <w:rsid w:val="000C7262"/>
    <w:rsid w:val="000D2A7F"/>
    <w:rsid w:val="000D4FCE"/>
    <w:rsid w:val="0011037E"/>
    <w:rsid w:val="00117806"/>
    <w:rsid w:val="00117EA2"/>
    <w:rsid w:val="001363C7"/>
    <w:rsid w:val="00141AC5"/>
    <w:rsid w:val="00145F57"/>
    <w:rsid w:val="00146B11"/>
    <w:rsid w:val="00147A04"/>
    <w:rsid w:val="0015476D"/>
    <w:rsid w:val="00161E13"/>
    <w:rsid w:val="00164AE0"/>
    <w:rsid w:val="00165E83"/>
    <w:rsid w:val="00166CD7"/>
    <w:rsid w:val="0017120C"/>
    <w:rsid w:val="00172F3A"/>
    <w:rsid w:val="0019532A"/>
    <w:rsid w:val="0019670E"/>
    <w:rsid w:val="00197205"/>
    <w:rsid w:val="001A5DD4"/>
    <w:rsid w:val="001A67E9"/>
    <w:rsid w:val="001B143B"/>
    <w:rsid w:val="001B21CA"/>
    <w:rsid w:val="001B233F"/>
    <w:rsid w:val="001C04FC"/>
    <w:rsid w:val="001C25A3"/>
    <w:rsid w:val="001C5D03"/>
    <w:rsid w:val="001C7771"/>
    <w:rsid w:val="001D62FF"/>
    <w:rsid w:val="001E6C9A"/>
    <w:rsid w:val="001F3F48"/>
    <w:rsid w:val="002000AA"/>
    <w:rsid w:val="00202737"/>
    <w:rsid w:val="00204109"/>
    <w:rsid w:val="00211DCA"/>
    <w:rsid w:val="00211E6E"/>
    <w:rsid w:val="00212A46"/>
    <w:rsid w:val="0021401D"/>
    <w:rsid w:val="002146B8"/>
    <w:rsid w:val="00215516"/>
    <w:rsid w:val="002527C2"/>
    <w:rsid w:val="00266156"/>
    <w:rsid w:val="00267F19"/>
    <w:rsid w:val="00270443"/>
    <w:rsid w:val="00270EE2"/>
    <w:rsid w:val="00272972"/>
    <w:rsid w:val="00273382"/>
    <w:rsid w:val="00286491"/>
    <w:rsid w:val="002A0F8D"/>
    <w:rsid w:val="002A2EBF"/>
    <w:rsid w:val="002B6E44"/>
    <w:rsid w:val="002C3653"/>
    <w:rsid w:val="002E1DB5"/>
    <w:rsid w:val="002F6CCB"/>
    <w:rsid w:val="0030461E"/>
    <w:rsid w:val="0032756A"/>
    <w:rsid w:val="00334EF8"/>
    <w:rsid w:val="00336408"/>
    <w:rsid w:val="00340DFB"/>
    <w:rsid w:val="0034404F"/>
    <w:rsid w:val="00356980"/>
    <w:rsid w:val="003663E3"/>
    <w:rsid w:val="00367462"/>
    <w:rsid w:val="00371ECA"/>
    <w:rsid w:val="00372748"/>
    <w:rsid w:val="0037332A"/>
    <w:rsid w:val="0038151A"/>
    <w:rsid w:val="0039082A"/>
    <w:rsid w:val="00390C21"/>
    <w:rsid w:val="003A1D19"/>
    <w:rsid w:val="003A2D88"/>
    <w:rsid w:val="003A37BD"/>
    <w:rsid w:val="003B6D94"/>
    <w:rsid w:val="003C4C96"/>
    <w:rsid w:val="003C55E0"/>
    <w:rsid w:val="003E4C6C"/>
    <w:rsid w:val="003F519B"/>
    <w:rsid w:val="003F5B1C"/>
    <w:rsid w:val="0040544F"/>
    <w:rsid w:val="00406A19"/>
    <w:rsid w:val="0041222D"/>
    <w:rsid w:val="0041483E"/>
    <w:rsid w:val="00415369"/>
    <w:rsid w:val="00430492"/>
    <w:rsid w:val="00450BE7"/>
    <w:rsid w:val="00454147"/>
    <w:rsid w:val="0045491E"/>
    <w:rsid w:val="0046741E"/>
    <w:rsid w:val="00472CC6"/>
    <w:rsid w:val="0048026E"/>
    <w:rsid w:val="004807A9"/>
    <w:rsid w:val="004813EE"/>
    <w:rsid w:val="0049103D"/>
    <w:rsid w:val="00493278"/>
    <w:rsid w:val="004943D9"/>
    <w:rsid w:val="004A0E7B"/>
    <w:rsid w:val="004A3498"/>
    <w:rsid w:val="004B0C45"/>
    <w:rsid w:val="004B314B"/>
    <w:rsid w:val="004B40A6"/>
    <w:rsid w:val="004C0AB2"/>
    <w:rsid w:val="004C1619"/>
    <w:rsid w:val="004C1A26"/>
    <w:rsid w:val="004C1CC9"/>
    <w:rsid w:val="004C3755"/>
    <w:rsid w:val="004C4485"/>
    <w:rsid w:val="004D11AF"/>
    <w:rsid w:val="004E7E29"/>
    <w:rsid w:val="00500DFA"/>
    <w:rsid w:val="005019AA"/>
    <w:rsid w:val="005021BB"/>
    <w:rsid w:val="005139E7"/>
    <w:rsid w:val="005147DA"/>
    <w:rsid w:val="00515FB5"/>
    <w:rsid w:val="00517C70"/>
    <w:rsid w:val="0052365C"/>
    <w:rsid w:val="005271EB"/>
    <w:rsid w:val="005426DB"/>
    <w:rsid w:val="0055082B"/>
    <w:rsid w:val="00552503"/>
    <w:rsid w:val="00552B57"/>
    <w:rsid w:val="00557DA1"/>
    <w:rsid w:val="0056322C"/>
    <w:rsid w:val="0058743A"/>
    <w:rsid w:val="005876F4"/>
    <w:rsid w:val="005A4DB0"/>
    <w:rsid w:val="005A7B8E"/>
    <w:rsid w:val="005B012B"/>
    <w:rsid w:val="005B0C87"/>
    <w:rsid w:val="005C4902"/>
    <w:rsid w:val="005D0CAF"/>
    <w:rsid w:val="005D16E3"/>
    <w:rsid w:val="005D23F6"/>
    <w:rsid w:val="005D2FA8"/>
    <w:rsid w:val="005E2281"/>
    <w:rsid w:val="005E3436"/>
    <w:rsid w:val="005E667C"/>
    <w:rsid w:val="005F077C"/>
    <w:rsid w:val="005F63D0"/>
    <w:rsid w:val="005F7973"/>
    <w:rsid w:val="0061690E"/>
    <w:rsid w:val="00627361"/>
    <w:rsid w:val="0063017E"/>
    <w:rsid w:val="00631B28"/>
    <w:rsid w:val="00631FFE"/>
    <w:rsid w:val="00645B90"/>
    <w:rsid w:val="00650991"/>
    <w:rsid w:val="006511D7"/>
    <w:rsid w:val="00663D75"/>
    <w:rsid w:val="00670AEF"/>
    <w:rsid w:val="00675678"/>
    <w:rsid w:val="00677012"/>
    <w:rsid w:val="0068221E"/>
    <w:rsid w:val="006825B4"/>
    <w:rsid w:val="00682AF2"/>
    <w:rsid w:val="006864DF"/>
    <w:rsid w:val="00691CC8"/>
    <w:rsid w:val="006A3C8A"/>
    <w:rsid w:val="006A7552"/>
    <w:rsid w:val="006B5953"/>
    <w:rsid w:val="006B6160"/>
    <w:rsid w:val="006B7A81"/>
    <w:rsid w:val="006C4BAC"/>
    <w:rsid w:val="006C52F3"/>
    <w:rsid w:val="006D7843"/>
    <w:rsid w:val="006E563B"/>
    <w:rsid w:val="006E7F37"/>
    <w:rsid w:val="006F3B81"/>
    <w:rsid w:val="006F4F79"/>
    <w:rsid w:val="00705B37"/>
    <w:rsid w:val="007074B1"/>
    <w:rsid w:val="00711FD9"/>
    <w:rsid w:val="00735062"/>
    <w:rsid w:val="00746BA5"/>
    <w:rsid w:val="00751D23"/>
    <w:rsid w:val="0076276E"/>
    <w:rsid w:val="00762AE0"/>
    <w:rsid w:val="00770577"/>
    <w:rsid w:val="00777666"/>
    <w:rsid w:val="0078159B"/>
    <w:rsid w:val="00782E10"/>
    <w:rsid w:val="0078706B"/>
    <w:rsid w:val="00790836"/>
    <w:rsid w:val="00797131"/>
    <w:rsid w:val="007A3C1D"/>
    <w:rsid w:val="007B285D"/>
    <w:rsid w:val="007B60E9"/>
    <w:rsid w:val="007C2DF5"/>
    <w:rsid w:val="007C6BC6"/>
    <w:rsid w:val="007E64FF"/>
    <w:rsid w:val="007F36CF"/>
    <w:rsid w:val="00807D79"/>
    <w:rsid w:val="00813634"/>
    <w:rsid w:val="00822821"/>
    <w:rsid w:val="00831C29"/>
    <w:rsid w:val="008364F3"/>
    <w:rsid w:val="008431EF"/>
    <w:rsid w:val="008468E0"/>
    <w:rsid w:val="008554BE"/>
    <w:rsid w:val="00871B59"/>
    <w:rsid w:val="00877D03"/>
    <w:rsid w:val="00877E96"/>
    <w:rsid w:val="008806CA"/>
    <w:rsid w:val="008815E5"/>
    <w:rsid w:val="008831EA"/>
    <w:rsid w:val="00887B37"/>
    <w:rsid w:val="008909B9"/>
    <w:rsid w:val="008914D5"/>
    <w:rsid w:val="00891DFC"/>
    <w:rsid w:val="008B12B4"/>
    <w:rsid w:val="008B7914"/>
    <w:rsid w:val="008C5D2A"/>
    <w:rsid w:val="008C7AF4"/>
    <w:rsid w:val="008D529F"/>
    <w:rsid w:val="008E52AC"/>
    <w:rsid w:val="008E6462"/>
    <w:rsid w:val="008F5CC8"/>
    <w:rsid w:val="009061B8"/>
    <w:rsid w:val="0091008B"/>
    <w:rsid w:val="00911EA2"/>
    <w:rsid w:val="00916C7D"/>
    <w:rsid w:val="0092575D"/>
    <w:rsid w:val="009341DA"/>
    <w:rsid w:val="00935D83"/>
    <w:rsid w:val="00936EDC"/>
    <w:rsid w:val="009430F9"/>
    <w:rsid w:val="009442E8"/>
    <w:rsid w:val="00946BD0"/>
    <w:rsid w:val="0095426C"/>
    <w:rsid w:val="00970087"/>
    <w:rsid w:val="00971074"/>
    <w:rsid w:val="00995D86"/>
    <w:rsid w:val="009A3734"/>
    <w:rsid w:val="009A5453"/>
    <w:rsid w:val="009B4D94"/>
    <w:rsid w:val="009C2871"/>
    <w:rsid w:val="009D3C33"/>
    <w:rsid w:val="009D7F3A"/>
    <w:rsid w:val="009E4885"/>
    <w:rsid w:val="009E6762"/>
    <w:rsid w:val="00A07DB6"/>
    <w:rsid w:val="00A10A73"/>
    <w:rsid w:val="00A170B3"/>
    <w:rsid w:val="00A223D5"/>
    <w:rsid w:val="00A32D28"/>
    <w:rsid w:val="00A37D1C"/>
    <w:rsid w:val="00A5453E"/>
    <w:rsid w:val="00A56F6C"/>
    <w:rsid w:val="00A5703C"/>
    <w:rsid w:val="00A57ACF"/>
    <w:rsid w:val="00A76C8C"/>
    <w:rsid w:val="00A77943"/>
    <w:rsid w:val="00A80929"/>
    <w:rsid w:val="00A826AC"/>
    <w:rsid w:val="00A85F30"/>
    <w:rsid w:val="00A9099E"/>
    <w:rsid w:val="00A91FB7"/>
    <w:rsid w:val="00A9298F"/>
    <w:rsid w:val="00AA0351"/>
    <w:rsid w:val="00AA5F4A"/>
    <w:rsid w:val="00AB1984"/>
    <w:rsid w:val="00AB52B1"/>
    <w:rsid w:val="00AB69E4"/>
    <w:rsid w:val="00AC4CB3"/>
    <w:rsid w:val="00AC780D"/>
    <w:rsid w:val="00AD02A6"/>
    <w:rsid w:val="00AD036B"/>
    <w:rsid w:val="00AD1996"/>
    <w:rsid w:val="00AD3F51"/>
    <w:rsid w:val="00AD4099"/>
    <w:rsid w:val="00AD44E8"/>
    <w:rsid w:val="00AD4901"/>
    <w:rsid w:val="00B02FE0"/>
    <w:rsid w:val="00B0312D"/>
    <w:rsid w:val="00B057B6"/>
    <w:rsid w:val="00B201FF"/>
    <w:rsid w:val="00B30448"/>
    <w:rsid w:val="00B34786"/>
    <w:rsid w:val="00B400EC"/>
    <w:rsid w:val="00B40162"/>
    <w:rsid w:val="00B41ACE"/>
    <w:rsid w:val="00B4790C"/>
    <w:rsid w:val="00B50156"/>
    <w:rsid w:val="00B518AD"/>
    <w:rsid w:val="00B60A96"/>
    <w:rsid w:val="00B678EC"/>
    <w:rsid w:val="00B768F7"/>
    <w:rsid w:val="00B76C94"/>
    <w:rsid w:val="00B772D0"/>
    <w:rsid w:val="00B836EA"/>
    <w:rsid w:val="00B84C05"/>
    <w:rsid w:val="00B91B81"/>
    <w:rsid w:val="00B97135"/>
    <w:rsid w:val="00BB3072"/>
    <w:rsid w:val="00BC04E4"/>
    <w:rsid w:val="00BC1EF2"/>
    <w:rsid w:val="00BC7632"/>
    <w:rsid w:val="00BD0323"/>
    <w:rsid w:val="00BD3D4C"/>
    <w:rsid w:val="00BD48A9"/>
    <w:rsid w:val="00BD630F"/>
    <w:rsid w:val="00BD7EC6"/>
    <w:rsid w:val="00BE73FA"/>
    <w:rsid w:val="00BF6B4B"/>
    <w:rsid w:val="00C00FBA"/>
    <w:rsid w:val="00C038E1"/>
    <w:rsid w:val="00C0511C"/>
    <w:rsid w:val="00C20ACF"/>
    <w:rsid w:val="00C22307"/>
    <w:rsid w:val="00C23469"/>
    <w:rsid w:val="00C30C62"/>
    <w:rsid w:val="00C371DF"/>
    <w:rsid w:val="00C42055"/>
    <w:rsid w:val="00C44B4C"/>
    <w:rsid w:val="00C46734"/>
    <w:rsid w:val="00C47A86"/>
    <w:rsid w:val="00C53220"/>
    <w:rsid w:val="00C879C1"/>
    <w:rsid w:val="00CA3347"/>
    <w:rsid w:val="00CC299A"/>
    <w:rsid w:val="00CD03E3"/>
    <w:rsid w:val="00CE6BDA"/>
    <w:rsid w:val="00D03DBE"/>
    <w:rsid w:val="00D072C0"/>
    <w:rsid w:val="00D34C82"/>
    <w:rsid w:val="00D3757A"/>
    <w:rsid w:val="00D504A9"/>
    <w:rsid w:val="00D50855"/>
    <w:rsid w:val="00D5206D"/>
    <w:rsid w:val="00D602C5"/>
    <w:rsid w:val="00D7177D"/>
    <w:rsid w:val="00D81311"/>
    <w:rsid w:val="00DA41EC"/>
    <w:rsid w:val="00DA4810"/>
    <w:rsid w:val="00DB201E"/>
    <w:rsid w:val="00DC0E68"/>
    <w:rsid w:val="00DC6A7A"/>
    <w:rsid w:val="00DC6BD8"/>
    <w:rsid w:val="00DD25ED"/>
    <w:rsid w:val="00DE0D6E"/>
    <w:rsid w:val="00E1151D"/>
    <w:rsid w:val="00E1610C"/>
    <w:rsid w:val="00E16D73"/>
    <w:rsid w:val="00E23E9E"/>
    <w:rsid w:val="00E25722"/>
    <w:rsid w:val="00E26AE3"/>
    <w:rsid w:val="00E27F0A"/>
    <w:rsid w:val="00E4231E"/>
    <w:rsid w:val="00E4302C"/>
    <w:rsid w:val="00E44AC7"/>
    <w:rsid w:val="00E45F4B"/>
    <w:rsid w:val="00E60A16"/>
    <w:rsid w:val="00E65BF3"/>
    <w:rsid w:val="00E82B6E"/>
    <w:rsid w:val="00E8586F"/>
    <w:rsid w:val="00E94258"/>
    <w:rsid w:val="00E96C18"/>
    <w:rsid w:val="00EA2E61"/>
    <w:rsid w:val="00EA7D7F"/>
    <w:rsid w:val="00EB02F4"/>
    <w:rsid w:val="00EB2FA2"/>
    <w:rsid w:val="00EB52B4"/>
    <w:rsid w:val="00EB6AD2"/>
    <w:rsid w:val="00EB769A"/>
    <w:rsid w:val="00EC3A35"/>
    <w:rsid w:val="00ED15BE"/>
    <w:rsid w:val="00EE17F2"/>
    <w:rsid w:val="00EE3138"/>
    <w:rsid w:val="00EE556C"/>
    <w:rsid w:val="00EF124A"/>
    <w:rsid w:val="00EF2AC7"/>
    <w:rsid w:val="00EF400A"/>
    <w:rsid w:val="00EF56E4"/>
    <w:rsid w:val="00EF6BE4"/>
    <w:rsid w:val="00EF6E5D"/>
    <w:rsid w:val="00F06195"/>
    <w:rsid w:val="00F07764"/>
    <w:rsid w:val="00F12517"/>
    <w:rsid w:val="00F131DD"/>
    <w:rsid w:val="00F16BA1"/>
    <w:rsid w:val="00F24435"/>
    <w:rsid w:val="00F25753"/>
    <w:rsid w:val="00F30C0F"/>
    <w:rsid w:val="00F314E8"/>
    <w:rsid w:val="00F323A2"/>
    <w:rsid w:val="00F33B57"/>
    <w:rsid w:val="00F33D5C"/>
    <w:rsid w:val="00F34E90"/>
    <w:rsid w:val="00F356D6"/>
    <w:rsid w:val="00F377BB"/>
    <w:rsid w:val="00F53BE2"/>
    <w:rsid w:val="00F55684"/>
    <w:rsid w:val="00F64D5A"/>
    <w:rsid w:val="00F67515"/>
    <w:rsid w:val="00F709CD"/>
    <w:rsid w:val="00F906F4"/>
    <w:rsid w:val="00FA0716"/>
    <w:rsid w:val="00FB0EC4"/>
    <w:rsid w:val="00FB372A"/>
    <w:rsid w:val="00FB4629"/>
    <w:rsid w:val="00FB6FB1"/>
    <w:rsid w:val="00FB7063"/>
    <w:rsid w:val="00FC7056"/>
    <w:rsid w:val="00FE1A00"/>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link w:val="NormalWebCar"/>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 w:type="paragraph" w:styleId="Textodeglobo">
    <w:name w:val="Balloon Text"/>
    <w:basedOn w:val="Normal"/>
    <w:link w:val="TextodegloboCar"/>
    <w:uiPriority w:val="99"/>
    <w:semiHidden/>
    <w:unhideWhenUsed/>
    <w:rsid w:val="00267F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F19"/>
    <w:rPr>
      <w:rFonts w:ascii="Segoe UI" w:hAnsi="Segoe UI" w:cs="Segoe UI"/>
      <w:sz w:val="18"/>
      <w:szCs w:val="18"/>
    </w:rPr>
  </w:style>
  <w:style w:type="character" w:customStyle="1" w:styleId="SinespaciadoCar">
    <w:name w:val="Sin espaciado Car"/>
    <w:aliases w:val="No Indent Car"/>
    <w:link w:val="Sinespaciado"/>
    <w:uiPriority w:val="1"/>
    <w:locked/>
    <w:rsid w:val="008E52AC"/>
    <w:rPr>
      <w:sz w:val="24"/>
      <w:lang w:val="es-MX"/>
    </w:rPr>
  </w:style>
  <w:style w:type="paragraph" w:styleId="Sinespaciado">
    <w:name w:val="No Spacing"/>
    <w:aliases w:val="No Indent"/>
    <w:link w:val="SinespaciadoCar"/>
    <w:uiPriority w:val="1"/>
    <w:qFormat/>
    <w:rsid w:val="008E52AC"/>
    <w:pPr>
      <w:spacing w:after="0" w:line="240" w:lineRule="auto"/>
    </w:pPr>
    <w:rPr>
      <w:sz w:val="24"/>
      <w:lang w:val="es-MX"/>
    </w:rPr>
  </w:style>
  <w:style w:type="character" w:customStyle="1" w:styleId="NormalWebCar">
    <w:name w:val="Normal (Web) Car"/>
    <w:link w:val="NormalWeb"/>
    <w:uiPriority w:val="99"/>
    <w:locked/>
    <w:rsid w:val="0027338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291637230">
      <w:bodyDiv w:val="1"/>
      <w:marLeft w:val="0"/>
      <w:marRight w:val="0"/>
      <w:marTop w:val="0"/>
      <w:marBottom w:val="0"/>
      <w:divBdr>
        <w:top w:val="none" w:sz="0" w:space="0" w:color="auto"/>
        <w:left w:val="none" w:sz="0" w:space="0" w:color="auto"/>
        <w:bottom w:val="none" w:sz="0" w:space="0" w:color="auto"/>
        <w:right w:val="none" w:sz="0" w:space="0" w:color="auto"/>
      </w:divBdr>
    </w:div>
    <w:div w:id="395204355">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729184111">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943810098">
      <w:bodyDiv w:val="1"/>
      <w:marLeft w:val="0"/>
      <w:marRight w:val="0"/>
      <w:marTop w:val="0"/>
      <w:marBottom w:val="0"/>
      <w:divBdr>
        <w:top w:val="none" w:sz="0" w:space="0" w:color="auto"/>
        <w:left w:val="none" w:sz="0" w:space="0" w:color="auto"/>
        <w:bottom w:val="none" w:sz="0" w:space="0" w:color="auto"/>
        <w:right w:val="none" w:sz="0" w:space="0" w:color="auto"/>
      </w:divBdr>
    </w:div>
    <w:div w:id="1022824889">
      <w:bodyDiv w:val="1"/>
      <w:marLeft w:val="0"/>
      <w:marRight w:val="0"/>
      <w:marTop w:val="0"/>
      <w:marBottom w:val="0"/>
      <w:divBdr>
        <w:top w:val="none" w:sz="0" w:space="0" w:color="auto"/>
        <w:left w:val="none" w:sz="0" w:space="0" w:color="auto"/>
        <w:bottom w:val="none" w:sz="0" w:space="0" w:color="auto"/>
        <w:right w:val="none" w:sz="0" w:space="0" w:color="auto"/>
      </w:divBdr>
    </w:div>
    <w:div w:id="1080641115">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579366551">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830829747">
      <w:bodyDiv w:val="1"/>
      <w:marLeft w:val="0"/>
      <w:marRight w:val="0"/>
      <w:marTop w:val="0"/>
      <w:marBottom w:val="0"/>
      <w:divBdr>
        <w:top w:val="none" w:sz="0" w:space="0" w:color="auto"/>
        <w:left w:val="none" w:sz="0" w:space="0" w:color="auto"/>
        <w:bottom w:val="none" w:sz="0" w:space="0" w:color="auto"/>
        <w:right w:val="none" w:sz="0" w:space="0" w:color="auto"/>
      </w:divBdr>
    </w:div>
    <w:div w:id="1953125658">
      <w:bodyDiv w:val="1"/>
      <w:marLeft w:val="0"/>
      <w:marRight w:val="0"/>
      <w:marTop w:val="0"/>
      <w:marBottom w:val="0"/>
      <w:divBdr>
        <w:top w:val="none" w:sz="0" w:space="0" w:color="auto"/>
        <w:left w:val="none" w:sz="0" w:space="0" w:color="auto"/>
        <w:bottom w:val="none" w:sz="0" w:space="0" w:color="auto"/>
        <w:right w:val="none" w:sz="0" w:space="0" w:color="auto"/>
      </w:divBdr>
    </w:div>
    <w:div w:id="1983651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providencias-consejo-de-estad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honvega.2058@gmail.com"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colombiacompra.gov.co/sala-de-prensa/boletin-digit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latoria.colombiacompra.gov.co/busqueda/concepto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manuales-guias-y-pliegos-tipo/manuales-y-gui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3.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2DC4805E-6B2B-42BD-9C0A-17DF93399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3884</Words>
  <Characters>21364</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Sergio Andrés Rivera Cano</cp:lastModifiedBy>
  <cp:revision>3</cp:revision>
  <dcterms:created xsi:type="dcterms:W3CDTF">2024-08-21T17:02:00Z</dcterms:created>
  <dcterms:modified xsi:type="dcterms:W3CDTF">2024-08-21T17:44:00Z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