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FA0F31" w:rsidR="00FA0F31" w:rsidP="00FA0F31" w:rsidRDefault="00FA0F31" w14:paraId="28116165" w14:textId="77777777">
      <w:pPr>
        <w:spacing w:after="0" w:line="240" w:lineRule="auto"/>
        <w:rPr>
          <w:rFonts w:ascii="Verdana" w:hAnsi="Verdana" w:cs="Arial"/>
        </w:rPr>
      </w:pPr>
      <w:r w:rsidRPr="00FA0F31">
        <w:rPr>
          <w:rFonts w:ascii="Verdana" w:hAnsi="Verdana" w:eastAsia="Calibri" w:cs="Arial"/>
          <w:b/>
          <w:bCs/>
          <w:lang w:val="es-ES"/>
        </w:rPr>
        <w:t>PRINCIPIO DE PUBLICIDAD - Naturaleza</w:t>
      </w:r>
      <w:r w:rsidRPr="00FA0F31">
        <w:rPr>
          <w:rFonts w:ascii="Verdana" w:hAnsi="Verdana" w:cs="Arial"/>
        </w:rPr>
        <w:t xml:space="preserve"> </w:t>
      </w:r>
    </w:p>
    <w:p w:rsidRPr="00FA0F31" w:rsidR="00FA0F31" w:rsidP="00FA0F31" w:rsidRDefault="00FA0F31" w14:paraId="3DD23A21" w14:textId="77777777">
      <w:pPr>
        <w:spacing w:after="0" w:line="240" w:lineRule="auto"/>
        <w:rPr>
          <w:rFonts w:ascii="Verdana" w:hAnsi="Verdana" w:cs="Arial"/>
          <w:sz w:val="20"/>
          <w:szCs w:val="20"/>
        </w:rPr>
      </w:pPr>
    </w:p>
    <w:p w:rsidRPr="00FA0F31" w:rsidR="00FA0F31" w:rsidP="00FA0F31" w:rsidRDefault="00FA0F31" w14:paraId="450CE70B" w14:textId="77777777">
      <w:pPr>
        <w:spacing w:after="0" w:line="240" w:lineRule="auto"/>
        <w:jc w:val="both"/>
        <w:rPr>
          <w:rFonts w:ascii="Verdana" w:hAnsi="Verdana" w:eastAsia="Calibri" w:cs="Arial"/>
          <w:color w:val="000000" w:themeColor="text1"/>
          <w:sz w:val="20"/>
          <w:szCs w:val="20"/>
          <w:lang w:val="es-ES" w:eastAsia="es-ES"/>
        </w:rPr>
      </w:pPr>
      <w:r w:rsidRPr="00FA0F31">
        <w:rPr>
          <w:rFonts w:ascii="Verdana" w:hAnsi="Verdana" w:eastAsia="Calibri" w:cs="Arial"/>
          <w:sz w:val="20"/>
          <w:szCs w:val="20"/>
          <w:lang w:val="es-ES" w:eastAsia="es-ES"/>
        </w:rPr>
        <w:t xml:space="preserve">Uno de los postulados más importantes de un Estado Social y Democrático de Derecho es el principio de </w:t>
      </w:r>
      <w:r w:rsidRPr="00FA0F31">
        <w:rPr>
          <w:rFonts w:ascii="Verdana" w:hAnsi="Verdana" w:eastAsia="Calibri" w:cs="Arial"/>
          <w:i/>
          <w:iCs/>
          <w:sz w:val="20"/>
          <w:szCs w:val="20"/>
          <w:lang w:val="es-ES" w:eastAsia="es-ES"/>
        </w:rPr>
        <w:t>publicidad</w:t>
      </w:r>
      <w:r w:rsidRPr="00FA0F31">
        <w:rPr>
          <w:rFonts w:ascii="Verdana" w:hAnsi="Verdana" w:eastAsia="Calibri" w:cs="Arial"/>
          <w:sz w:val="20"/>
          <w:szCs w:val="20"/>
          <w:lang w:val="es-ES" w:eastAsia="es-ES"/>
        </w:rPr>
        <w:t xml:space="preserve">, pues este permite que las actuaciones de las autoridades gocen de visibilidad. La Constitución Política de 1991 consagra en varios artículos la publicidad como un principio rector del Estado colombiano. Entre </w:t>
      </w:r>
      <w:r w:rsidRPr="00FA0F31">
        <w:rPr>
          <w:rFonts w:ascii="Verdana" w:hAnsi="Verdana" w:eastAsia="Calibri" w:cs="Arial"/>
          <w:color w:val="000000" w:themeColor="text1"/>
          <w:sz w:val="20"/>
          <w:szCs w:val="20"/>
          <w:lang w:val="es-ES" w:eastAsia="es-ES"/>
        </w:rPr>
        <w:t xml:space="preserve">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w:t>
      </w:r>
    </w:p>
    <w:p w:rsidRPr="00FA0F31" w:rsidR="00FA0F31" w:rsidP="00FA0F31" w:rsidRDefault="00FA0F31" w14:paraId="1B086FC8" w14:textId="77777777">
      <w:pPr>
        <w:spacing w:after="0" w:line="240" w:lineRule="auto"/>
        <w:jc w:val="both"/>
        <w:rPr>
          <w:rFonts w:ascii="Verdana" w:hAnsi="Verdana" w:eastAsia="Calibri" w:cs="Arial"/>
          <w:color w:val="000000" w:themeColor="text1"/>
          <w:sz w:val="20"/>
          <w:szCs w:val="20"/>
          <w:lang w:val="es-ES_tradnl"/>
        </w:rPr>
      </w:pPr>
    </w:p>
    <w:p w:rsidRPr="00FA0F31" w:rsidR="00FA0F31" w:rsidP="00FA0F31" w:rsidRDefault="00FA0F31" w14:paraId="2DB51CE1" w14:textId="77777777">
      <w:pPr>
        <w:spacing w:after="0" w:line="240" w:lineRule="auto"/>
        <w:jc w:val="both"/>
        <w:rPr>
          <w:rFonts w:ascii="Verdana" w:hAnsi="Verdana" w:eastAsia="Calibri" w:cs="Arial"/>
          <w:b/>
          <w:color w:val="000000"/>
        </w:rPr>
      </w:pPr>
      <w:r w:rsidRPr="00FA0F31">
        <w:rPr>
          <w:rFonts w:ascii="Verdana" w:hAnsi="Verdana" w:eastAsia="Calibri" w:cs="Arial"/>
          <w:b/>
          <w:color w:val="000000"/>
        </w:rPr>
        <w:t xml:space="preserve">ACCESO A DOCUMENTACIÓN PÚBLICA – Derecho fundamental – Transparencia – Información contractual </w:t>
      </w:r>
    </w:p>
    <w:p w:rsidRPr="00FA0F31" w:rsidR="00FA0F31" w:rsidP="00FA0F31" w:rsidRDefault="00FA0F31" w14:paraId="1821B9AF" w14:textId="77777777">
      <w:pPr>
        <w:tabs>
          <w:tab w:val="left" w:pos="1816"/>
        </w:tabs>
        <w:spacing w:after="0" w:line="240" w:lineRule="auto"/>
        <w:jc w:val="both"/>
        <w:rPr>
          <w:rFonts w:ascii="Verdana" w:hAnsi="Verdana" w:eastAsia="Calibri" w:cs="Arial"/>
          <w:b/>
          <w:color w:val="000000"/>
          <w:sz w:val="20"/>
          <w:szCs w:val="20"/>
        </w:rPr>
      </w:pPr>
      <w:r w:rsidRPr="00FA0F31">
        <w:rPr>
          <w:rFonts w:ascii="Verdana" w:hAnsi="Verdana" w:eastAsia="Calibri" w:cs="Arial"/>
          <w:b/>
          <w:color w:val="000000"/>
          <w:sz w:val="20"/>
          <w:szCs w:val="20"/>
        </w:rPr>
        <w:t xml:space="preserve"> </w:t>
      </w:r>
      <w:r w:rsidRPr="00FA0F31">
        <w:rPr>
          <w:rFonts w:ascii="Verdana" w:hAnsi="Verdana" w:eastAsia="Calibri" w:cs="Arial"/>
          <w:b/>
          <w:color w:val="000000"/>
          <w:sz w:val="20"/>
          <w:szCs w:val="20"/>
        </w:rPr>
        <w:tab/>
      </w:r>
      <w:r w:rsidRPr="00FA0F31">
        <w:rPr>
          <w:rFonts w:ascii="Verdana" w:hAnsi="Verdana" w:eastAsia="Calibri" w:cs="Arial"/>
          <w:color w:val="000000"/>
          <w:sz w:val="20"/>
          <w:szCs w:val="20"/>
        </w:rPr>
        <w:t xml:space="preserve"> </w:t>
      </w:r>
    </w:p>
    <w:p w:rsidR="00FA0F31" w:rsidP="00FA0F31" w:rsidRDefault="009A7C0E" w14:paraId="206727C4" w14:textId="48BC306A">
      <w:pPr>
        <w:spacing w:after="0" w:line="240" w:lineRule="auto"/>
        <w:jc w:val="both"/>
        <w:rPr>
          <w:rFonts w:ascii="Verdana" w:hAnsi="Verdana" w:eastAsia="Calibri" w:cs="Arial"/>
          <w:color w:val="000000" w:themeColor="text1"/>
          <w:sz w:val="20"/>
          <w:szCs w:val="20"/>
          <w:lang w:val="es-ES" w:eastAsia="es-ES"/>
        </w:rPr>
      </w:pPr>
      <w:r>
        <w:rPr>
          <w:rFonts w:ascii="Verdana" w:hAnsi="Verdana" w:eastAsia="Calibri" w:cs="Arial"/>
          <w:color w:val="000000" w:themeColor="text1"/>
          <w:sz w:val="20"/>
          <w:szCs w:val="20"/>
          <w:lang w:val="es-ES" w:eastAsia="es-ES"/>
        </w:rPr>
        <w:t xml:space="preserve">[…] </w:t>
      </w:r>
      <w:r w:rsidRPr="009A7C0E">
        <w:rPr>
          <w:rFonts w:ascii="Verdana" w:hAnsi="Verdana" w:eastAsia="Calibri" w:cs="Arial"/>
          <w:color w:val="000000" w:themeColor="text1"/>
          <w:sz w:val="20"/>
          <w:szCs w:val="20"/>
          <w:lang w:val="es-ES" w:eastAsia="es-ES"/>
        </w:rPr>
        <w:t>en virtud del principio de transparencia, específicamente por cuenta de lo dispuesto en el numeral 4 del artículo 24 de la ley 80 de 1993 , así como por el principio de máxima publicidad establecido en el artículo 1712 de 2014 ,el contenido del expediente en el que reposa la 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 solicitarlas cualquier persona, en desarrollo de la vigilancia de la contratación pública, cuestión que podría interesar a cualquier ciudadano. Esta posibilidad solo se encuentra limitada respecto de la documentación que tenga la calidad de reservada, que deberá someterse al tratamiento establecido en el artículo 36 del CPACA, en lo relativo a la formación de cuadernos separados.</w:t>
      </w:r>
    </w:p>
    <w:p w:rsidRPr="00FA0F31" w:rsidR="009A7C0E" w:rsidP="00FA0F31" w:rsidRDefault="009A7C0E" w14:paraId="4EB44948" w14:textId="77777777">
      <w:pPr>
        <w:spacing w:after="0" w:line="240" w:lineRule="auto"/>
        <w:jc w:val="both"/>
        <w:rPr>
          <w:rStyle w:val="Textoennegrita"/>
          <w:rFonts w:ascii="Verdana" w:hAnsi="Verdana" w:cs="Arial"/>
          <w:b w:val="0"/>
          <w:bCs w:val="0"/>
          <w:sz w:val="20"/>
          <w:szCs w:val="20"/>
          <w:lang w:val="es-ES"/>
        </w:rPr>
      </w:pPr>
    </w:p>
    <w:p w:rsidRPr="00FA0F31" w:rsidR="00FA0F31" w:rsidP="00FA0F31" w:rsidRDefault="00FA0F31" w14:paraId="306D44F3" w14:textId="77777777">
      <w:pPr>
        <w:spacing w:after="0" w:line="240" w:lineRule="auto"/>
        <w:jc w:val="both"/>
        <w:rPr>
          <w:rStyle w:val="Textoennegrita"/>
          <w:rFonts w:ascii="Verdana" w:hAnsi="Verdana" w:cs="Arial"/>
          <w:lang w:val="es-ES"/>
        </w:rPr>
      </w:pPr>
      <w:r w:rsidRPr="00FA0F31">
        <w:rPr>
          <w:rStyle w:val="Textoennegrita"/>
          <w:rFonts w:ascii="Verdana" w:hAnsi="Verdana" w:cs="Arial"/>
          <w:lang w:val="es-ES"/>
        </w:rPr>
        <w:t>RESERVA DE INFORMACIÓN PÚBLICA – Fundamento – Constitución – Ley – Aplicación – Procesos contractuales</w:t>
      </w:r>
    </w:p>
    <w:p w:rsidRPr="00FA0F31" w:rsidR="00FA0F31" w:rsidP="00FA0F31" w:rsidRDefault="00FA0F31" w14:paraId="6AFAE156" w14:textId="77777777">
      <w:pPr>
        <w:tabs>
          <w:tab w:val="left" w:pos="426"/>
        </w:tabs>
        <w:spacing w:after="0" w:line="240" w:lineRule="auto"/>
        <w:jc w:val="both"/>
        <w:rPr>
          <w:rFonts w:ascii="Verdana" w:hAnsi="Verdana" w:eastAsia="Calibri" w:cs="Arial"/>
          <w:color w:val="000000"/>
          <w:sz w:val="20"/>
          <w:szCs w:val="20"/>
          <w:lang w:val="es-ES_tradnl" w:eastAsia="en-GB"/>
        </w:rPr>
      </w:pPr>
    </w:p>
    <w:p w:rsidRPr="00FA0F31" w:rsidR="00FA0F31" w:rsidP="00FA0F31" w:rsidRDefault="009A7C0E" w14:paraId="35A38FE3" w14:textId="4139B639">
      <w:pPr>
        <w:tabs>
          <w:tab w:val="left" w:pos="426"/>
        </w:tabs>
        <w:spacing w:after="0" w:line="240" w:lineRule="auto"/>
        <w:jc w:val="both"/>
        <w:rPr>
          <w:rFonts w:ascii="Verdana" w:hAnsi="Verdana" w:eastAsia="Calibri" w:cs="Arial"/>
          <w:color w:val="000000"/>
          <w:sz w:val="20"/>
          <w:szCs w:val="20"/>
          <w:lang w:val="es-ES_tradnl" w:eastAsia="en-GB"/>
        </w:rPr>
      </w:pPr>
      <w:r>
        <w:rPr>
          <w:rFonts w:ascii="Verdana" w:hAnsi="Verdana" w:eastAsia="Calibri" w:cs="Arial"/>
          <w:color w:val="000000"/>
          <w:sz w:val="20"/>
          <w:szCs w:val="20"/>
          <w:lang w:val="es-ES_tradnl" w:eastAsia="en-GB"/>
        </w:rPr>
        <w:t xml:space="preserve">[…] </w:t>
      </w:r>
      <w:r w:rsidRPr="009A7C0E">
        <w:rPr>
          <w:rFonts w:ascii="Verdana" w:hAnsi="Verdana" w:eastAsia="Calibri" w:cs="Arial"/>
          <w:color w:val="000000"/>
          <w:sz w:val="20"/>
          <w:szCs w:val="20"/>
          <w:lang w:val="es-ES_tradnl" w:eastAsia="en-GB"/>
        </w:rPr>
        <w:t xml:space="preserve">cuando el documento contractual contenga información sensible, clasificada o reservada, para proteger la reserva de información, las autoridades deben abstenerse de publicar en el SECOP la información que tiene protección especial o está sometida a reserva, o según el caso, suministrarla. Sin embargo, de acuerdo con el segundo inciso del artículo 25 de la Ley 1437 de 2011 “La restricción por reserva legal no se extenderá a otras piezas del respectivo expediente o actuación que no estén cubiertas por ella”. Por ello, la Entidad Estatal puede no publicar o suministrar algún documento del proceso o aparte del mismo que contenga datos sensibles, clasificados o reservados, para no divulgarlo, pero debe publicar los demás documentos o los apartados de estos, en caso de que estos no gocen de reserva. Lo anterior, sin perjuicio de que dependiendo de la información en específico todo el documento o expediente no pueda publicarse o </w:t>
      </w:r>
      <w:r w:rsidRPr="009A7C0E">
        <w:rPr>
          <w:rFonts w:ascii="Verdana" w:hAnsi="Verdana" w:eastAsia="Calibri" w:cs="Arial"/>
          <w:color w:val="000000"/>
          <w:sz w:val="20"/>
          <w:szCs w:val="20"/>
          <w:lang w:val="es-ES_tradnl" w:eastAsia="en-GB"/>
        </w:rPr>
        <w:lastRenderedPageBreak/>
        <w:t>suministrarse, por ampararse en su integridad en alguna causal de reserva, dada la conexión de su contenido con la información que el constituyente o el legislador decidió limitar en cuanto a su publicidad o suministro.</w:t>
      </w:r>
    </w:p>
    <w:p w:rsidRPr="00C316D3" w:rsidR="00713995" w:rsidP="00AB4DAA" w:rsidRDefault="00713995" w14:paraId="6198A31B" w14:textId="77777777">
      <w:pPr>
        <w:spacing w:after="0" w:line="240" w:lineRule="auto"/>
        <w:rPr>
          <w:rFonts w:ascii="Verdana" w:hAnsi="Verdana" w:eastAsia="Geomanist Light" w:cs="Arial"/>
          <w:sz w:val="20"/>
          <w:szCs w:val="20"/>
          <w:lang w:val="es-MX"/>
        </w:rPr>
      </w:pPr>
    </w:p>
    <w:p w:rsidR="00713995" w:rsidP="00AB4DAA" w:rsidRDefault="00713995" w14:paraId="2A4E6623" w14:textId="77777777">
      <w:pPr>
        <w:spacing w:after="0" w:line="240" w:lineRule="auto"/>
        <w:rPr>
          <w:rFonts w:ascii="Verdana" w:hAnsi="Verdana" w:eastAsia="Geomanist Light" w:cs="Arial"/>
          <w:lang w:val="es-MX"/>
        </w:rPr>
      </w:pPr>
    </w:p>
    <w:p w:rsidR="00315B50" w:rsidP="00AB4DAA" w:rsidRDefault="00315B50" w14:paraId="61540517" w14:textId="77777777">
      <w:pPr>
        <w:spacing w:after="0" w:line="240" w:lineRule="auto"/>
        <w:rPr>
          <w:rFonts w:ascii="Verdana" w:hAnsi="Verdana" w:eastAsia="Geomanist Light" w:cs="Arial"/>
          <w:lang w:val="es-MX"/>
        </w:rPr>
      </w:pPr>
    </w:p>
    <w:p w:rsidR="00315B50" w:rsidP="00AB4DAA" w:rsidRDefault="00315B50" w14:paraId="0E34FC2F" w14:textId="77777777">
      <w:pPr>
        <w:spacing w:after="0" w:line="240" w:lineRule="auto"/>
        <w:rPr>
          <w:rFonts w:ascii="Verdana" w:hAnsi="Verdana" w:eastAsia="Geomanist Light" w:cs="Arial"/>
          <w:lang w:val="es-MX"/>
        </w:rPr>
      </w:pPr>
    </w:p>
    <w:p w:rsidR="00315B50" w:rsidP="00AB4DAA" w:rsidRDefault="00315B50" w14:paraId="2CA8AC8C" w14:textId="77777777">
      <w:pPr>
        <w:spacing w:after="0" w:line="240" w:lineRule="auto"/>
        <w:rPr>
          <w:rFonts w:ascii="Verdana" w:hAnsi="Verdana" w:eastAsia="Geomanist Light" w:cs="Arial"/>
          <w:lang w:val="es-MX"/>
        </w:rPr>
      </w:pPr>
    </w:p>
    <w:p w:rsidR="00315B50" w:rsidP="00AB4DAA" w:rsidRDefault="00315B50" w14:paraId="644C979E" w14:textId="77777777">
      <w:pPr>
        <w:spacing w:after="0" w:line="240" w:lineRule="auto"/>
        <w:rPr>
          <w:rFonts w:ascii="Verdana" w:hAnsi="Verdana" w:eastAsia="Geomanist Light" w:cs="Arial"/>
          <w:lang w:val="es-MX"/>
        </w:rPr>
      </w:pPr>
    </w:p>
    <w:p w:rsidR="00315B50" w:rsidP="00AB4DAA" w:rsidRDefault="00315B50" w14:paraId="57F71059" w14:textId="77777777">
      <w:pPr>
        <w:spacing w:after="0" w:line="240" w:lineRule="auto"/>
        <w:rPr>
          <w:rFonts w:ascii="Verdana" w:hAnsi="Verdana" w:eastAsia="Geomanist Light" w:cs="Arial"/>
          <w:lang w:val="es-MX"/>
        </w:rPr>
      </w:pPr>
    </w:p>
    <w:p w:rsidR="00315B50" w:rsidP="00AB4DAA" w:rsidRDefault="00315B50" w14:paraId="40E98DFB" w14:textId="77777777">
      <w:pPr>
        <w:spacing w:after="0" w:line="240" w:lineRule="auto"/>
        <w:rPr>
          <w:rFonts w:ascii="Verdana" w:hAnsi="Verdana" w:eastAsia="Geomanist Light" w:cs="Arial"/>
          <w:lang w:val="es-MX"/>
        </w:rPr>
      </w:pPr>
    </w:p>
    <w:p w:rsidR="00315B50" w:rsidP="00AB4DAA" w:rsidRDefault="00315B50" w14:paraId="1185A7DB" w14:textId="77777777">
      <w:pPr>
        <w:spacing w:after="0" w:line="240" w:lineRule="auto"/>
        <w:rPr>
          <w:rFonts w:ascii="Verdana" w:hAnsi="Verdana" w:eastAsia="Geomanist Light" w:cs="Arial"/>
          <w:lang w:val="es-MX"/>
        </w:rPr>
      </w:pPr>
    </w:p>
    <w:p w:rsidR="00315B50" w:rsidP="00AB4DAA" w:rsidRDefault="00315B50" w14:paraId="437F5BB8" w14:textId="77777777">
      <w:pPr>
        <w:spacing w:after="0" w:line="240" w:lineRule="auto"/>
        <w:rPr>
          <w:rFonts w:ascii="Verdana" w:hAnsi="Verdana" w:eastAsia="Geomanist Light" w:cs="Arial"/>
          <w:lang w:val="es-MX"/>
        </w:rPr>
      </w:pPr>
    </w:p>
    <w:p w:rsidR="00315B50" w:rsidP="00AB4DAA" w:rsidRDefault="00315B50" w14:paraId="60EF528F" w14:textId="77777777">
      <w:pPr>
        <w:spacing w:after="0" w:line="240" w:lineRule="auto"/>
        <w:rPr>
          <w:rFonts w:ascii="Verdana" w:hAnsi="Verdana" w:eastAsia="Geomanist Light" w:cs="Arial"/>
          <w:lang w:val="es-MX"/>
        </w:rPr>
      </w:pPr>
    </w:p>
    <w:p w:rsidR="00315B50" w:rsidP="00AB4DAA" w:rsidRDefault="00315B50" w14:paraId="07A877E7" w14:textId="77777777">
      <w:pPr>
        <w:spacing w:after="0" w:line="240" w:lineRule="auto"/>
        <w:rPr>
          <w:rFonts w:ascii="Verdana" w:hAnsi="Verdana" w:eastAsia="Geomanist Light" w:cs="Arial"/>
          <w:lang w:val="es-MX"/>
        </w:rPr>
      </w:pPr>
    </w:p>
    <w:p w:rsidR="00315B50" w:rsidP="00AB4DAA" w:rsidRDefault="00315B50" w14:paraId="2CD1D79B" w14:textId="77777777">
      <w:pPr>
        <w:spacing w:after="0" w:line="240" w:lineRule="auto"/>
        <w:rPr>
          <w:rFonts w:ascii="Verdana" w:hAnsi="Verdana" w:eastAsia="Geomanist Light" w:cs="Arial"/>
          <w:lang w:val="es-MX"/>
        </w:rPr>
      </w:pPr>
    </w:p>
    <w:p w:rsidR="00315B50" w:rsidP="00AB4DAA" w:rsidRDefault="00315B50" w14:paraId="57A85637" w14:textId="77777777">
      <w:pPr>
        <w:spacing w:after="0" w:line="240" w:lineRule="auto"/>
        <w:rPr>
          <w:rFonts w:ascii="Verdana" w:hAnsi="Verdana" w:eastAsia="Geomanist Light" w:cs="Arial"/>
          <w:lang w:val="es-MX"/>
        </w:rPr>
      </w:pPr>
    </w:p>
    <w:p w:rsidR="00315B50" w:rsidP="00AB4DAA" w:rsidRDefault="00315B50" w14:paraId="5C5B77BF" w14:textId="77777777">
      <w:pPr>
        <w:spacing w:after="0" w:line="240" w:lineRule="auto"/>
        <w:rPr>
          <w:rFonts w:ascii="Verdana" w:hAnsi="Verdana" w:eastAsia="Geomanist Light" w:cs="Arial"/>
          <w:lang w:val="es-MX"/>
        </w:rPr>
      </w:pPr>
    </w:p>
    <w:p w:rsidR="00315B50" w:rsidP="00AB4DAA" w:rsidRDefault="00315B50" w14:paraId="7762C8BC" w14:textId="77777777">
      <w:pPr>
        <w:spacing w:after="0" w:line="240" w:lineRule="auto"/>
        <w:rPr>
          <w:rFonts w:ascii="Verdana" w:hAnsi="Verdana" w:eastAsia="Geomanist Light" w:cs="Arial"/>
          <w:lang w:val="es-MX"/>
        </w:rPr>
      </w:pPr>
    </w:p>
    <w:p w:rsidR="00315B50" w:rsidP="00AB4DAA" w:rsidRDefault="00315B50" w14:paraId="7835BFD9" w14:textId="77777777">
      <w:pPr>
        <w:spacing w:after="0" w:line="240" w:lineRule="auto"/>
        <w:rPr>
          <w:rFonts w:ascii="Verdana" w:hAnsi="Verdana" w:eastAsia="Geomanist Light" w:cs="Arial"/>
          <w:lang w:val="es-MX"/>
        </w:rPr>
      </w:pPr>
    </w:p>
    <w:p w:rsidR="00315B50" w:rsidP="00AB4DAA" w:rsidRDefault="00315B50" w14:paraId="4AC572E2" w14:textId="77777777">
      <w:pPr>
        <w:spacing w:after="0" w:line="240" w:lineRule="auto"/>
        <w:rPr>
          <w:rFonts w:ascii="Verdana" w:hAnsi="Verdana" w:eastAsia="Geomanist Light" w:cs="Arial"/>
          <w:lang w:val="es-MX"/>
        </w:rPr>
      </w:pPr>
    </w:p>
    <w:p w:rsidR="00315B50" w:rsidP="00AB4DAA" w:rsidRDefault="00315B50" w14:paraId="758369B1" w14:textId="77777777">
      <w:pPr>
        <w:spacing w:after="0" w:line="240" w:lineRule="auto"/>
        <w:rPr>
          <w:rFonts w:ascii="Verdana" w:hAnsi="Verdana" w:eastAsia="Geomanist Light" w:cs="Arial"/>
          <w:lang w:val="es-MX"/>
        </w:rPr>
      </w:pPr>
    </w:p>
    <w:p w:rsidR="00315B50" w:rsidP="00AB4DAA" w:rsidRDefault="00315B50" w14:paraId="7215D371" w14:textId="77777777">
      <w:pPr>
        <w:spacing w:after="0" w:line="240" w:lineRule="auto"/>
        <w:rPr>
          <w:rFonts w:ascii="Verdana" w:hAnsi="Verdana" w:eastAsia="Geomanist Light" w:cs="Arial"/>
          <w:lang w:val="es-MX"/>
        </w:rPr>
      </w:pPr>
    </w:p>
    <w:p w:rsidR="00315B50" w:rsidP="00AB4DAA" w:rsidRDefault="00315B50" w14:paraId="040F254B" w14:textId="77777777">
      <w:pPr>
        <w:spacing w:after="0" w:line="240" w:lineRule="auto"/>
        <w:rPr>
          <w:rFonts w:ascii="Verdana" w:hAnsi="Verdana" w:eastAsia="Geomanist Light" w:cs="Arial"/>
          <w:lang w:val="es-MX"/>
        </w:rPr>
      </w:pPr>
    </w:p>
    <w:p w:rsidR="00315B50" w:rsidP="00AB4DAA" w:rsidRDefault="00315B50" w14:paraId="774B836C" w14:textId="77777777">
      <w:pPr>
        <w:spacing w:after="0" w:line="240" w:lineRule="auto"/>
        <w:rPr>
          <w:rFonts w:ascii="Verdana" w:hAnsi="Verdana" w:eastAsia="Geomanist Light" w:cs="Arial"/>
          <w:lang w:val="es-MX"/>
        </w:rPr>
      </w:pPr>
    </w:p>
    <w:p w:rsidR="00315B50" w:rsidP="00AB4DAA" w:rsidRDefault="00315B50" w14:paraId="6FF1F106" w14:textId="77777777">
      <w:pPr>
        <w:spacing w:after="0" w:line="240" w:lineRule="auto"/>
        <w:rPr>
          <w:rFonts w:ascii="Verdana" w:hAnsi="Verdana" w:eastAsia="Geomanist Light" w:cs="Arial"/>
          <w:lang w:val="es-MX"/>
        </w:rPr>
      </w:pPr>
    </w:p>
    <w:p w:rsidR="00315B50" w:rsidP="00AB4DAA" w:rsidRDefault="00315B50" w14:paraId="4D809E5A" w14:textId="77777777">
      <w:pPr>
        <w:spacing w:after="0" w:line="240" w:lineRule="auto"/>
        <w:rPr>
          <w:rFonts w:ascii="Verdana" w:hAnsi="Verdana" w:eastAsia="Geomanist Light" w:cs="Arial"/>
          <w:lang w:val="es-MX"/>
        </w:rPr>
      </w:pPr>
    </w:p>
    <w:p w:rsidR="00315B50" w:rsidP="00AB4DAA" w:rsidRDefault="00315B50" w14:paraId="0DF03BBF" w14:textId="77777777">
      <w:pPr>
        <w:spacing w:after="0" w:line="240" w:lineRule="auto"/>
        <w:rPr>
          <w:rFonts w:ascii="Verdana" w:hAnsi="Verdana" w:eastAsia="Geomanist Light" w:cs="Arial"/>
          <w:lang w:val="es-MX"/>
        </w:rPr>
      </w:pPr>
    </w:p>
    <w:p w:rsidR="00315B50" w:rsidP="00AB4DAA" w:rsidRDefault="00315B50" w14:paraId="6D25717B" w14:textId="77777777">
      <w:pPr>
        <w:spacing w:after="0" w:line="240" w:lineRule="auto"/>
        <w:rPr>
          <w:rFonts w:ascii="Verdana" w:hAnsi="Verdana" w:eastAsia="Geomanist Light" w:cs="Arial"/>
          <w:lang w:val="es-MX"/>
        </w:rPr>
      </w:pPr>
    </w:p>
    <w:p w:rsidR="00315B50" w:rsidP="00AB4DAA" w:rsidRDefault="00315B50" w14:paraId="444DB5F8" w14:textId="77777777">
      <w:pPr>
        <w:spacing w:after="0" w:line="240" w:lineRule="auto"/>
        <w:rPr>
          <w:rFonts w:ascii="Verdana" w:hAnsi="Verdana" w:eastAsia="Geomanist Light" w:cs="Arial"/>
          <w:lang w:val="es-MX"/>
        </w:rPr>
      </w:pPr>
    </w:p>
    <w:p w:rsidR="00315B50" w:rsidP="00AB4DAA" w:rsidRDefault="00315B50" w14:paraId="74A568A8" w14:textId="77777777">
      <w:pPr>
        <w:spacing w:after="0" w:line="240" w:lineRule="auto"/>
        <w:rPr>
          <w:rFonts w:ascii="Verdana" w:hAnsi="Verdana" w:eastAsia="Geomanist Light" w:cs="Arial"/>
          <w:lang w:val="es-MX"/>
        </w:rPr>
      </w:pPr>
    </w:p>
    <w:p w:rsidR="00315B50" w:rsidP="00AB4DAA" w:rsidRDefault="00315B50" w14:paraId="6B6331E8" w14:textId="77777777">
      <w:pPr>
        <w:spacing w:after="0" w:line="240" w:lineRule="auto"/>
        <w:rPr>
          <w:rFonts w:ascii="Verdana" w:hAnsi="Verdana" w:eastAsia="Geomanist Light" w:cs="Arial"/>
          <w:lang w:val="es-MX"/>
        </w:rPr>
      </w:pPr>
    </w:p>
    <w:p w:rsidR="00315B50" w:rsidP="00AB4DAA" w:rsidRDefault="00315B50" w14:paraId="2CF67B5A" w14:textId="77777777">
      <w:pPr>
        <w:spacing w:after="0" w:line="240" w:lineRule="auto"/>
        <w:rPr>
          <w:rFonts w:ascii="Verdana" w:hAnsi="Verdana" w:eastAsia="Geomanist Light" w:cs="Arial"/>
          <w:lang w:val="es-MX"/>
        </w:rPr>
      </w:pPr>
    </w:p>
    <w:p w:rsidR="00315B50" w:rsidP="00AB4DAA" w:rsidRDefault="00315B50" w14:paraId="63EC770F" w14:textId="77777777">
      <w:pPr>
        <w:spacing w:after="0" w:line="240" w:lineRule="auto"/>
        <w:rPr>
          <w:rFonts w:ascii="Verdana" w:hAnsi="Verdana" w:eastAsia="Geomanist Light" w:cs="Arial"/>
          <w:lang w:val="es-MX"/>
        </w:rPr>
      </w:pPr>
    </w:p>
    <w:p w:rsidR="00315B50" w:rsidP="00AB4DAA" w:rsidRDefault="00315B50" w14:paraId="7F164951" w14:textId="77777777">
      <w:pPr>
        <w:spacing w:after="0" w:line="240" w:lineRule="auto"/>
        <w:rPr>
          <w:rFonts w:ascii="Verdana" w:hAnsi="Verdana" w:eastAsia="Geomanist Light" w:cs="Arial"/>
          <w:lang w:val="es-MX"/>
        </w:rPr>
      </w:pPr>
    </w:p>
    <w:p w:rsidR="00315B50" w:rsidP="00AB4DAA" w:rsidRDefault="00315B50" w14:paraId="639A91A7" w14:textId="77777777">
      <w:pPr>
        <w:spacing w:after="0" w:line="240" w:lineRule="auto"/>
        <w:rPr>
          <w:rFonts w:ascii="Verdana" w:hAnsi="Verdana" w:eastAsia="Geomanist Light" w:cs="Arial"/>
          <w:lang w:val="es-MX"/>
        </w:rPr>
      </w:pPr>
    </w:p>
    <w:p w:rsidR="00315B50" w:rsidP="00AB4DAA" w:rsidRDefault="00315B50" w14:paraId="5BA9307F" w14:textId="77777777">
      <w:pPr>
        <w:spacing w:after="0" w:line="240" w:lineRule="auto"/>
        <w:rPr>
          <w:rFonts w:ascii="Verdana" w:hAnsi="Verdana" w:eastAsia="Geomanist Light" w:cs="Arial"/>
          <w:lang w:val="es-MX"/>
        </w:rPr>
      </w:pPr>
    </w:p>
    <w:p w:rsidR="00315B50" w:rsidP="00AB4DAA" w:rsidRDefault="00315B50" w14:paraId="17D3005B" w14:textId="77777777">
      <w:pPr>
        <w:spacing w:after="0" w:line="240" w:lineRule="auto"/>
        <w:rPr>
          <w:rFonts w:ascii="Verdana" w:hAnsi="Verdana" w:eastAsia="Geomanist Light" w:cs="Arial"/>
          <w:lang w:val="es-MX"/>
        </w:rPr>
      </w:pPr>
    </w:p>
    <w:p w:rsidR="00315B50" w:rsidP="00AB4DAA" w:rsidRDefault="00315B50" w14:paraId="58EDAE42" w14:textId="77777777">
      <w:pPr>
        <w:spacing w:after="0" w:line="240" w:lineRule="auto"/>
        <w:rPr>
          <w:rFonts w:ascii="Verdana" w:hAnsi="Verdana" w:eastAsia="Geomanist Light" w:cs="Arial"/>
          <w:lang w:val="es-MX"/>
        </w:rPr>
      </w:pPr>
    </w:p>
    <w:p w:rsidR="00FA0F31" w:rsidP="00AB4DAA" w:rsidRDefault="00FA0F31" w14:paraId="59C1C260" w14:textId="77777777">
      <w:pPr>
        <w:spacing w:after="0" w:line="240" w:lineRule="auto"/>
        <w:rPr>
          <w:rFonts w:ascii="Verdana" w:hAnsi="Verdana" w:eastAsia="Geomanist Light" w:cs="Arial"/>
          <w:lang w:val="es-MX"/>
        </w:rPr>
      </w:pPr>
    </w:p>
    <w:p w:rsidRPr="006849F1" w:rsidR="00AB4DAA" w:rsidP="00AB4DAA" w:rsidRDefault="00AB4DAA" w14:paraId="3E8BC0B4" w14:textId="1CF83683">
      <w:pPr>
        <w:spacing w:after="0" w:line="240" w:lineRule="auto"/>
        <w:rPr>
          <w:rFonts w:ascii="Verdana" w:hAnsi="Verdana" w:eastAsia="Geomanist Light" w:cs="Arial"/>
          <w:lang w:val="es-MX"/>
        </w:rPr>
      </w:pPr>
      <w:r w:rsidRPr="006849F1">
        <w:rPr>
          <w:rFonts w:ascii="Verdana" w:hAnsi="Verdana" w:eastAsia="Geomanist Light" w:cs="Arial"/>
          <w:lang w:val="es-MX"/>
        </w:rPr>
        <w:t>Bogotá D.C., [Día] de [Mes.NombreCapitalizado] de [Año]</w:t>
      </w:r>
    </w:p>
    <w:p w:rsidR="00AB4DAA" w:rsidP="00AB4DAA" w:rsidRDefault="00AB4DAA" w14:paraId="126C7F14" w14:textId="77777777">
      <w:pPr>
        <w:spacing w:after="0" w:line="240" w:lineRule="auto"/>
        <w:jc w:val="both"/>
        <w:rPr>
          <w:rFonts w:ascii="Verdana" w:hAnsi="Verdana" w:eastAsia="Calibri" w:cs="Arial"/>
          <w:lang w:val="es-ES"/>
        </w:rPr>
      </w:pPr>
    </w:p>
    <w:p w:rsidR="000036C2" w:rsidP="000036C2" w:rsidRDefault="000036C2" w14:paraId="2F1504CA" w14:textId="03B670B3">
      <w:pPr>
        <w:spacing w:after="0" w:line="240" w:lineRule="auto"/>
        <w:jc w:val="right"/>
        <w:rPr>
          <w:rFonts w:ascii="Verdana" w:hAnsi="Verdana" w:eastAsia="Calibri" w:cs="Arial"/>
          <w:lang w:val="es-ES"/>
        </w:rPr>
      </w:pPr>
      <w:r w:rsidRPr="000036C2">
        <w:rPr>
          <w:rFonts w:ascii="Verdana" w:hAnsi="Verdana" w:eastAsia="Calibri" w:cs="Arial"/>
          <w:lang w:val="es-ES"/>
        </w:rPr>
        <w:drawing>
          <wp:inline distT="0" distB="0" distL="0" distR="0" wp14:anchorId="090E44E5" wp14:editId="0375B735">
            <wp:extent cx="3277057" cy="952633"/>
            <wp:effectExtent l="0" t="0" r="0" b="0"/>
            <wp:docPr id="720664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64003" name=""/>
                    <pic:cNvPicPr/>
                  </pic:nvPicPr>
                  <pic:blipFill>
                    <a:blip r:embed="rId11"/>
                    <a:stretch>
                      <a:fillRect/>
                    </a:stretch>
                  </pic:blipFill>
                  <pic:spPr>
                    <a:xfrm>
                      <a:off x="0" y="0"/>
                      <a:ext cx="3277057" cy="952633"/>
                    </a:xfrm>
                    <a:prstGeom prst="rect">
                      <a:avLst/>
                    </a:prstGeom>
                  </pic:spPr>
                </pic:pic>
              </a:graphicData>
            </a:graphic>
          </wp:inline>
        </w:drawing>
      </w:r>
    </w:p>
    <w:p w:rsidRPr="006849F1" w:rsidR="000036C2" w:rsidP="00AB4DAA" w:rsidRDefault="000036C2" w14:paraId="57B6C46A" w14:textId="77777777">
      <w:pPr>
        <w:spacing w:after="0" w:line="240" w:lineRule="auto"/>
        <w:jc w:val="both"/>
        <w:rPr>
          <w:rFonts w:ascii="Verdana" w:hAnsi="Verdana" w:eastAsia="Calibri" w:cs="Arial"/>
          <w:lang w:val="es-ES"/>
        </w:rPr>
      </w:pPr>
    </w:p>
    <w:p w:rsidRPr="00BC0B77" w:rsidR="00AB4DAA" w:rsidP="00AB4DAA" w:rsidRDefault="00AB4DAA" w14:paraId="6753D2E4" w14:textId="6675DB5C">
      <w:pPr>
        <w:spacing w:after="0" w:line="240" w:lineRule="auto"/>
        <w:jc w:val="both"/>
        <w:rPr>
          <w:rFonts w:ascii="Verdana" w:hAnsi="Verdana" w:eastAsia="Calibri" w:cs="Arial"/>
          <w:lang w:val="es-ES" w:eastAsia="es-ES"/>
        </w:rPr>
      </w:pPr>
      <w:r w:rsidRPr="00BC0B77">
        <w:rPr>
          <w:rFonts w:ascii="Verdana" w:hAnsi="Verdana" w:eastAsia="Calibri" w:cs="Arial"/>
          <w:lang w:val="es-ES" w:eastAsia="es-ES"/>
        </w:rPr>
        <w:t>Señor</w:t>
      </w:r>
      <w:r w:rsidR="00B9554C">
        <w:rPr>
          <w:rFonts w:ascii="Verdana" w:hAnsi="Verdana" w:eastAsia="Calibri" w:cs="Arial"/>
          <w:lang w:val="es-ES" w:eastAsia="es-ES"/>
        </w:rPr>
        <w:t>a</w:t>
      </w:r>
    </w:p>
    <w:p w:rsidRPr="00BC0B77" w:rsidR="00AB4DAA" w:rsidP="5249290A" w:rsidRDefault="00F838CD" w14:paraId="15CE709D" w14:textId="413E626A">
      <w:pPr>
        <w:spacing w:after="0" w:line="240" w:lineRule="auto"/>
        <w:rPr>
          <w:rFonts w:ascii="Verdana" w:hAnsi="Verdana" w:eastAsia="Calibri" w:cs="Arial"/>
          <w:b w:val="1"/>
          <w:bCs w:val="1"/>
          <w:lang w:val="es-ES" w:eastAsia="es-ES"/>
        </w:rPr>
      </w:pPr>
      <w:r w:rsidRPr="5249290A" w:rsidR="00F838CD">
        <w:rPr>
          <w:rFonts w:ascii="Verdana" w:hAnsi="Verdana" w:eastAsia="Calibri" w:cs="Arial"/>
          <w:b w:val="1"/>
          <w:bCs w:val="1"/>
          <w:lang w:val="es-ES" w:eastAsia="es-ES"/>
        </w:rPr>
        <w:t>Anyely</w:t>
      </w:r>
      <w:r w:rsidRPr="5249290A" w:rsidR="00F838CD">
        <w:rPr>
          <w:rFonts w:ascii="Verdana" w:hAnsi="Verdana" w:eastAsia="Calibri" w:cs="Arial"/>
          <w:b w:val="1"/>
          <w:bCs w:val="1"/>
          <w:lang w:val="es-ES" w:eastAsia="es-ES"/>
        </w:rPr>
        <w:t xml:space="preserve"> Quiroz</w:t>
      </w:r>
    </w:p>
    <w:p w:rsidRPr="007576BC" w:rsidR="007400FA" w:rsidP="00AB4DAA" w:rsidRDefault="00184B89" w14:paraId="2D512844" w14:textId="7E4D9EBA">
      <w:pPr>
        <w:spacing w:after="0" w:line="240" w:lineRule="auto"/>
        <w:rPr>
          <w:rFonts w:ascii="Verdana" w:hAnsi="Verdana"/>
        </w:rPr>
      </w:pPr>
      <w:hyperlink w:history="1" r:id="rId12">
        <w:r w:rsidRPr="007576BC" w:rsidR="007576BC">
          <w:rPr>
            <w:rStyle w:val="Hipervnculo"/>
            <w:rFonts w:ascii="Verdana" w:hAnsi="Verdana"/>
          </w:rPr>
          <w:t>anyely516@yahoo.com</w:t>
        </w:r>
      </w:hyperlink>
      <w:r w:rsidRPr="007576BC" w:rsidR="007576BC">
        <w:rPr>
          <w:rFonts w:ascii="Verdana" w:hAnsi="Verdana"/>
        </w:rPr>
        <w:t xml:space="preserve"> </w:t>
      </w:r>
      <w:r w:rsidRPr="007576BC" w:rsidR="007400FA">
        <w:rPr>
          <w:rFonts w:ascii="Verdana" w:hAnsi="Verdana"/>
        </w:rPr>
        <w:t xml:space="preserve"> </w:t>
      </w:r>
    </w:p>
    <w:p w:rsidRPr="00BC0B77" w:rsidR="00AB4DAA" w:rsidP="00AB4DAA" w:rsidRDefault="007576BC" w14:paraId="7012F09A" w14:textId="145A1AA4">
      <w:pPr>
        <w:spacing w:after="0" w:line="240" w:lineRule="auto"/>
        <w:rPr>
          <w:rFonts w:ascii="Verdana" w:hAnsi="Verdana" w:eastAsia="Calibri" w:cs="Arial"/>
          <w:b/>
          <w:bCs/>
          <w:lang w:val="es-ES" w:eastAsia="es-ES"/>
        </w:rPr>
      </w:pPr>
      <w:r>
        <w:rPr>
          <w:rFonts w:ascii="Verdana" w:hAnsi="Verdana" w:eastAsia="Calibri" w:cs="Arial"/>
          <w:lang w:val="es-ES" w:eastAsia="es-ES"/>
        </w:rPr>
        <w:t>El Rosario, Nariño</w:t>
      </w:r>
    </w:p>
    <w:p w:rsidRPr="006849F1" w:rsidR="00AB4DAA" w:rsidP="00AB4DAA" w:rsidRDefault="00AB4DAA" w14:paraId="21A548CC" w14:textId="77777777">
      <w:pPr>
        <w:spacing w:after="0" w:line="240" w:lineRule="auto"/>
        <w:rPr>
          <w:rFonts w:ascii="Verdana" w:hAnsi="Verdana" w:eastAsia="Calibri" w:cs="Arial"/>
          <w:b/>
          <w:bCs/>
          <w:lang w:val="es-ES_tradnl" w:eastAsia="es-ES_tradnl"/>
        </w:rPr>
      </w:pPr>
    </w:p>
    <w:p w:rsidRPr="006849F1" w:rsidR="00AB4DAA" w:rsidP="00AB4DAA" w:rsidRDefault="00AB4DAA" w14:paraId="5CE66F88" w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6849F1" w:rsidR="00AB4DAA" w:rsidTr="002F3573" w14:paraId="5CACB4CD" w14:textId="77777777">
        <w:trPr>
          <w:trHeight w:val="884"/>
        </w:trPr>
        <w:tc>
          <w:tcPr>
            <w:tcW w:w="2689" w:type="dxa"/>
          </w:tcPr>
          <w:p w:rsidRPr="00D668E9" w:rsidR="00AB4DAA" w:rsidP="002F3573" w:rsidRDefault="00AB4DAA" w14:paraId="0F51A1CE" w14:textId="77777777">
            <w:pPr>
              <w:jc w:val="both"/>
              <w:rPr>
                <w:rFonts w:ascii="Verdana" w:hAnsi="Verdana" w:eastAsia="Calibri" w:cs="Arial"/>
                <w:b/>
                <w:bCs/>
                <w:lang w:val="es-ES_tradnl" w:eastAsia="es-ES_tradnl"/>
              </w:rPr>
            </w:pPr>
          </w:p>
        </w:tc>
        <w:tc>
          <w:tcPr>
            <w:tcW w:w="6100" w:type="dxa"/>
          </w:tcPr>
          <w:p w:rsidRPr="006849F1" w:rsidR="00AB4DAA" w:rsidP="002F3573" w:rsidRDefault="00AB4DAA" w14:paraId="49B916CE" w14:textId="0F2E1A15">
            <w:pPr>
              <w:jc w:val="both"/>
              <w:rPr>
                <w:rFonts w:ascii="Verdana" w:hAnsi="Verdana" w:eastAsia="Calibri" w:cs="Arial"/>
                <w:b/>
                <w:bCs/>
                <w:lang w:val="es-ES" w:eastAsia="es-ES"/>
              </w:rPr>
            </w:pPr>
            <w:r w:rsidRPr="006849F1">
              <w:rPr>
                <w:rFonts w:ascii="Verdana" w:hAnsi="Verdana" w:eastAsia="Calibri" w:cs="Arial"/>
                <w:b/>
                <w:bCs/>
                <w:lang w:val="es-ES" w:eastAsia="es-ES"/>
              </w:rPr>
              <w:t xml:space="preserve">Concepto C- </w:t>
            </w:r>
            <w:r w:rsidR="00457201">
              <w:rPr>
                <w:rFonts w:ascii="Verdana" w:hAnsi="Verdana" w:eastAsia="Calibri" w:cs="Arial"/>
                <w:b/>
                <w:bCs/>
                <w:lang w:val="es-ES" w:eastAsia="es-ES"/>
              </w:rPr>
              <w:t>189</w:t>
            </w:r>
            <w:r w:rsidRPr="006849F1">
              <w:rPr>
                <w:rFonts w:ascii="Verdana" w:hAnsi="Verdana" w:eastAsia="Calibri" w:cs="Arial"/>
                <w:b/>
                <w:bCs/>
                <w:lang w:val="es-ES" w:eastAsia="es-ES"/>
              </w:rPr>
              <w:t xml:space="preserve"> de 2024</w:t>
            </w:r>
          </w:p>
        </w:tc>
      </w:tr>
      <w:tr w:rsidRPr="006849F1" w:rsidR="00AB4DAA" w:rsidTr="002F3573" w14:paraId="054004B7" w14:textId="77777777">
        <w:trPr>
          <w:trHeight w:val="884"/>
        </w:trPr>
        <w:tc>
          <w:tcPr>
            <w:tcW w:w="2689" w:type="dxa"/>
          </w:tcPr>
          <w:p w:rsidRPr="00D668E9" w:rsidR="00AB4DAA" w:rsidP="002F3573" w:rsidRDefault="00AB4DAA" w14:paraId="68A0FFC0" w14:textId="77777777">
            <w:pPr>
              <w:jc w:val="both"/>
              <w:rPr>
                <w:rFonts w:ascii="Verdana" w:hAnsi="Verdana" w:eastAsia="Calibri" w:cs="Arial"/>
                <w:lang w:val="es-ES_tradnl" w:eastAsia="es-ES_tradnl"/>
              </w:rPr>
            </w:pPr>
            <w:r w:rsidRPr="00D668E9">
              <w:rPr>
                <w:rFonts w:ascii="Verdana" w:hAnsi="Verdana" w:eastAsia="Calibri" w:cs="Arial"/>
                <w:b/>
                <w:lang w:val="es-ES_tradnl" w:eastAsia="es-ES_tradnl"/>
              </w:rPr>
              <w:t>Temas:</w:t>
            </w:r>
            <w:r w:rsidRPr="00D668E9">
              <w:rPr>
                <w:rFonts w:ascii="Verdana" w:hAnsi="Verdana" w:eastAsia="Calibri" w:cs="Arial"/>
                <w:lang w:val="es-ES_tradnl" w:eastAsia="es-ES_tradnl"/>
              </w:rPr>
              <w:t xml:space="preserve">                   </w:t>
            </w:r>
          </w:p>
        </w:tc>
        <w:tc>
          <w:tcPr>
            <w:tcW w:w="6100" w:type="dxa"/>
          </w:tcPr>
          <w:p w:rsidR="00BE6AB9" w:rsidP="002F3573" w:rsidRDefault="00FA0F31" w14:paraId="0244D042" w14:textId="77777777">
            <w:pPr>
              <w:spacing w:line="276" w:lineRule="auto"/>
              <w:jc w:val="both"/>
              <w:rPr>
                <w:rFonts w:ascii="Verdana" w:hAnsi="Verdana" w:eastAsia="Calibri" w:cs="Arial"/>
                <w:lang w:val="es-ES" w:eastAsia="es-ES"/>
              </w:rPr>
            </w:pPr>
            <w:r w:rsidRPr="00FA0F31">
              <w:rPr>
                <w:rFonts w:ascii="Verdana" w:hAnsi="Verdana" w:eastAsia="Calibri" w:cs="Arial"/>
                <w:lang w:val="es-ES" w:eastAsia="es-ES"/>
              </w:rPr>
              <w:t xml:space="preserve">PRINCIPIO DE PUBLICIDAD - Naturaleza </w:t>
            </w:r>
            <w:r>
              <w:rPr>
                <w:rFonts w:ascii="Verdana" w:hAnsi="Verdana" w:eastAsia="Calibri" w:cs="Arial"/>
                <w:lang w:val="es-ES" w:eastAsia="es-ES"/>
              </w:rPr>
              <w:t>/</w:t>
            </w:r>
            <w:r>
              <w:t xml:space="preserve"> </w:t>
            </w:r>
            <w:r w:rsidRPr="00FA0F31">
              <w:rPr>
                <w:rFonts w:ascii="Verdana" w:hAnsi="Verdana" w:eastAsia="Calibri" w:cs="Arial"/>
                <w:lang w:val="es-ES" w:eastAsia="es-ES"/>
              </w:rPr>
              <w:t>ACCESO A DOCUMENTACIÓN PÚBLICA – Derecho fundamental – Transparencia – Información contractual</w:t>
            </w:r>
            <w:r>
              <w:rPr>
                <w:rFonts w:ascii="Verdana" w:hAnsi="Verdana" w:eastAsia="Calibri" w:cs="Arial"/>
                <w:lang w:val="es-ES" w:eastAsia="es-ES"/>
              </w:rPr>
              <w:t xml:space="preserve"> /</w:t>
            </w:r>
            <w:r w:rsidR="00CE7637">
              <w:t xml:space="preserve"> </w:t>
            </w:r>
            <w:r w:rsidRPr="00CE7637" w:rsidR="00CE7637">
              <w:rPr>
                <w:rFonts w:ascii="Verdana" w:hAnsi="Verdana" w:eastAsia="Calibri" w:cs="Arial"/>
                <w:lang w:val="es-ES" w:eastAsia="es-ES"/>
              </w:rPr>
              <w:t>RESERVA DE INFORMACIÓN PÚBLICA – Fundamento – Constitución – Ley – Aplicación – Procesos contractuales</w:t>
            </w:r>
          </w:p>
          <w:p w:rsidRPr="00B9554C" w:rsidR="00D668E9" w:rsidP="002F3573" w:rsidRDefault="00D668E9" w14:paraId="6E671FE8" w14:textId="5B0566A5">
            <w:pPr>
              <w:spacing w:line="276" w:lineRule="auto"/>
              <w:jc w:val="both"/>
              <w:rPr>
                <w:rFonts w:ascii="Verdana" w:hAnsi="Verdana" w:eastAsia="Calibri" w:cs="Arial"/>
                <w:highlight w:val="yellow"/>
                <w:lang w:val="es-ES" w:eastAsia="es-ES"/>
              </w:rPr>
            </w:pPr>
          </w:p>
        </w:tc>
      </w:tr>
      <w:tr w:rsidRPr="006849F1" w:rsidR="00AB4DAA" w:rsidTr="002F3573" w14:paraId="53FF7D4D" w14:textId="77777777">
        <w:tc>
          <w:tcPr>
            <w:tcW w:w="2689" w:type="dxa"/>
          </w:tcPr>
          <w:p w:rsidRPr="006849F1" w:rsidR="00AB4DAA" w:rsidP="002F3573" w:rsidRDefault="00AB4DAA" w14:paraId="040196A8" w14:textId="77777777">
            <w:pPr>
              <w:jc w:val="both"/>
              <w:rPr>
                <w:rFonts w:ascii="Verdana" w:hAnsi="Verdana" w:eastAsia="Calibri" w:cs="Arial"/>
                <w:b/>
                <w:lang w:val="es-ES_tradnl" w:eastAsia="es-ES_tradnl"/>
              </w:rPr>
            </w:pPr>
            <w:r w:rsidRPr="006849F1">
              <w:rPr>
                <w:rFonts w:ascii="Verdana" w:hAnsi="Verdana" w:eastAsia="Calibri" w:cs="Arial"/>
                <w:b/>
                <w:lang w:val="es-ES_tradnl" w:eastAsia="es-ES_tradnl"/>
              </w:rPr>
              <w:t>Radicación:</w:t>
            </w:r>
            <w:r w:rsidRPr="006849F1">
              <w:rPr>
                <w:rFonts w:ascii="Verdana" w:hAnsi="Verdana" w:eastAsia="Calibri" w:cs="Arial"/>
                <w:lang w:val="es-ES_tradnl" w:eastAsia="es-ES_tradnl"/>
              </w:rPr>
              <w:t xml:space="preserve">               </w:t>
            </w:r>
          </w:p>
        </w:tc>
        <w:tc>
          <w:tcPr>
            <w:tcW w:w="6100" w:type="dxa"/>
          </w:tcPr>
          <w:p w:rsidRPr="006849F1" w:rsidR="00AB4DAA" w:rsidP="002F3573" w:rsidRDefault="00AB4DAA" w14:paraId="4BFD6B05" w14:textId="59C2BFA0">
            <w:pPr>
              <w:jc w:val="both"/>
              <w:rPr>
                <w:rFonts w:ascii="Verdana" w:hAnsi="Verdana" w:eastAsia="Calibri" w:cs="Arial"/>
                <w:lang w:val="es-ES_tradnl" w:eastAsia="es-ES_tradnl"/>
              </w:rPr>
            </w:pPr>
            <w:r w:rsidRPr="006849F1">
              <w:rPr>
                <w:rFonts w:ascii="Verdana" w:hAnsi="Verdana" w:eastAsia="Calibri" w:cs="Arial"/>
                <w:lang w:val="es-ES_tradnl" w:eastAsia="es-ES_tradnl"/>
              </w:rPr>
              <w:t xml:space="preserve">Respuesta a consulta con radicado No. </w:t>
            </w:r>
            <w:r w:rsidRPr="00472A6E" w:rsidR="00472A6E">
              <w:rPr>
                <w:rFonts w:ascii="Verdana" w:hAnsi="Verdana" w:eastAsia="Calibri" w:cs="Arial"/>
                <w:lang w:val="es-ES_tradnl" w:eastAsia="es-ES_tradnl"/>
              </w:rPr>
              <w:t>P20240618006214</w:t>
            </w:r>
            <w:r w:rsidRPr="00472A6E" w:rsidR="00472A6E">
              <w:rPr>
                <w:rFonts w:ascii="Verdana" w:hAnsi="Verdana" w:eastAsia="Calibri" w:cs="Arial"/>
                <w:lang w:val="es-ES_tradnl" w:eastAsia="es-ES_tradnl"/>
              </w:rPr>
              <w:tab/>
            </w:r>
            <w:r w:rsidRPr="00FA6075" w:rsidR="00FA6075">
              <w:rPr>
                <w:rFonts w:ascii="Verdana" w:hAnsi="Verdana" w:eastAsia="Calibri" w:cs="Arial"/>
                <w:lang w:val="es-ES_tradnl" w:eastAsia="es-ES_tradnl"/>
              </w:rPr>
              <w:tab/>
            </w:r>
          </w:p>
        </w:tc>
      </w:tr>
    </w:tbl>
    <w:p w:rsidRPr="006849F1" w:rsidR="00AB4DAA" w:rsidP="00AB4DAA" w:rsidRDefault="00AB4DAA" w14:paraId="0B76CEB0" w14:textId="77777777">
      <w:pPr>
        <w:spacing w:after="0" w:line="240" w:lineRule="auto"/>
        <w:jc w:val="both"/>
        <w:rPr>
          <w:rFonts w:ascii="Verdana" w:hAnsi="Verdana" w:eastAsia="Calibri" w:cs="Arial"/>
          <w:lang w:val="es-ES_tradnl" w:eastAsia="es-ES_tradnl"/>
        </w:rPr>
      </w:pPr>
    </w:p>
    <w:p w:rsidRPr="006849F1" w:rsidR="00AB4DAA" w:rsidP="00AB4DAA" w:rsidRDefault="00AB4DAA" w14:paraId="67E3F600" w14:textId="77777777">
      <w:pPr>
        <w:spacing w:after="0" w:line="240" w:lineRule="auto"/>
        <w:jc w:val="both"/>
        <w:rPr>
          <w:rFonts w:ascii="Verdana" w:hAnsi="Verdana" w:eastAsia="Calibri" w:cs="Arial"/>
          <w:lang w:val="es-ES_tradnl" w:eastAsia="es-ES_tradnl"/>
        </w:rPr>
      </w:pPr>
    </w:p>
    <w:p w:rsidRPr="006849F1" w:rsidR="00AB4DAA" w:rsidP="00AB4DAA" w:rsidRDefault="00472A6E" w14:paraId="2F614374" w14:textId="02E7CFEB">
      <w:pPr>
        <w:spacing w:after="0" w:line="276" w:lineRule="auto"/>
        <w:jc w:val="both"/>
        <w:rPr>
          <w:rFonts w:ascii="Verdana" w:hAnsi="Verdana" w:eastAsia="Calibri" w:cs="Arial"/>
          <w:lang w:val="es-ES" w:eastAsia="es-ES"/>
        </w:rPr>
      </w:pPr>
      <w:r>
        <w:rPr>
          <w:rFonts w:ascii="Verdana" w:hAnsi="Verdana" w:eastAsia="Calibri" w:cs="Arial"/>
          <w:lang w:val="es-ES" w:eastAsia="es-ES"/>
        </w:rPr>
        <w:t>Estimada señora Quiroz</w:t>
      </w:r>
      <w:r w:rsidRPr="006849F1" w:rsidR="00AB4DAA">
        <w:rPr>
          <w:rFonts w:ascii="Verdana" w:hAnsi="Verdana" w:eastAsia="Calibri" w:cs="Arial"/>
          <w:lang w:val="es-ES" w:eastAsia="es-ES"/>
        </w:rPr>
        <w:t xml:space="preserve">: </w:t>
      </w:r>
    </w:p>
    <w:p w:rsidRPr="006849F1" w:rsidR="00AB4DAA" w:rsidP="00AB4DAA" w:rsidRDefault="00AB4DAA" w14:paraId="416590BB" w14:textId="77777777">
      <w:pPr>
        <w:tabs>
          <w:tab w:val="left" w:pos="3768"/>
        </w:tabs>
        <w:spacing w:after="0" w:line="276" w:lineRule="auto"/>
        <w:jc w:val="both"/>
        <w:rPr>
          <w:rFonts w:ascii="Verdana" w:hAnsi="Verdana" w:eastAsia="Calibri" w:cs="Arial"/>
          <w:lang w:val="es-ES" w:eastAsia="es-ES"/>
        </w:rPr>
      </w:pPr>
      <w:r w:rsidRPr="006849F1">
        <w:rPr>
          <w:rFonts w:ascii="Verdana" w:hAnsi="Verdana" w:eastAsia="Calibri" w:cs="Arial"/>
          <w:lang w:val="es-ES" w:eastAsia="es-ES"/>
        </w:rPr>
        <w:tab/>
      </w:r>
    </w:p>
    <w:p w:rsidRPr="006849F1" w:rsidR="00AB4DAA" w:rsidP="00AB4DAA" w:rsidRDefault="00AB4DAA" w14:paraId="706E3CBC" w14:textId="026EC70C">
      <w:pPr>
        <w:spacing w:after="0" w:line="276" w:lineRule="auto"/>
        <w:jc w:val="both"/>
        <w:rPr>
          <w:rFonts w:ascii="Verdana" w:hAnsi="Verdana" w:eastAsia="Calibri" w:cs="Arial"/>
          <w:lang w:val="es-ES" w:eastAsia="es-ES"/>
        </w:rPr>
      </w:pPr>
      <w:r w:rsidRPr="006849F1">
        <w:rPr>
          <w:rFonts w:ascii="Verdana" w:hAnsi="Verdana" w:eastAsia="Calibri" w:cs="Arial"/>
          <w:lang w:val="es-ES" w:eastAsia="es-ES"/>
        </w:rPr>
        <w:t>En ejercicio de la competencia otorgada por los artículos 3, numeral 5º, y 11, numeral 8º, del Decreto Ley 4170 de 2011,</w:t>
      </w:r>
      <w:r w:rsidRPr="006849F1">
        <w:rPr>
          <w:rFonts w:ascii="Verdana" w:hAnsi="Verdana" w:eastAsia="Arial MT" w:cs="Arial MT"/>
          <w:lang w:val="es-ES" w:eastAsia="es-ES"/>
        </w:rPr>
        <w:t xml:space="preserve"> </w:t>
      </w:r>
      <w:r w:rsidRPr="006849F1">
        <w:rPr>
          <w:rFonts w:ascii="Verdana" w:hAnsi="Verdana" w:cs="Arial"/>
        </w:rPr>
        <w:t xml:space="preserve">así como lo establecido en el artículo 4 de la Resolución 1707 de 2018 expedida por esta Entidad, </w:t>
      </w:r>
      <w:r w:rsidRPr="006849F1">
        <w:rPr>
          <w:rFonts w:ascii="Verdana" w:hAnsi="Verdana" w:eastAsia="Calibri" w:cs="Arial"/>
          <w:lang w:val="es-ES" w:eastAsia="es-ES"/>
        </w:rPr>
        <w:t xml:space="preserve">la Agencia Nacional de Contratación Pública – Colombia Compra Eficiente– responde su solicitud de consulta de fecha del </w:t>
      </w:r>
      <w:r w:rsidR="00142A0A">
        <w:rPr>
          <w:rFonts w:ascii="Verdana" w:hAnsi="Verdana" w:eastAsia="Calibri" w:cs="Arial"/>
          <w:lang w:val="es-ES" w:eastAsia="es-ES"/>
        </w:rPr>
        <w:t>18</w:t>
      </w:r>
      <w:r w:rsidRPr="006849F1">
        <w:rPr>
          <w:rFonts w:ascii="Verdana" w:hAnsi="Verdana" w:eastAsia="Calibri" w:cs="Arial"/>
          <w:lang w:val="es-ES" w:eastAsia="es-ES"/>
        </w:rPr>
        <w:t xml:space="preserve"> de junio de 2024, </w:t>
      </w:r>
      <w:r w:rsidR="00142A0A">
        <w:rPr>
          <w:rFonts w:ascii="Verdana" w:hAnsi="Verdana" w:eastAsia="Calibri" w:cs="Arial"/>
          <w:lang w:val="es-ES" w:eastAsia="es-ES"/>
        </w:rPr>
        <w:t xml:space="preserve">que fue remitida por el Departamento </w:t>
      </w:r>
      <w:r w:rsidR="00142A0A">
        <w:rPr>
          <w:rFonts w:ascii="Verdana" w:hAnsi="Verdana" w:eastAsia="Calibri" w:cs="Arial"/>
          <w:lang w:val="es-ES" w:eastAsia="es-ES"/>
        </w:rPr>
        <w:lastRenderedPageBreak/>
        <w:t>Administrativa de la Función Pública</w:t>
      </w:r>
      <w:r w:rsidR="006226CF">
        <w:rPr>
          <w:rFonts w:ascii="Verdana" w:hAnsi="Verdana" w:eastAsia="Calibri" w:cs="Arial"/>
          <w:lang w:val="es-ES" w:eastAsia="es-ES"/>
        </w:rPr>
        <w:t xml:space="preserve">, mediante oficio con radicado No. </w:t>
      </w:r>
      <w:r w:rsidRPr="006226CF" w:rsidR="006226CF">
        <w:rPr>
          <w:rFonts w:ascii="Verdana" w:hAnsi="Verdana" w:eastAsia="Calibri" w:cs="Arial"/>
          <w:lang w:val="es-ES" w:eastAsia="es-ES"/>
        </w:rPr>
        <w:t>20249000465932</w:t>
      </w:r>
      <w:r w:rsidR="006226CF">
        <w:rPr>
          <w:rFonts w:ascii="Verdana" w:hAnsi="Verdana" w:eastAsia="Calibri" w:cs="Arial"/>
          <w:lang w:val="es-ES" w:eastAsia="es-ES"/>
        </w:rPr>
        <w:t xml:space="preserve"> del mismo mes y año</w:t>
      </w:r>
      <w:r w:rsidR="00142A0A">
        <w:rPr>
          <w:rFonts w:ascii="Verdana" w:hAnsi="Verdana" w:eastAsia="Calibri" w:cs="Arial"/>
          <w:lang w:val="es-ES" w:eastAsia="es-ES"/>
        </w:rPr>
        <w:t>. Usted</w:t>
      </w:r>
      <w:r w:rsidRPr="006849F1">
        <w:rPr>
          <w:rFonts w:ascii="Verdana" w:hAnsi="Verdana" w:eastAsia="Calibri" w:cs="Arial"/>
          <w:lang w:val="es-ES" w:eastAsia="es-ES"/>
        </w:rPr>
        <w:t xml:space="preserve"> realiza la siguiente </w:t>
      </w:r>
      <w:r w:rsidR="00142A0A">
        <w:rPr>
          <w:rFonts w:ascii="Verdana" w:hAnsi="Verdana" w:eastAsia="Calibri" w:cs="Arial"/>
          <w:lang w:val="es-ES" w:eastAsia="es-ES"/>
        </w:rPr>
        <w:t>pregunta</w:t>
      </w:r>
      <w:r w:rsidRPr="006849F1">
        <w:rPr>
          <w:rFonts w:ascii="Verdana" w:hAnsi="Verdana" w:eastAsia="Calibri" w:cs="Arial"/>
          <w:lang w:val="es-ES" w:eastAsia="es-ES"/>
        </w:rPr>
        <w:t xml:space="preserve">: </w:t>
      </w:r>
    </w:p>
    <w:p w:rsidRPr="006849F1" w:rsidR="00AB4DAA" w:rsidP="00AB4DAA" w:rsidRDefault="00AB4DAA" w14:paraId="501CDA3A" w14:textId="77777777">
      <w:pPr>
        <w:tabs>
          <w:tab w:val="left" w:pos="142"/>
          <w:tab w:val="left" w:pos="284"/>
        </w:tabs>
        <w:spacing w:after="0" w:line="240" w:lineRule="auto"/>
        <w:contextualSpacing/>
        <w:jc w:val="both"/>
        <w:rPr>
          <w:rFonts w:ascii="Verdana" w:hAnsi="Verdana" w:eastAsia="Century Gothic" w:cs="Century Gothic"/>
          <w:b/>
          <w:bCs/>
          <w:sz w:val="20"/>
          <w:szCs w:val="20"/>
          <w:lang w:val="es-ES"/>
        </w:rPr>
      </w:pPr>
    </w:p>
    <w:p w:rsidRPr="006849F1" w:rsidR="00AB4DAA" w:rsidP="007B0E9C" w:rsidRDefault="00AB4DAA" w14:paraId="7DECCC7E" w14:textId="7551D3A8">
      <w:pPr>
        <w:tabs>
          <w:tab w:val="left" w:pos="709"/>
        </w:tabs>
        <w:spacing w:after="0" w:line="240" w:lineRule="auto"/>
        <w:ind w:left="709" w:right="709"/>
        <w:jc w:val="both"/>
        <w:rPr>
          <w:rFonts w:ascii="Verdana" w:hAnsi="Verdana" w:eastAsia="Calibri" w:cs="Arial"/>
          <w:sz w:val="20"/>
          <w:szCs w:val="20"/>
          <w:lang w:val="es-MX"/>
        </w:rPr>
      </w:pPr>
      <w:r w:rsidRPr="006849F1">
        <w:rPr>
          <w:rFonts w:ascii="Verdana" w:hAnsi="Verdana" w:eastAsia="Calibri" w:cs="Arial"/>
          <w:sz w:val="20"/>
          <w:szCs w:val="20"/>
          <w:lang w:val="es-MX"/>
        </w:rPr>
        <w:t>“</w:t>
      </w:r>
      <w:r w:rsidR="00995B46">
        <w:rPr>
          <w:rFonts w:ascii="Verdana" w:hAnsi="Verdana" w:eastAsia="Calibri" w:cs="Arial"/>
          <w:sz w:val="20"/>
          <w:szCs w:val="20"/>
          <w:lang w:val="es-MX"/>
        </w:rPr>
        <w:t>¿un investigador privado puede solicitar a una entidad publica los contratos de prestación de servicios que un contratista firmo con la entidad o est</w:t>
      </w:r>
      <w:r w:rsidR="00F71A9A">
        <w:rPr>
          <w:rFonts w:ascii="Verdana" w:hAnsi="Verdana" w:eastAsia="Calibri" w:cs="Arial"/>
          <w:sz w:val="20"/>
          <w:szCs w:val="20"/>
          <w:lang w:val="es-MX"/>
        </w:rPr>
        <w:t>os tienen algún tipo de reserva legal si hay una investigación judicial en curso.?” [sic]</w:t>
      </w:r>
    </w:p>
    <w:p w:rsidRPr="006849F1" w:rsidR="00AB4DAA" w:rsidP="00AB4DAA" w:rsidRDefault="00AB4DAA" w14:paraId="006DED6C" w14:textId="77777777">
      <w:pPr>
        <w:tabs>
          <w:tab w:val="left" w:pos="142"/>
          <w:tab w:val="left" w:pos="284"/>
        </w:tabs>
        <w:spacing w:line="276" w:lineRule="auto"/>
        <w:contextualSpacing/>
        <w:jc w:val="both"/>
        <w:rPr>
          <w:rFonts w:ascii="Verdana" w:hAnsi="Verdana" w:eastAsia="Century Gothic" w:cs="Century Gothic"/>
          <w:b/>
          <w:bCs/>
          <w:lang w:val="es-ES"/>
        </w:rPr>
      </w:pPr>
    </w:p>
    <w:p w:rsidRPr="006849F1" w:rsidR="00AB4DAA" w:rsidP="00AB4DAA" w:rsidRDefault="00AB4DAA" w14:paraId="1439EE3A" w14:textId="7FB9E1BD">
      <w:pPr>
        <w:spacing w:after="120" w:line="276" w:lineRule="auto"/>
        <w:ind w:firstLine="709"/>
        <w:jc w:val="both"/>
        <w:rPr>
          <w:rFonts w:ascii="Verdana" w:hAnsi="Verdana" w:eastAsia="Calibri" w:cs="Arial"/>
          <w:szCs w:val="24"/>
          <w:lang w:val="es-ES_tradnl" w:eastAsia="es-ES_tradnl"/>
        </w:rPr>
      </w:pPr>
      <w:r w:rsidRPr="006849F1">
        <w:rPr>
          <w:rFonts w:ascii="Verdana" w:hAnsi="Verdana" w:eastAsia="Calibri" w:cs="Arial"/>
          <w:lang w:val="es-ES" w:eastAsia="es-ES"/>
        </w:rPr>
        <w:t xml:space="preserve">De manera preliminar, resulta necesario acotar que esta entidad solo tiene competencia para responder consultas sobre la aplicación de normas de </w:t>
      </w:r>
      <w:r w:rsidRPr="006849F1" w:rsidR="00D5409F">
        <w:rPr>
          <w:rFonts w:ascii="Verdana" w:hAnsi="Verdana" w:eastAsia="Calibri" w:cs="Arial"/>
          <w:lang w:val="es-ES" w:eastAsia="es-ES"/>
        </w:rPr>
        <w:t xml:space="preserve">carácter </w:t>
      </w:r>
      <w:r w:rsidR="00D5409F">
        <w:rPr>
          <w:rFonts w:ascii="Verdana" w:hAnsi="Verdana" w:eastAsia="Calibri" w:cs="Arial"/>
          <w:lang w:val="es-ES" w:eastAsia="es-ES"/>
        </w:rPr>
        <w:t>general</w:t>
      </w:r>
      <w:r w:rsidRPr="006849F1">
        <w:rPr>
          <w:rFonts w:ascii="Verdana" w:hAnsi="Verdana" w:eastAsia="Calibri" w:cs="Arial"/>
          <w:lang w:val="es-ES" w:eastAsia="es-ES"/>
        </w:rPr>
        <w:t xml:space="preserve">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849F1">
        <w:rPr>
          <w:rFonts w:ascii="Verdana" w:hAnsi="Verdana" w:eastAsia="Calibri" w:cs="Arial"/>
          <w:szCs w:val="24"/>
          <w:lang w:val="es-ES_tradnl" w:eastAsia="es-ES_tradnl"/>
        </w:rPr>
        <w:tab/>
      </w:r>
    </w:p>
    <w:p w:rsidRPr="006849F1" w:rsidR="00AB4DAA" w:rsidP="00AB4DAA" w:rsidRDefault="00AB4DAA" w14:paraId="0D74DE12" w14:textId="77777777">
      <w:pPr>
        <w:spacing w:after="0" w:line="276" w:lineRule="auto"/>
        <w:ind w:firstLine="709"/>
        <w:jc w:val="both"/>
        <w:rPr>
          <w:rFonts w:ascii="Verdana" w:hAnsi="Verdana" w:eastAsia="Calibri" w:cs="Arial"/>
          <w:lang w:val="es-ES" w:eastAsia="es-ES"/>
        </w:rPr>
      </w:pPr>
      <w:r w:rsidRPr="006849F1">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rsidRPr="006849F1" w:rsidR="00AB4DAA" w:rsidP="00AB4DAA" w:rsidRDefault="00AB4DAA" w14:paraId="577823F4" w14:textId="77777777">
      <w:pPr>
        <w:spacing w:after="0" w:line="276" w:lineRule="auto"/>
        <w:ind w:firstLine="709"/>
        <w:jc w:val="both"/>
        <w:rPr>
          <w:rFonts w:ascii="Verdana" w:hAnsi="Verdana" w:eastAsia="Calibri" w:cs="Arial"/>
          <w:lang w:val="es-ES" w:eastAsia="es-ES"/>
        </w:rPr>
      </w:pPr>
    </w:p>
    <w:p w:rsidRPr="006849F1" w:rsidR="00AB4DAA" w:rsidP="00AB4DAA" w:rsidRDefault="00AB4DAA" w14:paraId="37082DCE" w14:textId="77777777">
      <w:pPr>
        <w:widowControl w:val="0"/>
        <w:autoSpaceDE w:val="0"/>
        <w:autoSpaceDN w:val="0"/>
        <w:spacing w:before="1" w:after="0" w:line="240" w:lineRule="auto"/>
        <w:ind w:left="360" w:hanging="360"/>
        <w:jc w:val="both"/>
        <w:outlineLvl w:val="0"/>
        <w:rPr>
          <w:rFonts w:ascii="Verdana" w:hAnsi="Verdana" w:eastAsia="Arial" w:cs="Arial"/>
          <w:b/>
          <w:bCs/>
          <w:lang w:val="es-ES"/>
        </w:rPr>
      </w:pPr>
      <w:r w:rsidRPr="006849F1">
        <w:rPr>
          <w:rFonts w:ascii="Verdana" w:hAnsi="Verdana" w:eastAsia="Arial" w:cs="Arial"/>
          <w:b/>
          <w:bCs/>
          <w:lang w:val="es-ES"/>
        </w:rPr>
        <w:t>1. Problema planteado:</w:t>
      </w:r>
    </w:p>
    <w:p w:rsidRPr="006849F1" w:rsidR="00AB4DAA" w:rsidP="00AB4DAA" w:rsidRDefault="00AB4DAA" w14:paraId="4FD2180B" w14:textId="77777777">
      <w:pPr>
        <w:tabs>
          <w:tab w:val="left" w:pos="426"/>
        </w:tabs>
        <w:spacing w:after="0" w:line="276" w:lineRule="auto"/>
        <w:jc w:val="both"/>
        <w:rPr>
          <w:rFonts w:ascii="Verdana" w:hAnsi="Verdana" w:eastAsia="Century Gothic" w:cs="Century Gothic"/>
          <w:lang w:val="es-ES"/>
        </w:rPr>
      </w:pPr>
    </w:p>
    <w:p w:rsidR="00AB4DAA" w:rsidP="00AB4DAA" w:rsidRDefault="00AB4DAA" w14:paraId="47454F69" w14:textId="1ED6013A">
      <w:pPr>
        <w:spacing w:after="0" w:line="276" w:lineRule="auto"/>
        <w:jc w:val="both"/>
        <w:rPr>
          <w:rFonts w:ascii="Verdana" w:hAnsi="Verdana" w:eastAsia="Century Gothic" w:cs="Century Gothic"/>
        </w:rPr>
      </w:pPr>
      <w:r w:rsidRPr="006849F1">
        <w:rPr>
          <w:rFonts w:ascii="Verdana" w:hAnsi="Verdana" w:eastAsia="Century Gothic" w:cs="Century Gothic"/>
        </w:rPr>
        <w:t xml:space="preserve">De acuerdo con el contenido de su solicitud, </w:t>
      </w:r>
      <w:r w:rsidR="000A5F9F">
        <w:rPr>
          <w:rFonts w:ascii="Verdana" w:hAnsi="Verdana" w:eastAsia="Century Gothic" w:cs="Century Gothic"/>
        </w:rPr>
        <w:t>se</w:t>
      </w:r>
      <w:r w:rsidRPr="006849F1">
        <w:rPr>
          <w:rFonts w:ascii="Verdana" w:hAnsi="Verdana" w:eastAsia="Century Gothic" w:cs="Century Gothic"/>
        </w:rPr>
        <w:t xml:space="preserve"> </w:t>
      </w:r>
      <w:r w:rsidR="000A5F9F">
        <w:rPr>
          <w:rFonts w:ascii="Verdana" w:hAnsi="Verdana" w:eastAsia="Century Gothic" w:cs="Century Gothic"/>
        </w:rPr>
        <w:t>evidencia</w:t>
      </w:r>
      <w:r w:rsidRPr="006849F1">
        <w:rPr>
          <w:rFonts w:ascii="Verdana" w:hAnsi="Verdana" w:eastAsia="Century Gothic" w:cs="Century Gothic"/>
        </w:rPr>
        <w:t xml:space="preserve"> que la misma está </w:t>
      </w:r>
      <w:r w:rsidR="00BD6718">
        <w:rPr>
          <w:rFonts w:ascii="Verdana" w:hAnsi="Verdana" w:eastAsia="Century Gothic" w:cs="Century Gothic"/>
        </w:rPr>
        <w:t>relacionada con</w:t>
      </w:r>
      <w:r w:rsidRPr="006849F1">
        <w:rPr>
          <w:rFonts w:ascii="Verdana" w:hAnsi="Verdana" w:eastAsia="Century Gothic" w:cs="Century Gothic"/>
        </w:rPr>
        <w:t xml:space="preserve"> </w:t>
      </w:r>
      <w:r w:rsidR="00F1087B">
        <w:rPr>
          <w:rFonts w:ascii="Verdana" w:hAnsi="Verdana" w:eastAsia="Century Gothic" w:cs="Century Gothic"/>
        </w:rPr>
        <w:t>la reserva de la información pública, particularmente en lo ati</w:t>
      </w:r>
      <w:r w:rsidR="00A670F0">
        <w:rPr>
          <w:rFonts w:ascii="Verdana" w:hAnsi="Verdana" w:eastAsia="Century Gothic" w:cs="Century Gothic"/>
        </w:rPr>
        <w:t>nente al límite del deber de divulgación de la información en la contratación estata</w:t>
      </w:r>
      <w:r w:rsidR="00D56721">
        <w:rPr>
          <w:rFonts w:ascii="Verdana" w:hAnsi="Verdana" w:eastAsia="Century Gothic" w:cs="Century Gothic"/>
        </w:rPr>
        <w:t>l</w:t>
      </w:r>
      <w:r w:rsidR="00996551">
        <w:rPr>
          <w:rFonts w:ascii="Verdana" w:hAnsi="Verdana" w:eastAsia="Century Gothic" w:cs="Century Gothic"/>
        </w:rPr>
        <w:t>.</w:t>
      </w:r>
      <w:r w:rsidR="00F964E1">
        <w:rPr>
          <w:rFonts w:ascii="Verdana" w:hAnsi="Verdana" w:eastAsia="Century Gothic" w:cs="Century Gothic"/>
        </w:rPr>
        <w:t xml:space="preserve"> P</w:t>
      </w:r>
      <w:r w:rsidRPr="006849F1">
        <w:rPr>
          <w:rFonts w:ascii="Verdana" w:hAnsi="Verdana" w:eastAsia="Century Gothic" w:cs="Century Gothic"/>
        </w:rPr>
        <w:t>or lo que</w:t>
      </w:r>
      <w:r w:rsidR="00F964E1">
        <w:rPr>
          <w:rFonts w:ascii="Verdana" w:hAnsi="Verdana" w:eastAsia="Century Gothic" w:cs="Century Gothic"/>
        </w:rPr>
        <w:t>,</w:t>
      </w:r>
      <w:r w:rsidRPr="006849F1">
        <w:rPr>
          <w:rFonts w:ascii="Verdana" w:hAnsi="Verdana" w:eastAsia="Century Gothic" w:cs="Century Gothic"/>
        </w:rPr>
        <w:t xml:space="preserve"> </w:t>
      </w:r>
      <w:r w:rsidR="00797B00">
        <w:rPr>
          <w:rFonts w:ascii="Verdana" w:hAnsi="Verdana" w:eastAsia="Century Gothic" w:cs="Century Gothic"/>
        </w:rPr>
        <w:t xml:space="preserve">se </w:t>
      </w:r>
      <w:r w:rsidRPr="006849F1">
        <w:rPr>
          <w:rFonts w:ascii="Verdana" w:hAnsi="Verdana" w:eastAsia="Century Gothic" w:cs="Century Gothic"/>
        </w:rPr>
        <w:t xml:space="preserve">resolverá </w:t>
      </w:r>
      <w:r w:rsidR="00F964E1">
        <w:rPr>
          <w:rFonts w:ascii="Verdana" w:hAnsi="Verdana" w:eastAsia="Century Gothic" w:cs="Century Gothic"/>
        </w:rPr>
        <w:t xml:space="preserve">su consulta </w:t>
      </w:r>
      <w:r w:rsidRPr="006849F1">
        <w:rPr>
          <w:rFonts w:ascii="Verdana" w:hAnsi="Verdana" w:eastAsia="Century Gothic" w:cs="Century Gothic"/>
        </w:rPr>
        <w:t xml:space="preserve">desde </w:t>
      </w:r>
      <w:r w:rsidR="0092582E">
        <w:rPr>
          <w:rFonts w:ascii="Verdana" w:hAnsi="Verdana" w:eastAsia="Century Gothic" w:cs="Century Gothic"/>
        </w:rPr>
        <w:t>el sig</w:t>
      </w:r>
      <w:r w:rsidR="00143985">
        <w:rPr>
          <w:rFonts w:ascii="Verdana" w:hAnsi="Verdana" w:eastAsia="Century Gothic" w:cs="Century Gothic"/>
        </w:rPr>
        <w:t>uiente</w:t>
      </w:r>
      <w:r w:rsidRPr="006849F1">
        <w:rPr>
          <w:rFonts w:ascii="Verdana" w:hAnsi="Verdana" w:eastAsia="Century Gothic" w:cs="Century Gothic"/>
        </w:rPr>
        <w:t xml:space="preserve"> jurídico:</w:t>
      </w:r>
      <w:bookmarkStart w:name="_Hlk171070029" w:id="0"/>
      <w:r w:rsidR="007A14D5">
        <w:rPr>
          <w:rFonts w:ascii="Verdana" w:hAnsi="Verdana" w:eastAsia="Century Gothic" w:cs="Century Gothic"/>
        </w:rPr>
        <w:t xml:space="preserve"> </w:t>
      </w:r>
      <w:r w:rsidRPr="00D56721" w:rsidR="00D56721">
        <w:rPr>
          <w:rFonts w:ascii="Verdana" w:hAnsi="Verdana" w:eastAsia="Century Gothic" w:cs="Century Gothic"/>
        </w:rPr>
        <w:t xml:space="preserve">“¿un investigador privado puede solicitar a una entidad pública los contratos de </w:t>
      </w:r>
      <w:r w:rsidRPr="00D56721" w:rsidR="00D56721">
        <w:rPr>
          <w:rFonts w:ascii="Verdana" w:hAnsi="Verdana" w:eastAsia="Century Gothic" w:cs="Century Gothic"/>
        </w:rPr>
        <w:lastRenderedPageBreak/>
        <w:t>prestación de servicios que un contratista firm</w:t>
      </w:r>
      <w:r w:rsidR="00D56721">
        <w:rPr>
          <w:rFonts w:ascii="Verdana" w:hAnsi="Verdana" w:eastAsia="Century Gothic" w:cs="Century Gothic"/>
        </w:rPr>
        <w:t>ó</w:t>
      </w:r>
      <w:r w:rsidRPr="00D56721" w:rsidR="00D56721">
        <w:rPr>
          <w:rFonts w:ascii="Verdana" w:hAnsi="Verdana" w:eastAsia="Century Gothic" w:cs="Century Gothic"/>
        </w:rPr>
        <w:t xml:space="preserve"> con la entidad o estos tienen algún tipo de reserva legal si hay una investigación judicial en curso</w:t>
      </w:r>
      <w:r w:rsidR="00D56721">
        <w:rPr>
          <w:rFonts w:ascii="Verdana" w:hAnsi="Verdana" w:eastAsia="Century Gothic" w:cs="Century Gothic"/>
        </w:rPr>
        <w:t>?</w:t>
      </w:r>
    </w:p>
    <w:p w:rsidRPr="006849F1" w:rsidR="00D56721" w:rsidP="00AB4DAA" w:rsidRDefault="00D56721" w14:paraId="1770D0C3" w14:textId="77777777">
      <w:pPr>
        <w:spacing w:after="0" w:line="276" w:lineRule="auto"/>
        <w:jc w:val="both"/>
        <w:rPr>
          <w:rFonts w:ascii="Verdana" w:hAnsi="Verdana" w:eastAsia="Calibri" w:cs="Arial"/>
          <w:lang w:val="es-ES"/>
        </w:rPr>
      </w:pPr>
    </w:p>
    <w:bookmarkEnd w:id="0"/>
    <w:p w:rsidRPr="006849F1" w:rsidR="00AB4DAA" w:rsidP="00AB4DAA" w:rsidRDefault="00AB4DAA" w14:paraId="49045D37" w14:textId="77777777">
      <w:pPr>
        <w:widowControl w:val="0"/>
        <w:autoSpaceDE w:val="0"/>
        <w:autoSpaceDN w:val="0"/>
        <w:spacing w:before="1" w:after="0" w:line="240" w:lineRule="auto"/>
        <w:jc w:val="both"/>
        <w:outlineLvl w:val="0"/>
        <w:rPr>
          <w:rFonts w:ascii="Verdana" w:hAnsi="Verdana" w:eastAsia="Arial" w:cs="Arial"/>
          <w:b/>
          <w:bCs/>
          <w:lang w:val="es-ES"/>
        </w:rPr>
      </w:pPr>
      <w:r w:rsidRPr="006849F1">
        <w:rPr>
          <w:rFonts w:ascii="Verdana" w:hAnsi="Verdana" w:eastAsia="Arial" w:cs="Arial"/>
          <w:b/>
          <w:bCs/>
          <w:lang w:val="es-ES"/>
        </w:rPr>
        <w:t>2. Respuestas:</w:t>
      </w:r>
    </w:p>
    <w:p w:rsidRPr="00A90C47" w:rsidR="00E10312" w:rsidP="00E10312" w:rsidRDefault="00E10312" w14:paraId="608E0700" w14:textId="77777777">
      <w:pPr>
        <w:rPr>
          <w:rFonts w:ascii="Verdana" w:hAnsi="Verdana"/>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6849F1" w:rsidR="00AB4DAA" w:rsidTr="002F3573" w14:paraId="0F0F3E0C" w14:textId="77777777">
        <w:tc>
          <w:tcPr>
            <w:tcW w:w="8828" w:type="dxa"/>
            <w:shd w:val="clear" w:color="auto" w:fill="auto"/>
          </w:tcPr>
          <w:p w:rsidRPr="009A34EA" w:rsidR="009A34EA" w:rsidP="002F3573" w:rsidRDefault="0008424F" w14:paraId="31546E11" w14:textId="182D8868">
            <w:pPr>
              <w:spacing w:line="276" w:lineRule="auto"/>
              <w:jc w:val="both"/>
              <w:rPr>
                <w:rFonts w:ascii="Verdana" w:hAnsi="Verdana" w:eastAsia="Calibri" w:cs="Arial"/>
                <w:color w:val="7030A0"/>
                <w:lang w:val="es-ES"/>
              </w:rPr>
            </w:pPr>
            <w:bookmarkStart w:name="_Hlk171067516" w:id="1"/>
            <w:r w:rsidRPr="009A7C0E">
              <w:rPr>
                <w:rFonts w:ascii="Verdana" w:hAnsi="Verdana" w:eastAsia="Calibri" w:cs="Arial"/>
                <w:lang w:val="es-ES"/>
              </w:rPr>
              <w:t xml:space="preserve">El artículo 74 de la Constitución Política establece que “Todas las personas tienen derecho a acceder a los documentos públicos salvo los casos que establezca la ley”. </w:t>
            </w:r>
            <w:r w:rsidRPr="009A7C0E" w:rsidR="00A8492E">
              <w:rPr>
                <w:rFonts w:ascii="Verdana" w:hAnsi="Verdana" w:eastAsia="Calibri" w:cs="Arial"/>
                <w:lang w:val="es-ES"/>
              </w:rPr>
              <w:t xml:space="preserve">Esta disposición constitucional consagra el derecho fundamental de acceso a la información y a la documentación pública, salvo causal de reserva expresamente prevista en la ley. Tal derecho se regula integralmente en la Ley 1712 de 2014 “Ley de Transparencia y del Derecho de </w:t>
            </w:r>
            <w:r w:rsidRPr="009A7C0E" w:rsidR="00551C51">
              <w:rPr>
                <w:rFonts w:ascii="Verdana" w:hAnsi="Verdana" w:eastAsia="Calibri" w:cs="Arial"/>
                <w:lang w:val="es-ES"/>
              </w:rPr>
              <w:t xml:space="preserve">Acceso a la Información Pública Nacional”. </w:t>
            </w:r>
            <w:r w:rsidRPr="009A7C0E" w:rsidR="009A34EA">
              <w:rPr>
                <w:rFonts w:ascii="Verdana" w:hAnsi="Verdana" w:eastAsia="Calibri" w:cs="Arial"/>
                <w:lang w:val="es-ES"/>
              </w:rPr>
              <w:t xml:space="preserve">De esta forma, el artículo 74 Constitucional, en armonía con los artículos 18 y 19 de la Ley 1712 de 2014 y los artículos 24 y 25 de la Ley 1437 de 2011 –de acuerdo con la modificación realizada por la Ley 1755 de 2015–, establecen que el derecho de acceso a la información pública no es absoluto, sino que puede exceptuarse cuando se configuren causales de reserva. De esta forma, debe precisarse que </w:t>
            </w:r>
            <w:r w:rsidRPr="009F2562" w:rsidR="009F2562">
              <w:rPr>
                <w:rFonts w:ascii="Verdana" w:hAnsi="Verdana" w:eastAsia="Calibri" w:cs="Arial"/>
                <w:lang w:val="es-ES"/>
              </w:rPr>
              <w:t>el contenido del expediente</w:t>
            </w:r>
            <w:r w:rsidR="009F2562">
              <w:rPr>
                <w:rFonts w:ascii="Verdana" w:hAnsi="Verdana" w:eastAsia="Calibri" w:cs="Arial"/>
                <w:lang w:val="es-ES"/>
              </w:rPr>
              <w:t xml:space="preserve"> en el que reposa la información contractual,</w:t>
            </w:r>
            <w:r w:rsidRPr="009F2562" w:rsidR="009F2562">
              <w:rPr>
                <w:rFonts w:ascii="Verdana" w:hAnsi="Verdana" w:eastAsia="Calibri" w:cs="Arial"/>
                <w:lang w:val="es-ES"/>
              </w:rPr>
              <w:t xml:space="preserve"> puede ser objeto de solicitud de copias, en ejercicio del derecho de petición</w:t>
            </w:r>
            <w:r w:rsidR="00E25A64">
              <w:rPr>
                <w:rFonts w:ascii="Verdana" w:hAnsi="Verdana" w:eastAsia="Calibri" w:cs="Arial"/>
                <w:lang w:val="es-ES"/>
              </w:rPr>
              <w:t xml:space="preserve">, salvo, cuando </w:t>
            </w:r>
            <w:r w:rsidR="002E1A45">
              <w:rPr>
                <w:rFonts w:ascii="Verdana" w:hAnsi="Verdana" w:eastAsia="Calibri" w:cs="Arial"/>
                <w:lang w:val="es-ES"/>
              </w:rPr>
              <w:t>e</w:t>
            </w:r>
            <w:r w:rsidRPr="009F2562" w:rsidR="009F2562">
              <w:rPr>
                <w:rFonts w:ascii="Verdana" w:hAnsi="Verdana" w:eastAsia="Calibri" w:cs="Arial"/>
                <w:lang w:val="es-ES"/>
              </w:rPr>
              <w:t>sta posibilidad se encuentr</w:t>
            </w:r>
            <w:r w:rsidR="00E25A64">
              <w:rPr>
                <w:rFonts w:ascii="Verdana" w:hAnsi="Verdana" w:eastAsia="Calibri" w:cs="Arial"/>
                <w:lang w:val="es-ES"/>
              </w:rPr>
              <w:t>e</w:t>
            </w:r>
            <w:r w:rsidRPr="009F2562" w:rsidR="009F2562">
              <w:rPr>
                <w:rFonts w:ascii="Verdana" w:hAnsi="Verdana" w:eastAsia="Calibri" w:cs="Arial"/>
                <w:lang w:val="es-ES"/>
              </w:rPr>
              <w:t xml:space="preserve"> limitada respecto de la documentación que tenga la calidad de reservada</w:t>
            </w:r>
            <w:r w:rsidR="00E25A64">
              <w:rPr>
                <w:rFonts w:ascii="Verdana" w:hAnsi="Verdana" w:eastAsia="Calibri" w:cs="Arial"/>
                <w:lang w:val="es-ES"/>
              </w:rPr>
              <w:t>, según la Constitución y la ley.</w:t>
            </w:r>
          </w:p>
        </w:tc>
      </w:tr>
      <w:bookmarkEnd w:id="1"/>
    </w:tbl>
    <w:p w:rsidRPr="006849F1" w:rsidR="00AB4DAA" w:rsidP="00AB4DAA" w:rsidRDefault="00AB4DAA" w14:paraId="4CBE125B" w14:textId="77777777">
      <w:pPr>
        <w:tabs>
          <w:tab w:val="left" w:pos="142"/>
          <w:tab w:val="left" w:pos="284"/>
        </w:tabs>
        <w:spacing w:after="0" w:line="276" w:lineRule="auto"/>
        <w:jc w:val="both"/>
        <w:rPr>
          <w:rFonts w:ascii="Verdana" w:hAnsi="Verdana" w:eastAsia="Century Gothic" w:cs="Century Gothic"/>
          <w:b/>
          <w:bCs/>
          <w:lang w:val="es-ES"/>
        </w:rPr>
      </w:pPr>
    </w:p>
    <w:p w:rsidRPr="00753C30" w:rsidR="00AB4DAA" w:rsidP="00AB4DAA" w:rsidRDefault="00AB4DAA" w14:paraId="6C22E2CA" w14:textId="2FCA5655">
      <w:pPr>
        <w:widowControl w:val="0"/>
        <w:autoSpaceDE w:val="0"/>
        <w:autoSpaceDN w:val="0"/>
        <w:spacing w:before="1" w:after="0" w:line="240" w:lineRule="auto"/>
        <w:ind w:left="360" w:hanging="360"/>
        <w:outlineLvl w:val="0"/>
        <w:rPr>
          <w:rFonts w:ascii="Verdana" w:hAnsi="Verdana" w:eastAsia="Arial" w:cs="Arial"/>
          <w:b/>
          <w:bCs/>
          <w:color w:val="7030A0"/>
          <w:lang w:val="es-ES"/>
        </w:rPr>
      </w:pPr>
      <w:r w:rsidRPr="006849F1">
        <w:rPr>
          <w:rFonts w:ascii="Verdana" w:hAnsi="Verdana" w:eastAsia="Arial" w:cs="Arial"/>
          <w:b/>
          <w:bCs/>
          <w:lang w:val="es-ES"/>
        </w:rPr>
        <w:t>3. Razones de la respuesta</w:t>
      </w:r>
      <w:r w:rsidR="00753C30">
        <w:rPr>
          <w:rFonts w:ascii="Verdana" w:hAnsi="Verdana" w:eastAsia="Arial" w:cs="Arial"/>
          <w:b/>
          <w:bCs/>
          <w:lang w:val="es-ES"/>
        </w:rPr>
        <w:t xml:space="preserve"> </w:t>
      </w:r>
    </w:p>
    <w:p w:rsidRPr="006849F1" w:rsidR="00AB4DAA" w:rsidP="00AB4DAA" w:rsidRDefault="00AB4DAA" w14:paraId="11635BFE" w14:textId="77777777">
      <w:pPr>
        <w:spacing w:after="0" w:line="276" w:lineRule="auto"/>
        <w:jc w:val="both"/>
        <w:rPr>
          <w:rFonts w:ascii="Verdana" w:hAnsi="Verdana" w:eastAsia="Calibri" w:cs="Arial"/>
          <w:lang w:val="es-ES"/>
        </w:rPr>
      </w:pPr>
    </w:p>
    <w:p w:rsidRPr="006849F1" w:rsidR="00AB4DAA" w:rsidP="00AB4DAA" w:rsidRDefault="00AB4DAA" w14:paraId="2BCCD573" w14:textId="09823B36">
      <w:pPr>
        <w:spacing w:after="0" w:line="276" w:lineRule="auto"/>
        <w:jc w:val="both"/>
        <w:rPr>
          <w:rFonts w:ascii="Verdana" w:hAnsi="Verdana" w:eastAsia="Calibri" w:cs="Arial"/>
          <w:lang w:val="es-ES"/>
        </w:rPr>
      </w:pPr>
      <w:r w:rsidRPr="006849F1">
        <w:rPr>
          <w:rFonts w:ascii="Verdana" w:hAnsi="Verdana" w:eastAsia="Calibri" w:cs="Arial"/>
          <w:lang w:val="es-ES"/>
        </w:rPr>
        <w:t xml:space="preserve">La respuesta anterior se sustenta en las siguientes consideraciones: </w:t>
      </w:r>
    </w:p>
    <w:p w:rsidRPr="006849F1" w:rsidR="00AB4DAA" w:rsidP="00AB4DAA" w:rsidRDefault="00AB4DAA" w14:paraId="6C255CC4" w14:textId="77777777">
      <w:pPr>
        <w:spacing w:after="0" w:line="276" w:lineRule="auto"/>
        <w:jc w:val="both"/>
        <w:rPr>
          <w:rFonts w:ascii="Verdana" w:hAnsi="Verdana" w:eastAsia="Calibri" w:cs="Arial"/>
          <w:lang w:val="es-ES"/>
        </w:rPr>
      </w:pPr>
    </w:p>
    <w:p w:rsidRPr="00FB4757" w:rsidR="00EF5359" w:rsidP="00952562" w:rsidRDefault="003A7849" w14:paraId="1E5821C7" w14:textId="005EC2BD">
      <w:pPr>
        <w:pStyle w:val="Prrafodelista"/>
        <w:numPr>
          <w:ilvl w:val="0"/>
          <w:numId w:val="7"/>
        </w:numPr>
        <w:spacing w:after="0" w:line="276" w:lineRule="auto"/>
        <w:jc w:val="both"/>
        <w:rPr>
          <w:rFonts w:ascii="Verdana" w:hAnsi="Verdana" w:eastAsia="Calibri" w:cs="Arial"/>
          <w:lang w:val="es-ES"/>
        </w:rPr>
      </w:pPr>
      <w:r>
        <w:rPr>
          <w:rFonts w:ascii="Verdana" w:hAnsi="Verdana" w:eastAsia="Calibri" w:cs="Arial"/>
          <w:lang w:val="es-ES"/>
        </w:rPr>
        <w:t>La ley 1712 de 2’14, “Por medio de la cual se crea la Ley de Transparencia y del Derecho de Acceso a la Información Pública Naciona</w:t>
      </w:r>
      <w:r w:rsidR="003F1625">
        <w:rPr>
          <w:rFonts w:ascii="Verdana" w:hAnsi="Verdana" w:eastAsia="Calibri" w:cs="Arial"/>
          <w:lang w:val="es-ES"/>
        </w:rPr>
        <w:t xml:space="preserve">l </w:t>
      </w:r>
      <w:r w:rsidRPr="004D5427" w:rsidR="004D5427">
        <w:rPr>
          <w:rFonts w:ascii="Verdana" w:hAnsi="Verdana" w:eastAsia="Calibri" w:cs="Arial"/>
          <w:lang w:val="es-ES"/>
        </w:rPr>
        <w:t xml:space="preserve">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w:t>
      </w:r>
      <w:r w:rsidRPr="001A7F68" w:rsidR="004D5427">
        <w:rPr>
          <w:rFonts w:ascii="Verdana" w:hAnsi="Verdana" w:eastAsia="Calibri" w:cs="Arial"/>
          <w:lang w:val="es-ES"/>
        </w:rPr>
        <w:lastRenderedPageBreak/>
        <w:t>legal”</w:t>
      </w:r>
      <w:r w:rsidRPr="001A7F68" w:rsidR="001A7F68">
        <w:rPr>
          <w:rFonts w:ascii="Verdana" w:hAnsi="Verdana" w:eastAsia="Times New Roman" w:cs="Arial"/>
          <w:vertAlign w:val="superscript"/>
          <w:lang w:eastAsia="es-CO"/>
        </w:rPr>
        <w:footnoteReference w:id="2"/>
      </w:r>
      <w:r w:rsidRPr="001A7F68" w:rsidR="001A7F68">
        <w:rPr>
          <w:rFonts w:ascii="Verdana" w:hAnsi="Verdana" w:eastAsia="Times New Roman" w:cs="Arial"/>
          <w:lang w:eastAsia="es-CO"/>
        </w:rPr>
        <w:t>.</w:t>
      </w:r>
      <w:r w:rsidRPr="0055077C" w:rsidR="0055077C">
        <w:t xml:space="preserve"> </w:t>
      </w:r>
      <w:r w:rsidRPr="0055077C" w:rsidR="0055077C">
        <w:rPr>
          <w:rFonts w:ascii="Verdana" w:hAnsi="Verdana" w:eastAsia="Times New Roman" w:cs="Arial"/>
          <w:lang w:eastAsia="es-CO"/>
        </w:rPr>
        <w:t xml:space="preserve">El principio de transparencia en la información alude al deber de los sujetos de </w:t>
      </w:r>
      <w:r w:rsidRPr="00FB4757" w:rsidR="0055077C">
        <w:rPr>
          <w:rFonts w:ascii="Verdana" w:hAnsi="Verdana" w:eastAsia="Times New Roman" w:cs="Arial"/>
          <w:lang w:eastAsia="es-CO"/>
        </w:rPr>
        <w:t>proporcionar y facilitar el acceso a la misma en los términos más amplios posibles, a través de los medios y procedimientos que establezca la ley</w:t>
      </w:r>
      <w:r w:rsidRPr="00FB4757" w:rsidR="009249D1">
        <w:rPr>
          <w:rFonts w:ascii="Verdana" w:hAnsi="Verdana" w:eastAsia="Times New Roman" w:cs="Arial"/>
          <w:vertAlign w:val="superscript"/>
          <w:lang w:eastAsia="es-CO"/>
        </w:rPr>
        <w:footnoteReference w:id="3"/>
      </w:r>
      <w:r w:rsidRPr="00FB4757" w:rsidR="009249D1">
        <w:rPr>
          <w:rFonts w:ascii="Verdana" w:hAnsi="Verdana" w:eastAsia="Times New Roman" w:cs="Arial"/>
          <w:lang w:eastAsia="es-CO"/>
        </w:rPr>
        <w:t xml:space="preserve">. </w:t>
      </w:r>
      <w:r w:rsidRPr="00FB4757" w:rsidR="00FB4757">
        <w:rPr>
          <w:rFonts w:ascii="Verdana" w:hAnsi="Verdana" w:eastAsia="Times New Roman" w:cs="Arial"/>
          <w:lang w:eastAsia="es-CO"/>
        </w:rPr>
        <w:t>De ahí que, el principio de buena fe hace referencia la deber de todo sujeto obligado de cumplir con las disposiciones derivadas del derecho de acceso a la información pública con motivación honesta, leal</w:t>
      </w:r>
      <w:r w:rsidR="00FB4757">
        <w:rPr>
          <w:rFonts w:ascii="Verdana" w:hAnsi="Verdana" w:eastAsia="Times New Roman" w:cs="Arial"/>
          <w:lang w:eastAsia="es-CO"/>
        </w:rPr>
        <w:t xml:space="preserve"> y desprovista de cualquier intención dolosa o </w:t>
      </w:r>
      <w:r w:rsidRPr="002D005F" w:rsidR="00FB4757">
        <w:rPr>
          <w:rFonts w:ascii="Verdana" w:hAnsi="Verdana" w:eastAsia="Times New Roman" w:cs="Arial"/>
          <w:lang w:eastAsia="es-CO"/>
        </w:rPr>
        <w:t>culposa</w:t>
      </w:r>
      <w:r w:rsidRPr="002D005F" w:rsidR="002D005F">
        <w:rPr>
          <w:rFonts w:ascii="Verdana" w:hAnsi="Verdana" w:eastAsia="Times New Roman" w:cs="Arial"/>
          <w:vertAlign w:val="superscript"/>
          <w:lang w:eastAsia="es-CO"/>
        </w:rPr>
        <w:footnoteReference w:id="4"/>
      </w:r>
      <w:r w:rsidRPr="002D005F" w:rsidR="002D005F">
        <w:rPr>
          <w:rFonts w:ascii="Verdana" w:hAnsi="Verdana" w:eastAsia="Times New Roman" w:cs="Arial"/>
          <w:lang w:eastAsia="es-CO"/>
        </w:rPr>
        <w:t>.</w:t>
      </w:r>
    </w:p>
    <w:p w:rsidRPr="00FB4757" w:rsidR="001A7F68" w:rsidP="001A7F68" w:rsidRDefault="001A7F68" w14:paraId="7DAACD3B" w14:textId="77777777">
      <w:pPr>
        <w:pStyle w:val="Prrafodelista"/>
        <w:spacing w:after="0" w:line="276" w:lineRule="auto"/>
        <w:jc w:val="both"/>
        <w:rPr>
          <w:rFonts w:ascii="Verdana" w:hAnsi="Verdana" w:eastAsia="Calibri" w:cs="Arial"/>
          <w:lang w:val="es-ES"/>
        </w:rPr>
      </w:pPr>
    </w:p>
    <w:p w:rsidRPr="00CD3950" w:rsidR="00134D97" w:rsidP="00A30A58" w:rsidRDefault="00E2098A" w14:paraId="72E9F6FC" w14:textId="4BE37354">
      <w:pPr>
        <w:numPr>
          <w:ilvl w:val="0"/>
          <w:numId w:val="7"/>
        </w:numPr>
        <w:spacing w:after="0" w:line="276" w:lineRule="auto"/>
        <w:contextualSpacing/>
        <w:jc w:val="both"/>
        <w:rPr>
          <w:rFonts w:ascii="Verdana" w:hAnsi="Verdana" w:eastAsia="Calibri"/>
          <w:lang w:val="es-ES"/>
        </w:rPr>
      </w:pPr>
      <w:r w:rsidRPr="00A30A58">
        <w:rPr>
          <w:rFonts w:ascii="Verdana" w:hAnsi="Verdana" w:eastAsia="Calibri" w:cs="Arial"/>
          <w:lang w:val="es-ES"/>
        </w:rPr>
        <w:t>En</w:t>
      </w:r>
      <w:r w:rsidRPr="00A30A58" w:rsidR="000058FD">
        <w:rPr>
          <w:rFonts w:ascii="Verdana" w:hAnsi="Verdana" w:eastAsia="Calibri" w:cs="Arial"/>
          <w:lang w:val="es-ES"/>
        </w:rPr>
        <w:t xml:space="preserve"> </w:t>
      </w:r>
      <w:r w:rsidRPr="00A30A58" w:rsidR="008965A3">
        <w:rPr>
          <w:rFonts w:ascii="Verdana" w:hAnsi="Verdana" w:eastAsia="Calibri" w:cs="Arial"/>
          <w:lang w:val="es-ES"/>
        </w:rPr>
        <w:t xml:space="preserve">materia contractual, la citada ley establece en el literal e) del artículo 9, que los </w:t>
      </w:r>
      <w:r w:rsidRPr="00A30A58" w:rsidR="008965A3">
        <w:rPr>
          <w:rFonts w:ascii="Verdana" w:hAnsi="Verdana" w:eastAsia="Calibri" w:cs="Arial"/>
          <w:i/>
          <w:iCs/>
          <w:lang w:val="es-ES"/>
        </w:rPr>
        <w:t xml:space="preserve">sujetos obligados </w:t>
      </w:r>
      <w:r w:rsidRPr="00A30A58" w:rsidR="008965A3">
        <w:rPr>
          <w:rFonts w:ascii="Verdana" w:hAnsi="Verdana" w:eastAsia="Calibri" w:cs="Arial"/>
          <w:lang w:val="es-ES"/>
        </w:rPr>
        <w:t>deben publicar la información relativa a su contratación</w:t>
      </w:r>
      <w:r w:rsidRPr="00A30A58" w:rsidR="00C25C93">
        <w:rPr>
          <w:rFonts w:ascii="Verdana" w:hAnsi="Verdana" w:eastAsia="Times New Roman" w:cs="Arial"/>
          <w:vertAlign w:val="superscript"/>
          <w:lang w:eastAsia="es-CO"/>
        </w:rPr>
        <w:footnoteReference w:id="5"/>
      </w:r>
      <w:r w:rsidRPr="00A30A58" w:rsidR="00C25C93">
        <w:rPr>
          <w:rFonts w:ascii="Verdana" w:hAnsi="Verdana" w:eastAsia="Times New Roman" w:cs="Arial"/>
          <w:lang w:eastAsia="es-CO"/>
        </w:rPr>
        <w:t xml:space="preserve">. El artículo </w:t>
      </w:r>
      <w:r w:rsidRPr="00A30A58" w:rsidR="00C25C93">
        <w:rPr>
          <w:rFonts w:ascii="Verdana" w:hAnsi="Verdana" w:eastAsia="Times New Roman" w:cs="Arial"/>
          <w:i/>
          <w:iCs/>
          <w:lang w:eastAsia="es-CO"/>
        </w:rPr>
        <w:t xml:space="preserve">5 ibidem, </w:t>
      </w:r>
      <w:r w:rsidRPr="00A30A58" w:rsidR="00C25C93">
        <w:rPr>
          <w:rFonts w:ascii="Verdana" w:hAnsi="Verdana" w:eastAsia="Times New Roman" w:cs="Arial"/>
          <w:lang w:eastAsia="es-CO"/>
        </w:rPr>
        <w:t xml:space="preserve">al describir qué se entiende por sujetos obligados, </w:t>
      </w:r>
      <w:r w:rsidRPr="00A30A58" w:rsidR="00FB4CB2">
        <w:rPr>
          <w:rFonts w:ascii="Verdana" w:hAnsi="Verdana" w:eastAsia="Times New Roman" w:cs="Arial"/>
          <w:lang w:eastAsia="es-CO"/>
        </w:rPr>
        <w:t>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w:t>
      </w:r>
      <w:r w:rsidRPr="00A30A58" w:rsidR="00A30A58">
        <w:rPr>
          <w:rFonts w:ascii="Verdana" w:hAnsi="Verdana" w:eastAsia="Times New Roman" w:cs="Arial"/>
          <w:vertAlign w:val="superscript"/>
          <w:lang w:eastAsia="es-CO"/>
        </w:rPr>
        <w:footnoteReference w:id="6"/>
      </w:r>
      <w:r w:rsidRPr="00A30A58" w:rsidR="00A30A58">
        <w:rPr>
          <w:rFonts w:ascii="Verdana" w:hAnsi="Verdana" w:eastAsia="Arial MT" w:cs="Arial"/>
          <w:lang w:val="es-ES" w:eastAsia="es-ES_tradnl"/>
        </w:rPr>
        <w:t>.</w:t>
      </w:r>
      <w:r w:rsidRPr="00673160" w:rsidR="00673160">
        <w:t xml:space="preserve"> </w:t>
      </w:r>
      <w:r w:rsidRPr="00673160" w:rsidR="00673160">
        <w:rPr>
          <w:rFonts w:ascii="Verdana" w:hAnsi="Verdana" w:eastAsia="Arial MT" w:cs="Arial"/>
          <w:lang w:val="es-ES"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w:t>
      </w:r>
      <w:r w:rsidRPr="00673160" w:rsidR="00673160">
        <w:rPr>
          <w:rFonts w:ascii="Verdana" w:hAnsi="Verdana" w:eastAsia="Arial MT" w:cs="Arial"/>
          <w:lang w:val="es-ES" w:eastAsia="es-ES_tradnl"/>
        </w:rPr>
        <w:lastRenderedPageBreak/>
        <w:t>ejecución de contratos, incluidos concursos y licitaciones”, y esta información también debe estar en el SECOP.</w:t>
      </w:r>
    </w:p>
    <w:p w:rsidRPr="007B73C0" w:rsidR="00CD3950" w:rsidP="00CD3950" w:rsidRDefault="00CD3950" w14:paraId="5B9158DF" w14:textId="77777777">
      <w:pPr>
        <w:spacing w:after="0" w:line="276" w:lineRule="auto"/>
        <w:contextualSpacing/>
        <w:jc w:val="both"/>
        <w:rPr>
          <w:rFonts w:ascii="Verdana" w:hAnsi="Verdana" w:eastAsia="Calibri"/>
          <w:lang w:val="es-ES"/>
        </w:rPr>
      </w:pPr>
    </w:p>
    <w:p w:rsidRPr="007847B7" w:rsidR="007B73C0" w:rsidP="00A30A58" w:rsidRDefault="00592916" w14:paraId="6C280F29" w14:textId="5DDE410E">
      <w:pPr>
        <w:numPr>
          <w:ilvl w:val="0"/>
          <w:numId w:val="7"/>
        </w:numPr>
        <w:spacing w:after="0" w:line="276" w:lineRule="auto"/>
        <w:contextualSpacing/>
        <w:jc w:val="both"/>
        <w:rPr>
          <w:rFonts w:ascii="Verdana" w:hAnsi="Verdana" w:eastAsia="Calibri"/>
          <w:lang w:val="es-ES"/>
        </w:rPr>
      </w:pPr>
      <w:r>
        <w:rPr>
          <w:rFonts w:ascii="Verdana" w:hAnsi="Verdana" w:eastAsia="Calibri"/>
          <w:lang w:val="es-ES"/>
        </w:rPr>
        <w:t xml:space="preserve">En ese sentido, debe precisarse que, en virtud del principio de transparencia, específicamente por cuenta de lo dispuesto en el numeral 4 del artículo 24 de la ley 80 de </w:t>
      </w:r>
      <w:r w:rsidRPr="00CD3950">
        <w:rPr>
          <w:rFonts w:ascii="Verdana" w:hAnsi="Verdana" w:eastAsia="Calibri"/>
          <w:lang w:val="es-ES"/>
        </w:rPr>
        <w:t>1993</w:t>
      </w:r>
      <w:r w:rsidRPr="00CD3950" w:rsidR="00CD3950">
        <w:rPr>
          <w:rFonts w:ascii="Verdana" w:hAnsi="Verdana" w:eastAsia="Times New Roman" w:cs="Arial"/>
          <w:vertAlign w:val="superscript"/>
          <w:lang w:val="es-ES" w:eastAsia="es-ES_tradnl"/>
        </w:rPr>
        <w:footnoteReference w:id="7"/>
      </w:r>
      <w:r w:rsidRPr="00CD3950" w:rsidR="00CD3950">
        <w:rPr>
          <w:rFonts w:ascii="Verdana" w:hAnsi="Verdana" w:eastAsia="Times New Roman" w:cs="Arial"/>
          <w:lang w:val="es-ES" w:eastAsia="es-ES_tradnl"/>
        </w:rPr>
        <w:t>,</w:t>
      </w:r>
      <w:r w:rsidR="00CD3950">
        <w:rPr>
          <w:rFonts w:ascii="Verdana" w:hAnsi="Verdana" w:eastAsia="Times New Roman" w:cs="Arial"/>
          <w:lang w:val="es-ES" w:eastAsia="es-ES_tradnl"/>
        </w:rPr>
        <w:t xml:space="preserve"> así como </w:t>
      </w:r>
      <w:r w:rsidR="00D53425">
        <w:rPr>
          <w:rFonts w:ascii="Verdana" w:hAnsi="Verdana" w:eastAsia="Times New Roman" w:cs="Arial"/>
          <w:lang w:val="es-ES" w:eastAsia="es-ES_tradnl"/>
        </w:rPr>
        <w:t xml:space="preserve">por el principio de máxima publicidad establecido en el artículo 1712 de </w:t>
      </w:r>
      <w:r w:rsidRPr="000F2467" w:rsidR="00D53425">
        <w:rPr>
          <w:rFonts w:ascii="Verdana" w:hAnsi="Verdana" w:eastAsia="Times New Roman" w:cs="Arial"/>
          <w:lang w:val="es-ES" w:eastAsia="es-ES_tradnl"/>
        </w:rPr>
        <w:t>2014</w:t>
      </w:r>
      <w:r w:rsidRPr="000F2467" w:rsidR="000F2467">
        <w:rPr>
          <w:rFonts w:ascii="Verdana" w:hAnsi="Verdana" w:eastAsia="Times New Roman" w:cs="Arial"/>
          <w:vertAlign w:val="superscript"/>
          <w:lang w:val="es-ES" w:eastAsia="es-ES_tradnl"/>
        </w:rPr>
        <w:footnoteReference w:id="8"/>
      </w:r>
      <w:r w:rsidRPr="000F2467" w:rsidR="000F2467">
        <w:rPr>
          <w:rFonts w:ascii="Verdana" w:hAnsi="Verdana" w:eastAsia="Times New Roman" w:cs="Arial"/>
          <w:lang w:val="es-ES" w:eastAsia="es-ES_tradnl"/>
        </w:rPr>
        <w:t>,</w:t>
      </w:r>
      <w:r w:rsidRPr="003C7521" w:rsidR="003C7521">
        <w:rPr>
          <w:rFonts w:ascii="Verdana" w:hAnsi="Verdana" w:eastAsia="Times New Roman" w:cs="Arial"/>
          <w:lang w:val="es-ES" w:eastAsia="es-ES_tradnl"/>
        </w:rPr>
        <w:t xml:space="preserve">el contenido del expediente en el que reposa la 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 solicitarlas cualquier persona, en desarrollo de la vigilancia de la contratación pública, cuestión que podría interesar a cualquier </w:t>
      </w:r>
      <w:r w:rsidRPr="00F16AF8" w:rsidR="003C7521">
        <w:rPr>
          <w:rFonts w:ascii="Verdana" w:hAnsi="Verdana" w:eastAsia="Times New Roman" w:cs="Arial"/>
          <w:lang w:val="es-ES" w:eastAsia="es-ES_tradnl"/>
        </w:rPr>
        <w:t>ciudadano</w:t>
      </w:r>
      <w:r w:rsidRPr="00F16AF8" w:rsidR="00F16AF8">
        <w:rPr>
          <w:rFonts w:ascii="Verdana" w:hAnsi="Verdana" w:eastAsia="Times New Roman" w:cs="Arial"/>
          <w:vertAlign w:val="superscript"/>
          <w:lang w:val="es-ES" w:eastAsia="es-ES_tradnl"/>
        </w:rPr>
        <w:footnoteReference w:id="9"/>
      </w:r>
      <w:r w:rsidRPr="00F16AF8" w:rsidR="00F16AF8">
        <w:rPr>
          <w:rFonts w:ascii="Verdana" w:hAnsi="Verdana" w:eastAsia="Times New Roman" w:cs="Arial"/>
          <w:lang w:val="es-ES" w:eastAsia="es-ES_tradnl"/>
        </w:rPr>
        <w:t>.</w:t>
      </w:r>
      <w:r w:rsidR="006B4D04">
        <w:rPr>
          <w:rFonts w:ascii="Verdana" w:hAnsi="Verdana" w:eastAsia="Times New Roman" w:cs="Arial"/>
          <w:lang w:val="es-ES" w:eastAsia="es-ES_tradnl"/>
        </w:rPr>
        <w:t xml:space="preserve"> </w:t>
      </w:r>
      <w:r w:rsidRPr="006B4D04" w:rsidR="006B4D04">
        <w:rPr>
          <w:rFonts w:ascii="Verdana" w:hAnsi="Verdana" w:eastAsia="Times New Roman" w:cs="Arial"/>
          <w:lang w:val="es-ES" w:eastAsia="es-ES_tradnl"/>
        </w:rPr>
        <w:t xml:space="preserve">Esta posibilidad solo se encuentra limitada respecto de la documentación que tenga la calidad de </w:t>
      </w:r>
      <w:r w:rsidRPr="00001CAA" w:rsidR="006B4D04">
        <w:rPr>
          <w:rFonts w:ascii="Verdana" w:hAnsi="Verdana" w:eastAsia="Times New Roman" w:cs="Arial"/>
          <w:lang w:val="es-ES" w:eastAsia="es-ES_tradnl"/>
        </w:rPr>
        <w:t>reservada</w:t>
      </w:r>
      <w:r w:rsidRPr="00001CAA" w:rsidR="00001CAA">
        <w:rPr>
          <w:rFonts w:ascii="Verdana" w:hAnsi="Verdana" w:eastAsia="Times New Roman" w:cs="Arial"/>
          <w:vertAlign w:val="superscript"/>
          <w:lang w:val="es-ES" w:eastAsia="es-ES_tradnl"/>
        </w:rPr>
        <w:footnoteReference w:id="10"/>
      </w:r>
      <w:r w:rsidRPr="00001CAA" w:rsidR="00001CAA">
        <w:rPr>
          <w:rFonts w:ascii="Verdana" w:hAnsi="Verdana" w:eastAsia="Times New Roman" w:cs="Arial"/>
          <w:lang w:val="es-ES" w:eastAsia="es-ES_tradnl"/>
        </w:rPr>
        <w:t>,</w:t>
      </w:r>
      <w:r w:rsidRPr="008A4BA2" w:rsidR="008A4BA2">
        <w:rPr>
          <w:rFonts w:ascii="Verdana" w:hAnsi="Verdana" w:eastAsia="Times New Roman" w:cs="Arial"/>
          <w:lang w:val="es-ES" w:eastAsia="es-ES_tradnl"/>
        </w:rPr>
        <w:t>que deberá someterse al tratamiento establecido en el artículo 36 del CPACA, en lo relativo a la formación de cuadernos separado</w:t>
      </w:r>
      <w:r w:rsidR="003E1A8A">
        <w:rPr>
          <w:rFonts w:ascii="Verdana" w:hAnsi="Verdana" w:eastAsia="Times New Roman" w:cs="Arial"/>
          <w:lang w:val="es-ES" w:eastAsia="es-ES_tradnl"/>
        </w:rPr>
        <w:t>s</w:t>
      </w:r>
      <w:r w:rsidRPr="0057090A" w:rsidR="00F22143">
        <w:rPr>
          <w:rFonts w:ascii="Century Gothic" w:hAnsi="Century Gothic" w:eastAsia="Times New Roman" w:cs="Arial"/>
          <w:vertAlign w:val="superscript"/>
          <w:lang w:val="es-ES" w:eastAsia="es-ES_tradnl"/>
        </w:rPr>
        <w:footnoteReference w:id="11"/>
      </w:r>
      <w:r w:rsidR="00F22143">
        <w:rPr>
          <w:rFonts w:ascii="Century Gothic" w:hAnsi="Century Gothic" w:eastAsia="Times New Roman" w:cs="Arial"/>
          <w:lang w:val="es-ES" w:eastAsia="es-ES_tradnl"/>
        </w:rPr>
        <w:t>.</w:t>
      </w:r>
    </w:p>
    <w:p w:rsidR="007847B7" w:rsidP="005D6E3F" w:rsidRDefault="007847B7" w14:paraId="4475F2CA" w14:textId="77777777">
      <w:pPr>
        <w:pStyle w:val="Prrafodelista"/>
        <w:spacing w:after="0"/>
        <w:rPr>
          <w:rFonts w:ascii="Verdana" w:hAnsi="Verdana" w:eastAsia="Calibri"/>
          <w:lang w:val="es-ES"/>
        </w:rPr>
      </w:pPr>
    </w:p>
    <w:p w:rsidRPr="00A30A58" w:rsidR="007847B7" w:rsidP="00A30A58" w:rsidRDefault="005D6E3F" w14:paraId="26090E4A" w14:textId="3CC7A759">
      <w:pPr>
        <w:numPr>
          <w:ilvl w:val="0"/>
          <w:numId w:val="7"/>
        </w:numPr>
        <w:spacing w:after="0" w:line="276" w:lineRule="auto"/>
        <w:contextualSpacing/>
        <w:jc w:val="both"/>
        <w:rPr>
          <w:rFonts w:ascii="Verdana" w:hAnsi="Verdana" w:eastAsia="Calibri"/>
          <w:lang w:val="es-ES"/>
        </w:rPr>
      </w:pPr>
      <w:r w:rsidRPr="005D6E3F">
        <w:rPr>
          <w:rFonts w:ascii="Verdana" w:hAnsi="Verdana" w:eastAsia="Calibri"/>
          <w:lang w:val="es-ES"/>
        </w:rPr>
        <w:t xml:space="preserve">En </w:t>
      </w:r>
      <w:r>
        <w:rPr>
          <w:rFonts w:ascii="Verdana" w:hAnsi="Verdana" w:eastAsia="Calibri"/>
          <w:lang w:val="es-ES"/>
        </w:rPr>
        <w:t>consecuencia</w:t>
      </w:r>
      <w:r w:rsidRPr="005D6E3F">
        <w:rPr>
          <w:rFonts w:ascii="Verdana" w:hAnsi="Verdana" w:eastAsia="Calibri"/>
          <w:lang w:val="es-ES"/>
        </w:rPr>
        <w:t xml:space="preserve">, aunque el artículo 74 de la Constitución </w:t>
      </w:r>
      <w:r>
        <w:rPr>
          <w:rFonts w:ascii="Verdana" w:hAnsi="Verdana" w:eastAsia="Calibri"/>
          <w:lang w:val="es-ES"/>
        </w:rPr>
        <w:t>establece</w:t>
      </w:r>
      <w:r w:rsidRPr="005D6E3F">
        <w:rPr>
          <w:rFonts w:ascii="Verdana" w:hAnsi="Verdana" w:eastAsia="Calibri"/>
          <w:lang w:val="es-ES"/>
        </w:rPr>
        <w:t xml:space="preserve"> que la información pública debe ser dada a conocer a la ciudadanía y así los documentos que hagan parte de la actividad contractual puedan catalogarse, prima facie, como información pública, cuando dicha documentación contenga información sometida a alguna reserva, que establezca la Constitución o la ley, operan algunas restricciones a su publicidad</w:t>
      </w:r>
      <w:r>
        <w:rPr>
          <w:rFonts w:ascii="Verdana" w:hAnsi="Verdana" w:eastAsia="Calibri"/>
          <w:lang w:val="es-ES"/>
        </w:rPr>
        <w:t xml:space="preserve"> o suministro</w:t>
      </w:r>
      <w:r w:rsidRPr="005D6E3F">
        <w:rPr>
          <w:rFonts w:ascii="Verdana" w:hAnsi="Verdana" w:eastAsia="Calibri"/>
          <w:lang w:val="es-ES"/>
        </w:rPr>
        <w:t>. Sin embargo, esto no necesariamente convierte el documento completo en reservado, es decir, en un documento que no puede publicarse.</w:t>
      </w:r>
    </w:p>
    <w:p w:rsidRPr="0047472F" w:rsidR="0047472F" w:rsidP="0047472F" w:rsidRDefault="0047472F" w14:paraId="56B3CBDA" w14:textId="77777777">
      <w:pPr>
        <w:spacing w:after="0" w:line="276" w:lineRule="auto"/>
        <w:contextualSpacing/>
        <w:jc w:val="both"/>
        <w:rPr>
          <w:rFonts w:ascii="Verdana" w:hAnsi="Verdana" w:eastAsia="Calibri"/>
          <w:lang w:val="es-ES"/>
        </w:rPr>
      </w:pPr>
    </w:p>
    <w:p w:rsidRPr="00D51F0F" w:rsidR="00AB4DAA" w:rsidP="00905409" w:rsidRDefault="00905409" w14:paraId="5EE83008" w14:textId="1CEED2F9">
      <w:pPr>
        <w:pStyle w:val="Prrafodelista"/>
        <w:numPr>
          <w:ilvl w:val="0"/>
          <w:numId w:val="7"/>
        </w:numPr>
        <w:spacing w:after="0" w:line="276" w:lineRule="auto"/>
        <w:jc w:val="both"/>
        <w:rPr>
          <w:rFonts w:ascii="Verdana" w:hAnsi="Verdana" w:eastAsia="Calibri"/>
          <w:lang w:val="es-ES"/>
        </w:rPr>
      </w:pPr>
      <w:r w:rsidRPr="00905409">
        <w:rPr>
          <w:rFonts w:ascii="Verdana" w:hAnsi="Verdana" w:eastAsia="Calibri"/>
          <w:lang w:val="es-ES"/>
        </w:rPr>
        <w:t xml:space="preserve">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w:t>
      </w:r>
      <w:r w:rsidRPr="0077759E">
        <w:rPr>
          <w:rFonts w:ascii="Verdana" w:hAnsi="Verdana" w:eastAsia="Calibri"/>
          <w:lang w:val="es-ES"/>
        </w:rPr>
        <w:t>existencia</w:t>
      </w:r>
      <w:r w:rsidRPr="0077759E" w:rsidR="0077759E">
        <w:rPr>
          <w:rFonts w:ascii="Verdana" w:hAnsi="Verdana" w:eastAsia="Calibri" w:cs="Arial"/>
          <w:color w:val="000000"/>
          <w:vertAlign w:val="superscript"/>
          <w:lang w:val="es-ES_tradnl" w:eastAsia="en-GB"/>
        </w:rPr>
        <w:footnoteReference w:id="12"/>
      </w:r>
      <w:r w:rsidRPr="0077759E" w:rsidR="0077759E">
        <w:rPr>
          <w:rFonts w:ascii="Verdana" w:hAnsi="Verdana" w:eastAsia="Calibri" w:cs="Arial"/>
          <w:color w:val="000000"/>
          <w:lang w:val="es-ES_tradnl" w:eastAsia="en-GB"/>
        </w:rPr>
        <w:t>.</w:t>
      </w:r>
      <w:r w:rsidRPr="00C248E1" w:rsidR="00C248E1">
        <w:t xml:space="preserve"> </w:t>
      </w:r>
      <w:r w:rsidRPr="00C248E1" w:rsidR="00C248E1">
        <w:rPr>
          <w:rFonts w:ascii="Verdana" w:hAnsi="Verdana" w:eastAsia="Calibri" w:cs="Arial"/>
          <w:color w:val="000000"/>
          <w:lang w:val="es-ES_tradnl" w:eastAsia="en-GB"/>
        </w:rPr>
        <w:t>Sin perjuicio de lo anterior, es posible que el contenido de todo el documento o expediente no deba ser objeto de publicidad por estar amparado de forma íntegra por la reserva, dada su conexión con las causales establecidas en la Constitución o la ley.</w:t>
      </w:r>
    </w:p>
    <w:p w:rsidRPr="00D51F0F" w:rsidR="00D51F0F" w:rsidP="00D51F0F" w:rsidRDefault="00D51F0F" w14:paraId="1CEE9B1C" w14:textId="77777777">
      <w:pPr>
        <w:pStyle w:val="Prrafodelista"/>
        <w:rPr>
          <w:rFonts w:ascii="Verdana" w:hAnsi="Verdana" w:eastAsia="Calibri"/>
          <w:lang w:val="es-ES"/>
        </w:rPr>
      </w:pPr>
    </w:p>
    <w:p w:rsidR="00D51F0F" w:rsidP="00905409" w:rsidRDefault="00D51F0F" w14:paraId="181FF45F" w14:textId="17F67AA5">
      <w:pPr>
        <w:pStyle w:val="Prrafodelista"/>
        <w:numPr>
          <w:ilvl w:val="0"/>
          <w:numId w:val="7"/>
        </w:numPr>
        <w:spacing w:after="0" w:line="276" w:lineRule="auto"/>
        <w:jc w:val="both"/>
        <w:rPr>
          <w:rFonts w:ascii="Verdana" w:hAnsi="Verdana" w:eastAsia="Calibri"/>
          <w:lang w:val="es-ES"/>
        </w:rPr>
      </w:pPr>
      <w:r>
        <w:rPr>
          <w:rFonts w:ascii="Verdana" w:hAnsi="Verdana" w:eastAsia="Calibri"/>
          <w:lang w:val="es-ES"/>
        </w:rPr>
        <w:t>De esta forma</w:t>
      </w:r>
      <w:r w:rsidR="005B6AB5">
        <w:rPr>
          <w:rFonts w:ascii="Verdana" w:hAnsi="Verdana" w:eastAsia="Calibri"/>
          <w:lang w:val="es-ES"/>
        </w:rPr>
        <w:t>, cuando</w:t>
      </w:r>
      <w:r>
        <w:rPr>
          <w:rFonts w:ascii="Verdana" w:hAnsi="Verdana" w:eastAsia="Calibri"/>
          <w:lang w:val="es-ES"/>
        </w:rPr>
        <w:t xml:space="preserve"> el documento contractual contenga información sensible, clasificada o reservada, para proteger la reserva de información, </w:t>
      </w:r>
      <w:r>
        <w:rPr>
          <w:rFonts w:ascii="Verdana" w:hAnsi="Verdana" w:eastAsia="Calibri"/>
          <w:lang w:val="es-ES"/>
        </w:rPr>
        <w:lastRenderedPageBreak/>
        <w:t xml:space="preserve">las autoridades deben abstenerse de </w:t>
      </w:r>
      <w:r w:rsidRPr="008327F9" w:rsidR="008327F9">
        <w:rPr>
          <w:rFonts w:ascii="Verdana" w:hAnsi="Verdana" w:eastAsia="Calibri"/>
          <w:lang w:val="es-ES"/>
        </w:rPr>
        <w:t>publicar en el SECOP la información que tiene protección especial o está sometida a reserva</w:t>
      </w:r>
      <w:r w:rsidR="008327F9">
        <w:rPr>
          <w:rFonts w:ascii="Verdana" w:hAnsi="Verdana" w:eastAsia="Calibri"/>
          <w:lang w:val="es-ES"/>
        </w:rPr>
        <w:t>, o según el caso, suministrarla.</w:t>
      </w:r>
      <w:r w:rsidR="00BA659D">
        <w:rPr>
          <w:rFonts w:ascii="Verdana" w:hAnsi="Verdana" w:eastAsia="Calibri"/>
          <w:lang w:val="es-ES"/>
        </w:rPr>
        <w:t xml:space="preserve"> </w:t>
      </w:r>
      <w:r w:rsidRPr="005B6AB5" w:rsidR="005B6AB5">
        <w:rPr>
          <w:rFonts w:ascii="Verdana" w:hAnsi="Verdana" w:eastAsia="Calibri"/>
          <w:lang w:val="es-ES"/>
        </w:rPr>
        <w:t xml:space="preserve">Sin embargo, de acuerdo con el segundo inciso del artículo 25 de la Ley 1437 de 2011 “La restricción por reserva legal no se extenderá a otras piezas del respectivo expediente o actuación que no estén cubiertas por ella”. Por ello, la Entidad Estatal puede </w:t>
      </w:r>
      <w:r w:rsidR="00F61755">
        <w:rPr>
          <w:rFonts w:ascii="Verdana" w:hAnsi="Verdana" w:eastAsia="Calibri"/>
          <w:lang w:val="es-ES"/>
        </w:rPr>
        <w:t>no</w:t>
      </w:r>
      <w:r w:rsidRPr="005B6AB5" w:rsidR="005B6AB5">
        <w:rPr>
          <w:rFonts w:ascii="Verdana" w:hAnsi="Verdana" w:eastAsia="Calibri"/>
          <w:lang w:val="es-ES"/>
        </w:rPr>
        <w:t xml:space="preserve"> publicar</w:t>
      </w:r>
      <w:r w:rsidR="00F61755">
        <w:rPr>
          <w:rFonts w:ascii="Verdana" w:hAnsi="Verdana" w:eastAsia="Calibri"/>
          <w:lang w:val="es-ES"/>
        </w:rPr>
        <w:t xml:space="preserve"> o suministrar</w:t>
      </w:r>
      <w:r w:rsidR="005B6AB5">
        <w:rPr>
          <w:rFonts w:ascii="Verdana" w:hAnsi="Verdana" w:eastAsia="Calibri"/>
          <w:lang w:val="es-ES"/>
        </w:rPr>
        <w:t xml:space="preserve"> </w:t>
      </w:r>
      <w:r w:rsidRPr="005B6AB5" w:rsidR="005B6AB5">
        <w:rPr>
          <w:rFonts w:ascii="Verdana" w:hAnsi="Verdana" w:eastAsia="Calibri"/>
          <w:lang w:val="es-ES"/>
        </w:rPr>
        <w:t>algún documento del proceso o aparte del mismo que contenga datos sensibles, clasificados o reservados, para no divulgarl</w:t>
      </w:r>
      <w:r w:rsidR="005B6AB5">
        <w:rPr>
          <w:rFonts w:ascii="Verdana" w:hAnsi="Verdana" w:eastAsia="Calibri"/>
          <w:lang w:val="es-ES"/>
        </w:rPr>
        <w:t>o</w:t>
      </w:r>
      <w:r w:rsidRPr="005B6AB5" w:rsidR="005B6AB5">
        <w:rPr>
          <w:rFonts w:ascii="Verdana" w:hAnsi="Verdana" w:eastAsia="Calibri"/>
          <w:lang w:val="es-ES"/>
        </w:rPr>
        <w:t xml:space="preserve">, pero debe publicar los demás documentos o los apartados de estos, en caso de que estos no gocen de reserva. Lo anterior, sin perjuicio de que dependiendo de la información en específico todo el documento o expediente </w:t>
      </w:r>
      <w:r w:rsidR="00F61755">
        <w:rPr>
          <w:rFonts w:ascii="Verdana" w:hAnsi="Verdana" w:eastAsia="Calibri"/>
          <w:lang w:val="es-ES"/>
        </w:rPr>
        <w:t xml:space="preserve">no pueda </w:t>
      </w:r>
      <w:r w:rsidRPr="005B6AB5" w:rsidR="005B6AB5">
        <w:rPr>
          <w:rFonts w:ascii="Verdana" w:hAnsi="Verdana" w:eastAsia="Calibri"/>
          <w:lang w:val="es-ES"/>
        </w:rPr>
        <w:t>publicarse</w:t>
      </w:r>
      <w:r w:rsidR="00F61755">
        <w:rPr>
          <w:rFonts w:ascii="Verdana" w:hAnsi="Verdana" w:eastAsia="Calibri"/>
          <w:lang w:val="es-ES"/>
        </w:rPr>
        <w:t xml:space="preserve"> o suministrarse</w:t>
      </w:r>
      <w:r w:rsidRPr="005B6AB5" w:rsidR="005B6AB5">
        <w:rPr>
          <w:rFonts w:ascii="Verdana" w:hAnsi="Verdana" w:eastAsia="Calibri"/>
          <w:lang w:val="es-ES"/>
        </w:rPr>
        <w:t>, por ampararse en su integridad en alguna causal de reserva, dada la conexión de su contenido con la información que el constituyente o el legislador decidió limitar en cuanto a su publicidad</w:t>
      </w:r>
      <w:r w:rsidR="00F61755">
        <w:rPr>
          <w:rFonts w:ascii="Verdana" w:hAnsi="Verdana" w:eastAsia="Calibri"/>
          <w:lang w:val="es-ES"/>
        </w:rPr>
        <w:t xml:space="preserve"> o suministro</w:t>
      </w:r>
      <w:r w:rsidRPr="005B6AB5" w:rsidR="005B6AB5">
        <w:rPr>
          <w:rFonts w:ascii="Verdana" w:hAnsi="Verdana" w:eastAsia="Calibri"/>
          <w:lang w:val="es-ES"/>
        </w:rPr>
        <w:t>.</w:t>
      </w:r>
    </w:p>
    <w:p w:rsidR="006A092A" w:rsidP="006A092A" w:rsidRDefault="006A092A" w14:paraId="069924DF" w14:textId="77777777">
      <w:pPr>
        <w:pStyle w:val="Prrafodelista"/>
        <w:spacing w:after="0" w:line="276" w:lineRule="auto"/>
        <w:jc w:val="both"/>
        <w:rPr>
          <w:rFonts w:ascii="Verdana" w:hAnsi="Verdana" w:eastAsia="Calibri"/>
          <w:lang w:val="es-ES"/>
        </w:rPr>
      </w:pPr>
    </w:p>
    <w:p w:rsidR="00E542C1" w:rsidP="00905409" w:rsidRDefault="00690100" w14:paraId="3463FA70" w14:textId="32E8EDB9">
      <w:pPr>
        <w:pStyle w:val="Prrafodelista"/>
        <w:numPr>
          <w:ilvl w:val="0"/>
          <w:numId w:val="7"/>
        </w:numPr>
        <w:spacing w:after="0" w:line="276" w:lineRule="auto"/>
        <w:jc w:val="both"/>
        <w:rPr>
          <w:rFonts w:ascii="Verdana" w:hAnsi="Verdana" w:eastAsia="Calibri"/>
          <w:lang w:val="es-ES"/>
        </w:rPr>
      </w:pPr>
      <w:r>
        <w:rPr>
          <w:rFonts w:ascii="Verdana" w:hAnsi="Verdana" w:eastAsia="Calibri"/>
          <w:lang w:val="es-ES"/>
        </w:rPr>
        <w:t xml:space="preserve">En línea con todo lo expuesto, </w:t>
      </w:r>
      <w:r w:rsidR="00C8613B">
        <w:rPr>
          <w:rFonts w:ascii="Verdana" w:hAnsi="Verdana" w:eastAsia="Calibri"/>
          <w:lang w:val="es-ES"/>
        </w:rPr>
        <w:t xml:space="preserve">puede colegirse que, </w:t>
      </w:r>
      <w:r w:rsidRPr="001672C1" w:rsidR="001672C1">
        <w:rPr>
          <w:rFonts w:ascii="Verdana" w:hAnsi="Verdana" w:eastAsia="Calibri"/>
          <w:lang w:val="es-ES"/>
        </w:rPr>
        <w:t>la reserva de información pública solo puede crearla el constituyente o el legislador. Además, para efectos de la consulta realizada a la Agencia, las Leyes estatutarias 1712 de 2014 y la 1755 de 2015 –que sustituyó los artículos 13 a 33 de la Ley 1437 de 2011– establecen reservas particulares de información pública</w:t>
      </w:r>
      <w:r w:rsidR="00D73A96">
        <w:rPr>
          <w:rFonts w:ascii="Verdana" w:hAnsi="Verdana" w:eastAsia="Calibri"/>
          <w:lang w:val="es-ES"/>
        </w:rPr>
        <w:t>, según el caso</w:t>
      </w:r>
      <w:r w:rsidRPr="001672C1" w:rsidR="001672C1">
        <w:rPr>
          <w:rFonts w:ascii="Verdana" w:hAnsi="Verdana" w:eastAsia="Calibri"/>
          <w:lang w:val="es-ES"/>
        </w:rPr>
        <w:t>.</w:t>
      </w:r>
      <w:r w:rsidR="0041219D">
        <w:rPr>
          <w:rFonts w:ascii="Verdana" w:hAnsi="Verdana" w:eastAsia="Calibri"/>
          <w:lang w:val="es-ES"/>
        </w:rPr>
        <w:t xml:space="preserve"> </w:t>
      </w:r>
      <w:r w:rsidR="00D73A96">
        <w:rPr>
          <w:rFonts w:ascii="Verdana" w:hAnsi="Verdana" w:eastAsia="Calibri"/>
          <w:lang w:val="es-ES"/>
        </w:rPr>
        <w:t>Por ello</w:t>
      </w:r>
      <w:r w:rsidR="0041219D">
        <w:rPr>
          <w:rFonts w:ascii="Verdana" w:hAnsi="Verdana" w:eastAsia="Calibri"/>
          <w:lang w:val="es-ES"/>
        </w:rPr>
        <w:t xml:space="preserve">, </w:t>
      </w:r>
      <w:r w:rsidR="00E542C1">
        <w:rPr>
          <w:rFonts w:ascii="Verdana" w:hAnsi="Verdana" w:eastAsia="Calibri"/>
          <w:lang w:val="es-ES"/>
        </w:rPr>
        <w:t xml:space="preserve">debe </w:t>
      </w:r>
      <w:r w:rsidR="0018564F">
        <w:rPr>
          <w:rFonts w:ascii="Verdana" w:hAnsi="Verdana" w:eastAsia="Calibri"/>
          <w:lang w:val="es-ES"/>
        </w:rPr>
        <w:t>señalarse</w:t>
      </w:r>
      <w:r w:rsidR="00E542C1">
        <w:rPr>
          <w:rFonts w:ascii="Verdana" w:hAnsi="Verdana" w:eastAsia="Calibri"/>
          <w:lang w:val="es-ES"/>
        </w:rPr>
        <w:t xml:space="preserve"> que al ser la creación de reservas de información pública un asunto reservado al constituyente o al legislador, no es factible para Colombia Compra Eficiente establecerlos o determinarlos</w:t>
      </w:r>
      <w:r w:rsidR="00EB5721">
        <w:rPr>
          <w:rFonts w:ascii="Verdana" w:hAnsi="Verdana" w:eastAsia="Calibri"/>
          <w:lang w:val="es-ES"/>
        </w:rPr>
        <w:t>.</w:t>
      </w:r>
    </w:p>
    <w:p w:rsidRPr="0018564F" w:rsidR="0018564F" w:rsidP="0018564F" w:rsidRDefault="0018564F" w14:paraId="7796DBD7" w14:textId="77777777">
      <w:pPr>
        <w:pStyle w:val="Prrafodelista"/>
        <w:rPr>
          <w:rFonts w:ascii="Verdana" w:hAnsi="Verdana" w:eastAsia="Calibri"/>
          <w:lang w:val="es-ES"/>
        </w:rPr>
      </w:pPr>
    </w:p>
    <w:p w:rsidRPr="006C2E62" w:rsidR="006C2E62" w:rsidP="006C2E62" w:rsidRDefault="006C2E62" w14:paraId="506D8364" w14:textId="77777777">
      <w:pPr>
        <w:pStyle w:val="Prrafodelista"/>
        <w:numPr>
          <w:ilvl w:val="0"/>
          <w:numId w:val="7"/>
        </w:numPr>
        <w:jc w:val="both"/>
        <w:rPr>
          <w:rFonts w:ascii="Verdana" w:hAnsi="Verdana" w:eastAsia="Calibri"/>
          <w:lang w:val="es-ES"/>
        </w:rPr>
      </w:pPr>
      <w:r w:rsidRPr="006C2E62">
        <w:rPr>
          <w:rFonts w:ascii="Verdana" w:hAnsi="Verdana" w:eastAsia="Calibri"/>
          <w:lang w:val="es-ES"/>
        </w:rPr>
        <w:t>Finalmente, es pertinente indicar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rsidRPr="00830958" w:rsidR="00E57F60" w:rsidP="00E57F60" w:rsidRDefault="00E57F60" w14:paraId="2122A0B0" w14:textId="77777777">
      <w:pPr>
        <w:widowControl w:val="0"/>
        <w:autoSpaceDE w:val="0"/>
        <w:autoSpaceDN w:val="0"/>
        <w:spacing w:after="0" w:line="276" w:lineRule="auto"/>
        <w:contextualSpacing/>
        <w:jc w:val="both"/>
        <w:rPr>
          <w:rFonts w:ascii="Verdana" w:hAnsi="Verdana" w:cs="Arial"/>
        </w:rPr>
      </w:pPr>
    </w:p>
    <w:p w:rsidRPr="006849F1" w:rsidR="00AB4DAA" w:rsidP="00AB4DAA" w:rsidRDefault="00AB4DAA" w14:paraId="5D2AF0FB" w14:textId="77777777">
      <w:pPr>
        <w:widowControl w:val="0"/>
        <w:autoSpaceDE w:val="0"/>
        <w:autoSpaceDN w:val="0"/>
        <w:spacing w:before="1" w:after="0" w:line="240" w:lineRule="auto"/>
        <w:outlineLvl w:val="0"/>
        <w:rPr>
          <w:rFonts w:ascii="Arial" w:hAnsi="Arial" w:eastAsia="Arial" w:cs="Arial"/>
          <w:b/>
          <w:bCs/>
          <w:lang w:val="es-ES"/>
        </w:rPr>
      </w:pPr>
      <w:r w:rsidRPr="006849F1">
        <w:rPr>
          <w:rFonts w:ascii="Arial" w:hAnsi="Arial" w:eastAsia="Arial" w:cs="Arial"/>
          <w:b/>
          <w:bCs/>
          <w:lang w:val="es-ES"/>
        </w:rPr>
        <w:t>4.</w:t>
      </w:r>
      <w:r w:rsidRPr="006849F1">
        <w:rPr>
          <w:rFonts w:ascii="Verdana" w:hAnsi="Verdana" w:eastAsia="Arial" w:cs="Arial"/>
          <w:b/>
          <w:bCs/>
          <w:lang w:val="es-ES"/>
        </w:rPr>
        <w:t>Referencias normativas, jurisprudenciales y otras fuentes:</w:t>
      </w:r>
    </w:p>
    <w:p w:rsidRPr="006849F1" w:rsidR="00AB4DAA" w:rsidP="00AB4DAA" w:rsidRDefault="00AB4DAA" w14:paraId="536BC61E"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6849F1" w:rsidR="00AB4DAA" w:rsidTr="002F3573" w14:paraId="108873BC" w14:textId="77777777">
        <w:trPr>
          <w:trHeight w:val="870"/>
        </w:trPr>
        <w:tc>
          <w:tcPr>
            <w:tcW w:w="8647" w:type="dxa"/>
          </w:tcPr>
          <w:p w:rsidRPr="00250679" w:rsidR="00AB4DAA" w:rsidP="00AB4DAA" w:rsidRDefault="00D05831" w14:paraId="689C4D2E" w14:textId="3C5ED17D">
            <w:pPr>
              <w:widowControl w:val="0"/>
              <w:numPr>
                <w:ilvl w:val="0"/>
                <w:numId w:val="8"/>
              </w:numPr>
              <w:autoSpaceDE w:val="0"/>
              <w:autoSpaceDN w:val="0"/>
              <w:spacing w:after="120" w:line="276" w:lineRule="auto"/>
              <w:contextualSpacing/>
              <w:jc w:val="both"/>
              <w:rPr>
                <w:rFonts w:ascii="Verdana" w:hAnsi="Verdana" w:cs="Arial"/>
              </w:rPr>
            </w:pPr>
            <w:r>
              <w:rPr>
                <w:rFonts w:ascii="Verdana" w:hAnsi="Verdana" w:eastAsia="Calibri" w:cs="Arial"/>
                <w:lang w:val="es-ES"/>
              </w:rPr>
              <w:t>Constitución Política. Artículo 74</w:t>
            </w:r>
          </w:p>
          <w:p w:rsidRPr="00250679" w:rsidR="00AB4DAA" w:rsidP="00AB4DAA" w:rsidRDefault="00D05831" w14:paraId="4F49C736" w14:textId="1F1440EF">
            <w:pPr>
              <w:widowControl w:val="0"/>
              <w:numPr>
                <w:ilvl w:val="0"/>
                <w:numId w:val="8"/>
              </w:numPr>
              <w:autoSpaceDE w:val="0"/>
              <w:autoSpaceDN w:val="0"/>
              <w:spacing w:after="120" w:line="276" w:lineRule="auto"/>
              <w:contextualSpacing/>
              <w:jc w:val="both"/>
              <w:rPr>
                <w:rFonts w:ascii="Verdana" w:hAnsi="Verdana" w:cs="Arial"/>
              </w:rPr>
            </w:pPr>
            <w:r>
              <w:rPr>
                <w:rFonts w:ascii="Verdana" w:hAnsi="Verdana" w:cs="Arial"/>
              </w:rPr>
              <w:t>Ley 1712 de 2014. Artículos 18</w:t>
            </w:r>
            <w:r w:rsidR="00CD0DDC">
              <w:rPr>
                <w:rFonts w:ascii="Verdana" w:hAnsi="Verdana" w:cs="Arial"/>
              </w:rPr>
              <w:t>,</w:t>
            </w:r>
            <w:r>
              <w:rPr>
                <w:rFonts w:ascii="Verdana" w:hAnsi="Verdana" w:cs="Arial"/>
              </w:rPr>
              <w:t xml:space="preserve"> 19</w:t>
            </w:r>
            <w:r w:rsidR="00CD0DDC">
              <w:rPr>
                <w:rFonts w:ascii="Verdana" w:hAnsi="Verdana" w:cs="Arial"/>
              </w:rPr>
              <w:t xml:space="preserve"> y 21</w:t>
            </w:r>
          </w:p>
          <w:p w:rsidRPr="00250679" w:rsidR="00250679" w:rsidP="00B31F4F" w:rsidRDefault="00250679" w14:paraId="2970E546" w14:textId="094DC112">
            <w:pPr>
              <w:widowControl w:val="0"/>
              <w:numPr>
                <w:ilvl w:val="0"/>
                <w:numId w:val="8"/>
              </w:numPr>
              <w:autoSpaceDE w:val="0"/>
              <w:autoSpaceDN w:val="0"/>
              <w:spacing w:line="276" w:lineRule="auto"/>
              <w:contextualSpacing/>
              <w:jc w:val="both"/>
              <w:rPr>
                <w:rFonts w:ascii="Verdana" w:hAnsi="Verdana" w:cs="Arial"/>
              </w:rPr>
            </w:pPr>
            <w:r w:rsidRPr="00250679">
              <w:rPr>
                <w:rFonts w:ascii="Verdana" w:hAnsi="Verdana" w:eastAsia="Calibri" w:cs="Arial"/>
                <w:lang w:val="es-ES"/>
              </w:rPr>
              <w:t>Ley 1437 de 2011. Artículo</w:t>
            </w:r>
            <w:r w:rsidR="00D05831">
              <w:rPr>
                <w:rFonts w:ascii="Verdana" w:hAnsi="Verdana" w:eastAsia="Calibri" w:cs="Arial"/>
                <w:lang w:val="es-ES"/>
              </w:rPr>
              <w:t xml:space="preserve">s 24 y </w:t>
            </w:r>
            <w:r w:rsidR="00D003A6">
              <w:rPr>
                <w:rFonts w:ascii="Verdana" w:hAnsi="Verdana" w:eastAsia="Calibri" w:cs="Arial"/>
                <w:lang w:val="es-ES"/>
              </w:rPr>
              <w:t>25</w:t>
            </w:r>
          </w:p>
          <w:p w:rsidRPr="00CD0DDC" w:rsidR="00250679" w:rsidP="00B31F4F" w:rsidRDefault="00250679" w14:paraId="6131789E" w14:textId="19F9E1FB">
            <w:pPr>
              <w:widowControl w:val="0"/>
              <w:numPr>
                <w:ilvl w:val="0"/>
                <w:numId w:val="8"/>
              </w:numPr>
              <w:autoSpaceDE w:val="0"/>
              <w:autoSpaceDN w:val="0"/>
              <w:spacing w:line="276" w:lineRule="auto"/>
              <w:contextualSpacing/>
              <w:jc w:val="both"/>
              <w:rPr>
                <w:rFonts w:ascii="Verdana" w:hAnsi="Verdana" w:cs="Arial"/>
              </w:rPr>
            </w:pPr>
            <w:r w:rsidRPr="00250679">
              <w:rPr>
                <w:rFonts w:ascii="Verdana" w:hAnsi="Verdana" w:eastAsia="Calibri" w:cs="Arial"/>
                <w:lang w:val="es-ES"/>
              </w:rPr>
              <w:t xml:space="preserve">Ley </w:t>
            </w:r>
            <w:r w:rsidR="00CD0DDC">
              <w:rPr>
                <w:rFonts w:ascii="Verdana" w:hAnsi="Verdana" w:eastAsia="Calibri" w:cs="Arial"/>
                <w:lang w:val="es-ES"/>
              </w:rPr>
              <w:t>80 de 1993. Artículo 24, numeral 4</w:t>
            </w:r>
          </w:p>
          <w:p w:rsidRPr="00CD0DDC" w:rsidR="0046473C" w:rsidP="00CD0DDC" w:rsidRDefault="00CD0DDC" w14:paraId="3DE836BB" w14:textId="019B03AE">
            <w:pPr>
              <w:widowControl w:val="0"/>
              <w:numPr>
                <w:ilvl w:val="0"/>
                <w:numId w:val="8"/>
              </w:numPr>
              <w:autoSpaceDE w:val="0"/>
              <w:autoSpaceDN w:val="0"/>
              <w:spacing w:line="276" w:lineRule="auto"/>
              <w:contextualSpacing/>
              <w:jc w:val="both"/>
              <w:rPr>
                <w:rFonts w:ascii="Verdana" w:hAnsi="Verdana" w:cs="Arial"/>
              </w:rPr>
            </w:pPr>
            <w:r w:rsidRPr="00CD0DDC">
              <w:rPr>
                <w:rFonts w:ascii="Verdana" w:hAnsi="Verdana" w:cs="Arial"/>
              </w:rPr>
              <w:t>MATALLANA CAMACHO Ernesto. Manual de Contratación de la Administración Pública. Reforma a la Ley 80 de 1993. Universidad Externado de Colombia, Cuarta edición, 2015, pp 139.</w:t>
            </w:r>
          </w:p>
        </w:tc>
      </w:tr>
    </w:tbl>
    <w:p w:rsidRPr="006849F1" w:rsidR="00AB4DAA" w:rsidP="00AB4DAA" w:rsidRDefault="00AB4DAA" w14:paraId="5DCCB7EE" w14:textId="77777777">
      <w:pPr>
        <w:widowControl w:val="0"/>
        <w:autoSpaceDE w:val="0"/>
        <w:autoSpaceDN w:val="0"/>
        <w:spacing w:after="0" w:line="276" w:lineRule="auto"/>
        <w:jc w:val="both"/>
        <w:rPr>
          <w:rFonts w:ascii="Verdana" w:hAnsi="Verdana" w:cs="Arial"/>
        </w:rPr>
      </w:pPr>
    </w:p>
    <w:p w:rsidRPr="006849F1" w:rsidR="00AB4DAA" w:rsidP="00AB4DAA" w:rsidRDefault="00AB4DAA" w14:paraId="11B90DFD" w14:textId="77777777">
      <w:pPr>
        <w:widowControl w:val="0"/>
        <w:autoSpaceDE w:val="0"/>
        <w:autoSpaceDN w:val="0"/>
        <w:spacing w:before="1" w:after="0" w:line="240" w:lineRule="auto"/>
        <w:outlineLvl w:val="0"/>
        <w:rPr>
          <w:rFonts w:ascii="Verdana" w:hAnsi="Verdana" w:eastAsia="Arial" w:cs="Arial"/>
          <w:b/>
          <w:bCs/>
          <w:lang w:val="es-ES"/>
        </w:rPr>
      </w:pPr>
      <w:r w:rsidRPr="006849F1">
        <w:rPr>
          <w:rFonts w:ascii="Verdana" w:hAnsi="Verdana" w:eastAsia="Arial" w:cs="Arial"/>
          <w:b/>
          <w:bCs/>
          <w:lang w:val="es-ES"/>
        </w:rPr>
        <w:t>5. Doctrina de la Agencia Nacional de Contratación Pública:</w:t>
      </w:r>
    </w:p>
    <w:p w:rsidRPr="006849F1" w:rsidR="00AB4DAA" w:rsidP="00AB4DAA" w:rsidRDefault="00AB4DAA" w14:paraId="035A654D" w14:textId="77777777">
      <w:pPr>
        <w:widowControl w:val="0"/>
        <w:autoSpaceDE w:val="0"/>
        <w:autoSpaceDN w:val="0"/>
        <w:spacing w:after="0" w:line="276" w:lineRule="auto"/>
        <w:jc w:val="both"/>
        <w:rPr>
          <w:rFonts w:ascii="Verdana" w:hAnsi="Verdana" w:cs="Arial"/>
        </w:rPr>
      </w:pPr>
    </w:p>
    <w:p w:rsidRPr="006849F1" w:rsidR="00AB4DAA" w:rsidP="00AB4DAA" w:rsidRDefault="00AB4DAA" w14:paraId="3DECEBE7" w14:textId="183EDE4D">
      <w:pPr>
        <w:widowControl w:val="0"/>
        <w:autoSpaceDE w:val="0"/>
        <w:autoSpaceDN w:val="0"/>
        <w:spacing w:after="0" w:line="276" w:lineRule="auto"/>
        <w:jc w:val="both"/>
        <w:rPr>
          <w:rFonts w:ascii="Verdana" w:hAnsi="Verdana" w:cs="Arial"/>
          <w:shd w:val="clear" w:color="auto" w:fill="FFFFFF"/>
          <w:lang w:val="es-ES"/>
        </w:rPr>
      </w:pPr>
      <w:r w:rsidRPr="006849F1">
        <w:rPr>
          <w:rFonts w:ascii="Verdana" w:hAnsi="Verdana" w:cs="Arial"/>
          <w:shd w:val="clear" w:color="auto" w:fill="FFFFFF"/>
          <w:lang w:val="es-ES"/>
        </w:rPr>
        <w:t xml:space="preserve">Sobre </w:t>
      </w:r>
      <w:r w:rsidR="00357F8A">
        <w:rPr>
          <w:rFonts w:ascii="Verdana" w:hAnsi="Verdana" w:cs="Arial"/>
          <w:shd w:val="clear" w:color="auto" w:fill="FFFFFF"/>
          <w:lang w:val="es-ES"/>
        </w:rPr>
        <w:t>la reserva de información pública</w:t>
      </w:r>
      <w:r w:rsidR="001434D4">
        <w:rPr>
          <w:rFonts w:ascii="Verdana" w:hAnsi="Verdana" w:cs="Arial"/>
          <w:shd w:val="clear" w:color="auto" w:fill="FFFFFF"/>
          <w:lang w:val="es-ES"/>
        </w:rPr>
        <w:t xml:space="preserve"> como límite al deber de divulgación de la información contractual</w:t>
      </w:r>
      <w:r w:rsidR="00CE143B">
        <w:rPr>
          <w:rFonts w:ascii="Verdana" w:hAnsi="Verdana" w:cs="Arial"/>
          <w:shd w:val="clear" w:color="auto" w:fill="FFFFFF"/>
          <w:lang w:val="es-ES"/>
        </w:rPr>
        <w:t>,</w:t>
      </w:r>
      <w:r w:rsidRPr="006849F1">
        <w:rPr>
          <w:rFonts w:ascii="Verdana" w:hAnsi="Verdana" w:cs="Arial"/>
          <w:shd w:val="clear" w:color="auto" w:fill="FFFFFF"/>
          <w:lang w:val="es-ES"/>
        </w:rPr>
        <w:t xml:space="preserve"> esta Subdirección </w:t>
      </w:r>
      <w:r w:rsidRPr="00E0520B" w:rsidR="00E0520B">
        <w:rPr>
          <w:rFonts w:ascii="Verdana" w:hAnsi="Verdana" w:cs="Arial"/>
          <w:shd w:val="clear" w:color="auto" w:fill="FFFFFF"/>
          <w:lang w:val="es-ES"/>
        </w:rPr>
        <w:t xml:space="preserve">en los Conceptos </w:t>
      </w:r>
      <w:r w:rsidRPr="004F5143" w:rsidR="004F5143">
        <w:rPr>
          <w:rFonts w:ascii="Verdana" w:hAnsi="Verdana" w:cs="Arial"/>
          <w:shd w:val="clear" w:color="auto" w:fill="FFFFFF"/>
          <w:lang w:val="es-ES"/>
        </w:rPr>
        <w:t xml:space="preserve">C-046 del 19 de febrero de 2020, C-095 del 16 de marzo de 2020, C-197 del 26 de marzo de 2020, C-170 del 6 de abril de 2020, C-172 del 6 de abril de 2020, C-176 del 6 de abril de </w:t>
      </w:r>
      <w:r w:rsidRPr="000A5EEB" w:rsidR="004F5143">
        <w:rPr>
          <w:rFonts w:ascii="Verdana" w:hAnsi="Verdana" w:cs="Arial"/>
          <w:shd w:val="clear" w:color="auto" w:fill="FFFFFF"/>
          <w:lang w:val="es-ES"/>
        </w:rPr>
        <w:t xml:space="preserve">2020, C-009 del 27 de abril de 2020, C-009 del 27 de abril de 2020, C-015 del 29 de abril de 2020, </w:t>
      </w:r>
      <w:r w:rsidRPr="000A5EEB" w:rsidR="00A44641">
        <w:rPr>
          <w:rFonts w:ascii="Verdana" w:hAnsi="Verdana" w:eastAsia="Calibri" w:cs="Arial"/>
          <w:lang w:val="es-ES" w:eastAsia="es-ES_tradnl"/>
        </w:rPr>
        <w:t>el C-672 del 11 de noviembre de 2020</w:t>
      </w:r>
      <w:r w:rsidRPr="000A5EEB" w:rsidR="000A5EEB">
        <w:rPr>
          <w:rFonts w:ascii="Verdana" w:hAnsi="Verdana" w:eastAsia="Calibri" w:cs="Arial"/>
          <w:lang w:val="es-ES" w:eastAsia="es-ES_tradnl"/>
        </w:rPr>
        <w:t xml:space="preserve">, </w:t>
      </w:r>
      <w:r w:rsidRPr="000A5EEB" w:rsidR="00A44641">
        <w:rPr>
          <w:rFonts w:ascii="Verdana" w:hAnsi="Verdana" w:eastAsia="Calibri" w:cs="Arial"/>
          <w:lang w:val="es-ES" w:eastAsia="es-ES_tradnl"/>
        </w:rPr>
        <w:t xml:space="preserve">C-104 del 6 de abril de 2021, C-649 del 9 de septiembre de 2022, C-005 del 21 de febrero de 2023, C-230 del 28 de junio de 2023, </w:t>
      </w:r>
      <w:r w:rsidRPr="000A5EEB" w:rsidR="000A5EEB">
        <w:rPr>
          <w:rFonts w:ascii="Verdana" w:hAnsi="Verdana" w:cs="Arial"/>
          <w:shd w:val="clear" w:color="auto" w:fill="FFFFFF"/>
          <w:lang w:val="es-ES"/>
        </w:rPr>
        <w:t>C</w:t>
      </w:r>
      <w:r w:rsidRPr="000A5EEB" w:rsidR="004F5143">
        <w:rPr>
          <w:rFonts w:ascii="Verdana" w:hAnsi="Verdana" w:cs="Arial"/>
          <w:shd w:val="clear" w:color="auto" w:fill="FFFFFF"/>
          <w:lang w:val="es-ES"/>
        </w:rPr>
        <w:t>-391</w:t>
      </w:r>
      <w:r w:rsidRPr="000A5EEB" w:rsidR="00116AC1">
        <w:rPr>
          <w:rFonts w:ascii="Verdana" w:hAnsi="Verdana" w:cs="Arial"/>
          <w:shd w:val="clear" w:color="auto" w:fill="FFFFFF"/>
          <w:lang w:val="es-ES"/>
        </w:rPr>
        <w:t xml:space="preserve"> del</w:t>
      </w:r>
      <w:r w:rsidR="002C5984">
        <w:rPr>
          <w:rFonts w:ascii="Verdana" w:hAnsi="Verdana" w:cs="Arial"/>
          <w:shd w:val="clear" w:color="auto" w:fill="FFFFFF"/>
          <w:lang w:val="es-ES"/>
        </w:rPr>
        <w:t xml:space="preserve"> 13 de noviembre de 2023,</w:t>
      </w:r>
      <w:r w:rsidRPr="000A5EEB" w:rsidR="00E0520B">
        <w:rPr>
          <w:rFonts w:ascii="Verdana" w:hAnsi="Verdana" w:cs="Arial"/>
          <w:shd w:val="clear" w:color="auto" w:fill="FFFFFF"/>
          <w:lang w:val="es-ES"/>
        </w:rPr>
        <w:t xml:space="preserve">entre otros. </w:t>
      </w:r>
      <w:r w:rsidRPr="006849F1">
        <w:rPr>
          <w:rFonts w:ascii="Verdana" w:hAnsi="Verdana" w:cs="Arial"/>
          <w:shd w:val="clear" w:color="auto" w:fill="FFFFFF"/>
          <w:lang w:val="es-ES"/>
        </w:rPr>
        <w:t>Es</w:t>
      </w:r>
      <w:r w:rsidRPr="006849F1">
        <w:rPr>
          <w:rFonts w:ascii="Verdana" w:hAnsi="Verdana"/>
        </w:rPr>
        <w:t>tos y otros conceptos se encuentran disponibles para consulta en el Sistema de relatoría de la Agencia, al cual se puede acceder a través del siguiente enlace:</w:t>
      </w:r>
      <w:r w:rsidRPr="006849F1">
        <w:rPr>
          <w:rFonts w:ascii="Verdana" w:hAnsi="Verdana" w:cs="Arial"/>
          <w:shd w:val="clear" w:color="auto" w:fill="FFFFFF"/>
          <w:lang w:val="es-ES"/>
        </w:rPr>
        <w:t xml:space="preserve"> </w:t>
      </w:r>
      <w:hyperlink w:history="1" r:id="rId13">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w:t>
      </w:r>
    </w:p>
    <w:p w:rsidRPr="006849F1" w:rsidR="00AB4DAA" w:rsidP="00AB4DAA" w:rsidRDefault="00AB4DAA" w14:paraId="4522C7D9" w14:textId="77777777">
      <w:pPr>
        <w:widowControl w:val="0"/>
        <w:autoSpaceDE w:val="0"/>
        <w:autoSpaceDN w:val="0"/>
        <w:spacing w:after="0" w:line="276" w:lineRule="auto"/>
        <w:jc w:val="both"/>
        <w:rPr>
          <w:rFonts w:ascii="Verdana" w:hAnsi="Verdana" w:cs="Arial"/>
          <w:shd w:val="clear" w:color="auto" w:fill="FFFFFF"/>
          <w:lang w:val="es-ES"/>
        </w:rPr>
      </w:pPr>
    </w:p>
    <w:p w:rsidR="00AB4DAA" w:rsidP="00AB4DAA" w:rsidRDefault="00AB4DAA" w14:paraId="22BE14F4" w14:textId="761BF64B">
      <w:pPr>
        <w:widowControl w:val="0"/>
        <w:autoSpaceDE w:val="0"/>
        <w:autoSpaceDN w:val="0"/>
        <w:spacing w:after="0" w:line="276" w:lineRule="auto"/>
        <w:jc w:val="both"/>
        <w:rPr>
          <w:rFonts w:ascii="Verdana" w:hAnsi="Verdana" w:cs="Arial"/>
          <w:shd w:val="clear" w:color="auto" w:fill="FFFFFF"/>
          <w:lang w:val="es-ES"/>
        </w:rPr>
      </w:pPr>
      <w:r w:rsidRPr="006849F1">
        <w:rPr>
          <w:rFonts w:ascii="Verdana" w:hAnsi="Verdana" w:cs="Arial"/>
          <w:shd w:val="clear" w:color="auto" w:fill="FFFFFF"/>
          <w:lang w:val="es-ES"/>
        </w:rPr>
        <w:t>También le</w:t>
      </w:r>
      <w:r w:rsidRPr="00741245" w:rsidR="00741245">
        <w:rPr>
          <w:rFonts w:ascii="Verdana" w:hAnsi="Verdana" w:cs="Arial"/>
          <w:shd w:val="clear" w:color="auto" w:fill="FFFFFF"/>
          <w:lang w:val="es-ES"/>
        </w:rPr>
        <w:t xml:space="preserve"> recomendamos consultar las versiones I y II de 2024 del Boletín de Relatoría de la Subdirección de Gestión Contractual, las cuales puede descargar en la página web de la Agencia: </w:t>
      </w:r>
      <w:r w:rsidRPr="002B454C" w:rsidR="00741245">
        <w:rPr>
          <w:rStyle w:val="Hipervnculo"/>
          <w:rFonts w:ascii="Verdana" w:hAnsi="Verdana"/>
          <w:lang w:val="es-ES"/>
        </w:rPr>
        <w:t>https://www.colombiacompra.gov.co/sala-de-prensa/boletin-digital</w:t>
      </w:r>
      <w:r w:rsidRPr="00741245" w:rsidR="00741245">
        <w:rPr>
          <w:rFonts w:ascii="Verdana" w:hAnsi="Verdana" w:cs="Arial"/>
          <w:shd w:val="clear" w:color="auto" w:fill="FFFFFF"/>
          <w:lang w:val="es-ES"/>
        </w:rPr>
        <w:t xml:space="preserve">. Por otro lado, le contamos que ampliamos hasta el 19 de julio de 2024 el periodo para recibir observaciones a los borradores de </w:t>
      </w:r>
      <w:r w:rsidRPr="00741245" w:rsidR="005620F6">
        <w:rPr>
          <w:rFonts w:ascii="Verdana" w:hAnsi="Verdana" w:cs="Arial"/>
          <w:shd w:val="clear" w:color="auto" w:fill="FFFFFF"/>
          <w:lang w:val="es-ES"/>
        </w:rPr>
        <w:t>las próximas versiones</w:t>
      </w:r>
      <w:r w:rsidRPr="00741245" w:rsidR="00741245">
        <w:rPr>
          <w:rFonts w:ascii="Verdana" w:hAnsi="Verdana" w:cs="Arial"/>
          <w:shd w:val="clear" w:color="auto" w:fill="FFFFFF"/>
          <w:lang w:val="es-ES"/>
        </w:rPr>
        <w:t xml:space="preserve"> de los documentos tipo para la contratación obras públicas de infraestructura de transporte en las modalidades de licitación pública, selección abreviada y mínima cuantía, por lo que le invitamos a realizar sus comentarios a través del siguiente enlace: </w:t>
      </w:r>
      <w:r w:rsidRPr="002B454C" w:rsidR="00741245">
        <w:rPr>
          <w:rStyle w:val="Hipervnculo"/>
          <w:rFonts w:ascii="Verdana" w:hAnsi="Verdana"/>
          <w:lang w:val="es-ES"/>
        </w:rPr>
        <w:t>https://www.colombiacompra.gov.co/documentos-tipo/documentos-tipo</w:t>
      </w:r>
      <w:r w:rsidRPr="00741245" w:rsidR="00741245">
        <w:rPr>
          <w:rFonts w:ascii="Verdana" w:hAnsi="Verdana" w:cs="Arial"/>
          <w:shd w:val="clear" w:color="auto" w:fill="FFFFFF"/>
          <w:lang w:val="es-ES"/>
        </w:rPr>
        <w:t xml:space="preserve"> "</w:t>
      </w:r>
      <w:r w:rsidR="002B454C">
        <w:rPr>
          <w:rFonts w:ascii="Verdana" w:hAnsi="Verdana" w:cs="Arial"/>
          <w:shd w:val="clear" w:color="auto" w:fill="FFFFFF"/>
          <w:lang w:val="es-ES"/>
        </w:rPr>
        <w:t>.</w:t>
      </w:r>
    </w:p>
    <w:p w:rsidRPr="006849F1" w:rsidR="002B454C" w:rsidP="00AB4DAA" w:rsidRDefault="002B454C" w14:paraId="2458805C" w14:textId="77777777">
      <w:pPr>
        <w:widowControl w:val="0"/>
        <w:autoSpaceDE w:val="0"/>
        <w:autoSpaceDN w:val="0"/>
        <w:spacing w:after="0" w:line="276" w:lineRule="auto"/>
        <w:jc w:val="both"/>
        <w:rPr>
          <w:rFonts w:ascii="Verdana" w:hAnsi="Verdana" w:cs="Arial"/>
          <w:shd w:val="clear" w:color="auto" w:fill="FFFFFF"/>
          <w:lang w:val="es-ES"/>
        </w:rPr>
      </w:pPr>
    </w:p>
    <w:p w:rsidRPr="006849F1" w:rsidR="00AB4DAA" w:rsidP="00AB4DAA" w:rsidRDefault="00AB4DAA" w14:paraId="7136A509" w14:textId="77777777">
      <w:pPr>
        <w:spacing w:after="0" w:line="240" w:lineRule="auto"/>
        <w:jc w:val="both"/>
        <w:rPr>
          <w:rFonts w:ascii="Verdana" w:hAnsi="Verdana"/>
        </w:rPr>
      </w:pPr>
      <w:r w:rsidRPr="006849F1">
        <w:rPr>
          <w:rFonts w:ascii="Verdana" w:hAnsi="Verdana"/>
        </w:rPr>
        <w:t xml:space="preserve">Por último, lo invitamos a seguirnos en las redes sociales en las cuales se difunde información institucional: </w:t>
      </w:r>
    </w:p>
    <w:p w:rsidRPr="006849F1" w:rsidR="00AB4DAA" w:rsidP="00AB4DAA" w:rsidRDefault="00AB4DAA" w14:paraId="586646A6" w14:textId="77777777">
      <w:pPr>
        <w:spacing w:after="0" w:line="240" w:lineRule="auto"/>
        <w:jc w:val="both"/>
        <w:rPr>
          <w:rFonts w:ascii="Verdana" w:hAnsi="Verdana"/>
        </w:rPr>
      </w:pPr>
    </w:p>
    <w:p w:rsidRPr="003E2460" w:rsidR="00AB4DAA" w:rsidP="00AB4DAA" w:rsidRDefault="00AB4DAA" w14:paraId="66B13C39"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AB4DAA" w:rsidP="00AB4DAA" w:rsidRDefault="00AB4DAA" w14:paraId="38604274"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AB4DAA" w:rsidP="00AB4DAA" w:rsidRDefault="00AB4DAA" w14:paraId="5FE23D9F"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6849F1" w:rsidR="00AB4DAA" w:rsidP="00AB4DAA" w:rsidRDefault="00AB4DAA" w14:paraId="0562E2AB" w14:textId="77777777">
      <w:pPr>
        <w:widowControl w:val="0"/>
        <w:autoSpaceDE w:val="0"/>
        <w:autoSpaceDN w:val="0"/>
        <w:spacing w:after="0" w:line="276" w:lineRule="auto"/>
        <w:jc w:val="both"/>
        <w:rPr>
          <w:rFonts w:ascii="Verdana" w:hAnsi="Verdana" w:cs="Arial"/>
        </w:rPr>
      </w:pPr>
    </w:p>
    <w:p w:rsidRPr="006849F1" w:rsidR="00AB4DAA" w:rsidP="00AB4DAA" w:rsidRDefault="00AB4DAA" w14:paraId="3D9E6ECC" w14:textId="77777777">
      <w:pPr>
        <w:widowControl w:val="0"/>
        <w:autoSpaceDE w:val="0"/>
        <w:autoSpaceDN w:val="0"/>
        <w:spacing w:after="0" w:line="276" w:lineRule="auto"/>
        <w:jc w:val="both"/>
        <w:rPr>
          <w:rFonts w:ascii="Verdana" w:hAnsi="Verdana" w:cs="Arial"/>
          <w:lang w:val="es-ES_tradnl"/>
        </w:rPr>
      </w:pPr>
      <w:r w:rsidRPr="006849F1">
        <w:rPr>
          <w:rFonts w:ascii="Verdana" w:hAnsi="Verdana" w:cs="Arial"/>
        </w:rPr>
        <w:t xml:space="preserve">Este concepto tiene el alcance previsto en el artículo 28 del Código de Procedimiento Administrativo y de lo Contencioso Administrativo </w:t>
      </w:r>
      <w:r w:rsidRPr="006849F1">
        <w:rPr>
          <w:rFonts w:ascii="Verdana" w:hAnsi="Verdana" w:cs="Arial"/>
          <w:lang w:val="es-ES_tradnl"/>
        </w:rPr>
        <w:t>y las expresiones aquí utilizadas con mayúscula inicial deben ser entendidas con el significado que les otorga el artículo 2.2.1.1.1.3.1. del Decreto 1082 de 2015.</w:t>
      </w:r>
    </w:p>
    <w:p w:rsidRPr="006849F1" w:rsidR="00AB4DAA" w:rsidP="00AB4DAA" w:rsidRDefault="00AB4DAA" w14:paraId="020D5630" w14:textId="77777777">
      <w:pPr>
        <w:widowControl w:val="0"/>
        <w:autoSpaceDE w:val="0"/>
        <w:autoSpaceDN w:val="0"/>
        <w:spacing w:after="0" w:line="276" w:lineRule="auto"/>
        <w:jc w:val="both"/>
        <w:rPr>
          <w:rFonts w:ascii="Verdana" w:hAnsi="Verdana" w:cs="Arial"/>
        </w:rPr>
      </w:pPr>
    </w:p>
    <w:p w:rsidRPr="006849F1" w:rsidR="00AB4DAA" w:rsidP="00AB4DAA" w:rsidRDefault="00AB4DAA" w14:paraId="54B02D41" w14:textId="77777777">
      <w:pPr>
        <w:spacing w:after="0" w:line="240" w:lineRule="auto"/>
        <w:rPr>
          <w:rFonts w:ascii="Verdana" w:hAnsi="Verdana" w:cs="Arial"/>
          <w:lang w:eastAsia="es-CO"/>
        </w:rPr>
      </w:pPr>
      <w:r w:rsidRPr="006849F1">
        <w:rPr>
          <w:rFonts w:ascii="Verdana" w:hAnsi="Verdana" w:eastAsia="Times New Roman" w:cs="Arial"/>
          <w:lang w:eastAsia="es-CO"/>
        </w:rPr>
        <w:t>Atentamente,</w:t>
      </w:r>
      <w:r w:rsidRPr="006849F1">
        <w:rPr>
          <w:rFonts w:ascii="Verdana" w:hAnsi="Verdana" w:cs="Arial"/>
          <w:lang w:eastAsia="es-CO"/>
        </w:rPr>
        <w:t xml:space="preserve"> </w:t>
      </w:r>
    </w:p>
    <w:p w:rsidRPr="006849F1" w:rsidR="00AB4DAA" w:rsidP="00AB4DAA" w:rsidRDefault="00184B89" w14:paraId="05C4EAD7" w14:textId="15B231D7">
      <w:pPr>
        <w:spacing w:line="276" w:lineRule="auto"/>
        <w:jc w:val="center"/>
        <w:rPr>
          <w:rFonts w:ascii="Verdana" w:hAnsi="Verdana" w:cs="Arial"/>
          <w:lang w:val="es-ES_tradnl" w:eastAsia="es-CO"/>
        </w:rPr>
      </w:pPr>
      <w:r w:rsidRPr="002C3AD6">
        <w:rPr>
          <w:rFonts w:ascii="Century Gothic" w:hAnsi="Century Gothic"/>
          <w:noProof/>
        </w:rPr>
        <w:drawing>
          <wp:inline distT="0" distB="0" distL="0" distR="0" wp14:anchorId="702EAF23" wp14:editId="4A01CE1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11"/>
        <w:tblpPr w:leftFromText="141" w:rightFromText="141" w:vertAnchor="text" w:horzAnchor="margin" w:tblpY="-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
        <w:gridCol w:w="4344"/>
      </w:tblGrid>
      <w:tr w:rsidRPr="006849F1" w:rsidR="00AB4DAA" w:rsidTr="002F3573" w14:paraId="3EC33ED9" w14:textId="77777777">
        <w:trPr>
          <w:trHeight w:val="286"/>
        </w:trPr>
        <w:tc>
          <w:tcPr>
            <w:tcW w:w="901" w:type="dxa"/>
            <w:vAlign w:val="center"/>
            <w:hideMark/>
          </w:tcPr>
          <w:p w:rsidRPr="006849F1" w:rsidR="00AB4DAA" w:rsidP="002F3573" w:rsidRDefault="00AB4DAA" w14:paraId="6E71E483" w14:textId="77777777">
            <w:pPr>
              <w:rPr>
                <w:rFonts w:ascii="Verdana" w:hAnsi="Verdana" w:cs="Arial"/>
                <w:sz w:val="14"/>
                <w:szCs w:val="14"/>
                <w:lang w:eastAsia="es-ES"/>
              </w:rPr>
            </w:pPr>
            <w:r w:rsidRPr="006849F1">
              <w:rPr>
                <w:rFonts w:ascii="Verdana" w:hAnsi="Verdana" w:cs="Arial"/>
                <w:sz w:val="14"/>
                <w:szCs w:val="14"/>
                <w:lang w:eastAsia="es-ES"/>
              </w:rPr>
              <w:t>Elaboró:</w:t>
            </w:r>
          </w:p>
        </w:tc>
        <w:tc>
          <w:tcPr>
            <w:tcW w:w="4344" w:type="dxa"/>
            <w:tcBorders>
              <w:top w:val="nil"/>
              <w:left w:val="nil"/>
              <w:bottom w:val="dotted" w:color="7F7F7F" w:sz="4" w:space="0"/>
              <w:right w:val="nil"/>
            </w:tcBorders>
            <w:vAlign w:val="center"/>
            <w:hideMark/>
          </w:tcPr>
          <w:p w:rsidRPr="006849F1" w:rsidR="00AB4DAA" w:rsidP="002F3573" w:rsidRDefault="00AB4DAA" w14:paraId="22586E74" w14:textId="77777777">
            <w:pPr>
              <w:rPr>
                <w:rFonts w:ascii="Verdana" w:hAnsi="Verdana" w:cs="Arial"/>
                <w:sz w:val="14"/>
                <w:szCs w:val="14"/>
                <w:lang w:eastAsia="es-ES"/>
              </w:rPr>
            </w:pPr>
            <w:r w:rsidRPr="006849F1">
              <w:rPr>
                <w:rFonts w:ascii="Verdana" w:hAnsi="Verdana" w:cs="Arial"/>
                <w:sz w:val="14"/>
                <w:szCs w:val="14"/>
                <w:lang w:eastAsia="es-ES"/>
              </w:rPr>
              <w:t>Nasly Yeana Mosquera Rivas</w:t>
            </w:r>
          </w:p>
          <w:p w:rsidRPr="006849F1" w:rsidR="00AB4DAA" w:rsidP="002F3573" w:rsidRDefault="00AB4DAA" w14:paraId="35920B2B" w14:textId="77777777">
            <w:pPr>
              <w:rPr>
                <w:rFonts w:ascii="Verdana" w:hAnsi="Verdana" w:cs="Arial"/>
                <w:sz w:val="14"/>
                <w:szCs w:val="14"/>
                <w:lang w:eastAsia="es-ES"/>
              </w:rPr>
            </w:pPr>
            <w:r w:rsidRPr="006849F1">
              <w:rPr>
                <w:rFonts w:ascii="Verdana" w:hAnsi="Verdana" w:cs="Arial"/>
                <w:sz w:val="14"/>
                <w:szCs w:val="14"/>
                <w:lang w:eastAsia="es-ES"/>
              </w:rPr>
              <w:t>Analista T2–06 de la Subdirección de Gestión Contractual</w:t>
            </w:r>
          </w:p>
        </w:tc>
      </w:tr>
      <w:tr w:rsidRPr="006849F1" w:rsidR="00AB4DAA" w:rsidTr="002F3573" w14:paraId="07172CD8" w14:textId="77777777">
        <w:trPr>
          <w:trHeight w:val="299"/>
        </w:trPr>
        <w:tc>
          <w:tcPr>
            <w:tcW w:w="901" w:type="dxa"/>
            <w:vAlign w:val="center"/>
          </w:tcPr>
          <w:p w:rsidRPr="006849F1" w:rsidR="00AB4DAA" w:rsidP="002F3573" w:rsidRDefault="00AB4DAA" w14:paraId="634ED695" w14:textId="77777777">
            <w:pPr>
              <w:rPr>
                <w:rFonts w:ascii="Verdana" w:hAnsi="Verdana" w:cs="Arial"/>
                <w:sz w:val="14"/>
                <w:szCs w:val="14"/>
                <w:lang w:eastAsia="es-ES"/>
              </w:rPr>
            </w:pPr>
            <w:r w:rsidRPr="006849F1">
              <w:rPr>
                <w:rFonts w:ascii="Verdana" w:hAnsi="Verdana" w:cs="Arial"/>
                <w:sz w:val="14"/>
                <w:szCs w:val="14"/>
                <w:lang w:eastAsia="es-ES"/>
              </w:rPr>
              <w:t>Revisó:</w:t>
            </w:r>
          </w:p>
        </w:tc>
        <w:tc>
          <w:tcPr>
            <w:tcW w:w="4344" w:type="dxa"/>
            <w:tcBorders>
              <w:top w:val="dotted" w:color="7F7F7F" w:sz="4" w:space="0"/>
              <w:left w:val="nil"/>
              <w:bottom w:val="dotted" w:color="7F7F7F" w:sz="4" w:space="0"/>
              <w:right w:val="nil"/>
            </w:tcBorders>
            <w:vAlign w:val="center"/>
          </w:tcPr>
          <w:p w:rsidR="00770D53" w:rsidP="00770D53" w:rsidRDefault="002C5984" w14:paraId="4351F53C" w14:textId="6AC79959">
            <w:pPr>
              <w:rPr>
                <w:rFonts w:ascii="Verdana" w:hAnsi="Verdana" w:cs="Arial"/>
                <w:sz w:val="14"/>
                <w:szCs w:val="14"/>
                <w:lang w:eastAsia="es-ES"/>
              </w:rPr>
            </w:pPr>
            <w:r>
              <w:rPr>
                <w:rFonts w:ascii="Verdana" w:hAnsi="Verdana" w:cs="Arial"/>
                <w:sz w:val="14"/>
                <w:szCs w:val="14"/>
                <w:lang w:eastAsia="es-ES"/>
              </w:rPr>
              <w:t>Juan David Cárdenas Cabeza</w:t>
            </w:r>
          </w:p>
          <w:p w:rsidRPr="006849F1" w:rsidR="00AB4DAA" w:rsidP="00770D53" w:rsidRDefault="00770D53" w14:paraId="0A37507B" w14:textId="42FDD656">
            <w:pPr>
              <w:rPr>
                <w:rFonts w:ascii="Verdana" w:hAnsi="Verdana" w:cs="Arial"/>
                <w:sz w:val="14"/>
                <w:szCs w:val="14"/>
                <w:lang w:eastAsia="es-ES"/>
              </w:rPr>
            </w:pPr>
            <w:r>
              <w:rPr>
                <w:rFonts w:ascii="Verdana" w:hAnsi="Verdana" w:cs="Arial"/>
                <w:sz w:val="14"/>
                <w:szCs w:val="14"/>
                <w:lang w:eastAsia="es-ES"/>
              </w:rPr>
              <w:t>Contratista de</w:t>
            </w:r>
            <w:r w:rsidRPr="006849F1" w:rsidR="00AB4DAA">
              <w:rPr>
                <w:rFonts w:ascii="Verdana" w:hAnsi="Verdana" w:cs="Arial"/>
                <w:sz w:val="14"/>
                <w:szCs w:val="14"/>
                <w:lang w:eastAsia="es-ES"/>
              </w:rPr>
              <w:t xml:space="preserve"> la Subdirección de Gestión Contractual</w:t>
            </w:r>
          </w:p>
        </w:tc>
      </w:tr>
      <w:tr w:rsidRPr="006849F1" w:rsidR="00AB4DAA" w:rsidTr="002F3573" w14:paraId="1A7705F9" w14:textId="77777777">
        <w:trPr>
          <w:trHeight w:val="272"/>
        </w:trPr>
        <w:tc>
          <w:tcPr>
            <w:tcW w:w="901" w:type="dxa"/>
            <w:vAlign w:val="center"/>
            <w:hideMark/>
          </w:tcPr>
          <w:p w:rsidRPr="006849F1" w:rsidR="00AB4DAA" w:rsidP="002F3573" w:rsidRDefault="00AB4DAA" w14:paraId="1F2009C0" w14:textId="77777777">
            <w:pPr>
              <w:rPr>
                <w:rFonts w:ascii="Verdana" w:hAnsi="Verdana" w:cs="Arial"/>
                <w:sz w:val="14"/>
                <w:szCs w:val="14"/>
                <w:lang w:eastAsia="es-ES"/>
              </w:rPr>
            </w:pPr>
            <w:r w:rsidRPr="006849F1">
              <w:rPr>
                <w:rFonts w:ascii="Verdana" w:hAnsi="Verdana" w:cs="Arial"/>
                <w:sz w:val="14"/>
                <w:szCs w:val="14"/>
                <w:lang w:eastAsia="es-ES"/>
              </w:rPr>
              <w:t>Aprobó:</w:t>
            </w:r>
          </w:p>
        </w:tc>
        <w:tc>
          <w:tcPr>
            <w:tcW w:w="4344" w:type="dxa"/>
            <w:tcBorders>
              <w:top w:val="dotted" w:color="7F7F7F" w:sz="4" w:space="0"/>
              <w:left w:val="nil"/>
              <w:bottom w:val="dotted" w:color="7F7F7F" w:sz="4" w:space="0"/>
              <w:right w:val="nil"/>
            </w:tcBorders>
            <w:vAlign w:val="center"/>
            <w:hideMark/>
          </w:tcPr>
          <w:p w:rsidRPr="006849F1" w:rsidR="00AB4DAA" w:rsidP="002F3573" w:rsidRDefault="00AB4DAA" w14:paraId="2B22D5D4" w14:textId="77777777">
            <w:pPr>
              <w:rPr>
                <w:rFonts w:ascii="Verdana" w:hAnsi="Verdana" w:cs="Arial"/>
                <w:sz w:val="14"/>
                <w:szCs w:val="14"/>
                <w:lang w:eastAsia="es-ES"/>
              </w:rPr>
            </w:pPr>
            <w:r w:rsidRPr="006849F1">
              <w:rPr>
                <w:rFonts w:ascii="Verdana" w:hAnsi="Verdana" w:cs="Arial"/>
                <w:sz w:val="14"/>
                <w:szCs w:val="14"/>
                <w:lang w:eastAsia="es-ES"/>
              </w:rPr>
              <w:t>Carolina Quintero Gacharná</w:t>
            </w:r>
          </w:p>
          <w:p w:rsidRPr="006849F1" w:rsidR="00AB4DAA" w:rsidP="002F3573" w:rsidRDefault="00AB4DAA" w14:paraId="72720000" w14:textId="77777777">
            <w:pPr>
              <w:rPr>
                <w:rFonts w:ascii="Verdana" w:hAnsi="Verdana" w:cs="Arial"/>
                <w:sz w:val="14"/>
                <w:szCs w:val="14"/>
                <w:lang w:eastAsia="es-ES"/>
              </w:rPr>
            </w:pPr>
            <w:r w:rsidRPr="006849F1">
              <w:rPr>
                <w:rFonts w:ascii="Verdana" w:hAnsi="Verdana" w:cs="Arial"/>
                <w:sz w:val="14"/>
                <w:szCs w:val="14"/>
                <w:lang w:eastAsia="es-ES"/>
              </w:rPr>
              <w:t>Subdirectora de Gestión Contractual ANCP – CCE</w:t>
            </w:r>
          </w:p>
        </w:tc>
      </w:tr>
    </w:tbl>
    <w:p w:rsidRPr="006849F1" w:rsidR="00AB4DAA" w:rsidP="00AB4DAA" w:rsidRDefault="00AB4DAA" w14:paraId="632CF29A" w14:textId="77777777">
      <w:pPr>
        <w:spacing w:after="0" w:line="240" w:lineRule="auto"/>
        <w:rPr>
          <w:rFonts w:ascii="Verdana" w:hAnsi="Verdana" w:eastAsia="Times New Roman" w:cs="Arial"/>
          <w:sz w:val="24"/>
          <w:szCs w:val="24"/>
          <w:lang w:eastAsia="es-ES"/>
        </w:rPr>
      </w:pPr>
    </w:p>
    <w:p w:rsidRPr="006849F1" w:rsidR="00AB4DAA" w:rsidP="00AB4DAA" w:rsidRDefault="00AB4DAA" w14:paraId="4E63F348" w14:textId="77777777"/>
    <w:p w:rsidRPr="006849F1" w:rsidR="00AB4DAA" w:rsidP="00AB4DAA" w:rsidRDefault="00AB4DAA" w14:paraId="6B78FC3A" w14:textId="77777777"/>
    <w:p w:rsidRPr="00AB4DAA" w:rsidR="5D8505AD" w:rsidP="00AB4DAA" w:rsidRDefault="5D8505AD" w14:paraId="0083C991" w14:textId="5C765C2F"/>
    <w:sectPr w:rsidRPr="00AB4DAA" w:rsidR="5D8505AD" w:rsidSect="00E45F4B">
      <w:headerReference w:type="default" r:id="rId15"/>
      <w:footerReference w:type="default" r:id="rId16"/>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5DC1" w:rsidP="00B30448" w:rsidRDefault="00175DC1" w14:paraId="5A1B5F7B" w14:textId="77777777">
      <w:pPr>
        <w:spacing w:after="0" w:line="240" w:lineRule="auto"/>
      </w:pPr>
      <w:r>
        <w:separator/>
      </w:r>
    </w:p>
  </w:endnote>
  <w:endnote w:type="continuationSeparator" w:id="0">
    <w:p w:rsidR="00175DC1" w:rsidP="00B30448" w:rsidRDefault="00175DC1" w14:paraId="739FF961" w14:textId="77777777">
      <w:pPr>
        <w:spacing w:after="0" w:line="240" w:lineRule="auto"/>
      </w:pPr>
      <w:r>
        <w:continuationSeparator/>
      </w:r>
    </w:p>
  </w:endnote>
  <w:endnote w:type="continuationNotice" w:id="1">
    <w:p w:rsidR="00175DC1" w:rsidRDefault="00175DC1" w14:paraId="31D06A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49D5" w:rsidP="000849D5" w:rsidRDefault="000849D5" w14:paraId="74A7DACD" w14:textId="77777777">
    <w:pPr>
      <w:spacing w:after="0"/>
      <w:rPr>
        <w:rFonts w:ascii="Verdana" w:hAnsi="Verdana"/>
        <w:b/>
        <w:bCs/>
        <w:sz w:val="20"/>
        <w:szCs w:val="20"/>
      </w:rPr>
    </w:pPr>
  </w:p>
  <w:p w:rsidRPr="00174B77" w:rsidR="000849D5" w:rsidP="000849D5" w:rsidRDefault="000849D5" w14:paraId="6681ECB2"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0849D5" w:rsidP="000849D5" w:rsidRDefault="000849D5" w14:paraId="21625D2E"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0849D5" w:rsidP="000849D5" w:rsidRDefault="000849D5" w14:paraId="559D727E" w14:textId="77777777">
    <w:pPr>
      <w:spacing w:after="0"/>
      <w:jc w:val="both"/>
      <w:rPr>
        <w:rFonts w:ascii="Verdana" w:hAnsi="Verdana"/>
        <w:sz w:val="18"/>
        <w:szCs w:val="18"/>
      </w:rPr>
    </w:pPr>
    <w:r w:rsidRPr="00E41027">
      <w:rPr>
        <w:rFonts w:ascii="Verdana" w:hAnsi="Verdana"/>
        <w:sz w:val="18"/>
        <w:szCs w:val="18"/>
      </w:rPr>
      <w:t>Mesa de servicio: (+57) 601 7456788</w:t>
    </w:r>
  </w:p>
  <w:p w:rsidR="000849D5" w:rsidP="000849D5" w:rsidRDefault="000849D5" w14:paraId="143E423D" w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rsidRPr="007D04B2" w:rsidR="000849D5" w:rsidP="000849D5" w:rsidRDefault="000849D5" w14:paraId="337FD84E" w14:textId="77777777">
    <w:pPr>
      <w:pStyle w:val="Piedepgina"/>
    </w:pPr>
  </w:p>
  <w:p w:rsidRPr="000849D5" w:rsidR="00B30448" w:rsidP="000849D5" w:rsidRDefault="00B30448" w14:paraId="769219E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5DC1" w:rsidP="00B30448" w:rsidRDefault="00175DC1" w14:paraId="042A71A9" w14:textId="77777777">
      <w:pPr>
        <w:spacing w:after="0" w:line="240" w:lineRule="auto"/>
      </w:pPr>
      <w:r>
        <w:separator/>
      </w:r>
    </w:p>
  </w:footnote>
  <w:footnote w:type="continuationSeparator" w:id="0">
    <w:p w:rsidR="00175DC1" w:rsidP="00B30448" w:rsidRDefault="00175DC1" w14:paraId="094B6509" w14:textId="77777777">
      <w:pPr>
        <w:spacing w:after="0" w:line="240" w:lineRule="auto"/>
      </w:pPr>
      <w:r>
        <w:continuationSeparator/>
      </w:r>
    </w:p>
  </w:footnote>
  <w:footnote w:type="continuationNotice" w:id="1">
    <w:p w:rsidR="00175DC1" w:rsidRDefault="00175DC1" w14:paraId="58DCF6E1" w14:textId="77777777">
      <w:pPr>
        <w:spacing w:after="0" w:line="240" w:lineRule="auto"/>
      </w:pPr>
    </w:p>
  </w:footnote>
  <w:footnote w:id="2">
    <w:p w:rsidRPr="009A7C0E" w:rsidR="001A7F68" w:rsidP="001A7F68" w:rsidRDefault="001A7F68" w14:paraId="25A27D6F" w14:textId="77777777">
      <w:pPr>
        <w:spacing w:after="0" w:line="240" w:lineRule="auto"/>
        <w:ind w:firstLine="707"/>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vertAlign w:val="superscript"/>
        </w:rPr>
        <w:t xml:space="preserve"> </w:t>
      </w:r>
      <w:r w:rsidRPr="009A7C0E">
        <w:rPr>
          <w:rFonts w:ascii="Verdana" w:hAnsi="Verdana" w:cs="Arial"/>
          <w:sz w:val="12"/>
          <w:szCs w:val="12"/>
        </w:rPr>
        <w:t>Ley 1712 de 2014: “Artículo 2. Toda información en posesión, bajo control o custodia de un sujeto obligado es pública y no podrá ser reservada o limitada sino por disposición constitucional o legal, de conformidad con la presente ley”.</w:t>
      </w:r>
    </w:p>
  </w:footnote>
  <w:footnote w:id="3">
    <w:p w:rsidRPr="009A7C0E" w:rsidR="009249D1" w:rsidP="009249D1" w:rsidRDefault="009249D1" w14:paraId="69358756" w14:textId="77777777">
      <w:pPr>
        <w:pStyle w:val="Textonotapie"/>
        <w:ind w:firstLine="707"/>
        <w:contextualSpacing/>
        <w:jc w:val="both"/>
        <w:rPr>
          <w:rFonts w:ascii="Verdana" w:hAnsi="Verdana" w:cs="Arial"/>
          <w:sz w:val="12"/>
          <w:szCs w:val="12"/>
          <w:lang w:val="es-CO"/>
        </w:rPr>
      </w:pPr>
      <w:r w:rsidRPr="009A7C0E">
        <w:rPr>
          <w:rStyle w:val="Refdenotaalpie"/>
          <w:rFonts w:ascii="Verdana" w:hAnsi="Verdana" w:cs="Arial"/>
          <w:sz w:val="12"/>
          <w:szCs w:val="12"/>
        </w:rPr>
        <w:footnoteRef/>
      </w:r>
      <w:r w:rsidRPr="009A7C0E">
        <w:rPr>
          <w:rFonts w:ascii="Verdana" w:hAnsi="Verdana" w:cs="Arial"/>
          <w:sz w:val="12"/>
          <w:szCs w:val="12"/>
          <w:vertAlign w:val="superscript"/>
        </w:rPr>
        <w:t xml:space="preserve"> </w:t>
      </w:r>
      <w:r w:rsidRPr="009A7C0E">
        <w:rPr>
          <w:rFonts w:ascii="Verdana" w:hAnsi="Verdana" w:cs="Arial"/>
          <w:sz w:val="12"/>
          <w:szCs w:val="12"/>
        </w:rPr>
        <w:t xml:space="preserve">Ley 1712 de 2014: “Artículo 3. </w:t>
      </w:r>
      <w:bookmarkStart w:name="3" w:id="2"/>
      <w:r w:rsidRPr="009A7C0E">
        <w:rPr>
          <w:rFonts w:ascii="Verdana" w:hAnsi="Verdana" w:cs="Arial"/>
          <w:sz w:val="12"/>
          <w:szCs w:val="12"/>
          <w:lang w:val="es-CO"/>
        </w:rPr>
        <w:t>Otros principios de la transparencia y acceso a la información pública.</w:t>
      </w:r>
      <w:bookmarkEnd w:id="2"/>
      <w:r w:rsidRPr="009A7C0E">
        <w:rPr>
          <w:rFonts w:ascii="Verdana" w:hAnsi="Verdana" w:cs="Arial"/>
          <w:sz w:val="12"/>
          <w:szCs w:val="12"/>
          <w:lang w:val="es-CO"/>
        </w:rPr>
        <w:t> </w:t>
      </w:r>
    </w:p>
    <w:p w:rsidRPr="009A7C0E" w:rsidR="009249D1" w:rsidP="009249D1" w:rsidRDefault="009249D1" w14:paraId="4595E17B" w14:textId="77777777">
      <w:pPr>
        <w:pStyle w:val="Textonotapie"/>
        <w:ind w:firstLine="707"/>
        <w:contextualSpacing/>
        <w:jc w:val="both"/>
        <w:rPr>
          <w:rFonts w:ascii="Verdana" w:hAnsi="Verdana" w:cs="Arial"/>
          <w:sz w:val="12"/>
          <w:szCs w:val="12"/>
          <w:lang w:val="es-CO"/>
        </w:rPr>
      </w:pPr>
      <w:r w:rsidRPr="009A7C0E">
        <w:rPr>
          <w:rFonts w:ascii="Verdana" w:hAnsi="Verdana" w:cs="Arial"/>
          <w:sz w:val="12"/>
          <w:szCs w:val="12"/>
          <w:lang w:val="es-CO"/>
        </w:rPr>
        <w:t>[…]</w:t>
      </w:r>
    </w:p>
    <w:p w:rsidRPr="009A7C0E" w:rsidR="009249D1" w:rsidP="009249D1" w:rsidRDefault="009249D1" w14:paraId="21F81376" w14:textId="77777777">
      <w:pPr>
        <w:pStyle w:val="Textonotapie"/>
        <w:ind w:firstLine="707"/>
        <w:contextualSpacing/>
        <w:jc w:val="both"/>
        <w:rPr>
          <w:rFonts w:ascii="Verdana" w:hAnsi="Verdana" w:cs="Arial"/>
          <w:sz w:val="12"/>
          <w:szCs w:val="12"/>
        </w:rPr>
      </w:pPr>
      <w:r w:rsidRPr="009A7C0E">
        <w:rPr>
          <w:rStyle w:val="baj"/>
          <w:rFonts w:ascii="Verdana" w:hAnsi="Verdana" w:cs="Arial"/>
          <w:sz w:val="12"/>
          <w:szCs w:val="12"/>
        </w:rPr>
        <w:t>Principio de transparencia</w:t>
      </w:r>
      <w:r w:rsidRPr="009A7C0E">
        <w:rPr>
          <w:rFonts w:ascii="Verdana" w:hAnsi="Verdana" w:cs="Arial"/>
          <w:sz w:val="12"/>
          <w:szCs w:val="12"/>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4">
    <w:p w:rsidRPr="009A7C0E" w:rsidR="002D005F" w:rsidP="002D005F" w:rsidRDefault="002D005F" w14:paraId="76DA76E4" w14:textId="77777777">
      <w:pPr>
        <w:pStyle w:val="Textonotapie"/>
        <w:ind w:firstLine="707"/>
        <w:contextualSpacing/>
        <w:jc w:val="both"/>
        <w:rPr>
          <w:rFonts w:ascii="Verdana" w:hAnsi="Verdana" w:cs="Arial"/>
          <w:sz w:val="12"/>
          <w:szCs w:val="12"/>
          <w:lang w:val="es-CO"/>
        </w:rPr>
      </w:pPr>
      <w:r w:rsidRPr="009A7C0E">
        <w:rPr>
          <w:rStyle w:val="Refdenotaalpie"/>
          <w:rFonts w:ascii="Verdana" w:hAnsi="Verdana" w:cs="Arial"/>
          <w:sz w:val="12"/>
          <w:szCs w:val="12"/>
        </w:rPr>
        <w:footnoteRef/>
      </w:r>
      <w:r w:rsidRPr="009A7C0E">
        <w:rPr>
          <w:rFonts w:ascii="Verdana" w:hAnsi="Verdana" w:cs="Arial"/>
          <w:sz w:val="12"/>
          <w:szCs w:val="12"/>
          <w:vertAlign w:val="superscript"/>
        </w:rPr>
        <w:t xml:space="preserve"> </w:t>
      </w:r>
      <w:r w:rsidRPr="009A7C0E">
        <w:rPr>
          <w:rFonts w:ascii="Verdana" w:hAnsi="Verdana" w:cs="Arial"/>
          <w:sz w:val="12"/>
          <w:szCs w:val="12"/>
        </w:rPr>
        <w:t xml:space="preserve">Ley 1712 de 2014: “Artículo 3. </w:t>
      </w:r>
      <w:r w:rsidRPr="009A7C0E">
        <w:rPr>
          <w:rFonts w:ascii="Verdana" w:hAnsi="Verdana" w:cs="Arial"/>
          <w:sz w:val="12"/>
          <w:szCs w:val="12"/>
          <w:lang w:val="es-CO"/>
        </w:rPr>
        <w:t>Otros principios de la transparencia y acceso a la información pública. </w:t>
      </w:r>
    </w:p>
    <w:p w:rsidRPr="009A7C0E" w:rsidR="002D005F" w:rsidP="002D005F" w:rsidRDefault="002D005F" w14:paraId="36100D9A" w14:textId="77777777">
      <w:pPr>
        <w:pStyle w:val="Textonotapie"/>
        <w:ind w:firstLine="707"/>
        <w:contextualSpacing/>
        <w:jc w:val="both"/>
        <w:rPr>
          <w:rStyle w:val="baj"/>
          <w:rFonts w:ascii="Verdana" w:hAnsi="Verdana" w:cs="Arial"/>
          <w:sz w:val="12"/>
          <w:szCs w:val="12"/>
          <w:lang w:val="es-ES"/>
        </w:rPr>
      </w:pPr>
      <w:r w:rsidRPr="009A7C0E">
        <w:rPr>
          <w:rFonts w:ascii="Verdana" w:hAnsi="Verdana" w:cs="Arial"/>
          <w:sz w:val="12"/>
          <w:szCs w:val="12"/>
          <w:lang w:val="es-ES"/>
        </w:rPr>
        <w:t>[…]</w:t>
      </w:r>
    </w:p>
    <w:p w:rsidRPr="009A7C0E" w:rsidR="002D005F" w:rsidP="002D005F" w:rsidRDefault="002D005F" w14:paraId="20E6A1B1" w14:textId="77777777">
      <w:pPr>
        <w:pStyle w:val="Textonotapie"/>
        <w:ind w:firstLine="707"/>
        <w:contextualSpacing/>
        <w:jc w:val="both"/>
        <w:rPr>
          <w:rFonts w:ascii="Verdana" w:hAnsi="Verdana" w:cs="Arial"/>
          <w:sz w:val="12"/>
          <w:szCs w:val="12"/>
          <w:lang w:val="es-ES"/>
        </w:rPr>
      </w:pPr>
      <w:r w:rsidRPr="009A7C0E">
        <w:rPr>
          <w:rStyle w:val="baj"/>
          <w:rFonts w:ascii="Verdana" w:hAnsi="Verdana" w:cs="Arial"/>
          <w:sz w:val="12"/>
          <w:szCs w:val="12"/>
        </w:rPr>
        <w:t>Principio de buena fe</w:t>
      </w:r>
      <w:r w:rsidRPr="009A7C0E">
        <w:rPr>
          <w:rFonts w:ascii="Verdana" w:hAnsi="Verdana" w:cs="Arial"/>
          <w:sz w:val="12"/>
          <w:szCs w:val="12"/>
        </w:rPr>
        <w:t>. En virtud del cual todo sujeto obligado, al cumplir con las obligaciones derivadas del derecho de acceso a la información pública, lo hará con motivación honesta, leal y desprovista de cualquier intención dolosa o culposa.</w:t>
      </w:r>
    </w:p>
  </w:footnote>
  <w:footnote w:id="5">
    <w:p w:rsidRPr="009A7C0E" w:rsidR="00C25C93" w:rsidP="00C25C93" w:rsidRDefault="00C25C93" w14:paraId="767E5F9A" w14:textId="77777777">
      <w:pPr>
        <w:pStyle w:val="Textonotapie"/>
        <w:ind w:firstLine="707"/>
        <w:contextualSpacing/>
        <w:jc w:val="both"/>
        <w:rPr>
          <w:rFonts w:ascii="Verdana" w:hAnsi="Verdana" w:cs="Arial"/>
          <w:sz w:val="12"/>
          <w:szCs w:val="12"/>
          <w:shd w:val="clear" w:color="auto" w:fill="FFFFFF"/>
        </w:rPr>
      </w:pPr>
      <w:r w:rsidRPr="009A7C0E">
        <w:rPr>
          <w:rStyle w:val="Refdenotaalpie"/>
          <w:rFonts w:ascii="Verdana" w:hAnsi="Verdana" w:cs="Arial"/>
          <w:sz w:val="12"/>
          <w:szCs w:val="12"/>
        </w:rPr>
        <w:footnoteRef/>
      </w:r>
      <w:r w:rsidRPr="009A7C0E">
        <w:rPr>
          <w:rFonts w:ascii="Verdana" w:hAnsi="Verdana" w:cs="Arial"/>
          <w:sz w:val="12"/>
          <w:szCs w:val="12"/>
        </w:rPr>
        <w:t xml:space="preserve"> Ley 1712 de 2014: “Artículo 9. </w:t>
      </w:r>
      <w:r w:rsidRPr="009A7C0E">
        <w:rPr>
          <w:rFonts w:ascii="Verdana" w:hAnsi="Verdana" w:cs="Arial"/>
          <w:sz w:val="12"/>
          <w:szCs w:val="12"/>
          <w:shd w:val="clear" w:color="auto" w:fill="FFFFFF"/>
        </w:rPr>
        <w:t> </w:t>
      </w:r>
      <w:r w:rsidRPr="009A7C0E">
        <w:rPr>
          <w:rStyle w:val="nfasis"/>
          <w:rFonts w:ascii="Verdana" w:hAnsi="Verdana" w:cs="Arial"/>
          <w:sz w:val="12"/>
          <w:szCs w:val="12"/>
          <w:shd w:val="clear" w:color="auto" w:fill="FFFFFF"/>
        </w:rPr>
        <w:t>Información mínima obligatoria respecto a la estructura del sujeto obligado. </w:t>
      </w:r>
      <w:r w:rsidRPr="009A7C0E">
        <w:rPr>
          <w:rFonts w:ascii="Verdana" w:hAnsi="Verdana" w:cs="Arial"/>
          <w:sz w:val="12"/>
          <w:szCs w:val="12"/>
          <w:shd w:val="clear" w:color="auto" w:fill="FFFFFF"/>
        </w:rPr>
        <w:t>Todo sujeto obligado deberá publicar la siguiente información mínima obligatoria de manera proactiva en los sistemas de información del Estado o herramientas que lo sustituyan:</w:t>
      </w:r>
    </w:p>
    <w:p w:rsidRPr="009A7C0E" w:rsidR="00C25C93" w:rsidP="00C25C93" w:rsidRDefault="00C25C93" w14:paraId="69269B57" w14:textId="77777777">
      <w:pPr>
        <w:pStyle w:val="Textonotapie"/>
        <w:ind w:firstLine="707"/>
        <w:contextualSpacing/>
        <w:jc w:val="both"/>
        <w:rPr>
          <w:rFonts w:ascii="Verdana" w:hAnsi="Verdana" w:cs="Arial"/>
          <w:sz w:val="12"/>
          <w:szCs w:val="12"/>
          <w:shd w:val="clear" w:color="auto" w:fill="FFFFFF"/>
        </w:rPr>
      </w:pPr>
      <w:r w:rsidRPr="009A7C0E">
        <w:rPr>
          <w:rFonts w:ascii="Verdana" w:hAnsi="Verdana" w:cs="Arial"/>
          <w:sz w:val="12"/>
          <w:szCs w:val="12"/>
          <w:shd w:val="clear" w:color="auto" w:fill="FFFFFF"/>
        </w:rPr>
        <w:t>[…]</w:t>
      </w:r>
    </w:p>
    <w:p w:rsidRPr="009A7C0E" w:rsidR="00C25C93" w:rsidP="00C25C93" w:rsidRDefault="00C25C93" w14:paraId="09225750" w14:textId="77777777">
      <w:pPr>
        <w:pStyle w:val="Textonotapie"/>
        <w:ind w:firstLine="707"/>
        <w:contextualSpacing/>
        <w:jc w:val="both"/>
        <w:rPr>
          <w:rFonts w:ascii="Verdana" w:hAnsi="Verdana" w:cs="Arial"/>
          <w:sz w:val="12"/>
          <w:szCs w:val="12"/>
        </w:rPr>
      </w:pPr>
      <w:r w:rsidRPr="009A7C0E">
        <w:rPr>
          <w:rFonts w:ascii="Verdana" w:hAnsi="Verdana" w:cs="Arial"/>
          <w:sz w:val="12"/>
          <w:szCs w:val="12"/>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9A7C0E">
        <w:rPr>
          <w:rFonts w:ascii="Verdana" w:hAnsi="Verdana" w:cs="Arial"/>
          <w:sz w:val="12"/>
          <w:szCs w:val="12"/>
        </w:rPr>
        <w:t xml:space="preserve"> </w:t>
      </w:r>
      <w:r w:rsidRPr="009A7C0E">
        <w:rPr>
          <w:rFonts w:ascii="Verdana" w:hAnsi="Verdana" w:cs="Arial"/>
          <w:sz w:val="12"/>
          <w:szCs w:val="12"/>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9A7C0E">
        <w:rPr>
          <w:rFonts w:ascii="Verdana" w:hAnsi="Verdana" w:cs="Arial"/>
          <w:sz w:val="12"/>
          <w:szCs w:val="12"/>
        </w:rPr>
        <w:t>”.</w:t>
      </w:r>
    </w:p>
  </w:footnote>
  <w:footnote w:id="6">
    <w:p w:rsidRPr="009A7C0E" w:rsidR="00A30A58" w:rsidP="00A30A58" w:rsidRDefault="00A30A58" w14:paraId="7647C848" w14:textId="77777777">
      <w:pPr>
        <w:spacing w:after="0" w:line="240" w:lineRule="auto"/>
        <w:ind w:firstLine="707"/>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Ley 1712 de 2014: “Artículo 5. Ámbito de aplicación. Las disposiciones de esta ley serán aplicables a las siguientes personas en calidad de sujetos obligados:</w:t>
      </w:r>
    </w:p>
    <w:p w:rsidRPr="009A7C0E" w:rsidR="00A30A58" w:rsidP="00A30A58" w:rsidRDefault="00A30A58" w14:paraId="3ADB6446" w14:textId="77777777">
      <w:pPr>
        <w:spacing w:after="0" w:line="240" w:lineRule="auto"/>
        <w:ind w:firstLine="707"/>
        <w:contextualSpacing/>
        <w:jc w:val="both"/>
        <w:rPr>
          <w:rFonts w:ascii="Verdana" w:hAnsi="Verdana" w:cs="Arial"/>
          <w:sz w:val="12"/>
          <w:szCs w:val="12"/>
        </w:rPr>
      </w:pPr>
      <w:r w:rsidRPr="009A7C0E">
        <w:rPr>
          <w:rFonts w:ascii="Verdana" w:hAnsi="Verdana" w:cs="Arial"/>
          <w:sz w:val="12"/>
          <w:szCs w:val="12"/>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7">
    <w:p w:rsidRPr="009A7C0E" w:rsidR="00CD3950" w:rsidP="00CD3950" w:rsidRDefault="00CD3950" w14:paraId="222876FA" w14:textId="77777777">
      <w:pPr>
        <w:pStyle w:val="Textonotapie"/>
        <w:ind w:firstLine="708"/>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Ley 80 de 1993 “Artículo 24. Del principio de transparencia. En virtud de este principio: </w:t>
      </w:r>
    </w:p>
    <w:p w:rsidRPr="009A7C0E" w:rsidR="00CD3950" w:rsidP="00CD3950" w:rsidRDefault="00CD3950" w14:paraId="0569273F"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w:t>
      </w:r>
    </w:p>
    <w:p w:rsidRPr="009A7C0E" w:rsidR="00CD3950" w:rsidP="00CD3950" w:rsidRDefault="00CD3950" w14:paraId="2E1347DF" w14:textId="77777777">
      <w:pPr>
        <w:pStyle w:val="Textonotapie"/>
        <w:ind w:firstLine="708"/>
        <w:contextualSpacing/>
        <w:jc w:val="both"/>
        <w:rPr>
          <w:rFonts w:ascii="Verdana" w:hAnsi="Verdana" w:cs="Arial"/>
          <w:sz w:val="12"/>
          <w:szCs w:val="12"/>
          <w:lang w:val="es-CO"/>
        </w:rPr>
      </w:pPr>
      <w:r w:rsidRPr="009A7C0E">
        <w:rPr>
          <w:rFonts w:ascii="Verdana" w:hAnsi="Verdana" w:cs="Arial"/>
          <w:sz w:val="12"/>
          <w:szCs w:val="12"/>
        </w:rPr>
        <w:t>4o. Las autoridades expedirán a costa de aquellas personas que demuestren interés legítimo, copias de las actuaciones y propuestas recibidas, respetando la reserva de que gocen legalmente las patentes, procedimientos y privilegios”.</w:t>
      </w:r>
    </w:p>
  </w:footnote>
  <w:footnote w:id="8">
    <w:p w:rsidRPr="009A7C0E" w:rsidR="000F2467" w:rsidP="000F2467" w:rsidRDefault="000F2467" w14:paraId="615ACB02" w14:textId="77777777">
      <w:pPr>
        <w:pStyle w:val="Textonotapie"/>
        <w:ind w:firstLine="708"/>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9">
    <w:p w:rsidRPr="009A7C0E" w:rsidR="00F16AF8" w:rsidP="00F16AF8" w:rsidRDefault="00F16AF8" w14:paraId="4C33AC2A" w14:textId="77777777">
      <w:pPr>
        <w:pStyle w:val="Textonotapie"/>
        <w:ind w:firstLine="708"/>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MATALLANA CAMACHO Ernesto. Manual de Contratación de la Administración Pública. Reforma a la Ley 80 de 1993. Universidad Externado de Colombia, Cuarta edición, 2015, pp 139.</w:t>
      </w:r>
    </w:p>
  </w:footnote>
  <w:footnote w:id="10">
    <w:p w:rsidRPr="009A7C0E" w:rsidR="00001CAA" w:rsidP="00001CAA" w:rsidRDefault="00001CAA" w14:paraId="2FACD213" w14:textId="77777777">
      <w:pPr>
        <w:pStyle w:val="Textonotapie"/>
        <w:ind w:firstLine="708"/>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Ley 1437 de 2011 “Artículo 24. Informaciones y documentos reservados. Solo tendrán carácter reservado las informaciones y documentos expresamente sometidos a reserva por la Constitución Política o la ley, y en especial:  </w:t>
      </w:r>
    </w:p>
    <w:p w:rsidRPr="009A7C0E" w:rsidR="00001CAA" w:rsidP="00001CAA" w:rsidRDefault="00001CAA" w14:paraId="1403F1E1"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1. Los relacionados con la defensa o seguridad nacionales.  </w:t>
      </w:r>
    </w:p>
    <w:p w:rsidRPr="009A7C0E" w:rsidR="00001CAA" w:rsidP="00001CAA" w:rsidRDefault="00001CAA" w14:paraId="76630972"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2. Las instrucciones en materia diplomática o sobre negociaciones reservadas.  </w:t>
      </w:r>
    </w:p>
    <w:p w:rsidRPr="009A7C0E" w:rsidR="00001CAA" w:rsidP="00001CAA" w:rsidRDefault="00001CAA" w14:paraId="506E49E8"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9A7C0E" w:rsidR="00001CAA" w:rsidP="00001CAA" w:rsidRDefault="00001CAA" w14:paraId="32162DE9"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9A7C0E" w:rsidR="00001CAA" w:rsidP="00001CAA" w:rsidRDefault="00001CAA" w14:paraId="17EC1B50"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5. Los datos referentes a la información financiera y comercial, en los términos de la Ley Estatutaria 1266 de 2008.  </w:t>
      </w:r>
    </w:p>
    <w:p w:rsidRPr="009A7C0E" w:rsidR="00001CAA" w:rsidP="00001CAA" w:rsidRDefault="00001CAA" w14:paraId="57E09378"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6. Los protegidos por el secreto comercial o industrial, así como los planes estratégicos de las empresas públicas de servicios públicos.  </w:t>
      </w:r>
    </w:p>
    <w:p w:rsidRPr="009A7C0E" w:rsidR="00001CAA" w:rsidP="00001CAA" w:rsidRDefault="00001CAA" w14:paraId="5D864067"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7. Los amparados por el secreto profesional.  </w:t>
      </w:r>
    </w:p>
    <w:p w:rsidRPr="009A7C0E" w:rsidR="00001CAA" w:rsidP="00001CAA" w:rsidRDefault="00001CAA" w14:paraId="02619925"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8. Los datos genéticos humanos.  </w:t>
      </w:r>
    </w:p>
    <w:p w:rsidRPr="009A7C0E" w:rsidR="00001CAA" w:rsidP="00001CAA" w:rsidRDefault="00001CAA" w14:paraId="753CDF3A"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11">
    <w:p w:rsidRPr="009A7C0E" w:rsidR="00F22143" w:rsidP="00F22143" w:rsidRDefault="00F22143" w14:paraId="24AFCE5F" w14:textId="77777777">
      <w:pPr>
        <w:pStyle w:val="Textonotapie"/>
        <w:ind w:firstLine="708"/>
        <w:contextualSpacing/>
        <w:jc w:val="both"/>
        <w:rPr>
          <w:rFonts w:ascii="Verdana" w:hAnsi="Verdana" w:eastAsia="Calibri"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9A7C0E">
        <w:rPr>
          <w:rFonts w:ascii="Verdana" w:hAnsi="Verdana" w:eastAsia="Calibri" w:cs="Arial"/>
          <w:sz w:val="12"/>
          <w:szCs w:val="12"/>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footnote>
  <w:footnote w:id="12">
    <w:p w:rsidRPr="009A7C0E" w:rsidR="0077759E" w:rsidP="0077759E" w:rsidRDefault="0077759E" w14:paraId="5A72C7A6" w14:textId="77777777">
      <w:pPr>
        <w:pStyle w:val="Textonotapie"/>
        <w:ind w:firstLine="708"/>
        <w:contextualSpacing/>
        <w:jc w:val="both"/>
        <w:rPr>
          <w:rFonts w:ascii="Verdana" w:hAnsi="Verdana" w:cs="Arial"/>
          <w:sz w:val="12"/>
          <w:szCs w:val="12"/>
        </w:rPr>
      </w:pPr>
      <w:r w:rsidRPr="009A7C0E">
        <w:rPr>
          <w:rStyle w:val="Refdenotaalpie"/>
          <w:rFonts w:ascii="Verdana" w:hAnsi="Verdana" w:cs="Arial"/>
          <w:sz w:val="12"/>
          <w:szCs w:val="12"/>
        </w:rPr>
        <w:footnoteRef/>
      </w:r>
      <w:r w:rsidRPr="009A7C0E">
        <w:rPr>
          <w:rFonts w:ascii="Verdana" w:hAnsi="Verdana" w:cs="Arial"/>
          <w:sz w:val="12"/>
          <w:szCs w:val="12"/>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rsidRPr="009A7C0E" w:rsidR="0077759E" w:rsidP="0077759E" w:rsidRDefault="0077759E" w14:paraId="00620C7E" w14:textId="77777777">
      <w:pPr>
        <w:pStyle w:val="Textonotapie"/>
        <w:ind w:firstLine="708"/>
        <w:contextualSpacing/>
        <w:jc w:val="both"/>
        <w:rPr>
          <w:rFonts w:ascii="Verdana" w:hAnsi="Verdana" w:cs="Arial"/>
          <w:sz w:val="12"/>
          <w:szCs w:val="12"/>
        </w:rPr>
      </w:pPr>
      <w:r w:rsidRPr="009A7C0E">
        <w:rPr>
          <w:rFonts w:ascii="Verdana" w:hAnsi="Verdana" w:cs="Arial"/>
          <w:sz w:val="12"/>
          <w:szCs w:val="12"/>
        </w:rPr>
        <w:t>Ninguna autoridad pública puede negarse a indicar si un documento obra o no en su poder o negar la divulgación de un documento, salvo que el daño causado al interés protegido sea mayor al interés público de obtener acceso a la información.</w:t>
      </w:r>
    </w:p>
    <w:p w:rsidRPr="009A7C0E" w:rsidR="0077759E" w:rsidP="0077759E" w:rsidRDefault="0077759E" w14:paraId="4C85E170" w14:textId="77777777">
      <w:pPr>
        <w:pStyle w:val="Textonotapie"/>
        <w:ind w:firstLine="708"/>
        <w:contextualSpacing/>
        <w:jc w:val="both"/>
        <w:rPr>
          <w:rFonts w:ascii="Verdana" w:hAnsi="Verdana" w:cs="Arial"/>
          <w:sz w:val="12"/>
          <w:szCs w:val="12"/>
          <w:lang w:val="es-CO"/>
        </w:rPr>
      </w:pPr>
      <w:r w:rsidRPr="009A7C0E">
        <w:rPr>
          <w:rFonts w:ascii="Verdana" w:hAnsi="Verdana" w:cs="Arial"/>
          <w:sz w:val="12"/>
          <w:szCs w:val="12"/>
        </w:rPr>
        <w:t>Las excepciones de acceso a la información contenidas en la presente ley no aplican en casos de violación de derechos humanos o delitos de lesa humanidad, y en todo caso deberán protegerse los derechos de las víctimas de dichas violaciones”.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15FB5" w:rsidP="00515FB5" w:rsidRDefault="00515FB5" w14:paraId="72849537" w14:textId="0945D6D9">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rsidR="00515FB5" w:rsidP="00515FB5" w:rsidRDefault="00515FB5" w14:paraId="635D63E7" w14:textId="77777777">
    <w:pPr>
      <w:pStyle w:val="Encabezado"/>
    </w:pPr>
  </w:p>
  <w:p w:rsidR="00515FB5" w:rsidP="00515FB5" w:rsidRDefault="00515FB5" w14:paraId="10CE77C0" w14:textId="77777777">
    <w:pPr>
      <w:pStyle w:val="Encabezado"/>
    </w:pPr>
  </w:p>
  <w:p w:rsidR="00515FB5" w:rsidP="00515FB5" w:rsidRDefault="00515FB5" w14:paraId="5BD4CAA1" w14:textId="77777777">
    <w:pPr>
      <w:pStyle w:val="Encabezado"/>
    </w:pPr>
  </w:p>
  <w:p w:rsidRPr="00AB7B56" w:rsidR="00515FB5" w:rsidP="00515FB5" w:rsidRDefault="00515FB5" w14:paraId="0D6E6014" w14:textId="77777777">
    <w:pPr>
      <w:pStyle w:val="Encabezado"/>
    </w:pPr>
  </w:p>
  <w:p w:rsidRPr="00515FB5" w:rsidR="00B30448" w:rsidP="00515FB5" w:rsidRDefault="00B30448" w14:paraId="68E0C02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hint="default" w:ascii="Arial" w:hAnsi="Arial" w:eastAsia="Arial" w:cs="Arial"/>
        <w:b/>
        <w:bCs/>
        <w:w w:val="100"/>
        <w:sz w:val="22"/>
        <w:szCs w:val="22"/>
        <w:lang w:val="es-ES" w:eastAsia="en-US" w:bidi="ar-SA"/>
      </w:rPr>
    </w:lvl>
    <w:lvl w:ilvl="1">
      <w:start w:val="1"/>
      <w:numFmt w:val="decimal"/>
      <w:lvlText w:val="%1.%2."/>
      <w:lvlJc w:val="left"/>
      <w:pPr>
        <w:ind w:left="529" w:hanging="430"/>
      </w:pPr>
      <w:rPr>
        <w:rFonts w:hint="default" w:ascii="Arial" w:hAnsi="Arial" w:eastAsia="Arial" w:cs="Arial"/>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18E5EF0"/>
    <w:multiLevelType w:val="hybridMultilevel"/>
    <w:tmpl w:val="50A062F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4AA7326E"/>
    <w:multiLevelType w:val="multilevel"/>
    <w:tmpl w:val="5CE2D418"/>
    <w:lvl w:ilvl="0">
      <w:start w:val="1"/>
      <w:numFmt w:val="decimal"/>
      <w:lvlText w:val="%1."/>
      <w:lvlJc w:val="left"/>
      <w:pPr>
        <w:ind w:left="48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88" w:hanging="578"/>
      </w:pPr>
      <w:rPr>
        <w:rFonts w:hint="default" w:ascii="Arial" w:hAnsi="Arial" w:eastAsia="Arial" w:cs="Arial"/>
        <w:b/>
        <w:bCs/>
        <w:color w:val="4E4D4D"/>
        <w:spacing w:val="-3"/>
        <w:w w:val="100"/>
        <w:sz w:val="22"/>
        <w:szCs w:val="22"/>
        <w:lang w:val="es-ES" w:eastAsia="en-US" w:bidi="ar-SA"/>
      </w:rPr>
    </w:lvl>
    <w:lvl w:ilvl="2">
      <w:start w:val="1"/>
      <w:numFmt w:val="lowerLetter"/>
      <w:lvlText w:val="%3)"/>
      <w:lvlJc w:val="left"/>
      <w:pPr>
        <w:ind w:left="800" w:hanging="325"/>
      </w:pPr>
      <w:rPr>
        <w:rFonts w:hint="default" w:ascii="Arial" w:hAnsi="Arial" w:eastAsia="Arial" w:cs="Arial"/>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5"/>
  </w:num>
  <w:num w:numId="2" w16cid:durableId="4285022">
    <w:abstractNumId w:val="2"/>
  </w:num>
  <w:num w:numId="3" w16cid:durableId="881983949">
    <w:abstractNumId w:val="3"/>
  </w:num>
  <w:num w:numId="4" w16cid:durableId="341274352">
    <w:abstractNumId w:val="0"/>
  </w:num>
  <w:num w:numId="5" w16cid:durableId="1887524674">
    <w:abstractNumId w:val="7"/>
  </w:num>
  <w:num w:numId="6" w16cid:durableId="1082990391">
    <w:abstractNumId w:val="1"/>
  </w:num>
  <w:num w:numId="7" w16cid:durableId="1492209491">
    <w:abstractNumId w:val="4"/>
  </w:num>
  <w:num w:numId="8" w16cid:durableId="679089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1CAA"/>
    <w:rsid w:val="00001D95"/>
    <w:rsid w:val="000036C2"/>
    <w:rsid w:val="000037AE"/>
    <w:rsid w:val="00003ED0"/>
    <w:rsid w:val="0000540D"/>
    <w:rsid w:val="000058FD"/>
    <w:rsid w:val="00005BB0"/>
    <w:rsid w:val="0001025F"/>
    <w:rsid w:val="00010932"/>
    <w:rsid w:val="000116A8"/>
    <w:rsid w:val="0001222D"/>
    <w:rsid w:val="00013595"/>
    <w:rsid w:val="000135EB"/>
    <w:rsid w:val="00014C4E"/>
    <w:rsid w:val="00015D2B"/>
    <w:rsid w:val="00031584"/>
    <w:rsid w:val="00032A0E"/>
    <w:rsid w:val="000345D5"/>
    <w:rsid w:val="00034BC2"/>
    <w:rsid w:val="00037347"/>
    <w:rsid w:val="00041BEB"/>
    <w:rsid w:val="000442CC"/>
    <w:rsid w:val="00053428"/>
    <w:rsid w:val="000556D4"/>
    <w:rsid w:val="00063512"/>
    <w:rsid w:val="00067A7B"/>
    <w:rsid w:val="000716AB"/>
    <w:rsid w:val="00081B8C"/>
    <w:rsid w:val="00082E4C"/>
    <w:rsid w:val="0008424F"/>
    <w:rsid w:val="000849D5"/>
    <w:rsid w:val="0008528F"/>
    <w:rsid w:val="000A5EEB"/>
    <w:rsid w:val="000A5F9F"/>
    <w:rsid w:val="000A6E0C"/>
    <w:rsid w:val="000A7A56"/>
    <w:rsid w:val="000B1FF7"/>
    <w:rsid w:val="000B2513"/>
    <w:rsid w:val="000B4024"/>
    <w:rsid w:val="000C3C51"/>
    <w:rsid w:val="000C454F"/>
    <w:rsid w:val="000C649E"/>
    <w:rsid w:val="000C7262"/>
    <w:rsid w:val="000D2A7F"/>
    <w:rsid w:val="000D3437"/>
    <w:rsid w:val="000D4FCE"/>
    <w:rsid w:val="000E3CDD"/>
    <w:rsid w:val="000E668F"/>
    <w:rsid w:val="000F0D88"/>
    <w:rsid w:val="000F2467"/>
    <w:rsid w:val="000F633E"/>
    <w:rsid w:val="0011037E"/>
    <w:rsid w:val="0011270F"/>
    <w:rsid w:val="00113F8D"/>
    <w:rsid w:val="00116AC1"/>
    <w:rsid w:val="00122FED"/>
    <w:rsid w:val="00125DF4"/>
    <w:rsid w:val="00134D97"/>
    <w:rsid w:val="001363C7"/>
    <w:rsid w:val="00141AC5"/>
    <w:rsid w:val="00142A0A"/>
    <w:rsid w:val="001434D4"/>
    <w:rsid w:val="00143985"/>
    <w:rsid w:val="00144FC4"/>
    <w:rsid w:val="00145F6A"/>
    <w:rsid w:val="00146B11"/>
    <w:rsid w:val="00147A04"/>
    <w:rsid w:val="0015476D"/>
    <w:rsid w:val="001572D8"/>
    <w:rsid w:val="001606C3"/>
    <w:rsid w:val="00161E13"/>
    <w:rsid w:val="00164AE0"/>
    <w:rsid w:val="00165E83"/>
    <w:rsid w:val="00166CD7"/>
    <w:rsid w:val="00166F65"/>
    <w:rsid w:val="001672C1"/>
    <w:rsid w:val="0017120C"/>
    <w:rsid w:val="00172F3A"/>
    <w:rsid w:val="00175DC1"/>
    <w:rsid w:val="0017661E"/>
    <w:rsid w:val="00180F66"/>
    <w:rsid w:val="0018136C"/>
    <w:rsid w:val="00183190"/>
    <w:rsid w:val="0018355E"/>
    <w:rsid w:val="00184B89"/>
    <w:rsid w:val="0018564F"/>
    <w:rsid w:val="001858AA"/>
    <w:rsid w:val="001873C4"/>
    <w:rsid w:val="00191D0C"/>
    <w:rsid w:val="0019532A"/>
    <w:rsid w:val="0019670E"/>
    <w:rsid w:val="00197205"/>
    <w:rsid w:val="001A5DD4"/>
    <w:rsid w:val="001A67E9"/>
    <w:rsid w:val="001A6DC8"/>
    <w:rsid w:val="001A6E7D"/>
    <w:rsid w:val="001A7F68"/>
    <w:rsid w:val="001B0A37"/>
    <w:rsid w:val="001B143B"/>
    <w:rsid w:val="001B21CA"/>
    <w:rsid w:val="001B4DFD"/>
    <w:rsid w:val="001B65FB"/>
    <w:rsid w:val="001C04FC"/>
    <w:rsid w:val="001C25A3"/>
    <w:rsid w:val="001C4376"/>
    <w:rsid w:val="001C5D03"/>
    <w:rsid w:val="001C7771"/>
    <w:rsid w:val="001D62FF"/>
    <w:rsid w:val="001E6B10"/>
    <w:rsid w:val="001E780A"/>
    <w:rsid w:val="001F16BB"/>
    <w:rsid w:val="001F335A"/>
    <w:rsid w:val="001F3F48"/>
    <w:rsid w:val="002000AA"/>
    <w:rsid w:val="00204109"/>
    <w:rsid w:val="002057AA"/>
    <w:rsid w:val="00210242"/>
    <w:rsid w:val="002114B0"/>
    <w:rsid w:val="00211E6E"/>
    <w:rsid w:val="00212A46"/>
    <w:rsid w:val="0021401D"/>
    <w:rsid w:val="002146B8"/>
    <w:rsid w:val="00214ACB"/>
    <w:rsid w:val="00215249"/>
    <w:rsid w:val="00215516"/>
    <w:rsid w:val="00223AB0"/>
    <w:rsid w:val="00225A10"/>
    <w:rsid w:val="00227351"/>
    <w:rsid w:val="00227B27"/>
    <w:rsid w:val="0023163B"/>
    <w:rsid w:val="00234329"/>
    <w:rsid w:val="002355DD"/>
    <w:rsid w:val="002357AF"/>
    <w:rsid w:val="00250679"/>
    <w:rsid w:val="002527C2"/>
    <w:rsid w:val="00264899"/>
    <w:rsid w:val="00267433"/>
    <w:rsid w:val="00267D82"/>
    <w:rsid w:val="00270443"/>
    <w:rsid w:val="002707BB"/>
    <w:rsid w:val="00270EE2"/>
    <w:rsid w:val="00272972"/>
    <w:rsid w:val="00274A75"/>
    <w:rsid w:val="00286491"/>
    <w:rsid w:val="002934E9"/>
    <w:rsid w:val="0029552C"/>
    <w:rsid w:val="002962D8"/>
    <w:rsid w:val="002A0F8D"/>
    <w:rsid w:val="002A18DD"/>
    <w:rsid w:val="002A3048"/>
    <w:rsid w:val="002A673D"/>
    <w:rsid w:val="002A68E3"/>
    <w:rsid w:val="002B454C"/>
    <w:rsid w:val="002B4ED8"/>
    <w:rsid w:val="002B67CC"/>
    <w:rsid w:val="002B6E44"/>
    <w:rsid w:val="002C17EF"/>
    <w:rsid w:val="002C2D18"/>
    <w:rsid w:val="002C57A6"/>
    <w:rsid w:val="002C57B0"/>
    <w:rsid w:val="002C5984"/>
    <w:rsid w:val="002D005F"/>
    <w:rsid w:val="002D2B5A"/>
    <w:rsid w:val="002D4FC9"/>
    <w:rsid w:val="002E19A2"/>
    <w:rsid w:val="002E1A45"/>
    <w:rsid w:val="002E1DB5"/>
    <w:rsid w:val="002E3FED"/>
    <w:rsid w:val="002E7F8C"/>
    <w:rsid w:val="002F2B3B"/>
    <w:rsid w:val="002F3C3C"/>
    <w:rsid w:val="002F3CA8"/>
    <w:rsid w:val="002F45E6"/>
    <w:rsid w:val="002F5B65"/>
    <w:rsid w:val="002F6CCB"/>
    <w:rsid w:val="002F7437"/>
    <w:rsid w:val="00302323"/>
    <w:rsid w:val="00303151"/>
    <w:rsid w:val="0030461E"/>
    <w:rsid w:val="00304F12"/>
    <w:rsid w:val="00310BCB"/>
    <w:rsid w:val="003110E3"/>
    <w:rsid w:val="00311D7A"/>
    <w:rsid w:val="003126BC"/>
    <w:rsid w:val="00315B50"/>
    <w:rsid w:val="00320119"/>
    <w:rsid w:val="00322A5B"/>
    <w:rsid w:val="003242E0"/>
    <w:rsid w:val="00324C21"/>
    <w:rsid w:val="003267F9"/>
    <w:rsid w:val="0032756A"/>
    <w:rsid w:val="003342AF"/>
    <w:rsid w:val="00334EF8"/>
    <w:rsid w:val="00336408"/>
    <w:rsid w:val="00337414"/>
    <w:rsid w:val="003376B5"/>
    <w:rsid w:val="00340DFB"/>
    <w:rsid w:val="00340EAA"/>
    <w:rsid w:val="00343064"/>
    <w:rsid w:val="0034404F"/>
    <w:rsid w:val="003447B6"/>
    <w:rsid w:val="00344CBF"/>
    <w:rsid w:val="00351F64"/>
    <w:rsid w:val="00354311"/>
    <w:rsid w:val="003549C1"/>
    <w:rsid w:val="00355414"/>
    <w:rsid w:val="00356980"/>
    <w:rsid w:val="00356C75"/>
    <w:rsid w:val="00357F8A"/>
    <w:rsid w:val="003650A6"/>
    <w:rsid w:val="00367462"/>
    <w:rsid w:val="00371ECA"/>
    <w:rsid w:val="00372748"/>
    <w:rsid w:val="0037332A"/>
    <w:rsid w:val="003749F0"/>
    <w:rsid w:val="003758DF"/>
    <w:rsid w:val="0038151A"/>
    <w:rsid w:val="00383C2E"/>
    <w:rsid w:val="00385848"/>
    <w:rsid w:val="0039057C"/>
    <w:rsid w:val="0039082A"/>
    <w:rsid w:val="00390C21"/>
    <w:rsid w:val="00397E4A"/>
    <w:rsid w:val="003A37BD"/>
    <w:rsid w:val="003A55D9"/>
    <w:rsid w:val="003A61C2"/>
    <w:rsid w:val="003A7849"/>
    <w:rsid w:val="003B6AAD"/>
    <w:rsid w:val="003B6D94"/>
    <w:rsid w:val="003C031A"/>
    <w:rsid w:val="003C1E07"/>
    <w:rsid w:val="003C4887"/>
    <w:rsid w:val="003C4C96"/>
    <w:rsid w:val="003C55E0"/>
    <w:rsid w:val="003C7521"/>
    <w:rsid w:val="003D435B"/>
    <w:rsid w:val="003E1A8A"/>
    <w:rsid w:val="003E45CF"/>
    <w:rsid w:val="003F1625"/>
    <w:rsid w:val="003F2D49"/>
    <w:rsid w:val="003F519B"/>
    <w:rsid w:val="0040211D"/>
    <w:rsid w:val="004047B4"/>
    <w:rsid w:val="0040544F"/>
    <w:rsid w:val="00406575"/>
    <w:rsid w:val="00406A19"/>
    <w:rsid w:val="00411965"/>
    <w:rsid w:val="0041219D"/>
    <w:rsid w:val="0041222D"/>
    <w:rsid w:val="00412411"/>
    <w:rsid w:val="0041483E"/>
    <w:rsid w:val="00415369"/>
    <w:rsid w:val="00420935"/>
    <w:rsid w:val="00424107"/>
    <w:rsid w:val="0042533C"/>
    <w:rsid w:val="00425D94"/>
    <w:rsid w:val="00430492"/>
    <w:rsid w:val="0043093E"/>
    <w:rsid w:val="004439F0"/>
    <w:rsid w:val="00444AF6"/>
    <w:rsid w:val="00450BE7"/>
    <w:rsid w:val="00453204"/>
    <w:rsid w:val="0045345D"/>
    <w:rsid w:val="00454466"/>
    <w:rsid w:val="0045482E"/>
    <w:rsid w:val="00454B46"/>
    <w:rsid w:val="00457201"/>
    <w:rsid w:val="0046473C"/>
    <w:rsid w:val="00464D61"/>
    <w:rsid w:val="0046741E"/>
    <w:rsid w:val="00470AC5"/>
    <w:rsid w:val="00472A6E"/>
    <w:rsid w:val="00472CC6"/>
    <w:rsid w:val="0047472F"/>
    <w:rsid w:val="00476DC1"/>
    <w:rsid w:val="00477ECB"/>
    <w:rsid w:val="00480061"/>
    <w:rsid w:val="0048026E"/>
    <w:rsid w:val="004807A9"/>
    <w:rsid w:val="004813EE"/>
    <w:rsid w:val="00484007"/>
    <w:rsid w:val="00485204"/>
    <w:rsid w:val="004852C7"/>
    <w:rsid w:val="0048690D"/>
    <w:rsid w:val="00493278"/>
    <w:rsid w:val="004943D9"/>
    <w:rsid w:val="004958B8"/>
    <w:rsid w:val="004A0E7B"/>
    <w:rsid w:val="004A320D"/>
    <w:rsid w:val="004A3498"/>
    <w:rsid w:val="004A7884"/>
    <w:rsid w:val="004B0C45"/>
    <w:rsid w:val="004B129E"/>
    <w:rsid w:val="004B2371"/>
    <w:rsid w:val="004B644F"/>
    <w:rsid w:val="004B7720"/>
    <w:rsid w:val="004C03F0"/>
    <w:rsid w:val="004C059E"/>
    <w:rsid w:val="004C0AB2"/>
    <w:rsid w:val="004C1619"/>
    <w:rsid w:val="004C1A26"/>
    <w:rsid w:val="004C1CC9"/>
    <w:rsid w:val="004C3755"/>
    <w:rsid w:val="004C4485"/>
    <w:rsid w:val="004D11AF"/>
    <w:rsid w:val="004D5427"/>
    <w:rsid w:val="004F0735"/>
    <w:rsid w:val="004F5143"/>
    <w:rsid w:val="00500DFA"/>
    <w:rsid w:val="005019AA"/>
    <w:rsid w:val="005021BB"/>
    <w:rsid w:val="00507573"/>
    <w:rsid w:val="005100C7"/>
    <w:rsid w:val="0051249C"/>
    <w:rsid w:val="005139E7"/>
    <w:rsid w:val="00513C90"/>
    <w:rsid w:val="005147DA"/>
    <w:rsid w:val="00515FB5"/>
    <w:rsid w:val="00517DB6"/>
    <w:rsid w:val="0052365C"/>
    <w:rsid w:val="0052672C"/>
    <w:rsid w:val="005271EB"/>
    <w:rsid w:val="0052749F"/>
    <w:rsid w:val="005301F6"/>
    <w:rsid w:val="00531AA3"/>
    <w:rsid w:val="00532486"/>
    <w:rsid w:val="00533F85"/>
    <w:rsid w:val="005426DB"/>
    <w:rsid w:val="00547A1B"/>
    <w:rsid w:val="0055077C"/>
    <w:rsid w:val="0055082B"/>
    <w:rsid w:val="00551C51"/>
    <w:rsid w:val="00552503"/>
    <w:rsid w:val="00552B57"/>
    <w:rsid w:val="0055585D"/>
    <w:rsid w:val="00557DA1"/>
    <w:rsid w:val="005620F6"/>
    <w:rsid w:val="0056322C"/>
    <w:rsid w:val="00586E13"/>
    <w:rsid w:val="00587431"/>
    <w:rsid w:val="0058743A"/>
    <w:rsid w:val="00592776"/>
    <w:rsid w:val="00592916"/>
    <w:rsid w:val="00597E7E"/>
    <w:rsid w:val="005A0D29"/>
    <w:rsid w:val="005A4DB0"/>
    <w:rsid w:val="005A7722"/>
    <w:rsid w:val="005A7B8E"/>
    <w:rsid w:val="005B012B"/>
    <w:rsid w:val="005B0C87"/>
    <w:rsid w:val="005B178E"/>
    <w:rsid w:val="005B6AB5"/>
    <w:rsid w:val="005C1C2B"/>
    <w:rsid w:val="005C454A"/>
    <w:rsid w:val="005D0A40"/>
    <w:rsid w:val="005D23F6"/>
    <w:rsid w:val="005D2FA8"/>
    <w:rsid w:val="005D5FD2"/>
    <w:rsid w:val="005D6E3F"/>
    <w:rsid w:val="005E1673"/>
    <w:rsid w:val="005E2281"/>
    <w:rsid w:val="005E667C"/>
    <w:rsid w:val="005E7B28"/>
    <w:rsid w:val="005F077C"/>
    <w:rsid w:val="005F23DD"/>
    <w:rsid w:val="005F63D0"/>
    <w:rsid w:val="005F7973"/>
    <w:rsid w:val="0060534C"/>
    <w:rsid w:val="00606B72"/>
    <w:rsid w:val="00611FA0"/>
    <w:rsid w:val="0061690E"/>
    <w:rsid w:val="00622145"/>
    <w:rsid w:val="00622393"/>
    <w:rsid w:val="006226CF"/>
    <w:rsid w:val="00626470"/>
    <w:rsid w:val="00627361"/>
    <w:rsid w:val="0062738E"/>
    <w:rsid w:val="0063017E"/>
    <w:rsid w:val="00631B28"/>
    <w:rsid w:val="006333A5"/>
    <w:rsid w:val="00645B90"/>
    <w:rsid w:val="00646056"/>
    <w:rsid w:val="006467BF"/>
    <w:rsid w:val="00647BA5"/>
    <w:rsid w:val="00650991"/>
    <w:rsid w:val="006511D7"/>
    <w:rsid w:val="006537CF"/>
    <w:rsid w:val="00654A3F"/>
    <w:rsid w:val="006569AE"/>
    <w:rsid w:val="00660B92"/>
    <w:rsid w:val="00663D75"/>
    <w:rsid w:val="00665167"/>
    <w:rsid w:val="00670AEF"/>
    <w:rsid w:val="00671E7C"/>
    <w:rsid w:val="006730FD"/>
    <w:rsid w:val="00673160"/>
    <w:rsid w:val="00675678"/>
    <w:rsid w:val="00677012"/>
    <w:rsid w:val="00677214"/>
    <w:rsid w:val="00677BCF"/>
    <w:rsid w:val="00681E5C"/>
    <w:rsid w:val="006825B4"/>
    <w:rsid w:val="00682AF2"/>
    <w:rsid w:val="00682F71"/>
    <w:rsid w:val="006830A4"/>
    <w:rsid w:val="006864DF"/>
    <w:rsid w:val="00690100"/>
    <w:rsid w:val="00695CCC"/>
    <w:rsid w:val="00695EFE"/>
    <w:rsid w:val="006A092A"/>
    <w:rsid w:val="006A3971"/>
    <w:rsid w:val="006A3C8A"/>
    <w:rsid w:val="006A55DE"/>
    <w:rsid w:val="006A6453"/>
    <w:rsid w:val="006A7552"/>
    <w:rsid w:val="006B4D04"/>
    <w:rsid w:val="006B5953"/>
    <w:rsid w:val="006B7A81"/>
    <w:rsid w:val="006C2E62"/>
    <w:rsid w:val="006C4BAC"/>
    <w:rsid w:val="006C52F3"/>
    <w:rsid w:val="006D0023"/>
    <w:rsid w:val="006D0DC0"/>
    <w:rsid w:val="006E5368"/>
    <w:rsid w:val="006E7F37"/>
    <w:rsid w:val="006F2002"/>
    <w:rsid w:val="006F3B81"/>
    <w:rsid w:val="006F4A19"/>
    <w:rsid w:val="006F4F79"/>
    <w:rsid w:val="00701C2B"/>
    <w:rsid w:val="00705B37"/>
    <w:rsid w:val="00711FD9"/>
    <w:rsid w:val="00713995"/>
    <w:rsid w:val="0071681D"/>
    <w:rsid w:val="0072229D"/>
    <w:rsid w:val="00735062"/>
    <w:rsid w:val="0073685D"/>
    <w:rsid w:val="00737EBA"/>
    <w:rsid w:val="007400FA"/>
    <w:rsid w:val="00741245"/>
    <w:rsid w:val="00746BA5"/>
    <w:rsid w:val="00751D23"/>
    <w:rsid w:val="00753C30"/>
    <w:rsid w:val="00755624"/>
    <w:rsid w:val="007562EF"/>
    <w:rsid w:val="007576BC"/>
    <w:rsid w:val="0076197D"/>
    <w:rsid w:val="007648CE"/>
    <w:rsid w:val="00770577"/>
    <w:rsid w:val="0077059C"/>
    <w:rsid w:val="00770D53"/>
    <w:rsid w:val="007770B7"/>
    <w:rsid w:val="0077759E"/>
    <w:rsid w:val="00777666"/>
    <w:rsid w:val="0078159B"/>
    <w:rsid w:val="0078295D"/>
    <w:rsid w:val="00782E10"/>
    <w:rsid w:val="007847B7"/>
    <w:rsid w:val="0078706B"/>
    <w:rsid w:val="00790836"/>
    <w:rsid w:val="00797131"/>
    <w:rsid w:val="00797B00"/>
    <w:rsid w:val="007A14D5"/>
    <w:rsid w:val="007A3C1D"/>
    <w:rsid w:val="007B0E9C"/>
    <w:rsid w:val="007B261B"/>
    <w:rsid w:val="007B285D"/>
    <w:rsid w:val="007B2987"/>
    <w:rsid w:val="007B73C0"/>
    <w:rsid w:val="007C4415"/>
    <w:rsid w:val="007C6BC6"/>
    <w:rsid w:val="007C6D06"/>
    <w:rsid w:val="007C74CC"/>
    <w:rsid w:val="007D7CDF"/>
    <w:rsid w:val="007E0216"/>
    <w:rsid w:val="007E1409"/>
    <w:rsid w:val="007E430E"/>
    <w:rsid w:val="007E7DA8"/>
    <w:rsid w:val="007F2A42"/>
    <w:rsid w:val="007F3E46"/>
    <w:rsid w:val="008038F1"/>
    <w:rsid w:val="00807D79"/>
    <w:rsid w:val="00813634"/>
    <w:rsid w:val="00816635"/>
    <w:rsid w:val="00822821"/>
    <w:rsid w:val="00823B5B"/>
    <w:rsid w:val="00824DCC"/>
    <w:rsid w:val="00827FC5"/>
    <w:rsid w:val="00830420"/>
    <w:rsid w:val="00830958"/>
    <w:rsid w:val="00831C29"/>
    <w:rsid w:val="008327F9"/>
    <w:rsid w:val="008339C4"/>
    <w:rsid w:val="008358DA"/>
    <w:rsid w:val="008369A0"/>
    <w:rsid w:val="008431EF"/>
    <w:rsid w:val="00846488"/>
    <w:rsid w:val="008468E0"/>
    <w:rsid w:val="00850287"/>
    <w:rsid w:val="008521AE"/>
    <w:rsid w:val="008555CE"/>
    <w:rsid w:val="00864FCE"/>
    <w:rsid w:val="00866475"/>
    <w:rsid w:val="00871B59"/>
    <w:rsid w:val="00875029"/>
    <w:rsid w:val="00876722"/>
    <w:rsid w:val="00876A0C"/>
    <w:rsid w:val="00877D03"/>
    <w:rsid w:val="00877E96"/>
    <w:rsid w:val="008802DF"/>
    <w:rsid w:val="008806CA"/>
    <w:rsid w:val="008815E5"/>
    <w:rsid w:val="00881F8B"/>
    <w:rsid w:val="00886F99"/>
    <w:rsid w:val="00887B37"/>
    <w:rsid w:val="008909B9"/>
    <w:rsid w:val="00891DFC"/>
    <w:rsid w:val="00892E2A"/>
    <w:rsid w:val="008965A3"/>
    <w:rsid w:val="008A0C70"/>
    <w:rsid w:val="008A1F2A"/>
    <w:rsid w:val="008A3BB9"/>
    <w:rsid w:val="008A4BA2"/>
    <w:rsid w:val="008A6995"/>
    <w:rsid w:val="008A6DF8"/>
    <w:rsid w:val="008B12B4"/>
    <w:rsid w:val="008B7914"/>
    <w:rsid w:val="008C3593"/>
    <w:rsid w:val="008C5D2A"/>
    <w:rsid w:val="008C7AF4"/>
    <w:rsid w:val="008D529F"/>
    <w:rsid w:val="008E3555"/>
    <w:rsid w:val="008E4D78"/>
    <w:rsid w:val="008F1DBA"/>
    <w:rsid w:val="008F4233"/>
    <w:rsid w:val="008F5CC8"/>
    <w:rsid w:val="008F77E0"/>
    <w:rsid w:val="008F7CD4"/>
    <w:rsid w:val="009011E8"/>
    <w:rsid w:val="00905409"/>
    <w:rsid w:val="009061B8"/>
    <w:rsid w:val="00906D4A"/>
    <w:rsid w:val="0091008B"/>
    <w:rsid w:val="00911EA2"/>
    <w:rsid w:val="00916C7D"/>
    <w:rsid w:val="009207A6"/>
    <w:rsid w:val="009249D1"/>
    <w:rsid w:val="0092575D"/>
    <w:rsid w:val="0092582E"/>
    <w:rsid w:val="009341DA"/>
    <w:rsid w:val="00936284"/>
    <w:rsid w:val="00936A1C"/>
    <w:rsid w:val="009410F7"/>
    <w:rsid w:val="009411E1"/>
    <w:rsid w:val="009430F9"/>
    <w:rsid w:val="00944100"/>
    <w:rsid w:val="009442E8"/>
    <w:rsid w:val="0094660A"/>
    <w:rsid w:val="00946BD0"/>
    <w:rsid w:val="009477B1"/>
    <w:rsid w:val="00950CB2"/>
    <w:rsid w:val="009517F4"/>
    <w:rsid w:val="0095426C"/>
    <w:rsid w:val="00955BAD"/>
    <w:rsid w:val="00955EAB"/>
    <w:rsid w:val="00956276"/>
    <w:rsid w:val="009644BB"/>
    <w:rsid w:val="00970087"/>
    <w:rsid w:val="00971074"/>
    <w:rsid w:val="009715B7"/>
    <w:rsid w:val="00977CD9"/>
    <w:rsid w:val="00981316"/>
    <w:rsid w:val="00985122"/>
    <w:rsid w:val="00995B46"/>
    <w:rsid w:val="00995D86"/>
    <w:rsid w:val="00996551"/>
    <w:rsid w:val="0099768B"/>
    <w:rsid w:val="009A1C82"/>
    <w:rsid w:val="009A34EA"/>
    <w:rsid w:val="009A3564"/>
    <w:rsid w:val="009A5453"/>
    <w:rsid w:val="009A5888"/>
    <w:rsid w:val="009A7110"/>
    <w:rsid w:val="009A7C0E"/>
    <w:rsid w:val="009B4D94"/>
    <w:rsid w:val="009C2871"/>
    <w:rsid w:val="009C3924"/>
    <w:rsid w:val="009D3C33"/>
    <w:rsid w:val="009D7F3A"/>
    <w:rsid w:val="009E4885"/>
    <w:rsid w:val="009E7140"/>
    <w:rsid w:val="009F2562"/>
    <w:rsid w:val="009F5B91"/>
    <w:rsid w:val="009F5C38"/>
    <w:rsid w:val="009F6F94"/>
    <w:rsid w:val="00A03856"/>
    <w:rsid w:val="00A0411F"/>
    <w:rsid w:val="00A05377"/>
    <w:rsid w:val="00A060B9"/>
    <w:rsid w:val="00A07DB6"/>
    <w:rsid w:val="00A10A73"/>
    <w:rsid w:val="00A11CC2"/>
    <w:rsid w:val="00A1499A"/>
    <w:rsid w:val="00A14F82"/>
    <w:rsid w:val="00A170B3"/>
    <w:rsid w:val="00A223D5"/>
    <w:rsid w:val="00A23686"/>
    <w:rsid w:val="00A24101"/>
    <w:rsid w:val="00A30A58"/>
    <w:rsid w:val="00A357CD"/>
    <w:rsid w:val="00A37D1C"/>
    <w:rsid w:val="00A40731"/>
    <w:rsid w:val="00A44641"/>
    <w:rsid w:val="00A51492"/>
    <w:rsid w:val="00A5453E"/>
    <w:rsid w:val="00A54978"/>
    <w:rsid w:val="00A54B80"/>
    <w:rsid w:val="00A56F6C"/>
    <w:rsid w:val="00A6036A"/>
    <w:rsid w:val="00A605A6"/>
    <w:rsid w:val="00A63E3D"/>
    <w:rsid w:val="00A670F0"/>
    <w:rsid w:val="00A700EA"/>
    <w:rsid w:val="00A7185C"/>
    <w:rsid w:val="00A71A19"/>
    <w:rsid w:val="00A71F45"/>
    <w:rsid w:val="00A73E4F"/>
    <w:rsid w:val="00A769C3"/>
    <w:rsid w:val="00A76C8C"/>
    <w:rsid w:val="00A7712C"/>
    <w:rsid w:val="00A81E4B"/>
    <w:rsid w:val="00A8492E"/>
    <w:rsid w:val="00A85F30"/>
    <w:rsid w:val="00A86974"/>
    <w:rsid w:val="00A9099E"/>
    <w:rsid w:val="00A90C47"/>
    <w:rsid w:val="00A91FB7"/>
    <w:rsid w:val="00A9298F"/>
    <w:rsid w:val="00A97FCE"/>
    <w:rsid w:val="00AA0351"/>
    <w:rsid w:val="00AA0CF1"/>
    <w:rsid w:val="00AA1B0C"/>
    <w:rsid w:val="00AA5485"/>
    <w:rsid w:val="00AA5F4A"/>
    <w:rsid w:val="00AA6487"/>
    <w:rsid w:val="00AB1984"/>
    <w:rsid w:val="00AB4DAA"/>
    <w:rsid w:val="00AB52B1"/>
    <w:rsid w:val="00AB5666"/>
    <w:rsid w:val="00AB77B9"/>
    <w:rsid w:val="00AC2F6A"/>
    <w:rsid w:val="00AC49CB"/>
    <w:rsid w:val="00AC4CB3"/>
    <w:rsid w:val="00AC6586"/>
    <w:rsid w:val="00AC780D"/>
    <w:rsid w:val="00AD036B"/>
    <w:rsid w:val="00AD1996"/>
    <w:rsid w:val="00AD4099"/>
    <w:rsid w:val="00AD4901"/>
    <w:rsid w:val="00AD51DB"/>
    <w:rsid w:val="00AD5EC9"/>
    <w:rsid w:val="00AD7472"/>
    <w:rsid w:val="00AF1B0C"/>
    <w:rsid w:val="00AF714B"/>
    <w:rsid w:val="00B02FE0"/>
    <w:rsid w:val="00B057B6"/>
    <w:rsid w:val="00B10E4A"/>
    <w:rsid w:val="00B1712B"/>
    <w:rsid w:val="00B23A0E"/>
    <w:rsid w:val="00B245E1"/>
    <w:rsid w:val="00B252EB"/>
    <w:rsid w:val="00B2659B"/>
    <w:rsid w:val="00B30448"/>
    <w:rsid w:val="00B31F4F"/>
    <w:rsid w:val="00B34786"/>
    <w:rsid w:val="00B37908"/>
    <w:rsid w:val="00B400EC"/>
    <w:rsid w:val="00B40162"/>
    <w:rsid w:val="00B41ACE"/>
    <w:rsid w:val="00B42740"/>
    <w:rsid w:val="00B50156"/>
    <w:rsid w:val="00B5075F"/>
    <w:rsid w:val="00B518AD"/>
    <w:rsid w:val="00B57EF2"/>
    <w:rsid w:val="00B60A96"/>
    <w:rsid w:val="00B62F49"/>
    <w:rsid w:val="00B63E51"/>
    <w:rsid w:val="00B66E57"/>
    <w:rsid w:val="00B6726B"/>
    <w:rsid w:val="00B678EC"/>
    <w:rsid w:val="00B67B22"/>
    <w:rsid w:val="00B717ED"/>
    <w:rsid w:val="00B74F2B"/>
    <w:rsid w:val="00B76300"/>
    <w:rsid w:val="00B76C94"/>
    <w:rsid w:val="00B772D0"/>
    <w:rsid w:val="00B83420"/>
    <w:rsid w:val="00B836EA"/>
    <w:rsid w:val="00B837FA"/>
    <w:rsid w:val="00B84C05"/>
    <w:rsid w:val="00B9198D"/>
    <w:rsid w:val="00B91B81"/>
    <w:rsid w:val="00B91D5F"/>
    <w:rsid w:val="00B92CE3"/>
    <w:rsid w:val="00B943F8"/>
    <w:rsid w:val="00B9554C"/>
    <w:rsid w:val="00B97135"/>
    <w:rsid w:val="00BA131A"/>
    <w:rsid w:val="00BA659D"/>
    <w:rsid w:val="00BB07E9"/>
    <w:rsid w:val="00BB3072"/>
    <w:rsid w:val="00BB42E0"/>
    <w:rsid w:val="00BB549D"/>
    <w:rsid w:val="00BC0B77"/>
    <w:rsid w:val="00BC3CC6"/>
    <w:rsid w:val="00BC7632"/>
    <w:rsid w:val="00BD0CF5"/>
    <w:rsid w:val="00BD48A9"/>
    <w:rsid w:val="00BD56FF"/>
    <w:rsid w:val="00BD630F"/>
    <w:rsid w:val="00BD6718"/>
    <w:rsid w:val="00BD6E09"/>
    <w:rsid w:val="00BD7EC6"/>
    <w:rsid w:val="00BE20FD"/>
    <w:rsid w:val="00BE3CE0"/>
    <w:rsid w:val="00BE5EA4"/>
    <w:rsid w:val="00BE6AB9"/>
    <w:rsid w:val="00BE73FA"/>
    <w:rsid w:val="00BE7426"/>
    <w:rsid w:val="00BE7730"/>
    <w:rsid w:val="00BF6B4B"/>
    <w:rsid w:val="00BF6C60"/>
    <w:rsid w:val="00C0511C"/>
    <w:rsid w:val="00C07A1D"/>
    <w:rsid w:val="00C1085A"/>
    <w:rsid w:val="00C1459F"/>
    <w:rsid w:val="00C1531C"/>
    <w:rsid w:val="00C207AE"/>
    <w:rsid w:val="00C20ACF"/>
    <w:rsid w:val="00C22307"/>
    <w:rsid w:val="00C23469"/>
    <w:rsid w:val="00C2431D"/>
    <w:rsid w:val="00C248E1"/>
    <w:rsid w:val="00C25C93"/>
    <w:rsid w:val="00C2706C"/>
    <w:rsid w:val="00C30495"/>
    <w:rsid w:val="00C30C62"/>
    <w:rsid w:val="00C316D3"/>
    <w:rsid w:val="00C33A76"/>
    <w:rsid w:val="00C359F9"/>
    <w:rsid w:val="00C371DF"/>
    <w:rsid w:val="00C42055"/>
    <w:rsid w:val="00C44221"/>
    <w:rsid w:val="00C44B4C"/>
    <w:rsid w:val="00C46734"/>
    <w:rsid w:val="00C47A86"/>
    <w:rsid w:val="00C503C3"/>
    <w:rsid w:val="00C53220"/>
    <w:rsid w:val="00C55F83"/>
    <w:rsid w:val="00C56C30"/>
    <w:rsid w:val="00C57A28"/>
    <w:rsid w:val="00C62679"/>
    <w:rsid w:val="00C7730A"/>
    <w:rsid w:val="00C8613B"/>
    <w:rsid w:val="00C90D2D"/>
    <w:rsid w:val="00C9401A"/>
    <w:rsid w:val="00CA30DF"/>
    <w:rsid w:val="00CA3347"/>
    <w:rsid w:val="00CA7E84"/>
    <w:rsid w:val="00CB1B7C"/>
    <w:rsid w:val="00CB5475"/>
    <w:rsid w:val="00CB5819"/>
    <w:rsid w:val="00CC299A"/>
    <w:rsid w:val="00CC2B01"/>
    <w:rsid w:val="00CC4CEA"/>
    <w:rsid w:val="00CC5F2A"/>
    <w:rsid w:val="00CD03E3"/>
    <w:rsid w:val="00CD0DDC"/>
    <w:rsid w:val="00CD3950"/>
    <w:rsid w:val="00CD54FE"/>
    <w:rsid w:val="00CE143B"/>
    <w:rsid w:val="00CE2C7E"/>
    <w:rsid w:val="00CE32AF"/>
    <w:rsid w:val="00CE542C"/>
    <w:rsid w:val="00CE6BDA"/>
    <w:rsid w:val="00CE7637"/>
    <w:rsid w:val="00CF0692"/>
    <w:rsid w:val="00CF6E3F"/>
    <w:rsid w:val="00D003A6"/>
    <w:rsid w:val="00D03DBE"/>
    <w:rsid w:val="00D05831"/>
    <w:rsid w:val="00D06DEF"/>
    <w:rsid w:val="00D072C0"/>
    <w:rsid w:val="00D07FE9"/>
    <w:rsid w:val="00D11933"/>
    <w:rsid w:val="00D14EA1"/>
    <w:rsid w:val="00D20093"/>
    <w:rsid w:val="00D34C82"/>
    <w:rsid w:val="00D357C5"/>
    <w:rsid w:val="00D3757A"/>
    <w:rsid w:val="00D44DE5"/>
    <w:rsid w:val="00D504A9"/>
    <w:rsid w:val="00D51F0F"/>
    <w:rsid w:val="00D5206D"/>
    <w:rsid w:val="00D53425"/>
    <w:rsid w:val="00D5409F"/>
    <w:rsid w:val="00D55558"/>
    <w:rsid w:val="00D56721"/>
    <w:rsid w:val="00D6304A"/>
    <w:rsid w:val="00D668E9"/>
    <w:rsid w:val="00D7177D"/>
    <w:rsid w:val="00D72530"/>
    <w:rsid w:val="00D73A96"/>
    <w:rsid w:val="00D74EE7"/>
    <w:rsid w:val="00D77797"/>
    <w:rsid w:val="00D81132"/>
    <w:rsid w:val="00D81311"/>
    <w:rsid w:val="00D82B63"/>
    <w:rsid w:val="00D85BBA"/>
    <w:rsid w:val="00D86210"/>
    <w:rsid w:val="00D9176C"/>
    <w:rsid w:val="00D919C3"/>
    <w:rsid w:val="00D95234"/>
    <w:rsid w:val="00D96CDE"/>
    <w:rsid w:val="00DA2B3E"/>
    <w:rsid w:val="00DA49B8"/>
    <w:rsid w:val="00DA6A04"/>
    <w:rsid w:val="00DB201E"/>
    <w:rsid w:val="00DB7442"/>
    <w:rsid w:val="00DC0E68"/>
    <w:rsid w:val="00DC64A4"/>
    <w:rsid w:val="00DC77E0"/>
    <w:rsid w:val="00DD011D"/>
    <w:rsid w:val="00DD252E"/>
    <w:rsid w:val="00DD25ED"/>
    <w:rsid w:val="00DD4144"/>
    <w:rsid w:val="00DE0D6E"/>
    <w:rsid w:val="00DE5767"/>
    <w:rsid w:val="00DF77B4"/>
    <w:rsid w:val="00E016B1"/>
    <w:rsid w:val="00E027D3"/>
    <w:rsid w:val="00E0520B"/>
    <w:rsid w:val="00E10312"/>
    <w:rsid w:val="00E12282"/>
    <w:rsid w:val="00E127D4"/>
    <w:rsid w:val="00E1610C"/>
    <w:rsid w:val="00E16D73"/>
    <w:rsid w:val="00E2098A"/>
    <w:rsid w:val="00E232A7"/>
    <w:rsid w:val="00E23E9E"/>
    <w:rsid w:val="00E25722"/>
    <w:rsid w:val="00E25A64"/>
    <w:rsid w:val="00E27546"/>
    <w:rsid w:val="00E27F0A"/>
    <w:rsid w:val="00E31A67"/>
    <w:rsid w:val="00E4231E"/>
    <w:rsid w:val="00E4302C"/>
    <w:rsid w:val="00E447A1"/>
    <w:rsid w:val="00E44AC7"/>
    <w:rsid w:val="00E45F4B"/>
    <w:rsid w:val="00E50038"/>
    <w:rsid w:val="00E52DAE"/>
    <w:rsid w:val="00E542C1"/>
    <w:rsid w:val="00E54839"/>
    <w:rsid w:val="00E562EC"/>
    <w:rsid w:val="00E565CE"/>
    <w:rsid w:val="00E57F60"/>
    <w:rsid w:val="00E60A16"/>
    <w:rsid w:val="00E7326A"/>
    <w:rsid w:val="00E75641"/>
    <w:rsid w:val="00E82B6E"/>
    <w:rsid w:val="00E82C98"/>
    <w:rsid w:val="00E8583F"/>
    <w:rsid w:val="00E907C7"/>
    <w:rsid w:val="00E9356B"/>
    <w:rsid w:val="00E94258"/>
    <w:rsid w:val="00E96C18"/>
    <w:rsid w:val="00E97190"/>
    <w:rsid w:val="00EA16FE"/>
    <w:rsid w:val="00EA2E61"/>
    <w:rsid w:val="00EA3464"/>
    <w:rsid w:val="00EA7D7F"/>
    <w:rsid w:val="00EB02F4"/>
    <w:rsid w:val="00EB2FA2"/>
    <w:rsid w:val="00EB47D9"/>
    <w:rsid w:val="00EB4A3A"/>
    <w:rsid w:val="00EB5721"/>
    <w:rsid w:val="00EB5DC3"/>
    <w:rsid w:val="00EB769A"/>
    <w:rsid w:val="00EC3A35"/>
    <w:rsid w:val="00EC621B"/>
    <w:rsid w:val="00EC6C84"/>
    <w:rsid w:val="00ED7342"/>
    <w:rsid w:val="00EE17F2"/>
    <w:rsid w:val="00EE3138"/>
    <w:rsid w:val="00EE468D"/>
    <w:rsid w:val="00EF1703"/>
    <w:rsid w:val="00EF2AC7"/>
    <w:rsid w:val="00EF2D4C"/>
    <w:rsid w:val="00EF400A"/>
    <w:rsid w:val="00EF5359"/>
    <w:rsid w:val="00EF5A3F"/>
    <w:rsid w:val="00EF6BE4"/>
    <w:rsid w:val="00EF6E5D"/>
    <w:rsid w:val="00F009AE"/>
    <w:rsid w:val="00F07764"/>
    <w:rsid w:val="00F1087B"/>
    <w:rsid w:val="00F10A70"/>
    <w:rsid w:val="00F10F4F"/>
    <w:rsid w:val="00F12517"/>
    <w:rsid w:val="00F12823"/>
    <w:rsid w:val="00F131DD"/>
    <w:rsid w:val="00F15372"/>
    <w:rsid w:val="00F16AF8"/>
    <w:rsid w:val="00F16BA1"/>
    <w:rsid w:val="00F17075"/>
    <w:rsid w:val="00F2119F"/>
    <w:rsid w:val="00F22143"/>
    <w:rsid w:val="00F225A6"/>
    <w:rsid w:val="00F24435"/>
    <w:rsid w:val="00F2495C"/>
    <w:rsid w:val="00F25B1A"/>
    <w:rsid w:val="00F30C0F"/>
    <w:rsid w:val="00F314E8"/>
    <w:rsid w:val="00F323A2"/>
    <w:rsid w:val="00F33B57"/>
    <w:rsid w:val="00F33D5C"/>
    <w:rsid w:val="00F34E90"/>
    <w:rsid w:val="00F35628"/>
    <w:rsid w:val="00F356D6"/>
    <w:rsid w:val="00F36CDC"/>
    <w:rsid w:val="00F3719E"/>
    <w:rsid w:val="00F44282"/>
    <w:rsid w:val="00F53BE2"/>
    <w:rsid w:val="00F55684"/>
    <w:rsid w:val="00F5692C"/>
    <w:rsid w:val="00F61755"/>
    <w:rsid w:val="00F64D5A"/>
    <w:rsid w:val="00F666B4"/>
    <w:rsid w:val="00F709CD"/>
    <w:rsid w:val="00F71A9A"/>
    <w:rsid w:val="00F731E7"/>
    <w:rsid w:val="00F74C47"/>
    <w:rsid w:val="00F77E36"/>
    <w:rsid w:val="00F8251B"/>
    <w:rsid w:val="00F838CD"/>
    <w:rsid w:val="00F906F4"/>
    <w:rsid w:val="00F9396F"/>
    <w:rsid w:val="00F93E92"/>
    <w:rsid w:val="00F964E1"/>
    <w:rsid w:val="00FA0716"/>
    <w:rsid w:val="00FA0F31"/>
    <w:rsid w:val="00FA15B6"/>
    <w:rsid w:val="00FA4E59"/>
    <w:rsid w:val="00FA6075"/>
    <w:rsid w:val="00FB4629"/>
    <w:rsid w:val="00FB4757"/>
    <w:rsid w:val="00FB4CB2"/>
    <w:rsid w:val="00FB6FB1"/>
    <w:rsid w:val="00FB7063"/>
    <w:rsid w:val="00FC3B2F"/>
    <w:rsid w:val="00FC5672"/>
    <w:rsid w:val="00FC7056"/>
    <w:rsid w:val="00FD5698"/>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24929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hAnsi="Arial" w:eastAsia="Arial" w:cs="Arial"/>
      <w:b/>
      <w:bCs/>
      <w:lang w:val="es-ES"/>
    </w:rPr>
  </w:style>
  <w:style w:type="paragraph" w:styleId="Ttulo2">
    <w:name w:val="heading 2"/>
    <w:basedOn w:val="Normal"/>
    <w:next w:val="Normal"/>
    <w:link w:val="Ttulo2Car"/>
    <w:uiPriority w:val="9"/>
    <w:unhideWhenUsed/>
    <w:qFormat/>
    <w:rsid w:val="00886F9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styleId="Hipervnculo1" w:customStyle="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styleId="TextoindependienteCar" w:customStyle="1">
    <w:name w:val="Texto independiente Car"/>
    <w:basedOn w:val="Fuentedeprrafopredeter"/>
    <w:link w:val="Textoindependiente"/>
    <w:uiPriority w:val="99"/>
    <w:rsid w:val="00430492"/>
  </w:style>
  <w:style w:type="paragraph" w:styleId="Car1" w:customStyle="1">
    <w:name w:val="Car1"/>
    <w:basedOn w:val="Normal"/>
    <w:next w:val="Textonotapie"/>
    <w:uiPriority w:val="99"/>
    <w:unhideWhenUsed/>
    <w:qFormat/>
    <w:rsid w:val="00430492"/>
    <w:pPr>
      <w:spacing w:after="0" w:line="240" w:lineRule="auto"/>
    </w:pPr>
    <w:rPr>
      <w:sz w:val="20"/>
      <w:szCs w:val="20"/>
      <w:lang w:val="es-MX"/>
    </w:rPr>
  </w:style>
  <w:style w:type="paragraph" w:styleId="Cuadrculamedia1-nfasis21" w:customStyle="1">
    <w:name w:val="Cuadrícula media 1 - Énfasis 21"/>
    <w:basedOn w:val="Normal"/>
    <w:uiPriority w:val="34"/>
    <w:qFormat/>
    <w:rsid w:val="009C2871"/>
    <w:pPr>
      <w:ind w:left="720"/>
      <w:contextualSpacing/>
    </w:pPr>
    <w:rPr>
      <w:rFonts w:ascii="Calibri" w:hAnsi="Calibri" w:eastAsia="Calibri" w:cs="Times New Roman"/>
    </w:rPr>
  </w:style>
  <w:style w:type="character" w:styleId="Ttulo1Car" w:customStyle="1">
    <w:name w:val="Título 1 Car"/>
    <w:basedOn w:val="Fuentedeprrafopredeter"/>
    <w:link w:val="Ttulo1"/>
    <w:uiPriority w:val="1"/>
    <w:rsid w:val="00B34786"/>
    <w:rPr>
      <w:rFonts w:ascii="Arial" w:hAnsi="Arial" w:eastAsia="Arial" w:cs="Arial"/>
      <w:b/>
      <w:bCs/>
      <w:lang w:val="es-ES"/>
    </w:rPr>
  </w:style>
  <w:style w:type="paragraph" w:styleId="Default" w:customStyle="1">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B34786"/>
    <w:rPr>
      <w:rFonts w:ascii="Geomanist" w:hAnsi="Geomanist" w:eastAsiaTheme="majorEastAsia" w:cstheme="majorBidi"/>
      <w:spacing w:val="-10"/>
      <w:kern w:val="28"/>
      <w:szCs w:val="56"/>
      <w:lang w:val="es-ES"/>
    </w:rPr>
  </w:style>
  <w:style w:type="table" w:styleId="Tablaconcuadrcula1" w:customStyle="1">
    <w:name w:val="Tabla con cuadrícula1"/>
    <w:basedOn w:val="Tablanormal"/>
    <w:next w:val="Tablaconcuadrcula"/>
    <w:uiPriority w:val="59"/>
    <w:qFormat/>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lista1" w:customStyle="1">
    <w:name w:val="Sin lista1"/>
    <w:next w:val="Sinlista"/>
    <w:uiPriority w:val="99"/>
    <w:semiHidden/>
    <w:unhideWhenUsed/>
    <w:rsid w:val="00B34786"/>
  </w:style>
  <w:style w:type="table" w:styleId="TableNormal" w:customStyle="1">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34786"/>
    <w:pPr>
      <w:widowControl w:val="0"/>
      <w:autoSpaceDE w:val="0"/>
      <w:autoSpaceDN w:val="0"/>
      <w:spacing w:after="0" w:line="208" w:lineRule="exact"/>
      <w:ind w:left="119"/>
    </w:pPr>
    <w:rPr>
      <w:rFonts w:ascii="Calibri" w:hAnsi="Calibri" w:eastAsia="Calibri" w:cs="Calibri"/>
      <w:lang w:val="es-ES"/>
    </w:rPr>
  </w:style>
  <w:style w:type="table" w:styleId="Tablaconcuadrcula2" w:customStyle="1">
    <w:name w:val="Tabla con cuadrícula2"/>
    <w:basedOn w:val="Tablanormal"/>
    <w:next w:val="Tablaconcuadrcula"/>
    <w:uiPriority w:val="39"/>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A5DD4"/>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styleId="Ttulo2Car" w:customStyle="1">
    <w:name w:val="Título 2 Car"/>
    <w:basedOn w:val="Fuentedeprrafopredeter"/>
    <w:link w:val="Ttulo2"/>
    <w:uiPriority w:val="9"/>
    <w:rsid w:val="00886F99"/>
    <w:rPr>
      <w:rFonts w:asciiTheme="majorHAnsi" w:hAnsiTheme="majorHAnsi" w:eastAsiaTheme="majorEastAsia" w:cstheme="majorBidi"/>
      <w:color w:val="2F5496" w:themeColor="accent1" w:themeShade="BF"/>
      <w:sz w:val="26"/>
      <w:szCs w:val="26"/>
    </w:rPr>
  </w:style>
  <w:style w:type="character" w:styleId="wacimagecontainer" w:customStyle="1">
    <w:name w:val="wacimagecontainer"/>
    <w:basedOn w:val="Fuentedeprrafopredeter"/>
    <w:rsid w:val="00F731E7"/>
  </w:style>
  <w:style w:type="table" w:styleId="Tablaconcuadrcula11" w:customStyle="1">
    <w:name w:val="Tabla con cuadrícula11"/>
    <w:basedOn w:val="Tablanormal"/>
    <w:next w:val="Tablaconcuadrcula"/>
    <w:uiPriority w:val="59"/>
    <w:qFormat/>
    <w:rsid w:val="00AB4D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WebCar" w:customStyle="1">
    <w:name w:val="Normal (Web) Car"/>
    <w:link w:val="NormalWeb"/>
    <w:uiPriority w:val="99"/>
    <w:rsid w:val="00B5075F"/>
    <w:rPr>
      <w:rFonts w:ascii="Times New Roman" w:hAnsi="Times New Roman" w:cs="Times New Roman"/>
      <w:sz w:val="24"/>
      <w:szCs w:val="24"/>
    </w:rPr>
  </w:style>
  <w:style w:type="character" w:styleId="baj" w:customStyle="1">
    <w:name w:val="b_aj"/>
    <w:basedOn w:val="Fuentedeprrafopredeter"/>
    <w:rsid w:val="0092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27913580">
      <w:bodyDiv w:val="1"/>
      <w:marLeft w:val="0"/>
      <w:marRight w:val="0"/>
      <w:marTop w:val="0"/>
      <w:marBottom w:val="0"/>
      <w:divBdr>
        <w:top w:val="none" w:sz="0" w:space="0" w:color="auto"/>
        <w:left w:val="none" w:sz="0" w:space="0" w:color="auto"/>
        <w:bottom w:val="none" w:sz="0" w:space="0" w:color="auto"/>
        <w:right w:val="none" w:sz="0" w:space="0" w:color="auto"/>
      </w:divBdr>
      <w:divsChild>
        <w:div w:id="147475380">
          <w:marLeft w:val="0"/>
          <w:marRight w:val="0"/>
          <w:marTop w:val="0"/>
          <w:marBottom w:val="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busqueda/concepto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nyely516@yahoo.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3B8AE37-E1F3-4B08-98E9-52F0B3FA79CF}">
  <ds:schemaRefs>
    <ds:schemaRef ds:uri="http://www.w3.org/XML/1998/namespace"/>
    <ds:schemaRef ds:uri="http://schemas.microsoft.com/office/2006/documentManagement/types"/>
    <ds:schemaRef ds:uri="http://purl.org/dc/terms/"/>
    <ds:schemaRef ds:uri="9d85dbaf-23eb-4e57-a637-93dcacc8b1a1"/>
    <ds:schemaRef ds:uri="a6cb9e4b-f1d1-4245-83ec-6cad768d538a"/>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Oscar David Mórelo Pedroza</lastModifiedBy>
  <revision>5</revision>
  <dcterms:created xsi:type="dcterms:W3CDTF">2024-07-31T18:51:00.0000000Z</dcterms:created>
  <dcterms:modified xsi:type="dcterms:W3CDTF">2024-08-07T00:07:54.0259809Z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