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67879" w14:textId="77777777" w:rsidR="00441178" w:rsidRPr="0044528D" w:rsidRDefault="00441178" w:rsidP="00441178">
      <w:pPr>
        <w:spacing w:after="0"/>
        <w:rPr>
          <w:rFonts w:ascii="Verdana" w:hAnsi="Verdana"/>
        </w:rPr>
      </w:pPr>
      <w:bookmarkStart w:id="0" w:name="_Hlk143780582"/>
      <w:r w:rsidRPr="0044528D">
        <w:rPr>
          <w:rFonts w:ascii="Verdana" w:hAnsi="Verdana"/>
        </w:rPr>
        <w:tab/>
      </w:r>
    </w:p>
    <w:p w14:paraId="6C78948B" w14:textId="77777777" w:rsidR="00441178" w:rsidRDefault="00441178" w:rsidP="00441178">
      <w:pPr>
        <w:spacing w:after="0"/>
        <w:rPr>
          <w:rFonts w:ascii="Verdana" w:hAnsi="Verdana"/>
        </w:rPr>
      </w:pPr>
    </w:p>
    <w:p w14:paraId="68E7897C" w14:textId="77777777" w:rsidR="00441178" w:rsidRPr="00C230AA" w:rsidRDefault="00441178" w:rsidP="00441178">
      <w:pPr>
        <w:spacing w:after="0" w:line="276" w:lineRule="auto"/>
        <w:jc w:val="both"/>
        <w:rPr>
          <w:rFonts w:ascii="Verdana" w:eastAsia="Calibri" w:hAnsi="Verdana" w:cs="Arial"/>
          <w:b/>
          <w:bCs/>
          <w:lang w:val="es-ES" w:eastAsia="es-ES"/>
        </w:rPr>
      </w:pPr>
      <w:bookmarkStart w:id="1" w:name="_Hlk172124853"/>
      <w:r w:rsidRPr="00C230AA">
        <w:rPr>
          <w:rFonts w:ascii="Verdana" w:eastAsia="Calibri" w:hAnsi="Verdana" w:cs="Arial"/>
          <w:b/>
          <w:bCs/>
          <w:lang w:val="es-ES" w:eastAsia="es-ES"/>
        </w:rPr>
        <w:t xml:space="preserve">SERVICIO MILITAR – Obligatoriedad </w:t>
      </w:r>
    </w:p>
    <w:p w14:paraId="159256F5" w14:textId="77777777" w:rsidR="00441178" w:rsidRPr="00C230AA" w:rsidRDefault="00441178" w:rsidP="00441178">
      <w:pPr>
        <w:spacing w:after="0" w:line="276" w:lineRule="auto"/>
        <w:jc w:val="both"/>
        <w:rPr>
          <w:rFonts w:ascii="Verdana" w:eastAsia="Calibri" w:hAnsi="Verdana" w:cs="Arial"/>
          <w:lang w:val="es-ES" w:eastAsia="es-ES"/>
        </w:rPr>
      </w:pPr>
    </w:p>
    <w:p w14:paraId="2A1EA09D" w14:textId="77777777" w:rsidR="00441178" w:rsidRDefault="00441178" w:rsidP="00441178">
      <w:pPr>
        <w:spacing w:after="0" w:line="276" w:lineRule="auto"/>
        <w:jc w:val="both"/>
        <w:rPr>
          <w:rFonts w:ascii="Verdana" w:eastAsia="Calibri" w:hAnsi="Verdana" w:cs="Arial"/>
          <w:lang w:val="es-ES" w:eastAsia="es-ES"/>
        </w:rPr>
      </w:pPr>
      <w:r w:rsidRPr="00C230AA">
        <w:rPr>
          <w:rFonts w:ascii="Verdana" w:eastAsia="Calibri" w:hAnsi="Verdana" w:cs="Arial"/>
          <w:lang w:val="es-ES"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las condiciones, que, en todo tiempo, eximen del servicio militar y las prerrogativas para su prestación.</w:t>
      </w:r>
    </w:p>
    <w:p w14:paraId="740475EF" w14:textId="77777777" w:rsidR="00441178" w:rsidRDefault="00441178" w:rsidP="00441178">
      <w:pPr>
        <w:spacing w:after="0" w:line="276" w:lineRule="auto"/>
        <w:jc w:val="both"/>
        <w:rPr>
          <w:rFonts w:ascii="Verdana" w:eastAsia="Calibri" w:hAnsi="Verdana" w:cs="Arial"/>
          <w:lang w:val="es-ES" w:eastAsia="es-ES"/>
        </w:rPr>
      </w:pPr>
    </w:p>
    <w:p w14:paraId="6A2D35ED" w14:textId="77777777" w:rsidR="00441178" w:rsidRPr="0098266D" w:rsidRDefault="00441178" w:rsidP="00441178">
      <w:pPr>
        <w:spacing w:after="0" w:line="240" w:lineRule="auto"/>
        <w:jc w:val="both"/>
        <w:rPr>
          <w:rFonts w:ascii="Verdana" w:eastAsia="Calibri" w:hAnsi="Verdana" w:cs="Arial"/>
          <w:b/>
          <w:bCs/>
          <w:lang w:val="es-ES" w:eastAsia="es-ES"/>
        </w:rPr>
      </w:pPr>
      <w:r w:rsidRPr="0098266D">
        <w:rPr>
          <w:rFonts w:ascii="Verdana" w:eastAsia="Calibri" w:hAnsi="Verdana" w:cs="Arial"/>
          <w:b/>
          <w:bCs/>
          <w:lang w:val="es-ES" w:eastAsia="es-ES"/>
        </w:rPr>
        <w:t>SITUACIÓN MILITAR PARA EL TRABAJO – Regla general</w:t>
      </w:r>
    </w:p>
    <w:p w14:paraId="637AB8B6" w14:textId="77777777" w:rsidR="00441178" w:rsidRPr="0098266D" w:rsidRDefault="00441178" w:rsidP="00441178">
      <w:pPr>
        <w:spacing w:after="0" w:line="240" w:lineRule="auto"/>
        <w:jc w:val="both"/>
        <w:rPr>
          <w:rFonts w:ascii="Verdana" w:eastAsia="Calibri" w:hAnsi="Verdana" w:cs="Arial"/>
          <w:lang w:val="es-ES" w:eastAsia="es-ES"/>
        </w:rPr>
      </w:pPr>
    </w:p>
    <w:p w14:paraId="760D025E" w14:textId="77777777" w:rsidR="00441178" w:rsidRPr="0098266D" w:rsidRDefault="00441178" w:rsidP="00441178">
      <w:pPr>
        <w:spacing w:after="0" w:line="240" w:lineRule="auto"/>
        <w:jc w:val="both"/>
        <w:rPr>
          <w:rFonts w:ascii="Verdana" w:eastAsia="Calibri" w:hAnsi="Verdana" w:cs="Arial"/>
          <w:lang w:val="es-ES" w:eastAsia="es-ES"/>
        </w:rPr>
      </w:pPr>
      <w:r w:rsidRPr="0098266D">
        <w:rPr>
          <w:rFonts w:ascii="Verdana" w:eastAsia="Calibri" w:hAnsi="Verdana" w:cs="Arial"/>
          <w:lang w:val="es-ES" w:eastAsia="es-ES"/>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14:paraId="6C20D1B2" w14:textId="77777777" w:rsidR="00441178" w:rsidRPr="0098266D" w:rsidRDefault="00441178" w:rsidP="00441178">
      <w:pPr>
        <w:spacing w:after="0" w:line="240" w:lineRule="auto"/>
        <w:jc w:val="both"/>
        <w:rPr>
          <w:rFonts w:ascii="Verdana" w:eastAsia="Calibri" w:hAnsi="Verdana" w:cs="Arial"/>
          <w:b/>
          <w:bCs/>
          <w:lang w:val="es-ES" w:eastAsia="es-ES"/>
        </w:rPr>
      </w:pPr>
    </w:p>
    <w:p w14:paraId="42199C1D" w14:textId="77777777" w:rsidR="00441178" w:rsidRPr="0098266D" w:rsidRDefault="00441178" w:rsidP="00441178">
      <w:pPr>
        <w:spacing w:after="0" w:line="240" w:lineRule="auto"/>
        <w:jc w:val="both"/>
        <w:rPr>
          <w:rFonts w:ascii="Verdana" w:eastAsia="Calibri" w:hAnsi="Verdana" w:cs="Arial"/>
          <w:b/>
          <w:bCs/>
          <w:lang w:val="es-ES" w:eastAsia="es-ES"/>
        </w:rPr>
      </w:pPr>
      <w:r w:rsidRPr="0098266D">
        <w:rPr>
          <w:rFonts w:ascii="Verdana" w:eastAsia="Calibri" w:hAnsi="Verdana" w:cs="Arial"/>
          <w:b/>
          <w:bCs/>
          <w:lang w:val="es-ES" w:eastAsia="es-ES"/>
        </w:rPr>
        <w:t>SITUACIÓN MILITAR PARA EL TRABAJO – Regla excepcional</w:t>
      </w:r>
    </w:p>
    <w:p w14:paraId="6B86E783" w14:textId="77777777" w:rsidR="00441178" w:rsidRPr="0098266D" w:rsidRDefault="00441178" w:rsidP="00441178">
      <w:pPr>
        <w:spacing w:after="0" w:line="240" w:lineRule="auto"/>
        <w:jc w:val="both"/>
        <w:rPr>
          <w:rFonts w:ascii="Verdana" w:eastAsia="Calibri" w:hAnsi="Verdana" w:cs="Arial"/>
          <w:lang w:val="es-ES" w:eastAsia="es-ES"/>
        </w:rPr>
      </w:pPr>
    </w:p>
    <w:p w14:paraId="316C8AC5" w14:textId="77777777" w:rsidR="00441178" w:rsidRPr="0098266D" w:rsidRDefault="00441178" w:rsidP="00441178">
      <w:pPr>
        <w:spacing w:after="0" w:line="240" w:lineRule="auto"/>
        <w:jc w:val="both"/>
        <w:rPr>
          <w:rFonts w:ascii="Verdana" w:eastAsia="Calibri" w:hAnsi="Verdana" w:cs="Arial"/>
          <w:lang w:val="es-ES" w:eastAsia="es-ES"/>
        </w:rPr>
      </w:pPr>
      <w:r w:rsidRPr="0098266D">
        <w:rPr>
          <w:rFonts w:ascii="Verdana" w:eastAsia="Calibri" w:hAnsi="Verdana" w:cs="Arial"/>
          <w:lang w:val="es-ES" w:eastAsia="es-ES"/>
        </w:rPr>
        <w:t>[…]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p>
    <w:p w14:paraId="2C147CE9" w14:textId="77777777" w:rsidR="00441178" w:rsidRPr="0098266D" w:rsidRDefault="00441178" w:rsidP="00441178">
      <w:pPr>
        <w:spacing w:after="0" w:line="276" w:lineRule="auto"/>
        <w:jc w:val="both"/>
        <w:rPr>
          <w:rFonts w:ascii="Verdana" w:eastAsia="Calibri" w:hAnsi="Verdana" w:cs="Arial"/>
          <w:lang w:val="es-ES" w:eastAsia="es-ES"/>
        </w:rPr>
      </w:pPr>
    </w:p>
    <w:p w14:paraId="2908CC37" w14:textId="77777777" w:rsidR="00441178" w:rsidRDefault="00441178" w:rsidP="00441178">
      <w:pPr>
        <w:spacing w:after="0" w:line="276" w:lineRule="auto"/>
        <w:jc w:val="both"/>
        <w:rPr>
          <w:rFonts w:ascii="Verdana" w:eastAsia="Calibri" w:hAnsi="Verdana" w:cs="Arial"/>
          <w:lang w:val="es-ES" w:eastAsia="es-ES"/>
        </w:rPr>
      </w:pPr>
    </w:p>
    <w:p w14:paraId="518F1E17" w14:textId="77777777" w:rsidR="00441178" w:rsidRDefault="00441178" w:rsidP="00441178">
      <w:pPr>
        <w:spacing w:after="0" w:line="276" w:lineRule="auto"/>
        <w:jc w:val="both"/>
        <w:rPr>
          <w:rFonts w:ascii="Verdana" w:eastAsia="Calibri" w:hAnsi="Verdana" w:cs="Arial"/>
          <w:lang w:val="es-ES" w:eastAsia="es-ES"/>
        </w:rPr>
      </w:pPr>
    </w:p>
    <w:p w14:paraId="7A823676" w14:textId="77777777" w:rsidR="00441178" w:rsidRDefault="00441178" w:rsidP="00441178">
      <w:pPr>
        <w:spacing w:after="0" w:line="276" w:lineRule="auto"/>
        <w:jc w:val="both"/>
        <w:rPr>
          <w:rFonts w:ascii="Verdana" w:eastAsia="Calibri" w:hAnsi="Verdana" w:cs="Arial"/>
          <w:lang w:val="es-ES" w:eastAsia="es-ES"/>
        </w:rPr>
      </w:pPr>
    </w:p>
    <w:p w14:paraId="70705276" w14:textId="77777777" w:rsidR="00441178" w:rsidRDefault="00441178" w:rsidP="00441178">
      <w:pPr>
        <w:spacing w:after="0" w:line="276" w:lineRule="auto"/>
        <w:jc w:val="both"/>
        <w:rPr>
          <w:rFonts w:ascii="Verdana" w:eastAsia="Calibri" w:hAnsi="Verdana" w:cs="Arial"/>
          <w:lang w:val="es-ES" w:eastAsia="es-ES"/>
        </w:rPr>
      </w:pPr>
    </w:p>
    <w:p w14:paraId="201873FA" w14:textId="77777777" w:rsidR="00441178" w:rsidRDefault="00441178" w:rsidP="00441178">
      <w:pPr>
        <w:spacing w:after="0" w:line="276" w:lineRule="auto"/>
        <w:jc w:val="both"/>
        <w:rPr>
          <w:rFonts w:ascii="Verdana" w:eastAsia="Calibri" w:hAnsi="Verdana" w:cs="Arial"/>
          <w:lang w:val="es-ES" w:eastAsia="es-ES"/>
        </w:rPr>
      </w:pPr>
    </w:p>
    <w:p w14:paraId="65260214" w14:textId="77777777" w:rsidR="00441178" w:rsidRDefault="00441178" w:rsidP="00441178">
      <w:pPr>
        <w:spacing w:after="0" w:line="276" w:lineRule="auto"/>
        <w:jc w:val="both"/>
        <w:rPr>
          <w:rFonts w:ascii="Verdana" w:eastAsia="Calibri" w:hAnsi="Verdana" w:cs="Arial"/>
          <w:lang w:val="es-ES" w:eastAsia="es-ES"/>
        </w:rPr>
      </w:pPr>
    </w:p>
    <w:p w14:paraId="7E2AA54F" w14:textId="77777777" w:rsidR="00441178" w:rsidRDefault="00441178" w:rsidP="00441178">
      <w:pPr>
        <w:spacing w:after="0" w:line="276" w:lineRule="auto"/>
        <w:jc w:val="both"/>
        <w:rPr>
          <w:rFonts w:ascii="Verdana" w:eastAsia="Calibri" w:hAnsi="Verdana" w:cs="Arial"/>
          <w:lang w:val="es-ES" w:eastAsia="es-ES"/>
        </w:rPr>
      </w:pPr>
    </w:p>
    <w:p w14:paraId="4514C50E" w14:textId="77777777" w:rsidR="00441178" w:rsidRDefault="00441178" w:rsidP="00441178">
      <w:pPr>
        <w:spacing w:after="0" w:line="276" w:lineRule="auto"/>
        <w:jc w:val="both"/>
        <w:rPr>
          <w:rFonts w:ascii="Verdana" w:eastAsia="Calibri" w:hAnsi="Verdana" w:cs="Arial"/>
          <w:lang w:val="es-ES" w:eastAsia="es-ES"/>
        </w:rPr>
      </w:pPr>
    </w:p>
    <w:p w14:paraId="48D87F94" w14:textId="77777777" w:rsidR="00441178" w:rsidRDefault="00441178" w:rsidP="00441178">
      <w:pPr>
        <w:spacing w:after="0" w:line="276" w:lineRule="auto"/>
        <w:jc w:val="both"/>
        <w:rPr>
          <w:rFonts w:ascii="Verdana" w:eastAsia="Calibri" w:hAnsi="Verdana" w:cs="Arial"/>
          <w:lang w:val="es-ES" w:eastAsia="es-ES"/>
        </w:rPr>
      </w:pPr>
    </w:p>
    <w:p w14:paraId="34A33445" w14:textId="5455DEFA" w:rsidR="00441178" w:rsidRDefault="00441178" w:rsidP="00441178">
      <w:pPr>
        <w:spacing w:after="0" w:line="276" w:lineRule="auto"/>
        <w:jc w:val="both"/>
        <w:rPr>
          <w:rFonts w:ascii="Verdana" w:hAnsi="Verdana"/>
        </w:rPr>
      </w:pPr>
      <w:r w:rsidRPr="0044528D">
        <w:rPr>
          <w:rFonts w:ascii="Verdana" w:hAnsi="Verdana"/>
        </w:rPr>
        <w:t xml:space="preserve">Bogotá D.C., </w:t>
      </w:r>
      <w:r w:rsidR="00217786">
        <w:rPr>
          <w:rFonts w:ascii="Verdana" w:hAnsi="Verdana"/>
        </w:rPr>
        <w:t xml:space="preserve">1 de agosto de 2024 </w:t>
      </w:r>
    </w:p>
    <w:p w14:paraId="359840CC" w14:textId="77777777" w:rsidR="00217786" w:rsidRDefault="00217786" w:rsidP="00441178">
      <w:pPr>
        <w:spacing w:after="0" w:line="276" w:lineRule="auto"/>
        <w:jc w:val="both"/>
        <w:rPr>
          <w:rFonts w:ascii="Verdana" w:hAnsi="Verdana"/>
        </w:rPr>
      </w:pPr>
    </w:p>
    <w:p w14:paraId="24E5FA82" w14:textId="2031855C" w:rsidR="00217786" w:rsidRDefault="00FF2059" w:rsidP="00FF2059">
      <w:pPr>
        <w:spacing w:after="0" w:line="276" w:lineRule="auto"/>
        <w:jc w:val="right"/>
        <w:rPr>
          <w:rFonts w:ascii="Verdana" w:eastAsia="Calibri" w:hAnsi="Verdana" w:cs="Arial"/>
          <w:lang w:val="es-ES" w:eastAsia="es-ES"/>
        </w:rPr>
      </w:pPr>
      <w:r w:rsidRPr="00FF2059">
        <w:rPr>
          <w:rFonts w:ascii="Verdana" w:eastAsia="Calibri" w:hAnsi="Verdana" w:cs="Arial"/>
          <w:lang w:val="es-ES" w:eastAsia="es-ES"/>
        </w:rPr>
        <w:drawing>
          <wp:inline distT="0" distB="0" distL="0" distR="0" wp14:anchorId="26D5D731" wp14:editId="336B4EE7">
            <wp:extent cx="3762900" cy="952633"/>
            <wp:effectExtent l="0" t="0" r="9525" b="0"/>
            <wp:docPr id="87734878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48784" name="Imagen 1" descr="Texto&#10;&#10;Descripción generada automáticamente"/>
                    <pic:cNvPicPr/>
                  </pic:nvPicPr>
                  <pic:blipFill>
                    <a:blip r:embed="rId11"/>
                    <a:stretch>
                      <a:fillRect/>
                    </a:stretch>
                  </pic:blipFill>
                  <pic:spPr>
                    <a:xfrm>
                      <a:off x="0" y="0"/>
                      <a:ext cx="3762900" cy="952633"/>
                    </a:xfrm>
                    <a:prstGeom prst="rect">
                      <a:avLst/>
                    </a:prstGeom>
                  </pic:spPr>
                </pic:pic>
              </a:graphicData>
            </a:graphic>
          </wp:inline>
        </w:drawing>
      </w:r>
    </w:p>
    <w:p w14:paraId="74191D4B" w14:textId="77777777" w:rsidR="00441178" w:rsidRDefault="00441178" w:rsidP="00441178">
      <w:pPr>
        <w:spacing w:after="0" w:line="276" w:lineRule="auto"/>
        <w:jc w:val="both"/>
        <w:rPr>
          <w:rFonts w:ascii="Verdana" w:eastAsia="Calibri" w:hAnsi="Verdana" w:cs="Arial"/>
          <w:lang w:val="es-ES" w:eastAsia="es-ES"/>
        </w:rPr>
      </w:pPr>
    </w:p>
    <w:p w14:paraId="0285CB79" w14:textId="77777777" w:rsidR="00441178" w:rsidRPr="00881D8B" w:rsidRDefault="00441178" w:rsidP="00441178">
      <w:pPr>
        <w:spacing w:after="0" w:line="276" w:lineRule="auto"/>
        <w:jc w:val="both"/>
        <w:rPr>
          <w:rFonts w:ascii="Verdana" w:eastAsia="Calibri" w:hAnsi="Verdana" w:cs="Arial"/>
          <w:lang w:val="es-ES" w:eastAsia="es-ES"/>
        </w:rPr>
      </w:pPr>
      <w:r w:rsidRPr="00881D8B">
        <w:rPr>
          <w:rFonts w:ascii="Verdana" w:eastAsia="Calibri" w:hAnsi="Verdana" w:cs="Arial"/>
          <w:lang w:val="es-ES" w:eastAsia="es-ES"/>
        </w:rPr>
        <w:t>Señor</w:t>
      </w:r>
    </w:p>
    <w:p w14:paraId="61DB92EF" w14:textId="77777777" w:rsidR="00441178" w:rsidRPr="00881D8B" w:rsidRDefault="00441178" w:rsidP="00441178">
      <w:pPr>
        <w:spacing w:after="0" w:line="276" w:lineRule="auto"/>
        <w:rPr>
          <w:rFonts w:ascii="Verdana" w:eastAsia="Calibri" w:hAnsi="Verdana" w:cs="Arial"/>
          <w:b/>
          <w:lang w:val="es-ES_tradnl" w:eastAsia="es-ES_tradnl"/>
        </w:rPr>
      </w:pPr>
      <w:r>
        <w:rPr>
          <w:rFonts w:ascii="Verdana" w:eastAsia="Calibri" w:hAnsi="Verdana" w:cs="Arial"/>
          <w:b/>
          <w:lang w:val="es-ES_tradnl" w:eastAsia="es-ES_tradnl"/>
        </w:rPr>
        <w:t>Oscar Andres Penagos Porras</w:t>
      </w:r>
    </w:p>
    <w:p w14:paraId="3FA0BA96" w14:textId="77777777" w:rsidR="00441178" w:rsidRPr="00045B79" w:rsidRDefault="00441178" w:rsidP="00441178">
      <w:pPr>
        <w:spacing w:after="0" w:line="276" w:lineRule="auto"/>
        <w:rPr>
          <w:rFonts w:ascii="Verdana" w:eastAsia="Calibri" w:hAnsi="Verdana" w:cs="Arial"/>
          <w:lang w:val="es-ES_tradnl" w:eastAsia="es-ES_tradnl"/>
        </w:rPr>
      </w:pPr>
      <w:r w:rsidRPr="00045B79">
        <w:rPr>
          <w:rFonts w:ascii="Verdana" w:eastAsia="Calibri" w:hAnsi="Verdana" w:cs="Arial"/>
          <w:lang w:eastAsia="es-ES_tradnl"/>
        </w:rPr>
        <w:t>andres97ospe@gmail.com</w:t>
      </w:r>
    </w:p>
    <w:p w14:paraId="1422DC38" w14:textId="77777777" w:rsidR="00441178" w:rsidRPr="00881D8B" w:rsidRDefault="00441178" w:rsidP="00441178">
      <w:pPr>
        <w:spacing w:after="0" w:line="276" w:lineRule="auto"/>
        <w:rPr>
          <w:rFonts w:ascii="Verdana" w:eastAsia="Calibri" w:hAnsi="Verdana" w:cs="Arial"/>
          <w:b/>
          <w:bCs/>
          <w:lang w:val="es-ES_tradnl" w:eastAsia="es-ES_tradnl"/>
        </w:rPr>
      </w:pPr>
      <w:r>
        <w:rPr>
          <w:rFonts w:ascii="Verdana" w:eastAsia="Calibri" w:hAnsi="Verdana" w:cs="Arial"/>
          <w:lang w:val="es-ES" w:eastAsia="es-ES"/>
        </w:rPr>
        <w:t xml:space="preserve">La ciudad </w:t>
      </w:r>
    </w:p>
    <w:p w14:paraId="18670E03" w14:textId="77777777" w:rsidR="00441178" w:rsidRPr="00881D8B" w:rsidRDefault="00441178" w:rsidP="00441178">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41178" w:rsidRPr="00881D8B" w14:paraId="09CCFA48" w14:textId="77777777" w:rsidTr="00C65060">
        <w:trPr>
          <w:trHeight w:val="884"/>
        </w:trPr>
        <w:tc>
          <w:tcPr>
            <w:tcW w:w="2689" w:type="dxa"/>
          </w:tcPr>
          <w:p w14:paraId="44914F5F" w14:textId="77777777" w:rsidR="00441178" w:rsidRPr="00881D8B" w:rsidRDefault="00441178" w:rsidP="00C65060">
            <w:pPr>
              <w:spacing w:line="276" w:lineRule="auto"/>
              <w:jc w:val="both"/>
              <w:rPr>
                <w:rFonts w:ascii="Verdana" w:eastAsia="Calibri" w:hAnsi="Verdana" w:cs="Arial"/>
                <w:b/>
                <w:bCs/>
                <w:lang w:val="es-ES_tradnl" w:eastAsia="es-ES_tradnl"/>
              </w:rPr>
            </w:pPr>
          </w:p>
        </w:tc>
        <w:tc>
          <w:tcPr>
            <w:tcW w:w="6100" w:type="dxa"/>
          </w:tcPr>
          <w:p w14:paraId="159ED7E4" w14:textId="77777777" w:rsidR="00441178" w:rsidRPr="00881D8B" w:rsidRDefault="00441178" w:rsidP="00C65060">
            <w:pPr>
              <w:spacing w:line="276" w:lineRule="auto"/>
              <w:jc w:val="both"/>
              <w:rPr>
                <w:rFonts w:ascii="Verdana" w:eastAsia="Calibri" w:hAnsi="Verdana" w:cs="Arial"/>
                <w:b/>
                <w:bCs/>
                <w:lang w:val="es-ES" w:eastAsia="es-ES"/>
              </w:rPr>
            </w:pPr>
            <w:r w:rsidRPr="00881D8B">
              <w:rPr>
                <w:rFonts w:ascii="Verdana" w:eastAsia="Calibri" w:hAnsi="Verdana" w:cs="Arial"/>
                <w:b/>
                <w:bCs/>
                <w:lang w:val="es-ES" w:eastAsia="es-ES"/>
              </w:rPr>
              <w:t xml:space="preserve">Concepto C- </w:t>
            </w:r>
            <w:r>
              <w:rPr>
                <w:rFonts w:ascii="Verdana" w:eastAsia="Calibri" w:hAnsi="Verdana" w:cs="Arial"/>
                <w:b/>
                <w:bCs/>
                <w:lang w:val="es-ES" w:eastAsia="es-ES"/>
              </w:rPr>
              <w:t>208</w:t>
            </w:r>
            <w:r w:rsidRPr="00881D8B">
              <w:rPr>
                <w:rFonts w:ascii="Verdana" w:eastAsia="Calibri" w:hAnsi="Verdana" w:cs="Arial"/>
                <w:b/>
                <w:bCs/>
                <w:lang w:val="es-ES" w:eastAsia="es-ES"/>
              </w:rPr>
              <w:t xml:space="preserve"> de 2024</w:t>
            </w:r>
          </w:p>
        </w:tc>
      </w:tr>
      <w:tr w:rsidR="00441178" w:rsidRPr="00881D8B" w14:paraId="781D1CC2" w14:textId="77777777" w:rsidTr="00C65060">
        <w:trPr>
          <w:trHeight w:val="884"/>
        </w:trPr>
        <w:tc>
          <w:tcPr>
            <w:tcW w:w="2689" w:type="dxa"/>
          </w:tcPr>
          <w:p w14:paraId="17AA5554" w14:textId="77777777" w:rsidR="00441178" w:rsidRPr="00881D8B" w:rsidRDefault="00441178" w:rsidP="00C65060">
            <w:pPr>
              <w:spacing w:line="276" w:lineRule="auto"/>
              <w:jc w:val="both"/>
              <w:rPr>
                <w:rFonts w:ascii="Verdana" w:eastAsia="Calibri" w:hAnsi="Verdana" w:cs="Arial"/>
                <w:lang w:val="es-ES_tradnl" w:eastAsia="es-ES_tradnl"/>
              </w:rPr>
            </w:pPr>
            <w:r w:rsidRPr="00881D8B">
              <w:rPr>
                <w:rFonts w:ascii="Verdana" w:eastAsia="Calibri" w:hAnsi="Verdana" w:cs="Arial"/>
                <w:b/>
                <w:lang w:val="es-ES_tradnl" w:eastAsia="es-ES_tradnl"/>
              </w:rPr>
              <w:t>Temas:</w:t>
            </w:r>
            <w:r w:rsidRPr="00881D8B">
              <w:rPr>
                <w:rFonts w:ascii="Verdana" w:eastAsia="Calibri" w:hAnsi="Verdana" w:cs="Arial"/>
                <w:lang w:val="es-ES_tradnl" w:eastAsia="es-ES_tradnl"/>
              </w:rPr>
              <w:t xml:space="preserve">                   </w:t>
            </w:r>
          </w:p>
        </w:tc>
        <w:tc>
          <w:tcPr>
            <w:tcW w:w="6100" w:type="dxa"/>
          </w:tcPr>
          <w:p w14:paraId="7C9841B1" w14:textId="77777777" w:rsidR="00441178" w:rsidRPr="00881D8B" w:rsidRDefault="00441178" w:rsidP="00C65060">
            <w:pPr>
              <w:spacing w:line="276" w:lineRule="auto"/>
              <w:jc w:val="both"/>
              <w:rPr>
                <w:rFonts w:ascii="Verdana" w:hAnsi="Verdana" w:cs="Arial"/>
              </w:rPr>
            </w:pPr>
            <w:r w:rsidRPr="00EA080F">
              <w:rPr>
                <w:rFonts w:ascii="Century Gothic" w:eastAsia="Calibri" w:hAnsi="Century Gothic" w:cs="Arial"/>
                <w:bCs/>
                <w:color w:val="000000" w:themeColor="text1"/>
                <w:lang w:val="es-MX" w:eastAsia="es-ES"/>
              </w:rPr>
              <w:t xml:space="preserve">SERVICIO MILITAR – Obligatoriedad / SERVICIO MILITAR – Obligatoriedad </w:t>
            </w:r>
            <w:bookmarkStart w:id="2" w:name="_Hlk143964686"/>
            <w:r w:rsidRPr="00EA080F">
              <w:rPr>
                <w:rFonts w:ascii="Century Gothic" w:eastAsia="Calibri" w:hAnsi="Century Gothic" w:cs="Arial"/>
                <w:bCs/>
                <w:color w:val="000000" w:themeColor="text1"/>
                <w:lang w:val="es-MX" w:eastAsia="es-ES"/>
              </w:rPr>
              <w:t xml:space="preserve">– Excepciones </w:t>
            </w:r>
            <w:bookmarkEnd w:id="2"/>
          </w:p>
        </w:tc>
      </w:tr>
      <w:tr w:rsidR="00441178" w:rsidRPr="00881D8B" w14:paraId="0743CCA3" w14:textId="77777777" w:rsidTr="00C65060">
        <w:tc>
          <w:tcPr>
            <w:tcW w:w="2689" w:type="dxa"/>
          </w:tcPr>
          <w:p w14:paraId="0FE52941" w14:textId="77777777" w:rsidR="00441178" w:rsidRPr="00881D8B" w:rsidRDefault="00441178" w:rsidP="00C65060">
            <w:pPr>
              <w:spacing w:line="276" w:lineRule="auto"/>
              <w:jc w:val="both"/>
              <w:rPr>
                <w:rFonts w:ascii="Verdana" w:eastAsia="Calibri" w:hAnsi="Verdana" w:cs="Arial"/>
                <w:b/>
                <w:lang w:val="es-ES_tradnl" w:eastAsia="es-ES_tradnl"/>
              </w:rPr>
            </w:pPr>
            <w:r w:rsidRPr="00881D8B">
              <w:rPr>
                <w:rFonts w:ascii="Verdana" w:eastAsia="Calibri" w:hAnsi="Verdana" w:cs="Arial"/>
                <w:b/>
                <w:lang w:val="es-ES_tradnl" w:eastAsia="es-ES_tradnl"/>
              </w:rPr>
              <w:t>Radicación:</w:t>
            </w:r>
            <w:r w:rsidRPr="00881D8B">
              <w:rPr>
                <w:rFonts w:ascii="Verdana" w:eastAsia="Calibri" w:hAnsi="Verdana" w:cs="Arial"/>
                <w:lang w:val="es-ES_tradnl" w:eastAsia="es-ES_tradnl"/>
              </w:rPr>
              <w:t xml:space="preserve">               </w:t>
            </w:r>
          </w:p>
        </w:tc>
        <w:tc>
          <w:tcPr>
            <w:tcW w:w="6100" w:type="dxa"/>
          </w:tcPr>
          <w:p w14:paraId="656C4FF1" w14:textId="77777777" w:rsidR="00441178" w:rsidRPr="00881D8B" w:rsidRDefault="00441178" w:rsidP="00C65060">
            <w:pPr>
              <w:spacing w:line="276" w:lineRule="auto"/>
              <w:jc w:val="both"/>
              <w:rPr>
                <w:rFonts w:ascii="Verdana" w:hAnsi="Verdana" w:cs="Arial"/>
              </w:rPr>
            </w:pPr>
            <w:r w:rsidRPr="00881D8B">
              <w:rPr>
                <w:rFonts w:ascii="Verdana" w:hAnsi="Verdana" w:cs="Arial"/>
              </w:rPr>
              <w:t xml:space="preserve">Respuesta a consulta con radicados No. </w:t>
            </w:r>
            <w:r w:rsidRPr="00291A05">
              <w:rPr>
                <w:rFonts w:ascii="Verdana" w:hAnsi="Verdana" w:cs="Arial"/>
              </w:rPr>
              <w:t>P20240621006362</w:t>
            </w:r>
          </w:p>
        </w:tc>
      </w:tr>
    </w:tbl>
    <w:p w14:paraId="4F0E34E6" w14:textId="77777777" w:rsidR="00441178" w:rsidRPr="00881D8B" w:rsidRDefault="00441178" w:rsidP="00441178">
      <w:pPr>
        <w:spacing w:after="0" w:line="276" w:lineRule="auto"/>
        <w:jc w:val="both"/>
        <w:rPr>
          <w:rFonts w:ascii="Verdana" w:eastAsia="Calibri" w:hAnsi="Verdana" w:cs="Arial"/>
          <w:lang w:val="es-ES_tradnl" w:eastAsia="es-ES_tradnl"/>
        </w:rPr>
      </w:pPr>
    </w:p>
    <w:p w14:paraId="6F10316C" w14:textId="77777777" w:rsidR="00441178" w:rsidRPr="00881D8B" w:rsidRDefault="00441178" w:rsidP="00441178">
      <w:pPr>
        <w:spacing w:after="0" w:line="276" w:lineRule="auto"/>
        <w:jc w:val="both"/>
        <w:rPr>
          <w:rFonts w:ascii="Verdana" w:eastAsia="Calibri" w:hAnsi="Verdana" w:cs="Arial"/>
          <w:lang w:val="es-ES_tradnl" w:eastAsia="es-ES_tradnl"/>
        </w:rPr>
      </w:pPr>
    </w:p>
    <w:p w14:paraId="5B44DC37" w14:textId="77777777" w:rsidR="00441178" w:rsidRPr="00881D8B" w:rsidRDefault="00441178" w:rsidP="00441178">
      <w:pPr>
        <w:spacing w:after="0" w:line="276" w:lineRule="auto"/>
        <w:jc w:val="both"/>
        <w:rPr>
          <w:rFonts w:ascii="Verdana" w:eastAsia="Calibri" w:hAnsi="Verdana" w:cs="Arial"/>
          <w:lang w:val="es-ES" w:eastAsia="es-ES"/>
        </w:rPr>
      </w:pPr>
      <w:r w:rsidRPr="00881D8B">
        <w:rPr>
          <w:rFonts w:ascii="Verdana" w:eastAsia="Calibri" w:hAnsi="Verdana" w:cs="Arial"/>
          <w:lang w:val="es-ES" w:eastAsia="es-ES"/>
        </w:rPr>
        <w:t xml:space="preserve">Estimado señor </w:t>
      </w:r>
      <w:r>
        <w:rPr>
          <w:rFonts w:ascii="Verdana" w:eastAsia="Calibri" w:hAnsi="Verdana" w:cs="Arial"/>
          <w:lang w:val="es-ES" w:eastAsia="es-ES"/>
        </w:rPr>
        <w:t>Penagos</w:t>
      </w:r>
      <w:r w:rsidRPr="00881D8B">
        <w:rPr>
          <w:rFonts w:ascii="Verdana" w:eastAsia="Calibri" w:hAnsi="Verdana" w:cs="Arial"/>
          <w:lang w:val="es-ES" w:eastAsia="es-ES"/>
        </w:rPr>
        <w:t xml:space="preserve">: </w:t>
      </w:r>
    </w:p>
    <w:p w14:paraId="7BC11E0B" w14:textId="77777777" w:rsidR="00441178" w:rsidRPr="00881D8B" w:rsidRDefault="00441178" w:rsidP="00441178">
      <w:pPr>
        <w:tabs>
          <w:tab w:val="left" w:pos="3768"/>
        </w:tabs>
        <w:spacing w:after="0" w:line="276" w:lineRule="auto"/>
        <w:jc w:val="both"/>
        <w:rPr>
          <w:rFonts w:ascii="Verdana" w:eastAsia="Calibri" w:hAnsi="Verdana" w:cs="Arial"/>
          <w:lang w:val="es-ES" w:eastAsia="es-ES"/>
        </w:rPr>
      </w:pPr>
      <w:r w:rsidRPr="00881D8B">
        <w:rPr>
          <w:rFonts w:ascii="Verdana" w:eastAsia="Calibri" w:hAnsi="Verdana" w:cs="Arial"/>
          <w:lang w:val="es-ES" w:eastAsia="es-ES"/>
        </w:rPr>
        <w:tab/>
      </w:r>
    </w:p>
    <w:p w14:paraId="3AAA73B3" w14:textId="77777777" w:rsidR="00441178" w:rsidRPr="00881D8B" w:rsidRDefault="00441178" w:rsidP="00441178">
      <w:pPr>
        <w:spacing w:after="0" w:line="276" w:lineRule="auto"/>
        <w:jc w:val="both"/>
        <w:rPr>
          <w:rFonts w:ascii="Verdana" w:eastAsia="Calibri" w:hAnsi="Verdana" w:cs="Arial"/>
          <w:lang w:val="es-ES" w:eastAsia="es-ES"/>
        </w:rPr>
      </w:pPr>
      <w:r w:rsidRPr="00881D8B">
        <w:rPr>
          <w:rFonts w:ascii="Verdana" w:eastAsia="Calibri" w:hAnsi="Verdana" w:cs="Arial"/>
          <w:lang w:val="es-ES" w:eastAsia="es-ES"/>
        </w:rPr>
        <w:t>En ejercicio de la competencia otorgada por los artículos 3, numeral 5º, y 11, numeral 8º, del Decreto Ley 4170 de 2011,</w:t>
      </w:r>
      <w:r w:rsidRPr="00881D8B">
        <w:rPr>
          <w:rFonts w:ascii="Verdana" w:eastAsia="Arial MT" w:hAnsi="Verdana" w:cs="Arial MT"/>
          <w:lang w:val="es-ES" w:eastAsia="es-ES"/>
        </w:rPr>
        <w:t xml:space="preserve"> </w:t>
      </w:r>
      <w:r w:rsidRPr="00881D8B">
        <w:rPr>
          <w:rFonts w:ascii="Verdana" w:hAnsi="Verdana" w:cs="Arial"/>
        </w:rPr>
        <w:t xml:space="preserve">así como lo establecido en el artículo 4 de la Resolución 1707 de 2018 expedida por esta Entidad, </w:t>
      </w:r>
      <w:r w:rsidRPr="00881D8B">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20</w:t>
      </w:r>
      <w:r w:rsidRPr="00881D8B">
        <w:rPr>
          <w:rFonts w:ascii="Verdana" w:eastAsia="Calibri" w:hAnsi="Verdana" w:cs="Arial"/>
          <w:lang w:val="es-ES" w:eastAsia="es-ES"/>
        </w:rPr>
        <w:t xml:space="preserve"> de junio de 2024, en la cual manifiesta lo siguiente: </w:t>
      </w:r>
    </w:p>
    <w:p w14:paraId="38255C7D" w14:textId="77777777" w:rsidR="00441178" w:rsidRPr="00881D8B" w:rsidRDefault="00441178" w:rsidP="00441178">
      <w:pPr>
        <w:pStyle w:val="Prrafodelista"/>
        <w:tabs>
          <w:tab w:val="left" w:pos="142"/>
          <w:tab w:val="left" w:pos="284"/>
        </w:tabs>
        <w:spacing w:line="276" w:lineRule="auto"/>
        <w:ind w:left="0"/>
        <w:jc w:val="both"/>
        <w:rPr>
          <w:rFonts w:ascii="Verdana" w:hAnsi="Verdana" w:cs="Arial"/>
        </w:rPr>
      </w:pPr>
    </w:p>
    <w:p w14:paraId="0C5A05AC" w14:textId="77777777" w:rsidR="00441178" w:rsidRPr="00BE50C7" w:rsidRDefault="00441178" w:rsidP="00441178">
      <w:pPr>
        <w:autoSpaceDE w:val="0"/>
        <w:autoSpaceDN w:val="0"/>
        <w:adjustRightInd w:val="0"/>
        <w:spacing w:after="0" w:line="276" w:lineRule="auto"/>
        <w:ind w:left="709" w:right="709"/>
        <w:jc w:val="both"/>
        <w:rPr>
          <w:rFonts w:ascii="Verdana" w:hAnsi="Verdana" w:cs="Arial"/>
          <w:sz w:val="21"/>
          <w:szCs w:val="21"/>
        </w:rPr>
      </w:pPr>
      <w:bookmarkStart w:id="3" w:name="_Hlk95313578"/>
      <w:r w:rsidRPr="00881D8B">
        <w:rPr>
          <w:rFonts w:ascii="Verdana" w:hAnsi="Verdana" w:cs="Arial"/>
          <w:sz w:val="21"/>
          <w:szCs w:val="21"/>
        </w:rPr>
        <w:t>“</w:t>
      </w:r>
      <w:bookmarkEnd w:id="3"/>
      <w:r w:rsidRPr="00BE50C7">
        <w:rPr>
          <w:rFonts w:ascii="Verdana" w:hAnsi="Verdana" w:cs="Arial"/>
          <w:sz w:val="21"/>
          <w:szCs w:val="21"/>
        </w:rPr>
        <w:t>Remito la presente para consultar sí el documento anexo generado por el Comando de Reclutamiento del</w:t>
      </w:r>
      <w:r>
        <w:rPr>
          <w:rFonts w:ascii="Verdana" w:hAnsi="Verdana" w:cs="Arial"/>
          <w:sz w:val="21"/>
          <w:szCs w:val="21"/>
        </w:rPr>
        <w:t xml:space="preserve"> </w:t>
      </w:r>
      <w:r w:rsidRPr="00BE50C7">
        <w:rPr>
          <w:rFonts w:ascii="Verdana" w:hAnsi="Verdana" w:cs="Arial"/>
          <w:sz w:val="21"/>
          <w:szCs w:val="21"/>
        </w:rPr>
        <w:t>Ejercito Nacional, me permite celebrar contratos de prestación de servicios con entidades estatales. Este</w:t>
      </w:r>
      <w:r>
        <w:rPr>
          <w:rFonts w:ascii="Verdana" w:hAnsi="Verdana" w:cs="Arial"/>
          <w:sz w:val="21"/>
          <w:szCs w:val="21"/>
        </w:rPr>
        <w:t xml:space="preserve"> </w:t>
      </w:r>
      <w:r w:rsidRPr="00BE50C7">
        <w:rPr>
          <w:rFonts w:ascii="Verdana" w:hAnsi="Verdana" w:cs="Arial"/>
          <w:sz w:val="21"/>
          <w:szCs w:val="21"/>
        </w:rPr>
        <w:t>documento me certifica como beneficiario del artículo 42 de la Ley 1861 por haber superado la edad</w:t>
      </w:r>
      <w:r>
        <w:rPr>
          <w:rFonts w:ascii="Verdana" w:hAnsi="Verdana" w:cs="Arial"/>
          <w:sz w:val="21"/>
          <w:szCs w:val="21"/>
        </w:rPr>
        <w:t xml:space="preserve"> </w:t>
      </w:r>
      <w:r w:rsidRPr="00BE50C7">
        <w:rPr>
          <w:rFonts w:ascii="Verdana" w:hAnsi="Verdana" w:cs="Arial"/>
          <w:sz w:val="21"/>
          <w:szCs w:val="21"/>
        </w:rPr>
        <w:t>máxima de incorporación a las filas y por tanto establece que no requiero definir mi situación militar para</w:t>
      </w:r>
    </w:p>
    <w:p w14:paraId="74985E4A" w14:textId="77777777" w:rsidR="00441178" w:rsidRPr="00BE50C7" w:rsidRDefault="00441178" w:rsidP="00441178">
      <w:pPr>
        <w:autoSpaceDE w:val="0"/>
        <w:autoSpaceDN w:val="0"/>
        <w:adjustRightInd w:val="0"/>
        <w:spacing w:after="0" w:line="276" w:lineRule="auto"/>
        <w:ind w:left="709" w:right="709"/>
        <w:jc w:val="both"/>
        <w:rPr>
          <w:rFonts w:ascii="Verdana" w:hAnsi="Verdana" w:cs="Arial"/>
          <w:sz w:val="21"/>
          <w:szCs w:val="21"/>
        </w:rPr>
      </w:pPr>
      <w:r w:rsidRPr="00BE50C7">
        <w:rPr>
          <w:rFonts w:ascii="Verdana" w:hAnsi="Verdana" w:cs="Arial"/>
          <w:sz w:val="21"/>
          <w:szCs w:val="21"/>
        </w:rPr>
        <w:t>celebrar este tipo de contratos con entidades públicas, en un lapso de 18 meses desde la expedición del</w:t>
      </w:r>
      <w:r>
        <w:rPr>
          <w:rFonts w:ascii="Verdana" w:hAnsi="Verdana" w:cs="Arial"/>
          <w:sz w:val="21"/>
          <w:szCs w:val="21"/>
        </w:rPr>
        <w:t xml:space="preserve"> </w:t>
      </w:r>
      <w:r w:rsidRPr="00BE50C7">
        <w:rPr>
          <w:rFonts w:ascii="Verdana" w:hAnsi="Verdana" w:cs="Arial"/>
          <w:sz w:val="21"/>
          <w:szCs w:val="21"/>
        </w:rPr>
        <w:t>mismo. Asi mismo, atendiendo al concepto C-944 de 19 de enero de 2023 de la Agencia Nacional de</w:t>
      </w:r>
    </w:p>
    <w:p w14:paraId="14662FAD" w14:textId="77777777" w:rsidR="00441178" w:rsidRPr="00BE50C7" w:rsidRDefault="00441178" w:rsidP="00441178">
      <w:pPr>
        <w:autoSpaceDE w:val="0"/>
        <w:autoSpaceDN w:val="0"/>
        <w:adjustRightInd w:val="0"/>
        <w:spacing w:after="0" w:line="276" w:lineRule="auto"/>
        <w:ind w:left="709" w:right="709"/>
        <w:jc w:val="both"/>
        <w:rPr>
          <w:rFonts w:ascii="Verdana" w:hAnsi="Verdana" w:cs="Arial"/>
          <w:sz w:val="21"/>
          <w:szCs w:val="21"/>
        </w:rPr>
      </w:pPr>
      <w:r w:rsidRPr="00BE50C7">
        <w:rPr>
          <w:rFonts w:ascii="Verdana" w:hAnsi="Verdana" w:cs="Arial"/>
          <w:sz w:val="21"/>
          <w:szCs w:val="21"/>
        </w:rPr>
        <w:t>Contratación Pública que menciona la posibilidad de suscribir contratos con el Estado colombiano con el</w:t>
      </w:r>
      <w:r>
        <w:rPr>
          <w:rFonts w:ascii="Verdana" w:hAnsi="Verdana" w:cs="Arial"/>
          <w:sz w:val="21"/>
          <w:szCs w:val="21"/>
        </w:rPr>
        <w:t xml:space="preserve"> </w:t>
      </w:r>
      <w:r w:rsidRPr="00BE50C7">
        <w:rPr>
          <w:rFonts w:ascii="Verdana" w:hAnsi="Verdana" w:cs="Arial"/>
          <w:sz w:val="21"/>
          <w:szCs w:val="21"/>
        </w:rPr>
        <w:t>certificado que acredite que la situación militar se encuentra en trámite, como también lo aclara el</w:t>
      </w:r>
    </w:p>
    <w:p w14:paraId="2F3FBDD1" w14:textId="77777777" w:rsidR="00441178" w:rsidRPr="00BE50C7" w:rsidRDefault="00441178" w:rsidP="00441178">
      <w:pPr>
        <w:autoSpaceDE w:val="0"/>
        <w:autoSpaceDN w:val="0"/>
        <w:adjustRightInd w:val="0"/>
        <w:spacing w:after="0" w:line="276" w:lineRule="auto"/>
        <w:ind w:left="709" w:right="709"/>
        <w:jc w:val="both"/>
        <w:rPr>
          <w:rFonts w:ascii="Verdana" w:hAnsi="Verdana" w:cs="Arial"/>
          <w:sz w:val="21"/>
          <w:szCs w:val="21"/>
        </w:rPr>
      </w:pPr>
      <w:r w:rsidRPr="00BE50C7">
        <w:rPr>
          <w:rFonts w:ascii="Verdana" w:hAnsi="Verdana" w:cs="Arial"/>
          <w:sz w:val="21"/>
          <w:szCs w:val="21"/>
        </w:rPr>
        <w:t>Concepto 018341 de 2022 del DAFP.</w:t>
      </w:r>
    </w:p>
    <w:p w14:paraId="3B61B6B8" w14:textId="77777777" w:rsidR="00441178" w:rsidRPr="00881D8B" w:rsidRDefault="00441178" w:rsidP="00441178">
      <w:pPr>
        <w:autoSpaceDE w:val="0"/>
        <w:autoSpaceDN w:val="0"/>
        <w:adjustRightInd w:val="0"/>
        <w:spacing w:after="0" w:line="276" w:lineRule="auto"/>
        <w:ind w:left="709" w:right="709"/>
        <w:jc w:val="both"/>
        <w:rPr>
          <w:rFonts w:ascii="Verdana" w:hAnsi="Verdana" w:cs="Arial"/>
          <w:sz w:val="21"/>
          <w:szCs w:val="21"/>
        </w:rPr>
      </w:pPr>
      <w:r w:rsidRPr="00BE50C7">
        <w:rPr>
          <w:rFonts w:ascii="Verdana" w:hAnsi="Verdana" w:cs="Arial"/>
          <w:sz w:val="21"/>
          <w:szCs w:val="21"/>
        </w:rPr>
        <w:t>Lo anterior, debido a que en un proceso de contratación de OPS por convocatoria pública con el DANE,</w:t>
      </w:r>
      <w:r>
        <w:rPr>
          <w:rFonts w:ascii="Verdana" w:hAnsi="Verdana" w:cs="Arial"/>
          <w:sz w:val="21"/>
          <w:szCs w:val="21"/>
        </w:rPr>
        <w:t xml:space="preserve"> </w:t>
      </w:r>
      <w:r w:rsidRPr="00BE50C7">
        <w:rPr>
          <w:rFonts w:ascii="Verdana" w:hAnsi="Verdana" w:cs="Arial"/>
          <w:sz w:val="21"/>
          <w:szCs w:val="21"/>
        </w:rPr>
        <w:t>la entidad se ha negado a admitir dicho documento, alegando que es válido para personas que accedan asu primer empleo y porque yo ya había trabajado antes en el sector privado, desconociendo que el</w:t>
      </w:r>
      <w:r>
        <w:rPr>
          <w:rFonts w:ascii="Verdana" w:hAnsi="Verdana" w:cs="Arial"/>
          <w:sz w:val="21"/>
          <w:szCs w:val="21"/>
        </w:rPr>
        <w:t xml:space="preserve"> </w:t>
      </w:r>
      <w:r w:rsidRPr="00BE50C7">
        <w:rPr>
          <w:rFonts w:ascii="Verdana" w:hAnsi="Verdana" w:cs="Arial"/>
          <w:sz w:val="21"/>
          <w:szCs w:val="21"/>
        </w:rPr>
        <w:t>beneficio es para mayores de 24 años (que es la edad máxima de incorporación a las filas)</w:t>
      </w:r>
      <w:r w:rsidRPr="00881D8B">
        <w:rPr>
          <w:rFonts w:ascii="Verdana" w:eastAsia="Calibri" w:hAnsi="Verdana" w:cs="Arial"/>
          <w:sz w:val="21"/>
          <w:szCs w:val="21"/>
          <w:lang w:val="es-ES" w:eastAsia="es-ES"/>
        </w:rPr>
        <w:t>.” (sic).</w:t>
      </w:r>
    </w:p>
    <w:p w14:paraId="2EAB88BC" w14:textId="77777777" w:rsidR="00441178" w:rsidRPr="00881D8B" w:rsidRDefault="00441178" w:rsidP="00441178">
      <w:pPr>
        <w:pStyle w:val="Prrafodelista"/>
        <w:tabs>
          <w:tab w:val="left" w:pos="142"/>
          <w:tab w:val="left" w:pos="284"/>
        </w:tabs>
        <w:spacing w:line="276" w:lineRule="auto"/>
        <w:ind w:left="0"/>
        <w:jc w:val="both"/>
        <w:rPr>
          <w:rFonts w:ascii="Verdana" w:eastAsia="Century Gothic" w:hAnsi="Verdana" w:cs="Century Gothic"/>
          <w:b/>
          <w:bCs/>
        </w:rPr>
      </w:pPr>
    </w:p>
    <w:p w14:paraId="05A9709D" w14:textId="77777777" w:rsidR="00441178" w:rsidRPr="00881D8B" w:rsidRDefault="00441178" w:rsidP="00441178">
      <w:pPr>
        <w:spacing w:after="120" w:line="276" w:lineRule="auto"/>
        <w:ind w:firstLine="709"/>
        <w:jc w:val="both"/>
        <w:rPr>
          <w:rFonts w:ascii="Verdana" w:eastAsia="Calibri" w:hAnsi="Verdana" w:cs="Arial"/>
          <w:szCs w:val="24"/>
          <w:lang w:val="es-ES_tradnl" w:eastAsia="es-ES_tradnl"/>
        </w:rPr>
      </w:pPr>
      <w:r w:rsidRPr="00881D8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81D8B">
        <w:rPr>
          <w:rFonts w:ascii="Verdana" w:eastAsia="Calibri" w:hAnsi="Verdana" w:cs="Arial"/>
          <w:szCs w:val="24"/>
          <w:lang w:val="es-ES_tradnl" w:eastAsia="es-ES_tradnl"/>
        </w:rPr>
        <w:tab/>
      </w:r>
    </w:p>
    <w:p w14:paraId="5051E21E" w14:textId="77777777" w:rsidR="00441178" w:rsidRPr="00881D8B" w:rsidRDefault="00441178" w:rsidP="00441178">
      <w:pPr>
        <w:spacing w:after="0" w:line="276" w:lineRule="auto"/>
        <w:ind w:firstLine="709"/>
        <w:jc w:val="both"/>
        <w:rPr>
          <w:rFonts w:ascii="Verdana" w:eastAsia="Calibri" w:hAnsi="Verdana" w:cs="Arial"/>
          <w:lang w:val="es-ES" w:eastAsia="es-ES"/>
        </w:rPr>
      </w:pPr>
      <w:r w:rsidRPr="00881D8B">
        <w:rPr>
          <w:rFonts w:ascii="Verdana" w:eastAsia="Calibri" w:hAnsi="Verdana" w:cs="Arial"/>
          <w:lang w:val="es-ES" w:eastAsia="es-ES"/>
        </w:rPr>
        <w:lastRenderedPageBreak/>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05C83BE" w14:textId="77777777" w:rsidR="00441178" w:rsidRPr="00881D8B" w:rsidRDefault="00441178" w:rsidP="00441178">
      <w:pPr>
        <w:spacing w:after="0" w:line="276" w:lineRule="auto"/>
        <w:ind w:firstLine="709"/>
        <w:jc w:val="both"/>
        <w:rPr>
          <w:rFonts w:ascii="Verdana" w:eastAsia="Calibri" w:hAnsi="Verdana" w:cs="Arial"/>
          <w:lang w:val="es-ES" w:eastAsia="es-ES"/>
        </w:rPr>
      </w:pPr>
    </w:p>
    <w:p w14:paraId="283710FA" w14:textId="77777777" w:rsidR="00441178" w:rsidRPr="00881D8B" w:rsidRDefault="00441178" w:rsidP="00441178">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881D8B">
        <w:rPr>
          <w:rFonts w:ascii="Verdana" w:eastAsia="Century Gothic" w:hAnsi="Verdana" w:cs="Century Gothic"/>
          <w:b/>
          <w:bCs/>
        </w:rPr>
        <w:t>Problema planteado:</w:t>
      </w:r>
    </w:p>
    <w:p w14:paraId="63931186" w14:textId="77777777" w:rsidR="00441178" w:rsidRPr="00881D8B" w:rsidRDefault="00441178" w:rsidP="00441178">
      <w:pPr>
        <w:tabs>
          <w:tab w:val="left" w:pos="426"/>
        </w:tabs>
        <w:spacing w:after="0" w:line="276" w:lineRule="auto"/>
        <w:jc w:val="both"/>
        <w:rPr>
          <w:rFonts w:ascii="Verdana" w:eastAsia="Century Gothic" w:hAnsi="Verdana" w:cs="Century Gothic"/>
          <w:lang w:val="es-ES"/>
        </w:rPr>
      </w:pPr>
    </w:p>
    <w:p w14:paraId="1C141F31" w14:textId="77777777" w:rsidR="00441178" w:rsidRPr="00881D8B" w:rsidRDefault="00441178" w:rsidP="00441178">
      <w:pPr>
        <w:spacing w:after="0" w:line="276" w:lineRule="auto"/>
        <w:jc w:val="both"/>
        <w:rPr>
          <w:rFonts w:ascii="Verdana" w:eastAsia="Century Gothic" w:hAnsi="Verdana" w:cs="Century Gothic"/>
        </w:rPr>
      </w:pPr>
      <w:r w:rsidRPr="00881D8B">
        <w:rPr>
          <w:rFonts w:ascii="Verdana" w:eastAsia="Century Gothic" w:hAnsi="Verdana" w:cs="Century Gothic"/>
        </w:rPr>
        <w:t xml:space="preserve">De acuerdo con el contenido de su solicitud, esta Agencia resolverá el siguiente problema jurídico: </w:t>
      </w:r>
      <w:r>
        <w:rPr>
          <w:rFonts w:ascii="Verdana" w:eastAsia="Century Gothic" w:hAnsi="Verdana" w:cs="Century Gothic"/>
        </w:rPr>
        <w:t>¿Con que documento se certifica</w:t>
      </w:r>
      <w:r w:rsidRPr="00881D8B">
        <w:rPr>
          <w:rFonts w:ascii="Verdana" w:eastAsia="Century Gothic" w:hAnsi="Verdana" w:cs="Century Gothic"/>
        </w:rPr>
        <w:t xml:space="preserve"> </w:t>
      </w:r>
      <w:r>
        <w:rPr>
          <w:rFonts w:ascii="Verdana" w:eastAsia="Century Gothic" w:hAnsi="Verdana" w:cs="Century Gothic"/>
        </w:rPr>
        <w:t>la situación militar para poder suscribir un contrato con el Estado?</w:t>
      </w:r>
    </w:p>
    <w:p w14:paraId="4AFD68A7" w14:textId="77777777" w:rsidR="00441178" w:rsidRPr="00881D8B" w:rsidRDefault="00441178" w:rsidP="00441178">
      <w:pPr>
        <w:spacing w:after="0" w:line="276" w:lineRule="auto"/>
        <w:jc w:val="both"/>
        <w:rPr>
          <w:rFonts w:ascii="Verdana" w:eastAsia="Calibri" w:hAnsi="Verdana" w:cs="Arial"/>
          <w:lang w:val="es-ES"/>
        </w:rPr>
      </w:pPr>
    </w:p>
    <w:p w14:paraId="76A49DF0" w14:textId="77777777" w:rsidR="00441178" w:rsidRPr="00881D8B" w:rsidRDefault="00441178" w:rsidP="0044117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81D8B">
        <w:rPr>
          <w:rFonts w:ascii="Verdana" w:eastAsia="Century Gothic" w:hAnsi="Verdana" w:cs="Century Gothic"/>
          <w:b/>
          <w:bCs/>
        </w:rPr>
        <w:t>Respuesta:</w:t>
      </w:r>
    </w:p>
    <w:p w14:paraId="244C0723" w14:textId="77777777" w:rsidR="00441178" w:rsidRPr="00881D8B" w:rsidRDefault="00441178" w:rsidP="0044117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41178" w:rsidRPr="00203EBB" w14:paraId="057DF9B2" w14:textId="77777777" w:rsidTr="00C65060">
        <w:tc>
          <w:tcPr>
            <w:tcW w:w="8828" w:type="dxa"/>
            <w:shd w:val="clear" w:color="auto" w:fill="auto"/>
          </w:tcPr>
          <w:p w14:paraId="13BA8270" w14:textId="77777777" w:rsidR="00441178" w:rsidRPr="00203EBB" w:rsidRDefault="00441178" w:rsidP="00C65060">
            <w:pPr>
              <w:tabs>
                <w:tab w:val="left" w:pos="0"/>
              </w:tabs>
              <w:spacing w:after="120" w:line="276" w:lineRule="auto"/>
              <w:jc w:val="both"/>
              <w:rPr>
                <w:rFonts w:ascii="Verdana" w:eastAsia="Century Gothic" w:hAnsi="Verdana" w:cs="Century Gothic"/>
              </w:rPr>
            </w:pPr>
            <w:r>
              <w:rPr>
                <w:rFonts w:ascii="Verdana" w:eastAsia="Century Gothic" w:hAnsi="Verdana" w:cs="Century Gothic"/>
              </w:rPr>
              <w:t>L</w:t>
            </w:r>
            <w:r w:rsidRPr="00E947BD">
              <w:rPr>
                <w:rFonts w:ascii="Verdana" w:eastAsia="Century Gothic" w:hAnsi="Verdana" w:cs="Century Gothic"/>
              </w:rPr>
              <w:t>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w:t>
            </w:r>
            <w:r w:rsidRPr="00E947BD">
              <w:rPr>
                <w:rFonts w:ascii="Verdana" w:eastAsia="Century Gothic" w:hAnsi="Verdana" w:cs="Century Gothic"/>
              </w:rPr>
              <w:footnoteReference w:id="2"/>
            </w:r>
            <w:r w:rsidRPr="00E947BD">
              <w:rPr>
                <w:rFonts w:ascii="Verdana" w:eastAsia="Century Gothic" w:hAnsi="Verdana" w:cs="Century Gothic"/>
              </w:rPr>
              <w:t xml:space="preserve">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p w14:paraId="752AC96B" w14:textId="77777777" w:rsidR="00441178" w:rsidRPr="00203EBB" w:rsidRDefault="00441178" w:rsidP="00C65060">
            <w:pPr>
              <w:spacing w:after="120" w:line="276" w:lineRule="auto"/>
              <w:jc w:val="both"/>
              <w:rPr>
                <w:rFonts w:ascii="Verdana" w:eastAsia="Century Gothic" w:hAnsi="Verdana" w:cs="Century Gothic"/>
              </w:rPr>
            </w:pPr>
            <w:r w:rsidRPr="00203EBB">
              <w:rPr>
                <w:rFonts w:ascii="Verdana" w:eastAsia="Century Gothic" w:hAnsi="Verdana" w:cs="Century Gothic"/>
              </w:rPr>
              <w:lastRenderedPageBreak/>
              <w:t xml:space="preserve">Por otra parte, el inciso segundo del artículo 42 de la Ley 1861 de 2017 permitió el acceso temporal al trabajo a quienes no hayan definido su situación militar, pero hayan sido declaradas no aptas, exentas o hayan superado la edad máxima de incorporación a filas. Adicionalmente, dicho beneficio se les aplicó a las personas aptas pero exoneradas de pagar la cuota de compensación militar, en virtud de lo resuelto en la sentencia de la Corte Constitucional C-277 de 2019. </w:t>
            </w:r>
          </w:p>
        </w:tc>
      </w:tr>
    </w:tbl>
    <w:p w14:paraId="4CE0E3D3" w14:textId="77777777" w:rsidR="00441178" w:rsidRPr="00881D8B" w:rsidRDefault="00441178" w:rsidP="00441178">
      <w:pPr>
        <w:tabs>
          <w:tab w:val="left" w:pos="142"/>
          <w:tab w:val="left" w:pos="284"/>
        </w:tabs>
        <w:spacing w:after="0" w:line="276" w:lineRule="auto"/>
        <w:jc w:val="both"/>
        <w:rPr>
          <w:rFonts w:ascii="Verdana" w:eastAsia="Century Gothic" w:hAnsi="Verdana" w:cs="Century Gothic"/>
          <w:b/>
          <w:bCs/>
          <w:lang w:val="es-ES"/>
        </w:rPr>
      </w:pPr>
    </w:p>
    <w:p w14:paraId="6A90FE66" w14:textId="77777777" w:rsidR="00441178" w:rsidRDefault="00441178" w:rsidP="00441178">
      <w:pPr>
        <w:spacing w:after="120" w:line="276" w:lineRule="auto"/>
        <w:ind w:firstLine="708"/>
        <w:jc w:val="both"/>
        <w:rPr>
          <w:rFonts w:ascii="Century Gothic" w:hAnsi="Century Gothic" w:cs="Arial"/>
          <w:color w:val="000000" w:themeColor="text1"/>
        </w:rPr>
      </w:pPr>
      <w:r w:rsidRPr="00881D8B">
        <w:rPr>
          <w:rFonts w:ascii="Verdana" w:eastAsia="Century Gothic" w:hAnsi="Verdana" w:cs="Century Gothic"/>
          <w:b/>
          <w:bCs/>
        </w:rPr>
        <w:t>Razones de la respuesta:</w:t>
      </w:r>
      <w:r w:rsidRPr="00993749">
        <w:rPr>
          <w:rFonts w:ascii="Century Gothic" w:hAnsi="Century Gothic" w:cs="Arial"/>
          <w:color w:val="000000" w:themeColor="text1"/>
        </w:rPr>
        <w:t xml:space="preserve"> </w:t>
      </w:r>
    </w:p>
    <w:p w14:paraId="577C8CB5" w14:textId="77777777" w:rsidR="00441178" w:rsidRDefault="00441178" w:rsidP="00441178">
      <w:pPr>
        <w:spacing w:after="120" w:line="276" w:lineRule="auto"/>
        <w:ind w:firstLine="708"/>
        <w:jc w:val="both"/>
        <w:rPr>
          <w:rFonts w:ascii="Century Gothic" w:hAnsi="Century Gothic" w:cs="Arial"/>
          <w:color w:val="000000" w:themeColor="text1"/>
        </w:rPr>
      </w:pPr>
      <w:r w:rsidRPr="00881D8B">
        <w:rPr>
          <w:rFonts w:ascii="Verdana" w:eastAsia="Calibri" w:hAnsi="Verdana" w:cs="Arial"/>
          <w:lang w:val="es-ES"/>
        </w:rPr>
        <w:t>Lo anterior se sustenta en las siguientes consideraciones:</w:t>
      </w:r>
    </w:p>
    <w:p w14:paraId="602EED0B" w14:textId="77777777" w:rsidR="00441178" w:rsidRPr="00953F42" w:rsidRDefault="00441178" w:rsidP="00441178">
      <w:pPr>
        <w:pStyle w:val="Prrafodelista"/>
        <w:numPr>
          <w:ilvl w:val="0"/>
          <w:numId w:val="15"/>
        </w:numPr>
        <w:spacing w:after="120" w:line="276" w:lineRule="auto"/>
        <w:jc w:val="both"/>
        <w:rPr>
          <w:rFonts w:ascii="Verdana" w:eastAsia="Century Gothic" w:hAnsi="Verdana" w:cs="Century Gothic"/>
        </w:rPr>
      </w:pPr>
      <w:r w:rsidRPr="00953F42">
        <w:rPr>
          <w:rFonts w:ascii="Verdana" w:eastAsia="Century Gothic" w:hAnsi="Verdana" w:cs="Century Gothic"/>
        </w:rPr>
        <w:t>En la actualidad, la Ley 1861 de 2017 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0348B16A"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Pr>
          <w:rFonts w:ascii="Verdana" w:eastAsia="Century Gothic" w:hAnsi="Verdana" w:cs="Century Gothic"/>
        </w:rPr>
        <w:t>N</w:t>
      </w:r>
      <w:r w:rsidRPr="00EB01B5">
        <w:rPr>
          <w:rFonts w:ascii="Verdana" w:eastAsia="Century Gothic" w:hAnsi="Verdana" w:cs="Century Gothic"/>
        </w:rPr>
        <w:t xml:space="preserve">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w:t>
      </w:r>
      <w:bookmarkStart w:id="4" w:name="_Hlk143791252"/>
    </w:p>
    <w:p w14:paraId="16CAF0FF"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EB01B5">
        <w:rPr>
          <w:rFonts w:ascii="Verdana" w:eastAsia="Century Gothic" w:hAnsi="Verdana" w:cs="Century Gothic"/>
        </w:rPr>
        <w:t xml:space="preserve">De igual forma, </w:t>
      </w:r>
      <w:bookmarkStart w:id="5" w:name="_Hlk143964974"/>
      <w:r w:rsidRPr="00EB01B5">
        <w:rPr>
          <w:rFonts w:ascii="Verdana" w:eastAsia="Century Gothic" w:hAnsi="Verdana" w:cs="Century Gothic"/>
        </w:rPr>
        <w:t xml:space="preserve">el artículo 12 de la Ley 1861 de 2017 contempló dieciséis (16) causales de exoneración para prestar el servicio militar obligatorio. Ahora bien, pese a que eventualmente existiera una causal de exoneración, de conformidad con el artículo 11 ibidem, todo “varón colombiano” deberá definir su situación militar, a partir de la fecha que cumpla su mayoría de edad y hasta el día en que cumpla 50 años. </w:t>
      </w:r>
      <w:bookmarkEnd w:id="4"/>
      <w:bookmarkEnd w:id="5"/>
    </w:p>
    <w:p w14:paraId="028C370B"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1706BC">
        <w:rPr>
          <w:rFonts w:ascii="Verdana" w:eastAsia="Century Gothic" w:hAnsi="Verdana" w:cs="Century Gothic"/>
        </w:rPr>
        <w:t xml:space="preserve">El trámite para la definición de la situación militar inicia con la inscripción que realiza la Organización de Reclutamiento y </w:t>
      </w:r>
      <w:r w:rsidRPr="001706BC">
        <w:rPr>
          <w:rFonts w:ascii="Verdana" w:eastAsia="Century Gothic" w:hAnsi="Verdana" w:cs="Century Gothic"/>
        </w:rPr>
        <w:lastRenderedPageBreak/>
        <w:t>Movilización</w:t>
      </w:r>
      <w:r w:rsidRPr="00E27851">
        <w:footnoteReference w:id="3"/>
      </w:r>
      <w:r w:rsidRPr="001706BC">
        <w:rPr>
          <w:rFonts w:ascii="Verdana" w:eastAsia="Century Gothic" w:hAnsi="Verdana" w:cs="Century Gothic"/>
        </w:rPr>
        <w:t xml:space="preserve"> y culmina con el pago de la cuota de compensación militar, cuando no se está exonerado de esta</w:t>
      </w:r>
      <w:r w:rsidRPr="002A65BB">
        <w:rPr>
          <w:vertAlign w:val="subscript"/>
        </w:rPr>
        <w:footnoteReference w:id="4"/>
      </w:r>
      <w:r w:rsidRPr="002A65BB">
        <w:rPr>
          <w:rFonts w:ascii="Verdana" w:eastAsia="Century Gothic" w:hAnsi="Verdana" w:cs="Century Gothic"/>
          <w:vertAlign w:val="subscript"/>
        </w:rPr>
        <w:t>.</w:t>
      </w:r>
      <w:r w:rsidRPr="001706BC">
        <w:rPr>
          <w:rFonts w:ascii="Verdana" w:eastAsia="Century Gothic" w:hAnsi="Verdana" w:cs="Century Gothic"/>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14:paraId="5828414A"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1706BC">
        <w:rPr>
          <w:rFonts w:ascii="Verdana" w:eastAsia="Century Gothic" w:hAnsi="Verdana" w:cs="Century Gothic"/>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en el cual el ciudadano podrá obtener un certificado en línea que acredite el inicio del proceso. Nótese que el artículo 2.3.1.4.3.1. del Decreto 1070 de 2015, modificado por el Decreto 977 de 2018, dispone que el ciudadano, al momento de la inscripción para definir su situación militar, debe allegar como mínimo, entre otros documentos descritos en el citado artículo, los soportes documentales que acrediten que se está incurso en alguna de las causales de exoneración, de lo cual se concluye que aun cuando se configure alguna de las circunstancias señaladas en el artículo 12 de la Ley 1861 de 2017 es obligatorio definir la situación militar. </w:t>
      </w:r>
    </w:p>
    <w:p w14:paraId="1B5D98BE"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3304E0">
        <w:rPr>
          <w:rFonts w:ascii="Verdana" w:eastAsia="Century Gothic" w:hAnsi="Verdana" w:cs="Century Gothic"/>
        </w:rPr>
        <w:t xml:space="preserve">De esta manera, una vez se culmine con el trámite previsto en el Capítulo 4 del Título I de la Parte 3 del Libro 2 del Decreto 1070 de 2015, modificado por el Decreto 977 de 2018, </w:t>
      </w:r>
      <w:bookmarkStart w:id="6" w:name="_Hlk143964998"/>
      <w:r w:rsidRPr="003304E0">
        <w:rPr>
          <w:rFonts w:ascii="Verdana" w:eastAsia="Century Gothic" w:hAnsi="Verdana" w:cs="Century Gothic"/>
        </w:rPr>
        <w:t>se entiende que la situación militar se acredita resuelta o definida cuando el ciudadano posee tarjeta de reservista militar –de primera o segunda clase</w:t>
      </w:r>
      <w:r w:rsidRPr="003304E0">
        <w:rPr>
          <w:rFonts w:ascii="Verdana" w:eastAsia="Century Gothic" w:hAnsi="Verdana" w:cs="Century Gothic"/>
        </w:rPr>
        <w:softHyphen/>
        <w:t xml:space="preserve">–, </w:t>
      </w:r>
      <w:r w:rsidRPr="003304E0">
        <w:rPr>
          <w:rFonts w:ascii="Verdana" w:eastAsia="Century Gothic" w:hAnsi="Verdana" w:cs="Century Gothic"/>
        </w:rPr>
        <w:lastRenderedPageBreak/>
        <w:t>el certificado digital o cédula militar de que tratan los artículos 35, 40</w:t>
      </w:r>
      <w:r w:rsidRPr="006D570B">
        <w:rPr>
          <w:vertAlign w:val="subscript"/>
        </w:rPr>
        <w:footnoteReference w:id="5"/>
      </w:r>
      <w:r w:rsidRPr="006D570B">
        <w:rPr>
          <w:rFonts w:ascii="Verdana" w:eastAsia="Century Gothic" w:hAnsi="Verdana" w:cs="Century Gothic"/>
          <w:vertAlign w:val="subscript"/>
        </w:rPr>
        <w:t xml:space="preserve"> </w:t>
      </w:r>
      <w:r w:rsidRPr="003304E0">
        <w:rPr>
          <w:rFonts w:ascii="Verdana" w:eastAsia="Century Gothic" w:hAnsi="Verdana" w:cs="Century Gothic"/>
        </w:rPr>
        <w:t>y 41</w:t>
      </w:r>
      <w:r w:rsidRPr="006D570B">
        <w:rPr>
          <w:vertAlign w:val="subscript"/>
        </w:rPr>
        <w:footnoteReference w:id="6"/>
      </w:r>
      <w:r w:rsidRPr="003304E0">
        <w:rPr>
          <w:rFonts w:ascii="Verdana" w:eastAsia="Century Gothic" w:hAnsi="Verdana" w:cs="Century Gothic"/>
        </w:rPr>
        <w:t xml:space="preserve"> de la Ley 1861 de 2017. De acuerdo con el artículo 35 de la citada Ley, la Tarjeta de Reservista Militar o Policial “es el documento con el cual se comprueba que el ciudadano definió su situación militar”, y el artículo 37 ibidem dispone que la Tarjeta de Reservista Militar o Policial de Segunda Clase “es el documento que se otorga al ciudadano que no presta servicio militar por estar incurso en una causal de exoneración o inhabilidad, de conformidad con lo establecido en el artículo 12 de la Ley 1861 de 2017</w:t>
      </w:r>
      <w:bookmarkStart w:id="7" w:name="_Hlk122095538"/>
      <w:bookmarkEnd w:id="6"/>
      <w:r w:rsidRPr="003304E0">
        <w:rPr>
          <w:rFonts w:ascii="Verdana" w:eastAsia="Century Gothic" w:hAnsi="Verdana" w:cs="Century Gothic"/>
        </w:rPr>
        <w:t>.</w:t>
      </w:r>
      <w:bookmarkStart w:id="8" w:name="_Hlk143965046"/>
      <w:bookmarkEnd w:id="7"/>
    </w:p>
    <w:p w14:paraId="70B967DE"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3304E0">
        <w:rPr>
          <w:rFonts w:ascii="Verdana" w:eastAsia="Century Gothic" w:hAnsi="Verdana" w:cs="Century Gothic"/>
        </w:rPr>
        <w:t>Por otra parte, el artículo 42 de la Ley 1861 de 2017 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w:t>
      </w:r>
      <w:bookmarkEnd w:id="8"/>
    </w:p>
    <w:p w14:paraId="13D2AE5B"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3304E0">
        <w:rPr>
          <w:rFonts w:ascii="Verdana" w:eastAsia="Century Gothic" w:hAnsi="Verdana" w:cs="Century Gothic"/>
        </w:rPr>
        <w:t>En relación con este punto, la Circular Externa Única expedida por la Agencia Nacional de Contratación Pública – Colombia Compra Eficiente señaló que es deber de las Entidades Públicas verificar que la situación militar del futuro contratista se encuentre definida para efectos de la celebración del contrato de prestación de servicios</w:t>
      </w:r>
      <w:r w:rsidRPr="002A65BB">
        <w:rPr>
          <w:vertAlign w:val="subscript"/>
        </w:rPr>
        <w:footnoteReference w:id="7"/>
      </w:r>
      <w:r w:rsidRPr="003304E0">
        <w:rPr>
          <w:rFonts w:ascii="Verdana" w:eastAsia="Century Gothic" w:hAnsi="Verdana" w:cs="Century Gothic"/>
        </w:rPr>
        <w:t>.</w:t>
      </w:r>
    </w:p>
    <w:p w14:paraId="14779288"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9466BA">
        <w:rPr>
          <w:rFonts w:ascii="Verdana" w:eastAsia="Century Gothic" w:hAnsi="Verdana" w:cs="Century Gothic"/>
        </w:rPr>
        <w:lastRenderedPageBreak/>
        <w:t xml:space="preserve">Sin embargo, </w:t>
      </w:r>
      <w:bookmarkStart w:id="9" w:name="_Hlk143965057"/>
      <w:r w:rsidRPr="009466BA">
        <w:rPr>
          <w:rFonts w:ascii="Verdana" w:eastAsia="Century Gothic" w:hAnsi="Verdana" w:cs="Century Gothic"/>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9"/>
      <w:r w:rsidRPr="002A65BB">
        <w:rPr>
          <w:vertAlign w:val="subscript"/>
        </w:rPr>
        <w:footnoteReference w:id="8"/>
      </w:r>
      <w:r w:rsidRPr="002A65BB">
        <w:rPr>
          <w:rFonts w:ascii="Verdana" w:eastAsia="Century Gothic" w:hAnsi="Verdana" w:cs="Century Gothic"/>
          <w:vertAlign w:val="subscript"/>
        </w:rPr>
        <w:t>.</w:t>
      </w:r>
      <w:r w:rsidRPr="009466BA">
        <w:rPr>
          <w:rFonts w:ascii="Verdana" w:eastAsia="Century Gothic" w:hAnsi="Verdana" w:cs="Century Gothic"/>
        </w:rPr>
        <w:t xml:space="preserve"> </w:t>
      </w:r>
    </w:p>
    <w:p w14:paraId="4A3D2B18"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D33A2B">
        <w:rPr>
          <w:rFonts w:ascii="Verdana" w:eastAsia="Century Gothic" w:hAnsi="Verdana" w:cs="Century Gothic"/>
        </w:rPr>
        <w:t>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 En lo pertinente, la disposición citada establece:</w:t>
      </w:r>
    </w:p>
    <w:p w14:paraId="27AB20B2" w14:textId="77777777" w:rsidR="00441178" w:rsidRDefault="00441178" w:rsidP="00441178">
      <w:pPr>
        <w:pStyle w:val="Prrafodelista"/>
        <w:spacing w:after="120" w:line="276" w:lineRule="auto"/>
        <w:ind w:left="1428"/>
        <w:jc w:val="both"/>
        <w:rPr>
          <w:rFonts w:ascii="Verdana" w:eastAsia="Century Gothic" w:hAnsi="Verdana" w:cs="Century Gothic"/>
        </w:rPr>
      </w:pPr>
    </w:p>
    <w:p w14:paraId="6B12127F" w14:textId="77777777" w:rsidR="00441178" w:rsidRPr="00D33A2B" w:rsidRDefault="00441178" w:rsidP="00441178">
      <w:pPr>
        <w:pStyle w:val="Prrafodelista"/>
        <w:spacing w:after="120" w:line="276" w:lineRule="auto"/>
        <w:ind w:left="1428"/>
        <w:jc w:val="both"/>
        <w:rPr>
          <w:rFonts w:ascii="Verdana" w:eastAsia="Century Gothic" w:hAnsi="Verdana" w:cs="Century Gothic"/>
        </w:rPr>
      </w:pPr>
      <w:r w:rsidRPr="00D33A2B">
        <w:rPr>
          <w:rFonts w:ascii="Verdana" w:eastAsia="Century Gothic" w:hAnsi="Verdana" w:cs="Century Gothic"/>
        </w:rPr>
        <w:t>“[…]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 […]”. [Énfasis fuera de texto]</w:t>
      </w:r>
    </w:p>
    <w:p w14:paraId="2F5C7711" w14:textId="77777777" w:rsidR="00441178" w:rsidRPr="00A47318" w:rsidRDefault="00441178" w:rsidP="00441178">
      <w:pPr>
        <w:pStyle w:val="Prrafodelista"/>
        <w:numPr>
          <w:ilvl w:val="0"/>
          <w:numId w:val="15"/>
        </w:numPr>
        <w:spacing w:line="276" w:lineRule="auto"/>
        <w:jc w:val="both"/>
        <w:rPr>
          <w:rFonts w:ascii="Verdana" w:eastAsia="Century Gothic" w:hAnsi="Verdana" w:cs="Century Gothic"/>
        </w:rPr>
      </w:pPr>
      <w:r w:rsidRPr="00A47318">
        <w:rPr>
          <w:rFonts w:ascii="Verdana" w:eastAsia="Century Gothic" w:hAnsi="Verdana" w:cs="Century Gothic"/>
        </w:rPr>
        <w:lastRenderedPageBreak/>
        <w:t xml:space="preserve">Conforme con lo anterior, la regla general es que todos los ciudadanos deben acreditar su situación militar para acceder a un trabajo, sin embargo, la norma permite excepcionalmente que algunas personas puedan acceder temporalmente al trabajo mientras definen su situación militar. De esta forma los beneficiarios de esta excepción cuentan con un plazo de dieciocho (18) meses como una suerte de tiempo de gracia, durante el cual podrán definir su situación militar estando vinculados laboral o contractualmente con una Entidad Pública o privada. </w:t>
      </w:r>
    </w:p>
    <w:p w14:paraId="0950946E"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A47318">
        <w:rPr>
          <w:rFonts w:ascii="Verdana" w:eastAsia="Century Gothic" w:hAnsi="Verdana" w:cs="Century Gothic"/>
        </w:rPr>
        <w:t xml:space="preserve">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 razón por la cual resulta pertinente determinar la conformación de cada grupo. </w:t>
      </w:r>
    </w:p>
    <w:p w14:paraId="735AFDD9"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A47318">
        <w:rPr>
          <w:rFonts w:ascii="Verdana" w:eastAsia="Century Gothic" w:hAnsi="Verdana" w:cs="Century Gothic"/>
        </w:rPr>
        <w:t>En relación con el primero –esto es, respecto a las personas no aptas–, de lo establecido en el artículo 18 de la Ley 1861 de 2017 se desprende que son aquellos inscritos que no tienen las condiciones psicofísicas adecuadas, que le impiden desarrollar eficientemente la actividad militar.</w:t>
      </w:r>
    </w:p>
    <w:p w14:paraId="04C96F63" w14:textId="77777777" w:rsidR="00441178" w:rsidRDefault="00441178" w:rsidP="00441178">
      <w:pPr>
        <w:pStyle w:val="Prrafodelista"/>
        <w:numPr>
          <w:ilvl w:val="0"/>
          <w:numId w:val="15"/>
        </w:numPr>
        <w:spacing w:after="120" w:line="276" w:lineRule="auto"/>
        <w:jc w:val="both"/>
        <w:rPr>
          <w:rFonts w:ascii="Verdana" w:eastAsia="Century Gothic" w:hAnsi="Verdana" w:cs="Century Gothic"/>
        </w:rPr>
      </w:pPr>
      <w:r w:rsidRPr="00A47318">
        <w:rPr>
          <w:rFonts w:ascii="Verdana" w:eastAsia="Century Gothic" w:hAnsi="Verdana" w:cs="Century Gothic"/>
        </w:rPr>
        <w:t>En segundo lugar, la Corte Constitucional</w:t>
      </w:r>
      <w:r w:rsidRPr="00E27851">
        <w:footnoteReference w:id="9"/>
      </w:r>
      <w:r w:rsidRPr="00A47318">
        <w:rPr>
          <w:rFonts w:ascii="Verdana" w:eastAsia="Century Gothic" w:hAnsi="Verdana" w:cs="Century Gothic"/>
        </w:rPr>
        <w:t xml:space="preserve"> señaló que las personas exentas son aquellas que por cualquier razón hubieran sido declaradas libres de prestar el servicio militar. Esta definición fue incluida en la sentencia citada, al concluir que uno de los cargos estaba relacionado con que las personas aptas no seleccionadas que estuviesen impedidas para acceder al beneficio laboral previsto en el inciso 2 del artículo 42. En la decisión judicial en comento, la Corte precisó que el cargo carecía de certeza, porque en dicha disposición no existía una definición de la palabra “exentos”, lo que, de conformidad con los artículos 28 a 30 del Código Civil, debía entenderse en su sentido natural. De lo anterior se desprende que </w:t>
      </w:r>
      <w:r w:rsidRPr="00A47318">
        <w:rPr>
          <w:rFonts w:ascii="Verdana" w:eastAsia="Century Gothic" w:hAnsi="Verdana" w:cs="Century Gothic"/>
        </w:rPr>
        <w:lastRenderedPageBreak/>
        <w:t xml:space="preserve">la Corte concluyó que “exentos” son todas las personas que fueron “liberadas” por cualquier causa, del deber de prestar el servicio militar obligatorio. En este sentido, se incluyen incluso a los aptos no seleccionados. </w:t>
      </w:r>
    </w:p>
    <w:p w14:paraId="3EC2DEB0" w14:textId="77777777" w:rsidR="00441178" w:rsidRPr="00A47318" w:rsidRDefault="00441178" w:rsidP="00441178">
      <w:pPr>
        <w:pStyle w:val="Prrafodelista"/>
        <w:numPr>
          <w:ilvl w:val="0"/>
          <w:numId w:val="15"/>
        </w:numPr>
        <w:spacing w:after="120" w:line="276" w:lineRule="auto"/>
        <w:jc w:val="both"/>
        <w:rPr>
          <w:rFonts w:ascii="Verdana" w:eastAsia="Century Gothic" w:hAnsi="Verdana" w:cs="Century Gothic"/>
        </w:rPr>
      </w:pPr>
      <w:r>
        <w:rPr>
          <w:rFonts w:ascii="Verdana" w:eastAsia="Century Gothic" w:hAnsi="Verdana" w:cs="Century Gothic"/>
        </w:rPr>
        <w:t>E</w:t>
      </w:r>
      <w:r w:rsidRPr="00A47318">
        <w:rPr>
          <w:rFonts w:ascii="Verdana" w:eastAsia="Century Gothic" w:hAnsi="Verdana" w:cs="Century Gothic"/>
        </w:rPr>
        <w:t xml:space="preserve">n tercer lugar, de acuerdo con lo dispuesto en el parágrafo del artículo 23 de la Ley 1861 de 2017, la edad máxima de incorporación a filas es veinticuatro (24) años, por lo cual en este grupo se excluyen los colombianos declarados aptos desde que cumplen la mayoría de edad y hasta faltando un día para cumplir veinticuatro (24) años de edad. </w:t>
      </w:r>
    </w:p>
    <w:p w14:paraId="54E5E8D8" w14:textId="77777777" w:rsidR="00441178" w:rsidRDefault="00441178" w:rsidP="00441178">
      <w:pPr>
        <w:pStyle w:val="Prrafodelista"/>
        <w:numPr>
          <w:ilvl w:val="0"/>
          <w:numId w:val="15"/>
        </w:numPr>
        <w:tabs>
          <w:tab w:val="left" w:pos="0"/>
        </w:tabs>
        <w:spacing w:after="120" w:line="276" w:lineRule="auto"/>
        <w:jc w:val="both"/>
        <w:rPr>
          <w:rFonts w:ascii="Verdana" w:eastAsia="Century Gothic" w:hAnsi="Verdana" w:cs="Century Gothic"/>
        </w:rPr>
      </w:pPr>
      <w:r w:rsidRPr="00124D0E">
        <w:rPr>
          <w:rFonts w:ascii="Verdana" w:eastAsia="Century Gothic" w:hAnsi="Verdana" w:cs="Century Gothic"/>
        </w:rPr>
        <w:t xml:space="preserve">De conformidad con lo expuesto, las personas que no hayan definido su situación militar pero que hayan sido clasificadas no aptas, exentas, hayan superado la edad máxima de incorporación a filas y aptas pero exoneradas de pagar la cuota de compensación militar, podrán acceder a un trabajo sin definir su situación militar. </w:t>
      </w:r>
      <w:bookmarkStart w:id="10" w:name="_Hlk143965102"/>
      <w:r w:rsidRPr="00124D0E">
        <w:rPr>
          <w:rFonts w:ascii="Verdana" w:eastAsia="Century Gothic" w:hAnsi="Verdana" w:cs="Century Gothic"/>
        </w:rPr>
        <w:t xml:space="preserve">Para tales efectos, el inciso segundo del artículo 42 de la Ley 1861 de 2017 otorgó un plazo de dieciocho (18) meses para definirla, contados a partir de su primera vinculación laboral, exceptuando la contabilización de este término en los casos en que las demoras no le sean imputables al ciudadano. </w:t>
      </w:r>
      <w:bookmarkEnd w:id="10"/>
    </w:p>
    <w:p w14:paraId="13227752" w14:textId="77777777" w:rsidR="00441178" w:rsidRDefault="00441178" w:rsidP="00441178">
      <w:pPr>
        <w:pStyle w:val="Prrafodelista"/>
        <w:numPr>
          <w:ilvl w:val="0"/>
          <w:numId w:val="15"/>
        </w:numPr>
        <w:tabs>
          <w:tab w:val="left" w:pos="0"/>
        </w:tabs>
        <w:spacing w:after="120" w:line="276" w:lineRule="auto"/>
        <w:jc w:val="both"/>
        <w:rPr>
          <w:rFonts w:ascii="Verdana" w:eastAsia="Century Gothic" w:hAnsi="Verdana" w:cs="Century Gothic"/>
        </w:rPr>
      </w:pPr>
      <w:r w:rsidRPr="00304090">
        <w:rPr>
          <w:rFonts w:ascii="Verdana" w:eastAsia="Century Gothic" w:hAnsi="Verdana" w:cs="Century Gothic"/>
        </w:rPr>
        <w:t>En ese orden de ideas, el inciso tercero de esta disposición indicó que quienes accedan a este beneficio deberán gestionar –ante las autoridades de reclutamiento– un certificado provisional en línea que acredite el inicio del trámite de la definición de la situación militar por una única vez, el cual será válido por el término de dieciocho (18) meses. Por su parte, el parágrafo 1 del artículo citado, indica que las personas señaladas que cuentan con una vinculación laboral vigente y no hayan definido su situación militar, deberán hacerlo en los siguientes dieciocho (18) meses contados desde la vigencia de la Ley 1861 de 2017</w:t>
      </w:r>
      <w:r w:rsidRPr="004A2F28">
        <w:rPr>
          <w:vertAlign w:val="subscript"/>
        </w:rPr>
        <w:footnoteReference w:id="10"/>
      </w:r>
      <w:r w:rsidRPr="00304090">
        <w:rPr>
          <w:rFonts w:ascii="Verdana" w:eastAsia="Century Gothic" w:hAnsi="Verdana" w:cs="Century Gothic"/>
        </w:rPr>
        <w:t xml:space="preserve">. </w:t>
      </w:r>
    </w:p>
    <w:p w14:paraId="2C4837E4" w14:textId="77777777" w:rsidR="00441178" w:rsidRPr="00304090" w:rsidRDefault="00441178" w:rsidP="00441178">
      <w:pPr>
        <w:pStyle w:val="Prrafodelista"/>
        <w:numPr>
          <w:ilvl w:val="0"/>
          <w:numId w:val="15"/>
        </w:numPr>
        <w:tabs>
          <w:tab w:val="left" w:pos="0"/>
        </w:tabs>
        <w:spacing w:after="120" w:line="276" w:lineRule="auto"/>
        <w:jc w:val="both"/>
        <w:rPr>
          <w:rFonts w:ascii="Verdana" w:eastAsia="Century Gothic" w:hAnsi="Verdana" w:cs="Century Gothic"/>
        </w:rPr>
      </w:pPr>
      <w:r w:rsidRPr="00304090">
        <w:rPr>
          <w:rFonts w:ascii="Verdana" w:eastAsia="Century Gothic" w:hAnsi="Verdana" w:cs="Century Gothic"/>
        </w:rPr>
        <w:lastRenderedPageBreak/>
        <w:t>De lo anterior se desprende que el plazo de dieciocho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w:t>
      </w:r>
      <w:r w:rsidRPr="00E27851">
        <w:footnoteReference w:id="11"/>
      </w:r>
      <w:r w:rsidRPr="00304090">
        <w:rPr>
          <w:rFonts w:ascii="Verdana" w:eastAsia="Century Gothic" w:hAnsi="Verdana" w:cs="Century Gothic"/>
        </w:rPr>
        <w:t xml:space="preserve"> señaló: </w:t>
      </w:r>
    </w:p>
    <w:p w14:paraId="6994FB05" w14:textId="77777777" w:rsidR="00441178" w:rsidRPr="00E27851" w:rsidRDefault="00441178" w:rsidP="00441178">
      <w:pPr>
        <w:tabs>
          <w:tab w:val="left" w:pos="0"/>
        </w:tabs>
        <w:spacing w:line="276" w:lineRule="auto"/>
        <w:ind w:firstLine="709"/>
        <w:jc w:val="both"/>
        <w:rPr>
          <w:rFonts w:ascii="Verdana" w:eastAsia="Century Gothic" w:hAnsi="Verdana" w:cs="Century Gothic"/>
        </w:rPr>
      </w:pPr>
    </w:p>
    <w:p w14:paraId="136EDCD0" w14:textId="77777777" w:rsidR="00441178" w:rsidRPr="00197C18" w:rsidRDefault="00441178" w:rsidP="00441178">
      <w:pPr>
        <w:ind w:left="709" w:right="709"/>
        <w:jc w:val="both"/>
        <w:rPr>
          <w:rFonts w:ascii="Verdana" w:eastAsia="Century Gothic" w:hAnsi="Verdana" w:cs="Century Gothic"/>
        </w:rPr>
      </w:pPr>
      <w:r w:rsidRPr="00E27851">
        <w:rPr>
          <w:rFonts w:ascii="Verdana" w:eastAsia="Century Gothic" w:hAnsi="Verdana" w:cs="Century Gothic"/>
        </w:rPr>
        <w:t>“El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p>
    <w:p w14:paraId="1F19E3EB" w14:textId="77777777" w:rsidR="00441178" w:rsidRPr="006D702C" w:rsidRDefault="00441178" w:rsidP="00441178">
      <w:pPr>
        <w:spacing w:after="0" w:line="276" w:lineRule="auto"/>
        <w:jc w:val="both"/>
        <w:rPr>
          <w:rFonts w:ascii="Verdana" w:eastAsia="Calibri" w:hAnsi="Verdana" w:cs="Arial"/>
          <w:lang w:val="es-ES"/>
        </w:rPr>
      </w:pPr>
    </w:p>
    <w:p w14:paraId="3F49655E" w14:textId="77777777" w:rsidR="00441178" w:rsidRPr="006D702C" w:rsidRDefault="00441178" w:rsidP="00441178">
      <w:pPr>
        <w:widowControl w:val="0"/>
        <w:autoSpaceDE w:val="0"/>
        <w:autoSpaceDN w:val="0"/>
        <w:spacing w:after="0" w:line="276" w:lineRule="auto"/>
        <w:jc w:val="both"/>
        <w:rPr>
          <w:rFonts w:ascii="Verdana" w:hAnsi="Verdana" w:cs="Arial"/>
        </w:rPr>
      </w:pPr>
    </w:p>
    <w:p w14:paraId="7DC2AD6C" w14:textId="77777777" w:rsidR="00441178" w:rsidRPr="006D702C" w:rsidRDefault="00441178" w:rsidP="0044117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D702C">
        <w:rPr>
          <w:rFonts w:ascii="Verdana" w:eastAsia="Century Gothic" w:hAnsi="Verdana" w:cs="Century Gothic"/>
          <w:b/>
          <w:bCs/>
        </w:rPr>
        <w:t>Referencias normativas, jurisprudenciales y otras fuentes:</w:t>
      </w:r>
    </w:p>
    <w:p w14:paraId="3084061D" w14:textId="77777777" w:rsidR="00441178" w:rsidRPr="00881D8B" w:rsidRDefault="00441178" w:rsidP="0044117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41178" w:rsidRPr="00881D8B" w14:paraId="24797DFB" w14:textId="77777777" w:rsidTr="00C65060">
        <w:trPr>
          <w:trHeight w:val="870"/>
        </w:trPr>
        <w:tc>
          <w:tcPr>
            <w:tcW w:w="8647" w:type="dxa"/>
          </w:tcPr>
          <w:p w14:paraId="53EB665E" w14:textId="77777777" w:rsidR="00441178" w:rsidRPr="00D3515F" w:rsidRDefault="00441178" w:rsidP="00441178">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E27851">
              <w:rPr>
                <w:rFonts w:ascii="Verdana" w:eastAsia="Century Gothic" w:hAnsi="Verdana" w:cs="Century Gothic"/>
              </w:rPr>
              <w:t>Ley 1861 de 2017</w:t>
            </w:r>
            <w:r>
              <w:rPr>
                <w:rFonts w:ascii="Verdana" w:eastAsia="Century Gothic" w:hAnsi="Verdana" w:cs="Century Gothic"/>
              </w:rPr>
              <w:t xml:space="preserve"> artículos 17, 26, 27, 28. 42, </w:t>
            </w:r>
            <w:r w:rsidRPr="001706BC">
              <w:rPr>
                <w:rFonts w:ascii="Verdana" w:eastAsia="Century Gothic" w:hAnsi="Verdana" w:cs="Century Gothic"/>
              </w:rPr>
              <w:t>Decreto 977 de 2018</w:t>
            </w:r>
          </w:p>
          <w:p w14:paraId="08C30A34" w14:textId="77777777" w:rsidR="00441178" w:rsidRPr="00881D8B" w:rsidRDefault="00441178" w:rsidP="00441178">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A47318">
              <w:rPr>
                <w:rFonts w:ascii="Verdana" w:eastAsia="Century Gothic" w:hAnsi="Verdana" w:cs="Century Gothic"/>
              </w:rPr>
              <w:t>Sentencia C-277 del 19 de junio de 2019 la Corte Constitucional</w:t>
            </w:r>
          </w:p>
          <w:p w14:paraId="3D6B2F81" w14:textId="77777777" w:rsidR="00441178" w:rsidRPr="00881D8B" w:rsidRDefault="00441178" w:rsidP="00441178">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881D8B">
              <w:rPr>
                <w:rFonts w:ascii="Verdana" w:hAnsi="Verdana" w:cs="Arial"/>
              </w:rPr>
              <w:t xml:space="preserve">Circular Externa Única del 27 de diciembre de 2023. Disponible en: </w:t>
            </w:r>
            <w:hyperlink r:id="rId12" w:history="1">
              <w:r w:rsidRPr="00881D8B">
                <w:rPr>
                  <w:rStyle w:val="Hipervnculo"/>
                  <w:rFonts w:ascii="Verdana" w:hAnsi="Verdana" w:cs="Arial"/>
                </w:rPr>
                <w:t>https://www.colombiacompra.gov.co/sites/cce_public/files/cce_circulares/circular_externa_unica_version_3_vf49.pdf</w:t>
              </w:r>
            </w:hyperlink>
            <w:r w:rsidRPr="00881D8B">
              <w:rPr>
                <w:rFonts w:ascii="Verdana" w:hAnsi="Verdana" w:cs="Arial"/>
              </w:rPr>
              <w:t xml:space="preserve"> </w:t>
            </w:r>
          </w:p>
          <w:p w14:paraId="540A2DB2" w14:textId="77777777" w:rsidR="00441178" w:rsidRPr="00881D8B" w:rsidRDefault="00441178" w:rsidP="00441178">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881D8B">
              <w:rPr>
                <w:rFonts w:ascii="Verdana" w:hAnsi="Verdana" w:cs="Arial"/>
              </w:rPr>
              <w:t xml:space="preserve">Jurisprudencia del Consejo de Estado. Disponible en: </w:t>
            </w:r>
            <w:hyperlink r:id="rId13" w:history="1">
              <w:r w:rsidRPr="00881D8B">
                <w:rPr>
                  <w:rStyle w:val="Hipervnculo"/>
                  <w:rFonts w:ascii="Verdana" w:hAnsi="Verdana" w:cs="Arial"/>
                </w:rPr>
                <w:t>https://relatoria.colombiacompra.gov.co/providencias-consejo-de-estado/</w:t>
              </w:r>
            </w:hyperlink>
            <w:r w:rsidRPr="00881D8B">
              <w:rPr>
                <w:rFonts w:ascii="Verdana" w:hAnsi="Verdana" w:cs="Arial"/>
              </w:rPr>
              <w:t xml:space="preserve"> </w:t>
            </w:r>
          </w:p>
          <w:p w14:paraId="2587EA98" w14:textId="77777777" w:rsidR="00441178" w:rsidRPr="00881D8B" w:rsidRDefault="00441178" w:rsidP="00441178">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881D8B">
              <w:rPr>
                <w:rFonts w:ascii="Verdana" w:hAnsi="Verdana" w:cs="Arial"/>
              </w:rPr>
              <w:t>Guías y manuales expedidos por la ANCP-CCE. Disponible en:</w:t>
            </w:r>
            <w:r w:rsidRPr="00881D8B">
              <w:rPr>
                <w:rFonts w:ascii="Verdana" w:hAnsi="Verdana"/>
              </w:rPr>
              <w:t xml:space="preserve"> </w:t>
            </w:r>
            <w:hyperlink r:id="rId14" w:history="1">
              <w:r w:rsidRPr="00881D8B">
                <w:rPr>
                  <w:rStyle w:val="Hipervnculo"/>
                  <w:rFonts w:ascii="Verdana" w:hAnsi="Verdana" w:cs="Arial"/>
                </w:rPr>
                <w:t>https://www.colombiacompra.gov.co/manuales-guias-y-pliegos-tipo/manuales-y-guias</w:t>
              </w:r>
            </w:hyperlink>
            <w:r w:rsidRPr="00881D8B">
              <w:rPr>
                <w:rFonts w:ascii="Verdana" w:hAnsi="Verdana" w:cs="Arial"/>
              </w:rPr>
              <w:t xml:space="preserve"> </w:t>
            </w:r>
          </w:p>
          <w:p w14:paraId="6A3F9665" w14:textId="77777777" w:rsidR="00441178" w:rsidRPr="00881D8B" w:rsidRDefault="00441178" w:rsidP="00C65060">
            <w:pPr>
              <w:widowControl w:val="0"/>
              <w:autoSpaceDE w:val="0"/>
              <w:autoSpaceDN w:val="0"/>
              <w:spacing w:after="120" w:line="276" w:lineRule="auto"/>
              <w:ind w:left="360"/>
              <w:jc w:val="both"/>
              <w:rPr>
                <w:rFonts w:ascii="Verdana" w:hAnsi="Verdana" w:cs="Arial"/>
              </w:rPr>
            </w:pPr>
          </w:p>
        </w:tc>
      </w:tr>
    </w:tbl>
    <w:p w14:paraId="63E2BF21" w14:textId="77777777" w:rsidR="00441178" w:rsidRPr="00881D8B" w:rsidRDefault="00441178" w:rsidP="00441178">
      <w:pPr>
        <w:widowControl w:val="0"/>
        <w:autoSpaceDE w:val="0"/>
        <w:autoSpaceDN w:val="0"/>
        <w:spacing w:after="0" w:line="276" w:lineRule="auto"/>
        <w:jc w:val="both"/>
        <w:rPr>
          <w:rFonts w:ascii="Verdana" w:hAnsi="Verdana" w:cs="Arial"/>
        </w:rPr>
      </w:pPr>
    </w:p>
    <w:p w14:paraId="0CCB30A1" w14:textId="77777777" w:rsidR="00441178" w:rsidRPr="00881D8B" w:rsidRDefault="00441178" w:rsidP="00441178">
      <w:pPr>
        <w:widowControl w:val="0"/>
        <w:autoSpaceDE w:val="0"/>
        <w:autoSpaceDN w:val="0"/>
        <w:spacing w:after="0" w:line="276" w:lineRule="auto"/>
        <w:jc w:val="both"/>
        <w:rPr>
          <w:rFonts w:ascii="Verdana" w:hAnsi="Verdana" w:cs="Arial"/>
        </w:rPr>
      </w:pPr>
    </w:p>
    <w:p w14:paraId="6A154995" w14:textId="77777777" w:rsidR="00441178" w:rsidRPr="00881D8B" w:rsidRDefault="00441178" w:rsidP="00441178">
      <w:pPr>
        <w:widowControl w:val="0"/>
        <w:autoSpaceDE w:val="0"/>
        <w:autoSpaceDN w:val="0"/>
        <w:spacing w:after="0" w:line="276" w:lineRule="auto"/>
        <w:jc w:val="both"/>
        <w:rPr>
          <w:rFonts w:ascii="Verdana" w:hAnsi="Verdana" w:cs="Arial"/>
        </w:rPr>
      </w:pPr>
    </w:p>
    <w:p w14:paraId="4DB4C2B4" w14:textId="77777777" w:rsidR="00441178" w:rsidRPr="00881D8B" w:rsidRDefault="00441178" w:rsidP="0044117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81D8B">
        <w:rPr>
          <w:rFonts w:ascii="Verdana" w:eastAsia="Century Gothic" w:hAnsi="Verdana" w:cs="Century Gothic"/>
          <w:b/>
          <w:bCs/>
        </w:rPr>
        <w:t>Doctrina de la Agencia Nacional de Contratación Pública:</w:t>
      </w:r>
    </w:p>
    <w:p w14:paraId="2A9E4A9C" w14:textId="77777777" w:rsidR="00441178" w:rsidRPr="00881D8B" w:rsidRDefault="00441178" w:rsidP="00441178">
      <w:pPr>
        <w:widowControl w:val="0"/>
        <w:autoSpaceDE w:val="0"/>
        <w:autoSpaceDN w:val="0"/>
        <w:spacing w:after="0" w:line="276" w:lineRule="auto"/>
        <w:jc w:val="both"/>
        <w:rPr>
          <w:rFonts w:ascii="Verdana" w:hAnsi="Verdana" w:cs="Arial"/>
        </w:rPr>
      </w:pPr>
    </w:p>
    <w:p w14:paraId="15A106A2" w14:textId="77777777" w:rsidR="00441178" w:rsidRPr="00881D8B" w:rsidRDefault="00441178" w:rsidP="00441178">
      <w:pPr>
        <w:spacing w:after="120" w:line="276" w:lineRule="auto"/>
        <w:ind w:firstLine="708"/>
        <w:jc w:val="both"/>
        <w:rPr>
          <w:rFonts w:ascii="Verdana" w:eastAsia="Calibri" w:hAnsi="Verdana" w:cs="Arial"/>
          <w:lang w:val="es-ES" w:eastAsia="es-ES"/>
        </w:rPr>
      </w:pPr>
      <w:r w:rsidRPr="00EA0B9C">
        <w:rPr>
          <w:rFonts w:ascii="Verdana" w:eastAsia="Calibri" w:hAnsi="Verdana"/>
          <w:lang w:val="es-ES_tradnl"/>
        </w:rPr>
        <w:t>La Agencia Nacional de Contratación Pública – Colombia Compra Eficiente, se ha pronunciado frente al tema del servicio militar en los conceptos C-628 de 29 de septiembre de 2022, C-653 del 11 de octubre de 2022, C-944 del 19 de enero de 202</w:t>
      </w:r>
      <w:r>
        <w:rPr>
          <w:rFonts w:ascii="Verdana" w:eastAsia="Calibri" w:hAnsi="Verdana"/>
          <w:lang w:val="es-ES_tradnl"/>
        </w:rPr>
        <w:t>2</w:t>
      </w:r>
      <w:r w:rsidRPr="00EA0B9C">
        <w:rPr>
          <w:rFonts w:ascii="Verdana" w:eastAsia="Calibri" w:hAnsi="Verdana"/>
          <w:lang w:val="es-ES_tradnl"/>
        </w:rPr>
        <w:t>, C-328 del 25 de agosto de 2023  y C-376 del 20 de septiembre de 2023</w:t>
      </w:r>
      <w:r>
        <w:rPr>
          <w:rFonts w:ascii="Verdana" w:eastAsia="Calibri" w:hAnsi="Verdana"/>
          <w:lang w:val="es-ES_tradnl"/>
        </w:rPr>
        <w:t xml:space="preserve"> . </w:t>
      </w:r>
      <w:r w:rsidRPr="00881D8B">
        <w:rPr>
          <w:rFonts w:ascii="Verdana" w:eastAsia="Calibri" w:hAnsi="Verdana"/>
          <w:lang w:val="es-ES_tradnl"/>
        </w:rPr>
        <w:t>Es</w:t>
      </w:r>
      <w:r w:rsidRPr="00881D8B">
        <w:rPr>
          <w:rFonts w:ascii="Verdana" w:eastAsia="Calibri" w:hAnsi="Verdana" w:cs="Arial"/>
          <w:lang w:val="es-ES_tradnl"/>
        </w:rPr>
        <w:t>tos y otros conceptos se encuentran disponibles para consulta en el Sistema de relatoría de la Agencia, al cual se puede acceder a través del siguiente enlace:</w:t>
      </w:r>
      <w:r w:rsidRPr="00881D8B">
        <w:rPr>
          <w:rFonts w:ascii="Verdana" w:eastAsia="Calibri" w:hAnsi="Verdana"/>
          <w:lang w:val="es-ES_tradnl"/>
        </w:rPr>
        <w:t xml:space="preserve"> </w:t>
      </w:r>
    </w:p>
    <w:p w14:paraId="5D884506" w14:textId="77777777" w:rsidR="00441178" w:rsidRPr="00881D8B" w:rsidRDefault="00441178" w:rsidP="00441178">
      <w:pPr>
        <w:widowControl w:val="0"/>
        <w:autoSpaceDE w:val="0"/>
        <w:autoSpaceDN w:val="0"/>
        <w:spacing w:after="0" w:line="276" w:lineRule="auto"/>
        <w:jc w:val="both"/>
        <w:rPr>
          <w:rFonts w:ascii="Verdana" w:eastAsia="Calibri" w:hAnsi="Verdana"/>
          <w:lang w:val="es-ES_tradnl"/>
        </w:rPr>
      </w:pPr>
    </w:p>
    <w:p w14:paraId="4FCCDEA8" w14:textId="77777777" w:rsidR="00441178" w:rsidRPr="00881D8B" w:rsidRDefault="00441178" w:rsidP="00441178">
      <w:pPr>
        <w:widowControl w:val="0"/>
        <w:autoSpaceDE w:val="0"/>
        <w:autoSpaceDN w:val="0"/>
        <w:spacing w:after="0" w:line="276" w:lineRule="auto"/>
        <w:jc w:val="both"/>
        <w:rPr>
          <w:rFonts w:ascii="Verdana" w:eastAsia="Calibri" w:hAnsi="Verdana"/>
          <w:lang w:val="es-ES_tradnl"/>
        </w:rPr>
      </w:pPr>
      <w:hyperlink r:id="rId15" w:history="1">
        <w:r w:rsidRPr="00881D8B">
          <w:rPr>
            <w:rStyle w:val="Hipervnculo"/>
            <w:rFonts w:ascii="Verdana" w:eastAsia="Calibri" w:hAnsi="Verdana"/>
            <w:lang w:val="es-ES_tradnl"/>
          </w:rPr>
          <w:t>https://relatoria.colombiacompra.gov.co/busqueda/conceptos</w:t>
        </w:r>
      </w:hyperlink>
      <w:r w:rsidRPr="00881D8B">
        <w:rPr>
          <w:rFonts w:ascii="Verdana" w:eastAsia="Calibri" w:hAnsi="Verdana"/>
          <w:lang w:val="es-ES_tradnl"/>
        </w:rPr>
        <w:t xml:space="preserve">. </w:t>
      </w:r>
    </w:p>
    <w:p w14:paraId="0186A6F4" w14:textId="77777777" w:rsidR="00441178" w:rsidRPr="00881D8B" w:rsidRDefault="00441178" w:rsidP="00441178">
      <w:pPr>
        <w:widowControl w:val="0"/>
        <w:autoSpaceDE w:val="0"/>
        <w:autoSpaceDN w:val="0"/>
        <w:spacing w:after="0" w:line="276" w:lineRule="auto"/>
        <w:jc w:val="both"/>
        <w:rPr>
          <w:rFonts w:ascii="Verdana" w:eastAsia="Calibri" w:hAnsi="Verdana"/>
          <w:lang w:val="es-ES_tradnl"/>
        </w:rPr>
      </w:pPr>
    </w:p>
    <w:p w14:paraId="25BFA2E7" w14:textId="77777777" w:rsidR="00441178" w:rsidRPr="00881D8B" w:rsidRDefault="00441178" w:rsidP="00441178">
      <w:pPr>
        <w:widowControl w:val="0"/>
        <w:autoSpaceDE w:val="0"/>
        <w:autoSpaceDN w:val="0"/>
        <w:spacing w:after="0" w:line="276" w:lineRule="auto"/>
        <w:jc w:val="both"/>
        <w:rPr>
          <w:rFonts w:ascii="Verdana" w:eastAsia="Calibri" w:hAnsi="Verdana" w:cs="Arial"/>
          <w:lang w:val="es-ES_tradnl"/>
        </w:rPr>
      </w:pPr>
      <w:r w:rsidRPr="00881D8B">
        <w:rPr>
          <w:rFonts w:ascii="Verdana" w:eastAsia="Calibri" w:hAnsi="Verdana" w:cs="Arial"/>
          <w:lang w:val="es-ES_tradnl"/>
        </w:rPr>
        <w:t xml:space="preserve">También le invitamos a consultar las versiones I y II de 2024 del Boletín de </w:t>
      </w:r>
      <w:r w:rsidRPr="00881D8B">
        <w:rPr>
          <w:rFonts w:ascii="Verdana" w:eastAsia="Calibri" w:hAnsi="Verdana" w:cs="Arial"/>
          <w:lang w:val="es-ES_tradnl"/>
        </w:rPr>
        <w:lastRenderedPageBreak/>
        <w:t xml:space="preserve">Relatoría de la Subdirección de Gestión Contractual, las cuales puede descargar en la página web de la Agencia: </w:t>
      </w:r>
      <w:hyperlink r:id="rId16" w:history="1">
        <w:r w:rsidRPr="00881D8B">
          <w:rPr>
            <w:rFonts w:ascii="Verdana" w:eastAsia="Calibri" w:hAnsi="Verdana" w:cs="Arial"/>
            <w:lang w:val="es-ES_tradnl"/>
          </w:rPr>
          <w:t>https://www.colombiacompra.gov.co/sala-de-prensa/boletin-digital</w:t>
        </w:r>
      </w:hyperlink>
      <w:r w:rsidRPr="00881D8B">
        <w:rPr>
          <w:rFonts w:ascii="Verdana" w:eastAsia="Calibri" w:hAnsi="Verdana" w:cs="Arial"/>
          <w:lang w:val="es-ES_tradnl"/>
        </w:rPr>
        <w:t xml:space="preserve">      </w:t>
      </w:r>
    </w:p>
    <w:p w14:paraId="43D93D9A" w14:textId="77777777" w:rsidR="00441178" w:rsidRPr="00881D8B" w:rsidRDefault="00441178" w:rsidP="00441178">
      <w:pPr>
        <w:widowControl w:val="0"/>
        <w:autoSpaceDE w:val="0"/>
        <w:autoSpaceDN w:val="0"/>
        <w:spacing w:after="0" w:line="276" w:lineRule="auto"/>
        <w:jc w:val="both"/>
        <w:rPr>
          <w:rFonts w:ascii="Verdana" w:eastAsia="Calibri" w:hAnsi="Verdana" w:cs="Arial"/>
          <w:lang w:val="es-ES_tradnl"/>
        </w:rPr>
      </w:pPr>
    </w:p>
    <w:p w14:paraId="001D1F71" w14:textId="77777777" w:rsidR="00441178" w:rsidRPr="00881D8B" w:rsidRDefault="00441178" w:rsidP="00441178">
      <w:pPr>
        <w:spacing w:after="0" w:line="276" w:lineRule="auto"/>
        <w:jc w:val="both"/>
        <w:rPr>
          <w:rFonts w:ascii="Verdana" w:eastAsia="Calibri" w:hAnsi="Verdana" w:cs="Arial"/>
          <w:lang w:val="es-ES_tradnl"/>
        </w:rPr>
      </w:pPr>
      <w:r w:rsidRPr="00881D8B">
        <w:rPr>
          <w:rFonts w:ascii="Verdana" w:eastAsia="Calibri" w:hAnsi="Verdana" w:cs="Arial"/>
          <w:lang w:val="es-ES_tradnl"/>
        </w:rPr>
        <w:t xml:space="preserve">Por último, lo invitamos a seguirnos en las redes sociales en las cuales se difunde información institucional: </w:t>
      </w:r>
    </w:p>
    <w:p w14:paraId="784BEFCA" w14:textId="77777777" w:rsidR="00441178" w:rsidRPr="00881D8B" w:rsidRDefault="00441178" w:rsidP="00441178">
      <w:pPr>
        <w:spacing w:after="0" w:line="276" w:lineRule="auto"/>
        <w:jc w:val="both"/>
        <w:rPr>
          <w:rFonts w:ascii="Verdana" w:eastAsia="Calibri" w:hAnsi="Verdana" w:cs="Arial"/>
          <w:lang w:val="es-ES_tradnl"/>
        </w:rPr>
      </w:pPr>
    </w:p>
    <w:p w14:paraId="143B0C00" w14:textId="77777777" w:rsidR="00441178" w:rsidRPr="00881D8B" w:rsidRDefault="00441178" w:rsidP="00441178">
      <w:pPr>
        <w:spacing w:after="0" w:line="276" w:lineRule="auto"/>
        <w:jc w:val="both"/>
        <w:rPr>
          <w:rFonts w:ascii="Verdana" w:eastAsia="Calibri" w:hAnsi="Verdana" w:cs="Arial"/>
          <w:lang w:val="es-ES_tradnl"/>
        </w:rPr>
      </w:pPr>
      <w:r w:rsidRPr="00881D8B">
        <w:rPr>
          <w:rFonts w:ascii="Verdana" w:eastAsia="Calibri" w:hAnsi="Verdana" w:cs="Arial"/>
          <w:lang w:val="es-ES_tradnl"/>
        </w:rPr>
        <w:t xml:space="preserve">Twitter: @colombiacompra </w:t>
      </w:r>
    </w:p>
    <w:p w14:paraId="3848285A" w14:textId="77777777" w:rsidR="00441178" w:rsidRPr="00881D8B" w:rsidRDefault="00441178" w:rsidP="00441178">
      <w:pPr>
        <w:spacing w:after="0" w:line="276" w:lineRule="auto"/>
        <w:jc w:val="both"/>
        <w:rPr>
          <w:rFonts w:ascii="Verdana" w:eastAsia="Calibri" w:hAnsi="Verdana" w:cs="Arial"/>
          <w:lang w:val="es-ES"/>
        </w:rPr>
      </w:pPr>
      <w:r w:rsidRPr="3987467E">
        <w:rPr>
          <w:rFonts w:ascii="Verdana" w:eastAsia="Calibri" w:hAnsi="Verdana" w:cs="Arial"/>
          <w:lang w:val="es-ES"/>
        </w:rPr>
        <w:t>Facebook: ColombiaCompraEficiente</w:t>
      </w:r>
    </w:p>
    <w:p w14:paraId="4340E20E" w14:textId="77777777" w:rsidR="00441178" w:rsidRPr="00881D8B" w:rsidRDefault="00441178" w:rsidP="00441178">
      <w:pPr>
        <w:spacing w:after="0" w:line="276" w:lineRule="auto"/>
        <w:jc w:val="both"/>
        <w:rPr>
          <w:rFonts w:ascii="Verdana" w:eastAsia="Calibri" w:hAnsi="Verdana" w:cs="Arial"/>
          <w:lang w:val="es-ES_tradnl"/>
        </w:rPr>
      </w:pPr>
      <w:r w:rsidRPr="00881D8B">
        <w:rPr>
          <w:rFonts w:ascii="Verdana" w:eastAsia="Calibri" w:hAnsi="Verdana" w:cs="Arial"/>
          <w:lang w:val="es-ES_tradnl"/>
        </w:rPr>
        <w:t>LinkedIn: Agencia Nacional de Contratación Pública - Colombia Compra Eficiente Instagram: @colombiacompraeficiente_cce</w:t>
      </w:r>
    </w:p>
    <w:p w14:paraId="2B2D195D" w14:textId="77777777" w:rsidR="00441178" w:rsidRPr="00881D8B" w:rsidRDefault="00441178" w:rsidP="00441178">
      <w:pPr>
        <w:widowControl w:val="0"/>
        <w:autoSpaceDE w:val="0"/>
        <w:autoSpaceDN w:val="0"/>
        <w:spacing w:after="0" w:line="276" w:lineRule="auto"/>
        <w:jc w:val="both"/>
        <w:rPr>
          <w:rFonts w:ascii="Verdana" w:eastAsia="Calibri" w:hAnsi="Verdana" w:cs="Arial"/>
          <w:lang w:val="es-ES_tradnl"/>
        </w:rPr>
      </w:pPr>
    </w:p>
    <w:p w14:paraId="7C32DC4C" w14:textId="77777777" w:rsidR="00441178" w:rsidRPr="00881D8B" w:rsidRDefault="00441178" w:rsidP="00441178">
      <w:pPr>
        <w:widowControl w:val="0"/>
        <w:autoSpaceDE w:val="0"/>
        <w:autoSpaceDN w:val="0"/>
        <w:spacing w:after="0" w:line="276" w:lineRule="auto"/>
        <w:jc w:val="both"/>
        <w:rPr>
          <w:rFonts w:ascii="Verdana" w:hAnsi="Verdana" w:cs="Arial"/>
          <w:lang w:val="es-ES_tradnl"/>
        </w:rPr>
      </w:pPr>
      <w:r w:rsidRPr="00881D8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881D8B">
        <w:rPr>
          <w:rFonts w:ascii="Verdana" w:hAnsi="Verdana" w:cs="Arial"/>
          <w:lang w:val="es-ES_tradnl"/>
        </w:rPr>
        <w:t>2 de 2015.</w:t>
      </w:r>
    </w:p>
    <w:p w14:paraId="463A55CE" w14:textId="77777777" w:rsidR="00441178" w:rsidRPr="00881D8B" w:rsidRDefault="00441178" w:rsidP="00441178">
      <w:pPr>
        <w:widowControl w:val="0"/>
        <w:autoSpaceDE w:val="0"/>
        <w:autoSpaceDN w:val="0"/>
        <w:spacing w:after="0" w:line="276" w:lineRule="auto"/>
        <w:jc w:val="both"/>
        <w:rPr>
          <w:rFonts w:ascii="Verdana" w:hAnsi="Verdana" w:cs="Arial"/>
        </w:rPr>
      </w:pPr>
    </w:p>
    <w:p w14:paraId="46FAA5F7" w14:textId="77777777" w:rsidR="00441178" w:rsidRPr="00881D8B" w:rsidRDefault="00441178" w:rsidP="00441178">
      <w:pPr>
        <w:spacing w:after="0" w:line="276" w:lineRule="auto"/>
        <w:rPr>
          <w:rFonts w:ascii="Verdana" w:hAnsi="Verdana" w:cs="Arial"/>
          <w:lang w:eastAsia="es-CO"/>
        </w:rPr>
      </w:pPr>
      <w:r w:rsidRPr="00881D8B">
        <w:rPr>
          <w:rFonts w:ascii="Verdana" w:eastAsia="Times New Roman" w:hAnsi="Verdana" w:cs="Arial"/>
          <w:lang w:eastAsia="es-CO"/>
        </w:rPr>
        <w:t>Atentamente,</w:t>
      </w:r>
      <w:r w:rsidRPr="00881D8B">
        <w:rPr>
          <w:rFonts w:ascii="Verdana" w:hAnsi="Verdana" w:cs="Arial"/>
          <w:lang w:eastAsia="es-CO"/>
        </w:rPr>
        <w:t xml:space="preserve"> </w:t>
      </w:r>
    </w:p>
    <w:p w14:paraId="18BDBE50" w14:textId="77777777" w:rsidR="00441178" w:rsidRPr="00881D8B" w:rsidRDefault="00441178" w:rsidP="00441178">
      <w:pPr>
        <w:spacing w:line="276" w:lineRule="auto"/>
        <w:rPr>
          <w:rFonts w:ascii="Verdana" w:hAnsi="Verdana"/>
          <w:noProof/>
          <w:lang w:val="es-ES_tradnl" w:eastAsia="es-CO"/>
        </w:rPr>
      </w:pPr>
    </w:p>
    <w:p w14:paraId="423AC4C6" w14:textId="2C05380D" w:rsidR="00441178" w:rsidRPr="00881D8B" w:rsidRDefault="00D951AD" w:rsidP="00441178">
      <w:pPr>
        <w:spacing w:line="276" w:lineRule="auto"/>
        <w:jc w:val="center"/>
        <w:rPr>
          <w:rFonts w:ascii="Verdana" w:hAnsi="Verdana" w:cs="Arial"/>
          <w:lang w:val="es-ES_tradnl" w:eastAsia="es-CO"/>
        </w:rPr>
      </w:pPr>
      <w:r w:rsidRPr="0065791A">
        <w:rPr>
          <w:rFonts w:ascii="Century Gothic" w:hAnsi="Century Gothic"/>
          <w:noProof/>
        </w:rPr>
        <w:drawing>
          <wp:inline distT="0" distB="0" distL="0" distR="0" wp14:anchorId="5F442768" wp14:editId="54A8B512">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7"/>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41178" w:rsidRPr="00881D8B" w14:paraId="4354B379" w14:textId="77777777" w:rsidTr="00C65060">
        <w:trPr>
          <w:trHeight w:val="315"/>
        </w:trPr>
        <w:tc>
          <w:tcPr>
            <w:tcW w:w="893" w:type="dxa"/>
            <w:vAlign w:val="center"/>
            <w:hideMark/>
          </w:tcPr>
          <w:p w14:paraId="639BC53B"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69EA5873"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 xml:space="preserve">María Valeska Medellín Mora </w:t>
            </w:r>
          </w:p>
          <w:p w14:paraId="5E5022D2"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Gestor T1-15</w:t>
            </w:r>
            <w:r w:rsidRPr="00881D8B">
              <w:rPr>
                <w:rFonts w:ascii="Verdana" w:eastAsia="Calibri" w:hAnsi="Verdana"/>
                <w:sz w:val="16"/>
                <w:szCs w:val="16"/>
                <w:lang w:val="es-ES_tradnl"/>
              </w:rPr>
              <w:t xml:space="preserve"> de la Subdirección de Gestión Contractual</w:t>
            </w:r>
          </w:p>
        </w:tc>
      </w:tr>
      <w:tr w:rsidR="00441178" w:rsidRPr="00881D8B" w14:paraId="5FE88EF3" w14:textId="77777777" w:rsidTr="00C65060">
        <w:trPr>
          <w:trHeight w:val="330"/>
        </w:trPr>
        <w:tc>
          <w:tcPr>
            <w:tcW w:w="893" w:type="dxa"/>
            <w:vAlign w:val="center"/>
            <w:hideMark/>
          </w:tcPr>
          <w:p w14:paraId="2375F2FD"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EF79911" w14:textId="77777777" w:rsidR="00441178" w:rsidRPr="00881D8B" w:rsidRDefault="00441178" w:rsidP="00C65060">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881D8B">
              <w:rPr>
                <w:rFonts w:ascii="Verdana" w:eastAsia="Calibri" w:hAnsi="Verdana" w:cs="Arial"/>
                <w:sz w:val="16"/>
                <w:szCs w:val="16"/>
                <w:lang w:val="es-ES_tradnl" w:eastAsia="en-US"/>
              </w:rPr>
              <w:t>Adriana Katerine Lopez Rodriguez</w:t>
            </w:r>
          </w:p>
          <w:p w14:paraId="7BB8141D" w14:textId="77777777" w:rsidR="00441178" w:rsidRPr="00881D8B" w:rsidRDefault="00441178" w:rsidP="00C65060">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881D8B">
              <w:rPr>
                <w:rFonts w:ascii="Verdana" w:eastAsia="Calibri" w:hAnsi="Verdana"/>
                <w:sz w:val="16"/>
                <w:szCs w:val="16"/>
                <w:lang w:val="es-ES_tradnl" w:eastAsia="en-US"/>
              </w:rPr>
              <w:t>Contratista de la Subdirección de Gestión Contractual </w:t>
            </w:r>
          </w:p>
        </w:tc>
      </w:tr>
      <w:tr w:rsidR="00441178" w:rsidRPr="00881D8B" w14:paraId="7223940B" w14:textId="77777777" w:rsidTr="00C65060">
        <w:trPr>
          <w:trHeight w:val="300"/>
        </w:trPr>
        <w:tc>
          <w:tcPr>
            <w:tcW w:w="893" w:type="dxa"/>
            <w:vAlign w:val="center"/>
          </w:tcPr>
          <w:p w14:paraId="77C0E833"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E98EA42"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Carolina Quintero Gacharná</w:t>
            </w:r>
          </w:p>
          <w:p w14:paraId="0B5FB807" w14:textId="77777777" w:rsidR="00441178" w:rsidRPr="00881D8B" w:rsidRDefault="00441178" w:rsidP="00C65060">
            <w:pPr>
              <w:spacing w:line="276" w:lineRule="auto"/>
              <w:contextualSpacing/>
              <w:rPr>
                <w:rFonts w:ascii="Verdana" w:eastAsia="Calibri" w:hAnsi="Verdana" w:cs="Arial"/>
                <w:sz w:val="16"/>
                <w:szCs w:val="16"/>
                <w:lang w:val="es-ES_tradnl"/>
              </w:rPr>
            </w:pPr>
            <w:r w:rsidRPr="00881D8B">
              <w:rPr>
                <w:rFonts w:ascii="Verdana" w:eastAsia="Calibri" w:hAnsi="Verdana" w:cs="Arial"/>
                <w:sz w:val="16"/>
                <w:szCs w:val="16"/>
                <w:lang w:val="es-ES_tradnl"/>
              </w:rPr>
              <w:t>Subdirectora de Gestión Contractual ANCP – CCE</w:t>
            </w:r>
          </w:p>
        </w:tc>
      </w:tr>
    </w:tbl>
    <w:p w14:paraId="59F37057" w14:textId="77777777" w:rsidR="00441178" w:rsidRPr="00881D8B" w:rsidRDefault="00441178" w:rsidP="00441178">
      <w:pPr>
        <w:spacing w:after="0" w:line="276" w:lineRule="auto"/>
        <w:rPr>
          <w:rFonts w:ascii="Verdana" w:eastAsia="Times New Roman" w:hAnsi="Verdana" w:cs="Arial"/>
          <w:sz w:val="24"/>
          <w:szCs w:val="24"/>
          <w:lang w:eastAsia="es-ES"/>
        </w:rPr>
      </w:pPr>
    </w:p>
    <w:p w14:paraId="6B29ADAB" w14:textId="77777777" w:rsidR="00441178" w:rsidRPr="00881D8B" w:rsidRDefault="00441178" w:rsidP="00441178">
      <w:pPr>
        <w:spacing w:line="276" w:lineRule="auto"/>
        <w:rPr>
          <w:rFonts w:ascii="Verdana" w:hAnsi="Verdana"/>
        </w:rPr>
      </w:pPr>
    </w:p>
    <w:p w14:paraId="38F860D3" w14:textId="77777777" w:rsidR="00441178" w:rsidRPr="00881D8B" w:rsidRDefault="00441178" w:rsidP="00441178">
      <w:pPr>
        <w:spacing w:after="0" w:line="276" w:lineRule="auto"/>
        <w:jc w:val="both"/>
        <w:rPr>
          <w:rFonts w:ascii="Verdana" w:hAnsi="Verdana"/>
        </w:rPr>
      </w:pPr>
    </w:p>
    <w:bookmarkEnd w:id="1"/>
    <w:p w14:paraId="2BA7411E" w14:textId="77777777" w:rsidR="00441178" w:rsidRPr="00881D8B" w:rsidRDefault="00441178" w:rsidP="00441178">
      <w:pPr>
        <w:spacing w:line="276" w:lineRule="auto"/>
        <w:rPr>
          <w:rFonts w:ascii="Verdana" w:hAnsi="Verdana"/>
        </w:rPr>
      </w:pPr>
    </w:p>
    <w:p w14:paraId="4A79D3CB" w14:textId="77777777" w:rsidR="00441178" w:rsidRPr="0044528D" w:rsidRDefault="00441178" w:rsidP="00441178">
      <w:pPr>
        <w:spacing w:after="0"/>
        <w:rPr>
          <w:rFonts w:ascii="Verdana" w:hAnsi="Verdana"/>
        </w:rPr>
      </w:pPr>
    </w:p>
    <w:p w14:paraId="3EBEFFEB" w14:textId="77777777" w:rsidR="00441178" w:rsidRPr="0044528D" w:rsidRDefault="00441178" w:rsidP="00441178">
      <w:pPr>
        <w:spacing w:after="0"/>
        <w:rPr>
          <w:rFonts w:ascii="Verdana" w:hAnsi="Verdana"/>
        </w:rPr>
      </w:pPr>
    </w:p>
    <w:p w14:paraId="406CA6CC" w14:textId="77777777" w:rsidR="00441178" w:rsidRPr="0044528D" w:rsidRDefault="00441178" w:rsidP="00441178">
      <w:pPr>
        <w:spacing w:after="0"/>
        <w:jc w:val="both"/>
        <w:rPr>
          <w:rStyle w:val="Hipervnculo"/>
          <w:rFonts w:ascii="Verdana" w:hAnsi="Verdana"/>
        </w:rPr>
      </w:pPr>
    </w:p>
    <w:p w14:paraId="2347C471" w14:textId="77777777" w:rsidR="00441178" w:rsidRPr="0044528D" w:rsidRDefault="00441178" w:rsidP="00441178">
      <w:pPr>
        <w:spacing w:after="0"/>
        <w:jc w:val="both"/>
        <w:rPr>
          <w:rStyle w:val="Hipervnculo"/>
          <w:rFonts w:ascii="Verdana" w:hAnsi="Verdana"/>
        </w:rPr>
      </w:pPr>
    </w:p>
    <w:p w14:paraId="1347DED9" w14:textId="77777777" w:rsidR="00441178" w:rsidRPr="0044528D" w:rsidRDefault="00441178" w:rsidP="00441178">
      <w:pPr>
        <w:spacing w:after="0"/>
        <w:jc w:val="both"/>
        <w:rPr>
          <w:rStyle w:val="Hipervnculo"/>
          <w:rFonts w:ascii="Verdana" w:hAnsi="Verdana"/>
        </w:rPr>
      </w:pPr>
    </w:p>
    <w:bookmarkEnd w:id="0"/>
    <w:p w14:paraId="473CDC5C" w14:textId="77777777" w:rsidR="00441178" w:rsidRPr="0044528D" w:rsidRDefault="00441178" w:rsidP="00441178">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4DE91BD" w14:textId="77777777" w:rsidR="00441178" w:rsidRPr="0044528D" w:rsidRDefault="00441178" w:rsidP="00441178">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6989AABE" w14:textId="77777777" w:rsidR="00441178" w:rsidRPr="0044528D" w:rsidRDefault="00441178" w:rsidP="00441178">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616825DF" w14:textId="77777777" w:rsidR="00441178" w:rsidRPr="0044528D" w:rsidRDefault="00441178" w:rsidP="00441178">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381B699" w14:textId="77777777" w:rsidR="00441178" w:rsidRPr="0044528D" w:rsidRDefault="00441178" w:rsidP="00441178">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5246FC93" w14:textId="77777777" w:rsidR="00441178" w:rsidRPr="0044528D" w:rsidRDefault="00441178" w:rsidP="00441178">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85469F3" w14:textId="77777777" w:rsidR="00441178" w:rsidRPr="0044528D" w:rsidRDefault="00441178" w:rsidP="00441178">
      <w:pPr>
        <w:spacing w:after="0"/>
        <w:jc w:val="both"/>
        <w:rPr>
          <w:rFonts w:ascii="Verdana" w:hAnsi="Verdana"/>
        </w:rPr>
      </w:pPr>
    </w:p>
    <w:p w14:paraId="0083C991" w14:textId="5C765C2F" w:rsidR="5D8505AD" w:rsidRPr="00441178" w:rsidRDefault="5D8505AD" w:rsidP="00441178"/>
    <w:sectPr w:rsidR="5D8505AD" w:rsidRPr="00441178"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7C1A" w14:textId="77777777" w:rsidR="005B56F6" w:rsidRDefault="005B56F6" w:rsidP="00B30448">
      <w:pPr>
        <w:spacing w:after="0" w:line="240" w:lineRule="auto"/>
      </w:pPr>
      <w:r>
        <w:separator/>
      </w:r>
    </w:p>
  </w:endnote>
  <w:endnote w:type="continuationSeparator" w:id="0">
    <w:p w14:paraId="0A35F32C" w14:textId="77777777" w:rsidR="005B56F6" w:rsidRDefault="005B56F6" w:rsidP="00B30448">
      <w:pPr>
        <w:spacing w:after="0" w:line="240" w:lineRule="auto"/>
      </w:pPr>
      <w:r>
        <w:continuationSeparator/>
      </w:r>
    </w:p>
  </w:endnote>
  <w:endnote w:type="continuationNotice" w:id="1">
    <w:p w14:paraId="738FAFD7" w14:textId="77777777" w:rsidR="005B56F6" w:rsidRDefault="005B5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0686" w14:textId="77777777" w:rsidR="005B56F6" w:rsidRDefault="005B56F6" w:rsidP="00B30448">
      <w:pPr>
        <w:spacing w:after="0" w:line="240" w:lineRule="auto"/>
      </w:pPr>
      <w:r>
        <w:separator/>
      </w:r>
    </w:p>
  </w:footnote>
  <w:footnote w:type="continuationSeparator" w:id="0">
    <w:p w14:paraId="28979403" w14:textId="77777777" w:rsidR="005B56F6" w:rsidRDefault="005B56F6" w:rsidP="00B30448">
      <w:pPr>
        <w:spacing w:after="0" w:line="240" w:lineRule="auto"/>
      </w:pPr>
      <w:r>
        <w:continuationSeparator/>
      </w:r>
    </w:p>
  </w:footnote>
  <w:footnote w:type="continuationNotice" w:id="1">
    <w:p w14:paraId="16EB61CE" w14:textId="77777777" w:rsidR="005B56F6" w:rsidRDefault="005B56F6">
      <w:pPr>
        <w:spacing w:after="0" w:line="240" w:lineRule="auto"/>
      </w:pPr>
    </w:p>
  </w:footnote>
  <w:footnote w:id="2">
    <w:p w14:paraId="562804E3" w14:textId="77777777" w:rsidR="00441178" w:rsidRPr="00CF4066" w:rsidRDefault="00441178" w:rsidP="00441178">
      <w:pPr>
        <w:pStyle w:val="Textonotapie"/>
        <w:ind w:firstLine="708"/>
        <w:jc w:val="both"/>
        <w:rPr>
          <w:rFonts w:ascii="Century Gothic" w:hAnsi="Century Gothic" w:cs="Arial"/>
          <w:sz w:val="14"/>
          <w:szCs w:val="14"/>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Con el simple registro en el enlace: </w:t>
      </w:r>
      <w:hyperlink r:id="rId1" w:history="1">
        <w:r w:rsidRPr="00CF4066">
          <w:rPr>
            <w:rStyle w:val="Hipervnculo"/>
            <w:rFonts w:ascii="Century Gothic" w:hAnsi="Century Gothic" w:cs="Arial"/>
            <w:sz w:val="14"/>
            <w:szCs w:val="14"/>
          </w:rPr>
          <w:t>https://www.libretamilitar.mil.co/Modules/Account/Register</w:t>
        </w:r>
      </w:hyperlink>
      <w:r w:rsidRPr="00CF4066">
        <w:rPr>
          <w:rFonts w:ascii="Century Gothic" w:hAnsi="Century Gothic" w:cs="Arial"/>
          <w:sz w:val="14"/>
          <w:szCs w:val="14"/>
        </w:rPr>
        <w:t xml:space="preserve"> o la asistencia al Batallón más cercano, se entienden realizadas las actuaciones tendientes a definir su situación militar. </w:t>
      </w:r>
    </w:p>
  </w:footnote>
  <w:footnote w:id="3">
    <w:p w14:paraId="58506C14" w14:textId="77777777" w:rsidR="00441178" w:rsidRPr="00CF4066" w:rsidRDefault="00441178" w:rsidP="00441178">
      <w:pPr>
        <w:pStyle w:val="Textonotapie"/>
        <w:ind w:firstLine="708"/>
        <w:contextualSpacing/>
        <w:jc w:val="both"/>
        <w:rPr>
          <w:rFonts w:ascii="Century Gothic" w:hAnsi="Century Gothic" w:cs="Arial"/>
          <w:color w:val="000000" w:themeColor="text1"/>
          <w:sz w:val="14"/>
          <w:szCs w:val="14"/>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w:t>
      </w:r>
      <w:r w:rsidRPr="00CF4066">
        <w:rPr>
          <w:rFonts w:ascii="Century Gothic" w:hAnsi="Century Gothic" w:cs="Arial"/>
          <w:color w:val="000000" w:themeColor="text1"/>
          <w:sz w:val="14"/>
          <w:szCs w:val="14"/>
        </w:rPr>
        <w:t>Artículo 17 de la Ley 1861 de 2017.</w:t>
      </w:r>
    </w:p>
    <w:p w14:paraId="204F1F86" w14:textId="77777777" w:rsidR="00441178" w:rsidRPr="00CF4066" w:rsidRDefault="00441178" w:rsidP="00441178">
      <w:pPr>
        <w:pStyle w:val="Textonotapie"/>
        <w:ind w:firstLine="708"/>
        <w:contextualSpacing/>
        <w:jc w:val="both"/>
        <w:rPr>
          <w:rFonts w:ascii="Century Gothic" w:hAnsi="Century Gothic" w:cs="Arial"/>
          <w:sz w:val="14"/>
          <w:szCs w:val="14"/>
          <w:lang w:val="es-CO"/>
        </w:rPr>
      </w:pPr>
    </w:p>
  </w:footnote>
  <w:footnote w:id="4">
    <w:p w14:paraId="16790C82" w14:textId="77777777" w:rsidR="00441178" w:rsidRPr="00CF4066" w:rsidRDefault="00441178" w:rsidP="00441178">
      <w:pPr>
        <w:pStyle w:val="Textonotapie"/>
        <w:ind w:firstLine="708"/>
        <w:contextualSpacing/>
        <w:jc w:val="both"/>
        <w:rPr>
          <w:rFonts w:ascii="Century Gothic" w:hAnsi="Century Gothic" w:cs="Arial"/>
          <w:sz w:val="14"/>
          <w:szCs w:val="14"/>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Artículos 26 a 28, </w:t>
      </w:r>
      <w:r w:rsidRPr="00CF4066">
        <w:rPr>
          <w:rFonts w:ascii="Century Gothic" w:hAnsi="Century Gothic" w:cs="Arial"/>
          <w:i/>
          <w:iCs/>
          <w:sz w:val="14"/>
          <w:szCs w:val="14"/>
        </w:rPr>
        <w:t>Ibídem</w:t>
      </w:r>
      <w:r w:rsidRPr="00CF4066">
        <w:rPr>
          <w:rFonts w:ascii="Century Gothic" w:hAnsi="Century Gothic" w:cs="Arial"/>
          <w:sz w:val="14"/>
          <w:szCs w:val="14"/>
        </w:rPr>
        <w:t xml:space="preserve">. </w:t>
      </w:r>
    </w:p>
    <w:p w14:paraId="3CE18CE0" w14:textId="77777777" w:rsidR="00441178" w:rsidRPr="00CF4066" w:rsidRDefault="00441178" w:rsidP="00441178">
      <w:pPr>
        <w:pStyle w:val="Textonotapie"/>
        <w:ind w:firstLine="708"/>
        <w:contextualSpacing/>
        <w:jc w:val="both"/>
        <w:rPr>
          <w:rFonts w:ascii="Century Gothic" w:hAnsi="Century Gothic" w:cs="Arial"/>
          <w:sz w:val="14"/>
          <w:szCs w:val="14"/>
          <w:lang w:val="es-CO"/>
        </w:rPr>
      </w:pPr>
      <w:r w:rsidRPr="00CF4066">
        <w:rPr>
          <w:rFonts w:ascii="Century Gothic" w:hAnsi="Century Gothic" w:cs="Arial"/>
          <w:sz w:val="14"/>
          <w:szCs w:val="14"/>
        </w:rPr>
        <w:t>|</w:t>
      </w:r>
    </w:p>
  </w:footnote>
  <w:footnote w:id="5">
    <w:p w14:paraId="33E64950" w14:textId="77777777" w:rsidR="00441178" w:rsidRPr="00CF4066" w:rsidRDefault="00441178" w:rsidP="00441178">
      <w:pPr>
        <w:ind w:firstLine="709"/>
        <w:contextualSpacing/>
        <w:jc w:val="both"/>
        <w:rPr>
          <w:rFonts w:ascii="Century Gothic" w:hAnsi="Century Gothic" w:cs="Arial"/>
          <w:color w:val="000000"/>
          <w:sz w:val="14"/>
          <w:szCs w:val="14"/>
          <w:lang w:val="es-ES"/>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w:t>
      </w:r>
      <w:r w:rsidRPr="00CF4066">
        <w:rPr>
          <w:rFonts w:ascii="Century Gothic" w:hAnsi="Century Gothic" w:cs="Arial"/>
          <w:color w:val="000000"/>
          <w:sz w:val="14"/>
          <w:szCs w:val="14"/>
          <w:lang w:val="es-ES"/>
        </w:rPr>
        <w:t>“Artículo 40. Documento Público. Las tarjetas de reservista se clasificarán como material reservado adquiriendo el carácter de documento público, una vez hayan sido expedidas legalmente por la respectiva Dirección de Reclutamiento.</w:t>
      </w:r>
    </w:p>
    <w:p w14:paraId="24975708" w14:textId="77777777" w:rsidR="00441178" w:rsidRPr="00CF4066" w:rsidRDefault="00441178" w:rsidP="00441178">
      <w:pPr>
        <w:ind w:firstLine="709"/>
        <w:contextualSpacing/>
        <w:jc w:val="both"/>
        <w:rPr>
          <w:rFonts w:ascii="Century Gothic" w:hAnsi="Century Gothic" w:cs="Arial"/>
          <w:color w:val="000000"/>
          <w:sz w:val="14"/>
          <w:szCs w:val="14"/>
          <w:lang w:val="es-ES"/>
        </w:rPr>
      </w:pPr>
      <w:r w:rsidRPr="00CF4066">
        <w:rPr>
          <w:rFonts w:ascii="Century Gothic" w:hAnsi="Century Gothic" w:cs="Arial"/>
          <w:color w:val="000000"/>
          <w:sz w:val="14"/>
          <w:szCs w:val="14"/>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6">
    <w:p w14:paraId="5CF2A6FF" w14:textId="77777777" w:rsidR="00441178" w:rsidRPr="00CF4066" w:rsidRDefault="00441178" w:rsidP="00441178">
      <w:pPr>
        <w:pStyle w:val="Textonotapie"/>
        <w:ind w:firstLine="708"/>
        <w:contextualSpacing/>
        <w:jc w:val="both"/>
        <w:rPr>
          <w:rFonts w:ascii="Century Gothic" w:hAnsi="Century Gothic" w:cs="Arial"/>
          <w:sz w:val="14"/>
          <w:szCs w:val="14"/>
        </w:rPr>
      </w:pPr>
    </w:p>
    <w:p w14:paraId="63FD5D5A" w14:textId="77777777" w:rsidR="00441178" w:rsidRPr="00CF4066" w:rsidRDefault="00441178" w:rsidP="00441178">
      <w:pPr>
        <w:pStyle w:val="Textonotapie"/>
        <w:ind w:firstLine="708"/>
        <w:contextualSpacing/>
        <w:jc w:val="both"/>
        <w:rPr>
          <w:rFonts w:ascii="Century Gothic" w:hAnsi="Century Gothic" w:cs="Arial"/>
          <w:color w:val="000000"/>
          <w:sz w:val="14"/>
          <w:szCs w:val="14"/>
          <w:lang w:val="es-ES"/>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w:t>
      </w:r>
      <w:r w:rsidRPr="00CF4066">
        <w:rPr>
          <w:rFonts w:ascii="Century Gothic" w:hAnsi="Century Gothic" w:cs="Arial"/>
          <w:color w:val="000000"/>
          <w:sz w:val="14"/>
          <w:szCs w:val="14"/>
          <w:lang w:val="es-ES"/>
        </w:rPr>
        <w:t>“</w:t>
      </w:r>
      <w:r w:rsidRPr="00CF4066">
        <w:rPr>
          <w:rFonts w:ascii="Century Gothic" w:hAnsi="Century Gothic" w:cs="Arial"/>
          <w:sz w:val="14"/>
          <w:szCs w:val="14"/>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CF4066">
        <w:rPr>
          <w:rFonts w:ascii="Century Gothic" w:hAnsi="Century Gothic" w:cs="Arial"/>
          <w:color w:val="000000"/>
          <w:sz w:val="14"/>
          <w:szCs w:val="14"/>
          <w:lang w:val="es-ES"/>
        </w:rPr>
        <w:t>”.</w:t>
      </w:r>
    </w:p>
    <w:p w14:paraId="09F321F0" w14:textId="77777777" w:rsidR="00441178" w:rsidRPr="00CF4066" w:rsidRDefault="00441178" w:rsidP="00441178">
      <w:pPr>
        <w:pStyle w:val="Textonotapie"/>
        <w:ind w:firstLine="708"/>
        <w:contextualSpacing/>
        <w:jc w:val="both"/>
        <w:rPr>
          <w:rFonts w:ascii="Century Gothic" w:hAnsi="Century Gothic" w:cs="Arial"/>
          <w:i/>
          <w:iCs/>
          <w:sz w:val="14"/>
          <w:szCs w:val="14"/>
          <w:lang w:val="es-CO"/>
        </w:rPr>
      </w:pPr>
    </w:p>
  </w:footnote>
  <w:footnote w:id="7">
    <w:p w14:paraId="4F69984D" w14:textId="77777777" w:rsidR="00441178" w:rsidRPr="00CF4066" w:rsidRDefault="00441178" w:rsidP="00441178">
      <w:pPr>
        <w:ind w:firstLine="709"/>
        <w:contextualSpacing/>
        <w:jc w:val="both"/>
        <w:rPr>
          <w:rFonts w:ascii="Century Gothic" w:hAnsi="Century Gothic" w:cs="Arial"/>
          <w:color w:val="000000"/>
          <w:sz w:val="14"/>
          <w:szCs w:val="14"/>
          <w:lang w:val="es-ES"/>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w:t>
      </w:r>
      <w:r w:rsidRPr="00CF4066">
        <w:rPr>
          <w:rFonts w:ascii="Century Gothic" w:hAnsi="Century Gothic" w:cs="Arial"/>
          <w:color w:val="000000"/>
          <w:sz w:val="14"/>
          <w:szCs w:val="14"/>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2" w:history="1">
        <w:r w:rsidRPr="00CF4066">
          <w:rPr>
            <w:rStyle w:val="Hipervnculo"/>
            <w:rFonts w:ascii="Century Gothic" w:hAnsi="Century Gothic" w:cs="Arial"/>
            <w:sz w:val="14"/>
            <w:szCs w:val="14"/>
          </w:rPr>
          <w:t>https://www.colombiacompra.gov.co/sites/cce_public/files/cce_circulares/cce-eicp-ma-06_circular_externa_con_comentarios_de_ciudadanos-_v2f_002.pdf</w:t>
        </w:r>
      </w:hyperlink>
      <w:r w:rsidRPr="00CF4066">
        <w:rPr>
          <w:rFonts w:ascii="Century Gothic" w:hAnsi="Century Gothic" w:cs="Arial"/>
          <w:color w:val="000000"/>
          <w:sz w:val="14"/>
          <w:szCs w:val="14"/>
          <w:lang w:val="es-ES"/>
        </w:rPr>
        <w:t xml:space="preserve"> </w:t>
      </w:r>
    </w:p>
    <w:p w14:paraId="2104B0F2" w14:textId="77777777" w:rsidR="00441178" w:rsidRPr="00CF4066" w:rsidRDefault="00441178" w:rsidP="00441178">
      <w:pPr>
        <w:ind w:firstLine="709"/>
        <w:contextualSpacing/>
        <w:jc w:val="both"/>
        <w:rPr>
          <w:rFonts w:ascii="Century Gothic" w:hAnsi="Century Gothic" w:cs="Arial"/>
          <w:sz w:val="14"/>
          <w:szCs w:val="14"/>
        </w:rPr>
      </w:pPr>
    </w:p>
  </w:footnote>
  <w:footnote w:id="8">
    <w:p w14:paraId="4C04E7C4" w14:textId="77777777" w:rsidR="00441178" w:rsidRPr="00CF4066" w:rsidRDefault="00441178" w:rsidP="00441178">
      <w:pPr>
        <w:pStyle w:val="Textonotapie"/>
        <w:ind w:firstLine="708"/>
        <w:contextualSpacing/>
        <w:jc w:val="both"/>
        <w:rPr>
          <w:rFonts w:ascii="Century Gothic" w:hAnsi="Century Gothic" w:cs="Arial"/>
          <w:sz w:val="14"/>
          <w:szCs w:val="14"/>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Corte Constitucional. Sentencia C-277 del 19 de junio de 2019. M.P. Carlos Bernal Pulido.</w:t>
      </w:r>
    </w:p>
    <w:p w14:paraId="733C185A" w14:textId="77777777" w:rsidR="00441178" w:rsidRPr="00CF4066" w:rsidRDefault="00441178" w:rsidP="00441178">
      <w:pPr>
        <w:pStyle w:val="Textonotapie"/>
        <w:ind w:firstLine="708"/>
        <w:contextualSpacing/>
        <w:jc w:val="both"/>
        <w:rPr>
          <w:rFonts w:ascii="Century Gothic" w:hAnsi="Century Gothic" w:cs="Arial"/>
          <w:sz w:val="14"/>
          <w:szCs w:val="14"/>
          <w:lang w:val="es-CO"/>
        </w:rPr>
      </w:pPr>
    </w:p>
  </w:footnote>
  <w:footnote w:id="9">
    <w:p w14:paraId="637F1FD7" w14:textId="77777777" w:rsidR="00441178" w:rsidRPr="00CF4066" w:rsidRDefault="00441178" w:rsidP="00441178">
      <w:pPr>
        <w:pStyle w:val="Textonotapie"/>
        <w:ind w:firstLine="708"/>
        <w:contextualSpacing/>
        <w:rPr>
          <w:rFonts w:ascii="Century Gothic" w:hAnsi="Century Gothic" w:cs="Arial"/>
          <w:sz w:val="14"/>
          <w:szCs w:val="14"/>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w:t>
      </w:r>
      <w:r w:rsidRPr="00CF4066">
        <w:rPr>
          <w:rFonts w:ascii="Century Gothic" w:hAnsi="Century Gothic" w:cs="Arial"/>
          <w:i/>
          <w:iCs/>
          <w:sz w:val="14"/>
          <w:szCs w:val="14"/>
        </w:rPr>
        <w:t>Ibidem</w:t>
      </w:r>
      <w:r w:rsidRPr="00CF4066">
        <w:rPr>
          <w:rFonts w:ascii="Century Gothic" w:hAnsi="Century Gothic" w:cs="Arial"/>
          <w:sz w:val="14"/>
          <w:szCs w:val="14"/>
        </w:rPr>
        <w:t xml:space="preserve">. </w:t>
      </w:r>
    </w:p>
    <w:p w14:paraId="1EF571B8" w14:textId="77777777" w:rsidR="00441178" w:rsidRPr="00CF4066" w:rsidRDefault="00441178" w:rsidP="00441178">
      <w:pPr>
        <w:pStyle w:val="Textonotapie"/>
        <w:ind w:firstLine="708"/>
        <w:contextualSpacing/>
        <w:rPr>
          <w:rFonts w:ascii="Century Gothic" w:hAnsi="Century Gothic" w:cs="Arial"/>
          <w:sz w:val="14"/>
          <w:szCs w:val="14"/>
          <w:lang w:val="es-CO"/>
        </w:rPr>
      </w:pPr>
    </w:p>
  </w:footnote>
  <w:footnote w:id="10">
    <w:p w14:paraId="491867ED" w14:textId="77777777" w:rsidR="00441178" w:rsidRPr="00CF4066" w:rsidRDefault="00441178" w:rsidP="00441178">
      <w:pPr>
        <w:pStyle w:val="Car1"/>
        <w:ind w:firstLine="709"/>
        <w:contextualSpacing/>
        <w:jc w:val="both"/>
        <w:rPr>
          <w:rFonts w:ascii="Century Gothic" w:hAnsi="Century Gothic" w:cs="Arial"/>
          <w:color w:val="000000"/>
          <w:sz w:val="14"/>
          <w:szCs w:val="14"/>
          <w:lang w:val="es-ES"/>
        </w:rPr>
      </w:pPr>
      <w:r w:rsidRPr="00CF4066">
        <w:rPr>
          <w:rStyle w:val="Refdenotaalpie"/>
          <w:rFonts w:ascii="Century Gothic" w:hAnsi="Century Gothic" w:cs="Arial"/>
          <w:sz w:val="14"/>
          <w:szCs w:val="14"/>
        </w:rPr>
        <w:footnoteRef/>
      </w:r>
      <w:r w:rsidRPr="00CF4066">
        <w:rPr>
          <w:rFonts w:ascii="Century Gothic" w:hAnsi="Century Gothic" w:cs="Arial"/>
          <w:color w:val="000000"/>
          <w:sz w:val="14"/>
          <w:szCs w:val="14"/>
          <w:lang w:val="es-ES"/>
        </w:rPr>
        <w:t>“</w:t>
      </w:r>
      <w:r w:rsidRPr="00CF4066">
        <w:rPr>
          <w:rFonts w:ascii="Century Gothic" w:hAnsi="Century Gothic" w:cs="Arial"/>
          <w:color w:val="000000"/>
          <w:sz w:val="14"/>
          <w:szCs w:val="14"/>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CF4066">
        <w:rPr>
          <w:rFonts w:ascii="Century Gothic" w:hAnsi="Century Gothic" w:cs="Arial"/>
          <w:color w:val="000000"/>
          <w:sz w:val="14"/>
          <w:szCs w:val="14"/>
          <w:lang w:val="es-ES"/>
        </w:rPr>
        <w:t>”.</w:t>
      </w:r>
    </w:p>
    <w:p w14:paraId="4857BEE5" w14:textId="77777777" w:rsidR="00441178" w:rsidRPr="00CF4066" w:rsidRDefault="00441178" w:rsidP="00441178">
      <w:pPr>
        <w:pStyle w:val="Textonotapie"/>
        <w:contextualSpacing/>
        <w:rPr>
          <w:rFonts w:ascii="Century Gothic" w:hAnsi="Century Gothic" w:cs="Arial"/>
          <w:sz w:val="14"/>
          <w:szCs w:val="14"/>
          <w:lang w:val="es-ES"/>
        </w:rPr>
      </w:pPr>
    </w:p>
  </w:footnote>
  <w:footnote w:id="11">
    <w:p w14:paraId="69434230" w14:textId="77777777" w:rsidR="00441178" w:rsidRPr="00CF4066" w:rsidRDefault="00441178" w:rsidP="00441178">
      <w:pPr>
        <w:pStyle w:val="Textonotapie"/>
        <w:ind w:firstLine="708"/>
        <w:contextualSpacing/>
        <w:jc w:val="both"/>
        <w:rPr>
          <w:rFonts w:ascii="Century Gothic" w:hAnsi="Century Gothic" w:cs="Arial"/>
          <w:sz w:val="14"/>
          <w:szCs w:val="14"/>
          <w:lang w:val="es-CO"/>
        </w:rPr>
      </w:pPr>
      <w:r w:rsidRPr="00CF4066">
        <w:rPr>
          <w:rStyle w:val="Refdenotaalpie"/>
          <w:rFonts w:ascii="Century Gothic" w:hAnsi="Century Gothic" w:cs="Arial"/>
          <w:sz w:val="14"/>
          <w:szCs w:val="14"/>
        </w:rPr>
        <w:footnoteRef/>
      </w:r>
      <w:r w:rsidRPr="00CF4066">
        <w:rPr>
          <w:rFonts w:ascii="Century Gothic" w:hAnsi="Century Gothic" w:cs="Arial"/>
          <w:sz w:val="14"/>
          <w:szCs w:val="14"/>
        </w:rPr>
        <w:t xml:space="preserve"> CORTE CONSTITUCIONAL. Sentencia C-277 del 19 de junio de 2019. M.P. Carlos Bernal Pulido.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290670214">
    <w:abstractNumId w:val="7"/>
  </w:num>
  <w:num w:numId="2" w16cid:durableId="4285022">
    <w:abstractNumId w:val="3"/>
  </w:num>
  <w:num w:numId="3" w16cid:durableId="881983949">
    <w:abstractNumId w:val="4"/>
  </w:num>
  <w:num w:numId="4" w16cid:durableId="341274352">
    <w:abstractNumId w:val="1"/>
  </w:num>
  <w:num w:numId="5" w16cid:durableId="1887524674">
    <w:abstractNumId w:val="9"/>
  </w:num>
  <w:num w:numId="6" w16cid:durableId="1082990391">
    <w:abstractNumId w:val="2"/>
  </w:num>
  <w:num w:numId="7" w16cid:durableId="1492209491">
    <w:abstractNumId w:val="6"/>
  </w:num>
  <w:num w:numId="8" w16cid:durableId="679089576">
    <w:abstractNumId w:val="8"/>
  </w:num>
  <w:num w:numId="9" w16cid:durableId="1995644544">
    <w:abstractNumId w:val="11"/>
  </w:num>
  <w:num w:numId="10" w16cid:durableId="1264656397">
    <w:abstractNumId w:val="10"/>
  </w:num>
  <w:num w:numId="11" w16cid:durableId="736322695">
    <w:abstractNumId w:val="12"/>
  </w:num>
  <w:num w:numId="12" w16cid:durableId="462388624">
    <w:abstractNumId w:val="14"/>
  </w:num>
  <w:num w:numId="13" w16cid:durableId="461969141">
    <w:abstractNumId w:val="13"/>
  </w:num>
  <w:num w:numId="14" w16cid:durableId="787093055">
    <w:abstractNumId w:val="0"/>
  </w:num>
  <w:num w:numId="15" w16cid:durableId="683870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F8F"/>
    <w:rsid w:val="00005BB0"/>
    <w:rsid w:val="0001025F"/>
    <w:rsid w:val="00011A77"/>
    <w:rsid w:val="0001222D"/>
    <w:rsid w:val="000135EB"/>
    <w:rsid w:val="00015D2B"/>
    <w:rsid w:val="00023823"/>
    <w:rsid w:val="0002558A"/>
    <w:rsid w:val="00031584"/>
    <w:rsid w:val="00032A0E"/>
    <w:rsid w:val="00037347"/>
    <w:rsid w:val="00040A35"/>
    <w:rsid w:val="000442CC"/>
    <w:rsid w:val="00045B79"/>
    <w:rsid w:val="000556D4"/>
    <w:rsid w:val="000716AB"/>
    <w:rsid w:val="00082E4C"/>
    <w:rsid w:val="000849D5"/>
    <w:rsid w:val="0008528F"/>
    <w:rsid w:val="00090E20"/>
    <w:rsid w:val="000A6E0C"/>
    <w:rsid w:val="000A7A56"/>
    <w:rsid w:val="000B1FF7"/>
    <w:rsid w:val="000B2513"/>
    <w:rsid w:val="000B4024"/>
    <w:rsid w:val="000B5FFE"/>
    <w:rsid w:val="000C3C51"/>
    <w:rsid w:val="000C7262"/>
    <w:rsid w:val="000D2A7F"/>
    <w:rsid w:val="000D49FB"/>
    <w:rsid w:val="000D4FCE"/>
    <w:rsid w:val="000E670C"/>
    <w:rsid w:val="000F2DCB"/>
    <w:rsid w:val="001079A9"/>
    <w:rsid w:val="0011037E"/>
    <w:rsid w:val="00124D0E"/>
    <w:rsid w:val="001363C7"/>
    <w:rsid w:val="00141AC5"/>
    <w:rsid w:val="00146B11"/>
    <w:rsid w:val="00147A04"/>
    <w:rsid w:val="0015476D"/>
    <w:rsid w:val="00161E13"/>
    <w:rsid w:val="00164AE0"/>
    <w:rsid w:val="00165E83"/>
    <w:rsid w:val="00166CD7"/>
    <w:rsid w:val="001706BC"/>
    <w:rsid w:val="0017120C"/>
    <w:rsid w:val="00172F3A"/>
    <w:rsid w:val="0019532A"/>
    <w:rsid w:val="0019670E"/>
    <w:rsid w:val="00197205"/>
    <w:rsid w:val="00197C18"/>
    <w:rsid w:val="001A5DD4"/>
    <w:rsid w:val="001A67E9"/>
    <w:rsid w:val="001B0DE5"/>
    <w:rsid w:val="001B143B"/>
    <w:rsid w:val="001B21CA"/>
    <w:rsid w:val="001B5566"/>
    <w:rsid w:val="001C04FC"/>
    <w:rsid w:val="001C25A3"/>
    <w:rsid w:val="001C5D03"/>
    <w:rsid w:val="001C7771"/>
    <w:rsid w:val="001D62FF"/>
    <w:rsid w:val="001E2B8E"/>
    <w:rsid w:val="001E5CC4"/>
    <w:rsid w:val="001F3F48"/>
    <w:rsid w:val="002000AA"/>
    <w:rsid w:val="00203EBB"/>
    <w:rsid w:val="00204109"/>
    <w:rsid w:val="0021026D"/>
    <w:rsid w:val="00211E6E"/>
    <w:rsid w:val="00212A46"/>
    <w:rsid w:val="0021401D"/>
    <w:rsid w:val="002146B8"/>
    <w:rsid w:val="00215516"/>
    <w:rsid w:val="00217786"/>
    <w:rsid w:val="00235798"/>
    <w:rsid w:val="00244C79"/>
    <w:rsid w:val="002527C2"/>
    <w:rsid w:val="002536F1"/>
    <w:rsid w:val="00270443"/>
    <w:rsid w:val="00270EE2"/>
    <w:rsid w:val="00272972"/>
    <w:rsid w:val="0028252D"/>
    <w:rsid w:val="00285F49"/>
    <w:rsid w:val="00286491"/>
    <w:rsid w:val="00291A05"/>
    <w:rsid w:val="002A097D"/>
    <w:rsid w:val="002A0F8D"/>
    <w:rsid w:val="002A65BB"/>
    <w:rsid w:val="002B6E44"/>
    <w:rsid w:val="002D5318"/>
    <w:rsid w:val="002D580F"/>
    <w:rsid w:val="002E1DB5"/>
    <w:rsid w:val="002F3468"/>
    <w:rsid w:val="002F6CCB"/>
    <w:rsid w:val="00300925"/>
    <w:rsid w:val="00304090"/>
    <w:rsid w:val="0030461E"/>
    <w:rsid w:val="00326A6B"/>
    <w:rsid w:val="0032756A"/>
    <w:rsid w:val="003304E0"/>
    <w:rsid w:val="00334EF8"/>
    <w:rsid w:val="00336408"/>
    <w:rsid w:val="00340DFB"/>
    <w:rsid w:val="0034404F"/>
    <w:rsid w:val="003471E6"/>
    <w:rsid w:val="00356980"/>
    <w:rsid w:val="003639DA"/>
    <w:rsid w:val="00367462"/>
    <w:rsid w:val="00371ECA"/>
    <w:rsid w:val="00372748"/>
    <w:rsid w:val="0037332A"/>
    <w:rsid w:val="0037524E"/>
    <w:rsid w:val="0038151A"/>
    <w:rsid w:val="0039082A"/>
    <w:rsid w:val="00390C21"/>
    <w:rsid w:val="003A37BD"/>
    <w:rsid w:val="003B6D94"/>
    <w:rsid w:val="003C0DF9"/>
    <w:rsid w:val="003C4C96"/>
    <w:rsid w:val="003C55E0"/>
    <w:rsid w:val="003E36FF"/>
    <w:rsid w:val="003F519B"/>
    <w:rsid w:val="00404EAA"/>
    <w:rsid w:val="0040544F"/>
    <w:rsid w:val="00406A19"/>
    <w:rsid w:val="0041222D"/>
    <w:rsid w:val="0041483E"/>
    <w:rsid w:val="00415369"/>
    <w:rsid w:val="004221C8"/>
    <w:rsid w:val="00430492"/>
    <w:rsid w:val="00432FFE"/>
    <w:rsid w:val="00437D03"/>
    <w:rsid w:val="00441178"/>
    <w:rsid w:val="0044773D"/>
    <w:rsid w:val="00450BE7"/>
    <w:rsid w:val="0046741E"/>
    <w:rsid w:val="00472CC6"/>
    <w:rsid w:val="0048026E"/>
    <w:rsid w:val="004807A9"/>
    <w:rsid w:val="004813EE"/>
    <w:rsid w:val="00484FBA"/>
    <w:rsid w:val="00490C3E"/>
    <w:rsid w:val="00493278"/>
    <w:rsid w:val="004943D9"/>
    <w:rsid w:val="004A0E7B"/>
    <w:rsid w:val="004A2F28"/>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07F7"/>
    <w:rsid w:val="0052365C"/>
    <w:rsid w:val="005271EB"/>
    <w:rsid w:val="005426DB"/>
    <w:rsid w:val="0055082B"/>
    <w:rsid w:val="00552503"/>
    <w:rsid w:val="00552B57"/>
    <w:rsid w:val="00557DA1"/>
    <w:rsid w:val="0056322C"/>
    <w:rsid w:val="00586562"/>
    <w:rsid w:val="0058743A"/>
    <w:rsid w:val="005A4DB0"/>
    <w:rsid w:val="005A7B8E"/>
    <w:rsid w:val="005B012B"/>
    <w:rsid w:val="005B0C87"/>
    <w:rsid w:val="005B239B"/>
    <w:rsid w:val="005B56F6"/>
    <w:rsid w:val="005C273B"/>
    <w:rsid w:val="005C4978"/>
    <w:rsid w:val="005D23F6"/>
    <w:rsid w:val="005D2FA8"/>
    <w:rsid w:val="005E2281"/>
    <w:rsid w:val="005E667C"/>
    <w:rsid w:val="005E6DB2"/>
    <w:rsid w:val="005F077C"/>
    <w:rsid w:val="005F50D7"/>
    <w:rsid w:val="005F5F33"/>
    <w:rsid w:val="005F63D0"/>
    <w:rsid w:val="005F7973"/>
    <w:rsid w:val="00606D1F"/>
    <w:rsid w:val="0061690E"/>
    <w:rsid w:val="00627361"/>
    <w:rsid w:val="0063017E"/>
    <w:rsid w:val="00631B28"/>
    <w:rsid w:val="006450EE"/>
    <w:rsid w:val="00645B90"/>
    <w:rsid w:val="00650991"/>
    <w:rsid w:val="006511D7"/>
    <w:rsid w:val="006528D6"/>
    <w:rsid w:val="00653E3C"/>
    <w:rsid w:val="00663D75"/>
    <w:rsid w:val="0066531E"/>
    <w:rsid w:val="00670AEF"/>
    <w:rsid w:val="00673FF4"/>
    <w:rsid w:val="00675678"/>
    <w:rsid w:val="00676A8B"/>
    <w:rsid w:val="00677012"/>
    <w:rsid w:val="006825B4"/>
    <w:rsid w:val="00682AF2"/>
    <w:rsid w:val="006864DF"/>
    <w:rsid w:val="006A1D37"/>
    <w:rsid w:val="006A3C8A"/>
    <w:rsid w:val="006A7552"/>
    <w:rsid w:val="006B5953"/>
    <w:rsid w:val="006B7A81"/>
    <w:rsid w:val="006C4BAC"/>
    <w:rsid w:val="006C52F3"/>
    <w:rsid w:val="006D570B"/>
    <w:rsid w:val="006D702C"/>
    <w:rsid w:val="006E1F18"/>
    <w:rsid w:val="006E7F37"/>
    <w:rsid w:val="006F3B81"/>
    <w:rsid w:val="006F4F79"/>
    <w:rsid w:val="00705B37"/>
    <w:rsid w:val="00711FD9"/>
    <w:rsid w:val="00735062"/>
    <w:rsid w:val="00745400"/>
    <w:rsid w:val="00746BA5"/>
    <w:rsid w:val="00751D23"/>
    <w:rsid w:val="00770577"/>
    <w:rsid w:val="00777666"/>
    <w:rsid w:val="0078159B"/>
    <w:rsid w:val="0078296B"/>
    <w:rsid w:val="00782E10"/>
    <w:rsid w:val="0078706B"/>
    <w:rsid w:val="00790836"/>
    <w:rsid w:val="00797131"/>
    <w:rsid w:val="007A3C1D"/>
    <w:rsid w:val="007B285D"/>
    <w:rsid w:val="007C6BC6"/>
    <w:rsid w:val="00807D79"/>
    <w:rsid w:val="00813634"/>
    <w:rsid w:val="00822821"/>
    <w:rsid w:val="00831C29"/>
    <w:rsid w:val="008430A8"/>
    <w:rsid w:val="008431EA"/>
    <w:rsid w:val="008431EF"/>
    <w:rsid w:val="008468E0"/>
    <w:rsid w:val="00865FBA"/>
    <w:rsid w:val="00871B59"/>
    <w:rsid w:val="00876251"/>
    <w:rsid w:val="00877D03"/>
    <w:rsid w:val="00877E96"/>
    <w:rsid w:val="008806CA"/>
    <w:rsid w:val="008815E5"/>
    <w:rsid w:val="00881D8B"/>
    <w:rsid w:val="00887B37"/>
    <w:rsid w:val="008909B9"/>
    <w:rsid w:val="00891DFC"/>
    <w:rsid w:val="008B12B4"/>
    <w:rsid w:val="008B7914"/>
    <w:rsid w:val="008C5D2A"/>
    <w:rsid w:val="008C7AF4"/>
    <w:rsid w:val="008D1EB8"/>
    <w:rsid w:val="008D529F"/>
    <w:rsid w:val="008F02FB"/>
    <w:rsid w:val="008F5CC8"/>
    <w:rsid w:val="009061B8"/>
    <w:rsid w:val="00906A90"/>
    <w:rsid w:val="0091008B"/>
    <w:rsid w:val="00911EA2"/>
    <w:rsid w:val="00916C7D"/>
    <w:rsid w:val="00923D6E"/>
    <w:rsid w:val="0092575D"/>
    <w:rsid w:val="009341DA"/>
    <w:rsid w:val="009430F9"/>
    <w:rsid w:val="009442E8"/>
    <w:rsid w:val="009457B6"/>
    <w:rsid w:val="009466BA"/>
    <w:rsid w:val="00946BD0"/>
    <w:rsid w:val="00951593"/>
    <w:rsid w:val="00953F42"/>
    <w:rsid w:val="0095426C"/>
    <w:rsid w:val="00962196"/>
    <w:rsid w:val="00970087"/>
    <w:rsid w:val="00971074"/>
    <w:rsid w:val="0098266D"/>
    <w:rsid w:val="00987B8D"/>
    <w:rsid w:val="00993749"/>
    <w:rsid w:val="00995D86"/>
    <w:rsid w:val="009A5453"/>
    <w:rsid w:val="009B1186"/>
    <w:rsid w:val="009B4D94"/>
    <w:rsid w:val="009C2871"/>
    <w:rsid w:val="009C7CB5"/>
    <w:rsid w:val="009D2600"/>
    <w:rsid w:val="009D3C33"/>
    <w:rsid w:val="009D7F3A"/>
    <w:rsid w:val="009E4885"/>
    <w:rsid w:val="009F5A6D"/>
    <w:rsid w:val="00A03E81"/>
    <w:rsid w:val="00A07DB6"/>
    <w:rsid w:val="00A10A73"/>
    <w:rsid w:val="00A115F6"/>
    <w:rsid w:val="00A170B3"/>
    <w:rsid w:val="00A223D5"/>
    <w:rsid w:val="00A37D1C"/>
    <w:rsid w:val="00A47318"/>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B1984"/>
    <w:rsid w:val="00AB52B1"/>
    <w:rsid w:val="00AC1CAB"/>
    <w:rsid w:val="00AC4CB3"/>
    <w:rsid w:val="00AC780D"/>
    <w:rsid w:val="00AD036B"/>
    <w:rsid w:val="00AD1996"/>
    <w:rsid w:val="00AD4099"/>
    <w:rsid w:val="00AD4901"/>
    <w:rsid w:val="00AE3817"/>
    <w:rsid w:val="00AE5EC3"/>
    <w:rsid w:val="00B02FE0"/>
    <w:rsid w:val="00B057B6"/>
    <w:rsid w:val="00B118C5"/>
    <w:rsid w:val="00B30448"/>
    <w:rsid w:val="00B34786"/>
    <w:rsid w:val="00B400EC"/>
    <w:rsid w:val="00B40162"/>
    <w:rsid w:val="00B41ACE"/>
    <w:rsid w:val="00B50156"/>
    <w:rsid w:val="00B518AD"/>
    <w:rsid w:val="00B60A96"/>
    <w:rsid w:val="00B678EC"/>
    <w:rsid w:val="00B73DDD"/>
    <w:rsid w:val="00B76C94"/>
    <w:rsid w:val="00B772D0"/>
    <w:rsid w:val="00B836EA"/>
    <w:rsid w:val="00B84C05"/>
    <w:rsid w:val="00B91B81"/>
    <w:rsid w:val="00B97135"/>
    <w:rsid w:val="00BB3072"/>
    <w:rsid w:val="00BC7632"/>
    <w:rsid w:val="00BD48A9"/>
    <w:rsid w:val="00BD630F"/>
    <w:rsid w:val="00BD7EC6"/>
    <w:rsid w:val="00BE3E91"/>
    <w:rsid w:val="00BE45FE"/>
    <w:rsid w:val="00BE50C7"/>
    <w:rsid w:val="00BE73FA"/>
    <w:rsid w:val="00BF5C2A"/>
    <w:rsid w:val="00BF6B4B"/>
    <w:rsid w:val="00BF6E77"/>
    <w:rsid w:val="00C0511C"/>
    <w:rsid w:val="00C05DED"/>
    <w:rsid w:val="00C20ACF"/>
    <w:rsid w:val="00C22307"/>
    <w:rsid w:val="00C230AA"/>
    <w:rsid w:val="00C23469"/>
    <w:rsid w:val="00C30C62"/>
    <w:rsid w:val="00C315BE"/>
    <w:rsid w:val="00C371DF"/>
    <w:rsid w:val="00C42055"/>
    <w:rsid w:val="00C44B4C"/>
    <w:rsid w:val="00C46734"/>
    <w:rsid w:val="00C47A86"/>
    <w:rsid w:val="00C53220"/>
    <w:rsid w:val="00CA3347"/>
    <w:rsid w:val="00CA41EF"/>
    <w:rsid w:val="00CB28AD"/>
    <w:rsid w:val="00CC299A"/>
    <w:rsid w:val="00CD03E3"/>
    <w:rsid w:val="00CD3DF5"/>
    <w:rsid w:val="00CD4B04"/>
    <w:rsid w:val="00CE6BDA"/>
    <w:rsid w:val="00CF26FF"/>
    <w:rsid w:val="00D03DBE"/>
    <w:rsid w:val="00D072C0"/>
    <w:rsid w:val="00D131D2"/>
    <w:rsid w:val="00D33A2B"/>
    <w:rsid w:val="00D34C82"/>
    <w:rsid w:val="00D3515F"/>
    <w:rsid w:val="00D3757A"/>
    <w:rsid w:val="00D504A9"/>
    <w:rsid w:val="00D5206D"/>
    <w:rsid w:val="00D53CEB"/>
    <w:rsid w:val="00D7177D"/>
    <w:rsid w:val="00D81311"/>
    <w:rsid w:val="00D951AD"/>
    <w:rsid w:val="00DB1F59"/>
    <w:rsid w:val="00DB201E"/>
    <w:rsid w:val="00DB5D94"/>
    <w:rsid w:val="00DC0E68"/>
    <w:rsid w:val="00DC5D8C"/>
    <w:rsid w:val="00DC744B"/>
    <w:rsid w:val="00DD25ED"/>
    <w:rsid w:val="00DD68B2"/>
    <w:rsid w:val="00DE0D6E"/>
    <w:rsid w:val="00DE3E5A"/>
    <w:rsid w:val="00DF6F0B"/>
    <w:rsid w:val="00E1610C"/>
    <w:rsid w:val="00E16D73"/>
    <w:rsid w:val="00E23E9E"/>
    <w:rsid w:val="00E25722"/>
    <w:rsid w:val="00E27851"/>
    <w:rsid w:val="00E27F0A"/>
    <w:rsid w:val="00E4231E"/>
    <w:rsid w:val="00E4302C"/>
    <w:rsid w:val="00E44AC7"/>
    <w:rsid w:val="00E45F4B"/>
    <w:rsid w:val="00E50E08"/>
    <w:rsid w:val="00E60A16"/>
    <w:rsid w:val="00E82B6E"/>
    <w:rsid w:val="00E83657"/>
    <w:rsid w:val="00E92110"/>
    <w:rsid w:val="00E94258"/>
    <w:rsid w:val="00E947BD"/>
    <w:rsid w:val="00E96C18"/>
    <w:rsid w:val="00EA0B9C"/>
    <w:rsid w:val="00EA2E61"/>
    <w:rsid w:val="00EA7D7F"/>
    <w:rsid w:val="00EB01B5"/>
    <w:rsid w:val="00EB02F4"/>
    <w:rsid w:val="00EB2FA2"/>
    <w:rsid w:val="00EB769A"/>
    <w:rsid w:val="00EC3A35"/>
    <w:rsid w:val="00ED2BF0"/>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5B7"/>
    <w:rsid w:val="00F34E90"/>
    <w:rsid w:val="00F356D6"/>
    <w:rsid w:val="00F47695"/>
    <w:rsid w:val="00F53BE2"/>
    <w:rsid w:val="00F55684"/>
    <w:rsid w:val="00F57881"/>
    <w:rsid w:val="00F64D5A"/>
    <w:rsid w:val="00F675FB"/>
    <w:rsid w:val="00F709CD"/>
    <w:rsid w:val="00F906F4"/>
    <w:rsid w:val="00FA0716"/>
    <w:rsid w:val="00FB4629"/>
    <w:rsid w:val="00FB6FB1"/>
    <w:rsid w:val="00FB7063"/>
    <w:rsid w:val="00FC302F"/>
    <w:rsid w:val="00FC5FA1"/>
    <w:rsid w:val="00FC7056"/>
    <w:rsid w:val="00FE1A00"/>
    <w:rsid w:val="00FF2059"/>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eicp-ma-06_circular_externa_con_comentarios_de_ciudadanos-_v2f_002.pdf" TargetMode="External"/><Relationship Id="rId1" Type="http://schemas.openxmlformats.org/officeDocument/2006/relationships/hyperlink" Target="https://www.libretamilitar.mil.co/Modules/Account/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14</Pages>
  <Words>3412</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Maria Valeska Medellín Mora</cp:lastModifiedBy>
  <cp:revision>125</cp:revision>
  <dcterms:created xsi:type="dcterms:W3CDTF">2024-07-04T20:24:00Z</dcterms:created>
  <dcterms:modified xsi:type="dcterms:W3CDTF">2024-08-01T21:02:00Z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