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64675" w:rsidR="00764675" w:rsidP="008A5AC0" w:rsidRDefault="00764675" w14:paraId="7867A964" w14:textId="7FDDDADC">
      <w:pPr>
        <w:tabs>
          <w:tab w:val="left" w:pos="709"/>
        </w:tabs>
        <w:spacing w:after="0" w:line="276" w:lineRule="auto"/>
        <w:jc w:val="both"/>
        <w:rPr>
          <w:rFonts w:ascii="Verdana" w:hAnsi="Verdana" w:eastAsia="Calibri" w:cs="Arial"/>
          <w:b/>
          <w:kern w:val="2"/>
          <w:lang w:val="es-MX"/>
          <w14:ligatures w14:val="standardContextual"/>
        </w:rPr>
      </w:pPr>
      <w:r w:rsidRPr="00764675">
        <w:rPr>
          <w:rFonts w:ascii="Verdana" w:hAnsi="Verdana" w:eastAsia="Calibri" w:cs="Arial"/>
          <w:b/>
          <w:kern w:val="2"/>
          <w:lang w:val="es-MX"/>
          <w14:ligatures w14:val="standardContextual"/>
        </w:rPr>
        <w:t xml:space="preserve">SISTEMA GENERAL DE REGALÍAS – Ley 2056 de 2020 – Régimen contractual – Entidades ejecutoras – Aplicación del Estatuto General de Contratación de la Administración Pública </w:t>
      </w:r>
    </w:p>
    <w:p w:rsidRPr="00764675" w:rsidR="00764675" w:rsidP="008A5AC0" w:rsidRDefault="00764675" w14:paraId="3BDA6846" w14:textId="77777777">
      <w:pPr>
        <w:spacing w:after="0" w:line="240" w:lineRule="auto"/>
        <w:jc w:val="both"/>
        <w:rPr>
          <w:rFonts w:ascii="Verdana" w:hAnsi="Verdana" w:eastAsia="Aptos" w:cs="Arial"/>
          <w:kern w:val="2"/>
          <w:lang w:val="es-ES_tradnl"/>
          <w14:ligatures w14:val="standardContextual"/>
        </w:rPr>
      </w:pPr>
    </w:p>
    <w:p w:rsidRPr="008A5AC0" w:rsidR="008A5AC0" w:rsidP="65C877AB" w:rsidRDefault="008A5AC0" w14:paraId="7E3D242D" w14:textId="5C8E541C">
      <w:pPr>
        <w:snapToGrid w:val="0"/>
        <w:spacing w:after="0" w:line="240" w:lineRule="auto"/>
        <w:jc w:val="both"/>
        <w:rPr>
          <w:rFonts w:ascii="Verdana" w:hAnsi="Verdana" w:eastAsia="Aptos" w:cs="Arial"/>
          <w:kern w:val="2"/>
          <w:sz w:val="20"/>
          <w:szCs w:val="20"/>
          <w:lang w:val="es-ES"/>
          <w14:ligatures w14:val="standardContextual"/>
        </w:rPr>
      </w:pPr>
      <w:r w:rsidRPr="65C877AB" w:rsidR="008A5AC0">
        <w:rPr>
          <w:rFonts w:ascii="Verdana" w:hAnsi="Verdana" w:eastAsia="Aptos" w:cs="Arial"/>
          <w:kern w:val="2"/>
          <w:sz w:val="20"/>
          <w:szCs w:val="20"/>
          <w:lang w:val="es-ES"/>
          <w14:ligatures w14:val="standardContextual"/>
        </w:rPr>
        <w:t xml:space="preserve">iv) El artículo 37 de la Ley 2056 de 2020 dispone que los proyectos de inversión que se financien con cargo al Sistema General de Regalías serán ejecutados por quien designe las entidades u órganos de que tratan los artículos 35 y 36 </w:t>
      </w:r>
      <w:r w:rsidRPr="65C877AB" w:rsidR="008A5AC0">
        <w:rPr>
          <w:rFonts w:ascii="Verdana" w:hAnsi="Verdana" w:eastAsia="Aptos" w:cs="Arial"/>
          <w:i w:val="1"/>
          <w:iCs w:val="1"/>
          <w:kern w:val="2"/>
          <w:sz w:val="20"/>
          <w:szCs w:val="20"/>
          <w:lang w:val="es-ES"/>
          <w14:ligatures w14:val="standardContextual"/>
        </w:rPr>
        <w:t>ibidem</w:t>
      </w:r>
      <w:r w:rsidRPr="65C877AB" w:rsidR="008A5AC0">
        <w:rPr>
          <w:rFonts w:ascii="Verdana" w:hAnsi="Verdana" w:eastAsia="Aptos" w:cs="Arial"/>
          <w:kern w:val="2"/>
          <w:sz w:val="20"/>
          <w:szCs w:val="20"/>
          <w:lang w:val="es-ES"/>
          <w14:ligatures w14:val="standardContextual"/>
        </w:rPr>
        <w:t>. También agrega que la entidad pública ejecutora tiene el deber de adelantar la contratación de la interventoría, de conformidad con lo previsto en la presente ley</w:t>
      </w:r>
      <w:r w:rsidRPr="65C877AB" w:rsidR="008A5AC0">
        <w:rPr>
          <w:rFonts w:ascii="Verdana" w:hAnsi="Verdana" w:eastAsia="Aptos" w:cs="Arial"/>
          <w:kern w:val="2"/>
          <w:sz w:val="20"/>
          <w:szCs w:val="20"/>
          <w:lang w:val="es-ES"/>
          <w14:ligatures w14:val="standardContextual"/>
        </w:rPr>
        <w:t xml:space="preserve">. </w:t>
      </w:r>
      <w:r w:rsidRPr="65C877AB" w:rsidR="008A5AC0">
        <w:rPr>
          <w:rFonts w:ascii="Verdana" w:hAnsi="Verdana" w:eastAsia="Aptos" w:cs="Arial"/>
          <w:kern w:val="2"/>
          <w:sz w:val="20"/>
          <w:szCs w:val="20"/>
          <w:lang w:val="es-ES"/>
          <w14:ligatures w14:val="standardContextual"/>
        </w:rPr>
        <w:t xml:space="preserve">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w:t>
      </w:r>
      <w:r w:rsidRPr="65C877AB" w:rsidR="008A5AC0">
        <w:rPr>
          <w:rFonts w:ascii="Verdana" w:hAnsi="Verdana" w:eastAsia="Aptos" w:cs="Arial"/>
          <w:kern w:val="2"/>
          <w:sz w:val="20"/>
          <w:szCs w:val="20"/>
          <w:lang w:val="es-ES"/>
          <w14:ligatures w14:val="standardContextual"/>
        </w:rPr>
        <w:t xml:space="preserve"> </w:t>
      </w:r>
    </w:p>
    <w:p w:rsidRPr="008A5AC0" w:rsidR="008A5AC0" w:rsidP="008A5AC0" w:rsidRDefault="008A5AC0" w14:paraId="0AA1CAFC" w14:textId="77777777">
      <w:pPr>
        <w:snapToGrid w:val="0"/>
        <w:spacing w:after="0" w:line="240" w:lineRule="auto"/>
        <w:jc w:val="both"/>
        <w:rPr>
          <w:rFonts w:ascii="Verdana" w:hAnsi="Verdana" w:eastAsia="Aptos" w:cs="Arial"/>
          <w:kern w:val="2"/>
          <w:sz w:val="20"/>
          <w:szCs w:val="20"/>
          <w:lang w:val="es-ES_tradnl"/>
          <w14:ligatures w14:val="standardContextual"/>
        </w:rPr>
      </w:pPr>
    </w:p>
    <w:p w:rsidRPr="008A5AC0" w:rsidR="008A5AC0" w:rsidP="65C877AB" w:rsidRDefault="008A5AC0" w14:paraId="7BF4EA1A" w14:textId="0E77C065">
      <w:pPr>
        <w:snapToGrid w:val="0"/>
        <w:spacing w:after="0" w:line="240" w:lineRule="auto"/>
        <w:jc w:val="both"/>
        <w:rPr>
          <w:rFonts w:ascii="Verdana" w:hAnsi="Verdana" w:eastAsia="Aptos" w:cs="Arial"/>
          <w:noProof/>
          <w:kern w:val="2"/>
          <w:sz w:val="20"/>
          <w:szCs w:val="20"/>
          <w:lang w:val="es-ES"/>
          <w14:ligatures w14:val="standardContextual"/>
        </w:rPr>
      </w:pPr>
      <w:r w:rsidRPr="65C877AB" w:rsidR="008A5AC0">
        <w:rPr>
          <w:rFonts w:ascii="Verdana" w:hAnsi="Verdana" w:eastAsia="Aptos" w:cs="Arial"/>
          <w:kern w:val="2"/>
          <w:sz w:val="20"/>
          <w:szCs w:val="20"/>
          <w:lang w:val="es-ES"/>
          <w14:ligatures w14:val="standardContextual"/>
        </w:rPr>
        <w:t xml:space="preserve">En esta línea, el parágrafo primero del artículo 37 dispone: “La ejecución de proyectos de </w:t>
      </w:r>
      <w:r w:rsidRPr="65C877AB" w:rsidR="008A5AC0">
        <w:rPr>
          <w:rFonts w:ascii="Verdana" w:hAnsi="Verdana" w:eastAsia="Aptos" w:cs="Arial"/>
          <w:kern w:val="2"/>
          <w:sz w:val="20"/>
          <w:szCs w:val="20"/>
          <w:lang w:val="es-ES"/>
          <w14:ligatures w14:val="standardContextual"/>
        </w:rPr>
        <w:t>que</w:t>
      </w:r>
      <w:r w:rsidRPr="65C877AB" w:rsidR="008A5AC0">
        <w:rPr>
          <w:rFonts w:ascii="Verdana" w:hAnsi="Verdana" w:eastAsia="Aptos" w:cs="Arial"/>
          <w:kern w:val="2"/>
          <w:sz w:val="20"/>
          <w:szCs w:val="20"/>
          <w:lang w:val="es-ES"/>
          <w14:ligatures w14:val="standardContextual"/>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sidRPr="65C877AB" w:rsidR="008A5AC0">
        <w:rPr>
          <w:rFonts w:ascii="Verdana" w:hAnsi="Verdana" w:eastAsia="Aptos" w:cs="Arial"/>
          <w:noProof/>
          <w:kern w:val="2"/>
          <w:sz w:val="20"/>
          <w:szCs w:val="20"/>
          <w:lang w:val="es-ES"/>
          <w14:ligatures w14:val="standardContextual"/>
        </w:rPr>
        <w:t xml:space="preserve"> A partir de esta norma, el ejercutor de los proyectos de inversion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 </w:t>
      </w:r>
    </w:p>
    <w:p w:rsidRPr="00764675" w:rsidR="00764675" w:rsidP="00764675" w:rsidRDefault="00764675" w14:paraId="67B3AE24" w14:textId="77777777">
      <w:pPr>
        <w:spacing w:after="0" w:line="276" w:lineRule="auto"/>
        <w:jc w:val="both"/>
        <w:rPr>
          <w:rFonts w:ascii="Verdana" w:hAnsi="Verdana" w:eastAsia="Geomanist Light" w:cs="Arial"/>
          <w:lang w:val="es-MX"/>
        </w:rPr>
      </w:pPr>
    </w:p>
    <w:p w:rsidRPr="00764675" w:rsidR="00764675" w:rsidP="00764675" w:rsidRDefault="00764675" w14:paraId="732C7D02" w14:textId="77777777">
      <w:pPr>
        <w:spacing w:after="0" w:line="240" w:lineRule="auto"/>
        <w:rPr>
          <w:rFonts w:ascii="Verdana" w:hAnsi="Verdana" w:eastAsia="Geomanist Light" w:cs="Arial"/>
          <w:lang w:val="es-MX"/>
        </w:rPr>
      </w:pPr>
    </w:p>
    <w:p w:rsidRPr="00764675" w:rsidR="00764675" w:rsidP="00764675" w:rsidRDefault="00764675" w14:paraId="0CC49F14" w14:textId="77777777">
      <w:pPr>
        <w:spacing w:after="0" w:line="240" w:lineRule="auto"/>
        <w:jc w:val="both"/>
        <w:rPr>
          <w:rFonts w:ascii="Verdana" w:hAnsi="Verdana" w:eastAsia="Geomanist Light" w:cs="Arial"/>
          <w:lang w:val="es-MX"/>
        </w:rPr>
      </w:pPr>
    </w:p>
    <w:p w:rsidRPr="00764675" w:rsidR="00764675" w:rsidP="00764675" w:rsidRDefault="00764675" w14:paraId="6E1784B9" w14:textId="77777777">
      <w:pPr>
        <w:spacing w:after="0" w:line="240" w:lineRule="auto"/>
        <w:jc w:val="both"/>
        <w:rPr>
          <w:rFonts w:ascii="Verdana" w:hAnsi="Verdana" w:eastAsia="Calibri" w:cs="Times New Roman"/>
        </w:rPr>
      </w:pPr>
    </w:p>
    <w:p w:rsidRPr="00764675" w:rsidR="00764675" w:rsidP="00764675" w:rsidRDefault="00764675" w14:paraId="174BB1D5" w14:textId="77777777">
      <w:pPr>
        <w:spacing w:after="0" w:line="240" w:lineRule="auto"/>
        <w:jc w:val="both"/>
        <w:rPr>
          <w:rFonts w:ascii="Verdana" w:hAnsi="Verdana" w:eastAsia="Calibri" w:cs="Times New Roman"/>
        </w:rPr>
      </w:pPr>
    </w:p>
    <w:p w:rsidRPr="00764675" w:rsidR="00764675" w:rsidP="00764675" w:rsidRDefault="00764675" w14:paraId="4DF1FF56" w14:textId="77777777">
      <w:pPr>
        <w:spacing w:after="0" w:line="240" w:lineRule="auto"/>
        <w:jc w:val="both"/>
        <w:rPr>
          <w:rFonts w:ascii="Verdana" w:hAnsi="Verdana" w:eastAsia="Calibri" w:cs="Times New Roman"/>
        </w:rPr>
      </w:pPr>
    </w:p>
    <w:p w:rsidRPr="00764675" w:rsidR="00764675" w:rsidP="00764675" w:rsidRDefault="00764675" w14:paraId="57DD609B" w14:textId="77777777">
      <w:pPr>
        <w:spacing w:after="0" w:line="240" w:lineRule="auto"/>
        <w:jc w:val="both"/>
        <w:rPr>
          <w:rFonts w:ascii="Verdana" w:hAnsi="Verdana" w:eastAsia="Calibri" w:cs="Times New Roman"/>
        </w:rPr>
      </w:pPr>
    </w:p>
    <w:p w:rsidRPr="00764675" w:rsidR="00764675" w:rsidP="00764675" w:rsidRDefault="00764675" w14:paraId="62CFF665" w14:textId="77777777">
      <w:pPr>
        <w:spacing w:after="0" w:line="240" w:lineRule="auto"/>
        <w:jc w:val="both"/>
        <w:rPr>
          <w:rFonts w:ascii="Verdana" w:hAnsi="Verdana" w:eastAsia="Calibri" w:cs="Times New Roman"/>
        </w:rPr>
      </w:pPr>
    </w:p>
    <w:p w:rsidRPr="00764675" w:rsidR="00764675" w:rsidP="00764675" w:rsidRDefault="00764675" w14:paraId="5F2C6398" w14:textId="77777777">
      <w:pPr>
        <w:spacing w:after="0" w:line="240" w:lineRule="auto"/>
        <w:jc w:val="both"/>
        <w:rPr>
          <w:rFonts w:ascii="Verdana" w:hAnsi="Verdana" w:eastAsia="Calibri" w:cs="Times New Roman"/>
        </w:rPr>
      </w:pPr>
    </w:p>
    <w:p w:rsidRPr="00764675" w:rsidR="00764675" w:rsidP="00764675" w:rsidRDefault="00764675" w14:paraId="44F5B56E" w14:textId="77777777">
      <w:pPr>
        <w:spacing w:after="0" w:line="240" w:lineRule="auto"/>
        <w:jc w:val="both"/>
        <w:rPr>
          <w:rFonts w:ascii="Verdana" w:hAnsi="Verdana" w:eastAsia="Calibri" w:cs="Times New Roman"/>
        </w:rPr>
      </w:pPr>
    </w:p>
    <w:p w:rsidRPr="00764675" w:rsidR="00764675" w:rsidP="00764675" w:rsidRDefault="00764675" w14:paraId="213E166D" w14:textId="77777777">
      <w:pPr>
        <w:spacing w:after="0" w:line="240" w:lineRule="auto"/>
        <w:jc w:val="both"/>
        <w:rPr>
          <w:rFonts w:ascii="Verdana" w:hAnsi="Verdana" w:eastAsia="Calibri" w:cs="Times New Roman"/>
        </w:rPr>
      </w:pPr>
    </w:p>
    <w:p w:rsidRPr="00764675" w:rsidR="00764675" w:rsidP="00764675" w:rsidRDefault="00764675" w14:paraId="65EF28CA" w14:textId="77777777">
      <w:pPr>
        <w:spacing w:after="0" w:line="240" w:lineRule="auto"/>
        <w:jc w:val="both"/>
        <w:rPr>
          <w:rFonts w:ascii="Verdana" w:hAnsi="Verdana" w:eastAsia="Calibri" w:cs="Times New Roman"/>
        </w:rPr>
      </w:pPr>
    </w:p>
    <w:p w:rsidRPr="00764675" w:rsidR="00764675" w:rsidP="00764675" w:rsidRDefault="00764675" w14:paraId="22FCBB61" w14:textId="77777777">
      <w:pPr>
        <w:spacing w:after="0" w:line="240" w:lineRule="auto"/>
        <w:jc w:val="both"/>
        <w:rPr>
          <w:rFonts w:ascii="Verdana" w:hAnsi="Verdana" w:eastAsia="Calibri" w:cs="Times New Roman"/>
        </w:rPr>
      </w:pPr>
    </w:p>
    <w:p w:rsidRPr="00764675" w:rsidR="00764675" w:rsidP="00764675" w:rsidRDefault="00764675" w14:paraId="54AD4497" w14:textId="77777777">
      <w:pPr>
        <w:spacing w:after="0" w:line="240" w:lineRule="auto"/>
        <w:jc w:val="both"/>
        <w:rPr>
          <w:rFonts w:ascii="Verdana" w:hAnsi="Verdana" w:eastAsia="Calibri" w:cs="Times New Roman"/>
        </w:rPr>
      </w:pPr>
    </w:p>
    <w:p w:rsidRPr="00764675" w:rsidR="00764675" w:rsidP="00764675" w:rsidRDefault="00764675" w14:paraId="162D3238" w14:textId="77777777">
      <w:pPr>
        <w:spacing w:after="0" w:line="240" w:lineRule="auto"/>
        <w:jc w:val="both"/>
        <w:rPr>
          <w:rFonts w:ascii="Verdana" w:hAnsi="Verdana" w:eastAsia="Calibri" w:cs="Times New Roman"/>
        </w:rPr>
      </w:pPr>
    </w:p>
    <w:p w:rsidRPr="00764675" w:rsidR="00764675" w:rsidP="00764675" w:rsidRDefault="00764675" w14:paraId="5EEC4E42" w14:textId="77777777">
      <w:pPr>
        <w:spacing w:after="0" w:line="240" w:lineRule="auto"/>
        <w:jc w:val="both"/>
        <w:rPr>
          <w:rFonts w:ascii="Verdana" w:hAnsi="Verdana" w:eastAsia="Calibri" w:cs="Times New Roman"/>
        </w:rPr>
      </w:pPr>
    </w:p>
    <w:p w:rsidRPr="00764675" w:rsidR="00764675" w:rsidP="00764675" w:rsidRDefault="00764675" w14:paraId="2A83117F" w14:textId="77777777">
      <w:pPr>
        <w:spacing w:after="0" w:line="240" w:lineRule="auto"/>
        <w:jc w:val="both"/>
        <w:rPr>
          <w:rFonts w:ascii="Verdana" w:hAnsi="Verdana" w:eastAsia="Calibri" w:cs="Times New Roman"/>
        </w:rPr>
      </w:pPr>
    </w:p>
    <w:p w:rsidRPr="00764675" w:rsidR="00764675" w:rsidP="00764675" w:rsidRDefault="00764675" w14:paraId="0142EE9C" w14:textId="77777777">
      <w:pPr>
        <w:spacing w:after="0" w:line="240" w:lineRule="auto"/>
        <w:jc w:val="both"/>
        <w:rPr>
          <w:rFonts w:ascii="Verdana" w:hAnsi="Verdana" w:eastAsia="Calibri" w:cs="Times New Roman"/>
        </w:rPr>
      </w:pPr>
    </w:p>
    <w:p w:rsidRPr="00764675" w:rsidR="00764675" w:rsidP="00764675" w:rsidRDefault="00764675" w14:paraId="7FC8965B" w14:textId="77777777">
      <w:pPr>
        <w:spacing w:after="0" w:line="240" w:lineRule="auto"/>
        <w:jc w:val="both"/>
        <w:rPr>
          <w:rFonts w:ascii="Verdana" w:hAnsi="Verdana" w:eastAsia="Calibri" w:cs="Times New Roman"/>
        </w:rPr>
      </w:pPr>
    </w:p>
    <w:p w:rsidRPr="00764675" w:rsidR="00764675" w:rsidP="00764675" w:rsidRDefault="00764675" w14:paraId="4D3D3066" w14:textId="7AA061DC">
      <w:pPr>
        <w:spacing w:after="0" w:line="240" w:lineRule="auto"/>
        <w:jc w:val="both"/>
        <w:rPr>
          <w:rFonts w:ascii="Verdana" w:hAnsi="Verdana" w:eastAsia="Calibri" w:cs="Arial"/>
          <w:lang w:val="es-ES"/>
        </w:rPr>
      </w:pPr>
      <w:r w:rsidRPr="0044528D">
        <w:rPr>
          <w:rFonts w:ascii="Verdana" w:hAnsi="Verdana"/>
        </w:rPr>
        <w:lastRenderedPageBreak/>
        <w:t>Bogotá D.C.</w:t>
      </w:r>
    </w:p>
    <w:p w:rsidRPr="00764675" w:rsidR="00764675" w:rsidP="00764675" w:rsidRDefault="00764675" w14:paraId="3F768A81" w14:textId="77777777">
      <w:pPr>
        <w:spacing w:after="0" w:line="240" w:lineRule="auto"/>
        <w:jc w:val="both"/>
        <w:rPr>
          <w:rFonts w:ascii="Verdana" w:hAnsi="Verdana" w:eastAsia="Calibri" w:cs="Arial"/>
          <w:lang w:val="es-ES"/>
        </w:rPr>
      </w:pPr>
    </w:p>
    <w:p w:rsidRPr="00764675" w:rsidR="00764675" w:rsidP="00DE3557" w:rsidRDefault="00DE3557" w14:paraId="41AC3B59" w14:textId="3BD3862A">
      <w:pPr>
        <w:spacing w:after="0" w:line="240" w:lineRule="auto"/>
        <w:jc w:val="right"/>
        <w:rPr>
          <w:rFonts w:ascii="Verdana" w:hAnsi="Verdana" w:eastAsia="Calibri" w:cs="Arial"/>
          <w:lang w:val="es-ES"/>
        </w:rPr>
      </w:pPr>
      <w:r>
        <w:rPr>
          <w:rFonts w:ascii="Verdana" w:hAnsi="Verdana" w:eastAsia="Calibri" w:cs="Arial"/>
          <w:noProof/>
          <w:lang w:val="es-ES"/>
        </w:rPr>
        <w:drawing>
          <wp:inline distT="0" distB="0" distL="0" distR="0" wp14:anchorId="3CCED87E" wp14:editId="35E8BB0C">
            <wp:extent cx="3907366" cy="1136862"/>
            <wp:effectExtent l="0" t="0" r="4445" b="6350"/>
            <wp:docPr id="1961978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78079" name="Imagen 1961978079"/>
                    <pic:cNvPicPr/>
                  </pic:nvPicPr>
                  <pic:blipFill>
                    <a:blip r:embed="rId10">
                      <a:extLst>
                        <a:ext uri="{28A0092B-C50C-407E-A947-70E740481C1C}">
                          <a14:useLocalDpi xmlns:a14="http://schemas.microsoft.com/office/drawing/2010/main" val="0"/>
                        </a:ext>
                      </a:extLst>
                    </a:blip>
                    <a:stretch>
                      <a:fillRect/>
                    </a:stretch>
                  </pic:blipFill>
                  <pic:spPr>
                    <a:xfrm>
                      <a:off x="0" y="0"/>
                      <a:ext cx="3919418" cy="1140369"/>
                    </a:xfrm>
                    <a:prstGeom prst="rect">
                      <a:avLst/>
                    </a:prstGeom>
                  </pic:spPr>
                </pic:pic>
              </a:graphicData>
            </a:graphic>
          </wp:inline>
        </w:drawing>
      </w:r>
    </w:p>
    <w:p w:rsidRPr="00764675" w:rsidR="00764675" w:rsidP="00764675" w:rsidRDefault="00764675" w14:paraId="076D9FED" w14:textId="77777777">
      <w:pPr>
        <w:spacing w:after="0" w:line="240" w:lineRule="auto"/>
        <w:jc w:val="both"/>
        <w:rPr>
          <w:rFonts w:ascii="Verdana" w:hAnsi="Verdana" w:eastAsia="Calibri" w:cs="Arial"/>
          <w:lang w:val="es-ES" w:eastAsia="es-ES"/>
        </w:rPr>
      </w:pPr>
      <w:r w:rsidRPr="00764675">
        <w:rPr>
          <w:rFonts w:ascii="Verdana" w:hAnsi="Verdana" w:eastAsia="Calibri" w:cs="Arial"/>
          <w:lang w:val="es-ES" w:eastAsia="es-ES"/>
        </w:rPr>
        <w:t>Señor</w:t>
      </w:r>
    </w:p>
    <w:p w:rsidRPr="00764675" w:rsidR="00764675" w:rsidP="65C877AB" w:rsidRDefault="00764675" w14:paraId="139CEB5E" w14:textId="77777777">
      <w:pPr>
        <w:spacing w:after="0" w:line="240" w:lineRule="auto"/>
        <w:rPr>
          <w:rFonts w:ascii="Verdana" w:hAnsi="Verdana" w:eastAsia="Calibri" w:cs="Arial"/>
          <w:b w:val="1"/>
          <w:bCs w:val="1"/>
          <w:lang w:val="es-ES" w:eastAsia="es-ES"/>
        </w:rPr>
      </w:pPr>
      <w:r w:rsidRPr="65C877AB" w:rsidR="00764675">
        <w:rPr>
          <w:rFonts w:ascii="Verdana" w:hAnsi="Verdana" w:eastAsia="Calibri" w:cs="Arial"/>
          <w:b w:val="1"/>
          <w:bCs w:val="1"/>
          <w:lang w:val="es-ES" w:eastAsia="es-ES"/>
        </w:rPr>
        <w:t xml:space="preserve">Fernando José Gutiérrez </w:t>
      </w:r>
      <w:r w:rsidRPr="65C877AB" w:rsidR="00764675">
        <w:rPr>
          <w:rFonts w:ascii="Verdana" w:hAnsi="Verdana" w:eastAsia="Calibri" w:cs="Arial"/>
          <w:b w:val="1"/>
          <w:bCs w:val="1"/>
          <w:lang w:val="es-ES" w:eastAsia="es-ES"/>
        </w:rPr>
        <w:t>Ibañez</w:t>
      </w:r>
    </w:p>
    <w:p w:rsidRPr="00764675" w:rsidR="00764675" w:rsidP="00764675" w:rsidRDefault="00764675" w14:paraId="05FE2555" w14:textId="77777777">
      <w:pPr>
        <w:spacing w:after="0" w:line="240" w:lineRule="auto"/>
        <w:rPr>
          <w:rFonts w:ascii="Verdana" w:hAnsi="Verdana" w:eastAsia="Calibri" w:cs="Arial"/>
          <w:bCs/>
          <w:lang w:val="es-ES_tradnl" w:eastAsia="es-ES_tradnl"/>
        </w:rPr>
      </w:pPr>
      <w:r w:rsidRPr="00764675">
        <w:rPr>
          <w:rFonts w:ascii="Verdana" w:hAnsi="Verdana" w:eastAsia="Calibri" w:cs="Arial"/>
          <w:bCs/>
          <w:lang w:val="es-ES_tradnl" w:eastAsia="es-ES_tradnl"/>
        </w:rPr>
        <w:t>Valledupar, Cesar</w:t>
      </w:r>
    </w:p>
    <w:p w:rsidRPr="00764675" w:rsidR="00764675" w:rsidP="00764675" w:rsidRDefault="00764675" w14:paraId="01EAD97E" w14:textId="77777777">
      <w:pPr>
        <w:spacing w:after="0" w:line="240" w:lineRule="auto"/>
        <w:rPr>
          <w:rFonts w:ascii="Verdana" w:hAnsi="Verdana" w:eastAsia="Calibri" w:cs="Arial"/>
          <w:b/>
          <w:bCs/>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764675" w:rsidR="00764675" w:rsidTr="00031609" w14:paraId="0786EC18" w14:textId="77777777">
        <w:trPr>
          <w:trHeight w:val="884"/>
        </w:trPr>
        <w:tc>
          <w:tcPr>
            <w:tcW w:w="2689" w:type="dxa"/>
          </w:tcPr>
          <w:p w:rsidRPr="00764675" w:rsidR="00764675" w:rsidP="00764675" w:rsidRDefault="00764675" w14:paraId="29A65F50" w14:textId="77777777">
            <w:pPr>
              <w:jc w:val="both"/>
              <w:rPr>
                <w:rFonts w:ascii="Verdana" w:hAnsi="Verdana" w:eastAsia="Calibri" w:cs="Arial"/>
                <w:b/>
                <w:bCs/>
                <w:lang w:val="es-ES_tradnl" w:eastAsia="es-ES_tradnl"/>
              </w:rPr>
            </w:pPr>
          </w:p>
        </w:tc>
        <w:tc>
          <w:tcPr>
            <w:tcW w:w="6100" w:type="dxa"/>
          </w:tcPr>
          <w:p w:rsidRPr="00764675" w:rsidR="00764675" w:rsidP="00764675" w:rsidRDefault="00764675" w14:paraId="6EA33DCE" w14:textId="77777777">
            <w:pPr>
              <w:jc w:val="both"/>
              <w:rPr>
                <w:rFonts w:ascii="Verdana" w:hAnsi="Verdana" w:eastAsia="Calibri" w:cs="Arial"/>
                <w:b/>
                <w:bCs/>
                <w:lang w:val="es-ES" w:eastAsia="es-ES"/>
              </w:rPr>
            </w:pPr>
            <w:r w:rsidRPr="00764675">
              <w:rPr>
                <w:rFonts w:ascii="Verdana" w:hAnsi="Verdana" w:eastAsia="Calibri" w:cs="Arial"/>
                <w:b/>
                <w:bCs/>
                <w:lang w:val="es-ES" w:eastAsia="es-ES"/>
              </w:rPr>
              <w:t>Concepto C – 211 de 2024</w:t>
            </w:r>
          </w:p>
        </w:tc>
      </w:tr>
      <w:tr w:rsidRPr="00764675" w:rsidR="00764675" w:rsidTr="00031609" w14:paraId="6E4CB8B4" w14:textId="77777777">
        <w:trPr>
          <w:trHeight w:val="884"/>
        </w:trPr>
        <w:tc>
          <w:tcPr>
            <w:tcW w:w="2689" w:type="dxa"/>
          </w:tcPr>
          <w:p w:rsidRPr="00764675" w:rsidR="00764675" w:rsidP="00764675" w:rsidRDefault="00764675" w14:paraId="5E1C09B1" w14:textId="77777777">
            <w:pPr>
              <w:jc w:val="both"/>
              <w:rPr>
                <w:rFonts w:ascii="Verdana" w:hAnsi="Verdana" w:eastAsia="Calibri" w:cs="Arial"/>
                <w:lang w:val="es-ES_tradnl" w:eastAsia="es-ES_tradnl"/>
              </w:rPr>
            </w:pPr>
            <w:r w:rsidRPr="00764675">
              <w:rPr>
                <w:rFonts w:ascii="Verdana" w:hAnsi="Verdana" w:eastAsia="Calibri" w:cs="Arial"/>
                <w:b/>
                <w:lang w:val="es-ES_tradnl" w:eastAsia="es-ES_tradnl"/>
              </w:rPr>
              <w:t>Temas:</w:t>
            </w:r>
            <w:r w:rsidRPr="00764675">
              <w:rPr>
                <w:rFonts w:ascii="Verdana" w:hAnsi="Verdana" w:eastAsia="Calibri" w:cs="Arial"/>
                <w:lang w:val="es-ES_tradnl" w:eastAsia="es-ES_tradnl"/>
              </w:rPr>
              <w:t xml:space="preserve">                   </w:t>
            </w:r>
          </w:p>
        </w:tc>
        <w:tc>
          <w:tcPr>
            <w:tcW w:w="6100" w:type="dxa"/>
          </w:tcPr>
          <w:p w:rsidRPr="00764675" w:rsidR="00764675" w:rsidP="00764675" w:rsidRDefault="00764675" w14:paraId="74ACB53F" w14:textId="77777777">
            <w:pPr>
              <w:tabs>
                <w:tab w:val="left" w:pos="709"/>
              </w:tabs>
              <w:spacing w:line="276" w:lineRule="auto"/>
              <w:jc w:val="both"/>
              <w:rPr>
                <w:rFonts w:ascii="Verdana" w:hAnsi="Verdana" w:eastAsia="Calibri" w:cs="Arial"/>
                <w:bCs/>
                <w:lang w:val="es-MX"/>
              </w:rPr>
            </w:pPr>
            <w:r w:rsidRPr="00764675">
              <w:rPr>
                <w:rFonts w:ascii="Verdana" w:hAnsi="Verdana" w:eastAsia="Calibri" w:cs="Arial"/>
                <w:bCs/>
                <w:lang w:val="es-MX"/>
              </w:rPr>
              <w:t xml:space="preserve">SISTEMA GENERAL DE REGALÍAS – Ley 2056 de 2020 – Régimen contractual – Entidades ejecutoras – Aplicación del Estatuto General de Contratación de la Administración Pública </w:t>
            </w:r>
          </w:p>
          <w:p w:rsidRPr="00764675" w:rsidR="00764675" w:rsidP="00764675" w:rsidRDefault="00764675" w14:paraId="20B22BF2" w14:textId="77777777">
            <w:pPr>
              <w:tabs>
                <w:tab w:val="left" w:pos="0"/>
              </w:tabs>
              <w:spacing w:line="276" w:lineRule="auto"/>
              <w:jc w:val="both"/>
              <w:rPr>
                <w:rFonts w:ascii="Verdana" w:hAnsi="Verdana" w:eastAsia="Calibri" w:cs="Arial"/>
                <w:lang w:val="es-ES" w:eastAsia="es-ES"/>
              </w:rPr>
            </w:pPr>
          </w:p>
        </w:tc>
      </w:tr>
      <w:tr w:rsidRPr="00764675" w:rsidR="00764675" w:rsidTr="00031609" w14:paraId="5E1DC86B" w14:textId="77777777">
        <w:tc>
          <w:tcPr>
            <w:tcW w:w="2689" w:type="dxa"/>
          </w:tcPr>
          <w:p w:rsidRPr="00764675" w:rsidR="00764675" w:rsidP="00764675" w:rsidRDefault="00764675" w14:paraId="1056D0C6" w14:textId="77777777">
            <w:pPr>
              <w:jc w:val="both"/>
              <w:rPr>
                <w:rFonts w:ascii="Verdana" w:hAnsi="Verdana" w:eastAsia="Calibri" w:cs="Arial"/>
                <w:b/>
                <w:lang w:val="es-ES_tradnl" w:eastAsia="es-ES_tradnl"/>
              </w:rPr>
            </w:pPr>
            <w:r w:rsidRPr="00764675">
              <w:rPr>
                <w:rFonts w:ascii="Verdana" w:hAnsi="Verdana" w:eastAsia="Calibri" w:cs="Arial"/>
                <w:b/>
                <w:lang w:val="es-ES_tradnl" w:eastAsia="es-ES_tradnl"/>
              </w:rPr>
              <w:t>Radicación:</w:t>
            </w:r>
            <w:r w:rsidRPr="00764675">
              <w:rPr>
                <w:rFonts w:ascii="Verdana" w:hAnsi="Verdana" w:eastAsia="Calibri" w:cs="Arial"/>
                <w:lang w:val="es-ES_tradnl" w:eastAsia="es-ES_tradnl"/>
              </w:rPr>
              <w:t xml:space="preserve">               </w:t>
            </w:r>
          </w:p>
        </w:tc>
        <w:tc>
          <w:tcPr>
            <w:tcW w:w="6100" w:type="dxa"/>
          </w:tcPr>
          <w:p w:rsidRPr="00764675" w:rsidR="00764675" w:rsidP="00764675" w:rsidRDefault="00764675" w14:paraId="6D93E750" w14:textId="77777777">
            <w:pPr>
              <w:jc w:val="both"/>
              <w:rPr>
                <w:rFonts w:ascii="Verdana" w:hAnsi="Verdana" w:eastAsia="Calibri" w:cs="Arial"/>
                <w:lang w:val="es-ES_tradnl" w:eastAsia="es-ES_tradnl"/>
              </w:rPr>
            </w:pPr>
            <w:r w:rsidRPr="00764675">
              <w:rPr>
                <w:rFonts w:ascii="Verdana" w:hAnsi="Verdana" w:eastAsia="Calibri" w:cs="Arial"/>
                <w:lang w:val="es-ES_tradnl" w:eastAsia="es-ES_tradnl"/>
              </w:rPr>
              <w:t>Respuesta a consulta con radicado No. P20240623006377</w:t>
            </w:r>
          </w:p>
        </w:tc>
      </w:tr>
    </w:tbl>
    <w:p w:rsidRPr="00764675" w:rsidR="00764675" w:rsidP="00764675" w:rsidRDefault="00764675" w14:paraId="379EA17D" w14:textId="77777777">
      <w:pPr>
        <w:spacing w:after="0" w:line="240" w:lineRule="auto"/>
        <w:jc w:val="both"/>
        <w:rPr>
          <w:rFonts w:ascii="Verdana" w:hAnsi="Verdana" w:eastAsia="Calibri" w:cs="Arial"/>
          <w:lang w:val="es-ES_tradnl" w:eastAsia="es-ES_tradnl"/>
        </w:rPr>
      </w:pPr>
    </w:p>
    <w:p w:rsidRPr="00764675" w:rsidR="00764675" w:rsidP="00764675" w:rsidRDefault="00764675" w14:paraId="5BA61279" w14:textId="77777777">
      <w:pPr>
        <w:spacing w:after="0" w:line="240" w:lineRule="auto"/>
        <w:jc w:val="both"/>
        <w:rPr>
          <w:rFonts w:ascii="Verdana" w:hAnsi="Verdana" w:eastAsia="Calibri" w:cs="Arial"/>
          <w:lang w:val="es-ES_tradnl" w:eastAsia="es-ES_tradnl"/>
        </w:rPr>
      </w:pPr>
    </w:p>
    <w:p w:rsidRPr="00764675" w:rsidR="00764675" w:rsidP="00764675" w:rsidRDefault="00764675" w14:paraId="0D1F928A" w14:textId="77777777">
      <w:pPr>
        <w:spacing w:after="0" w:line="276" w:lineRule="auto"/>
        <w:jc w:val="both"/>
        <w:rPr>
          <w:rFonts w:ascii="Verdana" w:hAnsi="Verdana" w:eastAsia="Calibri" w:cs="Arial"/>
          <w:lang w:val="es-ES" w:eastAsia="es-ES"/>
        </w:rPr>
      </w:pPr>
      <w:r w:rsidRPr="00764675">
        <w:rPr>
          <w:rFonts w:ascii="Verdana" w:hAnsi="Verdana" w:eastAsia="Calibri" w:cs="Arial"/>
          <w:lang w:val="es-ES" w:eastAsia="es-ES"/>
        </w:rPr>
        <w:t xml:space="preserve">Estimado señor Gutiérrez Ibañez: </w:t>
      </w:r>
    </w:p>
    <w:p w:rsidRPr="00764675" w:rsidR="00764675" w:rsidP="00764675" w:rsidRDefault="00764675" w14:paraId="0F455ECD" w14:textId="77777777">
      <w:pPr>
        <w:tabs>
          <w:tab w:val="left" w:pos="3768"/>
        </w:tabs>
        <w:spacing w:after="0" w:line="276" w:lineRule="auto"/>
        <w:jc w:val="both"/>
        <w:rPr>
          <w:rFonts w:ascii="Verdana" w:hAnsi="Verdana" w:eastAsia="Calibri" w:cs="Arial"/>
          <w:lang w:val="es-ES" w:eastAsia="es-ES"/>
        </w:rPr>
      </w:pPr>
      <w:r w:rsidRPr="00764675">
        <w:rPr>
          <w:rFonts w:ascii="Verdana" w:hAnsi="Verdana" w:eastAsia="Calibri" w:cs="Arial"/>
          <w:lang w:val="es-ES" w:eastAsia="es-ES"/>
        </w:rPr>
        <w:tab/>
      </w:r>
    </w:p>
    <w:p w:rsidRPr="00764675" w:rsidR="00764675" w:rsidP="00764675" w:rsidRDefault="00764675" w14:paraId="73528775" w14:textId="77777777">
      <w:pPr>
        <w:spacing w:after="0" w:line="276" w:lineRule="auto"/>
        <w:jc w:val="both"/>
        <w:rPr>
          <w:rFonts w:ascii="Verdana" w:hAnsi="Verdana" w:eastAsia="Calibri" w:cs="Arial"/>
          <w:lang w:val="es-ES" w:eastAsia="es-ES"/>
        </w:rPr>
      </w:pPr>
      <w:r w:rsidRPr="00764675">
        <w:rPr>
          <w:rFonts w:ascii="Verdana" w:hAnsi="Verdana" w:eastAsia="Calibri" w:cs="Arial"/>
          <w:lang w:val="es-ES" w:eastAsia="es-ES"/>
        </w:rPr>
        <w:t>En ejercicio de la competencia otorgada por los artículos 3, numeral 5º, y 11, numeral 8º, del Decreto Ley 4170 de 2011,</w:t>
      </w:r>
      <w:r w:rsidRPr="00764675">
        <w:rPr>
          <w:rFonts w:ascii="Verdana" w:hAnsi="Verdana" w:eastAsia="Arial MT" w:cs="Arial MT"/>
          <w:lang w:val="es-ES" w:eastAsia="es-ES"/>
        </w:rPr>
        <w:t xml:space="preserve"> </w:t>
      </w:r>
      <w:r w:rsidRPr="00764675">
        <w:rPr>
          <w:rFonts w:ascii="Verdana" w:hAnsi="Verdana" w:eastAsia="Calibri" w:cs="Arial"/>
        </w:rPr>
        <w:t xml:space="preserve">así como lo establecido en el artículo 4 de la Resolución 1707 de 2018 expedida por esta Entidad, </w:t>
      </w:r>
      <w:r w:rsidRPr="00764675">
        <w:rPr>
          <w:rFonts w:ascii="Verdana" w:hAnsi="Verdana" w:eastAsia="Calibri" w:cs="Arial"/>
          <w:lang w:val="es-ES" w:eastAsia="es-ES"/>
        </w:rPr>
        <w:t>la Agencia Nacional de Contratación Pública – Colombia Compra Eficiente– responde su solicitud de consulta de fecha 23 de junio de 2024, en la que manifiesta lo siguiente:</w:t>
      </w:r>
    </w:p>
    <w:p w:rsidRPr="00764675" w:rsidR="00764675" w:rsidP="00764675" w:rsidRDefault="00764675" w14:paraId="40237B0E" w14:textId="77777777">
      <w:pPr>
        <w:tabs>
          <w:tab w:val="left" w:pos="142"/>
          <w:tab w:val="left" w:pos="284"/>
        </w:tabs>
        <w:spacing w:line="276" w:lineRule="auto"/>
        <w:contextualSpacing/>
        <w:jc w:val="both"/>
        <w:rPr>
          <w:rFonts w:ascii="Verdana" w:hAnsi="Verdana" w:eastAsia="Century Gothic" w:cs="Century Gothic"/>
          <w:b/>
          <w:bCs/>
          <w:lang w:val="es-ES"/>
        </w:rPr>
      </w:pPr>
    </w:p>
    <w:p w:rsidRPr="00764675" w:rsidR="00764675" w:rsidP="00764675" w:rsidRDefault="00764675" w14:paraId="2C34A320" w14:textId="77777777">
      <w:pPr>
        <w:autoSpaceDE w:val="0"/>
        <w:autoSpaceDN w:val="0"/>
        <w:adjustRightInd w:val="0"/>
        <w:snapToGrid w:val="0"/>
        <w:spacing w:after="0" w:line="240" w:lineRule="auto"/>
        <w:ind w:left="709" w:right="709"/>
        <w:jc w:val="both"/>
        <w:rPr>
          <w:rFonts w:ascii="Verdana" w:hAnsi="Verdana" w:eastAsia="Aptos" w:cs="p¿√_ò"/>
          <w:sz w:val="21"/>
          <w:szCs w:val="21"/>
          <w:lang w:val="es-MX"/>
          <w14:ligatures w14:val="standardContextual"/>
        </w:rPr>
      </w:pPr>
      <w:r w:rsidRPr="00764675">
        <w:rPr>
          <w:rFonts w:ascii="Verdana" w:hAnsi="Verdana" w:eastAsia="Century Gothic" w:cs="Century Gothic"/>
          <w:sz w:val="21"/>
          <w:szCs w:val="21"/>
          <w:lang w:val="es-ES"/>
        </w:rPr>
        <w:t>“</w:t>
      </w:r>
      <w:r w:rsidRPr="00764675">
        <w:rPr>
          <w:rFonts w:ascii="Verdana" w:hAnsi="Verdana" w:eastAsia="Aptos" w:cs="p¿√_ò"/>
          <w:sz w:val="21"/>
          <w:szCs w:val="21"/>
          <w:lang w:val="es-MX"/>
          <w14:ligatures w14:val="standardContextual"/>
        </w:rPr>
        <w:t xml:space="preserve">[S]olicito amablemente que régimen de contratación se debe aplicar en la ejecución de un proyecto aprobado con fuente de financiación del Sistema General de Regalías, considerando que la Entidad Ejecutoria designada corresponde a fondos mixto Entidad jurídica sin ánimo de lucro, de carácter mixto, de segundo orden, descentralizado e indirecta por servicios, regida por la Constitución Política, Artículo 96 de la Ley 489 de 1998, las normas del Código Civil, constituida con aportes públicos y privados, regido en su dirección, administración y contratación por el derecho privado, de conformidad al concepto c-082 </w:t>
      </w:r>
      <w:r w:rsidRPr="00764675">
        <w:rPr>
          <w:rFonts w:ascii="Verdana" w:hAnsi="Verdana" w:eastAsia="Aptos" w:cs="p¿√_ò"/>
          <w:sz w:val="21"/>
          <w:szCs w:val="21"/>
          <w:lang w:val="es-MX"/>
          <w14:ligatures w14:val="standardContextual"/>
        </w:rPr>
        <w:lastRenderedPageBreak/>
        <w:t>de 2024 emitido por su entidad cual seria el regimen contractual aplicar en los procesos contractuales y si deben aplicar los estipulado en la ley 80 de 1993 y el decreto 1082 de 2015 en los procedimientos contractuales con esos recursos:”</w:t>
      </w:r>
    </w:p>
    <w:p w:rsidRPr="00764675" w:rsidR="00764675" w:rsidP="00764675" w:rsidRDefault="00764675" w14:paraId="7A62D0B2" w14:textId="77777777">
      <w:pPr>
        <w:spacing w:after="0" w:line="240" w:lineRule="auto"/>
        <w:ind w:right="709"/>
        <w:jc w:val="both"/>
        <w:rPr>
          <w:rFonts w:ascii="Verdana" w:hAnsi="Verdana" w:eastAsia="Century Gothic" w:cs="Century Gothic"/>
          <w:lang w:val="es-ES"/>
        </w:rPr>
      </w:pPr>
    </w:p>
    <w:p w:rsidRPr="00764675" w:rsidR="00764675" w:rsidP="00764675" w:rsidRDefault="00764675" w14:paraId="3BED4735" w14:textId="77777777">
      <w:pPr>
        <w:spacing w:after="120" w:line="276" w:lineRule="auto"/>
        <w:ind w:firstLine="709"/>
        <w:jc w:val="both"/>
        <w:rPr>
          <w:rFonts w:ascii="Verdana" w:hAnsi="Verdana" w:eastAsia="Calibri" w:cs="Arial"/>
          <w:szCs w:val="24"/>
          <w:lang w:val="es-ES_tradnl" w:eastAsia="es-ES_tradnl"/>
        </w:rPr>
      </w:pPr>
      <w:r w:rsidRPr="00764675">
        <w:rPr>
          <w:rFonts w:ascii="Verdana" w:hAnsi="Verdana" w:eastAsia="Calibri"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64675">
        <w:rPr>
          <w:rFonts w:ascii="Verdana" w:hAnsi="Verdana" w:eastAsia="Calibri" w:cs="Arial"/>
          <w:szCs w:val="24"/>
          <w:lang w:val="es-ES_tradnl" w:eastAsia="es-ES_tradnl"/>
        </w:rPr>
        <w:tab/>
      </w:r>
    </w:p>
    <w:p w:rsidRPr="00764675" w:rsidR="00764675" w:rsidP="00764675" w:rsidRDefault="00764675" w14:paraId="18D1908D" w14:textId="77777777">
      <w:pPr>
        <w:spacing w:after="0" w:line="276" w:lineRule="auto"/>
        <w:ind w:firstLine="709"/>
        <w:jc w:val="both"/>
        <w:rPr>
          <w:rFonts w:ascii="Verdana" w:hAnsi="Verdana" w:eastAsia="Calibri" w:cs="Arial"/>
          <w:lang w:val="es-ES" w:eastAsia="es-ES"/>
        </w:rPr>
      </w:pPr>
      <w:r w:rsidRPr="00764675">
        <w:rPr>
          <w:rFonts w:ascii="Verdana" w:hAnsi="Verdana" w:eastAsia="Calibri"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rsidRPr="00764675" w:rsidR="00764675" w:rsidP="00764675" w:rsidRDefault="00764675" w14:paraId="3AA331F6" w14:textId="77777777">
      <w:pPr>
        <w:spacing w:after="0" w:line="276" w:lineRule="auto"/>
        <w:ind w:firstLine="709"/>
        <w:jc w:val="both"/>
        <w:rPr>
          <w:rFonts w:ascii="Verdana" w:hAnsi="Verdana" w:eastAsia="Calibri" w:cs="Arial"/>
          <w:lang w:val="es-ES" w:eastAsia="es-ES"/>
        </w:rPr>
      </w:pPr>
    </w:p>
    <w:p w:rsidRPr="00764675" w:rsidR="00764675" w:rsidP="00764675" w:rsidRDefault="00764675" w14:paraId="21C081D0" w14:textId="77777777">
      <w:pPr>
        <w:numPr>
          <w:ilvl w:val="0"/>
          <w:numId w:val="16"/>
        </w:numPr>
        <w:tabs>
          <w:tab w:val="left" w:pos="142"/>
          <w:tab w:val="left" w:pos="284"/>
        </w:tabs>
        <w:spacing w:after="0" w:line="276" w:lineRule="auto"/>
        <w:ind w:left="357" w:hanging="357"/>
        <w:contextualSpacing/>
        <w:jc w:val="both"/>
        <w:rPr>
          <w:rFonts w:ascii="Verdana" w:hAnsi="Verdana" w:eastAsia="Century Gothic" w:cs="Century Gothic"/>
          <w:b/>
          <w:bCs/>
          <w:lang w:val="es-ES"/>
        </w:rPr>
      </w:pPr>
      <w:r w:rsidRPr="00764675">
        <w:rPr>
          <w:rFonts w:ascii="Verdana" w:hAnsi="Verdana" w:eastAsia="Century Gothic" w:cs="Century Gothic"/>
          <w:b/>
          <w:bCs/>
          <w:lang w:val="es-ES"/>
        </w:rPr>
        <w:t>Problema planteado:</w:t>
      </w:r>
    </w:p>
    <w:p w:rsidRPr="00764675" w:rsidR="00764675" w:rsidP="00764675" w:rsidRDefault="00764675" w14:paraId="7140BB10" w14:textId="77777777">
      <w:pPr>
        <w:tabs>
          <w:tab w:val="left" w:pos="426"/>
        </w:tabs>
        <w:spacing w:after="0" w:line="276" w:lineRule="auto"/>
        <w:jc w:val="both"/>
        <w:rPr>
          <w:rFonts w:ascii="Verdana" w:hAnsi="Verdana" w:eastAsia="Century Gothic" w:cs="Century Gothic"/>
          <w:lang w:val="es-ES"/>
        </w:rPr>
      </w:pPr>
    </w:p>
    <w:p w:rsidRPr="00764675" w:rsidR="00764675" w:rsidP="00764675" w:rsidRDefault="00764675" w14:paraId="5B553EFC" w14:textId="77777777">
      <w:pPr>
        <w:snapToGrid w:val="0"/>
        <w:spacing w:after="0" w:line="276" w:lineRule="auto"/>
        <w:jc w:val="both"/>
        <w:rPr>
          <w:rFonts w:ascii="Verdana" w:hAnsi="Verdana" w:eastAsia="Century Gothic" w:cs="Century Gothic"/>
        </w:rPr>
      </w:pPr>
      <w:r w:rsidRPr="00764675">
        <w:rPr>
          <w:rFonts w:ascii="Verdana" w:hAnsi="Verdana" w:eastAsia="Century Gothic" w:cs="Century Gothic"/>
        </w:rPr>
        <w:t>De acuerdo con el contenido de su solicitud, esta Agencia resolverá el siguiente problema jurídico: ¿cuál es régimen contractual aplicable en la ejecución de proyectos cuya fuente de financiación es el Sistema General de Regalías?</w:t>
      </w:r>
    </w:p>
    <w:p w:rsidRPr="00764675" w:rsidR="00764675" w:rsidP="00764675" w:rsidRDefault="00764675" w14:paraId="705E3238" w14:textId="77777777">
      <w:pPr>
        <w:snapToGrid w:val="0"/>
        <w:spacing w:after="0" w:line="276" w:lineRule="auto"/>
        <w:jc w:val="both"/>
        <w:rPr>
          <w:rFonts w:ascii="Verdana" w:hAnsi="Verdana" w:eastAsia="Calibri" w:cs="Arial"/>
          <w:lang w:val="es-ES"/>
        </w:rPr>
      </w:pPr>
    </w:p>
    <w:p w:rsidRPr="00764675" w:rsidR="00764675" w:rsidP="00764675" w:rsidRDefault="00764675" w14:paraId="68B98507" w14:textId="77777777">
      <w:pPr>
        <w:numPr>
          <w:ilvl w:val="0"/>
          <w:numId w:val="16"/>
        </w:numPr>
        <w:tabs>
          <w:tab w:val="left" w:pos="142"/>
          <w:tab w:val="left" w:pos="284"/>
        </w:tabs>
        <w:snapToGrid w:val="0"/>
        <w:spacing w:after="0" w:line="276" w:lineRule="auto"/>
        <w:ind w:left="357" w:hanging="357"/>
        <w:jc w:val="both"/>
        <w:rPr>
          <w:rFonts w:ascii="Verdana" w:hAnsi="Verdana" w:eastAsia="Century Gothic" w:cs="Century Gothic"/>
          <w:b/>
          <w:bCs/>
          <w:lang w:val="es-ES"/>
        </w:rPr>
      </w:pPr>
      <w:r w:rsidRPr="00764675">
        <w:rPr>
          <w:rFonts w:ascii="Verdana" w:hAnsi="Verdana" w:eastAsia="Century Gothic" w:cs="Century Gothic"/>
          <w:b/>
          <w:bCs/>
          <w:lang w:val="es-ES"/>
        </w:rPr>
        <w:t>Respuesta:</w:t>
      </w:r>
    </w:p>
    <w:p w:rsidRPr="00764675" w:rsidR="00764675" w:rsidP="00764675" w:rsidRDefault="00764675" w14:paraId="303152F5" w14:textId="77777777">
      <w:pPr>
        <w:tabs>
          <w:tab w:val="left" w:pos="142"/>
          <w:tab w:val="left" w:pos="284"/>
        </w:tabs>
        <w:snapToGrid w:val="0"/>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764675" w:rsidR="00764675" w:rsidTr="00031609" w14:paraId="43B29A95" w14:textId="77777777">
        <w:tc>
          <w:tcPr>
            <w:tcW w:w="8828" w:type="dxa"/>
            <w:shd w:val="clear" w:color="auto" w:fill="auto"/>
          </w:tcPr>
          <w:p w:rsidRPr="00764675" w:rsidR="00764675" w:rsidP="00764675" w:rsidRDefault="00764675" w14:paraId="6F484CAE" w14:textId="77777777">
            <w:pPr>
              <w:spacing w:line="276" w:lineRule="auto"/>
              <w:jc w:val="both"/>
              <w:rPr>
                <w:rFonts w:ascii="Verdana" w:hAnsi="Verdana" w:eastAsia="Aptos" w:cs="Arial"/>
                <w:b/>
                <w:bCs/>
                <w:kern w:val="2"/>
                <w:lang w:val="es-ES_tradnl"/>
                <w14:ligatures w14:val="standardContextual"/>
              </w:rPr>
            </w:pPr>
            <w:r w:rsidRPr="00764675">
              <w:rPr>
                <w:rFonts w:ascii="Verdana" w:hAnsi="Verdana" w:eastAsia="Times New Roman" w:cs="Arial"/>
                <w:kern w:val="2"/>
                <w:shd w:val="clear" w:color="auto" w:fill="FFFFFF"/>
                <w:lang w:val="es-ES_tradnl" w:eastAsia="es-ES_tradnl"/>
                <w14:ligatures w14:val="standardContextual"/>
              </w:rPr>
              <w:t>De conformidad con el artículo 37 de la Ley 2056 de 2020, el ejecutor de los proyectos de inversión el Sistema General de Regalías debe sujetarse a las reglas de contratación pública, es decir, a las prescripciones establecidas en el Estatuto General de Contratación de la Administración Pública, así como las normas que lo modifiquen, sustituyan o reglamenten. En tal sentido, el ejecutor debe someterse a las reglas generales de la contratación pública cuando desarrolle proyectos en el marco del Sistema General de Regalías.</w:t>
            </w:r>
          </w:p>
        </w:tc>
      </w:tr>
    </w:tbl>
    <w:p w:rsidRPr="00764675" w:rsidR="00764675" w:rsidP="00764675" w:rsidRDefault="00764675" w14:paraId="35E12B35" w14:textId="77777777">
      <w:pPr>
        <w:tabs>
          <w:tab w:val="left" w:pos="142"/>
          <w:tab w:val="left" w:pos="284"/>
        </w:tabs>
        <w:snapToGrid w:val="0"/>
        <w:spacing w:after="0" w:line="276" w:lineRule="auto"/>
        <w:jc w:val="both"/>
        <w:rPr>
          <w:rFonts w:ascii="Verdana" w:hAnsi="Verdana" w:eastAsia="Century Gothic" w:cs="Century Gothic"/>
          <w:b/>
          <w:bCs/>
          <w:lang w:val="es-ES"/>
        </w:rPr>
      </w:pPr>
    </w:p>
    <w:p w:rsidRPr="00764675" w:rsidR="00764675" w:rsidP="00764675" w:rsidRDefault="00764675" w14:paraId="1A436B5F" w14:textId="77777777">
      <w:pPr>
        <w:numPr>
          <w:ilvl w:val="0"/>
          <w:numId w:val="16"/>
        </w:numPr>
        <w:tabs>
          <w:tab w:val="left" w:pos="142"/>
          <w:tab w:val="left" w:pos="284"/>
        </w:tabs>
        <w:snapToGrid w:val="0"/>
        <w:spacing w:after="0" w:line="276" w:lineRule="auto"/>
        <w:ind w:left="357" w:hanging="357"/>
        <w:jc w:val="both"/>
        <w:rPr>
          <w:rFonts w:ascii="Verdana" w:hAnsi="Verdana" w:eastAsia="Century Gothic" w:cs="Century Gothic"/>
          <w:b/>
          <w:bCs/>
          <w:lang w:val="es-ES"/>
        </w:rPr>
      </w:pPr>
      <w:r w:rsidRPr="00764675">
        <w:rPr>
          <w:rFonts w:ascii="Verdana" w:hAnsi="Verdana" w:eastAsia="Century Gothic" w:cs="Century Gothic"/>
          <w:b/>
          <w:bCs/>
          <w:lang w:val="es-ES"/>
        </w:rPr>
        <w:t>Razones de la respuesta:</w:t>
      </w:r>
    </w:p>
    <w:p w:rsidRPr="00764675" w:rsidR="00764675" w:rsidP="00764675" w:rsidRDefault="00764675" w14:paraId="277ACA32" w14:textId="77777777">
      <w:pPr>
        <w:tabs>
          <w:tab w:val="left" w:pos="142"/>
          <w:tab w:val="left" w:pos="284"/>
        </w:tabs>
        <w:snapToGrid w:val="0"/>
        <w:spacing w:after="0" w:line="276" w:lineRule="auto"/>
        <w:ind w:left="357"/>
        <w:jc w:val="both"/>
        <w:rPr>
          <w:rFonts w:ascii="Verdana" w:hAnsi="Verdana" w:eastAsia="Century Gothic" w:cs="Century Gothic"/>
          <w:b/>
          <w:bCs/>
          <w:lang w:val="es-ES"/>
        </w:rPr>
      </w:pPr>
    </w:p>
    <w:p w:rsidRPr="00764675" w:rsidR="00764675" w:rsidP="00764675" w:rsidRDefault="00764675" w14:paraId="2CAB99DC" w14:textId="77777777">
      <w:pPr>
        <w:snapToGrid w:val="0"/>
        <w:spacing w:after="0" w:line="276" w:lineRule="auto"/>
        <w:jc w:val="both"/>
        <w:rPr>
          <w:rFonts w:ascii="Verdana" w:hAnsi="Verdana" w:eastAsia="Calibri" w:cs="Arial"/>
          <w:lang w:val="es-ES"/>
        </w:rPr>
      </w:pPr>
      <w:r w:rsidRPr="00764675">
        <w:rPr>
          <w:rFonts w:ascii="Verdana" w:hAnsi="Verdana" w:eastAsia="Calibri" w:cs="Arial"/>
          <w:lang w:val="es-ES"/>
        </w:rPr>
        <w:t>Lo anterior se sustenta en las siguientes consideraciones:</w:t>
      </w:r>
    </w:p>
    <w:p w:rsidRPr="00764675" w:rsidR="00764675" w:rsidP="00764675" w:rsidRDefault="00764675" w14:paraId="4E3A6184" w14:textId="77777777">
      <w:pPr>
        <w:snapToGrid w:val="0"/>
        <w:spacing w:after="0" w:line="276" w:lineRule="auto"/>
        <w:jc w:val="both"/>
        <w:rPr>
          <w:rFonts w:ascii="Verdana" w:hAnsi="Verdana" w:eastAsia="Calibri" w:cs="Arial"/>
          <w:lang w:val="es-ES"/>
        </w:rPr>
      </w:pPr>
      <w:r w:rsidRPr="00764675">
        <w:rPr>
          <w:rFonts w:ascii="Verdana" w:hAnsi="Verdana" w:eastAsia="Calibri" w:cs="Arial"/>
          <w:lang w:val="es-ES"/>
        </w:rPr>
        <w:t xml:space="preserve"> </w:t>
      </w:r>
    </w:p>
    <w:p w:rsidRPr="00764675" w:rsidR="00764675" w:rsidP="00764675" w:rsidRDefault="00764675" w14:paraId="30BBE191" w14:textId="77777777">
      <w:pPr>
        <w:numPr>
          <w:ilvl w:val="0"/>
          <w:numId w:val="18"/>
        </w:numPr>
        <w:snapToGrid w:val="0"/>
        <w:spacing w:after="0" w:line="276" w:lineRule="auto"/>
        <w:jc w:val="both"/>
        <w:rPr>
          <w:rFonts w:ascii="Verdana" w:hAnsi="Verdana" w:eastAsia="Aptos" w:cs="Arial"/>
          <w:noProof/>
          <w:kern w:val="2"/>
          <w:lang w:val="es-ES_tradnl"/>
          <w14:ligatures w14:val="standardContextual"/>
        </w:rPr>
      </w:pPr>
      <w:r w:rsidRPr="00764675">
        <w:rPr>
          <w:rFonts w:ascii="Verdana" w:hAnsi="Verdana" w:eastAsia="Aptos" w:cs="Arial"/>
          <w:noProof/>
          <w:kern w:val="2"/>
          <w:lang w:val="es-ES_tradnl"/>
          <w14:ligatures w14:val="standardContextual"/>
        </w:rPr>
        <w:t xml:space="preserve">En el Título IV, Capítulo I, la Ley 2056 de 2020 </w:t>
      </w:r>
      <w:r w:rsidRPr="00764675">
        <w:rPr>
          <w:rFonts w:ascii="Verdana" w:hAnsi="Verdana" w:eastAsia="Aptos" w:cs="Times New Roman"/>
          <w:kern w:val="2"/>
          <w:lang w:val="es-ES_tradnl"/>
          <w14:ligatures w14:val="standardContextual"/>
        </w:rPr>
        <w:t>“</w:t>
      </w:r>
      <w:r w:rsidRPr="00764675">
        <w:rPr>
          <w:rFonts w:ascii="Verdana" w:hAnsi="Verdana" w:eastAsia="Aptos" w:cs="Arial"/>
          <w:noProof/>
          <w:kern w:val="2"/>
          <w:lang w:val="es-ES_tradnl"/>
          <w14:ligatures w14:val="standardContextual"/>
        </w:rPr>
        <w:t xml:space="preserve">Por la cual se regula la organización y el funcionamiento del Sistema General de Regalías”, establece las reglas generales para los proyectos de inversión en el Sistema General de Regalías. En esta línea, regula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 –artículo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 </w:t>
      </w:r>
    </w:p>
    <w:p w:rsidRPr="00764675" w:rsidR="00764675" w:rsidP="00764675" w:rsidRDefault="00764675" w14:paraId="32C93EA2" w14:textId="77777777">
      <w:pPr>
        <w:snapToGrid w:val="0"/>
        <w:spacing w:after="0" w:line="276" w:lineRule="auto"/>
        <w:ind w:left="720"/>
        <w:jc w:val="both"/>
        <w:rPr>
          <w:rFonts w:ascii="Verdana" w:hAnsi="Verdana" w:eastAsia="Aptos" w:cs="Arial"/>
          <w:noProof/>
          <w:kern w:val="2"/>
          <w:lang w:val="es-ES_tradnl"/>
          <w14:ligatures w14:val="standardContextual"/>
        </w:rPr>
      </w:pPr>
    </w:p>
    <w:p w:rsidRPr="00764675" w:rsidR="00764675" w:rsidP="00764675" w:rsidRDefault="00764675" w14:paraId="6D74A736" w14:textId="77777777">
      <w:pPr>
        <w:numPr>
          <w:ilvl w:val="0"/>
          <w:numId w:val="18"/>
        </w:numPr>
        <w:snapToGrid w:val="0"/>
        <w:spacing w:after="0" w:line="276" w:lineRule="auto"/>
        <w:jc w:val="both"/>
        <w:rPr>
          <w:rFonts w:ascii="Verdana" w:hAnsi="Verdana" w:eastAsia="Aptos" w:cs="Arial"/>
          <w:noProof/>
          <w:kern w:val="2"/>
          <w:lang w:val="es-ES_tradnl"/>
          <w14:ligatures w14:val="standardContextual"/>
        </w:rPr>
      </w:pPr>
      <w:r w:rsidRPr="00764675">
        <w:rPr>
          <w:rFonts w:ascii="Verdana" w:hAnsi="Verdana" w:eastAsia="Aptos" w:cs="Arial"/>
          <w:noProof/>
          <w:kern w:val="2"/>
          <w:lang w:val="es-ES_tradnl"/>
          <w14:ligatures w14:val="standardContextual"/>
        </w:rPr>
        <w:t>El artículo 28 dispone que con este tipo de recursos se financian proyectos de inversión en sus diferentes etapas, con la condición que estén en el horizonte de realización. Asimismo, pueden financiarse estudios y diseños como parte de los proyectos de inversión y sus obras complementarias. Estos proyectos deben basarse en la metodología dispuesta por el Departamento Nacional de Planeación y a su vez, se dispone que estos recursos no podrán financiar gastos permanentes: una vez finalizada la etapa de inversión, la prestación del servicio debe ser sostenible y financiada por recursos diferentes al Sistema General de Regalías</w:t>
      </w:r>
      <w:r w:rsidRPr="00764675">
        <w:rPr>
          <w:rFonts w:ascii="Verdana" w:hAnsi="Verdana" w:eastAsia="Aptos" w:cs="Arial"/>
          <w:noProof/>
          <w:kern w:val="2"/>
          <w:vertAlign w:val="superscript"/>
          <w:lang w:val="es-ES_tradnl"/>
          <w14:ligatures w14:val="standardContextual"/>
        </w:rPr>
        <w:footnoteReference w:id="2"/>
      </w:r>
      <w:r w:rsidRPr="00764675">
        <w:rPr>
          <w:rFonts w:ascii="Verdana" w:hAnsi="Verdana" w:eastAsia="Aptos" w:cs="Arial"/>
          <w:noProof/>
          <w:kern w:val="2"/>
          <w:lang w:val="es-ES_tradnl"/>
          <w14:ligatures w14:val="standardContextual"/>
        </w:rPr>
        <w:t xml:space="preserve">. </w:t>
      </w:r>
    </w:p>
    <w:p w:rsidRPr="00764675" w:rsidR="00764675" w:rsidP="00764675" w:rsidRDefault="00764675" w14:paraId="2F3FC512" w14:textId="77777777">
      <w:pPr>
        <w:snapToGrid w:val="0"/>
        <w:spacing w:after="0" w:line="276" w:lineRule="auto"/>
        <w:jc w:val="both"/>
        <w:rPr>
          <w:rFonts w:ascii="Verdana" w:hAnsi="Verdana" w:eastAsia="Aptos" w:cs="Arial"/>
          <w:noProof/>
          <w:kern w:val="2"/>
          <w:lang w:val="es-ES_tradnl"/>
          <w14:ligatures w14:val="standardContextual"/>
        </w:rPr>
      </w:pPr>
    </w:p>
    <w:p w:rsidRPr="00764675" w:rsidR="00764675" w:rsidP="00764675" w:rsidRDefault="00764675" w14:paraId="3C780028" w14:textId="77777777">
      <w:pPr>
        <w:numPr>
          <w:ilvl w:val="0"/>
          <w:numId w:val="18"/>
        </w:numPr>
        <w:snapToGrid w:val="0"/>
        <w:spacing w:after="0" w:line="276" w:lineRule="auto"/>
        <w:jc w:val="both"/>
        <w:rPr>
          <w:rFonts w:ascii="Verdana" w:hAnsi="Verdana" w:eastAsia="Aptos" w:cs="Arial"/>
          <w:noProof/>
          <w:kern w:val="2"/>
          <w:lang w:val="es-ES_tradnl"/>
          <w14:ligatures w14:val="standardContextual"/>
        </w:rPr>
      </w:pPr>
      <w:r w:rsidRPr="00764675">
        <w:rPr>
          <w:rFonts w:ascii="Verdana" w:hAnsi="Verdana" w:eastAsia="Aptos" w:cs="Arial"/>
          <w:noProof/>
          <w:kern w:val="2"/>
          <w:lang w:val="es-ES_tradnl"/>
          <w14:ligatures w14:val="standardContextual"/>
        </w:rPr>
        <w:t>ii) El artículo 35, parágrafo 2, dispone que los Departamentos y Órganos Colegiados de Administración y Decisión Regionales de que trata el artículo citado, en el marco de sus competencias, deben designar una</w:t>
      </w:r>
      <w:r w:rsidRPr="00764675" w:rsidDel="003822CF">
        <w:rPr>
          <w:rFonts w:ascii="Verdana" w:hAnsi="Verdana" w:eastAsia="Aptos" w:cs="Arial"/>
          <w:noProof/>
          <w:kern w:val="2"/>
          <w:lang w:val="es-ES_tradnl"/>
          <w14:ligatures w14:val="standardContextual"/>
        </w:rPr>
        <w:t xml:space="preserve"> </w:t>
      </w:r>
      <w:r w:rsidRPr="00764675">
        <w:rPr>
          <w:rFonts w:ascii="Verdana" w:hAnsi="Verdana" w:eastAsia="Aptos" w:cs="Arial"/>
          <w:noProof/>
          <w:kern w:val="2"/>
          <w:lang w:val="es-ES_tradnl"/>
          <w14:ligatures w14:val="standardContextual"/>
        </w:rPr>
        <w:t>entidad ejecutora de naturaleza pública, que además debe estar a cargo de la contratación de la interventoría, de acuerdo a lo regulado en dicha ley</w:t>
      </w:r>
      <w:r w:rsidRPr="00764675">
        <w:rPr>
          <w:rFonts w:ascii="Verdana" w:hAnsi="Verdana" w:eastAsia="Aptos" w:cs="Arial"/>
          <w:noProof/>
          <w:kern w:val="2"/>
          <w:vertAlign w:val="superscript"/>
          <w:lang w:val="es-ES_tradnl"/>
          <w14:ligatures w14:val="standardContextual"/>
        </w:rPr>
        <w:footnoteReference w:id="3"/>
      </w:r>
      <w:r w:rsidRPr="00764675">
        <w:rPr>
          <w:rFonts w:ascii="Verdana" w:hAnsi="Verdana" w:eastAsia="Aptos" w:cs="Arial"/>
          <w:noProof/>
          <w:kern w:val="2"/>
          <w:lang w:val="es-ES_tradnl"/>
          <w14:ligatures w14:val="standardContextual"/>
        </w:rPr>
        <w:t xml:space="preserve">. </w:t>
      </w:r>
    </w:p>
    <w:p w:rsidRPr="00764675" w:rsidR="00764675" w:rsidP="00764675" w:rsidRDefault="00764675" w14:paraId="62AAD658" w14:textId="77777777">
      <w:pPr>
        <w:snapToGrid w:val="0"/>
        <w:spacing w:after="0" w:line="276" w:lineRule="auto"/>
        <w:jc w:val="both"/>
        <w:rPr>
          <w:rFonts w:ascii="Verdana" w:hAnsi="Verdana" w:eastAsia="Aptos" w:cs="Arial"/>
          <w:noProof/>
          <w:kern w:val="2"/>
          <w:lang w:val="es-ES_tradnl"/>
          <w14:ligatures w14:val="standardContextual"/>
        </w:rPr>
      </w:pPr>
    </w:p>
    <w:p w:rsidRPr="00764675" w:rsidR="00764675" w:rsidP="00764675" w:rsidRDefault="00764675" w14:paraId="4EEDE9AD" w14:textId="77777777">
      <w:pPr>
        <w:numPr>
          <w:ilvl w:val="0"/>
          <w:numId w:val="18"/>
        </w:numPr>
        <w:snapToGrid w:val="0"/>
        <w:spacing w:after="0" w:line="276" w:lineRule="auto"/>
        <w:jc w:val="both"/>
        <w:rPr>
          <w:rFonts w:ascii="Verdana" w:hAnsi="Verdana" w:eastAsia="Aptos" w:cs="Arial"/>
          <w:kern w:val="2"/>
          <w:lang w:val="es-ES_tradnl"/>
          <w14:ligatures w14:val="standardContextual"/>
        </w:rPr>
      </w:pPr>
      <w:r w:rsidRPr="00764675">
        <w:rPr>
          <w:rFonts w:ascii="Verdana" w:hAnsi="Verdana" w:eastAsia="Aptos" w:cs="Arial"/>
          <w:noProof/>
          <w:kern w:val="2"/>
          <w:lang w:val="es-ES_tradnl"/>
          <w14:ligatures w14:val="standardContextual"/>
        </w:rPr>
        <w:t xml:space="preserve">iii) 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w:t>
      </w:r>
      <w:r w:rsidRPr="00764675">
        <w:rPr>
          <w:rFonts w:ascii="Verdana" w:hAnsi="Verdana" w:eastAsia="Aptos" w:cs="Arial"/>
          <w:kern w:val="2"/>
          <w:lang w:val="es-ES_tradnl"/>
          <w14:ligatures w14:val="standardContextual"/>
        </w:rPr>
        <w:t>así como de verificar su disponibilidad, conforme con la metodología del Departamento Nacional de Planeación</w:t>
      </w:r>
      <w:r w:rsidRPr="00764675">
        <w:rPr>
          <w:rFonts w:ascii="Verdana" w:hAnsi="Verdana" w:eastAsia="Aptos" w:cs="Arial"/>
          <w:kern w:val="2"/>
          <w:vertAlign w:val="superscript"/>
          <w:lang w:val="es-ES_tradnl"/>
          <w14:ligatures w14:val="standardContextual"/>
        </w:rPr>
        <w:footnoteReference w:id="4"/>
      </w:r>
      <w:r w:rsidRPr="00764675">
        <w:rPr>
          <w:rFonts w:ascii="Verdana" w:hAnsi="Verdana" w:eastAsia="Aptos" w:cs="Arial"/>
          <w:kern w:val="2"/>
          <w:lang w:val="es-ES_tradnl"/>
          <w14:ligatures w14:val="standardContextual"/>
        </w:rPr>
        <w:t>.</w:t>
      </w:r>
    </w:p>
    <w:p w:rsidRPr="00764675" w:rsidR="00764675" w:rsidP="00764675" w:rsidRDefault="00764675" w14:paraId="182A676B" w14:textId="77777777">
      <w:pPr>
        <w:snapToGrid w:val="0"/>
        <w:spacing w:after="0" w:line="276" w:lineRule="auto"/>
        <w:jc w:val="both"/>
        <w:rPr>
          <w:rFonts w:ascii="Verdana" w:hAnsi="Verdana" w:eastAsia="Aptos" w:cs="Arial"/>
          <w:kern w:val="2"/>
          <w:lang w:val="es-ES_tradnl"/>
          <w14:ligatures w14:val="standardContextual"/>
        </w:rPr>
      </w:pPr>
    </w:p>
    <w:p w:rsidRPr="00764675" w:rsidR="00764675" w:rsidP="65C877AB" w:rsidRDefault="00764675" w14:paraId="2DCE37FB" w14:textId="77777777">
      <w:pPr>
        <w:numPr>
          <w:ilvl w:val="0"/>
          <w:numId w:val="18"/>
        </w:numPr>
        <w:snapToGrid w:val="0"/>
        <w:spacing w:after="0" w:line="276" w:lineRule="auto"/>
        <w:jc w:val="both"/>
        <w:rPr>
          <w:rFonts w:ascii="Verdana" w:hAnsi="Verdana" w:eastAsia="Aptos" w:cs="Arial"/>
          <w:kern w:val="2"/>
          <w:lang w:val="es-ES"/>
          <w14:ligatures w14:val="standardContextual"/>
        </w:rPr>
      </w:pPr>
      <w:r w:rsidRPr="65C877AB" w:rsidR="00764675">
        <w:rPr>
          <w:rFonts w:ascii="Verdana" w:hAnsi="Verdana" w:eastAsia="Aptos" w:cs="Arial"/>
          <w:kern w:val="2"/>
          <w:lang w:val="es-ES"/>
          <w14:ligatures w14:val="standardContextual"/>
        </w:rPr>
        <w:t xml:space="preserve">iv) El artículo 37 de la Ley 2056 de 2020 dispone que los proyectos de inversión que se financien con cargo al Sistema General de Regalías serán ejecutados por quien designe las entidades u órganos de que tratan los artículos 35 y 36 </w:t>
      </w:r>
      <w:r w:rsidRPr="65C877AB" w:rsidR="00764675">
        <w:rPr>
          <w:rFonts w:ascii="Verdana" w:hAnsi="Verdana" w:eastAsia="Aptos" w:cs="Arial"/>
          <w:i w:val="1"/>
          <w:iCs w:val="1"/>
          <w:kern w:val="2"/>
          <w:lang w:val="es-ES"/>
          <w14:ligatures w14:val="standardContextual"/>
        </w:rPr>
        <w:t>ibidem</w:t>
      </w:r>
      <w:r w:rsidRPr="65C877AB" w:rsidR="00764675">
        <w:rPr>
          <w:rFonts w:ascii="Verdana" w:hAnsi="Verdana" w:eastAsia="Aptos" w:cs="Arial"/>
          <w:kern w:val="2"/>
          <w:lang w:val="es-ES"/>
          <w14:ligatures w14:val="standardContextual"/>
        </w:rPr>
        <w:t xml:space="preserve">. </w:t>
      </w:r>
      <w:r w:rsidRPr="65C877AB" w:rsidR="00764675">
        <w:rPr>
          <w:rFonts w:ascii="Verdana" w:hAnsi="Verdana" w:eastAsia="Aptos" w:cs="Arial"/>
          <w:kern w:val="2"/>
          <w:lang w:val="es-ES"/>
          <w14:ligatures w14:val="standardContextual"/>
        </w:rPr>
        <w:t xml:space="preserve">También agrega que la entidad pública ejecutora tiene el deber de adelantar la contratación de la interventoría, de conformidad con lo previsto en la presente ley.</w:t>
      </w:r>
      <w:r w:rsidRPr="65C877AB" w:rsidR="00764675">
        <w:rPr>
          <w:rFonts w:ascii="Verdana" w:hAnsi="Verdana" w:eastAsia="Aptos" w:cs="Arial"/>
          <w:kern w:val="2"/>
          <w:lang w:val="es-ES"/>
          <w14:ligatures w14:val="standardContextual"/>
        </w:rPr>
        <w:t xml:space="preserve"> </w:t>
      </w:r>
      <w:r w:rsidRPr="65C877AB" w:rsidR="00764675">
        <w:rPr>
          <w:rFonts w:ascii="Verdana" w:hAnsi="Verdana" w:eastAsia="Aptos" w:cs="Arial"/>
          <w:kern w:val="2"/>
          <w:lang w:val="es-ES"/>
          <w14:ligatures w14:val="standardContextual"/>
        </w:rPr>
        <w:t xml:space="preserve">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w:t>
      </w:r>
      <w:r w:rsidRPr="65C877AB" w:rsidR="00764675">
        <w:rPr>
          <w:rFonts w:ascii="Verdana" w:hAnsi="Verdana" w:eastAsia="Aptos" w:cs="Arial"/>
          <w:kern w:val="2"/>
          <w:lang w:val="es-ES"/>
          <w14:ligatures w14:val="standardContextual"/>
        </w:rPr>
        <w:t xml:space="preserve"> </w:t>
      </w:r>
    </w:p>
    <w:p w:rsidRPr="00764675" w:rsidR="00764675" w:rsidP="00764675" w:rsidRDefault="00764675" w14:paraId="5B46764B" w14:textId="77777777">
      <w:pPr>
        <w:snapToGrid w:val="0"/>
        <w:spacing w:after="0" w:line="276" w:lineRule="auto"/>
        <w:jc w:val="both"/>
        <w:rPr>
          <w:rFonts w:ascii="Verdana" w:hAnsi="Verdana" w:eastAsia="Aptos" w:cs="Arial"/>
          <w:kern w:val="2"/>
          <w:lang w:val="es-ES_tradnl"/>
          <w14:ligatures w14:val="standardContextual"/>
        </w:rPr>
      </w:pPr>
    </w:p>
    <w:p w:rsidRPr="00764675" w:rsidR="00764675" w:rsidP="65C877AB" w:rsidRDefault="00764675" w14:paraId="3934FA7B" w14:textId="77777777">
      <w:pPr>
        <w:numPr>
          <w:ilvl w:val="0"/>
          <w:numId w:val="18"/>
        </w:numPr>
        <w:snapToGrid w:val="0"/>
        <w:spacing w:after="0" w:line="276" w:lineRule="auto"/>
        <w:jc w:val="both"/>
        <w:rPr>
          <w:rFonts w:ascii="Verdana" w:hAnsi="Verdana" w:eastAsia="Aptos" w:cs="Arial"/>
          <w:noProof/>
          <w:kern w:val="2"/>
          <w:lang w:val="es-ES"/>
          <w14:ligatures w14:val="standardContextual"/>
        </w:rPr>
      </w:pPr>
      <w:r w:rsidRPr="65C877AB" w:rsidR="00764675">
        <w:rPr>
          <w:rFonts w:ascii="Verdana" w:hAnsi="Verdana" w:eastAsia="Aptos" w:cs="Arial"/>
          <w:kern w:val="2"/>
          <w:lang w:val="es-ES"/>
          <w14:ligatures w14:val="standardContextual"/>
        </w:rPr>
        <w:t xml:space="preserve">En esta línea, el parágrafo primero del artículo 37 dispone: “La ejecución de proyectos de </w:t>
      </w:r>
      <w:r w:rsidRPr="65C877AB" w:rsidR="00764675">
        <w:rPr>
          <w:rFonts w:ascii="Verdana" w:hAnsi="Verdana" w:eastAsia="Aptos" w:cs="Arial"/>
          <w:kern w:val="2"/>
          <w:lang w:val="es-ES"/>
          <w14:ligatures w14:val="standardContextual"/>
        </w:rPr>
        <w:t>que</w:t>
      </w:r>
      <w:r w:rsidRPr="65C877AB" w:rsidR="00764675">
        <w:rPr>
          <w:rFonts w:ascii="Verdana" w:hAnsi="Verdana" w:eastAsia="Aptos" w:cs="Arial"/>
          <w:kern w:val="2"/>
          <w:lang w:val="es-ES"/>
          <w14:ligatures w14:val="standardContextual"/>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sidRPr="65C877AB">
        <w:rPr>
          <w:rFonts w:ascii="Verdana" w:hAnsi="Verdana" w:eastAsia="Aptos" w:cs="Arial"/>
          <w:kern w:val="2"/>
          <w:vertAlign w:val="superscript"/>
          <w:lang w:val="es-ES"/>
          <w14:ligatures w14:val="standardContextual"/>
        </w:rPr>
        <w:footnoteReference w:id="5"/>
      </w:r>
      <w:r w:rsidRPr="65C877AB" w:rsidR="00764675">
        <w:rPr>
          <w:rFonts w:ascii="Verdana" w:hAnsi="Verdana" w:eastAsia="Aptos" w:cs="Arial"/>
          <w:kern w:val="2"/>
          <w:lang w:val="es-ES"/>
          <w14:ligatures w14:val="standardContextual"/>
        </w:rPr>
        <w:t>.</w:t>
      </w:r>
      <w:r w:rsidRPr="65C877AB" w:rsidR="00764675">
        <w:rPr>
          <w:rFonts w:ascii="Verdana" w:hAnsi="Verdana" w:eastAsia="Aptos" w:cs="Arial"/>
          <w:noProof/>
          <w:kern w:val="2"/>
          <w:lang w:val="es-ES"/>
          <w14:ligatures w14:val="standardContextual"/>
        </w:rPr>
        <w:t xml:space="preserve"> A partir de esta norma, el </w:t>
      </w:r>
      <w:r w:rsidRPr="65C877AB" w:rsidR="00764675">
        <w:rPr>
          <w:rFonts w:ascii="Verdana" w:hAnsi="Verdana" w:eastAsia="Aptos" w:cs="Arial"/>
          <w:noProof/>
          <w:kern w:val="2"/>
          <w:lang w:val="es-ES"/>
          <w14:ligatures w14:val="standardContextual"/>
        </w:rPr>
        <w:lastRenderedPageBreak/>
        <w:t xml:space="preserve">ejercutor de los proyectos de inversion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 </w:t>
      </w:r>
    </w:p>
    <w:p w:rsidRPr="00764675" w:rsidR="00764675" w:rsidP="00764675" w:rsidRDefault="00764675" w14:paraId="407A155A" w14:textId="77777777">
      <w:pPr>
        <w:snapToGrid w:val="0"/>
        <w:spacing w:after="0" w:line="276" w:lineRule="auto"/>
        <w:jc w:val="both"/>
        <w:rPr>
          <w:rFonts w:ascii="Verdana" w:hAnsi="Verdana" w:eastAsia="Aptos" w:cs="Arial"/>
          <w:noProof/>
          <w:kern w:val="2"/>
          <w:lang w:val="es-ES_tradnl"/>
          <w14:ligatures w14:val="standardContextual"/>
        </w:rPr>
      </w:pPr>
    </w:p>
    <w:p w:rsidRPr="00764675" w:rsidR="00764675" w:rsidP="00764675" w:rsidRDefault="00764675" w14:paraId="26920147" w14:textId="77777777">
      <w:pPr>
        <w:numPr>
          <w:ilvl w:val="0"/>
          <w:numId w:val="18"/>
        </w:numPr>
        <w:snapToGrid w:val="0"/>
        <w:spacing w:after="0" w:line="276" w:lineRule="auto"/>
        <w:jc w:val="both"/>
        <w:rPr>
          <w:rFonts w:ascii="Verdana" w:hAnsi="Verdana" w:eastAsia="Aptos" w:cs="Arial"/>
          <w:noProof/>
          <w:kern w:val="2"/>
          <w:lang w:val="es-ES_tradnl"/>
          <w14:ligatures w14:val="standardContextual"/>
        </w:rPr>
      </w:pPr>
      <w:r w:rsidRPr="00764675">
        <w:rPr>
          <w:rFonts w:ascii="Verdana" w:hAnsi="Verdana" w:eastAsia="Aptos" w:cs="Arial"/>
          <w:noProof/>
          <w:kern w:val="2"/>
          <w:lang w:val="es-ES_tradnl"/>
          <w14:ligatures w14:val="standardContextual"/>
        </w:rPr>
        <w:t>Adicioanlemnte, el parágrafo segundo</w:t>
      </w:r>
      <w:r w:rsidRPr="00764675">
        <w:rPr>
          <w:rFonts w:ascii="Verdana" w:hAnsi="Verdana" w:eastAsia="Aptos" w:cs="Arial"/>
          <w:i/>
          <w:iCs/>
          <w:noProof/>
          <w:kern w:val="2"/>
          <w:lang w:val="es-ES_tradnl"/>
          <w14:ligatures w14:val="standardContextual"/>
        </w:rPr>
        <w:t xml:space="preserve"> ibidem</w:t>
      </w:r>
      <w:r w:rsidRPr="00764675">
        <w:rPr>
          <w:rFonts w:ascii="Verdana" w:hAnsi="Verdana" w:eastAsia="Aptos" w:cs="Arial"/>
          <w:noProof/>
          <w:kern w:val="2"/>
          <w:lang w:val="es-ES_tradnl"/>
          <w14:ligatures w14:val="standardContextual"/>
        </w:rPr>
        <w:t xml:space="preserve"> establece que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rsidRPr="00764675" w:rsidR="00764675" w:rsidP="00764675" w:rsidRDefault="00764675" w14:paraId="4A47C3A1" w14:textId="77777777">
      <w:pPr>
        <w:snapToGrid w:val="0"/>
        <w:spacing w:after="0" w:line="276" w:lineRule="auto"/>
        <w:jc w:val="both"/>
        <w:rPr>
          <w:rFonts w:ascii="Verdana" w:hAnsi="Verdana" w:eastAsia="Aptos" w:cs="Arial"/>
          <w:noProof/>
          <w:kern w:val="2"/>
          <w:lang w:val="es-ES_tradnl"/>
          <w14:ligatures w14:val="standardContextual"/>
        </w:rPr>
      </w:pPr>
    </w:p>
    <w:p w:rsidRPr="00764675" w:rsidR="00764675" w:rsidP="00764675" w:rsidRDefault="00764675" w14:paraId="3E28D23A" w14:textId="77777777">
      <w:pPr>
        <w:numPr>
          <w:ilvl w:val="0"/>
          <w:numId w:val="18"/>
        </w:numPr>
        <w:snapToGrid w:val="0"/>
        <w:spacing w:after="0" w:line="276" w:lineRule="auto"/>
        <w:jc w:val="both"/>
        <w:rPr>
          <w:rFonts w:ascii="Verdana" w:hAnsi="Verdana" w:eastAsia="Aptos" w:cs="Arial"/>
          <w:noProof/>
          <w:kern w:val="2"/>
          <w:lang w:val="es-ES_tradnl"/>
          <w14:ligatures w14:val="standardContextual"/>
        </w:rPr>
      </w:pPr>
      <w:r w:rsidRPr="00764675">
        <w:rPr>
          <w:rFonts w:ascii="Verdana" w:hAnsi="Verdana" w:eastAsia="Aptos" w:cs="Arial"/>
          <w:noProof/>
          <w:kern w:val="2"/>
          <w:lang w:val="es-ES_tradnl"/>
          <w14:ligatures w14:val="standardContextual"/>
        </w:rPr>
        <w:t xml:space="preserve">En virtud de lo expuesto, puede concluirse que la ejecución de proyectos de inversión en el marco del Sistema General de Garantías dede realizarse </w:t>
      </w:r>
      <w:r w:rsidRPr="00764675">
        <w:rPr>
          <w:rFonts w:ascii="Verdana" w:hAnsi="Verdana" w:eastAsia="Aptos" w:cs="Arial"/>
          <w:noProof/>
          <w:kern w:val="2"/>
          <w:lang w:val="es-ES_tradnl"/>
          <w14:ligatures w14:val="standardContextual"/>
        </w:rPr>
        <w:lastRenderedPageBreak/>
        <w:t>con sujeción al Estatuto General de Contratación de la Administración Pública.</w:t>
      </w:r>
    </w:p>
    <w:p w:rsidRPr="00764675" w:rsidR="00764675" w:rsidP="00764675" w:rsidRDefault="00764675" w14:paraId="3F15D3A3" w14:textId="77777777">
      <w:pPr>
        <w:spacing w:after="0" w:line="276" w:lineRule="auto"/>
        <w:ind w:left="720"/>
        <w:contextualSpacing/>
        <w:jc w:val="both"/>
        <w:rPr>
          <w:rFonts w:ascii="Verdana" w:hAnsi="Verdana" w:eastAsia="Calibri" w:cs="Arial"/>
          <w:b/>
          <w:kern w:val="2"/>
          <w:lang w:val="es-ES_tradnl" w:eastAsia="es-CO"/>
          <w14:ligatures w14:val="standardContextual"/>
        </w:rPr>
      </w:pPr>
    </w:p>
    <w:p w:rsidRPr="00764675" w:rsidR="00764675" w:rsidP="00764675" w:rsidRDefault="00764675" w14:paraId="4364E284" w14:textId="77777777">
      <w:pPr>
        <w:numPr>
          <w:ilvl w:val="0"/>
          <w:numId w:val="16"/>
        </w:numPr>
        <w:tabs>
          <w:tab w:val="left" w:pos="142"/>
          <w:tab w:val="left" w:pos="284"/>
        </w:tabs>
        <w:spacing w:after="0" w:line="276" w:lineRule="auto"/>
        <w:ind w:left="357" w:hanging="357"/>
        <w:jc w:val="both"/>
        <w:rPr>
          <w:rFonts w:ascii="Verdana" w:hAnsi="Verdana" w:eastAsia="Century Gothic" w:cs="Century Gothic"/>
          <w:b/>
          <w:bCs/>
          <w:lang w:val="es-ES"/>
        </w:rPr>
      </w:pPr>
      <w:r w:rsidRPr="00764675">
        <w:rPr>
          <w:rFonts w:ascii="Verdana" w:hAnsi="Verdana" w:eastAsia="Century Gothic" w:cs="Century Gothic"/>
          <w:b/>
          <w:bCs/>
          <w:lang w:val="es-ES"/>
        </w:rPr>
        <w:t>Referencias normativas, jurisprudenciales y otras fuentes:</w:t>
      </w:r>
    </w:p>
    <w:p w:rsidRPr="00764675" w:rsidR="00764675" w:rsidP="00764675" w:rsidRDefault="00764675" w14:paraId="1052B4AD" w14:textId="77777777">
      <w:pPr>
        <w:widowControl w:val="0"/>
        <w:autoSpaceDE w:val="0"/>
        <w:autoSpaceDN w:val="0"/>
        <w:spacing w:after="0" w:line="276" w:lineRule="auto"/>
        <w:jc w:val="both"/>
        <w:rPr>
          <w:rFonts w:ascii="Verdana" w:hAnsi="Verdana" w:eastAsia="Calibri"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Look w:val="04A0" w:firstRow="1" w:lastRow="0" w:firstColumn="1" w:lastColumn="0" w:noHBand="0" w:noVBand="1"/>
      </w:tblPr>
      <w:tblGrid>
        <w:gridCol w:w="8647"/>
      </w:tblGrid>
      <w:tr w:rsidRPr="00764675" w:rsidR="00764675" w:rsidTr="00031609" w14:paraId="62C292A5" w14:textId="77777777">
        <w:trPr>
          <w:trHeight w:val="870"/>
        </w:trPr>
        <w:tc>
          <w:tcPr>
            <w:tcW w:w="8647" w:type="dxa"/>
          </w:tcPr>
          <w:p w:rsidRPr="00764675" w:rsidR="00764675" w:rsidP="00764675" w:rsidRDefault="00764675" w14:paraId="4FEA18B4" w14:textId="77777777">
            <w:pPr>
              <w:widowControl w:val="0"/>
              <w:numPr>
                <w:ilvl w:val="0"/>
                <w:numId w:val="17"/>
              </w:numPr>
              <w:autoSpaceDE w:val="0"/>
              <w:autoSpaceDN w:val="0"/>
              <w:spacing w:after="120" w:line="276" w:lineRule="auto"/>
              <w:jc w:val="both"/>
              <w:rPr>
                <w:rFonts w:ascii="Verdana" w:hAnsi="Verdana" w:eastAsia="Calibri" w:cs="Arial"/>
              </w:rPr>
            </w:pPr>
            <w:r w:rsidRPr="00764675">
              <w:rPr>
                <w:rFonts w:ascii="Verdana" w:hAnsi="Verdana" w:eastAsia="Calibri" w:cs="Arial"/>
              </w:rPr>
              <w:t xml:space="preserve">Ley 2056 de 2020, </w:t>
            </w:r>
            <w:r w:rsidRPr="00764675">
              <w:rPr>
                <w:rFonts w:ascii="Verdana" w:hAnsi="Verdana" w:eastAsia="Aptos" w:cs="Arial"/>
                <w:noProof/>
                <w:lang w:val="es-ES_tradnl"/>
              </w:rPr>
              <w:t>artículos 28, 29, 30, 31, 32, 33, 34, 35, 36 y 37.</w:t>
            </w:r>
          </w:p>
        </w:tc>
      </w:tr>
    </w:tbl>
    <w:p w:rsidRPr="00764675" w:rsidR="00764675" w:rsidP="00764675" w:rsidRDefault="00764675" w14:paraId="5D80BB4D" w14:textId="77777777">
      <w:pPr>
        <w:widowControl w:val="0"/>
        <w:autoSpaceDE w:val="0"/>
        <w:autoSpaceDN w:val="0"/>
        <w:spacing w:after="0" w:line="276" w:lineRule="auto"/>
        <w:jc w:val="both"/>
        <w:rPr>
          <w:rFonts w:ascii="Verdana" w:hAnsi="Verdana" w:eastAsia="Calibri" w:cs="Arial"/>
        </w:rPr>
      </w:pPr>
    </w:p>
    <w:p w:rsidRPr="00764675" w:rsidR="00764675" w:rsidP="00764675" w:rsidRDefault="00764675" w14:paraId="2E9E6060" w14:textId="77777777">
      <w:pPr>
        <w:numPr>
          <w:ilvl w:val="0"/>
          <w:numId w:val="16"/>
        </w:numPr>
        <w:tabs>
          <w:tab w:val="left" w:pos="142"/>
          <w:tab w:val="left" w:pos="284"/>
        </w:tabs>
        <w:spacing w:after="0" w:line="276" w:lineRule="auto"/>
        <w:ind w:left="357" w:hanging="357"/>
        <w:jc w:val="both"/>
        <w:rPr>
          <w:rFonts w:ascii="Verdana" w:hAnsi="Verdana" w:eastAsia="Century Gothic" w:cs="Century Gothic"/>
          <w:b/>
          <w:bCs/>
          <w:lang w:val="es-ES"/>
        </w:rPr>
      </w:pPr>
      <w:r w:rsidRPr="00764675">
        <w:rPr>
          <w:rFonts w:ascii="Verdana" w:hAnsi="Verdana" w:eastAsia="Century Gothic" w:cs="Century Gothic"/>
          <w:b/>
          <w:bCs/>
          <w:lang w:val="es-ES"/>
        </w:rPr>
        <w:t>Doctrina de la Agencia Nacional de Contratación Pública:</w:t>
      </w:r>
    </w:p>
    <w:p w:rsidRPr="00764675" w:rsidR="00764675" w:rsidP="00764675" w:rsidRDefault="00764675" w14:paraId="0CE40FD4" w14:textId="77777777">
      <w:pPr>
        <w:widowControl w:val="0"/>
        <w:autoSpaceDE w:val="0"/>
        <w:autoSpaceDN w:val="0"/>
        <w:spacing w:after="0" w:line="276" w:lineRule="auto"/>
        <w:jc w:val="both"/>
        <w:rPr>
          <w:rFonts w:ascii="Verdana" w:hAnsi="Verdana" w:eastAsia="Calibri" w:cs="Arial"/>
        </w:rPr>
      </w:pPr>
    </w:p>
    <w:p w:rsidRPr="00764675" w:rsidR="00764675" w:rsidP="00764675" w:rsidRDefault="00764675" w14:paraId="24400066" w14:textId="20F3BBAD">
      <w:pPr>
        <w:widowControl w:val="0"/>
        <w:autoSpaceDE w:val="0"/>
        <w:autoSpaceDN w:val="0"/>
        <w:spacing w:after="0" w:line="276" w:lineRule="auto"/>
        <w:jc w:val="both"/>
        <w:rPr>
          <w:rFonts w:ascii="Verdana" w:hAnsi="Verdana" w:eastAsia="Calibri" w:cs="Arial"/>
          <w:shd w:val="clear" w:color="auto" w:fill="FFFFFF"/>
          <w:lang w:val="es-ES"/>
        </w:rPr>
      </w:pPr>
      <w:r w:rsidRPr="00764675">
        <w:rPr>
          <w:rFonts w:ascii="Verdana" w:hAnsi="Verdana" w:eastAsia="Calibri" w:cs="Arial"/>
          <w:shd w:val="clear" w:color="auto" w:fill="FFFFFF"/>
          <w:lang w:val="es-ES"/>
        </w:rPr>
        <w:t>La Agencia Nacional de Contratación Pública − Colombia Compra Eficiente se pronunció sobre el Sistema General de Regalías, su régimen de contratación y demás particularidades, en los conceptos C- 370 del 28 de julio de 2021, C-604 del 09 de septiembre de 2020, C-095 del 22 de marzo de 2022, C-353 del 02 de junio del 2022, C-489 del 01 de agosto del 2022. De otra parte, en los conceptos C-731 del 26 de enero de 2022, C-052 de 21 de abril de 2023, C-025 del 21 de febrero de 2024 y C-082 del 4 de junio de 2024. Es</w:t>
      </w:r>
      <w:r w:rsidRPr="00764675">
        <w:rPr>
          <w:rFonts w:ascii="Verdana" w:hAnsi="Verdana" w:eastAsia="Calibri" w:cs="Times New Roman"/>
        </w:rPr>
        <w:t>tos y otros conceptos se encuentran disponibles para consulta en el sistema de relatoría de la Agencia, al cual se puede acceder a través del siguiente enlace:</w:t>
      </w:r>
      <w:r w:rsidRPr="00764675">
        <w:rPr>
          <w:rFonts w:ascii="Verdana" w:hAnsi="Verdana" w:eastAsia="Calibri" w:cs="Arial"/>
          <w:shd w:val="clear" w:color="auto" w:fill="FFFFFF"/>
          <w:lang w:val="es-ES"/>
        </w:rPr>
        <w:t xml:space="preserve"> </w:t>
      </w:r>
      <w:hyperlink w:history="1" r:id="rId11">
        <w:r w:rsidRPr="00764675">
          <w:rPr>
            <w:rFonts w:ascii="Verdana" w:hAnsi="Verdana" w:eastAsia="Calibri" w:cs="Arial"/>
            <w:u w:val="single"/>
            <w:shd w:val="clear" w:color="auto" w:fill="FFFFFF"/>
            <w:lang w:val="es-ES"/>
          </w:rPr>
          <w:t>https://relatoria.colombiacompra.gov.co/busqueda/conceptos</w:t>
        </w:r>
      </w:hyperlink>
      <w:r w:rsidRPr="00764675">
        <w:rPr>
          <w:rFonts w:ascii="Verdana" w:hAnsi="Verdana" w:eastAsia="Calibri" w:cs="Arial"/>
          <w:shd w:val="clear" w:color="auto" w:fill="FFFFFF"/>
          <w:lang w:val="es-ES"/>
        </w:rPr>
        <w:t xml:space="preserve">. </w:t>
      </w:r>
    </w:p>
    <w:p w:rsidRPr="00764675" w:rsidR="00764675" w:rsidP="00764675" w:rsidRDefault="00764675" w14:paraId="465C0E5D" w14:textId="77777777">
      <w:pPr>
        <w:widowControl w:val="0"/>
        <w:autoSpaceDE w:val="0"/>
        <w:autoSpaceDN w:val="0"/>
        <w:spacing w:after="0" w:line="276" w:lineRule="auto"/>
        <w:jc w:val="both"/>
        <w:rPr>
          <w:rFonts w:ascii="Verdana" w:hAnsi="Verdana" w:eastAsia="Calibri" w:cs="Arial"/>
          <w:shd w:val="clear" w:color="auto" w:fill="FFFFFF"/>
          <w:lang w:val="es-ES"/>
        </w:rPr>
      </w:pPr>
    </w:p>
    <w:p w:rsidRPr="00764675" w:rsidR="00764675" w:rsidP="00764675" w:rsidRDefault="00764675" w14:paraId="549FE04C" w14:textId="77777777">
      <w:pPr>
        <w:widowControl w:val="0"/>
        <w:autoSpaceDE w:val="0"/>
        <w:autoSpaceDN w:val="0"/>
        <w:spacing w:after="0" w:line="276" w:lineRule="auto"/>
        <w:jc w:val="both"/>
        <w:rPr>
          <w:rFonts w:ascii="Verdana" w:hAnsi="Verdana" w:eastAsia="Calibri" w:cs="Arial"/>
          <w:shd w:val="clear" w:color="auto" w:fill="FFFFFF"/>
          <w:lang w:val="es-ES"/>
        </w:rPr>
      </w:pPr>
      <w:r w:rsidRPr="00764675">
        <w:rPr>
          <w:rFonts w:ascii="Verdana" w:hAnsi="Verdana" w:eastAsia="Calibri"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w:history="1" r:id="rId12">
        <w:r w:rsidRPr="00764675">
          <w:rPr>
            <w:rFonts w:ascii="Verdana" w:hAnsi="Verdana" w:eastAsia="Calibri" w:cs="Arial"/>
            <w:u w:val="single"/>
            <w:shd w:val="clear" w:color="auto" w:fill="FFFFFF"/>
            <w:lang w:val="es-ES"/>
          </w:rPr>
          <w:t>https://www.colombiacompra.gov.co/sala-de-prensa/boletin-digital</w:t>
        </w:r>
      </w:hyperlink>
      <w:r w:rsidRPr="00764675">
        <w:rPr>
          <w:rFonts w:ascii="Verdana" w:hAnsi="Verdana" w:eastAsia="Calibri" w:cs="Arial"/>
          <w:shd w:val="clear" w:color="auto" w:fill="FFFFFF"/>
          <w:lang w:val="es-ES"/>
        </w:rPr>
        <w:t xml:space="preserve">   </w:t>
      </w:r>
    </w:p>
    <w:p w:rsidRPr="00764675" w:rsidR="00764675" w:rsidP="00764675" w:rsidRDefault="00764675" w14:paraId="146CADA3" w14:textId="77777777">
      <w:pPr>
        <w:widowControl w:val="0"/>
        <w:autoSpaceDE w:val="0"/>
        <w:autoSpaceDN w:val="0"/>
        <w:spacing w:after="0" w:line="276" w:lineRule="auto"/>
        <w:jc w:val="both"/>
        <w:rPr>
          <w:rFonts w:ascii="Verdana" w:hAnsi="Verdana" w:eastAsia="Calibri" w:cs="Arial"/>
          <w:shd w:val="clear" w:color="auto" w:fill="FFFFFF"/>
          <w:lang w:val="es-ES"/>
        </w:rPr>
      </w:pPr>
    </w:p>
    <w:p w:rsidRPr="00764675" w:rsidR="00764675" w:rsidP="00764675" w:rsidRDefault="00764675" w14:paraId="284DFA84" w14:textId="77777777">
      <w:pPr>
        <w:spacing w:after="0" w:line="240" w:lineRule="auto"/>
        <w:jc w:val="both"/>
        <w:rPr>
          <w:rFonts w:ascii="Verdana" w:hAnsi="Verdana" w:eastAsia="Calibri" w:cs="Times New Roman"/>
        </w:rPr>
      </w:pPr>
      <w:r w:rsidRPr="00764675">
        <w:rPr>
          <w:rFonts w:ascii="Verdana" w:hAnsi="Verdana" w:eastAsia="Calibri" w:cs="Times New Roman"/>
        </w:rPr>
        <w:t xml:space="preserve">Por último, los invitamos a seguirnos en las redes sociales, en las cuales se difunde información institucional: </w:t>
      </w:r>
    </w:p>
    <w:p w:rsidRPr="00764675" w:rsidR="00764675" w:rsidP="00764675" w:rsidRDefault="00764675" w14:paraId="52906B8D" w14:textId="77777777">
      <w:pPr>
        <w:spacing w:after="0" w:line="240" w:lineRule="auto"/>
        <w:jc w:val="both"/>
        <w:rPr>
          <w:rFonts w:ascii="Verdana" w:hAnsi="Verdana" w:eastAsia="Calibri" w:cs="Times New Roman"/>
        </w:rPr>
      </w:pPr>
    </w:p>
    <w:p w:rsidRPr="00764675" w:rsidR="00764675" w:rsidP="00764675" w:rsidRDefault="00764675" w14:paraId="097AD2A6" w14:textId="77777777">
      <w:pPr>
        <w:spacing w:after="0" w:line="240" w:lineRule="auto"/>
        <w:jc w:val="both"/>
        <w:rPr>
          <w:rFonts w:ascii="Verdana" w:hAnsi="Verdana" w:eastAsia="Calibri" w:cs="Times New Roman"/>
        </w:rPr>
      </w:pPr>
      <w:r w:rsidRPr="00764675">
        <w:rPr>
          <w:rFonts w:ascii="Verdana" w:hAnsi="Verdana" w:eastAsia="Calibri" w:cs="Times New Roman"/>
        </w:rPr>
        <w:t xml:space="preserve">Twitter: </w:t>
      </w:r>
      <w:r w:rsidRPr="00764675">
        <w:rPr>
          <w:rFonts w:ascii="Verdana" w:hAnsi="Verdana" w:eastAsia="Calibri" w:cs="Times New Roman"/>
          <w:u w:val="single"/>
        </w:rPr>
        <w:t>@colombiacompra</w:t>
      </w:r>
      <w:r w:rsidRPr="00764675">
        <w:rPr>
          <w:rFonts w:ascii="Verdana" w:hAnsi="Verdana" w:eastAsia="Calibri" w:cs="Times New Roman"/>
        </w:rPr>
        <w:t xml:space="preserve"> </w:t>
      </w:r>
    </w:p>
    <w:p w:rsidRPr="00764675" w:rsidR="00764675" w:rsidP="00764675" w:rsidRDefault="00764675" w14:paraId="47EFD64A" w14:textId="77777777">
      <w:pPr>
        <w:spacing w:after="0" w:line="240" w:lineRule="auto"/>
        <w:jc w:val="both"/>
        <w:rPr>
          <w:rFonts w:ascii="Verdana" w:hAnsi="Verdana" w:eastAsia="Calibri" w:cs="Times New Roman"/>
        </w:rPr>
      </w:pPr>
      <w:r w:rsidRPr="00764675">
        <w:rPr>
          <w:rFonts w:ascii="Verdana" w:hAnsi="Verdana" w:eastAsia="Calibri" w:cs="Times New Roman"/>
        </w:rPr>
        <w:t xml:space="preserve">Facebook: </w:t>
      </w:r>
      <w:r w:rsidRPr="00764675">
        <w:rPr>
          <w:rFonts w:ascii="Verdana" w:hAnsi="Verdana" w:eastAsia="Calibri" w:cs="Times New Roman"/>
          <w:u w:val="single"/>
        </w:rPr>
        <w:t>ColombiaCompraEficiente</w:t>
      </w:r>
    </w:p>
    <w:p w:rsidRPr="00764675" w:rsidR="00764675" w:rsidP="00764675" w:rsidRDefault="00764675" w14:paraId="56FCA042" w14:textId="77777777">
      <w:pPr>
        <w:spacing w:after="0" w:line="240" w:lineRule="auto"/>
        <w:jc w:val="both"/>
        <w:rPr>
          <w:rFonts w:ascii="Verdana" w:hAnsi="Verdana" w:eastAsia="Calibri" w:cs="Times New Roman"/>
        </w:rPr>
      </w:pPr>
      <w:r w:rsidRPr="00764675">
        <w:rPr>
          <w:rFonts w:ascii="Verdana" w:hAnsi="Verdana" w:eastAsia="Calibri" w:cs="Times New Roman"/>
        </w:rPr>
        <w:t xml:space="preserve">LinkedIn: </w:t>
      </w:r>
      <w:r w:rsidRPr="00764675">
        <w:rPr>
          <w:rFonts w:ascii="Verdana" w:hAnsi="Verdana" w:eastAsia="Calibri" w:cs="Times New Roman"/>
          <w:u w:val="single"/>
        </w:rPr>
        <w:t>Agencia Nacional de Contratación Pública - Colombia Compra Eficiente</w:t>
      </w:r>
      <w:r w:rsidRPr="00764675">
        <w:rPr>
          <w:rFonts w:ascii="Verdana" w:hAnsi="Verdana" w:eastAsia="Calibri" w:cs="Times New Roman"/>
        </w:rPr>
        <w:t xml:space="preserve"> Instagram: </w:t>
      </w:r>
      <w:r w:rsidRPr="00764675">
        <w:rPr>
          <w:rFonts w:ascii="Verdana" w:hAnsi="Verdana" w:eastAsia="Calibri" w:cs="Times New Roman"/>
          <w:u w:val="single"/>
        </w:rPr>
        <w:t>@colombiacompraeficiente_cce</w:t>
      </w:r>
    </w:p>
    <w:p w:rsidRPr="00764675" w:rsidR="00764675" w:rsidP="00764675" w:rsidRDefault="00764675" w14:paraId="349CF9D7" w14:textId="77777777">
      <w:pPr>
        <w:widowControl w:val="0"/>
        <w:autoSpaceDE w:val="0"/>
        <w:autoSpaceDN w:val="0"/>
        <w:spacing w:after="0" w:line="276" w:lineRule="auto"/>
        <w:jc w:val="both"/>
        <w:rPr>
          <w:rFonts w:ascii="Verdana" w:hAnsi="Verdana" w:eastAsia="Calibri" w:cs="Arial"/>
        </w:rPr>
      </w:pPr>
    </w:p>
    <w:p w:rsidRPr="00764675" w:rsidR="00764675" w:rsidP="00764675" w:rsidRDefault="00764675" w14:paraId="05297C3C" w14:textId="77777777">
      <w:pPr>
        <w:widowControl w:val="0"/>
        <w:autoSpaceDE w:val="0"/>
        <w:autoSpaceDN w:val="0"/>
        <w:spacing w:after="0" w:line="276" w:lineRule="auto"/>
        <w:jc w:val="both"/>
        <w:rPr>
          <w:rFonts w:ascii="Verdana" w:hAnsi="Verdana" w:eastAsia="Calibri" w:cs="Arial"/>
          <w:lang w:val="es-ES_tradnl"/>
        </w:rPr>
      </w:pPr>
      <w:r w:rsidRPr="00764675">
        <w:rPr>
          <w:rFonts w:ascii="Verdana" w:hAnsi="Verdana" w:eastAsia="Calibri" w:cs="Arial"/>
        </w:rPr>
        <w:t xml:space="preserve">Este concepto tiene el alcance previsto en el artículo 28 del Código de Procedimiento Administrativo y de lo Contencioso Administrativo </w:t>
      </w:r>
      <w:r w:rsidRPr="00764675">
        <w:rPr>
          <w:rFonts w:ascii="Verdana" w:hAnsi="Verdana" w:eastAsia="Calibri" w:cs="Arial"/>
          <w:lang w:val="es-ES_tradnl"/>
        </w:rPr>
        <w:t>y las expresiones aquí utilizadas con mayúscula inicial deben ser entendidas con el significado que les otorga el artículo 2.2.1.1.1.3.1. del Decreto 1082 de 2015.</w:t>
      </w:r>
    </w:p>
    <w:p w:rsidRPr="00764675" w:rsidR="00764675" w:rsidP="00764675" w:rsidRDefault="00764675" w14:paraId="238FB615" w14:textId="77777777">
      <w:pPr>
        <w:widowControl w:val="0"/>
        <w:autoSpaceDE w:val="0"/>
        <w:autoSpaceDN w:val="0"/>
        <w:spacing w:after="0" w:line="276" w:lineRule="auto"/>
        <w:jc w:val="both"/>
        <w:rPr>
          <w:rFonts w:ascii="Verdana" w:hAnsi="Verdana" w:eastAsia="Calibri" w:cs="Arial"/>
        </w:rPr>
      </w:pPr>
    </w:p>
    <w:p w:rsidRPr="00764675" w:rsidR="00764675" w:rsidP="00764675" w:rsidRDefault="00764675" w14:paraId="5B490484" w14:textId="77777777">
      <w:pPr>
        <w:spacing w:after="0" w:line="240" w:lineRule="auto"/>
        <w:rPr>
          <w:rFonts w:ascii="Verdana" w:hAnsi="Verdana" w:eastAsia="Calibri" w:cs="Arial"/>
          <w:lang w:eastAsia="es-CO"/>
        </w:rPr>
      </w:pPr>
      <w:r w:rsidRPr="00764675">
        <w:rPr>
          <w:rFonts w:ascii="Verdana" w:hAnsi="Verdana" w:eastAsia="Times New Roman" w:cs="Arial"/>
          <w:lang w:eastAsia="es-CO"/>
        </w:rPr>
        <w:t>Atentamente,</w:t>
      </w:r>
      <w:r w:rsidRPr="00764675">
        <w:rPr>
          <w:rFonts w:ascii="Verdana" w:hAnsi="Verdana" w:eastAsia="Calibri" w:cs="Arial"/>
          <w:lang w:eastAsia="es-CO"/>
        </w:rPr>
        <w:t xml:space="preserve"> </w:t>
      </w:r>
    </w:p>
    <w:p w:rsidRPr="00764675" w:rsidR="00764675" w:rsidP="00764675" w:rsidRDefault="001F3ED2" w14:paraId="1B3F2155" w14:textId="318EA6E8">
      <w:pPr>
        <w:spacing w:line="276" w:lineRule="auto"/>
        <w:jc w:val="center"/>
        <w:rPr>
          <w:rFonts w:ascii="Verdana" w:hAnsi="Verdana" w:eastAsia="Calibri" w:cs="Arial"/>
          <w:lang w:val="es-ES_tradnl" w:eastAsia="es-CO"/>
        </w:rPr>
      </w:pPr>
      <w:r w:rsidRPr="002C3AD6">
        <w:rPr>
          <w:rFonts w:ascii="Century Gothic" w:hAnsi="Century Gothic"/>
          <w:noProof/>
        </w:rPr>
        <w:drawing>
          <wp:inline distT="0" distB="0" distL="0" distR="0" wp14:anchorId="48A5EC45" wp14:editId="2065F2A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764675" w:rsidR="00764675" w:rsidTr="00031609" w14:paraId="53427587" w14:textId="77777777">
        <w:trPr>
          <w:trHeight w:val="315"/>
        </w:trPr>
        <w:tc>
          <w:tcPr>
            <w:tcW w:w="893" w:type="dxa"/>
            <w:vAlign w:val="center"/>
            <w:hideMark/>
          </w:tcPr>
          <w:p w:rsidRPr="00764675" w:rsidR="00764675" w:rsidP="00764675" w:rsidRDefault="00764675" w14:paraId="5FEE8A80" w14:textId="77777777">
            <w:pPr>
              <w:rPr>
                <w:rFonts w:ascii="Verdana" w:hAnsi="Verdana" w:eastAsia="Calibri" w:cs="Arial"/>
                <w:sz w:val="16"/>
                <w:szCs w:val="16"/>
                <w:lang w:val="es-ES" w:eastAsia="es-ES"/>
              </w:rPr>
            </w:pPr>
            <w:r w:rsidRPr="00764675">
              <w:rPr>
                <w:rFonts w:ascii="Verdana" w:hAnsi="Verdana" w:eastAsia="Calibri" w:cs="Arial"/>
                <w:sz w:val="16"/>
                <w:szCs w:val="16"/>
                <w:lang w:val="es-ES" w:eastAsia="es-ES"/>
              </w:rPr>
              <w:t>Elaboró:</w:t>
            </w:r>
          </w:p>
        </w:tc>
        <w:tc>
          <w:tcPr>
            <w:tcW w:w="5628" w:type="dxa"/>
            <w:tcBorders>
              <w:top w:val="nil"/>
              <w:left w:val="nil"/>
              <w:bottom w:val="dotted" w:color="7F7F7F" w:sz="4" w:space="0"/>
              <w:right w:val="nil"/>
            </w:tcBorders>
            <w:vAlign w:val="center"/>
            <w:hideMark/>
          </w:tcPr>
          <w:p w:rsidRPr="00764675" w:rsidR="00764675" w:rsidP="00764675" w:rsidRDefault="00764675" w14:paraId="5D443B6C" w14:textId="77777777">
            <w:pPr>
              <w:rPr>
                <w:rFonts w:ascii="Verdana" w:hAnsi="Verdana" w:eastAsia="Arial" w:cs="Arial"/>
                <w:sz w:val="16"/>
                <w:szCs w:val="16"/>
              </w:rPr>
            </w:pPr>
            <w:r w:rsidRPr="00764675">
              <w:rPr>
                <w:rFonts w:ascii="Verdana" w:hAnsi="Verdana" w:eastAsia="Arial" w:cs="Arial"/>
                <w:sz w:val="16"/>
                <w:szCs w:val="16"/>
              </w:rPr>
              <w:t>Kevin Arlid Herrera Santa</w:t>
            </w:r>
          </w:p>
          <w:p w:rsidRPr="00764675" w:rsidR="00764675" w:rsidP="00764675" w:rsidRDefault="00764675" w14:paraId="1DA87FCB" w14:textId="77777777">
            <w:pPr>
              <w:rPr>
                <w:rFonts w:ascii="Verdana" w:hAnsi="Verdana" w:eastAsia="Arial" w:cs="Arial"/>
                <w:sz w:val="16"/>
                <w:szCs w:val="16"/>
              </w:rPr>
            </w:pPr>
            <w:r w:rsidRPr="00764675">
              <w:rPr>
                <w:rFonts w:ascii="Verdana" w:hAnsi="Verdana" w:eastAsia="Arial" w:cs="Arial"/>
                <w:sz w:val="16"/>
                <w:szCs w:val="16"/>
              </w:rPr>
              <w:t>Contratista de la Subdirección de Gestión Contractual</w:t>
            </w:r>
          </w:p>
          <w:p w:rsidRPr="00764675" w:rsidR="00764675" w:rsidP="00764675" w:rsidRDefault="00764675" w14:paraId="643B5540" w14:textId="77777777">
            <w:pPr>
              <w:rPr>
                <w:rFonts w:ascii="Verdana" w:hAnsi="Verdana" w:eastAsia="Arial" w:cs="Arial"/>
                <w:sz w:val="16"/>
                <w:szCs w:val="16"/>
              </w:rPr>
            </w:pPr>
          </w:p>
        </w:tc>
      </w:tr>
      <w:tr w:rsidRPr="00764675" w:rsidR="00764675" w:rsidTr="00031609" w14:paraId="7E0E8202" w14:textId="77777777">
        <w:trPr>
          <w:trHeight w:val="330"/>
        </w:trPr>
        <w:tc>
          <w:tcPr>
            <w:tcW w:w="893" w:type="dxa"/>
            <w:vAlign w:val="center"/>
            <w:hideMark/>
          </w:tcPr>
          <w:p w:rsidRPr="00764675" w:rsidR="00764675" w:rsidP="00764675" w:rsidRDefault="00764675" w14:paraId="37A3B0DB" w14:textId="77777777">
            <w:pPr>
              <w:rPr>
                <w:rFonts w:ascii="Verdana" w:hAnsi="Verdana" w:eastAsia="Calibri" w:cs="Arial"/>
                <w:sz w:val="16"/>
                <w:szCs w:val="16"/>
                <w:lang w:val="es-ES" w:eastAsia="es-ES"/>
              </w:rPr>
            </w:pPr>
            <w:r w:rsidRPr="00764675">
              <w:rPr>
                <w:rFonts w:ascii="Verdana" w:hAnsi="Verdana" w:eastAsia="Calibri" w:cs="Arial"/>
                <w:sz w:val="16"/>
                <w:szCs w:val="16"/>
                <w:lang w:val="es-ES" w:eastAsia="es-ES"/>
              </w:rPr>
              <w:t>Revisó:</w:t>
            </w:r>
          </w:p>
        </w:tc>
        <w:tc>
          <w:tcPr>
            <w:tcW w:w="5628" w:type="dxa"/>
            <w:tcBorders>
              <w:top w:val="dotted" w:color="7F7F7F" w:sz="4" w:space="0"/>
              <w:left w:val="nil"/>
              <w:bottom w:val="dotted" w:color="7F7F7F" w:sz="4" w:space="0"/>
              <w:right w:val="nil"/>
            </w:tcBorders>
            <w:vAlign w:val="center"/>
            <w:hideMark/>
          </w:tcPr>
          <w:p w:rsidRPr="00764675" w:rsidR="00764675" w:rsidP="00764675" w:rsidRDefault="00764675" w14:paraId="1DC4A238" w14:textId="77777777">
            <w:pPr>
              <w:textAlignment w:val="baseline"/>
              <w:rPr>
                <w:rFonts w:ascii="Verdana" w:hAnsi="Verdana" w:eastAsia="Times New Roman" w:cs="Segoe UI"/>
                <w:sz w:val="16"/>
                <w:szCs w:val="16"/>
                <w:lang w:eastAsia="es-ES_tradnl"/>
              </w:rPr>
            </w:pPr>
            <w:r w:rsidRPr="00764675">
              <w:rPr>
                <w:rFonts w:ascii="Verdana" w:hAnsi="Verdana" w:eastAsia="Times New Roman" w:cs="Segoe UI"/>
                <w:sz w:val="16"/>
                <w:szCs w:val="16"/>
                <w:lang w:eastAsia="es-ES_tradnl"/>
              </w:rPr>
              <w:t>Adriana Katerine López Rodríguez</w:t>
            </w:r>
          </w:p>
          <w:p w:rsidRPr="00764675" w:rsidR="00764675" w:rsidP="00764675" w:rsidRDefault="00764675" w14:paraId="1B8FFDF6" w14:textId="77777777">
            <w:pPr>
              <w:textAlignment w:val="baseline"/>
              <w:rPr>
                <w:rFonts w:ascii="Verdana" w:hAnsi="Verdana" w:eastAsia="Times New Roman" w:cs="Segoe UI"/>
                <w:sz w:val="16"/>
                <w:szCs w:val="16"/>
                <w:lang w:eastAsia="es-ES_tradnl"/>
              </w:rPr>
            </w:pPr>
            <w:r w:rsidRPr="00764675">
              <w:rPr>
                <w:rFonts w:ascii="Verdana" w:hAnsi="Verdana" w:eastAsia="Times New Roman" w:cs="Arial"/>
                <w:sz w:val="16"/>
                <w:szCs w:val="16"/>
                <w:lang w:val="es-ES" w:eastAsia="es-ES_tradnl"/>
              </w:rPr>
              <w:t>Contratista de la Subdirección de Gestión Contractual</w:t>
            </w:r>
            <w:r w:rsidRPr="00764675">
              <w:rPr>
                <w:rFonts w:ascii="Verdana" w:hAnsi="Verdana" w:eastAsia="Times New Roman" w:cs="Arial"/>
                <w:sz w:val="16"/>
                <w:szCs w:val="16"/>
                <w:lang w:eastAsia="es-ES_tradnl"/>
              </w:rPr>
              <w:t> </w:t>
            </w:r>
          </w:p>
        </w:tc>
      </w:tr>
      <w:tr w:rsidRPr="00764675" w:rsidR="00764675" w:rsidTr="00031609" w14:paraId="04EDCD28" w14:textId="77777777">
        <w:trPr>
          <w:trHeight w:val="300"/>
        </w:trPr>
        <w:tc>
          <w:tcPr>
            <w:tcW w:w="893" w:type="dxa"/>
            <w:vAlign w:val="center"/>
          </w:tcPr>
          <w:p w:rsidRPr="00764675" w:rsidR="00764675" w:rsidP="00764675" w:rsidRDefault="00764675" w14:paraId="0D9E770C" w14:textId="77777777">
            <w:pPr>
              <w:rPr>
                <w:rFonts w:ascii="Verdana" w:hAnsi="Verdana" w:eastAsia="Calibri" w:cs="Arial"/>
                <w:sz w:val="16"/>
                <w:szCs w:val="16"/>
                <w:lang w:val="es-ES" w:eastAsia="es-ES"/>
              </w:rPr>
            </w:pPr>
            <w:r w:rsidRPr="00764675">
              <w:rPr>
                <w:rFonts w:ascii="Verdana" w:hAnsi="Verdana" w:eastAsia="Calibri" w:cs="Arial"/>
                <w:sz w:val="16"/>
                <w:szCs w:val="16"/>
                <w:lang w:val="es-ES" w:eastAsia="es-ES"/>
              </w:rPr>
              <w:t>Aprobó:</w:t>
            </w:r>
          </w:p>
        </w:tc>
        <w:tc>
          <w:tcPr>
            <w:tcW w:w="5628" w:type="dxa"/>
            <w:tcBorders>
              <w:top w:val="dotted" w:color="7F7F7F" w:sz="4" w:space="0"/>
              <w:left w:val="nil"/>
              <w:bottom w:val="dotted" w:color="7F7F7F" w:sz="4" w:space="0"/>
              <w:right w:val="nil"/>
            </w:tcBorders>
            <w:vAlign w:val="center"/>
          </w:tcPr>
          <w:p w:rsidRPr="00764675" w:rsidR="00764675" w:rsidP="00764675" w:rsidRDefault="00764675" w14:paraId="1349C5A1" w14:textId="77777777">
            <w:pPr>
              <w:rPr>
                <w:rFonts w:ascii="Verdana" w:hAnsi="Verdana" w:eastAsia="Calibri" w:cs="Arial"/>
                <w:sz w:val="16"/>
                <w:szCs w:val="16"/>
                <w:lang w:val="pt-BR" w:eastAsia="es-ES"/>
              </w:rPr>
            </w:pPr>
            <w:r w:rsidRPr="00764675">
              <w:rPr>
                <w:rFonts w:ascii="Verdana" w:hAnsi="Verdana" w:eastAsia="Calibri" w:cs="Arial"/>
                <w:sz w:val="16"/>
                <w:szCs w:val="16"/>
                <w:lang w:val="pt-BR" w:eastAsia="es-ES"/>
              </w:rPr>
              <w:t>Carolina Quintero Gacharná</w:t>
            </w:r>
          </w:p>
          <w:p w:rsidRPr="00764675" w:rsidR="00764675" w:rsidP="00764675" w:rsidRDefault="00764675" w14:paraId="102F62CB" w14:textId="77777777">
            <w:pPr>
              <w:rPr>
                <w:rFonts w:ascii="Verdana" w:hAnsi="Verdana" w:eastAsia="Calibri" w:cs="Arial"/>
                <w:sz w:val="16"/>
                <w:szCs w:val="16"/>
                <w:lang w:val="pt-BR" w:eastAsia="es-ES"/>
              </w:rPr>
            </w:pPr>
            <w:r w:rsidRPr="00764675">
              <w:rPr>
                <w:rFonts w:ascii="Verdana" w:hAnsi="Verdana" w:eastAsia="Calibri" w:cs="Arial"/>
                <w:sz w:val="16"/>
                <w:szCs w:val="16"/>
                <w:lang w:eastAsia="es-ES"/>
              </w:rPr>
              <w:t>Subdirectora</w:t>
            </w:r>
            <w:r w:rsidRPr="00764675">
              <w:rPr>
                <w:rFonts w:ascii="Verdana" w:hAnsi="Verdana" w:eastAsia="Calibri" w:cs="Arial"/>
                <w:sz w:val="16"/>
                <w:szCs w:val="16"/>
                <w:lang w:val="pt-BR" w:eastAsia="es-ES"/>
              </w:rPr>
              <w:t xml:space="preserve"> de Gestión Contratual ANCP – CCE</w:t>
            </w:r>
          </w:p>
        </w:tc>
      </w:tr>
    </w:tbl>
    <w:p w:rsidRPr="00764675" w:rsidR="00764675" w:rsidP="00764675" w:rsidRDefault="00764675" w14:paraId="31E42EFB" w14:textId="77777777">
      <w:pPr>
        <w:spacing w:after="0" w:line="240" w:lineRule="auto"/>
        <w:rPr>
          <w:rFonts w:ascii="Aptos" w:hAnsi="Aptos" w:eastAsia="Aptos" w:cs="Times New Roman"/>
          <w:kern w:val="2"/>
          <w:sz w:val="24"/>
          <w:szCs w:val="24"/>
          <w:lang w:val="es-ES_tradnl"/>
          <w14:ligatures w14:val="standardContextual"/>
        </w:rPr>
      </w:pPr>
    </w:p>
    <w:p w:rsidRPr="0044528D" w:rsidR="00322A85" w:rsidP="00322A85" w:rsidRDefault="00322A85" w14:paraId="78053B45" w14:textId="19EB168C">
      <w:pPr>
        <w:spacing w:after="0" w:line="240" w:lineRule="auto"/>
        <w:jc w:val="both"/>
        <w:textAlignment w:val="baseline"/>
        <w:rPr>
          <w:rFonts w:ascii="Verdana" w:hAnsi="Verdana" w:eastAsia="Times New Roman" w:cs="Segoe UI"/>
          <w:sz w:val="18"/>
          <w:szCs w:val="18"/>
          <w:lang w:eastAsia="es-CO"/>
        </w:rPr>
      </w:pPr>
    </w:p>
    <w:p w:rsidRPr="0044528D" w:rsidR="00127233" w:rsidP="00665D70" w:rsidRDefault="00127233" w14:paraId="0F293BF4" w14:textId="7BBFAB11">
      <w:pPr>
        <w:spacing w:after="0"/>
        <w:jc w:val="both"/>
        <w:rPr>
          <w:rFonts w:ascii="Verdana" w:hAnsi="Verdana"/>
        </w:rPr>
      </w:pPr>
    </w:p>
    <w:sectPr w:rsidRPr="0044528D" w:rsidR="00127233" w:rsidSect="007C0C0F">
      <w:headerReference w:type="default" r:id="rId14"/>
      <w:footerReference w:type="default" r:id="rId15"/>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7D70" w:rsidP="004A1847" w:rsidRDefault="00D87D70" w14:paraId="30A12AFA" w14:textId="77777777">
      <w:pPr>
        <w:spacing w:after="0" w:line="240" w:lineRule="auto"/>
      </w:pPr>
      <w:r>
        <w:separator/>
      </w:r>
    </w:p>
  </w:endnote>
  <w:endnote w:type="continuationSeparator" w:id="0">
    <w:p w:rsidR="00D87D70" w:rsidP="004A1847" w:rsidRDefault="00D87D70" w14:paraId="7313037F" w14:textId="77777777">
      <w:pPr>
        <w:spacing w:after="0" w:line="240" w:lineRule="auto"/>
      </w:pPr>
      <w:r>
        <w:continuationSeparator/>
      </w:r>
    </w:p>
  </w:endnote>
  <w:endnote w:type="continuationNotice" w:id="1">
    <w:p w:rsidR="00D87D70" w:rsidRDefault="00D87D70" w14:paraId="56D7A0F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p¿√_ò">
    <w:altName w:val="Calibri"/>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7D70" w:rsidP="004A1847" w:rsidRDefault="00D87D70" w14:paraId="04973AD2" w14:textId="77777777">
      <w:pPr>
        <w:spacing w:after="0" w:line="240" w:lineRule="auto"/>
      </w:pPr>
      <w:r>
        <w:separator/>
      </w:r>
    </w:p>
  </w:footnote>
  <w:footnote w:type="continuationSeparator" w:id="0">
    <w:p w:rsidR="00D87D70" w:rsidP="004A1847" w:rsidRDefault="00D87D70" w14:paraId="0D043273" w14:textId="77777777">
      <w:pPr>
        <w:spacing w:after="0" w:line="240" w:lineRule="auto"/>
      </w:pPr>
      <w:r>
        <w:continuationSeparator/>
      </w:r>
    </w:p>
  </w:footnote>
  <w:footnote w:type="continuationNotice" w:id="1">
    <w:p w:rsidR="00D87D70" w:rsidRDefault="00D87D70" w14:paraId="07F009E8" w14:textId="77777777">
      <w:pPr>
        <w:spacing w:after="0" w:line="240" w:lineRule="auto"/>
      </w:pPr>
    </w:p>
  </w:footnote>
  <w:footnote w:id="2">
    <w:p w:rsidRPr="00A6569A" w:rsidR="00764675" w:rsidP="008A5AC0" w:rsidRDefault="00764675" w14:paraId="1975CFF7" w14:textId="77777777">
      <w:pPr>
        <w:pStyle w:val="NormalWeb"/>
        <w:snapToGrid w:val="0"/>
        <w:spacing w:before="0" w:beforeAutospacing="0" w:after="0" w:afterAutospacing="0"/>
        <w:ind w:firstLine="708"/>
        <w:jc w:val="both"/>
        <w:rPr>
          <w:rFonts w:ascii="Verdana" w:hAnsi="Verdana" w:cs="Arial"/>
          <w:sz w:val="18"/>
          <w:szCs w:val="18"/>
          <w:lang w:eastAsia="en-US"/>
        </w:rPr>
      </w:pPr>
      <w:r w:rsidRPr="00764675">
        <w:rPr>
          <w:rStyle w:val="Refdenotaalpie"/>
          <w:rFonts w:ascii="Verdana" w:hAnsi="Verdana" w:cs="Arial"/>
          <w:sz w:val="18"/>
          <w:szCs w:val="18"/>
        </w:rPr>
        <w:footnoteRef/>
      </w:r>
      <w:r w:rsidRPr="00A6569A">
        <w:rPr>
          <w:rFonts w:ascii="Verdana" w:hAnsi="Verdana" w:cs="Arial"/>
          <w:sz w:val="18"/>
          <w:szCs w:val="18"/>
        </w:rPr>
        <w:t xml:space="preserve"> </w:t>
      </w:r>
      <w:r w:rsidRPr="00764675">
        <w:rPr>
          <w:rFonts w:ascii="Verdana" w:hAnsi="Verdana" w:cs="Arial"/>
          <w:color w:val="000000"/>
          <w:sz w:val="18"/>
          <w:szCs w:val="18"/>
          <w:lang w:val="es-ES_tradnl"/>
        </w:rPr>
        <w:t>“</w:t>
      </w:r>
      <w:r w:rsidRPr="00A6569A">
        <w:rPr>
          <w:rFonts w:ascii="Verdana" w:hAnsi="Verdana" w:cs="Arial"/>
          <w:sz w:val="18"/>
          <w:szCs w:val="18"/>
        </w:rPr>
        <w:t>Artículo 28. Destinación. Con los recursos del Sistema General de Regalías se financiarán proyectos de inversión en sus diferentes etapas, siempre y cuando esté definido en los mismos el horizonte de realización.</w:t>
      </w:r>
    </w:p>
    <w:p w:rsidRPr="00A6569A" w:rsidR="00764675" w:rsidP="008A5AC0" w:rsidRDefault="00764675" w14:paraId="57B7F7C4" w14:textId="77777777">
      <w:pPr>
        <w:pStyle w:val="NormalWeb"/>
        <w:snapToGrid w:val="0"/>
        <w:spacing w:before="0" w:beforeAutospacing="0" w:after="0" w:afterAutospacing="0"/>
        <w:ind w:firstLine="708"/>
        <w:jc w:val="both"/>
        <w:rPr>
          <w:rFonts w:ascii="Verdana" w:hAnsi="Verdana" w:cs="Arial"/>
          <w:sz w:val="18"/>
          <w:szCs w:val="18"/>
        </w:rPr>
      </w:pPr>
      <w:r w:rsidRPr="00A6569A">
        <w:rPr>
          <w:rFonts w:ascii="Verdana" w:hAnsi="Verdana" w:cs="Arial"/>
          <w:sz w:val="18"/>
          <w:szCs w:val="18"/>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rsidRPr="00A6569A" w:rsidR="00764675" w:rsidP="008A5AC0" w:rsidRDefault="00764675" w14:paraId="47A90D85" w14:textId="77777777">
      <w:pPr>
        <w:pStyle w:val="NormalWeb"/>
        <w:snapToGrid w:val="0"/>
        <w:spacing w:before="0" w:beforeAutospacing="0" w:after="0" w:afterAutospacing="0"/>
        <w:ind w:firstLine="708"/>
        <w:jc w:val="both"/>
        <w:rPr>
          <w:rFonts w:ascii="Verdana" w:hAnsi="Verdana" w:cs="Arial"/>
          <w:sz w:val="18"/>
          <w:szCs w:val="18"/>
        </w:rPr>
      </w:pPr>
      <w:r w:rsidRPr="00A6569A">
        <w:rPr>
          <w:rFonts w:ascii="Verdana" w:hAnsi="Verdana" w:cs="Arial"/>
          <w:sz w:val="18"/>
          <w:szCs w:val="18"/>
        </w:rPr>
        <w:t>Lo anterior de conformidad con la metodología para la formulación de los proyectos de inversión establecida por el Departamento Nacional de Planeación.</w:t>
      </w:r>
    </w:p>
    <w:p w:rsidRPr="00A6569A" w:rsidR="00764675" w:rsidP="008A5AC0" w:rsidRDefault="00764675" w14:paraId="3B786FB3" w14:textId="77777777">
      <w:pPr>
        <w:pStyle w:val="NormalWeb"/>
        <w:snapToGrid w:val="0"/>
        <w:spacing w:before="0" w:beforeAutospacing="0" w:after="0" w:afterAutospacing="0"/>
        <w:ind w:firstLine="708"/>
        <w:jc w:val="both"/>
        <w:rPr>
          <w:rFonts w:ascii="Verdana" w:hAnsi="Verdana" w:cs="Arial"/>
          <w:sz w:val="18"/>
          <w:szCs w:val="18"/>
        </w:rPr>
      </w:pPr>
      <w:r w:rsidRPr="00A6569A">
        <w:rPr>
          <w:rFonts w:ascii="Verdana" w:hAnsi="Verdana" w:cs="Arial"/>
          <w:sz w:val="18"/>
          <w:szCs w:val="18"/>
        </w:rPr>
        <w:t>En todo caso, no podrán financiarse gastos permanentes y, una vez terminada la etapa de inversión, la prestación del servicio debe ser sostenible y financiada por recursos diferentes al Sistema General de Regalías.</w:t>
      </w:r>
    </w:p>
    <w:p w:rsidRPr="00A6569A" w:rsidR="00764675" w:rsidP="008A5AC0" w:rsidRDefault="00764675" w14:paraId="1661EB57" w14:textId="77777777">
      <w:pPr>
        <w:pStyle w:val="NormalWeb"/>
        <w:snapToGrid w:val="0"/>
        <w:spacing w:before="0" w:beforeAutospacing="0" w:after="0" w:afterAutospacing="0"/>
        <w:ind w:firstLine="708"/>
        <w:jc w:val="both"/>
        <w:rPr>
          <w:rFonts w:ascii="Verdana" w:hAnsi="Verdana"/>
          <w:sz w:val="18"/>
          <w:szCs w:val="18"/>
        </w:rPr>
      </w:pPr>
      <w:r w:rsidRPr="00A6569A">
        <w:rPr>
          <w:rStyle w:val="baj"/>
          <w:rFonts w:ascii="Verdana" w:hAnsi="Verdana" w:cs="Arial"/>
          <w:sz w:val="18"/>
          <w:szCs w:val="18"/>
        </w:rPr>
        <w:t>Parágrafo.</w:t>
      </w:r>
      <w:r w:rsidRPr="00A6569A">
        <w:rPr>
          <w:rFonts w:ascii="Verdana" w:hAnsi="Verdana" w:cs="Arial"/>
          <w:sz w:val="18"/>
          <w:szCs w:val="18"/>
        </w:rPr>
        <w:t> Los recursos de que trata este artículo podrán ser usados para financiar parte del Programa de Alimentación Escolar (PAE) y del programa de transporte escolar</w:t>
      </w:r>
      <w:r w:rsidRPr="00764675">
        <w:rPr>
          <w:rFonts w:ascii="Verdana" w:hAnsi="Verdana" w:cs="Arial"/>
          <w:color w:val="000000"/>
          <w:sz w:val="18"/>
          <w:szCs w:val="18"/>
          <w:lang w:val="es-ES_tradnl"/>
        </w:rPr>
        <w:t>”</w:t>
      </w:r>
      <w:r w:rsidRPr="00A6569A">
        <w:rPr>
          <w:rFonts w:ascii="Verdana" w:hAnsi="Verdana" w:cs="Arial"/>
          <w:sz w:val="18"/>
          <w:szCs w:val="18"/>
        </w:rPr>
        <w:t>.</w:t>
      </w:r>
    </w:p>
  </w:footnote>
  <w:footnote w:id="3">
    <w:p w:rsidRPr="00A6569A" w:rsidR="00764675" w:rsidP="008A5AC0" w:rsidRDefault="00764675" w14:paraId="458E1CC1" w14:textId="77777777">
      <w:pPr>
        <w:pStyle w:val="NormalWeb"/>
        <w:snapToGrid w:val="0"/>
        <w:spacing w:before="0" w:beforeAutospacing="0" w:after="0" w:afterAutospacing="0"/>
        <w:ind w:firstLine="708"/>
        <w:jc w:val="both"/>
        <w:rPr>
          <w:rFonts w:ascii="Verdana" w:hAnsi="Verdana" w:cs="Arial"/>
          <w:sz w:val="18"/>
          <w:szCs w:val="18"/>
          <w:lang w:eastAsia="en-US"/>
        </w:rPr>
      </w:pPr>
      <w:r w:rsidRPr="00764675">
        <w:rPr>
          <w:rStyle w:val="Refdenotaalpie"/>
          <w:rFonts w:ascii="Verdana" w:hAnsi="Verdana" w:cs="Arial"/>
          <w:sz w:val="18"/>
          <w:szCs w:val="18"/>
        </w:rPr>
        <w:footnoteRef/>
      </w:r>
      <w:r w:rsidRPr="00A6569A">
        <w:rPr>
          <w:rFonts w:ascii="Verdana" w:hAnsi="Verdana" w:cs="Arial"/>
          <w:sz w:val="18"/>
          <w:szCs w:val="18"/>
        </w:rPr>
        <w:t xml:space="preserve"> </w:t>
      </w:r>
      <w:bookmarkStart w:name="35" w:id="0"/>
      <w:r w:rsidRPr="00A6569A">
        <w:rPr>
          <w:rFonts w:ascii="Verdana" w:hAnsi="Verdana" w:cs="Arial"/>
          <w:sz w:val="18"/>
          <w:szCs w:val="18"/>
        </w:rPr>
        <w:t>“Artículo 35. Priorización y aprobación de los proyectos de inversión de la asignación para la inversión regional.</w:t>
      </w:r>
      <w:bookmarkEnd w:id="0"/>
      <w:r w:rsidRPr="00A6569A">
        <w:rPr>
          <w:rFonts w:ascii="Verdana" w:hAnsi="Verdana" w:cs="Arial"/>
          <w:sz w:val="18"/>
          <w:szCs w:val="18"/>
        </w:rPr>
        <w:t> La priorización y aprobación de los proyectos de inversión de la Asignación para la Inversión Regional en cabeza de los departamentos estará a cargo de los respectivos departamentos.</w:t>
      </w:r>
    </w:p>
    <w:p w:rsidRPr="00A6569A" w:rsidR="00764675" w:rsidP="008A5AC0" w:rsidRDefault="00764675" w14:paraId="77F20222" w14:textId="77777777">
      <w:pPr>
        <w:pStyle w:val="NormalWeb"/>
        <w:snapToGrid w:val="0"/>
        <w:spacing w:before="0" w:beforeAutospacing="0" w:after="0" w:afterAutospacing="0"/>
        <w:ind w:firstLine="708"/>
        <w:jc w:val="both"/>
        <w:rPr>
          <w:rFonts w:ascii="Verdana" w:hAnsi="Verdana" w:cs="Arial"/>
          <w:sz w:val="18"/>
          <w:szCs w:val="18"/>
        </w:rPr>
      </w:pPr>
      <w:r w:rsidRPr="00A6569A">
        <w:rPr>
          <w:rFonts w:ascii="Verdana" w:hAnsi="Verdana" w:cs="Arial"/>
          <w:sz w:val="18"/>
          <w:szCs w:val="18"/>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rsidRPr="00A6569A" w:rsidR="00764675" w:rsidP="008A5AC0" w:rsidRDefault="00764675" w14:paraId="1A48D361" w14:textId="77777777">
      <w:pPr>
        <w:pStyle w:val="NormalWeb"/>
        <w:snapToGrid w:val="0"/>
        <w:spacing w:before="0" w:beforeAutospacing="0" w:after="0" w:afterAutospacing="0"/>
        <w:ind w:firstLine="709"/>
        <w:jc w:val="both"/>
        <w:rPr>
          <w:rFonts w:ascii="Verdana" w:hAnsi="Verdana" w:cs="Arial"/>
          <w:sz w:val="18"/>
          <w:szCs w:val="18"/>
        </w:rPr>
      </w:pPr>
      <w:r w:rsidRPr="00A6569A">
        <w:rPr>
          <w:rFonts w:ascii="Verdana" w:hAnsi="Verdana" w:cs="Arial"/>
          <w:sz w:val="18"/>
          <w:szCs w:val="18"/>
        </w:rPr>
        <w:t>[…]</w:t>
      </w:r>
    </w:p>
    <w:p w:rsidRPr="00A6569A" w:rsidR="00764675" w:rsidP="008A5AC0" w:rsidRDefault="00764675" w14:paraId="76E201FB" w14:textId="77777777">
      <w:pPr>
        <w:pStyle w:val="NormalWeb"/>
        <w:snapToGrid w:val="0"/>
        <w:spacing w:before="0" w:beforeAutospacing="0" w:after="0" w:afterAutospacing="0"/>
        <w:ind w:firstLine="708"/>
        <w:jc w:val="both"/>
        <w:rPr>
          <w:rFonts w:ascii="Verdana" w:hAnsi="Verdana" w:cs="Arial"/>
          <w:sz w:val="18"/>
          <w:szCs w:val="18"/>
        </w:rPr>
      </w:pPr>
      <w:r w:rsidRPr="00A6569A">
        <w:rPr>
          <w:rStyle w:val="baj"/>
          <w:rFonts w:ascii="Verdana" w:hAnsi="Verdana" w:cs="Arial"/>
          <w:sz w:val="18"/>
          <w:szCs w:val="18"/>
        </w:rPr>
        <w:t>Parágrafo 1o.</w:t>
      </w:r>
      <w:r w:rsidRPr="00A6569A">
        <w:rPr>
          <w:rFonts w:ascii="Verdana" w:hAnsi="Verdana" w:cs="Arial"/>
          <w:sz w:val="18"/>
          <w:szCs w:val="18"/>
        </w:rPr>
        <w:t> En las zonas no interconectadas del país, tendrán especial consideración los proyectos de energización, conectividad e infraestructura vial.</w:t>
      </w:r>
    </w:p>
    <w:p w:rsidRPr="00A6569A" w:rsidR="00764675" w:rsidP="008A5AC0" w:rsidRDefault="00764675" w14:paraId="577300E7" w14:textId="77777777">
      <w:pPr>
        <w:pStyle w:val="NormalWeb"/>
        <w:snapToGrid w:val="0"/>
        <w:spacing w:before="0" w:beforeAutospacing="0" w:after="0" w:afterAutospacing="0"/>
        <w:ind w:firstLine="708"/>
        <w:jc w:val="both"/>
        <w:rPr>
          <w:rFonts w:ascii="Verdana" w:hAnsi="Verdana" w:cs="Arial"/>
          <w:sz w:val="18"/>
          <w:szCs w:val="18"/>
        </w:rPr>
      </w:pPr>
      <w:r w:rsidRPr="00A6569A">
        <w:rPr>
          <w:rStyle w:val="baj"/>
          <w:rFonts w:ascii="Verdana" w:hAnsi="Verdana" w:cs="Arial"/>
          <w:sz w:val="18"/>
          <w:szCs w:val="18"/>
        </w:rPr>
        <w:t>Parágrafo 2o.</w:t>
      </w:r>
      <w:r w:rsidRPr="00A6569A">
        <w:rPr>
          <w:rFonts w:ascii="Verdana" w:hAnsi="Verdana" w:cs="Arial"/>
          <w:sz w:val="18"/>
          <w:szCs w:val="18"/>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Pr="00A6569A">
        <w:rPr>
          <w:rFonts w:ascii="Verdana" w:hAnsi="Verdana" w:cs="Arial"/>
          <w:sz w:val="18"/>
          <w:szCs w:val="18"/>
          <w:lang w:val="es-ES"/>
        </w:rPr>
        <w:t>.</w:t>
      </w:r>
      <w:r w:rsidRPr="00A6569A">
        <w:rPr>
          <w:rFonts w:ascii="Verdana" w:hAnsi="Verdana" w:cs="Arial"/>
          <w:sz w:val="18"/>
          <w:szCs w:val="18"/>
        </w:rPr>
        <w:t xml:space="preserve"> </w:t>
      </w:r>
    </w:p>
    <w:p w:rsidRPr="00A6569A" w:rsidR="00764675" w:rsidP="008A5AC0" w:rsidRDefault="00764675" w14:paraId="71F68E88" w14:textId="77777777">
      <w:pPr>
        <w:pStyle w:val="NormalWeb"/>
        <w:snapToGrid w:val="0"/>
        <w:spacing w:before="0" w:beforeAutospacing="0" w:after="0" w:afterAutospacing="0"/>
        <w:ind w:firstLine="708"/>
        <w:jc w:val="both"/>
        <w:rPr>
          <w:rFonts w:ascii="Verdana" w:hAnsi="Verdana" w:cs="Arial"/>
          <w:sz w:val="18"/>
          <w:szCs w:val="18"/>
        </w:rPr>
      </w:pPr>
      <w:r w:rsidRPr="00A6569A">
        <w:rPr>
          <w:rFonts w:ascii="Verdana" w:hAnsi="Verdana" w:cs="Arial"/>
          <w:sz w:val="18"/>
          <w:szCs w:val="18"/>
        </w:rPr>
        <w:t>[…]”</w:t>
      </w:r>
    </w:p>
  </w:footnote>
  <w:footnote w:id="4">
    <w:p w:rsidRPr="00A6569A" w:rsidR="00764675" w:rsidP="008A5AC0" w:rsidRDefault="00764675" w14:paraId="1AC6F7D6" w14:textId="77777777">
      <w:pPr>
        <w:pStyle w:val="NormalWeb"/>
        <w:snapToGrid w:val="0"/>
        <w:spacing w:before="0" w:beforeAutospacing="0" w:after="0" w:afterAutospacing="0"/>
        <w:ind w:firstLine="708"/>
        <w:jc w:val="both"/>
        <w:rPr>
          <w:rFonts w:ascii="Verdana" w:hAnsi="Verdana" w:cs="Arial"/>
          <w:sz w:val="18"/>
          <w:szCs w:val="18"/>
          <w:lang w:eastAsia="en-US"/>
        </w:rPr>
      </w:pPr>
      <w:r w:rsidRPr="00764675">
        <w:rPr>
          <w:rStyle w:val="Refdenotaalpie"/>
          <w:rFonts w:ascii="Verdana" w:hAnsi="Verdana" w:cs="Arial"/>
          <w:sz w:val="18"/>
          <w:szCs w:val="18"/>
        </w:rPr>
        <w:footnoteRef/>
      </w:r>
      <w:bookmarkStart w:name="36" w:id="1"/>
      <w:r w:rsidRPr="00A6569A">
        <w:rPr>
          <w:rFonts w:ascii="Verdana" w:hAnsi="Verdana" w:cs="Arial"/>
          <w:sz w:val="18"/>
          <w:szCs w:val="18"/>
        </w:rPr>
        <w:t>“Artículo 36. Priorización y aprobación de proyectos de inversión para las asignaciones directas y asignación para la inversión local.</w:t>
      </w:r>
      <w:bookmarkEnd w:id="1"/>
      <w:r w:rsidRPr="00A6569A">
        <w:rPr>
          <w:rFonts w:ascii="Verdana" w:hAnsi="Verdana" w:cs="Arial"/>
          <w:sz w:val="18"/>
          <w:szCs w:val="18"/>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rsidRPr="00A6569A" w:rsidR="00764675" w:rsidP="008A5AC0" w:rsidRDefault="00764675" w14:paraId="5E1E8D1B" w14:textId="77777777">
      <w:pPr>
        <w:pStyle w:val="NormalWeb"/>
        <w:snapToGrid w:val="0"/>
        <w:spacing w:before="0" w:beforeAutospacing="0" w:after="0" w:afterAutospacing="0"/>
        <w:ind w:firstLine="708"/>
        <w:jc w:val="both"/>
        <w:rPr>
          <w:rFonts w:ascii="Verdana" w:hAnsi="Verdana" w:cs="Arial"/>
          <w:sz w:val="18"/>
          <w:szCs w:val="18"/>
        </w:rPr>
      </w:pPr>
      <w:r w:rsidRPr="00A6569A">
        <w:rPr>
          <w:rStyle w:val="baj"/>
          <w:rFonts w:ascii="Verdana" w:hAnsi="Verdana" w:cs="Arial"/>
          <w:sz w:val="18"/>
          <w:szCs w:val="18"/>
        </w:rPr>
        <w:t>Parágrafo.</w:t>
      </w:r>
      <w:r w:rsidRPr="00A6569A">
        <w:rPr>
          <w:rFonts w:ascii="Verdana" w:hAnsi="Verdana" w:cs="Arial"/>
          <w:sz w:val="18"/>
          <w:szCs w:val="18"/>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rsidRPr="00A6569A" w:rsidR="00764675" w:rsidP="008A5AC0" w:rsidRDefault="00764675" w14:paraId="55181FC5" w14:textId="77777777">
      <w:pPr>
        <w:pStyle w:val="NormalWeb"/>
        <w:snapToGrid w:val="0"/>
        <w:spacing w:before="0" w:beforeAutospacing="0" w:after="0" w:afterAutospacing="0"/>
        <w:ind w:firstLine="708"/>
        <w:jc w:val="both"/>
        <w:rPr>
          <w:rFonts w:ascii="Verdana" w:hAnsi="Verdana" w:cs="Arial"/>
          <w:sz w:val="18"/>
          <w:szCs w:val="18"/>
        </w:rPr>
      </w:pPr>
      <w:r w:rsidRPr="00A6569A">
        <w:rPr>
          <w:rFonts w:ascii="Verdana" w:hAnsi="Verdana" w:cs="Arial"/>
          <w:sz w:val="18"/>
          <w:szCs w:val="18"/>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rsidRPr="00A6569A" w:rsidR="00764675" w:rsidP="008A5AC0" w:rsidRDefault="00764675" w14:paraId="1987B60A" w14:textId="77777777">
      <w:pPr>
        <w:pStyle w:val="NormalWeb"/>
        <w:snapToGrid w:val="0"/>
        <w:spacing w:before="0" w:beforeAutospacing="0" w:after="0" w:afterAutospacing="0"/>
        <w:ind w:firstLine="708"/>
        <w:jc w:val="both"/>
        <w:rPr>
          <w:rFonts w:ascii="Verdana" w:hAnsi="Verdana" w:cs="Arial"/>
          <w:sz w:val="18"/>
          <w:szCs w:val="18"/>
        </w:rPr>
      </w:pPr>
      <w:r w:rsidRPr="00A6569A">
        <w:rPr>
          <w:rFonts w:ascii="Verdana" w:hAnsi="Verdana" w:cs="Arial"/>
          <w:sz w:val="18"/>
          <w:szCs w:val="18"/>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rsidRPr="00A6569A" w:rsidR="00764675" w:rsidP="008A5AC0" w:rsidRDefault="00764675" w14:paraId="065F5F93" w14:textId="77777777">
      <w:pPr>
        <w:pStyle w:val="Textonotapie"/>
        <w:snapToGrid w:val="0"/>
        <w:ind w:firstLine="708"/>
        <w:jc w:val="both"/>
        <w:rPr>
          <w:rFonts w:ascii="Verdana" w:hAnsi="Verdana" w:cs="Arial"/>
          <w:sz w:val="18"/>
          <w:szCs w:val="18"/>
        </w:rPr>
      </w:pPr>
      <w:r w:rsidRPr="00A6569A">
        <w:rPr>
          <w:rStyle w:val="baj"/>
          <w:rFonts w:ascii="Verdana" w:hAnsi="Verdana" w:cs="Arial"/>
          <w:sz w:val="18"/>
          <w:szCs w:val="18"/>
        </w:rPr>
        <w:t>Parágrafo transitorio.</w:t>
      </w:r>
      <w:r w:rsidRPr="00A6569A">
        <w:rPr>
          <w:rFonts w:ascii="Verdana" w:hAnsi="Verdana" w:cs="Arial"/>
          <w:sz w:val="18"/>
          <w:szCs w:val="18"/>
        </w:rPr>
        <w:t> Para el año 2021 no aplicará la metodología de cierre de brechas de que trata el parágrafo anterior dirigida a las entidades territoriales receptoras de la Asignación para la Inversión Local</w:t>
      </w:r>
      <w:r w:rsidRPr="00A6569A">
        <w:rPr>
          <w:rFonts w:ascii="Verdana" w:hAnsi="Verdana" w:cs="Arial"/>
          <w:sz w:val="18"/>
          <w:szCs w:val="18"/>
          <w:lang w:val="es-ES"/>
        </w:rPr>
        <w:t>”</w:t>
      </w:r>
      <w:r w:rsidRPr="00A6569A">
        <w:rPr>
          <w:rFonts w:ascii="Verdana" w:hAnsi="Verdana" w:cs="Arial"/>
          <w:sz w:val="18"/>
          <w:szCs w:val="18"/>
        </w:rPr>
        <w:t>.</w:t>
      </w:r>
    </w:p>
  </w:footnote>
  <w:footnote w:id="5">
    <w:p w:rsidRPr="00A6569A" w:rsidR="00764675" w:rsidP="008A5AC0" w:rsidRDefault="00764675" w14:paraId="13E237E3" w14:textId="77777777">
      <w:pPr>
        <w:snapToGrid w:val="0"/>
        <w:spacing w:after="0" w:line="240" w:lineRule="auto"/>
        <w:ind w:firstLine="708"/>
        <w:jc w:val="both"/>
        <w:rPr>
          <w:rFonts w:ascii="Verdana" w:hAnsi="Verdana" w:cs="Arial"/>
          <w:sz w:val="18"/>
          <w:szCs w:val="18"/>
        </w:rPr>
      </w:pPr>
      <w:r w:rsidRPr="00A6569A">
        <w:rPr>
          <w:rStyle w:val="Refdenotaalpie"/>
          <w:rFonts w:ascii="Verdana" w:hAnsi="Verdana" w:cs="Arial"/>
          <w:sz w:val="18"/>
          <w:szCs w:val="18"/>
        </w:rPr>
        <w:footnoteRef/>
      </w:r>
      <w:bookmarkStart w:name="37" w:id="2"/>
      <w:r w:rsidRPr="00A6569A">
        <w:rPr>
          <w:rFonts w:ascii="Verdana" w:hAnsi="Verdana" w:cs="Arial"/>
          <w:sz w:val="18"/>
          <w:szCs w:val="18"/>
        </w:rPr>
        <w:t>“Artículo 37. ejecución de proyectos de inversión.</w:t>
      </w:r>
      <w:bookmarkEnd w:id="2"/>
      <w:r w:rsidRPr="00A6569A">
        <w:rPr>
          <w:rFonts w:ascii="Verdana" w:hAnsi="Verdana" w:cs="Arial"/>
          <w:sz w:val="18"/>
          <w:szCs w:val="18"/>
        </w:rPr>
        <w:t> los proyectos de inversión que se financien con cargo al sistema general de regalías serán ejecutados por quien designe las entidades u órganos de que tratan los artículos </w:t>
      </w:r>
      <w:hyperlink w:history="1" w:anchor="35" r:id="rId1">
        <w:r w:rsidRPr="00A6569A">
          <w:rPr>
            <w:rFonts w:ascii="Verdana" w:hAnsi="Verdana" w:cs="Arial"/>
            <w:sz w:val="18"/>
            <w:szCs w:val="18"/>
          </w:rPr>
          <w:t>35</w:t>
        </w:r>
      </w:hyperlink>
      <w:r w:rsidRPr="00A6569A">
        <w:rPr>
          <w:rFonts w:ascii="Verdana" w:hAnsi="Verdana" w:cs="Arial"/>
          <w:sz w:val="18"/>
          <w:szCs w:val="18"/>
        </w:rPr>
        <w:t> y </w:t>
      </w:r>
      <w:hyperlink w:history="1" w:anchor="36" r:id="rId2">
        <w:r w:rsidRPr="00A6569A">
          <w:rPr>
            <w:rFonts w:ascii="Verdana" w:hAnsi="Verdana" w:cs="Arial"/>
            <w:sz w:val="18"/>
            <w:szCs w:val="18"/>
          </w:rPr>
          <w:t>36</w:t>
        </w:r>
      </w:hyperlink>
      <w:r w:rsidRPr="00A6569A">
        <w:rPr>
          <w:rFonts w:ascii="Verdana" w:hAnsi="Verdana" w:cs="Arial"/>
          <w:sz w:val="18"/>
          <w:szCs w:val="18"/>
        </w:rPr>
        <w:t> de la presente ley. así mismo, la entidad ejecutora estará a cargo de la contratación de la interventoría, de conformidad con lo previsto en la presente ley.</w:t>
      </w:r>
    </w:p>
    <w:p w:rsidRPr="00A6569A" w:rsidR="00764675" w:rsidP="008A5AC0" w:rsidRDefault="00764675" w14:paraId="6886BCC1" w14:textId="77777777">
      <w:pPr>
        <w:snapToGrid w:val="0"/>
        <w:spacing w:after="0" w:line="240" w:lineRule="auto"/>
        <w:ind w:firstLine="708"/>
        <w:jc w:val="both"/>
        <w:rPr>
          <w:rFonts w:ascii="Verdana" w:hAnsi="Verdana" w:cs="Arial"/>
          <w:sz w:val="18"/>
          <w:szCs w:val="18"/>
        </w:rPr>
      </w:pPr>
      <w:r w:rsidRPr="00A6569A">
        <w:rPr>
          <w:rFonts w:ascii="Verdana" w:hAnsi="Verdana" w:cs="Arial"/>
          <w:sz w:val="18"/>
          <w:szCs w:val="18"/>
        </w:rPr>
        <w:t>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los mismos, sin perjuicio de las acciones de control a las que haya lugar.</w:t>
      </w:r>
    </w:p>
    <w:p w:rsidRPr="00A6569A" w:rsidR="00764675" w:rsidP="008A5AC0" w:rsidRDefault="00764675" w14:paraId="14042849" w14:textId="77777777">
      <w:pPr>
        <w:snapToGrid w:val="0"/>
        <w:spacing w:after="0" w:line="240" w:lineRule="auto"/>
        <w:ind w:firstLine="708"/>
        <w:jc w:val="both"/>
        <w:rPr>
          <w:rFonts w:ascii="Verdana" w:hAnsi="Verdana" w:cs="Arial"/>
          <w:sz w:val="18"/>
          <w:szCs w:val="18"/>
        </w:rPr>
      </w:pPr>
      <w:r w:rsidRPr="00A6569A">
        <w:rPr>
          <w:rFonts w:ascii="Verdana" w:hAnsi="Verdana" w:cs="Arial"/>
          <w:sz w:val="18"/>
          <w:szCs w:val="18"/>
        </w:rPr>
        <w:t>Parágrafo 1o. La ejecución de proyectos de qué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rsidRPr="00A6569A" w:rsidR="00764675" w:rsidP="008A5AC0" w:rsidRDefault="00764675" w14:paraId="7E8A28C5" w14:textId="77777777">
      <w:pPr>
        <w:snapToGrid w:val="0"/>
        <w:spacing w:after="0" w:line="240" w:lineRule="auto"/>
        <w:ind w:firstLine="708"/>
        <w:jc w:val="both"/>
        <w:rPr>
          <w:rFonts w:ascii="Verdana" w:hAnsi="Verdana" w:cs="Arial"/>
          <w:sz w:val="18"/>
          <w:szCs w:val="18"/>
        </w:rPr>
      </w:pPr>
      <w:r w:rsidRPr="00A6569A">
        <w:rPr>
          <w:rFonts w:ascii="Verdana" w:hAnsi="Verdana" w:cs="Arial"/>
          <w:sz w:val="18"/>
          <w:szCs w:val="18"/>
        </w:rPr>
        <w:t>Parágrafo 2o.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rsidRPr="00A6569A" w:rsidR="00764675" w:rsidP="008A5AC0" w:rsidRDefault="00764675" w14:paraId="154B0CDF" w14:textId="77777777">
      <w:pPr>
        <w:snapToGrid w:val="0"/>
        <w:spacing w:after="0" w:line="240" w:lineRule="auto"/>
        <w:ind w:firstLine="708"/>
        <w:jc w:val="both"/>
        <w:rPr>
          <w:rFonts w:ascii="Verdana" w:hAnsi="Verdana" w:cs="Arial"/>
          <w:sz w:val="18"/>
          <w:szCs w:val="18"/>
        </w:rPr>
      </w:pPr>
      <w:r w:rsidRPr="00A6569A">
        <w:rPr>
          <w:rFonts w:ascii="Verdana" w:hAnsi="Verdana" w:cs="Arial"/>
          <w:sz w:val="18"/>
          <w:szCs w:val="18"/>
        </w:rPr>
        <w:t xml:space="preserve">Parágrafo 3o. La entidad designada ejecutora por las entidades u órganos de que tratan los artículos </w:t>
      </w:r>
      <w:hyperlink w:history="1" w:anchor="35" r:id="rId3">
        <w:r w:rsidRPr="00A6569A">
          <w:rPr>
            <w:rFonts w:ascii="Verdana" w:hAnsi="Verdana" w:cs="Arial"/>
            <w:sz w:val="18"/>
            <w:szCs w:val="18"/>
          </w:rPr>
          <w:t>35</w:t>
        </w:r>
      </w:hyperlink>
      <w:r w:rsidRPr="00A6569A">
        <w:rPr>
          <w:rFonts w:ascii="Verdana" w:hAnsi="Verdana" w:cs="Arial"/>
          <w:sz w:val="18"/>
          <w:szCs w:val="18"/>
        </w:rPr>
        <w:t xml:space="preserve"> y </w:t>
      </w:r>
      <w:hyperlink w:history="1" w:anchor="36" r:id="rId4">
        <w:r w:rsidRPr="00A6569A">
          <w:rPr>
            <w:rFonts w:ascii="Verdana" w:hAnsi="Verdana" w:cs="Arial"/>
            <w:sz w:val="18"/>
            <w:szCs w:val="18"/>
          </w:rPr>
          <w:t>36</w:t>
        </w:r>
      </w:hyperlink>
      <w:r w:rsidRPr="00A6569A">
        <w:rPr>
          <w:rFonts w:ascii="Verdana" w:hAnsi="Verdana" w:cs="Arial"/>
          <w:sz w:val="18"/>
          <w:szCs w:val="18"/>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rsidRPr="00A6569A" w:rsidR="00764675" w:rsidP="008A5AC0" w:rsidRDefault="00764675" w14:paraId="7B3991DD" w14:textId="77777777">
      <w:pPr>
        <w:snapToGrid w:val="0"/>
        <w:spacing w:after="0" w:line="240" w:lineRule="auto"/>
        <w:ind w:firstLine="708"/>
        <w:jc w:val="both"/>
        <w:rPr>
          <w:rFonts w:ascii="Verdana" w:hAnsi="Verdana" w:cs="Arial"/>
          <w:sz w:val="18"/>
          <w:szCs w:val="18"/>
        </w:rPr>
      </w:pPr>
      <w:r w:rsidRPr="00A6569A">
        <w:rPr>
          <w:rFonts w:ascii="Verdana" w:hAnsi="Verdana" w:cs="Arial"/>
          <w:sz w:val="18"/>
          <w:szCs w:val="18"/>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rsidRPr="00A6569A" w:rsidR="00764675" w:rsidP="008A5AC0" w:rsidRDefault="00764675" w14:paraId="6A9DB6BB" w14:textId="77777777">
      <w:pPr>
        <w:snapToGrid w:val="0"/>
        <w:spacing w:after="0" w:line="240" w:lineRule="auto"/>
        <w:ind w:firstLine="708"/>
        <w:jc w:val="both"/>
        <w:rPr>
          <w:rFonts w:ascii="Verdana" w:hAnsi="Verdana"/>
          <w:sz w:val="18"/>
          <w:szCs w:val="18"/>
        </w:rPr>
      </w:pPr>
      <w:r w:rsidRPr="00A6569A">
        <w:rPr>
          <w:rFonts w:ascii="Verdana" w:hAnsi="Verdana" w:cs="Arial"/>
          <w:sz w:val="18"/>
          <w:szCs w:val="18"/>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sidRPr="00A6569A">
        <w:rPr>
          <w:rFonts w:ascii="Verdana" w:hAnsi="Verdana" w:cs="Arial"/>
          <w:sz w:val="18"/>
          <w:szCs w:val="18"/>
          <w:lang w:val="es-ES"/>
        </w:rPr>
        <w:t>”</w:t>
      </w:r>
      <w:r w:rsidRPr="00A6569A">
        <w:rPr>
          <w:rFonts w:ascii="Verdana" w:hAnsi="Verdana"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7" style="width:11.55pt;height:11.55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176513"/>
    <w:multiLevelType w:val="hybridMultilevel"/>
    <w:tmpl w:val="ED04429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341274352">
    <w:abstractNumId w:val="0"/>
  </w:num>
  <w:num w:numId="17" w16cid:durableId="679089576">
    <w:abstractNumId w:val="9"/>
  </w:num>
  <w:num w:numId="18" w16cid:durableId="1808969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1609"/>
    <w:rsid w:val="00061B2A"/>
    <w:rsid w:val="00082362"/>
    <w:rsid w:val="000A683E"/>
    <w:rsid w:val="000B19B9"/>
    <w:rsid w:val="000D0334"/>
    <w:rsid w:val="000F6486"/>
    <w:rsid w:val="00125105"/>
    <w:rsid w:val="00127233"/>
    <w:rsid w:val="00161BCD"/>
    <w:rsid w:val="001E4177"/>
    <w:rsid w:val="001F3ED2"/>
    <w:rsid w:val="001F7DC6"/>
    <w:rsid w:val="002421BB"/>
    <w:rsid w:val="0025796E"/>
    <w:rsid w:val="002707A2"/>
    <w:rsid w:val="002951A0"/>
    <w:rsid w:val="002962BC"/>
    <w:rsid w:val="002A093D"/>
    <w:rsid w:val="002A0DD0"/>
    <w:rsid w:val="002A49AC"/>
    <w:rsid w:val="002A64FD"/>
    <w:rsid w:val="002C51E5"/>
    <w:rsid w:val="002C7A84"/>
    <w:rsid w:val="002E4FD9"/>
    <w:rsid w:val="00322A85"/>
    <w:rsid w:val="00324168"/>
    <w:rsid w:val="003448F4"/>
    <w:rsid w:val="00374F5E"/>
    <w:rsid w:val="00377E3E"/>
    <w:rsid w:val="003A26D1"/>
    <w:rsid w:val="003A779E"/>
    <w:rsid w:val="003D0F4D"/>
    <w:rsid w:val="003D59C6"/>
    <w:rsid w:val="003D5B0D"/>
    <w:rsid w:val="003E0499"/>
    <w:rsid w:val="003E39F0"/>
    <w:rsid w:val="003F3941"/>
    <w:rsid w:val="00406575"/>
    <w:rsid w:val="0042722E"/>
    <w:rsid w:val="004322BF"/>
    <w:rsid w:val="0044528D"/>
    <w:rsid w:val="004A1847"/>
    <w:rsid w:val="004A305D"/>
    <w:rsid w:val="004D09E8"/>
    <w:rsid w:val="004D7BC0"/>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818CD"/>
    <w:rsid w:val="006900D9"/>
    <w:rsid w:val="006D12F8"/>
    <w:rsid w:val="00706C16"/>
    <w:rsid w:val="00756841"/>
    <w:rsid w:val="00764675"/>
    <w:rsid w:val="007649AB"/>
    <w:rsid w:val="00765E3E"/>
    <w:rsid w:val="00771D0C"/>
    <w:rsid w:val="00776C43"/>
    <w:rsid w:val="007833AC"/>
    <w:rsid w:val="007B268C"/>
    <w:rsid w:val="007B429B"/>
    <w:rsid w:val="007B6A50"/>
    <w:rsid w:val="007B7171"/>
    <w:rsid w:val="007C0C0F"/>
    <w:rsid w:val="007C3DC2"/>
    <w:rsid w:val="007E5497"/>
    <w:rsid w:val="00806F5F"/>
    <w:rsid w:val="00820278"/>
    <w:rsid w:val="008843B6"/>
    <w:rsid w:val="00891928"/>
    <w:rsid w:val="008A446D"/>
    <w:rsid w:val="008A5AC0"/>
    <w:rsid w:val="008D180B"/>
    <w:rsid w:val="008E2D91"/>
    <w:rsid w:val="008F0EA7"/>
    <w:rsid w:val="009234E3"/>
    <w:rsid w:val="00923EEF"/>
    <w:rsid w:val="009419F9"/>
    <w:rsid w:val="009531D0"/>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74296"/>
    <w:rsid w:val="00AB0ADB"/>
    <w:rsid w:val="00B01B1A"/>
    <w:rsid w:val="00B44AFA"/>
    <w:rsid w:val="00B72CD3"/>
    <w:rsid w:val="00B72FFF"/>
    <w:rsid w:val="00B97403"/>
    <w:rsid w:val="00BC3D36"/>
    <w:rsid w:val="00BD7F72"/>
    <w:rsid w:val="00C04FB3"/>
    <w:rsid w:val="00C330EB"/>
    <w:rsid w:val="00C754BE"/>
    <w:rsid w:val="00C76B1C"/>
    <w:rsid w:val="00CB6357"/>
    <w:rsid w:val="00CC1B26"/>
    <w:rsid w:val="00D423A2"/>
    <w:rsid w:val="00D520D8"/>
    <w:rsid w:val="00D63AC2"/>
    <w:rsid w:val="00D7383B"/>
    <w:rsid w:val="00D87D70"/>
    <w:rsid w:val="00DA231B"/>
    <w:rsid w:val="00DA23A0"/>
    <w:rsid w:val="00DC39FC"/>
    <w:rsid w:val="00DE3557"/>
    <w:rsid w:val="00DF5254"/>
    <w:rsid w:val="00E16408"/>
    <w:rsid w:val="00E16738"/>
    <w:rsid w:val="00E20894"/>
    <w:rsid w:val="00E245AB"/>
    <w:rsid w:val="00E2764C"/>
    <w:rsid w:val="00E27F2E"/>
    <w:rsid w:val="00E413EA"/>
    <w:rsid w:val="00E42CEB"/>
    <w:rsid w:val="00E50AFE"/>
    <w:rsid w:val="00E75C92"/>
    <w:rsid w:val="00E771DC"/>
    <w:rsid w:val="00E8772A"/>
    <w:rsid w:val="00E90F6B"/>
    <w:rsid w:val="00E92C27"/>
    <w:rsid w:val="00EA0E3D"/>
    <w:rsid w:val="00EC38A7"/>
    <w:rsid w:val="00EE1AA8"/>
    <w:rsid w:val="00F31EDC"/>
    <w:rsid w:val="00F462B3"/>
    <w:rsid w:val="00F515AF"/>
    <w:rsid w:val="00F5664F"/>
    <w:rsid w:val="00F666C4"/>
    <w:rsid w:val="00F76AFC"/>
    <w:rsid w:val="00FA47C0"/>
    <w:rsid w:val="00FB5DD1"/>
    <w:rsid w:val="00FC2B5D"/>
    <w:rsid w:val="00FF1449"/>
    <w:rsid w:val="5CEADB7B"/>
    <w:rsid w:val="65C877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60A632F4-C2A1-4485-9D55-33C665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764675"/>
    <w:pPr>
      <w:spacing w:line="240" w:lineRule="exact"/>
    </w:pPr>
    <w:rPr>
      <w:vertAlign w:val="superscript"/>
    </w:rPr>
  </w:style>
  <w:style w:type="character" w:styleId="NormalWebCar" w:customStyle="1">
    <w:name w:val="Normal (Web) Car"/>
    <w:link w:val="NormalWeb"/>
    <w:uiPriority w:val="99"/>
    <w:rsid w:val="00764675"/>
    <w:rPr>
      <w:rFonts w:ascii="Times New Roman" w:hAnsi="Times New Roman" w:eastAsia="Times New Roman" w:cs="Times New Roman"/>
      <w:sz w:val="24"/>
      <w:szCs w:val="24"/>
      <w:lang w:eastAsia="es-CO"/>
    </w:rPr>
  </w:style>
  <w:style w:type="character" w:styleId="baj" w:customStyle="1">
    <w:name w:val="b_aj"/>
    <w:basedOn w:val="Fuentedeprrafopredeter"/>
    <w:rsid w:val="0076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olombiacompra.gov.co/sala-de-prensa/boletin-digita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latoria.colombiacompra.gov.co/busqueda/concepto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313F8-2C09-477F-93C2-2068D4445E5C}"/>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Gloria Ximena Moreno Guio</lastModifiedBy>
  <revision>6</revision>
  <lastPrinted>2023-01-10T21:18:00.0000000Z</lastPrinted>
  <dcterms:created xsi:type="dcterms:W3CDTF">2024-08-09T21:36:00.0000000Z</dcterms:created>
  <dcterms:modified xsi:type="dcterms:W3CDTF">2024-08-23T22:56:51.1833452Z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