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2FC2" w14:textId="77777777" w:rsidR="00BB29C6" w:rsidRPr="0017456C" w:rsidRDefault="00BB29C6" w:rsidP="00BB29C6">
      <w:pPr>
        <w:tabs>
          <w:tab w:val="left" w:pos="0"/>
        </w:tabs>
        <w:spacing w:after="0" w:line="240" w:lineRule="auto"/>
        <w:rPr>
          <w:rFonts w:ascii="Verdana" w:hAnsi="Verdana" w:cs="Arial"/>
          <w:b/>
          <w:lang w:val="es-ES"/>
        </w:rPr>
      </w:pPr>
      <w:bookmarkStart w:id="0" w:name="_Hlk143780582"/>
      <w:r w:rsidRPr="0017456C">
        <w:rPr>
          <w:rFonts w:ascii="Verdana" w:hAnsi="Verdana" w:cs="Arial"/>
          <w:b/>
          <w:lang w:val="es-ES"/>
        </w:rPr>
        <w:t>TRASLADO INFORME DE EVALUACIÓN – Finalidad</w:t>
      </w:r>
    </w:p>
    <w:p w14:paraId="6CCF16D7" w14:textId="77777777" w:rsidR="00BB29C6" w:rsidRPr="0017456C" w:rsidRDefault="00BB29C6" w:rsidP="00BB29C6">
      <w:pPr>
        <w:tabs>
          <w:tab w:val="left" w:pos="0"/>
        </w:tabs>
        <w:spacing w:after="0" w:line="240" w:lineRule="auto"/>
        <w:rPr>
          <w:rFonts w:ascii="Verdana" w:hAnsi="Verdana" w:cs="Arial"/>
          <w:b/>
          <w:lang w:val="es-ES"/>
        </w:rPr>
      </w:pPr>
    </w:p>
    <w:p w14:paraId="5FAC2F7D" w14:textId="77777777" w:rsidR="00583FA4" w:rsidRDefault="00583FA4" w:rsidP="00583FA4">
      <w:pPr>
        <w:tabs>
          <w:tab w:val="left" w:pos="709"/>
        </w:tabs>
        <w:spacing w:after="120"/>
        <w:jc w:val="both"/>
        <w:rPr>
          <w:rFonts w:ascii="Verdana" w:hAnsi="Verdana" w:cs="Arial"/>
          <w:bCs/>
          <w:color w:val="000000"/>
        </w:rPr>
      </w:pPr>
      <w:r w:rsidRPr="003F7F32">
        <w:rPr>
          <w:rFonts w:ascii="Verdana" w:hAnsi="Verdana" w:cs="Arial"/>
          <w:bCs/>
          <w:color w:val="000000"/>
        </w:rPr>
        <w:t>En cualquier caso, conviene resaltar que, dada la finalidad con la cual se publica el informe de evaluación, el término fijado para garantizar la publicidad, la contradicción y la oportunidad, en igualdad de condiciones</w:t>
      </w:r>
    </w:p>
    <w:p w14:paraId="6BA6B223" w14:textId="77777777" w:rsidR="0017456C" w:rsidRPr="003F7F32" w:rsidRDefault="0017456C" w:rsidP="00583FA4">
      <w:pPr>
        <w:tabs>
          <w:tab w:val="left" w:pos="709"/>
        </w:tabs>
        <w:spacing w:after="120"/>
        <w:jc w:val="both"/>
        <w:rPr>
          <w:rFonts w:ascii="Verdana" w:hAnsi="Verdana" w:cs="Arial"/>
          <w:color w:val="000000"/>
        </w:rPr>
      </w:pPr>
    </w:p>
    <w:p w14:paraId="750CDFD9" w14:textId="77777777" w:rsidR="0017456C" w:rsidRPr="0017456C" w:rsidRDefault="0017456C" w:rsidP="0017456C">
      <w:pPr>
        <w:tabs>
          <w:tab w:val="left" w:pos="0"/>
        </w:tabs>
        <w:spacing w:after="0" w:line="240" w:lineRule="auto"/>
        <w:rPr>
          <w:rFonts w:ascii="Verdana" w:hAnsi="Verdana" w:cs="Arial"/>
          <w:b/>
          <w:lang w:val="es-ES"/>
        </w:rPr>
      </w:pPr>
      <w:r w:rsidRPr="0017456C">
        <w:rPr>
          <w:rFonts w:ascii="Verdana" w:hAnsi="Verdana" w:cs="Arial"/>
          <w:b/>
          <w:lang w:val="es-ES"/>
        </w:rPr>
        <w:t xml:space="preserve">TRASLADO INFORME DE EVALUACIÓN – </w:t>
      </w:r>
      <w:r w:rsidR="00187B3A">
        <w:rPr>
          <w:rFonts w:ascii="Verdana" w:hAnsi="Verdana" w:cs="Arial"/>
          <w:b/>
          <w:lang w:val="es-ES"/>
        </w:rPr>
        <w:t>Norma de orden público</w:t>
      </w:r>
    </w:p>
    <w:p w14:paraId="09F480D8" w14:textId="77777777" w:rsidR="00187B3A" w:rsidRDefault="00187B3A" w:rsidP="0017456C">
      <w:pPr>
        <w:spacing w:line="259" w:lineRule="auto"/>
        <w:jc w:val="both"/>
        <w:rPr>
          <w:rFonts w:ascii="Verdana" w:hAnsi="Verdana" w:cs="Arial"/>
          <w:color w:val="000000"/>
        </w:rPr>
      </w:pPr>
    </w:p>
    <w:p w14:paraId="03FF9F70" w14:textId="77777777" w:rsidR="00583FA4" w:rsidRPr="0017456C" w:rsidRDefault="00583FA4" w:rsidP="00583FA4">
      <w:pPr>
        <w:spacing w:line="259" w:lineRule="auto"/>
        <w:jc w:val="both"/>
        <w:rPr>
          <w:rFonts w:ascii="Verdana" w:hAnsi="Verdana"/>
        </w:rPr>
      </w:pPr>
      <w:r>
        <w:rPr>
          <w:rFonts w:ascii="Verdana" w:hAnsi="Verdana" w:cs="Arial"/>
          <w:bCs/>
          <w:color w:val="000000"/>
        </w:rPr>
        <w:t>Téngase presente que l</w:t>
      </w:r>
      <w:r w:rsidRPr="00777E29">
        <w:rPr>
          <w:rFonts w:ascii="Verdana" w:hAnsi="Verdana" w:cs="Arial"/>
          <w:bCs/>
          <w:color w:val="000000"/>
        </w:rPr>
        <w:t>as diferentes normas enunciadas de estirpe procesal son normas de orden público</w:t>
      </w:r>
      <w:r>
        <w:rPr>
          <w:rFonts w:ascii="Verdana" w:hAnsi="Verdana" w:cs="Arial"/>
          <w:bCs/>
          <w:color w:val="000000"/>
        </w:rPr>
        <w:t xml:space="preserve"> </w:t>
      </w:r>
      <w:r w:rsidRPr="00777E29">
        <w:rPr>
          <w:rFonts w:ascii="Verdana" w:hAnsi="Verdana" w:cs="Arial"/>
          <w:bCs/>
          <w:color w:val="000000"/>
        </w:rPr>
        <w:t xml:space="preserve">y en consecuencia de obligatoria aplicación para las entidades sometidas al EGACP </w:t>
      </w:r>
      <w:r>
        <w:rPr>
          <w:rFonts w:ascii="Verdana" w:hAnsi="Verdana" w:cs="Arial"/>
          <w:bCs/>
          <w:color w:val="000000"/>
        </w:rPr>
        <w:t>por</w:t>
      </w:r>
      <w:r w:rsidRPr="00777E29">
        <w:rPr>
          <w:rFonts w:ascii="Verdana" w:hAnsi="Verdana" w:cs="Arial"/>
          <w:bCs/>
          <w:color w:val="000000"/>
        </w:rPr>
        <w:t xml:space="preserve"> parte de las entidades públicas. </w:t>
      </w:r>
      <w:r w:rsidRPr="0017456C">
        <w:rPr>
          <w:rFonts w:ascii="Verdana" w:hAnsi="Verdana"/>
        </w:rPr>
        <w:br w:type="page"/>
      </w:r>
    </w:p>
    <w:p w14:paraId="35A8D8F4" w14:textId="77777777" w:rsidR="00C67775" w:rsidRDefault="00EE62DE" w:rsidP="00EE62DE">
      <w:pPr>
        <w:spacing w:after="0"/>
        <w:rPr>
          <w:rFonts w:ascii="Verdana" w:hAnsi="Verdana"/>
        </w:rPr>
      </w:pPr>
      <w:r w:rsidRPr="0017456C">
        <w:rPr>
          <w:rFonts w:ascii="Verdana" w:hAnsi="Verdana"/>
        </w:rPr>
        <w:lastRenderedPageBreak/>
        <w:t xml:space="preserve">Bogotá D.C., </w:t>
      </w:r>
      <w:r w:rsidR="00C67775">
        <w:rPr>
          <w:rFonts w:ascii="Verdana" w:hAnsi="Verdana"/>
        </w:rPr>
        <w:t>05 de Agosto de 2024</w:t>
      </w:r>
    </w:p>
    <w:p w14:paraId="4242E115" w14:textId="77777777" w:rsidR="00C67775" w:rsidRDefault="00C67775" w:rsidP="00EE62DE">
      <w:pPr>
        <w:spacing w:after="0"/>
        <w:rPr>
          <w:rFonts w:ascii="Verdana" w:hAnsi="Verdana"/>
        </w:rPr>
      </w:pPr>
    </w:p>
    <w:p w14:paraId="4F4E4233" w14:textId="0E7E49EF" w:rsidR="00EE62DE" w:rsidRPr="0017456C" w:rsidRDefault="00C67775" w:rsidP="00C67775">
      <w:pPr>
        <w:spacing w:after="0"/>
        <w:jc w:val="right"/>
        <w:rPr>
          <w:rFonts w:ascii="Verdana" w:hAnsi="Verdana"/>
        </w:rPr>
      </w:pPr>
      <w:r w:rsidRPr="00C67775">
        <w:rPr>
          <w:rFonts w:ascii="Verdana" w:hAnsi="Verdana"/>
        </w:rPr>
        <w:drawing>
          <wp:inline distT="0" distB="0" distL="0" distR="0" wp14:anchorId="1DE70495" wp14:editId="6E57D0DC">
            <wp:extent cx="2496311" cy="702526"/>
            <wp:effectExtent l="0" t="0" r="0" b="2540"/>
            <wp:docPr id="620972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72301" name=""/>
                    <pic:cNvPicPr/>
                  </pic:nvPicPr>
                  <pic:blipFill>
                    <a:blip r:embed="rId11"/>
                    <a:stretch>
                      <a:fillRect/>
                    </a:stretch>
                  </pic:blipFill>
                  <pic:spPr>
                    <a:xfrm>
                      <a:off x="0" y="0"/>
                      <a:ext cx="2517492" cy="708487"/>
                    </a:xfrm>
                    <a:prstGeom prst="rect">
                      <a:avLst/>
                    </a:prstGeom>
                  </pic:spPr>
                </pic:pic>
              </a:graphicData>
            </a:graphic>
          </wp:inline>
        </w:drawing>
      </w:r>
      <w:r w:rsidR="00EE62DE" w:rsidRPr="0017456C">
        <w:rPr>
          <w:rFonts w:ascii="Verdana" w:hAnsi="Verdana"/>
        </w:rPr>
        <w:tab/>
      </w:r>
    </w:p>
    <w:p w14:paraId="084E89D4" w14:textId="77777777" w:rsidR="00EE62DE" w:rsidRPr="0017456C" w:rsidRDefault="00EE62DE" w:rsidP="00EE62DE">
      <w:pPr>
        <w:spacing w:after="0"/>
        <w:rPr>
          <w:rFonts w:ascii="Verdana" w:hAnsi="Verdana"/>
        </w:rPr>
      </w:pPr>
    </w:p>
    <w:p w14:paraId="480A4D27" w14:textId="77777777" w:rsidR="00EE62DE" w:rsidRPr="0017456C" w:rsidRDefault="00EE62DE" w:rsidP="00EE62DE">
      <w:pPr>
        <w:spacing w:after="0" w:line="240" w:lineRule="auto"/>
        <w:jc w:val="both"/>
        <w:rPr>
          <w:rFonts w:ascii="Verdana" w:eastAsia="Calibri" w:hAnsi="Verdana" w:cs="Arial"/>
          <w:lang w:val="es-ES" w:eastAsia="es-ES"/>
        </w:rPr>
      </w:pPr>
      <w:r w:rsidRPr="0017456C">
        <w:rPr>
          <w:rFonts w:ascii="Verdana" w:eastAsia="Calibri" w:hAnsi="Verdana" w:cs="Arial"/>
          <w:lang w:val="es-ES" w:eastAsia="es-ES"/>
        </w:rPr>
        <w:t>Señor</w:t>
      </w:r>
    </w:p>
    <w:p w14:paraId="4E3EA16A" w14:textId="77777777" w:rsidR="00EE62DE" w:rsidRPr="0017456C" w:rsidRDefault="00EE62DE" w:rsidP="00EE62DE">
      <w:pPr>
        <w:spacing w:after="0" w:line="240" w:lineRule="auto"/>
        <w:jc w:val="both"/>
        <w:rPr>
          <w:rFonts w:ascii="Verdana" w:eastAsia="Calibri" w:hAnsi="Verdana" w:cs="Arial"/>
          <w:b/>
          <w:bCs/>
          <w:szCs w:val="24"/>
          <w:lang w:val="es-ES_tradnl" w:eastAsia="es-ES_tradnl"/>
        </w:rPr>
      </w:pPr>
      <w:r w:rsidRPr="0017456C">
        <w:rPr>
          <w:rFonts w:ascii="Verdana" w:eastAsia="Calibri" w:hAnsi="Verdana" w:cs="Arial"/>
          <w:b/>
          <w:bCs/>
          <w:szCs w:val="24"/>
          <w:lang w:val="es-ES_tradnl" w:eastAsia="es-ES_tradnl"/>
        </w:rPr>
        <w:t>GUSTAVO ADOLFO PATARROYO CUBIDES</w:t>
      </w:r>
    </w:p>
    <w:p w14:paraId="53C34DF4" w14:textId="77777777" w:rsidR="00EE62DE" w:rsidRPr="0017456C" w:rsidRDefault="00000000" w:rsidP="00EE62DE">
      <w:pPr>
        <w:spacing w:after="0" w:line="240" w:lineRule="auto"/>
        <w:jc w:val="both"/>
        <w:rPr>
          <w:rFonts w:ascii="Verdana" w:hAnsi="Verdana"/>
        </w:rPr>
      </w:pPr>
      <w:hyperlink r:id="rId12" w:history="1">
        <w:r w:rsidR="00EE62DE" w:rsidRPr="0017456C">
          <w:rPr>
            <w:rStyle w:val="Hipervnculo"/>
            <w:rFonts w:ascii="Verdana" w:hAnsi="Verdana"/>
          </w:rPr>
          <w:t>gustavopatarroyo@hotmail.com</w:t>
        </w:r>
      </w:hyperlink>
    </w:p>
    <w:p w14:paraId="06925971" w14:textId="77777777" w:rsidR="00EE62DE" w:rsidRPr="0017456C" w:rsidRDefault="00EE62DE" w:rsidP="00EE62DE">
      <w:pPr>
        <w:spacing w:after="0" w:line="240" w:lineRule="auto"/>
        <w:jc w:val="both"/>
        <w:rPr>
          <w:rFonts w:ascii="Verdana" w:eastAsia="Calibri" w:hAnsi="Verdana" w:cs="Arial"/>
          <w:szCs w:val="24"/>
          <w:lang w:val="es-ES_tradnl" w:eastAsia="es-ES_tradnl"/>
        </w:rPr>
      </w:pPr>
      <w:r w:rsidRPr="0017456C">
        <w:rPr>
          <w:rFonts w:ascii="Verdana" w:eastAsia="Calibri" w:hAnsi="Verdana" w:cs="Arial"/>
          <w:szCs w:val="24"/>
          <w:lang w:val="es-ES_tradnl" w:eastAsia="es-ES_tradnl"/>
        </w:rPr>
        <w:t>Bogotá D.C</w:t>
      </w:r>
    </w:p>
    <w:p w14:paraId="377E08B0" w14:textId="77777777" w:rsidR="00EE62DE" w:rsidRPr="0017456C" w:rsidRDefault="00EE62DE" w:rsidP="00EE62DE">
      <w:pPr>
        <w:spacing w:after="0" w:line="240" w:lineRule="auto"/>
        <w:jc w:val="both"/>
        <w:rPr>
          <w:rFonts w:ascii="Verdana" w:eastAsia="Calibri" w:hAnsi="Verdana" w:cs="Arial"/>
          <w:szCs w:val="24"/>
          <w:lang w:val="es-ES_tradnl" w:eastAsia="es-ES_tradnl"/>
        </w:rPr>
      </w:pPr>
    </w:p>
    <w:p w14:paraId="79200A19" w14:textId="77777777" w:rsidR="00EE62DE" w:rsidRPr="0017456C" w:rsidRDefault="00EE62DE" w:rsidP="00EE62DE">
      <w:pPr>
        <w:spacing w:after="0" w:line="240" w:lineRule="auto"/>
        <w:ind w:left="2694"/>
        <w:jc w:val="both"/>
        <w:rPr>
          <w:rFonts w:ascii="Verdana" w:eastAsia="Calibri" w:hAnsi="Verdana" w:cs="Arial"/>
          <w:b/>
          <w:bCs/>
          <w:szCs w:val="24"/>
          <w:lang w:val="es-ES_tradnl" w:eastAsia="es-ES_tradnl"/>
        </w:rPr>
      </w:pPr>
      <w:r w:rsidRPr="0017456C">
        <w:rPr>
          <w:rFonts w:ascii="Verdana" w:eastAsia="Calibri" w:hAnsi="Verdana" w:cs="Arial"/>
          <w:b/>
          <w:bCs/>
          <w:szCs w:val="24"/>
          <w:lang w:val="es-ES_tradnl" w:eastAsia="es-ES_tradnl"/>
        </w:rPr>
        <w:t>Concepto C–213 de 2024</w:t>
      </w:r>
    </w:p>
    <w:p w14:paraId="5D3049D5" w14:textId="77777777" w:rsidR="00EE62DE" w:rsidRPr="0017456C" w:rsidRDefault="00EE62DE" w:rsidP="00EE62DE">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EE62DE" w:rsidRPr="0017456C" w14:paraId="3D896835" w14:textId="77777777" w:rsidTr="00EE62DE">
        <w:trPr>
          <w:trHeight w:val="884"/>
        </w:trPr>
        <w:tc>
          <w:tcPr>
            <w:tcW w:w="2835" w:type="dxa"/>
            <w:hideMark/>
          </w:tcPr>
          <w:p w14:paraId="208D47D3" w14:textId="77777777" w:rsidR="00EE62DE" w:rsidRPr="0017456C" w:rsidRDefault="00EE62DE">
            <w:pPr>
              <w:spacing w:line="240" w:lineRule="auto"/>
              <w:jc w:val="both"/>
              <w:rPr>
                <w:rFonts w:ascii="Verdana" w:eastAsia="Calibri" w:hAnsi="Verdana" w:cs="Arial"/>
                <w:szCs w:val="24"/>
                <w:lang w:val="es-ES_tradnl" w:eastAsia="es-ES_tradnl"/>
              </w:rPr>
            </w:pPr>
            <w:r w:rsidRPr="0017456C">
              <w:rPr>
                <w:rFonts w:ascii="Verdana" w:eastAsia="Calibri" w:hAnsi="Verdana" w:cs="Arial"/>
                <w:szCs w:val="24"/>
                <w:lang w:val="es-ES_tradnl" w:eastAsia="es-ES_tradnl"/>
              </w:rPr>
              <w:t xml:space="preserve">Temas:                   </w:t>
            </w:r>
          </w:p>
        </w:tc>
        <w:tc>
          <w:tcPr>
            <w:tcW w:w="6091" w:type="dxa"/>
            <w:hideMark/>
          </w:tcPr>
          <w:p w14:paraId="67091C27" w14:textId="77777777" w:rsidR="00EE62DE" w:rsidRPr="00187B3A" w:rsidRDefault="00187B3A">
            <w:pPr>
              <w:spacing w:line="276" w:lineRule="auto"/>
              <w:jc w:val="both"/>
              <w:rPr>
                <w:rFonts w:ascii="Verdana" w:hAnsi="Verdana"/>
              </w:rPr>
            </w:pPr>
            <w:r w:rsidRPr="00187B3A">
              <w:rPr>
                <w:rFonts w:ascii="Verdana" w:hAnsi="Verdana"/>
              </w:rPr>
              <w:t>TRASLADO INFORME DE EVALUACIÓN – Finalidad</w:t>
            </w:r>
            <w:r w:rsidR="00EE62DE" w:rsidRPr="00187B3A">
              <w:rPr>
                <w:rFonts w:ascii="Verdana" w:hAnsi="Verdana"/>
              </w:rPr>
              <w:t xml:space="preserve">/ </w:t>
            </w:r>
            <w:r w:rsidRPr="00187B3A">
              <w:rPr>
                <w:rFonts w:ascii="Verdana" w:hAnsi="Verdana"/>
              </w:rPr>
              <w:t>TRASLADO INFORME DE EVALUACIÓN – Norma de orden público</w:t>
            </w:r>
          </w:p>
        </w:tc>
        <w:tc>
          <w:tcPr>
            <w:tcW w:w="6237" w:type="dxa"/>
          </w:tcPr>
          <w:p w14:paraId="6389EE57" w14:textId="77777777" w:rsidR="00EE62DE" w:rsidRPr="00187B3A" w:rsidRDefault="00EE62DE">
            <w:pPr>
              <w:spacing w:line="240" w:lineRule="auto"/>
              <w:jc w:val="both"/>
              <w:rPr>
                <w:rFonts w:ascii="Verdana" w:hAnsi="Verdana" w:cs="Arial"/>
                <w:lang w:val="es-ES"/>
              </w:rPr>
            </w:pPr>
          </w:p>
        </w:tc>
      </w:tr>
      <w:tr w:rsidR="00EE62DE" w:rsidRPr="0017456C" w14:paraId="5178EE76" w14:textId="77777777" w:rsidTr="00EE62DE">
        <w:tc>
          <w:tcPr>
            <w:tcW w:w="2835" w:type="dxa"/>
            <w:hideMark/>
          </w:tcPr>
          <w:p w14:paraId="5B6F829B" w14:textId="77777777" w:rsidR="00EE62DE" w:rsidRPr="0017456C" w:rsidRDefault="00EE62DE">
            <w:pPr>
              <w:spacing w:before="120" w:line="240" w:lineRule="auto"/>
              <w:jc w:val="both"/>
              <w:rPr>
                <w:rFonts w:ascii="Verdana" w:eastAsia="Calibri" w:hAnsi="Verdana" w:cs="Arial"/>
                <w:szCs w:val="24"/>
                <w:lang w:val="es-ES_tradnl" w:eastAsia="es-ES_tradnl"/>
              </w:rPr>
            </w:pPr>
            <w:r w:rsidRPr="0017456C">
              <w:rPr>
                <w:rFonts w:ascii="Verdana" w:eastAsia="Calibri" w:hAnsi="Verdana" w:cs="Arial"/>
                <w:szCs w:val="24"/>
                <w:lang w:val="es-ES_tradnl" w:eastAsia="es-ES_tradnl"/>
              </w:rPr>
              <w:t xml:space="preserve">Radicación:               </w:t>
            </w:r>
          </w:p>
        </w:tc>
        <w:tc>
          <w:tcPr>
            <w:tcW w:w="6091" w:type="dxa"/>
            <w:hideMark/>
          </w:tcPr>
          <w:p w14:paraId="5FF26DD7" w14:textId="77777777" w:rsidR="00EE62DE" w:rsidRPr="0017456C" w:rsidRDefault="00EE62DE">
            <w:pPr>
              <w:spacing w:before="120" w:line="276" w:lineRule="auto"/>
              <w:jc w:val="both"/>
              <w:rPr>
                <w:rFonts w:ascii="Verdana" w:eastAsia="Calibri" w:hAnsi="Verdana" w:cs="Arial"/>
                <w:szCs w:val="24"/>
                <w:lang w:val="es-ES_tradnl" w:eastAsia="es-ES_tradnl"/>
              </w:rPr>
            </w:pPr>
            <w:r w:rsidRPr="0017456C">
              <w:rPr>
                <w:rFonts w:ascii="Verdana" w:eastAsia="Calibri" w:hAnsi="Verdana" w:cs="Arial"/>
                <w:szCs w:val="24"/>
                <w:lang w:val="es-ES_tradnl" w:eastAsia="es-ES_tradnl"/>
              </w:rPr>
              <w:t>Respuesta a consulta con radicado No. P20240623006379</w:t>
            </w:r>
          </w:p>
        </w:tc>
        <w:tc>
          <w:tcPr>
            <w:tcW w:w="6237" w:type="dxa"/>
          </w:tcPr>
          <w:p w14:paraId="726CC2C5" w14:textId="77777777" w:rsidR="00EE62DE" w:rsidRPr="0017456C" w:rsidRDefault="00EE62DE">
            <w:pPr>
              <w:spacing w:before="120" w:line="240" w:lineRule="auto"/>
              <w:jc w:val="both"/>
              <w:rPr>
                <w:rFonts w:ascii="Verdana" w:eastAsia="Calibri" w:hAnsi="Verdana" w:cs="Arial"/>
                <w:szCs w:val="24"/>
                <w:lang w:val="es-ES_tradnl" w:eastAsia="es-ES_tradnl"/>
              </w:rPr>
            </w:pPr>
          </w:p>
        </w:tc>
      </w:tr>
    </w:tbl>
    <w:p w14:paraId="2760F81D" w14:textId="77777777" w:rsidR="00EE62DE" w:rsidRPr="0017456C" w:rsidRDefault="00EE62DE" w:rsidP="00EE62DE">
      <w:pPr>
        <w:spacing w:after="0" w:line="240" w:lineRule="auto"/>
        <w:jc w:val="both"/>
        <w:rPr>
          <w:rFonts w:ascii="Verdana" w:eastAsia="Calibri" w:hAnsi="Verdana" w:cs="Arial"/>
          <w:szCs w:val="24"/>
          <w:lang w:val="es-ES_tradnl" w:eastAsia="es-ES_tradnl"/>
        </w:rPr>
      </w:pPr>
    </w:p>
    <w:p w14:paraId="4E1B42CE" w14:textId="77777777" w:rsidR="00EE62DE" w:rsidRPr="0017456C" w:rsidRDefault="00EE62DE" w:rsidP="00EE62DE">
      <w:pPr>
        <w:spacing w:after="0" w:line="240" w:lineRule="auto"/>
        <w:jc w:val="both"/>
        <w:rPr>
          <w:rFonts w:ascii="Verdana" w:eastAsia="Calibri" w:hAnsi="Verdana" w:cs="Arial"/>
          <w:lang w:val="es-ES" w:eastAsia="es-ES"/>
        </w:rPr>
      </w:pPr>
      <w:r w:rsidRPr="0017456C">
        <w:rPr>
          <w:rFonts w:ascii="Verdana" w:eastAsia="Calibri" w:hAnsi="Verdana" w:cs="Arial"/>
          <w:lang w:val="es-ES" w:eastAsia="es-ES"/>
        </w:rPr>
        <w:t xml:space="preserve">Estimado señor Gustavo: </w:t>
      </w:r>
    </w:p>
    <w:p w14:paraId="06DEC39D" w14:textId="77777777" w:rsidR="00EE62DE" w:rsidRPr="0017456C" w:rsidRDefault="00EE62DE" w:rsidP="00EE62DE">
      <w:pPr>
        <w:spacing w:after="0" w:line="240" w:lineRule="auto"/>
        <w:jc w:val="both"/>
        <w:rPr>
          <w:rFonts w:ascii="Verdana" w:eastAsia="Calibri" w:hAnsi="Verdana" w:cs="Arial"/>
          <w:lang w:val="es-ES" w:eastAsia="es-ES"/>
        </w:rPr>
      </w:pPr>
    </w:p>
    <w:p w14:paraId="2B030B4B" w14:textId="77777777" w:rsidR="00EE62DE" w:rsidRPr="0017456C" w:rsidRDefault="00EE62DE" w:rsidP="00EE62DE">
      <w:pPr>
        <w:spacing w:after="120" w:line="276" w:lineRule="auto"/>
        <w:jc w:val="both"/>
        <w:rPr>
          <w:rFonts w:ascii="Verdana" w:eastAsia="Calibri" w:hAnsi="Verdana" w:cs="Arial"/>
          <w:lang w:val="es-ES" w:eastAsia="es-ES"/>
        </w:rPr>
      </w:pPr>
      <w:r w:rsidRPr="0017456C">
        <w:rPr>
          <w:rFonts w:ascii="Verdana" w:eastAsia="Calibri" w:hAnsi="Verdana" w:cs="Arial"/>
          <w:lang w:val="es-ES" w:eastAsia="es-ES"/>
        </w:rPr>
        <w:t>En ejercicio de la competencia otorgada por los artículos 3, numeral 5º, y 11, numeral 8º, del Decreto Ley 4170 de 2011,</w:t>
      </w:r>
      <w:r w:rsidRPr="0017456C">
        <w:rPr>
          <w:rFonts w:ascii="Verdana" w:eastAsia="Arial MT" w:hAnsi="Verdana" w:cs="Arial MT"/>
          <w:lang w:val="es-ES" w:eastAsia="es-ES"/>
        </w:rPr>
        <w:t xml:space="preserve"> </w:t>
      </w:r>
      <w:r w:rsidRPr="0017456C">
        <w:rPr>
          <w:rFonts w:ascii="Verdana" w:eastAsia="Calibri" w:hAnsi="Verdana" w:cs="Arial"/>
          <w:lang w:val="es-ES" w:eastAsia="es-ES"/>
        </w:rPr>
        <w:t>la Agencia Nacional de Contratación Pública – Colombia Compra Eficiente– responde su solicitud de consulta del 17 de julio de 2024. En la cual manifiesta lo siguiente:</w:t>
      </w:r>
    </w:p>
    <w:p w14:paraId="2ED50AFF" w14:textId="77777777" w:rsidR="00EE62DE" w:rsidRPr="0017456C" w:rsidRDefault="00EE62DE" w:rsidP="00EE62DE">
      <w:pPr>
        <w:spacing w:after="0" w:line="240" w:lineRule="auto"/>
        <w:ind w:left="709" w:right="709"/>
        <w:jc w:val="both"/>
        <w:rPr>
          <w:rFonts w:ascii="Verdana" w:eastAsia="Calibri" w:hAnsi="Verdana" w:cs="Arial"/>
          <w:sz w:val="20"/>
          <w:szCs w:val="20"/>
          <w:lang w:val="es-ES" w:eastAsia="es-ES"/>
        </w:rPr>
      </w:pPr>
      <w:r w:rsidRPr="0017456C">
        <w:rPr>
          <w:rFonts w:ascii="Verdana" w:eastAsia="Calibri" w:hAnsi="Verdana" w:cs="Arial"/>
          <w:sz w:val="20"/>
          <w:szCs w:val="20"/>
          <w:lang w:val="es-ES" w:eastAsia="es-ES"/>
        </w:rPr>
        <w:t>“[S]i un único proponente cumple con toda los requisitos del pliego o de la invitación, puede renunciar por escrito al termino de traslado de la evaluación, con la finalidad que se adjudique antes de lo determinado en el cronograma señalado y si la administración con el consentimiento del proponente pueden renunciar a esos términos</w:t>
      </w:r>
      <w:r w:rsidR="00583FA4" w:rsidRPr="0017456C">
        <w:rPr>
          <w:rFonts w:ascii="Verdana" w:eastAsia="Calibri" w:hAnsi="Verdana" w:cs="Arial"/>
          <w:sz w:val="20"/>
          <w:szCs w:val="20"/>
          <w:lang w:val="es-ES" w:eastAsia="es-ES"/>
        </w:rPr>
        <w:t>?”</w:t>
      </w:r>
    </w:p>
    <w:p w14:paraId="3E13AECE" w14:textId="77777777" w:rsidR="00EE62DE" w:rsidRPr="0017456C" w:rsidRDefault="00EE62DE" w:rsidP="00EE62DE">
      <w:pPr>
        <w:spacing w:after="0" w:line="240" w:lineRule="auto"/>
        <w:ind w:left="709" w:right="709"/>
        <w:jc w:val="both"/>
        <w:rPr>
          <w:rFonts w:ascii="Verdana" w:eastAsia="Calibri" w:hAnsi="Verdana" w:cs="Arial"/>
          <w:lang w:val="es-ES_tradnl" w:eastAsia="es-ES_tradnl"/>
        </w:rPr>
      </w:pPr>
    </w:p>
    <w:p w14:paraId="1425EA55" w14:textId="77777777" w:rsidR="00EE62DE" w:rsidRPr="0017456C" w:rsidRDefault="00EE62DE" w:rsidP="00EE62DE">
      <w:pPr>
        <w:spacing w:after="120" w:line="276" w:lineRule="auto"/>
        <w:jc w:val="both"/>
        <w:rPr>
          <w:rFonts w:ascii="Verdana" w:eastAsia="Calibri" w:hAnsi="Verdana" w:cs="Arial"/>
          <w:lang w:val="es-ES" w:eastAsia="es-ES"/>
        </w:rPr>
      </w:pPr>
      <w:r w:rsidRPr="0017456C">
        <w:rPr>
          <w:rFonts w:ascii="Verdana" w:eastAsia="Calibri" w:hAnsi="Verdana" w:cs="Arial"/>
          <w:lang w:val="es-ES_tradnl" w:eastAsia="es-ES_tradnl"/>
        </w:rPr>
        <w:tab/>
      </w:r>
      <w:r w:rsidRPr="0017456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w:t>
      </w:r>
      <w:r w:rsidRPr="0017456C">
        <w:rPr>
          <w:rFonts w:ascii="Verdana" w:eastAsia="Calibri" w:hAnsi="Verdana" w:cs="Arial"/>
          <w:lang w:val="es-ES" w:eastAsia="es-ES"/>
        </w:rPr>
        <w:lastRenderedPageBreak/>
        <w:t>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D9B7C06" w14:textId="77777777" w:rsidR="00EE62DE" w:rsidRPr="0017456C" w:rsidRDefault="00EE62DE" w:rsidP="00EE62DE">
      <w:pPr>
        <w:spacing w:after="0" w:line="276" w:lineRule="auto"/>
        <w:jc w:val="both"/>
        <w:rPr>
          <w:rFonts w:ascii="Verdana" w:eastAsia="Calibri" w:hAnsi="Verdana" w:cs="Arial"/>
          <w:lang w:val="es-ES" w:eastAsia="es-ES"/>
        </w:rPr>
      </w:pPr>
      <w:r w:rsidRPr="0017456C">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20F1AE0D" w14:textId="77777777" w:rsidR="00EE62DE" w:rsidRPr="0017456C" w:rsidRDefault="00EE62DE" w:rsidP="00EE62DE">
      <w:pPr>
        <w:spacing w:after="0" w:line="276" w:lineRule="auto"/>
        <w:jc w:val="both"/>
        <w:rPr>
          <w:rFonts w:ascii="Verdana" w:eastAsia="Calibri" w:hAnsi="Verdana" w:cs="Arial"/>
          <w:lang w:val="es-ES" w:eastAsia="es-ES"/>
        </w:rPr>
      </w:pPr>
    </w:p>
    <w:p w14:paraId="72AEE137" w14:textId="77777777" w:rsidR="00EE62DE" w:rsidRPr="0017456C" w:rsidRDefault="00EE62DE" w:rsidP="00EE62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7456C">
        <w:rPr>
          <w:rFonts w:ascii="Verdana" w:eastAsia="Century Gothic" w:hAnsi="Verdana" w:cs="Century Gothic"/>
          <w:b/>
          <w:bCs/>
        </w:rPr>
        <w:t>Problema planteado:</w:t>
      </w:r>
    </w:p>
    <w:p w14:paraId="3A02F989" w14:textId="77777777" w:rsidR="00EE62DE" w:rsidRPr="0017456C" w:rsidRDefault="00EE62DE" w:rsidP="00EE62DE">
      <w:pPr>
        <w:spacing w:after="0" w:line="240" w:lineRule="auto"/>
        <w:jc w:val="both"/>
        <w:rPr>
          <w:rFonts w:ascii="Verdana" w:eastAsia="Century Gothic" w:hAnsi="Verdana" w:cs="Century Gothic"/>
        </w:rPr>
      </w:pPr>
    </w:p>
    <w:p w14:paraId="1F2BCEAB" w14:textId="77777777" w:rsidR="00EE62DE" w:rsidRPr="0017456C" w:rsidRDefault="00EE62DE" w:rsidP="00EE62DE">
      <w:pPr>
        <w:spacing w:after="0" w:line="276" w:lineRule="auto"/>
        <w:jc w:val="both"/>
        <w:rPr>
          <w:rFonts w:ascii="Verdana" w:eastAsia="Century Gothic" w:hAnsi="Verdana" w:cs="Century Gothic"/>
        </w:rPr>
      </w:pPr>
      <w:r w:rsidRPr="0017456C">
        <w:rPr>
          <w:rFonts w:ascii="Verdana" w:eastAsia="Century Gothic" w:hAnsi="Verdana" w:cs="Century Gothic"/>
        </w:rPr>
        <w:t>De acuerdo con el contenido de su solicitud, esta Agencia resolverá el siguiente problema jurídico ¿</w:t>
      </w:r>
      <w:r w:rsidR="00583FA4">
        <w:rPr>
          <w:rFonts w:ascii="Verdana" w:eastAsia="Century Gothic" w:hAnsi="Verdana" w:cs="Century Gothic"/>
        </w:rPr>
        <w:t>U</w:t>
      </w:r>
      <w:r w:rsidR="00583FA4" w:rsidRPr="0017456C">
        <w:rPr>
          <w:rFonts w:ascii="Verdana" w:eastAsia="Century Gothic" w:hAnsi="Verdana" w:cs="Century Gothic"/>
        </w:rPr>
        <w:t>n</w:t>
      </w:r>
      <w:r w:rsidR="003839E6" w:rsidRPr="0017456C">
        <w:rPr>
          <w:rFonts w:ascii="Verdana" w:eastAsia="Century Gothic" w:hAnsi="Verdana" w:cs="Century Gothic"/>
        </w:rPr>
        <w:t xml:space="preserve"> proponente </w:t>
      </w:r>
      <w:r w:rsidRPr="0017456C">
        <w:rPr>
          <w:rFonts w:ascii="Verdana" w:eastAsia="Century Gothic" w:hAnsi="Verdana" w:cs="Century Gothic"/>
        </w:rPr>
        <w:t xml:space="preserve">puede renunciar a términos </w:t>
      </w:r>
      <w:r w:rsidR="003839E6" w:rsidRPr="0017456C">
        <w:rPr>
          <w:rFonts w:ascii="Verdana" w:eastAsia="Century Gothic" w:hAnsi="Verdana" w:cs="Century Gothic"/>
        </w:rPr>
        <w:t xml:space="preserve">dentro de un proceso de selección a la luz del Estatuto general de contratación de la administración pública? </w:t>
      </w:r>
    </w:p>
    <w:p w14:paraId="6EA43E0D" w14:textId="77777777" w:rsidR="00EE62DE" w:rsidRPr="0017456C" w:rsidRDefault="00EE62DE" w:rsidP="00EE62DE">
      <w:pPr>
        <w:spacing w:after="0" w:line="276" w:lineRule="auto"/>
        <w:jc w:val="both"/>
        <w:rPr>
          <w:rFonts w:ascii="Verdana" w:eastAsia="Century Gothic" w:hAnsi="Verdana" w:cs="Century Gothic"/>
        </w:rPr>
      </w:pPr>
    </w:p>
    <w:p w14:paraId="2DED60F3" w14:textId="77777777" w:rsidR="00EE62DE" w:rsidRPr="0017456C" w:rsidRDefault="00EE62DE" w:rsidP="00EE62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7456C">
        <w:rPr>
          <w:rFonts w:ascii="Verdana" w:eastAsia="Century Gothic" w:hAnsi="Verdana" w:cs="Century Gothic"/>
          <w:b/>
          <w:bCs/>
        </w:rPr>
        <w:t>Respuesta:</w:t>
      </w:r>
    </w:p>
    <w:p w14:paraId="06AD173C" w14:textId="77777777" w:rsidR="00EE62DE" w:rsidRPr="0017456C" w:rsidRDefault="00EE62DE" w:rsidP="00EE62DE">
      <w:pPr>
        <w:pStyle w:val="Prrafodelista"/>
        <w:tabs>
          <w:tab w:val="left" w:pos="142"/>
          <w:tab w:val="left" w:pos="284"/>
        </w:tabs>
        <w:spacing w:after="0" w:line="276" w:lineRule="auto"/>
        <w:ind w:left="0"/>
        <w:jc w:val="both"/>
        <w:rPr>
          <w:rFonts w:ascii="Verdana" w:eastAsia="Century Gothic" w:hAnsi="Verdana" w:cs="Century Gothic"/>
          <w:b/>
          <w:bCs/>
        </w:rPr>
      </w:pPr>
    </w:p>
    <w:p w14:paraId="3960FAD1" w14:textId="77777777" w:rsidR="00583FA4" w:rsidRDefault="00583FA4" w:rsidP="00583FA4">
      <w:pPr>
        <w:pStyle w:val="Prrafodelista"/>
        <w:tabs>
          <w:tab w:val="left" w:pos="142"/>
          <w:tab w:val="left" w:pos="284"/>
        </w:tabs>
        <w:spacing w:after="0" w:line="276" w:lineRule="auto"/>
        <w:ind w:left="0"/>
        <w:jc w:val="both"/>
        <w:rPr>
          <w:rFonts w:ascii="Verdana" w:hAnsi="Verdana" w:cs="Arial"/>
          <w:bCs/>
          <w:color w:val="000000"/>
        </w:rPr>
      </w:pPr>
      <w:r>
        <w:rPr>
          <w:rFonts w:ascii="Verdana" w:eastAsia="Century Gothic" w:hAnsi="Verdana" w:cs="Century Gothic"/>
          <w:bCs/>
        </w:rPr>
        <w:t>L</w:t>
      </w:r>
      <w:r w:rsidRPr="0017456C">
        <w:rPr>
          <w:rFonts w:ascii="Verdana" w:eastAsia="Century Gothic" w:hAnsi="Verdana" w:cs="Century Gothic"/>
          <w:bCs/>
        </w:rPr>
        <w:t xml:space="preserve">as normas de procedimiento establecidas en el Estatuto General de Contratación de la Administración Pública son de </w:t>
      </w:r>
      <w:r w:rsidRPr="0017456C">
        <w:rPr>
          <w:rFonts w:ascii="Verdana" w:hAnsi="Verdana" w:cs="Arial"/>
          <w:bCs/>
          <w:color w:val="000000"/>
        </w:rPr>
        <w:t xml:space="preserve">orden público y en consecuencia de obligatoria aplicación para las </w:t>
      </w:r>
      <w:r>
        <w:rPr>
          <w:rFonts w:ascii="Verdana" w:hAnsi="Verdana" w:cs="Arial"/>
          <w:bCs/>
          <w:color w:val="000000"/>
        </w:rPr>
        <w:t>E</w:t>
      </w:r>
      <w:r w:rsidRPr="0017456C">
        <w:rPr>
          <w:rFonts w:ascii="Verdana" w:hAnsi="Verdana" w:cs="Arial"/>
          <w:bCs/>
          <w:color w:val="000000"/>
        </w:rPr>
        <w:t xml:space="preserve">ntidades </w:t>
      </w:r>
      <w:r>
        <w:rPr>
          <w:rFonts w:ascii="Verdana" w:hAnsi="Verdana" w:cs="Arial"/>
          <w:bCs/>
          <w:color w:val="000000"/>
        </w:rPr>
        <w:t xml:space="preserve">Públicas </w:t>
      </w:r>
      <w:r w:rsidRPr="0017456C">
        <w:rPr>
          <w:rFonts w:ascii="Verdana" w:hAnsi="Verdana" w:cs="Arial"/>
          <w:bCs/>
          <w:color w:val="000000"/>
        </w:rPr>
        <w:t xml:space="preserve">y </w:t>
      </w:r>
      <w:r>
        <w:rPr>
          <w:rFonts w:ascii="Verdana" w:hAnsi="Verdana" w:cs="Arial"/>
          <w:bCs/>
          <w:color w:val="000000"/>
        </w:rPr>
        <w:t xml:space="preserve">los participantes del proceso de contratación. No obstante, si un proponente dentro del proceso de competencia renuncia al término para las observaciones al informe de evaluación lo podrá hacer desde la autonomía de la voluntad y en ejercicio del consentimiento, por lo cual la entidad estatal no podrá oponerse. Sin embargo, la entidad contratante es la encargada de validar el proceder frente a dicha actuación con el fin de garantizar el cumplimiento de los principios de la contratación pública, en especial el de libre concurrencia, publicidad, transparencia y selección objetiva, puesto que ese término deviene de preceptos legales y administrativos en materia contractual por lo que no debería omitirlo. </w:t>
      </w:r>
    </w:p>
    <w:p w14:paraId="5882E93C" w14:textId="77777777" w:rsidR="00583FA4" w:rsidRDefault="00583FA4" w:rsidP="00583FA4">
      <w:pPr>
        <w:tabs>
          <w:tab w:val="left" w:pos="142"/>
          <w:tab w:val="left" w:pos="284"/>
        </w:tabs>
        <w:spacing w:after="0" w:line="276" w:lineRule="auto"/>
        <w:jc w:val="both"/>
        <w:rPr>
          <w:rFonts w:ascii="Verdana" w:eastAsia="Century Gothic" w:hAnsi="Verdana" w:cs="Century Gothic"/>
          <w:bCs/>
          <w:lang w:val="es-ES"/>
        </w:rPr>
      </w:pPr>
      <w:r>
        <w:rPr>
          <w:rFonts w:ascii="Verdana" w:eastAsia="Century Gothic" w:hAnsi="Verdana" w:cs="Century Gothic"/>
          <w:bCs/>
          <w:lang w:val="es-ES"/>
        </w:rPr>
        <w:tab/>
      </w:r>
    </w:p>
    <w:p w14:paraId="313A7D50" w14:textId="77777777" w:rsidR="00583FA4" w:rsidRPr="00FC282C" w:rsidRDefault="00583FA4" w:rsidP="00583FA4">
      <w:pPr>
        <w:tabs>
          <w:tab w:val="left" w:pos="142"/>
          <w:tab w:val="left" w:pos="284"/>
          <w:tab w:val="left" w:pos="567"/>
        </w:tabs>
        <w:spacing w:after="0" w:line="276" w:lineRule="auto"/>
        <w:jc w:val="both"/>
        <w:rPr>
          <w:rFonts w:ascii="Verdana" w:eastAsia="Century Gothic" w:hAnsi="Verdana" w:cs="Century Gothic"/>
          <w:bCs/>
          <w:lang w:val="es-ES"/>
        </w:rPr>
      </w:pPr>
      <w:r>
        <w:rPr>
          <w:rFonts w:ascii="Verdana" w:eastAsia="Century Gothic" w:hAnsi="Verdana" w:cs="Century Gothic"/>
          <w:bCs/>
        </w:rPr>
        <w:tab/>
      </w:r>
      <w:r>
        <w:rPr>
          <w:rFonts w:ascii="Verdana" w:eastAsia="Century Gothic" w:hAnsi="Verdana" w:cs="Century Gothic"/>
          <w:bCs/>
        </w:rPr>
        <w:tab/>
      </w:r>
      <w:r>
        <w:rPr>
          <w:rFonts w:ascii="Verdana" w:eastAsia="Century Gothic" w:hAnsi="Verdana" w:cs="Century Gothic"/>
          <w:bCs/>
        </w:rPr>
        <w:tab/>
      </w:r>
      <w:r w:rsidRPr="00FC282C">
        <w:rPr>
          <w:rFonts w:ascii="Verdana" w:eastAsia="Century Gothic" w:hAnsi="Verdana" w:cs="Century Gothic"/>
          <w:bCs/>
        </w:rPr>
        <w:t xml:space="preserve">En ese sentido, la publicación y traslado del informe de evaluación deberá darse conforme al cronograma establecido por la Entidad Pública, dentro de los plazos mínimos fijados </w:t>
      </w:r>
      <w:r w:rsidRPr="00FC282C">
        <w:rPr>
          <w:rFonts w:ascii="Verdana" w:hAnsi="Verdana" w:cs="Arial"/>
          <w:bCs/>
          <w:color w:val="000000"/>
        </w:rPr>
        <w:t xml:space="preserve">en el ordenamiento jurídico para su publicación en cada una de las modalidades de selección garantizando que todos los participantes en el proceso conozcan dicho documento; no obstante, las entidades tienen la facultad de estructurar procesos con plazos mayores para dicha etapa, al no </w:t>
      </w:r>
      <w:r w:rsidRPr="00FC282C">
        <w:rPr>
          <w:rFonts w:ascii="Verdana" w:hAnsi="Verdana" w:cs="Arial"/>
          <w:bCs/>
          <w:color w:val="000000"/>
        </w:rPr>
        <w:lastRenderedPageBreak/>
        <w:t>establecerse en La ley un tiempo máximo y en tanto que se trata de un término fijado por el decreto 1082 del 2015 el cual varía de acuerdo a la modalidad de selección con el objetivo de garantizar la publicidad, la contradicción y la oportunidad, en igualdad de condiciones.</w:t>
      </w:r>
    </w:p>
    <w:p w14:paraId="2BE629B9" w14:textId="77777777" w:rsidR="00583FA4" w:rsidRDefault="00583FA4" w:rsidP="00583FA4">
      <w:pPr>
        <w:pStyle w:val="Prrafodelista"/>
        <w:tabs>
          <w:tab w:val="left" w:pos="142"/>
          <w:tab w:val="left" w:pos="284"/>
        </w:tabs>
        <w:spacing w:after="0" w:line="276" w:lineRule="auto"/>
        <w:ind w:left="0"/>
        <w:jc w:val="both"/>
        <w:rPr>
          <w:rFonts w:ascii="Verdana" w:hAnsi="Verdana" w:cs="Arial"/>
          <w:bCs/>
          <w:color w:val="000000"/>
        </w:rPr>
      </w:pPr>
    </w:p>
    <w:p w14:paraId="37DB78DF" w14:textId="77777777" w:rsidR="00583FA4" w:rsidRDefault="00583FA4" w:rsidP="00583FA4">
      <w:pPr>
        <w:tabs>
          <w:tab w:val="left" w:pos="142"/>
          <w:tab w:val="left" w:pos="284"/>
          <w:tab w:val="left" w:pos="567"/>
        </w:tabs>
        <w:spacing w:after="0" w:line="276" w:lineRule="auto"/>
        <w:jc w:val="both"/>
        <w:rPr>
          <w:rFonts w:ascii="Verdana" w:hAnsi="Verdana" w:cs="Arial"/>
          <w:bCs/>
          <w:color w:val="000000"/>
        </w:rPr>
      </w:pPr>
      <w:r>
        <w:rPr>
          <w:rFonts w:ascii="Verdana" w:hAnsi="Verdana" w:cs="Arial"/>
          <w:bCs/>
          <w:color w:val="000000"/>
        </w:rPr>
        <w:tab/>
      </w:r>
      <w:r>
        <w:rPr>
          <w:rFonts w:ascii="Verdana" w:hAnsi="Verdana" w:cs="Arial"/>
          <w:bCs/>
          <w:color w:val="000000"/>
        </w:rPr>
        <w:tab/>
      </w:r>
      <w:r>
        <w:rPr>
          <w:rFonts w:ascii="Verdana" w:hAnsi="Verdana" w:cs="Arial"/>
          <w:bCs/>
          <w:color w:val="000000"/>
        </w:rPr>
        <w:tab/>
      </w:r>
      <w:r w:rsidRPr="00777E29">
        <w:rPr>
          <w:rFonts w:ascii="Verdana" w:hAnsi="Verdana" w:cs="Arial"/>
          <w:bCs/>
          <w:color w:val="000000"/>
        </w:rPr>
        <w:t xml:space="preserve">Finalmente, el </w:t>
      </w:r>
      <w:r>
        <w:rPr>
          <w:rFonts w:ascii="Verdana" w:hAnsi="Verdana" w:cs="Arial"/>
          <w:bCs/>
          <w:color w:val="000000"/>
        </w:rPr>
        <w:t xml:space="preserve">Artículo 30 de la Ley 80 de 1993 y </w:t>
      </w:r>
      <w:r w:rsidRPr="00777E29">
        <w:rPr>
          <w:rFonts w:ascii="Verdana" w:hAnsi="Verdana" w:cs="Arial"/>
          <w:bCs/>
          <w:color w:val="000000"/>
        </w:rPr>
        <w:t>Decreto 1082 del 2015</w:t>
      </w:r>
      <w:r>
        <w:rPr>
          <w:rFonts w:ascii="Verdana" w:hAnsi="Verdana" w:cs="Arial"/>
          <w:bCs/>
          <w:color w:val="000000"/>
        </w:rPr>
        <w:t>, en diferentes apartados,</w:t>
      </w:r>
      <w:r w:rsidRPr="00777E29">
        <w:rPr>
          <w:rFonts w:ascii="Verdana" w:hAnsi="Verdana" w:cs="Arial"/>
          <w:bCs/>
          <w:color w:val="000000"/>
        </w:rPr>
        <w:t xml:space="preserve"> establece</w:t>
      </w:r>
      <w:r>
        <w:rPr>
          <w:rFonts w:ascii="Verdana" w:hAnsi="Verdana" w:cs="Arial"/>
          <w:bCs/>
          <w:color w:val="000000"/>
        </w:rPr>
        <w:t>n</w:t>
      </w:r>
      <w:r w:rsidRPr="00777E29">
        <w:rPr>
          <w:rFonts w:ascii="Verdana" w:hAnsi="Verdana" w:cs="Arial"/>
          <w:bCs/>
          <w:color w:val="000000"/>
        </w:rPr>
        <w:t xml:space="preserve"> </w:t>
      </w:r>
      <w:r>
        <w:rPr>
          <w:rFonts w:ascii="Verdana" w:hAnsi="Verdana" w:cs="Arial"/>
          <w:bCs/>
          <w:color w:val="000000"/>
        </w:rPr>
        <w:t>por cada</w:t>
      </w:r>
      <w:r w:rsidRPr="00777E29">
        <w:rPr>
          <w:rFonts w:ascii="Verdana" w:hAnsi="Verdana" w:cs="Arial"/>
          <w:bCs/>
          <w:color w:val="000000"/>
        </w:rPr>
        <w:t xml:space="preserve"> la modalidad de selección </w:t>
      </w:r>
      <w:r>
        <w:rPr>
          <w:rFonts w:ascii="Verdana" w:hAnsi="Verdana" w:cs="Arial"/>
          <w:bCs/>
          <w:color w:val="000000"/>
        </w:rPr>
        <w:t xml:space="preserve"> los siguientes términos que deben fijar las entidades estatales para el traslado del informe de evaluación: </w:t>
      </w:r>
    </w:p>
    <w:p w14:paraId="79B8D49B" w14:textId="77777777" w:rsidR="00583FA4" w:rsidRDefault="00583FA4" w:rsidP="00583FA4">
      <w:pPr>
        <w:tabs>
          <w:tab w:val="left" w:pos="142"/>
          <w:tab w:val="left" w:pos="284"/>
        </w:tabs>
        <w:spacing w:after="0" w:line="276" w:lineRule="auto"/>
        <w:jc w:val="both"/>
        <w:rPr>
          <w:rFonts w:ascii="Verdana" w:hAnsi="Verdana" w:cs="Arial"/>
          <w:bCs/>
          <w:color w:val="000000"/>
        </w:rPr>
      </w:pPr>
    </w:p>
    <w:p w14:paraId="42C13718" w14:textId="77777777" w:rsidR="00583FA4" w:rsidRPr="00583FA4" w:rsidRDefault="00583FA4" w:rsidP="00583FA4">
      <w:pPr>
        <w:pStyle w:val="Prrafodelista"/>
        <w:numPr>
          <w:ilvl w:val="0"/>
          <w:numId w:val="19"/>
        </w:numPr>
        <w:tabs>
          <w:tab w:val="left" w:pos="142"/>
          <w:tab w:val="left" w:pos="284"/>
        </w:tabs>
        <w:spacing w:after="0" w:line="276" w:lineRule="auto"/>
        <w:jc w:val="both"/>
        <w:rPr>
          <w:rFonts w:ascii="Verdana" w:hAnsi="Verdana" w:cs="Arial"/>
          <w:bCs/>
          <w:color w:val="000000"/>
        </w:rPr>
      </w:pPr>
      <w:r w:rsidRPr="00583FA4">
        <w:rPr>
          <w:rFonts w:ascii="Verdana" w:hAnsi="Verdana" w:cs="Arial"/>
          <w:bCs/>
          <w:color w:val="000000"/>
        </w:rPr>
        <w:t xml:space="preserve">Licitación, cinco (05) días hábiles; </w:t>
      </w:r>
    </w:p>
    <w:p w14:paraId="096B6612" w14:textId="77777777" w:rsidR="00583FA4" w:rsidRPr="00583FA4" w:rsidRDefault="00583FA4" w:rsidP="00583FA4">
      <w:pPr>
        <w:pStyle w:val="Prrafodelista"/>
        <w:numPr>
          <w:ilvl w:val="0"/>
          <w:numId w:val="19"/>
        </w:numPr>
        <w:tabs>
          <w:tab w:val="left" w:pos="142"/>
          <w:tab w:val="left" w:pos="284"/>
        </w:tabs>
        <w:spacing w:after="0" w:line="276" w:lineRule="auto"/>
        <w:jc w:val="both"/>
        <w:rPr>
          <w:rFonts w:ascii="Verdana" w:hAnsi="Verdana" w:cs="Arial"/>
          <w:bCs/>
          <w:color w:val="000000"/>
        </w:rPr>
      </w:pPr>
      <w:r w:rsidRPr="00583FA4">
        <w:rPr>
          <w:rFonts w:ascii="Verdana" w:hAnsi="Verdana" w:cs="Arial"/>
          <w:bCs/>
          <w:color w:val="000000"/>
        </w:rPr>
        <w:t xml:space="preserve">Selección abreviada, durante tres (03) días hábiles- </w:t>
      </w:r>
    </w:p>
    <w:p w14:paraId="7837658D" w14:textId="77777777" w:rsidR="00583FA4" w:rsidRPr="00583FA4" w:rsidRDefault="00583FA4" w:rsidP="00583FA4">
      <w:pPr>
        <w:pStyle w:val="Prrafodelista"/>
        <w:numPr>
          <w:ilvl w:val="0"/>
          <w:numId w:val="19"/>
        </w:numPr>
        <w:tabs>
          <w:tab w:val="left" w:pos="142"/>
          <w:tab w:val="left" w:pos="284"/>
        </w:tabs>
        <w:spacing w:after="0" w:line="276" w:lineRule="auto"/>
        <w:jc w:val="both"/>
        <w:rPr>
          <w:rFonts w:ascii="Verdana" w:hAnsi="Verdana" w:cs="Arial"/>
          <w:bCs/>
          <w:color w:val="000000"/>
        </w:rPr>
      </w:pPr>
      <w:r w:rsidRPr="00583FA4">
        <w:rPr>
          <w:rFonts w:ascii="Verdana" w:hAnsi="Verdana" w:cs="Arial"/>
          <w:bCs/>
          <w:color w:val="000000"/>
        </w:rPr>
        <w:t xml:space="preserve">concurso de méritos, durante tres (03) días hábiles-; </w:t>
      </w:r>
    </w:p>
    <w:p w14:paraId="003FC817" w14:textId="77777777" w:rsidR="00583FA4" w:rsidRPr="00583FA4" w:rsidRDefault="00583FA4" w:rsidP="00583FA4">
      <w:pPr>
        <w:pStyle w:val="Prrafodelista"/>
        <w:numPr>
          <w:ilvl w:val="0"/>
          <w:numId w:val="19"/>
        </w:numPr>
        <w:tabs>
          <w:tab w:val="left" w:pos="142"/>
          <w:tab w:val="left" w:pos="284"/>
        </w:tabs>
        <w:spacing w:after="0" w:line="276" w:lineRule="auto"/>
        <w:jc w:val="both"/>
        <w:rPr>
          <w:rFonts w:ascii="Verdana" w:hAnsi="Verdana" w:cs="Arial"/>
          <w:bCs/>
          <w:color w:val="000000"/>
        </w:rPr>
      </w:pPr>
      <w:r w:rsidRPr="00583FA4">
        <w:rPr>
          <w:rFonts w:ascii="Verdana" w:hAnsi="Verdana" w:cs="Arial"/>
          <w:bCs/>
          <w:color w:val="000000"/>
        </w:rPr>
        <w:t>y mínima cuantía, durante mínimo un (01) día hábil.</w:t>
      </w:r>
    </w:p>
    <w:p w14:paraId="29EBC331" w14:textId="77777777" w:rsidR="00EE62DE" w:rsidRPr="0017456C" w:rsidRDefault="00EE62DE" w:rsidP="00EE62DE">
      <w:pPr>
        <w:pStyle w:val="Prrafodelista"/>
        <w:tabs>
          <w:tab w:val="left" w:pos="142"/>
          <w:tab w:val="left" w:pos="284"/>
        </w:tabs>
        <w:spacing w:after="0" w:line="276" w:lineRule="auto"/>
        <w:ind w:left="0"/>
        <w:jc w:val="both"/>
        <w:rPr>
          <w:rFonts w:ascii="Verdana" w:eastAsia="Century Gothic" w:hAnsi="Verdana" w:cs="Century Gothic"/>
        </w:rPr>
      </w:pPr>
      <w:r w:rsidRPr="0017456C">
        <w:rPr>
          <w:rFonts w:ascii="Verdana" w:eastAsia="Century Gothic" w:hAnsi="Verdana" w:cs="Century Gothic"/>
        </w:rPr>
        <w:tab/>
      </w:r>
    </w:p>
    <w:p w14:paraId="54AC086A" w14:textId="77777777" w:rsidR="00EE62DE" w:rsidRPr="0017456C" w:rsidRDefault="00EE62DE" w:rsidP="00EE62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7456C">
        <w:rPr>
          <w:rFonts w:ascii="Verdana" w:eastAsia="Century Gothic" w:hAnsi="Verdana" w:cs="Century Gothic"/>
          <w:b/>
          <w:bCs/>
        </w:rPr>
        <w:t>Razones de la respuesta:</w:t>
      </w:r>
    </w:p>
    <w:p w14:paraId="66CBBC06" w14:textId="77777777" w:rsidR="00EE62DE" w:rsidRPr="0017456C" w:rsidRDefault="00EE62DE" w:rsidP="00EE62DE">
      <w:pPr>
        <w:spacing w:after="0" w:line="276" w:lineRule="auto"/>
        <w:jc w:val="both"/>
        <w:rPr>
          <w:rFonts w:ascii="Verdana" w:eastAsia="Calibri" w:hAnsi="Verdana" w:cs="Arial"/>
          <w:lang w:val="es-ES" w:eastAsia="es-ES"/>
        </w:rPr>
      </w:pPr>
    </w:p>
    <w:p w14:paraId="30F91323" w14:textId="77777777" w:rsidR="00EE62DE" w:rsidRPr="0017456C" w:rsidRDefault="00EE62DE" w:rsidP="00EE62DE">
      <w:pPr>
        <w:spacing w:after="0" w:line="276" w:lineRule="auto"/>
        <w:jc w:val="both"/>
        <w:rPr>
          <w:rFonts w:ascii="Verdana" w:eastAsia="Calibri" w:hAnsi="Verdana" w:cs="Arial"/>
          <w:lang w:val="es-ES"/>
        </w:rPr>
      </w:pPr>
      <w:r w:rsidRPr="0017456C">
        <w:rPr>
          <w:rFonts w:ascii="Verdana" w:eastAsia="Calibri" w:hAnsi="Verdana" w:cs="Arial"/>
          <w:lang w:val="es-ES"/>
        </w:rPr>
        <w:t xml:space="preserve">Lo anterior se sustenta en las siguientes consideraciones: </w:t>
      </w:r>
    </w:p>
    <w:p w14:paraId="5E600133" w14:textId="77777777" w:rsidR="00EE62DE" w:rsidRPr="0017456C" w:rsidRDefault="00EE62DE" w:rsidP="00EE62DE">
      <w:pPr>
        <w:spacing w:after="0" w:line="276" w:lineRule="auto"/>
        <w:jc w:val="both"/>
        <w:rPr>
          <w:rFonts w:ascii="Verdana" w:eastAsia="Calibri" w:hAnsi="Verdana" w:cs="Arial"/>
          <w:lang w:val="es-ES"/>
        </w:rPr>
      </w:pPr>
    </w:p>
    <w:p w14:paraId="241AF96A" w14:textId="77777777" w:rsidR="00583FA4" w:rsidRDefault="000737E1" w:rsidP="00583FA4">
      <w:pPr>
        <w:pStyle w:val="Prrafodelista"/>
        <w:numPr>
          <w:ilvl w:val="0"/>
          <w:numId w:val="18"/>
        </w:numPr>
        <w:tabs>
          <w:tab w:val="left" w:pos="709"/>
        </w:tabs>
        <w:spacing w:after="120"/>
        <w:ind w:left="709"/>
        <w:jc w:val="both"/>
        <w:rPr>
          <w:rFonts w:ascii="Verdana" w:hAnsi="Verdana" w:cs="Arial"/>
          <w:bCs/>
          <w:color w:val="000000"/>
        </w:rPr>
      </w:pPr>
      <w:r w:rsidRPr="00777E29">
        <w:rPr>
          <w:rFonts w:ascii="Verdana" w:hAnsi="Verdana" w:cs="Arial"/>
          <w:color w:val="000000"/>
        </w:rPr>
        <w:t>La contratación estatal tiene como propósito el cumplimiento de los fines estatales</w:t>
      </w:r>
      <w:r>
        <w:rPr>
          <w:rStyle w:val="Refdenotaalpie"/>
          <w:rFonts w:ascii="Verdana" w:hAnsi="Verdana" w:cs="Arial"/>
          <w:color w:val="000000"/>
        </w:rPr>
        <w:footnoteReference w:id="2"/>
      </w:r>
      <w:r w:rsidRPr="00777E29">
        <w:rPr>
          <w:rFonts w:ascii="Verdana" w:hAnsi="Verdana" w:cs="Arial"/>
          <w:color w:val="000000"/>
        </w:rPr>
        <w:t>, la continua y eficiente prestación de los servicios públicos y la efectividad de los derechos e intereses de los administrados que colaboran con las entidades estatales en la consecución de dichos fines. En cumplimiento de ese propósito, el legislador determinó que las actuaciones adelantadas por las entidades estatales, en materia contractual, se llevan a cabo, entre otros, en cumplimiento de los principios que gobiernan los procesos de contratación pública.</w:t>
      </w:r>
    </w:p>
    <w:p w14:paraId="39DF22F6" w14:textId="77777777" w:rsidR="000737E1" w:rsidRPr="0017456C" w:rsidRDefault="000737E1" w:rsidP="00583FA4">
      <w:pPr>
        <w:pStyle w:val="Prrafodelista"/>
        <w:tabs>
          <w:tab w:val="left" w:pos="709"/>
        </w:tabs>
        <w:spacing w:after="120"/>
        <w:ind w:left="709"/>
        <w:jc w:val="both"/>
        <w:rPr>
          <w:rFonts w:ascii="Verdana" w:hAnsi="Verdana" w:cs="Arial"/>
          <w:bCs/>
          <w:color w:val="000000"/>
        </w:rPr>
      </w:pPr>
      <w:r w:rsidRPr="00777E29">
        <w:rPr>
          <w:rFonts w:ascii="Verdana" w:hAnsi="Verdana" w:cs="Arial"/>
          <w:color w:val="000000"/>
        </w:rPr>
        <w:t xml:space="preserve"> </w:t>
      </w:r>
    </w:p>
    <w:p w14:paraId="404D0DD6" w14:textId="77777777" w:rsidR="000737E1" w:rsidRPr="0017456C" w:rsidRDefault="000737E1" w:rsidP="00637F91">
      <w:pPr>
        <w:pStyle w:val="Prrafodelista"/>
        <w:numPr>
          <w:ilvl w:val="0"/>
          <w:numId w:val="18"/>
        </w:numPr>
        <w:tabs>
          <w:tab w:val="left" w:pos="709"/>
        </w:tabs>
        <w:spacing w:after="120"/>
        <w:ind w:left="709"/>
        <w:jc w:val="both"/>
        <w:rPr>
          <w:rFonts w:ascii="Verdana" w:hAnsi="Verdana" w:cs="Arial"/>
          <w:bCs/>
          <w:color w:val="000000"/>
        </w:rPr>
      </w:pPr>
      <w:r w:rsidRPr="0017456C">
        <w:rPr>
          <w:rFonts w:ascii="Verdana" w:hAnsi="Verdana" w:cs="Arial"/>
          <w:bCs/>
          <w:color w:val="000000"/>
        </w:rPr>
        <w:t xml:space="preserve">El artículo 23 de la Ley 80 de 1993 determina los principios aplicables a las actuaciones contractuales adelantadas por las entidades estatales, entre otros, se estableció el principio de transparencia de la actividad contractual, objeto de regulación expresa en el artículo 24 del citado cuerpo normativo. </w:t>
      </w:r>
    </w:p>
    <w:p w14:paraId="671895BE" w14:textId="77777777" w:rsidR="00637F91" w:rsidRPr="0017456C" w:rsidRDefault="00637F91" w:rsidP="00637F91">
      <w:pPr>
        <w:pStyle w:val="Prrafodelista"/>
        <w:tabs>
          <w:tab w:val="left" w:pos="709"/>
        </w:tabs>
        <w:spacing w:after="120"/>
        <w:ind w:left="709"/>
        <w:jc w:val="both"/>
        <w:rPr>
          <w:rFonts w:ascii="Verdana" w:hAnsi="Verdana" w:cs="Arial"/>
          <w:bCs/>
          <w:color w:val="000000"/>
        </w:rPr>
      </w:pPr>
    </w:p>
    <w:p w14:paraId="35359369" w14:textId="77777777" w:rsidR="00583FA4" w:rsidRPr="0017456C" w:rsidRDefault="00583FA4" w:rsidP="00583FA4">
      <w:pPr>
        <w:pStyle w:val="Prrafodelista"/>
        <w:numPr>
          <w:ilvl w:val="0"/>
          <w:numId w:val="18"/>
        </w:numPr>
        <w:tabs>
          <w:tab w:val="left" w:pos="709"/>
        </w:tabs>
        <w:spacing w:after="120"/>
        <w:ind w:left="709"/>
        <w:jc w:val="both"/>
        <w:rPr>
          <w:rFonts w:ascii="Verdana" w:hAnsi="Verdana" w:cs="Arial"/>
          <w:bCs/>
          <w:color w:val="000000"/>
        </w:rPr>
      </w:pPr>
      <w:r w:rsidRPr="0017456C">
        <w:rPr>
          <w:rFonts w:ascii="Verdana" w:hAnsi="Verdana" w:cs="Arial"/>
          <w:bCs/>
          <w:color w:val="000000"/>
        </w:rPr>
        <w:lastRenderedPageBreak/>
        <w:t>Este principio guarda estrecha relación con el de publicidad, que rige el ejercicio de la función administrativa</w:t>
      </w:r>
      <w:r w:rsidRPr="0017456C">
        <w:rPr>
          <w:rStyle w:val="Refdenotaalpie"/>
          <w:rFonts w:ascii="Verdana" w:hAnsi="Verdana" w:cs="Arial"/>
          <w:bCs/>
          <w:color w:val="000000"/>
        </w:rPr>
        <w:footnoteReference w:id="3"/>
      </w:r>
      <w:r w:rsidRPr="0017456C">
        <w:rPr>
          <w:rFonts w:ascii="Verdana" w:hAnsi="Verdana" w:cs="Arial"/>
          <w:bCs/>
          <w:color w:val="000000"/>
        </w:rPr>
        <w:t>, por eso, en los numerales 2º y 3º</w:t>
      </w:r>
      <w:r>
        <w:rPr>
          <w:rFonts w:ascii="Verdana" w:hAnsi="Verdana" w:cs="Arial"/>
          <w:bCs/>
          <w:color w:val="000000"/>
        </w:rPr>
        <w:t xml:space="preserve"> ibidem </w:t>
      </w:r>
      <w:r w:rsidRPr="0017456C">
        <w:rPr>
          <w:rFonts w:ascii="Verdana" w:hAnsi="Verdana" w:cs="Arial"/>
          <w:bCs/>
          <w:color w:val="000000"/>
        </w:rPr>
        <w:t>se estableció la facultad de los interesados para realizar y/o presentar observaciones, como un mecanismo para controvertir algunas de las decisiones adoptadas por las entidades estatales en el marco de sus actuaciones, por demás públicas, en los procesos contractuales.</w:t>
      </w:r>
    </w:p>
    <w:p w14:paraId="6364E082" w14:textId="77777777" w:rsidR="00583FA4" w:rsidRPr="0017456C" w:rsidRDefault="00583FA4" w:rsidP="00583FA4">
      <w:pPr>
        <w:pStyle w:val="Prrafodelista"/>
        <w:rPr>
          <w:rFonts w:ascii="Verdana" w:hAnsi="Verdana" w:cs="Arial"/>
          <w:bCs/>
          <w:color w:val="000000"/>
        </w:rPr>
      </w:pPr>
    </w:p>
    <w:p w14:paraId="3005D25D" w14:textId="77777777" w:rsidR="00583FA4" w:rsidRPr="0017456C" w:rsidRDefault="00583FA4" w:rsidP="00583FA4">
      <w:pPr>
        <w:pStyle w:val="Prrafodelista"/>
        <w:numPr>
          <w:ilvl w:val="0"/>
          <w:numId w:val="18"/>
        </w:numPr>
        <w:tabs>
          <w:tab w:val="left" w:pos="709"/>
        </w:tabs>
        <w:spacing w:after="120"/>
        <w:ind w:left="709"/>
        <w:jc w:val="both"/>
        <w:rPr>
          <w:rFonts w:ascii="Verdana" w:hAnsi="Verdana" w:cs="Arial"/>
          <w:color w:val="000000"/>
        </w:rPr>
      </w:pPr>
      <w:r w:rsidRPr="0017456C">
        <w:rPr>
          <w:rFonts w:ascii="Verdana" w:hAnsi="Verdana" w:cs="Arial"/>
          <w:color w:val="000000"/>
        </w:rPr>
        <w:t>Por su parte, se debe hacer referencia al principio de selección objetiva</w:t>
      </w:r>
      <w:r>
        <w:rPr>
          <w:rFonts w:ascii="Verdana" w:hAnsi="Verdana" w:cs="Arial"/>
          <w:color w:val="000000"/>
        </w:rPr>
        <w:t xml:space="preserve"> regulado en el artículo 5 de la Ley 1150 del 2007</w:t>
      </w:r>
      <w:r>
        <w:rPr>
          <w:rStyle w:val="Refdenotaalpie"/>
          <w:rFonts w:ascii="Verdana" w:hAnsi="Verdana" w:cs="Arial"/>
          <w:color w:val="000000"/>
        </w:rPr>
        <w:footnoteReference w:id="4"/>
      </w:r>
      <w:r w:rsidRPr="0017456C">
        <w:rPr>
          <w:rFonts w:ascii="Verdana" w:hAnsi="Verdana" w:cs="Arial"/>
          <w:color w:val="000000"/>
        </w:rPr>
        <w:t>, el cual, tiene como finalidad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inspira en principios como la igualdad (art. 13, C.P.) y la buena fe –manifestada en la confianza legítima– (art. 83 C.P.), así como de los principios de la función administrativa y de la gestión fiscal (arts. 209 y 267 C.P.).</w:t>
      </w:r>
    </w:p>
    <w:p w14:paraId="6A640C47" w14:textId="77777777" w:rsidR="00583FA4" w:rsidRPr="0017456C" w:rsidRDefault="00583FA4" w:rsidP="00583FA4">
      <w:pPr>
        <w:pStyle w:val="Prrafodelista"/>
        <w:rPr>
          <w:rFonts w:ascii="Verdana" w:hAnsi="Verdana" w:cs="Arial"/>
          <w:color w:val="000000"/>
        </w:rPr>
      </w:pPr>
    </w:p>
    <w:p w14:paraId="1B37FF79" w14:textId="77777777" w:rsidR="00583FA4" w:rsidRDefault="00583FA4" w:rsidP="00583FA4">
      <w:pPr>
        <w:pStyle w:val="Prrafodelista"/>
        <w:numPr>
          <w:ilvl w:val="0"/>
          <w:numId w:val="18"/>
        </w:numPr>
        <w:tabs>
          <w:tab w:val="left" w:pos="709"/>
        </w:tabs>
        <w:spacing w:after="120"/>
        <w:ind w:left="709"/>
        <w:jc w:val="both"/>
        <w:rPr>
          <w:rFonts w:ascii="Verdana" w:hAnsi="Verdana" w:cs="Arial"/>
          <w:color w:val="000000"/>
        </w:rPr>
      </w:pPr>
      <w:r w:rsidRPr="0017456C">
        <w:rPr>
          <w:rFonts w:ascii="Verdana" w:hAnsi="Verdana" w:cs="Arial"/>
          <w:color w:val="000000"/>
        </w:rPr>
        <w:t xml:space="preserve">Dicho principio rector de los procedimientos de selección, además, encuentra fundamento legal en disposiciones como el </w:t>
      </w:r>
      <w:r>
        <w:rPr>
          <w:rFonts w:ascii="Verdana" w:hAnsi="Verdana" w:cs="Arial"/>
          <w:color w:val="000000"/>
        </w:rPr>
        <w:t xml:space="preserve"> literal a del </w:t>
      </w:r>
      <w:r w:rsidRPr="0017456C">
        <w:rPr>
          <w:rFonts w:ascii="Verdana" w:hAnsi="Verdana" w:cs="Arial"/>
          <w:color w:val="000000"/>
        </w:rPr>
        <w:t>numeral 5º del artículo 24 de la Ley 80 de 1993, que exige incorporar requisitos objetivos en los pliegos de condiciones; a su vez, el literal b), numeral 5º, el artículo 24, impone a las entidades definir “reglas objetivas, justas, claras y completas que permitan la confección de ofrecimientos de la misma índole, aseguren una escogencia objetiva y eviten la declaratoria de desierta de la licitación.</w:t>
      </w:r>
    </w:p>
    <w:p w14:paraId="4E508C37" w14:textId="77777777" w:rsidR="00637F91" w:rsidRPr="0017456C" w:rsidRDefault="00637F91" w:rsidP="00583FA4">
      <w:pPr>
        <w:pStyle w:val="Prrafodelista"/>
        <w:rPr>
          <w:rFonts w:ascii="Verdana" w:hAnsi="Verdana" w:cs="Arial"/>
          <w:color w:val="000000"/>
        </w:rPr>
      </w:pPr>
    </w:p>
    <w:p w14:paraId="031FE9DC" w14:textId="77777777" w:rsidR="00637F91" w:rsidRPr="0017456C" w:rsidRDefault="000737E1" w:rsidP="00637F91">
      <w:pPr>
        <w:pStyle w:val="Prrafodelista"/>
        <w:numPr>
          <w:ilvl w:val="0"/>
          <w:numId w:val="18"/>
        </w:numPr>
        <w:tabs>
          <w:tab w:val="left" w:pos="709"/>
        </w:tabs>
        <w:spacing w:after="120"/>
        <w:ind w:left="709"/>
        <w:jc w:val="both"/>
        <w:rPr>
          <w:rFonts w:ascii="Verdana" w:hAnsi="Verdana" w:cs="Arial"/>
          <w:bCs/>
          <w:color w:val="000000"/>
        </w:rPr>
      </w:pPr>
      <w:r w:rsidRPr="0017456C">
        <w:rPr>
          <w:rFonts w:ascii="Verdana" w:hAnsi="Verdana" w:cs="Arial"/>
          <w:bCs/>
          <w:color w:val="000000"/>
        </w:rPr>
        <w:t xml:space="preserve">Atendiendo la finalidad y alcance de los principios antes referidos, el legislador ha dispuesto distintas etapas en los procesos de selección tendientes a permitir la publicidad de los análisis realizados por las </w:t>
      </w:r>
      <w:r w:rsidR="00583FA4">
        <w:rPr>
          <w:rFonts w:ascii="Verdana" w:hAnsi="Verdana" w:cs="Arial"/>
          <w:bCs/>
          <w:color w:val="000000"/>
        </w:rPr>
        <w:t>E</w:t>
      </w:r>
      <w:r w:rsidR="00583FA4" w:rsidRPr="0017456C">
        <w:rPr>
          <w:rFonts w:ascii="Verdana" w:hAnsi="Verdana" w:cs="Arial"/>
          <w:bCs/>
          <w:color w:val="000000"/>
        </w:rPr>
        <w:t xml:space="preserve">ntidades </w:t>
      </w:r>
      <w:r w:rsidR="00583FA4">
        <w:rPr>
          <w:rFonts w:ascii="Verdana" w:hAnsi="Verdana" w:cs="Arial"/>
          <w:bCs/>
          <w:color w:val="000000"/>
        </w:rPr>
        <w:t>E</w:t>
      </w:r>
      <w:r w:rsidR="00583FA4" w:rsidRPr="0017456C">
        <w:rPr>
          <w:rFonts w:ascii="Verdana" w:hAnsi="Verdana" w:cs="Arial"/>
          <w:bCs/>
          <w:color w:val="000000"/>
        </w:rPr>
        <w:t>statales</w:t>
      </w:r>
      <w:r w:rsidRPr="0017456C">
        <w:rPr>
          <w:rFonts w:ascii="Verdana" w:hAnsi="Verdana" w:cs="Arial"/>
          <w:bCs/>
          <w:color w:val="000000"/>
        </w:rPr>
        <w:t>,</w:t>
      </w:r>
      <w:r w:rsidR="00637F91" w:rsidRPr="0017456C">
        <w:rPr>
          <w:rFonts w:ascii="Verdana" w:hAnsi="Verdana" w:cs="Arial"/>
          <w:bCs/>
          <w:color w:val="000000"/>
        </w:rPr>
        <w:t xml:space="preserve"> el cual es aplicable a cada una de las modalidades </w:t>
      </w:r>
      <w:r w:rsidR="00637F91" w:rsidRPr="0017456C">
        <w:rPr>
          <w:rFonts w:ascii="Verdana" w:hAnsi="Verdana" w:cs="Arial"/>
          <w:bCs/>
          <w:color w:val="000000"/>
        </w:rPr>
        <w:lastRenderedPageBreak/>
        <w:t>establecidas en el artículo 2 de la Ley 1150 de 2007,</w:t>
      </w:r>
      <w:r w:rsidRPr="0017456C">
        <w:rPr>
          <w:rFonts w:ascii="Verdana" w:hAnsi="Verdana" w:cs="Arial"/>
          <w:bCs/>
          <w:color w:val="000000"/>
        </w:rPr>
        <w:t xml:space="preserve"> con el fin de identificar cuál de todas las ofertas recibidas es aquella que mejor satisface sus necesidades en términos técnicos y económicos</w:t>
      </w:r>
      <w:r w:rsidR="00D9654F" w:rsidRPr="0017456C">
        <w:rPr>
          <w:rFonts w:ascii="Verdana" w:hAnsi="Verdana" w:cs="Arial"/>
          <w:bCs/>
          <w:color w:val="000000"/>
        </w:rPr>
        <w:t>.</w:t>
      </w:r>
    </w:p>
    <w:p w14:paraId="7A5B4228" w14:textId="77777777" w:rsidR="00637F91" w:rsidRPr="0017456C" w:rsidRDefault="00637F91" w:rsidP="00637F91">
      <w:pPr>
        <w:pStyle w:val="Prrafodelista"/>
        <w:tabs>
          <w:tab w:val="left" w:pos="709"/>
        </w:tabs>
        <w:spacing w:after="120"/>
        <w:ind w:left="709"/>
        <w:jc w:val="both"/>
        <w:rPr>
          <w:rFonts w:ascii="Verdana" w:hAnsi="Verdana" w:cs="Arial"/>
          <w:bCs/>
          <w:color w:val="000000"/>
        </w:rPr>
      </w:pPr>
    </w:p>
    <w:p w14:paraId="1A06034E" w14:textId="77777777" w:rsidR="000737E1" w:rsidRPr="0017456C" w:rsidRDefault="000737E1" w:rsidP="00637F91">
      <w:pPr>
        <w:pStyle w:val="Prrafodelista"/>
        <w:numPr>
          <w:ilvl w:val="0"/>
          <w:numId w:val="18"/>
        </w:numPr>
        <w:tabs>
          <w:tab w:val="left" w:pos="709"/>
        </w:tabs>
        <w:spacing w:after="120"/>
        <w:ind w:left="709"/>
        <w:jc w:val="both"/>
        <w:rPr>
          <w:rFonts w:ascii="Verdana" w:hAnsi="Verdana" w:cs="Arial"/>
          <w:bCs/>
          <w:color w:val="000000"/>
        </w:rPr>
      </w:pPr>
      <w:r w:rsidRPr="0017456C">
        <w:rPr>
          <w:rFonts w:ascii="Verdana" w:hAnsi="Verdana" w:cs="Arial"/>
          <w:bCs/>
          <w:color w:val="000000"/>
        </w:rPr>
        <w:t>Entre estas etapas se encuentra el término de traslado para el informe de evaluación de las ofertas, durante el cual, los interesados en el respectivo proceso de contratación podrán presentar observaciones a las conclusiones contenidas en dicho informe y/o ejercer su derecho de subsanar su oferta, conforme a las disposiciones vigentes</w:t>
      </w:r>
      <w:r w:rsidRPr="0017456C">
        <w:rPr>
          <w:rStyle w:val="Refdenotaalpie"/>
          <w:rFonts w:ascii="Verdana" w:hAnsi="Verdana" w:cs="Arial"/>
          <w:bCs/>
          <w:color w:val="000000"/>
        </w:rPr>
        <w:footnoteReference w:id="5"/>
      </w:r>
      <w:r w:rsidRPr="0017456C">
        <w:rPr>
          <w:rFonts w:ascii="Verdana" w:hAnsi="Verdana" w:cs="Arial"/>
          <w:bCs/>
          <w:color w:val="000000"/>
        </w:rPr>
        <w:t xml:space="preserve">. </w:t>
      </w:r>
    </w:p>
    <w:p w14:paraId="73B97ACF" w14:textId="77777777" w:rsidR="00637F91" w:rsidRPr="0017456C" w:rsidRDefault="00637F91" w:rsidP="00637F91">
      <w:pPr>
        <w:pStyle w:val="Prrafodelista"/>
        <w:rPr>
          <w:rFonts w:ascii="Verdana" w:hAnsi="Verdana" w:cs="Arial"/>
          <w:bCs/>
          <w:color w:val="000000"/>
        </w:rPr>
      </w:pPr>
    </w:p>
    <w:p w14:paraId="2DA94F3C" w14:textId="77777777" w:rsidR="00583FA4" w:rsidRDefault="00583FA4" w:rsidP="00583FA4">
      <w:pPr>
        <w:pStyle w:val="Prrafodelista"/>
        <w:numPr>
          <w:ilvl w:val="0"/>
          <w:numId w:val="18"/>
        </w:numPr>
        <w:tabs>
          <w:tab w:val="left" w:pos="709"/>
        </w:tabs>
        <w:spacing w:after="120"/>
        <w:ind w:left="709"/>
        <w:jc w:val="both"/>
        <w:rPr>
          <w:rFonts w:ascii="Verdana" w:hAnsi="Verdana" w:cs="Arial"/>
          <w:bCs/>
          <w:color w:val="000000"/>
        </w:rPr>
      </w:pPr>
      <w:r w:rsidRPr="00955194">
        <w:rPr>
          <w:rFonts w:ascii="Verdana" w:hAnsi="Verdana" w:cs="Arial"/>
          <w:bCs/>
          <w:color w:val="000000"/>
        </w:rPr>
        <w:t>El propósito de la publicidad</w:t>
      </w:r>
      <w:r w:rsidR="000737E1" w:rsidRPr="0017456C">
        <w:rPr>
          <w:rFonts w:ascii="Verdana" w:hAnsi="Verdana" w:cs="Arial"/>
          <w:bCs/>
          <w:color w:val="000000"/>
        </w:rPr>
        <w:t xml:space="preserve"> del </w:t>
      </w:r>
      <w:r w:rsidRPr="00955194">
        <w:rPr>
          <w:rFonts w:ascii="Verdana" w:hAnsi="Verdana" w:cs="Arial"/>
          <w:bCs/>
          <w:color w:val="000000"/>
        </w:rPr>
        <w:t xml:space="preserve">informe de evaluación de las propuestas en cada una de las modalidades de selección, es que los oferentes puedan </w:t>
      </w:r>
      <w:r>
        <w:rPr>
          <w:rFonts w:ascii="Verdana" w:hAnsi="Verdana" w:cs="Arial"/>
          <w:bCs/>
          <w:color w:val="000000"/>
        </w:rPr>
        <w:t xml:space="preserve">ejercer el </w:t>
      </w:r>
      <w:r w:rsidR="000737E1" w:rsidRPr="0017456C">
        <w:rPr>
          <w:rFonts w:ascii="Verdana" w:hAnsi="Verdana" w:cs="Arial"/>
          <w:bCs/>
          <w:color w:val="000000"/>
        </w:rPr>
        <w:t xml:space="preserve">principio de </w:t>
      </w:r>
      <w:r>
        <w:rPr>
          <w:rFonts w:ascii="Verdana" w:hAnsi="Verdana" w:cs="Arial"/>
          <w:bCs/>
          <w:color w:val="000000"/>
        </w:rPr>
        <w:t xml:space="preserve">contradicción y </w:t>
      </w:r>
      <w:r w:rsidRPr="00955194">
        <w:rPr>
          <w:rFonts w:ascii="Verdana" w:hAnsi="Verdana" w:cs="Arial"/>
          <w:bCs/>
          <w:color w:val="000000"/>
        </w:rPr>
        <w:t>realizar las observaciones que a su juicio consideren pertinentes</w:t>
      </w:r>
      <w:r>
        <w:rPr>
          <w:rFonts w:ascii="Verdana" w:hAnsi="Verdana" w:cs="Arial"/>
          <w:bCs/>
          <w:color w:val="000000"/>
        </w:rPr>
        <w:t xml:space="preserve"> con el fin de garantizar la aplicación de la trasparencia</w:t>
      </w:r>
      <w:r w:rsidRPr="00955194">
        <w:rPr>
          <w:rFonts w:ascii="Verdana" w:hAnsi="Verdana" w:cs="Arial"/>
          <w:bCs/>
          <w:color w:val="000000"/>
        </w:rPr>
        <w:t xml:space="preserve"> </w:t>
      </w:r>
      <w:r w:rsidRPr="00777E29">
        <w:rPr>
          <w:rFonts w:ascii="Verdana" w:hAnsi="Verdana" w:cs="Arial"/>
          <w:bCs/>
          <w:color w:val="000000"/>
        </w:rPr>
        <w:t>consagrad</w:t>
      </w:r>
      <w:r>
        <w:rPr>
          <w:rFonts w:ascii="Verdana" w:hAnsi="Verdana" w:cs="Arial"/>
          <w:bCs/>
          <w:color w:val="000000"/>
        </w:rPr>
        <w:t>a</w:t>
      </w:r>
      <w:r w:rsidR="000737E1" w:rsidRPr="0017456C">
        <w:rPr>
          <w:rFonts w:ascii="Verdana" w:hAnsi="Verdana" w:cs="Arial"/>
          <w:bCs/>
          <w:color w:val="000000"/>
        </w:rPr>
        <w:t xml:space="preserve"> en el artículo 24 de la Ley 80 de 1993</w:t>
      </w:r>
      <w:r>
        <w:rPr>
          <w:rFonts w:ascii="Verdana" w:hAnsi="Verdana" w:cs="Arial"/>
          <w:bCs/>
          <w:color w:val="000000"/>
        </w:rPr>
        <w:t>.</w:t>
      </w:r>
      <w:r w:rsidRPr="00777E29">
        <w:rPr>
          <w:rFonts w:ascii="Verdana" w:hAnsi="Verdana" w:cs="Arial"/>
          <w:bCs/>
          <w:color w:val="000000"/>
        </w:rPr>
        <w:t xml:space="preserve"> </w:t>
      </w:r>
    </w:p>
    <w:p w14:paraId="53518A56" w14:textId="77777777" w:rsidR="00583FA4" w:rsidRDefault="00583FA4" w:rsidP="00583FA4">
      <w:pPr>
        <w:pStyle w:val="Prrafodelista"/>
        <w:tabs>
          <w:tab w:val="left" w:pos="709"/>
        </w:tabs>
        <w:spacing w:after="120"/>
        <w:ind w:left="709"/>
        <w:jc w:val="both"/>
        <w:rPr>
          <w:rFonts w:ascii="Verdana" w:hAnsi="Verdana" w:cs="Arial"/>
          <w:bCs/>
          <w:color w:val="000000"/>
        </w:rPr>
      </w:pPr>
    </w:p>
    <w:p w14:paraId="7A34E167" w14:textId="77777777" w:rsidR="00071492" w:rsidRPr="0017456C" w:rsidRDefault="00583FA4" w:rsidP="00637F91">
      <w:pPr>
        <w:pStyle w:val="Prrafodelista"/>
        <w:numPr>
          <w:ilvl w:val="0"/>
          <w:numId w:val="18"/>
        </w:numPr>
        <w:tabs>
          <w:tab w:val="left" w:pos="709"/>
        </w:tabs>
        <w:spacing w:after="120"/>
        <w:ind w:left="709"/>
        <w:jc w:val="both"/>
        <w:rPr>
          <w:rFonts w:ascii="Verdana" w:hAnsi="Verdana" w:cs="Arial"/>
          <w:bCs/>
          <w:color w:val="000000"/>
        </w:rPr>
      </w:pPr>
      <w:r>
        <w:rPr>
          <w:rFonts w:ascii="Verdana" w:hAnsi="Verdana" w:cs="Arial"/>
          <w:bCs/>
          <w:color w:val="000000"/>
        </w:rPr>
        <w:t xml:space="preserve">Conforme a </w:t>
      </w:r>
      <w:r w:rsidR="000737E1" w:rsidRPr="0017456C">
        <w:rPr>
          <w:rFonts w:ascii="Verdana" w:hAnsi="Verdana" w:cs="Arial"/>
          <w:bCs/>
          <w:color w:val="000000"/>
        </w:rPr>
        <w:t xml:space="preserve">lo </w:t>
      </w:r>
      <w:r>
        <w:rPr>
          <w:rFonts w:ascii="Verdana" w:hAnsi="Verdana" w:cs="Arial"/>
          <w:bCs/>
          <w:color w:val="000000"/>
        </w:rPr>
        <w:t>anterior,</w:t>
      </w:r>
      <w:r w:rsidR="000737E1" w:rsidRPr="0017456C">
        <w:rPr>
          <w:rFonts w:ascii="Verdana" w:hAnsi="Verdana" w:cs="Arial"/>
          <w:bCs/>
          <w:color w:val="000000"/>
        </w:rPr>
        <w:t xml:space="preserve"> el artículo 2.2.1.1.2.1.3 del Decreto 1082 de 2015</w:t>
      </w:r>
      <w:r w:rsidR="000737E1" w:rsidRPr="0017456C">
        <w:rPr>
          <w:vertAlign w:val="superscript"/>
        </w:rPr>
        <w:footnoteReference w:id="6"/>
      </w:r>
      <w:r w:rsidR="000737E1" w:rsidRPr="0017456C">
        <w:rPr>
          <w:rFonts w:ascii="Verdana" w:hAnsi="Verdana" w:cs="Arial"/>
          <w:bCs/>
          <w:color w:val="000000"/>
        </w:rPr>
        <w:t xml:space="preserve">, </w:t>
      </w:r>
      <w:r>
        <w:rPr>
          <w:rFonts w:ascii="Verdana" w:hAnsi="Verdana" w:cs="Arial"/>
          <w:bCs/>
          <w:color w:val="000000"/>
        </w:rPr>
        <w:t xml:space="preserve">establece que </w:t>
      </w:r>
      <w:r w:rsidR="000737E1" w:rsidRPr="0017456C">
        <w:rPr>
          <w:rFonts w:ascii="Verdana" w:hAnsi="Verdana" w:cs="Arial"/>
          <w:bCs/>
          <w:color w:val="000000"/>
        </w:rPr>
        <w:t xml:space="preserve">en el pliego de condiciones deben definirse </w:t>
      </w:r>
      <w:r w:rsidR="00C405E4" w:rsidRPr="0017456C">
        <w:rPr>
          <w:rFonts w:ascii="Verdana" w:hAnsi="Verdana" w:cs="Arial"/>
          <w:bCs/>
          <w:color w:val="000000"/>
        </w:rPr>
        <w:t>“</w:t>
      </w:r>
      <w:r w:rsidR="000737E1" w:rsidRPr="0017456C">
        <w:rPr>
          <w:rFonts w:ascii="Verdana" w:hAnsi="Verdana" w:cs="Arial"/>
          <w:bCs/>
          <w:color w:val="000000"/>
        </w:rPr>
        <w:t>las reglas aplicables a la presentación de las ofertas, su evaluación y a la adjudicación del contrato</w:t>
      </w:r>
      <w:r w:rsidR="00071492" w:rsidRPr="0017456C">
        <w:rPr>
          <w:rFonts w:ascii="Verdana" w:hAnsi="Verdana" w:cs="Arial"/>
          <w:bCs/>
          <w:color w:val="000000"/>
        </w:rPr>
        <w:t>”;</w:t>
      </w:r>
      <w:r w:rsidR="000737E1" w:rsidRPr="0017456C">
        <w:rPr>
          <w:rFonts w:ascii="Verdana" w:hAnsi="Verdana" w:cs="Arial"/>
          <w:bCs/>
          <w:color w:val="000000"/>
        </w:rPr>
        <w:t xml:space="preserve"> así como el cronograma del proceso de selección</w:t>
      </w:r>
      <w:r>
        <w:rPr>
          <w:rFonts w:ascii="Verdana" w:hAnsi="Verdana" w:cs="Arial"/>
          <w:bCs/>
          <w:color w:val="000000"/>
        </w:rPr>
        <w:t>.</w:t>
      </w:r>
      <w:r w:rsidRPr="00777E29">
        <w:rPr>
          <w:rFonts w:ascii="Verdana" w:hAnsi="Verdana" w:cs="Arial"/>
          <w:bCs/>
          <w:color w:val="000000"/>
        </w:rPr>
        <w:t xml:space="preserve"> </w:t>
      </w:r>
      <w:r>
        <w:rPr>
          <w:rFonts w:ascii="Verdana" w:hAnsi="Verdana" w:cs="Arial"/>
          <w:bCs/>
          <w:color w:val="000000"/>
        </w:rPr>
        <w:t>L</w:t>
      </w:r>
      <w:r w:rsidRPr="00777E29">
        <w:rPr>
          <w:rFonts w:ascii="Verdana" w:hAnsi="Verdana" w:cs="Arial"/>
          <w:bCs/>
          <w:color w:val="000000"/>
        </w:rPr>
        <w:t>o</w:t>
      </w:r>
      <w:r>
        <w:rPr>
          <w:rFonts w:ascii="Verdana" w:hAnsi="Verdana" w:cs="Arial"/>
          <w:bCs/>
          <w:color w:val="000000"/>
        </w:rPr>
        <w:t xml:space="preserve"> expuesto</w:t>
      </w:r>
      <w:r w:rsidRPr="00777E29">
        <w:rPr>
          <w:rFonts w:ascii="Verdana" w:hAnsi="Verdana" w:cs="Arial"/>
          <w:bCs/>
          <w:color w:val="000000"/>
        </w:rPr>
        <w:t xml:space="preserve"> </w:t>
      </w:r>
      <w:r w:rsidR="000737E1" w:rsidRPr="0017456C">
        <w:rPr>
          <w:rFonts w:ascii="Verdana" w:hAnsi="Verdana" w:cs="Arial"/>
          <w:bCs/>
          <w:color w:val="000000"/>
        </w:rPr>
        <w:t xml:space="preserve">implica que </w:t>
      </w:r>
      <w:r w:rsidRPr="00777E29">
        <w:rPr>
          <w:rFonts w:ascii="Verdana" w:hAnsi="Verdana" w:cs="Arial"/>
          <w:bCs/>
          <w:color w:val="000000"/>
        </w:rPr>
        <w:t xml:space="preserve">las </w:t>
      </w:r>
      <w:r w:rsidR="000737E1" w:rsidRPr="0017456C">
        <w:rPr>
          <w:rFonts w:ascii="Verdana" w:hAnsi="Verdana" w:cs="Arial"/>
          <w:bCs/>
          <w:color w:val="000000"/>
        </w:rPr>
        <w:t>entidades deberán establecer en el respectivo pliego de condiciones</w:t>
      </w:r>
      <w:r>
        <w:rPr>
          <w:rFonts w:ascii="Verdana" w:hAnsi="Verdana" w:cs="Arial"/>
          <w:bCs/>
          <w:color w:val="000000"/>
        </w:rPr>
        <w:t xml:space="preserve"> de acuerdo con la modalidad de selección</w:t>
      </w:r>
      <w:r w:rsidRPr="00777E29">
        <w:rPr>
          <w:rFonts w:ascii="Verdana" w:hAnsi="Verdana" w:cs="Arial"/>
          <w:bCs/>
          <w:color w:val="000000"/>
        </w:rPr>
        <w:t xml:space="preserve"> </w:t>
      </w:r>
      <w:r w:rsidR="000737E1" w:rsidRPr="0017456C">
        <w:rPr>
          <w:rFonts w:ascii="Verdana" w:hAnsi="Verdana" w:cs="Arial"/>
          <w:bCs/>
          <w:color w:val="000000"/>
        </w:rPr>
        <w:t xml:space="preserve">el término </w:t>
      </w:r>
      <w:r>
        <w:rPr>
          <w:rFonts w:ascii="Verdana" w:hAnsi="Verdana" w:cs="Arial"/>
          <w:bCs/>
          <w:color w:val="000000"/>
        </w:rPr>
        <w:t>que el decreto 1082 del 2015 establece para el</w:t>
      </w:r>
      <w:r w:rsidR="000737E1" w:rsidRPr="0017456C">
        <w:rPr>
          <w:rFonts w:ascii="Verdana" w:hAnsi="Verdana" w:cs="Arial"/>
          <w:bCs/>
          <w:color w:val="000000"/>
        </w:rPr>
        <w:t xml:space="preserve"> traslado al informe de evaluación</w:t>
      </w:r>
      <w:r>
        <w:rPr>
          <w:rFonts w:ascii="Verdana" w:hAnsi="Verdana" w:cs="Arial"/>
          <w:bCs/>
          <w:color w:val="000000"/>
        </w:rPr>
        <w:t xml:space="preserve"> en cada uno de los procedimientos de adjudicación</w:t>
      </w:r>
      <w:r w:rsidR="000737E1" w:rsidRPr="0017456C">
        <w:rPr>
          <w:rFonts w:ascii="Verdana" w:hAnsi="Verdana" w:cs="Arial"/>
          <w:bCs/>
          <w:color w:val="000000"/>
        </w:rPr>
        <w:t>, de tal manera que este pueda ser conocido con anticipación por los interesados</w:t>
      </w:r>
      <w:r w:rsidRPr="00777E29">
        <w:rPr>
          <w:rFonts w:ascii="Verdana" w:hAnsi="Verdana" w:cs="Arial"/>
          <w:bCs/>
          <w:color w:val="000000"/>
        </w:rPr>
        <w:t>.</w:t>
      </w:r>
      <w:r w:rsidR="000737E1" w:rsidRPr="0017456C">
        <w:rPr>
          <w:rFonts w:ascii="Verdana" w:hAnsi="Verdana" w:cs="Arial"/>
          <w:bCs/>
          <w:color w:val="000000"/>
        </w:rPr>
        <w:t xml:space="preserve"> </w:t>
      </w:r>
    </w:p>
    <w:p w14:paraId="59B8164A" w14:textId="77777777" w:rsidR="00071492" w:rsidRPr="0017456C" w:rsidRDefault="00071492" w:rsidP="00071492">
      <w:pPr>
        <w:pStyle w:val="Prrafodelista"/>
        <w:rPr>
          <w:rFonts w:ascii="Verdana" w:hAnsi="Verdana" w:cs="Arial"/>
          <w:bCs/>
          <w:color w:val="000000"/>
        </w:rPr>
      </w:pPr>
    </w:p>
    <w:p w14:paraId="063C080D" w14:textId="77777777" w:rsidR="000737E1" w:rsidRPr="0017456C" w:rsidRDefault="00263C75" w:rsidP="00637F91">
      <w:pPr>
        <w:pStyle w:val="Prrafodelista"/>
        <w:numPr>
          <w:ilvl w:val="0"/>
          <w:numId w:val="18"/>
        </w:numPr>
        <w:tabs>
          <w:tab w:val="left" w:pos="709"/>
        </w:tabs>
        <w:spacing w:after="120"/>
        <w:ind w:left="709"/>
        <w:jc w:val="both"/>
        <w:rPr>
          <w:rFonts w:ascii="Verdana" w:hAnsi="Verdana" w:cs="Arial"/>
          <w:bCs/>
          <w:color w:val="000000"/>
        </w:rPr>
      </w:pPr>
      <w:r w:rsidRPr="0017456C">
        <w:rPr>
          <w:rFonts w:ascii="Verdana" w:hAnsi="Verdana" w:cs="Arial"/>
          <w:bCs/>
          <w:color w:val="000000"/>
        </w:rPr>
        <w:t>Esta condición o remisión, se debe aplicar a cada uno de los procesos que sean adelantados por parte de las entidades sometidas al EGCAP, indistintamente de la modalidad que sea utilizada.</w:t>
      </w:r>
      <w:r w:rsidR="000737E1" w:rsidRPr="0017456C">
        <w:rPr>
          <w:rFonts w:ascii="Verdana" w:hAnsi="Verdana" w:cs="Arial"/>
          <w:bCs/>
          <w:color w:val="000000"/>
        </w:rPr>
        <w:t xml:space="preserve">  </w:t>
      </w:r>
    </w:p>
    <w:p w14:paraId="480D952B" w14:textId="77777777" w:rsidR="00637F91" w:rsidRPr="0017456C" w:rsidRDefault="00637F91" w:rsidP="00583FA4">
      <w:pPr>
        <w:pStyle w:val="Prrafodelista"/>
        <w:jc w:val="both"/>
        <w:rPr>
          <w:rFonts w:ascii="Verdana" w:hAnsi="Verdana" w:cs="Arial"/>
          <w:bCs/>
          <w:color w:val="000000"/>
        </w:rPr>
      </w:pPr>
    </w:p>
    <w:p w14:paraId="4C20602C" w14:textId="77777777" w:rsidR="00583FA4" w:rsidRPr="00887FB7" w:rsidRDefault="00583FA4" w:rsidP="00583FA4">
      <w:pPr>
        <w:pStyle w:val="Prrafodelista"/>
        <w:numPr>
          <w:ilvl w:val="0"/>
          <w:numId w:val="18"/>
        </w:numPr>
        <w:tabs>
          <w:tab w:val="left" w:pos="709"/>
        </w:tabs>
        <w:spacing w:after="120"/>
        <w:ind w:left="709"/>
        <w:jc w:val="both"/>
        <w:rPr>
          <w:rFonts w:ascii="Verdana" w:hAnsi="Verdana" w:cs="Arial"/>
          <w:bCs/>
          <w:color w:val="000000"/>
        </w:rPr>
      </w:pPr>
      <w:r w:rsidRPr="00887FB7">
        <w:rPr>
          <w:rFonts w:ascii="Verdana" w:hAnsi="Verdana" w:cs="Arial"/>
          <w:bCs/>
          <w:color w:val="000000"/>
        </w:rPr>
        <w:lastRenderedPageBreak/>
        <w:t>En cualquier caso, conviene resaltar que, dada la finalidad con la cual se publica el informe de evaluación, el término fijado para garantizar la publicidad, la contradicción y la oportunidad, en igualdad de condiciones.</w:t>
      </w:r>
    </w:p>
    <w:p w14:paraId="111651C0" w14:textId="77777777" w:rsidR="00583FA4" w:rsidRPr="00777E29" w:rsidRDefault="00583FA4" w:rsidP="00583FA4">
      <w:pPr>
        <w:pStyle w:val="Prrafodelista"/>
        <w:jc w:val="both"/>
        <w:rPr>
          <w:rFonts w:ascii="Verdana" w:hAnsi="Verdana" w:cs="Arial"/>
          <w:bCs/>
          <w:strike/>
          <w:color w:val="000000"/>
        </w:rPr>
      </w:pPr>
    </w:p>
    <w:p w14:paraId="204AFD75" w14:textId="77777777" w:rsidR="00583FA4" w:rsidRPr="00955194" w:rsidRDefault="00583FA4" w:rsidP="00583FA4">
      <w:pPr>
        <w:pStyle w:val="Prrafodelista"/>
        <w:numPr>
          <w:ilvl w:val="0"/>
          <w:numId w:val="18"/>
        </w:numPr>
        <w:tabs>
          <w:tab w:val="left" w:pos="709"/>
        </w:tabs>
        <w:spacing w:after="0" w:line="276" w:lineRule="auto"/>
        <w:ind w:left="709"/>
        <w:jc w:val="both"/>
        <w:rPr>
          <w:rFonts w:ascii="Verdana" w:eastAsia="Calibri" w:hAnsi="Verdana" w:cs="Arial"/>
          <w:bCs/>
          <w:color w:val="000000" w:themeColor="text1"/>
          <w:lang w:val="es-ES_tradnl"/>
        </w:rPr>
      </w:pPr>
      <w:r>
        <w:rPr>
          <w:rFonts w:ascii="Verdana" w:hAnsi="Verdana" w:cs="Arial"/>
          <w:bCs/>
          <w:color w:val="000000"/>
        </w:rPr>
        <w:t xml:space="preserve">Así mismo, téngase presente que dentro de las reglas del proceso de contratación se cuenta con el cronograma, el cual debe respetarse al interior del proceso, debido a que este </w:t>
      </w:r>
      <w:r w:rsidRPr="00955194">
        <w:rPr>
          <w:rFonts w:ascii="Verdana" w:eastAsia="Calibri" w:hAnsi="Verdana" w:cs="Arial"/>
          <w:bCs/>
          <w:color w:val="000000" w:themeColor="text1"/>
        </w:rPr>
        <w:t>establece las fechas, horas y plazos para las actividades propias del Proceso de Contratación y el lugar en el que estas deben llevarse a cabo.</w:t>
      </w:r>
      <w:r>
        <w:rPr>
          <w:rStyle w:val="Refdenotaalpie"/>
          <w:rFonts w:ascii="Verdana" w:eastAsia="Calibri" w:hAnsi="Verdana" w:cs="Arial"/>
          <w:bCs/>
          <w:color w:val="000000" w:themeColor="text1"/>
          <w:lang w:val="es-ES_tradnl"/>
        </w:rPr>
        <w:footnoteReference w:id="7"/>
      </w:r>
    </w:p>
    <w:p w14:paraId="77EA28A6" w14:textId="77777777" w:rsidR="00583FA4" w:rsidRPr="00777E29" w:rsidRDefault="00583FA4" w:rsidP="00583FA4">
      <w:pPr>
        <w:rPr>
          <w:rFonts w:ascii="Verdana" w:hAnsi="Verdana" w:cs="Arial"/>
          <w:bCs/>
          <w:color w:val="000000"/>
        </w:rPr>
      </w:pPr>
    </w:p>
    <w:p w14:paraId="73B829AA" w14:textId="12C733F1" w:rsidR="00637F91" w:rsidRPr="00F35E33" w:rsidRDefault="00583FA4" w:rsidP="00AB157C">
      <w:pPr>
        <w:pStyle w:val="Prrafodelista"/>
        <w:numPr>
          <w:ilvl w:val="0"/>
          <w:numId w:val="18"/>
        </w:numPr>
        <w:tabs>
          <w:tab w:val="left" w:pos="709"/>
        </w:tabs>
        <w:spacing w:after="120"/>
        <w:ind w:left="709"/>
        <w:jc w:val="both"/>
        <w:rPr>
          <w:rFonts w:ascii="Verdana" w:eastAsia="Times New Roman" w:hAnsi="Verdana" w:cs="Arial"/>
          <w:lang w:eastAsia="es-ES_tradnl"/>
        </w:rPr>
      </w:pPr>
      <w:r w:rsidRPr="00F35E33">
        <w:rPr>
          <w:rFonts w:ascii="Verdana" w:hAnsi="Verdana" w:cs="Arial"/>
          <w:bCs/>
          <w:color w:val="000000"/>
        </w:rPr>
        <w:t>Por último, téngase presente que las</w:t>
      </w:r>
      <w:r w:rsidR="00BE0B89" w:rsidRPr="00F35E33">
        <w:rPr>
          <w:rFonts w:ascii="Verdana" w:hAnsi="Verdana" w:cs="Arial"/>
          <w:bCs/>
          <w:color w:val="000000"/>
        </w:rPr>
        <w:t xml:space="preserve"> diferentes normas enunciadas de estirpe procesal son normas de orden público</w:t>
      </w:r>
      <w:r w:rsidR="00BB29C6" w:rsidRPr="0017456C">
        <w:rPr>
          <w:rStyle w:val="Refdenotaalpie"/>
          <w:rFonts w:ascii="Verdana" w:hAnsi="Verdana" w:cs="Arial"/>
          <w:bCs/>
          <w:color w:val="000000"/>
        </w:rPr>
        <w:footnoteReference w:id="8"/>
      </w:r>
      <w:r w:rsidR="00BE0B89" w:rsidRPr="00F35E33">
        <w:rPr>
          <w:rFonts w:ascii="Verdana" w:hAnsi="Verdana" w:cs="Arial"/>
          <w:bCs/>
          <w:color w:val="000000"/>
        </w:rPr>
        <w:t xml:space="preserve"> y en consecuencia de obligatoria aplicación para las entidades sometidas al EGACP</w:t>
      </w:r>
      <w:r w:rsidR="00F35E33">
        <w:rPr>
          <w:rFonts w:ascii="Verdana" w:hAnsi="Verdana" w:cs="Arial"/>
          <w:bCs/>
          <w:color w:val="000000"/>
        </w:rPr>
        <w:t>.</w:t>
      </w:r>
    </w:p>
    <w:p w14:paraId="1E754AFE" w14:textId="77777777" w:rsidR="00F35E33" w:rsidRPr="00F35E33" w:rsidRDefault="00F35E33" w:rsidP="00F35E33">
      <w:pPr>
        <w:pStyle w:val="Prrafodelista"/>
        <w:rPr>
          <w:rFonts w:ascii="Verdana" w:eastAsia="Times New Roman" w:hAnsi="Verdana" w:cs="Arial"/>
          <w:lang w:eastAsia="es-ES_tradnl"/>
        </w:rPr>
      </w:pPr>
    </w:p>
    <w:p w14:paraId="16177F24" w14:textId="77777777" w:rsidR="00F35E33" w:rsidRPr="00F35E33" w:rsidRDefault="00F35E33" w:rsidP="00346052">
      <w:pPr>
        <w:pStyle w:val="Prrafodelista"/>
        <w:tabs>
          <w:tab w:val="left" w:pos="709"/>
        </w:tabs>
        <w:spacing w:after="120"/>
        <w:ind w:left="709"/>
        <w:jc w:val="both"/>
        <w:rPr>
          <w:rFonts w:ascii="Verdana" w:eastAsia="Times New Roman" w:hAnsi="Verdana" w:cs="Arial"/>
          <w:lang w:eastAsia="es-ES_tradnl"/>
        </w:rPr>
      </w:pPr>
    </w:p>
    <w:p w14:paraId="7B234661" w14:textId="77777777" w:rsidR="00EE62DE" w:rsidRPr="0017456C" w:rsidRDefault="00EE62DE" w:rsidP="00EE62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7456C">
        <w:rPr>
          <w:rFonts w:ascii="Verdana" w:eastAsia="Century Gothic" w:hAnsi="Verdana" w:cs="Century Gothic"/>
          <w:b/>
          <w:bCs/>
        </w:rPr>
        <w:t>Referencias normativas, jurisprudenciales y otras fuentes:</w:t>
      </w:r>
    </w:p>
    <w:p w14:paraId="134FFF89" w14:textId="77777777" w:rsidR="00EE62DE" w:rsidRPr="0017456C" w:rsidRDefault="00EE62DE" w:rsidP="00EE62DE">
      <w:pPr>
        <w:spacing w:after="0" w:line="276" w:lineRule="auto"/>
        <w:ind w:right="709"/>
        <w:jc w:val="both"/>
        <w:textAlignment w:val="baseline"/>
        <w:rPr>
          <w:rFonts w:ascii="Verdana" w:eastAsia="Times New Roman" w:hAnsi="Verdana" w:cs="Arial"/>
          <w:bCs/>
          <w:lang w:val="es-ES_tradnl" w:eastAsia="es-CO"/>
        </w:rPr>
      </w:pPr>
    </w:p>
    <w:p w14:paraId="7F0AEDD4" w14:textId="77777777" w:rsidR="00EE62DE" w:rsidRPr="0017456C" w:rsidRDefault="00EE62DE" w:rsidP="00EE62DE">
      <w:pPr>
        <w:pStyle w:val="Prrafodelista"/>
        <w:numPr>
          <w:ilvl w:val="0"/>
          <w:numId w:val="17"/>
        </w:numPr>
        <w:spacing w:after="0" w:line="276" w:lineRule="auto"/>
        <w:ind w:right="709"/>
        <w:rPr>
          <w:rFonts w:ascii="Verdana" w:hAnsi="Verdana" w:cs="Arial"/>
          <w:color w:val="000000" w:themeColor="text1"/>
          <w:lang w:val="es-ES_tradnl"/>
        </w:rPr>
      </w:pPr>
      <w:r w:rsidRPr="0017456C">
        <w:rPr>
          <w:rFonts w:ascii="Verdana" w:hAnsi="Verdana" w:cs="Arial"/>
          <w:color w:val="000000" w:themeColor="text1"/>
          <w:lang w:val="es-ES_tradnl"/>
        </w:rPr>
        <w:t xml:space="preserve">Constitución Política de Colombia, artículo </w:t>
      </w:r>
      <w:r w:rsidR="007B2703" w:rsidRPr="0017456C">
        <w:rPr>
          <w:rFonts w:ascii="Verdana" w:hAnsi="Verdana" w:cs="Arial"/>
          <w:color w:val="000000" w:themeColor="text1"/>
          <w:lang w:val="es-ES_tradnl"/>
        </w:rPr>
        <w:t>209</w:t>
      </w:r>
      <w:r w:rsidRPr="0017456C">
        <w:rPr>
          <w:rFonts w:ascii="Verdana" w:hAnsi="Verdana" w:cs="Arial"/>
          <w:color w:val="000000" w:themeColor="text1"/>
          <w:lang w:val="es-ES_tradnl"/>
        </w:rPr>
        <w:t xml:space="preserve">. Disponible en:  </w:t>
      </w:r>
    </w:p>
    <w:p w14:paraId="6152CDA8" w14:textId="77777777" w:rsidR="00EE62DE" w:rsidRPr="0017456C" w:rsidRDefault="00000000" w:rsidP="00EE62DE">
      <w:pPr>
        <w:pStyle w:val="Prrafodelista"/>
        <w:spacing w:after="0" w:line="276" w:lineRule="auto"/>
        <w:ind w:right="709"/>
        <w:jc w:val="both"/>
        <w:rPr>
          <w:rStyle w:val="Hipervnculo"/>
          <w:rFonts w:ascii="Verdana" w:hAnsi="Verdana" w:cs="Arial"/>
          <w:lang w:val="es-ES_tradnl"/>
        </w:rPr>
      </w:pPr>
      <w:hyperlink r:id="rId13" w:history="1">
        <w:r w:rsidR="00EE62DE" w:rsidRPr="0017456C">
          <w:rPr>
            <w:rStyle w:val="Hipervnculo"/>
            <w:rFonts w:ascii="Verdana" w:hAnsi="Verdana" w:cs="Arial"/>
            <w:lang w:val="es-ES_tradnl"/>
          </w:rPr>
          <w:t>https://relatoria.colombiacompra.gov.co/normativa/constitucion-politica-de-colombia/</w:t>
        </w:r>
      </w:hyperlink>
    </w:p>
    <w:p w14:paraId="40A898BF" w14:textId="77777777" w:rsidR="007B2703" w:rsidRPr="0017456C" w:rsidRDefault="007B2703" w:rsidP="00EE62DE">
      <w:pPr>
        <w:pStyle w:val="Prrafodelista"/>
        <w:spacing w:after="0" w:line="276" w:lineRule="auto"/>
        <w:ind w:right="709"/>
        <w:jc w:val="both"/>
        <w:rPr>
          <w:rFonts w:ascii="Verdana" w:hAnsi="Verdana" w:cs="Arial"/>
          <w:color w:val="000000" w:themeColor="text1"/>
          <w:lang w:val="es-ES_tradnl"/>
        </w:rPr>
      </w:pPr>
    </w:p>
    <w:p w14:paraId="1EF8B4C0" w14:textId="77777777" w:rsidR="00BB29C6" w:rsidRPr="0017456C" w:rsidRDefault="007B2703" w:rsidP="00EE62DE">
      <w:pPr>
        <w:pStyle w:val="Prrafodelista"/>
        <w:numPr>
          <w:ilvl w:val="0"/>
          <w:numId w:val="17"/>
        </w:numPr>
        <w:spacing w:after="0" w:line="276" w:lineRule="auto"/>
        <w:ind w:right="709"/>
        <w:jc w:val="both"/>
        <w:rPr>
          <w:rFonts w:ascii="Verdana" w:hAnsi="Verdana" w:cs="Arial"/>
          <w:color w:val="000000" w:themeColor="text1"/>
          <w:lang w:val="es-ES_tradnl"/>
        </w:rPr>
      </w:pPr>
      <w:r w:rsidRPr="0017456C">
        <w:rPr>
          <w:rFonts w:ascii="Verdana" w:hAnsi="Verdana" w:cs="Arial"/>
          <w:color w:val="000000" w:themeColor="text1"/>
          <w:lang w:val="es-ES_tradnl"/>
        </w:rPr>
        <w:t>Ley 80 de 1993, Artículo 2, Artículo 3, Artículo 24</w:t>
      </w:r>
      <w:r w:rsidR="00BB29C6" w:rsidRPr="0017456C">
        <w:rPr>
          <w:rFonts w:ascii="Verdana" w:hAnsi="Verdana" w:cs="Arial"/>
          <w:color w:val="000000" w:themeColor="text1"/>
          <w:lang w:val="es-ES_tradnl"/>
        </w:rPr>
        <w:t xml:space="preserve">. Disponible en: </w:t>
      </w:r>
      <w:hyperlink r:id="rId14" w:history="1">
        <w:r w:rsidR="00BB29C6" w:rsidRPr="0017456C">
          <w:rPr>
            <w:rStyle w:val="Hipervnculo"/>
            <w:rFonts w:ascii="Verdana" w:hAnsi="Verdana" w:cs="Arial"/>
            <w:lang w:val="es-ES_tradnl"/>
          </w:rPr>
          <w:t>https://relatoria.colombiacompra.gov.co/normativa/ley-80-de-1993/</w:t>
        </w:r>
      </w:hyperlink>
    </w:p>
    <w:p w14:paraId="463AE9AA" w14:textId="77777777" w:rsidR="007B2703" w:rsidRPr="0017456C" w:rsidRDefault="007B2703" w:rsidP="007B2703">
      <w:pPr>
        <w:pStyle w:val="Prrafodelista"/>
        <w:numPr>
          <w:ilvl w:val="0"/>
          <w:numId w:val="17"/>
        </w:numPr>
        <w:spacing w:after="0" w:line="276" w:lineRule="auto"/>
        <w:ind w:right="709"/>
        <w:jc w:val="both"/>
        <w:rPr>
          <w:rFonts w:ascii="Verdana" w:hAnsi="Verdana" w:cs="Arial"/>
          <w:color w:val="000000" w:themeColor="text1"/>
          <w:lang w:val="es-ES_tradnl"/>
        </w:rPr>
      </w:pPr>
      <w:r w:rsidRPr="0017456C">
        <w:rPr>
          <w:rFonts w:ascii="Verdana" w:hAnsi="Verdana" w:cs="Arial"/>
          <w:color w:val="000000" w:themeColor="text1"/>
          <w:lang w:val="es-ES_tradnl"/>
        </w:rPr>
        <w:t xml:space="preserve">Ley 1150 de 2007 Artículo 5. Disponible en:  </w:t>
      </w:r>
      <w:hyperlink r:id="rId15" w:history="1">
        <w:r w:rsidR="00BB29C6" w:rsidRPr="0017456C">
          <w:rPr>
            <w:rStyle w:val="Hipervnculo"/>
            <w:rFonts w:ascii="Verdana" w:hAnsi="Verdana" w:cs="Arial"/>
            <w:lang w:val="es-ES_tradnl"/>
          </w:rPr>
          <w:t>https://relatoria.colombiacompra.gov.co/normativa/ley-1150-de-2007/</w:t>
        </w:r>
      </w:hyperlink>
    </w:p>
    <w:p w14:paraId="5D22F646" w14:textId="77777777" w:rsidR="007B2703" w:rsidRPr="0017456C" w:rsidRDefault="007B2703" w:rsidP="007B2703">
      <w:pPr>
        <w:pStyle w:val="Prrafodelista"/>
        <w:spacing w:after="0" w:line="276" w:lineRule="auto"/>
        <w:ind w:right="709"/>
        <w:jc w:val="both"/>
        <w:rPr>
          <w:rFonts w:ascii="Verdana" w:hAnsi="Verdana" w:cs="Arial"/>
          <w:color w:val="000000" w:themeColor="text1"/>
          <w:lang w:val="es-ES_tradnl"/>
        </w:rPr>
      </w:pPr>
    </w:p>
    <w:p w14:paraId="214EBB44" w14:textId="77777777" w:rsidR="00EE62DE" w:rsidRPr="0017456C" w:rsidRDefault="007B2703" w:rsidP="00EE62DE">
      <w:pPr>
        <w:pStyle w:val="Prrafodelista"/>
        <w:numPr>
          <w:ilvl w:val="0"/>
          <w:numId w:val="17"/>
        </w:numPr>
        <w:spacing w:after="0" w:line="276" w:lineRule="auto"/>
        <w:ind w:right="709"/>
        <w:jc w:val="both"/>
        <w:rPr>
          <w:rFonts w:ascii="Verdana" w:hAnsi="Verdana" w:cs="Arial"/>
          <w:color w:val="000000" w:themeColor="text1"/>
          <w:lang w:val="es-ES_tradnl"/>
        </w:rPr>
      </w:pPr>
      <w:r w:rsidRPr="0017456C">
        <w:rPr>
          <w:rFonts w:ascii="Verdana" w:eastAsia="Times New Roman" w:hAnsi="Verdana" w:cs="Arial"/>
          <w:lang w:val="es-MX" w:eastAsia="es-ES_tradnl"/>
        </w:rPr>
        <w:t>Decreto 1082 de 2015,</w:t>
      </w:r>
      <w:r w:rsidR="00BB29C6" w:rsidRPr="0017456C">
        <w:rPr>
          <w:rFonts w:ascii="Verdana" w:eastAsia="Times New Roman" w:hAnsi="Verdana" w:cs="Arial"/>
          <w:lang w:val="es-MX" w:eastAsia="es-ES_tradnl"/>
        </w:rPr>
        <w:t xml:space="preserve"> </w:t>
      </w:r>
      <w:r w:rsidR="00BB29C6" w:rsidRPr="0017456C">
        <w:rPr>
          <w:rFonts w:ascii="Verdana" w:hAnsi="Verdana" w:cs="Arial"/>
          <w:color w:val="000000" w:themeColor="text1"/>
          <w:lang w:val="es-ES_tradnl"/>
        </w:rPr>
        <w:t xml:space="preserve">Artículo 2.2.1.1.2.1.3 </w:t>
      </w:r>
      <w:r w:rsidR="00EE62DE" w:rsidRPr="0017456C">
        <w:rPr>
          <w:rFonts w:ascii="Verdana" w:eastAsia="Times New Roman" w:hAnsi="Verdana" w:cs="Arial"/>
          <w:lang w:val="es-MX" w:eastAsia="es-ES_tradnl"/>
        </w:rPr>
        <w:t xml:space="preserve"> . </w:t>
      </w:r>
      <w:hyperlink r:id="rId16" w:history="1">
        <w:r w:rsidR="00EE62DE" w:rsidRPr="0017456C">
          <w:rPr>
            <w:rStyle w:val="Hipervnculo"/>
            <w:rFonts w:ascii="Verdana" w:eastAsia="Times New Roman" w:hAnsi="Verdana" w:cs="Arial"/>
            <w:lang w:val="es-MX" w:eastAsia="es-ES_tradnl"/>
          </w:rPr>
          <w:t>https://relatoria.colombiacompra.gov.co/normativa/decreto-1082-de-2015/</w:t>
        </w:r>
      </w:hyperlink>
    </w:p>
    <w:p w14:paraId="25F0E84E" w14:textId="77777777" w:rsidR="00EE62DE" w:rsidRPr="0017456C" w:rsidRDefault="00EE62DE" w:rsidP="00EE62DE">
      <w:pPr>
        <w:pStyle w:val="Prrafodelista"/>
        <w:spacing w:line="276" w:lineRule="auto"/>
        <w:ind w:right="709"/>
        <w:jc w:val="both"/>
        <w:rPr>
          <w:rFonts w:ascii="Verdana" w:hAnsi="Verdana" w:cs="Arial"/>
          <w:color w:val="000000" w:themeColor="text1"/>
          <w:lang w:val="es-ES_tradnl"/>
        </w:rPr>
      </w:pPr>
    </w:p>
    <w:p w14:paraId="260CBE2C" w14:textId="77777777" w:rsidR="00EE62DE" w:rsidRPr="0017456C" w:rsidRDefault="00EE62DE" w:rsidP="00EE62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7456C">
        <w:rPr>
          <w:rFonts w:ascii="Verdana" w:eastAsia="Century Gothic" w:hAnsi="Verdana" w:cs="Century Gothic"/>
          <w:b/>
          <w:bCs/>
        </w:rPr>
        <w:t>Doctrina de la Agencia Nacional de Contratación Pública:</w:t>
      </w:r>
    </w:p>
    <w:p w14:paraId="51E85C8C" w14:textId="77777777" w:rsidR="00EE62DE" w:rsidRPr="0017456C" w:rsidRDefault="00EE62DE" w:rsidP="00EE62DE">
      <w:pPr>
        <w:widowControl w:val="0"/>
        <w:autoSpaceDE w:val="0"/>
        <w:autoSpaceDN w:val="0"/>
        <w:spacing w:after="0" w:line="276" w:lineRule="auto"/>
        <w:jc w:val="both"/>
        <w:rPr>
          <w:rFonts w:ascii="Verdana" w:eastAsia="Calibri" w:hAnsi="Verdana" w:cs="Arial"/>
          <w:lang w:val="es-ES" w:eastAsia="es-ES"/>
        </w:rPr>
      </w:pPr>
    </w:p>
    <w:p w14:paraId="5A335A66" w14:textId="77777777" w:rsidR="007B2703" w:rsidRPr="0017456C" w:rsidRDefault="00EE62DE" w:rsidP="00EE62DE">
      <w:pPr>
        <w:widowControl w:val="0"/>
        <w:autoSpaceDE w:val="0"/>
        <w:autoSpaceDN w:val="0"/>
        <w:spacing w:after="0" w:line="276" w:lineRule="auto"/>
        <w:jc w:val="both"/>
        <w:rPr>
          <w:rStyle w:val="normaltextrun"/>
          <w:rFonts w:ascii="Verdana" w:hAnsi="Verdana" w:cs="Arial"/>
          <w:shd w:val="clear" w:color="auto" w:fill="FFFFFF"/>
        </w:rPr>
      </w:pPr>
      <w:r w:rsidRPr="0017456C">
        <w:rPr>
          <w:rStyle w:val="normaltextrun"/>
          <w:rFonts w:ascii="Verdana" w:hAnsi="Verdana" w:cs="Arial"/>
          <w:shd w:val="clear" w:color="auto" w:fill="FFFFFF"/>
        </w:rPr>
        <w:t>La Agencia Nacional de Contratación Pública – Colombia Compra Eficiente analizó</w:t>
      </w:r>
      <w:r w:rsidR="007B2703" w:rsidRPr="0017456C">
        <w:rPr>
          <w:rStyle w:val="normaltextrun"/>
          <w:rFonts w:ascii="Verdana" w:hAnsi="Verdana" w:cs="Arial"/>
          <w:shd w:val="clear" w:color="auto" w:fill="FFFFFF"/>
        </w:rPr>
        <w:t xml:space="preserve"> </w:t>
      </w:r>
      <w:r w:rsidR="007B2703" w:rsidRPr="0017456C">
        <w:rPr>
          <w:rStyle w:val="normaltextrun"/>
          <w:rFonts w:ascii="Verdana" w:hAnsi="Verdana" w:cs="Arial"/>
          <w:shd w:val="clear" w:color="auto" w:fill="FFFFFF"/>
        </w:rPr>
        <w:lastRenderedPageBreak/>
        <w:t xml:space="preserve">la figura de los términos y su cómputo en material contractual en los Conceptos C-290 del 18 de mayo del 2020, C-465 del 27 de julio del 2020, C-557 del 21 de agosto del 2020 y C-734 del 16 de diciembre del 2020. </w:t>
      </w:r>
      <w:r w:rsidR="00583FA4" w:rsidRPr="0017456C">
        <w:rPr>
          <w:rStyle w:val="normaltextrun"/>
          <w:rFonts w:ascii="Verdana" w:hAnsi="Verdana" w:cs="Arial"/>
          <w:shd w:val="clear" w:color="auto" w:fill="FFFFFF"/>
        </w:rPr>
        <w:t>Adicionalmente, en los conceptos</w:t>
      </w:r>
      <w:r w:rsidR="00583FA4">
        <w:rPr>
          <w:rStyle w:val="normaltextrun"/>
          <w:rFonts w:ascii="Verdana" w:hAnsi="Verdana" w:cs="Arial"/>
          <w:shd w:val="clear" w:color="auto" w:fill="FFFFFF"/>
        </w:rPr>
        <w:t xml:space="preserve"> C-283 del 18 de agosto de 2023, C-036 del 22 de abril de 2024, C-150 del 16 de julio de 2024 y C-175 del 29 de julio de 2024</w:t>
      </w:r>
      <w:r w:rsidR="00583FA4" w:rsidRPr="0017456C">
        <w:rPr>
          <w:rStyle w:val="normaltextrun"/>
          <w:rFonts w:ascii="Verdana" w:hAnsi="Verdana" w:cs="Arial"/>
          <w:shd w:val="clear" w:color="auto" w:fill="FFFFFF"/>
        </w:rPr>
        <w:t>, se pronunció sobre el informe de evaluación y la finalidad de su traslado y el término fijado en la ley para el efecto</w:t>
      </w:r>
      <w:r w:rsidR="00583FA4">
        <w:rPr>
          <w:rStyle w:val="normaltextrun"/>
          <w:rFonts w:ascii="Verdana" w:hAnsi="Verdana" w:cs="Arial"/>
          <w:shd w:val="clear" w:color="auto" w:fill="FFFFFF"/>
        </w:rPr>
        <w:t xml:space="preserve"> en las diferentes modalidades </w:t>
      </w:r>
    </w:p>
    <w:p w14:paraId="7F1FD856" w14:textId="77777777" w:rsidR="007B2703" w:rsidRPr="0017456C" w:rsidRDefault="007B2703" w:rsidP="00EE62DE">
      <w:pPr>
        <w:widowControl w:val="0"/>
        <w:autoSpaceDE w:val="0"/>
        <w:autoSpaceDN w:val="0"/>
        <w:spacing w:after="0" w:line="276" w:lineRule="auto"/>
        <w:jc w:val="both"/>
        <w:rPr>
          <w:rStyle w:val="normaltextrun"/>
          <w:rFonts w:ascii="Verdana" w:hAnsi="Verdana" w:cs="Arial"/>
          <w:shd w:val="clear" w:color="auto" w:fill="FFFFFF"/>
        </w:rPr>
      </w:pPr>
    </w:p>
    <w:p w14:paraId="03BB60EB" w14:textId="77777777" w:rsidR="00EE62DE" w:rsidRPr="0017456C" w:rsidRDefault="00EE62DE" w:rsidP="00EE62DE">
      <w:pPr>
        <w:widowControl w:val="0"/>
        <w:autoSpaceDE w:val="0"/>
        <w:autoSpaceDN w:val="0"/>
        <w:spacing w:after="0" w:line="276" w:lineRule="auto"/>
        <w:jc w:val="both"/>
        <w:rPr>
          <w:rStyle w:val="normaltextrun"/>
          <w:rFonts w:ascii="Verdana" w:hAnsi="Verdana"/>
          <w:color w:val="FF0000"/>
          <w:shd w:val="clear" w:color="auto" w:fill="FFFFFF"/>
        </w:rPr>
      </w:pPr>
      <w:r w:rsidRPr="0017456C">
        <w:rPr>
          <w:rStyle w:val="normaltextrun"/>
          <w:rFonts w:ascii="Verdana" w:hAnsi="Verdana" w:cs="Arial"/>
          <w:shd w:val="clear" w:color="auto" w:fill="FFFFFF"/>
        </w:rPr>
        <w:t>Es</w:t>
      </w:r>
      <w:r w:rsidRPr="0017456C">
        <w:rPr>
          <w:rFonts w:ascii="Verdana" w:hAnsi="Verdana"/>
        </w:rPr>
        <w:t>tos y otros conceptos se encuentran disponibles para consulta en el Sistema de relatoría de la Agencia, al cual se puede acceder a través del siguiente enlace:</w:t>
      </w:r>
      <w:hyperlink r:id="rId17" w:history="1">
        <w:r w:rsidRPr="0017456C">
          <w:rPr>
            <w:rStyle w:val="Hipervnculo"/>
            <w:rFonts w:ascii="Verdana" w:hAnsi="Verdana" w:cs="Arial"/>
            <w:shd w:val="clear" w:color="auto" w:fill="FFFFFF"/>
            <w:lang w:val="es-ES"/>
          </w:rPr>
          <w:t>https://relatoria.colombiacompra.gov.co/busqueda/conceptos</w:t>
        </w:r>
      </w:hyperlink>
      <w:r w:rsidRPr="0017456C">
        <w:rPr>
          <w:rStyle w:val="normaltextrun"/>
          <w:rFonts w:ascii="Verdana" w:hAnsi="Verdana" w:cs="Arial"/>
          <w:color w:val="FF0000"/>
          <w:shd w:val="clear" w:color="auto" w:fill="FFFFFF"/>
        </w:rPr>
        <w:t xml:space="preserve">. </w:t>
      </w:r>
    </w:p>
    <w:p w14:paraId="4681CCA5" w14:textId="77777777" w:rsidR="00EE62DE" w:rsidRPr="0017456C" w:rsidRDefault="00EE62DE" w:rsidP="00EE62DE">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14:paraId="7C94B566" w14:textId="77777777" w:rsidR="00EE62DE" w:rsidRPr="0017456C" w:rsidRDefault="00EE62DE" w:rsidP="00EE62DE">
      <w:pPr>
        <w:widowControl w:val="0"/>
        <w:autoSpaceDE w:val="0"/>
        <w:autoSpaceDN w:val="0"/>
        <w:spacing w:after="0" w:line="276" w:lineRule="auto"/>
        <w:jc w:val="both"/>
        <w:rPr>
          <w:rFonts w:ascii="Verdana" w:hAnsi="Verdana"/>
          <w:lang w:val="es-ES"/>
        </w:rPr>
      </w:pPr>
      <w:r w:rsidRPr="0017456C">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r:id="rId18" w:history="1">
        <w:hyperlink r:id="rId19" w:history="1">
          <w:r w:rsidRPr="0017456C">
            <w:rPr>
              <w:rStyle w:val="Hipervnculo"/>
              <w:rFonts w:ascii="Verdana" w:hAnsi="Verdana" w:cs="Arial"/>
              <w:color w:val="0563C1" w:themeColor="hyperlink"/>
              <w:shd w:val="clear" w:color="auto" w:fill="FFFFFF"/>
              <w:lang w:val="es-ES"/>
            </w:rPr>
            <w:t>https://www.colombiacompra.gov.co/sala-de-prensa/boletin-digital</w:t>
          </w:r>
        </w:hyperlink>
      </w:hyperlink>
      <w:r w:rsidRPr="0017456C">
        <w:rPr>
          <w:rFonts w:ascii="Verdana" w:hAnsi="Verdana" w:cs="Arial"/>
          <w:shd w:val="clear" w:color="auto" w:fill="FFFFFF"/>
          <w:lang w:val="es-ES"/>
        </w:rPr>
        <w:t>.</w:t>
      </w:r>
    </w:p>
    <w:p w14:paraId="6FFFF3A0" w14:textId="77777777" w:rsidR="00EE62DE" w:rsidRPr="0017456C" w:rsidRDefault="00EE62DE" w:rsidP="00EE62DE">
      <w:pPr>
        <w:widowControl w:val="0"/>
        <w:autoSpaceDE w:val="0"/>
        <w:autoSpaceDN w:val="0"/>
        <w:spacing w:after="0" w:line="276" w:lineRule="auto"/>
        <w:jc w:val="both"/>
        <w:rPr>
          <w:rFonts w:ascii="Verdana" w:hAnsi="Verdana" w:cs="Arial"/>
          <w:shd w:val="clear" w:color="auto" w:fill="FFFFFF"/>
          <w:lang w:val="es-ES"/>
        </w:rPr>
      </w:pPr>
    </w:p>
    <w:p w14:paraId="49323EC8" w14:textId="77777777" w:rsidR="00EE62DE" w:rsidRPr="0017456C" w:rsidRDefault="00EE62DE" w:rsidP="00EE62DE">
      <w:pPr>
        <w:spacing w:after="0" w:line="240" w:lineRule="auto"/>
        <w:jc w:val="both"/>
        <w:rPr>
          <w:rFonts w:ascii="Verdana" w:hAnsi="Verdana"/>
        </w:rPr>
      </w:pPr>
      <w:r w:rsidRPr="0017456C">
        <w:rPr>
          <w:rFonts w:ascii="Verdana" w:hAnsi="Verdana"/>
        </w:rPr>
        <w:t xml:space="preserve">Por último, lo invitamos a seguirnos en las redes sociales en las cuales se difunde información institucional: </w:t>
      </w:r>
    </w:p>
    <w:p w14:paraId="279F49A9" w14:textId="77777777" w:rsidR="00EE62DE" w:rsidRPr="0017456C" w:rsidRDefault="00EE62DE" w:rsidP="00EE62DE">
      <w:pPr>
        <w:spacing w:after="0" w:line="240" w:lineRule="auto"/>
        <w:jc w:val="both"/>
        <w:rPr>
          <w:rFonts w:ascii="Verdana" w:hAnsi="Verdana"/>
        </w:rPr>
      </w:pPr>
    </w:p>
    <w:p w14:paraId="24D9AB6B" w14:textId="77777777" w:rsidR="00EE62DE" w:rsidRPr="0017456C" w:rsidRDefault="00EE62DE" w:rsidP="00EE62DE">
      <w:pPr>
        <w:spacing w:after="0" w:line="240" w:lineRule="auto"/>
        <w:jc w:val="both"/>
        <w:rPr>
          <w:rFonts w:ascii="Verdana" w:hAnsi="Verdana"/>
        </w:rPr>
      </w:pPr>
      <w:r w:rsidRPr="0017456C">
        <w:rPr>
          <w:rFonts w:ascii="Verdana" w:hAnsi="Verdana"/>
        </w:rPr>
        <w:t xml:space="preserve">Twitter: </w:t>
      </w:r>
      <w:r w:rsidRPr="0017456C">
        <w:rPr>
          <w:rFonts w:ascii="Verdana" w:hAnsi="Verdana"/>
          <w:color w:val="4472C4" w:themeColor="accent1"/>
          <w:u w:val="single"/>
        </w:rPr>
        <w:t>@colombiacompra</w:t>
      </w:r>
      <w:r w:rsidRPr="0017456C">
        <w:rPr>
          <w:rFonts w:ascii="Verdana" w:hAnsi="Verdana"/>
          <w:color w:val="4472C4" w:themeColor="accent1"/>
        </w:rPr>
        <w:t xml:space="preserve"> </w:t>
      </w:r>
    </w:p>
    <w:p w14:paraId="4D91E53D" w14:textId="77777777" w:rsidR="00EE62DE" w:rsidRPr="0017456C" w:rsidRDefault="00EE62DE" w:rsidP="00EE62DE">
      <w:pPr>
        <w:spacing w:after="0" w:line="240" w:lineRule="auto"/>
        <w:jc w:val="both"/>
        <w:rPr>
          <w:rFonts w:ascii="Verdana" w:hAnsi="Verdana"/>
        </w:rPr>
      </w:pPr>
      <w:r w:rsidRPr="0017456C">
        <w:rPr>
          <w:rFonts w:ascii="Verdana" w:hAnsi="Verdana"/>
        </w:rPr>
        <w:t xml:space="preserve">Facebook: </w:t>
      </w:r>
      <w:r w:rsidRPr="0017456C">
        <w:rPr>
          <w:rFonts w:ascii="Verdana" w:hAnsi="Verdana"/>
          <w:color w:val="4472C4" w:themeColor="accent1"/>
          <w:u w:val="single"/>
        </w:rPr>
        <w:t>ColombiaCompraEficiente</w:t>
      </w:r>
    </w:p>
    <w:p w14:paraId="711425EE" w14:textId="77777777" w:rsidR="00EE62DE" w:rsidRPr="0017456C" w:rsidRDefault="00EE62DE" w:rsidP="00EE62DE">
      <w:pPr>
        <w:spacing w:after="0" w:line="240" w:lineRule="auto"/>
        <w:jc w:val="both"/>
        <w:rPr>
          <w:rFonts w:ascii="Verdana" w:hAnsi="Verdana"/>
        </w:rPr>
      </w:pPr>
      <w:r w:rsidRPr="0017456C">
        <w:rPr>
          <w:rFonts w:ascii="Verdana" w:hAnsi="Verdana"/>
        </w:rPr>
        <w:t xml:space="preserve">LinkedIn: </w:t>
      </w:r>
      <w:r w:rsidRPr="0017456C">
        <w:rPr>
          <w:rFonts w:ascii="Verdana" w:hAnsi="Verdana"/>
          <w:color w:val="4472C4" w:themeColor="accent1"/>
          <w:u w:val="single"/>
        </w:rPr>
        <w:t>Agencia Nacional de Contratación Pública - Colombia Compra Eficiente</w:t>
      </w:r>
      <w:r w:rsidRPr="0017456C">
        <w:rPr>
          <w:rFonts w:ascii="Verdana" w:hAnsi="Verdana"/>
          <w:color w:val="4472C4" w:themeColor="accent1"/>
        </w:rPr>
        <w:t xml:space="preserve"> </w:t>
      </w:r>
      <w:r w:rsidRPr="0017456C">
        <w:rPr>
          <w:rFonts w:ascii="Verdana" w:hAnsi="Verdana"/>
        </w:rPr>
        <w:t xml:space="preserve">Instagram: </w:t>
      </w:r>
      <w:r w:rsidRPr="0017456C">
        <w:rPr>
          <w:rFonts w:ascii="Verdana" w:hAnsi="Verdana"/>
          <w:color w:val="4472C4" w:themeColor="accent1"/>
          <w:u w:val="single"/>
        </w:rPr>
        <w:t>@colombiacompraeficiente_cce</w:t>
      </w:r>
    </w:p>
    <w:p w14:paraId="2D001452" w14:textId="77777777" w:rsidR="00EE62DE" w:rsidRPr="0017456C" w:rsidRDefault="00EE62DE" w:rsidP="00EE62DE">
      <w:pPr>
        <w:widowControl w:val="0"/>
        <w:autoSpaceDE w:val="0"/>
        <w:autoSpaceDN w:val="0"/>
        <w:spacing w:after="0" w:line="276" w:lineRule="auto"/>
        <w:jc w:val="both"/>
        <w:rPr>
          <w:rFonts w:ascii="Verdana" w:hAnsi="Verdana" w:cs="Arial"/>
        </w:rPr>
      </w:pPr>
    </w:p>
    <w:p w14:paraId="7718672D" w14:textId="77777777" w:rsidR="00EE62DE" w:rsidRPr="0017456C" w:rsidRDefault="00EE62DE" w:rsidP="00EE62DE">
      <w:pPr>
        <w:spacing w:before="120" w:after="0" w:line="276" w:lineRule="auto"/>
        <w:jc w:val="both"/>
        <w:textAlignment w:val="baseline"/>
        <w:rPr>
          <w:rFonts w:ascii="Verdana" w:eastAsia="Times New Roman" w:hAnsi="Verdana"/>
          <w:bCs/>
          <w:lang w:val="es-ES_tradnl" w:eastAsia="es-CO"/>
        </w:rPr>
      </w:pPr>
      <w:r w:rsidRPr="0017456C">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E3B1DEF" w14:textId="77777777" w:rsidR="00EE62DE" w:rsidRPr="0017456C" w:rsidRDefault="00EE62DE" w:rsidP="00EE62DE">
      <w:pPr>
        <w:spacing w:after="0" w:line="240" w:lineRule="auto"/>
        <w:rPr>
          <w:rFonts w:ascii="Verdana" w:eastAsia="Calibri" w:hAnsi="Verdana"/>
        </w:rPr>
      </w:pPr>
    </w:p>
    <w:p w14:paraId="3CF84BF1" w14:textId="77777777" w:rsidR="00EE62DE" w:rsidRPr="0017456C" w:rsidRDefault="00EE62DE" w:rsidP="00EE62DE">
      <w:pPr>
        <w:spacing w:after="0" w:line="240" w:lineRule="auto"/>
        <w:rPr>
          <w:rFonts w:ascii="Verdana" w:eastAsia="Times New Roman" w:hAnsi="Verdana" w:cs="Arial"/>
          <w:lang w:eastAsia="es-CO"/>
        </w:rPr>
      </w:pPr>
      <w:r w:rsidRPr="0017456C">
        <w:rPr>
          <w:rFonts w:ascii="Verdana" w:eastAsia="Times New Roman" w:hAnsi="Verdana" w:cs="Arial"/>
          <w:lang w:eastAsia="es-CO"/>
        </w:rPr>
        <w:t>Atentamente,</w:t>
      </w:r>
    </w:p>
    <w:p w14:paraId="1C86289B" w14:textId="77777777" w:rsidR="00EE62DE" w:rsidRPr="0017456C" w:rsidRDefault="00EE62DE" w:rsidP="00EE62DE">
      <w:pPr>
        <w:spacing w:after="0" w:line="276" w:lineRule="auto"/>
        <w:jc w:val="center"/>
        <w:rPr>
          <w:rFonts w:ascii="Verdana" w:eastAsia="Times New Roman" w:hAnsi="Verdana" w:cs="Arial"/>
          <w:color w:val="000000"/>
          <w:lang w:val="es-ES_tradnl" w:eastAsia="es-CO"/>
        </w:rPr>
      </w:pPr>
    </w:p>
    <w:p w14:paraId="61D083CB" w14:textId="77777777" w:rsidR="00EE62DE" w:rsidRPr="0017456C" w:rsidRDefault="00EE62DE" w:rsidP="00EE62DE">
      <w:pPr>
        <w:spacing w:after="0" w:line="276" w:lineRule="auto"/>
        <w:jc w:val="center"/>
        <w:rPr>
          <w:rFonts w:ascii="Verdana" w:eastAsia="Times New Roman" w:hAnsi="Verdana" w:cs="Arial"/>
          <w:color w:val="000000"/>
          <w:lang w:val="es-ES_tradnl" w:eastAsia="es-CO"/>
        </w:rPr>
      </w:pPr>
    </w:p>
    <w:p w14:paraId="175CF983" w14:textId="63B038E2" w:rsidR="00EE62DE" w:rsidRPr="0017456C" w:rsidRDefault="00C67775" w:rsidP="00EE62DE">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lastRenderedPageBreak/>
        <w:drawing>
          <wp:inline distT="0" distB="0" distL="0" distR="0" wp14:anchorId="7A8313D5" wp14:editId="119CDB8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64DCC63E" w14:textId="77777777" w:rsidR="00EE62DE" w:rsidRPr="0017456C" w:rsidRDefault="00EE62DE" w:rsidP="00EE62DE">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E62DE" w:rsidRPr="0017456C" w14:paraId="5E7735C2" w14:textId="77777777" w:rsidTr="00EE62DE">
        <w:trPr>
          <w:trHeight w:val="409"/>
        </w:trPr>
        <w:tc>
          <w:tcPr>
            <w:tcW w:w="817" w:type="dxa"/>
            <w:tcBorders>
              <w:top w:val="nil"/>
              <w:left w:val="nil"/>
              <w:bottom w:val="nil"/>
              <w:right w:val="nil"/>
            </w:tcBorders>
            <w:vAlign w:val="center"/>
            <w:hideMark/>
          </w:tcPr>
          <w:p w14:paraId="04AE2672" w14:textId="77777777" w:rsidR="00EE62DE" w:rsidRPr="0017456C" w:rsidRDefault="00EE62DE">
            <w:pPr>
              <w:spacing w:after="0" w:line="240" w:lineRule="auto"/>
              <w:jc w:val="both"/>
              <w:rPr>
                <w:rFonts w:ascii="Verdana" w:hAnsi="Verdana" w:cs="Arial"/>
                <w:sz w:val="16"/>
                <w:szCs w:val="16"/>
              </w:rPr>
            </w:pPr>
            <w:r w:rsidRPr="0017456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805A8CD" w14:textId="77777777" w:rsidR="00EE62DE" w:rsidRPr="0017456C" w:rsidRDefault="00EE62DE">
            <w:pPr>
              <w:spacing w:after="0" w:line="240" w:lineRule="auto"/>
              <w:jc w:val="both"/>
              <w:rPr>
                <w:rFonts w:ascii="Verdana" w:hAnsi="Verdana" w:cs="Arial"/>
                <w:sz w:val="16"/>
                <w:szCs w:val="16"/>
              </w:rPr>
            </w:pPr>
            <w:r w:rsidRPr="0017456C">
              <w:rPr>
                <w:rFonts w:ascii="Verdana" w:hAnsi="Verdana" w:cs="Arial"/>
                <w:sz w:val="16"/>
                <w:szCs w:val="16"/>
              </w:rPr>
              <w:t>Gustavo Hinestroza Martínez</w:t>
            </w:r>
          </w:p>
          <w:p w14:paraId="7C297B96" w14:textId="77777777" w:rsidR="00EE62DE" w:rsidRPr="0017456C" w:rsidRDefault="00EE62DE">
            <w:pPr>
              <w:spacing w:after="0" w:line="240" w:lineRule="auto"/>
              <w:jc w:val="both"/>
              <w:rPr>
                <w:rFonts w:ascii="Verdana" w:hAnsi="Verdana" w:cs="Arial"/>
                <w:sz w:val="16"/>
                <w:szCs w:val="16"/>
              </w:rPr>
            </w:pPr>
            <w:r w:rsidRPr="0017456C">
              <w:rPr>
                <w:rFonts w:ascii="Verdana" w:hAnsi="Verdana" w:cs="Arial"/>
                <w:sz w:val="16"/>
                <w:szCs w:val="16"/>
              </w:rPr>
              <w:t>Contratista de la Subdirección de Gestión Contractual</w:t>
            </w:r>
          </w:p>
        </w:tc>
      </w:tr>
      <w:tr w:rsidR="00EE62DE" w:rsidRPr="0017456C" w14:paraId="1BCB6981" w14:textId="77777777" w:rsidTr="00EE62DE">
        <w:trPr>
          <w:trHeight w:val="409"/>
        </w:trPr>
        <w:tc>
          <w:tcPr>
            <w:tcW w:w="817" w:type="dxa"/>
            <w:tcBorders>
              <w:top w:val="nil"/>
              <w:left w:val="nil"/>
              <w:bottom w:val="nil"/>
              <w:right w:val="nil"/>
            </w:tcBorders>
            <w:vAlign w:val="center"/>
            <w:hideMark/>
          </w:tcPr>
          <w:p w14:paraId="1E562E84" w14:textId="77777777" w:rsidR="00EE62DE" w:rsidRPr="0017456C" w:rsidRDefault="00EE62DE">
            <w:pPr>
              <w:spacing w:after="0"/>
              <w:jc w:val="both"/>
              <w:rPr>
                <w:rFonts w:ascii="Verdana" w:hAnsi="Verdana" w:cs="Arial"/>
                <w:sz w:val="16"/>
                <w:szCs w:val="16"/>
              </w:rPr>
            </w:pPr>
            <w:r w:rsidRPr="0017456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B434C07" w14:textId="77777777" w:rsidR="00EE62DE" w:rsidRPr="0017456C" w:rsidRDefault="00BB29C6">
            <w:pPr>
              <w:spacing w:after="0" w:line="276" w:lineRule="auto"/>
              <w:textAlignment w:val="baseline"/>
              <w:rPr>
                <w:rFonts w:ascii="Verdana" w:eastAsia="Times New Roman" w:hAnsi="Verdana" w:cstheme="minorHAnsi"/>
                <w:sz w:val="16"/>
                <w:szCs w:val="16"/>
                <w:lang w:val="es-ES" w:eastAsia="es-ES"/>
              </w:rPr>
            </w:pPr>
            <w:r w:rsidRPr="0017456C">
              <w:rPr>
                <w:rFonts w:ascii="Verdana" w:eastAsia="Times New Roman" w:hAnsi="Verdana" w:cstheme="minorHAnsi"/>
                <w:sz w:val="16"/>
                <w:szCs w:val="16"/>
                <w:lang w:val="es-ES" w:eastAsia="es-ES"/>
              </w:rPr>
              <w:t>Cielo Victoria Gonzalez Meza</w:t>
            </w:r>
          </w:p>
          <w:p w14:paraId="0FC88CBA" w14:textId="77777777" w:rsidR="00EE62DE" w:rsidRPr="0017456C" w:rsidRDefault="00BB29C6">
            <w:pPr>
              <w:spacing w:after="0" w:line="240" w:lineRule="auto"/>
              <w:jc w:val="both"/>
              <w:rPr>
                <w:rFonts w:ascii="Verdana" w:hAnsi="Verdana" w:cs="Arial"/>
                <w:sz w:val="16"/>
                <w:szCs w:val="16"/>
                <w:highlight w:val="yellow"/>
              </w:rPr>
            </w:pPr>
            <w:r w:rsidRPr="0017456C">
              <w:rPr>
                <w:rFonts w:ascii="Verdana" w:hAnsi="Verdana" w:cs="Arial"/>
                <w:sz w:val="16"/>
                <w:szCs w:val="16"/>
              </w:rPr>
              <w:t>Contratista de la Subdirección de Gestión Contractual</w:t>
            </w:r>
          </w:p>
        </w:tc>
      </w:tr>
      <w:tr w:rsidR="00EE62DE" w:rsidRPr="0017456C" w14:paraId="48198A30" w14:textId="77777777" w:rsidTr="00EE62DE">
        <w:trPr>
          <w:trHeight w:val="389"/>
        </w:trPr>
        <w:tc>
          <w:tcPr>
            <w:tcW w:w="817" w:type="dxa"/>
            <w:tcBorders>
              <w:top w:val="nil"/>
              <w:left w:val="nil"/>
              <w:bottom w:val="nil"/>
              <w:right w:val="nil"/>
            </w:tcBorders>
            <w:vAlign w:val="center"/>
            <w:hideMark/>
          </w:tcPr>
          <w:p w14:paraId="659B3A99" w14:textId="77777777" w:rsidR="00EE62DE" w:rsidRPr="0017456C" w:rsidRDefault="00EE62DE">
            <w:pPr>
              <w:spacing w:after="0" w:line="240" w:lineRule="auto"/>
              <w:jc w:val="both"/>
              <w:rPr>
                <w:rFonts w:ascii="Verdana" w:hAnsi="Verdana" w:cs="Arial"/>
                <w:sz w:val="16"/>
                <w:szCs w:val="16"/>
              </w:rPr>
            </w:pPr>
            <w:r w:rsidRPr="0017456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F23FD64" w14:textId="77777777" w:rsidR="00EE62DE" w:rsidRPr="0017456C" w:rsidRDefault="00EE62DE">
            <w:pPr>
              <w:spacing w:after="0"/>
              <w:rPr>
                <w:rFonts w:ascii="Verdana" w:eastAsia="Calibri" w:hAnsi="Verdana" w:cs="Arial"/>
                <w:sz w:val="16"/>
                <w:szCs w:val="16"/>
                <w:lang w:val="pt-BR" w:eastAsia="es-ES"/>
              </w:rPr>
            </w:pPr>
            <w:r w:rsidRPr="0017456C">
              <w:rPr>
                <w:rFonts w:ascii="Verdana" w:eastAsia="Calibri" w:hAnsi="Verdana" w:cs="Arial"/>
                <w:sz w:val="16"/>
                <w:szCs w:val="16"/>
                <w:lang w:val="pt-BR" w:eastAsia="es-ES"/>
              </w:rPr>
              <w:t>Carolina Quintero Gacharná</w:t>
            </w:r>
          </w:p>
          <w:p w14:paraId="72BC97D4" w14:textId="77777777" w:rsidR="00EE62DE" w:rsidRPr="0017456C" w:rsidRDefault="00EE62DE">
            <w:pPr>
              <w:spacing w:after="0" w:line="240" w:lineRule="auto"/>
              <w:jc w:val="both"/>
              <w:rPr>
                <w:rFonts w:ascii="Verdana" w:hAnsi="Verdana" w:cs="Arial"/>
                <w:sz w:val="16"/>
                <w:szCs w:val="16"/>
              </w:rPr>
            </w:pPr>
            <w:r w:rsidRPr="0017456C">
              <w:rPr>
                <w:rFonts w:ascii="Verdana" w:hAnsi="Verdana" w:cs="Arial"/>
                <w:sz w:val="16"/>
                <w:szCs w:val="16"/>
              </w:rPr>
              <w:t>Subdirectora de Gestión Contractual ANCP – CCE</w:t>
            </w:r>
          </w:p>
        </w:tc>
      </w:tr>
      <w:bookmarkEnd w:id="0"/>
    </w:tbl>
    <w:p w14:paraId="16D73C1D" w14:textId="77777777" w:rsidR="00EE62DE" w:rsidRPr="0017456C" w:rsidRDefault="00EE62DE" w:rsidP="00EE62DE">
      <w:pPr>
        <w:spacing w:after="0"/>
        <w:jc w:val="both"/>
        <w:rPr>
          <w:rFonts w:ascii="Verdana" w:hAnsi="Verdana"/>
        </w:rPr>
      </w:pPr>
    </w:p>
    <w:p w14:paraId="5A29F4DB" w14:textId="77777777" w:rsidR="00583FA4" w:rsidRPr="0017456C" w:rsidRDefault="00583FA4" w:rsidP="00583FA4">
      <w:pPr>
        <w:rPr>
          <w:rFonts w:ascii="Verdana" w:hAnsi="Verdana"/>
        </w:rPr>
      </w:pPr>
    </w:p>
    <w:p w14:paraId="0F293BF4" w14:textId="7BBFAB11" w:rsidR="00127233" w:rsidRPr="00583FA4" w:rsidRDefault="00127233" w:rsidP="00EE62DE"/>
    <w:sectPr w:rsidR="00127233" w:rsidRPr="00583FA4"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D9A5" w14:textId="77777777" w:rsidR="002B6AF9" w:rsidRDefault="002B6AF9" w:rsidP="004A1847">
      <w:pPr>
        <w:spacing w:after="0" w:line="240" w:lineRule="auto"/>
      </w:pPr>
      <w:r>
        <w:separator/>
      </w:r>
    </w:p>
  </w:endnote>
  <w:endnote w:type="continuationSeparator" w:id="0">
    <w:p w14:paraId="5B96D19B" w14:textId="77777777" w:rsidR="002B6AF9" w:rsidRDefault="002B6AF9" w:rsidP="004A1847">
      <w:pPr>
        <w:spacing w:after="0" w:line="240" w:lineRule="auto"/>
      </w:pPr>
      <w:r>
        <w:continuationSeparator/>
      </w:r>
    </w:p>
  </w:endnote>
  <w:endnote w:type="continuationNotice" w:id="1">
    <w:p w14:paraId="0785CACF" w14:textId="77777777" w:rsidR="002B6AF9" w:rsidRDefault="002B6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2C788" w14:textId="77777777" w:rsidR="002B6AF9" w:rsidRDefault="002B6AF9" w:rsidP="004A1847">
      <w:pPr>
        <w:spacing w:after="0" w:line="240" w:lineRule="auto"/>
      </w:pPr>
      <w:r>
        <w:separator/>
      </w:r>
    </w:p>
  </w:footnote>
  <w:footnote w:type="continuationSeparator" w:id="0">
    <w:p w14:paraId="1387DFE5" w14:textId="77777777" w:rsidR="002B6AF9" w:rsidRDefault="002B6AF9" w:rsidP="004A1847">
      <w:pPr>
        <w:spacing w:after="0" w:line="240" w:lineRule="auto"/>
      </w:pPr>
      <w:r>
        <w:continuationSeparator/>
      </w:r>
    </w:p>
  </w:footnote>
  <w:footnote w:type="continuationNotice" w:id="1">
    <w:p w14:paraId="7DE4689D" w14:textId="77777777" w:rsidR="002B6AF9" w:rsidRDefault="002B6AF9">
      <w:pPr>
        <w:spacing w:after="0" w:line="240" w:lineRule="auto"/>
      </w:pPr>
    </w:p>
  </w:footnote>
  <w:footnote w:id="2">
    <w:p w14:paraId="6DFE69B9" w14:textId="77777777" w:rsidR="00583FA4" w:rsidRPr="00777E29" w:rsidRDefault="000737E1" w:rsidP="00583FA4">
      <w:pPr>
        <w:pStyle w:val="Textonotapie"/>
        <w:ind w:firstLine="708"/>
        <w:jc w:val="both"/>
        <w:rPr>
          <w:rFonts w:ascii="Verdana" w:hAnsi="Verdana"/>
          <w:lang w:val="es-ES"/>
        </w:rPr>
      </w:pPr>
      <w:r w:rsidRPr="00777E29">
        <w:rPr>
          <w:rStyle w:val="Refdenotaalpie"/>
          <w:rFonts w:ascii="Verdana" w:hAnsi="Verdana"/>
        </w:rPr>
        <w:footnoteRef/>
      </w:r>
      <w:r w:rsidRPr="00777E29">
        <w:rPr>
          <w:rFonts w:ascii="Verdana" w:hAnsi="Verdana"/>
        </w:rPr>
        <w:t xml:space="preserve"> </w:t>
      </w:r>
      <w:r w:rsidRPr="000737E1">
        <w:rPr>
          <w:rFonts w:ascii="Verdana" w:hAnsi="Verdana"/>
          <w:sz w:val="16"/>
        </w:rPr>
        <w:t>El artículo 3 de la Ley 80 de 1993, señala: (…)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542AC336" w14:textId="77777777" w:rsidR="000737E1" w:rsidRPr="000737E1" w:rsidRDefault="000737E1" w:rsidP="00583FA4">
      <w:pPr>
        <w:pStyle w:val="Textonotapie"/>
        <w:ind w:firstLine="708"/>
        <w:rPr>
          <w:rFonts w:ascii="Verdana" w:hAnsi="Verdana"/>
          <w:lang w:val="es-ES"/>
        </w:rPr>
      </w:pPr>
    </w:p>
  </w:footnote>
  <w:footnote w:id="3">
    <w:p w14:paraId="078FC2C4" w14:textId="77777777" w:rsidR="00583FA4" w:rsidRPr="00777E29" w:rsidRDefault="00583FA4" w:rsidP="00583FA4">
      <w:pPr>
        <w:pStyle w:val="Textonotapie"/>
        <w:rPr>
          <w:rFonts w:ascii="Verdana" w:hAnsi="Verdana"/>
        </w:rPr>
      </w:pPr>
    </w:p>
    <w:p w14:paraId="312F8C01" w14:textId="77777777" w:rsidR="00583FA4" w:rsidRPr="00777E29" w:rsidRDefault="00583FA4" w:rsidP="00583FA4">
      <w:pPr>
        <w:pStyle w:val="Textonotapie"/>
        <w:ind w:firstLine="708"/>
        <w:jc w:val="both"/>
        <w:rPr>
          <w:rFonts w:ascii="Verdana" w:hAnsi="Verdana"/>
        </w:rPr>
      </w:pPr>
      <w:r w:rsidRPr="00777E29">
        <w:rPr>
          <w:rStyle w:val="Refdenotaalpie"/>
          <w:rFonts w:ascii="Verdana" w:hAnsi="Verdana"/>
        </w:rPr>
        <w:footnoteRef/>
      </w:r>
      <w:r w:rsidRPr="00777E29">
        <w:rPr>
          <w:rFonts w:ascii="Verdana" w:hAnsi="Verdana"/>
        </w:rPr>
        <w:t xml:space="preserve"> </w:t>
      </w:r>
      <w:r w:rsidRPr="00777E29">
        <w:rPr>
          <w:rFonts w:ascii="Verdana" w:hAnsi="Verdana"/>
          <w:sz w:val="16"/>
          <w:szCs w:val="16"/>
        </w:rPr>
        <w:t>El artículo 209 de la Constitución Política de Colombia, señala: (…)La función administrativa esta al servicio de los intereses generales y se desarrolla con fundamento en los principios de igualdad, moralidad, eficacia, economía, celeridad, imparcialidad y publicidad, mediante la descentralización, la delegación y la desconcentración de funciones. (…)</w:t>
      </w:r>
    </w:p>
    <w:p w14:paraId="081AE20D" w14:textId="77777777" w:rsidR="00583FA4" w:rsidRPr="00777E29" w:rsidRDefault="00583FA4" w:rsidP="00583FA4">
      <w:pPr>
        <w:pStyle w:val="Textonotapie"/>
        <w:tabs>
          <w:tab w:val="left" w:pos="1680"/>
        </w:tabs>
        <w:ind w:firstLine="708"/>
        <w:rPr>
          <w:rFonts w:ascii="Verdana" w:hAnsi="Verdana"/>
          <w:lang w:val="es-ES"/>
        </w:rPr>
      </w:pPr>
      <w:r w:rsidRPr="00777E29">
        <w:rPr>
          <w:rFonts w:ascii="Verdana" w:hAnsi="Verdana"/>
        </w:rPr>
        <w:t xml:space="preserve">  </w:t>
      </w:r>
      <w:r w:rsidRPr="00777E29">
        <w:rPr>
          <w:rFonts w:ascii="Verdana" w:hAnsi="Verdana"/>
        </w:rPr>
        <w:tab/>
      </w:r>
    </w:p>
  </w:footnote>
  <w:footnote w:id="4">
    <w:p w14:paraId="0A5EBE7B" w14:textId="77777777" w:rsidR="00583FA4" w:rsidRPr="00777E29" w:rsidRDefault="00583FA4" w:rsidP="00583FA4">
      <w:pPr>
        <w:tabs>
          <w:tab w:val="left" w:pos="709"/>
        </w:tabs>
        <w:spacing w:after="120"/>
        <w:jc w:val="both"/>
        <w:rPr>
          <w:rFonts w:ascii="Verdana" w:hAnsi="Verdana"/>
        </w:rPr>
      </w:pPr>
      <w:r w:rsidRPr="00777E29">
        <w:rPr>
          <w:rFonts w:ascii="Verdana" w:hAnsi="Verdana"/>
        </w:rPr>
        <w:tab/>
      </w:r>
      <w:r w:rsidRPr="00777E29">
        <w:rPr>
          <w:rStyle w:val="Refdenotaalpie"/>
          <w:rFonts w:ascii="Verdana" w:hAnsi="Verdana"/>
        </w:rPr>
        <w:footnoteRef/>
      </w:r>
      <w:r w:rsidRPr="00777E29">
        <w:rPr>
          <w:rFonts w:ascii="Verdana" w:hAnsi="Verdana"/>
        </w:rPr>
        <w:t xml:space="preserve"> </w:t>
      </w:r>
      <w:r w:rsidRPr="00777E29">
        <w:rPr>
          <w:rFonts w:ascii="Verdana" w:hAnsi="Verdana"/>
          <w:sz w:val="16"/>
          <w:szCs w:val="16"/>
          <w:lang w:val="es-MX"/>
        </w:rPr>
        <w:t>Es objetiva la selección en la cual la escogencia se haga al ofrecimiento más favorable a la entidad y a los fines que ella busca, sin tener en consideración factores de afecto o de interés y, en general, cualquier clase de motivación subjetiva”.</w:t>
      </w:r>
      <w:r w:rsidRPr="00777E29">
        <w:rPr>
          <w:rFonts w:ascii="Verdana" w:hAnsi="Verdana"/>
        </w:rPr>
        <w:t xml:space="preserve"> </w:t>
      </w:r>
    </w:p>
    <w:p w14:paraId="6FBE192C" w14:textId="77777777" w:rsidR="00583FA4" w:rsidRPr="00777E29" w:rsidRDefault="00583FA4" w:rsidP="00583FA4">
      <w:pPr>
        <w:pStyle w:val="Textonotapie"/>
        <w:rPr>
          <w:rFonts w:ascii="Verdana" w:hAnsi="Verdana"/>
          <w:lang w:val="es-ES"/>
        </w:rPr>
      </w:pPr>
    </w:p>
  </w:footnote>
  <w:footnote w:id="5">
    <w:p w14:paraId="6AD8986E" w14:textId="77777777" w:rsidR="000737E1" w:rsidRPr="00777E29" w:rsidRDefault="000737E1" w:rsidP="00583FA4">
      <w:pPr>
        <w:pStyle w:val="Textonotapie"/>
        <w:ind w:firstLine="709"/>
        <w:jc w:val="both"/>
        <w:rPr>
          <w:rFonts w:ascii="Verdana" w:hAnsi="Verdana" w:cs="Arial"/>
          <w:sz w:val="19"/>
          <w:szCs w:val="19"/>
          <w:lang w:val="es-CO"/>
        </w:rPr>
      </w:pPr>
      <w:r w:rsidRPr="00777E29">
        <w:rPr>
          <w:rStyle w:val="Refdenotaalpie"/>
          <w:rFonts w:ascii="Verdana" w:hAnsi="Verdana" w:cs="Arial"/>
          <w:sz w:val="19"/>
          <w:szCs w:val="19"/>
        </w:rPr>
        <w:footnoteRef/>
      </w:r>
      <w:r w:rsidRPr="00777E29">
        <w:rPr>
          <w:rFonts w:ascii="Verdana" w:hAnsi="Verdana" w:cs="Arial"/>
          <w:sz w:val="19"/>
          <w:szCs w:val="19"/>
        </w:rPr>
        <w:t xml:space="preserve"> </w:t>
      </w:r>
      <w:r w:rsidRPr="00777E29">
        <w:rPr>
          <w:rFonts w:ascii="Verdana" w:hAnsi="Verdana" w:cs="Arial"/>
          <w:sz w:val="16"/>
          <w:szCs w:val="19"/>
        </w:rPr>
        <w:t>Cfr. Ley 1150 de 2007, artículo 5, especialmente los parágrafos de dicha disposición, de acuerdo con las modificaciones realizadas por el artículo 5 de la Ley 1882 de 2018.</w:t>
      </w:r>
    </w:p>
  </w:footnote>
  <w:footnote w:id="6">
    <w:p w14:paraId="125CA016" w14:textId="77777777" w:rsidR="000737E1" w:rsidRPr="00777E29" w:rsidRDefault="000737E1" w:rsidP="000737E1">
      <w:pPr>
        <w:pStyle w:val="Textonotapie"/>
        <w:ind w:firstLine="708"/>
        <w:rPr>
          <w:rFonts w:ascii="Verdana" w:hAnsi="Verdana" w:cs="Arial"/>
          <w:color w:val="000000"/>
          <w:sz w:val="19"/>
          <w:szCs w:val="19"/>
        </w:rPr>
      </w:pPr>
    </w:p>
    <w:p w14:paraId="067623AB" w14:textId="77777777" w:rsidR="000737E1" w:rsidRPr="00BB29C6" w:rsidRDefault="000737E1" w:rsidP="000737E1">
      <w:pPr>
        <w:pStyle w:val="Textonotapie"/>
        <w:ind w:firstLine="708"/>
        <w:rPr>
          <w:rFonts w:ascii="Verdana" w:hAnsi="Verdana" w:cs="Arial"/>
          <w:color w:val="000000"/>
          <w:sz w:val="16"/>
          <w:szCs w:val="19"/>
        </w:rPr>
      </w:pPr>
      <w:r w:rsidRPr="00777E29">
        <w:rPr>
          <w:rStyle w:val="Refdenotaalpie"/>
          <w:rFonts w:ascii="Verdana" w:hAnsi="Verdana" w:cs="Arial"/>
          <w:color w:val="000000"/>
          <w:sz w:val="19"/>
          <w:szCs w:val="19"/>
        </w:rPr>
        <w:footnoteRef/>
      </w:r>
      <w:r w:rsidRPr="00777E29">
        <w:rPr>
          <w:rFonts w:ascii="Verdana" w:hAnsi="Verdana" w:cs="Arial"/>
          <w:color w:val="000000"/>
          <w:sz w:val="19"/>
          <w:szCs w:val="19"/>
        </w:rPr>
        <w:t xml:space="preserve"> </w:t>
      </w:r>
      <w:r w:rsidR="00BB29C6" w:rsidRPr="00777E29">
        <w:rPr>
          <w:rFonts w:ascii="Verdana" w:hAnsi="Verdana" w:cs="Arial"/>
          <w:sz w:val="16"/>
          <w:szCs w:val="19"/>
        </w:rPr>
        <w:t>“</w:t>
      </w:r>
      <w:r w:rsidRPr="00777E29">
        <w:rPr>
          <w:rFonts w:ascii="Verdana" w:hAnsi="Verdana" w:cs="Arial"/>
          <w:sz w:val="16"/>
          <w:szCs w:val="19"/>
        </w:rPr>
        <w:t>Artículo 2.2.1.1.2.1.3. Pliegos de condiciones. Los pliegos de condiciones deben contener por lo menos la siguiente información:</w:t>
      </w:r>
      <w:r w:rsidRPr="00BB29C6">
        <w:rPr>
          <w:rFonts w:ascii="Verdana" w:hAnsi="Verdana" w:cs="Arial"/>
          <w:color w:val="000000"/>
          <w:sz w:val="16"/>
          <w:szCs w:val="19"/>
        </w:rPr>
        <w:t xml:space="preserve"> </w:t>
      </w:r>
    </w:p>
    <w:p w14:paraId="7D430905" w14:textId="77777777" w:rsidR="000737E1" w:rsidRPr="00777E29" w:rsidRDefault="00BB29C6" w:rsidP="000737E1">
      <w:pPr>
        <w:pStyle w:val="Textonotapie"/>
        <w:ind w:firstLine="708"/>
        <w:rPr>
          <w:rFonts w:ascii="Verdana" w:hAnsi="Verdana" w:cs="Arial"/>
          <w:sz w:val="16"/>
          <w:szCs w:val="19"/>
        </w:rPr>
      </w:pPr>
      <w:r w:rsidRPr="00777E29">
        <w:rPr>
          <w:rFonts w:ascii="Verdana" w:hAnsi="Verdana" w:cs="Arial"/>
          <w:sz w:val="16"/>
          <w:szCs w:val="19"/>
        </w:rPr>
        <w:t>“(</w:t>
      </w:r>
      <w:r w:rsidR="000737E1" w:rsidRPr="00777E29">
        <w:rPr>
          <w:rFonts w:ascii="Verdana" w:hAnsi="Verdana" w:cs="Arial"/>
          <w:sz w:val="16"/>
          <w:szCs w:val="19"/>
        </w:rPr>
        <w:t>…</w:t>
      </w:r>
      <w:r w:rsidRPr="00777E29">
        <w:rPr>
          <w:rFonts w:ascii="Verdana" w:hAnsi="Verdana" w:cs="Arial"/>
          <w:sz w:val="16"/>
          <w:szCs w:val="19"/>
        </w:rPr>
        <w:t>)</w:t>
      </w:r>
    </w:p>
    <w:p w14:paraId="0FBE03F9" w14:textId="77777777" w:rsidR="000737E1" w:rsidRPr="00777E29" w:rsidRDefault="00BB29C6" w:rsidP="000737E1">
      <w:pPr>
        <w:pStyle w:val="Textonotapie"/>
        <w:ind w:firstLine="708"/>
        <w:rPr>
          <w:rFonts w:ascii="Verdana" w:hAnsi="Verdana" w:cs="Arial"/>
          <w:sz w:val="16"/>
          <w:szCs w:val="19"/>
        </w:rPr>
      </w:pPr>
      <w:r w:rsidRPr="00777E29">
        <w:rPr>
          <w:rFonts w:ascii="Verdana" w:hAnsi="Verdana" w:cs="Arial"/>
          <w:sz w:val="16"/>
          <w:szCs w:val="19"/>
        </w:rPr>
        <w:t>“</w:t>
      </w:r>
      <w:r w:rsidR="000737E1" w:rsidRPr="00777E29">
        <w:rPr>
          <w:rFonts w:ascii="Verdana" w:hAnsi="Verdana" w:cs="Arial"/>
          <w:sz w:val="16"/>
          <w:szCs w:val="19"/>
        </w:rPr>
        <w:t xml:space="preserve">5. Las reglas aplicables a la presentación de las ofertas, su evaluación y a la adjudicación del contrato. </w:t>
      </w:r>
    </w:p>
    <w:p w14:paraId="07AB2461" w14:textId="77777777" w:rsidR="000737E1" w:rsidRPr="00777E29" w:rsidRDefault="00BB29C6" w:rsidP="000737E1">
      <w:pPr>
        <w:pStyle w:val="Textonotapie"/>
        <w:ind w:firstLine="708"/>
        <w:rPr>
          <w:rFonts w:ascii="Verdana" w:hAnsi="Verdana" w:cs="Arial"/>
          <w:sz w:val="16"/>
          <w:szCs w:val="19"/>
        </w:rPr>
      </w:pPr>
      <w:r w:rsidRPr="00777E29">
        <w:rPr>
          <w:rFonts w:ascii="Verdana" w:hAnsi="Verdana" w:cs="Arial"/>
          <w:sz w:val="16"/>
          <w:szCs w:val="19"/>
        </w:rPr>
        <w:t>“(</w:t>
      </w:r>
      <w:r w:rsidR="000737E1" w:rsidRPr="00777E29">
        <w:rPr>
          <w:rFonts w:ascii="Verdana" w:hAnsi="Verdana" w:cs="Arial"/>
          <w:sz w:val="16"/>
          <w:szCs w:val="19"/>
        </w:rPr>
        <w:t>…</w:t>
      </w:r>
      <w:r w:rsidRPr="00777E29">
        <w:rPr>
          <w:rFonts w:ascii="Verdana" w:hAnsi="Verdana" w:cs="Arial"/>
          <w:sz w:val="16"/>
          <w:szCs w:val="19"/>
        </w:rPr>
        <w:t>)</w:t>
      </w:r>
    </w:p>
    <w:p w14:paraId="4B9F4433" w14:textId="77777777" w:rsidR="000737E1" w:rsidRPr="00777E29" w:rsidRDefault="00BB29C6" w:rsidP="000737E1">
      <w:pPr>
        <w:pStyle w:val="Textonotapie"/>
        <w:ind w:firstLine="708"/>
        <w:rPr>
          <w:rFonts w:ascii="Verdana" w:hAnsi="Verdana" w:cs="Arial"/>
          <w:sz w:val="16"/>
          <w:szCs w:val="19"/>
        </w:rPr>
      </w:pPr>
      <w:r w:rsidRPr="00777E29">
        <w:rPr>
          <w:rFonts w:ascii="Verdana" w:hAnsi="Verdana" w:cs="Arial"/>
          <w:sz w:val="16"/>
          <w:szCs w:val="19"/>
        </w:rPr>
        <w:t>“</w:t>
      </w:r>
      <w:r w:rsidR="000737E1" w:rsidRPr="00777E29">
        <w:rPr>
          <w:rFonts w:ascii="Verdana" w:hAnsi="Verdana" w:cs="Arial"/>
          <w:sz w:val="16"/>
          <w:szCs w:val="19"/>
        </w:rPr>
        <w:t>14. El Cronograma</w:t>
      </w:r>
      <w:r w:rsidRPr="00777E29">
        <w:rPr>
          <w:rFonts w:ascii="Verdana" w:hAnsi="Verdana" w:cs="Arial"/>
          <w:sz w:val="16"/>
          <w:szCs w:val="19"/>
        </w:rPr>
        <w:t>”</w:t>
      </w:r>
      <w:r w:rsidR="000737E1" w:rsidRPr="00777E29">
        <w:rPr>
          <w:rFonts w:ascii="Verdana" w:hAnsi="Verdana" w:cs="Arial"/>
          <w:sz w:val="16"/>
          <w:szCs w:val="19"/>
        </w:rPr>
        <w:t>.</w:t>
      </w:r>
    </w:p>
    <w:p w14:paraId="380843C0" w14:textId="77777777" w:rsidR="00BB29C6" w:rsidRPr="00777E29" w:rsidRDefault="00BB29C6" w:rsidP="000737E1">
      <w:pPr>
        <w:pStyle w:val="Textonotapie"/>
        <w:ind w:firstLine="708"/>
        <w:rPr>
          <w:rFonts w:ascii="Verdana" w:hAnsi="Verdana" w:cs="Arial"/>
          <w:color w:val="000000"/>
          <w:sz w:val="19"/>
          <w:szCs w:val="19"/>
          <w:lang w:val="es-CO"/>
        </w:rPr>
      </w:pPr>
    </w:p>
  </w:footnote>
  <w:footnote w:id="7">
    <w:p w14:paraId="301BF3D1" w14:textId="77777777" w:rsidR="00583FA4" w:rsidRPr="00777E29" w:rsidRDefault="00583FA4" w:rsidP="00583FA4">
      <w:pPr>
        <w:pStyle w:val="Textonotapie"/>
        <w:ind w:firstLine="709"/>
        <w:rPr>
          <w:rFonts w:ascii="Verdana" w:hAnsi="Verdana"/>
          <w:sz w:val="16"/>
          <w:szCs w:val="16"/>
          <w:lang w:val="es-ES"/>
        </w:rPr>
      </w:pPr>
      <w:r w:rsidRPr="00777E29">
        <w:rPr>
          <w:rStyle w:val="Refdenotaalpie"/>
          <w:rFonts w:ascii="Verdana" w:hAnsi="Verdana"/>
          <w:sz w:val="16"/>
          <w:szCs w:val="16"/>
        </w:rPr>
        <w:footnoteRef/>
      </w:r>
      <w:r w:rsidRPr="00777E29">
        <w:rPr>
          <w:rFonts w:ascii="Verdana" w:hAnsi="Verdana"/>
          <w:sz w:val="16"/>
          <w:szCs w:val="16"/>
        </w:rPr>
        <w:t xml:space="preserve"> Artículo</w:t>
      </w:r>
      <w:r w:rsidRPr="00777E29">
        <w:rPr>
          <w:rFonts w:ascii="Verdana" w:hAnsi="Verdana"/>
          <w:sz w:val="16"/>
          <w:szCs w:val="16"/>
          <w:lang w:val="es-CO"/>
        </w:rPr>
        <w:t> </w:t>
      </w:r>
      <w:bookmarkStart w:id="1" w:name="2.2.1.1.1.3.1"/>
      <w:bookmarkEnd w:id="1"/>
      <w:r w:rsidRPr="00777E29">
        <w:rPr>
          <w:rFonts w:ascii="Verdana" w:hAnsi="Verdana"/>
          <w:sz w:val="16"/>
          <w:szCs w:val="16"/>
          <w:lang w:val="es-CO"/>
        </w:rPr>
        <w:t>2.2.1.1.1.3.1 del Decreto 1082 de 2015</w:t>
      </w:r>
    </w:p>
  </w:footnote>
  <w:footnote w:id="8">
    <w:p w14:paraId="3B657550" w14:textId="77777777" w:rsidR="00BB29C6" w:rsidRPr="00777E29" w:rsidRDefault="00BB29C6" w:rsidP="00BB29C6">
      <w:pPr>
        <w:pStyle w:val="Textonotapie"/>
        <w:ind w:firstLine="708"/>
        <w:rPr>
          <w:rFonts w:ascii="Verdana" w:hAnsi="Verdana"/>
          <w:sz w:val="16"/>
        </w:rPr>
      </w:pPr>
      <w:r w:rsidRPr="00777E29">
        <w:rPr>
          <w:rStyle w:val="Refdenotaalpie"/>
          <w:rFonts w:ascii="Verdana" w:hAnsi="Verdana"/>
        </w:rPr>
        <w:footnoteRef/>
      </w:r>
      <w:r w:rsidRPr="00777E29">
        <w:rPr>
          <w:rFonts w:ascii="Verdana" w:hAnsi="Verdana"/>
        </w:rPr>
        <w:t xml:space="preserve"> </w:t>
      </w:r>
      <w:r w:rsidRPr="00BB29C6">
        <w:rPr>
          <w:rFonts w:ascii="Verdana" w:hAnsi="Verdana"/>
          <w:sz w:val="16"/>
        </w:rPr>
        <w:t>Consultar Sentencia C-602 de 2019, Corte Constitucional de Colombia, MP ALBERTO ROJAS RÍOS</w:t>
      </w:r>
      <w:r w:rsidRPr="00777E29">
        <w:rPr>
          <w:rFonts w:ascii="Verdana" w:hAnsi="Verdana"/>
          <w:sz w:val="16"/>
        </w:rPr>
        <w:t xml:space="preserve"> . </w:t>
      </w:r>
      <w:hyperlink r:id="rId1" w:history="1">
        <w:r w:rsidRPr="00777E29">
          <w:rPr>
            <w:rStyle w:val="Hipervnculo"/>
            <w:rFonts w:ascii="Verdana" w:hAnsi="Verdana"/>
            <w:sz w:val="16"/>
          </w:rPr>
          <w:t>https://www.corteconstitucional.gov.co/relatoria/2019/C-602-19.htm</w:t>
        </w:r>
      </w:hyperlink>
    </w:p>
    <w:p w14:paraId="3E52567A" w14:textId="77777777" w:rsidR="00BB29C6" w:rsidRPr="00777E29" w:rsidRDefault="00BB29C6" w:rsidP="00BB29C6">
      <w:pPr>
        <w:pStyle w:val="Textonotapie"/>
        <w:ind w:firstLine="708"/>
        <w:rPr>
          <w:rFonts w:ascii="Verdana" w:hAnsi="Verdana"/>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716AF8"/>
    <w:multiLevelType w:val="hybridMultilevel"/>
    <w:tmpl w:val="1456A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508297">
    <w:abstractNumId w:val="8"/>
  </w:num>
  <w:num w:numId="2" w16cid:durableId="1370377976">
    <w:abstractNumId w:val="2"/>
  </w:num>
  <w:num w:numId="3" w16cid:durableId="1718889690">
    <w:abstractNumId w:val="6"/>
  </w:num>
  <w:num w:numId="4" w16cid:durableId="1299186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189167">
    <w:abstractNumId w:val="2"/>
  </w:num>
  <w:num w:numId="6" w16cid:durableId="1333682473">
    <w:abstractNumId w:val="15"/>
  </w:num>
  <w:num w:numId="7" w16cid:durableId="973560614">
    <w:abstractNumId w:val="7"/>
  </w:num>
  <w:num w:numId="8" w16cid:durableId="1775976899">
    <w:abstractNumId w:val="14"/>
  </w:num>
  <w:num w:numId="9" w16cid:durableId="205799210">
    <w:abstractNumId w:val="9"/>
  </w:num>
  <w:num w:numId="10" w16cid:durableId="222251875">
    <w:abstractNumId w:val="13"/>
  </w:num>
  <w:num w:numId="11" w16cid:durableId="347565219">
    <w:abstractNumId w:val="10"/>
  </w:num>
  <w:num w:numId="12" w16cid:durableId="1029842794">
    <w:abstractNumId w:val="1"/>
  </w:num>
  <w:num w:numId="13" w16cid:durableId="608777574">
    <w:abstractNumId w:val="5"/>
  </w:num>
  <w:num w:numId="14" w16cid:durableId="1264261983">
    <w:abstractNumId w:val="16"/>
  </w:num>
  <w:num w:numId="15" w16cid:durableId="1567449673">
    <w:abstractNumId w:val="11"/>
  </w:num>
  <w:num w:numId="16" w16cid:durableId="79005028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405052">
    <w:abstractNumId w:val="4"/>
  </w:num>
  <w:num w:numId="18" w16cid:durableId="1831486515">
    <w:abstractNumId w:val="12"/>
  </w:num>
  <w:num w:numId="19" w16cid:durableId="169487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1492"/>
    <w:rsid w:val="000737E1"/>
    <w:rsid w:val="00082362"/>
    <w:rsid w:val="000A683E"/>
    <w:rsid w:val="000B19B9"/>
    <w:rsid w:val="000D0334"/>
    <w:rsid w:val="000F6486"/>
    <w:rsid w:val="001232A3"/>
    <w:rsid w:val="00125105"/>
    <w:rsid w:val="00127233"/>
    <w:rsid w:val="00153753"/>
    <w:rsid w:val="0017456C"/>
    <w:rsid w:val="00187B3A"/>
    <w:rsid w:val="001B0A56"/>
    <w:rsid w:val="001E4177"/>
    <w:rsid w:val="001F7DC6"/>
    <w:rsid w:val="002421BB"/>
    <w:rsid w:val="0025796E"/>
    <w:rsid w:val="00263C75"/>
    <w:rsid w:val="002707A2"/>
    <w:rsid w:val="00290C20"/>
    <w:rsid w:val="002951A0"/>
    <w:rsid w:val="002962BC"/>
    <w:rsid w:val="002A093D"/>
    <w:rsid w:val="002A0DD0"/>
    <w:rsid w:val="002A49AC"/>
    <w:rsid w:val="002A64FD"/>
    <w:rsid w:val="002B6AF9"/>
    <w:rsid w:val="002C7A84"/>
    <w:rsid w:val="002E4FD9"/>
    <w:rsid w:val="00322A85"/>
    <w:rsid w:val="00324168"/>
    <w:rsid w:val="003448F4"/>
    <w:rsid w:val="00346052"/>
    <w:rsid w:val="00374F5E"/>
    <w:rsid w:val="00377E3E"/>
    <w:rsid w:val="003839E6"/>
    <w:rsid w:val="00394958"/>
    <w:rsid w:val="003A26D1"/>
    <w:rsid w:val="003A779E"/>
    <w:rsid w:val="003D0F4D"/>
    <w:rsid w:val="003D5B0D"/>
    <w:rsid w:val="003E0499"/>
    <w:rsid w:val="003F3941"/>
    <w:rsid w:val="00406575"/>
    <w:rsid w:val="0042722E"/>
    <w:rsid w:val="0044528D"/>
    <w:rsid w:val="004A1847"/>
    <w:rsid w:val="004A305D"/>
    <w:rsid w:val="004C3CD4"/>
    <w:rsid w:val="004F21C4"/>
    <w:rsid w:val="004F685F"/>
    <w:rsid w:val="005566E8"/>
    <w:rsid w:val="00574867"/>
    <w:rsid w:val="00583FA4"/>
    <w:rsid w:val="00591460"/>
    <w:rsid w:val="00592628"/>
    <w:rsid w:val="005C3777"/>
    <w:rsid w:val="005C5CDC"/>
    <w:rsid w:val="005D305A"/>
    <w:rsid w:val="005D476C"/>
    <w:rsid w:val="00610812"/>
    <w:rsid w:val="006219F8"/>
    <w:rsid w:val="00637F91"/>
    <w:rsid w:val="00650FF7"/>
    <w:rsid w:val="00665D70"/>
    <w:rsid w:val="00671DAC"/>
    <w:rsid w:val="006900D9"/>
    <w:rsid w:val="006D12F8"/>
    <w:rsid w:val="006F3224"/>
    <w:rsid w:val="00706C16"/>
    <w:rsid w:val="00727EC4"/>
    <w:rsid w:val="00756841"/>
    <w:rsid w:val="007649AB"/>
    <w:rsid w:val="00771D0C"/>
    <w:rsid w:val="007833AC"/>
    <w:rsid w:val="007B268C"/>
    <w:rsid w:val="007B2703"/>
    <w:rsid w:val="007B7171"/>
    <w:rsid w:val="007C0C0F"/>
    <w:rsid w:val="007C3DC2"/>
    <w:rsid w:val="007E5497"/>
    <w:rsid w:val="00806F5F"/>
    <w:rsid w:val="00820278"/>
    <w:rsid w:val="008843B6"/>
    <w:rsid w:val="00891928"/>
    <w:rsid w:val="008932DC"/>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7188"/>
    <w:rsid w:val="00AB0ADB"/>
    <w:rsid w:val="00AE0519"/>
    <w:rsid w:val="00B01B1A"/>
    <w:rsid w:val="00B26C2D"/>
    <w:rsid w:val="00B72CD3"/>
    <w:rsid w:val="00B72FFF"/>
    <w:rsid w:val="00BB2778"/>
    <w:rsid w:val="00BB29C6"/>
    <w:rsid w:val="00BC3D36"/>
    <w:rsid w:val="00BD7F72"/>
    <w:rsid w:val="00BE0B89"/>
    <w:rsid w:val="00C04FB3"/>
    <w:rsid w:val="00C330EB"/>
    <w:rsid w:val="00C405E4"/>
    <w:rsid w:val="00C67775"/>
    <w:rsid w:val="00C754BE"/>
    <w:rsid w:val="00C76B1C"/>
    <w:rsid w:val="00CB6357"/>
    <w:rsid w:val="00CC1B26"/>
    <w:rsid w:val="00D423A2"/>
    <w:rsid w:val="00D520D8"/>
    <w:rsid w:val="00D63AC2"/>
    <w:rsid w:val="00D70F99"/>
    <w:rsid w:val="00D7383B"/>
    <w:rsid w:val="00D9654F"/>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EE62DE"/>
    <w:rsid w:val="00F31EDC"/>
    <w:rsid w:val="00F35E33"/>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DE"/>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62DE"/>
    <w:rPr>
      <w:rFonts w:ascii="Geomanist Light" w:hAnsi="Geomanist Light"/>
      <w:lang w:val="es-ES"/>
    </w:rPr>
  </w:style>
  <w:style w:type="paragraph" w:customStyle="1" w:styleId="Appelnotedebasde">
    <w:name w:val="Appel note de bas de..."/>
    <w:basedOn w:val="Normal"/>
    <w:link w:val="Refdenotaalpie"/>
    <w:uiPriority w:val="99"/>
    <w:rsid w:val="00EE62DE"/>
    <w:pPr>
      <w:spacing w:line="240" w:lineRule="exact"/>
    </w:pPr>
    <w:rPr>
      <w:vertAlign w:val="superscript"/>
    </w:rPr>
  </w:style>
  <w:style w:type="character" w:styleId="Refdecomentario">
    <w:name w:val="annotation reference"/>
    <w:basedOn w:val="Fuentedeprrafopredeter"/>
    <w:uiPriority w:val="99"/>
    <w:semiHidden/>
    <w:unhideWhenUsed/>
    <w:rsid w:val="00BB29C6"/>
    <w:rPr>
      <w:sz w:val="16"/>
      <w:szCs w:val="16"/>
    </w:rPr>
  </w:style>
  <w:style w:type="paragraph" w:styleId="Textocomentario">
    <w:name w:val="annotation text"/>
    <w:basedOn w:val="Normal"/>
    <w:link w:val="TextocomentarioCar"/>
    <w:uiPriority w:val="99"/>
    <w:semiHidden/>
    <w:unhideWhenUsed/>
    <w:rsid w:val="00BB29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29C6"/>
    <w:rPr>
      <w:sz w:val="20"/>
      <w:szCs w:val="20"/>
    </w:rPr>
  </w:style>
  <w:style w:type="paragraph" w:styleId="Asuntodelcomentario">
    <w:name w:val="annotation subject"/>
    <w:basedOn w:val="Textocomentario"/>
    <w:next w:val="Textocomentario"/>
    <w:link w:val="AsuntodelcomentarioCar"/>
    <w:uiPriority w:val="99"/>
    <w:semiHidden/>
    <w:unhideWhenUsed/>
    <w:rsid w:val="00BB29C6"/>
    <w:rPr>
      <w:b/>
      <w:bCs/>
    </w:rPr>
  </w:style>
  <w:style w:type="character" w:customStyle="1" w:styleId="AsuntodelcomentarioCar">
    <w:name w:val="Asunto del comentario Car"/>
    <w:basedOn w:val="TextocomentarioCar"/>
    <w:link w:val="Asuntodelcomentario"/>
    <w:uiPriority w:val="99"/>
    <w:semiHidden/>
    <w:rsid w:val="00BB29C6"/>
    <w:rPr>
      <w:b/>
      <w:bCs/>
      <w:sz w:val="20"/>
      <w:szCs w:val="20"/>
    </w:rPr>
  </w:style>
  <w:style w:type="paragraph" w:styleId="Textodeglobo">
    <w:name w:val="Balloon Text"/>
    <w:basedOn w:val="Normal"/>
    <w:link w:val="TextodegloboCar"/>
    <w:uiPriority w:val="99"/>
    <w:semiHidden/>
    <w:unhideWhenUsed/>
    <w:rsid w:val="00BB2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2518501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48749173">
      <w:bodyDiv w:val="1"/>
      <w:marLeft w:val="0"/>
      <w:marRight w:val="0"/>
      <w:marTop w:val="0"/>
      <w:marBottom w:val="0"/>
      <w:divBdr>
        <w:top w:val="none" w:sz="0" w:space="0" w:color="auto"/>
        <w:left w:val="none" w:sz="0" w:space="0" w:color="auto"/>
        <w:bottom w:val="none" w:sz="0" w:space="0" w:color="auto"/>
        <w:right w:val="none" w:sz="0" w:space="0" w:color="auto"/>
      </w:divBdr>
    </w:div>
    <w:div w:id="1750154090">
      <w:bodyDiv w:val="1"/>
      <w:marLeft w:val="0"/>
      <w:marRight w:val="0"/>
      <w:marTop w:val="0"/>
      <w:marBottom w:val="0"/>
      <w:divBdr>
        <w:top w:val="none" w:sz="0" w:space="0" w:color="auto"/>
        <w:left w:val="none" w:sz="0" w:space="0" w:color="auto"/>
        <w:bottom w:val="none" w:sz="0" w:space="0" w:color="auto"/>
        <w:right w:val="none" w:sz="0" w:space="0" w:color="auto"/>
      </w:divBdr>
    </w:div>
    <w:div w:id="192783882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ustavopatarroyo@hot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ley-1150-de-200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ombiacompra.gov.co/sala-de-prensa/boletin-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19/C-602-19.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DC60-2CEF-483D-B5C7-574E57531DD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A227E0F7-937F-4358-92FF-38B7F6D3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2024-08-05T19:26:00Z</dcterms:created>
  <dcterms:modified xsi:type="dcterms:W3CDTF">2024-08-05T19:28:00Z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