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D0CFC" w14:textId="760876C8" w:rsidR="008C7531" w:rsidRPr="008C7531" w:rsidRDefault="008C7531" w:rsidP="008C7531">
      <w:pPr>
        <w:spacing w:after="0" w:line="240" w:lineRule="auto"/>
        <w:rPr>
          <w:rFonts w:ascii="Verdana" w:eastAsia="Calibri" w:hAnsi="Verdana" w:cs="Arial"/>
          <w:b/>
          <w:bCs/>
          <w:lang w:val="es-ES" w:eastAsia="es-ES"/>
        </w:rPr>
      </w:pPr>
      <w:bookmarkStart w:id="0" w:name="_Hlk143780582"/>
      <w:r w:rsidRPr="008C7531">
        <w:rPr>
          <w:rFonts w:ascii="Verdana" w:eastAsia="Calibri" w:hAnsi="Verdana" w:cs="Arial"/>
          <w:b/>
          <w:bCs/>
          <w:lang w:val="es-ES" w:eastAsia="es-ES"/>
        </w:rPr>
        <w:t xml:space="preserve">DOCUMENTOS TIPO – Fundamento </w:t>
      </w:r>
      <w:r w:rsidR="00161EAC">
        <w:rPr>
          <w:rFonts w:ascii="Verdana" w:eastAsia="Calibri" w:hAnsi="Verdana" w:cs="Arial"/>
          <w:b/>
          <w:bCs/>
          <w:lang w:val="es-ES" w:eastAsia="es-ES"/>
        </w:rPr>
        <w:t>n</w:t>
      </w:r>
      <w:r w:rsidRPr="008C7531">
        <w:rPr>
          <w:rFonts w:ascii="Verdana" w:eastAsia="Calibri" w:hAnsi="Verdana" w:cs="Arial"/>
          <w:b/>
          <w:bCs/>
          <w:lang w:val="es-ES" w:eastAsia="es-ES"/>
        </w:rPr>
        <w:t>ormativo –</w:t>
      </w:r>
      <w:r w:rsidR="009A6A38">
        <w:rPr>
          <w:rFonts w:ascii="Verdana" w:eastAsia="Calibri" w:hAnsi="Verdana" w:cs="Arial"/>
          <w:b/>
          <w:bCs/>
          <w:lang w:val="es-ES" w:eastAsia="es-ES"/>
        </w:rPr>
        <w:t xml:space="preserve"> </w:t>
      </w:r>
      <w:r w:rsidRPr="008C7531">
        <w:rPr>
          <w:rFonts w:ascii="Verdana" w:eastAsia="Calibri" w:hAnsi="Verdana" w:cs="Arial"/>
          <w:b/>
          <w:bCs/>
          <w:lang w:val="es-ES" w:eastAsia="es-ES"/>
        </w:rPr>
        <w:t>Ley 2022 de 2020</w:t>
      </w:r>
    </w:p>
    <w:p w14:paraId="3787F5B7" w14:textId="77777777" w:rsidR="008C7531" w:rsidRPr="008C7531" w:rsidRDefault="008C7531" w:rsidP="008C7531">
      <w:pPr>
        <w:spacing w:after="0" w:line="240" w:lineRule="auto"/>
        <w:rPr>
          <w:rFonts w:ascii="Verdana" w:eastAsia="Calibri" w:hAnsi="Verdana" w:cs="Arial"/>
          <w:b/>
          <w:bCs/>
          <w:lang w:val="es-ES" w:eastAsia="es-ES"/>
        </w:rPr>
      </w:pPr>
    </w:p>
    <w:p w14:paraId="75EA42F8" w14:textId="69873F74" w:rsidR="008C7531" w:rsidRPr="008C7531" w:rsidRDefault="00335A49" w:rsidP="008C7531">
      <w:pPr>
        <w:spacing w:after="0" w:line="240" w:lineRule="auto"/>
        <w:jc w:val="both"/>
        <w:rPr>
          <w:rFonts w:ascii="Verdana" w:eastAsia="Calibri" w:hAnsi="Verdana" w:cs="Arial"/>
          <w:sz w:val="20"/>
          <w:szCs w:val="20"/>
          <w:lang w:val="es-ES"/>
        </w:rPr>
      </w:pPr>
      <w:r w:rsidRPr="00335A49">
        <w:rPr>
          <w:rFonts w:ascii="Verdana" w:eastAsia="Calibri" w:hAnsi="Verdana" w:cs="Arial"/>
          <w:sz w:val="20"/>
          <w:szCs w:val="20"/>
          <w:lang w:val="es-ES"/>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37182DF6" w14:textId="77777777" w:rsidR="008C7531" w:rsidRPr="008C7531" w:rsidRDefault="008C7531" w:rsidP="008C7531">
      <w:pPr>
        <w:spacing w:after="0" w:line="240" w:lineRule="auto"/>
        <w:jc w:val="both"/>
        <w:rPr>
          <w:rFonts w:ascii="Verdana" w:eastAsia="Calibri" w:hAnsi="Verdana" w:cs="Arial"/>
          <w:lang w:val="es-ES"/>
        </w:rPr>
      </w:pPr>
    </w:p>
    <w:p w14:paraId="35A81899" w14:textId="340D1C6E" w:rsidR="008C7531" w:rsidRPr="008C7531" w:rsidRDefault="008C7531" w:rsidP="008C7531">
      <w:pPr>
        <w:spacing w:after="0" w:line="276" w:lineRule="auto"/>
        <w:jc w:val="both"/>
        <w:rPr>
          <w:rFonts w:ascii="Verdana" w:eastAsia="Calibri" w:hAnsi="Verdana" w:cs="Arial"/>
          <w:b/>
          <w:bCs/>
        </w:rPr>
      </w:pPr>
      <w:r w:rsidRPr="008C7531">
        <w:rPr>
          <w:rFonts w:ascii="Verdana" w:eastAsia="Calibri" w:hAnsi="Verdana" w:cs="Arial"/>
          <w:b/>
          <w:bCs/>
          <w:lang w:val="es-ES" w:eastAsia="es-ES"/>
        </w:rPr>
        <w:t>DOCUMENTOS TIPO DE INFRAESTRUCTURA SOCIAL</w:t>
      </w:r>
      <w:r w:rsidR="009A6A38">
        <w:rPr>
          <w:rFonts w:ascii="Verdana" w:eastAsia="Calibri" w:hAnsi="Verdana" w:cs="Arial"/>
          <w:b/>
          <w:bCs/>
          <w:lang w:val="es-ES" w:eastAsia="es-ES"/>
        </w:rPr>
        <w:t xml:space="preserve"> </w:t>
      </w:r>
      <w:r w:rsidRPr="008C7531">
        <w:rPr>
          <w:rFonts w:ascii="Verdana" w:eastAsia="Calibri" w:hAnsi="Verdana" w:cs="Arial"/>
          <w:b/>
          <w:bCs/>
          <w:lang w:val="es-ES" w:eastAsia="es-ES"/>
        </w:rPr>
        <w:t>– Resolución 219 de 2021 – Numeral 2.6 – Documento Base – Procesos de contratación estructurados por lotes o grupos</w:t>
      </w:r>
    </w:p>
    <w:p w14:paraId="0CC48472" w14:textId="77777777" w:rsidR="008C7531" w:rsidRPr="008C7531" w:rsidRDefault="008C7531" w:rsidP="008C7531">
      <w:pPr>
        <w:spacing w:after="0" w:line="240" w:lineRule="auto"/>
        <w:rPr>
          <w:rFonts w:ascii="Verdana" w:eastAsia="Geomanist Light" w:hAnsi="Verdana" w:cs="Arial"/>
          <w:b/>
          <w:bCs/>
          <w:lang w:val="es-ES"/>
        </w:rPr>
      </w:pPr>
    </w:p>
    <w:p w14:paraId="7DB3A0C9" w14:textId="07ABBD1A" w:rsidR="005F7A9E" w:rsidRPr="005F7A9E" w:rsidRDefault="005F7A9E" w:rsidP="005F7A9E">
      <w:pPr>
        <w:spacing w:after="0" w:line="240" w:lineRule="auto"/>
        <w:jc w:val="both"/>
        <w:rPr>
          <w:rFonts w:ascii="Verdana" w:eastAsia="Calibri" w:hAnsi="Verdana" w:cs="Arial"/>
          <w:sz w:val="20"/>
          <w:szCs w:val="20"/>
          <w:lang w:val="es-ES"/>
        </w:rPr>
      </w:pPr>
      <w:r w:rsidRPr="005F7A9E">
        <w:rPr>
          <w:rFonts w:ascii="Verdana" w:eastAsia="Calibri" w:hAnsi="Verdana" w:cs="Arial"/>
          <w:sz w:val="20"/>
          <w:szCs w:val="20"/>
          <w:lang w:val="es-ES"/>
        </w:rPr>
        <w:t xml:space="preserve">De esta manera, cuando en el apartado entre corchetes y resaltado en gris del numeral 2.6 del documento base se incluye la expresión esto es, se pretende explicar las opciones con las que cuenta la entidad estatal para fijar el orden de elegibilidad en procesos de contratación estructurados por lotes o grupos. </w:t>
      </w:r>
    </w:p>
    <w:p w14:paraId="6DCD5E41" w14:textId="77777777" w:rsidR="005F7A9E" w:rsidRDefault="005F7A9E" w:rsidP="005F7A9E">
      <w:pPr>
        <w:spacing w:after="0" w:line="240" w:lineRule="auto"/>
        <w:jc w:val="both"/>
        <w:rPr>
          <w:rFonts w:ascii="Verdana" w:eastAsia="Calibri" w:hAnsi="Verdana" w:cs="Arial"/>
          <w:sz w:val="20"/>
          <w:szCs w:val="20"/>
          <w:lang w:val="es-ES"/>
        </w:rPr>
      </w:pPr>
    </w:p>
    <w:p w14:paraId="0C8D164C" w14:textId="4F042A08" w:rsidR="008C7531" w:rsidRPr="008C7531" w:rsidRDefault="005F7A9E" w:rsidP="005F7A9E">
      <w:pPr>
        <w:spacing w:after="0" w:line="240" w:lineRule="auto"/>
        <w:jc w:val="both"/>
        <w:rPr>
          <w:rFonts w:ascii="Verdana" w:eastAsia="Calibri" w:hAnsi="Verdana" w:cs="Arial"/>
          <w:sz w:val="20"/>
          <w:szCs w:val="20"/>
          <w:lang w:val="es-ES"/>
        </w:rPr>
      </w:pPr>
      <w:r w:rsidRPr="005F7A9E">
        <w:rPr>
          <w:rFonts w:ascii="Verdana" w:eastAsia="Calibri" w:hAnsi="Verdana" w:cs="Arial"/>
          <w:sz w:val="20"/>
          <w:szCs w:val="20"/>
          <w:lang w:val="es-ES"/>
        </w:rPr>
        <w:t xml:space="preserve">Esto significa que, en procesos de contratación estructurados por lotes o grupos, la entidad estatal cuenta con dos (2) opciones para establecer el orden de elegibilidad de los lotes o grupos: i) determinar si se iniciará por el lote con el mayor valor en el Presupuesto Oficial hasta el de menor valor, o viceversa, o </w:t>
      </w:r>
      <w:proofErr w:type="spellStart"/>
      <w:r w:rsidRPr="005F7A9E">
        <w:rPr>
          <w:rFonts w:ascii="Verdana" w:eastAsia="Calibri" w:hAnsi="Verdana" w:cs="Arial"/>
          <w:sz w:val="20"/>
          <w:szCs w:val="20"/>
          <w:lang w:val="es-ES"/>
        </w:rPr>
        <w:t>ii</w:t>
      </w:r>
      <w:proofErr w:type="spellEnd"/>
      <w:r w:rsidRPr="005F7A9E">
        <w:rPr>
          <w:rFonts w:ascii="Verdana" w:eastAsia="Calibri" w:hAnsi="Verdana" w:cs="Arial"/>
          <w:sz w:val="20"/>
          <w:szCs w:val="20"/>
          <w:lang w:val="es-ES"/>
        </w:rPr>
        <w:t>) establecer si se conformará el orden de elegibilidad de acuerdo con el número de lote o el grupo definido en el numeral 1.1 del documento base.</w:t>
      </w:r>
    </w:p>
    <w:p w14:paraId="1B9D27AB" w14:textId="77777777" w:rsidR="008C7531" w:rsidRPr="008C7531" w:rsidRDefault="008C7531" w:rsidP="008C7531">
      <w:pPr>
        <w:spacing w:after="0" w:line="240" w:lineRule="auto"/>
        <w:jc w:val="both"/>
        <w:rPr>
          <w:rFonts w:ascii="Verdana" w:eastAsia="Calibri" w:hAnsi="Verdana" w:cs="Arial"/>
          <w:lang w:val="es-ES"/>
        </w:rPr>
      </w:pPr>
    </w:p>
    <w:p w14:paraId="77079E97" w14:textId="77777777" w:rsidR="008C7531" w:rsidRPr="008C7531" w:rsidRDefault="008C7531" w:rsidP="008C7531">
      <w:pPr>
        <w:spacing w:after="0" w:line="240" w:lineRule="auto"/>
        <w:jc w:val="both"/>
        <w:rPr>
          <w:rFonts w:ascii="Verdana" w:eastAsia="Calibri" w:hAnsi="Verdana" w:cs="Arial"/>
          <w:b/>
          <w:bCs/>
          <w:lang w:val="es-ES"/>
        </w:rPr>
      </w:pPr>
      <w:r w:rsidRPr="008C7531">
        <w:rPr>
          <w:rFonts w:ascii="Verdana" w:eastAsia="Calibri" w:hAnsi="Verdana" w:cs="Arial"/>
          <w:b/>
          <w:bCs/>
          <w:lang w:val="es-ES"/>
        </w:rPr>
        <w:t xml:space="preserve">DOCUMENTOS TIPO – Inalterabilidad – Aspectos que pueden modificarse </w:t>
      </w:r>
    </w:p>
    <w:p w14:paraId="7A5BEE07" w14:textId="77777777" w:rsidR="008C7531" w:rsidRPr="008C7531" w:rsidRDefault="008C7531" w:rsidP="008C7531">
      <w:pPr>
        <w:spacing w:after="0" w:line="240" w:lineRule="auto"/>
        <w:jc w:val="both"/>
        <w:rPr>
          <w:rFonts w:ascii="Verdana" w:eastAsia="Calibri" w:hAnsi="Verdana" w:cs="Arial"/>
          <w:b/>
          <w:bCs/>
          <w:lang w:val="es-ES"/>
        </w:rPr>
      </w:pPr>
    </w:p>
    <w:p w14:paraId="33C78764" w14:textId="16594D44" w:rsidR="008C7531" w:rsidRPr="008C7531" w:rsidRDefault="00737C45" w:rsidP="008C7531">
      <w:pPr>
        <w:spacing w:after="0" w:line="240" w:lineRule="auto"/>
        <w:jc w:val="both"/>
        <w:rPr>
          <w:rFonts w:ascii="Verdana" w:eastAsia="Geomanist Light" w:hAnsi="Verdana" w:cs="Arial"/>
          <w:sz w:val="20"/>
          <w:szCs w:val="20"/>
          <w:lang w:val="es-ES"/>
        </w:rPr>
      </w:pPr>
      <w:r w:rsidRPr="00737C45">
        <w:rPr>
          <w:rFonts w:ascii="Verdana" w:eastAsia="Geomanist Light" w:hAnsi="Verdana" w:cs="Arial"/>
          <w:sz w:val="20"/>
          <w:szCs w:val="20"/>
          <w:lang w:val="es-ES"/>
        </w:rPr>
        <w:t xml:space="preserve">En consecuencia, en virtud de la regla de inalterabilidad aludida, los Documentos Tipo solo pueden ser modificados en los aspectos en que estos lo permitan. Esto corresponde a aquellos aspectos que se encuentran entre corchetes y resaltados en gris </w:t>
      </w:r>
      <w:r w:rsidRPr="00FD375C">
        <w:rPr>
          <w:rFonts w:ascii="Verdana" w:eastAsia="Geomanist Light" w:hAnsi="Verdana" w:cs="Arial"/>
          <w:sz w:val="20"/>
          <w:szCs w:val="20"/>
          <w:lang w:val="es-ES"/>
        </w:rPr>
        <w:t>–</w:t>
      </w:r>
      <w:r w:rsidRPr="00FD375C">
        <w:rPr>
          <w:rFonts w:ascii="Verdana" w:eastAsia="Geomanist Light" w:hAnsi="Verdana" w:cs="Arial"/>
          <w:sz w:val="20"/>
          <w:szCs w:val="20"/>
          <w:highlight w:val="lightGray"/>
          <w:lang w:val="es-ES"/>
        </w:rPr>
        <w:t>[texto]</w:t>
      </w:r>
      <w:r w:rsidRPr="00FD375C">
        <w:rPr>
          <w:rFonts w:ascii="Verdana" w:eastAsia="Geomanist Light" w:hAnsi="Verdana" w:cs="Arial"/>
          <w:sz w:val="20"/>
          <w:szCs w:val="20"/>
          <w:lang w:val="es-ES"/>
        </w:rPr>
        <w:t>–,</w:t>
      </w:r>
      <w:r w:rsidRPr="00737C45">
        <w:rPr>
          <w:rFonts w:ascii="Verdana" w:eastAsia="Geomanist Light" w:hAnsi="Verdana" w:cs="Arial"/>
          <w:sz w:val="20"/>
          <w:szCs w:val="20"/>
          <w:lang w:val="es-ES"/>
        </w:rPr>
        <w:t xml:space="preserve"> para lo cual deberán observarse las instrucciones contenidas en los mismos para su diligenciamiento.</w:t>
      </w:r>
    </w:p>
    <w:p w14:paraId="08A1E31E" w14:textId="77777777" w:rsidR="008C7531" w:rsidRPr="008C7531" w:rsidRDefault="008C7531" w:rsidP="008C7531">
      <w:pPr>
        <w:spacing w:after="0" w:line="240" w:lineRule="auto"/>
        <w:rPr>
          <w:rFonts w:ascii="Verdana" w:eastAsia="Geomanist Light" w:hAnsi="Verdana" w:cs="Arial"/>
          <w:lang w:val="es-MX"/>
        </w:rPr>
      </w:pPr>
    </w:p>
    <w:p w14:paraId="4592BCEE" w14:textId="77777777" w:rsidR="008C7531" w:rsidRPr="008C7531" w:rsidRDefault="008C7531" w:rsidP="008C7531">
      <w:pPr>
        <w:spacing w:after="0" w:line="240" w:lineRule="auto"/>
        <w:rPr>
          <w:rFonts w:ascii="Verdana" w:eastAsia="Geomanist Light" w:hAnsi="Verdana" w:cs="Arial"/>
          <w:lang w:val="es-MX"/>
        </w:rPr>
      </w:pPr>
    </w:p>
    <w:p w14:paraId="2966D7CB" w14:textId="77777777" w:rsidR="008C7531" w:rsidRPr="008C7531" w:rsidRDefault="008C7531" w:rsidP="008C7531">
      <w:pPr>
        <w:spacing w:after="0" w:line="240" w:lineRule="auto"/>
        <w:rPr>
          <w:rFonts w:ascii="Verdana" w:eastAsia="Geomanist Light" w:hAnsi="Verdana" w:cs="Arial"/>
          <w:lang w:val="es-MX"/>
        </w:rPr>
      </w:pPr>
    </w:p>
    <w:p w14:paraId="69715EB6" w14:textId="77777777" w:rsidR="008C7531" w:rsidRDefault="008C7531" w:rsidP="008C7531">
      <w:pPr>
        <w:spacing w:after="0" w:line="240" w:lineRule="auto"/>
        <w:rPr>
          <w:rFonts w:ascii="Verdana" w:eastAsia="Geomanist Light" w:hAnsi="Verdana" w:cs="Arial"/>
          <w:lang w:val="es-MX"/>
        </w:rPr>
      </w:pPr>
    </w:p>
    <w:p w14:paraId="01EE2999" w14:textId="77777777" w:rsidR="00CA3320" w:rsidRDefault="00CA3320" w:rsidP="008C7531">
      <w:pPr>
        <w:spacing w:after="0" w:line="240" w:lineRule="auto"/>
        <w:rPr>
          <w:rFonts w:ascii="Verdana" w:eastAsia="Geomanist Light" w:hAnsi="Verdana" w:cs="Arial"/>
          <w:lang w:val="es-MX"/>
        </w:rPr>
      </w:pPr>
    </w:p>
    <w:p w14:paraId="2DF4E88A" w14:textId="77777777" w:rsidR="00CA3320" w:rsidRDefault="00CA3320" w:rsidP="008C7531">
      <w:pPr>
        <w:spacing w:after="0" w:line="240" w:lineRule="auto"/>
        <w:rPr>
          <w:rFonts w:ascii="Verdana" w:eastAsia="Geomanist Light" w:hAnsi="Verdana" w:cs="Arial"/>
          <w:lang w:val="es-MX"/>
        </w:rPr>
      </w:pPr>
    </w:p>
    <w:p w14:paraId="685D7A58" w14:textId="77777777" w:rsidR="00CA3320" w:rsidRDefault="00CA3320" w:rsidP="008C7531">
      <w:pPr>
        <w:spacing w:after="0" w:line="240" w:lineRule="auto"/>
        <w:rPr>
          <w:rFonts w:ascii="Verdana" w:eastAsia="Geomanist Light" w:hAnsi="Verdana" w:cs="Arial"/>
          <w:lang w:val="es-MX"/>
        </w:rPr>
      </w:pPr>
    </w:p>
    <w:p w14:paraId="4F68E7FD" w14:textId="77777777" w:rsidR="00CA3320" w:rsidRDefault="00CA3320" w:rsidP="008C7531">
      <w:pPr>
        <w:spacing w:after="0" w:line="240" w:lineRule="auto"/>
        <w:rPr>
          <w:rFonts w:ascii="Verdana" w:eastAsia="Geomanist Light" w:hAnsi="Verdana" w:cs="Arial"/>
          <w:lang w:val="es-MX"/>
        </w:rPr>
      </w:pPr>
    </w:p>
    <w:p w14:paraId="29669995" w14:textId="77777777" w:rsidR="00CA3320" w:rsidRDefault="00CA3320" w:rsidP="008C7531">
      <w:pPr>
        <w:spacing w:after="0" w:line="240" w:lineRule="auto"/>
        <w:rPr>
          <w:rFonts w:ascii="Verdana" w:eastAsia="Geomanist Light" w:hAnsi="Verdana" w:cs="Arial"/>
          <w:lang w:val="es-MX"/>
        </w:rPr>
      </w:pPr>
    </w:p>
    <w:p w14:paraId="11E9324B" w14:textId="77777777" w:rsidR="00CA3320" w:rsidRPr="008C7531" w:rsidRDefault="00CA3320" w:rsidP="008C7531">
      <w:pPr>
        <w:spacing w:after="0" w:line="240" w:lineRule="auto"/>
        <w:rPr>
          <w:rFonts w:ascii="Verdana" w:eastAsia="Geomanist Light" w:hAnsi="Verdana" w:cs="Arial"/>
          <w:lang w:val="es-MX"/>
        </w:rPr>
      </w:pPr>
    </w:p>
    <w:p w14:paraId="3D4B4F66" w14:textId="77777777" w:rsidR="008C7531" w:rsidRPr="008C7531" w:rsidRDefault="008C7531" w:rsidP="008C7531">
      <w:pPr>
        <w:spacing w:after="0" w:line="240" w:lineRule="auto"/>
        <w:rPr>
          <w:rFonts w:ascii="Verdana" w:eastAsia="Geomanist Light" w:hAnsi="Verdana" w:cs="Arial"/>
          <w:lang w:val="es-MX"/>
        </w:rPr>
      </w:pPr>
    </w:p>
    <w:p w14:paraId="7F599D32" w14:textId="77777777" w:rsidR="008C7531" w:rsidRDefault="008C7531" w:rsidP="008C7531">
      <w:pPr>
        <w:spacing w:after="0" w:line="240" w:lineRule="auto"/>
        <w:rPr>
          <w:rFonts w:ascii="Verdana" w:eastAsia="Geomanist Light" w:hAnsi="Verdana" w:cs="Arial"/>
          <w:lang w:val="es-MX"/>
        </w:rPr>
      </w:pPr>
    </w:p>
    <w:p w14:paraId="68AA201C" w14:textId="4A33C068" w:rsidR="008C7531" w:rsidRDefault="008C7531" w:rsidP="008C7531">
      <w:pPr>
        <w:spacing w:after="0" w:line="240" w:lineRule="auto"/>
        <w:rPr>
          <w:rFonts w:ascii="Verdana" w:eastAsia="Geomanist Light" w:hAnsi="Verdana" w:cs="Arial"/>
          <w:lang w:val="es-MX"/>
        </w:rPr>
      </w:pPr>
      <w:r w:rsidRPr="008C7531">
        <w:rPr>
          <w:rFonts w:ascii="Verdana" w:eastAsia="Geomanist Light" w:hAnsi="Verdana" w:cs="Arial"/>
          <w:lang w:val="es-MX"/>
        </w:rPr>
        <w:lastRenderedPageBreak/>
        <w:t>Bogotá D.C.</w:t>
      </w:r>
    </w:p>
    <w:p w14:paraId="63B69F8B" w14:textId="77777777" w:rsidR="00817302" w:rsidRPr="008C7531" w:rsidRDefault="00817302" w:rsidP="008C7531">
      <w:pPr>
        <w:spacing w:after="0" w:line="240" w:lineRule="auto"/>
        <w:rPr>
          <w:rFonts w:ascii="Verdana" w:eastAsia="Geomanist Light" w:hAnsi="Verdana" w:cs="Arial"/>
          <w:lang w:val="es-MX"/>
        </w:rPr>
      </w:pPr>
    </w:p>
    <w:p w14:paraId="3A17268E" w14:textId="2516BB88" w:rsidR="00817302" w:rsidRDefault="009E01ED" w:rsidP="009E01ED">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74250FDF" wp14:editId="6A91E11F">
            <wp:extent cx="3990159" cy="1172487"/>
            <wp:effectExtent l="0" t="0" r="0" b="0"/>
            <wp:docPr id="1461040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40497" name="Imagen 14610404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3366" cy="1176368"/>
                    </a:xfrm>
                    <a:prstGeom prst="rect">
                      <a:avLst/>
                    </a:prstGeom>
                  </pic:spPr>
                </pic:pic>
              </a:graphicData>
            </a:graphic>
          </wp:inline>
        </w:drawing>
      </w:r>
    </w:p>
    <w:p w14:paraId="6161B99B" w14:textId="77777777" w:rsidR="007402F4" w:rsidRPr="008C7531" w:rsidRDefault="007402F4" w:rsidP="008C7531">
      <w:pPr>
        <w:spacing w:after="0" w:line="240" w:lineRule="auto"/>
        <w:jc w:val="both"/>
        <w:rPr>
          <w:rFonts w:ascii="Verdana" w:eastAsia="Calibri" w:hAnsi="Verdana" w:cs="Arial"/>
          <w:lang w:val="es-ES"/>
        </w:rPr>
      </w:pPr>
    </w:p>
    <w:p w14:paraId="32D8ACFB" w14:textId="77777777" w:rsidR="008C7531" w:rsidRPr="008C7531" w:rsidRDefault="008C7531" w:rsidP="008C7531">
      <w:pPr>
        <w:spacing w:after="0" w:line="240" w:lineRule="auto"/>
        <w:jc w:val="both"/>
        <w:rPr>
          <w:rFonts w:ascii="Verdana" w:eastAsia="Calibri" w:hAnsi="Verdana" w:cs="Arial"/>
          <w:lang w:val="es-ES" w:eastAsia="es-ES"/>
        </w:rPr>
      </w:pPr>
      <w:r w:rsidRPr="008C7531">
        <w:rPr>
          <w:rFonts w:ascii="Verdana" w:eastAsia="Calibri" w:hAnsi="Verdana" w:cs="Arial"/>
          <w:lang w:val="es-ES" w:eastAsia="es-ES"/>
        </w:rPr>
        <w:t>Señora</w:t>
      </w:r>
    </w:p>
    <w:p w14:paraId="3D70F964" w14:textId="77777777" w:rsidR="008C7531" w:rsidRPr="008C7531" w:rsidRDefault="008C7531" w:rsidP="008C7531">
      <w:pPr>
        <w:spacing w:after="0" w:line="240" w:lineRule="auto"/>
        <w:rPr>
          <w:rFonts w:ascii="Verdana" w:eastAsia="Calibri" w:hAnsi="Verdana" w:cs="Arial"/>
          <w:b/>
          <w:lang w:val="es-ES_tradnl" w:eastAsia="es-ES_tradnl"/>
        </w:rPr>
      </w:pPr>
      <w:r w:rsidRPr="008C7531">
        <w:rPr>
          <w:rFonts w:ascii="Verdana" w:eastAsia="Calibri" w:hAnsi="Verdana" w:cs="Arial"/>
          <w:b/>
          <w:lang w:val="es-ES_tradnl" w:eastAsia="es-ES_tradnl"/>
        </w:rPr>
        <w:t>Luisa Fernanda Trujillo Bernal</w:t>
      </w:r>
    </w:p>
    <w:p w14:paraId="321C53DC" w14:textId="77777777" w:rsidR="008C7531" w:rsidRPr="008C7531" w:rsidRDefault="008C7531" w:rsidP="008C7531">
      <w:pPr>
        <w:spacing w:after="0" w:line="240" w:lineRule="auto"/>
        <w:rPr>
          <w:rFonts w:ascii="Verdana" w:eastAsia="Calibri" w:hAnsi="Verdana" w:cs="Arial"/>
          <w:lang w:val="es-ES" w:eastAsia="es-ES"/>
        </w:rPr>
      </w:pPr>
      <w:r w:rsidRPr="008C7531">
        <w:rPr>
          <w:rFonts w:ascii="Verdana" w:eastAsia="Calibri" w:hAnsi="Verdana" w:cs="Arial"/>
          <w:lang w:val="es-ES" w:eastAsia="es-ES"/>
        </w:rPr>
        <w:t>Ministerio de las Culturas, las Artes y los Saberes</w:t>
      </w:r>
    </w:p>
    <w:p w14:paraId="03C9F34C" w14:textId="77777777" w:rsidR="008C7531" w:rsidRPr="008C7531" w:rsidRDefault="008C7531" w:rsidP="008C7531">
      <w:pPr>
        <w:spacing w:after="0" w:line="240" w:lineRule="auto"/>
        <w:rPr>
          <w:rFonts w:ascii="Verdana" w:eastAsia="Calibri" w:hAnsi="Verdana" w:cs="Arial"/>
          <w:b/>
          <w:bCs/>
          <w:lang w:val="es-ES" w:eastAsia="es-ES"/>
        </w:rPr>
      </w:pPr>
      <w:r w:rsidRPr="008C7531">
        <w:rPr>
          <w:rFonts w:ascii="Verdana" w:eastAsia="Calibri" w:hAnsi="Verdana" w:cs="Arial"/>
          <w:lang w:val="es-ES" w:eastAsia="es-ES"/>
        </w:rPr>
        <w:t>Bogotá, D.C.</w:t>
      </w:r>
    </w:p>
    <w:p w14:paraId="75874BF3" w14:textId="77777777" w:rsidR="008C7531" w:rsidRPr="008C7531" w:rsidRDefault="008C7531" w:rsidP="008C7531">
      <w:pPr>
        <w:spacing w:after="0" w:line="240" w:lineRule="auto"/>
        <w:rPr>
          <w:rFonts w:ascii="Verdana" w:eastAsia="Calibri" w:hAnsi="Verdana" w:cs="Arial"/>
          <w:b/>
          <w:bCs/>
          <w:lang w:val="es-ES_tradnl" w:eastAsia="es-ES_tradnl"/>
        </w:rPr>
      </w:pPr>
    </w:p>
    <w:p w14:paraId="6279A2F6" w14:textId="77777777" w:rsidR="008C7531" w:rsidRPr="008C7531" w:rsidRDefault="008C7531" w:rsidP="008C753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C7531" w:rsidRPr="008C7531" w14:paraId="24676183" w14:textId="77777777" w:rsidTr="00AC5A54">
        <w:trPr>
          <w:trHeight w:val="884"/>
        </w:trPr>
        <w:tc>
          <w:tcPr>
            <w:tcW w:w="2689" w:type="dxa"/>
          </w:tcPr>
          <w:p w14:paraId="6F6D909B" w14:textId="77777777" w:rsidR="008C7531" w:rsidRPr="008C7531" w:rsidRDefault="008C7531" w:rsidP="008C7531">
            <w:pPr>
              <w:jc w:val="both"/>
              <w:rPr>
                <w:rFonts w:ascii="Verdana" w:eastAsia="Calibri" w:hAnsi="Verdana" w:cs="Arial"/>
                <w:b/>
                <w:bCs/>
                <w:lang w:val="es-ES_tradnl" w:eastAsia="es-ES_tradnl"/>
              </w:rPr>
            </w:pPr>
          </w:p>
        </w:tc>
        <w:tc>
          <w:tcPr>
            <w:tcW w:w="6100" w:type="dxa"/>
          </w:tcPr>
          <w:p w14:paraId="595170F6" w14:textId="77777777" w:rsidR="008C7531" w:rsidRPr="008C7531" w:rsidRDefault="008C7531" w:rsidP="008C7531">
            <w:pPr>
              <w:jc w:val="both"/>
              <w:rPr>
                <w:rFonts w:ascii="Verdana" w:eastAsia="Calibri" w:hAnsi="Verdana" w:cs="Arial"/>
                <w:b/>
                <w:bCs/>
                <w:lang w:val="es-ES" w:eastAsia="es-ES"/>
              </w:rPr>
            </w:pPr>
            <w:r w:rsidRPr="008C7531">
              <w:rPr>
                <w:rFonts w:ascii="Verdana" w:eastAsia="Calibri" w:hAnsi="Verdana" w:cs="Arial"/>
                <w:b/>
                <w:bCs/>
                <w:lang w:val="es-ES" w:eastAsia="es-ES"/>
              </w:rPr>
              <w:t>Concepto C – 217 de 2024</w:t>
            </w:r>
          </w:p>
        </w:tc>
      </w:tr>
      <w:tr w:rsidR="008C7531" w:rsidRPr="008C7531" w14:paraId="74A5F3EC" w14:textId="77777777" w:rsidTr="00AC5A54">
        <w:trPr>
          <w:trHeight w:val="884"/>
        </w:trPr>
        <w:tc>
          <w:tcPr>
            <w:tcW w:w="2689" w:type="dxa"/>
          </w:tcPr>
          <w:p w14:paraId="2D14B7C2" w14:textId="77777777" w:rsidR="008C7531" w:rsidRPr="008C7531" w:rsidRDefault="008C7531" w:rsidP="008C7531">
            <w:pPr>
              <w:jc w:val="both"/>
              <w:rPr>
                <w:rFonts w:ascii="Verdana" w:eastAsia="Calibri" w:hAnsi="Verdana" w:cs="Arial"/>
                <w:lang w:val="es-ES_tradnl" w:eastAsia="es-ES_tradnl"/>
              </w:rPr>
            </w:pPr>
            <w:r w:rsidRPr="008C7531">
              <w:rPr>
                <w:rFonts w:ascii="Verdana" w:eastAsia="Calibri" w:hAnsi="Verdana" w:cs="Arial"/>
                <w:b/>
                <w:lang w:val="es-ES_tradnl" w:eastAsia="es-ES_tradnl"/>
              </w:rPr>
              <w:t>Temas:</w:t>
            </w:r>
            <w:r w:rsidRPr="008C7531">
              <w:rPr>
                <w:rFonts w:ascii="Verdana" w:eastAsia="Calibri" w:hAnsi="Verdana" w:cs="Arial"/>
                <w:lang w:val="es-ES_tradnl" w:eastAsia="es-ES_tradnl"/>
              </w:rPr>
              <w:t xml:space="preserve">                   </w:t>
            </w:r>
          </w:p>
        </w:tc>
        <w:tc>
          <w:tcPr>
            <w:tcW w:w="6100" w:type="dxa"/>
          </w:tcPr>
          <w:p w14:paraId="0EDA46CD" w14:textId="463B0FE7" w:rsidR="008C7531" w:rsidRPr="008C7531" w:rsidRDefault="008C7531" w:rsidP="008C7531">
            <w:pPr>
              <w:spacing w:line="276" w:lineRule="auto"/>
              <w:jc w:val="both"/>
              <w:rPr>
                <w:rFonts w:ascii="Verdana" w:eastAsia="Calibri" w:hAnsi="Verdana" w:cs="Arial"/>
                <w:lang w:val="es-ES" w:eastAsia="es-ES"/>
              </w:rPr>
            </w:pPr>
            <w:r w:rsidRPr="008C7531">
              <w:rPr>
                <w:rFonts w:ascii="Verdana" w:eastAsia="Calibri" w:hAnsi="Verdana" w:cs="Arial"/>
                <w:lang w:val="es-ES" w:eastAsia="es-ES"/>
              </w:rPr>
              <w:t xml:space="preserve">DOCUMENTOS TIPO – Fundamento </w:t>
            </w:r>
            <w:r w:rsidR="00161EAC">
              <w:rPr>
                <w:rFonts w:ascii="Verdana" w:eastAsia="Calibri" w:hAnsi="Verdana" w:cs="Arial"/>
                <w:lang w:val="es-ES" w:eastAsia="es-ES"/>
              </w:rPr>
              <w:t>n</w:t>
            </w:r>
            <w:r w:rsidRPr="008C7531">
              <w:rPr>
                <w:rFonts w:ascii="Verdana" w:eastAsia="Calibri" w:hAnsi="Verdana" w:cs="Arial"/>
                <w:lang w:val="es-ES" w:eastAsia="es-ES"/>
              </w:rPr>
              <w:t>ormativo –</w:t>
            </w:r>
            <w:r w:rsidR="00823CB4">
              <w:rPr>
                <w:rFonts w:ascii="Verdana" w:eastAsia="Calibri" w:hAnsi="Verdana" w:cs="Arial"/>
                <w:lang w:val="es-ES" w:eastAsia="es-ES"/>
              </w:rPr>
              <w:t xml:space="preserve"> </w:t>
            </w:r>
            <w:r w:rsidRPr="008C7531">
              <w:rPr>
                <w:rFonts w:ascii="Verdana" w:eastAsia="Calibri" w:hAnsi="Verdana" w:cs="Arial"/>
                <w:lang w:val="es-ES" w:eastAsia="es-ES"/>
              </w:rPr>
              <w:t>Ley 2022 de 2020 / DOCUMENTOS TIPO DE INFRAESTRUCTURA SOCIAL– Resolución 219 de 2021 – Numeral 2.6 – Documento Base – Procesos de contratación estructurados por lotes o grupos / DOCUMENTOS TIPO – Inalterabilidad – Aspectos que pueden modificarse</w:t>
            </w:r>
          </w:p>
          <w:p w14:paraId="66DAD839" w14:textId="77777777" w:rsidR="008C7531" w:rsidRPr="008C7531" w:rsidRDefault="008C7531" w:rsidP="008C7531">
            <w:pPr>
              <w:spacing w:line="276" w:lineRule="auto"/>
              <w:jc w:val="both"/>
              <w:rPr>
                <w:rFonts w:ascii="Verdana" w:eastAsia="Calibri" w:hAnsi="Verdana" w:cs="Arial"/>
                <w:lang w:val="es-ES" w:eastAsia="es-ES"/>
              </w:rPr>
            </w:pPr>
          </w:p>
        </w:tc>
      </w:tr>
      <w:tr w:rsidR="008C7531" w:rsidRPr="008C7531" w14:paraId="0E236958" w14:textId="77777777" w:rsidTr="00AC5A54">
        <w:tc>
          <w:tcPr>
            <w:tcW w:w="2689" w:type="dxa"/>
          </w:tcPr>
          <w:p w14:paraId="1D8B902F" w14:textId="77777777" w:rsidR="008C7531" w:rsidRPr="008C7531" w:rsidRDefault="008C7531" w:rsidP="008C7531">
            <w:pPr>
              <w:jc w:val="both"/>
              <w:rPr>
                <w:rFonts w:ascii="Verdana" w:eastAsia="Calibri" w:hAnsi="Verdana" w:cs="Arial"/>
                <w:b/>
                <w:lang w:val="es-ES_tradnl" w:eastAsia="es-ES_tradnl"/>
              </w:rPr>
            </w:pPr>
            <w:r w:rsidRPr="008C7531">
              <w:rPr>
                <w:rFonts w:ascii="Verdana" w:eastAsia="Calibri" w:hAnsi="Verdana" w:cs="Arial"/>
                <w:b/>
                <w:lang w:val="es-ES_tradnl" w:eastAsia="es-ES_tradnl"/>
              </w:rPr>
              <w:t>Radicación:</w:t>
            </w:r>
            <w:r w:rsidRPr="008C7531">
              <w:rPr>
                <w:rFonts w:ascii="Verdana" w:eastAsia="Calibri" w:hAnsi="Verdana" w:cs="Arial"/>
                <w:lang w:val="es-ES_tradnl" w:eastAsia="es-ES_tradnl"/>
              </w:rPr>
              <w:t xml:space="preserve">               </w:t>
            </w:r>
          </w:p>
        </w:tc>
        <w:tc>
          <w:tcPr>
            <w:tcW w:w="6100" w:type="dxa"/>
          </w:tcPr>
          <w:p w14:paraId="0E2720D6" w14:textId="77777777" w:rsidR="008C7531" w:rsidRPr="008C7531" w:rsidRDefault="008C7531" w:rsidP="008C7531">
            <w:pPr>
              <w:jc w:val="both"/>
              <w:rPr>
                <w:rFonts w:ascii="Verdana" w:eastAsia="Calibri" w:hAnsi="Verdana" w:cs="Arial"/>
                <w:lang w:val="es-ES_tradnl" w:eastAsia="es-ES_tradnl"/>
              </w:rPr>
            </w:pPr>
            <w:r w:rsidRPr="008C7531">
              <w:rPr>
                <w:rFonts w:ascii="Verdana" w:eastAsia="Calibri" w:hAnsi="Verdana" w:cs="Arial"/>
                <w:lang w:val="es-ES_tradnl" w:eastAsia="es-ES_tradnl"/>
              </w:rPr>
              <w:t>Respuesta a consulta con radicado No. P20240624006391</w:t>
            </w:r>
          </w:p>
        </w:tc>
      </w:tr>
    </w:tbl>
    <w:p w14:paraId="7F8CFFE6" w14:textId="77777777" w:rsidR="008C7531" w:rsidRPr="008C7531" w:rsidRDefault="008C7531" w:rsidP="008C7531">
      <w:pPr>
        <w:spacing w:after="0" w:line="240" w:lineRule="auto"/>
        <w:jc w:val="both"/>
        <w:rPr>
          <w:rFonts w:ascii="Verdana" w:eastAsia="Calibri" w:hAnsi="Verdana" w:cs="Arial"/>
          <w:lang w:val="es-ES_tradnl" w:eastAsia="es-ES_tradnl"/>
        </w:rPr>
      </w:pPr>
    </w:p>
    <w:p w14:paraId="5F421DD4" w14:textId="77777777" w:rsidR="008C7531" w:rsidRPr="008C7531" w:rsidRDefault="008C7531" w:rsidP="008C7531">
      <w:pPr>
        <w:spacing w:after="0" w:line="240" w:lineRule="auto"/>
        <w:jc w:val="both"/>
        <w:rPr>
          <w:rFonts w:ascii="Verdana" w:eastAsia="Calibri" w:hAnsi="Verdana" w:cs="Arial"/>
          <w:lang w:val="es-ES_tradnl" w:eastAsia="es-ES_tradnl"/>
        </w:rPr>
      </w:pPr>
    </w:p>
    <w:p w14:paraId="067F30DA" w14:textId="77777777" w:rsidR="008C7531" w:rsidRPr="008C7531" w:rsidRDefault="008C7531" w:rsidP="008C7531">
      <w:pPr>
        <w:spacing w:after="0" w:line="276" w:lineRule="auto"/>
        <w:jc w:val="both"/>
        <w:rPr>
          <w:rFonts w:ascii="Verdana" w:eastAsia="Calibri" w:hAnsi="Verdana" w:cs="Arial"/>
          <w:lang w:val="es-ES" w:eastAsia="es-ES"/>
        </w:rPr>
      </w:pPr>
      <w:r w:rsidRPr="008C7531">
        <w:rPr>
          <w:rFonts w:ascii="Verdana" w:eastAsia="Calibri" w:hAnsi="Verdana" w:cs="Arial"/>
          <w:lang w:val="es-ES" w:eastAsia="es-ES"/>
        </w:rPr>
        <w:t xml:space="preserve">Estimada señora Trujillo: </w:t>
      </w:r>
    </w:p>
    <w:p w14:paraId="5881BEB6" w14:textId="77777777" w:rsidR="008C7531" w:rsidRPr="008C7531" w:rsidRDefault="008C7531" w:rsidP="008C7531">
      <w:pPr>
        <w:tabs>
          <w:tab w:val="left" w:pos="3768"/>
        </w:tabs>
        <w:spacing w:after="0" w:line="276" w:lineRule="auto"/>
        <w:jc w:val="both"/>
        <w:rPr>
          <w:rFonts w:ascii="Verdana" w:eastAsia="Calibri" w:hAnsi="Verdana" w:cs="Arial"/>
          <w:lang w:val="es-ES" w:eastAsia="es-ES"/>
        </w:rPr>
      </w:pPr>
      <w:r w:rsidRPr="008C7531">
        <w:rPr>
          <w:rFonts w:ascii="Verdana" w:eastAsia="Calibri" w:hAnsi="Verdana" w:cs="Arial"/>
          <w:lang w:val="es-ES" w:eastAsia="es-ES"/>
        </w:rPr>
        <w:tab/>
      </w:r>
    </w:p>
    <w:p w14:paraId="047E29B5" w14:textId="77777777" w:rsidR="008C7531" w:rsidRPr="008C7531" w:rsidRDefault="008C7531" w:rsidP="008C7531">
      <w:pPr>
        <w:spacing w:after="0" w:line="276" w:lineRule="auto"/>
        <w:jc w:val="both"/>
        <w:rPr>
          <w:rFonts w:ascii="Verdana" w:eastAsia="Calibri" w:hAnsi="Verdana" w:cs="Arial"/>
          <w:lang w:val="es-ES" w:eastAsia="es-ES"/>
        </w:rPr>
      </w:pPr>
      <w:r w:rsidRPr="008C7531">
        <w:rPr>
          <w:rFonts w:ascii="Verdana" w:eastAsia="Calibri" w:hAnsi="Verdana" w:cs="Arial"/>
          <w:lang w:val="es-ES" w:eastAsia="es-ES"/>
        </w:rPr>
        <w:t>En ejercicio de la competencia otorgada por los artículos 3, numeral 5º, y 11, numeral 8º, del Decreto Ley 4170 de 2011,</w:t>
      </w:r>
      <w:r w:rsidRPr="008C7531">
        <w:rPr>
          <w:rFonts w:ascii="Verdana" w:eastAsia="Arial MT" w:hAnsi="Verdana" w:cs="Arial MT"/>
          <w:lang w:val="es-ES" w:eastAsia="es-ES"/>
        </w:rPr>
        <w:t xml:space="preserve"> </w:t>
      </w:r>
      <w:r w:rsidRPr="008C7531">
        <w:rPr>
          <w:rFonts w:ascii="Verdana" w:eastAsia="Calibri" w:hAnsi="Verdana" w:cs="Arial"/>
        </w:rPr>
        <w:t xml:space="preserve">así como lo establecido en el artículo 4 de la Resolución 1707 de 2018 expedida por esta Entidad, </w:t>
      </w:r>
      <w:r w:rsidRPr="008C7531">
        <w:rPr>
          <w:rFonts w:ascii="Verdana" w:eastAsia="Calibri" w:hAnsi="Verdana" w:cs="Arial"/>
          <w:lang w:val="es-ES" w:eastAsia="es-ES"/>
        </w:rPr>
        <w:t xml:space="preserve">la Agencia Nacional de Contratación Pública – Colombia Compra Eficiente– responde su solicitud de consulta de fecha 24 de junio de 2024. En relación con los documentos tipo de licitación de obra pública de infraestructura social, usted manifiesta lo siguiente: </w:t>
      </w:r>
    </w:p>
    <w:p w14:paraId="7712B335" w14:textId="77777777" w:rsidR="008C7531" w:rsidRPr="008C7531" w:rsidRDefault="008C7531" w:rsidP="008C7531">
      <w:pPr>
        <w:tabs>
          <w:tab w:val="left" w:pos="142"/>
          <w:tab w:val="left" w:pos="284"/>
        </w:tabs>
        <w:spacing w:line="276" w:lineRule="auto"/>
        <w:contextualSpacing/>
        <w:jc w:val="both"/>
        <w:rPr>
          <w:rFonts w:ascii="Verdana" w:eastAsia="Century Gothic" w:hAnsi="Verdana" w:cs="Century Gothic"/>
          <w:b/>
          <w:bCs/>
          <w:lang w:val="es-ES"/>
        </w:rPr>
      </w:pPr>
    </w:p>
    <w:p w14:paraId="2371E9C6" w14:textId="77777777" w:rsidR="008C7531" w:rsidRPr="008C7531" w:rsidRDefault="008C7531" w:rsidP="008C7531">
      <w:pPr>
        <w:spacing w:after="0" w:line="240" w:lineRule="auto"/>
        <w:ind w:left="709" w:right="709"/>
        <w:jc w:val="both"/>
        <w:rPr>
          <w:rFonts w:ascii="Verdana" w:eastAsia="Century Gothic" w:hAnsi="Verdana" w:cs="Century Gothic"/>
          <w:sz w:val="20"/>
          <w:szCs w:val="20"/>
          <w:lang w:val="es-ES"/>
        </w:rPr>
      </w:pPr>
      <w:bookmarkStart w:id="1" w:name="_Hlk95313578"/>
      <w:r w:rsidRPr="008C7531">
        <w:rPr>
          <w:rFonts w:ascii="Verdana" w:eastAsia="Century Gothic" w:hAnsi="Verdana" w:cs="Century Gothic"/>
          <w:sz w:val="20"/>
          <w:szCs w:val="20"/>
          <w:lang w:val="es-ES"/>
        </w:rPr>
        <w:t>“</w:t>
      </w:r>
      <w:bookmarkEnd w:id="1"/>
      <w:r w:rsidRPr="008C7531">
        <w:rPr>
          <w:rFonts w:ascii="Verdana" w:eastAsia="Century Gothic" w:hAnsi="Verdana" w:cs="Century Gothic"/>
          <w:sz w:val="20"/>
          <w:szCs w:val="20"/>
          <w:lang w:val="es-ES"/>
        </w:rPr>
        <w:t>[…]</w:t>
      </w:r>
    </w:p>
    <w:p w14:paraId="64220B99" w14:textId="77777777" w:rsidR="008C7531" w:rsidRPr="008C7531" w:rsidRDefault="008C7531" w:rsidP="008C7531">
      <w:pPr>
        <w:spacing w:after="0" w:line="240" w:lineRule="auto"/>
        <w:ind w:left="709" w:right="709"/>
        <w:jc w:val="both"/>
        <w:rPr>
          <w:rFonts w:ascii="Verdana" w:eastAsia="Calibri" w:hAnsi="Verdana" w:cs="Arial"/>
          <w:sz w:val="20"/>
          <w:szCs w:val="20"/>
          <w:shd w:val="clear" w:color="auto" w:fill="FFFFFF"/>
          <w:lang w:val="es-ES"/>
        </w:rPr>
      </w:pPr>
      <w:r w:rsidRPr="008C7531">
        <w:rPr>
          <w:rFonts w:ascii="Verdana" w:eastAsia="Calibri" w:hAnsi="Verdana" w:cs="Arial"/>
          <w:sz w:val="20"/>
          <w:szCs w:val="20"/>
          <w:shd w:val="clear" w:color="auto" w:fill="FFFFFF"/>
          <w:lang w:val="es-ES"/>
        </w:rPr>
        <w:lastRenderedPageBreak/>
        <w:t>Expuesto lo anterior, solicitamos confirmar nuestro entendimiento, en el sentido que las Entidades contratantes que estructuren procesos licitatorios por lotes o grupos y en tanto que el referido numeral, está en gris, es decir que puede ser diligenciado por la entidad, están facultadas para establecer el orden que se seguirá para fijar el orden de elegibilidad de los lotes o grupos que conforman el proceso de licitación en atención al principio de selección objetiva y podrían, en virtud de lo anterior, elegir, entre las diferentes opciones que puedan configurar para dar cumplimiento a dicho principio, un mecanismo aleatorio para fijar el orden de elegibilidad de los lotes o grupos a adjudicar.”</w:t>
      </w:r>
    </w:p>
    <w:p w14:paraId="0923CF0B" w14:textId="77777777" w:rsidR="008C7531" w:rsidRPr="008C7531" w:rsidRDefault="008C7531" w:rsidP="008C7531">
      <w:pPr>
        <w:tabs>
          <w:tab w:val="left" w:pos="142"/>
          <w:tab w:val="left" w:pos="284"/>
        </w:tabs>
        <w:spacing w:line="276" w:lineRule="auto"/>
        <w:contextualSpacing/>
        <w:jc w:val="both"/>
        <w:rPr>
          <w:rFonts w:ascii="Verdana" w:eastAsia="Century Gothic" w:hAnsi="Verdana" w:cs="Century Gothic"/>
          <w:b/>
          <w:bCs/>
          <w:lang w:val="es-ES"/>
        </w:rPr>
      </w:pPr>
    </w:p>
    <w:p w14:paraId="3DCA8009" w14:textId="77777777" w:rsidR="008C7531" w:rsidRPr="008C7531" w:rsidRDefault="008C7531" w:rsidP="008C7531">
      <w:pPr>
        <w:spacing w:after="120" w:line="276" w:lineRule="auto"/>
        <w:ind w:firstLine="709"/>
        <w:jc w:val="both"/>
        <w:rPr>
          <w:rFonts w:ascii="Verdana" w:eastAsia="Calibri" w:hAnsi="Verdana" w:cs="Arial"/>
          <w:szCs w:val="24"/>
          <w:lang w:val="es-ES_tradnl" w:eastAsia="es-ES_tradnl"/>
        </w:rPr>
      </w:pPr>
      <w:r w:rsidRPr="008C753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C7531">
        <w:rPr>
          <w:rFonts w:ascii="Verdana" w:eastAsia="Calibri" w:hAnsi="Verdana" w:cs="Arial"/>
          <w:szCs w:val="24"/>
          <w:lang w:val="es-ES_tradnl" w:eastAsia="es-ES_tradnl"/>
        </w:rPr>
        <w:tab/>
      </w:r>
    </w:p>
    <w:p w14:paraId="1C9EA519" w14:textId="77777777" w:rsidR="008C7531" w:rsidRPr="008C7531" w:rsidRDefault="008C7531" w:rsidP="008C7531">
      <w:pPr>
        <w:spacing w:after="0" w:line="276" w:lineRule="auto"/>
        <w:ind w:firstLine="709"/>
        <w:jc w:val="both"/>
        <w:rPr>
          <w:rFonts w:ascii="Verdana" w:eastAsia="Calibri" w:hAnsi="Verdana" w:cs="Arial"/>
          <w:lang w:val="es-ES" w:eastAsia="es-ES"/>
        </w:rPr>
      </w:pPr>
      <w:r w:rsidRPr="008C7531">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D308308" w14:textId="77777777" w:rsidR="008C7531" w:rsidRPr="008C7531" w:rsidRDefault="008C7531" w:rsidP="008C7531">
      <w:pPr>
        <w:spacing w:after="0" w:line="276" w:lineRule="auto"/>
        <w:ind w:firstLine="709"/>
        <w:jc w:val="both"/>
        <w:rPr>
          <w:rFonts w:ascii="Verdana" w:eastAsia="Calibri" w:hAnsi="Verdana" w:cs="Arial"/>
          <w:lang w:val="es-ES" w:eastAsia="es-ES"/>
        </w:rPr>
      </w:pPr>
    </w:p>
    <w:p w14:paraId="191F804F" w14:textId="77777777" w:rsidR="008C7531" w:rsidRPr="008C7531" w:rsidRDefault="008C7531" w:rsidP="008C7531">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8C7531">
        <w:rPr>
          <w:rFonts w:ascii="Verdana" w:eastAsia="Century Gothic" w:hAnsi="Verdana" w:cs="Century Gothic"/>
          <w:b/>
          <w:bCs/>
          <w:lang w:val="es-ES"/>
        </w:rPr>
        <w:t>Problema planteado:</w:t>
      </w:r>
    </w:p>
    <w:p w14:paraId="688A053A" w14:textId="77777777" w:rsidR="008C7531" w:rsidRPr="008C7531" w:rsidRDefault="008C7531" w:rsidP="008C7531">
      <w:pPr>
        <w:tabs>
          <w:tab w:val="left" w:pos="426"/>
        </w:tabs>
        <w:spacing w:after="0" w:line="276" w:lineRule="auto"/>
        <w:jc w:val="both"/>
        <w:rPr>
          <w:rFonts w:ascii="Verdana" w:eastAsia="Century Gothic" w:hAnsi="Verdana" w:cs="Century Gothic"/>
          <w:lang w:val="es-ES"/>
        </w:rPr>
      </w:pPr>
    </w:p>
    <w:p w14:paraId="11F77A8F" w14:textId="77777777" w:rsidR="008C7531" w:rsidRPr="008C7531" w:rsidRDefault="008C7531" w:rsidP="008C7531">
      <w:pPr>
        <w:spacing w:after="0" w:line="276" w:lineRule="auto"/>
        <w:jc w:val="both"/>
        <w:rPr>
          <w:rFonts w:ascii="Verdana" w:eastAsia="Century Gothic" w:hAnsi="Verdana" w:cs="Century Gothic"/>
        </w:rPr>
      </w:pPr>
      <w:r w:rsidRPr="008C7531">
        <w:rPr>
          <w:rFonts w:ascii="Verdana" w:eastAsia="Century Gothic" w:hAnsi="Verdana" w:cs="Century Gothic"/>
        </w:rPr>
        <w:t>De acuerdo con el contenido de su solicitud, esta Agencia resolverá el siguiente problema jurídico: ¿las entidades estatales se encuentran facultadas para fijar el orden de elegibilidad, de forma discrecional, en procesos de contratación estructurados por lotes o grupos, de conformidad con el numeral 2.6 del documento base de los documentos tipo de licitación de obra pública de infraestructura social?</w:t>
      </w:r>
    </w:p>
    <w:p w14:paraId="5E25766C" w14:textId="77777777" w:rsidR="008C7531" w:rsidRPr="008C7531" w:rsidRDefault="008C7531" w:rsidP="008C7531">
      <w:pPr>
        <w:spacing w:after="0" w:line="276" w:lineRule="auto"/>
        <w:jc w:val="both"/>
        <w:rPr>
          <w:rFonts w:ascii="Verdana" w:eastAsia="Calibri" w:hAnsi="Verdana" w:cs="Arial"/>
          <w:lang w:val="es-ES"/>
        </w:rPr>
      </w:pPr>
    </w:p>
    <w:p w14:paraId="5E3CE918" w14:textId="77777777" w:rsidR="008C7531" w:rsidRPr="008C7531" w:rsidRDefault="008C7531" w:rsidP="008C753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8C7531">
        <w:rPr>
          <w:rFonts w:ascii="Verdana" w:eastAsia="Century Gothic" w:hAnsi="Verdana" w:cs="Century Gothic"/>
          <w:b/>
          <w:bCs/>
          <w:lang w:val="es-ES"/>
        </w:rPr>
        <w:t>Respuesta:</w:t>
      </w:r>
    </w:p>
    <w:p w14:paraId="61C73215" w14:textId="77777777" w:rsidR="008C7531" w:rsidRPr="008C7531" w:rsidRDefault="008C7531" w:rsidP="008C753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C7531" w:rsidRPr="008C7531" w14:paraId="5A22E438" w14:textId="77777777" w:rsidTr="00AC5A54">
        <w:tc>
          <w:tcPr>
            <w:tcW w:w="8828" w:type="dxa"/>
            <w:shd w:val="clear" w:color="auto" w:fill="auto"/>
          </w:tcPr>
          <w:p w14:paraId="31D92CD7" w14:textId="77777777" w:rsidR="008C7531" w:rsidRPr="008C7531" w:rsidRDefault="008C7531" w:rsidP="008C7531">
            <w:pPr>
              <w:spacing w:line="276" w:lineRule="auto"/>
              <w:jc w:val="both"/>
              <w:rPr>
                <w:rFonts w:ascii="Verdana" w:eastAsia="Calibri" w:hAnsi="Verdana" w:cs="Arial"/>
                <w:lang w:val="es-ES"/>
              </w:rPr>
            </w:pPr>
            <w:r w:rsidRPr="008C7531">
              <w:rPr>
                <w:rFonts w:ascii="Verdana" w:eastAsia="Calibri" w:hAnsi="Verdana" w:cs="Arial"/>
                <w:lang w:val="es-ES"/>
              </w:rPr>
              <w:lastRenderedPageBreak/>
              <w:t xml:space="preserve">Conforme a los documentos tipo de licitación de obra pública de infraestructura social, en procesos de contratación estructurados por lotes o grupos, la entidad estatal deberá establecer el orden de elegibilidad de acuerdo con el numeral 2.6 del documento base. Este numeral contempla dos (2) opciones: i) determinar si se iniciará por el lote con el mayor valor en el Presupuesto Oficial hasta el de menor valor, o viceversa, o </w:t>
            </w:r>
            <w:proofErr w:type="spellStart"/>
            <w:r w:rsidRPr="008C7531">
              <w:rPr>
                <w:rFonts w:ascii="Verdana" w:eastAsia="Calibri" w:hAnsi="Verdana" w:cs="Arial"/>
                <w:lang w:val="es-ES"/>
              </w:rPr>
              <w:t>ii</w:t>
            </w:r>
            <w:proofErr w:type="spellEnd"/>
            <w:r w:rsidRPr="008C7531">
              <w:rPr>
                <w:rFonts w:ascii="Verdana" w:eastAsia="Calibri" w:hAnsi="Verdana" w:cs="Arial"/>
                <w:lang w:val="es-ES"/>
              </w:rPr>
              <w:t>) establecer si se conformará el orden de elegibilidad de acuerdo con el número de lote o el grupo definido en el numeral 1.1 del documento base.</w:t>
            </w:r>
          </w:p>
          <w:p w14:paraId="739A0C71" w14:textId="77777777" w:rsidR="008C7531" w:rsidRPr="008C7531" w:rsidRDefault="008C7531" w:rsidP="008C7531">
            <w:pPr>
              <w:spacing w:line="276" w:lineRule="auto"/>
              <w:jc w:val="both"/>
              <w:rPr>
                <w:rFonts w:ascii="Verdana" w:eastAsia="Calibri" w:hAnsi="Verdana" w:cs="Arial"/>
                <w:lang w:val="es-ES"/>
              </w:rPr>
            </w:pPr>
          </w:p>
          <w:p w14:paraId="77DC512B" w14:textId="77777777" w:rsidR="008C7531" w:rsidRPr="008C7531" w:rsidRDefault="008C7531" w:rsidP="008C7531">
            <w:pPr>
              <w:spacing w:line="276" w:lineRule="auto"/>
              <w:jc w:val="both"/>
              <w:rPr>
                <w:rFonts w:ascii="Verdana" w:eastAsia="Calibri" w:hAnsi="Verdana" w:cs="Arial"/>
                <w:lang w:val="es-ES"/>
              </w:rPr>
            </w:pPr>
            <w:r w:rsidRPr="008C7531">
              <w:rPr>
                <w:rFonts w:ascii="Verdana" w:eastAsia="Calibri" w:hAnsi="Verdana" w:cs="Arial"/>
                <w:lang w:val="es-ES"/>
              </w:rPr>
              <w:t>Por tal motivo, teniendo en cuenta la regla de inalterabilidad de los documentos tipo, la entidad deberá escoger una de esas opciones para fijar el orden de elegibilidad, sin que sea posible optar por una opción adicional a las enunciadas.</w:t>
            </w:r>
          </w:p>
        </w:tc>
      </w:tr>
    </w:tbl>
    <w:p w14:paraId="079A0D17" w14:textId="77777777" w:rsidR="008C7531" w:rsidRPr="008C7531" w:rsidRDefault="008C7531" w:rsidP="008C7531">
      <w:pPr>
        <w:tabs>
          <w:tab w:val="left" w:pos="142"/>
          <w:tab w:val="left" w:pos="284"/>
        </w:tabs>
        <w:spacing w:after="0" w:line="276" w:lineRule="auto"/>
        <w:jc w:val="both"/>
        <w:rPr>
          <w:rFonts w:ascii="Verdana" w:eastAsia="Century Gothic" w:hAnsi="Verdana" w:cs="Century Gothic"/>
          <w:b/>
          <w:bCs/>
          <w:lang w:val="es-ES"/>
        </w:rPr>
      </w:pPr>
    </w:p>
    <w:p w14:paraId="3BF4EF8A" w14:textId="77777777" w:rsidR="008C7531" w:rsidRPr="008C7531" w:rsidRDefault="008C7531" w:rsidP="008C753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8C7531">
        <w:rPr>
          <w:rFonts w:ascii="Verdana" w:eastAsia="Century Gothic" w:hAnsi="Verdana" w:cs="Century Gothic"/>
          <w:b/>
          <w:bCs/>
          <w:lang w:val="es-ES"/>
        </w:rPr>
        <w:t>Razones de la respuesta:</w:t>
      </w:r>
    </w:p>
    <w:p w14:paraId="3E966636" w14:textId="77777777" w:rsidR="008C7531" w:rsidRPr="008C7531" w:rsidRDefault="008C7531" w:rsidP="008C7531">
      <w:pPr>
        <w:spacing w:after="0" w:line="276" w:lineRule="auto"/>
        <w:jc w:val="both"/>
        <w:rPr>
          <w:rFonts w:ascii="Verdana" w:eastAsia="Calibri" w:hAnsi="Verdana" w:cs="Arial"/>
          <w:lang w:val="es-ES"/>
        </w:rPr>
      </w:pPr>
    </w:p>
    <w:p w14:paraId="2ADC00BB" w14:textId="77777777" w:rsidR="008C7531" w:rsidRPr="008C7531" w:rsidRDefault="008C7531" w:rsidP="008C7531">
      <w:pPr>
        <w:spacing w:after="0" w:line="276" w:lineRule="auto"/>
        <w:jc w:val="both"/>
        <w:rPr>
          <w:rFonts w:ascii="Verdana" w:eastAsia="Calibri" w:hAnsi="Verdana" w:cs="Arial"/>
          <w:lang w:val="es-ES"/>
        </w:rPr>
      </w:pPr>
      <w:r w:rsidRPr="008C7531">
        <w:rPr>
          <w:rFonts w:ascii="Verdana" w:eastAsia="Calibri" w:hAnsi="Verdana" w:cs="Arial"/>
          <w:lang w:val="es-ES"/>
        </w:rPr>
        <w:t xml:space="preserve">Lo anterior se sustenta en las siguientes consideraciones: </w:t>
      </w:r>
    </w:p>
    <w:p w14:paraId="5514DAFA" w14:textId="77777777" w:rsidR="008C7531" w:rsidRPr="008C7531" w:rsidRDefault="008C7531" w:rsidP="008C7531">
      <w:pPr>
        <w:spacing w:after="0" w:line="276" w:lineRule="auto"/>
        <w:jc w:val="both"/>
        <w:rPr>
          <w:rFonts w:ascii="Verdana" w:eastAsia="Calibri" w:hAnsi="Verdana" w:cs="Arial"/>
          <w:lang w:val="es-ES"/>
        </w:rPr>
      </w:pPr>
    </w:p>
    <w:p w14:paraId="1C2188E2"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4D8CF455" w14:textId="77777777" w:rsidR="008C7531" w:rsidRPr="008C7531" w:rsidRDefault="008C7531" w:rsidP="008C7531">
      <w:pPr>
        <w:spacing w:line="276" w:lineRule="auto"/>
        <w:ind w:left="720"/>
        <w:contextualSpacing/>
        <w:jc w:val="both"/>
        <w:rPr>
          <w:rFonts w:ascii="Verdana" w:eastAsia="Calibri" w:hAnsi="Verdana" w:cs="Arial"/>
          <w:lang w:val="es-ES"/>
        </w:rPr>
      </w:pPr>
    </w:p>
    <w:p w14:paraId="33863D7E"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las resoluciones expedidas para los sectores de infraestructura de transporte, agua potable-saneamiento básico y social.</w:t>
      </w:r>
    </w:p>
    <w:p w14:paraId="3FF1D1BB" w14:textId="77777777" w:rsidR="008C7531" w:rsidRPr="008C7531" w:rsidRDefault="008C7531" w:rsidP="008C7531">
      <w:pPr>
        <w:spacing w:line="276" w:lineRule="auto"/>
        <w:ind w:left="720"/>
        <w:contextualSpacing/>
        <w:rPr>
          <w:rFonts w:ascii="Verdana" w:eastAsia="Calibri" w:hAnsi="Verdana" w:cs="Times New Roman"/>
          <w:lang w:val="es-ES"/>
        </w:rPr>
      </w:pPr>
    </w:p>
    <w:p w14:paraId="3B07CD4C"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Times New Roman"/>
          <w:lang w:val="es-ES"/>
        </w:rPr>
        <w:t xml:space="preserve">Los Documentos Tipo para la contratación de obras públicas de infraestructura social, adoptados por esta Agencia mediante la Resolución </w:t>
      </w:r>
      <w:r w:rsidRPr="008C7531">
        <w:rPr>
          <w:rFonts w:ascii="Verdana" w:eastAsia="Calibri" w:hAnsi="Verdana" w:cs="Times New Roman"/>
          <w:lang w:val="es-ES"/>
        </w:rPr>
        <w:lastRenderedPageBreak/>
        <w:t>219 del 6 de agosto de 2021</w:t>
      </w:r>
      <w:r w:rsidRPr="008C7531">
        <w:rPr>
          <w:rFonts w:ascii="Verdana" w:eastAsia="Calibri" w:hAnsi="Verdana" w:cs="Times New Roman"/>
          <w:vertAlign w:val="superscript"/>
          <w:lang w:val="es-ES"/>
        </w:rPr>
        <w:footnoteReference w:id="1"/>
      </w:r>
      <w:r w:rsidRPr="008C7531">
        <w:rPr>
          <w:rFonts w:ascii="Verdana" w:eastAsia="Calibri" w:hAnsi="Verdana" w:cs="Times New Roman"/>
          <w:lang w:val="es-ES"/>
        </w:rPr>
        <w:t xml:space="preserve">, fueron concebidos como unos </w:t>
      </w:r>
      <w:r w:rsidRPr="008C7531">
        <w:rPr>
          <w:rFonts w:ascii="Verdana" w:eastAsia="Calibri" w:hAnsi="Verdana" w:cs="Times New Roman"/>
          <w:i/>
          <w:iCs/>
          <w:lang w:val="es-ES"/>
        </w:rPr>
        <w:t>Documentos Tipo marco o transversales</w:t>
      </w:r>
      <w:r w:rsidRPr="008C7531">
        <w:rPr>
          <w:rFonts w:ascii="Verdana" w:eastAsia="Calibri" w:hAnsi="Verdana" w:cs="Times New Roman"/>
          <w:lang w:val="es-ES"/>
        </w:rPr>
        <w:t xml:space="preserve">, en la medida que el documento base, formatos, matrices y anexos implementados mediante la misma, son aplicables a la contratación de obras en la modalidad de licitación pública, relacionadas con tres sectores que integran el concepto de infraestructura social, a saber: i) educación, </w:t>
      </w:r>
      <w:proofErr w:type="spellStart"/>
      <w:r w:rsidRPr="008C7531">
        <w:rPr>
          <w:rFonts w:ascii="Verdana" w:eastAsia="Calibri" w:hAnsi="Verdana" w:cs="Times New Roman"/>
          <w:lang w:val="es-ES"/>
        </w:rPr>
        <w:t>ii</w:t>
      </w:r>
      <w:proofErr w:type="spellEnd"/>
      <w:r w:rsidRPr="008C7531">
        <w:rPr>
          <w:rFonts w:ascii="Verdana" w:eastAsia="Calibri" w:hAnsi="Verdana" w:cs="Times New Roman"/>
          <w:lang w:val="es-ES"/>
        </w:rPr>
        <w:t xml:space="preserve">) salud y  </w:t>
      </w:r>
      <w:proofErr w:type="spellStart"/>
      <w:r w:rsidRPr="008C7531">
        <w:rPr>
          <w:rFonts w:ascii="Verdana" w:eastAsia="Calibri" w:hAnsi="Verdana" w:cs="Times New Roman"/>
          <w:lang w:val="es-ES"/>
        </w:rPr>
        <w:t>iii</w:t>
      </w:r>
      <w:proofErr w:type="spellEnd"/>
      <w:r w:rsidRPr="008C7531">
        <w:rPr>
          <w:rFonts w:ascii="Verdana" w:eastAsia="Calibri" w:hAnsi="Verdana" w:cs="Times New Roman"/>
          <w:lang w:val="es-ES"/>
        </w:rPr>
        <w:t xml:space="preserve">) cultura, recreación y deporte La aplicación de estos Documentos Tipo debe ser complementada con los </w:t>
      </w:r>
      <w:r w:rsidRPr="008C7531">
        <w:rPr>
          <w:rFonts w:ascii="Verdana" w:eastAsia="Calibri" w:hAnsi="Verdana" w:cs="Times New Roman"/>
          <w:i/>
          <w:iCs/>
          <w:lang w:val="es-ES"/>
        </w:rPr>
        <w:t>Documentos Tipo complementarios</w:t>
      </w:r>
      <w:r w:rsidRPr="008C7531">
        <w:rPr>
          <w:rFonts w:ascii="Verdana" w:eastAsia="Calibri" w:hAnsi="Verdana" w:cs="Times New Roman"/>
          <w:lang w:val="es-ES"/>
        </w:rPr>
        <w:t xml:space="preserve"> expedidos para cada sector, consistentes en las matrices de experiencia y anexos técnicos de cada uno de ellos. </w:t>
      </w:r>
    </w:p>
    <w:p w14:paraId="355BB8B2" w14:textId="77777777" w:rsidR="008C7531" w:rsidRPr="008C7531" w:rsidRDefault="008C7531" w:rsidP="008C7531">
      <w:pPr>
        <w:spacing w:line="276" w:lineRule="auto"/>
        <w:ind w:left="720"/>
        <w:contextualSpacing/>
        <w:rPr>
          <w:rFonts w:ascii="Verdana" w:eastAsia="Calibri" w:hAnsi="Verdana" w:cs="Times New Roman"/>
          <w:lang w:val="es-ES"/>
        </w:rPr>
      </w:pPr>
    </w:p>
    <w:p w14:paraId="1AC96792"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Times New Roman"/>
          <w:lang w:val="es-ES"/>
        </w:rPr>
        <w:t xml:space="preserve">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w:t>
      </w:r>
      <w:bookmarkStart w:id="2" w:name="_Hlk109652495"/>
      <w:r w:rsidRPr="008C7531">
        <w:rPr>
          <w:rFonts w:ascii="Verdana" w:eastAsia="Calibri" w:hAnsi="Verdana" w:cs="Times New Roman"/>
          <w:lang w:val="es-ES"/>
        </w:rPr>
        <w:t>cultura, recreación y deporte</w:t>
      </w:r>
      <w:bookmarkEnd w:id="2"/>
      <w:r w:rsidRPr="008C7531">
        <w:rPr>
          <w:rFonts w:ascii="Verdana" w:eastAsia="Calibri" w:hAnsi="Verdana" w:cs="Times New Roman"/>
          <w:lang w:val="es-ES"/>
        </w:rPr>
        <w:t>”.</w:t>
      </w:r>
      <w:r w:rsidRPr="008C7531">
        <w:rPr>
          <w:rFonts w:ascii="Verdana" w:eastAsia="Calibri" w:hAnsi="Verdana" w:cs="Times New Roman"/>
          <w:bCs/>
          <w:lang w:val="es-ES" w:eastAsia="es-ES_tradnl"/>
        </w:rPr>
        <w:t xml:space="preserve"> El ámbito de aplicación de los Documentos Tipo de infraestructura social está determinado por las resoluciones mediante las cuales se implementan los documentos complementarios, que desarrollan las matrices de experiencia y los glosarios que definirán concretamente cada sector y que precisan de forma detallada su ámbito de aplicación. </w:t>
      </w:r>
    </w:p>
    <w:p w14:paraId="3B971CE3" w14:textId="77777777" w:rsidR="008C7531" w:rsidRPr="008C7531" w:rsidRDefault="008C7531" w:rsidP="008C7531">
      <w:pPr>
        <w:spacing w:line="276" w:lineRule="auto"/>
        <w:ind w:left="720"/>
        <w:contextualSpacing/>
        <w:jc w:val="both"/>
        <w:rPr>
          <w:rFonts w:ascii="Verdana" w:eastAsia="Calibri" w:hAnsi="Verdana" w:cs="Arial"/>
          <w:lang w:val="es-ES"/>
        </w:rPr>
      </w:pPr>
    </w:p>
    <w:p w14:paraId="2F3C09EE"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 xml:space="preserve">Explicado lo anterior, es necesario precisar que, el numeral 2.6 del documento base de los Documentos Tipo de licitación de obra pública de infraestructura social, establece lo siguiente: </w:t>
      </w:r>
    </w:p>
    <w:p w14:paraId="2D55C4A8" w14:textId="77777777" w:rsidR="008C7531" w:rsidRPr="008C7531" w:rsidRDefault="008C7531" w:rsidP="008C7531">
      <w:pPr>
        <w:spacing w:after="0" w:line="278" w:lineRule="auto"/>
        <w:ind w:left="720"/>
        <w:contextualSpacing/>
        <w:rPr>
          <w:rFonts w:ascii="Verdana" w:eastAsia="Calibri" w:hAnsi="Verdana" w:cs="Arial"/>
          <w:lang w:val="es-ES"/>
        </w:rPr>
      </w:pPr>
    </w:p>
    <w:p w14:paraId="4E6628AA" w14:textId="77777777" w:rsidR="008C7531" w:rsidRPr="008C7531" w:rsidRDefault="008C7531" w:rsidP="008C7531">
      <w:pPr>
        <w:spacing w:after="0" w:line="240" w:lineRule="auto"/>
        <w:ind w:left="709" w:right="709"/>
        <w:contextualSpacing/>
        <w:jc w:val="both"/>
        <w:rPr>
          <w:rFonts w:ascii="Verdana" w:eastAsia="Calibri" w:hAnsi="Verdana" w:cs="Arial"/>
          <w:sz w:val="21"/>
          <w:szCs w:val="21"/>
          <w:highlight w:val="lightGray"/>
          <w:lang w:val="es-ES"/>
        </w:rPr>
      </w:pPr>
      <w:r w:rsidRPr="008C7531">
        <w:rPr>
          <w:rFonts w:ascii="Verdana" w:eastAsia="Calibri" w:hAnsi="Verdana" w:cs="Arial"/>
          <w:sz w:val="21"/>
          <w:szCs w:val="21"/>
          <w:highlight w:val="lightGray"/>
          <w:lang w:val="es-ES"/>
        </w:rPr>
        <w:t xml:space="preserve">[En los procesos estructurados por lotes o grupos la Entidad debe establecer en este numeral el orden que seguirá para fijar el orden de </w:t>
      </w:r>
      <w:r w:rsidRPr="008C7531">
        <w:rPr>
          <w:rFonts w:ascii="Verdana" w:eastAsia="Calibri" w:hAnsi="Verdana" w:cs="Arial"/>
          <w:sz w:val="21"/>
          <w:szCs w:val="21"/>
          <w:highlight w:val="lightGray"/>
          <w:lang w:val="es-ES"/>
        </w:rPr>
        <w:lastRenderedPageBreak/>
        <w:t>elegibilidad de los lotes o grupos que conforman el Proceso de Contratación, esto es, si se iniciará por el lote con el mayor valor en el Presupuesto Oficial hasta el de menor valor, o viceversa, o si se conformará el orden de elegibilidad de acuerdo con el número de lote o el grupo definido en el numeral 1.1.</w:t>
      </w:r>
    </w:p>
    <w:p w14:paraId="4032CE1C" w14:textId="77777777" w:rsidR="008C7531" w:rsidRPr="008C7531" w:rsidRDefault="008C7531" w:rsidP="008C7531">
      <w:pPr>
        <w:spacing w:after="0" w:line="240" w:lineRule="auto"/>
        <w:ind w:left="709" w:right="709"/>
        <w:contextualSpacing/>
        <w:jc w:val="both"/>
        <w:rPr>
          <w:rFonts w:ascii="Verdana" w:eastAsia="Calibri" w:hAnsi="Verdana" w:cs="Arial"/>
          <w:sz w:val="21"/>
          <w:szCs w:val="21"/>
          <w:highlight w:val="lightGray"/>
          <w:lang w:val="es-ES"/>
        </w:rPr>
      </w:pPr>
    </w:p>
    <w:p w14:paraId="7819E588" w14:textId="77777777" w:rsidR="008C7531" w:rsidRPr="008C7531" w:rsidRDefault="008C7531" w:rsidP="008C7531">
      <w:pPr>
        <w:spacing w:after="0" w:line="240" w:lineRule="auto"/>
        <w:ind w:left="709" w:right="709"/>
        <w:contextualSpacing/>
        <w:jc w:val="both"/>
        <w:rPr>
          <w:rFonts w:ascii="Verdana" w:eastAsia="Calibri" w:hAnsi="Verdana" w:cs="Arial"/>
          <w:sz w:val="21"/>
          <w:szCs w:val="21"/>
          <w:lang w:val="es-ES"/>
        </w:rPr>
      </w:pPr>
      <w:r w:rsidRPr="008C7531">
        <w:rPr>
          <w:rFonts w:ascii="Verdana" w:eastAsia="Calibri" w:hAnsi="Verdana" w:cs="Arial"/>
          <w:sz w:val="21"/>
          <w:szCs w:val="21"/>
          <w:highlight w:val="lightGray"/>
          <w:lang w:val="es-ES"/>
        </w:rPr>
        <w:t>Establecido el orden de elegibilidad del primer lote, de acuerdo con el orden definido por la Entidad, se dará apertura al Sobre 2 del siguiente lote y se indicará el orden de elegibilidad, y así sucesivamente para cada lote o grupo que conforman el proceso, de acuerdo con el orden determinado por la Entidad].</w:t>
      </w:r>
    </w:p>
    <w:p w14:paraId="148778B0" w14:textId="77777777" w:rsidR="008C7531" w:rsidRPr="008C7531" w:rsidRDefault="008C7531" w:rsidP="008C7531">
      <w:pPr>
        <w:spacing w:after="0" w:line="278" w:lineRule="auto"/>
        <w:ind w:left="720"/>
        <w:contextualSpacing/>
        <w:rPr>
          <w:rFonts w:ascii="Verdana" w:eastAsia="Calibri" w:hAnsi="Verdana" w:cs="Arial"/>
          <w:lang w:val="es-ES"/>
        </w:rPr>
      </w:pPr>
    </w:p>
    <w:p w14:paraId="2C2DA92B"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 xml:space="preserve">Conforme al Diccionario Prehispánico de Dudas de la Real Academia Española, la expresión </w:t>
      </w:r>
      <w:r w:rsidRPr="008C7531">
        <w:rPr>
          <w:rFonts w:ascii="Verdana" w:eastAsia="Calibri" w:hAnsi="Verdana" w:cs="Arial"/>
          <w:i/>
          <w:iCs/>
          <w:lang w:val="es-ES"/>
        </w:rPr>
        <w:t xml:space="preserve">“id </w:t>
      </w:r>
      <w:proofErr w:type="spellStart"/>
      <w:r w:rsidRPr="008C7531">
        <w:rPr>
          <w:rFonts w:ascii="Verdana" w:eastAsia="Calibri" w:hAnsi="Verdana" w:cs="Arial"/>
          <w:i/>
          <w:iCs/>
          <w:lang w:val="es-ES"/>
        </w:rPr>
        <w:t>est</w:t>
      </w:r>
      <w:proofErr w:type="spellEnd"/>
      <w:r w:rsidRPr="008C7531">
        <w:rPr>
          <w:rFonts w:ascii="Verdana" w:eastAsia="Calibri" w:hAnsi="Verdana" w:cs="Arial"/>
          <w:i/>
          <w:iCs/>
          <w:lang w:val="es-ES"/>
        </w:rPr>
        <w:t>”</w:t>
      </w:r>
      <w:r w:rsidRPr="008C7531">
        <w:rPr>
          <w:rFonts w:ascii="Verdana" w:eastAsia="Calibri" w:hAnsi="Verdana" w:cs="Arial"/>
          <w:lang w:val="es-ES"/>
        </w:rPr>
        <w:t xml:space="preserve"> es una </w:t>
      </w:r>
      <w:r w:rsidRPr="008C7531">
        <w:rPr>
          <w:rFonts w:ascii="Verdana" w:eastAsia="Calibri" w:hAnsi="Verdana" w:cs="Arial"/>
          <w:i/>
          <w:iCs/>
          <w:lang w:val="es-ES"/>
        </w:rPr>
        <w:t>“[e]</w:t>
      </w:r>
      <w:proofErr w:type="spellStart"/>
      <w:r w:rsidRPr="008C7531">
        <w:rPr>
          <w:rFonts w:ascii="Verdana" w:eastAsia="Calibri" w:hAnsi="Verdana" w:cs="Arial"/>
          <w:i/>
          <w:iCs/>
          <w:lang w:val="es-ES"/>
        </w:rPr>
        <w:t>xpresión</w:t>
      </w:r>
      <w:proofErr w:type="spellEnd"/>
      <w:r w:rsidRPr="008C7531">
        <w:rPr>
          <w:rFonts w:ascii="Verdana" w:eastAsia="Calibri" w:hAnsi="Verdana" w:cs="Arial"/>
          <w:i/>
          <w:iCs/>
          <w:lang w:val="es-ES"/>
        </w:rPr>
        <w:t xml:space="preserve"> latina que significa literalmente </w:t>
      </w:r>
      <w:r w:rsidRPr="008C7531">
        <w:rPr>
          <w:rFonts w:ascii="Verdana" w:eastAsia="Calibri" w:hAnsi="Verdana" w:cs="Arial"/>
          <w:i/>
          <w:iCs/>
          <w:u w:val="single"/>
          <w:lang w:val="es-ES"/>
        </w:rPr>
        <w:t>'esto es'</w:t>
      </w:r>
      <w:r w:rsidRPr="008C7531">
        <w:rPr>
          <w:rFonts w:ascii="Verdana" w:eastAsia="Calibri" w:hAnsi="Verdana" w:cs="Arial"/>
          <w:i/>
          <w:iCs/>
          <w:lang w:val="es-ES"/>
        </w:rPr>
        <w:t>. Se utiliza entre pausas para dar paso a una explicación de lo que se acaba de expresar: […] Es equivalente de expresiones españolas como esto es, es decir, o sea.”</w:t>
      </w:r>
      <w:r w:rsidRPr="008C7531">
        <w:rPr>
          <w:rFonts w:ascii="Verdana" w:eastAsia="Calibri" w:hAnsi="Verdana" w:cs="Arial"/>
          <w:i/>
          <w:iCs/>
          <w:vertAlign w:val="superscript"/>
          <w:lang w:val="es-ES"/>
        </w:rPr>
        <w:footnoteReference w:id="2"/>
      </w:r>
      <w:r w:rsidRPr="008C7531">
        <w:rPr>
          <w:rFonts w:ascii="Verdana" w:eastAsia="Calibri" w:hAnsi="Verdana" w:cs="Arial"/>
          <w:i/>
          <w:iCs/>
          <w:lang w:val="es-ES"/>
        </w:rPr>
        <w:t xml:space="preserve"> </w:t>
      </w:r>
      <w:r w:rsidRPr="008C7531">
        <w:rPr>
          <w:rFonts w:ascii="Verdana" w:eastAsia="Calibri" w:hAnsi="Verdana" w:cs="Arial"/>
          <w:lang w:val="es-ES"/>
        </w:rPr>
        <w:t>[Subrayas fuera de texto original].</w:t>
      </w:r>
    </w:p>
    <w:p w14:paraId="6EBF970F" w14:textId="77777777" w:rsidR="008C7531" w:rsidRPr="008C7531" w:rsidRDefault="008C7531" w:rsidP="008C7531">
      <w:pPr>
        <w:spacing w:after="0" w:line="276" w:lineRule="auto"/>
        <w:ind w:left="720"/>
        <w:contextualSpacing/>
        <w:jc w:val="both"/>
        <w:rPr>
          <w:rFonts w:ascii="Verdana" w:eastAsia="Calibri" w:hAnsi="Verdana" w:cs="Arial"/>
          <w:lang w:val="es-ES"/>
        </w:rPr>
      </w:pPr>
    </w:p>
    <w:p w14:paraId="4712FC61"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 xml:space="preserve">De esta manera, cuando en el apartado entre corchetes y resaltado en gris del numeral 2.6 del documento base se incluye la expresión </w:t>
      </w:r>
      <w:r w:rsidRPr="008C7531">
        <w:rPr>
          <w:rFonts w:ascii="Verdana" w:eastAsia="Calibri" w:hAnsi="Verdana" w:cs="Arial"/>
          <w:i/>
          <w:iCs/>
          <w:lang w:val="es-ES"/>
        </w:rPr>
        <w:t>esto es</w:t>
      </w:r>
      <w:r w:rsidRPr="008C7531">
        <w:rPr>
          <w:rFonts w:ascii="Verdana" w:eastAsia="Calibri" w:hAnsi="Verdana" w:cs="Arial"/>
          <w:lang w:val="es-ES"/>
        </w:rPr>
        <w:t xml:space="preserve">, se pretende explicar las opciones con las que cuenta la entidad estatal para fijar el orden de elegibilidad en procesos de contratación estructurados por lotes o grupos. </w:t>
      </w:r>
    </w:p>
    <w:p w14:paraId="3E68FEAA" w14:textId="77777777" w:rsidR="008C7531" w:rsidRPr="008C7531" w:rsidRDefault="008C7531" w:rsidP="008C7531">
      <w:pPr>
        <w:spacing w:after="0" w:line="276" w:lineRule="auto"/>
        <w:contextualSpacing/>
        <w:jc w:val="both"/>
        <w:rPr>
          <w:rFonts w:ascii="Verdana" w:eastAsia="Calibri" w:hAnsi="Verdana" w:cs="Arial"/>
          <w:lang w:val="es-ES"/>
        </w:rPr>
      </w:pPr>
    </w:p>
    <w:p w14:paraId="5CFE8909"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 xml:space="preserve">Esto significa que, en procesos de contratación estructurados por lotes o grupos, la entidad estatal cuenta con dos (2) opciones para establecer el orden de elegibilidad de los lotes o grupos: i) determinar si se iniciará por el lote con el mayor valor en el Presupuesto Oficial hasta el de menor valor, o viceversa, o </w:t>
      </w:r>
      <w:proofErr w:type="spellStart"/>
      <w:r w:rsidRPr="008C7531">
        <w:rPr>
          <w:rFonts w:ascii="Verdana" w:eastAsia="Calibri" w:hAnsi="Verdana" w:cs="Arial"/>
          <w:lang w:val="es-ES"/>
        </w:rPr>
        <w:t>ii</w:t>
      </w:r>
      <w:proofErr w:type="spellEnd"/>
      <w:r w:rsidRPr="008C7531">
        <w:rPr>
          <w:rFonts w:ascii="Verdana" w:eastAsia="Calibri" w:hAnsi="Verdana" w:cs="Arial"/>
          <w:lang w:val="es-ES"/>
        </w:rPr>
        <w:t xml:space="preserve">) establecer si se conformará el orden de elegibilidad de acuerdo con el número de lote o el grupo definido en el numeral 1.1 del documento base. </w:t>
      </w:r>
    </w:p>
    <w:p w14:paraId="2BDC10D6" w14:textId="77777777" w:rsidR="008C7531" w:rsidRPr="008C7531" w:rsidRDefault="008C7531" w:rsidP="008C7531">
      <w:pPr>
        <w:spacing w:after="0" w:line="276" w:lineRule="auto"/>
        <w:ind w:left="720"/>
        <w:contextualSpacing/>
        <w:jc w:val="both"/>
        <w:rPr>
          <w:rFonts w:ascii="Verdana" w:eastAsia="Calibri" w:hAnsi="Verdana" w:cs="Arial"/>
          <w:lang w:val="es-ES"/>
        </w:rPr>
      </w:pPr>
    </w:p>
    <w:p w14:paraId="347EB12B"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El numeral 1.1 del documento base de los documentos tipo en comento, establece que, cuando el proceso se estructure por lotes o grupos, la entidad estatal debe incluir tantas filas como número de lotes a contratar y debe incorporar la siguiente tabla:</w:t>
      </w:r>
    </w:p>
    <w:p w14:paraId="7B5F86C6" w14:textId="77777777" w:rsidR="008C7531" w:rsidRPr="008C7531" w:rsidRDefault="008C7531" w:rsidP="008C7531">
      <w:pPr>
        <w:spacing w:line="278" w:lineRule="auto"/>
        <w:rPr>
          <w:rFonts w:ascii="Verdana" w:eastAsia="Calibri" w:hAnsi="Verdana" w:cs="Arial"/>
          <w:kern w:val="2"/>
          <w:lang w:val="es-ES"/>
          <w14:ligatures w14:val="standardContextual"/>
        </w:rPr>
      </w:pPr>
    </w:p>
    <w:tbl>
      <w:tblPr>
        <w:tblW w:w="433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077"/>
        <w:gridCol w:w="1852"/>
        <w:gridCol w:w="1476"/>
        <w:gridCol w:w="1614"/>
        <w:gridCol w:w="1621"/>
      </w:tblGrid>
      <w:tr w:rsidR="008C7531" w:rsidRPr="008C7531" w14:paraId="3777560E" w14:textId="77777777" w:rsidTr="008C7531">
        <w:trPr>
          <w:trHeight w:val="806"/>
          <w:tblHeader/>
          <w:jc w:val="center"/>
        </w:trPr>
        <w:tc>
          <w:tcPr>
            <w:tcW w:w="705" w:type="pct"/>
            <w:tcBorders>
              <w:top w:val="double" w:sz="4" w:space="0" w:color="auto"/>
              <w:bottom w:val="single" w:sz="6" w:space="0" w:color="auto"/>
            </w:tcBorders>
            <w:shd w:val="clear" w:color="auto" w:fill="404040"/>
            <w:vAlign w:val="center"/>
          </w:tcPr>
          <w:p w14:paraId="1AC25710" w14:textId="77777777" w:rsidR="008C7531" w:rsidRPr="008C7531" w:rsidRDefault="008C7531" w:rsidP="008C7531">
            <w:pPr>
              <w:spacing w:after="0" w:line="240" w:lineRule="auto"/>
              <w:jc w:val="center"/>
              <w:rPr>
                <w:rFonts w:ascii="Verdana" w:eastAsia="Aptos" w:hAnsi="Verdana" w:cs="Arial"/>
                <w:b/>
                <w:bCs/>
                <w:kern w:val="2"/>
                <w:sz w:val="20"/>
                <w:szCs w:val="20"/>
                <w:lang w:eastAsia="es-CO"/>
                <w14:ligatures w14:val="standardContextual"/>
              </w:rPr>
            </w:pPr>
            <w:r w:rsidRPr="008C7531">
              <w:rPr>
                <w:rFonts w:ascii="Verdana" w:eastAsia="Aptos" w:hAnsi="Verdana" w:cs="Arial"/>
                <w:b/>
                <w:bCs/>
                <w:kern w:val="2"/>
                <w:sz w:val="20"/>
                <w:szCs w:val="20"/>
                <w:lang w:eastAsia="es-CO"/>
                <w14:ligatures w14:val="standardContextual"/>
              </w:rPr>
              <w:t>Número de lote</w:t>
            </w:r>
          </w:p>
        </w:tc>
        <w:tc>
          <w:tcPr>
            <w:tcW w:w="1212" w:type="pct"/>
            <w:tcBorders>
              <w:top w:val="double" w:sz="4" w:space="0" w:color="auto"/>
              <w:bottom w:val="single" w:sz="6" w:space="0" w:color="auto"/>
            </w:tcBorders>
            <w:shd w:val="clear" w:color="auto" w:fill="404040"/>
            <w:vAlign w:val="center"/>
          </w:tcPr>
          <w:p w14:paraId="2C92C17A" w14:textId="77777777" w:rsidR="008C7531" w:rsidRPr="008C7531" w:rsidRDefault="008C7531" w:rsidP="008C7531">
            <w:pPr>
              <w:spacing w:after="0" w:line="240" w:lineRule="auto"/>
              <w:jc w:val="center"/>
              <w:rPr>
                <w:rFonts w:ascii="Verdana" w:eastAsia="Arial,Times New Roman" w:hAnsi="Verdana" w:cs="Arial"/>
                <w:b/>
                <w:bCs/>
                <w:kern w:val="2"/>
                <w:sz w:val="20"/>
                <w:szCs w:val="20"/>
                <w:lang w:eastAsia="es-CO"/>
                <w14:ligatures w14:val="standardContextual"/>
              </w:rPr>
            </w:pPr>
            <w:r w:rsidRPr="008C7531">
              <w:rPr>
                <w:rFonts w:ascii="Verdana" w:eastAsia="Aptos" w:hAnsi="Verdana" w:cs="Arial"/>
                <w:b/>
                <w:bCs/>
                <w:kern w:val="2"/>
                <w:sz w:val="20"/>
                <w:szCs w:val="20"/>
                <w:lang w:eastAsia="es-CO"/>
                <w14:ligatures w14:val="standardContextual"/>
              </w:rPr>
              <w:t>Objeto del proyecto, lote o grupo</w:t>
            </w:r>
          </w:p>
        </w:tc>
        <w:tc>
          <w:tcPr>
            <w:tcW w:w="966" w:type="pct"/>
            <w:tcBorders>
              <w:top w:val="double" w:sz="4" w:space="0" w:color="auto"/>
              <w:bottom w:val="single" w:sz="6" w:space="0" w:color="auto"/>
            </w:tcBorders>
            <w:shd w:val="clear" w:color="auto" w:fill="404040"/>
            <w:vAlign w:val="center"/>
          </w:tcPr>
          <w:p w14:paraId="151535CC" w14:textId="77777777" w:rsidR="008C7531" w:rsidRPr="008C7531" w:rsidRDefault="008C7531" w:rsidP="008C7531">
            <w:pPr>
              <w:spacing w:after="0" w:line="240" w:lineRule="auto"/>
              <w:jc w:val="center"/>
              <w:rPr>
                <w:rFonts w:ascii="Verdana" w:eastAsia="Arial,Times New Roman" w:hAnsi="Verdana" w:cs="Arial"/>
                <w:b/>
                <w:bCs/>
                <w:kern w:val="2"/>
                <w:sz w:val="20"/>
                <w:szCs w:val="20"/>
                <w:lang w:eastAsia="es-CO"/>
                <w14:ligatures w14:val="standardContextual"/>
              </w:rPr>
            </w:pPr>
            <w:r w:rsidRPr="008C7531">
              <w:rPr>
                <w:rFonts w:ascii="Verdana" w:eastAsia="Aptos" w:hAnsi="Verdana" w:cs="Arial"/>
                <w:b/>
                <w:bCs/>
                <w:kern w:val="2"/>
                <w:sz w:val="20"/>
                <w:szCs w:val="20"/>
                <w:lang w:eastAsia="es-CO"/>
                <w14:ligatures w14:val="standardContextual"/>
              </w:rPr>
              <w:t xml:space="preserve">Plazo del Contrato </w:t>
            </w:r>
          </w:p>
        </w:tc>
        <w:tc>
          <w:tcPr>
            <w:tcW w:w="1056" w:type="pct"/>
            <w:tcBorders>
              <w:top w:val="double" w:sz="4" w:space="0" w:color="auto"/>
              <w:bottom w:val="single" w:sz="6" w:space="0" w:color="auto"/>
            </w:tcBorders>
            <w:shd w:val="clear" w:color="auto" w:fill="404040"/>
            <w:vAlign w:val="center"/>
          </w:tcPr>
          <w:p w14:paraId="69BD89BB" w14:textId="77777777" w:rsidR="008C7531" w:rsidRPr="008C7531" w:rsidRDefault="008C7531" w:rsidP="008C7531">
            <w:pPr>
              <w:spacing w:after="0" w:line="240" w:lineRule="auto"/>
              <w:jc w:val="center"/>
              <w:rPr>
                <w:rFonts w:ascii="Verdana" w:eastAsia="Arial,Times New Roman" w:hAnsi="Verdana" w:cs="Arial"/>
                <w:b/>
                <w:bCs/>
                <w:kern w:val="2"/>
                <w:sz w:val="20"/>
                <w:szCs w:val="20"/>
                <w:lang w:eastAsia="es-CO"/>
                <w14:ligatures w14:val="standardContextual"/>
              </w:rPr>
            </w:pPr>
            <w:r w:rsidRPr="008C7531">
              <w:rPr>
                <w:rFonts w:ascii="Verdana" w:eastAsia="Aptos" w:hAnsi="Verdana" w:cs="Arial"/>
                <w:b/>
                <w:bCs/>
                <w:kern w:val="2"/>
                <w:sz w:val="20"/>
                <w:szCs w:val="20"/>
                <w:lang w:eastAsia="es-CO"/>
                <w14:ligatures w14:val="standardContextual"/>
              </w:rPr>
              <w:t xml:space="preserve">Valor Presupuesto Oficial </w:t>
            </w:r>
            <w:r w:rsidRPr="008C7531">
              <w:rPr>
                <w:rFonts w:ascii="Verdana" w:eastAsia="Aptos" w:hAnsi="Verdana" w:cs="Arial"/>
                <w:b/>
                <w:kern w:val="2"/>
                <w:sz w:val="20"/>
                <w:szCs w:val="20"/>
                <w:lang w:eastAsia="es-CO"/>
                <w14:ligatures w14:val="standardContextual"/>
              </w:rPr>
              <w:t>(pesos incluido IVA)</w:t>
            </w:r>
          </w:p>
        </w:tc>
        <w:tc>
          <w:tcPr>
            <w:tcW w:w="1061" w:type="pct"/>
            <w:tcBorders>
              <w:top w:val="double" w:sz="4" w:space="0" w:color="auto"/>
              <w:bottom w:val="single" w:sz="6" w:space="0" w:color="auto"/>
            </w:tcBorders>
            <w:shd w:val="clear" w:color="auto" w:fill="404040"/>
            <w:vAlign w:val="center"/>
          </w:tcPr>
          <w:p w14:paraId="2759B4BC" w14:textId="77777777" w:rsidR="008C7531" w:rsidRPr="008C7531" w:rsidRDefault="008C7531" w:rsidP="008C7531">
            <w:pPr>
              <w:spacing w:after="0" w:line="240" w:lineRule="auto"/>
              <w:jc w:val="center"/>
              <w:rPr>
                <w:rFonts w:ascii="Verdana" w:eastAsia="Arial,Times New Roman" w:hAnsi="Verdana" w:cs="Arial"/>
                <w:b/>
                <w:bCs/>
                <w:kern w:val="2"/>
                <w:sz w:val="20"/>
                <w:szCs w:val="20"/>
                <w:lang w:eastAsia="es-CO"/>
                <w14:ligatures w14:val="standardContextual"/>
              </w:rPr>
            </w:pPr>
            <w:r w:rsidRPr="008C7531">
              <w:rPr>
                <w:rFonts w:ascii="Verdana" w:eastAsia="Aptos" w:hAnsi="Verdana" w:cs="Arial"/>
                <w:b/>
                <w:bCs/>
                <w:kern w:val="2"/>
                <w:sz w:val="20"/>
                <w:szCs w:val="20"/>
                <w:lang w:eastAsia="es-CO"/>
                <w14:ligatures w14:val="standardContextual"/>
              </w:rPr>
              <w:t>Lugar(es) de ejecución del Contrato</w:t>
            </w:r>
          </w:p>
        </w:tc>
      </w:tr>
      <w:tr w:rsidR="008C7531" w:rsidRPr="008C7531" w14:paraId="3CC1665D" w14:textId="77777777" w:rsidTr="00AC5A54">
        <w:trPr>
          <w:trHeight w:val="822"/>
          <w:jc w:val="center"/>
        </w:trPr>
        <w:tc>
          <w:tcPr>
            <w:tcW w:w="705" w:type="pct"/>
            <w:tcBorders>
              <w:top w:val="single" w:sz="6" w:space="0" w:color="auto"/>
              <w:bottom w:val="single" w:sz="6" w:space="0" w:color="auto"/>
            </w:tcBorders>
            <w:vAlign w:val="center"/>
          </w:tcPr>
          <w:p w14:paraId="782D350B" w14:textId="77777777" w:rsidR="008C7531" w:rsidRPr="008C7531" w:rsidRDefault="008C7531" w:rsidP="008C7531">
            <w:pPr>
              <w:spacing w:after="0" w:line="240" w:lineRule="auto"/>
              <w:jc w:val="center"/>
              <w:rPr>
                <w:rFonts w:ascii="Verdana" w:eastAsia="Aptos"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 xml:space="preserve">[Incluir el número del lote] </w:t>
            </w:r>
          </w:p>
        </w:tc>
        <w:tc>
          <w:tcPr>
            <w:tcW w:w="1212" w:type="pct"/>
            <w:tcBorders>
              <w:top w:val="single" w:sz="6" w:space="0" w:color="auto"/>
              <w:bottom w:val="single" w:sz="6" w:space="0" w:color="auto"/>
            </w:tcBorders>
            <w:vAlign w:val="center"/>
          </w:tcPr>
          <w:p w14:paraId="7958DEA7" w14:textId="77777777" w:rsidR="008C7531" w:rsidRPr="008C7531" w:rsidRDefault="008C7531" w:rsidP="008C7531">
            <w:pPr>
              <w:spacing w:after="0" w:line="240" w:lineRule="auto"/>
              <w:jc w:val="center"/>
              <w:rPr>
                <w:rFonts w:ascii="Verdana" w:eastAsia="Arial,Times New Roman"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 xml:space="preserve">[Incluir objeto del proyecto, lote o grupo </w:t>
            </w:r>
            <w:r w:rsidRPr="008C7531">
              <w:rPr>
                <w:rFonts w:ascii="Verdana" w:eastAsia="Aptos" w:hAnsi="Verdana" w:cs="Arial"/>
                <w:kern w:val="2"/>
                <w:sz w:val="20"/>
                <w:szCs w:val="20"/>
                <w:highlight w:val="lightGray"/>
                <w14:ligatures w14:val="standardContextual"/>
              </w:rPr>
              <w:t>de manera clara y precisa</w:t>
            </w:r>
            <w:r w:rsidRPr="008C7531">
              <w:rPr>
                <w:rFonts w:ascii="Verdana" w:eastAsia="Aptos" w:hAnsi="Verdana" w:cs="Arial"/>
                <w:kern w:val="2"/>
                <w:sz w:val="20"/>
                <w:szCs w:val="20"/>
                <w:highlight w:val="lightGray"/>
                <w:lang w:eastAsia="es-CO"/>
                <w14:ligatures w14:val="standardContextual"/>
              </w:rPr>
              <w:t>]</w:t>
            </w:r>
          </w:p>
        </w:tc>
        <w:tc>
          <w:tcPr>
            <w:tcW w:w="966" w:type="pct"/>
            <w:tcBorders>
              <w:top w:val="single" w:sz="6" w:space="0" w:color="auto"/>
              <w:bottom w:val="single" w:sz="6" w:space="0" w:color="auto"/>
            </w:tcBorders>
            <w:vAlign w:val="center"/>
          </w:tcPr>
          <w:p w14:paraId="6162B004" w14:textId="77777777" w:rsidR="008C7531" w:rsidRPr="008C7531" w:rsidRDefault="008C7531" w:rsidP="008C7531">
            <w:pPr>
              <w:spacing w:after="0" w:line="240" w:lineRule="auto"/>
              <w:jc w:val="center"/>
              <w:rPr>
                <w:rFonts w:ascii="Verdana" w:eastAsia="Times New Roman" w:hAnsi="Verdana" w:cs="Arial"/>
                <w:bCs/>
                <w:kern w:val="2"/>
                <w:sz w:val="20"/>
                <w:szCs w:val="20"/>
                <w:highlight w:val="lightGray"/>
                <w:lang w:eastAsia="es-CO"/>
                <w14:ligatures w14:val="standardContextual"/>
              </w:rPr>
            </w:pPr>
            <w:r w:rsidRPr="008C7531">
              <w:rPr>
                <w:rFonts w:ascii="Verdana" w:eastAsia="Times New Roman" w:hAnsi="Verdana" w:cs="Arial"/>
                <w:bCs/>
                <w:kern w:val="2"/>
                <w:sz w:val="20"/>
                <w:szCs w:val="20"/>
                <w:highlight w:val="lightGray"/>
                <w:lang w:eastAsia="es-CO"/>
                <w14:ligatures w14:val="standardContextual"/>
              </w:rPr>
              <w:t>[Incluir plazo]</w:t>
            </w:r>
          </w:p>
        </w:tc>
        <w:tc>
          <w:tcPr>
            <w:tcW w:w="1056" w:type="pct"/>
            <w:tcBorders>
              <w:top w:val="single" w:sz="6" w:space="0" w:color="auto"/>
              <w:bottom w:val="single" w:sz="6" w:space="0" w:color="auto"/>
            </w:tcBorders>
            <w:vAlign w:val="center"/>
          </w:tcPr>
          <w:p w14:paraId="22077354" w14:textId="77777777" w:rsidR="008C7531" w:rsidRPr="008C7531" w:rsidRDefault="008C7531" w:rsidP="008C7531">
            <w:pPr>
              <w:spacing w:after="0" w:line="240" w:lineRule="auto"/>
              <w:jc w:val="center"/>
              <w:rPr>
                <w:rFonts w:ascii="Verdana" w:eastAsia="Arial,Times New Roman"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[Incluir Presupuesto Oficial]</w:t>
            </w:r>
          </w:p>
        </w:tc>
        <w:tc>
          <w:tcPr>
            <w:tcW w:w="1061" w:type="pct"/>
            <w:tcBorders>
              <w:top w:val="single" w:sz="6" w:space="0" w:color="auto"/>
              <w:bottom w:val="single" w:sz="6" w:space="0" w:color="auto"/>
            </w:tcBorders>
            <w:vAlign w:val="center"/>
          </w:tcPr>
          <w:p w14:paraId="12E02A3F" w14:textId="77777777" w:rsidR="008C7531" w:rsidRPr="008C7531" w:rsidRDefault="008C7531" w:rsidP="008C7531">
            <w:pPr>
              <w:spacing w:after="0" w:line="240" w:lineRule="auto"/>
              <w:jc w:val="center"/>
              <w:rPr>
                <w:rFonts w:ascii="Verdana" w:eastAsia="Arial,Times New Roman" w:hAnsi="Verdana" w:cs="Arial"/>
                <w:kern w:val="2"/>
                <w:sz w:val="20"/>
                <w:szCs w:val="20"/>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[Incluir lugar o lugares de ejecución - A</w:t>
            </w:r>
            <w:r w:rsidRPr="008C7531">
              <w:rPr>
                <w:rFonts w:ascii="Verdana" w:eastAsia="Aptos" w:hAnsi="Verdana" w:cs="Arial"/>
                <w:kern w:val="2"/>
                <w:sz w:val="20"/>
                <w:szCs w:val="20"/>
                <w:highlight w:val="lightGray"/>
                <w14:ligatures w14:val="standardContextual"/>
              </w:rPr>
              <w:t>clarar si se ejecuta en zona rural o urbana</w:t>
            </w:r>
            <w:r w:rsidRPr="008C7531">
              <w:rPr>
                <w:rFonts w:ascii="Verdana" w:eastAsia="Aptos" w:hAnsi="Verdana" w:cs="Arial"/>
                <w:kern w:val="2"/>
                <w:sz w:val="20"/>
                <w:szCs w:val="20"/>
                <w:highlight w:val="lightGray"/>
                <w:lang w:eastAsia="es-CO"/>
                <w14:ligatures w14:val="standardContextual"/>
              </w:rPr>
              <w:t>]</w:t>
            </w:r>
          </w:p>
        </w:tc>
      </w:tr>
      <w:tr w:rsidR="008C7531" w:rsidRPr="008C7531" w14:paraId="0BA50FA1" w14:textId="77777777" w:rsidTr="00AC5A54">
        <w:trPr>
          <w:trHeight w:val="1454"/>
          <w:jc w:val="center"/>
        </w:trPr>
        <w:tc>
          <w:tcPr>
            <w:tcW w:w="705" w:type="pct"/>
            <w:tcBorders>
              <w:top w:val="single" w:sz="6" w:space="0" w:color="auto"/>
            </w:tcBorders>
            <w:vAlign w:val="center"/>
          </w:tcPr>
          <w:p w14:paraId="6280CF75" w14:textId="77777777" w:rsidR="008C7531" w:rsidRPr="008C7531" w:rsidRDefault="008C7531" w:rsidP="008C7531">
            <w:pPr>
              <w:spacing w:after="0" w:line="240" w:lineRule="auto"/>
              <w:jc w:val="center"/>
              <w:rPr>
                <w:rFonts w:ascii="Verdana" w:eastAsia="Aptos"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 xml:space="preserve">[Incluir el número del lote] </w:t>
            </w:r>
          </w:p>
        </w:tc>
        <w:tc>
          <w:tcPr>
            <w:tcW w:w="1212" w:type="pct"/>
            <w:tcBorders>
              <w:top w:val="single" w:sz="6" w:space="0" w:color="auto"/>
            </w:tcBorders>
            <w:vAlign w:val="center"/>
          </w:tcPr>
          <w:p w14:paraId="02A394E6" w14:textId="77777777" w:rsidR="008C7531" w:rsidRPr="008C7531" w:rsidRDefault="008C7531" w:rsidP="008C7531">
            <w:pPr>
              <w:spacing w:after="0" w:line="240" w:lineRule="auto"/>
              <w:jc w:val="center"/>
              <w:rPr>
                <w:rFonts w:ascii="Verdana" w:eastAsia="Aptos"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[Incluir objeto del proyecto, lote o grupo</w:t>
            </w:r>
            <w:r w:rsidRPr="008C7531">
              <w:rPr>
                <w:rFonts w:ascii="Verdana" w:eastAsia="Aptos" w:hAnsi="Verdana" w:cs="Arial"/>
                <w:kern w:val="2"/>
                <w:sz w:val="20"/>
                <w:szCs w:val="20"/>
                <w:highlight w:val="lightGray"/>
                <w14:ligatures w14:val="standardContextual"/>
              </w:rPr>
              <w:t xml:space="preserve"> de manera clara y precisa</w:t>
            </w:r>
            <w:r w:rsidRPr="008C7531">
              <w:rPr>
                <w:rFonts w:ascii="Verdana" w:eastAsia="Aptos" w:hAnsi="Verdana" w:cs="Arial"/>
                <w:kern w:val="2"/>
                <w:sz w:val="20"/>
                <w:szCs w:val="20"/>
                <w:highlight w:val="lightGray"/>
                <w:lang w:eastAsia="es-CO"/>
                <w14:ligatures w14:val="standardContextual"/>
              </w:rPr>
              <w:t>]</w:t>
            </w:r>
          </w:p>
        </w:tc>
        <w:tc>
          <w:tcPr>
            <w:tcW w:w="966" w:type="pct"/>
            <w:tcBorders>
              <w:top w:val="single" w:sz="6" w:space="0" w:color="auto"/>
            </w:tcBorders>
            <w:vAlign w:val="center"/>
          </w:tcPr>
          <w:p w14:paraId="5893E36A" w14:textId="77777777" w:rsidR="008C7531" w:rsidRPr="008C7531" w:rsidRDefault="008C7531" w:rsidP="008C7531">
            <w:pPr>
              <w:spacing w:after="0" w:line="240" w:lineRule="auto"/>
              <w:jc w:val="center"/>
              <w:rPr>
                <w:rFonts w:ascii="Verdana" w:eastAsia="Times New Roman" w:hAnsi="Verdana" w:cs="Arial"/>
                <w:bCs/>
                <w:kern w:val="2"/>
                <w:sz w:val="20"/>
                <w:szCs w:val="20"/>
                <w:highlight w:val="lightGray"/>
                <w:lang w:eastAsia="es-CO"/>
                <w14:ligatures w14:val="standardContextual"/>
              </w:rPr>
            </w:pPr>
            <w:r w:rsidRPr="008C7531">
              <w:rPr>
                <w:rFonts w:ascii="Verdana" w:eastAsia="Times New Roman" w:hAnsi="Verdana" w:cs="Arial"/>
                <w:bCs/>
                <w:kern w:val="2"/>
                <w:sz w:val="20"/>
                <w:szCs w:val="20"/>
                <w:highlight w:val="lightGray"/>
                <w:lang w:eastAsia="es-CO"/>
                <w14:ligatures w14:val="standardContextual"/>
              </w:rPr>
              <w:t>[Incluir plazo]</w:t>
            </w:r>
          </w:p>
        </w:tc>
        <w:tc>
          <w:tcPr>
            <w:tcW w:w="1056" w:type="pct"/>
            <w:tcBorders>
              <w:top w:val="single" w:sz="6" w:space="0" w:color="auto"/>
            </w:tcBorders>
            <w:vAlign w:val="center"/>
          </w:tcPr>
          <w:p w14:paraId="3C884BA0" w14:textId="77777777" w:rsidR="008C7531" w:rsidRPr="008C7531" w:rsidRDefault="008C7531" w:rsidP="008C7531">
            <w:pPr>
              <w:spacing w:after="0" w:line="240" w:lineRule="auto"/>
              <w:jc w:val="center"/>
              <w:rPr>
                <w:rFonts w:ascii="Verdana" w:eastAsia="Aptos"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[Incluir Presupuesto Oficial]</w:t>
            </w:r>
          </w:p>
        </w:tc>
        <w:tc>
          <w:tcPr>
            <w:tcW w:w="1061" w:type="pct"/>
            <w:tcBorders>
              <w:top w:val="single" w:sz="6" w:space="0" w:color="auto"/>
            </w:tcBorders>
            <w:vAlign w:val="center"/>
          </w:tcPr>
          <w:p w14:paraId="53CA1C1B" w14:textId="77777777" w:rsidR="008C7531" w:rsidRPr="008C7531" w:rsidRDefault="008C7531" w:rsidP="008C7531">
            <w:pPr>
              <w:spacing w:after="0" w:line="240" w:lineRule="auto"/>
              <w:jc w:val="center"/>
              <w:rPr>
                <w:rFonts w:ascii="Verdana" w:eastAsia="Aptos" w:hAnsi="Verdana" w:cs="Arial"/>
                <w:kern w:val="2"/>
                <w:sz w:val="20"/>
                <w:szCs w:val="20"/>
                <w:highlight w:val="lightGray"/>
                <w:lang w:eastAsia="es-CO"/>
                <w14:ligatures w14:val="standardContextual"/>
              </w:rPr>
            </w:pPr>
            <w:r w:rsidRPr="008C7531">
              <w:rPr>
                <w:rFonts w:ascii="Verdana" w:eastAsia="Aptos" w:hAnsi="Verdana" w:cs="Arial"/>
                <w:kern w:val="2"/>
                <w:sz w:val="20"/>
                <w:szCs w:val="20"/>
                <w:highlight w:val="lightGray"/>
                <w:lang w:eastAsia="es-CO"/>
                <w14:ligatures w14:val="standardContextual"/>
              </w:rPr>
              <w:t>[Incluir lugar o lugares de ejecución -</w:t>
            </w:r>
            <w:r w:rsidRPr="008C7531">
              <w:rPr>
                <w:rFonts w:ascii="Verdana" w:eastAsia="Aptos" w:hAnsi="Verdana" w:cs="Arial"/>
                <w:kern w:val="2"/>
                <w:sz w:val="20"/>
                <w:szCs w:val="20"/>
                <w:highlight w:val="lightGray"/>
                <w14:ligatures w14:val="standardContextual"/>
              </w:rPr>
              <w:t xml:space="preserve"> Aclarar si se ejecuta en zona rural o urbana</w:t>
            </w:r>
            <w:r w:rsidRPr="008C7531">
              <w:rPr>
                <w:rFonts w:ascii="Verdana" w:eastAsia="Aptos" w:hAnsi="Verdana" w:cs="Arial"/>
                <w:kern w:val="2"/>
                <w:sz w:val="20"/>
                <w:szCs w:val="20"/>
                <w:highlight w:val="lightGray"/>
                <w:lang w:eastAsia="es-CO"/>
                <w14:ligatures w14:val="standardContextual"/>
              </w:rPr>
              <w:t>]</w:t>
            </w:r>
          </w:p>
        </w:tc>
      </w:tr>
    </w:tbl>
    <w:p w14:paraId="56554278" w14:textId="77777777" w:rsidR="008C7531" w:rsidRPr="008C7531" w:rsidRDefault="008C7531" w:rsidP="008C7531">
      <w:pPr>
        <w:spacing w:after="0" w:line="276" w:lineRule="auto"/>
        <w:contextualSpacing/>
        <w:jc w:val="both"/>
        <w:rPr>
          <w:rFonts w:ascii="Verdana" w:eastAsia="Calibri" w:hAnsi="Verdana" w:cs="Arial"/>
          <w:lang w:val="es-ES"/>
        </w:rPr>
      </w:pPr>
    </w:p>
    <w:p w14:paraId="1FE3CB2A" w14:textId="77777777" w:rsidR="008C7531" w:rsidRPr="008C7531" w:rsidRDefault="008C7531" w:rsidP="008C7531">
      <w:pPr>
        <w:numPr>
          <w:ilvl w:val="0"/>
          <w:numId w:val="17"/>
        </w:numPr>
        <w:spacing w:after="0" w:line="276" w:lineRule="auto"/>
        <w:contextualSpacing/>
        <w:jc w:val="both"/>
        <w:rPr>
          <w:rFonts w:ascii="Verdana" w:eastAsia="Calibri" w:hAnsi="Verdana" w:cs="Arial"/>
          <w:lang w:val="es-ES"/>
        </w:rPr>
      </w:pPr>
      <w:r w:rsidRPr="008C7531">
        <w:rPr>
          <w:rFonts w:ascii="Verdana" w:eastAsia="Calibri" w:hAnsi="Verdana" w:cs="Arial"/>
          <w:lang w:val="es-ES"/>
        </w:rPr>
        <w:t>Una vez establecido el orden de elegibilidad del primer lote, de acuerdo con la opción definida por la entidad, se dará apertura al Sobre 2 del siguiente lote y se indicará el orden de elegibilidad, y así sucesivamente para cada lote o grupo que conforman el proceso, de acuerdo con el orden determinado por la entidad conforme a las dos (2) opciones señaladas en el numeral 2.6 del documento base.</w:t>
      </w:r>
    </w:p>
    <w:p w14:paraId="00F5CE5F" w14:textId="77777777" w:rsidR="008C7531" w:rsidRPr="008C7531" w:rsidRDefault="008C7531" w:rsidP="008C7531">
      <w:pPr>
        <w:spacing w:after="0" w:line="276" w:lineRule="auto"/>
        <w:ind w:left="720"/>
        <w:contextualSpacing/>
        <w:jc w:val="both"/>
        <w:rPr>
          <w:rFonts w:ascii="Verdana" w:eastAsia="Calibri" w:hAnsi="Verdana" w:cs="Arial"/>
          <w:lang w:val="es-ES"/>
        </w:rPr>
      </w:pPr>
    </w:p>
    <w:p w14:paraId="70FACA41" w14:textId="77777777" w:rsidR="008C7531" w:rsidRPr="008C7531" w:rsidRDefault="008C7531" w:rsidP="008C7531">
      <w:pPr>
        <w:numPr>
          <w:ilvl w:val="0"/>
          <w:numId w:val="17"/>
        </w:numPr>
        <w:spacing w:after="0" w:line="276" w:lineRule="auto"/>
        <w:contextualSpacing/>
        <w:jc w:val="both"/>
        <w:rPr>
          <w:rFonts w:ascii="Verdana" w:eastAsia="Calibri" w:hAnsi="Verdana" w:cs="Arial"/>
          <w:kern w:val="2"/>
          <w:lang w:val="es-ES" w:eastAsia="es-ES"/>
          <w14:ligatures w14:val="standardContextual"/>
        </w:rPr>
      </w:pPr>
      <w:r w:rsidRPr="008C7531">
        <w:rPr>
          <w:rFonts w:ascii="Verdana" w:eastAsia="Calibri" w:hAnsi="Verdana" w:cs="Arial"/>
          <w:kern w:val="2"/>
          <w:lang w:val="es-ES" w:eastAsia="es-ES"/>
          <w14:ligatures w14:val="standardContextual"/>
        </w:rPr>
        <w:t>Por otra parte, respecto al principio de inalterabilidad de los Documentos Tipo, debe destacarse que</w:t>
      </w:r>
      <w:r w:rsidRPr="008C7531">
        <w:rPr>
          <w:rFonts w:ascii="Verdana" w:eastAsia="Times New Roman" w:hAnsi="Verdana" w:cs="Arial"/>
          <w:kern w:val="2"/>
          <w:shd w:val="clear" w:color="auto" w:fill="FFFFFF"/>
          <w:lang w:eastAsia="es-ES_tradnl"/>
          <w14:ligatures w14:val="standardContextual"/>
        </w:rPr>
        <w:t xml:space="preserve"> todas las resoluciones expedidas por la Agencia Nacional de Contratación Pública – Colombia Compra Eficiente, mediante las cuales se han adoptado los documentos tipo, consagran la regla de la inalterabilidad</w:t>
      </w:r>
      <w:r w:rsidRPr="008C7531">
        <w:rPr>
          <w:rFonts w:ascii="Verdana" w:eastAsia="Aptos" w:hAnsi="Verdana" w:cs="Times New Roman"/>
          <w:kern w:val="2"/>
          <w:shd w:val="clear" w:color="auto" w:fill="FFFFFF"/>
          <w:vertAlign w:val="superscript"/>
          <w:lang w:eastAsia="es-ES_tradnl"/>
          <w14:ligatures w14:val="standardContextual"/>
        </w:rPr>
        <w:footnoteReference w:id="3"/>
      </w:r>
      <w:r w:rsidRPr="008C7531">
        <w:rPr>
          <w:rFonts w:ascii="Verdana" w:eastAsia="Times New Roman" w:hAnsi="Verdana" w:cs="Arial"/>
          <w:kern w:val="2"/>
          <w:shd w:val="clear" w:color="auto" w:fill="FFFFFF"/>
          <w:lang w:eastAsia="es-ES_tradnl"/>
          <w14:ligatures w14:val="standardContextual"/>
        </w:rPr>
        <w:t xml:space="preserve">. Esta prohibición consiste en que las entidades estatales no pueden incluir o modificar en los </w:t>
      </w:r>
      <w:r w:rsidRPr="008C7531">
        <w:rPr>
          <w:rFonts w:ascii="Verdana" w:eastAsia="Times New Roman" w:hAnsi="Verdana" w:cs="Arial"/>
          <w:i/>
          <w:iCs/>
          <w:kern w:val="2"/>
          <w:shd w:val="clear" w:color="auto" w:fill="FFFFFF"/>
          <w:lang w:eastAsia="es-ES_tradnl"/>
          <w14:ligatures w14:val="standardContextual"/>
        </w:rPr>
        <w:t>Documentos del Proceso</w:t>
      </w:r>
      <w:r w:rsidRPr="008C7531">
        <w:rPr>
          <w:rFonts w:ascii="Verdana" w:eastAsia="Times New Roman" w:hAnsi="Verdana" w:cs="Arial"/>
          <w:kern w:val="2"/>
          <w:shd w:val="clear" w:color="auto" w:fill="FFFFFF"/>
          <w:lang w:eastAsia="es-ES_tradnl"/>
          <w14:ligatures w14:val="standardContextual"/>
        </w:rPr>
        <w:t xml:space="preserve"> condiciones habilitantes, factores técnicos y económicos de escogencia y sistemas de ponderación distintos a los señalados en los Documentos Tipo. En consecuencia, las condiciones establecidas en dichos documentos son de </w:t>
      </w:r>
      <w:r w:rsidRPr="008C7531">
        <w:rPr>
          <w:rFonts w:ascii="Verdana" w:eastAsia="Times New Roman" w:hAnsi="Verdana" w:cs="Arial"/>
          <w:kern w:val="2"/>
          <w:shd w:val="clear" w:color="auto" w:fill="FFFFFF"/>
          <w:lang w:eastAsia="es-ES_tradnl"/>
          <w14:ligatures w14:val="standardContextual"/>
        </w:rPr>
        <w:lastRenderedPageBreak/>
        <w:t>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02E2536" w14:textId="77777777" w:rsidR="008C7531" w:rsidRPr="008C7531" w:rsidRDefault="008C7531" w:rsidP="008C7531">
      <w:pPr>
        <w:spacing w:after="0" w:line="276" w:lineRule="auto"/>
        <w:jc w:val="both"/>
        <w:rPr>
          <w:rFonts w:ascii="Verdana" w:eastAsia="Calibri" w:hAnsi="Verdana" w:cs="Arial"/>
          <w:kern w:val="2"/>
          <w:lang w:val="es-ES" w:eastAsia="es-ES"/>
          <w14:ligatures w14:val="standardContextual"/>
        </w:rPr>
      </w:pPr>
    </w:p>
    <w:p w14:paraId="655668E6" w14:textId="77777777" w:rsidR="008C7531" w:rsidRPr="008C7531" w:rsidRDefault="008C7531" w:rsidP="008C7531">
      <w:pPr>
        <w:numPr>
          <w:ilvl w:val="0"/>
          <w:numId w:val="17"/>
        </w:numPr>
        <w:spacing w:after="0" w:line="276" w:lineRule="auto"/>
        <w:contextualSpacing/>
        <w:jc w:val="both"/>
        <w:rPr>
          <w:rFonts w:ascii="Verdana" w:eastAsia="Times New Roman" w:hAnsi="Verdana" w:cs="Arial"/>
          <w:kern w:val="2"/>
          <w:shd w:val="clear" w:color="auto" w:fill="FFFFFF"/>
          <w:lang w:eastAsia="es-ES_tradnl"/>
          <w14:ligatures w14:val="standardContextual"/>
        </w:rPr>
      </w:pPr>
      <w:r w:rsidRPr="008C7531">
        <w:rPr>
          <w:rFonts w:ascii="Verdana" w:eastAsia="Times New Roman" w:hAnsi="Verdana" w:cs="Arial"/>
          <w:kern w:val="2"/>
          <w:shd w:val="clear" w:color="auto" w:fill="FFFFFF"/>
          <w:lang w:eastAsia="es-ES_tradnl"/>
          <w14:ligatures w14:val="standardContextual"/>
        </w:rPr>
        <w:t>El fundamento legal vigente de la regla de inalterabilidad se encuentra en el artículo 1 de la Ley 2022 de 2020, según el cual “</w:t>
      </w:r>
      <w:r w:rsidRPr="008C7531">
        <w:rPr>
          <w:rFonts w:ascii="Verdana" w:eastAsia="Times New Roman" w:hAnsi="Verdana" w:cs="Arial"/>
          <w:kern w:val="2"/>
          <w:lang w:eastAsia="es-ES_tradnl"/>
          <w14:ligatures w14:val="standardContextual"/>
        </w:rPr>
        <w:t xml:space="preserve">[…] </w:t>
      </w:r>
      <w:r w:rsidRPr="008C7531">
        <w:rPr>
          <w:rFonts w:ascii="Verdana" w:eastAsia="Times New Roman" w:hAnsi="Verdana" w:cs="Arial"/>
          <w:kern w:val="2"/>
          <w:shd w:val="clear" w:color="auto" w:fill="FFFFFF"/>
          <w:lang w:eastAsia="es-ES_tradnl"/>
          <w14:ligatures w14:val="standardContextua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3F03290E" w14:textId="77777777" w:rsidR="008C7531" w:rsidRPr="008C7531" w:rsidRDefault="008C7531" w:rsidP="008C7531">
      <w:pPr>
        <w:spacing w:after="0" w:line="276" w:lineRule="auto"/>
        <w:jc w:val="both"/>
        <w:rPr>
          <w:rFonts w:ascii="Verdana" w:eastAsia="Times New Roman" w:hAnsi="Verdana" w:cs="Arial"/>
          <w:kern w:val="2"/>
          <w:shd w:val="clear" w:color="auto" w:fill="FFFFFF"/>
          <w:lang w:eastAsia="es-ES_tradnl"/>
          <w14:ligatures w14:val="standardContextual"/>
        </w:rPr>
      </w:pPr>
    </w:p>
    <w:p w14:paraId="774ACE55" w14:textId="77777777" w:rsidR="008C7531" w:rsidRPr="008C7531" w:rsidRDefault="008C7531" w:rsidP="008C7531">
      <w:pPr>
        <w:numPr>
          <w:ilvl w:val="0"/>
          <w:numId w:val="17"/>
        </w:numPr>
        <w:spacing w:after="0" w:line="276" w:lineRule="auto"/>
        <w:contextualSpacing/>
        <w:jc w:val="both"/>
        <w:rPr>
          <w:rFonts w:ascii="Verdana" w:eastAsia="Times New Roman" w:hAnsi="Verdana" w:cs="Arial"/>
          <w:kern w:val="2"/>
          <w:shd w:val="clear" w:color="auto" w:fill="FFFFFF"/>
          <w:lang w:eastAsia="es-ES_tradnl"/>
          <w14:ligatures w14:val="standardContextual"/>
        </w:rPr>
      </w:pPr>
      <w:r w:rsidRPr="008C7531">
        <w:rPr>
          <w:rFonts w:ascii="Verdana" w:eastAsia="Times New Roman" w:hAnsi="Verdana" w:cs="Arial"/>
          <w:kern w:val="2"/>
          <w:shd w:val="clear" w:color="auto" w:fill="FFFFFF"/>
          <w:lang w:eastAsia="es-ES_tradnl"/>
          <w14:ligatures w14:val="standardContextual"/>
        </w:rPr>
        <w:t xml:space="preserve">En consecuencia, en virtud de la regla de inalterabilidad aludida, los Documentos Tipo solo pueden ser modificados en los aspectos en que estos lo permitan. Esto corresponde a aquellos aspectos que se encuentran entre corchetes y resaltados en gris </w:t>
      </w:r>
      <w:r w:rsidRPr="008C7531">
        <w:rPr>
          <w:rFonts w:ascii="Verdana" w:eastAsia="Times New Roman" w:hAnsi="Verdana" w:cs="Arial"/>
          <w:kern w:val="2"/>
          <w:highlight w:val="lightGray"/>
          <w:shd w:val="clear" w:color="auto" w:fill="FFFFFF"/>
          <w:lang w:eastAsia="es-ES_tradnl"/>
          <w14:ligatures w14:val="standardContextual"/>
        </w:rPr>
        <w:t>–[texto]–</w:t>
      </w:r>
      <w:r w:rsidRPr="008C7531">
        <w:rPr>
          <w:rFonts w:ascii="Verdana" w:eastAsia="Times New Roman" w:hAnsi="Verdana" w:cs="Arial"/>
          <w:kern w:val="2"/>
          <w:shd w:val="clear" w:color="auto" w:fill="FFFFFF"/>
          <w:lang w:eastAsia="es-ES_tradnl"/>
          <w14:ligatures w14:val="standardContextual"/>
        </w:rPr>
        <w:t>, para lo cual deberán observarse las instrucciones contenidas en los mismos para su diligenciamiento.</w:t>
      </w:r>
    </w:p>
    <w:p w14:paraId="0BDA8154" w14:textId="77777777" w:rsidR="008C7531" w:rsidRPr="008C7531" w:rsidRDefault="008C7531" w:rsidP="008C7531">
      <w:pPr>
        <w:spacing w:after="0" w:line="276" w:lineRule="auto"/>
        <w:jc w:val="both"/>
        <w:rPr>
          <w:rFonts w:ascii="Verdana" w:eastAsia="Times New Roman" w:hAnsi="Verdana" w:cs="Arial"/>
          <w:kern w:val="2"/>
          <w:shd w:val="clear" w:color="auto" w:fill="FFFFFF"/>
          <w:lang w:eastAsia="es-ES_tradnl"/>
          <w14:ligatures w14:val="standardContextual"/>
        </w:rPr>
      </w:pPr>
      <w:r w:rsidRPr="008C7531">
        <w:rPr>
          <w:rFonts w:ascii="Verdana" w:eastAsia="Times New Roman" w:hAnsi="Verdana" w:cs="Arial"/>
          <w:kern w:val="2"/>
          <w:shd w:val="clear" w:color="auto" w:fill="FFFFFF"/>
          <w:lang w:eastAsia="es-ES_tradnl"/>
          <w14:ligatures w14:val="standardContextual"/>
        </w:rPr>
        <w:t xml:space="preserve"> </w:t>
      </w:r>
    </w:p>
    <w:p w14:paraId="58A01D1A" w14:textId="77777777" w:rsidR="008C7531" w:rsidRPr="008C7531" w:rsidRDefault="008C7531" w:rsidP="008C7531">
      <w:pPr>
        <w:numPr>
          <w:ilvl w:val="0"/>
          <w:numId w:val="17"/>
        </w:numPr>
        <w:spacing w:after="0" w:line="276" w:lineRule="auto"/>
        <w:contextualSpacing/>
        <w:jc w:val="both"/>
        <w:rPr>
          <w:rFonts w:ascii="Verdana" w:eastAsia="Times New Roman" w:hAnsi="Verdana" w:cs="Arial"/>
          <w:kern w:val="2"/>
          <w:shd w:val="clear" w:color="auto" w:fill="FFFFFF"/>
          <w:lang w:eastAsia="es-ES_tradnl"/>
          <w14:ligatures w14:val="standardContextual"/>
        </w:rPr>
      </w:pPr>
      <w:r w:rsidRPr="008C7531">
        <w:rPr>
          <w:rFonts w:ascii="Verdana" w:eastAsia="Times New Roman" w:hAnsi="Verdana" w:cs="Arial"/>
          <w:kern w:val="2"/>
          <w:shd w:val="clear" w:color="auto" w:fill="FFFFFF"/>
          <w:lang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entidad deberá integrar el contenido de estos a su Proceso de Contratación sin ningún tipo de alteración. </w:t>
      </w:r>
    </w:p>
    <w:p w14:paraId="11894105" w14:textId="77777777" w:rsidR="008C7531" w:rsidRPr="008C7531" w:rsidRDefault="008C7531" w:rsidP="008C7531">
      <w:pPr>
        <w:spacing w:after="0" w:line="276" w:lineRule="auto"/>
        <w:jc w:val="both"/>
        <w:rPr>
          <w:rFonts w:ascii="Verdana" w:eastAsia="Times New Roman" w:hAnsi="Verdana" w:cs="Arial"/>
          <w:kern w:val="2"/>
          <w:shd w:val="clear" w:color="auto" w:fill="FFFFFF"/>
          <w:lang w:eastAsia="es-ES_tradnl"/>
          <w14:ligatures w14:val="standardContextual"/>
        </w:rPr>
      </w:pPr>
    </w:p>
    <w:p w14:paraId="599016BC" w14:textId="77777777" w:rsidR="008C7531" w:rsidRPr="008C7531" w:rsidRDefault="008C7531" w:rsidP="008C7531">
      <w:pPr>
        <w:numPr>
          <w:ilvl w:val="0"/>
          <w:numId w:val="17"/>
        </w:numPr>
        <w:spacing w:after="0" w:line="276" w:lineRule="auto"/>
        <w:contextualSpacing/>
        <w:jc w:val="both"/>
        <w:rPr>
          <w:rFonts w:ascii="Verdana" w:eastAsia="Times New Roman" w:hAnsi="Verdana" w:cs="Arial"/>
          <w:kern w:val="2"/>
          <w:shd w:val="clear" w:color="auto" w:fill="FFFFFF"/>
          <w:lang w:eastAsia="es-ES_tradnl"/>
          <w14:ligatures w14:val="standardContextual"/>
        </w:rPr>
      </w:pPr>
      <w:r w:rsidRPr="008C7531">
        <w:rPr>
          <w:rFonts w:ascii="Verdana" w:eastAsia="Times New Roman" w:hAnsi="Verdana" w:cs="Arial"/>
          <w:kern w:val="2"/>
          <w:shd w:val="clear" w:color="auto" w:fill="FFFFFF"/>
          <w:lang w:eastAsia="es-ES_tradnl"/>
          <w14:ligatures w14:val="standardContextual"/>
        </w:rPr>
        <w:t xml:space="preserve">Teniendo en cuenta lo anterior, es posible concluir que, en procesos de contratación estructurados por lotes o grupos, la entidad estatal deberá establecer el orden de elegibilidad conforme al numeral 2.6 del documento base. Este numeral contempla dos (2) opciones referidas con anterioridad. Por tal motivo, en consideración al principio de inalterabilidad de los Documentos Tipo, la entidad deberá escoger una de esas opciones para </w:t>
      </w:r>
      <w:r w:rsidRPr="008C7531">
        <w:rPr>
          <w:rFonts w:ascii="Verdana" w:eastAsia="Times New Roman" w:hAnsi="Verdana" w:cs="Arial"/>
          <w:kern w:val="2"/>
          <w:shd w:val="clear" w:color="auto" w:fill="FFFFFF"/>
          <w:lang w:eastAsia="es-ES_tradnl"/>
          <w14:ligatures w14:val="standardContextual"/>
        </w:rPr>
        <w:lastRenderedPageBreak/>
        <w:t>establecer el orden de elegibilidad, sin que sea posible optar por una opción adicional a las enunciadas.</w:t>
      </w:r>
    </w:p>
    <w:p w14:paraId="07C513CD" w14:textId="77777777" w:rsidR="008C7531" w:rsidRPr="008C7531" w:rsidRDefault="008C7531" w:rsidP="008C7531">
      <w:pPr>
        <w:widowControl w:val="0"/>
        <w:autoSpaceDE w:val="0"/>
        <w:autoSpaceDN w:val="0"/>
        <w:spacing w:after="0" w:line="276" w:lineRule="auto"/>
        <w:jc w:val="both"/>
        <w:rPr>
          <w:rFonts w:ascii="Verdana" w:eastAsia="Calibri" w:hAnsi="Verdana" w:cs="Arial"/>
        </w:rPr>
      </w:pPr>
    </w:p>
    <w:p w14:paraId="2E95495C" w14:textId="77777777" w:rsidR="008C7531" w:rsidRPr="008C7531" w:rsidRDefault="008C7531" w:rsidP="008C753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8C7531">
        <w:rPr>
          <w:rFonts w:ascii="Verdana" w:eastAsia="Century Gothic" w:hAnsi="Verdana" w:cs="Century Gothic"/>
          <w:b/>
          <w:bCs/>
          <w:lang w:val="es-ES"/>
        </w:rPr>
        <w:t>Referencias normativas, jurisprudenciales y otras fuentes:</w:t>
      </w:r>
    </w:p>
    <w:p w14:paraId="302C1681" w14:textId="77777777" w:rsidR="008C7531" w:rsidRPr="008C7531" w:rsidRDefault="008C7531" w:rsidP="008C7531">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8C7531" w:rsidRPr="008C7531" w14:paraId="078CBFF3" w14:textId="77777777" w:rsidTr="00AC5A54">
        <w:trPr>
          <w:trHeight w:val="870"/>
        </w:trPr>
        <w:tc>
          <w:tcPr>
            <w:tcW w:w="8647" w:type="dxa"/>
          </w:tcPr>
          <w:p w14:paraId="266822AA" w14:textId="77777777" w:rsidR="008C7531" w:rsidRPr="008C7531" w:rsidRDefault="008C7531" w:rsidP="008C7531">
            <w:pPr>
              <w:widowControl w:val="0"/>
              <w:numPr>
                <w:ilvl w:val="0"/>
                <w:numId w:val="18"/>
              </w:numPr>
              <w:autoSpaceDE w:val="0"/>
              <w:autoSpaceDN w:val="0"/>
              <w:spacing w:after="120" w:line="276" w:lineRule="auto"/>
              <w:jc w:val="both"/>
              <w:rPr>
                <w:rFonts w:ascii="Verdana" w:eastAsia="Calibri" w:hAnsi="Verdana" w:cs="Arial"/>
              </w:rPr>
            </w:pPr>
            <w:r w:rsidRPr="008C7531">
              <w:rPr>
                <w:rFonts w:ascii="Verdana" w:eastAsia="Calibri" w:hAnsi="Verdana" w:cs="Arial"/>
              </w:rPr>
              <w:t xml:space="preserve">Ley 2022 de 2020, artículo 1. </w:t>
            </w:r>
          </w:p>
          <w:p w14:paraId="04069865" w14:textId="77777777" w:rsidR="008C7531" w:rsidRPr="008C7531" w:rsidRDefault="008C7531" w:rsidP="008C7531">
            <w:pPr>
              <w:widowControl w:val="0"/>
              <w:numPr>
                <w:ilvl w:val="0"/>
                <w:numId w:val="18"/>
              </w:numPr>
              <w:autoSpaceDE w:val="0"/>
              <w:autoSpaceDN w:val="0"/>
              <w:spacing w:after="120" w:line="276" w:lineRule="auto"/>
              <w:jc w:val="both"/>
              <w:rPr>
                <w:rFonts w:ascii="Verdana" w:eastAsia="Calibri" w:hAnsi="Verdana" w:cs="Arial"/>
              </w:rPr>
            </w:pPr>
            <w:r w:rsidRPr="008C7531">
              <w:rPr>
                <w:rFonts w:ascii="Verdana" w:eastAsia="Calibri" w:hAnsi="Verdana" w:cs="Arial"/>
              </w:rPr>
              <w:t xml:space="preserve">Resoluciones 219 de 2021, 220 de 2021, 392 de 2021 y 454 de 2021 expedidas por la Agencia Nacional de Contratación Pública – Colombia Compra Eficiente, mediante las cuales se adoptan los Documentos Tipo de licitación de obra pública de infraestructura social. Disponibles en: </w:t>
            </w:r>
            <w:hyperlink r:id="rId11" w:history="1">
              <w:r w:rsidRPr="008C7531">
                <w:rPr>
                  <w:rFonts w:ascii="Verdana" w:eastAsia="Calibri" w:hAnsi="Verdana" w:cs="Arial"/>
                  <w:u w:val="single"/>
                </w:rPr>
                <w:t>https://www.colombiacompra.gov.co/content/04-documentos-tipo-de-licitacion-de-obra-publica-para-proyectos-de-infraestructura-social</w:t>
              </w:r>
            </w:hyperlink>
          </w:p>
          <w:p w14:paraId="0C111CDB" w14:textId="77777777" w:rsidR="008C7531" w:rsidRPr="008C7531" w:rsidRDefault="008C7531" w:rsidP="008C7531">
            <w:pPr>
              <w:widowControl w:val="0"/>
              <w:numPr>
                <w:ilvl w:val="0"/>
                <w:numId w:val="18"/>
              </w:numPr>
              <w:autoSpaceDE w:val="0"/>
              <w:autoSpaceDN w:val="0"/>
              <w:spacing w:after="120" w:line="276" w:lineRule="auto"/>
              <w:jc w:val="both"/>
              <w:rPr>
                <w:rFonts w:ascii="Verdana" w:eastAsia="Calibri" w:hAnsi="Verdana" w:cs="Arial"/>
              </w:rPr>
            </w:pPr>
            <w:r w:rsidRPr="008C7531">
              <w:rPr>
                <w:rFonts w:ascii="Verdana" w:eastAsia="Aptos" w:hAnsi="Verdana" w:cs="Times New Roman"/>
              </w:rPr>
              <w:t xml:space="preserve">Real Academia Española. Diccionario Prehispánico de Dudas. Disponible en: </w:t>
            </w:r>
            <w:hyperlink r:id="rId12" w:history="1">
              <w:r w:rsidRPr="008C7531">
                <w:rPr>
                  <w:rFonts w:ascii="Verdana" w:eastAsia="Aptos" w:hAnsi="Verdana" w:cs="Times New Roman"/>
                  <w:u w:val="single"/>
                </w:rPr>
                <w:t>https://www.rae.es/dpd/id%20est</w:t>
              </w:r>
            </w:hyperlink>
          </w:p>
        </w:tc>
      </w:tr>
    </w:tbl>
    <w:p w14:paraId="3DAC7E35" w14:textId="77777777" w:rsidR="008C7531" w:rsidRPr="008C7531" w:rsidRDefault="008C7531" w:rsidP="008C7531">
      <w:pPr>
        <w:widowControl w:val="0"/>
        <w:autoSpaceDE w:val="0"/>
        <w:autoSpaceDN w:val="0"/>
        <w:spacing w:after="0" w:line="276" w:lineRule="auto"/>
        <w:jc w:val="both"/>
        <w:rPr>
          <w:rFonts w:ascii="Verdana" w:eastAsia="Calibri" w:hAnsi="Verdana" w:cs="Arial"/>
        </w:rPr>
      </w:pPr>
    </w:p>
    <w:p w14:paraId="1D72822F" w14:textId="77777777" w:rsidR="008C7531" w:rsidRPr="008C7531" w:rsidRDefault="008C7531" w:rsidP="008C753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8C7531">
        <w:rPr>
          <w:rFonts w:ascii="Verdana" w:eastAsia="Century Gothic" w:hAnsi="Verdana" w:cs="Century Gothic"/>
          <w:b/>
          <w:bCs/>
          <w:lang w:val="es-ES"/>
        </w:rPr>
        <w:t>Doctrina de la Agencia Nacional de Contratación Pública:</w:t>
      </w:r>
    </w:p>
    <w:p w14:paraId="4CF91120" w14:textId="77777777" w:rsidR="008C7531" w:rsidRPr="008C7531" w:rsidRDefault="008C7531" w:rsidP="008C7531">
      <w:pPr>
        <w:widowControl w:val="0"/>
        <w:autoSpaceDE w:val="0"/>
        <w:autoSpaceDN w:val="0"/>
        <w:spacing w:after="0" w:line="276" w:lineRule="auto"/>
        <w:jc w:val="both"/>
        <w:rPr>
          <w:rFonts w:ascii="Verdana" w:eastAsia="Calibri" w:hAnsi="Verdana" w:cs="Arial"/>
        </w:rPr>
      </w:pPr>
    </w:p>
    <w:p w14:paraId="0A12E07B" w14:textId="77777777" w:rsidR="008C7531" w:rsidRPr="008C7531" w:rsidRDefault="008C7531" w:rsidP="008C7531">
      <w:pPr>
        <w:widowControl w:val="0"/>
        <w:autoSpaceDE w:val="0"/>
        <w:autoSpaceDN w:val="0"/>
        <w:spacing w:after="0" w:line="276" w:lineRule="auto"/>
        <w:jc w:val="both"/>
        <w:rPr>
          <w:rFonts w:ascii="Verdana" w:eastAsia="Calibri" w:hAnsi="Verdana" w:cs="Arial"/>
          <w:shd w:val="clear" w:color="auto" w:fill="FFFFFF"/>
          <w:lang w:val="es-ES"/>
        </w:rPr>
      </w:pPr>
      <w:r w:rsidRPr="008C7531">
        <w:rPr>
          <w:rFonts w:ascii="Verdana" w:eastAsia="Calibri" w:hAnsi="Verdana" w:cs="Arial"/>
          <w:shd w:val="clear" w:color="auto" w:fill="FFFFFF"/>
          <w:lang w:val="es-ES"/>
        </w:rPr>
        <w:t>Sobre el ámbito de aplicación de los documentos tipo de infraestructura social se pronunció esta Subdirección en los conceptos</w:t>
      </w:r>
      <w:r w:rsidRPr="008C7531">
        <w:rPr>
          <w:rFonts w:ascii="Verdana" w:eastAsia="Calibri" w:hAnsi="Verdana" w:cs="Calibri"/>
          <w:shd w:val="clear" w:color="auto" w:fill="FFFFFF"/>
        </w:rPr>
        <w:t xml:space="preserve"> </w:t>
      </w:r>
      <w:r w:rsidRPr="008C7531">
        <w:rPr>
          <w:rFonts w:ascii="Verdana" w:eastAsia="Calibri" w:hAnsi="Verdana" w:cs="Arial"/>
          <w:shd w:val="clear" w:color="auto" w:fill="FFFFFF"/>
          <w:lang w:val="es-ES"/>
        </w:rPr>
        <w:t>C-375 del 27 de septiembre de 2021, C-536 del 29 de septiembre de 2021, P20210826007696 del 6 de octubre de 2021, C-729 del 24 de enero de 2022, C-090 del 16 de marzo de 2022, C-287 del 11 de mayo de 2022, C-334 del 25 de mayo de 2022, C-344 del 9 de junio de 2022, C-436 del 6 de julio de 2022, C-951 del 18 enero de 2023, entre otros. Adicionalmente,</w:t>
      </w:r>
      <w:r w:rsidRPr="008C7531">
        <w:rPr>
          <w:rFonts w:ascii="Verdana" w:eastAsia="Calibri" w:hAnsi="Verdana" w:cs="Arial"/>
          <w:lang w:eastAsia="es-ES_tradnl"/>
        </w:rPr>
        <w:t xml:space="preserve"> la Agencia Nacional de Contratación Pública – Colombia Compra Eficiente se pronunció sobre los pliegos de condiciones tipo en la contratación estatal y su inalterabilidad, en los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 C-157 de 13 de abril de 2021 y C-862 del 16 de diciembre de 2022, entre otros</w:t>
      </w:r>
      <w:r w:rsidRPr="008C7531">
        <w:rPr>
          <w:rFonts w:ascii="Verdana" w:eastAsia="Calibri" w:hAnsi="Verdana" w:cs="Arial"/>
          <w:shd w:val="clear" w:color="auto" w:fill="FFFFFF"/>
          <w:lang w:val="es-ES"/>
        </w:rPr>
        <w:t>. Es</w:t>
      </w:r>
      <w:r w:rsidRPr="008C7531">
        <w:rPr>
          <w:rFonts w:ascii="Verdana" w:eastAsia="Calibri" w:hAnsi="Verdana" w:cs="Times New Roman"/>
        </w:rPr>
        <w:t>tos y otros conceptos se encuentran disponibles para consulta en el sistema de relatoría de la Agencia, al cual se puede acceder a través del siguiente enlace:</w:t>
      </w:r>
      <w:r w:rsidRPr="008C7531">
        <w:rPr>
          <w:rFonts w:ascii="Verdana" w:eastAsia="Calibri" w:hAnsi="Verdana" w:cs="Arial"/>
          <w:shd w:val="clear" w:color="auto" w:fill="FFFFFF"/>
          <w:lang w:val="es-ES"/>
        </w:rPr>
        <w:t xml:space="preserve"> </w:t>
      </w:r>
      <w:hyperlink r:id="rId13" w:history="1">
        <w:r w:rsidRPr="008C7531">
          <w:rPr>
            <w:rFonts w:ascii="Verdana" w:eastAsia="Calibri" w:hAnsi="Verdana" w:cs="Arial"/>
            <w:u w:val="single"/>
            <w:shd w:val="clear" w:color="auto" w:fill="FFFFFF"/>
            <w:lang w:val="es-ES"/>
          </w:rPr>
          <w:t>https://relatoria.colombiacompra.gov.co/busqueda/conceptos</w:t>
        </w:r>
      </w:hyperlink>
      <w:r w:rsidRPr="008C7531">
        <w:rPr>
          <w:rFonts w:ascii="Verdana" w:eastAsia="Calibri" w:hAnsi="Verdana" w:cs="Arial"/>
          <w:shd w:val="clear" w:color="auto" w:fill="FFFFFF"/>
          <w:lang w:val="es-ES"/>
        </w:rPr>
        <w:t xml:space="preserve">. </w:t>
      </w:r>
    </w:p>
    <w:p w14:paraId="113A78B9" w14:textId="77777777" w:rsidR="008C7531" w:rsidRPr="008C7531" w:rsidRDefault="008C7531" w:rsidP="008C7531">
      <w:pPr>
        <w:widowControl w:val="0"/>
        <w:autoSpaceDE w:val="0"/>
        <w:autoSpaceDN w:val="0"/>
        <w:spacing w:after="0" w:line="276" w:lineRule="auto"/>
        <w:jc w:val="both"/>
        <w:rPr>
          <w:rFonts w:ascii="Verdana" w:eastAsia="Calibri" w:hAnsi="Verdana" w:cs="Arial"/>
          <w:shd w:val="clear" w:color="auto" w:fill="FFFFFF"/>
          <w:lang w:val="es-ES"/>
        </w:rPr>
      </w:pPr>
    </w:p>
    <w:p w14:paraId="0B3600DD" w14:textId="77777777" w:rsidR="008C7531" w:rsidRPr="008C7531" w:rsidRDefault="008C7531" w:rsidP="008C7531">
      <w:pPr>
        <w:widowControl w:val="0"/>
        <w:autoSpaceDE w:val="0"/>
        <w:autoSpaceDN w:val="0"/>
        <w:spacing w:after="0" w:line="276" w:lineRule="auto"/>
        <w:jc w:val="both"/>
        <w:rPr>
          <w:rFonts w:ascii="Verdana" w:eastAsia="Calibri" w:hAnsi="Verdana" w:cs="Arial"/>
          <w:shd w:val="clear" w:color="auto" w:fill="FFFFFF"/>
          <w:lang w:val="es-ES"/>
        </w:rPr>
      </w:pPr>
      <w:r w:rsidRPr="008C7531">
        <w:rPr>
          <w:rFonts w:ascii="Verdana" w:eastAsia="Calibri"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4" w:history="1">
        <w:r w:rsidRPr="008C7531">
          <w:rPr>
            <w:rFonts w:ascii="Verdana" w:eastAsia="Calibri" w:hAnsi="Verdana" w:cs="Arial"/>
            <w:u w:val="single"/>
            <w:shd w:val="clear" w:color="auto" w:fill="FFFFFF"/>
            <w:lang w:val="es-ES"/>
          </w:rPr>
          <w:t>https://www.colombiacompra.gov.co/sala-de-prensa/boletin-digital</w:t>
        </w:r>
      </w:hyperlink>
      <w:r w:rsidRPr="008C7531">
        <w:rPr>
          <w:rFonts w:ascii="Verdana" w:eastAsia="Calibri" w:hAnsi="Verdana" w:cs="Arial"/>
          <w:shd w:val="clear" w:color="auto" w:fill="FFFFFF"/>
          <w:lang w:val="es-ES"/>
        </w:rPr>
        <w:t xml:space="preserve">   </w:t>
      </w:r>
    </w:p>
    <w:p w14:paraId="31CBE5D8" w14:textId="77777777" w:rsidR="008C7531" w:rsidRPr="008C7531" w:rsidRDefault="008C7531" w:rsidP="008C7531">
      <w:pPr>
        <w:widowControl w:val="0"/>
        <w:autoSpaceDE w:val="0"/>
        <w:autoSpaceDN w:val="0"/>
        <w:spacing w:after="0" w:line="276" w:lineRule="auto"/>
        <w:jc w:val="both"/>
        <w:rPr>
          <w:rFonts w:ascii="Verdana" w:eastAsia="Calibri" w:hAnsi="Verdana" w:cs="Arial"/>
          <w:shd w:val="clear" w:color="auto" w:fill="FFFFFF"/>
          <w:lang w:val="es-ES"/>
        </w:rPr>
      </w:pPr>
      <w:r w:rsidRPr="008C7531">
        <w:rPr>
          <w:rFonts w:ascii="Verdana" w:eastAsia="Aptos" w:hAnsi="Verdana" w:cs="Times New Roman"/>
          <w:kern w:val="2"/>
          <w14:ligatures w14:val="standardContextual"/>
        </w:rPr>
        <w:br/>
      </w:r>
      <w:r w:rsidRPr="008C7531">
        <w:rPr>
          <w:rFonts w:ascii="Verdana" w:eastAsia="Aptos" w:hAnsi="Verdana" w:cs="Times New Roman"/>
          <w:kern w:val="2"/>
          <w:shd w:val="clear" w:color="auto" w:fill="FFFFFF"/>
          <w14:ligatures w14:val="standardContextual"/>
        </w:rPr>
        <w:t>Adicionalmente, los invitamos a participar con sus observaciones al borrador de los documentos tipo del sector de infraestructura de transporte, bajo las modalidades de licitación pública, selección abreviada de menor cuantía y mínima cuantía.</w:t>
      </w:r>
      <w:r w:rsidRPr="008C7531">
        <w:rPr>
          <w:rFonts w:ascii="Verdana" w:eastAsia="Calibri" w:hAnsi="Verdana" w:cs="Arial"/>
          <w:shd w:val="clear" w:color="auto" w:fill="FFFFFF"/>
          <w:lang w:val="es-ES"/>
        </w:rPr>
        <w:t xml:space="preserve"> Estos pueden consultarse en el siguiente enlace: </w:t>
      </w:r>
      <w:hyperlink r:id="rId15" w:history="1">
        <w:r w:rsidRPr="008C7531">
          <w:rPr>
            <w:rFonts w:ascii="Verdana" w:eastAsia="Calibri" w:hAnsi="Verdana" w:cs="Arial"/>
            <w:color w:val="467886"/>
            <w:u w:val="single"/>
            <w:shd w:val="clear" w:color="auto" w:fill="FFFFFF"/>
            <w:lang w:val="es-ES"/>
          </w:rPr>
          <w:t>https://www.colombiacompra.gov.co/documentos-tipo/documentos-tipo</w:t>
        </w:r>
      </w:hyperlink>
      <w:r w:rsidRPr="008C7531">
        <w:rPr>
          <w:rFonts w:ascii="Verdana" w:eastAsia="Calibri" w:hAnsi="Verdana" w:cs="Arial"/>
          <w:shd w:val="clear" w:color="auto" w:fill="FFFFFF"/>
          <w:lang w:val="es-ES"/>
        </w:rPr>
        <w:t xml:space="preserve">. </w:t>
      </w:r>
    </w:p>
    <w:p w14:paraId="763D54D9" w14:textId="77777777" w:rsidR="008C7531" w:rsidRPr="008C7531" w:rsidRDefault="008C7531" w:rsidP="008C7531">
      <w:pPr>
        <w:widowControl w:val="0"/>
        <w:autoSpaceDE w:val="0"/>
        <w:autoSpaceDN w:val="0"/>
        <w:spacing w:after="0" w:line="276" w:lineRule="auto"/>
        <w:jc w:val="both"/>
        <w:rPr>
          <w:rFonts w:ascii="Verdana" w:eastAsia="Calibri" w:hAnsi="Verdana" w:cs="Arial"/>
          <w:shd w:val="clear" w:color="auto" w:fill="FFFFFF"/>
          <w:lang w:val="es-ES"/>
        </w:rPr>
      </w:pPr>
    </w:p>
    <w:p w14:paraId="29ED10AE" w14:textId="77777777" w:rsidR="008C7531" w:rsidRPr="008C7531" w:rsidRDefault="008C7531" w:rsidP="008C7531">
      <w:pPr>
        <w:spacing w:after="0" w:line="240" w:lineRule="auto"/>
        <w:jc w:val="both"/>
        <w:rPr>
          <w:rFonts w:ascii="Verdana" w:eastAsia="Calibri" w:hAnsi="Verdana" w:cs="Times New Roman"/>
        </w:rPr>
      </w:pPr>
      <w:r w:rsidRPr="008C7531">
        <w:rPr>
          <w:rFonts w:ascii="Verdana" w:eastAsia="Calibri" w:hAnsi="Verdana" w:cs="Times New Roman"/>
        </w:rPr>
        <w:t xml:space="preserve">Por último, los invitamos a seguirnos en las redes sociales, en las cuales se difunde información institucional: </w:t>
      </w:r>
    </w:p>
    <w:p w14:paraId="06A5A2D4" w14:textId="77777777" w:rsidR="008C7531" w:rsidRPr="008C7531" w:rsidRDefault="008C7531" w:rsidP="008C7531">
      <w:pPr>
        <w:spacing w:after="0" w:line="240" w:lineRule="auto"/>
        <w:jc w:val="both"/>
        <w:rPr>
          <w:rFonts w:ascii="Verdana" w:eastAsia="Calibri" w:hAnsi="Verdana" w:cs="Times New Roman"/>
        </w:rPr>
      </w:pPr>
    </w:p>
    <w:p w14:paraId="1B645AA9" w14:textId="77777777" w:rsidR="008C7531" w:rsidRPr="008C7531" w:rsidRDefault="008C7531" w:rsidP="008C7531">
      <w:pPr>
        <w:spacing w:after="0" w:line="240" w:lineRule="auto"/>
        <w:jc w:val="both"/>
        <w:rPr>
          <w:rFonts w:ascii="Verdana" w:eastAsia="Calibri" w:hAnsi="Verdana" w:cs="Times New Roman"/>
        </w:rPr>
      </w:pPr>
      <w:r w:rsidRPr="008C7531">
        <w:rPr>
          <w:rFonts w:ascii="Verdana" w:eastAsia="Calibri" w:hAnsi="Verdana" w:cs="Times New Roman"/>
        </w:rPr>
        <w:t xml:space="preserve">Twitter: </w:t>
      </w:r>
      <w:r w:rsidRPr="008C7531">
        <w:rPr>
          <w:rFonts w:ascii="Verdana" w:eastAsia="Calibri" w:hAnsi="Verdana" w:cs="Times New Roman"/>
          <w:u w:val="single"/>
        </w:rPr>
        <w:t>@colombiacompra</w:t>
      </w:r>
      <w:r w:rsidRPr="008C7531">
        <w:rPr>
          <w:rFonts w:ascii="Verdana" w:eastAsia="Calibri" w:hAnsi="Verdana" w:cs="Times New Roman"/>
        </w:rPr>
        <w:t xml:space="preserve"> </w:t>
      </w:r>
    </w:p>
    <w:p w14:paraId="73F6CF59" w14:textId="77777777" w:rsidR="008C7531" w:rsidRPr="008C7531" w:rsidRDefault="008C7531" w:rsidP="008C7531">
      <w:pPr>
        <w:spacing w:after="0" w:line="240" w:lineRule="auto"/>
        <w:jc w:val="both"/>
        <w:rPr>
          <w:rFonts w:ascii="Verdana" w:eastAsia="Calibri" w:hAnsi="Verdana" w:cs="Times New Roman"/>
        </w:rPr>
      </w:pPr>
      <w:r w:rsidRPr="008C7531">
        <w:rPr>
          <w:rFonts w:ascii="Verdana" w:eastAsia="Calibri" w:hAnsi="Verdana" w:cs="Times New Roman"/>
        </w:rPr>
        <w:t xml:space="preserve">Facebook: </w:t>
      </w:r>
      <w:proofErr w:type="spellStart"/>
      <w:r w:rsidRPr="008C7531">
        <w:rPr>
          <w:rFonts w:ascii="Verdana" w:eastAsia="Calibri" w:hAnsi="Verdana" w:cs="Times New Roman"/>
          <w:u w:val="single"/>
        </w:rPr>
        <w:t>ColombiaCompraEficiente</w:t>
      </w:r>
      <w:proofErr w:type="spellEnd"/>
    </w:p>
    <w:p w14:paraId="5E7D6DE2" w14:textId="77777777" w:rsidR="008C7531" w:rsidRPr="008C7531" w:rsidRDefault="008C7531" w:rsidP="008C7531">
      <w:pPr>
        <w:spacing w:after="0" w:line="240" w:lineRule="auto"/>
        <w:jc w:val="both"/>
        <w:rPr>
          <w:rFonts w:ascii="Verdana" w:eastAsia="Calibri" w:hAnsi="Verdana" w:cs="Times New Roman"/>
        </w:rPr>
      </w:pPr>
      <w:r w:rsidRPr="008C7531">
        <w:rPr>
          <w:rFonts w:ascii="Verdana" w:eastAsia="Calibri" w:hAnsi="Verdana" w:cs="Times New Roman"/>
        </w:rPr>
        <w:t xml:space="preserve">LinkedIn: </w:t>
      </w:r>
      <w:r w:rsidRPr="008C7531">
        <w:rPr>
          <w:rFonts w:ascii="Verdana" w:eastAsia="Calibri" w:hAnsi="Verdana" w:cs="Times New Roman"/>
          <w:u w:val="single"/>
        </w:rPr>
        <w:t>Agencia Nacional de Contratación Pública - Colombia Compra Eficiente</w:t>
      </w:r>
      <w:r w:rsidRPr="008C7531">
        <w:rPr>
          <w:rFonts w:ascii="Verdana" w:eastAsia="Calibri" w:hAnsi="Verdana" w:cs="Times New Roman"/>
        </w:rPr>
        <w:t xml:space="preserve"> Instagram: </w:t>
      </w:r>
      <w:r w:rsidRPr="008C7531">
        <w:rPr>
          <w:rFonts w:ascii="Verdana" w:eastAsia="Calibri" w:hAnsi="Verdana" w:cs="Times New Roman"/>
          <w:u w:val="single"/>
        </w:rPr>
        <w:t>@colombiacompraeficiente_cce</w:t>
      </w:r>
    </w:p>
    <w:p w14:paraId="0CED6E51" w14:textId="77777777" w:rsidR="008C7531" w:rsidRPr="008C7531" w:rsidRDefault="008C7531" w:rsidP="008C7531">
      <w:pPr>
        <w:widowControl w:val="0"/>
        <w:autoSpaceDE w:val="0"/>
        <w:autoSpaceDN w:val="0"/>
        <w:spacing w:after="0" w:line="276" w:lineRule="auto"/>
        <w:jc w:val="both"/>
        <w:rPr>
          <w:rFonts w:ascii="Verdana" w:eastAsia="Calibri" w:hAnsi="Verdana" w:cs="Arial"/>
        </w:rPr>
      </w:pPr>
    </w:p>
    <w:p w14:paraId="0BADCC88" w14:textId="77777777" w:rsidR="008C7531" w:rsidRPr="008C7531" w:rsidRDefault="008C7531" w:rsidP="008C7531">
      <w:pPr>
        <w:widowControl w:val="0"/>
        <w:autoSpaceDE w:val="0"/>
        <w:autoSpaceDN w:val="0"/>
        <w:spacing w:after="0" w:line="276" w:lineRule="auto"/>
        <w:jc w:val="both"/>
        <w:rPr>
          <w:rFonts w:ascii="Verdana" w:eastAsia="Calibri" w:hAnsi="Verdana" w:cs="Arial"/>
          <w:lang w:val="es-ES_tradnl"/>
        </w:rPr>
      </w:pPr>
      <w:r w:rsidRPr="008C7531">
        <w:rPr>
          <w:rFonts w:ascii="Verdana" w:eastAsia="Calibri" w:hAnsi="Verdana" w:cs="Arial"/>
        </w:rPr>
        <w:t xml:space="preserve">Este concepto tiene el alcance previsto en el artículo 28 del Código de Procedimiento Administrativo y de lo Contencioso Administrativo </w:t>
      </w:r>
      <w:r w:rsidRPr="008C7531">
        <w:rPr>
          <w:rFonts w:ascii="Verdana" w:eastAsia="Calibri" w:hAnsi="Verdana" w:cs="Arial"/>
          <w:lang w:val="es-ES_tradnl"/>
        </w:rPr>
        <w:t>y las expresiones aquí utilizadas con mayúscula inicial deben ser entendidas con el significado que les otorga el artículo 2.2.1.1.1.3.1. del Decreto 1082 de 2015.</w:t>
      </w:r>
    </w:p>
    <w:p w14:paraId="258C2C3D" w14:textId="77777777" w:rsidR="008C7531" w:rsidRPr="008C7531" w:rsidRDefault="008C7531" w:rsidP="008C7531">
      <w:pPr>
        <w:widowControl w:val="0"/>
        <w:autoSpaceDE w:val="0"/>
        <w:autoSpaceDN w:val="0"/>
        <w:spacing w:after="0" w:line="276" w:lineRule="auto"/>
        <w:jc w:val="both"/>
        <w:rPr>
          <w:rFonts w:ascii="Verdana" w:eastAsia="Calibri" w:hAnsi="Verdana" w:cs="Arial"/>
        </w:rPr>
      </w:pPr>
    </w:p>
    <w:p w14:paraId="0D89E7CC" w14:textId="77777777" w:rsidR="008C7531" w:rsidRPr="008C7531" w:rsidRDefault="008C7531" w:rsidP="008C7531">
      <w:pPr>
        <w:spacing w:after="0" w:line="240" w:lineRule="auto"/>
        <w:rPr>
          <w:rFonts w:ascii="Verdana" w:eastAsia="Calibri" w:hAnsi="Verdana" w:cs="Arial"/>
          <w:lang w:eastAsia="es-CO"/>
        </w:rPr>
      </w:pPr>
      <w:r w:rsidRPr="008C7531">
        <w:rPr>
          <w:rFonts w:ascii="Verdana" w:eastAsia="Times New Roman" w:hAnsi="Verdana" w:cs="Arial"/>
          <w:lang w:eastAsia="es-CO"/>
        </w:rPr>
        <w:t>Atentamente,</w:t>
      </w:r>
      <w:r w:rsidRPr="008C7531">
        <w:rPr>
          <w:rFonts w:ascii="Verdana" w:eastAsia="Calibri" w:hAnsi="Verdana" w:cs="Arial"/>
          <w:lang w:eastAsia="es-CO"/>
        </w:rPr>
        <w:t xml:space="preserve"> </w:t>
      </w:r>
    </w:p>
    <w:p w14:paraId="7E8E2318" w14:textId="5D2C3EF6" w:rsidR="008C7531" w:rsidRPr="008C7531" w:rsidRDefault="00817302" w:rsidP="008C7531">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05784FA4" wp14:editId="73940C1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C7531" w:rsidRPr="008C7531" w14:paraId="492BB885" w14:textId="77777777" w:rsidTr="00AC5A54">
        <w:trPr>
          <w:trHeight w:val="315"/>
        </w:trPr>
        <w:tc>
          <w:tcPr>
            <w:tcW w:w="893" w:type="dxa"/>
            <w:vAlign w:val="center"/>
            <w:hideMark/>
          </w:tcPr>
          <w:p w14:paraId="2DE55372" w14:textId="77777777" w:rsidR="008C7531" w:rsidRPr="008C7531" w:rsidRDefault="008C7531" w:rsidP="008C7531">
            <w:pPr>
              <w:rPr>
                <w:rFonts w:ascii="Verdana" w:eastAsia="Calibri" w:hAnsi="Verdana" w:cs="Arial"/>
                <w:sz w:val="16"/>
                <w:szCs w:val="16"/>
                <w:lang w:val="es-ES" w:eastAsia="es-ES"/>
              </w:rPr>
            </w:pPr>
            <w:r w:rsidRPr="008C7531">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51BEFC7A" w14:textId="77777777" w:rsidR="008C7531" w:rsidRPr="008C7531" w:rsidRDefault="008C7531" w:rsidP="008C7531">
            <w:pPr>
              <w:rPr>
                <w:rFonts w:ascii="Verdana" w:eastAsia="Arial" w:hAnsi="Verdana" w:cs="Arial"/>
                <w:sz w:val="16"/>
                <w:szCs w:val="16"/>
              </w:rPr>
            </w:pPr>
            <w:r w:rsidRPr="008C7531">
              <w:rPr>
                <w:rFonts w:ascii="Verdana" w:eastAsia="Arial" w:hAnsi="Verdana" w:cs="Arial"/>
                <w:sz w:val="16"/>
                <w:szCs w:val="16"/>
              </w:rPr>
              <w:t>Kevin Arlid Herrera Santa</w:t>
            </w:r>
          </w:p>
          <w:p w14:paraId="26E8B9C6" w14:textId="77777777" w:rsidR="008C7531" w:rsidRPr="008C7531" w:rsidRDefault="008C7531" w:rsidP="008C7531">
            <w:pPr>
              <w:rPr>
                <w:rFonts w:ascii="Verdana" w:eastAsia="Arial" w:hAnsi="Verdana" w:cs="Arial"/>
                <w:sz w:val="16"/>
                <w:szCs w:val="16"/>
              </w:rPr>
            </w:pPr>
            <w:r w:rsidRPr="008C7531">
              <w:rPr>
                <w:rFonts w:ascii="Verdana" w:eastAsia="Arial" w:hAnsi="Verdana" w:cs="Arial"/>
                <w:sz w:val="16"/>
                <w:szCs w:val="16"/>
              </w:rPr>
              <w:t>Contratista de la Subdirección de Gestión Contractual</w:t>
            </w:r>
          </w:p>
        </w:tc>
      </w:tr>
      <w:tr w:rsidR="008C7531" w:rsidRPr="008C7531" w14:paraId="6173CF75" w14:textId="77777777" w:rsidTr="00AC5A54">
        <w:trPr>
          <w:trHeight w:val="330"/>
        </w:trPr>
        <w:tc>
          <w:tcPr>
            <w:tcW w:w="893" w:type="dxa"/>
            <w:vAlign w:val="center"/>
            <w:hideMark/>
          </w:tcPr>
          <w:p w14:paraId="2D52AD1F" w14:textId="77777777" w:rsidR="008C7531" w:rsidRPr="008C7531" w:rsidRDefault="008C7531" w:rsidP="008C7531">
            <w:pPr>
              <w:rPr>
                <w:rFonts w:ascii="Verdana" w:eastAsia="Calibri" w:hAnsi="Verdana" w:cs="Arial"/>
                <w:sz w:val="16"/>
                <w:szCs w:val="16"/>
                <w:lang w:val="es-ES" w:eastAsia="es-ES"/>
              </w:rPr>
            </w:pPr>
            <w:r w:rsidRPr="008C7531">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57C839D4" w14:textId="77777777" w:rsidR="008C7531" w:rsidRPr="008C7531" w:rsidRDefault="008C7531" w:rsidP="008C7531">
            <w:pPr>
              <w:textAlignment w:val="baseline"/>
              <w:rPr>
                <w:rFonts w:ascii="Verdana" w:eastAsia="Times New Roman" w:hAnsi="Verdana" w:cs="Segoe UI"/>
                <w:sz w:val="16"/>
                <w:szCs w:val="16"/>
                <w:lang w:eastAsia="es-ES_tradnl"/>
              </w:rPr>
            </w:pPr>
            <w:r w:rsidRPr="008C7531">
              <w:rPr>
                <w:rFonts w:ascii="Verdana" w:eastAsia="Times New Roman" w:hAnsi="Verdana" w:cs="Segoe UI"/>
                <w:sz w:val="16"/>
                <w:szCs w:val="16"/>
                <w:lang w:eastAsia="es-ES_tradnl"/>
              </w:rPr>
              <w:t>Juan David Cárdenas Cabeza</w:t>
            </w:r>
          </w:p>
          <w:p w14:paraId="375F635E" w14:textId="77777777" w:rsidR="008C7531" w:rsidRPr="008C7531" w:rsidRDefault="008C7531" w:rsidP="008C7531">
            <w:pPr>
              <w:textAlignment w:val="baseline"/>
              <w:rPr>
                <w:rFonts w:ascii="Verdana" w:eastAsia="Times New Roman" w:hAnsi="Verdana" w:cs="Segoe UI"/>
                <w:sz w:val="16"/>
                <w:szCs w:val="16"/>
                <w:lang w:eastAsia="es-ES_tradnl"/>
              </w:rPr>
            </w:pPr>
            <w:r w:rsidRPr="008C7531">
              <w:rPr>
                <w:rFonts w:ascii="Verdana" w:eastAsia="Times New Roman" w:hAnsi="Verdana" w:cs="Arial"/>
                <w:sz w:val="16"/>
                <w:szCs w:val="16"/>
                <w:lang w:val="es-ES" w:eastAsia="es-ES_tradnl"/>
              </w:rPr>
              <w:t>Contratista de la Subdirección de Gestión Contractual</w:t>
            </w:r>
            <w:r w:rsidRPr="008C7531">
              <w:rPr>
                <w:rFonts w:ascii="Verdana" w:eastAsia="Times New Roman" w:hAnsi="Verdana" w:cs="Arial"/>
                <w:sz w:val="16"/>
                <w:szCs w:val="16"/>
                <w:lang w:eastAsia="es-ES_tradnl"/>
              </w:rPr>
              <w:t> </w:t>
            </w:r>
          </w:p>
        </w:tc>
      </w:tr>
      <w:tr w:rsidR="008C7531" w:rsidRPr="008C7531" w14:paraId="46BB8489" w14:textId="77777777" w:rsidTr="00AC5A54">
        <w:trPr>
          <w:trHeight w:val="300"/>
        </w:trPr>
        <w:tc>
          <w:tcPr>
            <w:tcW w:w="893" w:type="dxa"/>
            <w:vAlign w:val="center"/>
          </w:tcPr>
          <w:p w14:paraId="32EAB231" w14:textId="77777777" w:rsidR="008C7531" w:rsidRPr="008C7531" w:rsidRDefault="008C7531" w:rsidP="008C7531">
            <w:pPr>
              <w:rPr>
                <w:rFonts w:ascii="Verdana" w:eastAsia="Calibri" w:hAnsi="Verdana" w:cs="Arial"/>
                <w:sz w:val="16"/>
                <w:szCs w:val="16"/>
                <w:lang w:val="es-ES" w:eastAsia="es-ES"/>
              </w:rPr>
            </w:pPr>
            <w:r w:rsidRPr="008C7531">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0C2D0D9" w14:textId="77777777" w:rsidR="008C7531" w:rsidRPr="008C7531" w:rsidRDefault="008C7531" w:rsidP="008C7531">
            <w:pPr>
              <w:rPr>
                <w:rFonts w:ascii="Verdana" w:eastAsia="Calibri" w:hAnsi="Verdana" w:cs="Arial"/>
                <w:sz w:val="16"/>
                <w:szCs w:val="16"/>
                <w:lang w:val="pt-BR" w:eastAsia="es-ES"/>
              </w:rPr>
            </w:pPr>
            <w:r w:rsidRPr="008C7531">
              <w:rPr>
                <w:rFonts w:ascii="Verdana" w:eastAsia="Calibri" w:hAnsi="Verdana" w:cs="Arial"/>
                <w:sz w:val="16"/>
                <w:szCs w:val="16"/>
                <w:lang w:val="pt-BR" w:eastAsia="es-ES"/>
              </w:rPr>
              <w:t xml:space="preserve">Carolina Quintero </w:t>
            </w:r>
            <w:proofErr w:type="spellStart"/>
            <w:r w:rsidRPr="008C7531">
              <w:rPr>
                <w:rFonts w:ascii="Verdana" w:eastAsia="Calibri" w:hAnsi="Verdana" w:cs="Arial"/>
                <w:sz w:val="16"/>
                <w:szCs w:val="16"/>
                <w:lang w:val="pt-BR" w:eastAsia="es-ES"/>
              </w:rPr>
              <w:t>Gacharná</w:t>
            </w:r>
            <w:proofErr w:type="spellEnd"/>
          </w:p>
          <w:p w14:paraId="7CD306DF" w14:textId="77777777" w:rsidR="008C7531" w:rsidRPr="008C7531" w:rsidRDefault="008C7531" w:rsidP="008C7531">
            <w:pPr>
              <w:rPr>
                <w:rFonts w:ascii="Verdana" w:eastAsia="Calibri" w:hAnsi="Verdana" w:cs="Arial"/>
                <w:sz w:val="16"/>
                <w:szCs w:val="16"/>
                <w:lang w:val="pt-BR" w:eastAsia="es-ES"/>
              </w:rPr>
            </w:pPr>
            <w:r w:rsidRPr="008C7531">
              <w:rPr>
                <w:rFonts w:ascii="Verdana" w:eastAsia="Calibri" w:hAnsi="Verdana" w:cs="Arial"/>
                <w:sz w:val="16"/>
                <w:szCs w:val="16"/>
                <w:lang w:eastAsia="es-ES"/>
              </w:rPr>
              <w:t>Subdirectora</w:t>
            </w:r>
            <w:r w:rsidRPr="008C7531">
              <w:rPr>
                <w:rFonts w:ascii="Verdana" w:eastAsia="Calibri" w:hAnsi="Verdana" w:cs="Arial"/>
                <w:sz w:val="16"/>
                <w:szCs w:val="16"/>
                <w:lang w:val="pt-BR" w:eastAsia="es-ES"/>
              </w:rPr>
              <w:t xml:space="preserve"> de Gestión Contratual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2A2FE" w14:textId="77777777" w:rsidR="004F058D" w:rsidRDefault="004F058D" w:rsidP="004A1847">
      <w:pPr>
        <w:spacing w:after="0" w:line="240" w:lineRule="auto"/>
      </w:pPr>
      <w:r>
        <w:separator/>
      </w:r>
    </w:p>
  </w:endnote>
  <w:endnote w:type="continuationSeparator" w:id="0">
    <w:p w14:paraId="24C816A7" w14:textId="77777777" w:rsidR="004F058D" w:rsidRDefault="004F058D"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Times New Roman">
    <w:altName w:val="Arial"/>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D6B9" w14:textId="77777777" w:rsidR="004F058D" w:rsidRDefault="004F058D" w:rsidP="004A1847">
      <w:pPr>
        <w:spacing w:after="0" w:line="240" w:lineRule="auto"/>
      </w:pPr>
      <w:r>
        <w:separator/>
      </w:r>
    </w:p>
  </w:footnote>
  <w:footnote w:type="continuationSeparator" w:id="0">
    <w:p w14:paraId="56EF5279" w14:textId="77777777" w:rsidR="004F058D" w:rsidRDefault="004F058D" w:rsidP="004A1847">
      <w:pPr>
        <w:spacing w:after="0" w:line="240" w:lineRule="auto"/>
      </w:pPr>
      <w:r>
        <w:continuationSeparator/>
      </w:r>
    </w:p>
  </w:footnote>
  <w:footnote w:id="1">
    <w:p w14:paraId="2265A3F6" w14:textId="77777777" w:rsidR="008C7531" w:rsidRPr="00455627" w:rsidRDefault="008C7531" w:rsidP="008C7531">
      <w:pPr>
        <w:pStyle w:val="Textonotapie"/>
        <w:ind w:firstLine="709"/>
        <w:jc w:val="both"/>
        <w:rPr>
          <w:rStyle w:val="Hipervnculo1"/>
          <w:rFonts w:ascii="Verdana" w:hAnsi="Verdana" w:cs="Arial"/>
          <w:sz w:val="18"/>
          <w:szCs w:val="18"/>
        </w:rPr>
      </w:pPr>
      <w:r w:rsidRPr="00455627">
        <w:rPr>
          <w:rStyle w:val="Refdenotaalpie"/>
          <w:rFonts w:ascii="Verdana" w:hAnsi="Verdana" w:cs="Arial"/>
          <w:sz w:val="18"/>
          <w:szCs w:val="18"/>
        </w:rPr>
        <w:footnoteRef/>
      </w:r>
      <w:r w:rsidRPr="00455627">
        <w:rPr>
          <w:rFonts w:ascii="Verdana" w:hAnsi="Verdana" w:cs="Arial"/>
          <w:sz w:val="18"/>
          <w:szCs w:val="18"/>
        </w:rPr>
        <w:t xml:space="preserve"> La Resolución 219 del 6 de agosto de 2021 puede ser consultada en el siguiente enlace: </w:t>
      </w:r>
      <w:hyperlink r:id="rId1" w:history="1">
        <w:r w:rsidRPr="00455627">
          <w:rPr>
            <w:rStyle w:val="Hipervnculo1"/>
            <w:rFonts w:ascii="Verdana" w:hAnsi="Verdana" w:cs="Arial"/>
            <w:sz w:val="18"/>
            <w:szCs w:val="18"/>
          </w:rPr>
          <w:t>https://www.colombiacompra.gov.co/content/03-documentos-tipo-transversales-de-licitacion-de-obra-publica-de-infraestructura-social-con</w:t>
        </w:r>
      </w:hyperlink>
    </w:p>
    <w:p w14:paraId="304FE61E" w14:textId="77777777" w:rsidR="008C7531" w:rsidRPr="00455627" w:rsidRDefault="008C7531" w:rsidP="008C7531">
      <w:pPr>
        <w:pStyle w:val="Textonotapie"/>
        <w:ind w:firstLine="709"/>
        <w:jc w:val="both"/>
        <w:rPr>
          <w:rFonts w:ascii="Verdana" w:hAnsi="Verdana" w:cs="Arial"/>
          <w:sz w:val="18"/>
          <w:szCs w:val="18"/>
        </w:rPr>
      </w:pPr>
    </w:p>
  </w:footnote>
  <w:footnote w:id="2">
    <w:p w14:paraId="043BC6E6" w14:textId="77777777" w:rsidR="008C7531" w:rsidRPr="00455627" w:rsidRDefault="008C7531" w:rsidP="008C7531">
      <w:pPr>
        <w:pStyle w:val="Textonotapie"/>
        <w:ind w:firstLine="709"/>
        <w:jc w:val="both"/>
        <w:rPr>
          <w:rFonts w:ascii="Verdana" w:hAnsi="Verdana"/>
          <w:sz w:val="18"/>
          <w:szCs w:val="18"/>
        </w:rPr>
      </w:pPr>
      <w:r w:rsidRPr="00455627">
        <w:rPr>
          <w:rStyle w:val="Refdenotaalpie"/>
          <w:rFonts w:ascii="Verdana" w:hAnsi="Verdana"/>
          <w:sz w:val="18"/>
          <w:szCs w:val="18"/>
        </w:rPr>
        <w:footnoteRef/>
      </w:r>
      <w:r w:rsidRPr="00455627">
        <w:rPr>
          <w:rFonts w:ascii="Verdana" w:hAnsi="Verdana"/>
          <w:sz w:val="18"/>
          <w:szCs w:val="18"/>
        </w:rPr>
        <w:t xml:space="preserve"> Real Academia Española. Diccionario Prehispánico de Dudas. Consultado en: </w:t>
      </w:r>
      <w:hyperlink r:id="rId2" w:history="1">
        <w:r w:rsidRPr="00455627">
          <w:rPr>
            <w:rStyle w:val="Hipervnculo"/>
            <w:rFonts w:ascii="Verdana" w:hAnsi="Verdana"/>
            <w:sz w:val="18"/>
            <w:szCs w:val="18"/>
          </w:rPr>
          <w:t>https://www.rae.es/dpd/id%20est</w:t>
        </w:r>
      </w:hyperlink>
      <w:r w:rsidRPr="00455627">
        <w:rPr>
          <w:rFonts w:ascii="Verdana" w:hAnsi="Verdana"/>
          <w:sz w:val="18"/>
          <w:szCs w:val="18"/>
        </w:rPr>
        <w:t xml:space="preserve"> </w:t>
      </w:r>
    </w:p>
  </w:footnote>
  <w:footnote w:id="3">
    <w:p w14:paraId="044A094D" w14:textId="77777777" w:rsidR="008C7531" w:rsidRPr="00455627" w:rsidRDefault="008C7531" w:rsidP="008C7531">
      <w:pPr>
        <w:pStyle w:val="Textonotapie"/>
        <w:ind w:firstLine="709"/>
        <w:jc w:val="both"/>
        <w:rPr>
          <w:rFonts w:ascii="Verdana" w:hAnsi="Verdana" w:cs="Arial"/>
          <w:sz w:val="18"/>
          <w:szCs w:val="18"/>
          <w:lang w:val="es-ES"/>
        </w:rPr>
      </w:pPr>
      <w:r w:rsidRPr="00455627">
        <w:rPr>
          <w:rStyle w:val="Refdenotaalpie"/>
          <w:rFonts w:ascii="Verdana" w:hAnsi="Verdana" w:cs="Arial"/>
          <w:sz w:val="18"/>
          <w:szCs w:val="18"/>
        </w:rPr>
        <w:footnoteRef/>
      </w:r>
      <w:r w:rsidRPr="00455627">
        <w:rPr>
          <w:rFonts w:ascii="Verdana" w:hAnsi="Verdana" w:cs="Arial"/>
          <w:sz w:val="18"/>
          <w:szCs w:val="18"/>
        </w:rPr>
        <w:t xml:space="preserve"> </w:t>
      </w:r>
      <w:r w:rsidRPr="00455627">
        <w:rPr>
          <w:rFonts w:ascii="Verdana" w:hAnsi="Verdana" w:cs="Arial"/>
          <w:sz w:val="18"/>
          <w:szCs w:val="18"/>
          <w:lang w:val="es-ES"/>
        </w:rPr>
        <w:t>En cuanto a las resoluciones expedidas, dicha regla se observa en el artículo 3 de las Resoluciones 240, 241, 248, 249, 256 y 269 de 2020, así como en el artículo 2 de la Resolución 094 de 2020 y de la Resolución 326 de 2022,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15pt;height:1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61EAC"/>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35A49"/>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058D"/>
    <w:rsid w:val="004F21C4"/>
    <w:rsid w:val="004F685F"/>
    <w:rsid w:val="005566E8"/>
    <w:rsid w:val="00574867"/>
    <w:rsid w:val="00591460"/>
    <w:rsid w:val="00592628"/>
    <w:rsid w:val="005C3777"/>
    <w:rsid w:val="005C5CDC"/>
    <w:rsid w:val="005D476C"/>
    <w:rsid w:val="005F7A9E"/>
    <w:rsid w:val="00610812"/>
    <w:rsid w:val="006219F8"/>
    <w:rsid w:val="00650FF7"/>
    <w:rsid w:val="00665D70"/>
    <w:rsid w:val="00671DAC"/>
    <w:rsid w:val="006900D9"/>
    <w:rsid w:val="006D12F8"/>
    <w:rsid w:val="006E7326"/>
    <w:rsid w:val="00706C16"/>
    <w:rsid w:val="00737C45"/>
    <w:rsid w:val="007402F4"/>
    <w:rsid w:val="00756841"/>
    <w:rsid w:val="007649AB"/>
    <w:rsid w:val="00771D0C"/>
    <w:rsid w:val="007833AC"/>
    <w:rsid w:val="007B268C"/>
    <w:rsid w:val="007B7171"/>
    <w:rsid w:val="007C0C0F"/>
    <w:rsid w:val="007C3DC2"/>
    <w:rsid w:val="007E5497"/>
    <w:rsid w:val="00806F5F"/>
    <w:rsid w:val="00817302"/>
    <w:rsid w:val="00820278"/>
    <w:rsid w:val="00823CB4"/>
    <w:rsid w:val="00864FB7"/>
    <w:rsid w:val="008843B6"/>
    <w:rsid w:val="00891928"/>
    <w:rsid w:val="008A446D"/>
    <w:rsid w:val="008C7531"/>
    <w:rsid w:val="008D180B"/>
    <w:rsid w:val="008F0EA7"/>
    <w:rsid w:val="00923EEF"/>
    <w:rsid w:val="009419F9"/>
    <w:rsid w:val="0095685E"/>
    <w:rsid w:val="00961B09"/>
    <w:rsid w:val="00965334"/>
    <w:rsid w:val="0097093E"/>
    <w:rsid w:val="009A0DFA"/>
    <w:rsid w:val="009A6A38"/>
    <w:rsid w:val="009B2D26"/>
    <w:rsid w:val="009C71FA"/>
    <w:rsid w:val="009C72E7"/>
    <w:rsid w:val="009D3058"/>
    <w:rsid w:val="009D3D46"/>
    <w:rsid w:val="009E01ED"/>
    <w:rsid w:val="009F3A13"/>
    <w:rsid w:val="00A122D3"/>
    <w:rsid w:val="00A17F13"/>
    <w:rsid w:val="00A20739"/>
    <w:rsid w:val="00A33C78"/>
    <w:rsid w:val="00AB0ADB"/>
    <w:rsid w:val="00B01B1A"/>
    <w:rsid w:val="00B55070"/>
    <w:rsid w:val="00B72CD3"/>
    <w:rsid w:val="00B72FFF"/>
    <w:rsid w:val="00BC3D36"/>
    <w:rsid w:val="00BD7F72"/>
    <w:rsid w:val="00C04FB3"/>
    <w:rsid w:val="00C330EB"/>
    <w:rsid w:val="00C71379"/>
    <w:rsid w:val="00C754BE"/>
    <w:rsid w:val="00C76B1C"/>
    <w:rsid w:val="00CA3320"/>
    <w:rsid w:val="00CB6357"/>
    <w:rsid w:val="00CC1B26"/>
    <w:rsid w:val="00CF255F"/>
    <w:rsid w:val="00D423A2"/>
    <w:rsid w:val="00D42C5B"/>
    <w:rsid w:val="00D520D8"/>
    <w:rsid w:val="00D63AC2"/>
    <w:rsid w:val="00D7383B"/>
    <w:rsid w:val="00D91280"/>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D375C"/>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C7531"/>
    <w:pPr>
      <w:spacing w:line="240" w:lineRule="exact"/>
    </w:pPr>
    <w:rPr>
      <w:vertAlign w:val="superscript"/>
    </w:rPr>
  </w:style>
  <w:style w:type="character" w:customStyle="1" w:styleId="Hipervnculo1">
    <w:name w:val="Hipervínculo1"/>
    <w:basedOn w:val="Fuentedeprrafopredeter"/>
    <w:uiPriority w:val="99"/>
    <w:unhideWhenUsed/>
    <w:rsid w:val="008C75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e.es/dpd/id%20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de-licitacion-de-obra-publica-para-proyectos-de-infraestructura-social" TargetMode="External"/><Relationship Id="rId5" Type="http://schemas.openxmlformats.org/officeDocument/2006/relationships/styles" Target="styles.xml"/><Relationship Id="rId15" Type="http://schemas.openxmlformats.org/officeDocument/2006/relationships/hyperlink" Target="https://www.colombiacompra.gov.co/documentos-tipo/documentos-tip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e.es/dpd/id%20est" TargetMode="External"/><Relationship Id="rId1" Type="http://schemas.openxmlformats.org/officeDocument/2006/relationships/hyperlink" Target="https://www.colombiacompra.gov.co/content/03-documentos-tipo-transversales-de-licitacion-de-obra-publica-de-infraestructura-social-c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Kevin Arlid Herrera Santa</DisplayName>
        <AccountId>221</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75B3B36-EA72-4263-A8E9-443D095BA1B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3053</Words>
  <Characters>16614</Characters>
  <Application>Microsoft Office Word</Application>
  <DocSecurity>0</DocSecurity>
  <Lines>369</Lines>
  <Paragraphs>81</Paragraphs>
  <ScaleCrop>false</ScaleCrop>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8</cp:revision>
  <cp:lastPrinted>2023-01-10T21:18:00Z</cp:lastPrinted>
  <dcterms:created xsi:type="dcterms:W3CDTF">2024-08-04T00:40:00Z</dcterms:created>
  <dcterms:modified xsi:type="dcterms:W3CDTF">2024-08-04T00:48:00Z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