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BC7E2" w14:textId="1C5EA346" w:rsidR="00CD4D9D" w:rsidRPr="00CD4D9D" w:rsidRDefault="00CD4D9D" w:rsidP="00CD4D9D">
      <w:pPr>
        <w:spacing w:after="0"/>
        <w:jc w:val="both"/>
        <w:rPr>
          <w:rFonts w:ascii="Verdana" w:hAnsi="Verdana"/>
        </w:rPr>
      </w:pPr>
      <w:r w:rsidRPr="00CD4D9D">
        <w:rPr>
          <w:rFonts w:ascii="Verdana" w:eastAsia="Calibri" w:hAnsi="Verdana" w:cs="Arial"/>
          <w:b/>
          <w:kern w:val="2"/>
          <w14:ligatures w14:val="standardContextual"/>
        </w:rPr>
        <w:t xml:space="preserve">DOCUMENTOS TIPO DE INFRAESTRUCTURA DE TRANSPORTE – Numeral 4.1.4. – Ponderación de la propuesta económica – TRM </w:t>
      </w:r>
    </w:p>
    <w:p w14:paraId="2E600617" w14:textId="77777777" w:rsidR="00CD4D9D" w:rsidRPr="00CD4D9D" w:rsidRDefault="00CD4D9D" w:rsidP="00CD4D9D">
      <w:pPr>
        <w:tabs>
          <w:tab w:val="left" w:pos="-142"/>
        </w:tabs>
        <w:autoSpaceDE w:val="0"/>
        <w:autoSpaceDN w:val="0"/>
        <w:adjustRightInd w:val="0"/>
        <w:spacing w:after="0" w:line="276" w:lineRule="auto"/>
        <w:jc w:val="both"/>
        <w:outlineLvl w:val="2"/>
        <w:rPr>
          <w:rFonts w:ascii="Verdana" w:eastAsia="Calibri" w:hAnsi="Verdana" w:cs="Arial"/>
          <w:color w:val="000000"/>
          <w:lang w:val="es-MX"/>
        </w:rPr>
      </w:pPr>
    </w:p>
    <w:p w14:paraId="34D663CB" w14:textId="236851A3" w:rsidR="00CD4D9D" w:rsidRPr="00CD4D9D" w:rsidRDefault="007C2213" w:rsidP="00CD4D9D">
      <w:pPr>
        <w:tabs>
          <w:tab w:val="left" w:pos="-142"/>
        </w:tabs>
        <w:autoSpaceDE w:val="0"/>
        <w:autoSpaceDN w:val="0"/>
        <w:adjustRightInd w:val="0"/>
        <w:spacing w:after="0" w:line="240" w:lineRule="auto"/>
        <w:jc w:val="both"/>
        <w:outlineLvl w:val="2"/>
        <w:rPr>
          <w:rFonts w:ascii="Verdana" w:eastAsia="Calibri" w:hAnsi="Verdana" w:cs="Arial"/>
          <w:sz w:val="20"/>
          <w:szCs w:val="20"/>
          <w:lang w:val="x-none" w:eastAsia="es-ES"/>
        </w:rPr>
      </w:pPr>
      <w:r w:rsidRPr="007C2213">
        <w:rPr>
          <w:rFonts w:ascii="Verdana" w:eastAsia="Calibri" w:hAnsi="Verdana" w:cs="Arial"/>
          <w:sz w:val="20"/>
          <w:szCs w:val="20"/>
          <w:lang w:val="x-none" w:eastAsia="es-ES"/>
        </w:rPr>
        <w:t>Los “Documentos Tipo – Versión 3” de licitación de infraestructura de transporte establecen, en el numeral 4.1.4. “determinación del método para la ponderación de la propuesta económica”, cuatro (4) alternativas para escoger el método de ponderación de las propuestas económicas,</w:t>
      </w:r>
      <w:r>
        <w:rPr>
          <w:rFonts w:ascii="Verdana" w:eastAsia="Calibri" w:hAnsi="Verdana" w:cs="Arial"/>
          <w:sz w:val="20"/>
          <w:szCs w:val="20"/>
          <w:lang w:val="x-none" w:eastAsia="es-ES"/>
        </w:rPr>
        <w:t xml:space="preserve"> </w:t>
      </w:r>
      <w:r w:rsidRPr="007C2213">
        <w:rPr>
          <w:rFonts w:ascii="Verdana" w:eastAsia="Calibri" w:hAnsi="Verdana" w:cs="Arial"/>
          <w:sz w:val="20"/>
          <w:szCs w:val="20"/>
          <w:lang w:val="x-none" w:eastAsia="es-ES"/>
        </w:rPr>
        <w:t>a saber: i) mediana con valor absoluto; ii) media geométrica; iii) media aritmética baja, y iv) menor valor. A partir de estas alternativas, la entidad, para establecer el método de ponderación, tomará los centavos de la Tasa de Cambio Representativa del Mercado (TRM), certificada por la Superintendencia Financiera de Colombia.</w:t>
      </w:r>
    </w:p>
    <w:p w14:paraId="1FBF2882" w14:textId="77777777" w:rsidR="00CD4D9D" w:rsidRPr="00CD4D9D" w:rsidRDefault="00CD4D9D" w:rsidP="00CD4D9D">
      <w:pPr>
        <w:spacing w:after="0" w:line="276" w:lineRule="auto"/>
        <w:jc w:val="both"/>
        <w:rPr>
          <w:rFonts w:ascii="Verdana" w:eastAsia="Geomanist Light" w:hAnsi="Verdana" w:cs="Arial"/>
          <w:lang w:val="es-MX"/>
        </w:rPr>
      </w:pPr>
    </w:p>
    <w:p w14:paraId="0381BAD4" w14:textId="77777777" w:rsidR="00CD4D9D" w:rsidRPr="00CD4D9D" w:rsidRDefault="00CD4D9D" w:rsidP="00CD4D9D">
      <w:pPr>
        <w:spacing w:after="0" w:line="276" w:lineRule="auto"/>
        <w:jc w:val="both"/>
        <w:rPr>
          <w:rFonts w:ascii="Verdana" w:eastAsia="Aptos" w:hAnsi="Verdana" w:cs="Arial"/>
          <w:b/>
          <w:bCs/>
          <w:kern w:val="2"/>
          <w:lang w:val="es-MX"/>
          <w14:ligatures w14:val="standardContextual"/>
        </w:rPr>
      </w:pPr>
      <w:r w:rsidRPr="00CD4D9D">
        <w:rPr>
          <w:rFonts w:ascii="Verdana" w:eastAsia="Aptos" w:hAnsi="Verdana" w:cs="Arial"/>
          <w:b/>
          <w:bCs/>
          <w:kern w:val="2"/>
          <w:lang w:val="es-MX"/>
          <w14:ligatures w14:val="standardContextual"/>
        </w:rPr>
        <w:t>PRECIOS ARTIFICIALMENTE BAJOS – Noci</w:t>
      </w:r>
      <w:r w:rsidRPr="00CD4D9D">
        <w:rPr>
          <w:rFonts w:ascii="Verdana" w:eastAsia="Aptos" w:hAnsi="Verdana" w:cs="Arial" w:hint="eastAsia"/>
          <w:b/>
          <w:bCs/>
          <w:kern w:val="2"/>
          <w:lang w:val="es-MX"/>
          <w14:ligatures w14:val="standardContextual"/>
        </w:rPr>
        <w:t>ó</w:t>
      </w:r>
      <w:r w:rsidRPr="00CD4D9D">
        <w:rPr>
          <w:rFonts w:ascii="Verdana" w:eastAsia="Aptos" w:hAnsi="Verdana" w:cs="Arial"/>
          <w:b/>
          <w:bCs/>
          <w:kern w:val="2"/>
          <w:lang w:val="es-MX"/>
          <w14:ligatures w14:val="standardContextual"/>
        </w:rPr>
        <w:t>n</w:t>
      </w:r>
    </w:p>
    <w:p w14:paraId="22E901F4" w14:textId="77777777" w:rsidR="00CD4D9D" w:rsidRPr="00CD4D9D" w:rsidRDefault="00CD4D9D" w:rsidP="00CD4D9D">
      <w:pPr>
        <w:spacing w:after="0" w:line="276" w:lineRule="auto"/>
        <w:jc w:val="both"/>
        <w:rPr>
          <w:rFonts w:ascii="Verdana" w:eastAsia="Aptos" w:hAnsi="Verdana" w:cs="Arial"/>
          <w:b/>
          <w:bCs/>
          <w:kern w:val="2"/>
          <w:lang w:val="es-MX"/>
          <w14:ligatures w14:val="standardContextual"/>
        </w:rPr>
      </w:pPr>
    </w:p>
    <w:p w14:paraId="5FFCA430" w14:textId="0064152A" w:rsidR="00CD4D9D" w:rsidRPr="00CD4D9D" w:rsidRDefault="001C0193" w:rsidP="00764E8B">
      <w:pPr>
        <w:widowControl w:val="0"/>
        <w:autoSpaceDE w:val="0"/>
        <w:autoSpaceDN w:val="0"/>
        <w:spacing w:after="0" w:line="240" w:lineRule="auto"/>
        <w:jc w:val="both"/>
        <w:rPr>
          <w:rFonts w:ascii="Verdana" w:eastAsia="Arial" w:hAnsi="Verdana" w:cs="Arial"/>
          <w:sz w:val="20"/>
          <w:szCs w:val="20"/>
          <w:lang w:val="es-ES" w:eastAsia="es-ES" w:bidi="es-ES"/>
        </w:rPr>
      </w:pPr>
      <w:r w:rsidRPr="001C0193">
        <w:rPr>
          <w:rFonts w:ascii="Verdana" w:eastAsia="Arial" w:hAnsi="Verdana" w:cs="Arial"/>
          <w:sz w:val="20"/>
          <w:szCs w:val="20"/>
          <w:lang w:val="es-ES" w:eastAsia="es-ES" w:bidi="es-ES"/>
        </w:rPr>
        <w:t>Por su parte, el artículo 2.2.1.1.2.2.4. del Decreto 1082 de 2015 establece que cuando el valor de una oferta parezca artificialmente bajo, la entidad debe requerir al oferente para que explique las razones que sustentan el valor ofrecido. Frente a estas explicaciones le corresponde al comité evaluador analizarlas y recomendar si sebe rechazar la oferta o continuar con el análisis de la oferta durante la evaluación de las ofertas</w:t>
      </w:r>
      <w:r>
        <w:rPr>
          <w:rFonts w:ascii="Verdana" w:eastAsia="Arial" w:hAnsi="Verdana" w:cs="Arial"/>
          <w:sz w:val="20"/>
          <w:szCs w:val="20"/>
          <w:lang w:val="es-ES" w:eastAsia="es-ES" w:bidi="es-ES"/>
        </w:rPr>
        <w:t>.</w:t>
      </w:r>
    </w:p>
    <w:p w14:paraId="7A33A844" w14:textId="77777777" w:rsidR="00CD4D9D" w:rsidRPr="00CD4D9D" w:rsidRDefault="00CD4D9D" w:rsidP="00CD4D9D">
      <w:pPr>
        <w:widowControl w:val="0"/>
        <w:autoSpaceDE w:val="0"/>
        <w:autoSpaceDN w:val="0"/>
        <w:spacing w:after="0" w:line="276" w:lineRule="auto"/>
        <w:ind w:right="308"/>
        <w:jc w:val="both"/>
        <w:rPr>
          <w:rFonts w:ascii="Verdana" w:eastAsia="Arial" w:hAnsi="Verdana" w:cs="Arial"/>
          <w:lang w:val="es-ES" w:eastAsia="es-ES" w:bidi="es-ES"/>
        </w:rPr>
      </w:pPr>
    </w:p>
    <w:p w14:paraId="2ACB28F3" w14:textId="77777777" w:rsidR="00CD4D9D" w:rsidRPr="00CD4D9D" w:rsidRDefault="00CD4D9D" w:rsidP="00CD4D9D">
      <w:pPr>
        <w:spacing w:after="0" w:line="276" w:lineRule="auto"/>
        <w:jc w:val="both"/>
        <w:rPr>
          <w:rFonts w:ascii="Verdana" w:eastAsia="Aptos" w:hAnsi="Verdana" w:cs="Arial"/>
          <w:b/>
          <w:bCs/>
          <w:kern w:val="2"/>
          <w:lang w:val="es-MX"/>
          <w14:ligatures w14:val="standardContextual"/>
        </w:rPr>
      </w:pPr>
      <w:r w:rsidRPr="00CD4D9D">
        <w:rPr>
          <w:rFonts w:ascii="Verdana" w:eastAsia="Aptos" w:hAnsi="Verdana" w:cs="Arial"/>
          <w:b/>
          <w:bCs/>
          <w:kern w:val="2"/>
          <w14:ligatures w14:val="standardContextual"/>
        </w:rPr>
        <w:t>INALTERABILIDAD – Documentos Tipo – Regla general</w:t>
      </w:r>
    </w:p>
    <w:p w14:paraId="4EEEA9A6" w14:textId="77777777" w:rsidR="00CD4D9D" w:rsidRPr="00CD4D9D" w:rsidRDefault="00CD4D9D" w:rsidP="00CD4D9D">
      <w:pPr>
        <w:spacing w:after="0" w:line="276" w:lineRule="auto"/>
        <w:jc w:val="both"/>
        <w:rPr>
          <w:rFonts w:ascii="Verdana" w:eastAsia="Geomanist Light" w:hAnsi="Verdana" w:cs="Arial"/>
          <w:lang w:val="es-MX"/>
        </w:rPr>
      </w:pPr>
    </w:p>
    <w:p w14:paraId="054E4EFB" w14:textId="77777777" w:rsidR="001C0193" w:rsidRPr="001C0193" w:rsidRDefault="001C0193" w:rsidP="001C0193">
      <w:pPr>
        <w:snapToGrid w:val="0"/>
        <w:spacing w:after="0" w:line="240" w:lineRule="auto"/>
        <w:jc w:val="both"/>
        <w:rPr>
          <w:rFonts w:ascii="Verdana" w:eastAsia="Times New Roman" w:hAnsi="Verdana" w:cs="Arial"/>
          <w:kern w:val="2"/>
          <w:sz w:val="20"/>
          <w:szCs w:val="20"/>
          <w:shd w:val="clear" w:color="auto" w:fill="FFFFFF"/>
          <w:lang w:val="es-ES" w:eastAsia="es-ES"/>
          <w14:ligatures w14:val="standardContextual"/>
        </w:rPr>
      </w:pPr>
      <w:r w:rsidRPr="001C0193">
        <w:rPr>
          <w:rFonts w:ascii="Verdana" w:eastAsia="Times New Roman" w:hAnsi="Verdana" w:cs="Arial"/>
          <w:kern w:val="2"/>
          <w:sz w:val="20"/>
          <w:szCs w:val="20"/>
          <w:shd w:val="clear" w:color="auto" w:fill="FFFFFF"/>
          <w:lang w:val="es-ES" w:eastAsia="es-ES"/>
          <w14:ligatures w14:val="standardContextual"/>
        </w:rPr>
        <w:t xml:space="preserve">Finalmente, es importante resaltar que, en virtud de la regla de inalterabilidad, los Documentos Tipo solo pueden ser modificados en los aspectos en que estos lo permitan. Esto corresponde a aquellos aspectos que se encuentran entre corchetes y resaltados en gris </w:t>
      </w:r>
      <w:r w:rsidRPr="001C0193">
        <w:rPr>
          <w:rFonts w:ascii="Verdana" w:eastAsia="Times New Roman" w:hAnsi="Verdana" w:cs="Arial"/>
          <w:kern w:val="2"/>
          <w:sz w:val="20"/>
          <w:szCs w:val="20"/>
          <w:highlight w:val="lightGray"/>
          <w:shd w:val="clear" w:color="auto" w:fill="FFFFFF"/>
          <w:lang w:val="es-ES" w:eastAsia="es-ES"/>
          <w14:ligatures w14:val="standardContextual"/>
        </w:rPr>
        <w:t>–[texto]–</w:t>
      </w:r>
      <w:r w:rsidRPr="001C0193">
        <w:rPr>
          <w:rFonts w:ascii="Verdana" w:eastAsia="Times New Roman" w:hAnsi="Verdana" w:cs="Arial"/>
          <w:kern w:val="2"/>
          <w:sz w:val="20"/>
          <w:szCs w:val="20"/>
          <w:shd w:val="clear" w:color="auto" w:fill="FFFFFF"/>
          <w:lang w:val="es-ES" w:eastAsia="es-ES"/>
          <w14:ligatures w14:val="standardContextual"/>
        </w:rPr>
        <w:t>, para lo cual deberán observarse las instrucciones contenidas en los mismos para su diligenciamiento.</w:t>
      </w:r>
    </w:p>
    <w:p w14:paraId="34EF2810" w14:textId="3D8A7F9C" w:rsidR="00CD4D9D" w:rsidRPr="00CD4D9D" w:rsidRDefault="00CD4D9D" w:rsidP="00CD4D9D">
      <w:pPr>
        <w:snapToGrid w:val="0"/>
        <w:spacing w:after="0" w:line="240" w:lineRule="auto"/>
        <w:jc w:val="both"/>
        <w:rPr>
          <w:rFonts w:ascii="Verdana" w:eastAsia="Times New Roman" w:hAnsi="Verdana" w:cs="Arial"/>
          <w:kern w:val="2"/>
          <w:sz w:val="20"/>
          <w:szCs w:val="20"/>
          <w:shd w:val="clear" w:color="auto" w:fill="FFFFFF"/>
          <w:lang w:val="es-ES" w:eastAsia="es-ES"/>
          <w14:ligatures w14:val="standardContextual"/>
        </w:rPr>
      </w:pPr>
    </w:p>
    <w:p w14:paraId="55E0B0B9" w14:textId="77777777" w:rsidR="00CD4D9D" w:rsidRPr="00CD4D9D" w:rsidRDefault="00CD4D9D" w:rsidP="00CD4D9D">
      <w:pPr>
        <w:spacing w:after="0" w:line="240" w:lineRule="auto"/>
        <w:rPr>
          <w:rFonts w:ascii="Verdana" w:eastAsia="Geomanist Light" w:hAnsi="Verdana" w:cs="Arial"/>
          <w:lang w:val="es-MX"/>
        </w:rPr>
      </w:pPr>
    </w:p>
    <w:p w14:paraId="27E88AEA" w14:textId="77777777" w:rsidR="00CD4D9D" w:rsidRPr="00CD4D9D" w:rsidRDefault="00CD4D9D" w:rsidP="00CD4D9D">
      <w:pPr>
        <w:spacing w:after="0" w:line="240" w:lineRule="auto"/>
        <w:rPr>
          <w:rFonts w:ascii="Verdana" w:eastAsia="Geomanist Light" w:hAnsi="Verdana" w:cs="Arial"/>
          <w:lang w:val="es-MX"/>
        </w:rPr>
      </w:pPr>
    </w:p>
    <w:p w14:paraId="1F260774" w14:textId="77777777" w:rsidR="00CD4D9D" w:rsidRPr="00CD4D9D" w:rsidRDefault="00CD4D9D" w:rsidP="00CD4D9D">
      <w:pPr>
        <w:spacing w:after="0" w:line="240" w:lineRule="auto"/>
        <w:rPr>
          <w:rFonts w:ascii="Verdana" w:eastAsia="Geomanist Light" w:hAnsi="Verdana" w:cs="Arial"/>
          <w:lang w:val="es-MX"/>
        </w:rPr>
      </w:pPr>
    </w:p>
    <w:p w14:paraId="10F8BBD2" w14:textId="77777777" w:rsidR="00CD4D9D" w:rsidRPr="00CD4D9D" w:rsidRDefault="00CD4D9D" w:rsidP="00CD4D9D">
      <w:pPr>
        <w:spacing w:after="0" w:line="240" w:lineRule="auto"/>
        <w:rPr>
          <w:rFonts w:ascii="Verdana" w:eastAsia="Geomanist Light" w:hAnsi="Verdana" w:cs="Arial"/>
          <w:lang w:val="es-MX"/>
        </w:rPr>
      </w:pPr>
    </w:p>
    <w:p w14:paraId="314A1020" w14:textId="77777777" w:rsidR="00CD4D9D" w:rsidRPr="00CD4D9D" w:rsidRDefault="00CD4D9D" w:rsidP="00CD4D9D">
      <w:pPr>
        <w:spacing w:after="0" w:line="240" w:lineRule="auto"/>
        <w:rPr>
          <w:rFonts w:ascii="Verdana" w:eastAsia="Geomanist Light" w:hAnsi="Verdana" w:cs="Arial"/>
          <w:lang w:val="es-MX"/>
        </w:rPr>
      </w:pPr>
    </w:p>
    <w:p w14:paraId="0159753E" w14:textId="77777777" w:rsidR="00CD4D9D" w:rsidRPr="00CD4D9D" w:rsidRDefault="00CD4D9D" w:rsidP="00CD4D9D">
      <w:pPr>
        <w:spacing w:after="0" w:line="240" w:lineRule="auto"/>
        <w:rPr>
          <w:rFonts w:ascii="Verdana" w:eastAsia="Geomanist Light" w:hAnsi="Verdana" w:cs="Arial"/>
          <w:lang w:val="es-MX"/>
        </w:rPr>
      </w:pPr>
    </w:p>
    <w:p w14:paraId="5FF3884A" w14:textId="77777777" w:rsidR="00CD4D9D" w:rsidRPr="00CD4D9D" w:rsidRDefault="00CD4D9D" w:rsidP="00CD4D9D">
      <w:pPr>
        <w:spacing w:after="0" w:line="240" w:lineRule="auto"/>
        <w:rPr>
          <w:rFonts w:ascii="Verdana" w:eastAsia="Geomanist Light" w:hAnsi="Verdana" w:cs="Arial"/>
          <w:lang w:val="es-MX"/>
        </w:rPr>
      </w:pPr>
    </w:p>
    <w:p w14:paraId="1CC064A4" w14:textId="77777777" w:rsidR="00CD4D9D" w:rsidRPr="00CD4D9D" w:rsidRDefault="00CD4D9D" w:rsidP="00CD4D9D">
      <w:pPr>
        <w:spacing w:after="0" w:line="240" w:lineRule="auto"/>
        <w:rPr>
          <w:rFonts w:ascii="Verdana" w:eastAsia="Geomanist Light" w:hAnsi="Verdana" w:cs="Arial"/>
          <w:lang w:val="es-MX"/>
        </w:rPr>
      </w:pPr>
    </w:p>
    <w:p w14:paraId="1BE199C8" w14:textId="77777777" w:rsidR="00CD4D9D" w:rsidRPr="00CD4D9D" w:rsidRDefault="00CD4D9D" w:rsidP="00CD4D9D">
      <w:pPr>
        <w:spacing w:after="0" w:line="240" w:lineRule="auto"/>
        <w:rPr>
          <w:rFonts w:ascii="Verdana" w:eastAsia="Geomanist Light" w:hAnsi="Verdana" w:cs="Arial"/>
          <w:lang w:val="es-MX"/>
        </w:rPr>
      </w:pPr>
    </w:p>
    <w:p w14:paraId="38D55BF5" w14:textId="77777777" w:rsidR="00CD4D9D" w:rsidRPr="00CD4D9D" w:rsidRDefault="00CD4D9D" w:rsidP="00CD4D9D">
      <w:pPr>
        <w:spacing w:after="0" w:line="240" w:lineRule="auto"/>
        <w:rPr>
          <w:rFonts w:ascii="Verdana" w:eastAsia="Geomanist Light" w:hAnsi="Verdana" w:cs="Arial"/>
          <w:lang w:val="es-MX"/>
        </w:rPr>
      </w:pPr>
    </w:p>
    <w:p w14:paraId="6C3598B9" w14:textId="77777777" w:rsidR="00CD4D9D" w:rsidRPr="00CD4D9D" w:rsidRDefault="00CD4D9D" w:rsidP="00CD4D9D">
      <w:pPr>
        <w:spacing w:after="0" w:line="240" w:lineRule="auto"/>
        <w:rPr>
          <w:rFonts w:ascii="Verdana" w:eastAsia="Geomanist Light" w:hAnsi="Verdana" w:cs="Arial"/>
          <w:lang w:val="es-MX"/>
        </w:rPr>
      </w:pPr>
    </w:p>
    <w:p w14:paraId="5F30DF6D" w14:textId="77777777" w:rsidR="00CD4D9D" w:rsidRPr="00CD4D9D" w:rsidRDefault="00CD4D9D" w:rsidP="00CD4D9D">
      <w:pPr>
        <w:spacing w:after="0" w:line="240" w:lineRule="auto"/>
        <w:rPr>
          <w:rFonts w:ascii="Verdana" w:eastAsia="Geomanist Light" w:hAnsi="Verdana" w:cs="Arial"/>
          <w:lang w:val="es-MX"/>
        </w:rPr>
      </w:pPr>
    </w:p>
    <w:p w14:paraId="70F839ED" w14:textId="77777777" w:rsidR="00CD4D9D" w:rsidRPr="00CD4D9D" w:rsidRDefault="00CD4D9D" w:rsidP="00CD4D9D">
      <w:pPr>
        <w:spacing w:after="0" w:line="240" w:lineRule="auto"/>
        <w:rPr>
          <w:rFonts w:ascii="Verdana" w:eastAsia="Geomanist Light" w:hAnsi="Verdana" w:cs="Arial"/>
          <w:lang w:val="es-MX"/>
        </w:rPr>
      </w:pPr>
    </w:p>
    <w:p w14:paraId="0E92CBE2" w14:textId="77777777" w:rsidR="00CD4D9D" w:rsidRDefault="00CD4D9D" w:rsidP="00CD4D9D">
      <w:pPr>
        <w:spacing w:after="0" w:line="240" w:lineRule="auto"/>
        <w:rPr>
          <w:rFonts w:ascii="Verdana" w:eastAsia="Geomanist Light" w:hAnsi="Verdana" w:cs="Arial"/>
          <w:lang w:val="es-MX"/>
        </w:rPr>
      </w:pPr>
    </w:p>
    <w:p w14:paraId="35231A11" w14:textId="77777777" w:rsidR="001C0193" w:rsidRDefault="001C0193" w:rsidP="00CD4D9D">
      <w:pPr>
        <w:spacing w:after="0" w:line="240" w:lineRule="auto"/>
        <w:jc w:val="both"/>
        <w:rPr>
          <w:rFonts w:ascii="Verdana" w:eastAsia="Geomanist Light" w:hAnsi="Verdana" w:cs="Arial"/>
          <w:lang w:val="es-MX"/>
        </w:rPr>
      </w:pPr>
    </w:p>
    <w:p w14:paraId="2D1E13A2" w14:textId="550705A6" w:rsidR="00CD4D9D" w:rsidRDefault="00CD4D9D" w:rsidP="00CD4D9D">
      <w:pPr>
        <w:spacing w:after="0" w:line="240" w:lineRule="auto"/>
        <w:jc w:val="both"/>
        <w:rPr>
          <w:rFonts w:ascii="Verdana" w:hAnsi="Verdana"/>
        </w:rPr>
      </w:pPr>
      <w:r w:rsidRPr="0044528D">
        <w:rPr>
          <w:rFonts w:ascii="Verdana" w:hAnsi="Verdana"/>
        </w:rPr>
        <w:lastRenderedPageBreak/>
        <w:t>Bogotá D.C.</w:t>
      </w:r>
    </w:p>
    <w:p w14:paraId="41796F5E" w14:textId="52B8417B" w:rsidR="0012679A" w:rsidRDefault="0012679A" w:rsidP="0012679A">
      <w:pPr>
        <w:spacing w:after="0" w:line="240" w:lineRule="auto"/>
        <w:jc w:val="right"/>
        <w:rPr>
          <w:rFonts w:ascii="Verdana" w:hAnsi="Verdana"/>
        </w:rPr>
      </w:pPr>
      <w:r>
        <w:rPr>
          <w:rFonts w:ascii="Verdana" w:hAnsi="Verdana"/>
          <w:noProof/>
        </w:rPr>
        <w:drawing>
          <wp:inline distT="0" distB="0" distL="0" distR="0" wp14:anchorId="01B4E095" wp14:editId="12C71E41">
            <wp:extent cx="3978656" cy="1205074"/>
            <wp:effectExtent l="0" t="0" r="0" b="1905"/>
            <wp:docPr id="14964250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425076" name="Imagen 1496425076"/>
                    <pic:cNvPicPr/>
                  </pic:nvPicPr>
                  <pic:blipFill>
                    <a:blip r:embed="rId10">
                      <a:extLst>
                        <a:ext uri="{28A0092B-C50C-407E-A947-70E740481C1C}">
                          <a14:useLocalDpi xmlns:a14="http://schemas.microsoft.com/office/drawing/2010/main" val="0"/>
                        </a:ext>
                      </a:extLst>
                    </a:blip>
                    <a:stretch>
                      <a:fillRect/>
                    </a:stretch>
                  </pic:blipFill>
                  <pic:spPr>
                    <a:xfrm>
                      <a:off x="0" y="0"/>
                      <a:ext cx="3992284" cy="1209202"/>
                    </a:xfrm>
                    <a:prstGeom prst="rect">
                      <a:avLst/>
                    </a:prstGeom>
                  </pic:spPr>
                </pic:pic>
              </a:graphicData>
            </a:graphic>
          </wp:inline>
        </w:drawing>
      </w:r>
    </w:p>
    <w:p w14:paraId="380D7234" w14:textId="77777777" w:rsidR="00CD4D9D" w:rsidRPr="00CD4D9D" w:rsidRDefault="00CD4D9D" w:rsidP="00CD4D9D">
      <w:pPr>
        <w:spacing w:after="0" w:line="240" w:lineRule="auto"/>
        <w:jc w:val="both"/>
        <w:rPr>
          <w:rFonts w:ascii="Verdana" w:eastAsia="Calibri" w:hAnsi="Verdana" w:cs="Arial"/>
          <w:lang w:val="es-ES"/>
        </w:rPr>
      </w:pPr>
    </w:p>
    <w:p w14:paraId="75E40391" w14:textId="77777777" w:rsidR="00CD4D9D" w:rsidRPr="00CD4D9D" w:rsidRDefault="00CD4D9D" w:rsidP="00CD4D9D">
      <w:pPr>
        <w:spacing w:after="0" w:line="240" w:lineRule="auto"/>
        <w:jc w:val="both"/>
        <w:rPr>
          <w:rFonts w:ascii="Verdana" w:eastAsia="Calibri" w:hAnsi="Verdana" w:cs="Arial"/>
          <w:lang w:val="es-ES"/>
        </w:rPr>
      </w:pPr>
    </w:p>
    <w:p w14:paraId="4769CA16" w14:textId="77777777" w:rsidR="00CD4D9D" w:rsidRPr="00CD4D9D" w:rsidRDefault="00CD4D9D" w:rsidP="00CD4D9D">
      <w:pPr>
        <w:spacing w:after="0" w:line="240" w:lineRule="auto"/>
        <w:jc w:val="both"/>
        <w:rPr>
          <w:rFonts w:ascii="Verdana" w:eastAsia="Calibri" w:hAnsi="Verdana" w:cs="Arial"/>
          <w:lang w:val="es-ES" w:eastAsia="es-ES"/>
        </w:rPr>
      </w:pPr>
      <w:r w:rsidRPr="00CD4D9D">
        <w:rPr>
          <w:rFonts w:ascii="Verdana" w:eastAsia="Calibri" w:hAnsi="Verdana" w:cs="Arial"/>
          <w:lang w:val="es-ES" w:eastAsia="es-ES"/>
        </w:rPr>
        <w:t>Señor</w:t>
      </w:r>
    </w:p>
    <w:p w14:paraId="407A83EF" w14:textId="77777777" w:rsidR="00CD4D9D" w:rsidRPr="00CD4D9D" w:rsidRDefault="00CD4D9D" w:rsidP="00CD4D9D">
      <w:pPr>
        <w:spacing w:after="0" w:line="240" w:lineRule="auto"/>
        <w:rPr>
          <w:rFonts w:ascii="Verdana" w:eastAsia="Calibri" w:hAnsi="Verdana" w:cs="Arial"/>
          <w:b/>
          <w:lang w:val="es-ES_tradnl" w:eastAsia="es-ES_tradnl"/>
        </w:rPr>
      </w:pPr>
      <w:r w:rsidRPr="00CD4D9D">
        <w:rPr>
          <w:rFonts w:ascii="Verdana" w:eastAsia="Calibri" w:hAnsi="Verdana" w:cs="Arial"/>
          <w:b/>
          <w:lang w:val="es-ES_tradnl" w:eastAsia="es-ES_tradnl"/>
        </w:rPr>
        <w:t>Luis Alexis Correa Salazar</w:t>
      </w:r>
    </w:p>
    <w:p w14:paraId="37244EC7" w14:textId="77777777" w:rsidR="00CD4D9D" w:rsidRPr="00CD4D9D" w:rsidRDefault="00CD4D9D" w:rsidP="00CD4D9D">
      <w:pPr>
        <w:spacing w:after="0" w:line="240" w:lineRule="auto"/>
        <w:rPr>
          <w:rFonts w:ascii="Verdana" w:eastAsia="Calibri" w:hAnsi="Verdana" w:cs="Arial"/>
          <w:b/>
          <w:bCs/>
          <w:lang w:val="es-ES" w:eastAsia="es-ES"/>
        </w:rPr>
      </w:pPr>
      <w:r w:rsidRPr="00CD4D9D">
        <w:rPr>
          <w:rFonts w:ascii="Verdana" w:eastAsia="Calibri" w:hAnsi="Verdana" w:cs="Arial"/>
          <w:lang w:val="es-ES" w:eastAsia="es-ES"/>
        </w:rPr>
        <w:t>Ciudad</w:t>
      </w:r>
    </w:p>
    <w:p w14:paraId="06EEF1CD" w14:textId="77777777" w:rsidR="00CD4D9D" w:rsidRPr="00CD4D9D" w:rsidRDefault="00CD4D9D" w:rsidP="00CD4D9D">
      <w:pPr>
        <w:spacing w:after="0" w:line="240" w:lineRule="auto"/>
        <w:rPr>
          <w:rFonts w:ascii="Verdana" w:eastAsia="Calibri" w:hAnsi="Verdana" w:cs="Arial"/>
          <w:b/>
          <w:bCs/>
          <w:lang w:val="es-ES_tradnl" w:eastAsia="es-ES_tradnl"/>
        </w:rPr>
      </w:pPr>
    </w:p>
    <w:p w14:paraId="17BF0038" w14:textId="77777777" w:rsidR="00CD4D9D" w:rsidRPr="00CD4D9D" w:rsidRDefault="00CD4D9D" w:rsidP="00CD4D9D">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D4D9D" w:rsidRPr="00CD4D9D" w14:paraId="53995404" w14:textId="77777777" w:rsidTr="008A5AA7">
        <w:trPr>
          <w:trHeight w:val="884"/>
        </w:trPr>
        <w:tc>
          <w:tcPr>
            <w:tcW w:w="2689" w:type="dxa"/>
          </w:tcPr>
          <w:p w14:paraId="15782768" w14:textId="77777777" w:rsidR="00CD4D9D" w:rsidRPr="00CD4D9D" w:rsidRDefault="00CD4D9D" w:rsidP="00CD4D9D">
            <w:pPr>
              <w:jc w:val="both"/>
              <w:rPr>
                <w:rFonts w:ascii="Verdana" w:eastAsia="Calibri" w:hAnsi="Verdana" w:cs="Arial"/>
                <w:b/>
                <w:bCs/>
                <w:lang w:val="es-ES_tradnl" w:eastAsia="es-ES_tradnl"/>
              </w:rPr>
            </w:pPr>
          </w:p>
        </w:tc>
        <w:tc>
          <w:tcPr>
            <w:tcW w:w="6100" w:type="dxa"/>
          </w:tcPr>
          <w:p w14:paraId="3D8C8A10" w14:textId="77777777" w:rsidR="00CD4D9D" w:rsidRPr="00CD4D9D" w:rsidRDefault="00CD4D9D" w:rsidP="00CD4D9D">
            <w:pPr>
              <w:jc w:val="both"/>
              <w:rPr>
                <w:rFonts w:ascii="Verdana" w:eastAsia="Calibri" w:hAnsi="Verdana" w:cs="Arial"/>
                <w:b/>
                <w:bCs/>
                <w:lang w:val="es-ES" w:eastAsia="es-ES"/>
              </w:rPr>
            </w:pPr>
            <w:r w:rsidRPr="00CD4D9D">
              <w:rPr>
                <w:rFonts w:ascii="Verdana" w:eastAsia="Calibri" w:hAnsi="Verdana" w:cs="Arial"/>
                <w:b/>
                <w:bCs/>
                <w:lang w:val="es-ES" w:eastAsia="es-ES"/>
              </w:rPr>
              <w:t>Concepto C – 220 de 2024</w:t>
            </w:r>
          </w:p>
        </w:tc>
      </w:tr>
      <w:tr w:rsidR="00CD4D9D" w:rsidRPr="00CD4D9D" w14:paraId="10DE1C09" w14:textId="77777777" w:rsidTr="008A5AA7">
        <w:trPr>
          <w:trHeight w:val="884"/>
        </w:trPr>
        <w:tc>
          <w:tcPr>
            <w:tcW w:w="2689" w:type="dxa"/>
          </w:tcPr>
          <w:p w14:paraId="3C38ECE1" w14:textId="77777777" w:rsidR="00CD4D9D" w:rsidRPr="00CD4D9D" w:rsidRDefault="00CD4D9D" w:rsidP="00CD4D9D">
            <w:pPr>
              <w:jc w:val="both"/>
              <w:rPr>
                <w:rFonts w:ascii="Verdana" w:eastAsia="Calibri" w:hAnsi="Verdana" w:cs="Arial"/>
                <w:lang w:val="es-ES_tradnl" w:eastAsia="es-ES_tradnl"/>
              </w:rPr>
            </w:pPr>
            <w:r w:rsidRPr="00CD4D9D">
              <w:rPr>
                <w:rFonts w:ascii="Verdana" w:eastAsia="Calibri" w:hAnsi="Verdana" w:cs="Arial"/>
                <w:b/>
                <w:lang w:val="es-ES_tradnl" w:eastAsia="es-ES_tradnl"/>
              </w:rPr>
              <w:t>Temas:</w:t>
            </w:r>
            <w:r w:rsidRPr="00CD4D9D">
              <w:rPr>
                <w:rFonts w:ascii="Verdana" w:eastAsia="Calibri" w:hAnsi="Verdana" w:cs="Arial"/>
                <w:lang w:val="es-ES_tradnl" w:eastAsia="es-ES_tradnl"/>
              </w:rPr>
              <w:t xml:space="preserve">                   </w:t>
            </w:r>
          </w:p>
        </w:tc>
        <w:tc>
          <w:tcPr>
            <w:tcW w:w="6100" w:type="dxa"/>
          </w:tcPr>
          <w:p w14:paraId="6EE43BE4" w14:textId="77777777" w:rsidR="00CD4D9D" w:rsidRPr="00CD4D9D" w:rsidRDefault="00CD4D9D" w:rsidP="00CD4D9D">
            <w:pPr>
              <w:spacing w:line="276" w:lineRule="auto"/>
              <w:jc w:val="both"/>
              <w:rPr>
                <w:rFonts w:ascii="Verdana" w:eastAsia="Aptos" w:hAnsi="Verdana" w:cs="Arial"/>
                <w:bCs/>
                <w:lang w:val="es-MX"/>
              </w:rPr>
            </w:pPr>
            <w:r w:rsidRPr="00CD4D9D">
              <w:rPr>
                <w:rFonts w:ascii="Verdana" w:eastAsia="Calibri" w:hAnsi="Verdana" w:cs="Arial"/>
                <w:bCs/>
              </w:rPr>
              <w:t xml:space="preserve">DOCUMENTOS TIPO DE INFRAESTRUCTURA DE TRANSPORTE – Numeral 4.1.4. – Ponderación de la propuesta económica – TRM / </w:t>
            </w:r>
            <w:r w:rsidRPr="00CD4D9D">
              <w:rPr>
                <w:rFonts w:ascii="Verdana" w:eastAsia="Aptos" w:hAnsi="Verdana" w:cs="Arial"/>
                <w:bCs/>
                <w:lang w:val="es-MX"/>
              </w:rPr>
              <w:t>PRECIOS ARTIFICIALMENTE BAJOS – Noci</w:t>
            </w:r>
            <w:r w:rsidRPr="00CD4D9D">
              <w:rPr>
                <w:rFonts w:ascii="Verdana" w:eastAsia="Aptos" w:hAnsi="Verdana" w:cs="Arial" w:hint="eastAsia"/>
                <w:bCs/>
                <w:lang w:val="es-MX"/>
              </w:rPr>
              <w:t>ó</w:t>
            </w:r>
            <w:r w:rsidRPr="00CD4D9D">
              <w:rPr>
                <w:rFonts w:ascii="Verdana" w:eastAsia="Aptos" w:hAnsi="Verdana" w:cs="Arial"/>
                <w:bCs/>
                <w:lang w:val="es-MX"/>
              </w:rPr>
              <w:t xml:space="preserve">n / </w:t>
            </w:r>
            <w:r w:rsidRPr="00CD4D9D">
              <w:rPr>
                <w:rFonts w:ascii="Verdana" w:eastAsia="Aptos" w:hAnsi="Verdana" w:cs="Arial"/>
                <w:bCs/>
              </w:rPr>
              <w:t>INALTERABILIDAD – Documentos Tipo – Regla general</w:t>
            </w:r>
          </w:p>
          <w:p w14:paraId="44DA96F5" w14:textId="77777777" w:rsidR="00CD4D9D" w:rsidRPr="00CD4D9D" w:rsidRDefault="00CD4D9D" w:rsidP="00CD4D9D">
            <w:pPr>
              <w:spacing w:line="276" w:lineRule="auto"/>
              <w:jc w:val="both"/>
              <w:rPr>
                <w:rFonts w:ascii="Verdana" w:eastAsia="Calibri" w:hAnsi="Verdana" w:cs="Arial"/>
                <w:lang w:val="es-ES" w:eastAsia="es-ES"/>
              </w:rPr>
            </w:pPr>
          </w:p>
        </w:tc>
      </w:tr>
      <w:tr w:rsidR="00CD4D9D" w:rsidRPr="00CD4D9D" w14:paraId="469B6981" w14:textId="77777777" w:rsidTr="008A5AA7">
        <w:tc>
          <w:tcPr>
            <w:tcW w:w="2689" w:type="dxa"/>
          </w:tcPr>
          <w:p w14:paraId="33E62F61" w14:textId="77777777" w:rsidR="00CD4D9D" w:rsidRPr="00CD4D9D" w:rsidRDefault="00CD4D9D" w:rsidP="00CD4D9D">
            <w:pPr>
              <w:jc w:val="both"/>
              <w:rPr>
                <w:rFonts w:ascii="Verdana" w:eastAsia="Calibri" w:hAnsi="Verdana" w:cs="Arial"/>
                <w:b/>
                <w:lang w:val="es-ES_tradnl" w:eastAsia="es-ES_tradnl"/>
              </w:rPr>
            </w:pPr>
            <w:r w:rsidRPr="00CD4D9D">
              <w:rPr>
                <w:rFonts w:ascii="Verdana" w:eastAsia="Calibri" w:hAnsi="Verdana" w:cs="Arial"/>
                <w:b/>
                <w:lang w:val="es-ES_tradnl" w:eastAsia="es-ES_tradnl"/>
              </w:rPr>
              <w:t>Radicación:</w:t>
            </w:r>
            <w:r w:rsidRPr="00CD4D9D">
              <w:rPr>
                <w:rFonts w:ascii="Verdana" w:eastAsia="Calibri" w:hAnsi="Verdana" w:cs="Arial"/>
                <w:lang w:val="es-ES_tradnl" w:eastAsia="es-ES_tradnl"/>
              </w:rPr>
              <w:t xml:space="preserve">               </w:t>
            </w:r>
          </w:p>
        </w:tc>
        <w:tc>
          <w:tcPr>
            <w:tcW w:w="6100" w:type="dxa"/>
          </w:tcPr>
          <w:p w14:paraId="20B4793A" w14:textId="77777777" w:rsidR="00CD4D9D" w:rsidRPr="00CD4D9D" w:rsidRDefault="00CD4D9D" w:rsidP="00CD4D9D">
            <w:pPr>
              <w:jc w:val="both"/>
              <w:rPr>
                <w:rFonts w:ascii="Verdana" w:eastAsia="Calibri" w:hAnsi="Verdana" w:cs="Arial"/>
                <w:lang w:val="es-ES_tradnl" w:eastAsia="es-ES_tradnl"/>
              </w:rPr>
            </w:pPr>
            <w:r w:rsidRPr="00CD4D9D">
              <w:rPr>
                <w:rFonts w:ascii="Verdana" w:eastAsia="Calibri" w:hAnsi="Verdana" w:cs="Arial"/>
                <w:lang w:val="es-ES_tradnl" w:eastAsia="es-ES_tradnl"/>
              </w:rPr>
              <w:t>Respuesta a consulta con radicado No. P20240625006452</w:t>
            </w:r>
          </w:p>
        </w:tc>
      </w:tr>
    </w:tbl>
    <w:p w14:paraId="532B65FC" w14:textId="77777777" w:rsidR="00CD4D9D" w:rsidRPr="00CD4D9D" w:rsidRDefault="00CD4D9D" w:rsidP="00CD4D9D">
      <w:pPr>
        <w:spacing w:after="0" w:line="240" w:lineRule="auto"/>
        <w:jc w:val="both"/>
        <w:rPr>
          <w:rFonts w:ascii="Verdana" w:eastAsia="Calibri" w:hAnsi="Verdana" w:cs="Arial"/>
          <w:lang w:val="es-ES_tradnl" w:eastAsia="es-ES_tradnl"/>
        </w:rPr>
      </w:pPr>
    </w:p>
    <w:p w14:paraId="42F45282" w14:textId="77777777" w:rsidR="00CD4D9D" w:rsidRPr="00CD4D9D" w:rsidRDefault="00CD4D9D" w:rsidP="00CD4D9D">
      <w:pPr>
        <w:spacing w:after="0" w:line="240" w:lineRule="auto"/>
        <w:jc w:val="both"/>
        <w:rPr>
          <w:rFonts w:ascii="Verdana" w:eastAsia="Calibri" w:hAnsi="Verdana" w:cs="Arial"/>
          <w:lang w:val="es-ES_tradnl" w:eastAsia="es-ES_tradnl"/>
        </w:rPr>
      </w:pPr>
    </w:p>
    <w:p w14:paraId="320E1686" w14:textId="77777777" w:rsidR="00CD4D9D" w:rsidRPr="00CD4D9D" w:rsidRDefault="00CD4D9D" w:rsidP="00CD4D9D">
      <w:pPr>
        <w:spacing w:after="0" w:line="276" w:lineRule="auto"/>
        <w:jc w:val="both"/>
        <w:rPr>
          <w:rFonts w:ascii="Verdana" w:eastAsia="Calibri" w:hAnsi="Verdana" w:cs="Arial"/>
          <w:lang w:val="es-ES" w:eastAsia="es-ES"/>
        </w:rPr>
      </w:pPr>
      <w:r w:rsidRPr="00CD4D9D">
        <w:rPr>
          <w:rFonts w:ascii="Verdana" w:eastAsia="Calibri" w:hAnsi="Verdana" w:cs="Arial"/>
          <w:lang w:val="es-ES" w:eastAsia="es-ES"/>
        </w:rPr>
        <w:t xml:space="preserve">Estimado señor Correa Salazar: </w:t>
      </w:r>
    </w:p>
    <w:p w14:paraId="6182EF97" w14:textId="77777777" w:rsidR="00CD4D9D" w:rsidRPr="00CD4D9D" w:rsidRDefault="00CD4D9D" w:rsidP="00CD4D9D">
      <w:pPr>
        <w:tabs>
          <w:tab w:val="left" w:pos="3768"/>
        </w:tabs>
        <w:spacing w:after="0" w:line="276" w:lineRule="auto"/>
        <w:jc w:val="both"/>
        <w:rPr>
          <w:rFonts w:ascii="Verdana" w:eastAsia="Calibri" w:hAnsi="Verdana" w:cs="Arial"/>
          <w:lang w:val="es-ES" w:eastAsia="es-ES"/>
        </w:rPr>
      </w:pPr>
      <w:r w:rsidRPr="00CD4D9D">
        <w:rPr>
          <w:rFonts w:ascii="Verdana" w:eastAsia="Calibri" w:hAnsi="Verdana" w:cs="Arial"/>
          <w:lang w:val="es-ES" w:eastAsia="es-ES"/>
        </w:rPr>
        <w:tab/>
      </w:r>
    </w:p>
    <w:p w14:paraId="772E56AF" w14:textId="77777777" w:rsidR="00CD4D9D" w:rsidRPr="00CD4D9D" w:rsidRDefault="00CD4D9D" w:rsidP="00CD4D9D">
      <w:pPr>
        <w:spacing w:after="0" w:line="276" w:lineRule="auto"/>
        <w:jc w:val="both"/>
        <w:rPr>
          <w:rFonts w:ascii="Verdana" w:eastAsia="Calibri" w:hAnsi="Verdana" w:cs="Arial"/>
          <w:lang w:val="es-ES" w:eastAsia="es-ES"/>
        </w:rPr>
      </w:pPr>
      <w:r w:rsidRPr="00CD4D9D">
        <w:rPr>
          <w:rFonts w:ascii="Verdana" w:eastAsia="Calibri" w:hAnsi="Verdana" w:cs="Arial"/>
          <w:lang w:val="es-ES" w:eastAsia="es-ES"/>
        </w:rPr>
        <w:t>En ejercicio de la competencia otorgada por los artículos 3, numeral 5º, y 11, numeral 8º, del Decreto Ley 4170 de 2011,</w:t>
      </w:r>
      <w:r w:rsidRPr="00CD4D9D">
        <w:rPr>
          <w:rFonts w:ascii="Verdana" w:eastAsia="Arial MT" w:hAnsi="Verdana" w:cs="Arial MT"/>
          <w:lang w:val="es-ES" w:eastAsia="es-ES"/>
        </w:rPr>
        <w:t xml:space="preserve"> </w:t>
      </w:r>
      <w:r w:rsidRPr="00CD4D9D">
        <w:rPr>
          <w:rFonts w:ascii="Verdana" w:eastAsia="Calibri" w:hAnsi="Verdana" w:cs="Arial"/>
        </w:rPr>
        <w:t xml:space="preserve">así como lo establecido en el artículo 4 de la Resolución 1707 de 2018 expedida por esta Entidad, </w:t>
      </w:r>
      <w:r w:rsidRPr="00CD4D9D">
        <w:rPr>
          <w:rFonts w:ascii="Verdana" w:eastAsia="Calibri" w:hAnsi="Verdana" w:cs="Arial"/>
          <w:lang w:val="es-ES" w:eastAsia="es-ES"/>
        </w:rPr>
        <w:t>la Agencia Nacional de Contratación Pública – Colombia Compra Eficiente– responde su solicitud de consulta de fecha 25 de junio de 2024, en la que manifiesta lo siguiente:</w:t>
      </w:r>
    </w:p>
    <w:p w14:paraId="47C067D1" w14:textId="77777777" w:rsidR="00CD4D9D" w:rsidRPr="00CD4D9D" w:rsidRDefault="00CD4D9D" w:rsidP="00CD4D9D">
      <w:pPr>
        <w:tabs>
          <w:tab w:val="left" w:pos="142"/>
          <w:tab w:val="left" w:pos="284"/>
        </w:tabs>
        <w:spacing w:line="276" w:lineRule="auto"/>
        <w:contextualSpacing/>
        <w:jc w:val="both"/>
        <w:rPr>
          <w:rFonts w:ascii="Verdana" w:eastAsia="Century Gothic" w:hAnsi="Verdana" w:cs="Century Gothic"/>
          <w:b/>
          <w:bCs/>
          <w:lang w:val="es-ES"/>
        </w:rPr>
      </w:pPr>
    </w:p>
    <w:p w14:paraId="3B5B9AA9" w14:textId="77777777" w:rsidR="00CD4D9D" w:rsidRPr="00CD4D9D" w:rsidRDefault="00CD4D9D" w:rsidP="00CD4D9D">
      <w:pPr>
        <w:spacing w:after="0" w:line="240" w:lineRule="auto"/>
        <w:ind w:left="709" w:right="709"/>
        <w:jc w:val="both"/>
        <w:rPr>
          <w:rFonts w:ascii="Verdana" w:eastAsia="Century Gothic" w:hAnsi="Verdana" w:cs="Century Gothic"/>
          <w:sz w:val="20"/>
          <w:szCs w:val="20"/>
          <w:lang w:val="es-ES"/>
        </w:rPr>
      </w:pPr>
      <w:r w:rsidRPr="00CD4D9D">
        <w:rPr>
          <w:rFonts w:ascii="Verdana" w:eastAsia="Century Gothic" w:hAnsi="Verdana" w:cs="Century Gothic"/>
          <w:sz w:val="20"/>
          <w:szCs w:val="20"/>
          <w:lang w:val="es-ES"/>
        </w:rPr>
        <w:t>“La entidad contratante podría aplicar la TRM del día de apertura del sobre 2 sin resolver si acepta o no la justificación de precios bajos?</w:t>
      </w:r>
    </w:p>
    <w:p w14:paraId="44492826" w14:textId="77777777" w:rsidR="00CD4D9D" w:rsidRPr="00CD4D9D" w:rsidRDefault="00CD4D9D" w:rsidP="00CD4D9D">
      <w:pPr>
        <w:spacing w:after="0" w:line="240" w:lineRule="auto"/>
        <w:ind w:left="709" w:right="709"/>
        <w:jc w:val="both"/>
        <w:rPr>
          <w:rFonts w:ascii="Verdana" w:eastAsia="Century Gothic" w:hAnsi="Verdana" w:cs="Century Gothic"/>
          <w:sz w:val="20"/>
          <w:szCs w:val="20"/>
          <w:lang w:val="es-ES"/>
        </w:rPr>
      </w:pPr>
      <w:r w:rsidRPr="00CD4D9D">
        <w:rPr>
          <w:rFonts w:ascii="Verdana" w:eastAsia="Century Gothic" w:hAnsi="Verdana" w:cs="Century Gothic"/>
          <w:sz w:val="20"/>
          <w:szCs w:val="20"/>
          <w:lang w:val="es-ES"/>
        </w:rPr>
        <w:t>Si la respuesta es positiva, bajo que argumentos jurídicos podría aplicar una TRM cuando loas ofertas económicas aun no tienen evaluacion?</w:t>
      </w:r>
    </w:p>
    <w:p w14:paraId="45962314" w14:textId="77777777" w:rsidR="00CD4D9D" w:rsidRPr="00CD4D9D" w:rsidRDefault="00CD4D9D" w:rsidP="00CD4D9D">
      <w:pPr>
        <w:spacing w:after="0" w:line="240" w:lineRule="auto"/>
        <w:ind w:left="709" w:right="709"/>
        <w:jc w:val="both"/>
        <w:rPr>
          <w:rFonts w:ascii="Verdana" w:eastAsia="Century Gothic" w:hAnsi="Verdana" w:cs="Century Gothic"/>
          <w:sz w:val="20"/>
          <w:szCs w:val="20"/>
          <w:lang w:val="es-ES"/>
        </w:rPr>
      </w:pPr>
      <w:r w:rsidRPr="00CD4D9D">
        <w:rPr>
          <w:rFonts w:ascii="Verdana" w:eastAsia="Century Gothic" w:hAnsi="Verdana" w:cs="Century Gothic"/>
          <w:sz w:val="20"/>
          <w:szCs w:val="20"/>
          <w:lang w:val="es-ES"/>
        </w:rPr>
        <w:t>La entidad tiene la facultad de aplicar la TRM sin dar traslado de las ofertas económicas y de la evaluacion de estas?</w:t>
      </w:r>
    </w:p>
    <w:p w14:paraId="2BCC97F9" w14:textId="77777777" w:rsidR="00CD4D9D" w:rsidRPr="00CD4D9D" w:rsidRDefault="00CD4D9D" w:rsidP="00CD4D9D">
      <w:pPr>
        <w:spacing w:after="0" w:line="240" w:lineRule="auto"/>
        <w:ind w:left="709" w:right="709"/>
        <w:jc w:val="both"/>
        <w:rPr>
          <w:rFonts w:ascii="Verdana" w:eastAsia="Century Gothic" w:hAnsi="Verdana" w:cs="Century Gothic"/>
          <w:sz w:val="20"/>
          <w:szCs w:val="20"/>
          <w:lang w:val="es-ES"/>
        </w:rPr>
      </w:pPr>
      <w:r w:rsidRPr="00CD4D9D">
        <w:rPr>
          <w:rFonts w:ascii="Verdana" w:eastAsia="Century Gothic" w:hAnsi="Verdana" w:cs="Century Gothic"/>
          <w:sz w:val="20"/>
          <w:szCs w:val="20"/>
          <w:lang w:val="es-ES"/>
        </w:rPr>
        <w:lastRenderedPageBreak/>
        <w:t>La entidad tiene la obligación de resolver la justificación de precios artificialmente bajos antes de conocerse la TRM?</w:t>
      </w:r>
    </w:p>
    <w:p w14:paraId="62EEFFE6" w14:textId="77777777" w:rsidR="00CD4D9D" w:rsidRPr="00CD4D9D" w:rsidRDefault="00CD4D9D" w:rsidP="00CD4D9D">
      <w:pPr>
        <w:spacing w:after="0" w:line="240" w:lineRule="auto"/>
        <w:ind w:left="709" w:right="709"/>
        <w:jc w:val="both"/>
        <w:rPr>
          <w:rFonts w:ascii="Verdana" w:eastAsia="Century Gothic" w:hAnsi="Verdana" w:cs="Century Gothic"/>
          <w:sz w:val="20"/>
          <w:szCs w:val="20"/>
          <w:lang w:val="es-ES"/>
        </w:rPr>
      </w:pPr>
      <w:r w:rsidRPr="00CD4D9D">
        <w:rPr>
          <w:rFonts w:ascii="Verdana" w:eastAsia="Century Gothic" w:hAnsi="Verdana" w:cs="Century Gothic"/>
          <w:sz w:val="20"/>
          <w:szCs w:val="20"/>
          <w:lang w:val="es-ES"/>
        </w:rPr>
        <w:t>Respecto a la experiencia</w:t>
      </w:r>
    </w:p>
    <w:p w14:paraId="05DC0F99" w14:textId="77777777" w:rsidR="00CD4D9D" w:rsidRPr="00CD4D9D" w:rsidRDefault="00CD4D9D" w:rsidP="00CD4D9D">
      <w:pPr>
        <w:spacing w:after="0" w:line="240" w:lineRule="auto"/>
        <w:ind w:left="709" w:right="709"/>
        <w:jc w:val="both"/>
        <w:rPr>
          <w:rFonts w:ascii="Verdana" w:eastAsia="Century Gothic" w:hAnsi="Verdana" w:cs="Century Gothic"/>
          <w:sz w:val="20"/>
          <w:szCs w:val="20"/>
          <w:lang w:val="es-ES"/>
        </w:rPr>
      </w:pPr>
      <w:r w:rsidRPr="00CD4D9D">
        <w:rPr>
          <w:rFonts w:ascii="Verdana" w:eastAsia="Century Gothic" w:hAnsi="Verdana" w:cs="Century Gothic"/>
          <w:sz w:val="20"/>
          <w:szCs w:val="20"/>
          <w:lang w:val="es-ES"/>
        </w:rPr>
        <w:t>Los pliegos tipo son inmodificables, esa es la premisa, por lo tanto realizo la siguiente consulta:</w:t>
      </w:r>
    </w:p>
    <w:p w14:paraId="664F096A" w14:textId="77777777" w:rsidR="00CD4D9D" w:rsidRPr="00CD4D9D" w:rsidRDefault="00CD4D9D" w:rsidP="00CD4D9D">
      <w:pPr>
        <w:spacing w:after="0" w:line="240" w:lineRule="auto"/>
        <w:ind w:left="709" w:right="709"/>
        <w:jc w:val="both"/>
        <w:rPr>
          <w:rFonts w:ascii="Verdana" w:eastAsia="Century Gothic" w:hAnsi="Verdana" w:cs="Century Gothic"/>
          <w:sz w:val="20"/>
          <w:szCs w:val="20"/>
          <w:lang w:val="es-ES"/>
        </w:rPr>
      </w:pPr>
      <w:r w:rsidRPr="00CD4D9D">
        <w:rPr>
          <w:rFonts w:ascii="Verdana" w:eastAsia="Century Gothic" w:hAnsi="Verdana" w:cs="Century Gothic"/>
          <w:sz w:val="20"/>
          <w:szCs w:val="20"/>
          <w:lang w:val="es-ES"/>
        </w:rPr>
        <w:t>La entidad contratante tiene la facultad de cambiar la experiencia especifica en la evaluacion con la justificación de que procura la pluralidad de oferentes?</w:t>
      </w:r>
    </w:p>
    <w:p w14:paraId="0129277D" w14:textId="77777777" w:rsidR="00CD4D9D" w:rsidRPr="00CD4D9D" w:rsidRDefault="00CD4D9D" w:rsidP="00CD4D9D">
      <w:pPr>
        <w:spacing w:after="0" w:line="240" w:lineRule="auto"/>
        <w:ind w:left="709" w:right="709"/>
        <w:jc w:val="both"/>
        <w:rPr>
          <w:rFonts w:ascii="Verdana" w:eastAsia="Century Gothic" w:hAnsi="Verdana" w:cs="Century Gothic"/>
          <w:sz w:val="20"/>
          <w:szCs w:val="20"/>
          <w:lang w:val="es-ES"/>
        </w:rPr>
      </w:pPr>
      <w:r w:rsidRPr="00CD4D9D">
        <w:rPr>
          <w:rFonts w:ascii="Verdana" w:eastAsia="Century Gothic" w:hAnsi="Verdana" w:cs="Century Gothic"/>
          <w:sz w:val="20"/>
          <w:szCs w:val="20"/>
          <w:lang w:val="es-ES"/>
        </w:rPr>
        <w:t>Si la respuesta es positiva que argumentos técnicos y jurídicos lo justifican?” [SIC]</w:t>
      </w:r>
    </w:p>
    <w:p w14:paraId="22DCA32E" w14:textId="77777777" w:rsidR="00CD4D9D" w:rsidRPr="00CD4D9D" w:rsidRDefault="00CD4D9D" w:rsidP="00CD4D9D">
      <w:pPr>
        <w:spacing w:after="0" w:line="240" w:lineRule="auto"/>
        <w:ind w:left="709" w:right="709"/>
        <w:jc w:val="both"/>
        <w:rPr>
          <w:rFonts w:ascii="Verdana" w:eastAsia="Century Gothic" w:hAnsi="Verdana" w:cs="Century Gothic"/>
          <w:lang w:val="es-ES"/>
        </w:rPr>
      </w:pPr>
      <w:r w:rsidRPr="00CD4D9D">
        <w:rPr>
          <w:rFonts w:ascii="Verdana" w:eastAsia="Century Gothic" w:hAnsi="Verdana" w:cs="Century Gothic"/>
          <w:sz w:val="20"/>
          <w:szCs w:val="20"/>
          <w:lang w:val="es-ES"/>
        </w:rPr>
        <w:t xml:space="preserve">   </w:t>
      </w:r>
    </w:p>
    <w:p w14:paraId="056CDB1B" w14:textId="77777777" w:rsidR="00CD4D9D" w:rsidRPr="00CD4D9D" w:rsidRDefault="00CD4D9D" w:rsidP="00CD4D9D">
      <w:pPr>
        <w:spacing w:after="120" w:line="276" w:lineRule="auto"/>
        <w:ind w:firstLine="709"/>
        <w:jc w:val="both"/>
        <w:rPr>
          <w:rFonts w:ascii="Verdana" w:eastAsia="Calibri" w:hAnsi="Verdana" w:cs="Arial"/>
          <w:szCs w:val="24"/>
          <w:lang w:val="es-ES_tradnl" w:eastAsia="es-ES_tradnl"/>
        </w:rPr>
      </w:pPr>
      <w:r w:rsidRPr="00CD4D9D">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D4D9D">
        <w:rPr>
          <w:rFonts w:ascii="Verdana" w:eastAsia="Calibri" w:hAnsi="Verdana" w:cs="Arial"/>
          <w:szCs w:val="24"/>
          <w:lang w:val="es-ES_tradnl" w:eastAsia="es-ES_tradnl"/>
        </w:rPr>
        <w:tab/>
      </w:r>
    </w:p>
    <w:p w14:paraId="3C1E4D0C" w14:textId="77777777" w:rsidR="00CD4D9D" w:rsidRPr="00CD4D9D" w:rsidRDefault="00CD4D9D" w:rsidP="00CD4D9D">
      <w:pPr>
        <w:spacing w:after="0" w:line="276" w:lineRule="auto"/>
        <w:ind w:firstLine="709"/>
        <w:jc w:val="both"/>
        <w:rPr>
          <w:rFonts w:ascii="Verdana" w:eastAsia="Calibri" w:hAnsi="Verdana" w:cs="Arial"/>
          <w:lang w:val="es-ES" w:eastAsia="es-ES"/>
        </w:rPr>
      </w:pPr>
      <w:r w:rsidRPr="00CD4D9D">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717EAA53" w14:textId="77777777" w:rsidR="00CD4D9D" w:rsidRPr="00CD4D9D" w:rsidRDefault="00CD4D9D" w:rsidP="00CD4D9D">
      <w:pPr>
        <w:spacing w:after="0" w:line="276" w:lineRule="auto"/>
        <w:ind w:firstLine="709"/>
        <w:jc w:val="both"/>
        <w:rPr>
          <w:rFonts w:ascii="Verdana" w:eastAsia="Calibri" w:hAnsi="Verdana" w:cs="Arial"/>
          <w:lang w:val="es-ES" w:eastAsia="es-ES"/>
        </w:rPr>
      </w:pPr>
    </w:p>
    <w:p w14:paraId="235915F5" w14:textId="77777777" w:rsidR="00CD4D9D" w:rsidRPr="00CD4D9D" w:rsidRDefault="00CD4D9D" w:rsidP="00CD4D9D">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CD4D9D">
        <w:rPr>
          <w:rFonts w:ascii="Verdana" w:eastAsia="Century Gothic" w:hAnsi="Verdana" w:cs="Century Gothic"/>
          <w:b/>
          <w:bCs/>
          <w:lang w:val="es-ES"/>
        </w:rPr>
        <w:t>Problema planteado:</w:t>
      </w:r>
    </w:p>
    <w:p w14:paraId="2BAC2FBF" w14:textId="77777777" w:rsidR="00CD4D9D" w:rsidRPr="00CD4D9D" w:rsidRDefault="00CD4D9D" w:rsidP="00CD4D9D">
      <w:pPr>
        <w:tabs>
          <w:tab w:val="left" w:pos="426"/>
        </w:tabs>
        <w:spacing w:after="0" w:line="276" w:lineRule="auto"/>
        <w:jc w:val="both"/>
        <w:rPr>
          <w:rFonts w:ascii="Verdana" w:eastAsia="Century Gothic" w:hAnsi="Verdana" w:cs="Century Gothic"/>
          <w:lang w:val="es-ES"/>
        </w:rPr>
      </w:pPr>
    </w:p>
    <w:p w14:paraId="07B080C4" w14:textId="77777777" w:rsidR="00CD4D9D" w:rsidRPr="00CD4D9D" w:rsidRDefault="00CD4D9D" w:rsidP="00CD4D9D">
      <w:pPr>
        <w:snapToGrid w:val="0"/>
        <w:spacing w:after="0" w:line="276" w:lineRule="auto"/>
        <w:jc w:val="both"/>
        <w:rPr>
          <w:rFonts w:ascii="Verdana" w:eastAsia="Century Gothic" w:hAnsi="Verdana" w:cs="Century Gothic"/>
        </w:rPr>
      </w:pPr>
      <w:r w:rsidRPr="00CD4D9D">
        <w:rPr>
          <w:rFonts w:ascii="Verdana" w:eastAsia="Century Gothic" w:hAnsi="Verdana" w:cs="Century Gothic"/>
        </w:rPr>
        <w:t>De acuerdo con el contenido de su solicitud, esta Agencia resolverá el siguiente problema jurídico: ¿cuáles son las reglas aplicables respecto a la TRM y los precios artificialmente bajos, a propósito de la evaluación de las ofertas y de los documentos tipo?</w:t>
      </w:r>
    </w:p>
    <w:p w14:paraId="19489288" w14:textId="77777777" w:rsidR="00CD4D9D" w:rsidRPr="00CD4D9D" w:rsidRDefault="00CD4D9D" w:rsidP="00CD4D9D">
      <w:pPr>
        <w:snapToGrid w:val="0"/>
        <w:spacing w:after="0" w:line="276" w:lineRule="auto"/>
        <w:jc w:val="both"/>
        <w:rPr>
          <w:rFonts w:ascii="Verdana" w:eastAsia="Calibri" w:hAnsi="Verdana" w:cs="Arial"/>
          <w:lang w:val="es-ES"/>
        </w:rPr>
      </w:pPr>
    </w:p>
    <w:p w14:paraId="102A2F25" w14:textId="77777777" w:rsidR="00CD4D9D" w:rsidRPr="00CD4D9D" w:rsidRDefault="00CD4D9D" w:rsidP="00CD4D9D">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CD4D9D">
        <w:rPr>
          <w:rFonts w:ascii="Verdana" w:eastAsia="Century Gothic" w:hAnsi="Verdana" w:cs="Century Gothic"/>
          <w:b/>
          <w:bCs/>
          <w:lang w:val="es-ES"/>
        </w:rPr>
        <w:t>Respuesta:</w:t>
      </w:r>
    </w:p>
    <w:p w14:paraId="3D5F59B6" w14:textId="77777777" w:rsidR="00CD4D9D" w:rsidRPr="00CD4D9D" w:rsidRDefault="00CD4D9D" w:rsidP="00CD4D9D">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D4D9D" w:rsidRPr="00CD4D9D" w14:paraId="70360842" w14:textId="77777777" w:rsidTr="008A5AA7">
        <w:tc>
          <w:tcPr>
            <w:tcW w:w="8828" w:type="dxa"/>
            <w:shd w:val="clear" w:color="auto" w:fill="auto"/>
          </w:tcPr>
          <w:p w14:paraId="0E016899" w14:textId="77777777" w:rsidR="00CD4D9D" w:rsidRPr="00CD4D9D" w:rsidRDefault="00CD4D9D" w:rsidP="00CD4D9D">
            <w:pPr>
              <w:spacing w:line="276" w:lineRule="auto"/>
              <w:jc w:val="both"/>
              <w:rPr>
                <w:rFonts w:ascii="Verdana" w:eastAsia="Aptos" w:hAnsi="Verdana" w:cs="Arial"/>
              </w:rPr>
            </w:pPr>
            <w:r w:rsidRPr="00CD4D9D">
              <w:rPr>
                <w:rFonts w:ascii="Verdana" w:eastAsia="Calibri" w:hAnsi="Verdana" w:cs="Arial"/>
              </w:rPr>
              <w:t xml:space="preserve">El numeral 4.1.4 del Documento Base de los documentos tipo de infraestructura de transporte, al regular el mecanismo de escogencia del </w:t>
            </w:r>
            <w:r w:rsidRPr="00CD4D9D">
              <w:rPr>
                <w:rFonts w:ascii="Verdana" w:eastAsia="Calibri" w:hAnsi="Verdana" w:cs="Arial"/>
              </w:rPr>
              <w:lastRenderedPageBreak/>
              <w:t>método de ponderación, reglamenta aspectos propios del desarrollo de la apertura de los sobres contentivos de las ofertas económicas y del desarrollo de la audiencia de adjudicación, no contemplados en los numerales 2.4 y 2.6 del referido documento base. En particular, el numeral 4.1.4 establece que “la entidad debe finalizar la apertura de los sobres económicos hasta antes de las 3:00 pm”, de tal manera que “</w:t>
            </w:r>
            <w:r w:rsidRPr="00CD4D9D">
              <w:rPr>
                <w:rFonts w:ascii="Verdana" w:eastAsia="Aptos" w:hAnsi="Verdana" w:cs="Arial"/>
              </w:rPr>
              <w:t xml:space="preserve">la entidad no podrá abrir los sobres económicos teniendo conocimiento de la TRM que regirá al día hábil siguiente”, la cual suele ser publicada por la Superfinanciera entre las 4:00 p.m. y las 6:00 p.m. </w:t>
            </w:r>
          </w:p>
          <w:p w14:paraId="67166203" w14:textId="77777777" w:rsidR="00CD4D9D" w:rsidRPr="00CD4D9D" w:rsidRDefault="00CD4D9D" w:rsidP="00CD4D9D">
            <w:pPr>
              <w:snapToGrid w:val="0"/>
              <w:spacing w:line="276" w:lineRule="auto"/>
              <w:jc w:val="both"/>
              <w:rPr>
                <w:rFonts w:ascii="Verdana" w:eastAsia="Calibri" w:hAnsi="Verdana" w:cs="Arial"/>
                <w:lang w:val="es-ES"/>
              </w:rPr>
            </w:pPr>
          </w:p>
          <w:p w14:paraId="60BB0247" w14:textId="77777777" w:rsidR="00CD4D9D" w:rsidRPr="00CD4D9D" w:rsidRDefault="00CD4D9D" w:rsidP="00CD4D9D">
            <w:pPr>
              <w:spacing w:line="276" w:lineRule="auto"/>
              <w:jc w:val="both"/>
              <w:rPr>
                <w:rFonts w:ascii="Verdana" w:eastAsia="Calibri" w:hAnsi="Verdana" w:cs="Arial"/>
                <w:i/>
                <w:iCs/>
              </w:rPr>
            </w:pPr>
            <w:r w:rsidRPr="00CD4D9D">
              <w:rPr>
                <w:rFonts w:ascii="Verdana" w:eastAsia="Calibri" w:hAnsi="Verdana" w:cs="Arial"/>
              </w:rPr>
              <w:t xml:space="preserve">Actualmente, esta Agencia se encuentra adelantando una modificación de los documentos tipo del sector de infraestructura de transporte, en la cual se incorporan reglas sobre la TRM y el manejo de precios artificialmente bajos, con el propósito de que aquella no sea conocida en un tiempo prematuro. Por lo tanto, lo invitamos a consultar la página web </w:t>
            </w:r>
            <w:hyperlink r:id="rId11" w:history="1">
              <w:r w:rsidRPr="00CD4D9D">
                <w:rPr>
                  <w:rFonts w:ascii="Verdana" w:eastAsia="Calibri" w:hAnsi="Verdana" w:cs="Arial"/>
                  <w:color w:val="0000FF"/>
                  <w:u w:val="single"/>
                </w:rPr>
                <w:t>www.colombiacompra.gov.co</w:t>
              </w:r>
            </w:hyperlink>
            <w:r w:rsidRPr="00CD4D9D">
              <w:rPr>
                <w:rFonts w:ascii="Verdana" w:eastAsia="Calibri" w:hAnsi="Verdana" w:cs="Arial"/>
              </w:rPr>
              <w:t>, en la cual se encuentra publicado el proyecto de modificación y será publicada la versión final de la modificación que se adopte.</w:t>
            </w:r>
          </w:p>
          <w:p w14:paraId="01533AEF" w14:textId="77777777" w:rsidR="00CD4D9D" w:rsidRPr="00CD4D9D" w:rsidRDefault="00CD4D9D" w:rsidP="00CD4D9D">
            <w:pPr>
              <w:snapToGrid w:val="0"/>
              <w:spacing w:line="276" w:lineRule="auto"/>
              <w:jc w:val="both"/>
              <w:rPr>
                <w:rFonts w:ascii="Verdana" w:eastAsia="Calibri" w:hAnsi="Verdana" w:cs="Arial"/>
                <w:lang w:val="es-ES"/>
              </w:rPr>
            </w:pPr>
          </w:p>
          <w:p w14:paraId="71088DD5" w14:textId="77777777" w:rsidR="00CD4D9D" w:rsidRPr="00CD4D9D" w:rsidRDefault="00CD4D9D" w:rsidP="00CD4D9D">
            <w:pPr>
              <w:snapToGrid w:val="0"/>
              <w:spacing w:line="276" w:lineRule="auto"/>
              <w:jc w:val="both"/>
              <w:rPr>
                <w:rFonts w:ascii="Verdana" w:eastAsia="Times New Roman" w:hAnsi="Verdana" w:cs="Arial"/>
                <w:shd w:val="clear" w:color="auto" w:fill="FFFFFF"/>
                <w:lang w:val="es-ES_tradnl" w:eastAsia="es-ES_tradnl"/>
              </w:rPr>
            </w:pPr>
            <w:r w:rsidRPr="00CD4D9D">
              <w:rPr>
                <w:rFonts w:ascii="Verdana" w:eastAsia="Times New Roman" w:hAnsi="Verdana" w:cs="Arial"/>
                <w:shd w:val="clear" w:color="auto" w:fill="FFFFFF"/>
                <w:lang w:val="es-ES" w:eastAsia="es-ES"/>
              </w:rPr>
              <w:t xml:space="preserve">Finalmente, es importante resaltar que, </w:t>
            </w:r>
            <w:r w:rsidRPr="00CD4D9D">
              <w:rPr>
                <w:rFonts w:ascii="Verdana" w:eastAsia="Times New Roman" w:hAnsi="Verdana" w:cs="Arial"/>
                <w:kern w:val="2"/>
                <w:shd w:val="clear" w:color="auto" w:fill="FFFFFF"/>
                <w:lang w:val="es-ES" w:eastAsia="es-ES"/>
                <w14:ligatures w14:val="standardContextual"/>
              </w:rPr>
              <w:t xml:space="preserve">en virtud de la regla de inalterabilidad, los Documentos Tipo solo pueden ser modificados en los aspectos en que estos lo permitan. Esto corresponde a aquellos aspectos que se encuentran entre corchetes y resaltados en gris </w:t>
            </w:r>
            <w:r w:rsidRPr="00CD4D9D">
              <w:rPr>
                <w:rFonts w:ascii="Verdana" w:eastAsia="Times New Roman" w:hAnsi="Verdana" w:cs="Arial"/>
                <w:kern w:val="2"/>
                <w:highlight w:val="lightGray"/>
                <w:shd w:val="clear" w:color="auto" w:fill="FFFFFF"/>
                <w:lang w:val="es-ES" w:eastAsia="es-ES"/>
                <w14:ligatures w14:val="standardContextual"/>
              </w:rPr>
              <w:t>–[texto]–</w:t>
            </w:r>
            <w:r w:rsidRPr="00CD4D9D">
              <w:rPr>
                <w:rFonts w:ascii="Verdana" w:eastAsia="Times New Roman" w:hAnsi="Verdana" w:cs="Arial"/>
                <w:kern w:val="2"/>
                <w:shd w:val="clear" w:color="auto" w:fill="FFFFFF"/>
                <w:lang w:val="es-ES" w:eastAsia="es-ES"/>
                <w14:ligatures w14:val="standardContextual"/>
              </w:rPr>
              <w:t xml:space="preserve">, para lo cual deberán observarse las instrucciones contenidas en los mismos para su diligenciamiento. Lo anterior implica que, en lo que respecta a las matrices de experiencia, </w:t>
            </w:r>
            <w:r w:rsidRPr="00CD4D9D">
              <w:rPr>
                <w:rFonts w:ascii="Verdana" w:eastAsia="Times New Roman" w:hAnsi="Verdana" w:cs="Arial"/>
                <w:shd w:val="clear" w:color="auto" w:fill="FFFFFF"/>
                <w:lang w:val="es-ES_tradnl" w:eastAsia="es-ES_tradnl"/>
              </w:rPr>
              <w:t xml:space="preserve">las entidades estatales solo podrán requerir la experiencia general y específica en los términos allí señalados, sin perjuicio de las reglas aplicables a la combinación de experiencia de los documentos tipo. </w:t>
            </w:r>
          </w:p>
        </w:tc>
      </w:tr>
    </w:tbl>
    <w:p w14:paraId="63E7B64C" w14:textId="77777777" w:rsidR="00CD4D9D" w:rsidRPr="00CD4D9D" w:rsidRDefault="00CD4D9D" w:rsidP="00CD4D9D">
      <w:pPr>
        <w:tabs>
          <w:tab w:val="left" w:pos="142"/>
          <w:tab w:val="left" w:pos="284"/>
        </w:tabs>
        <w:snapToGrid w:val="0"/>
        <w:spacing w:after="0" w:line="276" w:lineRule="auto"/>
        <w:jc w:val="both"/>
        <w:rPr>
          <w:rFonts w:ascii="Verdana" w:eastAsia="Century Gothic" w:hAnsi="Verdana" w:cs="Century Gothic"/>
          <w:b/>
          <w:bCs/>
          <w:lang w:val="es-ES"/>
        </w:rPr>
      </w:pPr>
    </w:p>
    <w:p w14:paraId="4B497838" w14:textId="77777777" w:rsidR="00CD4D9D" w:rsidRPr="00CD4D9D" w:rsidRDefault="00CD4D9D" w:rsidP="00CD4D9D">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CD4D9D">
        <w:rPr>
          <w:rFonts w:ascii="Verdana" w:eastAsia="Century Gothic" w:hAnsi="Verdana" w:cs="Century Gothic"/>
          <w:b/>
          <w:bCs/>
          <w:lang w:val="es-ES"/>
        </w:rPr>
        <w:t>Razones de la respuesta:</w:t>
      </w:r>
    </w:p>
    <w:p w14:paraId="5C95EAC9" w14:textId="77777777" w:rsidR="00CD4D9D" w:rsidRPr="00CD4D9D" w:rsidRDefault="00CD4D9D" w:rsidP="00CD4D9D">
      <w:pPr>
        <w:tabs>
          <w:tab w:val="left" w:pos="142"/>
          <w:tab w:val="left" w:pos="284"/>
        </w:tabs>
        <w:snapToGrid w:val="0"/>
        <w:spacing w:after="0" w:line="276" w:lineRule="auto"/>
        <w:ind w:left="357"/>
        <w:jc w:val="both"/>
        <w:rPr>
          <w:rFonts w:ascii="Verdana" w:eastAsia="Century Gothic" w:hAnsi="Verdana" w:cs="Century Gothic"/>
          <w:b/>
          <w:bCs/>
          <w:lang w:val="es-ES"/>
        </w:rPr>
      </w:pPr>
    </w:p>
    <w:p w14:paraId="7E5D172E" w14:textId="77777777" w:rsidR="00CD4D9D" w:rsidRPr="00CD4D9D" w:rsidRDefault="00CD4D9D" w:rsidP="00CD4D9D">
      <w:pPr>
        <w:snapToGrid w:val="0"/>
        <w:spacing w:after="0" w:line="276" w:lineRule="auto"/>
        <w:jc w:val="both"/>
        <w:rPr>
          <w:rFonts w:ascii="Verdana" w:eastAsia="Calibri" w:hAnsi="Verdana" w:cs="Arial"/>
          <w:lang w:val="es-ES"/>
        </w:rPr>
      </w:pPr>
      <w:r w:rsidRPr="00CD4D9D">
        <w:rPr>
          <w:rFonts w:ascii="Verdana" w:eastAsia="Calibri" w:hAnsi="Verdana" w:cs="Arial"/>
          <w:lang w:val="es-ES"/>
        </w:rPr>
        <w:t xml:space="preserve">Lo anterior se sustenta en las siguientes consideraciones: </w:t>
      </w:r>
    </w:p>
    <w:p w14:paraId="544F2AB5" w14:textId="77777777" w:rsidR="00CD4D9D" w:rsidRPr="00CD4D9D" w:rsidRDefault="00CD4D9D" w:rsidP="00CD4D9D">
      <w:pPr>
        <w:tabs>
          <w:tab w:val="left" w:pos="-142"/>
        </w:tabs>
        <w:autoSpaceDE w:val="0"/>
        <w:autoSpaceDN w:val="0"/>
        <w:adjustRightInd w:val="0"/>
        <w:spacing w:after="120" w:line="276" w:lineRule="auto"/>
        <w:jc w:val="both"/>
        <w:outlineLvl w:val="2"/>
        <w:rPr>
          <w:rFonts w:ascii="Arial" w:eastAsia="Calibri" w:hAnsi="Arial" w:cs="Arial"/>
          <w:color w:val="000000"/>
          <w:lang w:val="es-MX"/>
        </w:rPr>
      </w:pPr>
      <w:bookmarkStart w:id="0" w:name="_Hlk94088065"/>
    </w:p>
    <w:p w14:paraId="7C264A47" w14:textId="77777777" w:rsidR="00CD4D9D" w:rsidRPr="00CD4D9D" w:rsidRDefault="00CD4D9D" w:rsidP="00CD4D9D">
      <w:pPr>
        <w:numPr>
          <w:ilvl w:val="0"/>
          <w:numId w:val="19"/>
        </w:numPr>
        <w:tabs>
          <w:tab w:val="left" w:pos="-142"/>
        </w:tabs>
        <w:autoSpaceDE w:val="0"/>
        <w:autoSpaceDN w:val="0"/>
        <w:adjustRightInd w:val="0"/>
        <w:spacing w:after="0" w:line="276" w:lineRule="auto"/>
        <w:jc w:val="both"/>
        <w:outlineLvl w:val="2"/>
        <w:rPr>
          <w:rFonts w:ascii="Verdana" w:eastAsia="Calibri" w:hAnsi="Verdana" w:cs="Arial"/>
          <w:lang w:val="x-none" w:eastAsia="es-ES"/>
        </w:rPr>
      </w:pPr>
      <w:r w:rsidRPr="00CD4D9D">
        <w:rPr>
          <w:rFonts w:ascii="Verdana" w:eastAsia="Calibri" w:hAnsi="Verdana" w:cs="Arial"/>
          <w:color w:val="000000"/>
          <w:lang w:val="es-MX"/>
        </w:rPr>
        <w:t>Los “Documentos Tipo – Versión 3” de licitación de infraestructura de transporte</w:t>
      </w:r>
      <w:r w:rsidRPr="00CD4D9D">
        <w:rPr>
          <w:rFonts w:ascii="Verdana" w:eastAsia="Calibri" w:hAnsi="Verdana" w:cs="Arial"/>
          <w:lang w:val="x-none" w:eastAsia="es-ES"/>
        </w:rPr>
        <w:t xml:space="preserve"> establece</w:t>
      </w:r>
      <w:r w:rsidRPr="00CD4D9D">
        <w:rPr>
          <w:rFonts w:ascii="Verdana" w:eastAsia="Calibri" w:hAnsi="Verdana" w:cs="Arial"/>
          <w:lang w:val="es-MX" w:eastAsia="es-ES"/>
        </w:rPr>
        <w:t xml:space="preserve">n, </w:t>
      </w:r>
      <w:r w:rsidRPr="00CD4D9D">
        <w:rPr>
          <w:rFonts w:ascii="Verdana" w:eastAsia="Calibri" w:hAnsi="Verdana" w:cs="Arial"/>
          <w:lang w:val="x-none" w:eastAsia="es-ES"/>
        </w:rPr>
        <w:t xml:space="preserve">en el numeral </w:t>
      </w:r>
      <w:bookmarkStart w:id="1" w:name="_Toc32147369"/>
      <w:bookmarkStart w:id="2" w:name="_Toc84413953"/>
      <w:bookmarkStart w:id="3" w:name="_Hlk511666009"/>
      <w:r w:rsidRPr="00CD4D9D">
        <w:rPr>
          <w:rFonts w:ascii="Verdana" w:eastAsia="Calibri" w:hAnsi="Verdana" w:cs="Arial"/>
          <w:lang w:eastAsia="es-ES"/>
        </w:rPr>
        <w:t>4.1.4. “</w:t>
      </w:r>
      <w:r w:rsidRPr="00CD4D9D">
        <w:rPr>
          <w:rFonts w:ascii="Verdana" w:eastAsia="Arial" w:hAnsi="Verdana" w:cs="Arial"/>
          <w:lang w:eastAsia="es-ES"/>
        </w:rPr>
        <w:t>determinación del método para la ponderación de la propuesta económica</w:t>
      </w:r>
      <w:bookmarkEnd w:id="1"/>
      <w:bookmarkEnd w:id="2"/>
      <w:bookmarkEnd w:id="3"/>
      <w:r w:rsidRPr="00CD4D9D">
        <w:rPr>
          <w:rFonts w:ascii="Verdana" w:eastAsia="Arial" w:hAnsi="Verdana" w:cs="Arial"/>
          <w:lang w:eastAsia="es-ES"/>
        </w:rPr>
        <w:t xml:space="preserve">”, </w:t>
      </w:r>
      <w:r w:rsidRPr="00CD4D9D">
        <w:rPr>
          <w:rFonts w:ascii="Verdana" w:eastAsia="Calibri" w:hAnsi="Verdana" w:cs="Arial"/>
          <w:lang w:val="x-none" w:eastAsia="es-ES"/>
        </w:rPr>
        <w:t>cuatro</w:t>
      </w:r>
      <w:r w:rsidRPr="00CD4D9D">
        <w:rPr>
          <w:rFonts w:ascii="Verdana" w:eastAsia="Calibri" w:hAnsi="Verdana" w:cs="Arial"/>
          <w:lang w:val="es-MX" w:eastAsia="es-ES"/>
        </w:rPr>
        <w:t xml:space="preserve"> (4)</w:t>
      </w:r>
      <w:r w:rsidRPr="00CD4D9D">
        <w:rPr>
          <w:rFonts w:ascii="Verdana" w:eastAsia="Calibri" w:hAnsi="Verdana" w:cs="Arial"/>
          <w:lang w:val="x-none" w:eastAsia="es-ES"/>
        </w:rPr>
        <w:t xml:space="preserve"> alternativas para escoger el método de ponderación de la</w:t>
      </w:r>
      <w:r w:rsidRPr="00CD4D9D">
        <w:rPr>
          <w:rFonts w:ascii="Verdana" w:eastAsia="Calibri" w:hAnsi="Verdana" w:cs="Arial"/>
          <w:lang w:eastAsia="es-ES"/>
        </w:rPr>
        <w:t>s</w:t>
      </w:r>
      <w:r w:rsidRPr="00CD4D9D">
        <w:rPr>
          <w:rFonts w:ascii="Verdana" w:eastAsia="Calibri" w:hAnsi="Verdana" w:cs="Arial"/>
          <w:lang w:val="x-none" w:eastAsia="es-ES"/>
        </w:rPr>
        <w:t xml:space="preserve"> propuesta</w:t>
      </w:r>
      <w:r w:rsidRPr="00CD4D9D">
        <w:rPr>
          <w:rFonts w:ascii="Verdana" w:eastAsia="Calibri" w:hAnsi="Verdana" w:cs="Arial"/>
          <w:lang w:eastAsia="es-ES"/>
        </w:rPr>
        <w:t>s</w:t>
      </w:r>
      <w:r w:rsidRPr="00CD4D9D">
        <w:rPr>
          <w:rFonts w:ascii="Verdana" w:eastAsia="Calibri" w:hAnsi="Verdana" w:cs="Arial"/>
          <w:lang w:val="x-none" w:eastAsia="es-ES"/>
        </w:rPr>
        <w:t xml:space="preserve"> económica</w:t>
      </w:r>
      <w:r w:rsidRPr="00CD4D9D">
        <w:rPr>
          <w:rFonts w:ascii="Verdana" w:eastAsia="Calibri" w:hAnsi="Verdana" w:cs="Arial"/>
          <w:lang w:eastAsia="es-ES"/>
        </w:rPr>
        <w:t>s</w:t>
      </w:r>
      <w:r w:rsidRPr="00CD4D9D">
        <w:rPr>
          <w:rFonts w:ascii="Verdana" w:eastAsia="Calibri" w:hAnsi="Verdana" w:cs="Arial"/>
          <w:lang w:val="x-none" w:eastAsia="es-ES"/>
        </w:rPr>
        <w:t>, a saber: i) mediana con valor absoluto; ii) media geométrica; iii) media aritmética baja, y iv) menor valor.</w:t>
      </w:r>
      <w:r w:rsidRPr="00CD4D9D">
        <w:rPr>
          <w:rFonts w:ascii="Verdana" w:eastAsia="Calibri" w:hAnsi="Verdana" w:cs="Arial"/>
          <w:lang w:eastAsia="es-ES"/>
        </w:rPr>
        <w:t xml:space="preserve"> A partir de estas alternativas</w:t>
      </w:r>
      <w:r w:rsidRPr="00CD4D9D">
        <w:rPr>
          <w:rFonts w:ascii="Verdana" w:eastAsia="Calibri" w:hAnsi="Verdana" w:cs="Arial"/>
          <w:lang w:val="x-none" w:eastAsia="es-ES"/>
        </w:rPr>
        <w:t>, la entidad</w:t>
      </w:r>
      <w:r w:rsidRPr="00CD4D9D">
        <w:rPr>
          <w:rFonts w:ascii="Verdana" w:eastAsia="Calibri" w:hAnsi="Verdana" w:cs="Arial"/>
          <w:lang w:val="es-ES" w:eastAsia="es-ES"/>
        </w:rPr>
        <w:t>,</w:t>
      </w:r>
      <w:r w:rsidRPr="00CD4D9D">
        <w:rPr>
          <w:rFonts w:ascii="Verdana" w:eastAsia="Calibri" w:hAnsi="Verdana" w:cs="Arial"/>
          <w:lang w:val="x-none" w:eastAsia="es-ES"/>
        </w:rPr>
        <w:t xml:space="preserve"> para establecer el método de ponderación</w:t>
      </w:r>
      <w:r w:rsidRPr="00CD4D9D">
        <w:rPr>
          <w:rFonts w:ascii="Verdana" w:eastAsia="Calibri" w:hAnsi="Verdana" w:cs="Arial"/>
          <w:lang w:val="es-ES" w:eastAsia="es-ES"/>
        </w:rPr>
        <w:t>,</w:t>
      </w:r>
      <w:r w:rsidRPr="00CD4D9D">
        <w:rPr>
          <w:rFonts w:ascii="Verdana" w:eastAsia="Calibri" w:hAnsi="Verdana" w:cs="Arial"/>
          <w:lang w:val="x-none" w:eastAsia="es-ES"/>
        </w:rPr>
        <w:t xml:space="preserve"> tomará los centavos </w:t>
      </w:r>
      <w:r w:rsidRPr="00CD4D9D">
        <w:rPr>
          <w:rFonts w:ascii="Verdana" w:eastAsia="Calibri" w:hAnsi="Verdana" w:cs="Arial"/>
          <w:lang w:val="x-none" w:eastAsia="es-ES"/>
        </w:rPr>
        <w:lastRenderedPageBreak/>
        <w:t>de la Tasa de Cambio Representativa del Mercado (TRM), certificada por la Superintendencia Financiera de Colombia</w:t>
      </w:r>
      <w:r w:rsidRPr="00CD4D9D">
        <w:rPr>
          <w:rFonts w:ascii="Verdana" w:eastAsia="Calibri" w:hAnsi="Verdana" w:cs="Arial"/>
          <w:color w:val="3A3A3A"/>
          <w:vertAlign w:val="superscript"/>
          <w:lang w:val="x-none" w:eastAsia="es-ES"/>
        </w:rPr>
        <w:footnoteReference w:id="2"/>
      </w:r>
      <w:r w:rsidRPr="00CD4D9D">
        <w:rPr>
          <w:rFonts w:ascii="Verdana" w:eastAsia="Calibri" w:hAnsi="Verdana" w:cs="Arial"/>
          <w:color w:val="3A3A3A"/>
          <w:lang w:val="x-none" w:eastAsia="es-ES"/>
        </w:rPr>
        <w:t>.</w:t>
      </w:r>
      <w:r w:rsidRPr="00CD4D9D">
        <w:rPr>
          <w:rFonts w:ascii="Verdana" w:eastAsia="Calibri" w:hAnsi="Verdana" w:cs="Arial"/>
          <w:lang w:val="x-none" w:eastAsia="es-ES"/>
        </w:rPr>
        <w:t xml:space="preserve"> </w:t>
      </w:r>
    </w:p>
    <w:p w14:paraId="63FC6E8A" w14:textId="77777777" w:rsidR="00CD4D9D" w:rsidRPr="00CD4D9D" w:rsidRDefault="00CD4D9D" w:rsidP="00CD4D9D">
      <w:pPr>
        <w:tabs>
          <w:tab w:val="left" w:pos="-142"/>
        </w:tabs>
        <w:autoSpaceDE w:val="0"/>
        <w:autoSpaceDN w:val="0"/>
        <w:adjustRightInd w:val="0"/>
        <w:spacing w:after="0" w:line="276" w:lineRule="auto"/>
        <w:ind w:left="720"/>
        <w:jc w:val="both"/>
        <w:outlineLvl w:val="2"/>
        <w:rPr>
          <w:rFonts w:ascii="Verdana" w:eastAsia="Calibri" w:hAnsi="Verdana" w:cs="Arial"/>
          <w:lang w:val="x-none" w:eastAsia="es-ES"/>
        </w:rPr>
      </w:pPr>
    </w:p>
    <w:bookmarkEnd w:id="0"/>
    <w:p w14:paraId="6629A1EF" w14:textId="77777777" w:rsidR="00CD4D9D" w:rsidRPr="00CD4D9D" w:rsidRDefault="00CD4D9D" w:rsidP="00CD4D9D">
      <w:pPr>
        <w:numPr>
          <w:ilvl w:val="0"/>
          <w:numId w:val="19"/>
        </w:numPr>
        <w:spacing w:after="0" w:line="276" w:lineRule="auto"/>
        <w:jc w:val="both"/>
        <w:rPr>
          <w:rFonts w:ascii="Verdana" w:eastAsia="Calibri" w:hAnsi="Verdana" w:cs="Arial"/>
          <w:color w:val="000000"/>
          <w:kern w:val="2"/>
          <w:lang w:val="es-ES_tradnl"/>
          <w14:ligatures w14:val="standardContextual"/>
        </w:rPr>
      </w:pPr>
      <w:r w:rsidRPr="00CD4D9D">
        <w:rPr>
          <w:rFonts w:ascii="Verdana" w:eastAsia="Calibri" w:hAnsi="Verdana" w:cs="Arial"/>
          <w:color w:val="000000"/>
          <w:kern w:val="2"/>
          <w:lang w:val="es-ES_tradnl"/>
          <w14:ligatures w14:val="standardContextual"/>
        </w:rPr>
        <w:t>La Tasa de Cambio Representativa del Mercado – TRM “</w:t>
      </w:r>
      <w:r w:rsidRPr="00CD4D9D">
        <w:rPr>
          <w:rFonts w:ascii="Verdana" w:eastAsia="Calibri" w:hAnsi="Verdana" w:cs="Arial"/>
          <w:kern w:val="2"/>
          <w14:ligatures w14:val="standardContextual"/>
        </w:rPr>
        <w:t>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(IMC) entre las 7:30 a.m. y la 1:00 p.m.</w:t>
      </w:r>
      <w:r w:rsidRPr="00CD4D9D">
        <w:rPr>
          <w:rFonts w:ascii="Verdana" w:eastAsia="Calibri" w:hAnsi="Verdana" w:cs="Arial"/>
          <w:color w:val="000000"/>
          <w:kern w:val="2"/>
          <w:lang w:val="es-ES_tradnl"/>
          <w14:ligatures w14:val="standardContextual"/>
        </w:rPr>
        <w:t>”</w:t>
      </w:r>
      <w:r w:rsidRPr="00CD4D9D">
        <w:rPr>
          <w:rFonts w:ascii="Verdana" w:eastAsia="Aptos" w:hAnsi="Verdana" w:cs="Times New Roman"/>
          <w:color w:val="000000"/>
          <w:kern w:val="2"/>
          <w:vertAlign w:val="superscript"/>
          <w:lang w:val="es-ES_tradnl"/>
          <w14:ligatures w14:val="standardContextual"/>
        </w:rPr>
        <w:footnoteReference w:id="3"/>
      </w:r>
      <w:r w:rsidRPr="00CD4D9D">
        <w:rPr>
          <w:rFonts w:ascii="Verdana" w:eastAsia="Calibri" w:hAnsi="Verdana" w:cs="Arial"/>
          <w:color w:val="000000"/>
          <w:kern w:val="2"/>
          <w:lang w:val="es-ES_tradnl"/>
          <w14:ligatures w14:val="standardContextual"/>
        </w:rPr>
        <w:t>, definida por la Superintendencia Financiera, es decir, denota la relación entre la moneda colombiana y el dólar. Por su parte, el Banco de la República ha definido la tasa de cambio representativa del mercado como “la cantidad de pesos colombianos por un dólar de los Estados Unidos”</w:t>
      </w:r>
      <w:r w:rsidRPr="00CD4D9D">
        <w:rPr>
          <w:rFonts w:ascii="Verdana" w:eastAsia="Aptos" w:hAnsi="Verdana" w:cs="Times New Roman"/>
          <w:color w:val="000000"/>
          <w:kern w:val="2"/>
          <w:vertAlign w:val="superscript"/>
          <w:lang w:val="es-ES_tradnl"/>
          <w14:ligatures w14:val="standardContextual"/>
        </w:rPr>
        <w:footnoteReference w:id="4"/>
      </w:r>
      <w:r w:rsidRPr="00CD4D9D">
        <w:rPr>
          <w:rFonts w:ascii="Verdana" w:eastAsia="Calibri" w:hAnsi="Verdana" w:cs="Arial"/>
          <w:color w:val="000000"/>
          <w:kern w:val="2"/>
          <w:lang w:val="es-ES_tradnl"/>
          <w14:ligatures w14:val="standardContextual"/>
        </w:rPr>
        <w:t xml:space="preserve">, de donde se desprende que la TRM es un valor que se origina en la fluctuación del mercado. </w:t>
      </w:r>
    </w:p>
    <w:p w14:paraId="66364D0D" w14:textId="77777777" w:rsidR="00CD4D9D" w:rsidRPr="00CD4D9D" w:rsidRDefault="00CD4D9D" w:rsidP="00CD4D9D">
      <w:pPr>
        <w:spacing w:after="0" w:line="276" w:lineRule="auto"/>
        <w:jc w:val="both"/>
        <w:rPr>
          <w:rFonts w:ascii="Verdana" w:eastAsia="Calibri" w:hAnsi="Verdana" w:cs="Arial"/>
          <w:color w:val="000000"/>
          <w:kern w:val="2"/>
          <w:lang w:val="es-ES_tradnl"/>
          <w14:ligatures w14:val="standardContextual"/>
        </w:rPr>
      </w:pPr>
    </w:p>
    <w:p w14:paraId="4C36D5E5" w14:textId="77777777" w:rsidR="00CD4D9D" w:rsidRPr="00CD4D9D" w:rsidRDefault="00CD4D9D" w:rsidP="00CD4D9D">
      <w:pPr>
        <w:numPr>
          <w:ilvl w:val="0"/>
          <w:numId w:val="19"/>
        </w:numPr>
        <w:spacing w:after="0" w:line="276" w:lineRule="auto"/>
        <w:jc w:val="both"/>
        <w:rPr>
          <w:rFonts w:ascii="Verdana" w:eastAsia="Calibri" w:hAnsi="Verdana" w:cs="Arial"/>
          <w:kern w:val="2"/>
          <w14:ligatures w14:val="standardContextual"/>
        </w:rPr>
      </w:pPr>
      <w:r w:rsidRPr="00CD4D9D">
        <w:rPr>
          <w:rFonts w:ascii="Verdana" w:eastAsia="Calibri" w:hAnsi="Verdana" w:cs="Arial"/>
          <w:kern w:val="2"/>
          <w14:ligatures w14:val="standardContextual"/>
        </w:rPr>
        <w:lastRenderedPageBreak/>
        <w:t xml:space="preserve">La TRM que la entidad usará para el método de ponderación será la que aplique en el día hábil siguiente del día en que efectivamente sea la apertura del segundo sobre, según la publicación hecha por la Superintendencia </w:t>
      </w:r>
      <w:r w:rsidRPr="00CD4D9D">
        <w:rPr>
          <w:rFonts w:ascii="Verdana" w:eastAsia="Calibri" w:hAnsi="Verdana" w:cs="Arial"/>
          <w:color w:val="000000"/>
          <w:kern w:val="2"/>
          <w14:ligatures w14:val="standardContextual"/>
        </w:rPr>
        <w:t>en horas de la tarde el día de la apertura del segundo sobre. Por ejemplo, si la audiencia de adjudicación se realiza el 12 de agosto de 2024 y ese mismo día se abre el segundo sobre, la TRM que se usará para determinar el método de evaluación será la del 13 de agosto de 2024, que se publica en la tarde del 12 de agosto de 2024. De acuerdo con lo anterior, el método de ponderación se determinará con los rangos del siguiente cuadro</w:t>
      </w:r>
      <w:r w:rsidRPr="00CD4D9D">
        <w:rPr>
          <w:rFonts w:ascii="Verdana" w:eastAsia="Calibri" w:hAnsi="Verdana" w:cs="Arial"/>
          <w:kern w:val="2"/>
          <w14:ligatures w14:val="standardContextual"/>
        </w:rPr>
        <w:t xml:space="preserve">: </w:t>
      </w:r>
    </w:p>
    <w:p w14:paraId="6EB89ACA" w14:textId="77777777" w:rsidR="00CD4D9D" w:rsidRPr="00CD4D9D" w:rsidRDefault="00CD4D9D" w:rsidP="00CD4D9D">
      <w:pPr>
        <w:spacing w:after="0" w:line="276" w:lineRule="auto"/>
        <w:jc w:val="both"/>
        <w:rPr>
          <w:rFonts w:ascii="Verdana" w:eastAsia="Calibri" w:hAnsi="Verdana" w:cs="Arial"/>
          <w:kern w:val="2"/>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3"/>
        <w:gridCol w:w="1154"/>
        <w:gridCol w:w="2503"/>
      </w:tblGrid>
      <w:tr w:rsidR="00CD4D9D" w:rsidRPr="00CD4D9D" w14:paraId="1261FED1" w14:textId="77777777" w:rsidTr="008A5AA7">
        <w:trPr>
          <w:trHeight w:val="20"/>
          <w:tblHeader/>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vAlign w:val="center"/>
            <w:hideMark/>
          </w:tcPr>
          <w:p w14:paraId="3B17271A" w14:textId="77777777" w:rsidR="00CD4D9D" w:rsidRPr="00CD4D9D" w:rsidRDefault="00CD4D9D" w:rsidP="00CD4D9D">
            <w:pPr>
              <w:spacing w:after="0" w:line="240" w:lineRule="auto"/>
              <w:jc w:val="center"/>
              <w:rPr>
                <w:rFonts w:ascii="Verdana" w:eastAsia="Arial,Calibri" w:hAnsi="Verdana" w:cs="Arial"/>
                <w:b/>
                <w:bCs/>
                <w:color w:val="FFFFFF"/>
                <w:kern w:val="2"/>
                <w:sz w:val="21"/>
                <w:szCs w:val="21"/>
                <w14:ligatures w14:val="standardContextual"/>
              </w:rPr>
            </w:pPr>
            <w:r w:rsidRPr="00CD4D9D">
              <w:rPr>
                <w:rFonts w:ascii="Verdana" w:eastAsia="Calibri" w:hAnsi="Verdana" w:cs="Arial"/>
                <w:b/>
                <w:bCs/>
                <w:color w:val="FFFFFF"/>
                <w:kern w:val="2"/>
                <w:sz w:val="21"/>
                <w:szCs w:val="21"/>
                <w14:ligatures w14:val="standardContextual"/>
              </w:rPr>
              <w:t>Rango</w:t>
            </w:r>
            <w:r w:rsidRPr="00CD4D9D">
              <w:rPr>
                <w:rFonts w:ascii="Verdana" w:eastAsia="Arial,Calibri" w:hAnsi="Verdana" w:cs="Arial"/>
                <w:b/>
                <w:bCs/>
                <w:color w:val="FFFFFF"/>
                <w:kern w:val="2"/>
                <w:sz w:val="21"/>
                <w:szCs w:val="21"/>
                <w14:ligatures w14:val="standardContextual"/>
              </w:rPr>
              <w:t xml:space="preserve"> </w:t>
            </w:r>
            <w:r w:rsidRPr="00CD4D9D">
              <w:rPr>
                <w:rFonts w:ascii="Verdana" w:eastAsia="Calibri" w:hAnsi="Verdana" w:cs="Arial"/>
                <w:b/>
                <w:bCs/>
                <w:color w:val="FFFFFF"/>
                <w:kern w:val="2"/>
                <w:sz w:val="21"/>
                <w:szCs w:val="21"/>
                <w14:ligatures w14:val="standardContextual"/>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vAlign w:val="center"/>
            <w:hideMark/>
          </w:tcPr>
          <w:p w14:paraId="0243E3B2" w14:textId="77777777" w:rsidR="00CD4D9D" w:rsidRPr="00CD4D9D" w:rsidRDefault="00CD4D9D" w:rsidP="00CD4D9D">
            <w:pPr>
              <w:spacing w:after="0" w:line="240" w:lineRule="auto"/>
              <w:jc w:val="center"/>
              <w:rPr>
                <w:rFonts w:ascii="Verdana" w:eastAsia="Arial,Calibri" w:hAnsi="Verdana" w:cs="Arial"/>
                <w:b/>
                <w:bCs/>
                <w:color w:val="FFFFFF"/>
                <w:kern w:val="2"/>
                <w:sz w:val="21"/>
                <w:szCs w:val="21"/>
                <w14:ligatures w14:val="standardContextual"/>
              </w:rPr>
            </w:pPr>
            <w:r w:rsidRPr="00CD4D9D">
              <w:rPr>
                <w:rFonts w:ascii="Verdana" w:eastAsia="Calibri" w:hAnsi="Verdana" w:cs="Arial"/>
                <w:b/>
                <w:bCs/>
                <w:color w:val="FFFFFF"/>
                <w:kern w:val="2"/>
                <w:sz w:val="21"/>
                <w:szCs w:val="21"/>
                <w14:ligatures w14:val="standardContextual"/>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vAlign w:val="center"/>
            <w:hideMark/>
          </w:tcPr>
          <w:p w14:paraId="0182CF94" w14:textId="77777777" w:rsidR="00CD4D9D" w:rsidRPr="00CD4D9D" w:rsidRDefault="00CD4D9D" w:rsidP="00CD4D9D">
            <w:pPr>
              <w:spacing w:after="0" w:line="240" w:lineRule="auto"/>
              <w:jc w:val="center"/>
              <w:rPr>
                <w:rFonts w:ascii="Verdana" w:eastAsia="Arial,Calibri" w:hAnsi="Verdana" w:cs="Arial"/>
                <w:b/>
                <w:bCs/>
                <w:color w:val="FFFFFF"/>
                <w:kern w:val="2"/>
                <w:sz w:val="21"/>
                <w:szCs w:val="21"/>
                <w14:ligatures w14:val="standardContextual"/>
              </w:rPr>
            </w:pPr>
            <w:r w:rsidRPr="00CD4D9D">
              <w:rPr>
                <w:rFonts w:ascii="Verdana" w:eastAsia="Calibri" w:hAnsi="Verdana" w:cs="Arial"/>
                <w:b/>
                <w:bCs/>
                <w:color w:val="FFFFFF"/>
                <w:kern w:val="2"/>
                <w:sz w:val="21"/>
                <w:szCs w:val="21"/>
                <w14:ligatures w14:val="standardContextual"/>
              </w:rPr>
              <w:t>Método</w:t>
            </w:r>
          </w:p>
        </w:tc>
      </w:tr>
      <w:tr w:rsidR="00CD4D9D" w:rsidRPr="00CD4D9D" w14:paraId="1B973564" w14:textId="77777777" w:rsidTr="008A5AA7">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54795C2E" w14:textId="77777777" w:rsidR="00CD4D9D" w:rsidRPr="00CD4D9D" w:rsidRDefault="00CD4D9D" w:rsidP="00CD4D9D">
            <w:pPr>
              <w:spacing w:after="0" w:line="240" w:lineRule="auto"/>
              <w:jc w:val="center"/>
              <w:rPr>
                <w:rFonts w:ascii="Verdana" w:eastAsia="Calibri" w:hAnsi="Verdana" w:cs="Arial"/>
                <w:kern w:val="2"/>
                <w:sz w:val="21"/>
                <w:szCs w:val="21"/>
                <w:lang w:val="es-ES" w:eastAsia="es-CO"/>
                <w14:ligatures w14:val="standardContextual"/>
              </w:rPr>
            </w:pPr>
            <w:r w:rsidRPr="00CD4D9D">
              <w:rPr>
                <w:rFonts w:ascii="Verdana" w:eastAsia="Calibri" w:hAnsi="Verdana" w:cs="Arial"/>
                <w:kern w:val="2"/>
                <w:sz w:val="21"/>
                <w:szCs w:val="21"/>
                <w:lang w:val="es-ES" w:eastAsia="es-CO"/>
                <w14:ligatures w14:val="standardContextual"/>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4ED229A2" w14:textId="77777777" w:rsidR="00CD4D9D" w:rsidRPr="00CD4D9D" w:rsidRDefault="00CD4D9D" w:rsidP="00CD4D9D">
            <w:pPr>
              <w:spacing w:after="0" w:line="240" w:lineRule="auto"/>
              <w:jc w:val="center"/>
              <w:rPr>
                <w:rFonts w:ascii="Verdana" w:eastAsia="Arial,Times New Roman" w:hAnsi="Verdana" w:cs="Arial"/>
                <w:kern w:val="2"/>
                <w:sz w:val="21"/>
                <w:szCs w:val="21"/>
                <w:lang w:val="es-ES" w:eastAsia="es-CO"/>
                <w14:ligatures w14:val="standardContextual"/>
              </w:rPr>
            </w:pPr>
            <w:r w:rsidRPr="00CD4D9D">
              <w:rPr>
                <w:rFonts w:ascii="Verdana" w:eastAsia="Calibri" w:hAnsi="Verdana" w:cs="Arial"/>
                <w:kern w:val="2"/>
                <w:sz w:val="21"/>
                <w:szCs w:val="21"/>
                <w:lang w:val="es-ES" w:eastAsia="es-CO"/>
                <w14:ligatures w14:val="standardContextual"/>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6F93FE7F" w14:textId="77777777" w:rsidR="00CD4D9D" w:rsidRPr="00CD4D9D" w:rsidRDefault="00CD4D9D" w:rsidP="00CD4D9D">
            <w:pPr>
              <w:spacing w:after="0" w:line="240" w:lineRule="auto"/>
              <w:jc w:val="center"/>
              <w:rPr>
                <w:rFonts w:ascii="Verdana" w:eastAsia="Arial,Times New Roman" w:hAnsi="Verdana" w:cs="Arial"/>
                <w:kern w:val="2"/>
                <w:sz w:val="21"/>
                <w:szCs w:val="21"/>
                <w:lang w:val="es-ES" w:eastAsia="es-CO"/>
                <w14:ligatures w14:val="standardContextual"/>
              </w:rPr>
            </w:pPr>
            <w:r w:rsidRPr="00CD4D9D">
              <w:rPr>
                <w:rFonts w:ascii="Verdana" w:eastAsia="Calibri" w:hAnsi="Verdana" w:cs="Arial"/>
                <w:kern w:val="2"/>
                <w:sz w:val="21"/>
                <w:szCs w:val="21"/>
                <w:lang w:val="es-ES" w:eastAsia="es-CO"/>
                <w14:ligatures w14:val="standardContextual"/>
              </w:rPr>
              <w:t>Mediana con valor absoluto</w:t>
            </w:r>
          </w:p>
        </w:tc>
      </w:tr>
      <w:tr w:rsidR="00CD4D9D" w:rsidRPr="00CD4D9D" w14:paraId="0D20BF42" w14:textId="77777777" w:rsidTr="008A5AA7">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12E7FC7F" w14:textId="77777777" w:rsidR="00CD4D9D" w:rsidRPr="00CD4D9D" w:rsidRDefault="00CD4D9D" w:rsidP="00CD4D9D">
            <w:pPr>
              <w:spacing w:after="0" w:line="240" w:lineRule="auto"/>
              <w:jc w:val="center"/>
              <w:rPr>
                <w:rFonts w:ascii="Verdana" w:eastAsia="Calibri" w:hAnsi="Verdana" w:cs="Arial"/>
                <w:kern w:val="2"/>
                <w:sz w:val="21"/>
                <w:szCs w:val="21"/>
                <w:lang w:val="es-ES" w:eastAsia="es-CO"/>
                <w14:ligatures w14:val="standardContextual"/>
              </w:rPr>
            </w:pPr>
            <w:r w:rsidRPr="00CD4D9D">
              <w:rPr>
                <w:rFonts w:ascii="Verdana" w:eastAsia="Calibri" w:hAnsi="Verdana" w:cs="Arial"/>
                <w:kern w:val="2"/>
                <w:sz w:val="21"/>
                <w:szCs w:val="21"/>
                <w:lang w:val="es-ES" w:eastAsia="es-CO"/>
                <w14:ligatures w14:val="standardContextual"/>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68CE4C55" w14:textId="77777777" w:rsidR="00CD4D9D" w:rsidRPr="00CD4D9D" w:rsidRDefault="00CD4D9D" w:rsidP="00CD4D9D">
            <w:pPr>
              <w:spacing w:after="0" w:line="240" w:lineRule="auto"/>
              <w:jc w:val="center"/>
              <w:rPr>
                <w:rFonts w:ascii="Verdana" w:eastAsia="Arial,Times New Roman" w:hAnsi="Verdana" w:cs="Arial"/>
                <w:kern w:val="2"/>
                <w:sz w:val="21"/>
                <w:szCs w:val="21"/>
                <w:lang w:val="es-ES" w:eastAsia="es-CO"/>
                <w14:ligatures w14:val="standardContextual"/>
              </w:rPr>
            </w:pPr>
            <w:r w:rsidRPr="00CD4D9D">
              <w:rPr>
                <w:rFonts w:ascii="Verdana" w:eastAsia="Arial,Times New Roman" w:hAnsi="Verdana" w:cs="Arial"/>
                <w:kern w:val="2"/>
                <w:sz w:val="21"/>
                <w:szCs w:val="21"/>
                <w:lang w:val="es-ES" w:eastAsia="es-CO"/>
                <w14:ligatures w14:val="standardContextual"/>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4D533B8F" w14:textId="77777777" w:rsidR="00CD4D9D" w:rsidRPr="00CD4D9D" w:rsidRDefault="00CD4D9D" w:rsidP="00CD4D9D">
            <w:pPr>
              <w:spacing w:after="0" w:line="240" w:lineRule="auto"/>
              <w:jc w:val="center"/>
              <w:rPr>
                <w:rFonts w:ascii="Verdana" w:eastAsia="Arial,Times New Roman" w:hAnsi="Verdana" w:cs="Arial"/>
                <w:kern w:val="2"/>
                <w:sz w:val="21"/>
                <w:szCs w:val="21"/>
                <w:lang w:val="es-ES" w:eastAsia="es-CO"/>
                <w14:ligatures w14:val="standardContextual"/>
              </w:rPr>
            </w:pPr>
            <w:r w:rsidRPr="00CD4D9D">
              <w:rPr>
                <w:rFonts w:ascii="Verdana" w:eastAsia="Calibri" w:hAnsi="Verdana" w:cs="Arial"/>
                <w:kern w:val="2"/>
                <w:sz w:val="21"/>
                <w:szCs w:val="21"/>
                <w:lang w:val="es-ES" w:eastAsia="es-CO"/>
                <w14:ligatures w14:val="standardContextual"/>
              </w:rPr>
              <w:t>Media geométrica</w:t>
            </w:r>
          </w:p>
        </w:tc>
      </w:tr>
      <w:tr w:rsidR="00CD4D9D" w:rsidRPr="00CD4D9D" w14:paraId="1CD3E050" w14:textId="77777777" w:rsidTr="008A5AA7">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3C560671" w14:textId="77777777" w:rsidR="00CD4D9D" w:rsidRPr="00CD4D9D" w:rsidRDefault="00CD4D9D" w:rsidP="00CD4D9D">
            <w:pPr>
              <w:spacing w:after="0" w:line="240" w:lineRule="auto"/>
              <w:jc w:val="center"/>
              <w:rPr>
                <w:rFonts w:ascii="Verdana" w:eastAsia="Calibri" w:hAnsi="Verdana" w:cs="Arial"/>
                <w:kern w:val="2"/>
                <w:sz w:val="21"/>
                <w:szCs w:val="21"/>
                <w:lang w:val="es-ES" w:eastAsia="es-CO"/>
                <w14:ligatures w14:val="standardContextual"/>
              </w:rPr>
            </w:pPr>
            <w:r w:rsidRPr="00CD4D9D">
              <w:rPr>
                <w:rFonts w:ascii="Verdana" w:eastAsia="Calibri" w:hAnsi="Verdana" w:cs="Arial"/>
                <w:kern w:val="2"/>
                <w:sz w:val="21"/>
                <w:szCs w:val="21"/>
                <w:lang w:val="es-ES" w:eastAsia="es-CO"/>
                <w14:ligatures w14:val="standardContextual"/>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4B41F11F" w14:textId="77777777" w:rsidR="00CD4D9D" w:rsidRPr="00CD4D9D" w:rsidRDefault="00CD4D9D" w:rsidP="00CD4D9D">
            <w:pPr>
              <w:spacing w:after="0" w:line="240" w:lineRule="auto"/>
              <w:jc w:val="center"/>
              <w:rPr>
                <w:rFonts w:ascii="Verdana" w:eastAsia="Calibri" w:hAnsi="Verdana" w:cs="Arial"/>
                <w:kern w:val="2"/>
                <w:sz w:val="21"/>
                <w:szCs w:val="21"/>
                <w:lang w:val="es-ES" w:eastAsia="es-CO"/>
                <w14:ligatures w14:val="standardContextual"/>
              </w:rPr>
            </w:pPr>
            <w:r w:rsidRPr="00CD4D9D">
              <w:rPr>
                <w:rFonts w:ascii="Verdana" w:eastAsia="Calibri" w:hAnsi="Verdana" w:cs="Arial"/>
                <w:kern w:val="2"/>
                <w:sz w:val="21"/>
                <w:szCs w:val="21"/>
                <w:lang w:val="es-ES" w:eastAsia="es-CO"/>
                <w14:ligatures w14:val="standardContextual"/>
              </w:rPr>
              <w:t>3</w:t>
            </w:r>
          </w:p>
        </w:tc>
        <w:tc>
          <w:tcPr>
            <w:tcW w:w="2503" w:type="dxa"/>
            <w:tcBorders>
              <w:top w:val="single" w:sz="4" w:space="0" w:color="auto"/>
              <w:left w:val="single" w:sz="4" w:space="0" w:color="auto"/>
              <w:bottom w:val="single" w:sz="4" w:space="0" w:color="auto"/>
              <w:right w:val="double" w:sz="4" w:space="0" w:color="auto"/>
            </w:tcBorders>
            <w:vAlign w:val="center"/>
          </w:tcPr>
          <w:p w14:paraId="3BCC0475" w14:textId="77777777" w:rsidR="00CD4D9D" w:rsidRPr="00CD4D9D" w:rsidRDefault="00CD4D9D" w:rsidP="00CD4D9D">
            <w:pPr>
              <w:spacing w:after="0" w:line="240" w:lineRule="auto"/>
              <w:jc w:val="center"/>
              <w:rPr>
                <w:rFonts w:ascii="Verdana" w:eastAsia="Calibri" w:hAnsi="Verdana" w:cs="Arial"/>
                <w:kern w:val="2"/>
                <w:sz w:val="21"/>
                <w:szCs w:val="21"/>
                <w:lang w:val="es-ES" w:eastAsia="es-CO"/>
                <w14:ligatures w14:val="standardContextual"/>
              </w:rPr>
            </w:pPr>
            <w:r w:rsidRPr="00CD4D9D">
              <w:rPr>
                <w:rFonts w:ascii="Verdana" w:eastAsia="Calibri" w:hAnsi="Verdana" w:cs="Arial"/>
                <w:kern w:val="2"/>
                <w:sz w:val="21"/>
                <w:szCs w:val="21"/>
                <w:lang w:val="es-ES" w:eastAsia="es-CO"/>
                <w14:ligatures w14:val="standardContextual"/>
              </w:rPr>
              <w:t>Media aritmética baja</w:t>
            </w:r>
          </w:p>
        </w:tc>
      </w:tr>
      <w:tr w:rsidR="00CD4D9D" w:rsidRPr="00CD4D9D" w14:paraId="0D13989F" w14:textId="77777777" w:rsidTr="008A5AA7">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07510E72" w14:textId="77777777" w:rsidR="00CD4D9D" w:rsidRPr="00CD4D9D" w:rsidRDefault="00CD4D9D" w:rsidP="00CD4D9D">
            <w:pPr>
              <w:spacing w:after="0" w:line="240" w:lineRule="auto"/>
              <w:jc w:val="center"/>
              <w:rPr>
                <w:rFonts w:ascii="Verdana" w:eastAsia="Calibri" w:hAnsi="Verdana" w:cs="Arial"/>
                <w:kern w:val="2"/>
                <w:sz w:val="21"/>
                <w:szCs w:val="21"/>
                <w:lang w:val="es-ES" w:eastAsia="es-CO"/>
                <w14:ligatures w14:val="standardContextual"/>
              </w:rPr>
            </w:pPr>
            <w:r w:rsidRPr="00CD4D9D">
              <w:rPr>
                <w:rFonts w:ascii="Verdana" w:eastAsia="Calibri" w:hAnsi="Verdana" w:cs="Arial"/>
                <w:kern w:val="2"/>
                <w:sz w:val="21"/>
                <w:szCs w:val="21"/>
                <w:lang w:val="es-ES" w:eastAsia="es-CO"/>
                <w14:ligatures w14:val="standardContextual"/>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4BA3D36D" w14:textId="77777777" w:rsidR="00CD4D9D" w:rsidRPr="00CD4D9D" w:rsidRDefault="00CD4D9D" w:rsidP="00CD4D9D">
            <w:pPr>
              <w:spacing w:after="0" w:line="240" w:lineRule="auto"/>
              <w:jc w:val="center"/>
              <w:rPr>
                <w:rFonts w:ascii="Verdana" w:eastAsia="Calibri" w:hAnsi="Verdana" w:cs="Arial"/>
                <w:kern w:val="2"/>
                <w:sz w:val="21"/>
                <w:szCs w:val="21"/>
                <w:lang w:val="es-ES" w:eastAsia="es-CO"/>
                <w14:ligatures w14:val="standardContextual"/>
              </w:rPr>
            </w:pPr>
            <w:r w:rsidRPr="00CD4D9D">
              <w:rPr>
                <w:rFonts w:ascii="Verdana" w:eastAsia="Calibri" w:hAnsi="Verdana" w:cs="Arial"/>
                <w:kern w:val="2"/>
                <w:sz w:val="21"/>
                <w:szCs w:val="21"/>
                <w:lang w:val="es-ES" w:eastAsia="es-CO"/>
                <w14:ligatures w14:val="standardContextual"/>
              </w:rPr>
              <w:t>4</w:t>
            </w:r>
          </w:p>
        </w:tc>
        <w:tc>
          <w:tcPr>
            <w:tcW w:w="2503" w:type="dxa"/>
            <w:tcBorders>
              <w:top w:val="single" w:sz="4" w:space="0" w:color="auto"/>
              <w:left w:val="single" w:sz="4" w:space="0" w:color="auto"/>
              <w:bottom w:val="double" w:sz="4" w:space="0" w:color="auto"/>
              <w:right w:val="double" w:sz="4" w:space="0" w:color="auto"/>
            </w:tcBorders>
            <w:vAlign w:val="center"/>
          </w:tcPr>
          <w:p w14:paraId="66F2D649" w14:textId="77777777" w:rsidR="00CD4D9D" w:rsidRPr="00CD4D9D" w:rsidRDefault="00CD4D9D" w:rsidP="00CD4D9D">
            <w:pPr>
              <w:spacing w:after="0" w:line="240" w:lineRule="auto"/>
              <w:jc w:val="center"/>
              <w:rPr>
                <w:rFonts w:ascii="Verdana" w:eastAsia="Calibri" w:hAnsi="Verdana" w:cs="Arial"/>
                <w:kern w:val="2"/>
                <w:sz w:val="21"/>
                <w:szCs w:val="21"/>
                <w:lang w:val="es-ES" w:eastAsia="es-CO"/>
                <w14:ligatures w14:val="standardContextual"/>
              </w:rPr>
            </w:pPr>
            <w:r w:rsidRPr="00CD4D9D">
              <w:rPr>
                <w:rFonts w:ascii="Verdana" w:eastAsia="Calibri" w:hAnsi="Verdana" w:cs="Arial"/>
                <w:kern w:val="2"/>
                <w:sz w:val="21"/>
                <w:szCs w:val="21"/>
                <w:lang w:val="es-ES" w:eastAsia="es-CO"/>
                <w14:ligatures w14:val="standardContextual"/>
              </w:rPr>
              <w:t>Menor valor</w:t>
            </w:r>
          </w:p>
        </w:tc>
      </w:tr>
    </w:tbl>
    <w:p w14:paraId="43D2C708" w14:textId="77777777" w:rsidR="00CD4D9D" w:rsidRPr="00CD4D9D" w:rsidRDefault="00CD4D9D" w:rsidP="00CD4D9D">
      <w:pPr>
        <w:spacing w:after="0" w:line="276" w:lineRule="auto"/>
        <w:ind w:firstLine="709"/>
        <w:jc w:val="both"/>
        <w:rPr>
          <w:rFonts w:ascii="Verdana" w:eastAsia="Aptos" w:hAnsi="Verdana" w:cs="Arial"/>
          <w:color w:val="000000"/>
          <w:kern w:val="2"/>
          <w14:ligatures w14:val="standardContextual"/>
        </w:rPr>
      </w:pPr>
    </w:p>
    <w:p w14:paraId="082A4B63" w14:textId="77777777" w:rsidR="00CD4D9D" w:rsidRPr="00CD4D9D" w:rsidRDefault="00CD4D9D" w:rsidP="00CD4D9D">
      <w:pPr>
        <w:numPr>
          <w:ilvl w:val="0"/>
          <w:numId w:val="20"/>
        </w:numPr>
        <w:spacing w:after="0" w:line="276" w:lineRule="auto"/>
        <w:jc w:val="both"/>
        <w:rPr>
          <w:rFonts w:ascii="Verdana" w:eastAsia="Aptos" w:hAnsi="Verdana" w:cs="Arial"/>
          <w:kern w:val="2"/>
          <w14:ligatures w14:val="standardContextual"/>
        </w:rPr>
      </w:pPr>
      <w:r w:rsidRPr="00CD4D9D">
        <w:rPr>
          <w:rFonts w:ascii="Verdana" w:eastAsia="Calibri" w:hAnsi="Verdana" w:cs="Arial"/>
          <w:kern w:val="2"/>
          <w14:ligatures w14:val="standardContextual"/>
        </w:rPr>
        <w:t>De otra parte, el numeral 4.1.4 al regular el mecanismo de escogencia del método de ponderación, reglamenta aspectos propios del desarrollo de la apertura de los sobres contentivos de las ofertas económicas y del desarrollo de la audiencia de adjudicación, no contemplados en los numerales 2.4 y 2.6 del referido documento base</w:t>
      </w:r>
      <w:r w:rsidRPr="00CD4D9D">
        <w:rPr>
          <w:rFonts w:ascii="Verdana" w:eastAsia="Aptos" w:hAnsi="Verdana" w:cs="Times New Roman"/>
          <w:kern w:val="2"/>
          <w:vertAlign w:val="superscript"/>
          <w14:ligatures w14:val="standardContextual"/>
        </w:rPr>
        <w:footnoteReference w:id="5"/>
      </w:r>
      <w:r w:rsidRPr="00CD4D9D">
        <w:rPr>
          <w:rFonts w:ascii="Verdana" w:eastAsia="Calibri" w:hAnsi="Verdana" w:cs="Arial"/>
          <w:kern w:val="2"/>
          <w14:ligatures w14:val="standardContextual"/>
        </w:rPr>
        <w:t xml:space="preserve">. En particular, el </w:t>
      </w:r>
      <w:r w:rsidRPr="00CD4D9D">
        <w:rPr>
          <w:rFonts w:ascii="Verdana" w:eastAsia="Calibri" w:hAnsi="Verdana" w:cs="Arial"/>
          <w:kern w:val="2"/>
          <w14:ligatures w14:val="standardContextual"/>
        </w:rPr>
        <w:lastRenderedPageBreak/>
        <w:t>numeral 4.1.4 establece que “la entidad debe finalizar la apertura de los sobres económicos hasta antes de las 3:00 pm”, de tal manera que “</w:t>
      </w:r>
      <w:r w:rsidRPr="00CD4D9D">
        <w:rPr>
          <w:rFonts w:ascii="Verdana" w:eastAsia="Aptos" w:hAnsi="Verdana" w:cs="Arial"/>
          <w:kern w:val="2"/>
          <w14:ligatures w14:val="standardContextual"/>
        </w:rPr>
        <w:t xml:space="preserve">la entidad no podrá abrir los sobres económicos teniendo conocimiento de la TRM que regirá al día hábil siguiente”, la cual suele ser publicada por la Superfinanciera entre las 4:00 p.m. y las 6:00 p.m. </w:t>
      </w:r>
    </w:p>
    <w:p w14:paraId="599AC165" w14:textId="77777777" w:rsidR="00CD4D9D" w:rsidRPr="00CD4D9D" w:rsidRDefault="00CD4D9D" w:rsidP="00CD4D9D">
      <w:pPr>
        <w:spacing w:after="0" w:line="276" w:lineRule="auto"/>
        <w:ind w:left="360"/>
        <w:jc w:val="both"/>
        <w:rPr>
          <w:rFonts w:ascii="Verdana" w:eastAsia="Aptos" w:hAnsi="Verdana" w:cs="Arial"/>
          <w:kern w:val="2"/>
          <w14:ligatures w14:val="standardContextual"/>
        </w:rPr>
      </w:pPr>
    </w:p>
    <w:p w14:paraId="20FA34E2" w14:textId="77777777" w:rsidR="00CD4D9D" w:rsidRPr="00CD4D9D" w:rsidRDefault="00CD4D9D" w:rsidP="00CD4D9D">
      <w:pPr>
        <w:numPr>
          <w:ilvl w:val="0"/>
          <w:numId w:val="20"/>
        </w:numPr>
        <w:spacing w:after="0" w:line="276" w:lineRule="auto"/>
        <w:jc w:val="both"/>
        <w:rPr>
          <w:rFonts w:ascii="Verdana" w:eastAsia="Aptos" w:hAnsi="Verdana" w:cs="Arial"/>
          <w:kern w:val="2"/>
          <w14:ligatures w14:val="standardContextual"/>
        </w:rPr>
      </w:pPr>
      <w:r w:rsidRPr="00CD4D9D">
        <w:rPr>
          <w:rFonts w:ascii="Verdana" w:eastAsia="Aptos" w:hAnsi="Verdana" w:cs="Arial"/>
          <w:kern w:val="2"/>
          <w14:ligatures w14:val="standardContextual"/>
        </w:rPr>
        <w:t xml:space="preserve">Lo anterior indica que, en lo relativo a la apertura de los sobres contentivos de la oferta económica, la Versión 3 del aludido documento base mantiene la obligación de iniciar y finalizar la apertura de los sobres en un mismo día, en el que también deberá definirse el método de ponderación, pero estableciendo además que ello deberá llevarse a cabo antes de las 3:00 p.m. del respectivo día.  En ese sentido, el numeral 4.1.4 establece que, para poder cumplir con estos supuestos, atendiendo las particularidades de cada proceso, la entidad podrá suspender la audiencia y reiniciarla cuando estime conveniente, de tal manera que la apertura de las ofertas económicas y la determinación del método de ponderación puedan ocurrir un mismo día, culminando la apertura antes de las 3:00 p.m. </w:t>
      </w:r>
    </w:p>
    <w:p w14:paraId="39CB78E0" w14:textId="77777777" w:rsidR="00CD4D9D" w:rsidRPr="00CD4D9D" w:rsidRDefault="00CD4D9D" w:rsidP="00CD4D9D">
      <w:pPr>
        <w:spacing w:after="0" w:line="276" w:lineRule="auto"/>
        <w:jc w:val="both"/>
        <w:rPr>
          <w:rFonts w:ascii="Verdana" w:eastAsia="Aptos" w:hAnsi="Verdana" w:cs="Arial"/>
          <w:kern w:val="2"/>
          <w14:ligatures w14:val="standardContextual"/>
        </w:rPr>
      </w:pPr>
    </w:p>
    <w:p w14:paraId="4DE8FABF" w14:textId="77777777" w:rsidR="00CD4D9D" w:rsidRPr="00CD4D9D" w:rsidRDefault="00CD4D9D" w:rsidP="00CD4D9D">
      <w:pPr>
        <w:numPr>
          <w:ilvl w:val="0"/>
          <w:numId w:val="20"/>
        </w:numPr>
        <w:spacing w:after="0" w:line="276" w:lineRule="auto"/>
        <w:jc w:val="both"/>
        <w:rPr>
          <w:rFonts w:ascii="Verdana" w:eastAsia="Calibri" w:hAnsi="Verdana" w:cs="Arial"/>
          <w:kern w:val="2"/>
          <w14:ligatures w14:val="standardContextual"/>
        </w:rPr>
      </w:pPr>
      <w:r w:rsidRPr="00CD4D9D">
        <w:rPr>
          <w:rFonts w:ascii="Verdana" w:eastAsia="Calibri" w:hAnsi="Verdana" w:cs="Arial"/>
          <w:kern w:val="2"/>
          <w14:ligatures w14:val="standardContextual"/>
        </w:rPr>
        <w:t xml:space="preserve">Así mismo, se advierte que el documento tipo acudió a este valor –TRM– como el criterio de escogencia del método aleatorio para evaluar la oferta económica, porque su definición no depende de la discrecionalidad de la administración pública en cualquiera de sus órdenes y niveles. Aunque se establece y certifica por parte de la Superintendencia Financiera, su determinación depende de las dinámicas del mercado de divisas, garantizando una elección aleatoria del método de ponderación aplicable para tal propósito, lo que dota de transparencia y selección objetiva la evaluación de las ofertas. Conforme a lo expuesto previamente, resulta </w:t>
      </w:r>
      <w:r w:rsidRPr="00CD4D9D">
        <w:rPr>
          <w:rFonts w:ascii="Verdana" w:eastAsia="Calibri" w:hAnsi="Verdana" w:cs="Arial"/>
          <w:kern w:val="2"/>
          <w14:ligatures w14:val="standardContextual"/>
        </w:rPr>
        <w:lastRenderedPageBreak/>
        <w:t>claro que la TRM que la entidad utilizará para determinar el método de ponderación será el que rija el día hábil siguiente del día en que efectivamente sea la apertura del segundo sobre.</w:t>
      </w:r>
    </w:p>
    <w:p w14:paraId="7DE85543" w14:textId="77777777" w:rsidR="00CD4D9D" w:rsidRPr="00CD4D9D" w:rsidRDefault="00CD4D9D" w:rsidP="00CD4D9D">
      <w:pPr>
        <w:spacing w:after="0" w:line="276" w:lineRule="auto"/>
        <w:jc w:val="both"/>
        <w:rPr>
          <w:rFonts w:ascii="Verdana" w:eastAsia="Calibri" w:hAnsi="Verdana" w:cs="Arial"/>
          <w:kern w:val="2"/>
          <w14:ligatures w14:val="standardContextual"/>
        </w:rPr>
      </w:pPr>
    </w:p>
    <w:p w14:paraId="551BF069" w14:textId="77777777" w:rsidR="00CD4D9D" w:rsidRPr="00CD4D9D" w:rsidRDefault="00CD4D9D" w:rsidP="00CD4D9D">
      <w:pPr>
        <w:widowControl w:val="0"/>
        <w:numPr>
          <w:ilvl w:val="0"/>
          <w:numId w:val="20"/>
        </w:numPr>
        <w:autoSpaceDE w:val="0"/>
        <w:autoSpaceDN w:val="0"/>
        <w:spacing w:after="0" w:line="276" w:lineRule="auto"/>
        <w:ind w:right="306"/>
        <w:jc w:val="both"/>
        <w:rPr>
          <w:rFonts w:ascii="Verdana" w:eastAsia="Arial" w:hAnsi="Verdana" w:cs="Arial"/>
          <w:lang w:val="es-ES" w:eastAsia="es-ES" w:bidi="es-ES"/>
        </w:rPr>
      </w:pPr>
      <w:r w:rsidRPr="00CD4D9D">
        <w:rPr>
          <w:rFonts w:ascii="Verdana" w:eastAsia="Arial" w:hAnsi="Verdana" w:cs="Arial"/>
          <w:lang w:val="es-ES" w:eastAsia="es-ES" w:bidi="es-ES"/>
        </w:rPr>
        <w:t>Adicionalmente, es necesario señalar que, la Ley 80 de 1993, en el artículo 26, numeral 6, indica como una de las manifestaciones del principio de responsabilidad que los contratistas respondan cuando formulen propuestas en las que se fijen condiciones económicas y de contratación artificialmente bajas con el propósito de obtener la adjudicación del contrato</w:t>
      </w:r>
      <w:r w:rsidRPr="00CD4D9D">
        <w:rPr>
          <w:rFonts w:ascii="Verdana" w:eastAsia="Arial" w:hAnsi="Verdana" w:cs="Arial"/>
          <w:vertAlign w:val="superscript"/>
          <w:lang w:val="es-ES" w:eastAsia="es-ES" w:bidi="es-ES"/>
        </w:rPr>
        <w:footnoteReference w:id="6"/>
      </w:r>
      <w:r w:rsidRPr="00CD4D9D">
        <w:rPr>
          <w:rFonts w:ascii="Verdana" w:eastAsia="Arial" w:hAnsi="Verdana" w:cs="Arial"/>
          <w:lang w:val="es-ES" w:eastAsia="es-ES" w:bidi="es-ES"/>
        </w:rPr>
        <w:t>.</w:t>
      </w:r>
    </w:p>
    <w:p w14:paraId="2BE2DCC3" w14:textId="77777777" w:rsidR="00CD4D9D" w:rsidRPr="00CD4D9D" w:rsidRDefault="00CD4D9D" w:rsidP="00CD4D9D">
      <w:pPr>
        <w:widowControl w:val="0"/>
        <w:autoSpaceDE w:val="0"/>
        <w:autoSpaceDN w:val="0"/>
        <w:spacing w:after="0" w:line="276" w:lineRule="auto"/>
        <w:ind w:left="720"/>
        <w:rPr>
          <w:rFonts w:ascii="Verdana" w:eastAsia="Arial" w:hAnsi="Verdana" w:cs="Arial"/>
          <w:lang w:val="es-ES" w:eastAsia="es-ES" w:bidi="es-ES"/>
        </w:rPr>
      </w:pPr>
    </w:p>
    <w:p w14:paraId="393BFEE8" w14:textId="77777777" w:rsidR="00CD4D9D" w:rsidRPr="00CD4D9D" w:rsidRDefault="00CD4D9D" w:rsidP="00CD4D9D">
      <w:pPr>
        <w:widowControl w:val="0"/>
        <w:numPr>
          <w:ilvl w:val="0"/>
          <w:numId w:val="20"/>
        </w:numPr>
        <w:autoSpaceDE w:val="0"/>
        <w:autoSpaceDN w:val="0"/>
        <w:spacing w:after="0" w:line="276" w:lineRule="auto"/>
        <w:ind w:right="310"/>
        <w:jc w:val="both"/>
        <w:rPr>
          <w:rFonts w:ascii="Verdana" w:eastAsia="Arial" w:hAnsi="Verdana" w:cs="Arial"/>
          <w:lang w:val="es-ES" w:eastAsia="es-ES" w:bidi="es-ES"/>
        </w:rPr>
      </w:pPr>
      <w:r w:rsidRPr="00CD4D9D">
        <w:rPr>
          <w:rFonts w:ascii="Verdana" w:eastAsia="Arial" w:hAnsi="Verdana" w:cs="Arial"/>
          <w:lang w:val="es-ES" w:eastAsia="es-ES" w:bidi="es-ES"/>
        </w:rPr>
        <w:t>El Consejo de Estado, Sección Tercera, sentencia 4 de junio de 2008, radicado No. 17.783, Magistrada Ponente: Myriam Guerrero de Escobar, define el precio artificialmente bajo como aquel que no tiene sustento o fundamento en su</w:t>
      </w:r>
      <w:r w:rsidRPr="00CD4D9D">
        <w:rPr>
          <w:rFonts w:ascii="Verdana" w:eastAsia="Arial" w:hAnsi="Verdana" w:cs="Arial"/>
          <w:spacing w:val="-45"/>
          <w:lang w:val="es-ES" w:eastAsia="es-ES" w:bidi="es-ES"/>
        </w:rPr>
        <w:t xml:space="preserve"> </w:t>
      </w:r>
      <w:r w:rsidRPr="00CD4D9D">
        <w:rPr>
          <w:rFonts w:ascii="Verdana" w:eastAsia="Arial" w:hAnsi="Verdana" w:cs="Arial"/>
          <w:lang w:val="es-ES" w:eastAsia="es-ES" w:bidi="es-ES"/>
        </w:rPr>
        <w:t>estructuración dentro del tráfico comercial:</w:t>
      </w:r>
    </w:p>
    <w:p w14:paraId="4DAECA7F" w14:textId="77777777" w:rsidR="00CD4D9D" w:rsidRPr="00CD4D9D" w:rsidRDefault="00CD4D9D" w:rsidP="00CD4D9D">
      <w:pPr>
        <w:widowControl w:val="0"/>
        <w:autoSpaceDE w:val="0"/>
        <w:autoSpaceDN w:val="0"/>
        <w:spacing w:after="0" w:line="276" w:lineRule="auto"/>
        <w:ind w:left="720"/>
        <w:rPr>
          <w:rFonts w:ascii="Verdana" w:eastAsia="Arial" w:hAnsi="Verdana" w:cs="Arial"/>
          <w:lang w:val="es-ES" w:eastAsia="es-ES" w:bidi="es-ES"/>
        </w:rPr>
      </w:pPr>
    </w:p>
    <w:p w14:paraId="459B372A" w14:textId="77777777" w:rsidR="00CD4D9D" w:rsidRPr="00CD4D9D" w:rsidRDefault="00CD4D9D" w:rsidP="00CD4D9D">
      <w:pPr>
        <w:spacing w:after="0" w:line="240" w:lineRule="auto"/>
        <w:ind w:left="720" w:right="709"/>
        <w:jc w:val="both"/>
        <w:rPr>
          <w:rFonts w:ascii="Verdana" w:eastAsia="Aptos" w:hAnsi="Verdana" w:cs="Times New Roman"/>
          <w:kern w:val="2"/>
          <w:sz w:val="21"/>
          <w:szCs w:val="21"/>
          <w14:ligatures w14:val="standardContextual"/>
        </w:rPr>
      </w:pPr>
      <w:r w:rsidRPr="00CD4D9D">
        <w:rPr>
          <w:rFonts w:ascii="Verdana" w:eastAsia="Aptos" w:hAnsi="Verdana" w:cs="Times New Roman"/>
          <w:kern w:val="2"/>
          <w:sz w:val="21"/>
          <w:szCs w:val="21"/>
          <w14:ligatures w14:val="standardContextual"/>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w:t>
      </w:r>
      <w:r w:rsidRPr="00CD4D9D">
        <w:rPr>
          <w:rFonts w:ascii="Verdana" w:eastAsia="Aptos" w:hAnsi="Verdana" w:cs="Times New Roman"/>
          <w:spacing w:val="-8"/>
          <w:kern w:val="2"/>
          <w:sz w:val="21"/>
          <w:szCs w:val="21"/>
          <w14:ligatures w14:val="standardContextual"/>
        </w:rPr>
        <w:t xml:space="preserve"> </w:t>
      </w:r>
      <w:r w:rsidRPr="00CD4D9D">
        <w:rPr>
          <w:rFonts w:ascii="Verdana" w:eastAsia="Aptos" w:hAnsi="Verdana" w:cs="Times New Roman"/>
          <w:kern w:val="2"/>
          <w:sz w:val="21"/>
          <w:szCs w:val="21"/>
          <w14:ligatures w14:val="standardContextual"/>
        </w:rPr>
        <w:t>[…]”.</w:t>
      </w:r>
    </w:p>
    <w:p w14:paraId="6EA0159B" w14:textId="77777777" w:rsidR="00CD4D9D" w:rsidRPr="00CD4D9D" w:rsidRDefault="00CD4D9D" w:rsidP="00CD4D9D">
      <w:pPr>
        <w:widowControl w:val="0"/>
        <w:autoSpaceDE w:val="0"/>
        <w:autoSpaceDN w:val="0"/>
        <w:spacing w:after="0" w:line="276" w:lineRule="auto"/>
        <w:ind w:left="720" w:right="308"/>
        <w:jc w:val="both"/>
        <w:rPr>
          <w:rFonts w:ascii="Verdana" w:eastAsia="Arial" w:hAnsi="Verdana" w:cs="Arial"/>
          <w:lang w:val="es-ES" w:eastAsia="es-ES" w:bidi="es-ES"/>
        </w:rPr>
      </w:pPr>
    </w:p>
    <w:p w14:paraId="0E69C2DD" w14:textId="77777777" w:rsidR="00CD4D9D" w:rsidRPr="00CD4D9D" w:rsidRDefault="00CD4D9D" w:rsidP="00CD4D9D">
      <w:pPr>
        <w:widowControl w:val="0"/>
        <w:numPr>
          <w:ilvl w:val="0"/>
          <w:numId w:val="20"/>
        </w:numPr>
        <w:autoSpaceDE w:val="0"/>
        <w:autoSpaceDN w:val="0"/>
        <w:spacing w:after="0" w:line="276" w:lineRule="auto"/>
        <w:ind w:right="308"/>
        <w:jc w:val="both"/>
        <w:rPr>
          <w:rFonts w:ascii="Verdana" w:eastAsia="Arial" w:hAnsi="Verdana" w:cs="Arial"/>
          <w:lang w:val="es-ES" w:eastAsia="es-ES" w:bidi="es-ES"/>
        </w:rPr>
      </w:pPr>
      <w:r w:rsidRPr="00CD4D9D">
        <w:rPr>
          <w:rFonts w:ascii="Verdana" w:eastAsia="Arial" w:hAnsi="Verdana" w:cs="Arial"/>
          <w:lang w:val="es-ES" w:eastAsia="es-ES" w:bidi="es-ES"/>
        </w:rPr>
        <w:t xml:space="preserve">Por su parte, el artículo 2.2.1.1.2.2.4. del Decreto 1082 de 2015 establece que cuando el valor de una oferta parezca artificialmente bajo, la entidad debe requerir al oferente para que explique las razones que sustentan el valor ofrecido. Frente a estas explicaciones le corresponde al comité evaluador analizarlas y recomendar si sebe rechazar la oferta o continuar con el análisis de la oferta durante la </w:t>
      </w:r>
      <w:r w:rsidRPr="00CD4D9D">
        <w:rPr>
          <w:rFonts w:ascii="Verdana" w:eastAsia="Arial" w:hAnsi="Verdana" w:cs="Arial"/>
          <w:lang w:val="es-ES" w:eastAsia="es-ES" w:bidi="es-ES"/>
        </w:rPr>
        <w:lastRenderedPageBreak/>
        <w:t>evaluación de las ofertas</w:t>
      </w:r>
      <w:r w:rsidRPr="00CD4D9D">
        <w:rPr>
          <w:rFonts w:ascii="Verdana" w:eastAsia="Arial" w:hAnsi="Verdana" w:cs="Arial"/>
          <w:vertAlign w:val="superscript"/>
          <w:lang w:val="es-ES" w:eastAsia="es-ES" w:bidi="es-ES"/>
        </w:rPr>
        <w:footnoteReference w:id="7"/>
      </w:r>
      <w:r w:rsidRPr="00CD4D9D">
        <w:rPr>
          <w:rFonts w:ascii="Verdana" w:eastAsia="Arial" w:hAnsi="Verdana" w:cs="Arial"/>
          <w:lang w:val="es-ES" w:eastAsia="es-ES" w:bidi="es-ES"/>
        </w:rPr>
        <w:t>.</w:t>
      </w:r>
    </w:p>
    <w:p w14:paraId="0A654CF7" w14:textId="77777777" w:rsidR="00CD4D9D" w:rsidRPr="00CD4D9D" w:rsidRDefault="00CD4D9D" w:rsidP="00CD4D9D">
      <w:pPr>
        <w:widowControl w:val="0"/>
        <w:autoSpaceDE w:val="0"/>
        <w:autoSpaceDN w:val="0"/>
        <w:spacing w:after="0" w:line="276" w:lineRule="auto"/>
        <w:ind w:left="720"/>
        <w:rPr>
          <w:rFonts w:ascii="Verdana" w:eastAsia="Arial" w:hAnsi="Verdana" w:cs="Arial"/>
          <w:lang w:val="es-ES" w:eastAsia="es-ES" w:bidi="es-ES"/>
        </w:rPr>
      </w:pPr>
    </w:p>
    <w:p w14:paraId="6B464771" w14:textId="77777777" w:rsidR="00CD4D9D" w:rsidRPr="00CD4D9D" w:rsidRDefault="00CD4D9D" w:rsidP="00CD4D9D">
      <w:pPr>
        <w:widowControl w:val="0"/>
        <w:numPr>
          <w:ilvl w:val="0"/>
          <w:numId w:val="20"/>
        </w:numPr>
        <w:autoSpaceDE w:val="0"/>
        <w:autoSpaceDN w:val="0"/>
        <w:spacing w:after="0" w:line="276" w:lineRule="auto"/>
        <w:ind w:right="310"/>
        <w:jc w:val="both"/>
        <w:rPr>
          <w:rFonts w:ascii="Verdana" w:eastAsia="Arial" w:hAnsi="Verdana" w:cs="Arial"/>
          <w:lang w:val="es-ES" w:eastAsia="es-ES" w:bidi="es-ES"/>
        </w:rPr>
      </w:pPr>
      <w:r w:rsidRPr="00CD4D9D">
        <w:rPr>
          <w:rFonts w:ascii="Verdana" w:eastAsia="Arial" w:hAnsi="Verdana" w:cs="Arial"/>
          <w:lang w:val="es-ES" w:eastAsia="es-ES" w:bidi="es-ES"/>
        </w:rPr>
        <w:t>El artículo citado también dispone que “cuando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14:paraId="022F9E3C" w14:textId="77777777" w:rsidR="00CD4D9D" w:rsidRPr="00CD4D9D" w:rsidRDefault="00CD4D9D" w:rsidP="00CD4D9D">
      <w:pPr>
        <w:widowControl w:val="0"/>
        <w:autoSpaceDE w:val="0"/>
        <w:autoSpaceDN w:val="0"/>
        <w:spacing w:after="0" w:line="276" w:lineRule="auto"/>
        <w:ind w:right="310"/>
        <w:jc w:val="both"/>
        <w:rPr>
          <w:rFonts w:ascii="Verdana" w:eastAsia="Arial" w:hAnsi="Verdana" w:cs="Arial"/>
          <w:lang w:val="es-ES" w:eastAsia="es-ES" w:bidi="es-ES"/>
        </w:rPr>
      </w:pPr>
    </w:p>
    <w:p w14:paraId="77D611BA" w14:textId="77777777" w:rsidR="00CD4D9D" w:rsidRPr="00CD4D9D" w:rsidRDefault="00CD4D9D" w:rsidP="00CD4D9D">
      <w:pPr>
        <w:numPr>
          <w:ilvl w:val="0"/>
          <w:numId w:val="18"/>
        </w:numPr>
        <w:spacing w:after="0" w:line="276" w:lineRule="auto"/>
        <w:jc w:val="both"/>
        <w:rPr>
          <w:rFonts w:ascii="Verdana" w:eastAsia="Calibri" w:hAnsi="Verdana" w:cs="Arial"/>
        </w:rPr>
      </w:pPr>
      <w:r w:rsidRPr="00CD4D9D">
        <w:rPr>
          <w:rFonts w:ascii="Verdana" w:eastAsia="Calibri" w:hAnsi="Verdana" w:cs="Arial"/>
        </w:rPr>
        <w:t xml:space="preserve">En línea con lo anterior, el numeral 4.1.3 “precio artificialmente bajo” del Documento Base de los documentos tipo de infraestructura de transporte, establece lo siguiente: </w:t>
      </w:r>
    </w:p>
    <w:p w14:paraId="6A72F3AC" w14:textId="77777777" w:rsidR="00CD4D9D" w:rsidRPr="00CD4D9D" w:rsidRDefault="00CD4D9D" w:rsidP="00CD4D9D">
      <w:pPr>
        <w:spacing w:after="0" w:line="276" w:lineRule="auto"/>
        <w:ind w:left="720"/>
        <w:jc w:val="both"/>
        <w:rPr>
          <w:rFonts w:ascii="Verdana" w:eastAsia="Calibri" w:hAnsi="Verdana" w:cs="Arial"/>
        </w:rPr>
      </w:pPr>
    </w:p>
    <w:p w14:paraId="56FAFC01" w14:textId="77777777" w:rsidR="00CD4D9D" w:rsidRPr="00CD4D9D" w:rsidRDefault="00CD4D9D" w:rsidP="00CD4D9D">
      <w:pPr>
        <w:spacing w:after="0" w:line="240" w:lineRule="auto"/>
        <w:ind w:left="720" w:right="709"/>
        <w:jc w:val="both"/>
        <w:rPr>
          <w:rFonts w:ascii="Verdana" w:eastAsia="Calibri" w:hAnsi="Verdana" w:cs="Arial"/>
          <w:sz w:val="21"/>
          <w:szCs w:val="21"/>
        </w:rPr>
      </w:pPr>
      <w:r w:rsidRPr="00CD4D9D">
        <w:rPr>
          <w:rFonts w:ascii="Verdana" w:eastAsia="Calibri" w:hAnsi="Verdana" w:cs="Arial"/>
          <w:sz w:val="21"/>
          <w:szCs w:val="21"/>
        </w:rPr>
        <w:t>“En el evento en el que el precio de una oferta, al momento de su evaluación, no parezca suficiente para garantizar una correcta ejecución del contrato, de acuerdo con la información recogida durante la etapa de planeación y particularmente durante el estudio del sector, la entidad aplicará el proceso descrito en el artículo 2.2.1.1.2.2.4. del Decreto 1082 de 2015, además podrá acudir a los parámetros definidos en la Guía para el manejo de ofertas artificialmente bajas en procesos de Contratación de Colombia Compra Eficiente, como un criterio metodológico.”</w:t>
      </w:r>
    </w:p>
    <w:p w14:paraId="75A28921" w14:textId="77777777" w:rsidR="00CD4D9D" w:rsidRPr="00CD4D9D" w:rsidRDefault="00CD4D9D" w:rsidP="00CD4D9D">
      <w:pPr>
        <w:spacing w:after="0" w:line="276" w:lineRule="auto"/>
        <w:jc w:val="both"/>
        <w:rPr>
          <w:rFonts w:ascii="Verdana" w:eastAsia="Calibri" w:hAnsi="Verdana" w:cs="Arial"/>
        </w:rPr>
      </w:pPr>
    </w:p>
    <w:p w14:paraId="77739DDD" w14:textId="77777777" w:rsidR="00CD4D9D" w:rsidRPr="00CD4D9D" w:rsidRDefault="00CD4D9D" w:rsidP="00CD4D9D">
      <w:pPr>
        <w:numPr>
          <w:ilvl w:val="0"/>
          <w:numId w:val="22"/>
        </w:numPr>
        <w:spacing w:after="0" w:line="276" w:lineRule="auto"/>
        <w:contextualSpacing/>
        <w:jc w:val="both"/>
        <w:rPr>
          <w:rFonts w:ascii="Verdana" w:eastAsia="Calibri" w:hAnsi="Verdana" w:cs="Arial"/>
          <w:i/>
          <w:iCs/>
        </w:rPr>
      </w:pPr>
      <w:r w:rsidRPr="00CD4D9D">
        <w:rPr>
          <w:rFonts w:ascii="Verdana" w:eastAsia="Calibri" w:hAnsi="Verdana" w:cs="Arial"/>
        </w:rPr>
        <w:t xml:space="preserve">Actualmente, esta Agencia se encuentra adelantando una modificación de los documentos tipo del sector de infraestructura de transporte, en la cual se incorporan reglas sobre la TRM y el manejo de precios artificialmente bajos, con el propósito de que aquella no sea conocida en un tiempo prematuro. Por lo tanto, lo invitamos a consultar la página web </w:t>
      </w:r>
      <w:hyperlink r:id="rId12" w:history="1">
        <w:r w:rsidRPr="00CD4D9D">
          <w:rPr>
            <w:rFonts w:ascii="Verdana" w:eastAsia="Calibri" w:hAnsi="Verdana" w:cs="Arial"/>
            <w:color w:val="0000FF"/>
            <w:u w:val="single"/>
          </w:rPr>
          <w:t>www.colombiacompra.gov.co</w:t>
        </w:r>
      </w:hyperlink>
      <w:r w:rsidRPr="00CD4D9D">
        <w:rPr>
          <w:rFonts w:ascii="Verdana" w:eastAsia="Calibri" w:hAnsi="Verdana" w:cs="Arial"/>
        </w:rPr>
        <w:t>, en la cual se encuentra publicado el proyecto de modificación y será publicada la versión final de la modificación que se adopte.</w:t>
      </w:r>
    </w:p>
    <w:p w14:paraId="297C1043" w14:textId="77777777" w:rsidR="00CD4D9D" w:rsidRPr="00CD4D9D" w:rsidRDefault="00CD4D9D" w:rsidP="00CD4D9D">
      <w:pPr>
        <w:spacing w:after="0" w:line="276" w:lineRule="auto"/>
        <w:ind w:left="720"/>
        <w:contextualSpacing/>
        <w:jc w:val="both"/>
        <w:rPr>
          <w:rFonts w:ascii="Verdana" w:eastAsia="Calibri" w:hAnsi="Verdana" w:cs="Arial"/>
          <w:i/>
          <w:iCs/>
        </w:rPr>
      </w:pPr>
    </w:p>
    <w:p w14:paraId="1788A040" w14:textId="77777777" w:rsidR="00CD4D9D" w:rsidRPr="00CD4D9D" w:rsidRDefault="00CD4D9D" w:rsidP="00CD4D9D">
      <w:pPr>
        <w:numPr>
          <w:ilvl w:val="0"/>
          <w:numId w:val="21"/>
        </w:numPr>
        <w:snapToGrid w:val="0"/>
        <w:spacing w:after="0" w:line="276" w:lineRule="auto"/>
        <w:jc w:val="both"/>
        <w:rPr>
          <w:rFonts w:ascii="Verdana" w:eastAsia="Times New Roman" w:hAnsi="Verdana" w:cs="Arial"/>
          <w:kern w:val="2"/>
          <w:shd w:val="clear" w:color="auto" w:fill="FFFFFF"/>
          <w:lang w:val="es-ES" w:eastAsia="es-ES"/>
          <w14:ligatures w14:val="standardContextual"/>
        </w:rPr>
      </w:pPr>
      <w:r w:rsidRPr="00CD4D9D">
        <w:rPr>
          <w:rFonts w:ascii="Verdana" w:eastAsia="Times New Roman" w:hAnsi="Verdana" w:cs="Arial"/>
          <w:kern w:val="2"/>
          <w:shd w:val="clear" w:color="auto" w:fill="FFFFFF"/>
          <w:lang w:val="es-ES" w:eastAsia="es-ES"/>
          <w14:ligatures w14:val="standardContextual"/>
        </w:rPr>
        <w:t xml:space="preserve">Finalmente, es importante resaltar que, en virtud de la regla de inalterabilidad, los Documentos Tipo solo pueden ser modificados en los aspectos en que estos lo permitan. Esto corresponde a aquellos aspectos que se encuentran entre corchetes y resaltados en gris </w:t>
      </w:r>
      <w:r w:rsidRPr="00CD4D9D">
        <w:rPr>
          <w:rFonts w:ascii="Verdana" w:eastAsia="Times New Roman" w:hAnsi="Verdana" w:cs="Arial"/>
          <w:kern w:val="2"/>
          <w:highlight w:val="lightGray"/>
          <w:shd w:val="clear" w:color="auto" w:fill="FFFFFF"/>
          <w:lang w:val="es-ES" w:eastAsia="es-ES"/>
          <w14:ligatures w14:val="standardContextual"/>
        </w:rPr>
        <w:t>–[texto]–</w:t>
      </w:r>
      <w:r w:rsidRPr="00CD4D9D">
        <w:rPr>
          <w:rFonts w:ascii="Verdana" w:eastAsia="Times New Roman" w:hAnsi="Verdana" w:cs="Arial"/>
          <w:kern w:val="2"/>
          <w:shd w:val="clear" w:color="auto" w:fill="FFFFFF"/>
          <w:lang w:val="es-ES" w:eastAsia="es-ES"/>
          <w14:ligatures w14:val="standardContextual"/>
        </w:rPr>
        <w:t>, para lo cual deberán observarse las instrucciones contenidas en los mismos para su diligenciamiento.</w:t>
      </w:r>
    </w:p>
    <w:p w14:paraId="6F787CC8" w14:textId="77777777" w:rsidR="00CD4D9D" w:rsidRPr="00CD4D9D" w:rsidRDefault="00CD4D9D" w:rsidP="00CD4D9D">
      <w:pPr>
        <w:snapToGrid w:val="0"/>
        <w:spacing w:after="0" w:line="276" w:lineRule="auto"/>
        <w:jc w:val="both"/>
        <w:rPr>
          <w:rFonts w:ascii="Verdana" w:eastAsia="Times New Roman" w:hAnsi="Verdana" w:cs="Arial"/>
          <w:kern w:val="2"/>
          <w:shd w:val="clear" w:color="auto" w:fill="FFFFFF"/>
          <w:lang w:val="es-ES_tradnl" w:eastAsia="es-ES_tradnl"/>
          <w14:ligatures w14:val="standardContextual"/>
        </w:rPr>
      </w:pPr>
      <w:r w:rsidRPr="00CD4D9D">
        <w:rPr>
          <w:rFonts w:ascii="Verdana" w:eastAsia="Times New Roman" w:hAnsi="Verdana" w:cs="Arial"/>
          <w:kern w:val="2"/>
          <w:shd w:val="clear" w:color="auto" w:fill="FFFFFF"/>
          <w:lang w:val="es-ES_tradnl" w:eastAsia="es-ES_tradnl"/>
          <w14:ligatures w14:val="standardContextual"/>
        </w:rPr>
        <w:t xml:space="preserve"> </w:t>
      </w:r>
    </w:p>
    <w:p w14:paraId="7C57F412" w14:textId="77777777" w:rsidR="00CD4D9D" w:rsidRPr="00CD4D9D" w:rsidRDefault="00CD4D9D" w:rsidP="00CD4D9D">
      <w:pPr>
        <w:numPr>
          <w:ilvl w:val="0"/>
          <w:numId w:val="21"/>
        </w:numPr>
        <w:snapToGrid w:val="0"/>
        <w:spacing w:after="0" w:line="276" w:lineRule="auto"/>
        <w:jc w:val="both"/>
        <w:rPr>
          <w:rFonts w:ascii="Verdana" w:eastAsia="Times New Roman" w:hAnsi="Verdana" w:cs="Arial"/>
          <w:kern w:val="2"/>
          <w:shd w:val="clear" w:color="auto" w:fill="FFFFFF"/>
          <w:lang w:val="es-ES_tradnl" w:eastAsia="es-ES_tradnl"/>
          <w14:ligatures w14:val="standardContextual"/>
        </w:rPr>
      </w:pPr>
      <w:r w:rsidRPr="00CD4D9D">
        <w:rPr>
          <w:rFonts w:ascii="Verdana" w:eastAsia="Times New Roman" w:hAnsi="Verdana" w:cs="Arial"/>
          <w:kern w:val="2"/>
          <w:shd w:val="clear" w:color="auto" w:fill="FFFFFF"/>
          <w:lang w:val="es-ES_tradnl" w:eastAsia="es-ES_tradnl"/>
          <w14:ligatures w14:val="standardContextual"/>
        </w:rPr>
        <w:t xml:space="preserve">Por lo tanto, una entidad solo podrá modificar aspectos de los Documentos Tipo cuando así esté permitido, en los términos expuestos. Lo anterior implica que, en los apartes en que los documentos tipo no lo permitan, la entidad deberá integrar el contenido de estos a su Proceso de Contratación sin ningún tipo de alteración. </w:t>
      </w:r>
    </w:p>
    <w:p w14:paraId="553B5AA3" w14:textId="77777777" w:rsidR="00CD4D9D" w:rsidRPr="00CD4D9D" w:rsidRDefault="00CD4D9D" w:rsidP="00CD4D9D">
      <w:pPr>
        <w:spacing w:after="0" w:line="276" w:lineRule="auto"/>
        <w:ind w:left="720"/>
        <w:rPr>
          <w:rFonts w:ascii="Verdana" w:eastAsia="Times New Roman" w:hAnsi="Verdana" w:cs="Arial"/>
          <w:kern w:val="2"/>
          <w:shd w:val="clear" w:color="auto" w:fill="FFFFFF"/>
          <w:lang w:val="es-ES_tradnl" w:eastAsia="es-ES_tradnl"/>
          <w14:ligatures w14:val="standardContextual"/>
        </w:rPr>
      </w:pPr>
    </w:p>
    <w:p w14:paraId="6111020B" w14:textId="77777777" w:rsidR="00CD4D9D" w:rsidRPr="00CD4D9D" w:rsidRDefault="00CD4D9D" w:rsidP="00CD4D9D">
      <w:pPr>
        <w:numPr>
          <w:ilvl w:val="0"/>
          <w:numId w:val="21"/>
        </w:numPr>
        <w:snapToGrid w:val="0"/>
        <w:spacing w:after="0" w:line="276" w:lineRule="auto"/>
        <w:jc w:val="both"/>
        <w:rPr>
          <w:rFonts w:ascii="Verdana" w:eastAsia="Times New Roman" w:hAnsi="Verdana" w:cs="Arial"/>
          <w:kern w:val="2"/>
          <w:shd w:val="clear" w:color="auto" w:fill="FFFFFF"/>
          <w:lang w:val="es-ES_tradnl" w:eastAsia="es-ES_tradnl"/>
          <w14:ligatures w14:val="standardContextual"/>
        </w:rPr>
      </w:pPr>
      <w:r w:rsidRPr="00CD4D9D">
        <w:rPr>
          <w:rFonts w:ascii="Verdana" w:eastAsia="Times New Roman" w:hAnsi="Verdana" w:cs="Arial"/>
          <w:kern w:val="2"/>
          <w:shd w:val="clear" w:color="auto" w:fill="FFFFFF"/>
          <w:lang w:val="es-ES_tradnl" w:eastAsia="es-ES_tradnl"/>
          <w14:ligatures w14:val="standardContextual"/>
        </w:rPr>
        <w:t xml:space="preserve">Esta regla es aplicable inclusive a las matrices de experiencia. Por lo tanto, las entidades estatales solo podrán requerir la experiencia general y específica en los términos allí señalados, sin perjuicio de las reglas aplicables a la combinación de experiencia de los documentos tipo. </w:t>
      </w:r>
    </w:p>
    <w:p w14:paraId="6488503D" w14:textId="77777777" w:rsidR="00CD4D9D" w:rsidRPr="00CD4D9D" w:rsidRDefault="00CD4D9D" w:rsidP="00CD4D9D">
      <w:pPr>
        <w:spacing w:after="0" w:line="276" w:lineRule="auto"/>
        <w:contextualSpacing/>
        <w:jc w:val="both"/>
        <w:rPr>
          <w:rFonts w:ascii="Verdana" w:eastAsia="Calibri" w:hAnsi="Verdana" w:cs="Arial"/>
        </w:rPr>
      </w:pPr>
    </w:p>
    <w:p w14:paraId="5C7B11BF" w14:textId="77777777" w:rsidR="00CD4D9D" w:rsidRPr="00CD4D9D" w:rsidRDefault="00CD4D9D" w:rsidP="00CD4D9D">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CD4D9D">
        <w:rPr>
          <w:rFonts w:ascii="Verdana" w:eastAsia="Century Gothic" w:hAnsi="Verdana" w:cs="Century Gothic"/>
          <w:b/>
          <w:bCs/>
          <w:lang w:val="es-ES"/>
        </w:rPr>
        <w:t>Referencias normativas, jurisprudenciales y otras fuentes:</w:t>
      </w:r>
    </w:p>
    <w:p w14:paraId="7864A134" w14:textId="77777777" w:rsidR="00CD4D9D" w:rsidRPr="00CD4D9D" w:rsidRDefault="00CD4D9D" w:rsidP="00CD4D9D">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CD4D9D" w:rsidRPr="00CD4D9D" w14:paraId="7597C4DC" w14:textId="77777777" w:rsidTr="008A5AA7">
        <w:trPr>
          <w:trHeight w:val="870"/>
        </w:trPr>
        <w:tc>
          <w:tcPr>
            <w:tcW w:w="8647" w:type="dxa"/>
          </w:tcPr>
          <w:p w14:paraId="47893968" w14:textId="77777777" w:rsidR="00CD4D9D" w:rsidRPr="00CD4D9D" w:rsidRDefault="00CD4D9D" w:rsidP="00CD4D9D">
            <w:pPr>
              <w:widowControl w:val="0"/>
              <w:numPr>
                <w:ilvl w:val="0"/>
                <w:numId w:val="17"/>
              </w:numPr>
              <w:autoSpaceDE w:val="0"/>
              <w:autoSpaceDN w:val="0"/>
              <w:spacing w:after="120" w:line="276" w:lineRule="auto"/>
              <w:jc w:val="both"/>
              <w:rPr>
                <w:rFonts w:ascii="Verdana" w:eastAsia="Calibri" w:hAnsi="Verdana" w:cs="Arial"/>
              </w:rPr>
            </w:pPr>
            <w:r w:rsidRPr="00CD4D9D">
              <w:rPr>
                <w:rFonts w:ascii="Verdana" w:eastAsia="Calibri" w:hAnsi="Verdana" w:cs="Arial"/>
              </w:rPr>
              <w:t>Ley 80 de 1993, artículo 26.</w:t>
            </w:r>
          </w:p>
          <w:p w14:paraId="766C2BCF" w14:textId="77777777" w:rsidR="00CD4D9D" w:rsidRPr="00CD4D9D" w:rsidRDefault="00CD4D9D" w:rsidP="00CD4D9D">
            <w:pPr>
              <w:widowControl w:val="0"/>
              <w:numPr>
                <w:ilvl w:val="0"/>
                <w:numId w:val="17"/>
              </w:numPr>
              <w:autoSpaceDE w:val="0"/>
              <w:autoSpaceDN w:val="0"/>
              <w:spacing w:after="120" w:line="276" w:lineRule="auto"/>
              <w:jc w:val="both"/>
              <w:rPr>
                <w:rFonts w:ascii="Verdana" w:eastAsia="Calibri" w:hAnsi="Verdana" w:cs="Arial"/>
              </w:rPr>
            </w:pPr>
            <w:r w:rsidRPr="00CD4D9D">
              <w:rPr>
                <w:rFonts w:ascii="Verdana" w:eastAsia="Calibri" w:hAnsi="Verdana" w:cs="Arial"/>
              </w:rPr>
              <w:t xml:space="preserve">Decreto 1082 de 2015, artículo </w:t>
            </w:r>
            <w:r w:rsidRPr="00CD4D9D">
              <w:rPr>
                <w:rFonts w:ascii="Verdana" w:eastAsia="Aptos" w:hAnsi="Verdana" w:cs="Times New Roman"/>
              </w:rPr>
              <w:t>2.2.1.1.2.2.4.</w:t>
            </w:r>
          </w:p>
          <w:p w14:paraId="2ED9AD05" w14:textId="77777777" w:rsidR="00CD4D9D" w:rsidRPr="00CD4D9D" w:rsidRDefault="00CD4D9D" w:rsidP="00CD4D9D">
            <w:pPr>
              <w:widowControl w:val="0"/>
              <w:numPr>
                <w:ilvl w:val="0"/>
                <w:numId w:val="17"/>
              </w:numPr>
              <w:autoSpaceDE w:val="0"/>
              <w:autoSpaceDN w:val="0"/>
              <w:spacing w:after="120" w:line="276" w:lineRule="auto"/>
              <w:jc w:val="both"/>
              <w:rPr>
                <w:rFonts w:ascii="Verdana" w:eastAsia="Calibri" w:hAnsi="Verdana" w:cs="Arial"/>
              </w:rPr>
            </w:pPr>
            <w:r w:rsidRPr="00CD4D9D">
              <w:rPr>
                <w:rFonts w:ascii="Verdana" w:eastAsia="Aptos" w:hAnsi="Verdana" w:cs="Times New Roman"/>
              </w:rPr>
              <w:t>Consejo de Estado, Sección Tercera, sentencia 4 de junio de 2008, radicado No. 17.783, M.P. Myriam Guerrero de Escobar.</w:t>
            </w:r>
          </w:p>
          <w:p w14:paraId="0296FDEB" w14:textId="2E6B1765" w:rsidR="00CD4D9D" w:rsidRPr="00CD4D9D" w:rsidRDefault="00CD4D9D" w:rsidP="00A35C30">
            <w:pPr>
              <w:widowControl w:val="0"/>
              <w:numPr>
                <w:ilvl w:val="0"/>
                <w:numId w:val="17"/>
              </w:numPr>
              <w:autoSpaceDE w:val="0"/>
              <w:autoSpaceDN w:val="0"/>
              <w:spacing w:after="120" w:line="276" w:lineRule="auto"/>
              <w:jc w:val="both"/>
              <w:rPr>
                <w:rFonts w:ascii="Verdana" w:eastAsia="Calibri" w:hAnsi="Verdana" w:cs="Arial"/>
              </w:rPr>
            </w:pPr>
            <w:r w:rsidRPr="00CD4D9D">
              <w:rPr>
                <w:rFonts w:ascii="Verdana" w:eastAsia="Aptos" w:hAnsi="Verdana" w:cs="Arial"/>
                <w:spacing w:val="2"/>
                <w:lang w:eastAsia="es-CO"/>
              </w:rPr>
              <w:t xml:space="preserve">Documentos tipo de obra pública de infraestructura de transporte. Disponibles en: </w:t>
            </w:r>
            <w:hyperlink r:id="rId13" w:history="1">
              <w:r w:rsidRPr="00CD4D9D">
                <w:rPr>
                  <w:rFonts w:ascii="Verdana" w:eastAsia="Aptos" w:hAnsi="Verdana" w:cs="Arial"/>
                  <w:color w:val="0000FF"/>
                  <w:spacing w:val="2"/>
                  <w:u w:val="single"/>
                  <w:lang w:eastAsia="es-CO"/>
                </w:rPr>
                <w:t>https://www.colombiacompra.gov.co/content/documentos-tipo-de-infraestructura-de-transporte</w:t>
              </w:r>
            </w:hyperlink>
            <w:r w:rsidRPr="00CD4D9D">
              <w:rPr>
                <w:rFonts w:ascii="Verdana" w:eastAsia="Aptos" w:hAnsi="Verdana" w:cs="Arial"/>
                <w:spacing w:val="2"/>
                <w:lang w:eastAsia="es-CO"/>
              </w:rPr>
              <w:t xml:space="preserve"> </w:t>
            </w:r>
          </w:p>
        </w:tc>
      </w:tr>
    </w:tbl>
    <w:p w14:paraId="5A68175F" w14:textId="77777777" w:rsidR="00CD4D9D" w:rsidRPr="00CD4D9D" w:rsidRDefault="00CD4D9D" w:rsidP="00CD4D9D">
      <w:pPr>
        <w:widowControl w:val="0"/>
        <w:autoSpaceDE w:val="0"/>
        <w:autoSpaceDN w:val="0"/>
        <w:spacing w:after="0" w:line="276" w:lineRule="auto"/>
        <w:jc w:val="both"/>
        <w:rPr>
          <w:rFonts w:ascii="Verdana" w:eastAsia="Calibri" w:hAnsi="Verdana" w:cs="Arial"/>
        </w:rPr>
      </w:pPr>
    </w:p>
    <w:p w14:paraId="66557432" w14:textId="77777777" w:rsidR="00CD4D9D" w:rsidRPr="00CD4D9D" w:rsidRDefault="00CD4D9D" w:rsidP="00CD4D9D">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CD4D9D">
        <w:rPr>
          <w:rFonts w:ascii="Verdana" w:eastAsia="Century Gothic" w:hAnsi="Verdana" w:cs="Century Gothic"/>
          <w:b/>
          <w:bCs/>
          <w:lang w:val="es-ES"/>
        </w:rPr>
        <w:t>Doctrina de la Agencia Nacional de Contratación Pública:</w:t>
      </w:r>
    </w:p>
    <w:p w14:paraId="77579673" w14:textId="77777777" w:rsidR="00CD4D9D" w:rsidRPr="00CD4D9D" w:rsidRDefault="00CD4D9D" w:rsidP="00CD4D9D">
      <w:pPr>
        <w:widowControl w:val="0"/>
        <w:autoSpaceDE w:val="0"/>
        <w:autoSpaceDN w:val="0"/>
        <w:spacing w:after="0" w:line="276" w:lineRule="auto"/>
        <w:jc w:val="both"/>
        <w:rPr>
          <w:rFonts w:ascii="Verdana" w:eastAsia="Calibri" w:hAnsi="Verdana" w:cs="Arial"/>
        </w:rPr>
      </w:pPr>
    </w:p>
    <w:p w14:paraId="7633B661" w14:textId="77777777" w:rsidR="00CD4D9D" w:rsidRPr="00CD4D9D" w:rsidRDefault="00CD4D9D" w:rsidP="00CD4D9D">
      <w:pPr>
        <w:widowControl w:val="0"/>
        <w:autoSpaceDE w:val="0"/>
        <w:autoSpaceDN w:val="0"/>
        <w:spacing w:after="0" w:line="276" w:lineRule="auto"/>
        <w:jc w:val="both"/>
        <w:rPr>
          <w:rFonts w:ascii="Verdana" w:eastAsia="Calibri" w:hAnsi="Verdana" w:cs="Arial"/>
          <w:shd w:val="clear" w:color="auto" w:fill="FFFFFF"/>
          <w:lang w:val="es-ES"/>
        </w:rPr>
      </w:pPr>
      <w:r w:rsidRPr="00CD4D9D">
        <w:rPr>
          <w:rFonts w:ascii="Verdana" w:eastAsia="Calibri" w:hAnsi="Verdana" w:cs="Arial"/>
          <w:shd w:val="clear" w:color="auto" w:fill="FFFFFF"/>
          <w:lang w:val="es-ES"/>
        </w:rPr>
        <w:t xml:space="preserve">La Agencia Nacional de Contratación Pública – Colombia Compra Eficiente se pronunció sobre la regulación relacionada con la elección y aplicación del método de ponderación de ofertas económicas en procesos contractuales regidos por documentos tipo, en los conceptos C-193 del 6 de abril de 2020, C-279 del 18 </w:t>
      </w:r>
      <w:r w:rsidRPr="00CD4D9D">
        <w:rPr>
          <w:rFonts w:ascii="Verdana" w:eastAsia="Calibri" w:hAnsi="Verdana" w:cs="Arial"/>
          <w:shd w:val="clear" w:color="auto" w:fill="FFFFFF"/>
          <w:lang w:val="es-ES"/>
        </w:rPr>
        <w:lastRenderedPageBreak/>
        <w:t>de mayo de 2020, C-349 del 23 de junio de 2020, C-431 del 9 de julio de 2020, C-793 del 20 de enero de 2021, C-810 del 8 de febrero de 2021, C-011 del 17 de febrero de 2021, C-042 del 3 de marzo de 2021, C-174 del 26 de abril de 2021, C-332 del 7 de mayo de 2021, C-412 del 17 de agosto de 2021, C-402 del 19 de agosto de 2021, C-425 del 19 de agosto de 2021, C-632 del 19 de noviembre de 2021, C-680 del 9 de diciembre de 2021, C-722 del 20 de diciembre de 2021, C-751 del 7 de febrero de 2022, C-190 del 12 de abril de 2022, entre otros.</w:t>
      </w:r>
    </w:p>
    <w:p w14:paraId="38E8AA24" w14:textId="77777777" w:rsidR="00CD4D9D" w:rsidRPr="00CD4D9D" w:rsidRDefault="00CD4D9D" w:rsidP="00CD4D9D">
      <w:pPr>
        <w:widowControl w:val="0"/>
        <w:autoSpaceDE w:val="0"/>
        <w:autoSpaceDN w:val="0"/>
        <w:spacing w:after="0" w:line="276" w:lineRule="auto"/>
        <w:jc w:val="both"/>
        <w:rPr>
          <w:rFonts w:ascii="Verdana" w:eastAsia="Calibri" w:hAnsi="Verdana" w:cs="Arial"/>
          <w:shd w:val="clear" w:color="auto" w:fill="FFFFFF"/>
          <w:lang w:val="es-ES"/>
        </w:rPr>
      </w:pPr>
    </w:p>
    <w:p w14:paraId="50D3E724" w14:textId="77777777" w:rsidR="00CD4D9D" w:rsidRPr="00CD4D9D" w:rsidRDefault="00CD4D9D" w:rsidP="00CD4D9D">
      <w:pPr>
        <w:widowControl w:val="0"/>
        <w:autoSpaceDE w:val="0"/>
        <w:autoSpaceDN w:val="0"/>
        <w:spacing w:after="0" w:line="276" w:lineRule="auto"/>
        <w:jc w:val="both"/>
        <w:rPr>
          <w:rFonts w:ascii="Verdana" w:eastAsia="Calibri" w:hAnsi="Verdana" w:cs="Arial"/>
          <w:shd w:val="clear" w:color="auto" w:fill="FFFFFF"/>
          <w:lang w:val="es-ES"/>
        </w:rPr>
      </w:pPr>
      <w:r w:rsidRPr="00CD4D9D">
        <w:rPr>
          <w:rFonts w:ascii="Verdana" w:eastAsia="Calibri" w:hAnsi="Verdana" w:cs="Arial"/>
          <w:shd w:val="clear" w:color="auto" w:fill="FFFFFF"/>
          <w:lang w:val="es-ES"/>
        </w:rPr>
        <w:t>Asimismo, esta Agencia analizó la noción y alcance de los precios artificialmente bajos en los conceptos 2201913000007853 del 21 de octubre de 2019; 2201913000008058 del 28 de octubre de 2019, 2201913000008288 del 7 de noviembre de 2019; 2201913000009110 del 11 de diciembre de 2019, 2201913000009489 del 20 de diciembre de 2019, 2202013000000038 del 7 de enero de 2020, C−163 del 31 de marzo de 2020, C–012 del 28 de enero de 2020, C–163 del 31 de marzo de 2020, C–200 del 14 de abril de 2020, C−473 del 13 de julio de 2002, C−496 del 27 de julio de 2020, C−506 del 29 de julio de 2020, C-679 del 23 de noviembre de 2020, C–767 del 7 de enero de 2021, C-205 del 7 de mayo del 2021, C-737 del 27 de enero de 2022,  C-287 del 4 de mayo de 2022, C-205 del 7 de mayo de 2022, C-403 del 22 de junio de 2022, C-546 del 30 de agosto de 2022 y C-952 del 20 de enero de 2023. Es</w:t>
      </w:r>
      <w:r w:rsidRPr="00CD4D9D">
        <w:rPr>
          <w:rFonts w:ascii="Verdana" w:eastAsia="Calibri" w:hAnsi="Verdana" w:cs="Times New Roman"/>
        </w:rPr>
        <w:t>tos y otros conceptos se encuentran disponibles para consulta en el sistema de relatoría de la Agencia, al cual se puede acceder a través del siguiente enlace:</w:t>
      </w:r>
      <w:r w:rsidRPr="00CD4D9D">
        <w:rPr>
          <w:rFonts w:ascii="Verdana" w:eastAsia="Calibri" w:hAnsi="Verdana" w:cs="Arial"/>
          <w:shd w:val="clear" w:color="auto" w:fill="FFFFFF"/>
          <w:lang w:val="es-ES"/>
        </w:rPr>
        <w:t xml:space="preserve"> </w:t>
      </w:r>
      <w:hyperlink r:id="rId14" w:history="1">
        <w:r w:rsidRPr="00CD4D9D">
          <w:rPr>
            <w:rFonts w:ascii="Verdana" w:eastAsia="Calibri" w:hAnsi="Verdana" w:cs="Arial"/>
            <w:u w:val="single"/>
            <w:shd w:val="clear" w:color="auto" w:fill="FFFFFF"/>
            <w:lang w:val="es-ES"/>
          </w:rPr>
          <w:t>https://relatoria.colombiacompra.gov.co/busqueda/conceptos</w:t>
        </w:r>
      </w:hyperlink>
      <w:r w:rsidRPr="00CD4D9D">
        <w:rPr>
          <w:rFonts w:ascii="Verdana" w:eastAsia="Calibri" w:hAnsi="Verdana" w:cs="Arial"/>
          <w:shd w:val="clear" w:color="auto" w:fill="FFFFFF"/>
          <w:lang w:val="es-ES"/>
        </w:rPr>
        <w:t xml:space="preserve">. </w:t>
      </w:r>
    </w:p>
    <w:p w14:paraId="6C573587" w14:textId="77777777" w:rsidR="00CD4D9D" w:rsidRPr="00CD4D9D" w:rsidRDefault="00CD4D9D" w:rsidP="00CD4D9D">
      <w:pPr>
        <w:widowControl w:val="0"/>
        <w:autoSpaceDE w:val="0"/>
        <w:autoSpaceDN w:val="0"/>
        <w:spacing w:after="0" w:line="276" w:lineRule="auto"/>
        <w:jc w:val="both"/>
        <w:rPr>
          <w:rFonts w:ascii="Verdana" w:eastAsia="Calibri" w:hAnsi="Verdana" w:cs="Arial"/>
          <w:shd w:val="clear" w:color="auto" w:fill="FFFFFF"/>
          <w:lang w:val="es-ES"/>
        </w:rPr>
      </w:pPr>
    </w:p>
    <w:p w14:paraId="68AD79FF" w14:textId="77777777" w:rsidR="00CD4D9D" w:rsidRPr="00CD4D9D" w:rsidRDefault="00CD4D9D" w:rsidP="00CD4D9D">
      <w:pPr>
        <w:widowControl w:val="0"/>
        <w:autoSpaceDE w:val="0"/>
        <w:autoSpaceDN w:val="0"/>
        <w:spacing w:after="0" w:line="276" w:lineRule="auto"/>
        <w:jc w:val="both"/>
        <w:rPr>
          <w:rFonts w:ascii="Verdana" w:eastAsia="Calibri" w:hAnsi="Verdana" w:cs="Arial"/>
          <w:shd w:val="clear" w:color="auto" w:fill="FFFFFF"/>
          <w:lang w:val="es-ES"/>
        </w:rPr>
      </w:pPr>
      <w:r w:rsidRPr="00CD4D9D">
        <w:rPr>
          <w:rFonts w:ascii="Verdana" w:eastAsia="Calibri" w:hAnsi="Verdana" w:cs="Arial"/>
          <w:shd w:val="clear" w:color="auto" w:fill="FFFFFF"/>
          <w:lang w:val="es-ES"/>
        </w:rPr>
        <w:t xml:space="preserve">También, le recomendamos consultar las versiones I y II de 2024 del Boletín de Relatoría de la Subdirección de Gestión Contractual, las cuales puede descargar en la página web de la Agencia: </w:t>
      </w:r>
      <w:hyperlink r:id="rId15" w:history="1">
        <w:r w:rsidRPr="00CD4D9D">
          <w:rPr>
            <w:rFonts w:ascii="Verdana" w:eastAsia="Calibri" w:hAnsi="Verdana" w:cs="Arial"/>
            <w:u w:val="single"/>
            <w:shd w:val="clear" w:color="auto" w:fill="FFFFFF"/>
            <w:lang w:val="es-ES"/>
          </w:rPr>
          <w:t>https://www.colombiacompra.gov.co/sala-de-prensa/boletin-digital</w:t>
        </w:r>
      </w:hyperlink>
      <w:r w:rsidRPr="00CD4D9D">
        <w:rPr>
          <w:rFonts w:ascii="Verdana" w:eastAsia="Calibri" w:hAnsi="Verdana" w:cs="Arial"/>
          <w:shd w:val="clear" w:color="auto" w:fill="FFFFFF"/>
          <w:lang w:val="es-ES"/>
        </w:rPr>
        <w:t xml:space="preserve">   </w:t>
      </w:r>
    </w:p>
    <w:p w14:paraId="622E1283" w14:textId="77777777" w:rsidR="00CD4D9D" w:rsidRPr="00CD4D9D" w:rsidRDefault="00CD4D9D" w:rsidP="00CD4D9D">
      <w:pPr>
        <w:widowControl w:val="0"/>
        <w:autoSpaceDE w:val="0"/>
        <w:autoSpaceDN w:val="0"/>
        <w:spacing w:after="0" w:line="276" w:lineRule="auto"/>
        <w:jc w:val="both"/>
        <w:rPr>
          <w:rFonts w:ascii="Verdana" w:eastAsia="Calibri" w:hAnsi="Verdana" w:cs="Arial"/>
          <w:shd w:val="clear" w:color="auto" w:fill="FFFFFF"/>
          <w:lang w:val="es-ES"/>
        </w:rPr>
      </w:pPr>
    </w:p>
    <w:p w14:paraId="1C89147E" w14:textId="77777777" w:rsidR="00CD4D9D" w:rsidRPr="00CD4D9D" w:rsidRDefault="00CD4D9D" w:rsidP="00CD4D9D">
      <w:pPr>
        <w:spacing w:after="0" w:line="240" w:lineRule="auto"/>
        <w:jc w:val="both"/>
        <w:rPr>
          <w:rFonts w:ascii="Verdana" w:eastAsia="Calibri" w:hAnsi="Verdana" w:cs="Times New Roman"/>
        </w:rPr>
      </w:pPr>
      <w:r w:rsidRPr="00CD4D9D">
        <w:rPr>
          <w:rFonts w:ascii="Verdana" w:eastAsia="Calibri" w:hAnsi="Verdana" w:cs="Times New Roman"/>
        </w:rPr>
        <w:t xml:space="preserve">Por último, los invitamos a seguirnos en las redes sociales, en las cuales se difunde información institucional: </w:t>
      </w:r>
    </w:p>
    <w:p w14:paraId="51E3E4A3" w14:textId="77777777" w:rsidR="00CD4D9D" w:rsidRPr="00CD4D9D" w:rsidRDefault="00CD4D9D" w:rsidP="00CD4D9D">
      <w:pPr>
        <w:spacing w:after="0" w:line="240" w:lineRule="auto"/>
        <w:jc w:val="both"/>
        <w:rPr>
          <w:rFonts w:ascii="Verdana" w:eastAsia="Calibri" w:hAnsi="Verdana" w:cs="Times New Roman"/>
        </w:rPr>
      </w:pPr>
    </w:p>
    <w:p w14:paraId="2EC72A44" w14:textId="77777777" w:rsidR="00CD4D9D" w:rsidRPr="00CD4D9D" w:rsidRDefault="00CD4D9D" w:rsidP="00CD4D9D">
      <w:pPr>
        <w:spacing w:after="0" w:line="240" w:lineRule="auto"/>
        <w:jc w:val="both"/>
        <w:rPr>
          <w:rFonts w:ascii="Verdana" w:eastAsia="Calibri" w:hAnsi="Verdana" w:cs="Times New Roman"/>
        </w:rPr>
      </w:pPr>
      <w:r w:rsidRPr="00CD4D9D">
        <w:rPr>
          <w:rFonts w:ascii="Verdana" w:eastAsia="Calibri" w:hAnsi="Verdana" w:cs="Times New Roman"/>
        </w:rPr>
        <w:t xml:space="preserve">Twitter: </w:t>
      </w:r>
      <w:r w:rsidRPr="00CD4D9D">
        <w:rPr>
          <w:rFonts w:ascii="Verdana" w:eastAsia="Calibri" w:hAnsi="Verdana" w:cs="Times New Roman"/>
          <w:u w:val="single"/>
        </w:rPr>
        <w:t>@colombiacompra</w:t>
      </w:r>
      <w:r w:rsidRPr="00CD4D9D">
        <w:rPr>
          <w:rFonts w:ascii="Verdana" w:eastAsia="Calibri" w:hAnsi="Verdana" w:cs="Times New Roman"/>
        </w:rPr>
        <w:t xml:space="preserve"> </w:t>
      </w:r>
    </w:p>
    <w:p w14:paraId="29AD3F82" w14:textId="77777777" w:rsidR="00CD4D9D" w:rsidRPr="00CD4D9D" w:rsidRDefault="00CD4D9D" w:rsidP="00CD4D9D">
      <w:pPr>
        <w:spacing w:after="0" w:line="240" w:lineRule="auto"/>
        <w:jc w:val="both"/>
        <w:rPr>
          <w:rFonts w:ascii="Verdana" w:eastAsia="Calibri" w:hAnsi="Verdana" w:cs="Times New Roman"/>
        </w:rPr>
      </w:pPr>
      <w:r w:rsidRPr="00CD4D9D">
        <w:rPr>
          <w:rFonts w:ascii="Verdana" w:eastAsia="Calibri" w:hAnsi="Verdana" w:cs="Times New Roman"/>
        </w:rPr>
        <w:t xml:space="preserve">Facebook: </w:t>
      </w:r>
      <w:r w:rsidRPr="00CD4D9D">
        <w:rPr>
          <w:rFonts w:ascii="Verdana" w:eastAsia="Calibri" w:hAnsi="Verdana" w:cs="Times New Roman"/>
          <w:u w:val="single"/>
        </w:rPr>
        <w:t>ColombiaCompraEficiente</w:t>
      </w:r>
    </w:p>
    <w:p w14:paraId="766A18AB" w14:textId="77777777" w:rsidR="00CD4D9D" w:rsidRPr="00CD4D9D" w:rsidRDefault="00CD4D9D" w:rsidP="00CD4D9D">
      <w:pPr>
        <w:spacing w:after="0" w:line="240" w:lineRule="auto"/>
        <w:jc w:val="both"/>
        <w:rPr>
          <w:rFonts w:ascii="Verdana" w:eastAsia="Calibri" w:hAnsi="Verdana" w:cs="Times New Roman"/>
        </w:rPr>
      </w:pPr>
      <w:r w:rsidRPr="00CD4D9D">
        <w:rPr>
          <w:rFonts w:ascii="Verdana" w:eastAsia="Calibri" w:hAnsi="Verdana" w:cs="Times New Roman"/>
        </w:rPr>
        <w:t xml:space="preserve">LinkedIn: </w:t>
      </w:r>
      <w:r w:rsidRPr="00CD4D9D">
        <w:rPr>
          <w:rFonts w:ascii="Verdana" w:eastAsia="Calibri" w:hAnsi="Verdana" w:cs="Times New Roman"/>
          <w:u w:val="single"/>
        </w:rPr>
        <w:t>Agencia Nacional de Contratación Pública - Colombia Compra Eficiente</w:t>
      </w:r>
      <w:r w:rsidRPr="00CD4D9D">
        <w:rPr>
          <w:rFonts w:ascii="Verdana" w:eastAsia="Calibri" w:hAnsi="Verdana" w:cs="Times New Roman"/>
        </w:rPr>
        <w:t xml:space="preserve"> Instagram: </w:t>
      </w:r>
      <w:r w:rsidRPr="00CD4D9D">
        <w:rPr>
          <w:rFonts w:ascii="Verdana" w:eastAsia="Calibri" w:hAnsi="Verdana" w:cs="Times New Roman"/>
          <w:u w:val="single"/>
        </w:rPr>
        <w:t>@colombiacompraeficiente_cce</w:t>
      </w:r>
    </w:p>
    <w:p w14:paraId="5F414C09" w14:textId="77777777" w:rsidR="00CD4D9D" w:rsidRPr="00CD4D9D" w:rsidRDefault="00CD4D9D" w:rsidP="00CD4D9D">
      <w:pPr>
        <w:widowControl w:val="0"/>
        <w:autoSpaceDE w:val="0"/>
        <w:autoSpaceDN w:val="0"/>
        <w:spacing w:after="0" w:line="276" w:lineRule="auto"/>
        <w:jc w:val="both"/>
        <w:rPr>
          <w:rFonts w:ascii="Verdana" w:eastAsia="Calibri" w:hAnsi="Verdana" w:cs="Arial"/>
        </w:rPr>
      </w:pPr>
    </w:p>
    <w:p w14:paraId="670ECF1B" w14:textId="77777777" w:rsidR="00CD4D9D" w:rsidRPr="00CD4D9D" w:rsidRDefault="00CD4D9D" w:rsidP="00CD4D9D">
      <w:pPr>
        <w:widowControl w:val="0"/>
        <w:autoSpaceDE w:val="0"/>
        <w:autoSpaceDN w:val="0"/>
        <w:spacing w:after="0" w:line="276" w:lineRule="auto"/>
        <w:jc w:val="both"/>
        <w:rPr>
          <w:rFonts w:ascii="Verdana" w:eastAsia="Calibri" w:hAnsi="Verdana" w:cs="Arial"/>
          <w:lang w:val="es-ES_tradnl"/>
        </w:rPr>
      </w:pPr>
      <w:r w:rsidRPr="00CD4D9D">
        <w:rPr>
          <w:rFonts w:ascii="Verdana" w:eastAsia="Calibri" w:hAnsi="Verdana" w:cs="Arial"/>
        </w:rPr>
        <w:t xml:space="preserve">Este concepto tiene el alcance previsto en el artículo 28 del Código de </w:t>
      </w:r>
      <w:r w:rsidRPr="00CD4D9D">
        <w:rPr>
          <w:rFonts w:ascii="Verdana" w:eastAsia="Calibri" w:hAnsi="Verdana" w:cs="Arial"/>
        </w:rPr>
        <w:lastRenderedPageBreak/>
        <w:t xml:space="preserve">Procedimiento Administrativo y de lo Contencioso Administrativo </w:t>
      </w:r>
      <w:r w:rsidRPr="00CD4D9D">
        <w:rPr>
          <w:rFonts w:ascii="Verdana" w:eastAsia="Calibri" w:hAnsi="Verdana" w:cs="Arial"/>
          <w:lang w:val="es-ES_tradnl"/>
        </w:rPr>
        <w:t>y las expresiones aquí utilizadas con mayúscula inicial deben ser entendidas con el significado que les otorga el artículo 2.2.1.1.1.3.1. del Decreto 1082 de 2015.</w:t>
      </w:r>
    </w:p>
    <w:p w14:paraId="3E2C36D8" w14:textId="77777777" w:rsidR="00CD4D9D" w:rsidRPr="00CD4D9D" w:rsidRDefault="00CD4D9D" w:rsidP="00CD4D9D">
      <w:pPr>
        <w:widowControl w:val="0"/>
        <w:autoSpaceDE w:val="0"/>
        <w:autoSpaceDN w:val="0"/>
        <w:spacing w:after="0" w:line="276" w:lineRule="auto"/>
        <w:jc w:val="both"/>
        <w:rPr>
          <w:rFonts w:ascii="Verdana" w:eastAsia="Calibri" w:hAnsi="Verdana" w:cs="Arial"/>
        </w:rPr>
      </w:pPr>
    </w:p>
    <w:p w14:paraId="4140D5DC" w14:textId="77777777" w:rsidR="00CD4D9D" w:rsidRPr="00CD4D9D" w:rsidRDefault="00CD4D9D" w:rsidP="00CD4D9D">
      <w:pPr>
        <w:spacing w:after="0" w:line="240" w:lineRule="auto"/>
        <w:rPr>
          <w:rFonts w:ascii="Verdana" w:eastAsia="Calibri" w:hAnsi="Verdana" w:cs="Arial"/>
          <w:lang w:eastAsia="es-CO"/>
        </w:rPr>
      </w:pPr>
      <w:r w:rsidRPr="00CD4D9D">
        <w:rPr>
          <w:rFonts w:ascii="Verdana" w:eastAsia="Times New Roman" w:hAnsi="Verdana" w:cs="Arial"/>
          <w:lang w:eastAsia="es-CO"/>
        </w:rPr>
        <w:t>Atentamente,</w:t>
      </w:r>
      <w:r w:rsidRPr="00CD4D9D">
        <w:rPr>
          <w:rFonts w:ascii="Verdana" w:eastAsia="Calibri" w:hAnsi="Verdana" w:cs="Arial"/>
          <w:lang w:eastAsia="es-CO"/>
        </w:rPr>
        <w:t xml:space="preserve"> </w:t>
      </w:r>
    </w:p>
    <w:p w14:paraId="6F592725" w14:textId="5D4FBF35" w:rsidR="00CD4D9D" w:rsidRPr="00CD4D9D" w:rsidRDefault="00D441FA" w:rsidP="00CD4D9D">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57673DFA" wp14:editId="2EC184FA">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D4D9D" w:rsidRPr="00CD4D9D" w14:paraId="58573898" w14:textId="77777777" w:rsidTr="008A5AA7">
        <w:trPr>
          <w:trHeight w:val="315"/>
        </w:trPr>
        <w:tc>
          <w:tcPr>
            <w:tcW w:w="893" w:type="dxa"/>
            <w:vAlign w:val="center"/>
            <w:hideMark/>
          </w:tcPr>
          <w:p w14:paraId="4A3FA88F" w14:textId="77777777" w:rsidR="00CD4D9D" w:rsidRPr="00CD4D9D" w:rsidRDefault="00CD4D9D" w:rsidP="00CD4D9D">
            <w:pPr>
              <w:rPr>
                <w:rFonts w:ascii="Verdana" w:eastAsia="Calibri" w:hAnsi="Verdana" w:cs="Arial"/>
                <w:sz w:val="16"/>
                <w:szCs w:val="16"/>
                <w:lang w:val="es-ES" w:eastAsia="es-ES"/>
              </w:rPr>
            </w:pPr>
            <w:r w:rsidRPr="00CD4D9D">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07324201" w14:textId="77777777" w:rsidR="00CD4D9D" w:rsidRPr="00CD4D9D" w:rsidRDefault="00CD4D9D" w:rsidP="00CD4D9D">
            <w:pPr>
              <w:rPr>
                <w:rFonts w:ascii="Verdana" w:eastAsia="Arial" w:hAnsi="Verdana" w:cs="Arial"/>
                <w:sz w:val="16"/>
                <w:szCs w:val="16"/>
              </w:rPr>
            </w:pPr>
            <w:r w:rsidRPr="00CD4D9D">
              <w:rPr>
                <w:rFonts w:ascii="Verdana" w:eastAsia="Arial" w:hAnsi="Verdana" w:cs="Arial"/>
                <w:sz w:val="16"/>
                <w:szCs w:val="16"/>
              </w:rPr>
              <w:t>Kevin Arlid Herrera Santa</w:t>
            </w:r>
          </w:p>
          <w:p w14:paraId="2E1AE1DA" w14:textId="77777777" w:rsidR="00CD4D9D" w:rsidRPr="00CD4D9D" w:rsidRDefault="00CD4D9D" w:rsidP="00CD4D9D">
            <w:pPr>
              <w:rPr>
                <w:rFonts w:ascii="Verdana" w:eastAsia="Arial" w:hAnsi="Verdana" w:cs="Arial"/>
                <w:sz w:val="16"/>
                <w:szCs w:val="16"/>
              </w:rPr>
            </w:pPr>
            <w:r w:rsidRPr="00CD4D9D">
              <w:rPr>
                <w:rFonts w:ascii="Verdana" w:eastAsia="Arial" w:hAnsi="Verdana" w:cs="Arial"/>
                <w:sz w:val="16"/>
                <w:szCs w:val="16"/>
              </w:rPr>
              <w:t>Contratista de la Subdirección de Gestión Contractual</w:t>
            </w:r>
          </w:p>
        </w:tc>
      </w:tr>
      <w:tr w:rsidR="00CD4D9D" w:rsidRPr="00CD4D9D" w14:paraId="3598D68E" w14:textId="77777777" w:rsidTr="008A5AA7">
        <w:trPr>
          <w:trHeight w:val="330"/>
        </w:trPr>
        <w:tc>
          <w:tcPr>
            <w:tcW w:w="893" w:type="dxa"/>
            <w:vAlign w:val="center"/>
            <w:hideMark/>
          </w:tcPr>
          <w:p w14:paraId="2522F53D" w14:textId="77777777" w:rsidR="00CD4D9D" w:rsidRPr="00CD4D9D" w:rsidRDefault="00CD4D9D" w:rsidP="00CD4D9D">
            <w:pPr>
              <w:rPr>
                <w:rFonts w:ascii="Verdana" w:eastAsia="Calibri" w:hAnsi="Verdana" w:cs="Arial"/>
                <w:sz w:val="16"/>
                <w:szCs w:val="16"/>
                <w:lang w:val="es-ES" w:eastAsia="es-ES"/>
              </w:rPr>
            </w:pPr>
            <w:r w:rsidRPr="00CD4D9D">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4926ECB7" w14:textId="77777777" w:rsidR="00CD4D9D" w:rsidRPr="00CD4D9D" w:rsidRDefault="00CD4D9D" w:rsidP="00CD4D9D">
            <w:pPr>
              <w:textAlignment w:val="baseline"/>
              <w:rPr>
                <w:rFonts w:ascii="Verdana" w:eastAsia="Times New Roman" w:hAnsi="Verdana" w:cs="Segoe UI"/>
                <w:sz w:val="16"/>
                <w:szCs w:val="16"/>
                <w:lang w:eastAsia="es-ES_tradnl"/>
              </w:rPr>
            </w:pPr>
            <w:r w:rsidRPr="00CD4D9D">
              <w:rPr>
                <w:rFonts w:ascii="Verdana" w:eastAsia="Times New Roman" w:hAnsi="Verdana" w:cs="Segoe UI"/>
                <w:sz w:val="16"/>
                <w:szCs w:val="16"/>
                <w:lang w:eastAsia="es-ES_tradnl"/>
              </w:rPr>
              <w:t>Juan David Cárdenas Cabeza</w:t>
            </w:r>
          </w:p>
          <w:p w14:paraId="75541439" w14:textId="77777777" w:rsidR="00CD4D9D" w:rsidRPr="00CD4D9D" w:rsidRDefault="00CD4D9D" w:rsidP="00CD4D9D">
            <w:pPr>
              <w:textAlignment w:val="baseline"/>
              <w:rPr>
                <w:rFonts w:ascii="Verdana" w:eastAsia="Times New Roman" w:hAnsi="Verdana" w:cs="Segoe UI"/>
                <w:sz w:val="16"/>
                <w:szCs w:val="16"/>
                <w:lang w:eastAsia="es-ES_tradnl"/>
              </w:rPr>
            </w:pPr>
            <w:r w:rsidRPr="00CD4D9D">
              <w:rPr>
                <w:rFonts w:ascii="Verdana" w:eastAsia="Times New Roman" w:hAnsi="Verdana" w:cs="Arial"/>
                <w:sz w:val="16"/>
                <w:szCs w:val="16"/>
                <w:lang w:val="es-ES" w:eastAsia="es-ES_tradnl"/>
              </w:rPr>
              <w:t>Contratista de la Subdirección de Gestión Contractual</w:t>
            </w:r>
            <w:r w:rsidRPr="00CD4D9D">
              <w:rPr>
                <w:rFonts w:ascii="Verdana" w:eastAsia="Times New Roman" w:hAnsi="Verdana" w:cs="Arial"/>
                <w:sz w:val="16"/>
                <w:szCs w:val="16"/>
                <w:lang w:eastAsia="es-ES_tradnl"/>
              </w:rPr>
              <w:t> </w:t>
            </w:r>
          </w:p>
        </w:tc>
      </w:tr>
      <w:tr w:rsidR="00CD4D9D" w:rsidRPr="00CD4D9D" w14:paraId="2E5719C3" w14:textId="77777777" w:rsidTr="008A5AA7">
        <w:trPr>
          <w:trHeight w:val="300"/>
        </w:trPr>
        <w:tc>
          <w:tcPr>
            <w:tcW w:w="893" w:type="dxa"/>
            <w:vAlign w:val="center"/>
          </w:tcPr>
          <w:p w14:paraId="436BC533" w14:textId="77777777" w:rsidR="00CD4D9D" w:rsidRPr="00CD4D9D" w:rsidRDefault="00CD4D9D" w:rsidP="00CD4D9D">
            <w:pPr>
              <w:rPr>
                <w:rFonts w:ascii="Verdana" w:eastAsia="Calibri" w:hAnsi="Verdana" w:cs="Arial"/>
                <w:sz w:val="16"/>
                <w:szCs w:val="16"/>
                <w:lang w:val="es-ES" w:eastAsia="es-ES"/>
              </w:rPr>
            </w:pPr>
            <w:r w:rsidRPr="00CD4D9D">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18791789" w14:textId="77777777" w:rsidR="00CD4D9D" w:rsidRPr="00CD4D9D" w:rsidRDefault="00CD4D9D" w:rsidP="00CD4D9D">
            <w:pPr>
              <w:rPr>
                <w:rFonts w:ascii="Verdana" w:eastAsia="Calibri" w:hAnsi="Verdana" w:cs="Arial"/>
                <w:sz w:val="16"/>
                <w:szCs w:val="16"/>
                <w:lang w:val="pt-BR" w:eastAsia="es-ES"/>
              </w:rPr>
            </w:pPr>
            <w:r w:rsidRPr="00CD4D9D">
              <w:rPr>
                <w:rFonts w:ascii="Verdana" w:eastAsia="Calibri" w:hAnsi="Verdana" w:cs="Arial"/>
                <w:sz w:val="16"/>
                <w:szCs w:val="16"/>
                <w:lang w:val="pt-BR" w:eastAsia="es-ES"/>
              </w:rPr>
              <w:t>Carolina Quintero Gacharná</w:t>
            </w:r>
          </w:p>
          <w:p w14:paraId="7888ACB8" w14:textId="77777777" w:rsidR="00CD4D9D" w:rsidRPr="00CD4D9D" w:rsidRDefault="00CD4D9D" w:rsidP="00CD4D9D">
            <w:pPr>
              <w:rPr>
                <w:rFonts w:ascii="Verdana" w:eastAsia="Calibri" w:hAnsi="Verdana" w:cs="Arial"/>
                <w:sz w:val="16"/>
                <w:szCs w:val="16"/>
                <w:lang w:val="pt-BR" w:eastAsia="es-ES"/>
              </w:rPr>
            </w:pPr>
            <w:r w:rsidRPr="00CD4D9D">
              <w:rPr>
                <w:rFonts w:ascii="Verdana" w:eastAsia="Calibri" w:hAnsi="Verdana" w:cs="Arial"/>
                <w:sz w:val="16"/>
                <w:szCs w:val="16"/>
                <w:lang w:eastAsia="es-ES"/>
              </w:rPr>
              <w:t>Subdirectora</w:t>
            </w:r>
            <w:r w:rsidRPr="00CD4D9D">
              <w:rPr>
                <w:rFonts w:ascii="Verdana" w:eastAsia="Calibri" w:hAnsi="Verdana" w:cs="Arial"/>
                <w:sz w:val="16"/>
                <w:szCs w:val="16"/>
                <w:lang w:val="pt-BR" w:eastAsia="es-ES"/>
              </w:rPr>
              <w:t xml:space="preserve"> de Gestión Contratual ANCP – CCE</w:t>
            </w:r>
          </w:p>
        </w:tc>
      </w:tr>
    </w:tbl>
    <w:p w14:paraId="5E841EB0" w14:textId="77777777" w:rsidR="00CD4D9D" w:rsidRPr="00CD4D9D" w:rsidRDefault="00CD4D9D" w:rsidP="00CD4D9D">
      <w:pPr>
        <w:spacing w:after="0"/>
        <w:rPr>
          <w:rFonts w:ascii="Verdana" w:eastAsia="Calibri" w:hAnsi="Verdana" w:cs="Times New Roman"/>
        </w:rPr>
      </w:pPr>
    </w:p>
    <w:p w14:paraId="0D9A1F68" w14:textId="77777777" w:rsidR="00CD4D9D" w:rsidRPr="00CD4D9D" w:rsidRDefault="00CD4D9D" w:rsidP="00CD4D9D">
      <w:pPr>
        <w:spacing w:line="278" w:lineRule="auto"/>
        <w:rPr>
          <w:rFonts w:ascii="Aptos" w:eastAsia="Aptos" w:hAnsi="Aptos" w:cs="Times New Roman"/>
          <w:kern w:val="2"/>
          <w:sz w:val="24"/>
          <w:szCs w:val="24"/>
          <w14:ligatures w14:val="standardContextual"/>
        </w:rPr>
      </w:pPr>
    </w:p>
    <w:p w14:paraId="21C4051F" w14:textId="6CB3879C"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p>
    <w:p w14:paraId="78053B45" w14:textId="77777777" w:rsidR="00322A85" w:rsidRPr="0044528D" w:rsidRDefault="00322A85" w:rsidP="00322A85">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0F293BF4" w14:textId="7BBFAB11" w:rsidR="00127233" w:rsidRPr="0044528D" w:rsidRDefault="00127233" w:rsidP="00665D70">
      <w:pPr>
        <w:spacing w:after="0"/>
        <w:jc w:val="both"/>
        <w:rPr>
          <w:rFonts w:ascii="Verdana" w:hAnsi="Verdana"/>
        </w:rPr>
      </w:pPr>
    </w:p>
    <w:sectPr w:rsidR="00127233" w:rsidRPr="0044528D"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1C18C" w14:textId="77777777" w:rsidR="00F62C84" w:rsidRDefault="00F62C84" w:rsidP="004A1847">
      <w:pPr>
        <w:spacing w:after="0" w:line="240" w:lineRule="auto"/>
      </w:pPr>
      <w:r>
        <w:separator/>
      </w:r>
    </w:p>
  </w:endnote>
  <w:endnote w:type="continuationSeparator" w:id="0">
    <w:p w14:paraId="590B7C4D" w14:textId="77777777" w:rsidR="00F62C84" w:rsidRDefault="00F62C84" w:rsidP="004A1847">
      <w:pPr>
        <w:spacing w:after="0" w:line="240" w:lineRule="auto"/>
      </w:pPr>
      <w:r>
        <w:continuationSeparator/>
      </w:r>
    </w:p>
  </w:endnote>
  <w:endnote w:type="continuationNotice" w:id="1">
    <w:p w14:paraId="7EDF1B77" w14:textId="77777777" w:rsidR="00F62C84" w:rsidRDefault="00F62C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Calibri">
    <w:altName w:val="Arial"/>
    <w:panose1 w:val="020B0604020202020204"/>
    <w:charset w:val="00"/>
    <w:family w:val="roman"/>
    <w:pitch w:val="default"/>
  </w:font>
  <w:font w:name="Arial,Times New Roman">
    <w:altName w:val="Arial"/>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7D8FD" w14:textId="77777777" w:rsidR="00F62C84" w:rsidRDefault="00F62C84" w:rsidP="004A1847">
      <w:pPr>
        <w:spacing w:after="0" w:line="240" w:lineRule="auto"/>
      </w:pPr>
      <w:r>
        <w:separator/>
      </w:r>
    </w:p>
  </w:footnote>
  <w:footnote w:type="continuationSeparator" w:id="0">
    <w:p w14:paraId="78EB50F8" w14:textId="77777777" w:rsidR="00F62C84" w:rsidRDefault="00F62C84" w:rsidP="004A1847">
      <w:pPr>
        <w:spacing w:after="0" w:line="240" w:lineRule="auto"/>
      </w:pPr>
      <w:r>
        <w:continuationSeparator/>
      </w:r>
    </w:p>
  </w:footnote>
  <w:footnote w:type="continuationNotice" w:id="1">
    <w:p w14:paraId="48F7CC03" w14:textId="77777777" w:rsidR="00F62C84" w:rsidRDefault="00F62C84">
      <w:pPr>
        <w:spacing w:after="0" w:line="240" w:lineRule="auto"/>
      </w:pPr>
    </w:p>
  </w:footnote>
  <w:footnote w:id="2">
    <w:p w14:paraId="212D1C52" w14:textId="77777777" w:rsidR="00CD4D9D" w:rsidRPr="00764E8B" w:rsidRDefault="00CD4D9D" w:rsidP="00CD4D9D">
      <w:pPr>
        <w:pStyle w:val="Textonotapie"/>
        <w:ind w:firstLine="709"/>
        <w:jc w:val="both"/>
        <w:rPr>
          <w:rFonts w:ascii="Verdana" w:hAnsi="Verdana" w:cs="Arial"/>
          <w:sz w:val="16"/>
          <w:szCs w:val="16"/>
        </w:rPr>
      </w:pPr>
      <w:r w:rsidRPr="00764E8B">
        <w:rPr>
          <w:rStyle w:val="Refdenotaalpie"/>
          <w:rFonts w:ascii="Verdana" w:hAnsi="Verdana" w:cs="Arial"/>
          <w:sz w:val="16"/>
          <w:szCs w:val="16"/>
        </w:rPr>
        <w:footnoteRef/>
      </w:r>
      <w:bookmarkStart w:id="4" w:name="_Hlk62047233"/>
      <w:r w:rsidRPr="00764E8B">
        <w:rPr>
          <w:rFonts w:ascii="Verdana" w:hAnsi="Verdana" w:cs="Arial"/>
          <w:sz w:val="16"/>
          <w:szCs w:val="16"/>
        </w:rPr>
        <w:t xml:space="preserve"> Documento Base: </w:t>
      </w:r>
      <w:bookmarkEnd w:id="4"/>
      <w:r w:rsidRPr="00764E8B">
        <w:rPr>
          <w:rFonts w:ascii="Verdana" w:hAnsi="Verdana" w:cs="Arial"/>
          <w:sz w:val="16"/>
          <w:szCs w:val="16"/>
        </w:rPr>
        <w:t>“4.1.4. DETERMINACIÓN DEL MÉTODO PARA LA PONDERACIÓN DE LA PROPUESTA ECONÓMICA</w:t>
      </w:r>
    </w:p>
    <w:p w14:paraId="5AA435DA" w14:textId="77777777" w:rsidR="00CD4D9D" w:rsidRPr="00764E8B" w:rsidRDefault="00CD4D9D" w:rsidP="00CD4D9D">
      <w:pPr>
        <w:pStyle w:val="Textonotapie"/>
        <w:ind w:firstLine="709"/>
        <w:jc w:val="both"/>
        <w:rPr>
          <w:rFonts w:ascii="Verdana" w:hAnsi="Verdana" w:cs="Arial"/>
          <w:sz w:val="16"/>
          <w:szCs w:val="16"/>
        </w:rPr>
      </w:pPr>
      <w:r w:rsidRPr="00764E8B">
        <w:rPr>
          <w:rFonts w:ascii="Verdana" w:hAnsi="Verdana" w:cs="Arial"/>
          <w:sz w:val="16"/>
          <w:szCs w:val="16"/>
        </w:rPr>
        <w:t>[…]</w:t>
      </w:r>
    </w:p>
    <w:p w14:paraId="68B2D1A5" w14:textId="77777777" w:rsidR="00CD4D9D" w:rsidRPr="00764E8B" w:rsidRDefault="00CD4D9D" w:rsidP="00CD4D9D">
      <w:pPr>
        <w:pStyle w:val="Textonotapie"/>
        <w:ind w:firstLine="709"/>
        <w:jc w:val="both"/>
        <w:rPr>
          <w:rFonts w:ascii="Verdana" w:hAnsi="Verdana" w:cs="Arial"/>
          <w:sz w:val="16"/>
          <w:szCs w:val="16"/>
        </w:rPr>
      </w:pPr>
      <w:r w:rsidRPr="00764E8B">
        <w:rPr>
          <w:rFonts w:ascii="Verdana" w:hAnsi="Verdana" w:cs="Arial"/>
          <w:sz w:val="16"/>
          <w:szCs w:val="16"/>
        </w:rPr>
        <w:t>Para determinar el método de ponderación, la entidad tomará los centavos de la Tasa de Cambio Representativa del Mercado (TRM), certificada por la Superintendencia Financiera de Colombia (en su sitio web: https://www.superfinanciera.gov.co/publicacion/60819).</w:t>
      </w:r>
    </w:p>
    <w:p w14:paraId="2F21A4E6" w14:textId="77777777" w:rsidR="00CD4D9D" w:rsidRPr="00764E8B" w:rsidRDefault="00CD4D9D" w:rsidP="00CD4D9D">
      <w:pPr>
        <w:pStyle w:val="Textonotapie"/>
        <w:ind w:firstLine="709"/>
        <w:jc w:val="both"/>
        <w:rPr>
          <w:rFonts w:ascii="Verdana" w:hAnsi="Verdana" w:cs="Arial"/>
          <w:sz w:val="16"/>
          <w:szCs w:val="16"/>
        </w:rPr>
      </w:pPr>
      <w:r w:rsidRPr="00764E8B">
        <w:rPr>
          <w:rFonts w:ascii="Verdana" w:hAnsi="Verdana" w:cs="Arial"/>
          <w:sz w:val="16"/>
          <w:szCs w:val="16"/>
        </w:rPr>
        <w:t xml:space="preserve">El día de la audiencia efectiva de adjudicación, la entidad iniciará respondiendo y resolviendo las observaciones presentadas al informe de evaluación, de conformidad con el numeral 2.6. Acto seguido, la entidad iniciará la apertura de los sobres de las ofertas económicas y definirá el método de ponderación de las propuestas de acuerdo con la TRM que rija al día hábil siguiente; sin embargo, la entidad debe finalizar la apertura de los sobres económicos hasta antes de las 3:00 pm. De conformidad con lo anterior, la entidad no podrá abrir los sobres económicos teniendo conocimiento de la TRM que regirá al día hábil siguiente. En este sentido, atendiendo a las circunstancias anteriores y las particularidades de cada caso, la entidad podrá optar por suspender la audiencia y reiniciarla cuando lo considere conveniente, de manera que inicie y finalice la apertura de los sobres antes de las 3:00 pm del día respectivo. </w:t>
      </w:r>
    </w:p>
    <w:p w14:paraId="38BFCBFE" w14:textId="77777777" w:rsidR="00CD4D9D" w:rsidRPr="00764E8B" w:rsidRDefault="00CD4D9D" w:rsidP="00CD4D9D">
      <w:pPr>
        <w:pStyle w:val="Textonotapie"/>
        <w:ind w:firstLine="709"/>
        <w:jc w:val="both"/>
        <w:rPr>
          <w:rFonts w:ascii="Verdana" w:hAnsi="Verdana" w:cs="Arial"/>
          <w:sz w:val="16"/>
          <w:szCs w:val="16"/>
        </w:rPr>
      </w:pPr>
      <w:r w:rsidRPr="00764E8B">
        <w:rPr>
          <w:rFonts w:ascii="Verdana" w:hAnsi="Verdana" w:cs="Arial"/>
          <w:sz w:val="16"/>
          <w:szCs w:val="16"/>
        </w:rPr>
        <w:t xml:space="preserve">En el evento que la entidad deba suspender la audiencia por cualquier motivo, se tendrá como método de ponderación el que rija el día hábil siguiente del día en que efectivamente realice la apertura del segundo sobre. </w:t>
      </w:r>
    </w:p>
    <w:p w14:paraId="3101B135" w14:textId="77777777" w:rsidR="00CD4D9D" w:rsidRPr="00764E8B" w:rsidRDefault="00CD4D9D" w:rsidP="00CD4D9D">
      <w:pPr>
        <w:pStyle w:val="Textonotapie"/>
        <w:ind w:firstLine="709"/>
        <w:jc w:val="both"/>
        <w:rPr>
          <w:rFonts w:ascii="Verdana" w:hAnsi="Verdana" w:cs="Arial"/>
          <w:sz w:val="16"/>
          <w:szCs w:val="16"/>
        </w:rPr>
      </w:pPr>
      <w:r w:rsidRPr="00764E8B">
        <w:rPr>
          <w:rFonts w:ascii="Verdana" w:hAnsi="Verdana" w:cs="Arial"/>
          <w:sz w:val="16"/>
          <w:szCs w:val="16"/>
        </w:rPr>
        <w:t xml:space="preserve">En cualquiera de los supuestos señalados, la entidad debe iniciar y agotar la apertura de los sobres económicos y la definición del método de ponderación en un mismo día hasta antes de las 3:00 pm. Igualmente, el método definido el día de la apertura del sobre económico seguirá rigiendo aun cuando la entidad deba suspender la audiencia. </w:t>
      </w:r>
    </w:p>
    <w:p w14:paraId="28F8013E" w14:textId="77777777" w:rsidR="00CD4D9D" w:rsidRPr="00764E8B" w:rsidRDefault="00CD4D9D" w:rsidP="00CD4D9D">
      <w:pPr>
        <w:pStyle w:val="Textonotapie"/>
        <w:ind w:firstLine="709"/>
        <w:jc w:val="both"/>
        <w:rPr>
          <w:rFonts w:ascii="Verdana" w:hAnsi="Verdana" w:cs="Arial"/>
          <w:sz w:val="16"/>
          <w:szCs w:val="16"/>
        </w:rPr>
      </w:pPr>
      <w:r w:rsidRPr="00764E8B">
        <w:rPr>
          <w:rFonts w:ascii="Verdana" w:hAnsi="Verdana" w:cs="Arial"/>
          <w:sz w:val="16"/>
          <w:szCs w:val="16"/>
        </w:rPr>
        <w:t>Para mayor claridad y, de acuerdo con lo indicado, la TRM que la entidad utilizará para determinar el método de ponderación será la que rija el día hábil siguiente del día en que efectivamente sea la apertura del segundo sobre. Esto es, la que la Superintendencia Financiera publique en horas de la tarde el día de la apertura del segundo sobre. [Por ejemplo, si la audiencia de adjudicación se realiza el 10 de febrero de 2020 y ese mismo día se abre el segundo sobre, la TRM que se usará para determinar el método de evaluación será la del 11 de febrero de 2020, que se publica en la tarde del 10 de febrero de 2020].</w:t>
      </w:r>
    </w:p>
    <w:p w14:paraId="4D5469D6" w14:textId="77777777" w:rsidR="00CD4D9D" w:rsidRPr="00764E8B" w:rsidRDefault="00CD4D9D" w:rsidP="00CD4D9D">
      <w:pPr>
        <w:spacing w:after="0" w:line="240" w:lineRule="auto"/>
        <w:ind w:firstLine="709"/>
        <w:jc w:val="both"/>
        <w:rPr>
          <w:rFonts w:ascii="Verdana" w:hAnsi="Verdana" w:cs="Arial"/>
          <w:sz w:val="16"/>
          <w:szCs w:val="16"/>
        </w:rPr>
      </w:pPr>
      <w:r w:rsidRPr="00764E8B">
        <w:rPr>
          <w:rFonts w:ascii="Verdana" w:hAnsi="Verdana" w:cs="Arial"/>
          <w:sz w:val="16"/>
          <w:szCs w:val="16"/>
        </w:rPr>
        <w:t>[…]”</w:t>
      </w:r>
    </w:p>
  </w:footnote>
  <w:footnote w:id="3">
    <w:p w14:paraId="3A6D0711" w14:textId="77777777" w:rsidR="00CD4D9D" w:rsidRPr="00764E8B" w:rsidRDefault="00CD4D9D" w:rsidP="00CD4D9D">
      <w:pPr>
        <w:pStyle w:val="Textonotapie"/>
        <w:ind w:firstLine="709"/>
        <w:jc w:val="both"/>
        <w:rPr>
          <w:rFonts w:ascii="Verdana" w:hAnsi="Verdana" w:cs="Arial"/>
          <w:color w:val="000000"/>
          <w:sz w:val="16"/>
          <w:szCs w:val="16"/>
        </w:rPr>
      </w:pPr>
      <w:r w:rsidRPr="00764E8B">
        <w:rPr>
          <w:rStyle w:val="Refdenotaalpie"/>
          <w:rFonts w:ascii="Verdana" w:hAnsi="Verdana" w:cs="Arial"/>
          <w:color w:val="000000"/>
          <w:sz w:val="16"/>
          <w:szCs w:val="16"/>
        </w:rPr>
        <w:footnoteRef/>
      </w:r>
      <w:r w:rsidRPr="00764E8B">
        <w:rPr>
          <w:rFonts w:ascii="Verdana" w:hAnsi="Verdana" w:cs="Arial"/>
          <w:color w:val="000000"/>
          <w:sz w:val="16"/>
          <w:szCs w:val="16"/>
        </w:rPr>
        <w:t xml:space="preserve"> BANCO DE LA REPÚBLICA. Circular Reglamentaria Externa – DOAM- 146 de 4 de noviembre de 2020. </w:t>
      </w:r>
    </w:p>
    <w:p w14:paraId="03B4E63B" w14:textId="77777777" w:rsidR="00CD4D9D" w:rsidRPr="00764E8B" w:rsidRDefault="00CD4D9D" w:rsidP="00CD4D9D">
      <w:pPr>
        <w:pStyle w:val="Textonotapie"/>
        <w:ind w:firstLine="709"/>
        <w:jc w:val="both"/>
        <w:rPr>
          <w:rFonts w:ascii="Verdana" w:hAnsi="Verdana" w:cs="Arial"/>
          <w:color w:val="000000"/>
          <w:sz w:val="16"/>
          <w:szCs w:val="16"/>
        </w:rPr>
      </w:pPr>
    </w:p>
  </w:footnote>
  <w:footnote w:id="4">
    <w:p w14:paraId="4DF10ABF" w14:textId="77777777" w:rsidR="00CD4D9D" w:rsidRPr="00764E8B" w:rsidRDefault="00CD4D9D" w:rsidP="00CD4D9D">
      <w:pPr>
        <w:pStyle w:val="Textonotapie"/>
        <w:ind w:firstLine="709"/>
        <w:jc w:val="both"/>
        <w:rPr>
          <w:rFonts w:ascii="Verdana" w:hAnsi="Verdana" w:cs="Arial"/>
          <w:color w:val="000000"/>
          <w:sz w:val="16"/>
          <w:szCs w:val="16"/>
        </w:rPr>
      </w:pPr>
      <w:r w:rsidRPr="00764E8B">
        <w:rPr>
          <w:rStyle w:val="Refdenotaalpie"/>
          <w:rFonts w:ascii="Verdana" w:hAnsi="Verdana" w:cs="Arial"/>
          <w:color w:val="000000"/>
          <w:sz w:val="16"/>
          <w:szCs w:val="16"/>
        </w:rPr>
        <w:footnoteRef/>
      </w:r>
      <w:r w:rsidRPr="00764E8B">
        <w:rPr>
          <w:rFonts w:ascii="Verdana" w:hAnsi="Verdana" w:cs="Arial"/>
          <w:color w:val="000000"/>
          <w:sz w:val="16"/>
          <w:szCs w:val="16"/>
        </w:rPr>
        <w:t xml:space="preserve"> BANCO DE LA REPÚBLICA. Disponible en línea: </w:t>
      </w:r>
      <w:hyperlink r:id="rId1" w:history="1">
        <w:r w:rsidRPr="00764E8B">
          <w:rPr>
            <w:rStyle w:val="Hipervnculo"/>
            <w:rFonts w:ascii="Verdana" w:hAnsi="Verdana" w:cs="Arial"/>
            <w:color w:val="000000"/>
            <w:sz w:val="16"/>
            <w:szCs w:val="16"/>
          </w:rPr>
          <w:t>https://www.banrep.gov.co/es/estadisticas/trm</w:t>
        </w:r>
      </w:hyperlink>
      <w:r w:rsidRPr="00764E8B">
        <w:rPr>
          <w:rStyle w:val="Hipervnculo"/>
          <w:rFonts w:ascii="Verdana" w:hAnsi="Verdana" w:cs="Arial"/>
          <w:color w:val="000000"/>
          <w:sz w:val="16"/>
          <w:szCs w:val="16"/>
        </w:rPr>
        <w:t>. Consultado el 5 de agosto de 2024.</w:t>
      </w:r>
    </w:p>
  </w:footnote>
  <w:footnote w:id="5">
    <w:p w14:paraId="33362CC3" w14:textId="77777777" w:rsidR="00CD4D9D" w:rsidRPr="00764E8B" w:rsidRDefault="00CD4D9D" w:rsidP="00CD4D9D">
      <w:pPr>
        <w:pStyle w:val="Ttulo21"/>
        <w:spacing w:before="0" w:after="0" w:line="240" w:lineRule="auto"/>
        <w:ind w:firstLine="709"/>
        <w:jc w:val="both"/>
        <w:rPr>
          <w:rFonts w:ascii="Verdana" w:hAnsi="Verdana" w:cs="Arial"/>
          <w:color w:val="auto"/>
          <w:sz w:val="16"/>
          <w:szCs w:val="16"/>
        </w:rPr>
      </w:pPr>
      <w:r w:rsidRPr="00764E8B">
        <w:rPr>
          <w:rStyle w:val="Refdenotaalpie"/>
          <w:rFonts w:ascii="Verdana" w:hAnsi="Verdana" w:cs="Arial"/>
          <w:b/>
          <w:bCs/>
          <w:color w:val="auto"/>
          <w:sz w:val="16"/>
          <w:szCs w:val="16"/>
        </w:rPr>
        <w:footnoteRef/>
      </w:r>
      <w:r w:rsidRPr="00764E8B">
        <w:rPr>
          <w:rFonts w:ascii="Verdana" w:hAnsi="Verdana" w:cs="Arial"/>
          <w:b/>
          <w:bCs/>
          <w:color w:val="auto"/>
          <w:sz w:val="16"/>
          <w:szCs w:val="16"/>
        </w:rPr>
        <w:t xml:space="preserve"> </w:t>
      </w:r>
      <w:r w:rsidRPr="00764E8B">
        <w:rPr>
          <w:rFonts w:ascii="Verdana" w:hAnsi="Verdana" w:cs="Arial"/>
          <w:color w:val="auto"/>
          <w:sz w:val="16"/>
          <w:szCs w:val="16"/>
        </w:rPr>
        <w:t xml:space="preserve">Documento Base: “2.4. </w:t>
      </w:r>
      <w:bookmarkStart w:id="5" w:name="_Toc57727263"/>
      <w:r w:rsidRPr="00764E8B">
        <w:rPr>
          <w:rFonts w:ascii="Verdana" w:hAnsi="Verdana" w:cs="Arial"/>
          <w:caps/>
          <w:color w:val="auto"/>
          <w:sz w:val="16"/>
          <w:szCs w:val="16"/>
        </w:rPr>
        <w:t>CIERRE DEL PROCESO Y APERTURA DE OFERTAS</w:t>
      </w:r>
      <w:bookmarkEnd w:id="5"/>
    </w:p>
    <w:p w14:paraId="405FF37B" w14:textId="77777777" w:rsidR="00CD4D9D" w:rsidRPr="00764E8B" w:rsidRDefault="00CD4D9D" w:rsidP="00CD4D9D">
      <w:pPr>
        <w:spacing w:after="0" w:line="240" w:lineRule="auto"/>
        <w:ind w:firstLine="709"/>
        <w:jc w:val="both"/>
        <w:rPr>
          <w:rFonts w:ascii="Verdana" w:hAnsi="Verdana"/>
          <w:sz w:val="16"/>
          <w:szCs w:val="16"/>
          <w:lang w:val="es-MX"/>
        </w:rPr>
      </w:pPr>
      <w:r w:rsidRPr="00764E8B">
        <w:rPr>
          <w:rFonts w:ascii="Verdana" w:hAnsi="Verdana"/>
          <w:sz w:val="16"/>
          <w:szCs w:val="16"/>
          <w:highlight w:val="lightGray"/>
          <w:lang w:val="es-MX"/>
        </w:rPr>
        <w:t>[Incluir para los procesos de contratación adelantados por SECOP I]</w:t>
      </w:r>
    </w:p>
    <w:p w14:paraId="3C0C89D4" w14:textId="77777777" w:rsidR="00CD4D9D" w:rsidRPr="00764E8B" w:rsidRDefault="00CD4D9D" w:rsidP="00CD4D9D">
      <w:pPr>
        <w:spacing w:after="0" w:line="240" w:lineRule="auto"/>
        <w:ind w:firstLine="709"/>
        <w:jc w:val="both"/>
        <w:rPr>
          <w:rFonts w:ascii="Verdana" w:hAnsi="Verdana" w:cs="Arial"/>
          <w:sz w:val="16"/>
          <w:szCs w:val="16"/>
        </w:rPr>
      </w:pPr>
      <w:r w:rsidRPr="00764E8B">
        <w:rPr>
          <w:rFonts w:ascii="Verdana" w:hAnsi="Verdana" w:cs="Arial"/>
          <w:sz w:val="16"/>
          <w:szCs w:val="16"/>
        </w:rPr>
        <w:t>[…]</w:t>
      </w:r>
    </w:p>
    <w:p w14:paraId="4810632E" w14:textId="77777777" w:rsidR="00CD4D9D" w:rsidRPr="00764E8B" w:rsidRDefault="00CD4D9D" w:rsidP="00CD4D9D">
      <w:pPr>
        <w:spacing w:after="0" w:line="240" w:lineRule="auto"/>
        <w:ind w:firstLine="709"/>
        <w:jc w:val="both"/>
        <w:rPr>
          <w:rFonts w:ascii="Verdana" w:hAnsi="Verdana" w:cs="Arial"/>
          <w:sz w:val="16"/>
          <w:szCs w:val="16"/>
        </w:rPr>
      </w:pPr>
      <w:r w:rsidRPr="00764E8B">
        <w:rPr>
          <w:rFonts w:ascii="Verdana" w:hAnsi="Verdana" w:cs="Arial"/>
          <w:sz w:val="16"/>
          <w:szCs w:val="16"/>
        </w:rPr>
        <w:t xml:space="preserve">Un funcionario o contratista de la entidad verificará que el Sobre No. 2 de cada oferta esté sellado y requerirá a los asistentes a la diligencia de cierre para que firmen cada uno de ellos. Para generar confianza, al momento del cierre la entidad guardará en un sobre todos los sobres económicos, y éste lo firmarán quienes asistan al cierre, o los custodiará en una bolsa de seguridad, con el fin de que, al momento de su apertura en la audiencia efectiva de adjudicación se pueda verificar que los mismos no fueron alterados, cambiados o abiertos. La entidad custodiará en un lugar idóneo este sobre o la bolsa de seguridad para garantizar su seguridad. </w:t>
      </w:r>
    </w:p>
    <w:p w14:paraId="37B9BB65" w14:textId="77777777" w:rsidR="00CD4D9D" w:rsidRPr="00764E8B" w:rsidRDefault="00CD4D9D" w:rsidP="00CD4D9D">
      <w:pPr>
        <w:spacing w:after="0" w:line="240" w:lineRule="auto"/>
        <w:ind w:firstLine="709"/>
        <w:jc w:val="both"/>
        <w:rPr>
          <w:rFonts w:ascii="Verdana" w:hAnsi="Verdana" w:cs="Arial"/>
          <w:sz w:val="16"/>
          <w:szCs w:val="16"/>
        </w:rPr>
      </w:pPr>
      <w:r w:rsidRPr="00764E8B">
        <w:rPr>
          <w:rFonts w:ascii="Verdana" w:hAnsi="Verdana" w:cs="Arial"/>
          <w:sz w:val="16"/>
          <w:szCs w:val="16"/>
        </w:rPr>
        <w:t xml:space="preserve">En la apertura del Sobre No. 2, la entidad estatal permitirá tomar fotos a las ofertas económicas, si así lo solicita cualquier proponente.  </w:t>
      </w:r>
    </w:p>
    <w:p w14:paraId="6B56E9CE" w14:textId="77777777" w:rsidR="00CD4D9D" w:rsidRPr="00764E8B" w:rsidRDefault="00CD4D9D" w:rsidP="00CD4D9D">
      <w:pPr>
        <w:spacing w:after="0" w:line="240" w:lineRule="auto"/>
        <w:ind w:firstLine="709"/>
        <w:jc w:val="both"/>
        <w:rPr>
          <w:rFonts w:ascii="Verdana" w:hAnsi="Verdana" w:cs="Arial"/>
          <w:sz w:val="16"/>
          <w:szCs w:val="16"/>
        </w:rPr>
      </w:pPr>
      <w:r w:rsidRPr="00764E8B">
        <w:rPr>
          <w:rFonts w:ascii="Verdana" w:hAnsi="Verdana" w:cs="Arial"/>
          <w:sz w:val="16"/>
          <w:szCs w:val="16"/>
        </w:rPr>
        <w:t>[…]”</w:t>
      </w:r>
    </w:p>
    <w:p w14:paraId="0054750F" w14:textId="77777777" w:rsidR="00CD4D9D" w:rsidRPr="00764E8B" w:rsidRDefault="00CD4D9D" w:rsidP="00CD4D9D">
      <w:pPr>
        <w:spacing w:after="0" w:line="240" w:lineRule="auto"/>
        <w:ind w:firstLine="709"/>
        <w:jc w:val="both"/>
        <w:rPr>
          <w:rFonts w:ascii="Verdana" w:hAnsi="Verdana" w:cs="Arial"/>
          <w:sz w:val="16"/>
          <w:szCs w:val="16"/>
        </w:rPr>
      </w:pPr>
      <w:r w:rsidRPr="00764E8B">
        <w:rPr>
          <w:rFonts w:ascii="Verdana" w:hAnsi="Verdana" w:cs="Arial"/>
          <w:sz w:val="16"/>
          <w:szCs w:val="16"/>
        </w:rPr>
        <w:t>“2.6.</w:t>
      </w:r>
      <w:r w:rsidRPr="00764E8B">
        <w:rPr>
          <w:rFonts w:ascii="Verdana" w:hAnsi="Verdana" w:cs="Arial"/>
          <w:sz w:val="16"/>
          <w:szCs w:val="16"/>
        </w:rPr>
        <w:tab/>
        <w:t>AUDIENCIA EFECTIVA DE ADJUDICACIÓN</w:t>
      </w:r>
    </w:p>
    <w:p w14:paraId="431B5F3F" w14:textId="77777777" w:rsidR="00CD4D9D" w:rsidRPr="00764E8B" w:rsidRDefault="00CD4D9D" w:rsidP="00CD4D9D">
      <w:pPr>
        <w:spacing w:after="0" w:line="240" w:lineRule="auto"/>
        <w:ind w:firstLine="709"/>
        <w:jc w:val="both"/>
        <w:rPr>
          <w:rFonts w:ascii="Verdana" w:hAnsi="Verdana" w:cs="Arial"/>
          <w:sz w:val="16"/>
          <w:szCs w:val="16"/>
        </w:rPr>
      </w:pPr>
      <w:r w:rsidRPr="00764E8B">
        <w:rPr>
          <w:rFonts w:ascii="Verdana" w:hAnsi="Verdana" w:cs="Arial"/>
          <w:sz w:val="16"/>
          <w:szCs w:val="16"/>
        </w:rPr>
        <w:t>En la fecha establecida en el Anexo 2 – Cronograma, la entidad procederá a la instalación y desarrollo de la audiencia efectiva de adjudicación, sin perjuicio de la utilización de los medios virtuales que garanticen la participación y la interacción de los interesados con la entidad contratante.</w:t>
      </w:r>
    </w:p>
    <w:p w14:paraId="0C21C078" w14:textId="77777777" w:rsidR="00CD4D9D" w:rsidRPr="00764E8B" w:rsidRDefault="00CD4D9D" w:rsidP="00CD4D9D">
      <w:pPr>
        <w:spacing w:after="0" w:line="240" w:lineRule="auto"/>
        <w:ind w:firstLine="709"/>
        <w:jc w:val="both"/>
        <w:rPr>
          <w:rFonts w:ascii="Verdana" w:hAnsi="Verdana" w:cs="Arial"/>
          <w:sz w:val="16"/>
          <w:szCs w:val="16"/>
        </w:rPr>
      </w:pPr>
      <w:r w:rsidRPr="00764E8B">
        <w:rPr>
          <w:rFonts w:ascii="Verdana" w:hAnsi="Verdana" w:cs="Arial"/>
          <w:sz w:val="16"/>
          <w:szCs w:val="16"/>
        </w:rPr>
        <w:t xml:space="preserve">Al inicio de la audiencia, la entidad otorgará la palabra a los proponentes para presentar las observaciones al informe final de evaluación. Esta no podrá entenderse como una oportunidad adicional para aportar documentos o elementos que no hayan sido incorporados en el plazo definido en el numeral 1.6. Lo anterior, sin perjuicio de la potestad de la entidad de realizar las verificaciones que considere pertinentes para la adecuada selección del contratista. </w:t>
      </w:r>
    </w:p>
    <w:p w14:paraId="05E16F86" w14:textId="77777777" w:rsidR="00CD4D9D" w:rsidRPr="00764E8B" w:rsidRDefault="00CD4D9D" w:rsidP="00CD4D9D">
      <w:pPr>
        <w:spacing w:after="0" w:line="240" w:lineRule="auto"/>
        <w:ind w:firstLine="709"/>
        <w:jc w:val="both"/>
        <w:rPr>
          <w:rFonts w:ascii="Verdana" w:hAnsi="Verdana" w:cs="Arial"/>
          <w:sz w:val="16"/>
          <w:szCs w:val="16"/>
        </w:rPr>
      </w:pPr>
      <w:r w:rsidRPr="00764E8B">
        <w:rPr>
          <w:rFonts w:ascii="Verdana" w:hAnsi="Verdana" w:cs="Arial"/>
          <w:sz w:val="16"/>
          <w:szCs w:val="16"/>
        </w:rPr>
        <w:t xml:space="preserve">Resueltas las observaciones frente al informe de evaluación, en caso de que haya lugar a ello, la entidad procederá a dar apertura al Sobre 2 de los proponentes habilitados y evaluará la oferta económica a través del mecanismo escogido mediante el método aleatorio que resulte aplicable de conformidad con lo establecido en el numeral 4.1. del presente pliego de condiciones. Posteriormente, se correrá traslado a los proponentes habilitados solo para la revisión del aspecto económico y se definirá el orden de elegibilidad. </w:t>
      </w:r>
    </w:p>
    <w:p w14:paraId="34801670" w14:textId="77777777" w:rsidR="00CD4D9D" w:rsidRPr="00764E8B" w:rsidRDefault="00CD4D9D" w:rsidP="00CD4D9D">
      <w:pPr>
        <w:spacing w:after="0" w:line="240" w:lineRule="auto"/>
        <w:ind w:firstLine="709"/>
        <w:jc w:val="both"/>
        <w:rPr>
          <w:rFonts w:ascii="Verdana" w:hAnsi="Verdana" w:cs="Arial"/>
          <w:sz w:val="16"/>
          <w:szCs w:val="16"/>
        </w:rPr>
      </w:pPr>
      <w:r w:rsidRPr="00764E8B">
        <w:rPr>
          <w:rFonts w:ascii="Verdana" w:hAnsi="Verdana" w:cs="Arial"/>
          <w:sz w:val="16"/>
          <w:szCs w:val="16"/>
        </w:rPr>
        <w:t>El orden de elegibilidad se establecerá a través de la sumatoria de los puntajes obtenidos por las propuestas para cada uno de los criterios establecidos en el “CAPÍTULO IV” y ordenados de mayor a menor.</w:t>
      </w:r>
    </w:p>
    <w:p w14:paraId="30E9875A" w14:textId="77777777" w:rsidR="00CD4D9D" w:rsidRPr="00764E8B" w:rsidRDefault="00CD4D9D" w:rsidP="00CD4D9D">
      <w:pPr>
        <w:spacing w:after="0" w:line="240" w:lineRule="auto"/>
        <w:ind w:firstLine="709"/>
        <w:jc w:val="both"/>
        <w:rPr>
          <w:rFonts w:ascii="Verdana" w:hAnsi="Verdana" w:cs="Arial"/>
          <w:sz w:val="16"/>
          <w:szCs w:val="16"/>
        </w:rPr>
      </w:pPr>
      <w:r w:rsidRPr="00764E8B">
        <w:rPr>
          <w:rFonts w:ascii="Verdana" w:hAnsi="Verdana" w:cs="Arial"/>
          <w:sz w:val="16"/>
          <w:szCs w:val="16"/>
        </w:rPr>
        <w:t>[…]”</w:t>
      </w:r>
    </w:p>
    <w:p w14:paraId="09FA582C" w14:textId="77777777" w:rsidR="00CD4D9D" w:rsidRPr="00764E8B" w:rsidRDefault="00CD4D9D" w:rsidP="00CD4D9D">
      <w:pPr>
        <w:pStyle w:val="Textonotapie"/>
        <w:ind w:firstLine="709"/>
        <w:jc w:val="both"/>
        <w:rPr>
          <w:rFonts w:ascii="Verdana" w:hAnsi="Verdana" w:cs="Arial"/>
          <w:sz w:val="16"/>
          <w:szCs w:val="16"/>
        </w:rPr>
      </w:pPr>
    </w:p>
  </w:footnote>
  <w:footnote w:id="6">
    <w:p w14:paraId="6415469B" w14:textId="77777777" w:rsidR="00CD4D9D" w:rsidRPr="00764E8B" w:rsidRDefault="00CD4D9D" w:rsidP="00CD4D9D">
      <w:pPr>
        <w:spacing w:after="0" w:line="240" w:lineRule="auto"/>
        <w:ind w:firstLine="709"/>
        <w:jc w:val="both"/>
        <w:rPr>
          <w:rFonts w:ascii="Verdana" w:hAnsi="Verdana"/>
          <w:sz w:val="16"/>
          <w:szCs w:val="16"/>
        </w:rPr>
      </w:pPr>
      <w:r w:rsidRPr="00764E8B">
        <w:rPr>
          <w:rStyle w:val="Refdenotaalpie"/>
          <w:rFonts w:ascii="Verdana" w:hAnsi="Verdana"/>
          <w:sz w:val="16"/>
          <w:szCs w:val="16"/>
        </w:rPr>
        <w:footnoteRef/>
      </w:r>
      <w:r w:rsidRPr="00764E8B">
        <w:rPr>
          <w:rFonts w:ascii="Verdana" w:hAnsi="Verdana"/>
          <w:sz w:val="16"/>
          <w:szCs w:val="16"/>
        </w:rPr>
        <w:t xml:space="preserve"> Ley 80 de 1993: “Artículo 26. Del Principio de Responsabilidad. En virtud de este principio:</w:t>
      </w:r>
    </w:p>
    <w:p w14:paraId="1F42921C" w14:textId="77777777" w:rsidR="00CD4D9D" w:rsidRPr="00764E8B" w:rsidRDefault="00CD4D9D" w:rsidP="00CD4D9D">
      <w:pPr>
        <w:spacing w:after="0" w:line="240" w:lineRule="auto"/>
        <w:ind w:firstLine="709"/>
        <w:jc w:val="both"/>
        <w:rPr>
          <w:rFonts w:ascii="Verdana" w:hAnsi="Verdana"/>
          <w:sz w:val="16"/>
          <w:szCs w:val="16"/>
        </w:rPr>
      </w:pPr>
      <w:r w:rsidRPr="00764E8B">
        <w:rPr>
          <w:rFonts w:ascii="Verdana" w:hAnsi="Verdana"/>
          <w:sz w:val="16"/>
          <w:szCs w:val="16"/>
        </w:rPr>
        <w:t>[…]</w:t>
      </w:r>
    </w:p>
    <w:p w14:paraId="57EC01EE" w14:textId="77777777" w:rsidR="00CD4D9D" w:rsidRPr="00764E8B" w:rsidRDefault="00CD4D9D" w:rsidP="00CD4D9D">
      <w:pPr>
        <w:spacing w:after="0" w:line="240" w:lineRule="auto"/>
        <w:ind w:firstLine="709"/>
        <w:jc w:val="both"/>
        <w:rPr>
          <w:rFonts w:ascii="Verdana" w:hAnsi="Verdana"/>
          <w:sz w:val="16"/>
          <w:szCs w:val="16"/>
        </w:rPr>
      </w:pPr>
      <w:r w:rsidRPr="00764E8B">
        <w:rPr>
          <w:rFonts w:ascii="Verdana" w:hAnsi="Verdana"/>
          <w:sz w:val="16"/>
          <w:szCs w:val="16"/>
        </w:rPr>
        <w:t>6o. Los contratistas responderán cuando formulen propuestas en las que se fijen condiciones económicas y de contratación artificialmente bajas con el propósito de obtener la adjudicación del contrato”.</w:t>
      </w:r>
    </w:p>
    <w:p w14:paraId="1412E56D" w14:textId="77777777" w:rsidR="00CD4D9D" w:rsidRPr="00764E8B" w:rsidRDefault="00CD4D9D" w:rsidP="00CD4D9D">
      <w:pPr>
        <w:pStyle w:val="Textonotapie"/>
        <w:ind w:firstLine="709"/>
        <w:jc w:val="both"/>
        <w:rPr>
          <w:rFonts w:ascii="Verdana" w:hAnsi="Verdana"/>
          <w:sz w:val="16"/>
          <w:szCs w:val="16"/>
        </w:rPr>
      </w:pPr>
    </w:p>
  </w:footnote>
  <w:footnote w:id="7">
    <w:p w14:paraId="33F83188" w14:textId="77777777" w:rsidR="00CD4D9D" w:rsidRPr="00764E8B" w:rsidRDefault="00CD4D9D" w:rsidP="00CD4D9D">
      <w:pPr>
        <w:spacing w:after="0" w:line="240" w:lineRule="auto"/>
        <w:ind w:firstLine="709"/>
        <w:jc w:val="both"/>
        <w:rPr>
          <w:rFonts w:ascii="Verdana" w:hAnsi="Verdana"/>
          <w:sz w:val="16"/>
          <w:szCs w:val="16"/>
        </w:rPr>
      </w:pPr>
      <w:r w:rsidRPr="00764E8B">
        <w:rPr>
          <w:rStyle w:val="Refdenotaalpie"/>
          <w:rFonts w:ascii="Verdana" w:hAnsi="Verdana"/>
          <w:sz w:val="16"/>
          <w:szCs w:val="16"/>
        </w:rPr>
        <w:footnoteRef/>
      </w:r>
      <w:r w:rsidRPr="00764E8B">
        <w:rPr>
          <w:rFonts w:ascii="Verdana" w:hAnsi="Verdana"/>
          <w:sz w:val="16"/>
          <w:szCs w:val="16"/>
        </w:rPr>
        <w:t xml:space="preserve"> Decreto 1082 de 2015: “Artículo 2.2.1.1.2.2.4. Oferta con valor artificialmente bajo</w:t>
      </w:r>
      <w:r w:rsidRPr="00764E8B">
        <w:rPr>
          <w:rFonts w:ascii="Verdana" w:hAnsi="Verdana"/>
          <w:b/>
          <w:i/>
          <w:sz w:val="16"/>
          <w:szCs w:val="16"/>
        </w:rPr>
        <w:t xml:space="preserve">. </w:t>
      </w:r>
      <w:r w:rsidRPr="00764E8B">
        <w:rPr>
          <w:rFonts w:ascii="Verdana" w:hAnsi="Verdana"/>
          <w:sz w:val="16"/>
          <w:szCs w:val="16"/>
        </w:rPr>
        <w:t>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la misma en la evaluación de las</w:t>
      </w:r>
      <w:r w:rsidRPr="00764E8B">
        <w:rPr>
          <w:rFonts w:ascii="Verdana" w:hAnsi="Verdana"/>
          <w:spacing w:val="-21"/>
          <w:sz w:val="16"/>
          <w:szCs w:val="16"/>
        </w:rPr>
        <w:t xml:space="preserve"> </w:t>
      </w:r>
      <w:r w:rsidRPr="00764E8B">
        <w:rPr>
          <w:rFonts w:ascii="Verdana" w:hAnsi="Verdana"/>
          <w:sz w:val="16"/>
          <w:szCs w:val="16"/>
        </w:rPr>
        <w:t>ofertas.</w:t>
      </w:r>
    </w:p>
    <w:p w14:paraId="53910B51" w14:textId="77777777" w:rsidR="00CD4D9D" w:rsidRPr="00764E8B" w:rsidRDefault="00CD4D9D" w:rsidP="00CD4D9D">
      <w:pPr>
        <w:spacing w:after="0" w:line="240" w:lineRule="auto"/>
        <w:ind w:firstLine="709"/>
        <w:jc w:val="both"/>
        <w:rPr>
          <w:rFonts w:ascii="Verdana" w:hAnsi="Verdana"/>
          <w:sz w:val="16"/>
          <w:szCs w:val="16"/>
        </w:rPr>
      </w:pPr>
      <w:r w:rsidRPr="00764E8B">
        <w:rPr>
          <w:rFonts w:ascii="Verdana" w:hAnsi="Verdana"/>
          <w:sz w:val="16"/>
          <w:szCs w:val="16"/>
        </w:rPr>
        <w:t>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14:paraId="7E6C0541" w14:textId="77777777" w:rsidR="00CD4D9D" w:rsidRPr="00764E8B" w:rsidRDefault="00CD4D9D" w:rsidP="00CD4D9D">
      <w:pPr>
        <w:spacing w:after="0" w:line="240" w:lineRule="auto"/>
        <w:ind w:firstLine="709"/>
        <w:jc w:val="both"/>
        <w:rPr>
          <w:rFonts w:ascii="Verdana" w:hAnsi="Verdana"/>
          <w:sz w:val="16"/>
          <w:szCs w:val="16"/>
        </w:rPr>
      </w:pPr>
      <w:r w:rsidRPr="00764E8B">
        <w:rPr>
          <w:rFonts w:ascii="Verdana" w:hAnsi="Verdana"/>
          <w:sz w:val="16"/>
          <w:szCs w:val="16"/>
        </w:rPr>
        <w:t>En la subasta inversa esta disposición es aplicable sobre el precio obtenido al final de la misma”.</w:t>
      </w:r>
    </w:p>
    <w:p w14:paraId="11127EDC" w14:textId="77777777" w:rsidR="00CD4D9D" w:rsidRPr="00764E8B" w:rsidRDefault="00CD4D9D" w:rsidP="00CD4D9D">
      <w:pPr>
        <w:pStyle w:val="Textonotapie"/>
        <w:ind w:firstLine="709"/>
        <w:jc w:val="both"/>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1.55pt;height:11.5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B364ED1"/>
    <w:multiLevelType w:val="hybridMultilevel"/>
    <w:tmpl w:val="22B01F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5F27CB"/>
    <w:multiLevelType w:val="hybridMultilevel"/>
    <w:tmpl w:val="A63004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A74137A"/>
    <w:multiLevelType w:val="hybridMultilevel"/>
    <w:tmpl w:val="B010E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BF0C28"/>
    <w:multiLevelType w:val="hybridMultilevel"/>
    <w:tmpl w:val="6C7A0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9"/>
  </w:num>
  <w:num w:numId="2" w16cid:durableId="19822139">
    <w:abstractNumId w:val="2"/>
  </w:num>
  <w:num w:numId="3" w16cid:durableId="876742304">
    <w:abstractNumId w:val="6"/>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7"/>
  </w:num>
  <w:num w:numId="7" w16cid:durableId="1946422806">
    <w:abstractNumId w:val="8"/>
  </w:num>
  <w:num w:numId="8" w16cid:durableId="152644682">
    <w:abstractNumId w:val="16"/>
  </w:num>
  <w:num w:numId="9" w16cid:durableId="1317221377">
    <w:abstractNumId w:val="10"/>
  </w:num>
  <w:num w:numId="10" w16cid:durableId="1471245386">
    <w:abstractNumId w:val="15"/>
  </w:num>
  <w:num w:numId="11" w16cid:durableId="289172385">
    <w:abstractNumId w:val="11"/>
  </w:num>
  <w:num w:numId="12" w16cid:durableId="1470781324">
    <w:abstractNumId w:val="1"/>
  </w:num>
  <w:num w:numId="13" w16cid:durableId="1512908409">
    <w:abstractNumId w:val="4"/>
  </w:num>
  <w:num w:numId="14" w16cid:durableId="895897244">
    <w:abstractNumId w:val="18"/>
  </w:num>
  <w:num w:numId="15" w16cid:durableId="390349800">
    <w:abstractNumId w:val="14"/>
  </w:num>
  <w:num w:numId="16" w16cid:durableId="341274352">
    <w:abstractNumId w:val="0"/>
  </w:num>
  <w:num w:numId="17" w16cid:durableId="679089576">
    <w:abstractNumId w:val="12"/>
  </w:num>
  <w:num w:numId="18" w16cid:durableId="295986491">
    <w:abstractNumId w:val="13"/>
  </w:num>
  <w:num w:numId="19" w16cid:durableId="553586568">
    <w:abstractNumId w:val="3"/>
  </w:num>
  <w:num w:numId="20" w16cid:durableId="1075012050">
    <w:abstractNumId w:val="19"/>
  </w:num>
  <w:num w:numId="21" w16cid:durableId="1492209491">
    <w:abstractNumId w:val="7"/>
  </w:num>
  <w:num w:numId="22" w16cid:durableId="349913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0786"/>
    <w:rsid w:val="00082362"/>
    <w:rsid w:val="000A683E"/>
    <w:rsid w:val="000B19B9"/>
    <w:rsid w:val="000D0334"/>
    <w:rsid w:val="000F6486"/>
    <w:rsid w:val="00125105"/>
    <w:rsid w:val="0012679A"/>
    <w:rsid w:val="00127233"/>
    <w:rsid w:val="001C0193"/>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059C"/>
    <w:rsid w:val="00374F5E"/>
    <w:rsid w:val="00377E3E"/>
    <w:rsid w:val="003A26D1"/>
    <w:rsid w:val="003A779E"/>
    <w:rsid w:val="003D0F4D"/>
    <w:rsid w:val="003D5B0D"/>
    <w:rsid w:val="003E0499"/>
    <w:rsid w:val="003F3941"/>
    <w:rsid w:val="00406575"/>
    <w:rsid w:val="0042722E"/>
    <w:rsid w:val="0044528D"/>
    <w:rsid w:val="00464A4D"/>
    <w:rsid w:val="004A1847"/>
    <w:rsid w:val="004A305D"/>
    <w:rsid w:val="004F21C4"/>
    <w:rsid w:val="004F685F"/>
    <w:rsid w:val="00524362"/>
    <w:rsid w:val="005566E8"/>
    <w:rsid w:val="00574867"/>
    <w:rsid w:val="00591460"/>
    <w:rsid w:val="00592628"/>
    <w:rsid w:val="005C3777"/>
    <w:rsid w:val="005C5CDC"/>
    <w:rsid w:val="005D476C"/>
    <w:rsid w:val="00610812"/>
    <w:rsid w:val="006219F8"/>
    <w:rsid w:val="00650FF7"/>
    <w:rsid w:val="00665D70"/>
    <w:rsid w:val="00671DAC"/>
    <w:rsid w:val="006818CD"/>
    <w:rsid w:val="006900D9"/>
    <w:rsid w:val="006D12F8"/>
    <w:rsid w:val="00706C16"/>
    <w:rsid w:val="00756841"/>
    <w:rsid w:val="007649AB"/>
    <w:rsid w:val="00764E8B"/>
    <w:rsid w:val="00771D0C"/>
    <w:rsid w:val="007833AC"/>
    <w:rsid w:val="007B268C"/>
    <w:rsid w:val="007B7171"/>
    <w:rsid w:val="007C0C0F"/>
    <w:rsid w:val="007C2213"/>
    <w:rsid w:val="007C3DC2"/>
    <w:rsid w:val="007E5497"/>
    <w:rsid w:val="00806F5F"/>
    <w:rsid w:val="00820278"/>
    <w:rsid w:val="008843B6"/>
    <w:rsid w:val="00891928"/>
    <w:rsid w:val="008A446D"/>
    <w:rsid w:val="008B1E4C"/>
    <w:rsid w:val="008D180B"/>
    <w:rsid w:val="008F0EA7"/>
    <w:rsid w:val="00923EEF"/>
    <w:rsid w:val="009419F9"/>
    <w:rsid w:val="0095685E"/>
    <w:rsid w:val="00961B09"/>
    <w:rsid w:val="00965334"/>
    <w:rsid w:val="0097093E"/>
    <w:rsid w:val="009A0DFA"/>
    <w:rsid w:val="009B2D26"/>
    <w:rsid w:val="009C71FA"/>
    <w:rsid w:val="009C72E7"/>
    <w:rsid w:val="009D3058"/>
    <w:rsid w:val="009F3A13"/>
    <w:rsid w:val="00A11F04"/>
    <w:rsid w:val="00A122D3"/>
    <w:rsid w:val="00A17F13"/>
    <w:rsid w:val="00A20739"/>
    <w:rsid w:val="00A33C78"/>
    <w:rsid w:val="00A35C30"/>
    <w:rsid w:val="00A67BF5"/>
    <w:rsid w:val="00AB0ADB"/>
    <w:rsid w:val="00B01B1A"/>
    <w:rsid w:val="00B72CD3"/>
    <w:rsid w:val="00B72FFF"/>
    <w:rsid w:val="00BC3D36"/>
    <w:rsid w:val="00BD7F72"/>
    <w:rsid w:val="00BE141F"/>
    <w:rsid w:val="00C04FB3"/>
    <w:rsid w:val="00C330EB"/>
    <w:rsid w:val="00C35E8D"/>
    <w:rsid w:val="00C754BE"/>
    <w:rsid w:val="00C76B1C"/>
    <w:rsid w:val="00CB6357"/>
    <w:rsid w:val="00CC1B26"/>
    <w:rsid w:val="00CD4D9D"/>
    <w:rsid w:val="00D423A2"/>
    <w:rsid w:val="00D441FA"/>
    <w:rsid w:val="00D520D8"/>
    <w:rsid w:val="00D63AC2"/>
    <w:rsid w:val="00D7383B"/>
    <w:rsid w:val="00DA231B"/>
    <w:rsid w:val="00DA23A0"/>
    <w:rsid w:val="00DC39FC"/>
    <w:rsid w:val="00DF5254"/>
    <w:rsid w:val="00E16408"/>
    <w:rsid w:val="00E20894"/>
    <w:rsid w:val="00E245AB"/>
    <w:rsid w:val="00E26EC5"/>
    <w:rsid w:val="00E2764C"/>
    <w:rsid w:val="00E27F2E"/>
    <w:rsid w:val="00E413EA"/>
    <w:rsid w:val="00E50AFE"/>
    <w:rsid w:val="00E75C92"/>
    <w:rsid w:val="00E771DC"/>
    <w:rsid w:val="00E8772A"/>
    <w:rsid w:val="00E90F6B"/>
    <w:rsid w:val="00E92C27"/>
    <w:rsid w:val="00EA0E3D"/>
    <w:rsid w:val="00EC38A7"/>
    <w:rsid w:val="00EE1AA8"/>
    <w:rsid w:val="00F31EDC"/>
    <w:rsid w:val="00F462B3"/>
    <w:rsid w:val="00F5664F"/>
    <w:rsid w:val="00F62C84"/>
    <w:rsid w:val="00F666C4"/>
    <w:rsid w:val="00F76AFC"/>
    <w:rsid w:val="00FA47C0"/>
    <w:rsid w:val="00FB5DD1"/>
    <w:rsid w:val="00FC2B5D"/>
    <w:rsid w:val="00FE05D8"/>
    <w:rsid w:val="00FF1449"/>
    <w:rsid w:val="00FF4568"/>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2">
    <w:name w:val="heading 2"/>
    <w:basedOn w:val="Normal"/>
    <w:next w:val="Normal"/>
    <w:link w:val="Ttulo2Car"/>
    <w:uiPriority w:val="9"/>
    <w:semiHidden/>
    <w:unhideWhenUsed/>
    <w:qFormat/>
    <w:rsid w:val="00CD4D9D"/>
    <w:pPr>
      <w:keepNext/>
      <w:keepLines/>
      <w:spacing w:before="40" w:after="0"/>
      <w:outlineLvl w:val="1"/>
    </w:pPr>
    <w:rPr>
      <w:rFonts w:ascii="Aptos Display" w:eastAsia="Times New Roman" w:hAnsi="Aptos Display" w:cs="Times New Roman"/>
      <w:color w:val="0F476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Ttulo21">
    <w:name w:val="Título 21"/>
    <w:basedOn w:val="Normal"/>
    <w:next w:val="Normal"/>
    <w:uiPriority w:val="9"/>
    <w:semiHidden/>
    <w:unhideWhenUsed/>
    <w:qFormat/>
    <w:rsid w:val="00CD4D9D"/>
    <w:pPr>
      <w:keepNext/>
      <w:keepLines/>
      <w:spacing w:before="160" w:after="80" w:line="278" w:lineRule="auto"/>
      <w:outlineLvl w:val="1"/>
    </w:pPr>
    <w:rPr>
      <w:rFonts w:ascii="Aptos Display" w:eastAsia="Times New Roman" w:hAnsi="Aptos Display" w:cs="Times New Roman"/>
      <w:color w:val="0F4761"/>
      <w:kern w:val="2"/>
      <w:sz w:val="32"/>
      <w:szCs w:val="32"/>
      <w14:ligatures w14:val="standardContextual"/>
    </w:rPr>
  </w:style>
  <w:style w:type="character" w:customStyle="1" w:styleId="Ttulo2Car">
    <w:name w:val="Título 2 Car"/>
    <w:basedOn w:val="Fuentedeprrafopredeter"/>
    <w:link w:val="Ttulo2"/>
    <w:uiPriority w:val="9"/>
    <w:semiHidden/>
    <w:rsid w:val="00CD4D9D"/>
    <w:rPr>
      <w:rFonts w:ascii="Aptos Display" w:eastAsia="Times New Roman" w:hAnsi="Aptos Display" w:cs="Times New Roman"/>
      <w:color w:val="0F4761"/>
      <w:sz w:val="32"/>
      <w:szCs w:val="32"/>
    </w:rPr>
  </w:style>
  <w:style w:type="paragraph" w:customStyle="1" w:styleId="Appelnotedebasde">
    <w:name w:val="Appel note de bas de..."/>
    <w:basedOn w:val="Normal"/>
    <w:link w:val="Refdenotaalpie"/>
    <w:uiPriority w:val="99"/>
    <w:rsid w:val="00CD4D9D"/>
    <w:pPr>
      <w:spacing w:line="240" w:lineRule="exact"/>
    </w:pPr>
    <w:rPr>
      <w:vertAlign w:val="superscript"/>
    </w:rPr>
  </w:style>
  <w:style w:type="character" w:customStyle="1" w:styleId="Ttulo2Car1">
    <w:name w:val="Título 2 Car1"/>
    <w:basedOn w:val="Fuentedeprrafopredeter"/>
    <w:uiPriority w:val="9"/>
    <w:semiHidden/>
    <w:rsid w:val="00CD4D9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content/documentos-tipo-de-infraestructura-de-transport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lombiacompra.gov.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lombiacompra.gov.co" TargetMode="External"/><Relationship Id="rId5" Type="http://schemas.openxmlformats.org/officeDocument/2006/relationships/styles" Target="styles.xml"/><Relationship Id="rId15" Type="http://schemas.openxmlformats.org/officeDocument/2006/relationships/hyperlink" Target="https://www.colombiacompra.gov.co/sala-de-prensa/boletin-digita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busqueda/concepto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2AFCD519-EE40-4F92-B28E-0DA47666FF27}"/>
</file>

<file path=docProps/app.xml><?xml version="1.0" encoding="utf-8"?>
<Properties xmlns="http://schemas.openxmlformats.org/officeDocument/2006/extended-properties" xmlns:vt="http://schemas.openxmlformats.org/officeDocument/2006/docPropsVTypes">
  <Template>Normal.dotm</Template>
  <TotalTime>3</TotalTime>
  <Pages>12</Pages>
  <Words>3038</Words>
  <Characters>16715</Characters>
  <Application>Microsoft Office Word</Application>
  <DocSecurity>0</DocSecurity>
  <Lines>139</Lines>
  <Paragraphs>39</Paragraphs>
  <ScaleCrop>false</ScaleCrop>
  <Company/>
  <LinksUpToDate>false</LinksUpToDate>
  <CharactersWithSpaces>19714</CharactersWithSpaces>
  <SharedDoc>false</SharedDoc>
  <HLinks>
    <vt:vector size="36" baseType="variant">
      <vt:variant>
        <vt:i4>5439494</vt:i4>
      </vt:variant>
      <vt:variant>
        <vt:i4>12</vt:i4>
      </vt:variant>
      <vt:variant>
        <vt:i4>0</vt:i4>
      </vt:variant>
      <vt:variant>
        <vt:i4>5</vt:i4>
      </vt:variant>
      <vt:variant>
        <vt:lpwstr>https://www.colombiacompra.gov.co/sala-de-prensa/boletin-digital</vt:lpwstr>
      </vt:variant>
      <vt:variant>
        <vt:lpwstr/>
      </vt:variant>
      <vt:variant>
        <vt:i4>7471218</vt:i4>
      </vt:variant>
      <vt:variant>
        <vt:i4>9</vt:i4>
      </vt:variant>
      <vt:variant>
        <vt:i4>0</vt:i4>
      </vt:variant>
      <vt:variant>
        <vt:i4>5</vt:i4>
      </vt:variant>
      <vt:variant>
        <vt:lpwstr>https://relatoria.colombiacompra.gov.co/busqueda/conceptos</vt:lpwstr>
      </vt:variant>
      <vt:variant>
        <vt:lpwstr/>
      </vt:variant>
      <vt:variant>
        <vt:i4>2883689</vt:i4>
      </vt:variant>
      <vt:variant>
        <vt:i4>6</vt:i4>
      </vt:variant>
      <vt:variant>
        <vt:i4>0</vt:i4>
      </vt:variant>
      <vt:variant>
        <vt:i4>5</vt:i4>
      </vt:variant>
      <vt:variant>
        <vt:lpwstr>https://www.colombiacompra.gov.co/content/documentos-tipo-de-infraestructura-de-transporte</vt:lpwstr>
      </vt:variant>
      <vt:variant>
        <vt:lpwstr/>
      </vt:variant>
      <vt:variant>
        <vt:i4>6029407</vt:i4>
      </vt:variant>
      <vt:variant>
        <vt:i4>3</vt:i4>
      </vt:variant>
      <vt:variant>
        <vt:i4>0</vt:i4>
      </vt:variant>
      <vt:variant>
        <vt:i4>5</vt:i4>
      </vt:variant>
      <vt:variant>
        <vt:lpwstr>http://www.colombiacompra.gov.co/</vt:lpwstr>
      </vt:variant>
      <vt:variant>
        <vt:lpwstr/>
      </vt:variant>
      <vt:variant>
        <vt:i4>6029407</vt:i4>
      </vt:variant>
      <vt:variant>
        <vt:i4>0</vt:i4>
      </vt:variant>
      <vt:variant>
        <vt:i4>0</vt:i4>
      </vt:variant>
      <vt:variant>
        <vt:i4>5</vt:i4>
      </vt:variant>
      <vt:variant>
        <vt:lpwstr>http://www.colombiacompra.gov.co/</vt:lpwstr>
      </vt:variant>
      <vt:variant>
        <vt:lpwstr/>
      </vt:variant>
      <vt:variant>
        <vt:i4>5636104</vt:i4>
      </vt:variant>
      <vt:variant>
        <vt:i4>0</vt:i4>
      </vt:variant>
      <vt:variant>
        <vt:i4>0</vt:i4>
      </vt:variant>
      <vt:variant>
        <vt:i4>5</vt:i4>
      </vt:variant>
      <vt:variant>
        <vt:lpwstr>https://www.banrep.gov.co/es/estadisticas/trm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Kevin Arlid Herrera Santa</cp:lastModifiedBy>
  <cp:revision>4</cp:revision>
  <cp:lastPrinted>2023-01-10T21:18:00Z</cp:lastPrinted>
  <dcterms:created xsi:type="dcterms:W3CDTF">2024-08-09T21:48:00Z</dcterms:created>
  <dcterms:modified xsi:type="dcterms:W3CDTF">2024-08-09T21:55:00Z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