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011D7" w14:textId="77777777" w:rsidR="00792132" w:rsidRPr="00C409E6" w:rsidRDefault="00792132" w:rsidP="00792132">
      <w:pPr>
        <w:contextualSpacing/>
        <w:jc w:val="both"/>
        <w:rPr>
          <w:rFonts w:ascii="Verdana" w:hAnsi="Verdana" w:cs="Arial"/>
          <w:b/>
          <w:bdr w:val="none" w:sz="0" w:space="0" w:color="auto" w:frame="1"/>
          <w:lang w:eastAsia="es-CO"/>
        </w:rPr>
      </w:pPr>
      <w:r w:rsidRPr="00C409E6">
        <w:rPr>
          <w:rFonts w:ascii="Verdana" w:hAnsi="Verdana" w:cs="Arial"/>
          <w:b/>
          <w:bdr w:val="none" w:sz="0" w:space="0" w:color="auto" w:frame="1"/>
          <w:lang w:eastAsia="es-CO"/>
        </w:rPr>
        <w:t>CAPACIDAD RESIDUAL – Definición</w:t>
      </w:r>
    </w:p>
    <w:p w14:paraId="26995C3E" w14:textId="77777777" w:rsidR="00792132" w:rsidRPr="00543959" w:rsidRDefault="00792132" w:rsidP="00792132">
      <w:pPr>
        <w:spacing w:after="0"/>
        <w:jc w:val="both"/>
        <w:rPr>
          <w:rFonts w:ascii="Arial" w:eastAsia="Calibri" w:hAnsi="Arial" w:cs="Arial"/>
          <w:b/>
          <w:color w:val="000000" w:themeColor="text1"/>
          <w:sz w:val="20"/>
          <w:szCs w:val="20"/>
        </w:rPr>
      </w:pPr>
    </w:p>
    <w:p w14:paraId="64748905" w14:textId="77777777" w:rsidR="00792132" w:rsidRPr="00C409E6" w:rsidRDefault="00792132" w:rsidP="00792132">
      <w:pPr>
        <w:spacing w:after="120"/>
        <w:jc w:val="both"/>
        <w:rPr>
          <w:rFonts w:ascii="Verdana" w:eastAsia="Calibri" w:hAnsi="Verdana" w:cs="Arial"/>
          <w:color w:val="000000" w:themeColor="text1"/>
          <w:sz w:val="20"/>
          <w:szCs w:val="20"/>
          <w:lang w:val="es-ES"/>
        </w:rPr>
      </w:pPr>
      <w:r w:rsidRPr="00C409E6">
        <w:rPr>
          <w:rFonts w:ascii="Verdana" w:eastAsia="Calibri" w:hAnsi="Verdana" w:cs="Arial"/>
          <w:color w:val="000000" w:themeColor="text1"/>
          <w:sz w:val="20"/>
          <w:szCs w:val="20"/>
          <w:lang w:val="es-ES"/>
        </w:rPr>
        <w:t>La capacidad residual es una aptitud que se exige a los oferentes con el objetivo de establecer o determinar si estos pueden o no cumplir de manera oportuna y a cabalidad las obligaciones derivadas del contrato de obra pública, sin que los demás compromisos contractuales que hubieran adquirido les afecte la habilidad de cumplir con el objeto del contrato que está en proceso de selección. El Consejo de Estado ha definido la capacidad residual como «la diferencia que existe entre el potencial de contratación que se tiene y los compromisos que haya adquirido y que se encuentren en ejecución, para la fecha de presentación de la oferta».</w:t>
      </w:r>
    </w:p>
    <w:p w14:paraId="65B95E21" w14:textId="77777777" w:rsidR="00792132" w:rsidRDefault="00792132" w:rsidP="00792132">
      <w:pPr>
        <w:spacing w:after="0"/>
        <w:jc w:val="both"/>
        <w:rPr>
          <w:rFonts w:ascii="Verdana" w:eastAsia="Calibri" w:hAnsi="Verdana" w:cs="Arial"/>
          <w:color w:val="000000" w:themeColor="text1"/>
          <w:sz w:val="20"/>
          <w:szCs w:val="20"/>
          <w:lang w:val="es-ES"/>
        </w:rPr>
      </w:pPr>
      <w:r w:rsidRPr="00C409E6">
        <w:rPr>
          <w:rFonts w:ascii="Verdana" w:eastAsia="Calibri" w:hAnsi="Verdana" w:cs="Arial"/>
          <w:color w:val="000000" w:themeColor="text1"/>
          <w:sz w:val="20"/>
          <w:szCs w:val="20"/>
          <w:lang w:val="es-ES"/>
        </w:rPr>
        <w:t>Teniendo en cuenta lo dicho antes, la Agencia Nacional de Contratación Pública – Colombia Compra Eficiente considera que la capacidad residual hace referencia a la suficiencia que se predica del proponente para asumir nuevas obligaciones que se derivan del contrato objeto del proceso de contratación, en relación con las obligaciones que ya ha adquirido simultáneamente.</w:t>
      </w:r>
    </w:p>
    <w:p w14:paraId="2C7914B4" w14:textId="2BE72AC2" w:rsidR="00D17400" w:rsidRDefault="00D17400" w:rsidP="00D17400">
      <w:pPr>
        <w:jc w:val="both"/>
        <w:rPr>
          <w:rFonts w:ascii="Century Gothic" w:eastAsia="Geomanist Light" w:hAnsi="Century Gothic" w:cs="Arial"/>
          <w:color w:val="000000" w:themeColor="text1"/>
          <w:lang w:val="es-MX"/>
        </w:rPr>
      </w:pPr>
      <w:r>
        <w:rPr>
          <w:rFonts w:ascii="Century Gothic" w:eastAsia="Geomanist Light" w:hAnsi="Century Gothic" w:cs="Arial"/>
          <w:color w:val="000000" w:themeColor="text1"/>
          <w:lang w:val="es-MX"/>
        </w:rPr>
        <w:br w:type="page"/>
      </w:r>
    </w:p>
    <w:p w14:paraId="6700D6DA" w14:textId="1AA7A531" w:rsidR="00871B59" w:rsidRPr="00F919E7" w:rsidRDefault="00871B59" w:rsidP="00871B59">
      <w:pPr>
        <w:spacing w:after="0" w:line="240" w:lineRule="auto"/>
        <w:rPr>
          <w:rFonts w:ascii="Century Gothic" w:eastAsia="Geomanist Light" w:hAnsi="Century Gothic" w:cs="Arial"/>
          <w:color w:val="201F1E"/>
          <w:lang w:val="es-MX"/>
        </w:rPr>
      </w:pPr>
      <w:r w:rsidRPr="00F919E7">
        <w:rPr>
          <w:rFonts w:ascii="Century Gothic" w:eastAsia="Geomanist Light" w:hAnsi="Century Gothic" w:cs="Arial"/>
          <w:color w:val="000000" w:themeColor="text1"/>
          <w:lang w:val="es-MX"/>
        </w:rPr>
        <w:lastRenderedPageBreak/>
        <w:t>Bogotá D.C., </w:t>
      </w:r>
      <w:r w:rsidRPr="00F919E7">
        <w:rPr>
          <w:rFonts w:ascii="Century Gothic" w:eastAsia="Geomanist Light" w:hAnsi="Century Gothic" w:cs="Arial"/>
          <w:color w:val="201F1E"/>
          <w:lang w:val="es-MX"/>
        </w:rPr>
        <w:t>[Día] de [Mes.NombreCapitalizado] de [Año]</w:t>
      </w:r>
    </w:p>
    <w:p w14:paraId="263F56BE" w14:textId="77777777" w:rsidR="00871B59" w:rsidRPr="00F919E7" w:rsidRDefault="00871B59" w:rsidP="00871B59">
      <w:pPr>
        <w:spacing w:after="0" w:line="240" w:lineRule="auto"/>
        <w:jc w:val="both"/>
        <w:rPr>
          <w:rFonts w:ascii="Century Gothic" w:eastAsia="Calibri" w:hAnsi="Century Gothic" w:cs="Arial"/>
          <w:color w:val="000000"/>
          <w:lang w:val="es-ES"/>
        </w:rPr>
      </w:pPr>
    </w:p>
    <w:p w14:paraId="3B696B00" w14:textId="77777777" w:rsidR="00792132" w:rsidRPr="00D403FC" w:rsidRDefault="00792132" w:rsidP="00792132">
      <w:pPr>
        <w:pStyle w:val="paragraph"/>
        <w:spacing w:before="0" w:beforeAutospacing="0" w:after="0" w:afterAutospacing="0"/>
        <w:textAlignment w:val="baseline"/>
        <w:rPr>
          <w:rFonts w:ascii="Verdana" w:eastAsia="Calibri" w:hAnsi="Verdana" w:cs="Arial"/>
          <w:sz w:val="22"/>
          <w:szCs w:val="22"/>
          <w:lang w:eastAsia="en-US"/>
        </w:rPr>
      </w:pPr>
      <w:r w:rsidRPr="00D403FC">
        <w:rPr>
          <w:rFonts w:ascii="Verdana" w:eastAsia="Calibri" w:hAnsi="Verdana" w:cs="Arial"/>
          <w:sz w:val="22"/>
          <w:szCs w:val="22"/>
          <w:lang w:eastAsia="en-US"/>
        </w:rPr>
        <w:t>Señora</w:t>
      </w:r>
    </w:p>
    <w:p w14:paraId="563AB17F" w14:textId="77777777" w:rsidR="00792132" w:rsidRDefault="00792132" w:rsidP="00792132">
      <w:pPr>
        <w:pStyle w:val="paragraph"/>
        <w:spacing w:before="0" w:beforeAutospacing="0" w:after="0" w:afterAutospacing="0"/>
        <w:textAlignment w:val="baseline"/>
        <w:rPr>
          <w:rFonts w:ascii="Verdana" w:eastAsia="Calibri" w:hAnsi="Verdana" w:cs="Arial"/>
          <w:sz w:val="22"/>
          <w:szCs w:val="22"/>
          <w:lang w:eastAsia="en-US"/>
        </w:rPr>
      </w:pPr>
      <w:r w:rsidRPr="00D403FC">
        <w:rPr>
          <w:rFonts w:ascii="Verdana" w:eastAsia="Calibri" w:hAnsi="Verdana" w:cs="Arial"/>
          <w:sz w:val="22"/>
          <w:szCs w:val="22"/>
          <w:lang w:eastAsia="en-US"/>
        </w:rPr>
        <w:t>Maria Luisa Derch Massanet</w:t>
      </w:r>
    </w:p>
    <w:p w14:paraId="7834F550" w14:textId="77777777" w:rsidR="00216C2F" w:rsidRPr="0007780B" w:rsidRDefault="00000000" w:rsidP="00216C2F">
      <w:pPr>
        <w:spacing w:after="0" w:line="240" w:lineRule="auto"/>
        <w:textAlignment w:val="baseline"/>
        <w:rPr>
          <w:rFonts w:ascii="Verdana" w:eastAsia="Calibri" w:hAnsi="Verdana" w:cs="Arial"/>
        </w:rPr>
      </w:pPr>
      <w:hyperlink r:id="rId11" w:history="1">
        <w:r w:rsidR="00216C2F" w:rsidRPr="0007780B">
          <w:rPr>
            <w:rFonts w:ascii="Verdana" w:eastAsia="Calibri" w:hAnsi="Verdana" w:cs="Arial"/>
            <w:color w:val="0563C1" w:themeColor="hyperlink"/>
            <w:u w:val="single"/>
          </w:rPr>
          <w:t>mluisa.derch@hyd.net.co</w:t>
        </w:r>
      </w:hyperlink>
      <w:r w:rsidR="00216C2F" w:rsidRPr="0007780B">
        <w:rPr>
          <w:rFonts w:ascii="Verdana" w:eastAsia="Calibri" w:hAnsi="Verdana" w:cs="Arial"/>
        </w:rPr>
        <w:t xml:space="preserve"> </w:t>
      </w:r>
    </w:p>
    <w:p w14:paraId="24B82E74" w14:textId="77777777" w:rsidR="00792132" w:rsidRPr="00D403FC" w:rsidRDefault="00792132" w:rsidP="00792132">
      <w:pPr>
        <w:spacing w:after="0" w:line="240" w:lineRule="auto"/>
        <w:rPr>
          <w:rFonts w:ascii="Verdana" w:eastAsia="Calibri" w:hAnsi="Verdana" w:cs="Arial"/>
        </w:rPr>
      </w:pPr>
      <w:r w:rsidRPr="00D403FC">
        <w:rPr>
          <w:rFonts w:ascii="Verdana" w:eastAsia="Calibri" w:hAnsi="Verdana" w:cs="Arial"/>
        </w:rPr>
        <w:t>Bogotá D.C</w:t>
      </w:r>
    </w:p>
    <w:p w14:paraId="75545CBA" w14:textId="77777777" w:rsidR="00871B59" w:rsidRDefault="00871B59" w:rsidP="00871B59">
      <w:pPr>
        <w:spacing w:after="0" w:line="240" w:lineRule="auto"/>
        <w:rPr>
          <w:rFonts w:ascii="Century Gothic" w:eastAsia="Calibri" w:hAnsi="Century Gothic" w:cs="Arial"/>
          <w:b/>
          <w:bCs/>
          <w:color w:val="000000"/>
          <w:lang w:eastAsia="es-ES_tradnl"/>
        </w:rPr>
      </w:pPr>
    </w:p>
    <w:p w14:paraId="002FA2B0" w14:textId="43B05850" w:rsidR="00460019" w:rsidRPr="00792132" w:rsidRDefault="00460019" w:rsidP="00460019">
      <w:pPr>
        <w:spacing w:after="0" w:line="240" w:lineRule="auto"/>
        <w:jc w:val="right"/>
        <w:rPr>
          <w:rFonts w:ascii="Century Gothic" w:eastAsia="Calibri" w:hAnsi="Century Gothic" w:cs="Arial"/>
          <w:b/>
          <w:bCs/>
          <w:color w:val="000000"/>
          <w:lang w:eastAsia="es-ES_tradnl"/>
        </w:rPr>
      </w:pPr>
      <w:r w:rsidRPr="00460019">
        <w:rPr>
          <w:rFonts w:ascii="Century Gothic" w:eastAsia="Calibri" w:hAnsi="Century Gothic" w:cs="Arial"/>
          <w:b/>
          <w:bCs/>
          <w:color w:val="000000"/>
          <w:lang w:eastAsia="es-ES_tradnl"/>
        </w:rPr>
        <w:drawing>
          <wp:inline distT="0" distB="0" distL="0" distR="0" wp14:anchorId="5F38CEC0" wp14:editId="216085DA">
            <wp:extent cx="3406435" cy="1150720"/>
            <wp:effectExtent l="0" t="0" r="3810" b="0"/>
            <wp:docPr id="13746642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64203" name=""/>
                    <pic:cNvPicPr/>
                  </pic:nvPicPr>
                  <pic:blipFill>
                    <a:blip r:embed="rId12"/>
                    <a:stretch>
                      <a:fillRect/>
                    </a:stretch>
                  </pic:blipFill>
                  <pic:spPr>
                    <a:xfrm>
                      <a:off x="0" y="0"/>
                      <a:ext cx="3406435" cy="1150720"/>
                    </a:xfrm>
                    <a:prstGeom prst="rect">
                      <a:avLst/>
                    </a:prstGeom>
                  </pic:spPr>
                </pic:pic>
              </a:graphicData>
            </a:graphic>
          </wp:inline>
        </w:drawing>
      </w:r>
    </w:p>
    <w:p w14:paraId="40764CBF" w14:textId="77777777" w:rsidR="00871B59" w:rsidRPr="00F919E7" w:rsidRDefault="00871B59" w:rsidP="00871B59">
      <w:pPr>
        <w:spacing w:after="0" w:line="240" w:lineRule="auto"/>
        <w:rPr>
          <w:rFonts w:ascii="Century Gothic" w:eastAsia="Calibri" w:hAnsi="Century Gothic" w:cs="Arial"/>
          <w:b/>
          <w:bCs/>
          <w:color w:val="000000"/>
          <w:lang w:val="es-ES_tradnl" w:eastAsia="es-ES_tradnl"/>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42"/>
      </w:tblGrid>
      <w:tr w:rsidR="00871B59" w:rsidRPr="00F919E7" w14:paraId="6AC1791A" w14:textId="77777777" w:rsidTr="005A1C97">
        <w:trPr>
          <w:trHeight w:val="884"/>
        </w:trPr>
        <w:tc>
          <w:tcPr>
            <w:tcW w:w="2689" w:type="dxa"/>
          </w:tcPr>
          <w:p w14:paraId="156B1AEC" w14:textId="77777777" w:rsidR="00871B59" w:rsidRPr="00F919E7" w:rsidRDefault="00871B59" w:rsidP="002607A7">
            <w:pPr>
              <w:jc w:val="both"/>
              <w:rPr>
                <w:rFonts w:ascii="Century Gothic" w:eastAsia="Calibri" w:hAnsi="Century Gothic" w:cs="Arial"/>
                <w:b/>
                <w:bCs/>
                <w:color w:val="7030A0"/>
                <w:lang w:val="es-ES_tradnl" w:eastAsia="es-ES_tradnl"/>
              </w:rPr>
            </w:pPr>
          </w:p>
        </w:tc>
        <w:tc>
          <w:tcPr>
            <w:tcW w:w="6242" w:type="dxa"/>
          </w:tcPr>
          <w:p w14:paraId="48F499EA" w14:textId="30CB348E" w:rsidR="00871B59" w:rsidRPr="005A1C97" w:rsidRDefault="00871B59" w:rsidP="002607A7">
            <w:pPr>
              <w:jc w:val="both"/>
              <w:rPr>
                <w:rFonts w:ascii="Century Gothic" w:eastAsia="Calibri" w:hAnsi="Century Gothic" w:cs="Arial"/>
                <w:b/>
                <w:lang w:val="es-MX" w:eastAsia="es-ES_tradnl"/>
              </w:rPr>
            </w:pPr>
            <w:r w:rsidRPr="005A1C97">
              <w:rPr>
                <w:rFonts w:ascii="Century Gothic" w:eastAsia="Calibri" w:hAnsi="Century Gothic" w:cs="Arial"/>
                <w:b/>
                <w:lang w:val="es-MX" w:eastAsia="es-ES_tradnl"/>
              </w:rPr>
              <w:t xml:space="preserve">Concepto C- </w:t>
            </w:r>
            <w:r w:rsidR="00987B91">
              <w:rPr>
                <w:rFonts w:ascii="Century Gothic" w:eastAsia="Calibri" w:hAnsi="Century Gothic" w:cs="Arial"/>
                <w:b/>
                <w:lang w:val="es-MX" w:eastAsia="es-ES_tradnl"/>
              </w:rPr>
              <w:t>23</w:t>
            </w:r>
            <w:r w:rsidR="00792132">
              <w:rPr>
                <w:rFonts w:ascii="Century Gothic" w:eastAsia="Calibri" w:hAnsi="Century Gothic" w:cs="Arial"/>
                <w:b/>
                <w:lang w:val="es-MX" w:eastAsia="es-ES_tradnl"/>
              </w:rPr>
              <w:t>7</w:t>
            </w:r>
            <w:r w:rsidRPr="005A1C97">
              <w:rPr>
                <w:rFonts w:ascii="Century Gothic" w:eastAsia="Calibri" w:hAnsi="Century Gothic" w:cs="Arial"/>
                <w:b/>
                <w:lang w:val="es-MX" w:eastAsia="es-ES_tradnl"/>
              </w:rPr>
              <w:t xml:space="preserve"> de 2024</w:t>
            </w:r>
          </w:p>
        </w:tc>
      </w:tr>
      <w:tr w:rsidR="00916160" w:rsidRPr="00F919E7" w14:paraId="0DD246A7" w14:textId="77777777" w:rsidTr="005A1C97">
        <w:trPr>
          <w:trHeight w:val="884"/>
        </w:trPr>
        <w:tc>
          <w:tcPr>
            <w:tcW w:w="2689" w:type="dxa"/>
          </w:tcPr>
          <w:p w14:paraId="1B4FC525" w14:textId="77777777" w:rsidR="00916160" w:rsidRPr="00F919E7" w:rsidRDefault="00916160" w:rsidP="00916160">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Temas:                   </w:t>
            </w:r>
          </w:p>
        </w:tc>
        <w:tc>
          <w:tcPr>
            <w:tcW w:w="6242" w:type="dxa"/>
          </w:tcPr>
          <w:p w14:paraId="15BA8489" w14:textId="080CB17A" w:rsidR="00916160" w:rsidRDefault="00792132" w:rsidP="00916160">
            <w:pPr>
              <w:spacing w:line="276" w:lineRule="auto"/>
              <w:jc w:val="both"/>
              <w:rPr>
                <w:rFonts w:ascii="Century Gothic" w:eastAsia="Calibri" w:hAnsi="Century Gothic" w:cs="Arial"/>
                <w:bCs/>
                <w:lang w:val="es-MX" w:eastAsia="es-ES_tradnl"/>
              </w:rPr>
            </w:pPr>
            <w:r w:rsidRPr="004D7F13">
              <w:rPr>
                <w:rFonts w:ascii="Verdana" w:eastAsia="Calibri" w:hAnsi="Verdana" w:cs="Arial"/>
                <w:color w:val="000000" w:themeColor="text1"/>
                <w:lang w:val="es-ES" w:eastAsia="es-ES"/>
              </w:rPr>
              <w:t>CAPACIDAD RESIDUAL – Definición / CAPACIDAD RESIDUAL</w:t>
            </w:r>
            <w:r>
              <w:rPr>
                <w:rFonts w:ascii="Verdana" w:eastAsia="Calibri" w:hAnsi="Verdana" w:cs="Arial"/>
                <w:color w:val="000000" w:themeColor="text1"/>
                <w:lang w:val="es-ES" w:eastAsia="es-ES"/>
              </w:rPr>
              <w:t>- Aplicativo</w:t>
            </w:r>
            <w:r w:rsidR="00685FFD">
              <w:rPr>
                <w:rFonts w:ascii="Century Gothic" w:eastAsia="Calibri" w:hAnsi="Century Gothic"/>
                <w:bCs/>
                <w:lang w:val="es-MX" w:eastAsia="es-ES_tradnl"/>
              </w:rPr>
              <w:t xml:space="preserve">. </w:t>
            </w:r>
          </w:p>
          <w:p w14:paraId="7ADD1096" w14:textId="1A8FD5D6" w:rsidR="00685FFD" w:rsidRPr="00F919E7" w:rsidRDefault="00685FFD" w:rsidP="00916160">
            <w:pPr>
              <w:spacing w:line="276" w:lineRule="auto"/>
              <w:jc w:val="both"/>
              <w:rPr>
                <w:rFonts w:ascii="Century Gothic" w:eastAsia="Calibri" w:hAnsi="Century Gothic" w:cs="Arial"/>
                <w:bCs/>
                <w:lang w:val="es-MX" w:eastAsia="es-ES_tradnl"/>
              </w:rPr>
            </w:pPr>
          </w:p>
        </w:tc>
      </w:tr>
      <w:tr w:rsidR="00916160" w:rsidRPr="00F919E7" w14:paraId="0A874006" w14:textId="77777777" w:rsidTr="005A1C97">
        <w:tc>
          <w:tcPr>
            <w:tcW w:w="2689" w:type="dxa"/>
          </w:tcPr>
          <w:p w14:paraId="56ED2765" w14:textId="2B3DFFBD" w:rsidR="00916160" w:rsidRPr="00F919E7" w:rsidRDefault="00916160" w:rsidP="00916160">
            <w:pPr>
              <w:jc w:val="both"/>
              <w:rPr>
                <w:rFonts w:ascii="Century Gothic" w:eastAsia="Calibri" w:hAnsi="Century Gothic" w:cs="Arial"/>
                <w:bCs/>
                <w:lang w:val="es-MX" w:eastAsia="es-ES_tradnl"/>
              </w:rPr>
            </w:pPr>
          </w:p>
        </w:tc>
        <w:tc>
          <w:tcPr>
            <w:tcW w:w="6242" w:type="dxa"/>
          </w:tcPr>
          <w:p w14:paraId="630D2668" w14:textId="052B6782" w:rsidR="00916160" w:rsidRPr="00F919E7" w:rsidRDefault="00916160" w:rsidP="00916160">
            <w:pPr>
              <w:jc w:val="both"/>
              <w:rPr>
                <w:rFonts w:ascii="Century Gothic" w:eastAsia="Calibri" w:hAnsi="Century Gothic" w:cs="Arial"/>
                <w:bCs/>
                <w:lang w:val="es-MX" w:eastAsia="es-ES_tradnl"/>
              </w:rPr>
            </w:pPr>
            <w:r w:rsidRPr="00F919E7">
              <w:rPr>
                <w:rFonts w:ascii="Century Gothic" w:eastAsia="Calibri" w:hAnsi="Century Gothic" w:cs="Arial"/>
                <w:bCs/>
                <w:lang w:val="es-MX" w:eastAsia="es-ES_tradnl"/>
              </w:rPr>
              <w:t xml:space="preserve">Respuesta a consulta con radicado No. </w:t>
            </w:r>
            <w:r w:rsidR="00987B91" w:rsidRPr="00987B91">
              <w:rPr>
                <w:rFonts w:ascii="Century Gothic" w:eastAsia="Calibri" w:hAnsi="Century Gothic" w:cs="Arial"/>
                <w:bCs/>
                <w:lang w:eastAsia="es-ES_tradnl"/>
              </w:rPr>
              <w:t>P2024</w:t>
            </w:r>
            <w:r w:rsidR="00792132">
              <w:rPr>
                <w:rFonts w:ascii="Century Gothic" w:eastAsia="Calibri" w:hAnsi="Century Gothic" w:cs="Arial"/>
                <w:bCs/>
                <w:lang w:eastAsia="es-ES_tradnl"/>
              </w:rPr>
              <w:t>0628006603</w:t>
            </w:r>
          </w:p>
        </w:tc>
      </w:tr>
    </w:tbl>
    <w:p w14:paraId="01AFCA4D" w14:textId="77777777" w:rsidR="00871B59" w:rsidRPr="00F919E7" w:rsidRDefault="00871B59" w:rsidP="00871B59">
      <w:pPr>
        <w:spacing w:after="0" w:line="240" w:lineRule="auto"/>
        <w:jc w:val="both"/>
        <w:rPr>
          <w:rFonts w:ascii="Century Gothic" w:eastAsia="Calibri" w:hAnsi="Century Gothic" w:cs="Arial"/>
          <w:color w:val="000000"/>
          <w:lang w:val="es-ES_tradnl" w:eastAsia="es-ES_tradnl"/>
        </w:rPr>
      </w:pPr>
    </w:p>
    <w:p w14:paraId="3F27EDDD" w14:textId="77777777" w:rsidR="0037046D" w:rsidRDefault="0037046D" w:rsidP="00871B59">
      <w:pPr>
        <w:spacing w:after="0" w:line="276" w:lineRule="auto"/>
        <w:jc w:val="both"/>
        <w:rPr>
          <w:rFonts w:ascii="Century Gothic" w:eastAsia="Calibri" w:hAnsi="Century Gothic" w:cs="Arial"/>
          <w:color w:val="000000"/>
          <w:lang w:val="es-ES_tradnl" w:eastAsia="es-ES_tradnl"/>
        </w:rPr>
      </w:pPr>
    </w:p>
    <w:p w14:paraId="4FAA33F0" w14:textId="77777777" w:rsidR="00792132" w:rsidRPr="005A601E" w:rsidRDefault="00792132" w:rsidP="00792132">
      <w:pPr>
        <w:spacing w:after="0" w:line="276" w:lineRule="auto"/>
        <w:jc w:val="both"/>
        <w:textAlignment w:val="baseline"/>
        <w:rPr>
          <w:rFonts w:ascii="Verdana" w:eastAsia="Calibri" w:hAnsi="Verdana" w:cs="Arial"/>
        </w:rPr>
      </w:pPr>
      <w:r w:rsidRPr="00D403FC">
        <w:rPr>
          <w:rFonts w:ascii="Verdana" w:eastAsia="Calibri" w:hAnsi="Verdana" w:cs="Arial"/>
        </w:rPr>
        <w:t>Estimada señora Derch</w:t>
      </w:r>
      <w:r>
        <w:rPr>
          <w:rFonts w:ascii="Verdana" w:eastAsia="Calibri" w:hAnsi="Verdana" w:cs="Arial"/>
        </w:rPr>
        <w:t>:</w:t>
      </w:r>
    </w:p>
    <w:p w14:paraId="62039951" w14:textId="77777777" w:rsidR="00871B59" w:rsidRPr="00E43EBA" w:rsidRDefault="00871B59" w:rsidP="00871B59">
      <w:pPr>
        <w:tabs>
          <w:tab w:val="left" w:pos="3768"/>
        </w:tabs>
        <w:spacing w:after="0" w:line="276" w:lineRule="auto"/>
        <w:jc w:val="both"/>
        <w:rPr>
          <w:rFonts w:ascii="Century Gothic" w:eastAsia="Calibri" w:hAnsi="Century Gothic" w:cs="Arial"/>
          <w:color w:val="000000" w:themeColor="text1"/>
          <w:lang w:val="es-ES" w:eastAsia="es-ES"/>
        </w:rPr>
      </w:pPr>
      <w:r w:rsidRPr="00E43EBA">
        <w:rPr>
          <w:rFonts w:ascii="Century Gothic" w:eastAsia="Calibri" w:hAnsi="Century Gothic" w:cs="Arial"/>
          <w:color w:val="000000" w:themeColor="text1"/>
          <w:lang w:val="es-ES" w:eastAsia="es-ES"/>
        </w:rPr>
        <w:tab/>
      </w:r>
    </w:p>
    <w:p w14:paraId="3F1D9A82" w14:textId="7DD1559C" w:rsidR="00871B59" w:rsidRPr="00E43EBA" w:rsidRDefault="00871B59" w:rsidP="00871B59">
      <w:pPr>
        <w:spacing w:after="0" w:line="276" w:lineRule="auto"/>
        <w:jc w:val="both"/>
        <w:rPr>
          <w:rFonts w:ascii="Century Gothic" w:eastAsia="Calibri" w:hAnsi="Century Gothic" w:cs="Arial"/>
          <w:lang w:val="es-ES" w:eastAsia="es-ES"/>
        </w:rPr>
      </w:pPr>
      <w:r w:rsidRPr="00E43EBA">
        <w:rPr>
          <w:rFonts w:ascii="Century Gothic" w:eastAsia="Calibri" w:hAnsi="Century Gothic" w:cs="Arial"/>
          <w:color w:val="000000" w:themeColor="text1"/>
          <w:lang w:val="es-ES" w:eastAsia="es-ES"/>
        </w:rPr>
        <w:t>En ejercicio de la competencia otorgada por los artículos 3, numeral 5º, y 11, numeral 8º, del Decreto Ley 4170 de 2011,</w:t>
      </w:r>
      <w:r w:rsidRPr="00E43EBA">
        <w:rPr>
          <w:rFonts w:ascii="Century Gothic" w:eastAsia="Arial MT" w:hAnsi="Century Gothic" w:cs="Arial MT"/>
          <w:lang w:val="es-ES" w:eastAsia="es-ES"/>
        </w:rPr>
        <w:t xml:space="preserve"> </w:t>
      </w:r>
      <w:r w:rsidRPr="00E43EBA">
        <w:rPr>
          <w:rFonts w:ascii="Century Gothic" w:hAnsi="Century Gothic" w:cs="Arial"/>
        </w:rPr>
        <w:t xml:space="preserve">así como lo establecido en el artículo 4 de la Resolución 1707 de 2018 expedida por esta Entidad, </w:t>
      </w:r>
      <w:r w:rsidRPr="00E43EBA">
        <w:rPr>
          <w:rFonts w:ascii="Century Gothic" w:eastAsia="Calibri" w:hAnsi="Century Gothic" w:cs="Arial"/>
          <w:lang w:val="es-ES" w:eastAsia="es-ES"/>
        </w:rPr>
        <w:t xml:space="preserve">la Agencia Nacional de Contratación Pública – Colombia Compra Eficiente– responde su solicitud de consulta de fecha </w:t>
      </w:r>
      <w:r w:rsidR="00AC6764">
        <w:rPr>
          <w:rFonts w:ascii="Century Gothic" w:eastAsia="Calibri" w:hAnsi="Century Gothic" w:cs="Arial"/>
          <w:lang w:val="es-ES" w:eastAsia="es-ES"/>
        </w:rPr>
        <w:t>28</w:t>
      </w:r>
      <w:r w:rsidR="00BF755C" w:rsidRPr="00E43EBA">
        <w:rPr>
          <w:rFonts w:ascii="Century Gothic" w:eastAsia="Calibri" w:hAnsi="Century Gothic" w:cs="Arial"/>
          <w:lang w:val="es-ES" w:eastAsia="es-ES"/>
        </w:rPr>
        <w:t xml:space="preserve"> </w:t>
      </w:r>
      <w:r w:rsidRPr="00E43EBA">
        <w:rPr>
          <w:rFonts w:ascii="Century Gothic" w:eastAsia="Calibri" w:hAnsi="Century Gothic" w:cs="Arial"/>
          <w:lang w:val="es-ES" w:eastAsia="es-ES"/>
        </w:rPr>
        <w:t xml:space="preserve">de </w:t>
      </w:r>
      <w:r w:rsidR="005A1C97">
        <w:rPr>
          <w:rFonts w:ascii="Century Gothic" w:eastAsia="Calibri" w:hAnsi="Century Gothic" w:cs="Arial"/>
          <w:lang w:val="es-ES" w:eastAsia="es-ES"/>
        </w:rPr>
        <w:t>junio</w:t>
      </w:r>
      <w:r w:rsidRPr="00E43EBA">
        <w:rPr>
          <w:rFonts w:ascii="Century Gothic" w:eastAsia="Calibri" w:hAnsi="Century Gothic" w:cs="Arial"/>
          <w:lang w:val="es-ES" w:eastAsia="es-ES"/>
        </w:rPr>
        <w:t xml:space="preserve"> de 20</w:t>
      </w:r>
      <w:r w:rsidR="00BF755C" w:rsidRPr="00E43EBA">
        <w:rPr>
          <w:rFonts w:ascii="Century Gothic" w:eastAsia="Calibri" w:hAnsi="Century Gothic" w:cs="Arial"/>
          <w:lang w:val="es-ES" w:eastAsia="es-ES"/>
        </w:rPr>
        <w:t>24</w:t>
      </w:r>
      <w:r w:rsidRPr="00E43EBA">
        <w:rPr>
          <w:rFonts w:ascii="Century Gothic" w:eastAsia="Calibri" w:hAnsi="Century Gothic" w:cs="Arial"/>
          <w:lang w:val="es-ES" w:eastAsia="es-ES"/>
        </w:rPr>
        <w:t xml:space="preserve">, en la cual manifiesta lo siguiente: </w:t>
      </w:r>
    </w:p>
    <w:p w14:paraId="6DBD3E26" w14:textId="77777777" w:rsidR="00871B59" w:rsidRPr="00A83E50" w:rsidRDefault="00871B59" w:rsidP="00871B59">
      <w:pPr>
        <w:pStyle w:val="Prrafodelista"/>
        <w:tabs>
          <w:tab w:val="left" w:pos="142"/>
          <w:tab w:val="left" w:pos="284"/>
        </w:tabs>
        <w:spacing w:line="276" w:lineRule="auto"/>
        <w:ind w:left="0"/>
        <w:jc w:val="both"/>
        <w:rPr>
          <w:rFonts w:ascii="Century Gothic" w:eastAsia="Century Gothic" w:hAnsi="Century Gothic" w:cs="Century Gothic"/>
          <w:b/>
          <w:bCs/>
          <w:sz w:val="20"/>
          <w:szCs w:val="20"/>
          <w:lang w:val="es-ES"/>
        </w:rPr>
      </w:pPr>
    </w:p>
    <w:p w14:paraId="2DF72FE3" w14:textId="77777777" w:rsidR="00792132" w:rsidRPr="00AC6764" w:rsidRDefault="00792132" w:rsidP="00792132">
      <w:pPr>
        <w:autoSpaceDE w:val="0"/>
        <w:autoSpaceDN w:val="0"/>
        <w:adjustRightInd w:val="0"/>
        <w:spacing w:after="0" w:line="240" w:lineRule="auto"/>
        <w:ind w:left="709" w:right="709"/>
        <w:jc w:val="both"/>
        <w:rPr>
          <w:rFonts w:ascii="Century Gothic" w:eastAsia="Calibri" w:hAnsi="Century Gothic" w:cs="Arial"/>
          <w:sz w:val="20"/>
          <w:szCs w:val="20"/>
          <w:lang w:val="es-ES" w:eastAsia="es-ES"/>
        </w:rPr>
      </w:pPr>
      <w:r w:rsidRPr="00AC6764">
        <w:rPr>
          <w:rFonts w:ascii="Century Gothic" w:eastAsia="Calibri" w:hAnsi="Century Gothic" w:cs="Arial"/>
          <w:sz w:val="20"/>
          <w:szCs w:val="20"/>
          <w:lang w:val="es-ES" w:eastAsia="es-ES"/>
        </w:rPr>
        <w:t>“Solicito de manera atenta me informen cual es el archivo de Excel que se utiliza actualmente para determinar la capacidad residual de contratación. En la página web de Colombia Compra Eficiente aparece uno de nombre "copia_de_kresidualv4-12-12-2018" Es ese el más reciente y el que se utiliza actualmente? O se ha implementado ahora alguno diferente?”. (SIC)</w:t>
      </w:r>
    </w:p>
    <w:p w14:paraId="5DA77AFA" w14:textId="77777777" w:rsidR="00987B91" w:rsidRDefault="00987B91" w:rsidP="00871B59">
      <w:pPr>
        <w:spacing w:after="120" w:line="276" w:lineRule="auto"/>
        <w:ind w:firstLine="709"/>
        <w:jc w:val="both"/>
        <w:rPr>
          <w:rFonts w:ascii="Century Gothic" w:eastAsia="Calibri" w:hAnsi="Century Gothic" w:cs="Arial"/>
          <w:color w:val="000000"/>
          <w:lang w:val="es-ES" w:eastAsia="es-ES"/>
        </w:rPr>
      </w:pPr>
    </w:p>
    <w:p w14:paraId="30F17EAD" w14:textId="4B5A2E1A" w:rsidR="00871B59" w:rsidRPr="00E43EBA" w:rsidRDefault="00871B59" w:rsidP="00871B59">
      <w:pPr>
        <w:spacing w:after="120" w:line="276" w:lineRule="auto"/>
        <w:ind w:firstLine="709"/>
        <w:jc w:val="both"/>
        <w:rPr>
          <w:rFonts w:ascii="Century Gothic" w:eastAsia="Calibri" w:hAnsi="Century Gothic" w:cs="Arial"/>
          <w:color w:val="000000"/>
          <w:lang w:val="es-ES_tradnl" w:eastAsia="es-ES_tradnl"/>
        </w:rPr>
      </w:pPr>
      <w:r w:rsidRPr="00E43EBA">
        <w:rPr>
          <w:rFonts w:ascii="Century Gothic" w:eastAsia="Calibri" w:hAnsi="Century Gothic"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43EBA">
        <w:rPr>
          <w:rFonts w:ascii="Century Gothic" w:eastAsia="Calibri" w:hAnsi="Century Gothic" w:cs="Arial"/>
          <w:color w:val="000000"/>
          <w:lang w:val="es-ES_tradnl" w:eastAsia="es-ES_tradnl"/>
        </w:rPr>
        <w:tab/>
      </w:r>
    </w:p>
    <w:p w14:paraId="3B95778F" w14:textId="33E11D52" w:rsidR="00871B59" w:rsidRPr="00E43EBA" w:rsidRDefault="00871B59" w:rsidP="00871B59">
      <w:pPr>
        <w:spacing w:after="0" w:line="276" w:lineRule="auto"/>
        <w:ind w:firstLine="709"/>
        <w:jc w:val="both"/>
        <w:rPr>
          <w:rFonts w:ascii="Century Gothic" w:eastAsia="Calibri" w:hAnsi="Century Gothic" w:cs="Arial"/>
          <w:color w:val="000000"/>
          <w:lang w:val="es-ES" w:eastAsia="es-ES"/>
        </w:rPr>
      </w:pPr>
      <w:r w:rsidRPr="00E43EBA">
        <w:rPr>
          <w:rFonts w:ascii="Century Gothic" w:eastAsia="Calibri" w:hAnsi="Century Gothic"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problema</w:t>
      </w:r>
      <w:r w:rsidR="00BF755C"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jurídico</w:t>
      </w:r>
      <w:r w:rsidRPr="00E43EBA">
        <w:rPr>
          <w:rFonts w:ascii="Century Gothic" w:eastAsia="Calibri" w:hAnsi="Century Gothic" w:cs="Arial"/>
          <w:color w:val="7030A0"/>
          <w:lang w:val="es-ES" w:eastAsia="es-ES"/>
        </w:rPr>
        <w:t xml:space="preserve"> </w:t>
      </w:r>
      <w:r w:rsidRPr="00E43EBA">
        <w:rPr>
          <w:rFonts w:ascii="Century Gothic" w:eastAsia="Calibri" w:hAnsi="Century Gothic" w:cs="Arial"/>
          <w:color w:val="000000"/>
          <w:lang w:val="es-ES" w:eastAsia="es-ES"/>
        </w:rPr>
        <w:t xml:space="preserve">de su consulta. </w:t>
      </w:r>
    </w:p>
    <w:p w14:paraId="70187214" w14:textId="77777777" w:rsidR="00871B59" w:rsidRDefault="00871B59" w:rsidP="00871B59">
      <w:pPr>
        <w:spacing w:after="0" w:line="276" w:lineRule="auto"/>
        <w:ind w:firstLine="709"/>
        <w:jc w:val="both"/>
        <w:rPr>
          <w:rFonts w:ascii="Century Gothic" w:eastAsia="Calibri" w:hAnsi="Century Gothic" w:cs="Arial"/>
          <w:color w:val="000000"/>
          <w:lang w:val="es-ES" w:eastAsia="es-ES"/>
        </w:rPr>
      </w:pPr>
    </w:p>
    <w:p w14:paraId="74DD4DE4" w14:textId="77777777" w:rsidR="00871B59" w:rsidRPr="00E43EBA" w:rsidRDefault="00871B59" w:rsidP="00871B59">
      <w:pPr>
        <w:pStyle w:val="Prrafodelista"/>
        <w:numPr>
          <w:ilvl w:val="0"/>
          <w:numId w:val="4"/>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Problema planteado:</w:t>
      </w:r>
    </w:p>
    <w:p w14:paraId="690221EE" w14:textId="77777777" w:rsidR="00871B59" w:rsidRDefault="00871B59" w:rsidP="00871B59">
      <w:pPr>
        <w:tabs>
          <w:tab w:val="left" w:pos="426"/>
        </w:tabs>
        <w:spacing w:after="0" w:line="276" w:lineRule="auto"/>
        <w:jc w:val="both"/>
        <w:rPr>
          <w:rFonts w:ascii="Century Gothic" w:eastAsia="Century Gothic" w:hAnsi="Century Gothic" w:cs="Century Gothic"/>
          <w:lang w:val="es-ES"/>
        </w:rPr>
      </w:pPr>
    </w:p>
    <w:p w14:paraId="1D71B419" w14:textId="3F01151B" w:rsidR="00916160" w:rsidRPr="005639E9" w:rsidRDefault="00792132" w:rsidP="00916160">
      <w:pPr>
        <w:pStyle w:val="Textoindependiente"/>
        <w:spacing w:before="1" w:line="276" w:lineRule="auto"/>
        <w:ind w:right="306"/>
        <w:jc w:val="both"/>
      </w:pPr>
      <w:r>
        <w:rPr>
          <w:rFonts w:ascii="Century Gothic" w:eastAsia="Century Gothic" w:hAnsi="Century Gothic" w:cs="Century Gothic"/>
        </w:rPr>
        <w:t>D</w:t>
      </w:r>
      <w:r w:rsidR="00871B59" w:rsidRPr="00E43EBA">
        <w:rPr>
          <w:rFonts w:ascii="Century Gothic" w:eastAsia="Century Gothic" w:hAnsi="Century Gothic" w:cs="Century Gothic"/>
        </w:rPr>
        <w:t xml:space="preserve">e acuerdo con el contenido de su solicitud, esta Agencia resolverá </w:t>
      </w:r>
      <w:r w:rsidR="00916160">
        <w:rPr>
          <w:rFonts w:ascii="Century Gothic" w:eastAsia="Century Gothic" w:hAnsi="Century Gothic" w:cs="Century Gothic"/>
        </w:rPr>
        <w:t>los</w:t>
      </w:r>
      <w:r w:rsidR="00871B59" w:rsidRPr="00E43EBA">
        <w:rPr>
          <w:rFonts w:ascii="Century Gothic" w:eastAsia="Century Gothic" w:hAnsi="Century Gothic" w:cs="Century Gothic"/>
        </w:rPr>
        <w:t xml:space="preserve"> siguiente</w:t>
      </w:r>
      <w:r w:rsidR="00916160">
        <w:rPr>
          <w:rFonts w:ascii="Century Gothic" w:eastAsia="Century Gothic" w:hAnsi="Century Gothic" w:cs="Century Gothic"/>
        </w:rPr>
        <w:t>s</w:t>
      </w:r>
      <w:r w:rsidR="00BF755C" w:rsidRPr="00E43EBA">
        <w:rPr>
          <w:rFonts w:ascii="Century Gothic" w:eastAsia="Century Gothic" w:hAnsi="Century Gothic" w:cs="Century Gothic"/>
        </w:rPr>
        <w:t xml:space="preserve"> </w:t>
      </w:r>
      <w:r w:rsidR="00871B59" w:rsidRPr="00E43EBA">
        <w:rPr>
          <w:rFonts w:ascii="Century Gothic" w:eastAsia="Century Gothic" w:hAnsi="Century Gothic" w:cs="Century Gothic"/>
        </w:rPr>
        <w:t>problema</w:t>
      </w:r>
      <w:r w:rsidR="00916160">
        <w:rPr>
          <w:rFonts w:ascii="Century Gothic" w:eastAsia="Century Gothic" w:hAnsi="Century Gothic" w:cs="Century Gothic"/>
        </w:rPr>
        <w:t>s</w:t>
      </w:r>
      <w:r w:rsidR="00871B59" w:rsidRPr="00E43EBA">
        <w:rPr>
          <w:rFonts w:ascii="Century Gothic" w:eastAsia="Century Gothic" w:hAnsi="Century Gothic" w:cs="Century Gothic"/>
        </w:rPr>
        <w:t xml:space="preserve"> jurídico: </w:t>
      </w:r>
      <w:r w:rsidR="00916160" w:rsidRPr="00916160">
        <w:rPr>
          <w:rFonts w:ascii="Century Gothic" w:eastAsia="Century Gothic" w:hAnsi="Century Gothic" w:cs="Century Gothic"/>
        </w:rPr>
        <w:t>¿</w:t>
      </w:r>
      <w:r w:rsidR="007700D3">
        <w:rPr>
          <w:rFonts w:ascii="Century Gothic" w:hAnsi="Century Gothic"/>
        </w:rPr>
        <w:t>C</w:t>
      </w:r>
      <w:r w:rsidR="007700D3" w:rsidRPr="00DD17C4">
        <w:rPr>
          <w:rFonts w:ascii="Century Gothic" w:hAnsi="Century Gothic"/>
        </w:rPr>
        <w:t xml:space="preserve">uál </w:t>
      </w:r>
      <w:r w:rsidR="007700D3">
        <w:rPr>
          <w:rFonts w:ascii="Century Gothic" w:hAnsi="Century Gothic"/>
        </w:rPr>
        <w:t>es</w:t>
      </w:r>
      <w:r w:rsidR="00AC6764">
        <w:rPr>
          <w:rFonts w:ascii="Century Gothic" w:hAnsi="Century Gothic"/>
        </w:rPr>
        <w:t xml:space="preserve"> el</w:t>
      </w:r>
      <w:r w:rsidR="007700D3">
        <w:rPr>
          <w:rFonts w:ascii="Century Gothic" w:hAnsi="Century Gothic"/>
        </w:rPr>
        <w:t xml:space="preserve"> </w:t>
      </w:r>
      <w:r>
        <w:rPr>
          <w:rFonts w:ascii="Century Gothic" w:hAnsi="Century Gothic"/>
        </w:rPr>
        <w:t>aplicativo correcto</w:t>
      </w:r>
      <w:r w:rsidR="00AC6764">
        <w:rPr>
          <w:rFonts w:ascii="Century Gothic" w:hAnsi="Century Gothic"/>
        </w:rPr>
        <w:t xml:space="preserve"> </w:t>
      </w:r>
      <w:r>
        <w:rPr>
          <w:rFonts w:ascii="Century Gothic" w:hAnsi="Century Gothic"/>
        </w:rPr>
        <w:t>para establecer la capacidad residual</w:t>
      </w:r>
      <w:r w:rsidR="00916160" w:rsidRPr="00916160">
        <w:rPr>
          <w:rFonts w:ascii="Century Gothic" w:eastAsia="Century Gothic" w:hAnsi="Century Gothic" w:cs="Century Gothic"/>
        </w:rPr>
        <w:t>?</w:t>
      </w:r>
    </w:p>
    <w:p w14:paraId="5C57421A" w14:textId="6C07FBF8" w:rsidR="00685FFD" w:rsidRPr="00FE33B4" w:rsidRDefault="00BF755C" w:rsidP="00871B59">
      <w:pPr>
        <w:spacing w:after="0" w:line="276" w:lineRule="auto"/>
        <w:jc w:val="both"/>
        <w:rPr>
          <w:rFonts w:ascii="Century Gothic" w:eastAsia="Century Gothic" w:hAnsi="Century Gothic" w:cs="Century Gothic"/>
        </w:rPr>
      </w:pPr>
      <w:r w:rsidRPr="00E43EBA">
        <w:rPr>
          <w:rFonts w:ascii="Century Gothic" w:eastAsia="Century Gothic" w:hAnsi="Century Gothic" w:cs="Century Gothic"/>
        </w:rPr>
        <w:t xml:space="preserve"> </w:t>
      </w:r>
    </w:p>
    <w:p w14:paraId="33E3D3F8"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Respuesta:</w:t>
      </w:r>
    </w:p>
    <w:p w14:paraId="4647B31A" w14:textId="77777777" w:rsidR="00871B59"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p w14:paraId="741C328F" w14:textId="77777777" w:rsidR="00D17400" w:rsidRPr="00E43EBA" w:rsidRDefault="00D17400" w:rsidP="00871B59">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71B59" w:rsidRPr="00E43EBA" w14:paraId="14984B9D" w14:textId="77777777" w:rsidTr="002607A7">
        <w:tc>
          <w:tcPr>
            <w:tcW w:w="8828" w:type="dxa"/>
            <w:shd w:val="clear" w:color="auto" w:fill="auto"/>
          </w:tcPr>
          <w:p w14:paraId="3DF22F09" w14:textId="77777777" w:rsidR="00792132" w:rsidRDefault="00792132" w:rsidP="00792132">
            <w:pPr>
              <w:autoSpaceDE w:val="0"/>
              <w:autoSpaceDN w:val="0"/>
              <w:adjustRightInd w:val="0"/>
              <w:spacing w:line="276" w:lineRule="auto"/>
              <w:jc w:val="both"/>
              <w:rPr>
                <w:rFonts w:ascii="Verdana" w:hAnsi="Verdana" w:cs="Arial"/>
              </w:rPr>
            </w:pPr>
            <w:r w:rsidRPr="007718ED">
              <w:rPr>
                <w:rFonts w:ascii="Verdana" w:hAnsi="Verdana" w:cs="Arial"/>
              </w:rPr>
              <w:t>La Agencia Nacional de Contratación Pública -Colombia Compra Eficiente-, con fundamento en el artículo 2.2.1.1.1.6.4 del Decreto 1082 de 2015 expid</w:t>
            </w:r>
            <w:r>
              <w:rPr>
                <w:rFonts w:ascii="Verdana" w:hAnsi="Verdana" w:cs="Arial"/>
              </w:rPr>
              <w:t>ió la Guía p</w:t>
            </w:r>
            <w:r w:rsidRPr="007718ED">
              <w:rPr>
                <w:rFonts w:ascii="Verdana" w:hAnsi="Verdana" w:cs="Arial"/>
              </w:rPr>
              <w:t xml:space="preserve">ara determinar y verificar la capacidad residual del proponente en los </w:t>
            </w:r>
            <w:r>
              <w:rPr>
                <w:rFonts w:ascii="Verdana" w:hAnsi="Verdana" w:cs="Arial"/>
              </w:rPr>
              <w:t>P</w:t>
            </w:r>
            <w:r w:rsidRPr="007718ED">
              <w:rPr>
                <w:rFonts w:ascii="Verdana" w:hAnsi="Verdana" w:cs="Arial"/>
              </w:rPr>
              <w:t xml:space="preserve">rocesos de </w:t>
            </w:r>
            <w:r>
              <w:rPr>
                <w:rFonts w:ascii="Verdana" w:hAnsi="Verdana" w:cs="Arial"/>
              </w:rPr>
              <w:t>C</w:t>
            </w:r>
            <w:r w:rsidRPr="007718ED">
              <w:rPr>
                <w:rFonts w:ascii="Verdana" w:hAnsi="Verdana" w:cs="Arial"/>
              </w:rPr>
              <w:t>ontratación de obra pública</w:t>
            </w:r>
            <w:r>
              <w:rPr>
                <w:rFonts w:ascii="Verdana" w:hAnsi="Verdana" w:cs="Arial"/>
              </w:rPr>
              <w:t xml:space="preserve">, la cual tiene como </w:t>
            </w:r>
            <w:r w:rsidRPr="007718ED">
              <w:rPr>
                <w:rFonts w:ascii="Verdana" w:hAnsi="Verdana" w:cs="Arial"/>
              </w:rPr>
              <w:t xml:space="preserve">fin de establecer </w:t>
            </w:r>
            <w:r w:rsidRPr="007718ED">
              <w:rPr>
                <w:rFonts w:ascii="Verdana" w:hAnsi="Verdana" w:cs="Arial"/>
              </w:rPr>
              <w:lastRenderedPageBreak/>
              <w:t>la metodología para el cálculo de la capacidad residual. La metodología resulta de obligatoria observancia tanto para entidades como oferentes en los Procesos de Contratación de obra pública.</w:t>
            </w:r>
          </w:p>
          <w:p w14:paraId="0F03449D" w14:textId="77777777" w:rsidR="00792132" w:rsidRDefault="00792132" w:rsidP="00792132">
            <w:pPr>
              <w:autoSpaceDE w:val="0"/>
              <w:autoSpaceDN w:val="0"/>
              <w:adjustRightInd w:val="0"/>
              <w:spacing w:line="276" w:lineRule="auto"/>
              <w:jc w:val="both"/>
              <w:rPr>
                <w:rFonts w:ascii="Verdana" w:hAnsi="Verdana" w:cs="Arial"/>
              </w:rPr>
            </w:pPr>
          </w:p>
          <w:p w14:paraId="0B6BF46F" w14:textId="77777777" w:rsidR="00792132" w:rsidRPr="00D403FC" w:rsidRDefault="00792132" w:rsidP="00792132">
            <w:pPr>
              <w:autoSpaceDE w:val="0"/>
              <w:autoSpaceDN w:val="0"/>
              <w:adjustRightInd w:val="0"/>
              <w:spacing w:line="276" w:lineRule="auto"/>
              <w:jc w:val="both"/>
              <w:rPr>
                <w:rFonts w:ascii="Verdana" w:hAnsi="Verdana" w:cs="Arial"/>
              </w:rPr>
            </w:pPr>
            <w:r>
              <w:rPr>
                <w:rFonts w:ascii="Verdana" w:hAnsi="Verdana" w:cs="Arial"/>
              </w:rPr>
              <w:t>Asimismo,</w:t>
            </w:r>
            <w:r w:rsidRPr="00D403FC">
              <w:rPr>
                <w:rFonts w:ascii="Verdana" w:hAnsi="Verdana" w:cs="Arial"/>
              </w:rPr>
              <w:t xml:space="preserve"> pone a disposición de los partícipes del sistema de compra pública un formato Excel denominado </w:t>
            </w:r>
            <w:r w:rsidRPr="007718ED">
              <w:rPr>
                <w:rFonts w:ascii="Verdana" w:hAnsi="Verdana" w:cs="Arial"/>
                <w:b/>
                <w:bCs/>
              </w:rPr>
              <w:t>“Aplicación para establecer la Capacidad Residual”</w:t>
            </w:r>
            <w:r w:rsidRPr="00D403FC">
              <w:rPr>
                <w:rFonts w:ascii="Verdana" w:hAnsi="Verdana" w:cs="Arial"/>
              </w:rPr>
              <w:t xml:space="preserve"> que permite, tanto a la Entidad Estatal como a los interesados en los Procesos de Contratación, calcular la Capacidad Residual y validar que los oferentes cumplen con el requisito del Proceso de Contratación.</w:t>
            </w:r>
          </w:p>
          <w:p w14:paraId="478CFF0B" w14:textId="77777777" w:rsidR="00792132" w:rsidRPr="00D403FC" w:rsidRDefault="00792132" w:rsidP="00792132">
            <w:pPr>
              <w:autoSpaceDE w:val="0"/>
              <w:autoSpaceDN w:val="0"/>
              <w:adjustRightInd w:val="0"/>
              <w:spacing w:line="276" w:lineRule="auto"/>
              <w:jc w:val="both"/>
              <w:rPr>
                <w:rFonts w:ascii="Verdana" w:hAnsi="Verdana" w:cs="Arial"/>
              </w:rPr>
            </w:pPr>
          </w:p>
          <w:p w14:paraId="07213618" w14:textId="77777777" w:rsidR="00792132" w:rsidRDefault="00792132" w:rsidP="00792132">
            <w:pPr>
              <w:autoSpaceDE w:val="0"/>
              <w:autoSpaceDN w:val="0"/>
              <w:adjustRightInd w:val="0"/>
              <w:spacing w:line="276" w:lineRule="auto"/>
              <w:jc w:val="both"/>
              <w:rPr>
                <w:rFonts w:ascii="Verdana" w:hAnsi="Verdana" w:cs="Arial"/>
              </w:rPr>
            </w:pPr>
            <w:r w:rsidRPr="00D403FC">
              <w:rPr>
                <w:rFonts w:ascii="Verdana" w:hAnsi="Verdana" w:cs="Arial"/>
              </w:rPr>
              <w:t xml:space="preserve">Esta aplicación se encuentra en la página web de Colombia Compra Eficiente en el siguiente enlace: </w:t>
            </w:r>
            <w:hyperlink r:id="rId13" w:history="1">
              <w:r w:rsidRPr="007718ED">
                <w:rPr>
                  <w:rFonts w:ascii="Verdana" w:hAnsi="Verdana" w:cs="Arial"/>
                </w:rPr>
                <w:t>https://www.colombiacompra.gov.co/manuales-guiasy-pliegos-tipo/manuales-y-guias</w:t>
              </w:r>
            </w:hyperlink>
            <w:r w:rsidRPr="00D403FC">
              <w:rPr>
                <w:rFonts w:ascii="Verdana" w:hAnsi="Verdana" w:cs="Arial"/>
              </w:rPr>
              <w:t>”, en archivo Excel denominado “copia_de_kresidualv4-12-12-2018” el cual se encuentra vigente. Sin perjuicio de lo anterior, el mencionado aplicativo es un instrumento de apoyo que no exime a las Entidades Estatales y a los proponentes de realizar el cálculo de la capacidad residual en los términos de este documento.</w:t>
            </w:r>
          </w:p>
          <w:p w14:paraId="47AEB666" w14:textId="308D75EF" w:rsidR="00916160" w:rsidRPr="001F48DA" w:rsidRDefault="001F48DA" w:rsidP="008B7F31">
            <w:pPr>
              <w:spacing w:line="276" w:lineRule="auto"/>
              <w:contextualSpacing/>
              <w:jc w:val="both"/>
              <w:rPr>
                <w:rFonts w:ascii="Century Gothic" w:eastAsia="Calibri" w:hAnsi="Century Gothic" w:cs="Arial"/>
                <w:lang w:val="es-ES_tradnl" w:eastAsia="es-MX"/>
              </w:rPr>
            </w:pPr>
            <w:r>
              <w:rPr>
                <w:rFonts w:ascii="Arial" w:eastAsia="Calibri" w:hAnsi="Arial" w:cs="Arial"/>
                <w:color w:val="000000" w:themeColor="text1"/>
                <w:lang w:val="es-ES_tradnl" w:eastAsia="es-CO"/>
              </w:rPr>
              <w:t xml:space="preserve"> </w:t>
            </w:r>
          </w:p>
        </w:tc>
      </w:tr>
    </w:tbl>
    <w:p w14:paraId="3199705F" w14:textId="77777777" w:rsidR="00871B59" w:rsidRPr="00E43EBA" w:rsidRDefault="00871B59" w:rsidP="00871B59">
      <w:pPr>
        <w:tabs>
          <w:tab w:val="left" w:pos="142"/>
          <w:tab w:val="left" w:pos="284"/>
        </w:tabs>
        <w:spacing w:after="0" w:line="276" w:lineRule="auto"/>
        <w:jc w:val="both"/>
        <w:rPr>
          <w:rFonts w:ascii="Century Gothic" w:eastAsia="Century Gothic" w:hAnsi="Century Gothic" w:cs="Century Gothic"/>
          <w:b/>
          <w:bCs/>
          <w:lang w:val="es-ES"/>
        </w:rPr>
      </w:pPr>
    </w:p>
    <w:p w14:paraId="6678B80A"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Razones de la respuesta:</w:t>
      </w:r>
    </w:p>
    <w:p w14:paraId="40393512" w14:textId="77777777" w:rsidR="00871B59" w:rsidRPr="00E43EBA" w:rsidRDefault="00871B59" w:rsidP="00871B59">
      <w:pPr>
        <w:spacing w:after="0" w:line="276" w:lineRule="auto"/>
        <w:jc w:val="both"/>
        <w:rPr>
          <w:rFonts w:ascii="Century Gothic" w:eastAsia="Calibri" w:hAnsi="Century Gothic" w:cs="Arial"/>
          <w:color w:val="7030A0"/>
          <w:lang w:val="es-ES"/>
        </w:rPr>
      </w:pPr>
    </w:p>
    <w:p w14:paraId="6DB5BA6B" w14:textId="77777777" w:rsidR="00871B59" w:rsidRPr="00E43EBA" w:rsidRDefault="00871B59" w:rsidP="00871B59">
      <w:pPr>
        <w:spacing w:after="0" w:line="276" w:lineRule="auto"/>
        <w:jc w:val="both"/>
        <w:rPr>
          <w:rFonts w:ascii="Century Gothic" w:eastAsia="Calibri" w:hAnsi="Century Gothic" w:cs="Arial"/>
          <w:lang w:val="es-ES"/>
        </w:rPr>
      </w:pPr>
      <w:r w:rsidRPr="00E43EBA">
        <w:rPr>
          <w:rFonts w:ascii="Century Gothic" w:eastAsia="Calibri" w:hAnsi="Century Gothic" w:cs="Arial"/>
          <w:lang w:val="es-ES"/>
        </w:rPr>
        <w:t xml:space="preserve">Lo anterior se sustenta en las siguientes consideraciones: </w:t>
      </w:r>
    </w:p>
    <w:p w14:paraId="6FBD94A1" w14:textId="77777777" w:rsidR="00871B59" w:rsidRPr="009E35E3" w:rsidRDefault="00871B59" w:rsidP="00871B59">
      <w:pPr>
        <w:spacing w:after="0" w:line="276" w:lineRule="auto"/>
        <w:jc w:val="both"/>
        <w:rPr>
          <w:rFonts w:ascii="Century Gothic" w:eastAsia="Calibri" w:hAnsi="Century Gothic" w:cs="Arial"/>
          <w:lang w:val="es-ES"/>
        </w:rPr>
      </w:pPr>
    </w:p>
    <w:p w14:paraId="380AB8B9" w14:textId="77777777" w:rsidR="00792132" w:rsidRDefault="00792132" w:rsidP="00792132">
      <w:pPr>
        <w:pStyle w:val="Prrafodelista"/>
        <w:numPr>
          <w:ilvl w:val="0"/>
          <w:numId w:val="7"/>
        </w:numPr>
        <w:spacing w:after="0" w:line="276" w:lineRule="auto"/>
        <w:jc w:val="both"/>
        <w:rPr>
          <w:rFonts w:ascii="Verdana" w:hAnsi="Verdana"/>
          <w:color w:val="000000" w:themeColor="text1"/>
        </w:rPr>
      </w:pPr>
      <w:r w:rsidRPr="0069135B">
        <w:rPr>
          <w:rFonts w:ascii="Verdana" w:hAnsi="Verdana"/>
          <w:color w:val="000000" w:themeColor="text1"/>
        </w:rPr>
        <w:t>El Decreto 1082 de 2015 en el artículo 2.2.1.1.1.6.4. recoge el desarrollo legislativo de la capacidad residual, en especial los componentes de la Ley 1682 de 2013. De tal forma, el artículo en mención establece que las entidades estatales deberán calcular la capacidad residual conforme a la metodología definida por Colombia Compre Eficiente y precisó que, para tales fines, resulta necesario tener en cuenta los factores de: i) experiencia; ii) capacidad financiera; iii) capacidad técnica; iv) capacidad de organización; y v) los saldos de los contratos en ejecución, así:</w:t>
      </w:r>
    </w:p>
    <w:p w14:paraId="0E5D5997" w14:textId="77777777" w:rsidR="00792132" w:rsidRDefault="00792132" w:rsidP="00792132">
      <w:pPr>
        <w:spacing w:after="0" w:line="276" w:lineRule="auto"/>
        <w:jc w:val="both"/>
        <w:rPr>
          <w:rFonts w:ascii="Verdana" w:hAnsi="Verdana"/>
          <w:color w:val="000000" w:themeColor="text1"/>
        </w:rPr>
      </w:pPr>
    </w:p>
    <w:p w14:paraId="2E42BB2A" w14:textId="77777777" w:rsidR="00792132" w:rsidRPr="00714C3C" w:rsidRDefault="00792132" w:rsidP="00792132">
      <w:pPr>
        <w:pStyle w:val="Prrafodelista"/>
        <w:spacing w:after="0" w:line="276" w:lineRule="auto"/>
        <w:ind w:left="907" w:right="737"/>
        <w:jc w:val="both"/>
        <w:rPr>
          <w:rFonts w:ascii="Verdana" w:hAnsi="Verdana"/>
          <w:i/>
          <w:iCs/>
          <w:color w:val="000000" w:themeColor="text1"/>
          <w:sz w:val="21"/>
          <w:szCs w:val="21"/>
        </w:rPr>
      </w:pPr>
      <w:r w:rsidRPr="00714C3C">
        <w:rPr>
          <w:rFonts w:ascii="Verdana" w:hAnsi="Verdana"/>
          <w:i/>
          <w:iCs/>
          <w:color w:val="000000" w:themeColor="text1"/>
          <w:sz w:val="21"/>
          <w:szCs w:val="21"/>
        </w:rPr>
        <w:t xml:space="preserve">Artículo 2.2.1.1.1.6.4. Capacidad Residual. El interesado en celebrar contratos de obra pública con Entidades Estatales debe acreditar su </w:t>
      </w:r>
      <w:r w:rsidRPr="00714C3C">
        <w:rPr>
          <w:rFonts w:ascii="Verdana" w:hAnsi="Verdana"/>
          <w:i/>
          <w:iCs/>
          <w:color w:val="000000" w:themeColor="text1"/>
          <w:sz w:val="21"/>
          <w:szCs w:val="21"/>
        </w:rPr>
        <w:lastRenderedPageBreak/>
        <w:t>Capacidad Residual o K de Contratación con los siguientes documentos: […]</w:t>
      </w:r>
    </w:p>
    <w:p w14:paraId="511314C5" w14:textId="77777777" w:rsidR="00792132" w:rsidRPr="00714C3C" w:rsidRDefault="00792132" w:rsidP="00792132">
      <w:pPr>
        <w:pStyle w:val="Prrafodelista"/>
        <w:spacing w:after="0" w:line="276" w:lineRule="auto"/>
        <w:ind w:left="907" w:right="737"/>
        <w:jc w:val="both"/>
        <w:rPr>
          <w:rFonts w:ascii="Verdana" w:hAnsi="Verdana"/>
          <w:i/>
          <w:iCs/>
          <w:color w:val="000000" w:themeColor="text1"/>
          <w:sz w:val="21"/>
          <w:szCs w:val="21"/>
        </w:rPr>
      </w:pPr>
      <w:r w:rsidRPr="00714C3C">
        <w:rPr>
          <w:rFonts w:ascii="Verdana" w:hAnsi="Verdana"/>
          <w:i/>
          <w:iCs/>
          <w:color w:val="000000" w:themeColor="text1"/>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6410B397" w14:textId="77777777" w:rsidR="00792132" w:rsidRPr="00714C3C" w:rsidRDefault="00792132" w:rsidP="00792132">
      <w:pPr>
        <w:spacing w:after="0" w:line="276" w:lineRule="auto"/>
        <w:jc w:val="both"/>
        <w:rPr>
          <w:rFonts w:ascii="Verdana" w:hAnsi="Verdana"/>
          <w:color w:val="000000" w:themeColor="text1"/>
          <w:lang w:val="es-ES"/>
        </w:rPr>
      </w:pPr>
    </w:p>
    <w:p w14:paraId="6FC68284" w14:textId="77777777" w:rsidR="00792132" w:rsidRPr="009163D6" w:rsidRDefault="00792132" w:rsidP="00792132">
      <w:pPr>
        <w:pStyle w:val="Prrafodelista"/>
        <w:numPr>
          <w:ilvl w:val="0"/>
          <w:numId w:val="7"/>
        </w:numPr>
        <w:spacing w:after="0" w:line="276" w:lineRule="auto"/>
        <w:ind w:left="709"/>
        <w:jc w:val="both"/>
        <w:rPr>
          <w:rFonts w:ascii="Verdana" w:hAnsi="Verdana"/>
        </w:rPr>
      </w:pPr>
      <w:r w:rsidRPr="009163D6">
        <w:rPr>
          <w:rFonts w:ascii="Verdana" w:hAnsi="Verdana"/>
        </w:rPr>
        <w:t xml:space="preserve">De conformidad con lo anterior, la Agencia Nacional de Contratación Pública – Colombia Compra Eficiente expidió la </w:t>
      </w:r>
      <w:r>
        <w:rPr>
          <w:rFonts w:ascii="Verdana" w:hAnsi="Verdana"/>
        </w:rPr>
        <w:t>“</w:t>
      </w:r>
      <w:r w:rsidRPr="009163D6">
        <w:rPr>
          <w:rFonts w:ascii="Verdana" w:hAnsi="Verdana"/>
        </w:rPr>
        <w:t>Guía para Determinar y Verificar la Capacidad Residual del Proponente en los Procesos de Contratación de Obra Pública</w:t>
      </w:r>
      <w:r>
        <w:rPr>
          <w:rFonts w:ascii="Verdana" w:hAnsi="Verdana"/>
        </w:rPr>
        <w:t>”</w:t>
      </w:r>
      <w:r w:rsidRPr="009163D6">
        <w:rPr>
          <w:rFonts w:ascii="Verdana" w:hAnsi="Verdana"/>
        </w:rPr>
        <w:t xml:space="preserve">. Este documento establece, entre otras cuestiones, que a la entidad contratante le corresponde, primero, establecer la capacidad residual del proceso de contratación –CRPC– y, segundo, determinar si los proponentes cumplen con la capacidad residual del proceso de contratación, </w:t>
      </w:r>
      <w:r>
        <w:rPr>
          <w:rFonts w:ascii="Verdana" w:hAnsi="Verdana"/>
        </w:rPr>
        <w:t>de acuerdo con la metodología explicada en dicha guía.</w:t>
      </w:r>
    </w:p>
    <w:p w14:paraId="2D89F9EA" w14:textId="77777777" w:rsidR="00792132" w:rsidRPr="00AC2C81" w:rsidRDefault="00792132" w:rsidP="00792132">
      <w:pPr>
        <w:spacing w:after="0" w:line="276" w:lineRule="auto"/>
        <w:ind w:left="709"/>
        <w:jc w:val="both"/>
        <w:rPr>
          <w:rFonts w:ascii="Verdana" w:hAnsi="Verdana" w:cs="Arial"/>
        </w:rPr>
      </w:pPr>
    </w:p>
    <w:p w14:paraId="21455882" w14:textId="77777777" w:rsidR="00792132" w:rsidRDefault="00792132" w:rsidP="00792132">
      <w:pPr>
        <w:pStyle w:val="Prrafodelista"/>
        <w:widowControl w:val="0"/>
        <w:numPr>
          <w:ilvl w:val="0"/>
          <w:numId w:val="7"/>
        </w:numPr>
        <w:autoSpaceDE w:val="0"/>
        <w:autoSpaceDN w:val="0"/>
        <w:spacing w:after="0" w:line="276" w:lineRule="auto"/>
        <w:jc w:val="both"/>
        <w:rPr>
          <w:rFonts w:ascii="Verdana" w:hAnsi="Verdana" w:cs="Arial"/>
        </w:rPr>
      </w:pPr>
      <w:r w:rsidRPr="00910FE7">
        <w:rPr>
          <w:rFonts w:ascii="Verdana" w:hAnsi="Verdana" w:cs="Arial"/>
        </w:rPr>
        <w:t>En suma, a la entidad contratante le corresponde, por una parte, establecer la capacidad residual del proceso de contratación –CRPC– y, por la otra, determinar si los proponentes cumplen con la capacidad residual del proceso de contratación, claro está, teniendo en cuenta la información aportada por el oferente, y según los criterios y directrices de los párrafos precedentes.</w:t>
      </w:r>
    </w:p>
    <w:p w14:paraId="2A81E753" w14:textId="77777777" w:rsidR="008B7F31" w:rsidRPr="008B7F31" w:rsidRDefault="008B7F31" w:rsidP="008B7F31">
      <w:pPr>
        <w:pStyle w:val="Prrafodelista"/>
        <w:spacing w:after="0" w:line="276" w:lineRule="auto"/>
        <w:jc w:val="both"/>
        <w:rPr>
          <w:rFonts w:ascii="Century Gothic" w:eastAsia="Calibri" w:hAnsi="Century Gothic" w:cs="Arial"/>
          <w:color w:val="000000" w:themeColor="text1"/>
        </w:rPr>
      </w:pPr>
    </w:p>
    <w:p w14:paraId="524C4581" w14:textId="77777777" w:rsidR="00871B59" w:rsidRPr="00E43EBA" w:rsidRDefault="00871B59" w:rsidP="00E43EBA">
      <w:pPr>
        <w:widowControl w:val="0"/>
        <w:autoSpaceDE w:val="0"/>
        <w:autoSpaceDN w:val="0"/>
        <w:spacing w:after="0" w:line="276" w:lineRule="auto"/>
        <w:ind w:left="708" w:hanging="708"/>
        <w:jc w:val="both"/>
        <w:rPr>
          <w:rFonts w:ascii="Century Gothic" w:hAnsi="Century Gothic" w:cs="Arial"/>
        </w:rPr>
      </w:pPr>
    </w:p>
    <w:p w14:paraId="53133908"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t>Referencias normativas, jurisprudenciales y otras fuentes:</w:t>
      </w:r>
    </w:p>
    <w:p w14:paraId="237FD993"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71B59" w:rsidRPr="00E43EBA" w14:paraId="150F7C2A" w14:textId="77777777" w:rsidTr="002607A7">
        <w:trPr>
          <w:trHeight w:val="870"/>
        </w:trPr>
        <w:tc>
          <w:tcPr>
            <w:tcW w:w="8647" w:type="dxa"/>
          </w:tcPr>
          <w:p w14:paraId="0D5F2A9A" w14:textId="4989183B" w:rsidR="00E43EBA" w:rsidRDefault="00E43EBA"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Ley 1150 de 2007</w:t>
            </w:r>
          </w:p>
          <w:p w14:paraId="056656D9" w14:textId="029EE920" w:rsidR="00685FFD" w:rsidRDefault="00685FFD" w:rsidP="00871B59">
            <w:pPr>
              <w:pStyle w:val="Prrafodelista"/>
              <w:widowControl w:val="0"/>
              <w:numPr>
                <w:ilvl w:val="0"/>
                <w:numId w:val="8"/>
              </w:numPr>
              <w:tabs>
                <w:tab w:val="left" w:pos="8419"/>
              </w:tabs>
              <w:autoSpaceDE w:val="0"/>
              <w:autoSpaceDN w:val="0"/>
              <w:spacing w:after="120" w:line="276" w:lineRule="auto"/>
              <w:contextualSpacing w:val="0"/>
              <w:jc w:val="both"/>
              <w:rPr>
                <w:rFonts w:ascii="Century Gothic" w:eastAsia="Calibri" w:hAnsi="Century Gothic" w:cs="Arial"/>
                <w:color w:val="000000"/>
                <w:lang w:val="es-ES"/>
              </w:rPr>
            </w:pPr>
            <w:r w:rsidRPr="00685FFD">
              <w:rPr>
                <w:rFonts w:ascii="Century Gothic" w:eastAsia="Calibri" w:hAnsi="Century Gothic" w:cs="Arial"/>
                <w:color w:val="000000"/>
                <w:lang w:val="es-ES"/>
              </w:rPr>
              <w:t>Decreto Único Reglamentario 1082 de 2015</w:t>
            </w:r>
          </w:p>
          <w:p w14:paraId="190A1CF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Jurisprudencia del Consejo de Estado. Disponible en: </w:t>
            </w:r>
            <w:hyperlink r:id="rId14" w:history="1">
              <w:r w:rsidRPr="00E43EBA">
                <w:rPr>
                  <w:rFonts w:ascii="Century Gothic" w:eastAsia="Calibri" w:hAnsi="Century Gothic"/>
                  <w:color w:val="000000"/>
                  <w:lang w:val="es-ES"/>
                </w:rPr>
                <w:t>https://relatoria.colombiacompra.gov.co/providencias-consejo-de-</w:t>
              </w:r>
              <w:r w:rsidRPr="00E43EBA">
                <w:rPr>
                  <w:rFonts w:ascii="Century Gothic" w:eastAsia="Calibri" w:hAnsi="Century Gothic"/>
                  <w:color w:val="000000"/>
                  <w:lang w:val="es-ES"/>
                </w:rPr>
                <w:lastRenderedPageBreak/>
                <w:t>estado/</w:t>
              </w:r>
            </w:hyperlink>
            <w:r w:rsidRPr="00E43EBA">
              <w:rPr>
                <w:rFonts w:ascii="Century Gothic" w:eastAsia="Calibri" w:hAnsi="Century Gothic" w:cs="Arial"/>
                <w:color w:val="000000"/>
                <w:lang w:val="es-ES"/>
              </w:rPr>
              <w:t xml:space="preserve"> </w:t>
            </w:r>
          </w:p>
          <w:p w14:paraId="34062538" w14:textId="77777777" w:rsidR="00871B59" w:rsidRPr="00E43EBA" w:rsidRDefault="00871B59" w:rsidP="00871B59">
            <w:pPr>
              <w:pStyle w:val="Prrafodelista"/>
              <w:widowControl w:val="0"/>
              <w:numPr>
                <w:ilvl w:val="0"/>
                <w:numId w:val="8"/>
              </w:numPr>
              <w:autoSpaceDE w:val="0"/>
              <w:autoSpaceDN w:val="0"/>
              <w:spacing w:after="120" w:line="276" w:lineRule="auto"/>
              <w:contextualSpacing w:val="0"/>
              <w:jc w:val="both"/>
              <w:rPr>
                <w:rFonts w:ascii="Century Gothic" w:eastAsia="Calibri" w:hAnsi="Century Gothic" w:cs="Arial"/>
                <w:color w:val="000000"/>
                <w:lang w:val="es-ES"/>
              </w:rPr>
            </w:pPr>
            <w:r w:rsidRPr="00E43EBA">
              <w:rPr>
                <w:rFonts w:ascii="Century Gothic" w:eastAsia="Calibri" w:hAnsi="Century Gothic" w:cs="Arial"/>
                <w:color w:val="000000"/>
                <w:lang w:val="es-ES"/>
              </w:rPr>
              <w:t xml:space="preserve">Guías y manuales expedidos por la ANCP-CCE. Disponible en: </w:t>
            </w:r>
            <w:hyperlink r:id="rId15" w:history="1">
              <w:r w:rsidRPr="00E43EBA">
                <w:rPr>
                  <w:rFonts w:ascii="Century Gothic" w:eastAsia="Calibri" w:hAnsi="Century Gothic"/>
                  <w:color w:val="000000"/>
                  <w:lang w:val="es-ES"/>
                </w:rPr>
                <w:t>https://www.colombiacompra.gov.co/manuales-guias-y-pliegos-tipo/manuales-y-guias</w:t>
              </w:r>
            </w:hyperlink>
            <w:r w:rsidRPr="00E43EBA">
              <w:rPr>
                <w:rFonts w:ascii="Century Gothic" w:eastAsia="Calibri" w:hAnsi="Century Gothic" w:cs="Arial"/>
                <w:color w:val="000000"/>
                <w:lang w:val="es-ES"/>
              </w:rPr>
              <w:t xml:space="preserve"> </w:t>
            </w:r>
          </w:p>
          <w:p w14:paraId="6ACEA7FD" w14:textId="77777777" w:rsidR="00871B59" w:rsidRPr="00E43EBA" w:rsidRDefault="00871B59" w:rsidP="002607A7">
            <w:pPr>
              <w:widowControl w:val="0"/>
              <w:autoSpaceDE w:val="0"/>
              <w:autoSpaceDN w:val="0"/>
              <w:spacing w:after="120" w:line="276" w:lineRule="auto"/>
              <w:ind w:left="360"/>
              <w:jc w:val="both"/>
              <w:rPr>
                <w:rFonts w:ascii="Century Gothic" w:hAnsi="Century Gothic" w:cs="Arial"/>
              </w:rPr>
            </w:pPr>
          </w:p>
        </w:tc>
      </w:tr>
    </w:tbl>
    <w:p w14:paraId="40380BCB" w14:textId="77777777" w:rsidR="00871B59" w:rsidRPr="00E43EBA" w:rsidRDefault="00871B59" w:rsidP="00871B59">
      <w:pPr>
        <w:pStyle w:val="Prrafodelista"/>
        <w:numPr>
          <w:ilvl w:val="0"/>
          <w:numId w:val="4"/>
        </w:numPr>
        <w:tabs>
          <w:tab w:val="left" w:pos="142"/>
          <w:tab w:val="left" w:pos="284"/>
        </w:tabs>
        <w:spacing w:after="0" w:line="276" w:lineRule="auto"/>
        <w:ind w:left="0" w:firstLine="0"/>
        <w:contextualSpacing w:val="0"/>
        <w:jc w:val="both"/>
        <w:rPr>
          <w:rFonts w:ascii="Century Gothic" w:eastAsia="Century Gothic" w:hAnsi="Century Gothic" w:cs="Century Gothic"/>
          <w:b/>
          <w:bCs/>
          <w:lang w:val="es-ES"/>
        </w:rPr>
      </w:pPr>
      <w:r w:rsidRPr="00E43EBA">
        <w:rPr>
          <w:rFonts w:ascii="Century Gothic" w:eastAsia="Century Gothic" w:hAnsi="Century Gothic" w:cs="Century Gothic"/>
          <w:b/>
          <w:bCs/>
          <w:lang w:val="es-ES"/>
        </w:rPr>
        <w:lastRenderedPageBreak/>
        <w:t>Doctrina de la Agencia Nacional de Contratación Pública:</w:t>
      </w:r>
    </w:p>
    <w:p w14:paraId="0A6FE44F" w14:textId="77777777" w:rsidR="00685FFD" w:rsidRPr="00E43EBA" w:rsidRDefault="00685FFD" w:rsidP="00871B59">
      <w:pPr>
        <w:widowControl w:val="0"/>
        <w:autoSpaceDE w:val="0"/>
        <w:autoSpaceDN w:val="0"/>
        <w:spacing w:after="0" w:line="276" w:lineRule="auto"/>
        <w:jc w:val="both"/>
        <w:rPr>
          <w:rFonts w:ascii="Century Gothic" w:hAnsi="Century Gothic" w:cs="Arial"/>
        </w:rPr>
      </w:pPr>
    </w:p>
    <w:p w14:paraId="688C30E7" w14:textId="56F61182" w:rsidR="00871B59" w:rsidRPr="00E43EBA" w:rsidRDefault="007A7364" w:rsidP="00871B59">
      <w:pPr>
        <w:widowControl w:val="0"/>
        <w:autoSpaceDE w:val="0"/>
        <w:autoSpaceDN w:val="0"/>
        <w:spacing w:after="0" w:line="276" w:lineRule="auto"/>
        <w:jc w:val="both"/>
        <w:rPr>
          <w:rStyle w:val="normaltextrun"/>
          <w:rFonts w:ascii="Century Gothic" w:hAnsi="Century Gothic" w:cs="Arial"/>
          <w:color w:val="7030A0"/>
          <w:shd w:val="clear" w:color="auto" w:fill="FFFFFF"/>
          <w:lang w:val="es-ES"/>
        </w:rPr>
      </w:pPr>
      <w:r w:rsidRPr="00E43EBA">
        <w:rPr>
          <w:rFonts w:ascii="Century Gothic" w:eastAsia="Calibri" w:hAnsi="Century Gothic" w:cs="Arial"/>
          <w:color w:val="000000"/>
        </w:rPr>
        <w:t>L</w:t>
      </w:r>
      <w:r w:rsidRPr="00E43EBA">
        <w:rPr>
          <w:rFonts w:ascii="Century Gothic" w:eastAsia="Calibri" w:hAnsi="Century Gothic" w:cs="Arial"/>
          <w:color w:val="000000"/>
          <w:lang w:val="es-ES"/>
        </w:rPr>
        <w:t>a Agencia Nacional de Contratación Pública – Colombia Compra Eficiente, en lo</w:t>
      </w:r>
      <w:r w:rsidR="00600948">
        <w:rPr>
          <w:rFonts w:ascii="Century Gothic" w:eastAsia="Calibri" w:hAnsi="Century Gothic" w:cs="Arial"/>
          <w:color w:val="000000"/>
          <w:lang w:val="es-ES"/>
        </w:rPr>
        <w:t>s</w:t>
      </w:r>
      <w:r w:rsidR="00E43EBA">
        <w:rPr>
          <w:rFonts w:ascii="Century Gothic" w:eastAsia="Calibri" w:hAnsi="Century Gothic" w:cs="Arial"/>
          <w:color w:val="000000"/>
          <w:lang w:val="es-ES"/>
        </w:rPr>
        <w:t xml:space="preserve"> </w:t>
      </w:r>
      <w:r w:rsidR="0031699C" w:rsidRPr="00685FFD">
        <w:rPr>
          <w:rFonts w:ascii="Century Gothic" w:eastAsia="Calibri" w:hAnsi="Century Gothic" w:cs="Arial"/>
          <w:color w:val="000000"/>
          <w:lang w:val="es-ES"/>
        </w:rPr>
        <w:t>Conceptos número</w:t>
      </w:r>
      <w:r w:rsidR="00685FFD" w:rsidRPr="00685FFD">
        <w:rPr>
          <w:rFonts w:ascii="Century Gothic" w:eastAsia="Calibri" w:hAnsi="Century Gothic" w:cs="Arial"/>
          <w:color w:val="000000"/>
          <w:lang w:val="es-ES"/>
        </w:rPr>
        <w:t xml:space="preserve"> Conceptos</w:t>
      </w:r>
      <w:r w:rsidR="00D17400" w:rsidRPr="00AC6764">
        <w:rPr>
          <w:rFonts w:ascii="Century Gothic" w:eastAsia="Calibri" w:hAnsi="Century Gothic" w:cs="Arial"/>
          <w:color w:val="000000"/>
          <w:lang w:val="es-ES"/>
        </w:rPr>
        <w:t xml:space="preserve"> </w:t>
      </w:r>
      <w:r w:rsidR="00AC6764" w:rsidRPr="00AC6764">
        <w:rPr>
          <w:rFonts w:ascii="Century Gothic" w:eastAsia="Calibri" w:hAnsi="Century Gothic"/>
          <w:color w:val="000000"/>
        </w:rPr>
        <w:t>del 27 de agosto y el 20 y 26 (2) de diciembre de 2019 −radicados Nos. 2201913000006275, 2201913000009465, 2201913000009642 y 2201913000009640−. Así como también en los conceptos C-022, C-089, C-112, C-133, C-222 y C-458 de 2020</w:t>
      </w:r>
      <w:r w:rsidR="00685FFD" w:rsidRPr="00685FFD">
        <w:rPr>
          <w:rFonts w:ascii="Century Gothic" w:eastAsia="Calibri" w:hAnsi="Century Gothic" w:cs="Arial"/>
          <w:color w:val="000000"/>
          <w:lang w:val="es-ES"/>
        </w:rPr>
        <w:t>, entre otros</w:t>
      </w:r>
      <w:r w:rsidRPr="00E43EBA">
        <w:rPr>
          <w:rFonts w:ascii="Century Gothic" w:eastAsia="Calibri" w:hAnsi="Century Gothic" w:cs="Arial"/>
          <w:color w:val="000000"/>
          <w:lang w:val="es-ES"/>
        </w:rPr>
        <w:t>.</w:t>
      </w:r>
      <w:r w:rsidR="00685FFD">
        <w:rPr>
          <w:rFonts w:ascii="Century Gothic" w:eastAsia="Calibri" w:hAnsi="Century Gothic" w:cs="Arial"/>
          <w:color w:val="000000"/>
          <w:lang w:val="es-ES"/>
        </w:rPr>
        <w:t xml:space="preserve"> </w:t>
      </w:r>
      <w:r w:rsidR="00871B59" w:rsidRPr="00AC6764">
        <w:rPr>
          <w:rFonts w:eastAsia="Calibri"/>
          <w:color w:val="000000"/>
        </w:rPr>
        <w:t>Es</w:t>
      </w:r>
      <w:r w:rsidR="00871B59" w:rsidRPr="00AC6764">
        <w:rPr>
          <w:rFonts w:ascii="Century Gothic" w:eastAsia="Calibri" w:hAnsi="Century Gothic" w:cs="Arial"/>
          <w:color w:val="000000"/>
          <w:lang w:val="es-ES"/>
        </w:rPr>
        <w:t>tos</w:t>
      </w:r>
      <w:r w:rsidR="00871B59" w:rsidRPr="00E43EBA">
        <w:rPr>
          <w:rFonts w:ascii="Century Gothic" w:hAnsi="Century Gothic"/>
        </w:rPr>
        <w:t xml:space="preserve"> y otros conceptos se encuentran disponibles para consulta en el Sistema de relatoría de la Agencia, al cual se puede acceder a través del siguiente enlace:</w:t>
      </w:r>
      <w:r w:rsidR="00871B59" w:rsidRPr="00E43EBA">
        <w:rPr>
          <w:rStyle w:val="normaltextrun"/>
          <w:rFonts w:ascii="Century Gothic" w:hAnsi="Century Gothic" w:cs="Arial"/>
          <w:shd w:val="clear" w:color="auto" w:fill="FFFFFF"/>
          <w:lang w:val="es-ES"/>
        </w:rPr>
        <w:t xml:space="preserve"> </w:t>
      </w:r>
      <w:hyperlink r:id="rId16" w:history="1">
        <w:r w:rsidR="00871B59" w:rsidRPr="00E43EBA">
          <w:rPr>
            <w:rStyle w:val="Hipervnculo"/>
            <w:rFonts w:ascii="Century Gothic" w:hAnsi="Century Gothic" w:cs="Arial"/>
            <w:shd w:val="clear" w:color="auto" w:fill="FFFFFF"/>
            <w:lang w:val="es-ES"/>
          </w:rPr>
          <w:t>https://relatoria.colombiacompra.gov.co/busqueda/conceptos</w:t>
        </w:r>
      </w:hyperlink>
      <w:r w:rsidR="00871B59" w:rsidRPr="00E43EBA">
        <w:rPr>
          <w:rStyle w:val="normaltextrun"/>
          <w:rFonts w:ascii="Century Gothic" w:hAnsi="Century Gothic" w:cs="Arial"/>
          <w:color w:val="FF0000"/>
          <w:shd w:val="clear" w:color="auto" w:fill="FFFFFF"/>
          <w:lang w:val="es-ES"/>
        </w:rPr>
        <w:t xml:space="preserve">. </w:t>
      </w:r>
    </w:p>
    <w:p w14:paraId="653CF3BE" w14:textId="77777777" w:rsidR="00871B59" w:rsidRPr="00E43EBA" w:rsidRDefault="00871B59" w:rsidP="00871B59">
      <w:pPr>
        <w:widowControl w:val="0"/>
        <w:autoSpaceDE w:val="0"/>
        <w:autoSpaceDN w:val="0"/>
        <w:spacing w:after="0" w:line="276" w:lineRule="auto"/>
        <w:jc w:val="both"/>
        <w:rPr>
          <w:rStyle w:val="normaltextrun"/>
          <w:rFonts w:ascii="Century Gothic" w:hAnsi="Century Gothic" w:cs="Arial"/>
          <w:color w:val="FF0000"/>
          <w:shd w:val="clear" w:color="auto" w:fill="FFFFFF"/>
          <w:lang w:val="es-ES"/>
        </w:rPr>
      </w:pPr>
    </w:p>
    <w:p w14:paraId="1570ED43"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Por último, lo invitamos a seguirnos en las redes sociales en las cuales se difunde información institucional: </w:t>
      </w:r>
    </w:p>
    <w:p w14:paraId="284AF384" w14:textId="77777777" w:rsidR="008815E5" w:rsidRPr="00E43EBA" w:rsidRDefault="008815E5" w:rsidP="008815E5">
      <w:pPr>
        <w:spacing w:after="0" w:line="240" w:lineRule="auto"/>
        <w:jc w:val="both"/>
        <w:rPr>
          <w:rFonts w:ascii="Century Gothic" w:hAnsi="Century Gothic"/>
        </w:rPr>
      </w:pPr>
    </w:p>
    <w:p w14:paraId="5E6CD010"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Twitter: </w:t>
      </w:r>
      <w:r w:rsidRPr="00E43EBA">
        <w:rPr>
          <w:rStyle w:val="Hipervnculo"/>
          <w:rFonts w:ascii="Century Gothic" w:hAnsi="Century Gothic"/>
          <w:color w:val="4472C4" w:themeColor="accent1"/>
        </w:rPr>
        <w:t>@colombiacompra</w:t>
      </w:r>
      <w:r w:rsidRPr="00E43EBA">
        <w:rPr>
          <w:rFonts w:ascii="Century Gothic" w:hAnsi="Century Gothic"/>
          <w:color w:val="4472C4" w:themeColor="accent1"/>
        </w:rPr>
        <w:t xml:space="preserve"> </w:t>
      </w:r>
    </w:p>
    <w:p w14:paraId="0F76F019"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Facebook: </w:t>
      </w:r>
      <w:r w:rsidRPr="00E43EBA">
        <w:rPr>
          <w:rStyle w:val="Hipervnculo"/>
          <w:rFonts w:ascii="Century Gothic" w:hAnsi="Century Gothic"/>
          <w:color w:val="4472C4" w:themeColor="accent1"/>
        </w:rPr>
        <w:t>ColombiaCompraEficiente</w:t>
      </w:r>
    </w:p>
    <w:p w14:paraId="60E5B357" w14:textId="77777777" w:rsidR="008815E5" w:rsidRPr="00E43EBA" w:rsidRDefault="008815E5" w:rsidP="008815E5">
      <w:pPr>
        <w:spacing w:after="0" w:line="240" w:lineRule="auto"/>
        <w:jc w:val="both"/>
        <w:rPr>
          <w:rFonts w:ascii="Century Gothic" w:hAnsi="Century Gothic"/>
        </w:rPr>
      </w:pPr>
      <w:r w:rsidRPr="00E43EBA">
        <w:rPr>
          <w:rFonts w:ascii="Century Gothic" w:hAnsi="Century Gothic"/>
        </w:rPr>
        <w:t xml:space="preserve">LinkedIn: </w:t>
      </w:r>
      <w:r w:rsidRPr="00E43EBA">
        <w:rPr>
          <w:rStyle w:val="Hipervnculo"/>
          <w:rFonts w:ascii="Century Gothic" w:hAnsi="Century Gothic"/>
          <w:color w:val="4472C4" w:themeColor="accent1"/>
        </w:rPr>
        <w:t>Agencia Nacional de Contratación Pública - Colombia Compra Eficiente</w:t>
      </w:r>
      <w:r w:rsidRPr="00E43EBA">
        <w:rPr>
          <w:rFonts w:ascii="Century Gothic" w:hAnsi="Century Gothic"/>
          <w:color w:val="4472C4" w:themeColor="accent1"/>
        </w:rPr>
        <w:t xml:space="preserve"> </w:t>
      </w:r>
      <w:r w:rsidRPr="00E43EBA">
        <w:rPr>
          <w:rFonts w:ascii="Century Gothic" w:hAnsi="Century Gothic"/>
        </w:rPr>
        <w:t xml:space="preserve">Instagram: </w:t>
      </w:r>
      <w:r w:rsidRPr="00E43EBA">
        <w:rPr>
          <w:rStyle w:val="Hipervnculo"/>
          <w:rFonts w:ascii="Century Gothic" w:hAnsi="Century Gothic"/>
          <w:color w:val="4472C4" w:themeColor="accent1"/>
        </w:rPr>
        <w:t>@colombiacompraeficiente_cce</w:t>
      </w:r>
    </w:p>
    <w:p w14:paraId="6980ECB3" w14:textId="77777777" w:rsidR="00871B59" w:rsidRDefault="00871B59" w:rsidP="00871B59">
      <w:pPr>
        <w:widowControl w:val="0"/>
        <w:autoSpaceDE w:val="0"/>
        <w:autoSpaceDN w:val="0"/>
        <w:spacing w:after="0" w:line="276" w:lineRule="auto"/>
        <w:jc w:val="both"/>
        <w:rPr>
          <w:rFonts w:ascii="Century Gothic" w:hAnsi="Century Gothic" w:cs="Arial"/>
        </w:rPr>
      </w:pPr>
    </w:p>
    <w:p w14:paraId="120572E9" w14:textId="77777777" w:rsidR="00871B59" w:rsidRPr="00E43EBA" w:rsidRDefault="00871B59" w:rsidP="00871B59">
      <w:pPr>
        <w:widowControl w:val="0"/>
        <w:autoSpaceDE w:val="0"/>
        <w:autoSpaceDN w:val="0"/>
        <w:spacing w:after="0" w:line="276" w:lineRule="auto"/>
        <w:jc w:val="both"/>
        <w:rPr>
          <w:rFonts w:ascii="Century Gothic" w:hAnsi="Century Gothic" w:cs="Arial"/>
          <w:lang w:val="es-ES_tradnl"/>
        </w:rPr>
      </w:pPr>
      <w:r w:rsidRPr="00E43EBA">
        <w:rPr>
          <w:rFonts w:ascii="Century Gothic" w:hAnsi="Century Gothic" w:cs="Arial"/>
        </w:rPr>
        <w:t xml:space="preserve">Este concepto tiene el alcance previsto en el artículo 28 del Código de Procedimiento Administrativo y de lo Contencioso Administrativo </w:t>
      </w:r>
      <w:r w:rsidRPr="00E43EBA">
        <w:rPr>
          <w:rFonts w:ascii="Century Gothic" w:hAnsi="Century Gothic" w:cs="Arial"/>
          <w:lang w:val="es-ES_tradnl"/>
        </w:rPr>
        <w:t>y las expresiones aquí utilizadas con mayúscula inicial deben ser entendidas con el significado que les otorga el artículo 2.2.1.1.1.3.1. del Decreto 1082 de 2015.</w:t>
      </w:r>
    </w:p>
    <w:p w14:paraId="76160CFD" w14:textId="77777777" w:rsidR="00871B59" w:rsidRPr="00E43EBA" w:rsidRDefault="00871B59" w:rsidP="00871B59">
      <w:pPr>
        <w:widowControl w:val="0"/>
        <w:autoSpaceDE w:val="0"/>
        <w:autoSpaceDN w:val="0"/>
        <w:spacing w:after="0" w:line="276" w:lineRule="auto"/>
        <w:jc w:val="both"/>
        <w:rPr>
          <w:rFonts w:ascii="Century Gothic" w:hAnsi="Century Gothic" w:cs="Arial"/>
        </w:rPr>
      </w:pPr>
    </w:p>
    <w:p w14:paraId="46FD3687" w14:textId="77777777" w:rsidR="00871B59" w:rsidRPr="00E43EBA" w:rsidRDefault="00871B59" w:rsidP="00871B59">
      <w:pPr>
        <w:spacing w:after="0" w:line="240" w:lineRule="auto"/>
        <w:rPr>
          <w:rFonts w:ascii="Century Gothic" w:hAnsi="Century Gothic" w:cs="Arial"/>
          <w:lang w:eastAsia="es-CO"/>
        </w:rPr>
      </w:pPr>
      <w:r w:rsidRPr="00E43EBA">
        <w:rPr>
          <w:rFonts w:ascii="Century Gothic" w:eastAsia="Times New Roman" w:hAnsi="Century Gothic" w:cs="Arial"/>
          <w:lang w:eastAsia="es-CO"/>
        </w:rPr>
        <w:t>Atentamente,</w:t>
      </w:r>
      <w:r w:rsidRPr="00E43EBA">
        <w:rPr>
          <w:rFonts w:ascii="Century Gothic" w:hAnsi="Century Gothic" w:cs="Arial"/>
          <w:lang w:eastAsia="es-CO"/>
        </w:rPr>
        <w:t xml:space="preserve"> </w:t>
      </w:r>
    </w:p>
    <w:p w14:paraId="7B21B32E" w14:textId="5FDF7B5B" w:rsidR="00871B59" w:rsidRPr="00593A5F" w:rsidRDefault="009C14E5" w:rsidP="00871B59">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1B8C4AEC" wp14:editId="7022F2AF">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216C2F" w:rsidRPr="0007780B" w14:paraId="60FC5E85" w14:textId="77777777" w:rsidTr="000C04CD">
        <w:trPr>
          <w:trHeight w:val="315"/>
        </w:trPr>
        <w:tc>
          <w:tcPr>
            <w:tcW w:w="810" w:type="dxa"/>
            <w:tcBorders>
              <w:top w:val="nil"/>
              <w:left w:val="nil"/>
              <w:bottom w:val="nil"/>
              <w:right w:val="nil"/>
            </w:tcBorders>
            <w:shd w:val="clear" w:color="auto" w:fill="auto"/>
            <w:vAlign w:val="center"/>
            <w:hideMark/>
          </w:tcPr>
          <w:p w14:paraId="0F49C6AE" w14:textId="77777777" w:rsidR="00216C2F" w:rsidRPr="0007780B" w:rsidRDefault="00216C2F" w:rsidP="000C04CD">
            <w:pPr>
              <w:spacing w:after="0" w:line="240" w:lineRule="auto"/>
              <w:jc w:val="both"/>
              <w:textAlignment w:val="baseline"/>
              <w:rPr>
                <w:rFonts w:ascii="Verdana" w:eastAsia="Times New Roman" w:hAnsi="Verdana" w:cs="Segoe UI"/>
                <w:sz w:val="18"/>
                <w:szCs w:val="18"/>
                <w:lang w:eastAsia="es-CO"/>
              </w:rPr>
            </w:pPr>
            <w:r w:rsidRPr="0007780B">
              <w:rPr>
                <w:rFonts w:ascii="Verdana" w:eastAsia="Times New Roman" w:hAnsi="Verdana" w:cs="Arial"/>
                <w:sz w:val="16"/>
                <w:szCs w:val="16"/>
                <w:lang w:eastAsia="es-CO"/>
              </w:rPr>
              <w:t>Elaboró: </w:t>
            </w:r>
            <w:r w:rsidRPr="0007780B">
              <w:rPr>
                <w:rFonts w:ascii="Verdana" w:eastAsia="Times New Roman" w:hAnsi="Verdana" w:cs="Century Gothic"/>
                <w:sz w:val="16"/>
                <w:szCs w:val="16"/>
                <w:lang w:eastAsia="es-CO"/>
              </w:rPr>
              <w:t> </w:t>
            </w:r>
          </w:p>
        </w:tc>
        <w:tc>
          <w:tcPr>
            <w:tcW w:w="4410" w:type="dxa"/>
            <w:tcBorders>
              <w:top w:val="nil"/>
              <w:left w:val="nil"/>
              <w:bottom w:val="dotted" w:sz="6" w:space="0" w:color="7F7F7F" w:themeColor="text1" w:themeTint="80"/>
              <w:right w:val="nil"/>
            </w:tcBorders>
            <w:shd w:val="clear" w:color="auto" w:fill="auto"/>
            <w:vAlign w:val="center"/>
            <w:hideMark/>
          </w:tcPr>
          <w:p w14:paraId="1C57BEA8" w14:textId="77777777" w:rsidR="00216C2F" w:rsidRPr="0007780B" w:rsidRDefault="00216C2F" w:rsidP="000C04CD">
            <w:pPr>
              <w:spacing w:after="0" w:line="240" w:lineRule="auto"/>
              <w:jc w:val="both"/>
              <w:rPr>
                <w:rFonts w:ascii="Verdana" w:eastAsia="Calibri" w:hAnsi="Verdana" w:cs="Arial"/>
                <w:sz w:val="16"/>
                <w:szCs w:val="16"/>
              </w:rPr>
            </w:pPr>
            <w:r w:rsidRPr="0007780B">
              <w:rPr>
                <w:rFonts w:ascii="Verdana" w:eastAsia="Calibri" w:hAnsi="Verdana" w:cs="Arial"/>
                <w:sz w:val="16"/>
                <w:szCs w:val="16"/>
              </w:rPr>
              <w:t xml:space="preserve">Diana Carolina Blanco Rodriguez </w:t>
            </w:r>
          </w:p>
          <w:p w14:paraId="6D39E468" w14:textId="77777777" w:rsidR="00216C2F" w:rsidRPr="0007780B" w:rsidRDefault="00216C2F" w:rsidP="000C04CD">
            <w:pPr>
              <w:spacing w:after="0" w:line="240" w:lineRule="auto"/>
              <w:jc w:val="both"/>
              <w:rPr>
                <w:rFonts w:ascii="Verdana" w:eastAsia="Calibri" w:hAnsi="Verdana" w:cs="Arial"/>
                <w:sz w:val="16"/>
                <w:szCs w:val="16"/>
              </w:rPr>
            </w:pPr>
            <w:r w:rsidRPr="0007780B">
              <w:rPr>
                <w:rFonts w:ascii="Verdana" w:eastAsia="Calibri" w:hAnsi="Verdana" w:cs="Arial"/>
                <w:sz w:val="16"/>
                <w:szCs w:val="16"/>
              </w:rPr>
              <w:t>Contratista de la Subdirección de Gestión Contractual</w:t>
            </w:r>
          </w:p>
        </w:tc>
      </w:tr>
      <w:tr w:rsidR="00216C2F" w:rsidRPr="0007780B" w14:paraId="4B032275" w14:textId="77777777" w:rsidTr="000C04CD">
        <w:trPr>
          <w:trHeight w:val="315"/>
        </w:trPr>
        <w:tc>
          <w:tcPr>
            <w:tcW w:w="810" w:type="dxa"/>
            <w:tcBorders>
              <w:top w:val="nil"/>
              <w:left w:val="nil"/>
              <w:bottom w:val="nil"/>
              <w:right w:val="nil"/>
            </w:tcBorders>
            <w:shd w:val="clear" w:color="auto" w:fill="auto"/>
            <w:vAlign w:val="center"/>
            <w:hideMark/>
          </w:tcPr>
          <w:p w14:paraId="4CC2EE28" w14:textId="77777777" w:rsidR="00216C2F" w:rsidRPr="0007780B" w:rsidRDefault="00216C2F" w:rsidP="000C04CD">
            <w:pPr>
              <w:spacing w:after="0" w:line="240" w:lineRule="auto"/>
              <w:jc w:val="both"/>
              <w:textAlignment w:val="baseline"/>
              <w:rPr>
                <w:rFonts w:ascii="Verdana" w:eastAsia="Times New Roman" w:hAnsi="Verdana" w:cs="Segoe UI"/>
                <w:sz w:val="18"/>
                <w:szCs w:val="18"/>
                <w:lang w:eastAsia="es-CO"/>
              </w:rPr>
            </w:pPr>
            <w:r w:rsidRPr="0007780B">
              <w:rPr>
                <w:rFonts w:ascii="Verdana" w:eastAsia="Times New Roman" w:hAnsi="Verdana" w:cs="Arial"/>
                <w:sz w:val="16"/>
                <w:szCs w:val="16"/>
                <w:lang w:eastAsia="es-CO"/>
              </w:rPr>
              <w:t>Revisó: </w:t>
            </w:r>
            <w:r w:rsidRPr="0007780B">
              <w:rPr>
                <w:rFonts w:ascii="Verdana" w:eastAsia="Times New Roman" w:hAnsi="Verdana" w:cs="Century Gothic"/>
                <w:sz w:val="16"/>
                <w:szCs w:val="16"/>
                <w:lang w:eastAsia="es-CO"/>
              </w:rPr>
              <w:t> </w:t>
            </w:r>
          </w:p>
        </w:tc>
        <w:tc>
          <w:tcPr>
            <w:tcW w:w="4410"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6D374633" w14:textId="77777777" w:rsidR="00216C2F" w:rsidRPr="0007780B" w:rsidRDefault="00216C2F" w:rsidP="000C04CD">
            <w:pPr>
              <w:spacing w:after="0" w:line="240" w:lineRule="auto"/>
              <w:jc w:val="both"/>
              <w:rPr>
                <w:rFonts w:ascii="Verdana" w:eastAsia="Calibri" w:hAnsi="Verdana" w:cs="Arial"/>
                <w:sz w:val="16"/>
                <w:szCs w:val="16"/>
              </w:rPr>
            </w:pPr>
            <w:r w:rsidRPr="0007780B">
              <w:rPr>
                <w:rFonts w:ascii="Verdana" w:eastAsia="Calibri" w:hAnsi="Verdana" w:cs="Arial"/>
                <w:sz w:val="16"/>
                <w:szCs w:val="16"/>
              </w:rPr>
              <w:t>Juan David Cárdenas Cabeza</w:t>
            </w:r>
          </w:p>
          <w:p w14:paraId="7C8D1247" w14:textId="77777777" w:rsidR="00216C2F" w:rsidRPr="0007780B" w:rsidRDefault="00216C2F" w:rsidP="000C04CD">
            <w:pPr>
              <w:spacing w:after="0" w:line="240" w:lineRule="auto"/>
              <w:jc w:val="both"/>
              <w:rPr>
                <w:rFonts w:ascii="Verdana" w:eastAsia="Calibri" w:hAnsi="Verdana" w:cs="Arial"/>
                <w:sz w:val="16"/>
                <w:szCs w:val="16"/>
              </w:rPr>
            </w:pPr>
            <w:r w:rsidRPr="0007780B">
              <w:rPr>
                <w:rFonts w:ascii="Verdana" w:eastAsia="Calibri" w:hAnsi="Verdana" w:cs="Arial"/>
                <w:sz w:val="16"/>
                <w:szCs w:val="16"/>
              </w:rPr>
              <w:t>Contratista de la Subdirección de Gestión Contractual</w:t>
            </w:r>
          </w:p>
        </w:tc>
      </w:tr>
      <w:tr w:rsidR="00216C2F" w:rsidRPr="0007780B" w14:paraId="53593642" w14:textId="77777777" w:rsidTr="000C04CD">
        <w:trPr>
          <w:trHeight w:val="300"/>
        </w:trPr>
        <w:tc>
          <w:tcPr>
            <w:tcW w:w="810" w:type="dxa"/>
            <w:tcBorders>
              <w:top w:val="nil"/>
              <w:left w:val="nil"/>
              <w:bottom w:val="nil"/>
              <w:right w:val="nil"/>
            </w:tcBorders>
            <w:shd w:val="clear" w:color="auto" w:fill="auto"/>
            <w:vAlign w:val="center"/>
            <w:hideMark/>
          </w:tcPr>
          <w:p w14:paraId="524DB54D" w14:textId="77777777" w:rsidR="00216C2F" w:rsidRPr="0007780B" w:rsidRDefault="00216C2F" w:rsidP="000C04CD">
            <w:pPr>
              <w:spacing w:after="0" w:line="240" w:lineRule="auto"/>
              <w:jc w:val="both"/>
              <w:textAlignment w:val="baseline"/>
              <w:rPr>
                <w:rFonts w:ascii="Verdana" w:eastAsia="Times New Roman" w:hAnsi="Verdana" w:cs="Segoe UI"/>
                <w:sz w:val="18"/>
                <w:szCs w:val="18"/>
                <w:lang w:eastAsia="es-CO"/>
              </w:rPr>
            </w:pPr>
            <w:r w:rsidRPr="0007780B">
              <w:rPr>
                <w:rFonts w:ascii="Verdana" w:eastAsia="Times New Roman" w:hAnsi="Verdana" w:cs="Arial"/>
                <w:sz w:val="16"/>
                <w:szCs w:val="16"/>
                <w:lang w:eastAsia="es-CO"/>
              </w:rPr>
              <w:t>Aprobó: </w:t>
            </w:r>
            <w:r w:rsidRPr="0007780B">
              <w:rPr>
                <w:rFonts w:ascii="Verdana" w:eastAsia="Times New Roman" w:hAnsi="Verdana" w:cs="Century Gothic"/>
                <w:sz w:val="16"/>
                <w:szCs w:val="16"/>
                <w:lang w:eastAsia="es-CO"/>
              </w:rPr>
              <w:t> </w:t>
            </w:r>
          </w:p>
        </w:tc>
        <w:tc>
          <w:tcPr>
            <w:tcW w:w="4410"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0A3119CD" w14:textId="77777777" w:rsidR="00216C2F" w:rsidRPr="0007780B" w:rsidRDefault="00216C2F" w:rsidP="000C04CD">
            <w:pPr>
              <w:spacing w:after="0" w:line="240" w:lineRule="auto"/>
              <w:jc w:val="both"/>
              <w:textAlignment w:val="baseline"/>
              <w:rPr>
                <w:rFonts w:ascii="Verdana" w:eastAsia="Calibri" w:hAnsi="Verdana" w:cs="Arial"/>
                <w:sz w:val="16"/>
                <w:szCs w:val="16"/>
              </w:rPr>
            </w:pPr>
            <w:r w:rsidRPr="0007780B">
              <w:rPr>
                <w:rFonts w:ascii="Verdana" w:eastAsia="Calibri" w:hAnsi="Verdana" w:cs="Arial"/>
                <w:sz w:val="16"/>
                <w:szCs w:val="16"/>
              </w:rPr>
              <w:t>Carolina Quintero Gacharná</w:t>
            </w:r>
          </w:p>
          <w:p w14:paraId="18B7843F" w14:textId="77777777" w:rsidR="00216C2F" w:rsidRPr="0007780B" w:rsidRDefault="00216C2F" w:rsidP="000C04CD">
            <w:pPr>
              <w:spacing w:after="0" w:line="240" w:lineRule="auto"/>
              <w:jc w:val="both"/>
              <w:textAlignment w:val="baseline"/>
              <w:rPr>
                <w:rFonts w:ascii="Verdana" w:eastAsia="Calibri" w:hAnsi="Verdana" w:cs="Arial"/>
                <w:sz w:val="16"/>
                <w:szCs w:val="16"/>
              </w:rPr>
            </w:pPr>
            <w:r w:rsidRPr="0007780B">
              <w:rPr>
                <w:rFonts w:ascii="Verdana" w:eastAsia="Calibri" w:hAnsi="Verdana" w:cs="Arial"/>
                <w:sz w:val="16"/>
                <w:szCs w:val="16"/>
              </w:rPr>
              <w:t>Subdirectora de Gestión Contractual ANCP-CCE </w:t>
            </w:r>
          </w:p>
        </w:tc>
      </w:tr>
    </w:tbl>
    <w:p w14:paraId="510CF084" w14:textId="77777777" w:rsidR="00871B59" w:rsidRPr="00593A5F" w:rsidRDefault="00871B59" w:rsidP="00871B59">
      <w:pPr>
        <w:spacing w:after="0" w:line="240" w:lineRule="auto"/>
        <w:rPr>
          <w:rFonts w:ascii="Verdana" w:eastAsia="Times New Roman" w:hAnsi="Verdana" w:cs="Arial"/>
          <w:sz w:val="24"/>
          <w:szCs w:val="24"/>
          <w:lang w:eastAsia="es-ES"/>
        </w:rPr>
      </w:pPr>
    </w:p>
    <w:p w14:paraId="0083C991" w14:textId="5C765C2F" w:rsidR="5D8505AD" w:rsidRPr="00871B59" w:rsidRDefault="5D8505AD" w:rsidP="00871B59"/>
    <w:sectPr w:rsidR="5D8505AD" w:rsidRPr="00871B59" w:rsidSect="00E45F4B">
      <w:headerReference w:type="default" r:id="rId18"/>
      <w:footerReference w:type="default" r:id="rId1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96528" w14:textId="77777777" w:rsidR="00462381" w:rsidRDefault="00462381" w:rsidP="00B30448">
      <w:pPr>
        <w:spacing w:after="0" w:line="240" w:lineRule="auto"/>
      </w:pPr>
      <w:r>
        <w:separator/>
      </w:r>
    </w:p>
  </w:endnote>
  <w:endnote w:type="continuationSeparator" w:id="0">
    <w:p w14:paraId="6D01F34F" w14:textId="77777777" w:rsidR="00462381" w:rsidRDefault="00462381" w:rsidP="00B30448">
      <w:pPr>
        <w:spacing w:after="0" w:line="240" w:lineRule="auto"/>
      </w:pPr>
      <w:r>
        <w:continuationSeparator/>
      </w:r>
    </w:p>
  </w:endnote>
  <w:endnote w:type="continuationNotice" w:id="1">
    <w:p w14:paraId="7774D240" w14:textId="77777777" w:rsidR="00462381" w:rsidRDefault="00462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4EB98" w14:textId="77777777" w:rsidR="00462381" w:rsidRDefault="00462381" w:rsidP="00B30448">
      <w:pPr>
        <w:spacing w:after="0" w:line="240" w:lineRule="auto"/>
      </w:pPr>
      <w:r>
        <w:separator/>
      </w:r>
    </w:p>
  </w:footnote>
  <w:footnote w:type="continuationSeparator" w:id="0">
    <w:p w14:paraId="7FE691A3" w14:textId="77777777" w:rsidR="00462381" w:rsidRDefault="00462381" w:rsidP="00B30448">
      <w:pPr>
        <w:spacing w:after="0" w:line="240" w:lineRule="auto"/>
      </w:pPr>
      <w:r>
        <w:continuationSeparator/>
      </w:r>
    </w:p>
  </w:footnote>
  <w:footnote w:type="continuationNotice" w:id="1">
    <w:p w14:paraId="569FB328" w14:textId="77777777" w:rsidR="00462381" w:rsidRDefault="004623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537" w14:textId="77777777"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6432" behindDoc="0" locked="0" layoutInCell="1" allowOverlap="1" wp14:anchorId="7F9A5360" wp14:editId="5E7D8BE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445982"/>
    <w:multiLevelType w:val="hybridMultilevel"/>
    <w:tmpl w:val="B694C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347A2E"/>
    <w:multiLevelType w:val="hybridMultilevel"/>
    <w:tmpl w:val="DE447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50159B"/>
    <w:multiLevelType w:val="hybridMultilevel"/>
    <w:tmpl w:val="2B76B7F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304681"/>
    <w:multiLevelType w:val="hybridMultilevel"/>
    <w:tmpl w:val="46405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53841F3"/>
    <w:multiLevelType w:val="hybridMultilevel"/>
    <w:tmpl w:val="7570D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3" w15:restartNumberingAfterBreak="0">
    <w:nsid w:val="644D1A50"/>
    <w:multiLevelType w:val="hybridMultilevel"/>
    <w:tmpl w:val="4E0A28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290670214">
    <w:abstractNumId w:val="9"/>
  </w:num>
  <w:num w:numId="2" w16cid:durableId="4285022">
    <w:abstractNumId w:val="2"/>
  </w:num>
  <w:num w:numId="3" w16cid:durableId="881983949">
    <w:abstractNumId w:val="6"/>
  </w:num>
  <w:num w:numId="4" w16cid:durableId="341274352">
    <w:abstractNumId w:val="0"/>
  </w:num>
  <w:num w:numId="5" w16cid:durableId="1887524674">
    <w:abstractNumId w:val="12"/>
  </w:num>
  <w:num w:numId="6" w16cid:durableId="1082990391">
    <w:abstractNumId w:val="1"/>
  </w:num>
  <w:num w:numId="7" w16cid:durableId="1492209491">
    <w:abstractNumId w:val="8"/>
  </w:num>
  <w:num w:numId="8" w16cid:durableId="679089576">
    <w:abstractNumId w:val="10"/>
  </w:num>
  <w:num w:numId="9" w16cid:durableId="2123767494">
    <w:abstractNumId w:val="11"/>
  </w:num>
  <w:num w:numId="10" w16cid:durableId="1391228846">
    <w:abstractNumId w:val="7"/>
  </w:num>
  <w:num w:numId="11" w16cid:durableId="15233557">
    <w:abstractNumId w:val="13"/>
  </w:num>
  <w:num w:numId="12" w16cid:durableId="354035714">
    <w:abstractNumId w:val="3"/>
  </w:num>
  <w:num w:numId="13" w16cid:durableId="101463356">
    <w:abstractNumId w:val="5"/>
  </w:num>
  <w:num w:numId="14" w16cid:durableId="190606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5BB0"/>
    <w:rsid w:val="0001025F"/>
    <w:rsid w:val="0001222D"/>
    <w:rsid w:val="000135EB"/>
    <w:rsid w:val="00015D2B"/>
    <w:rsid w:val="00031584"/>
    <w:rsid w:val="00032A0E"/>
    <w:rsid w:val="00037347"/>
    <w:rsid w:val="000442CC"/>
    <w:rsid w:val="000556D4"/>
    <w:rsid w:val="000716AB"/>
    <w:rsid w:val="00074178"/>
    <w:rsid w:val="00082E4C"/>
    <w:rsid w:val="000849D5"/>
    <w:rsid w:val="0008528F"/>
    <w:rsid w:val="000A6E0C"/>
    <w:rsid w:val="000A7A56"/>
    <w:rsid w:val="000B1FF7"/>
    <w:rsid w:val="000B2513"/>
    <w:rsid w:val="000B4024"/>
    <w:rsid w:val="000C3C51"/>
    <w:rsid w:val="000C7262"/>
    <w:rsid w:val="000D2A7F"/>
    <w:rsid w:val="000D4FCE"/>
    <w:rsid w:val="0011037E"/>
    <w:rsid w:val="001363C7"/>
    <w:rsid w:val="00141AC5"/>
    <w:rsid w:val="00146B11"/>
    <w:rsid w:val="00147A04"/>
    <w:rsid w:val="0015476D"/>
    <w:rsid w:val="00161E13"/>
    <w:rsid w:val="00164AE0"/>
    <w:rsid w:val="00165E83"/>
    <w:rsid w:val="00166CD7"/>
    <w:rsid w:val="0017120C"/>
    <w:rsid w:val="00172F3A"/>
    <w:rsid w:val="001902B6"/>
    <w:rsid w:val="0019532A"/>
    <w:rsid w:val="0019670E"/>
    <w:rsid w:val="00197205"/>
    <w:rsid w:val="001A5DD4"/>
    <w:rsid w:val="001A67E9"/>
    <w:rsid w:val="001B143B"/>
    <w:rsid w:val="001B21CA"/>
    <w:rsid w:val="001C04FC"/>
    <w:rsid w:val="001C25A3"/>
    <w:rsid w:val="001C5D03"/>
    <w:rsid w:val="001C6E33"/>
    <w:rsid w:val="001C7771"/>
    <w:rsid w:val="001D62FF"/>
    <w:rsid w:val="001F3F48"/>
    <w:rsid w:val="001F48DA"/>
    <w:rsid w:val="002000AA"/>
    <w:rsid w:val="00204109"/>
    <w:rsid w:val="00211E6E"/>
    <w:rsid w:val="00212A46"/>
    <w:rsid w:val="0021401D"/>
    <w:rsid w:val="002146B8"/>
    <w:rsid w:val="00215516"/>
    <w:rsid w:val="00216C2F"/>
    <w:rsid w:val="00217DDA"/>
    <w:rsid w:val="002527C2"/>
    <w:rsid w:val="00270443"/>
    <w:rsid w:val="00270EE2"/>
    <w:rsid w:val="00272972"/>
    <w:rsid w:val="00286491"/>
    <w:rsid w:val="002A0F8D"/>
    <w:rsid w:val="002B6E44"/>
    <w:rsid w:val="002E1DB5"/>
    <w:rsid w:val="002F6CCB"/>
    <w:rsid w:val="0030461E"/>
    <w:rsid w:val="0031699C"/>
    <w:rsid w:val="0032756A"/>
    <w:rsid w:val="00334EF8"/>
    <w:rsid w:val="00336408"/>
    <w:rsid w:val="003376DC"/>
    <w:rsid w:val="00340DFB"/>
    <w:rsid w:val="0034404F"/>
    <w:rsid w:val="00356980"/>
    <w:rsid w:val="00367462"/>
    <w:rsid w:val="0037046D"/>
    <w:rsid w:val="00371ECA"/>
    <w:rsid w:val="00372748"/>
    <w:rsid w:val="0037332A"/>
    <w:rsid w:val="0038151A"/>
    <w:rsid w:val="0038797D"/>
    <w:rsid w:val="0039082A"/>
    <w:rsid w:val="00390C21"/>
    <w:rsid w:val="003A37BD"/>
    <w:rsid w:val="003B6D94"/>
    <w:rsid w:val="003C4C96"/>
    <w:rsid w:val="003C55E0"/>
    <w:rsid w:val="003F519B"/>
    <w:rsid w:val="0040544F"/>
    <w:rsid w:val="00406A19"/>
    <w:rsid w:val="0041222D"/>
    <w:rsid w:val="0041483E"/>
    <w:rsid w:val="00415369"/>
    <w:rsid w:val="00430492"/>
    <w:rsid w:val="00450BE7"/>
    <w:rsid w:val="00460019"/>
    <w:rsid w:val="00462381"/>
    <w:rsid w:val="004656D7"/>
    <w:rsid w:val="0046741E"/>
    <w:rsid w:val="00472CC6"/>
    <w:rsid w:val="0047606E"/>
    <w:rsid w:val="0048026E"/>
    <w:rsid w:val="004807A9"/>
    <w:rsid w:val="004813EE"/>
    <w:rsid w:val="00493278"/>
    <w:rsid w:val="004943D9"/>
    <w:rsid w:val="004A0E7B"/>
    <w:rsid w:val="004A3498"/>
    <w:rsid w:val="004B0C45"/>
    <w:rsid w:val="004C0AB2"/>
    <w:rsid w:val="004C1619"/>
    <w:rsid w:val="004C1A26"/>
    <w:rsid w:val="004C1CC9"/>
    <w:rsid w:val="004C3755"/>
    <w:rsid w:val="004C4485"/>
    <w:rsid w:val="004D11AF"/>
    <w:rsid w:val="00500DFA"/>
    <w:rsid w:val="005019AA"/>
    <w:rsid w:val="005021BB"/>
    <w:rsid w:val="005139E7"/>
    <w:rsid w:val="005147DA"/>
    <w:rsid w:val="00515FB5"/>
    <w:rsid w:val="0052365C"/>
    <w:rsid w:val="005271EB"/>
    <w:rsid w:val="005426DB"/>
    <w:rsid w:val="00545489"/>
    <w:rsid w:val="0055082B"/>
    <w:rsid w:val="00552503"/>
    <w:rsid w:val="00552B57"/>
    <w:rsid w:val="00557DA1"/>
    <w:rsid w:val="00562FFA"/>
    <w:rsid w:val="0056322C"/>
    <w:rsid w:val="0058743A"/>
    <w:rsid w:val="005A1C97"/>
    <w:rsid w:val="005A3696"/>
    <w:rsid w:val="005A4DB0"/>
    <w:rsid w:val="005A7B8E"/>
    <w:rsid w:val="005B012B"/>
    <w:rsid w:val="005B0C87"/>
    <w:rsid w:val="005D23F6"/>
    <w:rsid w:val="005D2FA8"/>
    <w:rsid w:val="005E2281"/>
    <w:rsid w:val="005E532C"/>
    <w:rsid w:val="005E667C"/>
    <w:rsid w:val="005F077C"/>
    <w:rsid w:val="005F63D0"/>
    <w:rsid w:val="005F7973"/>
    <w:rsid w:val="00600948"/>
    <w:rsid w:val="0061690E"/>
    <w:rsid w:val="00621FAC"/>
    <w:rsid w:val="00627361"/>
    <w:rsid w:val="0063017E"/>
    <w:rsid w:val="00631B28"/>
    <w:rsid w:val="00645B90"/>
    <w:rsid w:val="00650991"/>
    <w:rsid w:val="006511D7"/>
    <w:rsid w:val="0066233E"/>
    <w:rsid w:val="00663D75"/>
    <w:rsid w:val="00670AEF"/>
    <w:rsid w:val="00675678"/>
    <w:rsid w:val="00677012"/>
    <w:rsid w:val="006825B4"/>
    <w:rsid w:val="00682AF2"/>
    <w:rsid w:val="00685FFD"/>
    <w:rsid w:val="006864DF"/>
    <w:rsid w:val="006A2DAA"/>
    <w:rsid w:val="006A3C8A"/>
    <w:rsid w:val="006A7552"/>
    <w:rsid w:val="006B5953"/>
    <w:rsid w:val="006B7A81"/>
    <w:rsid w:val="006C4BAC"/>
    <w:rsid w:val="006C52F3"/>
    <w:rsid w:val="006C68D1"/>
    <w:rsid w:val="006E1D19"/>
    <w:rsid w:val="006E7F37"/>
    <w:rsid w:val="006F3B81"/>
    <w:rsid w:val="006F4F79"/>
    <w:rsid w:val="00705B37"/>
    <w:rsid w:val="00711FD9"/>
    <w:rsid w:val="0071249B"/>
    <w:rsid w:val="007256B8"/>
    <w:rsid w:val="0072628E"/>
    <w:rsid w:val="00735062"/>
    <w:rsid w:val="00741A1E"/>
    <w:rsid w:val="00746BA5"/>
    <w:rsid w:val="00751D23"/>
    <w:rsid w:val="007700D3"/>
    <w:rsid w:val="00770577"/>
    <w:rsid w:val="00777666"/>
    <w:rsid w:val="00780EE2"/>
    <w:rsid w:val="0078159B"/>
    <w:rsid w:val="00782E10"/>
    <w:rsid w:val="0078706B"/>
    <w:rsid w:val="00790836"/>
    <w:rsid w:val="00792132"/>
    <w:rsid w:val="00797131"/>
    <w:rsid w:val="007A3C1D"/>
    <w:rsid w:val="007A457F"/>
    <w:rsid w:val="007A7364"/>
    <w:rsid w:val="007B285D"/>
    <w:rsid w:val="007C6BC6"/>
    <w:rsid w:val="007D5E39"/>
    <w:rsid w:val="00807D79"/>
    <w:rsid w:val="00813634"/>
    <w:rsid w:val="00822821"/>
    <w:rsid w:val="00831C29"/>
    <w:rsid w:val="008431EF"/>
    <w:rsid w:val="008468E0"/>
    <w:rsid w:val="008628F4"/>
    <w:rsid w:val="00871B59"/>
    <w:rsid w:val="00877D03"/>
    <w:rsid w:val="00877E96"/>
    <w:rsid w:val="008806CA"/>
    <w:rsid w:val="008815E5"/>
    <w:rsid w:val="00887B37"/>
    <w:rsid w:val="008909B9"/>
    <w:rsid w:val="00891DFC"/>
    <w:rsid w:val="008B12B4"/>
    <w:rsid w:val="008B7914"/>
    <w:rsid w:val="008B7F31"/>
    <w:rsid w:val="008C5D2A"/>
    <w:rsid w:val="008C7AF4"/>
    <w:rsid w:val="008D200D"/>
    <w:rsid w:val="008D529F"/>
    <w:rsid w:val="008F5CC8"/>
    <w:rsid w:val="009061B8"/>
    <w:rsid w:val="0091008B"/>
    <w:rsid w:val="00911EA2"/>
    <w:rsid w:val="00916160"/>
    <w:rsid w:val="00916C7D"/>
    <w:rsid w:val="0092575D"/>
    <w:rsid w:val="00926AF2"/>
    <w:rsid w:val="009341DA"/>
    <w:rsid w:val="009430F9"/>
    <w:rsid w:val="009442E8"/>
    <w:rsid w:val="00946BD0"/>
    <w:rsid w:val="0095426C"/>
    <w:rsid w:val="00970087"/>
    <w:rsid w:val="00971074"/>
    <w:rsid w:val="00987B91"/>
    <w:rsid w:val="00995D86"/>
    <w:rsid w:val="009A1104"/>
    <w:rsid w:val="009A5453"/>
    <w:rsid w:val="009B4D94"/>
    <w:rsid w:val="009C14E5"/>
    <w:rsid w:val="009C2871"/>
    <w:rsid w:val="009D3C33"/>
    <w:rsid w:val="009D50FB"/>
    <w:rsid w:val="009D7F3A"/>
    <w:rsid w:val="009E35E3"/>
    <w:rsid w:val="009E4885"/>
    <w:rsid w:val="00A07DB6"/>
    <w:rsid w:val="00A10A73"/>
    <w:rsid w:val="00A13F0D"/>
    <w:rsid w:val="00A170B3"/>
    <w:rsid w:val="00A223D5"/>
    <w:rsid w:val="00A37D1C"/>
    <w:rsid w:val="00A5453E"/>
    <w:rsid w:val="00A56F6C"/>
    <w:rsid w:val="00A76C8C"/>
    <w:rsid w:val="00A83E50"/>
    <w:rsid w:val="00A85F30"/>
    <w:rsid w:val="00A9099E"/>
    <w:rsid w:val="00A91FB7"/>
    <w:rsid w:val="00A9298F"/>
    <w:rsid w:val="00AA0351"/>
    <w:rsid w:val="00AA1CB7"/>
    <w:rsid w:val="00AA5F4A"/>
    <w:rsid w:val="00AB025E"/>
    <w:rsid w:val="00AB1984"/>
    <w:rsid w:val="00AB52B1"/>
    <w:rsid w:val="00AC4CB3"/>
    <w:rsid w:val="00AC6764"/>
    <w:rsid w:val="00AC780D"/>
    <w:rsid w:val="00AD036B"/>
    <w:rsid w:val="00AD1996"/>
    <w:rsid w:val="00AD4099"/>
    <w:rsid w:val="00AD4901"/>
    <w:rsid w:val="00AF1F30"/>
    <w:rsid w:val="00B02FE0"/>
    <w:rsid w:val="00B03FDE"/>
    <w:rsid w:val="00B057B6"/>
    <w:rsid w:val="00B168B3"/>
    <w:rsid w:val="00B30448"/>
    <w:rsid w:val="00B34786"/>
    <w:rsid w:val="00B400EC"/>
    <w:rsid w:val="00B40162"/>
    <w:rsid w:val="00B41ACE"/>
    <w:rsid w:val="00B50156"/>
    <w:rsid w:val="00B518AD"/>
    <w:rsid w:val="00B60A96"/>
    <w:rsid w:val="00B678EC"/>
    <w:rsid w:val="00B76C94"/>
    <w:rsid w:val="00B772D0"/>
    <w:rsid w:val="00B836EA"/>
    <w:rsid w:val="00B84C05"/>
    <w:rsid w:val="00B87A25"/>
    <w:rsid w:val="00B91B81"/>
    <w:rsid w:val="00B97135"/>
    <w:rsid w:val="00BB3072"/>
    <w:rsid w:val="00BC7632"/>
    <w:rsid w:val="00BD3C50"/>
    <w:rsid w:val="00BD48A9"/>
    <w:rsid w:val="00BD630F"/>
    <w:rsid w:val="00BD7EC6"/>
    <w:rsid w:val="00BE73FA"/>
    <w:rsid w:val="00BF6B4B"/>
    <w:rsid w:val="00BF755C"/>
    <w:rsid w:val="00C0511C"/>
    <w:rsid w:val="00C20ACF"/>
    <w:rsid w:val="00C22307"/>
    <w:rsid w:val="00C23469"/>
    <w:rsid w:val="00C30C62"/>
    <w:rsid w:val="00C371DF"/>
    <w:rsid w:val="00C42055"/>
    <w:rsid w:val="00C44B4C"/>
    <w:rsid w:val="00C46734"/>
    <w:rsid w:val="00C47A86"/>
    <w:rsid w:val="00C50DB0"/>
    <w:rsid w:val="00C53220"/>
    <w:rsid w:val="00CA3347"/>
    <w:rsid w:val="00CC299A"/>
    <w:rsid w:val="00CD03E3"/>
    <w:rsid w:val="00CE4DAB"/>
    <w:rsid w:val="00CE6BDA"/>
    <w:rsid w:val="00CE7288"/>
    <w:rsid w:val="00D03DBE"/>
    <w:rsid w:val="00D072C0"/>
    <w:rsid w:val="00D1153A"/>
    <w:rsid w:val="00D17400"/>
    <w:rsid w:val="00D34C82"/>
    <w:rsid w:val="00D3757A"/>
    <w:rsid w:val="00D377C3"/>
    <w:rsid w:val="00D504A9"/>
    <w:rsid w:val="00D5206D"/>
    <w:rsid w:val="00D7177D"/>
    <w:rsid w:val="00D81311"/>
    <w:rsid w:val="00D8204C"/>
    <w:rsid w:val="00DB201E"/>
    <w:rsid w:val="00DC0E68"/>
    <w:rsid w:val="00DD25ED"/>
    <w:rsid w:val="00DE0D6E"/>
    <w:rsid w:val="00DF4393"/>
    <w:rsid w:val="00E051A5"/>
    <w:rsid w:val="00E052DF"/>
    <w:rsid w:val="00E1610C"/>
    <w:rsid w:val="00E16D73"/>
    <w:rsid w:val="00E23E9E"/>
    <w:rsid w:val="00E25722"/>
    <w:rsid w:val="00E27F0A"/>
    <w:rsid w:val="00E4231E"/>
    <w:rsid w:val="00E4302C"/>
    <w:rsid w:val="00E43EBA"/>
    <w:rsid w:val="00E44AC7"/>
    <w:rsid w:val="00E45F4B"/>
    <w:rsid w:val="00E60A16"/>
    <w:rsid w:val="00E82B6E"/>
    <w:rsid w:val="00E94258"/>
    <w:rsid w:val="00E96C18"/>
    <w:rsid w:val="00EA2E61"/>
    <w:rsid w:val="00EA7D7F"/>
    <w:rsid w:val="00EB02F4"/>
    <w:rsid w:val="00EB2FA2"/>
    <w:rsid w:val="00EB769A"/>
    <w:rsid w:val="00EC3A35"/>
    <w:rsid w:val="00ED33DD"/>
    <w:rsid w:val="00EE17F2"/>
    <w:rsid w:val="00EE3138"/>
    <w:rsid w:val="00EF2AC7"/>
    <w:rsid w:val="00EF400A"/>
    <w:rsid w:val="00EF6BE4"/>
    <w:rsid w:val="00EF6E5D"/>
    <w:rsid w:val="00F07764"/>
    <w:rsid w:val="00F12517"/>
    <w:rsid w:val="00F131DD"/>
    <w:rsid w:val="00F16BA1"/>
    <w:rsid w:val="00F24435"/>
    <w:rsid w:val="00F30C0F"/>
    <w:rsid w:val="00F314E8"/>
    <w:rsid w:val="00F323A2"/>
    <w:rsid w:val="00F33B57"/>
    <w:rsid w:val="00F33D5C"/>
    <w:rsid w:val="00F34E90"/>
    <w:rsid w:val="00F356D6"/>
    <w:rsid w:val="00F46F22"/>
    <w:rsid w:val="00F53BE2"/>
    <w:rsid w:val="00F55684"/>
    <w:rsid w:val="00F64D5A"/>
    <w:rsid w:val="00F709CD"/>
    <w:rsid w:val="00F728FE"/>
    <w:rsid w:val="00F906F4"/>
    <w:rsid w:val="00F919E7"/>
    <w:rsid w:val="00FA0716"/>
    <w:rsid w:val="00FB4629"/>
    <w:rsid w:val="00FB6FB1"/>
    <w:rsid w:val="00FB7063"/>
    <w:rsid w:val="00FC7056"/>
    <w:rsid w:val="00FE1A00"/>
    <w:rsid w:val="00FE33B4"/>
    <w:rsid w:val="024D7E2C"/>
    <w:rsid w:val="0D2EB883"/>
    <w:rsid w:val="0D8163B6"/>
    <w:rsid w:val="13A69650"/>
    <w:rsid w:val="1BB32F19"/>
    <w:rsid w:val="1F2C3AF5"/>
    <w:rsid w:val="1FF4886A"/>
    <w:rsid w:val="22D2584A"/>
    <w:rsid w:val="28751A95"/>
    <w:rsid w:val="29FA8189"/>
    <w:rsid w:val="2C00A012"/>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1">
    <w:name w:val="Table Normal1"/>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9817">
      <w:bodyDiv w:val="1"/>
      <w:marLeft w:val="0"/>
      <w:marRight w:val="0"/>
      <w:marTop w:val="0"/>
      <w:marBottom w:val="0"/>
      <w:divBdr>
        <w:top w:val="none" w:sz="0" w:space="0" w:color="auto"/>
        <w:left w:val="none" w:sz="0" w:space="0" w:color="auto"/>
        <w:bottom w:val="none" w:sz="0" w:space="0" w:color="auto"/>
        <w:right w:val="none" w:sz="0" w:space="0" w:color="auto"/>
      </w:divBdr>
      <w:divsChild>
        <w:div w:id="2065254455">
          <w:marLeft w:val="0"/>
          <w:marRight w:val="0"/>
          <w:marTop w:val="0"/>
          <w:marBottom w:val="0"/>
          <w:divBdr>
            <w:top w:val="none" w:sz="0" w:space="0" w:color="auto"/>
            <w:left w:val="none" w:sz="0" w:space="0" w:color="auto"/>
            <w:bottom w:val="none" w:sz="0" w:space="0" w:color="auto"/>
            <w:right w:val="none" w:sz="0" w:space="0" w:color="auto"/>
          </w:divBdr>
        </w:div>
      </w:divsChild>
    </w:div>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manuales-guiasy-pliegos-tipo/manuales-y-guia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relatoria.colombiacompra.gov.co/busqueda/concept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uisa.derch@hyd.net.co" TargetMode="External"/><Relationship Id="rId5" Type="http://schemas.openxmlformats.org/officeDocument/2006/relationships/numbering" Target="numbering.xml"/><Relationship Id="rId15" Type="http://schemas.openxmlformats.org/officeDocument/2006/relationships/hyperlink" Target="https://www.colombiacompra.gov.co/manuales-guias-y-pliegos-tipo/manuales-y-guia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providencias-consejo-de-estad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customXml/itemProps2.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4EFD2-6506-4654-A0AC-DEF36450F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1458</Words>
  <Characters>8024</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Diana Carolina Blanco Rodriguez</cp:lastModifiedBy>
  <cp:revision>5</cp:revision>
  <dcterms:created xsi:type="dcterms:W3CDTF">2024-08-13T22:01:00Z</dcterms:created>
  <dcterms:modified xsi:type="dcterms:W3CDTF">2024-08-19T17:27:00Z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