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4FC7" w14:textId="77777777" w:rsidR="006F6B87" w:rsidRPr="006F6B87" w:rsidRDefault="006F6B87" w:rsidP="0002014D">
      <w:pPr>
        <w:spacing w:after="0" w:line="240" w:lineRule="auto"/>
        <w:jc w:val="both"/>
        <w:rPr>
          <w:rFonts w:ascii="Verdana" w:eastAsia="Geomanist Light" w:hAnsi="Verdana" w:cs="Arial"/>
          <w:bCs/>
          <w:color w:val="000000" w:themeColor="text1"/>
          <w:lang w:val="es-ES_tradnl"/>
        </w:rPr>
      </w:pPr>
    </w:p>
    <w:p w14:paraId="7B6C3FA9" w14:textId="77777777" w:rsidR="006F6B87" w:rsidRPr="006F6B87" w:rsidRDefault="006F6B87" w:rsidP="0002014D">
      <w:pPr>
        <w:spacing w:after="0" w:line="240" w:lineRule="auto"/>
        <w:jc w:val="both"/>
        <w:rPr>
          <w:rFonts w:ascii="Verdana" w:eastAsia="Geomanist Light" w:hAnsi="Verdana" w:cs="Arial"/>
          <w:b/>
          <w:color w:val="000000" w:themeColor="text1"/>
          <w:lang w:val="es-ES_tradnl"/>
        </w:rPr>
      </w:pPr>
      <w:r w:rsidRPr="006F6B87">
        <w:rPr>
          <w:rFonts w:ascii="Verdana" w:eastAsia="Geomanist Light" w:hAnsi="Verdana" w:cs="Arial"/>
          <w:b/>
          <w:color w:val="000000" w:themeColor="text1"/>
          <w:lang w:val="es-ES_tradnl"/>
        </w:rPr>
        <w:t>PROPONENTE PLURAL ‒ Consorcio ‒ Unión temporal ‒ Concepto – Diferencias</w:t>
      </w:r>
    </w:p>
    <w:p w14:paraId="02D32358" w14:textId="77777777" w:rsidR="006F6B87" w:rsidRPr="006F6B87" w:rsidRDefault="006F6B87" w:rsidP="0002014D">
      <w:pPr>
        <w:spacing w:after="0" w:line="240" w:lineRule="auto"/>
        <w:jc w:val="both"/>
        <w:rPr>
          <w:rFonts w:ascii="Verdana" w:eastAsia="Geomanist Light" w:hAnsi="Verdana" w:cs="Arial"/>
          <w:bCs/>
          <w:color w:val="000000" w:themeColor="text1"/>
          <w:lang w:val="es-ES_tradnl"/>
        </w:rPr>
      </w:pPr>
    </w:p>
    <w:p w14:paraId="78FF9EA3" w14:textId="77777777" w:rsidR="006F6B87" w:rsidRPr="006F6B87" w:rsidRDefault="006F6B87" w:rsidP="0002014D">
      <w:pPr>
        <w:spacing w:after="0" w:line="240" w:lineRule="auto"/>
        <w:jc w:val="both"/>
        <w:rPr>
          <w:rFonts w:ascii="Verdana" w:eastAsia="Geomanist Light" w:hAnsi="Verdana" w:cs="Arial"/>
          <w:color w:val="000000" w:themeColor="text1"/>
        </w:rPr>
      </w:pPr>
      <w:r w:rsidRPr="006F6B87">
        <w:rPr>
          <w:rFonts w:ascii="Verdana" w:eastAsia="Geomanist Light" w:hAnsi="Verdana" w:cs="Arial"/>
          <w:color w:val="000000" w:themeColor="text1"/>
        </w:rPr>
        <w:t xml:space="preserve">[…]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0175D1DA" w14:textId="77777777" w:rsidR="006F6B87" w:rsidRPr="006F6B87" w:rsidRDefault="006F6B87" w:rsidP="0002014D">
      <w:pPr>
        <w:spacing w:after="0" w:line="240" w:lineRule="auto"/>
        <w:jc w:val="both"/>
        <w:rPr>
          <w:rFonts w:ascii="Verdana" w:eastAsia="Geomanist Light" w:hAnsi="Verdana" w:cs="Arial"/>
          <w:color w:val="000000" w:themeColor="text1"/>
        </w:rPr>
      </w:pPr>
      <w:r w:rsidRPr="006F6B87">
        <w:rPr>
          <w:rFonts w:ascii="Verdana" w:eastAsia="Geomanist Light" w:hAnsi="Verdana" w:cs="Arial"/>
          <w:color w:val="000000" w:themeColor="text1"/>
        </w:rPr>
        <w:t xml:space="preserve"> </w:t>
      </w:r>
    </w:p>
    <w:p w14:paraId="20003B57" w14:textId="77777777" w:rsidR="006F6B87" w:rsidRPr="006F6B87" w:rsidRDefault="006F6B87" w:rsidP="0002014D">
      <w:pPr>
        <w:spacing w:after="0" w:line="240" w:lineRule="auto"/>
        <w:jc w:val="both"/>
        <w:rPr>
          <w:rFonts w:ascii="Verdana" w:eastAsia="Geomanist Light" w:hAnsi="Verdana" w:cs="Arial"/>
          <w:b/>
          <w:color w:val="000000" w:themeColor="text1"/>
        </w:rPr>
      </w:pPr>
      <w:r w:rsidRPr="006F6B87">
        <w:rPr>
          <w:rFonts w:ascii="Verdana" w:eastAsia="Geomanist Light" w:hAnsi="Verdana" w:cs="Arial"/>
          <w:b/>
          <w:color w:val="000000" w:themeColor="text1"/>
          <w:lang w:val="es-ES_tradnl"/>
        </w:rPr>
        <w:t>CONSORCIOS Y UNIONES TEMPORALES – Ausencia de personería jurídica – Capacidad jurídica restringida</w:t>
      </w:r>
    </w:p>
    <w:p w14:paraId="43F1335A" w14:textId="77777777" w:rsidR="006F6B87" w:rsidRPr="006F6B87" w:rsidRDefault="006F6B87" w:rsidP="0002014D">
      <w:pPr>
        <w:spacing w:after="0" w:line="240" w:lineRule="auto"/>
        <w:jc w:val="both"/>
        <w:rPr>
          <w:rFonts w:ascii="Verdana" w:eastAsia="Geomanist Light" w:hAnsi="Verdana" w:cs="Arial"/>
          <w:bCs/>
          <w:color w:val="000000" w:themeColor="text1"/>
          <w:lang w:val="es-ES_tradnl"/>
        </w:rPr>
      </w:pPr>
    </w:p>
    <w:p w14:paraId="174BD243" w14:textId="77777777" w:rsidR="006F6B87" w:rsidRPr="006F6B87" w:rsidRDefault="006F6B87" w:rsidP="0002014D">
      <w:pPr>
        <w:spacing w:after="0" w:line="240" w:lineRule="auto"/>
        <w:jc w:val="both"/>
        <w:rPr>
          <w:rFonts w:ascii="Verdana" w:eastAsia="Geomanist Light" w:hAnsi="Verdana" w:cs="Arial"/>
          <w:bCs/>
          <w:color w:val="000000" w:themeColor="text1"/>
          <w:lang w:val="es-ES"/>
        </w:rPr>
      </w:pPr>
      <w:r w:rsidRPr="006F6B87">
        <w:rPr>
          <w:rFonts w:ascii="Verdana" w:eastAsia="Geomanist Light" w:hAnsi="Verdana" w:cs="Arial"/>
          <w:bCs/>
          <w:color w:val="000000" w:themeColor="text1"/>
          <w:lang w:val="es-ES"/>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w:t>
      </w:r>
    </w:p>
    <w:p w14:paraId="52CE05F1" w14:textId="77777777" w:rsidR="006F6B87" w:rsidRPr="006F6B87" w:rsidRDefault="006F6B87" w:rsidP="0002014D">
      <w:pPr>
        <w:spacing w:after="0" w:line="240" w:lineRule="auto"/>
        <w:jc w:val="both"/>
        <w:rPr>
          <w:rFonts w:ascii="Verdana" w:eastAsia="Geomanist Light" w:hAnsi="Verdana" w:cs="Arial"/>
          <w:bCs/>
          <w:color w:val="000000" w:themeColor="text1"/>
          <w:lang w:val="es-ES"/>
        </w:rPr>
      </w:pPr>
    </w:p>
    <w:p w14:paraId="44C6D1D5" w14:textId="77777777" w:rsidR="006F6B87" w:rsidRPr="006F6B87" w:rsidRDefault="006F6B87" w:rsidP="0002014D">
      <w:pPr>
        <w:spacing w:after="0" w:line="240" w:lineRule="auto"/>
        <w:jc w:val="both"/>
        <w:rPr>
          <w:rFonts w:ascii="Verdana" w:eastAsia="Geomanist Light" w:hAnsi="Verdana" w:cs="Arial"/>
          <w:color w:val="000000" w:themeColor="text1"/>
        </w:rPr>
      </w:pPr>
      <w:r w:rsidRPr="006F6B87">
        <w:rPr>
          <w:rFonts w:ascii="Verdana" w:eastAsia="Geomanist Light" w:hAnsi="Verdana" w:cs="Arial"/>
          <w:bCs/>
          <w:color w:val="000000" w:themeColor="text1"/>
          <w:lang w:val="es-ES"/>
        </w:rPr>
        <w:t>[…] el consorcio o la unión temporal se da “Cuando dos o más personas en forma conjunta presentan una misma propuesta para la adjudicación, celebración y ejecución de un contrato […]”.</w:t>
      </w:r>
      <w:r w:rsidRPr="006F6B87">
        <w:rPr>
          <w:rFonts w:ascii="Verdana" w:eastAsia="Geomanist Light" w:hAnsi="Verdana" w:cs="Arial"/>
          <w:color w:val="000000" w:themeColor="text1"/>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1A6CA5B5" w14:textId="77777777" w:rsidR="006F6B87" w:rsidRPr="006F6B87" w:rsidRDefault="006F6B87" w:rsidP="0002014D">
      <w:pPr>
        <w:spacing w:after="0" w:line="240" w:lineRule="auto"/>
        <w:jc w:val="both"/>
        <w:rPr>
          <w:rFonts w:ascii="Verdana" w:eastAsia="Geomanist Light" w:hAnsi="Verdana" w:cs="Arial"/>
          <w:color w:val="000000" w:themeColor="text1"/>
        </w:rPr>
      </w:pPr>
    </w:p>
    <w:p w14:paraId="42411E14" w14:textId="551DD59D" w:rsidR="006F6B87" w:rsidRDefault="006F6B87" w:rsidP="0002014D">
      <w:pPr>
        <w:spacing w:after="0" w:line="240" w:lineRule="auto"/>
        <w:jc w:val="both"/>
        <w:rPr>
          <w:rFonts w:ascii="Verdana" w:eastAsia="Geomanist Light" w:hAnsi="Verdana" w:cs="Arial"/>
          <w:color w:val="000000" w:themeColor="text1"/>
          <w:lang w:val="es-MX"/>
        </w:rPr>
      </w:pPr>
      <w:r w:rsidRPr="006F6B87">
        <w:rPr>
          <w:rFonts w:ascii="Verdana" w:eastAsia="Geomanist Light" w:hAnsi="Verdana" w:cs="Arial"/>
          <w:color w:val="000000" w:themeColor="text1"/>
        </w:rPr>
        <w:t xml:space="preserve">La capacidad jurídica de los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de la Ley 80 de 1993 se restringe a las actividades allí dispuestas sin que se extienda, por ejemplo, a la celebración de contratos de fiducia, cesiones de crédito, cesiones de contrato o subcontratos. En estos casos, la celebración de dichos negocios jurídicos no corresponde a la estructura plural, sino a todos sus integrantes de forma conjunta. Es decir, fuera de las actividades descritas en el EGCAP, son los </w:t>
      </w:r>
      <w:r w:rsidRPr="006F6B87">
        <w:rPr>
          <w:rFonts w:ascii="Verdana" w:eastAsia="Geomanist Light" w:hAnsi="Verdana" w:cs="Arial"/>
          <w:color w:val="000000" w:themeColor="text1"/>
        </w:rPr>
        <w:lastRenderedPageBreak/>
        <w:t>participantes –no estructura plural– los que tienen personería y capacidad para actuar.</w:t>
      </w:r>
    </w:p>
    <w:p w14:paraId="45ADF0B4" w14:textId="77777777" w:rsidR="006F6B87" w:rsidRDefault="006F6B87" w:rsidP="001F6818">
      <w:pPr>
        <w:spacing w:after="0" w:line="240" w:lineRule="auto"/>
        <w:rPr>
          <w:rFonts w:ascii="Verdana" w:eastAsia="Geomanist Light" w:hAnsi="Verdana" w:cs="Arial"/>
          <w:color w:val="000000" w:themeColor="text1"/>
          <w:lang w:val="es-MX"/>
        </w:rPr>
      </w:pPr>
    </w:p>
    <w:p w14:paraId="10F447DE" w14:textId="77777777" w:rsidR="006F6B87" w:rsidRDefault="006F6B87" w:rsidP="001F6818">
      <w:pPr>
        <w:spacing w:after="0" w:line="240" w:lineRule="auto"/>
        <w:rPr>
          <w:rFonts w:ascii="Verdana" w:eastAsia="Geomanist Light" w:hAnsi="Verdana" w:cs="Arial"/>
          <w:color w:val="000000" w:themeColor="text1"/>
          <w:lang w:val="es-MX"/>
        </w:rPr>
      </w:pPr>
    </w:p>
    <w:p w14:paraId="71499795" w14:textId="77777777" w:rsidR="006F6B87" w:rsidRDefault="006F6B87" w:rsidP="001F6818">
      <w:pPr>
        <w:spacing w:after="0" w:line="240" w:lineRule="auto"/>
        <w:rPr>
          <w:rFonts w:ascii="Verdana" w:eastAsia="Geomanist Light" w:hAnsi="Verdana" w:cs="Arial"/>
          <w:color w:val="000000" w:themeColor="text1"/>
          <w:lang w:val="es-MX"/>
        </w:rPr>
      </w:pPr>
    </w:p>
    <w:p w14:paraId="26789851" w14:textId="77777777" w:rsidR="006F6B87" w:rsidRDefault="006F6B87" w:rsidP="001F6818">
      <w:pPr>
        <w:spacing w:after="0" w:line="240" w:lineRule="auto"/>
        <w:rPr>
          <w:rFonts w:ascii="Verdana" w:eastAsia="Geomanist Light" w:hAnsi="Verdana" w:cs="Arial"/>
          <w:color w:val="000000" w:themeColor="text1"/>
          <w:lang w:val="es-MX"/>
        </w:rPr>
      </w:pPr>
    </w:p>
    <w:p w14:paraId="71FBBCAE" w14:textId="77777777" w:rsidR="006F6B87" w:rsidRDefault="006F6B87" w:rsidP="001F6818">
      <w:pPr>
        <w:spacing w:after="0" w:line="240" w:lineRule="auto"/>
        <w:rPr>
          <w:rFonts w:ascii="Verdana" w:eastAsia="Geomanist Light" w:hAnsi="Verdana" w:cs="Arial"/>
          <w:color w:val="000000" w:themeColor="text1"/>
          <w:lang w:val="es-MX"/>
        </w:rPr>
      </w:pPr>
    </w:p>
    <w:p w14:paraId="60D85FBC" w14:textId="77777777" w:rsidR="006F6B87" w:rsidRDefault="006F6B87" w:rsidP="001F6818">
      <w:pPr>
        <w:spacing w:after="0" w:line="240" w:lineRule="auto"/>
        <w:rPr>
          <w:rFonts w:ascii="Verdana" w:eastAsia="Geomanist Light" w:hAnsi="Verdana" w:cs="Arial"/>
          <w:color w:val="000000" w:themeColor="text1"/>
          <w:lang w:val="es-MX"/>
        </w:rPr>
      </w:pPr>
    </w:p>
    <w:p w14:paraId="3ACE5F46" w14:textId="77777777" w:rsidR="006F6B87" w:rsidRDefault="006F6B87" w:rsidP="001F6818">
      <w:pPr>
        <w:spacing w:after="0" w:line="240" w:lineRule="auto"/>
        <w:rPr>
          <w:rFonts w:ascii="Verdana" w:eastAsia="Geomanist Light" w:hAnsi="Verdana" w:cs="Arial"/>
          <w:color w:val="000000" w:themeColor="text1"/>
          <w:lang w:val="es-MX"/>
        </w:rPr>
      </w:pPr>
    </w:p>
    <w:p w14:paraId="5076D3F5" w14:textId="77777777" w:rsidR="006F6B87" w:rsidRDefault="006F6B87" w:rsidP="001F6818">
      <w:pPr>
        <w:spacing w:after="0" w:line="240" w:lineRule="auto"/>
        <w:rPr>
          <w:rFonts w:ascii="Verdana" w:eastAsia="Geomanist Light" w:hAnsi="Verdana" w:cs="Arial"/>
          <w:color w:val="000000" w:themeColor="text1"/>
          <w:lang w:val="es-MX"/>
        </w:rPr>
      </w:pPr>
    </w:p>
    <w:p w14:paraId="2B424F69" w14:textId="77777777" w:rsidR="006F6B87" w:rsidRDefault="006F6B87" w:rsidP="001F6818">
      <w:pPr>
        <w:spacing w:after="0" w:line="240" w:lineRule="auto"/>
        <w:rPr>
          <w:rFonts w:ascii="Verdana" w:eastAsia="Geomanist Light" w:hAnsi="Verdana" w:cs="Arial"/>
          <w:color w:val="000000" w:themeColor="text1"/>
          <w:lang w:val="es-MX"/>
        </w:rPr>
      </w:pPr>
    </w:p>
    <w:p w14:paraId="0C699C00" w14:textId="77777777" w:rsidR="006F6B87" w:rsidRDefault="006F6B87" w:rsidP="001F6818">
      <w:pPr>
        <w:spacing w:after="0" w:line="240" w:lineRule="auto"/>
        <w:rPr>
          <w:rFonts w:ascii="Verdana" w:eastAsia="Geomanist Light" w:hAnsi="Verdana" w:cs="Arial"/>
          <w:color w:val="000000" w:themeColor="text1"/>
          <w:lang w:val="es-MX"/>
        </w:rPr>
      </w:pPr>
    </w:p>
    <w:p w14:paraId="6F95F843" w14:textId="77777777" w:rsidR="006F6B87" w:rsidRDefault="006F6B87" w:rsidP="001F6818">
      <w:pPr>
        <w:spacing w:after="0" w:line="240" w:lineRule="auto"/>
        <w:rPr>
          <w:rFonts w:ascii="Verdana" w:eastAsia="Geomanist Light" w:hAnsi="Verdana" w:cs="Arial"/>
          <w:color w:val="000000" w:themeColor="text1"/>
          <w:lang w:val="es-MX"/>
        </w:rPr>
      </w:pPr>
    </w:p>
    <w:p w14:paraId="37D762A5" w14:textId="77777777" w:rsidR="006F6B87" w:rsidRDefault="006F6B87" w:rsidP="001F6818">
      <w:pPr>
        <w:spacing w:after="0" w:line="240" w:lineRule="auto"/>
        <w:rPr>
          <w:rFonts w:ascii="Verdana" w:eastAsia="Geomanist Light" w:hAnsi="Verdana" w:cs="Arial"/>
          <w:color w:val="000000" w:themeColor="text1"/>
          <w:lang w:val="es-MX"/>
        </w:rPr>
      </w:pPr>
    </w:p>
    <w:p w14:paraId="03A09446" w14:textId="77777777" w:rsidR="006F6B87" w:rsidRDefault="006F6B87" w:rsidP="001F6818">
      <w:pPr>
        <w:spacing w:after="0" w:line="240" w:lineRule="auto"/>
        <w:rPr>
          <w:rFonts w:ascii="Verdana" w:eastAsia="Geomanist Light" w:hAnsi="Verdana" w:cs="Arial"/>
          <w:color w:val="000000" w:themeColor="text1"/>
          <w:lang w:val="es-MX"/>
        </w:rPr>
      </w:pPr>
    </w:p>
    <w:p w14:paraId="366D55F2" w14:textId="77777777" w:rsidR="006F6B87" w:rsidRDefault="006F6B87" w:rsidP="001F6818">
      <w:pPr>
        <w:spacing w:after="0" w:line="240" w:lineRule="auto"/>
        <w:rPr>
          <w:rFonts w:ascii="Verdana" w:eastAsia="Geomanist Light" w:hAnsi="Verdana" w:cs="Arial"/>
          <w:color w:val="000000" w:themeColor="text1"/>
          <w:lang w:val="es-MX"/>
        </w:rPr>
      </w:pPr>
    </w:p>
    <w:p w14:paraId="22F0FA6B" w14:textId="77777777" w:rsidR="006F6B87" w:rsidRDefault="006F6B87" w:rsidP="001F6818">
      <w:pPr>
        <w:spacing w:after="0" w:line="240" w:lineRule="auto"/>
        <w:rPr>
          <w:rFonts w:ascii="Verdana" w:eastAsia="Geomanist Light" w:hAnsi="Verdana" w:cs="Arial"/>
          <w:color w:val="000000" w:themeColor="text1"/>
          <w:lang w:val="es-MX"/>
        </w:rPr>
      </w:pPr>
    </w:p>
    <w:p w14:paraId="1ABF29E3" w14:textId="77777777" w:rsidR="006F6B87" w:rsidRDefault="006F6B87" w:rsidP="001F6818">
      <w:pPr>
        <w:spacing w:after="0" w:line="240" w:lineRule="auto"/>
        <w:rPr>
          <w:rFonts w:ascii="Verdana" w:eastAsia="Geomanist Light" w:hAnsi="Verdana" w:cs="Arial"/>
          <w:color w:val="000000" w:themeColor="text1"/>
          <w:lang w:val="es-MX"/>
        </w:rPr>
      </w:pPr>
    </w:p>
    <w:p w14:paraId="26B1CD0E" w14:textId="77777777" w:rsidR="006F6B87" w:rsidRDefault="006F6B87" w:rsidP="001F6818">
      <w:pPr>
        <w:spacing w:after="0" w:line="240" w:lineRule="auto"/>
        <w:rPr>
          <w:rFonts w:ascii="Verdana" w:eastAsia="Geomanist Light" w:hAnsi="Verdana" w:cs="Arial"/>
          <w:color w:val="000000" w:themeColor="text1"/>
          <w:lang w:val="es-MX"/>
        </w:rPr>
      </w:pPr>
    </w:p>
    <w:p w14:paraId="3E696CB2" w14:textId="77777777" w:rsidR="006F6B87" w:rsidRDefault="006F6B87" w:rsidP="001F6818">
      <w:pPr>
        <w:spacing w:after="0" w:line="240" w:lineRule="auto"/>
        <w:rPr>
          <w:rFonts w:ascii="Verdana" w:eastAsia="Geomanist Light" w:hAnsi="Verdana" w:cs="Arial"/>
          <w:color w:val="000000" w:themeColor="text1"/>
          <w:lang w:val="es-MX"/>
        </w:rPr>
      </w:pPr>
    </w:p>
    <w:p w14:paraId="3F1589B8" w14:textId="77777777" w:rsidR="006F6B87" w:rsidRDefault="006F6B87" w:rsidP="001F6818">
      <w:pPr>
        <w:spacing w:after="0" w:line="240" w:lineRule="auto"/>
        <w:rPr>
          <w:rFonts w:ascii="Verdana" w:eastAsia="Geomanist Light" w:hAnsi="Verdana" w:cs="Arial"/>
          <w:color w:val="000000" w:themeColor="text1"/>
          <w:lang w:val="es-MX"/>
        </w:rPr>
      </w:pPr>
    </w:p>
    <w:p w14:paraId="1BB87199" w14:textId="77777777" w:rsidR="006F6B87" w:rsidRDefault="006F6B87" w:rsidP="001F6818">
      <w:pPr>
        <w:spacing w:after="0" w:line="240" w:lineRule="auto"/>
        <w:rPr>
          <w:rFonts w:ascii="Verdana" w:eastAsia="Geomanist Light" w:hAnsi="Verdana" w:cs="Arial"/>
          <w:color w:val="000000" w:themeColor="text1"/>
          <w:lang w:val="es-MX"/>
        </w:rPr>
      </w:pPr>
    </w:p>
    <w:p w14:paraId="7F638446" w14:textId="77777777" w:rsidR="006F6B87" w:rsidRDefault="006F6B87" w:rsidP="001F6818">
      <w:pPr>
        <w:spacing w:after="0" w:line="240" w:lineRule="auto"/>
        <w:rPr>
          <w:rFonts w:ascii="Verdana" w:eastAsia="Geomanist Light" w:hAnsi="Verdana" w:cs="Arial"/>
          <w:color w:val="000000" w:themeColor="text1"/>
          <w:lang w:val="es-MX"/>
        </w:rPr>
      </w:pPr>
    </w:p>
    <w:p w14:paraId="66AA3E6D" w14:textId="77777777" w:rsidR="006F6B87" w:rsidRDefault="006F6B87" w:rsidP="001F6818">
      <w:pPr>
        <w:spacing w:after="0" w:line="240" w:lineRule="auto"/>
        <w:rPr>
          <w:rFonts w:ascii="Verdana" w:eastAsia="Geomanist Light" w:hAnsi="Verdana" w:cs="Arial"/>
          <w:color w:val="000000" w:themeColor="text1"/>
          <w:lang w:val="es-MX"/>
        </w:rPr>
      </w:pPr>
    </w:p>
    <w:p w14:paraId="5BB446B9" w14:textId="77777777" w:rsidR="006F6B87" w:rsidRDefault="006F6B87" w:rsidP="001F6818">
      <w:pPr>
        <w:spacing w:after="0" w:line="240" w:lineRule="auto"/>
        <w:rPr>
          <w:rFonts w:ascii="Verdana" w:eastAsia="Geomanist Light" w:hAnsi="Verdana" w:cs="Arial"/>
          <w:color w:val="000000" w:themeColor="text1"/>
          <w:lang w:val="es-MX"/>
        </w:rPr>
      </w:pPr>
    </w:p>
    <w:p w14:paraId="5260C950" w14:textId="77777777" w:rsidR="006F6B87" w:rsidRDefault="006F6B87" w:rsidP="001F6818">
      <w:pPr>
        <w:spacing w:after="0" w:line="240" w:lineRule="auto"/>
        <w:rPr>
          <w:rFonts w:ascii="Verdana" w:eastAsia="Geomanist Light" w:hAnsi="Verdana" w:cs="Arial"/>
          <w:color w:val="000000" w:themeColor="text1"/>
          <w:lang w:val="es-MX"/>
        </w:rPr>
      </w:pPr>
    </w:p>
    <w:p w14:paraId="3DEB8C9D" w14:textId="77777777" w:rsidR="006F6B87" w:rsidRDefault="006F6B87" w:rsidP="001F6818">
      <w:pPr>
        <w:spacing w:after="0" w:line="240" w:lineRule="auto"/>
        <w:rPr>
          <w:rFonts w:ascii="Verdana" w:eastAsia="Geomanist Light" w:hAnsi="Verdana" w:cs="Arial"/>
          <w:color w:val="000000" w:themeColor="text1"/>
          <w:lang w:val="es-MX"/>
        </w:rPr>
      </w:pPr>
    </w:p>
    <w:p w14:paraId="56458B4C" w14:textId="77777777" w:rsidR="006F6B87" w:rsidRDefault="006F6B87" w:rsidP="001F6818">
      <w:pPr>
        <w:spacing w:after="0" w:line="240" w:lineRule="auto"/>
        <w:rPr>
          <w:rFonts w:ascii="Verdana" w:eastAsia="Geomanist Light" w:hAnsi="Verdana" w:cs="Arial"/>
          <w:color w:val="000000" w:themeColor="text1"/>
          <w:lang w:val="es-MX"/>
        </w:rPr>
      </w:pPr>
    </w:p>
    <w:p w14:paraId="547881DB" w14:textId="77777777" w:rsidR="006F6B87" w:rsidRDefault="006F6B87" w:rsidP="001F6818">
      <w:pPr>
        <w:spacing w:after="0" w:line="240" w:lineRule="auto"/>
        <w:rPr>
          <w:rFonts w:ascii="Verdana" w:eastAsia="Geomanist Light" w:hAnsi="Verdana" w:cs="Arial"/>
          <w:color w:val="000000" w:themeColor="text1"/>
          <w:lang w:val="es-MX"/>
        </w:rPr>
      </w:pPr>
    </w:p>
    <w:p w14:paraId="4AC464AB" w14:textId="77777777" w:rsidR="006F6B87" w:rsidRDefault="006F6B87" w:rsidP="001F6818">
      <w:pPr>
        <w:spacing w:after="0" w:line="240" w:lineRule="auto"/>
        <w:rPr>
          <w:rFonts w:ascii="Verdana" w:eastAsia="Geomanist Light" w:hAnsi="Verdana" w:cs="Arial"/>
          <w:color w:val="000000" w:themeColor="text1"/>
          <w:lang w:val="es-MX"/>
        </w:rPr>
      </w:pPr>
    </w:p>
    <w:p w14:paraId="79DAE28C" w14:textId="77777777" w:rsidR="006F6B87" w:rsidRDefault="006F6B87" w:rsidP="001F6818">
      <w:pPr>
        <w:spacing w:after="0" w:line="240" w:lineRule="auto"/>
        <w:rPr>
          <w:rFonts w:ascii="Verdana" w:eastAsia="Geomanist Light" w:hAnsi="Verdana" w:cs="Arial"/>
          <w:color w:val="000000" w:themeColor="text1"/>
          <w:lang w:val="es-MX"/>
        </w:rPr>
      </w:pPr>
    </w:p>
    <w:p w14:paraId="657017C8" w14:textId="77777777" w:rsidR="006F6B87" w:rsidRDefault="006F6B87" w:rsidP="001F6818">
      <w:pPr>
        <w:spacing w:after="0" w:line="240" w:lineRule="auto"/>
        <w:rPr>
          <w:rFonts w:ascii="Verdana" w:eastAsia="Geomanist Light" w:hAnsi="Verdana" w:cs="Arial"/>
          <w:color w:val="000000" w:themeColor="text1"/>
          <w:lang w:val="es-MX"/>
        </w:rPr>
      </w:pPr>
    </w:p>
    <w:p w14:paraId="66DC7005" w14:textId="77777777" w:rsidR="006F6B87" w:rsidRDefault="006F6B87" w:rsidP="001F6818">
      <w:pPr>
        <w:spacing w:after="0" w:line="240" w:lineRule="auto"/>
        <w:rPr>
          <w:rFonts w:ascii="Verdana" w:eastAsia="Geomanist Light" w:hAnsi="Verdana" w:cs="Arial"/>
          <w:color w:val="000000" w:themeColor="text1"/>
          <w:lang w:val="es-MX"/>
        </w:rPr>
      </w:pPr>
    </w:p>
    <w:p w14:paraId="06179DA1" w14:textId="77777777" w:rsidR="006F6B87" w:rsidRDefault="006F6B87" w:rsidP="001F6818">
      <w:pPr>
        <w:spacing w:after="0" w:line="240" w:lineRule="auto"/>
        <w:rPr>
          <w:rFonts w:ascii="Verdana" w:eastAsia="Geomanist Light" w:hAnsi="Verdana" w:cs="Arial"/>
          <w:color w:val="000000" w:themeColor="text1"/>
          <w:lang w:val="es-MX"/>
        </w:rPr>
      </w:pPr>
    </w:p>
    <w:p w14:paraId="48FEA569" w14:textId="77777777" w:rsidR="006F6B87" w:rsidRDefault="006F6B87" w:rsidP="001F6818">
      <w:pPr>
        <w:spacing w:after="0" w:line="240" w:lineRule="auto"/>
        <w:rPr>
          <w:rFonts w:ascii="Verdana" w:eastAsia="Geomanist Light" w:hAnsi="Verdana" w:cs="Arial"/>
          <w:color w:val="000000" w:themeColor="text1"/>
          <w:lang w:val="es-MX"/>
        </w:rPr>
      </w:pPr>
    </w:p>
    <w:p w14:paraId="1F47CE24" w14:textId="77777777" w:rsidR="006F6B87" w:rsidRDefault="006F6B87" w:rsidP="001F6818">
      <w:pPr>
        <w:spacing w:after="0" w:line="240" w:lineRule="auto"/>
        <w:rPr>
          <w:rFonts w:ascii="Verdana" w:eastAsia="Geomanist Light" w:hAnsi="Verdana" w:cs="Arial"/>
          <w:color w:val="000000" w:themeColor="text1"/>
          <w:lang w:val="es-MX"/>
        </w:rPr>
      </w:pPr>
    </w:p>
    <w:p w14:paraId="677EAF71" w14:textId="77777777" w:rsidR="006F6B87" w:rsidRDefault="006F6B87" w:rsidP="001F6818">
      <w:pPr>
        <w:spacing w:after="0" w:line="240" w:lineRule="auto"/>
        <w:rPr>
          <w:rFonts w:ascii="Verdana" w:eastAsia="Geomanist Light" w:hAnsi="Verdana" w:cs="Arial"/>
          <w:color w:val="000000" w:themeColor="text1"/>
          <w:lang w:val="es-MX"/>
        </w:rPr>
      </w:pPr>
    </w:p>
    <w:p w14:paraId="3E96E641" w14:textId="77777777" w:rsidR="006F6B87" w:rsidRDefault="006F6B87" w:rsidP="001F6818">
      <w:pPr>
        <w:spacing w:after="0" w:line="240" w:lineRule="auto"/>
        <w:rPr>
          <w:rFonts w:ascii="Verdana" w:eastAsia="Geomanist Light" w:hAnsi="Verdana" w:cs="Arial"/>
          <w:color w:val="000000" w:themeColor="text1"/>
          <w:lang w:val="es-MX"/>
        </w:rPr>
      </w:pPr>
    </w:p>
    <w:p w14:paraId="73507873" w14:textId="77777777" w:rsidR="006F6B87" w:rsidRDefault="006F6B87" w:rsidP="001F6818">
      <w:pPr>
        <w:spacing w:after="0" w:line="240" w:lineRule="auto"/>
        <w:rPr>
          <w:rFonts w:ascii="Verdana" w:eastAsia="Geomanist Light" w:hAnsi="Verdana" w:cs="Arial"/>
          <w:color w:val="000000" w:themeColor="text1"/>
          <w:lang w:val="es-MX"/>
        </w:rPr>
      </w:pPr>
    </w:p>
    <w:p w14:paraId="6C79B8B8" w14:textId="77777777" w:rsidR="006F6B87" w:rsidRDefault="006F6B87" w:rsidP="001F6818">
      <w:pPr>
        <w:spacing w:after="0" w:line="240" w:lineRule="auto"/>
        <w:rPr>
          <w:rFonts w:ascii="Verdana" w:eastAsia="Geomanist Light" w:hAnsi="Verdana" w:cs="Arial"/>
          <w:color w:val="000000" w:themeColor="text1"/>
          <w:lang w:val="es-MX"/>
        </w:rPr>
      </w:pPr>
    </w:p>
    <w:p w14:paraId="4CC896F9" w14:textId="77777777" w:rsidR="006F6B87" w:rsidRDefault="006F6B87" w:rsidP="001F6818">
      <w:pPr>
        <w:spacing w:after="0" w:line="240" w:lineRule="auto"/>
        <w:rPr>
          <w:rFonts w:ascii="Verdana" w:eastAsia="Geomanist Light" w:hAnsi="Verdana" w:cs="Arial"/>
          <w:color w:val="000000" w:themeColor="text1"/>
          <w:lang w:val="es-MX"/>
        </w:rPr>
      </w:pPr>
    </w:p>
    <w:p w14:paraId="6B825EC4" w14:textId="77777777" w:rsidR="0002014D" w:rsidRDefault="0002014D" w:rsidP="001F6818">
      <w:pPr>
        <w:spacing w:after="0" w:line="240" w:lineRule="auto"/>
        <w:rPr>
          <w:rFonts w:ascii="Verdana" w:eastAsia="Geomanist Light" w:hAnsi="Verdana" w:cs="Arial"/>
          <w:color w:val="000000" w:themeColor="text1"/>
          <w:lang w:val="es-MX"/>
        </w:rPr>
      </w:pPr>
    </w:p>
    <w:p w14:paraId="13AB44FF" w14:textId="57622716" w:rsidR="001F6818" w:rsidRPr="00593A5F" w:rsidRDefault="001F6818" w:rsidP="001F6818">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5513EF" w:rsidRPr="005513EF">
        <w:rPr>
          <w:rFonts w:ascii="Verdana" w:eastAsia="Geomanist Light" w:hAnsi="Verdana" w:cs="Arial"/>
          <w:color w:val="201F1E"/>
          <w:lang w:val="es-MX"/>
        </w:rPr>
        <w:t>09 de Julio de 2024</w:t>
      </w:r>
    </w:p>
    <w:p w14:paraId="2C829E30" w14:textId="77777777" w:rsidR="001F6818" w:rsidRDefault="001F6818" w:rsidP="001F6818">
      <w:pPr>
        <w:spacing w:after="0" w:line="240" w:lineRule="auto"/>
        <w:jc w:val="both"/>
        <w:rPr>
          <w:rFonts w:ascii="Verdana" w:eastAsia="Calibri" w:hAnsi="Verdana" w:cs="Arial"/>
          <w:color w:val="000000"/>
          <w:lang w:val="es-ES"/>
        </w:rPr>
      </w:pPr>
    </w:p>
    <w:p w14:paraId="29FB7014" w14:textId="1016FABF" w:rsidR="001F6818" w:rsidRDefault="005513EF" w:rsidP="005513EF">
      <w:pPr>
        <w:spacing w:after="0" w:line="240" w:lineRule="auto"/>
        <w:jc w:val="right"/>
        <w:rPr>
          <w:rFonts w:ascii="Verdana" w:eastAsia="Calibri" w:hAnsi="Verdana" w:cs="Arial"/>
          <w:color w:val="000000"/>
          <w:lang w:val="es-ES"/>
        </w:rPr>
      </w:pPr>
      <w:r>
        <w:rPr>
          <w:noProof/>
        </w:rPr>
        <w:drawing>
          <wp:inline distT="0" distB="0" distL="0" distR="0" wp14:anchorId="5C9E2037" wp14:editId="3946CBFA">
            <wp:extent cx="3253476" cy="904813"/>
            <wp:effectExtent l="0" t="0" r="4445" b="0"/>
            <wp:docPr id="1607205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05408" name=""/>
                    <pic:cNvPicPr/>
                  </pic:nvPicPr>
                  <pic:blipFill>
                    <a:blip r:embed="rId10"/>
                    <a:stretch>
                      <a:fillRect/>
                    </a:stretch>
                  </pic:blipFill>
                  <pic:spPr>
                    <a:xfrm>
                      <a:off x="0" y="0"/>
                      <a:ext cx="3253476" cy="904813"/>
                    </a:xfrm>
                    <a:prstGeom prst="rect">
                      <a:avLst/>
                    </a:prstGeom>
                  </pic:spPr>
                </pic:pic>
              </a:graphicData>
            </a:graphic>
          </wp:inline>
        </w:drawing>
      </w:r>
    </w:p>
    <w:p w14:paraId="6329707D" w14:textId="77777777" w:rsidR="005513EF" w:rsidRPr="00593A5F" w:rsidRDefault="005513EF" w:rsidP="001F6818">
      <w:pPr>
        <w:spacing w:after="0" w:line="240" w:lineRule="auto"/>
        <w:jc w:val="both"/>
        <w:rPr>
          <w:rFonts w:ascii="Verdana" w:eastAsia="Calibri" w:hAnsi="Verdana" w:cs="Arial"/>
          <w:color w:val="000000"/>
          <w:lang w:val="es-ES"/>
        </w:rPr>
      </w:pPr>
    </w:p>
    <w:p w14:paraId="2E078489" w14:textId="77777777" w:rsidR="001F6818" w:rsidRPr="00B96799" w:rsidRDefault="001F6818" w:rsidP="001F6818">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71744A5E" w14:textId="77777777" w:rsidR="001F6818" w:rsidRDefault="001F6818" w:rsidP="001F6818">
      <w:pPr>
        <w:spacing w:after="0" w:line="240" w:lineRule="auto"/>
        <w:rPr>
          <w:rFonts w:ascii="Verdana" w:eastAsia="Calibri" w:hAnsi="Verdana" w:cs="Arial"/>
          <w:b/>
          <w:lang w:val="es-ES_tradnl" w:eastAsia="es-ES_tradnl"/>
        </w:rPr>
      </w:pPr>
      <w:r w:rsidRPr="0060467D">
        <w:rPr>
          <w:rFonts w:ascii="Verdana" w:eastAsia="Calibri" w:hAnsi="Verdana" w:cs="Arial"/>
          <w:b/>
          <w:lang w:val="es-ES_tradnl" w:eastAsia="es-ES_tradnl"/>
        </w:rPr>
        <w:t>Daniel Casallas Ortiz</w:t>
      </w:r>
    </w:p>
    <w:p w14:paraId="1555E6BF" w14:textId="77777777" w:rsidR="001F6818" w:rsidRPr="008E6AD9" w:rsidRDefault="001F6818" w:rsidP="001F6818">
      <w:pPr>
        <w:spacing w:after="0" w:line="240" w:lineRule="auto"/>
        <w:rPr>
          <w:rFonts w:ascii="Verdana" w:eastAsia="Calibri" w:hAnsi="Verdana" w:cs="Arial"/>
          <w:color w:val="4472C4" w:themeColor="accent1"/>
          <w:u w:val="single"/>
          <w:lang w:val="es-ES" w:eastAsia="es-ES"/>
        </w:rPr>
      </w:pPr>
      <w:r w:rsidRPr="008E6AD9">
        <w:rPr>
          <w:rFonts w:ascii="Verdana" w:eastAsia="Calibri" w:hAnsi="Verdana" w:cs="Arial"/>
          <w:color w:val="4472C4" w:themeColor="accent1"/>
          <w:u w:val="single"/>
          <w:lang w:val="es-ES" w:eastAsia="es-ES"/>
        </w:rPr>
        <w:t>danielcasallas@hotmail.com</w:t>
      </w:r>
      <w:r>
        <w:rPr>
          <w:rFonts w:ascii="Verdana" w:eastAsia="Calibri" w:hAnsi="Verdana" w:cs="Arial"/>
          <w:color w:val="4472C4" w:themeColor="accent1"/>
          <w:u w:val="single"/>
          <w:lang w:val="es-ES" w:eastAsia="es-ES"/>
        </w:rPr>
        <w:t xml:space="preserve"> </w:t>
      </w:r>
    </w:p>
    <w:p w14:paraId="1B81E4C3" w14:textId="77777777" w:rsidR="001F6818" w:rsidRDefault="001F6818" w:rsidP="001F6818">
      <w:pPr>
        <w:spacing w:after="0" w:line="240" w:lineRule="auto"/>
        <w:rPr>
          <w:rFonts w:ascii="Verdana" w:eastAsia="Calibri" w:hAnsi="Verdana" w:cs="Arial"/>
          <w:lang w:val="es-ES" w:eastAsia="es-ES"/>
        </w:rPr>
      </w:pPr>
      <w:r w:rsidRPr="008E6AD9">
        <w:rPr>
          <w:rFonts w:ascii="Verdana" w:eastAsia="Calibri" w:hAnsi="Verdana" w:cs="Arial"/>
          <w:lang w:val="es-ES" w:eastAsia="es-ES"/>
        </w:rPr>
        <w:t>Bogotá D.C.</w:t>
      </w:r>
    </w:p>
    <w:p w14:paraId="6131C93B" w14:textId="77777777" w:rsidR="001F6818" w:rsidRPr="00593A5F" w:rsidRDefault="001F6818" w:rsidP="001F6818">
      <w:pPr>
        <w:spacing w:after="0" w:line="240" w:lineRule="auto"/>
        <w:rPr>
          <w:rFonts w:ascii="Verdana" w:eastAsia="Calibri" w:hAnsi="Verdana" w:cs="Arial"/>
          <w:b/>
          <w:bCs/>
          <w:color w:val="000000"/>
          <w:lang w:val="es-ES_tradnl" w:eastAsia="es-ES_tradnl"/>
        </w:rPr>
      </w:pPr>
    </w:p>
    <w:p w14:paraId="4E01C5B5" w14:textId="77777777" w:rsidR="001F6818" w:rsidRPr="00593A5F" w:rsidRDefault="001F6818" w:rsidP="001F681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F6818" w:rsidRPr="00593A5F" w14:paraId="5DB704BC" w14:textId="77777777" w:rsidTr="009553B9">
        <w:trPr>
          <w:trHeight w:val="884"/>
        </w:trPr>
        <w:tc>
          <w:tcPr>
            <w:tcW w:w="2689" w:type="dxa"/>
          </w:tcPr>
          <w:p w14:paraId="350A9276" w14:textId="77777777" w:rsidR="001F6818" w:rsidRPr="00C00976" w:rsidRDefault="001F6818" w:rsidP="009553B9">
            <w:pPr>
              <w:jc w:val="both"/>
              <w:rPr>
                <w:rFonts w:ascii="Verdana" w:eastAsia="Calibri" w:hAnsi="Verdana" w:cs="Arial"/>
                <w:b/>
                <w:bCs/>
                <w:color w:val="7030A0"/>
                <w:lang w:val="es-ES_tradnl" w:eastAsia="es-ES_tradnl"/>
              </w:rPr>
            </w:pPr>
          </w:p>
        </w:tc>
        <w:tc>
          <w:tcPr>
            <w:tcW w:w="6100" w:type="dxa"/>
          </w:tcPr>
          <w:p w14:paraId="71A18D4F" w14:textId="77777777" w:rsidR="001F6818" w:rsidRPr="00C00976" w:rsidRDefault="001F6818" w:rsidP="009553B9">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Concepto C – 238 de 2024</w:t>
            </w:r>
          </w:p>
        </w:tc>
      </w:tr>
      <w:tr w:rsidR="001F6818" w:rsidRPr="00593A5F" w14:paraId="0D8981B7" w14:textId="77777777" w:rsidTr="009553B9">
        <w:trPr>
          <w:trHeight w:val="884"/>
        </w:trPr>
        <w:tc>
          <w:tcPr>
            <w:tcW w:w="2689" w:type="dxa"/>
          </w:tcPr>
          <w:p w14:paraId="513D9602" w14:textId="77777777" w:rsidR="001F6818" w:rsidRPr="00593A5F" w:rsidRDefault="001F6818" w:rsidP="009553B9">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42B0B247" w14:textId="77777777" w:rsidR="001F6818" w:rsidRPr="00D1484F" w:rsidRDefault="001F6818" w:rsidP="009553B9">
            <w:pPr>
              <w:spacing w:line="276" w:lineRule="auto"/>
              <w:jc w:val="both"/>
              <w:rPr>
                <w:rFonts w:ascii="Verdana" w:eastAsia="Calibri" w:hAnsi="Verdana" w:cs="Arial"/>
                <w:lang w:val="es-ES" w:eastAsia="es-ES"/>
              </w:rPr>
            </w:pPr>
            <w:r w:rsidRPr="00D1484F">
              <w:rPr>
                <w:rFonts w:ascii="Verdana" w:eastAsia="Calibri" w:hAnsi="Verdana" w:cs="Arial"/>
                <w:lang w:val="es-ES" w:eastAsia="es-ES"/>
              </w:rPr>
              <w:t xml:space="preserve">PROPONENTE PLURAL ‒ Consorcio ‒ Unión temporal ‒ Concepto – Diferencias / CONSORCIOS Y UNIONES TEMPORALES – Ausencia de personería jurídica – Capacidad jurídica restringida </w:t>
            </w:r>
          </w:p>
          <w:p w14:paraId="0FB428AF" w14:textId="77777777" w:rsidR="001F6818" w:rsidRPr="00593A5F" w:rsidRDefault="001F6818" w:rsidP="009553B9">
            <w:pPr>
              <w:spacing w:line="276" w:lineRule="auto"/>
              <w:jc w:val="both"/>
              <w:rPr>
                <w:rFonts w:ascii="Verdana" w:eastAsia="Calibri" w:hAnsi="Verdana" w:cs="Arial"/>
                <w:lang w:val="es-ES" w:eastAsia="es-ES"/>
              </w:rPr>
            </w:pPr>
          </w:p>
        </w:tc>
      </w:tr>
      <w:tr w:rsidR="001F6818" w:rsidRPr="008E6AD9" w14:paraId="40669F46" w14:textId="77777777" w:rsidTr="009553B9">
        <w:tc>
          <w:tcPr>
            <w:tcW w:w="2689" w:type="dxa"/>
          </w:tcPr>
          <w:p w14:paraId="6F420F89" w14:textId="77777777" w:rsidR="001F6818" w:rsidRPr="008E6AD9" w:rsidRDefault="001F6818" w:rsidP="009553B9">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545AF49A" w14:textId="77777777" w:rsidR="001F6818" w:rsidRPr="008E6AD9" w:rsidRDefault="001F6818" w:rsidP="009553B9">
            <w:pPr>
              <w:jc w:val="both"/>
              <w:rPr>
                <w:rFonts w:ascii="Verdana" w:eastAsia="Calibri" w:hAnsi="Verdana" w:cs="Arial"/>
                <w:lang w:eastAsia="es-ES_tradnl"/>
              </w:rPr>
            </w:pPr>
            <w:r w:rsidRPr="008E6AD9">
              <w:rPr>
                <w:rFonts w:ascii="Verdana" w:eastAsia="Calibri" w:hAnsi="Verdana" w:cs="Arial"/>
                <w:lang w:val="es-ES_tradnl" w:eastAsia="es-ES_tradnl"/>
              </w:rPr>
              <w:t>Respuesta a consulta con radicados No. P20240628006608 y P20240628006613</w:t>
            </w:r>
            <w:r>
              <w:rPr>
                <w:rFonts w:ascii="Verdana" w:eastAsia="Calibri" w:hAnsi="Verdana" w:cs="Arial"/>
                <w:lang w:val="es-ES_tradnl" w:eastAsia="es-ES_tradnl"/>
              </w:rPr>
              <w:t xml:space="preserve"> –Acumulados–</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BF9066A" w14:textId="77777777" w:rsidR="001F6818" w:rsidRPr="00593A5F" w:rsidRDefault="001F6818" w:rsidP="001F6818">
      <w:pPr>
        <w:spacing w:after="0" w:line="240" w:lineRule="auto"/>
        <w:jc w:val="both"/>
        <w:rPr>
          <w:rFonts w:ascii="Verdana" w:eastAsia="Calibri" w:hAnsi="Verdana" w:cs="Arial"/>
          <w:color w:val="000000"/>
          <w:lang w:val="es-ES_tradnl" w:eastAsia="es-ES_tradnl"/>
        </w:rPr>
      </w:pPr>
    </w:p>
    <w:p w14:paraId="5B77DD02" w14:textId="77777777" w:rsidR="001F6818" w:rsidRPr="00593A5F" w:rsidRDefault="001F6818" w:rsidP="001F6818">
      <w:pPr>
        <w:spacing w:after="0" w:line="240" w:lineRule="auto"/>
        <w:jc w:val="both"/>
        <w:rPr>
          <w:rFonts w:ascii="Verdana" w:eastAsia="Calibri" w:hAnsi="Verdana" w:cs="Arial"/>
          <w:color w:val="000000"/>
          <w:lang w:val="es-ES_tradnl" w:eastAsia="es-ES_tradnl"/>
        </w:rPr>
      </w:pPr>
    </w:p>
    <w:p w14:paraId="20668107" w14:textId="77777777" w:rsidR="001F6818" w:rsidRPr="008E6AD9" w:rsidRDefault="001F6818" w:rsidP="001F6818">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 xml:space="preserve">Estimado señor Casallas Ortiz: </w:t>
      </w:r>
    </w:p>
    <w:p w14:paraId="1770A138" w14:textId="77777777" w:rsidR="001F6818" w:rsidRDefault="001F6818" w:rsidP="001F681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6E5933F" w14:textId="77777777" w:rsidR="001F6818" w:rsidRPr="00593A5F" w:rsidRDefault="001F6818" w:rsidP="001F6818">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w:t>
      </w:r>
      <w:r>
        <w:rPr>
          <w:rFonts w:ascii="Verdana" w:eastAsia="Calibri" w:hAnsi="Verdana" w:cs="Arial"/>
          <w:color w:val="000000" w:themeColor="text1"/>
          <w:lang w:val="es-ES" w:eastAsia="es-ES"/>
        </w:rPr>
        <w:t>s</w:t>
      </w:r>
      <w:r w:rsidRPr="00593A5F">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 28 de junio de 2024, en la cua</w:t>
      </w:r>
      <w:r>
        <w:rPr>
          <w:rFonts w:ascii="Verdana" w:eastAsia="Calibri" w:hAnsi="Verdana" w:cs="Arial"/>
          <w:lang w:val="es-ES" w:eastAsia="es-ES"/>
        </w:rPr>
        <w:t>l pregunta</w:t>
      </w:r>
      <w:r w:rsidRPr="008E6AD9">
        <w:rPr>
          <w:rFonts w:ascii="Verdana" w:eastAsia="Calibri" w:hAnsi="Verdana" w:cs="Arial"/>
          <w:lang w:val="es-ES" w:eastAsia="es-ES"/>
        </w:rPr>
        <w:t xml:space="preserve">: </w:t>
      </w:r>
    </w:p>
    <w:p w14:paraId="7951424D" w14:textId="77777777" w:rsidR="00812B68" w:rsidRDefault="00812B68" w:rsidP="001F6818">
      <w:pPr>
        <w:spacing w:after="0" w:line="240" w:lineRule="auto"/>
        <w:ind w:left="709" w:right="709"/>
        <w:jc w:val="both"/>
        <w:rPr>
          <w:rFonts w:ascii="Verdana" w:eastAsia="Century Gothic" w:hAnsi="Verdana" w:cs="Century Gothic"/>
          <w:sz w:val="20"/>
          <w:szCs w:val="20"/>
          <w:lang w:val="es-ES"/>
        </w:rPr>
      </w:pPr>
      <w:bookmarkStart w:id="0" w:name="_Hlk95313578"/>
    </w:p>
    <w:p w14:paraId="25DCC00E" w14:textId="107BD2C3" w:rsidR="001F6818" w:rsidRPr="008E6AD9" w:rsidRDefault="001F6818" w:rsidP="001F6818">
      <w:pPr>
        <w:spacing w:after="0" w:line="240" w:lineRule="auto"/>
        <w:ind w:left="709" w:right="709"/>
        <w:jc w:val="both"/>
        <w:rPr>
          <w:rFonts w:ascii="Verdana" w:hAnsi="Verdana" w:cs="Arial"/>
          <w:sz w:val="20"/>
          <w:szCs w:val="20"/>
          <w:shd w:val="clear" w:color="auto" w:fill="FFFFFF"/>
          <w:lang w:val="es-ES"/>
        </w:rPr>
      </w:pPr>
      <w:r w:rsidRPr="008E6AD9">
        <w:rPr>
          <w:rFonts w:ascii="Verdana" w:eastAsia="Century Gothic" w:hAnsi="Verdana" w:cs="Century Gothic"/>
          <w:sz w:val="20"/>
          <w:szCs w:val="20"/>
          <w:lang w:val="es-ES"/>
        </w:rPr>
        <w:t>“</w:t>
      </w:r>
      <w:r w:rsidRPr="008E6AD9">
        <w:rPr>
          <w:rStyle w:val="normaltextrun"/>
          <w:rFonts w:ascii="Verdana" w:hAnsi="Verdana" w:cs="Arial"/>
          <w:sz w:val="20"/>
          <w:szCs w:val="20"/>
          <w:shd w:val="clear" w:color="auto" w:fill="FFFFFF"/>
          <w:lang w:val="es-ES"/>
        </w:rPr>
        <w:t xml:space="preserve">[…] si […] la capacidad de los consorcios y las uniones temporales se extiende a la vez que limita a i) la celebración y ejecución del respectivo contrato estatal; </w:t>
      </w:r>
      <w:proofErr w:type="spellStart"/>
      <w:r w:rsidRPr="008E6AD9">
        <w:rPr>
          <w:rStyle w:val="normaltextrun"/>
          <w:rFonts w:ascii="Verdana" w:hAnsi="Verdana" w:cs="Arial"/>
          <w:sz w:val="20"/>
          <w:szCs w:val="20"/>
          <w:shd w:val="clear" w:color="auto" w:fill="FFFFFF"/>
          <w:lang w:val="es-ES"/>
        </w:rPr>
        <w:t>ii</w:t>
      </w:r>
      <w:proofErr w:type="spellEnd"/>
      <w:r w:rsidRPr="008E6AD9">
        <w:rPr>
          <w:rStyle w:val="normaltextrun"/>
          <w:rFonts w:ascii="Verdana" w:hAnsi="Verdana" w:cs="Arial"/>
          <w:sz w:val="20"/>
          <w:szCs w:val="20"/>
          <w:shd w:val="clear" w:color="auto" w:fill="FFFFFF"/>
          <w:lang w:val="es-ES"/>
        </w:rPr>
        <w:t xml:space="preserve">) la celebración y ejecución del contrato fiduciario para el manejo de anticipos; </w:t>
      </w:r>
      <w:proofErr w:type="spellStart"/>
      <w:r w:rsidRPr="008E6AD9">
        <w:rPr>
          <w:rStyle w:val="normaltextrun"/>
          <w:rFonts w:ascii="Verdana" w:hAnsi="Verdana" w:cs="Arial"/>
          <w:sz w:val="20"/>
          <w:szCs w:val="20"/>
          <w:shd w:val="clear" w:color="auto" w:fill="FFFFFF"/>
          <w:lang w:val="es-ES"/>
        </w:rPr>
        <w:t>iii</w:t>
      </w:r>
      <w:proofErr w:type="spellEnd"/>
      <w:r w:rsidRPr="008E6AD9">
        <w:rPr>
          <w:rStyle w:val="normaltextrun"/>
          <w:rFonts w:ascii="Verdana" w:hAnsi="Verdana" w:cs="Arial"/>
          <w:sz w:val="20"/>
          <w:szCs w:val="20"/>
          <w:shd w:val="clear" w:color="auto" w:fill="FFFFFF"/>
          <w:lang w:val="es-ES"/>
        </w:rPr>
        <w:t xml:space="preserve">) la celebración de aquellos contratos que por objeto tengan la disposición de derechos derivados del contrato estatal; </w:t>
      </w:r>
      <w:proofErr w:type="spellStart"/>
      <w:r w:rsidRPr="008E6AD9">
        <w:rPr>
          <w:rStyle w:val="normaltextrun"/>
          <w:rFonts w:ascii="Verdana" w:hAnsi="Verdana" w:cs="Arial"/>
          <w:sz w:val="20"/>
          <w:szCs w:val="20"/>
          <w:shd w:val="clear" w:color="auto" w:fill="FFFFFF"/>
          <w:lang w:val="es-ES"/>
        </w:rPr>
        <w:t>iv</w:t>
      </w:r>
      <w:proofErr w:type="spellEnd"/>
      <w:r w:rsidRPr="008E6AD9">
        <w:rPr>
          <w:rStyle w:val="normaltextrun"/>
          <w:rFonts w:ascii="Verdana" w:hAnsi="Verdana" w:cs="Arial"/>
          <w:sz w:val="20"/>
          <w:szCs w:val="20"/>
          <w:shd w:val="clear" w:color="auto" w:fill="FFFFFF"/>
          <w:lang w:val="es-ES"/>
        </w:rPr>
        <w:t xml:space="preserve">) la celebración y ejecución de aquel </w:t>
      </w:r>
      <w:r w:rsidRPr="008E6AD9">
        <w:rPr>
          <w:rStyle w:val="normaltextrun"/>
          <w:rFonts w:ascii="Verdana" w:hAnsi="Verdana" w:cs="Arial"/>
          <w:sz w:val="20"/>
          <w:szCs w:val="20"/>
          <w:shd w:val="clear" w:color="auto" w:fill="FFFFFF"/>
          <w:lang w:val="es-ES"/>
        </w:rPr>
        <w:lastRenderedPageBreak/>
        <w:t xml:space="preserve">contrato que por objeto tenga la cesión del propio contrato estatal y </w:t>
      </w:r>
      <w:proofErr w:type="spellStart"/>
      <w:r w:rsidRPr="008E6AD9">
        <w:rPr>
          <w:rStyle w:val="normaltextrun"/>
          <w:rFonts w:ascii="Verdana" w:hAnsi="Verdana" w:cs="Arial"/>
          <w:sz w:val="20"/>
          <w:szCs w:val="20"/>
          <w:shd w:val="clear" w:color="auto" w:fill="FFFFFF"/>
          <w:lang w:val="es-ES"/>
        </w:rPr>
        <w:t>iii</w:t>
      </w:r>
      <w:proofErr w:type="spellEnd"/>
      <w:r w:rsidRPr="008E6AD9">
        <w:rPr>
          <w:rStyle w:val="normaltextrun"/>
          <w:rFonts w:ascii="Verdana" w:hAnsi="Verdana" w:cs="Arial"/>
          <w:sz w:val="20"/>
          <w:szCs w:val="20"/>
          <w:shd w:val="clear" w:color="auto" w:fill="FFFFFF"/>
          <w:lang w:val="es-ES"/>
        </w:rPr>
        <w:t>) en los términos atrás expuestos, la celebración y ejecución de los contratos coligados con el contrato estatal</w:t>
      </w:r>
      <w:r w:rsidRPr="008E6AD9">
        <w:rPr>
          <w:rFonts w:ascii="Verdana" w:eastAsia="Century Gothic" w:hAnsi="Verdana" w:cs="Century Gothic"/>
          <w:sz w:val="20"/>
          <w:szCs w:val="20"/>
          <w:lang w:val="es-ES"/>
        </w:rPr>
        <w:t>”</w:t>
      </w:r>
      <w:bookmarkEnd w:id="0"/>
      <w:r w:rsidRPr="008E6AD9">
        <w:rPr>
          <w:rFonts w:ascii="Verdana" w:eastAsia="Century Gothic" w:hAnsi="Verdana" w:cs="Century Gothic"/>
          <w:sz w:val="20"/>
          <w:szCs w:val="20"/>
          <w:lang w:val="es-ES"/>
        </w:rPr>
        <w:t>.</w:t>
      </w:r>
    </w:p>
    <w:p w14:paraId="20C09F72" w14:textId="77777777" w:rsidR="001F6818" w:rsidRPr="008E6AD9" w:rsidRDefault="001F6818" w:rsidP="001F6818">
      <w:pPr>
        <w:pStyle w:val="Prrafodelista"/>
        <w:tabs>
          <w:tab w:val="left" w:pos="142"/>
          <w:tab w:val="left" w:pos="284"/>
        </w:tabs>
        <w:spacing w:line="276" w:lineRule="auto"/>
        <w:ind w:left="0"/>
        <w:jc w:val="both"/>
        <w:rPr>
          <w:rFonts w:ascii="Verdana" w:eastAsia="Century Gothic" w:hAnsi="Verdana" w:cs="Century Gothic"/>
          <w:b/>
          <w:bCs/>
        </w:rPr>
      </w:pPr>
    </w:p>
    <w:p w14:paraId="18B1A166" w14:textId="77777777" w:rsidR="001F6818" w:rsidRPr="00A652FF" w:rsidRDefault="001F6818" w:rsidP="001F6818">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1897661" w14:textId="77777777" w:rsidR="001F6818" w:rsidRDefault="001F6818" w:rsidP="001F6818">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18F6D83" w14:textId="77777777" w:rsidR="001F6818" w:rsidRPr="00593A5F" w:rsidRDefault="001F6818" w:rsidP="001F6818">
      <w:pPr>
        <w:spacing w:after="0" w:line="276" w:lineRule="auto"/>
        <w:ind w:firstLine="709"/>
        <w:jc w:val="both"/>
        <w:rPr>
          <w:rFonts w:ascii="Verdana" w:eastAsia="Calibri" w:hAnsi="Verdana" w:cs="Arial"/>
          <w:color w:val="000000"/>
          <w:lang w:val="es-ES" w:eastAsia="es-ES"/>
        </w:rPr>
      </w:pPr>
    </w:p>
    <w:p w14:paraId="36690140" w14:textId="77777777" w:rsidR="001F6818" w:rsidRPr="00593A5F" w:rsidRDefault="001F6818" w:rsidP="001F6818">
      <w:pPr>
        <w:pStyle w:val="Prrafodelista"/>
        <w:numPr>
          <w:ilvl w:val="0"/>
          <w:numId w:val="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561B2BD" w14:textId="77777777" w:rsidR="001F6818" w:rsidRPr="00593A5F" w:rsidRDefault="001F6818" w:rsidP="001F6818">
      <w:pPr>
        <w:tabs>
          <w:tab w:val="left" w:pos="426"/>
        </w:tabs>
        <w:spacing w:after="0" w:line="276" w:lineRule="auto"/>
        <w:jc w:val="both"/>
        <w:rPr>
          <w:rFonts w:ascii="Verdana" w:eastAsia="Century Gothic" w:hAnsi="Verdana" w:cs="Century Gothic"/>
          <w:lang w:val="es-ES"/>
        </w:rPr>
      </w:pPr>
    </w:p>
    <w:p w14:paraId="4012E93B" w14:textId="77777777" w:rsidR="001F6818" w:rsidRPr="00593A5F" w:rsidRDefault="001F6818" w:rsidP="001F6818">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r w:rsidRPr="00A652FF">
        <w:rPr>
          <w:rFonts w:ascii="Verdana" w:eastAsia="Century Gothic" w:hAnsi="Verdana" w:cs="Century Gothic"/>
        </w:rPr>
        <w:t xml:space="preserve">¿la capacidad de los proponentes plurales se limita a las actividades </w:t>
      </w:r>
      <w:r>
        <w:rPr>
          <w:rFonts w:ascii="Verdana" w:eastAsia="Century Gothic" w:hAnsi="Verdana" w:cs="Century Gothic"/>
        </w:rPr>
        <w:t>de</w:t>
      </w:r>
      <w:r w:rsidRPr="00A652FF">
        <w:rPr>
          <w:rFonts w:ascii="Verdana" w:eastAsia="Century Gothic" w:hAnsi="Verdana" w:cs="Century Gothic"/>
        </w:rPr>
        <w:t xml:space="preserve"> los numerales 6 y 7 del artículo 7 de la Ley 80 de 1993 o ésta se extiende, por ejemplo, a la celebración de contratos de fiducia, cesiones de crédito, cesiones de contrato</w:t>
      </w:r>
      <w:r>
        <w:rPr>
          <w:rFonts w:ascii="Verdana" w:eastAsia="Century Gothic" w:hAnsi="Verdana" w:cs="Century Gothic"/>
        </w:rPr>
        <w:t xml:space="preserve"> o</w:t>
      </w:r>
      <w:r w:rsidRPr="00A652FF">
        <w:rPr>
          <w:rFonts w:ascii="Verdana" w:eastAsia="Century Gothic" w:hAnsi="Verdana" w:cs="Century Gothic"/>
        </w:rPr>
        <w:t xml:space="preserve"> subcontratos?</w:t>
      </w:r>
      <w:r w:rsidRPr="00C00976">
        <w:rPr>
          <w:rFonts w:ascii="Verdana" w:eastAsia="Century Gothic" w:hAnsi="Verdana" w:cs="Century Gothic"/>
          <w:color w:val="7030A0"/>
        </w:rPr>
        <w:t xml:space="preserve"> </w:t>
      </w:r>
    </w:p>
    <w:p w14:paraId="308A5DEB" w14:textId="77777777" w:rsidR="001F6818" w:rsidRPr="00593A5F" w:rsidRDefault="001F6818" w:rsidP="001F6818">
      <w:pPr>
        <w:spacing w:after="0" w:line="276" w:lineRule="auto"/>
        <w:jc w:val="both"/>
        <w:rPr>
          <w:rFonts w:ascii="Verdana" w:eastAsia="Calibri" w:hAnsi="Verdana" w:cs="Arial"/>
          <w:color w:val="7030A0"/>
          <w:lang w:val="es-ES"/>
        </w:rPr>
      </w:pPr>
    </w:p>
    <w:p w14:paraId="4741BFE9" w14:textId="77777777" w:rsidR="001F6818" w:rsidRPr="00593A5F" w:rsidRDefault="001F6818" w:rsidP="001F6818">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06C28AF" w14:textId="77777777" w:rsidR="001F6818" w:rsidRPr="00593A5F" w:rsidRDefault="001F6818" w:rsidP="001F681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F6818" w:rsidRPr="00593A5F" w14:paraId="09D0B77D" w14:textId="77777777" w:rsidTr="00191C71">
        <w:trPr>
          <w:jc w:val="center"/>
        </w:trPr>
        <w:tc>
          <w:tcPr>
            <w:tcW w:w="8828" w:type="dxa"/>
            <w:shd w:val="clear" w:color="auto" w:fill="auto"/>
          </w:tcPr>
          <w:p w14:paraId="10618FA7" w14:textId="77777777" w:rsidR="001F6818" w:rsidRPr="00593A5F" w:rsidRDefault="001F6818" w:rsidP="009553B9">
            <w:pPr>
              <w:spacing w:after="120" w:line="276" w:lineRule="auto"/>
              <w:jc w:val="both"/>
              <w:rPr>
                <w:rFonts w:ascii="Verdana" w:eastAsia="Calibri" w:hAnsi="Verdana" w:cs="Arial"/>
                <w:color w:val="7030A0"/>
                <w:lang w:val="es-ES"/>
              </w:rPr>
            </w:pPr>
            <w:bookmarkStart w:id="1" w:name="_Hlk170985864"/>
            <w:r>
              <w:rPr>
                <w:rFonts w:ascii="Verdana" w:eastAsia="Calibri" w:hAnsi="Verdana" w:cs="Arial"/>
                <w:lang w:val="es-ES"/>
              </w:rPr>
              <w:t>E</w:t>
            </w:r>
            <w:r w:rsidRPr="00065C6D">
              <w:rPr>
                <w:rFonts w:ascii="Verdana" w:eastAsia="Calibri" w:hAnsi="Verdana" w:cs="Arial"/>
                <w:lang w:val="es-ES"/>
              </w:rPr>
              <w:t xml:space="preserve">l consorcio o la unión temporal surge “Cuando dos o más personas en forma conjunta presentan una misma propuesta para la adjudicación, celebración y ejecución de un contrato […]”. Desde esta perspectiva, </w:t>
            </w:r>
            <w:r>
              <w:rPr>
                <w:rFonts w:ascii="Verdana" w:eastAsia="Calibri" w:hAnsi="Verdana" w:cs="Arial"/>
                <w:lang w:val="es-ES"/>
              </w:rPr>
              <w:t xml:space="preserve">su </w:t>
            </w:r>
            <w:r w:rsidRPr="00065C6D">
              <w:rPr>
                <w:rFonts w:ascii="Verdana" w:eastAsia="Calibri" w:hAnsi="Verdana" w:cs="Arial"/>
                <w:lang w:val="es-ES"/>
              </w:rPr>
              <w:t xml:space="preserve">capacidad jurídica se limita al campo de la contratación estatal de las entidades sometidas al </w:t>
            </w:r>
            <w:r w:rsidRPr="00065C6D">
              <w:rPr>
                <w:rFonts w:ascii="Verdana" w:eastAsia="Calibri" w:hAnsi="Verdana" w:cs="Arial"/>
                <w:lang w:val="es-ES"/>
              </w:rPr>
              <w:lastRenderedPageBreak/>
              <w:t xml:space="preserve">EGCAP, es decir, a las relaciones en consorcios y las uniones temporales con las entidades estatales del artículo 2 de la Ley 80 de 1993. Esta precisión es importante, porque la habilitación de los numerales 6 y 7 del artículo 7 de la Ley 80 de 1993 </w:t>
            </w:r>
            <w:r>
              <w:rPr>
                <w:rFonts w:ascii="Verdana" w:eastAsia="Calibri" w:hAnsi="Verdana" w:cs="Arial"/>
                <w:lang w:val="es-ES"/>
              </w:rPr>
              <w:t>se restringe a las actividades allí dispuestas sin que se extienda,</w:t>
            </w:r>
            <w:r w:rsidRPr="00065C6D">
              <w:rPr>
                <w:rFonts w:ascii="Verdana" w:eastAsia="Calibri" w:hAnsi="Verdana" w:cs="Arial"/>
                <w:lang w:val="es-ES"/>
              </w:rPr>
              <w:t xml:space="preserve"> </w:t>
            </w:r>
            <w:r w:rsidRPr="00065C6D">
              <w:rPr>
                <w:rFonts w:ascii="Verdana" w:eastAsia="Century Gothic" w:hAnsi="Verdana" w:cs="Century Gothic"/>
              </w:rPr>
              <w:t xml:space="preserve">por ejemplo, </w:t>
            </w:r>
            <w:r>
              <w:rPr>
                <w:rFonts w:ascii="Verdana" w:eastAsia="Century Gothic" w:hAnsi="Verdana" w:cs="Century Gothic"/>
              </w:rPr>
              <w:t xml:space="preserve">a </w:t>
            </w:r>
            <w:r w:rsidRPr="00065C6D">
              <w:rPr>
                <w:rFonts w:ascii="Verdana" w:eastAsia="Century Gothic" w:hAnsi="Verdana" w:cs="Century Gothic"/>
              </w:rPr>
              <w:t>la celebración de contratos de fiducia, cesiones de crédito, cesiones de contrato</w:t>
            </w:r>
            <w:r>
              <w:rPr>
                <w:rFonts w:ascii="Verdana" w:eastAsia="Century Gothic" w:hAnsi="Verdana" w:cs="Century Gothic"/>
              </w:rPr>
              <w:t xml:space="preserve"> o</w:t>
            </w:r>
            <w:r w:rsidRPr="00065C6D">
              <w:rPr>
                <w:rFonts w:ascii="Verdana" w:eastAsia="Century Gothic" w:hAnsi="Verdana" w:cs="Century Gothic"/>
              </w:rPr>
              <w:t xml:space="preserve"> subcontratos</w:t>
            </w:r>
            <w:r w:rsidRPr="00065C6D">
              <w:rPr>
                <w:rFonts w:ascii="Verdana" w:eastAsia="Calibri" w:hAnsi="Verdana" w:cs="Arial"/>
                <w:lang w:val="es-ES"/>
              </w:rPr>
              <w:t>.</w:t>
            </w:r>
            <w:r w:rsidRPr="00593A5F">
              <w:rPr>
                <w:rFonts w:ascii="Verdana" w:eastAsia="Calibri" w:hAnsi="Verdana" w:cs="Arial"/>
                <w:color w:val="7030A0"/>
                <w:lang w:val="es-ES"/>
              </w:rPr>
              <w:t xml:space="preserve"> </w:t>
            </w:r>
            <w:r w:rsidRPr="008A4AEC">
              <w:rPr>
                <w:rFonts w:ascii="Verdana" w:eastAsia="Calibri" w:hAnsi="Verdana" w:cs="Arial"/>
                <w:lang w:val="es-ES"/>
              </w:rPr>
              <w:t>En estos casos, la celebración de dichos negocios jurídicos no corresponde a la estructura plural, sino a todos sus integrantes de forma conjunta</w:t>
            </w:r>
            <w:bookmarkEnd w:id="1"/>
            <w:r w:rsidRPr="008A4AEC">
              <w:rPr>
                <w:rFonts w:ascii="Verdana" w:eastAsia="Calibri" w:hAnsi="Verdana" w:cs="Arial"/>
                <w:lang w:val="es-ES"/>
              </w:rPr>
              <w:t xml:space="preserve">. </w:t>
            </w:r>
            <w:r>
              <w:rPr>
                <w:rFonts w:ascii="Verdana" w:hAnsi="Verdana" w:cs="Arial"/>
                <w:color w:val="000000" w:themeColor="text1"/>
              </w:rPr>
              <w:t>Es decir, fuera de las actividades descritas en el EGCAP, son los participantes –no estructura plural– los que tienen personería y capacidad para actuar.</w:t>
            </w:r>
          </w:p>
        </w:tc>
      </w:tr>
    </w:tbl>
    <w:p w14:paraId="271BE445" w14:textId="77777777" w:rsidR="001F6818" w:rsidRPr="00593A5F" w:rsidRDefault="001F6818" w:rsidP="001F6818">
      <w:pPr>
        <w:tabs>
          <w:tab w:val="left" w:pos="142"/>
          <w:tab w:val="left" w:pos="284"/>
        </w:tabs>
        <w:spacing w:after="0" w:line="276" w:lineRule="auto"/>
        <w:jc w:val="both"/>
        <w:rPr>
          <w:rFonts w:ascii="Verdana" w:eastAsia="Century Gothic" w:hAnsi="Verdana" w:cs="Century Gothic"/>
          <w:b/>
          <w:bCs/>
          <w:lang w:val="es-ES"/>
        </w:rPr>
      </w:pPr>
    </w:p>
    <w:p w14:paraId="7410E4D5" w14:textId="77777777" w:rsidR="001F6818" w:rsidRPr="00593A5F" w:rsidRDefault="001F6818" w:rsidP="001F6818">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727C14E" w14:textId="77777777" w:rsidR="001F6818" w:rsidRPr="00593A5F" w:rsidRDefault="001F6818" w:rsidP="001F6818">
      <w:pPr>
        <w:spacing w:after="0" w:line="276" w:lineRule="auto"/>
        <w:jc w:val="both"/>
        <w:rPr>
          <w:rFonts w:ascii="Verdana" w:eastAsia="Calibri" w:hAnsi="Verdana" w:cs="Arial"/>
          <w:color w:val="7030A0"/>
          <w:lang w:val="es-ES"/>
        </w:rPr>
      </w:pPr>
    </w:p>
    <w:p w14:paraId="5B2FA5FA" w14:textId="77777777" w:rsidR="001F6818" w:rsidRPr="00B96799" w:rsidRDefault="001F6818" w:rsidP="001F6818">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4DFF3D17" w14:textId="77777777" w:rsidR="001F6818" w:rsidRPr="00593A5F" w:rsidRDefault="001F6818" w:rsidP="001F6818">
      <w:pPr>
        <w:spacing w:after="0" w:line="276" w:lineRule="auto"/>
        <w:jc w:val="both"/>
        <w:rPr>
          <w:rFonts w:ascii="Verdana" w:eastAsia="Calibri" w:hAnsi="Verdana" w:cs="Arial"/>
          <w:color w:val="7030A0"/>
          <w:lang w:val="es-ES"/>
        </w:rPr>
      </w:pPr>
    </w:p>
    <w:p w14:paraId="53D769F4" w14:textId="77777777" w:rsidR="001F6818" w:rsidRPr="008A4AEC" w:rsidRDefault="001F6818" w:rsidP="002273BE">
      <w:pPr>
        <w:pStyle w:val="Prrafodelista"/>
        <w:numPr>
          <w:ilvl w:val="0"/>
          <w:numId w:val="8"/>
        </w:numPr>
        <w:spacing w:after="120" w:line="276" w:lineRule="auto"/>
        <w:jc w:val="both"/>
        <w:rPr>
          <w:rFonts w:ascii="Verdana" w:eastAsia="Calibri" w:hAnsi="Verdana" w:cs="Arial"/>
          <w:lang w:val="es-MX"/>
        </w:rPr>
      </w:pPr>
      <w:r w:rsidRPr="00D1760D">
        <w:rPr>
          <w:rFonts w:ascii="Verdana" w:hAnsi="Verdana" w:cs="Arial"/>
          <w:lang w:val="es-ES_tradnl"/>
        </w:rPr>
        <w:t xml:space="preserve">Si bien las personas pueden presentarse individualmente a los procesos de selección, también pueden hacerlo en forma plural a través de consorcios o uniones temporales. En efecto, </w:t>
      </w:r>
      <w:r w:rsidRPr="00D1760D">
        <w:rPr>
          <w:rFonts w:ascii="Verdana" w:eastAsia="Calibri" w:hAnsi="Verdana" w:cs="Arial"/>
          <w:lang w:val="es-MX"/>
        </w:rPr>
        <w:t>de acuerdo con el Código Civil, la capacidad se refiere a la facultad que la ley le confiere a la persona para ejercer derechos y contraer obligaciones. Esta norma parte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Al respecto, el artículo 6 de la Ley 80 de 1993 –modificado por el artículo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6FA068EA" w14:textId="77777777" w:rsidR="002273BE" w:rsidRPr="007A6557" w:rsidRDefault="002273BE" w:rsidP="007A6557">
      <w:pPr>
        <w:pStyle w:val="Prrafodelista"/>
        <w:spacing w:after="120" w:line="276" w:lineRule="auto"/>
        <w:jc w:val="both"/>
        <w:rPr>
          <w:rFonts w:ascii="Verdana" w:eastAsia="Calibri" w:hAnsi="Verdana" w:cs="Arial"/>
          <w:lang w:val="es-MX"/>
        </w:rPr>
      </w:pPr>
    </w:p>
    <w:p w14:paraId="0A08A43D" w14:textId="77777777" w:rsidR="001F6818" w:rsidRPr="008A4AEC" w:rsidRDefault="001F6818" w:rsidP="007A6557">
      <w:pPr>
        <w:pStyle w:val="Prrafodelista"/>
        <w:numPr>
          <w:ilvl w:val="0"/>
          <w:numId w:val="8"/>
        </w:numPr>
        <w:spacing w:after="0" w:line="276" w:lineRule="auto"/>
        <w:jc w:val="both"/>
        <w:rPr>
          <w:rFonts w:ascii="Verdana" w:eastAsia="Calibri" w:hAnsi="Verdana" w:cs="Arial"/>
          <w:bCs/>
          <w:color w:val="000000" w:themeColor="text1"/>
        </w:rPr>
      </w:pPr>
      <w:r w:rsidRPr="00D1760D">
        <w:rPr>
          <w:rFonts w:ascii="Verdana" w:eastAsia="Calibri" w:hAnsi="Verdana" w:cs="Arial"/>
          <w:color w:val="000000" w:themeColor="text1"/>
        </w:rPr>
        <w:t xml:space="preserve">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w:t>
      </w:r>
      <w:r w:rsidRPr="00D1760D">
        <w:rPr>
          <w:rFonts w:ascii="Verdana" w:eastAsia="Calibri" w:hAnsi="Verdana" w:cs="Arial"/>
          <w:color w:val="000000" w:themeColor="text1"/>
        </w:rPr>
        <w:lastRenderedPageBreak/>
        <w:t>tradicionalmente habían estado reservados a las personas jurídicas. Tal es precisamente el caso de la capacidad para contratar otorgada a los consorcios y uniones temporales. En este sentido, la Corte Constitucional ha sostenido:</w:t>
      </w:r>
    </w:p>
    <w:p w14:paraId="08916F89" w14:textId="77777777" w:rsidR="001F6818" w:rsidRPr="008A4AEC" w:rsidRDefault="001F6818" w:rsidP="001F6818">
      <w:pPr>
        <w:spacing w:after="0" w:line="276" w:lineRule="auto"/>
        <w:jc w:val="both"/>
        <w:rPr>
          <w:rFonts w:ascii="Verdana" w:eastAsia="Calibri" w:hAnsi="Verdana" w:cs="Arial"/>
          <w:bCs/>
          <w:color w:val="000000" w:themeColor="text1"/>
          <w:lang w:val="es-ES"/>
        </w:rPr>
      </w:pPr>
    </w:p>
    <w:p w14:paraId="4E709729" w14:textId="77777777" w:rsidR="001F6818" w:rsidRPr="008A4AEC" w:rsidRDefault="001F6818" w:rsidP="001F6818">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5063E92B" w14:textId="77777777" w:rsidR="001F6818" w:rsidRPr="008A4AEC" w:rsidRDefault="001F6818" w:rsidP="001F6818">
      <w:pPr>
        <w:spacing w:after="12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w:t>
      </w:r>
    </w:p>
    <w:p w14:paraId="23F4F854" w14:textId="77777777" w:rsidR="001F6818" w:rsidRPr="008A4AEC" w:rsidRDefault="001F6818" w:rsidP="001F6818">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8A4AEC">
        <w:rPr>
          <w:rStyle w:val="Refdenotaalpie"/>
          <w:rFonts w:ascii="Verdana" w:eastAsia="Calibri" w:hAnsi="Verdana" w:cs="Arial"/>
          <w:bCs/>
          <w:color w:val="000000" w:themeColor="text1"/>
          <w:sz w:val="21"/>
          <w:szCs w:val="21"/>
        </w:rPr>
        <w:footnoteReference w:id="2"/>
      </w:r>
      <w:r w:rsidRPr="008A4AEC">
        <w:rPr>
          <w:rFonts w:ascii="Verdana" w:eastAsia="Calibri" w:hAnsi="Verdana" w:cs="Arial"/>
          <w:bCs/>
          <w:color w:val="000000" w:themeColor="text1"/>
          <w:sz w:val="21"/>
          <w:szCs w:val="21"/>
        </w:rPr>
        <w:t>.</w:t>
      </w:r>
    </w:p>
    <w:p w14:paraId="07E782F7" w14:textId="77777777" w:rsidR="001F6818" w:rsidRPr="008A4AEC" w:rsidRDefault="001F6818" w:rsidP="001F6818">
      <w:pPr>
        <w:spacing w:after="0"/>
        <w:ind w:left="720" w:right="730"/>
        <w:jc w:val="both"/>
        <w:rPr>
          <w:rFonts w:ascii="Verdana" w:eastAsia="Calibri" w:hAnsi="Verdana" w:cs="Arial"/>
          <w:bCs/>
          <w:color w:val="000000" w:themeColor="text1"/>
          <w:sz w:val="21"/>
          <w:szCs w:val="21"/>
        </w:rPr>
      </w:pPr>
    </w:p>
    <w:p w14:paraId="5797E60A" w14:textId="77777777" w:rsidR="001F6818" w:rsidRPr="008A4AEC" w:rsidRDefault="001F6818" w:rsidP="002273BE">
      <w:pPr>
        <w:pStyle w:val="Prrafodelista"/>
        <w:numPr>
          <w:ilvl w:val="0"/>
          <w:numId w:val="9"/>
        </w:numPr>
        <w:spacing w:after="120" w:line="276" w:lineRule="auto"/>
        <w:ind w:left="709"/>
        <w:jc w:val="both"/>
        <w:rPr>
          <w:rFonts w:ascii="Verdana" w:eastAsia="Calibri" w:hAnsi="Verdana" w:cs="Arial"/>
          <w:bCs/>
          <w:color w:val="000000" w:themeColor="text1"/>
        </w:rPr>
      </w:pPr>
      <w:bookmarkStart w:id="2" w:name="_Hlk135067740"/>
      <w:r w:rsidRPr="00D1760D">
        <w:rPr>
          <w:rFonts w:ascii="Verdana" w:eastAsia="Calibri" w:hAnsi="Verdana" w:cs="Arial"/>
          <w:color w:val="000000" w:themeColor="text1"/>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bookmarkEnd w:id="2"/>
    <w:p w14:paraId="6529C6E6" w14:textId="77777777" w:rsidR="002273BE" w:rsidRPr="007A6557" w:rsidRDefault="002273BE" w:rsidP="007A6557">
      <w:pPr>
        <w:pStyle w:val="Prrafodelista"/>
        <w:spacing w:after="120" w:line="276" w:lineRule="auto"/>
        <w:ind w:left="709"/>
        <w:jc w:val="both"/>
        <w:rPr>
          <w:rFonts w:ascii="Verdana" w:eastAsia="Calibri" w:hAnsi="Verdana" w:cs="Arial"/>
          <w:bCs/>
          <w:color w:val="000000" w:themeColor="text1"/>
        </w:rPr>
      </w:pPr>
    </w:p>
    <w:p w14:paraId="79610331" w14:textId="77777777" w:rsidR="001F6818" w:rsidRPr="00D1760D" w:rsidRDefault="001F6818" w:rsidP="007A6557">
      <w:pPr>
        <w:pStyle w:val="Prrafodelista"/>
        <w:numPr>
          <w:ilvl w:val="0"/>
          <w:numId w:val="9"/>
        </w:numPr>
        <w:spacing w:after="0" w:line="276" w:lineRule="auto"/>
        <w:ind w:left="709"/>
        <w:jc w:val="both"/>
        <w:rPr>
          <w:rFonts w:ascii="Verdana" w:hAnsi="Verdana" w:cs="Arial"/>
        </w:rPr>
      </w:pPr>
      <w:r w:rsidRPr="00D1760D">
        <w:rPr>
          <w:rFonts w:ascii="Verdana" w:hAnsi="Verdana" w:cs="Arial"/>
        </w:rPr>
        <w:t xml:space="preserve">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w:t>
      </w:r>
      <w:r w:rsidRPr="00D1760D">
        <w:rPr>
          <w:rFonts w:ascii="Verdana" w:hAnsi="Verdana" w:cs="Arial"/>
        </w:rPr>
        <w:lastRenderedPageBreak/>
        <w:t>la designación de un representante, de conformidad con el parágrafo 1 del artículo 7 de la Ley 80 de 1993. En lo pertinente, la norma precitada dispone que:</w:t>
      </w:r>
    </w:p>
    <w:p w14:paraId="19C46EC8" w14:textId="77777777" w:rsidR="001F6818" w:rsidRPr="008A4AEC" w:rsidRDefault="001F6818" w:rsidP="001F6818">
      <w:pPr>
        <w:spacing w:after="0" w:line="276" w:lineRule="auto"/>
        <w:ind w:firstLine="709"/>
        <w:jc w:val="both"/>
        <w:rPr>
          <w:rFonts w:ascii="Verdana" w:eastAsia="Calibri" w:hAnsi="Verdana" w:cs="Arial"/>
          <w:bCs/>
          <w:color w:val="000000" w:themeColor="text1"/>
          <w:lang w:val="es-ES"/>
        </w:rPr>
      </w:pPr>
    </w:p>
    <w:p w14:paraId="1FDAAB6D" w14:textId="77777777" w:rsidR="001F6818" w:rsidRPr="008A4AEC" w:rsidRDefault="001F6818" w:rsidP="001F6818">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“Artículo 7º.- ENTIDADES A CONTRATAR. Artículo modificado por el artículo 3 de la Ley 2160 de 2021. Para los efectos de esta Ley se entiende por:</w:t>
      </w:r>
    </w:p>
    <w:p w14:paraId="22EF33FD" w14:textId="77777777" w:rsidR="001F6818" w:rsidRPr="008A4AEC" w:rsidRDefault="001F6818" w:rsidP="001F6818">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4DAA3E03" w14:textId="77777777" w:rsidR="001F6818" w:rsidRPr="008A4AEC" w:rsidRDefault="001F6818" w:rsidP="001F6818">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1719CF69" w14:textId="77777777" w:rsidR="001F6818" w:rsidRPr="008A4AEC" w:rsidRDefault="001F6818" w:rsidP="001F6818">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5436AC36" w14:textId="77777777" w:rsidR="001F6818" w:rsidRPr="008A4AEC" w:rsidRDefault="001F6818" w:rsidP="001F6818">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50796EE1" w14:textId="77777777" w:rsidR="001F6818" w:rsidRPr="008A4AEC" w:rsidRDefault="001F6818" w:rsidP="001F6818">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5D9F90B8" w14:textId="77777777" w:rsidR="001F6818" w:rsidRPr="008A4AEC" w:rsidRDefault="001F6818" w:rsidP="001F6818">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14:paraId="4D7FBAA9" w14:textId="77777777" w:rsidR="001F6818" w:rsidRPr="008A4AEC" w:rsidRDefault="001F6818" w:rsidP="001F6818">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3828BABD" w14:textId="77777777" w:rsidR="001F6818" w:rsidRPr="008A4AEC" w:rsidRDefault="001F6818" w:rsidP="001F6818">
      <w:pPr>
        <w:spacing w:after="0" w:line="276" w:lineRule="auto"/>
        <w:ind w:left="720" w:right="731"/>
        <w:jc w:val="both"/>
        <w:rPr>
          <w:rFonts w:ascii="Verdana" w:eastAsia="Calibri" w:hAnsi="Verdana" w:cs="Arial"/>
          <w:bCs/>
          <w:color w:val="000000" w:themeColor="text1"/>
          <w:lang w:val="es-ES"/>
        </w:rPr>
      </w:pPr>
    </w:p>
    <w:p w14:paraId="0D90BA3B" w14:textId="2C480D85" w:rsidR="001F6818" w:rsidRPr="008A4AEC" w:rsidRDefault="001F6818" w:rsidP="002273BE">
      <w:pPr>
        <w:pStyle w:val="Prrafodelista"/>
        <w:numPr>
          <w:ilvl w:val="0"/>
          <w:numId w:val="9"/>
        </w:numPr>
        <w:spacing w:after="120" w:line="276" w:lineRule="auto"/>
        <w:ind w:left="709"/>
        <w:jc w:val="both"/>
        <w:rPr>
          <w:rFonts w:ascii="Verdana" w:hAnsi="Verdana" w:cs="Arial"/>
          <w:color w:val="000000" w:themeColor="text1"/>
        </w:rPr>
      </w:pPr>
      <w:r w:rsidRPr="008A4AEC">
        <w:rPr>
          <w:rFonts w:ascii="Verdana" w:eastAsia="Calibri" w:hAnsi="Verdana" w:cs="Arial"/>
          <w:bCs/>
          <w:color w:val="000000" w:themeColor="text1"/>
        </w:rPr>
        <w:t>Como se observa, el artículo citado señala que el consorcio o la unión temporal se da “Cuando dos o más personas en forma conjunta presentan una misma propuesta para la adjudicación, celebración y ejecución de un contrato […]”.</w:t>
      </w:r>
      <w:r w:rsidRPr="00D1760D">
        <w:rPr>
          <w:rFonts w:ascii="Verdana" w:hAnsi="Verdana" w:cs="Arial"/>
          <w:color w:val="000000" w:themeColor="text1"/>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w:t>
      </w:r>
      <w:r w:rsidRPr="00D1760D">
        <w:rPr>
          <w:rFonts w:ascii="Verdana" w:hAnsi="Verdana" w:cs="Arial"/>
          <w:color w:val="000000" w:themeColor="text1"/>
        </w:rPr>
        <w:lastRenderedPageBreak/>
        <w:t>medio – fin, sin la entrega de la oferta no surge la habilitación legal para todo lo demás.</w:t>
      </w:r>
    </w:p>
    <w:p w14:paraId="6D0D8321" w14:textId="77777777" w:rsidR="002273BE" w:rsidRPr="007A6557" w:rsidRDefault="002273BE" w:rsidP="007A6557">
      <w:pPr>
        <w:pStyle w:val="Prrafodelista"/>
        <w:spacing w:after="120" w:line="276" w:lineRule="auto"/>
        <w:ind w:left="709"/>
        <w:jc w:val="both"/>
        <w:rPr>
          <w:rFonts w:ascii="Verdana" w:hAnsi="Verdana" w:cs="Arial"/>
          <w:color w:val="000000" w:themeColor="text1"/>
        </w:rPr>
      </w:pPr>
    </w:p>
    <w:p w14:paraId="04452D8C" w14:textId="633B74B7" w:rsidR="001F6818" w:rsidRPr="008A4AEC" w:rsidRDefault="001F6818" w:rsidP="002273BE">
      <w:pPr>
        <w:pStyle w:val="Prrafodelista"/>
        <w:numPr>
          <w:ilvl w:val="0"/>
          <w:numId w:val="9"/>
        </w:numPr>
        <w:spacing w:after="120" w:line="276" w:lineRule="auto"/>
        <w:ind w:left="709"/>
        <w:jc w:val="both"/>
        <w:rPr>
          <w:rFonts w:ascii="Verdana" w:hAnsi="Verdana" w:cs="Arial"/>
          <w:color w:val="000000" w:themeColor="text1"/>
        </w:rPr>
      </w:pPr>
      <w:r w:rsidRPr="00D1760D">
        <w:rPr>
          <w:rFonts w:ascii="Verdana" w:hAnsi="Verdana" w:cs="Arial"/>
          <w:color w:val="000000" w:themeColor="text1"/>
        </w:rPr>
        <w:t xml:space="preserve">De esta manera,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0C55B889" w14:textId="77777777" w:rsidR="002273BE" w:rsidRPr="007A6557" w:rsidRDefault="002273BE" w:rsidP="007A6557">
      <w:pPr>
        <w:pStyle w:val="Prrafodelista"/>
        <w:spacing w:after="120" w:line="276" w:lineRule="auto"/>
        <w:ind w:left="709"/>
        <w:jc w:val="both"/>
        <w:rPr>
          <w:rFonts w:ascii="Verdana" w:hAnsi="Verdana" w:cs="Arial"/>
          <w:color w:val="000000" w:themeColor="text1"/>
        </w:rPr>
      </w:pPr>
    </w:p>
    <w:p w14:paraId="6CF10B9B" w14:textId="7AF982AB" w:rsidR="001F6818" w:rsidRDefault="001F6818" w:rsidP="002273BE">
      <w:pPr>
        <w:pStyle w:val="Prrafodelista"/>
        <w:widowControl w:val="0"/>
        <w:numPr>
          <w:ilvl w:val="0"/>
          <w:numId w:val="9"/>
        </w:numPr>
        <w:autoSpaceDE w:val="0"/>
        <w:autoSpaceDN w:val="0"/>
        <w:spacing w:after="120" w:line="276" w:lineRule="auto"/>
        <w:ind w:left="709"/>
        <w:jc w:val="both"/>
        <w:rPr>
          <w:rFonts w:ascii="Verdana" w:hAnsi="Verdana" w:cs="Arial"/>
          <w:color w:val="000000" w:themeColor="text1"/>
        </w:rPr>
      </w:pPr>
      <w:r w:rsidRPr="00D1760D">
        <w:rPr>
          <w:rFonts w:ascii="Verdana" w:hAnsi="Verdana" w:cs="Arial"/>
          <w:color w:val="000000" w:themeColor="text1"/>
        </w:rPr>
        <w:t xml:space="preserve">En conclusión, </w:t>
      </w:r>
      <w:bookmarkStart w:id="3" w:name="_Hlk170989338"/>
      <w:r w:rsidRPr="00D1760D">
        <w:rPr>
          <w:rFonts w:ascii="Verdana" w:hAnsi="Verdana" w:cs="Arial"/>
          <w:color w:val="000000" w:themeColor="text1"/>
        </w:rPr>
        <w:t>la capacidad jurídica de los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de la Ley 80 de 1993 se restringe a las actividades allí dispuestas sin que se extienda, por ejemplo, a la celebración de contratos de fiducia, cesiones de crédito, cesiones de contrato o subcontratos. En estos casos, la celebración de dichos negocios jurídicos no corresponde a la estructura plural, sino a todos sus integrantes de forma conjunta. Es decir, fuera de las actividades descritas en el EGCAP, son los participantes –no estructura plural– los que tienen personería y capacidad para actuar.</w:t>
      </w:r>
    </w:p>
    <w:bookmarkEnd w:id="3"/>
    <w:p w14:paraId="2B1CA90E" w14:textId="77777777" w:rsidR="002273BE" w:rsidRPr="007A6557" w:rsidRDefault="002273BE" w:rsidP="007A6557">
      <w:pPr>
        <w:pStyle w:val="Prrafodelista"/>
        <w:widowControl w:val="0"/>
        <w:autoSpaceDE w:val="0"/>
        <w:autoSpaceDN w:val="0"/>
        <w:spacing w:after="120" w:line="276" w:lineRule="auto"/>
        <w:ind w:left="709"/>
        <w:jc w:val="both"/>
        <w:rPr>
          <w:rFonts w:ascii="Verdana" w:hAnsi="Verdana" w:cs="Arial"/>
          <w:color w:val="000000" w:themeColor="text1"/>
        </w:rPr>
      </w:pPr>
    </w:p>
    <w:p w14:paraId="6128F4D3" w14:textId="77777777" w:rsidR="002273BE" w:rsidRDefault="001F6818" w:rsidP="002273BE">
      <w:pPr>
        <w:pStyle w:val="Prrafodelista"/>
        <w:widowControl w:val="0"/>
        <w:numPr>
          <w:ilvl w:val="0"/>
          <w:numId w:val="9"/>
        </w:numPr>
        <w:autoSpaceDE w:val="0"/>
        <w:autoSpaceDN w:val="0"/>
        <w:spacing w:after="0" w:line="276" w:lineRule="auto"/>
        <w:ind w:left="709"/>
        <w:jc w:val="both"/>
        <w:rPr>
          <w:rFonts w:ascii="Verdana" w:hAnsi="Verdana" w:cs="Arial"/>
        </w:rPr>
      </w:pPr>
      <w:r w:rsidRPr="00D1760D">
        <w:rPr>
          <w:rFonts w:ascii="Verdana" w:hAnsi="Verdana" w:cs="Arial"/>
        </w:rPr>
        <w:t xml:space="preserve">Sin perjuicio de lo anterior debe advertirse que el análisis requerido para celebración de estos negocios debe ser realizado por los sujetos intervinientes, de acuerdo con lo explicado </w:t>
      </w:r>
      <w:r w:rsidRPr="00D1760D">
        <w:rPr>
          <w:rFonts w:ascii="Verdana" w:hAnsi="Verdana" w:cs="Arial"/>
          <w:i/>
        </w:rPr>
        <w:t>ut supra</w:t>
      </w:r>
      <w:r w:rsidRPr="00D1760D">
        <w:rPr>
          <w:rFonts w:ascii="Verdana" w:hAnsi="Verdana" w:cs="Arial"/>
        </w:rPr>
        <w:t xml:space="preserve">. De esta manera, las afirmaciones aquí realizadas no pueden ser interpretadas como juicios de valor sobre circunstancias concretas relacionadas con los hechos que motivan la consulta. </w:t>
      </w:r>
      <w:r w:rsidRPr="00D1760D">
        <w:rPr>
          <w:rFonts w:ascii="Verdana" w:hAnsi="Verdana" w:cs="Arial"/>
          <w:i/>
        </w:rPr>
        <w:t>Verbi gratia</w:t>
      </w:r>
      <w:r w:rsidRPr="00D1760D">
        <w:rPr>
          <w:rFonts w:ascii="Verdana" w:hAnsi="Verdana" w:cs="Arial"/>
        </w:rPr>
        <w:t xml:space="preserve">, esto es especialmente cierto respecto a la </w:t>
      </w:r>
      <w:r w:rsidRPr="00D1760D">
        <w:rPr>
          <w:rFonts w:ascii="Verdana" w:hAnsi="Verdana" w:cs="Arial"/>
          <w:i/>
        </w:rPr>
        <w:t>cesión de contrato</w:t>
      </w:r>
      <w:r w:rsidRPr="00D1760D">
        <w:rPr>
          <w:rFonts w:ascii="Verdana" w:hAnsi="Verdana" w:cs="Arial"/>
        </w:rPr>
        <w:t xml:space="preserve"> con consorcios y uniones temporales, donde –de acuerdo con el Concepto C-100 del 12 de junio de 2024– se excluye la posibilidad de estos sean cesionarios. Por lo anterior, previo concepto de sus asesores, la solución de situaciones </w:t>
      </w:r>
      <w:r w:rsidRPr="00D1760D">
        <w:rPr>
          <w:rFonts w:ascii="Verdana" w:hAnsi="Verdana" w:cs="Arial"/>
        </w:rPr>
        <w:lastRenderedPageBreak/>
        <w:t xml:space="preserve">particulares corresponde a los interesados adoptar la decisión correspondiente y, en caso de conflicto, a las autoridades judiciales, fiscales y disciplinarias. </w:t>
      </w:r>
    </w:p>
    <w:p w14:paraId="7B453776" w14:textId="77777777" w:rsidR="002273BE" w:rsidRPr="007A6557" w:rsidRDefault="002273BE" w:rsidP="007A6557">
      <w:pPr>
        <w:pStyle w:val="Prrafodelista"/>
        <w:rPr>
          <w:rFonts w:ascii="Verdana" w:hAnsi="Verdana" w:cs="Arial"/>
        </w:rPr>
      </w:pPr>
    </w:p>
    <w:p w14:paraId="7657188A" w14:textId="3383C4FD" w:rsidR="001F6818" w:rsidRPr="00D1760D" w:rsidRDefault="001F6818" w:rsidP="007A6557">
      <w:pPr>
        <w:pStyle w:val="Prrafodelista"/>
        <w:widowControl w:val="0"/>
        <w:autoSpaceDE w:val="0"/>
        <w:autoSpaceDN w:val="0"/>
        <w:spacing w:after="0" w:line="276" w:lineRule="auto"/>
        <w:ind w:left="709"/>
        <w:jc w:val="both"/>
        <w:rPr>
          <w:rFonts w:ascii="Verdana" w:hAnsi="Verdana" w:cs="Arial"/>
        </w:rPr>
      </w:pPr>
      <w:r w:rsidRPr="00D1760D">
        <w:rPr>
          <w:rFonts w:ascii="Verdana" w:hAnsi="Verdana" w:cs="Arial"/>
        </w:rPr>
        <w:t xml:space="preserve"> </w:t>
      </w:r>
    </w:p>
    <w:p w14:paraId="0655613E" w14:textId="77777777" w:rsidR="001F6818" w:rsidRPr="00593A5F" w:rsidRDefault="001F6818" w:rsidP="001F6818">
      <w:pPr>
        <w:widowControl w:val="0"/>
        <w:autoSpaceDE w:val="0"/>
        <w:autoSpaceDN w:val="0"/>
        <w:spacing w:after="0" w:line="276" w:lineRule="auto"/>
        <w:jc w:val="both"/>
        <w:rPr>
          <w:rFonts w:ascii="Verdana" w:hAnsi="Verdana" w:cs="Arial"/>
        </w:rPr>
      </w:pPr>
    </w:p>
    <w:p w14:paraId="14804BC9" w14:textId="77777777" w:rsidR="001F6818" w:rsidRPr="00593A5F" w:rsidRDefault="001F6818" w:rsidP="001F6818">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r>
        <w:rPr>
          <w:rFonts w:ascii="Verdana" w:eastAsia="Century Gothic" w:hAnsi="Verdana" w:cs="Century Gothic"/>
          <w:b/>
          <w:bCs/>
        </w:rPr>
        <w:t xml:space="preserve"> y</w:t>
      </w:r>
      <w:r w:rsidRPr="00593A5F">
        <w:rPr>
          <w:rFonts w:ascii="Verdana" w:eastAsia="Century Gothic" w:hAnsi="Verdana" w:cs="Century Gothic"/>
          <w:b/>
          <w:bCs/>
        </w:rPr>
        <w:t xml:space="preserve"> jurisprudenciales:</w:t>
      </w:r>
    </w:p>
    <w:p w14:paraId="18E823B5" w14:textId="77777777" w:rsidR="001F6818" w:rsidRPr="00593A5F" w:rsidRDefault="001F6818" w:rsidP="001F681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F6818" w:rsidRPr="002407CE" w14:paraId="36A7BD39" w14:textId="77777777" w:rsidTr="00191C71">
        <w:trPr>
          <w:trHeight w:val="870"/>
          <w:jc w:val="center"/>
        </w:trPr>
        <w:tc>
          <w:tcPr>
            <w:tcW w:w="8647" w:type="dxa"/>
          </w:tcPr>
          <w:p w14:paraId="1CAE8763" w14:textId="77777777" w:rsidR="001F6818" w:rsidRPr="002407CE" w:rsidRDefault="001F6818" w:rsidP="001F6818">
            <w:pPr>
              <w:pStyle w:val="Prrafodelista"/>
              <w:widowControl w:val="0"/>
              <w:numPr>
                <w:ilvl w:val="0"/>
                <w:numId w:val="7"/>
              </w:numPr>
              <w:autoSpaceDE w:val="0"/>
              <w:autoSpaceDN w:val="0"/>
              <w:spacing w:after="120" w:line="276" w:lineRule="auto"/>
              <w:jc w:val="both"/>
              <w:rPr>
                <w:rFonts w:ascii="Verdana" w:hAnsi="Verdana" w:cs="Arial"/>
              </w:rPr>
            </w:pPr>
            <w:r w:rsidRPr="002407CE">
              <w:rPr>
                <w:rFonts w:ascii="Verdana" w:hAnsi="Verdana" w:cs="Arial"/>
              </w:rPr>
              <w:t xml:space="preserve">Código Civil, artículos 1502, 1503 y 1504. </w:t>
            </w:r>
          </w:p>
          <w:p w14:paraId="6E8C9004" w14:textId="77777777" w:rsidR="001F6818" w:rsidRPr="002407CE" w:rsidRDefault="001F6818" w:rsidP="009553B9">
            <w:pPr>
              <w:pStyle w:val="Prrafodelista"/>
              <w:widowControl w:val="0"/>
              <w:autoSpaceDE w:val="0"/>
              <w:autoSpaceDN w:val="0"/>
              <w:spacing w:after="120" w:line="276" w:lineRule="auto"/>
              <w:jc w:val="both"/>
              <w:rPr>
                <w:rFonts w:ascii="Verdana" w:hAnsi="Verdana" w:cs="Arial"/>
                <w:sz w:val="12"/>
                <w:szCs w:val="12"/>
              </w:rPr>
            </w:pPr>
          </w:p>
          <w:p w14:paraId="217DEC5B" w14:textId="77777777" w:rsidR="001F6818" w:rsidRPr="002407CE" w:rsidRDefault="001F6818" w:rsidP="001F6818">
            <w:pPr>
              <w:pStyle w:val="Prrafodelista"/>
              <w:widowControl w:val="0"/>
              <w:numPr>
                <w:ilvl w:val="0"/>
                <w:numId w:val="7"/>
              </w:numPr>
              <w:autoSpaceDE w:val="0"/>
              <w:autoSpaceDN w:val="0"/>
              <w:spacing w:after="120" w:line="276" w:lineRule="auto"/>
              <w:contextualSpacing w:val="0"/>
              <w:jc w:val="both"/>
              <w:rPr>
                <w:rFonts w:ascii="Verdana" w:hAnsi="Verdana" w:cs="Arial"/>
              </w:rPr>
            </w:pPr>
            <w:r w:rsidRPr="002407CE">
              <w:rPr>
                <w:rFonts w:ascii="Verdana" w:hAnsi="Verdana" w:cs="Arial"/>
              </w:rPr>
              <w:t>Código de Comercio, artículo 99.</w:t>
            </w:r>
          </w:p>
          <w:p w14:paraId="76E11F1F" w14:textId="77777777" w:rsidR="001F6818" w:rsidRPr="002407CE" w:rsidRDefault="001F6818" w:rsidP="001F6818">
            <w:pPr>
              <w:pStyle w:val="Prrafodelista"/>
              <w:widowControl w:val="0"/>
              <w:numPr>
                <w:ilvl w:val="0"/>
                <w:numId w:val="7"/>
              </w:numPr>
              <w:autoSpaceDE w:val="0"/>
              <w:autoSpaceDN w:val="0"/>
              <w:spacing w:after="120" w:line="276" w:lineRule="auto"/>
              <w:contextualSpacing w:val="0"/>
              <w:jc w:val="both"/>
              <w:rPr>
                <w:rFonts w:ascii="Verdana" w:hAnsi="Verdana" w:cs="Arial"/>
              </w:rPr>
            </w:pPr>
            <w:r w:rsidRPr="002407CE">
              <w:rPr>
                <w:rFonts w:ascii="Verdana" w:hAnsi="Verdana" w:cs="Arial"/>
              </w:rPr>
              <w:t>Ley 80 de 1993, artículos 2, 6 y 7.</w:t>
            </w:r>
          </w:p>
          <w:p w14:paraId="3573CDB7" w14:textId="77777777" w:rsidR="001F6818" w:rsidRPr="002407CE" w:rsidRDefault="001F6818" w:rsidP="001F6818">
            <w:pPr>
              <w:pStyle w:val="Prrafodelista"/>
              <w:widowControl w:val="0"/>
              <w:numPr>
                <w:ilvl w:val="0"/>
                <w:numId w:val="7"/>
              </w:numPr>
              <w:autoSpaceDE w:val="0"/>
              <w:autoSpaceDN w:val="0"/>
              <w:spacing w:after="120" w:line="276" w:lineRule="auto"/>
              <w:contextualSpacing w:val="0"/>
              <w:jc w:val="both"/>
              <w:rPr>
                <w:rFonts w:ascii="Verdana" w:hAnsi="Verdana" w:cs="Arial"/>
              </w:rPr>
            </w:pPr>
            <w:r w:rsidRPr="002407CE">
              <w:rPr>
                <w:rFonts w:ascii="Verdana" w:hAnsi="Verdana" w:cs="Arial"/>
              </w:rPr>
              <w:t xml:space="preserve">Jurisprudencia de la Corte Constitucional. Disponible en:  </w:t>
            </w:r>
            <w:hyperlink r:id="rId11" w:history="1">
              <w:r w:rsidRPr="00BB3BE4">
                <w:rPr>
                  <w:rStyle w:val="Hipervnculo"/>
                  <w:rFonts w:ascii="Verdana" w:hAnsi="Verdana" w:cs="Arial"/>
                  <w:color w:val="4472C4" w:themeColor="accent1"/>
                </w:rPr>
                <w:t>https://www.corteconstitucional.gov./relatoria/</w:t>
              </w:r>
            </w:hyperlink>
            <w:r w:rsidRPr="002407CE">
              <w:rPr>
                <w:rFonts w:ascii="Verdana" w:hAnsi="Verdana" w:cs="Arial"/>
              </w:rPr>
              <w:t xml:space="preserve">.  </w:t>
            </w:r>
          </w:p>
        </w:tc>
      </w:tr>
    </w:tbl>
    <w:p w14:paraId="5C130215" w14:textId="77777777" w:rsidR="001F6818" w:rsidRPr="002407CE" w:rsidRDefault="001F6818" w:rsidP="001F6818">
      <w:pPr>
        <w:widowControl w:val="0"/>
        <w:autoSpaceDE w:val="0"/>
        <w:autoSpaceDN w:val="0"/>
        <w:spacing w:after="0" w:line="276" w:lineRule="auto"/>
        <w:jc w:val="both"/>
        <w:rPr>
          <w:rFonts w:ascii="Verdana" w:hAnsi="Verdana" w:cs="Arial"/>
        </w:rPr>
      </w:pPr>
    </w:p>
    <w:p w14:paraId="6043B951" w14:textId="77777777" w:rsidR="001F6818" w:rsidRPr="00593A5F" w:rsidRDefault="001F6818" w:rsidP="001F6818">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1294287" w14:textId="77777777" w:rsidR="001F6818" w:rsidRPr="00593A5F" w:rsidRDefault="001F6818" w:rsidP="001F6818">
      <w:pPr>
        <w:widowControl w:val="0"/>
        <w:autoSpaceDE w:val="0"/>
        <w:autoSpaceDN w:val="0"/>
        <w:spacing w:after="0" w:line="276" w:lineRule="auto"/>
        <w:jc w:val="both"/>
        <w:rPr>
          <w:rFonts w:ascii="Verdana" w:hAnsi="Verdana" w:cs="Arial"/>
        </w:rPr>
      </w:pPr>
    </w:p>
    <w:p w14:paraId="46E9F050" w14:textId="77777777" w:rsidR="001F6818" w:rsidRDefault="001F6818" w:rsidP="001F681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Style w:val="normaltextrun"/>
          <w:rFonts w:ascii="Verdana" w:hAnsi="Verdana" w:cs="Arial"/>
          <w:shd w:val="clear" w:color="auto" w:fill="FFFFFF"/>
          <w:lang w:val="es-ES"/>
        </w:rPr>
        <w:t>E</w:t>
      </w:r>
      <w:r w:rsidRPr="00EA761C">
        <w:rPr>
          <w:rStyle w:val="normaltextrun"/>
          <w:rFonts w:ascii="Verdana" w:hAnsi="Verdana" w:cs="Arial"/>
          <w:shd w:val="clear" w:color="auto" w:fill="FFFFFF"/>
          <w:lang w:val="es-ES"/>
        </w:rPr>
        <w:t>sta Subdirección </w:t>
      </w:r>
      <w:r>
        <w:rPr>
          <w:rStyle w:val="normaltextrun"/>
          <w:rFonts w:ascii="Verdana" w:hAnsi="Verdana" w:cs="Arial"/>
          <w:shd w:val="clear" w:color="auto" w:fill="FFFFFF"/>
          <w:lang w:val="es-ES"/>
        </w:rPr>
        <w:t>se ha pronunciado s</w:t>
      </w:r>
      <w:r w:rsidRPr="00EA761C">
        <w:rPr>
          <w:rStyle w:val="normaltextrun"/>
          <w:rFonts w:ascii="Verdana" w:hAnsi="Verdana" w:cs="Arial"/>
          <w:shd w:val="clear" w:color="auto" w:fill="FFFFFF"/>
          <w:lang w:val="es-ES"/>
        </w:rPr>
        <w:t>obre la capacidad jurídica de los consorcios y las uniones temporales en los Conceptos</w:t>
      </w:r>
      <w:r w:rsidRPr="00EA761C">
        <w:rPr>
          <w:rStyle w:val="normaltextrun"/>
          <w:rFonts w:ascii="Verdana" w:hAnsi="Verdana" w:cs="Calibri"/>
          <w:shd w:val="clear" w:color="auto" w:fill="FFFFFF"/>
        </w:rPr>
        <w:t xml:space="preserve"> </w:t>
      </w:r>
      <w:r w:rsidRPr="00EA761C">
        <w:rPr>
          <w:rStyle w:val="normaltextrun"/>
          <w:rFonts w:ascii="Verdana" w:hAnsi="Verdana" w:cs="Arial"/>
          <w:shd w:val="clear" w:color="auto" w:fill="FFFFFF"/>
          <w:lang w:val="es-ES"/>
        </w:rPr>
        <w:t>4201913000007643 del 26 de diciembre de 2019, C-343 del 17 de junio de 2020, C-518 del 9 de septiembre de 2020, C-614 del 5 de octubre de 2022, C-882 del 21 de diciembre de 2022, C-172 del 6 de junio de 2023, C-032 del 16 de abril de 2024 y C-100 del 12 de junio de 2024.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17B4FA8B" w14:textId="77777777" w:rsidR="001F6818" w:rsidRDefault="001F6818" w:rsidP="001F681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4FC52EE" w14:textId="77777777" w:rsidR="001F6818" w:rsidRPr="00A1554D" w:rsidRDefault="001F6818" w:rsidP="001F6818">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F064349" w14:textId="77777777" w:rsidR="001F6818" w:rsidRPr="00593A5F" w:rsidRDefault="001F6818" w:rsidP="001F6818">
      <w:pPr>
        <w:widowControl w:val="0"/>
        <w:autoSpaceDE w:val="0"/>
        <w:autoSpaceDN w:val="0"/>
        <w:spacing w:after="0" w:line="276" w:lineRule="auto"/>
        <w:jc w:val="both"/>
        <w:rPr>
          <w:rFonts w:ascii="Verdana" w:hAnsi="Verdana" w:cs="Arial"/>
        </w:rPr>
      </w:pPr>
    </w:p>
    <w:p w14:paraId="1E5024A8" w14:textId="77777777" w:rsidR="001F6818" w:rsidRPr="00593A5F" w:rsidRDefault="001F6818" w:rsidP="001F681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39B1268" w14:textId="77777777" w:rsidR="001F6818" w:rsidRPr="00593A5F" w:rsidRDefault="001F6818" w:rsidP="001F6818">
      <w:pPr>
        <w:widowControl w:val="0"/>
        <w:autoSpaceDE w:val="0"/>
        <w:autoSpaceDN w:val="0"/>
        <w:spacing w:after="0" w:line="276" w:lineRule="auto"/>
        <w:jc w:val="both"/>
        <w:rPr>
          <w:rFonts w:ascii="Verdana" w:hAnsi="Verdana" w:cs="Arial"/>
        </w:rPr>
      </w:pPr>
    </w:p>
    <w:p w14:paraId="6F1DDD4B" w14:textId="77777777" w:rsidR="001F6818" w:rsidRPr="00593A5F" w:rsidRDefault="001F6818" w:rsidP="001F681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7BF8B51" w14:textId="04DAC3B5" w:rsidR="001F6818" w:rsidRPr="00593A5F" w:rsidRDefault="006A7418" w:rsidP="001F6818">
      <w:pPr>
        <w:spacing w:line="276" w:lineRule="auto"/>
        <w:jc w:val="center"/>
        <w:rPr>
          <w:rFonts w:ascii="Verdana" w:hAnsi="Verdana" w:cs="Arial"/>
          <w:color w:val="000000"/>
          <w:lang w:val="es-ES_tradnl" w:eastAsia="es-CO"/>
        </w:rPr>
      </w:pPr>
      <w:r>
        <w:rPr>
          <w:noProof/>
        </w:rPr>
        <w:lastRenderedPageBreak/>
        <w:drawing>
          <wp:inline distT="0" distB="0" distL="0" distR="0" wp14:anchorId="5792B8C4" wp14:editId="32C71204">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F6818" w:rsidRPr="00593A5F" w14:paraId="61800691" w14:textId="77777777" w:rsidTr="009553B9">
        <w:trPr>
          <w:trHeight w:val="315"/>
        </w:trPr>
        <w:tc>
          <w:tcPr>
            <w:tcW w:w="893" w:type="dxa"/>
            <w:vAlign w:val="center"/>
            <w:hideMark/>
          </w:tcPr>
          <w:p w14:paraId="3A50930B" w14:textId="77777777" w:rsidR="001F6818" w:rsidRPr="003751C7" w:rsidRDefault="001F6818" w:rsidP="009553B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025E70F" w14:textId="77777777" w:rsidR="001F6818" w:rsidRPr="00254A7A" w:rsidRDefault="001F6818" w:rsidP="009553B9">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091E1108" w14:textId="77777777" w:rsidR="001F6818" w:rsidRPr="00254A7A" w:rsidRDefault="001F6818" w:rsidP="009553B9">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1F6818" w:rsidRPr="00593A5F" w14:paraId="2180B39C" w14:textId="77777777" w:rsidTr="009553B9">
        <w:trPr>
          <w:trHeight w:val="330"/>
        </w:trPr>
        <w:tc>
          <w:tcPr>
            <w:tcW w:w="893" w:type="dxa"/>
            <w:vAlign w:val="center"/>
            <w:hideMark/>
          </w:tcPr>
          <w:p w14:paraId="0788DE64" w14:textId="77777777" w:rsidR="001F6818" w:rsidRPr="003751C7" w:rsidRDefault="001F6818" w:rsidP="009553B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8C86384" w14:textId="77777777" w:rsidR="001F6818" w:rsidRPr="00254A7A" w:rsidRDefault="001F6818" w:rsidP="009553B9">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2A9E99D8" w14:textId="77777777" w:rsidR="001F6818" w:rsidRPr="00254A7A" w:rsidRDefault="001F6818" w:rsidP="009553B9">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1F6818" w:rsidRPr="00593A5F" w14:paraId="24F625A1" w14:textId="77777777" w:rsidTr="009553B9">
        <w:trPr>
          <w:trHeight w:val="300"/>
        </w:trPr>
        <w:tc>
          <w:tcPr>
            <w:tcW w:w="893" w:type="dxa"/>
            <w:vAlign w:val="center"/>
          </w:tcPr>
          <w:p w14:paraId="61772DBA" w14:textId="77777777" w:rsidR="001F6818" w:rsidRPr="003751C7" w:rsidRDefault="001F6818" w:rsidP="009553B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4223268" w14:textId="77777777" w:rsidR="001F6818" w:rsidRPr="003751C7" w:rsidRDefault="001F6818" w:rsidP="009553B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EF48099" w14:textId="77777777" w:rsidR="001F6818" w:rsidRPr="003751C7" w:rsidRDefault="001F6818" w:rsidP="009553B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120E663C" w14:textId="77777777" w:rsidR="001F6818" w:rsidRPr="00593A5F" w:rsidRDefault="001F6818" w:rsidP="001F6818">
      <w:pPr>
        <w:spacing w:after="0" w:line="240" w:lineRule="auto"/>
        <w:rPr>
          <w:rFonts w:ascii="Verdana" w:eastAsia="Times New Roman" w:hAnsi="Verdana" w:cs="Arial"/>
          <w:sz w:val="24"/>
          <w:szCs w:val="24"/>
          <w:lang w:eastAsia="es-ES"/>
        </w:rPr>
      </w:pPr>
    </w:p>
    <w:p w14:paraId="0F293BF4" w14:textId="4E630EB9" w:rsidR="00127233" w:rsidRPr="00B705BE" w:rsidRDefault="00E245AB" w:rsidP="00B705BE">
      <w:r w:rsidRPr="00B705BE">
        <w:t xml:space="preserve"> </w:t>
      </w:r>
    </w:p>
    <w:sectPr w:rsidR="00127233" w:rsidRPr="00B705BE" w:rsidSect="00A211EE">
      <w:headerReference w:type="default" r:id="rId15"/>
      <w:footerReference w:type="default" r:id="rId16"/>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8425" w14:textId="77777777" w:rsidR="004E634D" w:rsidRDefault="004E634D" w:rsidP="004A1847">
      <w:pPr>
        <w:spacing w:after="0" w:line="240" w:lineRule="auto"/>
      </w:pPr>
      <w:r>
        <w:separator/>
      </w:r>
    </w:p>
  </w:endnote>
  <w:endnote w:type="continuationSeparator" w:id="0">
    <w:p w14:paraId="68C10373" w14:textId="77777777" w:rsidR="004E634D" w:rsidRDefault="004E634D" w:rsidP="004A1847">
      <w:pPr>
        <w:spacing w:after="0" w:line="240" w:lineRule="auto"/>
      </w:pPr>
      <w:r>
        <w:continuationSeparator/>
      </w:r>
    </w:p>
  </w:endnote>
  <w:endnote w:type="continuationNotice" w:id="1">
    <w:p w14:paraId="6A931CCE" w14:textId="77777777" w:rsidR="004E634D" w:rsidRDefault="004E6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7C9DA" w14:textId="77777777" w:rsidR="004E634D" w:rsidRDefault="004E634D" w:rsidP="004A1847">
      <w:pPr>
        <w:spacing w:after="0" w:line="240" w:lineRule="auto"/>
      </w:pPr>
      <w:r>
        <w:separator/>
      </w:r>
    </w:p>
  </w:footnote>
  <w:footnote w:type="continuationSeparator" w:id="0">
    <w:p w14:paraId="326110D3" w14:textId="77777777" w:rsidR="004E634D" w:rsidRDefault="004E634D" w:rsidP="004A1847">
      <w:pPr>
        <w:spacing w:after="0" w:line="240" w:lineRule="auto"/>
      </w:pPr>
      <w:r>
        <w:continuationSeparator/>
      </w:r>
    </w:p>
  </w:footnote>
  <w:footnote w:type="continuationNotice" w:id="1">
    <w:p w14:paraId="36938FB2" w14:textId="77777777" w:rsidR="004E634D" w:rsidRDefault="004E634D">
      <w:pPr>
        <w:spacing w:after="0" w:line="240" w:lineRule="auto"/>
      </w:pPr>
    </w:p>
  </w:footnote>
  <w:footnote w:id="2">
    <w:p w14:paraId="7A45A673" w14:textId="77777777" w:rsidR="001F6818" w:rsidRPr="00003BC7" w:rsidRDefault="001F6818" w:rsidP="001F6818">
      <w:pPr>
        <w:pStyle w:val="Textonotapie"/>
        <w:ind w:firstLine="720"/>
        <w:jc w:val="both"/>
        <w:rPr>
          <w:rFonts w:ascii="Century Gothic" w:hAnsi="Century Gothic" w:cs="Arial"/>
          <w:sz w:val="16"/>
          <w:szCs w:val="16"/>
        </w:rPr>
      </w:pPr>
      <w:r w:rsidRPr="00003BC7">
        <w:rPr>
          <w:rStyle w:val="Refdenotaalpie"/>
          <w:rFonts w:ascii="Century Gothic" w:hAnsi="Century Gothic" w:cs="Arial"/>
          <w:sz w:val="16"/>
          <w:szCs w:val="16"/>
        </w:rPr>
        <w:footnoteRef/>
      </w:r>
      <w:r w:rsidRPr="00003BC7">
        <w:rPr>
          <w:rFonts w:ascii="Century Gothic" w:hAnsi="Century Gothic" w:cs="Arial"/>
          <w:sz w:val="16"/>
          <w:szCs w:val="16"/>
        </w:rPr>
        <w:t xml:space="preserve"> CORTE CONSTITUCIONAL. Sentencia C-949 del 5 de septiembre de 2001. M.P. 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15A"/>
    <w:multiLevelType w:val="hybridMultilevel"/>
    <w:tmpl w:val="CCB27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FC64D05"/>
    <w:multiLevelType w:val="hybridMultilevel"/>
    <w:tmpl w:val="A8C629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948779781">
    <w:abstractNumId w:val="4"/>
  </w:num>
  <w:num w:numId="2" w16cid:durableId="19822139">
    <w:abstractNumId w:val="2"/>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1330140246">
    <w:abstractNumId w:val="1"/>
  </w:num>
  <w:num w:numId="7" w16cid:durableId="679089576">
    <w:abstractNumId w:val="5"/>
  </w:num>
  <w:num w:numId="8" w16cid:durableId="1833911880">
    <w:abstractNumId w:val="0"/>
  </w:num>
  <w:num w:numId="9" w16cid:durableId="80107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014D"/>
    <w:rsid w:val="000A683E"/>
    <w:rsid w:val="000B19B9"/>
    <w:rsid w:val="000D0334"/>
    <w:rsid w:val="000F6486"/>
    <w:rsid w:val="00127233"/>
    <w:rsid w:val="00136567"/>
    <w:rsid w:val="00191C71"/>
    <w:rsid w:val="001B52B0"/>
    <w:rsid w:val="001D3DA5"/>
    <w:rsid w:val="001E4177"/>
    <w:rsid w:val="001F6818"/>
    <w:rsid w:val="002273BE"/>
    <w:rsid w:val="002951A0"/>
    <w:rsid w:val="002962BC"/>
    <w:rsid w:val="002A49AC"/>
    <w:rsid w:val="002A64FD"/>
    <w:rsid w:val="002C7430"/>
    <w:rsid w:val="002C7A84"/>
    <w:rsid w:val="002F3FC8"/>
    <w:rsid w:val="002F4432"/>
    <w:rsid w:val="002F7E66"/>
    <w:rsid w:val="003A779E"/>
    <w:rsid w:val="003D0F4D"/>
    <w:rsid w:val="003D2F27"/>
    <w:rsid w:val="003E0499"/>
    <w:rsid w:val="003F3941"/>
    <w:rsid w:val="004A1847"/>
    <w:rsid w:val="004A305D"/>
    <w:rsid w:val="004A4876"/>
    <w:rsid w:val="004E634D"/>
    <w:rsid w:val="004F21C4"/>
    <w:rsid w:val="004F685F"/>
    <w:rsid w:val="00516F79"/>
    <w:rsid w:val="00522FC9"/>
    <w:rsid w:val="005513EF"/>
    <w:rsid w:val="005566E8"/>
    <w:rsid w:val="00574867"/>
    <w:rsid w:val="00594DCF"/>
    <w:rsid w:val="005C5CDC"/>
    <w:rsid w:val="005D476C"/>
    <w:rsid w:val="005E5DA4"/>
    <w:rsid w:val="006219F8"/>
    <w:rsid w:val="00665D70"/>
    <w:rsid w:val="006A7418"/>
    <w:rsid w:val="006F1A1E"/>
    <w:rsid w:val="006F6B87"/>
    <w:rsid w:val="00706C16"/>
    <w:rsid w:val="00756841"/>
    <w:rsid w:val="007649AB"/>
    <w:rsid w:val="007833AC"/>
    <w:rsid w:val="007A6557"/>
    <w:rsid w:val="007C3DC2"/>
    <w:rsid w:val="007D375C"/>
    <w:rsid w:val="007E5497"/>
    <w:rsid w:val="00806F5F"/>
    <w:rsid w:val="00812B68"/>
    <w:rsid w:val="00815C9C"/>
    <w:rsid w:val="00820278"/>
    <w:rsid w:val="00822163"/>
    <w:rsid w:val="00842F0F"/>
    <w:rsid w:val="008843B6"/>
    <w:rsid w:val="0089065A"/>
    <w:rsid w:val="00891928"/>
    <w:rsid w:val="008A446D"/>
    <w:rsid w:val="008B5C99"/>
    <w:rsid w:val="008F0EA7"/>
    <w:rsid w:val="00923EEF"/>
    <w:rsid w:val="009419F9"/>
    <w:rsid w:val="00961B09"/>
    <w:rsid w:val="00965334"/>
    <w:rsid w:val="0097093E"/>
    <w:rsid w:val="009C139C"/>
    <w:rsid w:val="009C71FA"/>
    <w:rsid w:val="009C72E7"/>
    <w:rsid w:val="00A17F13"/>
    <w:rsid w:val="00A20739"/>
    <w:rsid w:val="00A211EE"/>
    <w:rsid w:val="00A33C78"/>
    <w:rsid w:val="00AB0ADB"/>
    <w:rsid w:val="00B03D2D"/>
    <w:rsid w:val="00B41ACE"/>
    <w:rsid w:val="00B705BE"/>
    <w:rsid w:val="00B72CD3"/>
    <w:rsid w:val="00B72FFF"/>
    <w:rsid w:val="00BD7F72"/>
    <w:rsid w:val="00C330EB"/>
    <w:rsid w:val="00C754BE"/>
    <w:rsid w:val="00CB6357"/>
    <w:rsid w:val="00CC1B26"/>
    <w:rsid w:val="00CF0141"/>
    <w:rsid w:val="00D1760D"/>
    <w:rsid w:val="00D423A2"/>
    <w:rsid w:val="00D63AC2"/>
    <w:rsid w:val="00D7383B"/>
    <w:rsid w:val="00DD28D8"/>
    <w:rsid w:val="00E10726"/>
    <w:rsid w:val="00E117A9"/>
    <w:rsid w:val="00E16408"/>
    <w:rsid w:val="00E20894"/>
    <w:rsid w:val="00E245AB"/>
    <w:rsid w:val="00E3344A"/>
    <w:rsid w:val="00E50AFE"/>
    <w:rsid w:val="00E771DC"/>
    <w:rsid w:val="00E8772A"/>
    <w:rsid w:val="00E90F6B"/>
    <w:rsid w:val="00E92C27"/>
    <w:rsid w:val="00EA0E3D"/>
    <w:rsid w:val="00EB5F11"/>
    <w:rsid w:val="00EE1AA8"/>
    <w:rsid w:val="00EF4AAB"/>
    <w:rsid w:val="00F12952"/>
    <w:rsid w:val="00F31EDC"/>
    <w:rsid w:val="00F54BEE"/>
    <w:rsid w:val="00F5664F"/>
    <w:rsid w:val="00F75FA4"/>
    <w:rsid w:val="00F76AFC"/>
    <w:rsid w:val="00F76FB5"/>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customStyle="1" w:styleId="Appelnotedebasde">
    <w:name w:val="Appel note de bas de..."/>
    <w:basedOn w:val="Normal"/>
    <w:link w:val="Refdenotaalpie"/>
    <w:uiPriority w:val="99"/>
    <w:rsid w:val="001F6818"/>
    <w:pPr>
      <w:spacing w:line="240" w:lineRule="exact"/>
    </w:pPr>
    <w:rPr>
      <w:vertAlign w:val="superscript"/>
    </w:rPr>
  </w:style>
  <w:style w:type="character" w:styleId="Hipervnculo">
    <w:name w:val="Hyperlink"/>
    <w:basedOn w:val="Fuentedeprrafopredeter"/>
    <w:uiPriority w:val="99"/>
    <w:unhideWhenUsed/>
    <w:rsid w:val="001F6818"/>
    <w:rPr>
      <w:color w:val="0563C1" w:themeColor="hyperlink"/>
      <w:u w:val="single"/>
    </w:rPr>
  </w:style>
  <w:style w:type="character" w:customStyle="1" w:styleId="eop">
    <w:name w:val="eop"/>
    <w:basedOn w:val="Fuentedeprrafopredeter"/>
    <w:rsid w:val="001F6818"/>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6818"/>
    <w:rPr>
      <w:rFonts w:ascii="Geomanist Light" w:hAnsi="Geomanist Light"/>
      <w:lang w:val="es-ES"/>
    </w:rPr>
  </w:style>
  <w:style w:type="paragraph" w:customStyle="1" w:styleId="paragraph">
    <w:name w:val="paragraph"/>
    <w:basedOn w:val="Normal"/>
    <w:rsid w:val="001F681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D1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 w:id="17464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teconstitucional.gov./relatori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Juan David Montoya Penagos</DisplayName>
        <AccountId>697</AccountId>
        <AccountType/>
      </UserInfo>
      <UserInfo>
        <DisplayName>Alejandro Sarmiento</DisplayName>
        <AccountId>119</AccountId>
        <AccountType/>
      </UserInfo>
    </SharedWithUsers>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AB76-B21C-4169-A3C7-54AEDC19853C}"/>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2788</Words>
  <Characters>15339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6</cp:revision>
  <cp:lastPrinted>2023-01-10T21:18:00Z</cp:lastPrinted>
  <dcterms:created xsi:type="dcterms:W3CDTF">2024-07-08T19:55:00Z</dcterms:created>
  <dcterms:modified xsi:type="dcterms:W3CDTF">2024-07-28T22:36:00Z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