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28096" w14:textId="77777777" w:rsidR="00987692" w:rsidRPr="00FC49A2" w:rsidRDefault="00987692" w:rsidP="00987692">
      <w:pPr>
        <w:spacing w:after="0" w:line="240" w:lineRule="auto"/>
        <w:jc w:val="both"/>
        <w:rPr>
          <w:rFonts w:ascii="Verdana" w:eastAsia="Calibri" w:hAnsi="Verdana" w:cs="Arial"/>
          <w:b/>
          <w:bCs/>
          <w:lang w:val="es-ES_tradnl" w:eastAsia="es-ES_tradnl"/>
        </w:rPr>
      </w:pPr>
      <w:bookmarkStart w:id="0" w:name="_GoBack"/>
      <w:bookmarkEnd w:id="0"/>
      <w:r w:rsidRPr="00FC49A2">
        <w:rPr>
          <w:rFonts w:ascii="Verdana" w:eastAsia="Calibri" w:hAnsi="Verdana" w:cs="Arial"/>
          <w:b/>
          <w:bCs/>
          <w:lang w:val="es-ES_tradnl" w:eastAsia="es-ES_tradnl"/>
        </w:rPr>
        <w:t xml:space="preserve">CONVOCATORIAS LIMITADAS A MIPYMES – Requisitos – Artículo 2.2.1.2.4.2.2 del Decreto 1082 de 2015 </w:t>
      </w:r>
    </w:p>
    <w:p w14:paraId="283BD276" w14:textId="77777777" w:rsidR="00987692" w:rsidRPr="00FC49A2" w:rsidRDefault="00987692" w:rsidP="00987692">
      <w:pPr>
        <w:spacing w:after="0" w:line="240" w:lineRule="auto"/>
        <w:jc w:val="both"/>
        <w:rPr>
          <w:rFonts w:ascii="Verdana" w:eastAsia="Calibri" w:hAnsi="Verdana" w:cs="Arial"/>
          <w:b/>
          <w:bCs/>
          <w:sz w:val="20"/>
          <w:szCs w:val="20"/>
          <w:highlight w:val="yellow"/>
          <w:lang w:val="es-ES_tradnl" w:eastAsia="es-ES_tradnl"/>
        </w:rPr>
      </w:pPr>
    </w:p>
    <w:p w14:paraId="1A05B5C9" w14:textId="77777777" w:rsidR="00987692" w:rsidRPr="00FC49A2" w:rsidRDefault="00987692" w:rsidP="00987692">
      <w:pPr>
        <w:spacing w:after="0" w:line="240" w:lineRule="auto"/>
        <w:jc w:val="both"/>
        <w:rPr>
          <w:rFonts w:ascii="Verdana" w:eastAsia="Aptos" w:hAnsi="Verdana" w:cs="Times New Roman"/>
          <w:sz w:val="20"/>
          <w:szCs w:val="20"/>
        </w:rPr>
      </w:pPr>
      <w:r w:rsidRPr="00FC49A2">
        <w:rPr>
          <w:rFonts w:ascii="Verdana" w:eastAsia="Aptos" w:hAnsi="Verdana" w:cs="Times New Roman"/>
          <w:sz w:val="20"/>
          <w:szCs w:val="20"/>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 –, establecida diariamente por la Superintendencia Financiera de Colombia, según lo que establece el artículo 40 de la Resolución Externa No. 1 de 2018 y la Circular Reglamentaria Externa- DODM-146, ambas expedidas por el Banco de la República.</w:t>
      </w:r>
    </w:p>
    <w:p w14:paraId="681BAD58" w14:textId="77777777" w:rsidR="00987692" w:rsidRPr="00FC49A2" w:rsidRDefault="00987692" w:rsidP="00987692">
      <w:pPr>
        <w:spacing w:after="0" w:line="240" w:lineRule="auto"/>
        <w:jc w:val="both"/>
        <w:rPr>
          <w:rFonts w:ascii="Verdana" w:eastAsia="Aptos" w:hAnsi="Verdana" w:cs="Times New Roman"/>
          <w:sz w:val="20"/>
          <w:szCs w:val="20"/>
        </w:rPr>
      </w:pPr>
    </w:p>
    <w:p w14:paraId="08D5F432" w14:textId="77777777" w:rsidR="00987692" w:rsidRPr="00FC49A2" w:rsidRDefault="00987692" w:rsidP="00987692">
      <w:pPr>
        <w:spacing w:after="0" w:line="240" w:lineRule="auto"/>
        <w:jc w:val="both"/>
        <w:rPr>
          <w:rFonts w:ascii="Verdana" w:eastAsia="Aptos" w:hAnsi="Verdana" w:cs="Times New Roman"/>
          <w:sz w:val="20"/>
          <w:szCs w:val="20"/>
        </w:rPr>
      </w:pPr>
      <w:r w:rsidRPr="00FC49A2">
        <w:rPr>
          <w:rFonts w:ascii="Verdana" w:eastAsia="Aptos" w:hAnsi="Verdana" w:cs="Times New Roman"/>
          <w:sz w:val="20"/>
          <w:szCs w:val="20"/>
        </w:rPr>
        <w:t>El numeral segundo establece dos exigencias: por un lado, que al menos dos (2)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las solicitudes solo podrán realizarla las “[…] Mipyme, cuyo objeto social les permita ejecutar el contrato relacionado con el proceso contractual”.</w:t>
      </w:r>
    </w:p>
    <w:p w14:paraId="1305D2DF" w14:textId="77777777" w:rsidR="00987692" w:rsidRPr="00FC49A2" w:rsidRDefault="00987692" w:rsidP="00987692">
      <w:pPr>
        <w:spacing w:after="0" w:line="240" w:lineRule="auto"/>
        <w:jc w:val="both"/>
        <w:rPr>
          <w:rFonts w:ascii="Verdana" w:eastAsia="Aptos" w:hAnsi="Verdana" w:cs="Times New Roman"/>
          <w:sz w:val="20"/>
          <w:szCs w:val="20"/>
        </w:rPr>
      </w:pPr>
    </w:p>
    <w:p w14:paraId="61776B09" w14:textId="77777777" w:rsidR="00987692" w:rsidRPr="00FC49A2" w:rsidRDefault="00987692" w:rsidP="00987692">
      <w:pPr>
        <w:spacing w:after="0" w:line="240" w:lineRule="auto"/>
        <w:jc w:val="both"/>
        <w:rPr>
          <w:rFonts w:ascii="Verdana" w:eastAsia="Calibri" w:hAnsi="Verdana" w:cs="Arial"/>
          <w:b/>
          <w:bCs/>
          <w:lang w:val="es-ES" w:eastAsia="es-ES"/>
        </w:rPr>
      </w:pPr>
      <w:r w:rsidRPr="140D240D">
        <w:rPr>
          <w:rFonts w:ascii="Verdana" w:eastAsia="Calibri" w:hAnsi="Verdana" w:cs="Arial"/>
          <w:b/>
          <w:bCs/>
          <w:lang w:val="es-ES" w:eastAsia="es-ES"/>
        </w:rPr>
        <w:t>CONVOCATORIAS LIMITADAS TERRITORIALMENTE – Artículo 2.2.1.2.4.2.2 del decreto 1082 de 2015 – Facultad de la entidad – Mipymes territoriales</w:t>
      </w:r>
    </w:p>
    <w:p w14:paraId="3D5210AF" w14:textId="77777777" w:rsidR="00987692" w:rsidRPr="00FC49A2" w:rsidRDefault="00987692" w:rsidP="00987692">
      <w:pPr>
        <w:spacing w:after="0" w:line="240" w:lineRule="auto"/>
        <w:jc w:val="both"/>
        <w:rPr>
          <w:rFonts w:ascii="Verdana" w:eastAsia="Calibri" w:hAnsi="Verdana" w:cs="Arial"/>
          <w:b/>
          <w:bCs/>
          <w:sz w:val="20"/>
          <w:szCs w:val="20"/>
          <w:highlight w:val="yellow"/>
          <w:lang w:val="es-ES_tradnl" w:eastAsia="es-ES_tradnl"/>
        </w:rPr>
      </w:pPr>
    </w:p>
    <w:p w14:paraId="1056F04E" w14:textId="77777777" w:rsidR="00987692" w:rsidRPr="00FC49A2" w:rsidRDefault="00987692" w:rsidP="00987692">
      <w:pPr>
        <w:spacing w:after="0" w:line="240" w:lineRule="auto"/>
        <w:jc w:val="both"/>
        <w:rPr>
          <w:rFonts w:ascii="Verdana" w:eastAsia="Aptos" w:hAnsi="Verdana" w:cs="Times New Roman"/>
          <w:sz w:val="20"/>
          <w:szCs w:val="20"/>
        </w:rPr>
      </w:pPr>
      <w:r w:rsidRPr="00FC49A2">
        <w:rPr>
          <w:rFonts w:ascii="Verdana" w:eastAsia="Aptos" w:hAnsi="Verdana" w:cs="Times New Roman"/>
          <w:sz w:val="20"/>
          <w:szCs w:val="20"/>
        </w:rPr>
        <w:t xml:space="preserve">Cumplidos los dos requisitos del </w:t>
      </w:r>
      <w:bookmarkStart w:id="1" w:name="_Hlk173311353"/>
      <w:r w:rsidRPr="00FC49A2">
        <w:rPr>
          <w:rFonts w:ascii="Verdana" w:eastAsia="Aptos" w:hAnsi="Verdana" w:cs="Times New Roman"/>
          <w:sz w:val="20"/>
          <w:szCs w:val="20"/>
        </w:rPr>
        <w:t>artículo 2.2.1.2.4.2.2</w:t>
      </w:r>
      <w:bookmarkEnd w:id="1"/>
      <w:r w:rsidRPr="00FC49A2">
        <w:rPr>
          <w:rFonts w:ascii="Verdana" w:eastAsia="Aptos" w:hAnsi="Verdana" w:cs="Times New Roman"/>
          <w:sz w:val="20"/>
          <w:szCs w:val="20"/>
        </w:rPr>
        <w:t>. ibidem, la entidad puede ─no tiene que─ decidir si limita la convocatoria a las Mipymes nacionales domiciliadas en el municipio o departamento en el que se ejecutará el contrato. Esto de acuerdo con lo establecido en artículo 2.2.1.2.4.2.3. del Decreto 1082 de 2015, norma que se refiere a la facultad de la administración con el verbo infinitivo “poder”, no “deber”. En cualquier caso, Colombia Compra Eficiente ha sostenido que es discrecional la decisión de limitar territorialmente una convocatoria de Mipymes,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artículo 2.2.1.2.4.2.3. del Decreto 1082 de 2015, las Mipymes beneficiadas deben tener su domicilio principal en el municipio o departamento donde se ejecutará el contrato para poder participar en una convocatoria limitada territorialmente.</w:t>
      </w:r>
    </w:p>
    <w:p w14:paraId="724D94EF" w14:textId="77777777" w:rsidR="00987692" w:rsidRPr="00FC49A2" w:rsidRDefault="00987692" w:rsidP="00987692">
      <w:pPr>
        <w:spacing w:after="0" w:line="240" w:lineRule="auto"/>
        <w:rPr>
          <w:rFonts w:ascii="Verdana" w:eastAsia="Aptos" w:hAnsi="Verdana" w:cs="Times New Roman"/>
          <w:sz w:val="20"/>
          <w:szCs w:val="20"/>
        </w:rPr>
      </w:pPr>
    </w:p>
    <w:p w14:paraId="2557824C" w14:textId="77777777" w:rsidR="00987692" w:rsidRDefault="00987692" w:rsidP="00987692">
      <w:pPr>
        <w:spacing w:after="0" w:line="240" w:lineRule="auto"/>
        <w:rPr>
          <w:rFonts w:ascii="Verdana" w:eastAsia="Aptos" w:hAnsi="Verdana" w:cs="Times New Roman"/>
          <w:sz w:val="20"/>
          <w:szCs w:val="20"/>
        </w:rPr>
      </w:pPr>
    </w:p>
    <w:p w14:paraId="292E5F9F" w14:textId="77777777" w:rsidR="00987692" w:rsidRDefault="00987692" w:rsidP="00987692">
      <w:pPr>
        <w:spacing w:after="0" w:line="240" w:lineRule="auto"/>
        <w:rPr>
          <w:rFonts w:ascii="Verdana" w:eastAsia="Aptos" w:hAnsi="Verdana" w:cs="Times New Roman"/>
          <w:sz w:val="20"/>
          <w:szCs w:val="20"/>
        </w:rPr>
      </w:pPr>
    </w:p>
    <w:p w14:paraId="73173192" w14:textId="77777777" w:rsidR="00987692" w:rsidRDefault="00987692" w:rsidP="00987692">
      <w:pPr>
        <w:spacing w:after="0" w:line="240" w:lineRule="auto"/>
        <w:rPr>
          <w:rFonts w:ascii="Verdana" w:eastAsia="Aptos" w:hAnsi="Verdana" w:cs="Times New Roman"/>
          <w:sz w:val="20"/>
          <w:szCs w:val="20"/>
        </w:rPr>
      </w:pPr>
    </w:p>
    <w:p w14:paraId="5BD5B3EF" w14:textId="77777777" w:rsidR="00987692" w:rsidRDefault="00987692" w:rsidP="00987692">
      <w:pPr>
        <w:spacing w:after="0" w:line="240" w:lineRule="auto"/>
        <w:rPr>
          <w:rFonts w:ascii="Verdana" w:eastAsia="Aptos" w:hAnsi="Verdana" w:cs="Times New Roman"/>
          <w:sz w:val="20"/>
          <w:szCs w:val="20"/>
        </w:rPr>
      </w:pPr>
    </w:p>
    <w:p w14:paraId="3064C871" w14:textId="77777777" w:rsidR="00987692" w:rsidRPr="00FC49A2" w:rsidRDefault="00987692" w:rsidP="00987692">
      <w:pPr>
        <w:spacing w:after="0" w:line="240" w:lineRule="auto"/>
        <w:rPr>
          <w:rFonts w:ascii="Verdana" w:eastAsia="Aptos" w:hAnsi="Verdana" w:cs="Times New Roman"/>
          <w:sz w:val="20"/>
          <w:szCs w:val="20"/>
        </w:rPr>
      </w:pPr>
    </w:p>
    <w:p w14:paraId="256A711E" w14:textId="77777777" w:rsidR="00987692" w:rsidRPr="00FC49A2" w:rsidRDefault="00987692" w:rsidP="00987692">
      <w:pPr>
        <w:spacing w:after="0" w:line="240" w:lineRule="auto"/>
        <w:rPr>
          <w:rFonts w:ascii="Verdana" w:eastAsia="Aptos" w:hAnsi="Verdana" w:cs="Times New Roman"/>
          <w:sz w:val="20"/>
          <w:szCs w:val="20"/>
        </w:rPr>
      </w:pPr>
    </w:p>
    <w:p w14:paraId="7F824C1C" w14:textId="77777777" w:rsidR="00987692" w:rsidRPr="00FC49A2" w:rsidRDefault="00987692" w:rsidP="00987692">
      <w:pPr>
        <w:spacing w:after="0" w:line="240" w:lineRule="auto"/>
        <w:rPr>
          <w:rFonts w:ascii="Verdana" w:eastAsia="Geomanist Light" w:hAnsi="Verdana" w:cs="Arial"/>
          <w:lang w:val="es-MX"/>
        </w:rPr>
      </w:pPr>
      <w:r w:rsidRPr="00FC49A2">
        <w:rPr>
          <w:rFonts w:ascii="Verdana" w:eastAsia="Geomanist Light" w:hAnsi="Verdana" w:cs="Arial"/>
          <w:lang w:val="es-MX"/>
        </w:rPr>
        <w:lastRenderedPageBreak/>
        <w:t>Bogotá D.C., [Día] de [Mes.NombreCapitalizado] de [Año]</w:t>
      </w:r>
    </w:p>
    <w:p w14:paraId="44AEC190" w14:textId="77777777" w:rsidR="00987692" w:rsidRDefault="00987692" w:rsidP="00987692">
      <w:pPr>
        <w:spacing w:after="0" w:line="240" w:lineRule="auto"/>
        <w:jc w:val="both"/>
        <w:rPr>
          <w:rFonts w:ascii="Verdana" w:eastAsia="Calibri" w:hAnsi="Verdana" w:cs="Arial"/>
          <w:lang w:val="es-ES"/>
        </w:rPr>
      </w:pPr>
    </w:p>
    <w:p w14:paraId="67EEAB14" w14:textId="3A6C6FB4" w:rsidR="00987692" w:rsidRDefault="00987692" w:rsidP="00987692">
      <w:pPr>
        <w:spacing w:after="0" w:line="240" w:lineRule="auto"/>
        <w:jc w:val="right"/>
        <w:rPr>
          <w:rFonts w:ascii="Verdana" w:eastAsia="Calibri" w:hAnsi="Verdana" w:cs="Arial"/>
          <w:lang w:val="es-ES"/>
        </w:rPr>
      </w:pPr>
      <w:r w:rsidRPr="00987692">
        <w:rPr>
          <w:rFonts w:ascii="Verdana" w:eastAsia="Calibri" w:hAnsi="Verdana" w:cs="Arial"/>
          <w:noProof/>
          <w:lang w:val="es-ES"/>
        </w:rPr>
        <w:drawing>
          <wp:inline distT="0" distB="0" distL="0" distR="0" wp14:anchorId="6D062195" wp14:editId="71D97AF9">
            <wp:extent cx="3296110" cy="971686"/>
            <wp:effectExtent l="0" t="0" r="0" b="0"/>
            <wp:docPr id="112431598"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1598" name="Imagen 1" descr="Interfaz de usuario gráfica, Texto&#10;&#10;Descripción generada automáticamente"/>
                    <pic:cNvPicPr/>
                  </pic:nvPicPr>
                  <pic:blipFill>
                    <a:blip r:embed="rId10"/>
                    <a:stretch>
                      <a:fillRect/>
                    </a:stretch>
                  </pic:blipFill>
                  <pic:spPr>
                    <a:xfrm>
                      <a:off x="0" y="0"/>
                      <a:ext cx="3296110" cy="971686"/>
                    </a:xfrm>
                    <a:prstGeom prst="rect">
                      <a:avLst/>
                    </a:prstGeom>
                  </pic:spPr>
                </pic:pic>
              </a:graphicData>
            </a:graphic>
          </wp:inline>
        </w:drawing>
      </w:r>
    </w:p>
    <w:p w14:paraId="2ED40829" w14:textId="77777777" w:rsidR="00987692" w:rsidRPr="00FC49A2" w:rsidRDefault="00987692" w:rsidP="00987692">
      <w:pPr>
        <w:spacing w:after="0" w:line="240" w:lineRule="auto"/>
        <w:jc w:val="both"/>
        <w:rPr>
          <w:rFonts w:ascii="Verdana" w:eastAsia="Calibri" w:hAnsi="Verdana" w:cs="Arial"/>
          <w:lang w:val="es-ES"/>
        </w:rPr>
      </w:pPr>
    </w:p>
    <w:p w14:paraId="7F4480A8" w14:textId="77777777" w:rsidR="00987692" w:rsidRPr="00FC49A2" w:rsidRDefault="00987692" w:rsidP="00987692">
      <w:pPr>
        <w:spacing w:after="0" w:line="240" w:lineRule="auto"/>
        <w:jc w:val="both"/>
        <w:rPr>
          <w:rFonts w:ascii="Verdana" w:eastAsia="Calibri" w:hAnsi="Verdana" w:cs="Arial"/>
          <w:lang w:val="es-ES" w:eastAsia="es-ES"/>
        </w:rPr>
      </w:pPr>
      <w:r w:rsidRPr="00FC49A2">
        <w:rPr>
          <w:rFonts w:ascii="Verdana" w:eastAsia="Calibri" w:hAnsi="Verdana" w:cs="Arial"/>
          <w:lang w:val="es-ES" w:eastAsia="es-ES"/>
        </w:rPr>
        <w:t>Señora</w:t>
      </w:r>
    </w:p>
    <w:p w14:paraId="0208BAF3" w14:textId="77777777" w:rsidR="00987692" w:rsidRPr="00FC49A2" w:rsidRDefault="00987692" w:rsidP="00987692">
      <w:pPr>
        <w:spacing w:after="0" w:line="240" w:lineRule="auto"/>
        <w:rPr>
          <w:rFonts w:ascii="Verdana" w:eastAsia="Calibri" w:hAnsi="Verdana" w:cs="Arial"/>
          <w:b/>
          <w:lang w:val="es-ES_tradnl" w:eastAsia="es-ES_tradnl"/>
        </w:rPr>
      </w:pPr>
      <w:r w:rsidRPr="00FC49A2">
        <w:rPr>
          <w:rFonts w:ascii="Verdana" w:eastAsia="Calibri" w:hAnsi="Verdana" w:cs="Arial"/>
          <w:b/>
          <w:lang w:val="es-ES_tradnl" w:eastAsia="es-ES_tradnl"/>
        </w:rPr>
        <w:t>Claudia León Barón</w:t>
      </w:r>
    </w:p>
    <w:p w14:paraId="23F8B0F4" w14:textId="77777777" w:rsidR="00987692" w:rsidRPr="00FC49A2" w:rsidRDefault="004F4BD8" w:rsidP="00987692">
      <w:pPr>
        <w:spacing w:after="0" w:line="240" w:lineRule="auto"/>
        <w:rPr>
          <w:rFonts w:ascii="Verdana" w:eastAsia="Calibri" w:hAnsi="Verdana" w:cs="Arial"/>
          <w:bCs/>
          <w:lang w:val="es-ES_tradnl" w:eastAsia="es-ES_tradnl"/>
        </w:rPr>
      </w:pPr>
      <w:hyperlink r:id="rId11" w:history="1">
        <w:r w:rsidR="00987692" w:rsidRPr="00FC49A2">
          <w:rPr>
            <w:rFonts w:ascii="Verdana" w:eastAsia="Calibri" w:hAnsi="Verdana" w:cs="Arial"/>
            <w:bCs/>
            <w:color w:val="467886"/>
            <w:u w:val="single"/>
            <w:lang w:val="es-ES_tradnl" w:eastAsia="es-ES_tradnl"/>
          </w:rPr>
          <w:t>claudia.leon.baron@gmail.com</w:t>
        </w:r>
      </w:hyperlink>
      <w:r w:rsidR="00987692" w:rsidRPr="00FC49A2">
        <w:rPr>
          <w:rFonts w:ascii="Verdana" w:eastAsia="Calibri" w:hAnsi="Verdana" w:cs="Arial"/>
          <w:bCs/>
          <w:lang w:val="es-ES_tradnl" w:eastAsia="es-ES_tradnl"/>
        </w:rPr>
        <w:t xml:space="preserve"> </w:t>
      </w:r>
    </w:p>
    <w:p w14:paraId="16A94EB9" w14:textId="77777777" w:rsidR="00987692" w:rsidRPr="00FC49A2" w:rsidRDefault="00987692" w:rsidP="00987692">
      <w:pPr>
        <w:spacing w:after="0" w:line="240" w:lineRule="auto"/>
        <w:rPr>
          <w:rFonts w:ascii="Verdana" w:eastAsia="Calibri" w:hAnsi="Verdana" w:cs="Arial"/>
          <w:b/>
          <w:bCs/>
          <w:lang w:val="es-ES" w:eastAsia="es-ES"/>
        </w:rPr>
      </w:pPr>
      <w:r w:rsidRPr="00FC49A2">
        <w:rPr>
          <w:rFonts w:ascii="Verdana" w:eastAsia="Calibri" w:hAnsi="Verdana" w:cs="Arial"/>
          <w:lang w:val="es-ES" w:eastAsia="es-ES"/>
        </w:rPr>
        <w:t>Ciudad</w:t>
      </w:r>
    </w:p>
    <w:p w14:paraId="783DBDA9" w14:textId="77777777" w:rsidR="00987692" w:rsidRPr="00FC49A2" w:rsidRDefault="00987692" w:rsidP="00987692">
      <w:pPr>
        <w:spacing w:after="0" w:line="240" w:lineRule="auto"/>
        <w:rPr>
          <w:rFonts w:ascii="Verdana" w:eastAsia="Calibri" w:hAnsi="Verdana" w:cs="Arial"/>
          <w:b/>
          <w:bCs/>
          <w:lang w:val="es-ES_tradnl" w:eastAsia="es-ES_tradnl"/>
        </w:rPr>
      </w:pPr>
    </w:p>
    <w:p w14:paraId="73A1EDE8" w14:textId="77777777" w:rsidR="00987692" w:rsidRPr="00FC49A2" w:rsidRDefault="00987692" w:rsidP="00987692">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987692" w:rsidRPr="00FC49A2" w14:paraId="6BA5949B" w14:textId="77777777" w:rsidTr="0057173C">
        <w:trPr>
          <w:trHeight w:val="884"/>
        </w:trPr>
        <w:tc>
          <w:tcPr>
            <w:tcW w:w="2689" w:type="dxa"/>
          </w:tcPr>
          <w:p w14:paraId="2630E4AE" w14:textId="77777777" w:rsidR="00987692" w:rsidRPr="00FC49A2" w:rsidRDefault="00987692" w:rsidP="0057173C">
            <w:pPr>
              <w:jc w:val="both"/>
              <w:rPr>
                <w:rFonts w:ascii="Verdana" w:eastAsia="Calibri" w:hAnsi="Verdana" w:cs="Arial"/>
                <w:b/>
                <w:bCs/>
                <w:lang w:val="es-ES_tradnl" w:eastAsia="es-ES_tradnl"/>
              </w:rPr>
            </w:pPr>
          </w:p>
        </w:tc>
        <w:tc>
          <w:tcPr>
            <w:tcW w:w="6100" w:type="dxa"/>
          </w:tcPr>
          <w:p w14:paraId="3CC1A361" w14:textId="77777777" w:rsidR="00987692" w:rsidRPr="00FC49A2" w:rsidRDefault="00987692" w:rsidP="0057173C">
            <w:pPr>
              <w:jc w:val="both"/>
              <w:rPr>
                <w:rFonts w:ascii="Verdana" w:eastAsia="Calibri" w:hAnsi="Verdana" w:cs="Arial"/>
                <w:b/>
                <w:bCs/>
                <w:lang w:val="es-ES" w:eastAsia="es-ES"/>
              </w:rPr>
            </w:pPr>
            <w:r w:rsidRPr="00FC49A2">
              <w:rPr>
                <w:rFonts w:ascii="Verdana" w:eastAsia="Calibri" w:hAnsi="Verdana" w:cs="Arial"/>
                <w:b/>
                <w:bCs/>
                <w:lang w:val="es-ES" w:eastAsia="es-ES"/>
              </w:rPr>
              <w:t>Concepto C-251 de 2024</w:t>
            </w:r>
          </w:p>
        </w:tc>
      </w:tr>
      <w:tr w:rsidR="00987692" w:rsidRPr="00FC49A2" w14:paraId="5A6E24FB" w14:textId="77777777" w:rsidTr="0057173C">
        <w:trPr>
          <w:trHeight w:val="884"/>
        </w:trPr>
        <w:tc>
          <w:tcPr>
            <w:tcW w:w="2689" w:type="dxa"/>
          </w:tcPr>
          <w:p w14:paraId="4A42EC61" w14:textId="77777777" w:rsidR="00987692" w:rsidRPr="00FC49A2" w:rsidRDefault="00987692" w:rsidP="0057173C">
            <w:pPr>
              <w:jc w:val="both"/>
              <w:rPr>
                <w:rFonts w:ascii="Verdana" w:eastAsia="Calibri" w:hAnsi="Verdana" w:cs="Arial"/>
                <w:highlight w:val="yellow"/>
                <w:lang w:val="es-ES_tradnl" w:eastAsia="es-ES_tradnl"/>
              </w:rPr>
            </w:pPr>
            <w:r w:rsidRPr="00FC49A2">
              <w:rPr>
                <w:rFonts w:ascii="Verdana" w:eastAsia="Calibri" w:hAnsi="Verdana" w:cs="Arial"/>
                <w:b/>
                <w:lang w:val="es-ES_tradnl" w:eastAsia="es-ES_tradnl"/>
              </w:rPr>
              <w:t>Temas:</w:t>
            </w:r>
            <w:r w:rsidRPr="00FC49A2">
              <w:rPr>
                <w:rFonts w:ascii="Verdana" w:eastAsia="Calibri" w:hAnsi="Verdana" w:cs="Arial"/>
                <w:lang w:val="es-ES_tradnl" w:eastAsia="es-ES_tradnl"/>
              </w:rPr>
              <w:t xml:space="preserve">                   </w:t>
            </w:r>
          </w:p>
        </w:tc>
        <w:tc>
          <w:tcPr>
            <w:tcW w:w="6100" w:type="dxa"/>
          </w:tcPr>
          <w:p w14:paraId="047318A3" w14:textId="77777777" w:rsidR="00987692" w:rsidRPr="00FC49A2" w:rsidRDefault="00987692" w:rsidP="0057173C">
            <w:pPr>
              <w:spacing w:line="276" w:lineRule="auto"/>
              <w:jc w:val="both"/>
              <w:rPr>
                <w:rFonts w:ascii="Verdana" w:eastAsia="Calibri" w:hAnsi="Verdana" w:cs="Arial"/>
                <w:lang w:val="es-ES" w:eastAsia="es-ES"/>
              </w:rPr>
            </w:pPr>
            <w:r w:rsidRPr="00FC49A2">
              <w:rPr>
                <w:rFonts w:ascii="Verdana" w:eastAsia="Calibri" w:hAnsi="Verdana" w:cs="Arial"/>
                <w:lang w:val="es-ES" w:eastAsia="es-ES"/>
              </w:rPr>
              <w:t>CONVOCATORIAS LIMITADAS A MIPYMES – Requisitos – Artículo 2.2.1.2.4.2.2 del Decreto 1082 de 2015 / CONVOCATORIAS LIMITADAS TERRITORIALMENTE – Artículo 2.2.1.2.4.2.2 del decreto 1082 de 2015 – Facultad de la entidad – Mipymes territoriales</w:t>
            </w:r>
          </w:p>
          <w:p w14:paraId="4E84DF0F" w14:textId="77777777" w:rsidR="00987692" w:rsidRPr="00FC49A2" w:rsidRDefault="00987692" w:rsidP="0057173C">
            <w:pPr>
              <w:spacing w:line="276" w:lineRule="auto"/>
              <w:jc w:val="both"/>
              <w:rPr>
                <w:rFonts w:ascii="Verdana" w:eastAsia="Calibri" w:hAnsi="Verdana" w:cs="Arial"/>
                <w:highlight w:val="yellow"/>
                <w:lang w:val="es-ES" w:eastAsia="es-ES"/>
              </w:rPr>
            </w:pPr>
          </w:p>
        </w:tc>
      </w:tr>
      <w:tr w:rsidR="00987692" w:rsidRPr="00FC49A2" w14:paraId="67FFF090" w14:textId="77777777" w:rsidTr="0057173C">
        <w:tc>
          <w:tcPr>
            <w:tcW w:w="2689" w:type="dxa"/>
          </w:tcPr>
          <w:p w14:paraId="4E8D858D" w14:textId="77777777" w:rsidR="00987692" w:rsidRPr="00FC49A2" w:rsidRDefault="00987692" w:rsidP="0057173C">
            <w:pPr>
              <w:jc w:val="both"/>
              <w:rPr>
                <w:rFonts w:ascii="Verdana" w:eastAsia="Calibri" w:hAnsi="Verdana" w:cs="Arial"/>
                <w:b/>
                <w:lang w:val="es-ES_tradnl" w:eastAsia="es-ES_tradnl"/>
              </w:rPr>
            </w:pPr>
            <w:r w:rsidRPr="00FC49A2">
              <w:rPr>
                <w:rFonts w:ascii="Verdana" w:eastAsia="Calibri" w:hAnsi="Verdana" w:cs="Arial"/>
                <w:b/>
                <w:lang w:val="es-ES_tradnl" w:eastAsia="es-ES_tradnl"/>
              </w:rPr>
              <w:t>Radicación:</w:t>
            </w:r>
            <w:r w:rsidRPr="00FC49A2">
              <w:rPr>
                <w:rFonts w:ascii="Verdana" w:eastAsia="Calibri" w:hAnsi="Verdana" w:cs="Arial"/>
                <w:lang w:val="es-ES_tradnl" w:eastAsia="es-ES_tradnl"/>
              </w:rPr>
              <w:t xml:space="preserve">               </w:t>
            </w:r>
          </w:p>
        </w:tc>
        <w:tc>
          <w:tcPr>
            <w:tcW w:w="6100" w:type="dxa"/>
          </w:tcPr>
          <w:p w14:paraId="2649604B" w14:textId="77777777" w:rsidR="00987692" w:rsidRPr="00FC49A2" w:rsidRDefault="00987692" w:rsidP="0057173C">
            <w:pPr>
              <w:jc w:val="both"/>
              <w:rPr>
                <w:rFonts w:ascii="Verdana" w:eastAsia="Calibri" w:hAnsi="Verdana" w:cs="Arial"/>
                <w:lang w:val="es-ES_tradnl" w:eastAsia="es-ES_tradnl"/>
              </w:rPr>
            </w:pPr>
            <w:r w:rsidRPr="00FC49A2">
              <w:rPr>
                <w:rFonts w:ascii="Verdana" w:eastAsia="Calibri" w:hAnsi="Verdana" w:cs="Arial"/>
                <w:lang w:val="es-ES_tradnl" w:eastAsia="es-ES_tradnl"/>
              </w:rPr>
              <w:t>Respuesta a consulta con radicado No. P20240702006677</w:t>
            </w:r>
            <w:r w:rsidRPr="00FC49A2">
              <w:rPr>
                <w:rFonts w:ascii="Verdana" w:eastAsia="Calibri" w:hAnsi="Verdana" w:cs="Arial"/>
                <w:lang w:val="es-ES_tradnl" w:eastAsia="es-ES_tradnl"/>
              </w:rPr>
              <w:tab/>
            </w:r>
          </w:p>
        </w:tc>
      </w:tr>
    </w:tbl>
    <w:p w14:paraId="60BCC3EA" w14:textId="77777777" w:rsidR="00987692" w:rsidRPr="00FC49A2" w:rsidRDefault="00987692" w:rsidP="00987692">
      <w:pPr>
        <w:spacing w:after="0" w:line="240" w:lineRule="auto"/>
        <w:jc w:val="both"/>
        <w:rPr>
          <w:rFonts w:ascii="Verdana" w:eastAsia="Calibri" w:hAnsi="Verdana" w:cs="Arial"/>
          <w:lang w:val="es-ES_tradnl" w:eastAsia="es-ES_tradnl"/>
        </w:rPr>
      </w:pPr>
    </w:p>
    <w:p w14:paraId="44B4CEA9" w14:textId="77777777" w:rsidR="00987692" w:rsidRPr="00FC49A2" w:rsidRDefault="00987692" w:rsidP="00987692">
      <w:pPr>
        <w:spacing w:after="0" w:line="240" w:lineRule="auto"/>
        <w:jc w:val="both"/>
        <w:rPr>
          <w:rFonts w:ascii="Verdana" w:eastAsia="Calibri" w:hAnsi="Verdana" w:cs="Arial"/>
          <w:lang w:val="es-ES_tradnl" w:eastAsia="es-ES_tradnl"/>
        </w:rPr>
      </w:pPr>
    </w:p>
    <w:p w14:paraId="6768FD63" w14:textId="77777777" w:rsidR="00987692" w:rsidRPr="00FC49A2" w:rsidRDefault="00987692" w:rsidP="00987692">
      <w:pPr>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 xml:space="preserve">Estimada señora León: </w:t>
      </w:r>
    </w:p>
    <w:p w14:paraId="41CDB08E" w14:textId="77777777" w:rsidR="00987692" w:rsidRPr="00FC49A2" w:rsidRDefault="00987692" w:rsidP="00987692">
      <w:pPr>
        <w:tabs>
          <w:tab w:val="left" w:pos="3768"/>
        </w:tabs>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ab/>
      </w:r>
    </w:p>
    <w:p w14:paraId="0AFB1F84" w14:textId="77777777" w:rsidR="00987692" w:rsidRPr="00FC49A2" w:rsidRDefault="00987692" w:rsidP="00987692">
      <w:pPr>
        <w:spacing w:after="0" w:line="276" w:lineRule="auto"/>
        <w:jc w:val="both"/>
        <w:rPr>
          <w:rFonts w:ascii="Verdana" w:eastAsia="Calibri" w:hAnsi="Verdana" w:cs="Arial"/>
          <w:lang w:val="es-ES" w:eastAsia="es-ES"/>
        </w:rPr>
      </w:pPr>
      <w:r w:rsidRPr="00FC49A2">
        <w:rPr>
          <w:rFonts w:ascii="Verdana" w:eastAsia="Calibri" w:hAnsi="Verdana" w:cs="Arial"/>
          <w:lang w:val="es-ES" w:eastAsia="es-ES"/>
        </w:rPr>
        <w:t>En ejercicio de la competencia otorgada por los artículos 3, numeral 5º, y 11, numeral 8º, del Decreto Ley 4170 de 2011,</w:t>
      </w:r>
      <w:r w:rsidRPr="00FC49A2">
        <w:rPr>
          <w:rFonts w:ascii="Verdana" w:eastAsia="Arial MT" w:hAnsi="Verdana" w:cs="Arial MT"/>
          <w:lang w:val="es-ES" w:eastAsia="es-ES"/>
        </w:rPr>
        <w:t xml:space="preserve"> </w:t>
      </w:r>
      <w:r w:rsidRPr="00FC49A2">
        <w:rPr>
          <w:rFonts w:ascii="Verdana" w:eastAsia="Aptos" w:hAnsi="Verdana" w:cs="Arial"/>
        </w:rPr>
        <w:t xml:space="preserve">así como lo establecido en el artículo 4 de la Resolución 1707 de 2018 expedida por esta Entidad, </w:t>
      </w:r>
      <w:r w:rsidRPr="00FC49A2">
        <w:rPr>
          <w:rFonts w:ascii="Verdana" w:eastAsia="Calibri" w:hAnsi="Verdana" w:cs="Arial"/>
          <w:lang w:val="es-ES" w:eastAsia="es-ES"/>
        </w:rPr>
        <w:t xml:space="preserve">la Agencia Nacional de Contratación Pública – Colombia Compra Eficiente– responde su solicitud de consulta de fecha del 02 de julio de 2024, en la que realiza las siguientes preguntas: </w:t>
      </w:r>
    </w:p>
    <w:p w14:paraId="5EF4BBF4" w14:textId="77777777" w:rsidR="00987692" w:rsidRPr="00FC49A2" w:rsidRDefault="00987692" w:rsidP="00987692">
      <w:pPr>
        <w:tabs>
          <w:tab w:val="left" w:pos="142"/>
          <w:tab w:val="left" w:pos="284"/>
        </w:tabs>
        <w:spacing w:after="0" w:line="240" w:lineRule="auto"/>
        <w:contextualSpacing/>
        <w:jc w:val="both"/>
        <w:rPr>
          <w:rFonts w:ascii="Verdana" w:eastAsia="Century Gothic" w:hAnsi="Verdana" w:cs="Century Gothic"/>
          <w:b/>
          <w:bCs/>
          <w:sz w:val="20"/>
          <w:szCs w:val="20"/>
          <w:lang w:val="es-ES"/>
        </w:rPr>
      </w:pPr>
    </w:p>
    <w:p w14:paraId="6DDB77E6" w14:textId="77777777" w:rsidR="00987692" w:rsidRPr="00FC49A2" w:rsidRDefault="00987692" w:rsidP="00987692">
      <w:pPr>
        <w:tabs>
          <w:tab w:val="left" w:pos="709"/>
        </w:tabs>
        <w:spacing w:after="0" w:line="240" w:lineRule="auto"/>
        <w:ind w:left="709" w:right="709"/>
        <w:jc w:val="both"/>
        <w:rPr>
          <w:rFonts w:ascii="Verdana" w:eastAsia="Calibri" w:hAnsi="Verdana" w:cs="Arial"/>
          <w:sz w:val="20"/>
          <w:szCs w:val="20"/>
          <w:lang w:val="es-MX"/>
        </w:rPr>
      </w:pPr>
      <w:r w:rsidRPr="00FC49A2">
        <w:rPr>
          <w:rFonts w:ascii="Verdana" w:eastAsia="Calibri" w:hAnsi="Verdana" w:cs="Arial"/>
          <w:sz w:val="20"/>
          <w:szCs w:val="20"/>
          <w:lang w:val="es-MX"/>
        </w:rPr>
        <w:t>“1- las entidades estatales pueden realizar la limitación a Mipymes territoriales de manera inmediata en los estudios previos y/o pliegos de condiciones, sin que surja el proceso del acreditación de Acreditación de requisitos para participar en convocatorias limitadas de acuerdo al ARTÍCULO 2.2.1.2.4.2.4.</w:t>
      </w:r>
    </w:p>
    <w:p w14:paraId="1793A0DA" w14:textId="77777777" w:rsidR="00987692" w:rsidRPr="00FC49A2" w:rsidRDefault="00987692" w:rsidP="00987692">
      <w:pPr>
        <w:tabs>
          <w:tab w:val="left" w:pos="709"/>
        </w:tabs>
        <w:spacing w:before="120" w:after="0" w:line="240" w:lineRule="auto"/>
        <w:ind w:left="709" w:right="709"/>
        <w:jc w:val="both"/>
        <w:rPr>
          <w:rFonts w:ascii="Verdana" w:eastAsia="Calibri" w:hAnsi="Verdana" w:cs="Arial"/>
          <w:sz w:val="20"/>
          <w:szCs w:val="20"/>
          <w:lang w:val="es-MX"/>
        </w:rPr>
      </w:pPr>
      <w:r w:rsidRPr="00FC49A2">
        <w:rPr>
          <w:rFonts w:ascii="Verdana" w:eastAsia="Calibri" w:hAnsi="Verdana" w:cs="Arial"/>
          <w:sz w:val="20"/>
          <w:szCs w:val="20"/>
          <w:lang w:val="es-MX"/>
        </w:rPr>
        <w:lastRenderedPageBreak/>
        <w:t>2- las entidades de régimen especial pueden realizar la limitación a Mipymes territoriales de manera inmediata en los estudios previos y/o pliegos condiciones, sin que surja el proceso de acreditación de Acreditación de requisitos para participar en convocatorias limitadas de acuerdo el ARTÍCULO 2.2.1.2.4.2.4.</w:t>
      </w:r>
    </w:p>
    <w:p w14:paraId="158E8D0F" w14:textId="77777777" w:rsidR="00987692" w:rsidRPr="00FC49A2" w:rsidRDefault="00987692" w:rsidP="00987692">
      <w:pPr>
        <w:tabs>
          <w:tab w:val="left" w:pos="709"/>
        </w:tabs>
        <w:spacing w:before="120" w:after="0" w:line="240" w:lineRule="auto"/>
        <w:ind w:left="709" w:right="709"/>
        <w:jc w:val="both"/>
        <w:rPr>
          <w:rFonts w:ascii="Verdana" w:eastAsia="Calibri" w:hAnsi="Verdana" w:cs="Arial"/>
          <w:sz w:val="20"/>
          <w:szCs w:val="20"/>
          <w:lang w:val="es-MX"/>
        </w:rPr>
      </w:pPr>
      <w:r w:rsidRPr="00FC49A2">
        <w:rPr>
          <w:rFonts w:ascii="Verdana" w:eastAsia="Calibri" w:hAnsi="Verdana" w:cs="Arial"/>
          <w:sz w:val="20"/>
          <w:szCs w:val="20"/>
          <w:lang w:val="es-MX"/>
        </w:rPr>
        <w:t>3- La legislación no establece los perceptos en caso de recibir manifestaciones de interés para: 1- limitar los procesos a mipymes nacionales y 2- limitar los procesos a mipymes territoriales. En tal caso, si se acreditan los requisitos de manera correcta de acuerdo al ARTÍCULO 2.2.1.2.4.2.4. cual de los dos tipos de limitación debería ser la aceptada por la entidad?</w:t>
      </w:r>
    </w:p>
    <w:p w14:paraId="18C64554" w14:textId="77777777" w:rsidR="00987692" w:rsidRPr="00FC49A2" w:rsidRDefault="00987692" w:rsidP="00987692">
      <w:pPr>
        <w:tabs>
          <w:tab w:val="left" w:pos="709"/>
        </w:tabs>
        <w:spacing w:before="120" w:after="0" w:line="240" w:lineRule="auto"/>
        <w:ind w:left="709" w:right="709"/>
        <w:jc w:val="both"/>
        <w:rPr>
          <w:rFonts w:ascii="Verdana" w:eastAsia="Calibri" w:hAnsi="Verdana" w:cs="Arial"/>
          <w:sz w:val="20"/>
          <w:szCs w:val="20"/>
          <w:lang w:val="es-MX"/>
        </w:rPr>
      </w:pPr>
      <w:r w:rsidRPr="00FC49A2">
        <w:rPr>
          <w:rFonts w:ascii="Verdana" w:eastAsia="Calibri" w:hAnsi="Verdana" w:cs="Arial"/>
          <w:sz w:val="20"/>
          <w:szCs w:val="20"/>
          <w:lang w:val="es-MX"/>
        </w:rPr>
        <w:t>4- Si en un proceso se reciben solicitudes de por lo menos dos (2) Mipyme colombianas para limitar la convocatoria a Mipyme colombianas, y también se reciben solicitudes de por los menos dos (2) Mipyme colombianas para limitar la convocatoria a Mipyme territoriales, como debería proceder la entidad estatal de régimen especial frente a la limitación de Mipymes”. [sic]</w:t>
      </w:r>
    </w:p>
    <w:p w14:paraId="095E68EF" w14:textId="77777777" w:rsidR="00987692" w:rsidRPr="00FC49A2" w:rsidRDefault="00987692" w:rsidP="00987692">
      <w:pPr>
        <w:tabs>
          <w:tab w:val="left" w:pos="142"/>
          <w:tab w:val="left" w:pos="284"/>
        </w:tabs>
        <w:spacing w:line="276" w:lineRule="auto"/>
        <w:contextualSpacing/>
        <w:jc w:val="both"/>
        <w:rPr>
          <w:rFonts w:ascii="Verdana" w:eastAsia="Century Gothic" w:hAnsi="Verdana" w:cs="Century Gothic"/>
          <w:b/>
          <w:bCs/>
          <w:lang w:val="es-ES"/>
        </w:rPr>
      </w:pPr>
    </w:p>
    <w:p w14:paraId="05EC3BE5" w14:textId="77777777" w:rsidR="00987692" w:rsidRPr="00FC49A2" w:rsidRDefault="00987692" w:rsidP="00987692">
      <w:pPr>
        <w:spacing w:after="120" w:line="276" w:lineRule="auto"/>
        <w:ind w:firstLine="709"/>
        <w:jc w:val="both"/>
        <w:rPr>
          <w:rFonts w:ascii="Verdana" w:eastAsia="Calibri" w:hAnsi="Verdana" w:cs="Arial"/>
          <w:szCs w:val="24"/>
          <w:lang w:val="es-ES_tradnl" w:eastAsia="es-ES_tradnl"/>
        </w:rPr>
      </w:pPr>
      <w:r w:rsidRPr="00FC49A2">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FC49A2">
        <w:rPr>
          <w:rFonts w:ascii="Verdana" w:eastAsia="Calibri" w:hAnsi="Verdana" w:cs="Arial"/>
          <w:szCs w:val="24"/>
          <w:lang w:val="es-ES_tradnl" w:eastAsia="es-ES_tradnl"/>
        </w:rPr>
        <w:tab/>
      </w:r>
    </w:p>
    <w:p w14:paraId="52C273F7" w14:textId="77777777" w:rsidR="00987692" w:rsidRPr="00FC49A2" w:rsidRDefault="00987692" w:rsidP="00987692">
      <w:pPr>
        <w:spacing w:after="0" w:line="276" w:lineRule="auto"/>
        <w:ind w:firstLine="709"/>
        <w:jc w:val="both"/>
        <w:rPr>
          <w:rFonts w:ascii="Verdana" w:eastAsia="Calibri" w:hAnsi="Verdana" w:cs="Arial"/>
          <w:lang w:val="es-ES" w:eastAsia="es-ES"/>
        </w:rPr>
      </w:pPr>
      <w:r w:rsidRPr="00FC49A2">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08E7B848" w14:textId="77777777" w:rsidR="00987692" w:rsidRPr="00FC49A2" w:rsidRDefault="00987692" w:rsidP="00987692">
      <w:pPr>
        <w:spacing w:after="0" w:line="276" w:lineRule="auto"/>
        <w:ind w:firstLine="709"/>
        <w:jc w:val="both"/>
        <w:rPr>
          <w:rFonts w:ascii="Verdana" w:eastAsia="Calibri" w:hAnsi="Verdana" w:cs="Arial"/>
          <w:lang w:val="es-ES" w:eastAsia="es-ES"/>
        </w:rPr>
      </w:pPr>
    </w:p>
    <w:p w14:paraId="3C9544B3" w14:textId="77777777" w:rsidR="00987692" w:rsidRPr="00FC49A2" w:rsidRDefault="00987692" w:rsidP="00987692">
      <w:pPr>
        <w:widowControl w:val="0"/>
        <w:autoSpaceDE w:val="0"/>
        <w:autoSpaceDN w:val="0"/>
        <w:spacing w:before="1" w:after="0" w:line="240" w:lineRule="auto"/>
        <w:ind w:left="360" w:hanging="360"/>
        <w:jc w:val="both"/>
        <w:outlineLvl w:val="0"/>
        <w:rPr>
          <w:rFonts w:ascii="Verdana" w:eastAsia="Arial" w:hAnsi="Verdana" w:cs="Arial"/>
          <w:b/>
          <w:bCs/>
          <w:lang w:val="es-ES"/>
        </w:rPr>
      </w:pPr>
      <w:r w:rsidRPr="00FC49A2">
        <w:rPr>
          <w:rFonts w:ascii="Verdana" w:eastAsia="Arial" w:hAnsi="Verdana" w:cs="Arial"/>
          <w:b/>
          <w:bCs/>
          <w:lang w:val="es-ES"/>
        </w:rPr>
        <w:t>1. Problema planteado:</w:t>
      </w:r>
    </w:p>
    <w:p w14:paraId="457956C0" w14:textId="77777777" w:rsidR="00987692" w:rsidRPr="00FC49A2" w:rsidRDefault="00987692" w:rsidP="00987692">
      <w:pPr>
        <w:tabs>
          <w:tab w:val="left" w:pos="426"/>
        </w:tabs>
        <w:spacing w:after="0" w:line="276" w:lineRule="auto"/>
        <w:jc w:val="both"/>
        <w:rPr>
          <w:rFonts w:ascii="Verdana" w:eastAsia="Century Gothic" w:hAnsi="Verdana" w:cs="Century Gothic"/>
          <w:lang w:val="es-ES"/>
        </w:rPr>
      </w:pPr>
    </w:p>
    <w:p w14:paraId="5B01E7C7" w14:textId="77777777" w:rsidR="00987692" w:rsidRPr="00FC49A2" w:rsidRDefault="00987692" w:rsidP="00987692">
      <w:pPr>
        <w:spacing w:after="0" w:line="276" w:lineRule="auto"/>
        <w:jc w:val="both"/>
        <w:rPr>
          <w:rFonts w:ascii="Verdana" w:eastAsia="Century Gothic" w:hAnsi="Verdana" w:cs="Century Gothic"/>
          <w:color w:val="7030A0"/>
        </w:rPr>
      </w:pPr>
      <w:r w:rsidRPr="00FC49A2">
        <w:rPr>
          <w:rFonts w:ascii="Verdana" w:eastAsia="Century Gothic" w:hAnsi="Verdana" w:cs="Century Gothic"/>
        </w:rPr>
        <w:t xml:space="preserve">De acuerdo con el contenido de su solicitud, se evidencia que la misma está relacionada con las convocatorias limitadas a Mipymes según la modificación </w:t>
      </w:r>
      <w:r w:rsidRPr="00FC49A2">
        <w:rPr>
          <w:rFonts w:ascii="Verdana" w:eastAsia="Century Gothic" w:hAnsi="Verdana" w:cs="Century Gothic"/>
        </w:rPr>
        <w:lastRenderedPageBreak/>
        <w:t>realizada por el Decreto 1860 de 2021 al Decreto 1082 de 2015. Por lo que, se resolverá su consulta desde los siguientes problemas jurídicos:</w:t>
      </w:r>
      <w:bookmarkStart w:id="2" w:name="_Hlk171070029"/>
      <w:r w:rsidRPr="00FC49A2">
        <w:rPr>
          <w:rFonts w:ascii="Verdana" w:eastAsia="Century Gothic" w:hAnsi="Verdana" w:cs="Century Gothic"/>
        </w:rPr>
        <w:t xml:space="preserve"> i) ¿Las entidades estatales pueden realizar la limitación a Mipymes territoriales de manera inmediata en los estudios previos y/o pliego de condiciones sin que surja el proceso de acreditación de requisitos para participar en convocatorias limitadas de acuerdo con el artículo 2.2.1.2.4.2.4?, y ii) en caso de que se reciban solicitudes para limitar el proceso a Mipymes nacionales y a Mipymes territoriales, ¿cuál de los dos tipos de limitación debería ser la aceptada por la entidad?</w:t>
      </w:r>
    </w:p>
    <w:p w14:paraId="7325A9F0" w14:textId="77777777" w:rsidR="00987692" w:rsidRPr="00FC49A2" w:rsidRDefault="00987692" w:rsidP="00987692">
      <w:pPr>
        <w:spacing w:after="0" w:line="276" w:lineRule="auto"/>
        <w:jc w:val="both"/>
        <w:rPr>
          <w:rFonts w:ascii="Verdana" w:eastAsia="Calibri" w:hAnsi="Verdana" w:cs="Arial"/>
          <w:color w:val="7030A0"/>
          <w:lang w:val="es-ES"/>
        </w:rPr>
      </w:pPr>
    </w:p>
    <w:bookmarkEnd w:id="2"/>
    <w:p w14:paraId="06F54491" w14:textId="77777777" w:rsidR="00987692" w:rsidRPr="00FC49A2" w:rsidRDefault="00987692" w:rsidP="00987692">
      <w:pPr>
        <w:widowControl w:val="0"/>
        <w:autoSpaceDE w:val="0"/>
        <w:autoSpaceDN w:val="0"/>
        <w:spacing w:before="1" w:after="0" w:line="240" w:lineRule="auto"/>
        <w:jc w:val="both"/>
        <w:outlineLvl w:val="0"/>
        <w:rPr>
          <w:rFonts w:ascii="Verdana" w:eastAsia="Arial" w:hAnsi="Verdana" w:cs="Arial"/>
          <w:b/>
          <w:bCs/>
          <w:lang w:val="es-ES"/>
        </w:rPr>
      </w:pPr>
      <w:r w:rsidRPr="00FC49A2">
        <w:rPr>
          <w:rFonts w:ascii="Verdana" w:eastAsia="Arial" w:hAnsi="Verdana" w:cs="Arial"/>
          <w:b/>
          <w:bCs/>
          <w:lang w:val="es-ES"/>
        </w:rPr>
        <w:t>2. Respuestas:</w:t>
      </w:r>
    </w:p>
    <w:p w14:paraId="0A542334" w14:textId="77777777" w:rsidR="00987692" w:rsidRPr="00FC49A2" w:rsidRDefault="00987692" w:rsidP="00987692">
      <w:pPr>
        <w:widowControl w:val="0"/>
        <w:autoSpaceDE w:val="0"/>
        <w:autoSpaceDN w:val="0"/>
        <w:spacing w:before="1" w:after="0" w:line="240" w:lineRule="auto"/>
        <w:jc w:val="both"/>
        <w:outlineLvl w:val="0"/>
        <w:rPr>
          <w:rFonts w:ascii="Verdana" w:eastAsia="Arial" w:hAnsi="Verdana" w:cs="Arial"/>
          <w:b/>
          <w:bCs/>
          <w:lang w:val="es-ES"/>
        </w:rPr>
      </w:pPr>
    </w:p>
    <w:p w14:paraId="58D74207" w14:textId="77777777" w:rsidR="00987692" w:rsidRPr="00FC49A2" w:rsidRDefault="00987692" w:rsidP="00987692">
      <w:pPr>
        <w:keepNext/>
        <w:keepLines/>
        <w:spacing w:before="40" w:after="0"/>
        <w:jc w:val="both"/>
        <w:outlineLvl w:val="1"/>
        <w:rPr>
          <w:rFonts w:ascii="Verdana" w:eastAsia="Arial" w:hAnsi="Verdana" w:cs="Arial"/>
          <w:b/>
          <w:bCs/>
          <w:lang w:val="es-ES"/>
        </w:rPr>
      </w:pPr>
      <w:r w:rsidRPr="00FC49A2">
        <w:rPr>
          <w:rFonts w:ascii="Verdana" w:eastAsia="Century Gothic" w:hAnsi="Verdana" w:cs="Times New Roman"/>
          <w:b/>
          <w:bCs/>
          <w:lang w:val="es-ES"/>
        </w:rPr>
        <w:t>2.1. ¿Las Entidades Estatales pueden realizar la limitación a Mipymes territoriales de manera inmediata en los estudios previos y/o pliego de condiciones sin que surja el proceso de acreditación de requisitos para participar en convocatorias limitadas de acuerdo con el artículo 2.2.1.2.4.2.4?</w:t>
      </w:r>
    </w:p>
    <w:p w14:paraId="550CF2F7" w14:textId="77777777" w:rsidR="00987692" w:rsidRPr="00FC49A2" w:rsidRDefault="00987692" w:rsidP="00987692">
      <w:pPr>
        <w:spacing w:after="0"/>
        <w:rPr>
          <w:rFonts w:ascii="Verdana" w:eastAsia="Aptos" w:hAnsi="Verdana" w:cs="Times New Roman"/>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87692" w:rsidRPr="00FC49A2" w14:paraId="45EDA8B4" w14:textId="77777777" w:rsidTr="0057173C">
        <w:tc>
          <w:tcPr>
            <w:tcW w:w="8828" w:type="dxa"/>
            <w:shd w:val="clear" w:color="auto" w:fill="auto"/>
          </w:tcPr>
          <w:p w14:paraId="6CD1C133" w14:textId="77777777" w:rsidR="00987692" w:rsidRPr="00FC49A2" w:rsidRDefault="00987692" w:rsidP="0057173C">
            <w:pPr>
              <w:spacing w:line="276" w:lineRule="auto"/>
              <w:jc w:val="both"/>
              <w:rPr>
                <w:rFonts w:ascii="Verdana" w:eastAsia="Calibri" w:hAnsi="Verdana" w:cs="Arial"/>
                <w:lang w:val="es-ES"/>
              </w:rPr>
            </w:pPr>
            <w:bookmarkStart w:id="3" w:name="_Hlk171067516"/>
            <w:r w:rsidRPr="00FC49A2">
              <w:rPr>
                <w:rFonts w:ascii="Verdana" w:eastAsia="Calibri" w:hAnsi="Verdana" w:cs="Arial"/>
                <w:lang w:val="es-ES"/>
              </w:rPr>
              <w:t>El artículo 2.2.1.2.4.2.3 del Decreto 1082 de 2015 desarrolla las convocatorias limitadas territorialmente a Mipymes colombianas, señalando que “[…] las Entidades Estatales, independientemente de su régimen de contratación, los patrimonios autónomos constituidos por Entidades Estatales y los particulares que ejecuten recursos públicos, pueden realizar convocatorias limitadas a Mipyme colombianas que tengan domicilio en los departamentos o municipios en donde se va a ejecutar el contrato […]”. Como se observa, los sujetos referenciados en la norma precitada, podrán limitar sus procesos de contratación territorialmente a las Mipymes observando las reglas señaladas en dicha norma. Sin embargo, el ejercicio de esta potestad, exige que se converjan unos mínimos presupuestos de adecuación para que resulte apropiada la decisión de limitar territorialmente una convocatoria a la participación exclusiva de Mipymes, pues esto solo puede resultar razonable si la información recolectada en el marco del análisis del sector indica que en el lugar a ejecutar el objeto contractual existen un número significativo de Mipymes allí domiciliadas. En ese sentido, las</w:t>
            </w:r>
            <w:r w:rsidRPr="00FC49A2">
              <w:rPr>
                <w:rFonts w:ascii="Aptos" w:eastAsia="Aptos" w:hAnsi="Aptos" w:cs="Times New Roman"/>
              </w:rPr>
              <w:t xml:space="preserve"> </w:t>
            </w:r>
            <w:r w:rsidRPr="00FC49A2">
              <w:rPr>
                <w:rFonts w:ascii="Verdana" w:eastAsia="Calibri" w:hAnsi="Verdana" w:cs="Arial"/>
                <w:lang w:val="es-ES"/>
              </w:rPr>
              <w:t xml:space="preserve">Entidades Estatales independientemente de su régimen de contratación, los patrimonios autónomos constituidos por Entidades Estatales y los particulares que ejecuten recursos públicos podrán en la etapa precontractual, limitar territorialmente la convocatoria del proceso de contratación a Mipymes domiciliadas en el </w:t>
            </w:r>
            <w:r w:rsidRPr="00FC49A2">
              <w:rPr>
                <w:rFonts w:ascii="Verdana" w:eastAsia="Calibri" w:hAnsi="Verdana" w:cs="Arial"/>
                <w:lang w:val="es-ES"/>
              </w:rPr>
              <w:lastRenderedPageBreak/>
              <w:t>departamento o municipio donde se ejecutará el contrato, estableciendo las reglas bajo las que dicha limitación procedería, en los pliegos de condiciones y justificándola en los respectivos estudios previos según la información arrojada por el análisis del sector. Es decir, que basado en los estudios del sector, la entidad podrá limitar territorialmente el proceso de contratación a Mipymes en el pliego de condiciones porque así se lo permite la norma; sin embargo, la limitación de la convocatoria a Mipymes colombianas, sólo procederá cuando sean las Mipymes las que soliciten dicha limitación, esto, según las reglas dispuestas en el artículo 2.2.1.2.4.2.2 del Decreto 1082 de 2015.</w:t>
            </w:r>
          </w:p>
        </w:tc>
      </w:tr>
      <w:bookmarkEnd w:id="3"/>
    </w:tbl>
    <w:p w14:paraId="496DDFE0" w14:textId="77777777" w:rsidR="00987692" w:rsidRPr="00FC49A2" w:rsidRDefault="00987692" w:rsidP="00987692">
      <w:pPr>
        <w:tabs>
          <w:tab w:val="left" w:pos="142"/>
          <w:tab w:val="left" w:pos="967"/>
        </w:tabs>
        <w:spacing w:after="0" w:line="276" w:lineRule="auto"/>
        <w:jc w:val="both"/>
        <w:rPr>
          <w:rFonts w:ascii="Verdana" w:eastAsia="Century Gothic" w:hAnsi="Verdana" w:cs="Century Gothic"/>
          <w:b/>
          <w:bCs/>
          <w:lang w:val="es-ES"/>
        </w:rPr>
      </w:pPr>
    </w:p>
    <w:p w14:paraId="17327017" w14:textId="77777777" w:rsidR="00987692" w:rsidRPr="00FC49A2" w:rsidRDefault="00987692" w:rsidP="00987692">
      <w:pPr>
        <w:tabs>
          <w:tab w:val="left" w:pos="142"/>
          <w:tab w:val="left" w:pos="967"/>
        </w:tabs>
        <w:spacing w:after="0" w:line="276" w:lineRule="auto"/>
        <w:jc w:val="both"/>
        <w:rPr>
          <w:rFonts w:ascii="Verdana" w:eastAsia="Century Gothic" w:hAnsi="Verdana" w:cs="Times New Roman"/>
          <w:b/>
          <w:bCs/>
          <w:lang w:val="es-ES"/>
        </w:rPr>
      </w:pPr>
      <w:bookmarkStart w:id="4" w:name="_Hlk173232636"/>
      <w:r w:rsidRPr="00FC49A2">
        <w:rPr>
          <w:rFonts w:ascii="Verdana" w:eastAsia="Century Gothic" w:hAnsi="Verdana" w:cs="Times New Roman"/>
          <w:b/>
          <w:bCs/>
          <w:lang w:val="es-ES"/>
        </w:rPr>
        <w:t xml:space="preserve">2.2. </w:t>
      </w:r>
      <w:r w:rsidRPr="00FC49A2">
        <w:rPr>
          <w:rFonts w:ascii="Verdana" w:eastAsia="Century Gothic" w:hAnsi="Verdana" w:cs="Century Gothic"/>
          <w:b/>
          <w:bCs/>
        </w:rPr>
        <w:t>En caso de que se reciban solicitudes para limitar el proceso a Mipymes nacionales y a Mipymes territoriales, ¿cuál de los dos tipos de limitación debería ser la aceptada por la entidad?</w:t>
      </w:r>
    </w:p>
    <w:bookmarkEnd w:id="4"/>
    <w:p w14:paraId="0502E26C" w14:textId="77777777" w:rsidR="00987692" w:rsidRPr="00FC49A2" w:rsidRDefault="00987692" w:rsidP="00987692">
      <w:pPr>
        <w:tabs>
          <w:tab w:val="left" w:pos="142"/>
          <w:tab w:val="left" w:pos="967"/>
        </w:tabs>
        <w:spacing w:after="0" w:line="276" w:lineRule="auto"/>
        <w:jc w:val="both"/>
        <w:rPr>
          <w:rFonts w:ascii="Verdana" w:eastAsia="Century Gothic" w:hAnsi="Verdana" w:cs="Times New Roman"/>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87692" w:rsidRPr="00FC49A2" w14:paraId="6E0D2FBE" w14:textId="77777777" w:rsidTr="0057173C">
        <w:tc>
          <w:tcPr>
            <w:tcW w:w="8828" w:type="dxa"/>
          </w:tcPr>
          <w:p w14:paraId="5AB50853" w14:textId="77777777" w:rsidR="00987692" w:rsidRPr="00FC49A2" w:rsidRDefault="00987692" w:rsidP="0057173C">
            <w:pPr>
              <w:tabs>
                <w:tab w:val="left" w:pos="142"/>
                <w:tab w:val="left" w:pos="967"/>
              </w:tabs>
              <w:spacing w:line="276" w:lineRule="auto"/>
              <w:jc w:val="both"/>
              <w:rPr>
                <w:rFonts w:ascii="Verdana" w:eastAsia="Calibri" w:hAnsi="Verdana" w:cs="Arial"/>
              </w:rPr>
            </w:pPr>
            <w:r w:rsidRPr="00FC49A2">
              <w:rPr>
                <w:rFonts w:ascii="Verdana" w:eastAsia="Calibri" w:hAnsi="Verdana" w:cs="Arial"/>
              </w:rPr>
              <w:t xml:space="preserve">El artículo </w:t>
            </w:r>
            <w:r w:rsidRPr="00FC49A2">
              <w:rPr>
                <w:rFonts w:ascii="Verdana" w:eastAsia="Century Gothic" w:hAnsi="Verdana" w:cs="Times New Roman"/>
                <w:lang w:val="es-ES"/>
              </w:rPr>
              <w:t>2.2.1.2.4.2.2 del Decreto 1082 de 2015</w:t>
            </w:r>
            <w:r w:rsidRPr="00FC49A2">
              <w:rPr>
                <w:rFonts w:ascii="Verdana" w:eastAsia="Century Gothic" w:hAnsi="Verdana" w:cs="Times New Roman"/>
                <w:i/>
                <w:iCs/>
                <w:lang w:val="es-ES"/>
              </w:rPr>
              <w:t xml:space="preserve"> </w:t>
            </w:r>
            <w:r w:rsidRPr="00FC49A2">
              <w:rPr>
                <w:rFonts w:ascii="Verdana" w:eastAsia="Century Gothic" w:hAnsi="Verdana" w:cs="Times New Roman"/>
                <w:lang w:val="es-ES"/>
              </w:rPr>
              <w:t>establece que la entidad contratante debe –tiene que– limitar la convocatoria de los procesos de contratación con pluralidad de oferentes a las Mipymes colombianas con mínimo un (1) año de existencia cuando concurran los requisitos que allí se señalan. Es decir que la limitación de una convocatoria a Mipymes colombianas, será obligatoria para la entidad contratante siempre que se reúnan los requisitos legales dispuestos en el referido artículo. Sin embargo, para el caso de la limitación territorial, debe precisarse que, cumplidos los requisitos del precitado artículo, la entidad contratante puede –no tiene que– decidir si limita la convocatoria a las Mipymes colombianas domiciliadas en el municipio o departamento en el que se ejecutará el contrato</w:t>
            </w:r>
            <w:r w:rsidRPr="00FC49A2">
              <w:rPr>
                <w:rFonts w:ascii="Verdana" w:eastAsia="Calibri" w:hAnsi="Verdana" w:cs="Arial"/>
                <w:vertAlign w:val="superscript"/>
              </w:rPr>
              <w:footnoteReference w:id="1"/>
            </w:r>
            <w:r w:rsidRPr="00FC49A2">
              <w:rPr>
                <w:rFonts w:ascii="Verdana" w:eastAsia="Calibri" w:hAnsi="Verdana" w:cs="Arial"/>
              </w:rPr>
              <w:t xml:space="preserve">. Esto de acuerdo con lo establecido en el artículo 2.2.1.2.4.2.3 </w:t>
            </w:r>
            <w:r w:rsidRPr="00FC49A2">
              <w:rPr>
                <w:rFonts w:ascii="Verdana" w:eastAsia="Calibri" w:hAnsi="Verdana" w:cs="Arial"/>
                <w:i/>
                <w:iCs/>
              </w:rPr>
              <w:t xml:space="preserve">ibidem, </w:t>
            </w:r>
            <w:r w:rsidRPr="00FC49A2">
              <w:rPr>
                <w:rFonts w:ascii="Verdana" w:eastAsia="Calibri" w:hAnsi="Verdana" w:cs="Arial"/>
              </w:rPr>
              <w:t>norma que se refiere a la facultad de la administración con el verbo “poder”, no “deber”. En cualquier caso, esta Agencia ha sostenido que es discrecional la decisión de limitar territorialmente una convocatoria a Mipymes, y ha precisado que, de todos modos, la decisión debe estar justificada en los correspondientes “estudios del sector”.</w:t>
            </w:r>
          </w:p>
        </w:tc>
      </w:tr>
    </w:tbl>
    <w:p w14:paraId="0AED72D4" w14:textId="77777777" w:rsidR="00987692" w:rsidRPr="00FC49A2" w:rsidRDefault="00987692" w:rsidP="00987692">
      <w:pPr>
        <w:tabs>
          <w:tab w:val="left" w:pos="142"/>
          <w:tab w:val="left" w:pos="967"/>
        </w:tabs>
        <w:spacing w:after="0" w:line="276" w:lineRule="auto"/>
        <w:jc w:val="both"/>
        <w:rPr>
          <w:rFonts w:ascii="Verdana" w:eastAsia="Century Gothic" w:hAnsi="Verdana" w:cs="Times New Roman"/>
          <w:b/>
          <w:bCs/>
          <w:lang w:val="es-ES"/>
        </w:rPr>
      </w:pPr>
    </w:p>
    <w:p w14:paraId="525AEA95" w14:textId="77777777" w:rsidR="00987692" w:rsidRPr="00FC49A2" w:rsidRDefault="00987692" w:rsidP="00987692">
      <w:pPr>
        <w:widowControl w:val="0"/>
        <w:autoSpaceDE w:val="0"/>
        <w:autoSpaceDN w:val="0"/>
        <w:spacing w:before="1" w:after="0" w:line="240" w:lineRule="auto"/>
        <w:ind w:left="360" w:hanging="360"/>
        <w:outlineLvl w:val="0"/>
        <w:rPr>
          <w:rFonts w:ascii="Verdana" w:eastAsia="Arial" w:hAnsi="Verdana" w:cs="Arial"/>
          <w:b/>
          <w:bCs/>
          <w:lang w:val="es-ES"/>
        </w:rPr>
      </w:pPr>
      <w:r w:rsidRPr="00FC49A2">
        <w:rPr>
          <w:rFonts w:ascii="Verdana" w:eastAsia="Arial" w:hAnsi="Verdana" w:cs="Arial"/>
          <w:b/>
          <w:bCs/>
          <w:lang w:val="es-ES"/>
        </w:rPr>
        <w:t>3. Razones de la respuesta</w:t>
      </w:r>
    </w:p>
    <w:p w14:paraId="04E63F7B" w14:textId="77777777" w:rsidR="00987692" w:rsidRPr="00FC49A2" w:rsidRDefault="00987692" w:rsidP="00987692">
      <w:pPr>
        <w:spacing w:after="0" w:line="276" w:lineRule="auto"/>
        <w:jc w:val="both"/>
        <w:rPr>
          <w:rFonts w:ascii="Verdana" w:eastAsia="Calibri" w:hAnsi="Verdana" w:cs="Arial"/>
          <w:lang w:val="es-ES"/>
        </w:rPr>
      </w:pPr>
    </w:p>
    <w:p w14:paraId="101E1400" w14:textId="77777777" w:rsidR="00987692" w:rsidRPr="00FC49A2" w:rsidRDefault="00987692" w:rsidP="00987692">
      <w:pPr>
        <w:spacing w:after="0" w:line="276" w:lineRule="auto"/>
        <w:jc w:val="both"/>
        <w:rPr>
          <w:rFonts w:ascii="Verdana" w:eastAsia="Calibri" w:hAnsi="Verdana" w:cs="Arial"/>
          <w:lang w:val="es-ES"/>
        </w:rPr>
      </w:pPr>
      <w:r w:rsidRPr="00FC49A2">
        <w:rPr>
          <w:rFonts w:ascii="Verdana" w:eastAsia="Calibri" w:hAnsi="Verdana" w:cs="Arial"/>
          <w:lang w:val="es-ES"/>
        </w:rPr>
        <w:lastRenderedPageBreak/>
        <w:t xml:space="preserve">Las respuestas anteriores se sustentan en las siguientes consideraciones: </w:t>
      </w:r>
    </w:p>
    <w:p w14:paraId="6CF1EDF5" w14:textId="77777777" w:rsidR="00987692" w:rsidRPr="00FC49A2" w:rsidRDefault="00987692" w:rsidP="00987692">
      <w:pPr>
        <w:spacing w:after="0" w:line="276" w:lineRule="auto"/>
        <w:jc w:val="both"/>
        <w:rPr>
          <w:rFonts w:ascii="Verdana" w:eastAsia="Calibri" w:hAnsi="Verdana" w:cs="Arial"/>
          <w:lang w:val="es-ES"/>
        </w:rPr>
      </w:pPr>
    </w:p>
    <w:p w14:paraId="1842C56B" w14:textId="77777777" w:rsidR="00987692" w:rsidRPr="00FC49A2" w:rsidRDefault="00987692" w:rsidP="00987692">
      <w:pPr>
        <w:numPr>
          <w:ilvl w:val="0"/>
          <w:numId w:val="5"/>
        </w:numPr>
        <w:spacing w:after="0" w:line="276" w:lineRule="auto"/>
        <w:contextualSpacing/>
        <w:jc w:val="both"/>
        <w:rPr>
          <w:rFonts w:ascii="Verdana" w:eastAsia="Calibri" w:hAnsi="Verdana" w:cs="Arial"/>
          <w:lang w:val="es-ES"/>
        </w:rPr>
      </w:pPr>
      <w:r w:rsidRPr="00FC49A2">
        <w:rPr>
          <w:rFonts w:ascii="Verdana" w:eastAsia="Calibri" w:hAnsi="Verdana" w:cs="Arial"/>
          <w:lang w:val="es-ES"/>
        </w:rPr>
        <w:t>El artículo 2.2.1.2.4.2.2. del Decreto 1082 de 2015 establece los requisitos que se deben atender en las “convocatorias limitadas a Mipymes”. El primer elemento delimitador del ámbito de aplicación de esta norma deriva del primer inciso en donde se estable que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 Esta redacción obedece a un cambio introducido por el Decreto 1860 de 2021, el cual solo permitía la limitación a Mipymes nacionales en los procedimientos de licitación pública, selección abreviada y concurso de méritos.</w:t>
      </w:r>
    </w:p>
    <w:p w14:paraId="549C659F" w14:textId="77777777" w:rsidR="00987692" w:rsidRPr="00FC49A2" w:rsidRDefault="00987692" w:rsidP="00987692">
      <w:pPr>
        <w:spacing w:after="0" w:line="276" w:lineRule="auto"/>
        <w:ind w:left="720"/>
        <w:contextualSpacing/>
        <w:jc w:val="both"/>
        <w:rPr>
          <w:rFonts w:ascii="Verdana" w:eastAsia="Calibri" w:hAnsi="Verdana" w:cs="Arial"/>
          <w:lang w:val="es-ES"/>
        </w:rPr>
      </w:pPr>
    </w:p>
    <w:p w14:paraId="0EF3771B" w14:textId="77777777" w:rsidR="00987692" w:rsidRPr="00FC49A2" w:rsidRDefault="00987692" w:rsidP="00987692">
      <w:pPr>
        <w:numPr>
          <w:ilvl w:val="0"/>
          <w:numId w:val="3"/>
        </w:numPr>
        <w:spacing w:after="0" w:line="276" w:lineRule="auto"/>
        <w:contextualSpacing/>
        <w:jc w:val="both"/>
        <w:rPr>
          <w:rFonts w:ascii="Verdana" w:eastAsia="Calibri" w:hAnsi="Verdana" w:cs="Arial"/>
          <w:lang w:val="es-ES"/>
        </w:rPr>
      </w:pPr>
      <w:bookmarkStart w:id="5" w:name="_Hlk173311098"/>
      <w:r w:rsidRPr="00FC49A2">
        <w:rPr>
          <w:rFonts w:ascii="Verdana" w:eastAsia="Calibri" w:hAnsi="Verdana" w:cs="Arial"/>
          <w:lang w:val="es-ES"/>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 –, establecida diariamente por la Superintendencia Financiera de Colombia, según lo que establece el artículo 40 de la Resolución Externa No. 1 de 2018 y la Circular Reglamentaria Externa- DODM-146, ambas expedidas por el Banco de la República.</w:t>
      </w:r>
    </w:p>
    <w:p w14:paraId="2D2D0154" w14:textId="77777777" w:rsidR="00987692" w:rsidRPr="00FC49A2" w:rsidRDefault="00987692" w:rsidP="00987692">
      <w:pPr>
        <w:spacing w:after="0" w:line="276" w:lineRule="auto"/>
        <w:ind w:left="720"/>
        <w:contextualSpacing/>
        <w:jc w:val="both"/>
        <w:rPr>
          <w:rFonts w:ascii="Verdana" w:eastAsia="Calibri" w:hAnsi="Verdana" w:cs="Arial"/>
          <w:lang w:val="es-ES"/>
        </w:rPr>
      </w:pPr>
    </w:p>
    <w:p w14:paraId="3298C809" w14:textId="77777777" w:rsidR="00987692" w:rsidRPr="00FC49A2" w:rsidRDefault="00987692" w:rsidP="00987692">
      <w:pPr>
        <w:numPr>
          <w:ilvl w:val="0"/>
          <w:numId w:val="3"/>
        </w:numPr>
        <w:spacing w:after="0" w:line="276" w:lineRule="auto"/>
        <w:contextualSpacing/>
        <w:jc w:val="both"/>
        <w:rPr>
          <w:rFonts w:ascii="Verdana" w:eastAsia="Calibri" w:hAnsi="Verdana" w:cs="Arial"/>
          <w:lang w:val="es-ES"/>
        </w:rPr>
      </w:pPr>
      <w:r w:rsidRPr="00FC49A2">
        <w:rPr>
          <w:rFonts w:ascii="Verdana" w:eastAsia="Calibri" w:hAnsi="Verdana" w:cs="Arial"/>
          <w:lang w:val="es-ES"/>
        </w:rPr>
        <w:t>El numeral segundo establece dos exigencias: por un lado, que al menos dos (2)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las solicitudes solo podrán realizarla las “[…] Mipyme, cuyo objeto social les permita ejecutar el contrato relacionado con el proceso contractual”.</w:t>
      </w:r>
    </w:p>
    <w:bookmarkEnd w:id="5"/>
    <w:p w14:paraId="2A3ED6EA" w14:textId="77777777" w:rsidR="00987692" w:rsidRPr="00FC49A2" w:rsidRDefault="00987692" w:rsidP="00987692">
      <w:pPr>
        <w:spacing w:after="0" w:line="276" w:lineRule="auto"/>
        <w:ind w:left="720"/>
        <w:contextualSpacing/>
        <w:jc w:val="both"/>
        <w:rPr>
          <w:rFonts w:ascii="Verdana" w:eastAsia="Calibri" w:hAnsi="Verdana" w:cs="Arial"/>
          <w:lang w:val="es-ES"/>
        </w:rPr>
      </w:pPr>
    </w:p>
    <w:p w14:paraId="47C79A16" w14:textId="77777777" w:rsidR="00987692" w:rsidRPr="00FC49A2" w:rsidRDefault="00987692" w:rsidP="00987692">
      <w:pPr>
        <w:numPr>
          <w:ilvl w:val="0"/>
          <w:numId w:val="3"/>
        </w:numPr>
        <w:spacing w:before="120" w:line="276" w:lineRule="auto"/>
        <w:contextualSpacing/>
        <w:jc w:val="both"/>
        <w:rPr>
          <w:rFonts w:ascii="Verdana" w:eastAsia="Calibri" w:hAnsi="Verdana" w:cs="Arial"/>
        </w:rPr>
      </w:pPr>
      <w:bookmarkStart w:id="6" w:name="_Hlk173311305"/>
      <w:r w:rsidRPr="00FC49A2">
        <w:rPr>
          <w:rFonts w:ascii="Verdana" w:eastAsia="Calibri" w:hAnsi="Verdana" w:cs="Arial"/>
        </w:rPr>
        <w:lastRenderedPageBreak/>
        <w:t xml:space="preserve">Cumplidos los dos requisitos del artículo 2.2.1.2.4.2.2. </w:t>
      </w:r>
      <w:r w:rsidRPr="00FC49A2">
        <w:rPr>
          <w:rFonts w:ascii="Verdana" w:eastAsia="Calibri" w:hAnsi="Verdana" w:cs="Arial"/>
          <w:i/>
          <w:iCs/>
        </w:rPr>
        <w:t>ibidem</w:t>
      </w:r>
      <w:r w:rsidRPr="00FC49A2">
        <w:rPr>
          <w:rFonts w:ascii="Verdana" w:eastAsia="Calibri" w:hAnsi="Verdana" w:cs="Arial"/>
        </w:rPr>
        <w:t>, la entidad puede ─no tiene que─ decidir si limita la convocatoria a las Mipymes nacionales domiciliadas en el municipio o departamento en el que se ejecutará el contrato</w:t>
      </w:r>
      <w:r w:rsidRPr="00FC49A2">
        <w:rPr>
          <w:rFonts w:ascii="Verdana" w:eastAsia="Aptos" w:hAnsi="Verdana" w:cs="Times New Roman"/>
          <w:vertAlign w:val="superscript"/>
        </w:rPr>
        <w:footnoteReference w:id="2"/>
      </w:r>
      <w:r w:rsidRPr="00FC49A2">
        <w:rPr>
          <w:rFonts w:ascii="Verdana" w:eastAsia="Calibri" w:hAnsi="Verdana" w:cs="Arial"/>
        </w:rPr>
        <w:t>. Esto de acuerdo con lo establecido en artículo 2.2.1.2.4.2.3. del Decreto 1082 de 2015, norma que se refiere a la facultad de la administración con el verbo infinitivo “poder”, no “deber”. En cualquier caso, Colombia Compra Eficiente ha sostenido que es discrecional la decisión de limitar territorialmente una convocatoria de Mipymes,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artículo 2.2.1.2.4.2.3. del Decreto 1082 de 2015, las Mipymes beneficiadas deben tener su domicilio principal en el municipio o departamento donde se ejecutará el contrato para poder participar en una convocatoria limitada territorialmente</w:t>
      </w:r>
      <w:r w:rsidRPr="00FC49A2">
        <w:rPr>
          <w:rFonts w:ascii="Verdana" w:eastAsia="Aptos" w:hAnsi="Verdana" w:cs="Times New Roman"/>
          <w:vertAlign w:val="superscript"/>
        </w:rPr>
        <w:footnoteReference w:id="3"/>
      </w:r>
      <w:r w:rsidRPr="00FC49A2">
        <w:rPr>
          <w:rFonts w:ascii="Verdana" w:eastAsia="Calibri" w:hAnsi="Verdana" w:cs="Arial"/>
        </w:rPr>
        <w:t>.</w:t>
      </w:r>
    </w:p>
    <w:bookmarkEnd w:id="6"/>
    <w:p w14:paraId="4F6F17FB" w14:textId="77777777" w:rsidR="00987692" w:rsidRPr="00FC49A2" w:rsidRDefault="00987692" w:rsidP="00987692">
      <w:pPr>
        <w:spacing w:before="120" w:line="276" w:lineRule="auto"/>
        <w:ind w:left="720"/>
        <w:contextualSpacing/>
        <w:jc w:val="both"/>
        <w:rPr>
          <w:rFonts w:ascii="Verdana" w:eastAsia="Calibri" w:hAnsi="Verdana" w:cs="Arial"/>
        </w:rPr>
      </w:pPr>
    </w:p>
    <w:p w14:paraId="73F7D7CA" w14:textId="77777777" w:rsidR="00987692" w:rsidRPr="00FC49A2" w:rsidRDefault="00987692" w:rsidP="00987692">
      <w:pPr>
        <w:numPr>
          <w:ilvl w:val="0"/>
          <w:numId w:val="3"/>
        </w:numPr>
        <w:spacing w:before="120" w:line="276" w:lineRule="auto"/>
        <w:contextualSpacing/>
        <w:jc w:val="both"/>
        <w:rPr>
          <w:rFonts w:ascii="Verdana" w:eastAsia="Calibri" w:hAnsi="Verdana" w:cs="Arial"/>
        </w:rPr>
      </w:pPr>
      <w:r w:rsidRPr="00FC49A2">
        <w:rPr>
          <w:rFonts w:ascii="Verdana" w:eastAsia="Calibri" w:hAnsi="Verdana" w:cs="Arial"/>
        </w:rPr>
        <w:t>En ese sentido, los artículos 2.2.1.2.4.2.2 y 2.2.1.2.4.2.3  deben ser interpretados de manera armónica, comoquiera que para proceder a hacer una limitación territorial es indispensable que se cumplan, no solo el presupuestos establecidos en el artículo 2.2.1.2.4.2.3.–domicilio en el municipio o departamento de ejecución del contrato–, sino también los establecidos en el artículo 2.2.1.2.4.2.2 –valor del proceso de contratación en el rango indicado y solicitudes de al menos dos Mipymes presentadas oportunamente–. En ese sentido, para que proceda la limitación territorial es necesario que se presenten al menos dos solicitudes de Mipymes domiciliadas en el departamento o municipio en donde se va a ejecutar el contrato.  Este entendimiento de la norma, sin embargo, da lugar a dos interpretaciones sobre las que se deben hacer unas precisiones.</w:t>
      </w:r>
    </w:p>
    <w:p w14:paraId="061E57E6" w14:textId="77777777" w:rsidR="00987692" w:rsidRPr="00FC49A2" w:rsidRDefault="00987692" w:rsidP="00987692">
      <w:pPr>
        <w:spacing w:after="0" w:line="276" w:lineRule="auto"/>
        <w:ind w:left="720"/>
        <w:contextualSpacing/>
        <w:jc w:val="both"/>
        <w:rPr>
          <w:rFonts w:ascii="Verdana" w:eastAsia="Calibri" w:hAnsi="Verdana" w:cs="Arial"/>
          <w:lang w:val="es-ES"/>
        </w:rPr>
      </w:pPr>
    </w:p>
    <w:p w14:paraId="551EBB3D" w14:textId="77777777" w:rsidR="00987692" w:rsidRPr="00FC49A2" w:rsidRDefault="00987692" w:rsidP="00987692">
      <w:pPr>
        <w:numPr>
          <w:ilvl w:val="0"/>
          <w:numId w:val="3"/>
        </w:numPr>
        <w:spacing w:after="0" w:line="276" w:lineRule="auto"/>
        <w:contextualSpacing/>
        <w:jc w:val="both"/>
        <w:rPr>
          <w:rFonts w:ascii="Verdana" w:eastAsia="Calibri" w:hAnsi="Verdana" w:cs="Arial"/>
          <w:lang w:val="es-ES"/>
        </w:rPr>
      </w:pPr>
      <w:r w:rsidRPr="00FC49A2">
        <w:rPr>
          <w:rFonts w:ascii="Verdana" w:eastAsia="Calibri" w:hAnsi="Verdana" w:cs="Arial"/>
          <w:lang w:val="es-ES"/>
        </w:rPr>
        <w:t xml:space="preserve">Por un lado, supone que la decisión de limitar territorialmente la convocatoria opera de pleno derecho, cuando lo solicitan dos Mipymes nacionales domiciliadas en el municipio o en el departamento en el que se </w:t>
      </w:r>
      <w:r w:rsidRPr="00FC49A2">
        <w:rPr>
          <w:rFonts w:ascii="Verdana" w:eastAsia="Calibri" w:hAnsi="Verdana" w:cs="Arial"/>
          <w:lang w:val="es-ES"/>
        </w:rPr>
        <w:lastRenderedPageBreak/>
        <w:t xml:space="preserve">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FC49A2">
        <w:rPr>
          <w:rFonts w:ascii="Verdana" w:eastAsia="Calibri" w:hAnsi="Verdana" w:cs="Arial"/>
          <w:i/>
          <w:iCs/>
          <w:lang w:val="es-ES"/>
        </w:rPr>
        <w:t>ibidem</w:t>
      </w:r>
      <w:r w:rsidRPr="00FC49A2">
        <w:rPr>
          <w:rFonts w:ascii="Verdana" w:eastAsia="Calibri" w:hAnsi="Verdana" w:cs="Arial"/>
          <w:lang w:val="es-ES"/>
        </w:rPr>
        <w:t>, pues esta, como ya se dijo, es facultativa para la entidad. Las únicas exigencias son que la convocatoria esté limitada a las Mipyme nacionales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w:t>
      </w:r>
    </w:p>
    <w:p w14:paraId="17020534" w14:textId="77777777" w:rsidR="00987692" w:rsidRPr="00FC49A2" w:rsidRDefault="00987692" w:rsidP="00987692">
      <w:pPr>
        <w:spacing w:after="0" w:line="276" w:lineRule="auto"/>
        <w:ind w:left="720"/>
        <w:contextualSpacing/>
        <w:jc w:val="both"/>
        <w:rPr>
          <w:rFonts w:ascii="Verdana" w:eastAsia="Calibri" w:hAnsi="Verdana" w:cs="Arial"/>
          <w:lang w:val="es-ES"/>
        </w:rPr>
      </w:pPr>
    </w:p>
    <w:p w14:paraId="438E60E6" w14:textId="77777777" w:rsidR="00987692" w:rsidRPr="00FC49A2" w:rsidRDefault="00987692" w:rsidP="00987692">
      <w:pPr>
        <w:numPr>
          <w:ilvl w:val="0"/>
          <w:numId w:val="1"/>
        </w:numPr>
        <w:spacing w:after="0" w:line="276" w:lineRule="auto"/>
        <w:contextualSpacing/>
        <w:jc w:val="both"/>
        <w:rPr>
          <w:rFonts w:ascii="Verdana" w:eastAsia="Calibri" w:hAnsi="Verdana" w:cs="Times New Roman"/>
          <w:lang w:val="es-ES"/>
        </w:rPr>
      </w:pPr>
      <w:r w:rsidRPr="00FC49A2">
        <w:rPr>
          <w:rFonts w:ascii="Verdana" w:eastAsia="Calibri" w:hAnsi="Verdana" w:cs="Arial"/>
          <w:lang w:val="es-ES"/>
        </w:rPr>
        <w:t>De esta forma,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a tener en cuenta, una vez se ha decidido justificadamente limitar territorialmente la convocatoria previamente limitada a Mipymes, es el lugar donde se va a ejecutar el contrato.</w:t>
      </w:r>
    </w:p>
    <w:p w14:paraId="48283C8F" w14:textId="77777777" w:rsidR="00987692" w:rsidRPr="00FC49A2" w:rsidRDefault="00987692" w:rsidP="00987692">
      <w:pPr>
        <w:spacing w:after="0" w:line="276" w:lineRule="auto"/>
        <w:ind w:left="720"/>
        <w:contextualSpacing/>
        <w:jc w:val="both"/>
        <w:rPr>
          <w:rFonts w:ascii="Verdana" w:eastAsia="Calibri" w:hAnsi="Verdana" w:cs="Times New Roman"/>
          <w:lang w:val="es-ES"/>
        </w:rPr>
      </w:pPr>
    </w:p>
    <w:p w14:paraId="4AA80E18" w14:textId="77777777" w:rsidR="00987692" w:rsidRPr="00FC49A2" w:rsidRDefault="00987692" w:rsidP="00987692">
      <w:pPr>
        <w:widowControl w:val="0"/>
        <w:numPr>
          <w:ilvl w:val="0"/>
          <w:numId w:val="4"/>
        </w:numPr>
        <w:autoSpaceDE w:val="0"/>
        <w:autoSpaceDN w:val="0"/>
        <w:spacing w:after="0" w:line="276" w:lineRule="auto"/>
        <w:contextualSpacing/>
        <w:jc w:val="both"/>
        <w:rPr>
          <w:rFonts w:ascii="Verdana" w:eastAsia="Aptos" w:hAnsi="Verdana" w:cs="Arial"/>
        </w:rPr>
      </w:pPr>
      <w:r w:rsidRPr="00FC49A2">
        <w:rPr>
          <w:rFonts w:ascii="Verdana" w:eastAsia="Calibri" w:hAnsi="Verdana" w:cs="Times New Roman"/>
          <w:lang w:val="es-ES"/>
        </w:rPr>
        <w:t>Por otro lado, supone que la decisión de la entidad únicamente puede darse si la solicitud provino de dos o más Mipymes domiciliadas en el municipio o departamento en donde se va a ejecutar el contrato. Sin embargo, una vez se verifican los requisitos de los numerales 1 y 2 del artículo 2.2.1.2.4.2.2. del Decreto 1082 de 2015, modificado por el Decreto 1860 de 2021, la entidad queda habilitada para decidir si limita o no la convocatoria “a Mipyme nacionales domiciliadas en los departamentos o municipios en donde se va a ejecutar el contrato”, sin que sea relevante el “domicilio” de las Mipymes nacionales que solicitaron limitar la convocatoria.</w:t>
      </w:r>
    </w:p>
    <w:p w14:paraId="2C3187E3" w14:textId="77777777" w:rsidR="00987692" w:rsidRPr="00FC49A2" w:rsidRDefault="00987692" w:rsidP="00987692">
      <w:pPr>
        <w:widowControl w:val="0"/>
        <w:autoSpaceDE w:val="0"/>
        <w:autoSpaceDN w:val="0"/>
        <w:spacing w:after="0" w:line="276" w:lineRule="auto"/>
        <w:ind w:left="720"/>
        <w:contextualSpacing/>
        <w:jc w:val="both"/>
        <w:rPr>
          <w:rFonts w:ascii="Verdana" w:eastAsia="Aptos" w:hAnsi="Verdana" w:cs="Arial"/>
        </w:rPr>
      </w:pPr>
    </w:p>
    <w:p w14:paraId="0336C8CA" w14:textId="77777777" w:rsidR="00987692" w:rsidRPr="00FC49A2" w:rsidRDefault="00987692" w:rsidP="00987692">
      <w:pPr>
        <w:widowControl w:val="0"/>
        <w:numPr>
          <w:ilvl w:val="0"/>
          <w:numId w:val="4"/>
        </w:numPr>
        <w:autoSpaceDE w:val="0"/>
        <w:autoSpaceDN w:val="0"/>
        <w:spacing w:after="0" w:line="276" w:lineRule="auto"/>
        <w:contextualSpacing/>
        <w:jc w:val="both"/>
        <w:rPr>
          <w:rFonts w:ascii="Verdana" w:eastAsia="Aptos" w:hAnsi="Verdana" w:cs="Arial"/>
        </w:rPr>
      </w:pPr>
      <w:r w:rsidRPr="00FC49A2">
        <w:rPr>
          <w:rFonts w:ascii="Verdana" w:eastAsia="Aptos" w:hAnsi="Verdana" w:cs="Arial"/>
        </w:rPr>
        <w:t xml:space="preserve">Sin perjuicio de lo anterior, debe señalarse que la decisión de limitar “a Mipyme nacionales domiciliadas en los departamentos o municipios en </w:t>
      </w:r>
      <w:r w:rsidRPr="00FC49A2">
        <w:rPr>
          <w:rFonts w:ascii="Verdana" w:eastAsia="Aptos" w:hAnsi="Verdana" w:cs="Arial"/>
        </w:rPr>
        <w:lastRenderedPageBreak/>
        <w:t xml:space="preserve">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r w:rsidRPr="00FC49A2">
        <w:rPr>
          <w:rFonts w:ascii="Verdana" w:eastAsia="Aptos" w:hAnsi="Verdana" w:cs="Arial"/>
          <w:i/>
          <w:iCs/>
        </w:rPr>
        <w:t>motu proprio</w:t>
      </w:r>
      <w:r w:rsidRPr="00FC49A2">
        <w:rPr>
          <w:rFonts w:ascii="Verdana" w:eastAsia="Aptos" w:hAnsi="Verdana" w:cs="Arial"/>
        </w:rPr>
        <w:t xml:space="preserve"> 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14:paraId="67C19F22" w14:textId="77777777" w:rsidR="00987692" w:rsidRPr="00FC49A2" w:rsidRDefault="00987692" w:rsidP="00987692">
      <w:pPr>
        <w:widowControl w:val="0"/>
        <w:autoSpaceDE w:val="0"/>
        <w:autoSpaceDN w:val="0"/>
        <w:spacing w:after="0" w:line="276" w:lineRule="auto"/>
        <w:ind w:left="720"/>
        <w:contextualSpacing/>
        <w:jc w:val="both"/>
        <w:rPr>
          <w:rFonts w:ascii="Verdana" w:eastAsia="Aptos" w:hAnsi="Verdana" w:cs="Arial"/>
        </w:rPr>
      </w:pPr>
    </w:p>
    <w:p w14:paraId="0A02CC93" w14:textId="77777777" w:rsidR="00987692" w:rsidRPr="00FC49A2" w:rsidRDefault="00987692" w:rsidP="00987692">
      <w:pPr>
        <w:numPr>
          <w:ilvl w:val="0"/>
          <w:numId w:val="1"/>
        </w:numPr>
        <w:spacing w:after="0" w:line="276" w:lineRule="auto"/>
        <w:contextualSpacing/>
        <w:jc w:val="both"/>
        <w:rPr>
          <w:rFonts w:ascii="Verdana" w:eastAsia="Calibri" w:hAnsi="Verdana" w:cs="Arial"/>
        </w:rPr>
      </w:pPr>
      <w:r w:rsidRPr="00FC49A2">
        <w:rPr>
          <w:rFonts w:ascii="Verdana" w:eastAsia="Calibri" w:hAnsi="Verdana" w:cs="Times New Roman"/>
          <w:lang w:val="es-ES"/>
        </w:rPr>
        <w:t>Finalmente, debe destacarse que la Agencia Nacional de Contratación Pública – Colombia Compra Eficiente, considera que lo recomendable es que las entidades establezcan 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Mipymes, como por ejemplo, en relación con cuál o cuáles municipios o departamentos harían la limitación territorial de que trata el artículo 2.2.1.2.4.2.3 del Decreto 1082 de 2015.</w:t>
      </w:r>
    </w:p>
    <w:p w14:paraId="286ED921" w14:textId="77777777" w:rsidR="00987692" w:rsidRPr="00FC49A2" w:rsidRDefault="00987692" w:rsidP="00987692">
      <w:pPr>
        <w:widowControl w:val="0"/>
        <w:autoSpaceDE w:val="0"/>
        <w:autoSpaceDN w:val="0"/>
        <w:spacing w:after="0" w:line="276" w:lineRule="auto"/>
        <w:contextualSpacing/>
        <w:jc w:val="both"/>
        <w:rPr>
          <w:rFonts w:ascii="Verdana" w:eastAsia="Aptos" w:hAnsi="Verdana" w:cs="Arial"/>
        </w:rPr>
      </w:pPr>
    </w:p>
    <w:p w14:paraId="3F8C8388" w14:textId="77777777" w:rsidR="00987692" w:rsidRPr="00FC49A2" w:rsidRDefault="00987692" w:rsidP="00987692">
      <w:pPr>
        <w:widowControl w:val="0"/>
        <w:autoSpaceDE w:val="0"/>
        <w:autoSpaceDN w:val="0"/>
        <w:spacing w:before="1" w:after="0" w:line="240" w:lineRule="auto"/>
        <w:outlineLvl w:val="0"/>
        <w:rPr>
          <w:rFonts w:ascii="Arial" w:eastAsia="Arial" w:hAnsi="Arial" w:cs="Arial"/>
          <w:b/>
          <w:bCs/>
          <w:lang w:val="es-ES"/>
        </w:rPr>
      </w:pPr>
      <w:r w:rsidRPr="00FC49A2">
        <w:rPr>
          <w:rFonts w:ascii="Arial" w:eastAsia="Arial" w:hAnsi="Arial" w:cs="Arial"/>
          <w:b/>
          <w:bCs/>
          <w:lang w:val="es-ES"/>
        </w:rPr>
        <w:t>4.</w:t>
      </w:r>
      <w:r w:rsidRPr="00FC49A2">
        <w:rPr>
          <w:rFonts w:ascii="Verdana" w:eastAsia="Arial" w:hAnsi="Verdana" w:cs="Arial"/>
          <w:b/>
          <w:bCs/>
          <w:lang w:val="es-ES"/>
        </w:rPr>
        <w:t>Referencias normativas, jurisprudenciales y otras fuentes:</w:t>
      </w:r>
    </w:p>
    <w:p w14:paraId="0C9EC942" w14:textId="77777777" w:rsidR="00987692" w:rsidRPr="00FC49A2" w:rsidRDefault="00987692" w:rsidP="00987692">
      <w:pPr>
        <w:widowControl w:val="0"/>
        <w:autoSpaceDE w:val="0"/>
        <w:autoSpaceDN w:val="0"/>
        <w:spacing w:after="0" w:line="276" w:lineRule="auto"/>
        <w:jc w:val="both"/>
        <w:rPr>
          <w:rFonts w:ascii="Verdana" w:eastAsia="Aptos"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87692" w:rsidRPr="00FC49A2" w14:paraId="24AD808F" w14:textId="77777777" w:rsidTr="0057173C">
        <w:trPr>
          <w:trHeight w:val="870"/>
        </w:trPr>
        <w:tc>
          <w:tcPr>
            <w:tcW w:w="8647" w:type="dxa"/>
          </w:tcPr>
          <w:p w14:paraId="429B9C14" w14:textId="77777777" w:rsidR="00987692" w:rsidRPr="00FC49A2" w:rsidRDefault="00987692" w:rsidP="00987692">
            <w:pPr>
              <w:widowControl w:val="0"/>
              <w:numPr>
                <w:ilvl w:val="0"/>
                <w:numId w:val="2"/>
              </w:numPr>
              <w:autoSpaceDE w:val="0"/>
              <w:autoSpaceDN w:val="0"/>
              <w:spacing w:after="120" w:line="276" w:lineRule="auto"/>
              <w:contextualSpacing/>
              <w:jc w:val="both"/>
              <w:rPr>
                <w:rFonts w:ascii="Verdana" w:eastAsia="Aptos" w:hAnsi="Verdana" w:cs="Arial"/>
              </w:rPr>
            </w:pPr>
            <w:r w:rsidRPr="00FC49A2">
              <w:rPr>
                <w:rFonts w:ascii="Verdana" w:eastAsia="Calibri" w:hAnsi="Verdana" w:cs="Arial"/>
                <w:lang w:val="es-ES"/>
              </w:rPr>
              <w:t xml:space="preserve">Decreto 1082. Artículos 2.2.1.2.4.2.2, 2.2.1.2.4.2.3 y </w:t>
            </w:r>
            <w:r w:rsidRPr="00FC49A2">
              <w:rPr>
                <w:rFonts w:ascii="Verdana" w:eastAsia="Calibri" w:hAnsi="Verdana" w:cs="Times New Roman"/>
                <w:lang w:val="es-ES"/>
              </w:rPr>
              <w:t xml:space="preserve">2.2.1.2.4.2.4 </w:t>
            </w:r>
          </w:p>
          <w:p w14:paraId="66BF8075" w14:textId="77777777" w:rsidR="00987692" w:rsidRPr="00FC49A2" w:rsidRDefault="00987692" w:rsidP="00987692">
            <w:pPr>
              <w:widowControl w:val="0"/>
              <w:numPr>
                <w:ilvl w:val="0"/>
                <w:numId w:val="2"/>
              </w:numPr>
              <w:autoSpaceDE w:val="0"/>
              <w:autoSpaceDN w:val="0"/>
              <w:spacing w:after="120" w:line="276" w:lineRule="auto"/>
              <w:contextualSpacing/>
              <w:jc w:val="both"/>
              <w:rPr>
                <w:rFonts w:ascii="Verdana" w:eastAsia="Aptos" w:hAnsi="Verdana" w:cs="Arial"/>
              </w:rPr>
            </w:pPr>
            <w:r w:rsidRPr="00FC49A2">
              <w:rPr>
                <w:rFonts w:ascii="Verdana" w:eastAsia="Aptos" w:hAnsi="Verdana" w:cs="Arial"/>
              </w:rPr>
              <w:t>Ley 2069 de 2020. Artículo 34</w:t>
            </w:r>
          </w:p>
          <w:p w14:paraId="5BAFF67F" w14:textId="77777777" w:rsidR="00987692" w:rsidRPr="00FC49A2" w:rsidRDefault="00987692" w:rsidP="00987692">
            <w:pPr>
              <w:widowControl w:val="0"/>
              <w:numPr>
                <w:ilvl w:val="0"/>
                <w:numId w:val="2"/>
              </w:numPr>
              <w:autoSpaceDE w:val="0"/>
              <w:autoSpaceDN w:val="0"/>
              <w:spacing w:line="276" w:lineRule="auto"/>
              <w:contextualSpacing/>
              <w:jc w:val="both"/>
              <w:rPr>
                <w:rFonts w:ascii="Verdana" w:eastAsia="Aptos" w:hAnsi="Verdana" w:cs="Arial"/>
              </w:rPr>
            </w:pPr>
            <w:r w:rsidRPr="00FC49A2">
              <w:rPr>
                <w:rFonts w:ascii="Verdana" w:eastAsia="Calibri" w:hAnsi="Verdana" w:cs="Arial"/>
                <w:lang w:val="es-ES"/>
              </w:rPr>
              <w:t>Decreto 1860 de 2021. Artículo 5</w:t>
            </w:r>
          </w:p>
          <w:p w14:paraId="089058DB" w14:textId="77777777" w:rsidR="00987692" w:rsidRPr="00FC49A2" w:rsidRDefault="00987692" w:rsidP="00987692">
            <w:pPr>
              <w:widowControl w:val="0"/>
              <w:numPr>
                <w:ilvl w:val="0"/>
                <w:numId w:val="2"/>
              </w:numPr>
              <w:autoSpaceDE w:val="0"/>
              <w:autoSpaceDN w:val="0"/>
              <w:spacing w:line="276" w:lineRule="auto"/>
              <w:contextualSpacing/>
              <w:jc w:val="both"/>
              <w:rPr>
                <w:rFonts w:ascii="Verdana" w:eastAsia="Aptos" w:hAnsi="Verdana" w:cs="Arial"/>
              </w:rPr>
            </w:pPr>
            <w:r w:rsidRPr="00FC49A2">
              <w:rPr>
                <w:rFonts w:ascii="Verdana" w:eastAsia="Aptos" w:hAnsi="Verdana" w:cs="Arial"/>
              </w:rPr>
              <w:t>Ley 1450 de 2011: Artículo 32, Parágrafo 1</w:t>
            </w:r>
          </w:p>
        </w:tc>
      </w:tr>
    </w:tbl>
    <w:p w14:paraId="2F29ADDD" w14:textId="77777777" w:rsidR="00987692" w:rsidRPr="00FC49A2" w:rsidRDefault="00987692" w:rsidP="00987692">
      <w:pPr>
        <w:widowControl w:val="0"/>
        <w:autoSpaceDE w:val="0"/>
        <w:autoSpaceDN w:val="0"/>
        <w:spacing w:after="0" w:line="276" w:lineRule="auto"/>
        <w:jc w:val="both"/>
        <w:rPr>
          <w:rFonts w:ascii="Verdana" w:eastAsia="Aptos" w:hAnsi="Verdana" w:cs="Arial"/>
        </w:rPr>
      </w:pPr>
    </w:p>
    <w:p w14:paraId="6CFFCECD" w14:textId="77777777" w:rsidR="00987692" w:rsidRPr="00FC49A2" w:rsidRDefault="00987692" w:rsidP="00987692">
      <w:pPr>
        <w:widowControl w:val="0"/>
        <w:autoSpaceDE w:val="0"/>
        <w:autoSpaceDN w:val="0"/>
        <w:spacing w:before="1" w:after="0" w:line="240" w:lineRule="auto"/>
        <w:outlineLvl w:val="0"/>
        <w:rPr>
          <w:rFonts w:ascii="Verdana" w:eastAsia="Arial" w:hAnsi="Verdana" w:cs="Arial"/>
          <w:b/>
          <w:bCs/>
          <w:lang w:val="es-ES"/>
        </w:rPr>
      </w:pPr>
      <w:r w:rsidRPr="00FC49A2">
        <w:rPr>
          <w:rFonts w:ascii="Verdana" w:eastAsia="Arial" w:hAnsi="Verdana" w:cs="Arial"/>
          <w:b/>
          <w:bCs/>
          <w:lang w:val="es-ES"/>
        </w:rPr>
        <w:t>5. Doctrina de la Agencia Nacional de Contratación Pública:</w:t>
      </w:r>
    </w:p>
    <w:p w14:paraId="2CAD6E4F" w14:textId="77777777" w:rsidR="00987692" w:rsidRPr="00FC49A2" w:rsidRDefault="00987692" w:rsidP="00987692">
      <w:pPr>
        <w:widowControl w:val="0"/>
        <w:autoSpaceDE w:val="0"/>
        <w:autoSpaceDN w:val="0"/>
        <w:spacing w:after="0" w:line="276" w:lineRule="auto"/>
        <w:jc w:val="both"/>
        <w:rPr>
          <w:rFonts w:ascii="Verdana" w:eastAsia="Aptos" w:hAnsi="Verdana" w:cs="Arial"/>
        </w:rPr>
      </w:pPr>
    </w:p>
    <w:p w14:paraId="146D8C77" w14:textId="77777777" w:rsidR="00987692" w:rsidRPr="00FC49A2" w:rsidRDefault="00987692" w:rsidP="00987692">
      <w:pPr>
        <w:widowControl w:val="0"/>
        <w:autoSpaceDE w:val="0"/>
        <w:autoSpaceDN w:val="0"/>
        <w:spacing w:after="0" w:line="276" w:lineRule="auto"/>
        <w:jc w:val="both"/>
        <w:rPr>
          <w:rFonts w:ascii="Verdana" w:eastAsia="Aptos" w:hAnsi="Verdana" w:cs="Arial"/>
          <w:shd w:val="clear" w:color="auto" w:fill="FFFFFF"/>
          <w:lang w:val="es-ES"/>
        </w:rPr>
      </w:pPr>
      <w:r w:rsidRPr="00FC49A2">
        <w:rPr>
          <w:rFonts w:ascii="Verdana" w:eastAsia="Aptos" w:hAnsi="Verdana" w:cs="Arial"/>
          <w:shd w:val="clear" w:color="auto" w:fill="FFFFFF"/>
          <w:lang w:val="es-ES"/>
        </w:rPr>
        <w:t xml:space="preserve">Sobre las convocatorias limitadas a Mipymes, según la modificación realizada por el Decreto 1860 de 2021 al Decreto 1082 de 2015, esta Subdirección se ha referido en los Conceptos C-043 del 09 de febrero de 2021, C-005 del 16 de febrero de 2021, C-081 del 23 de febrero de 2021, C-087 del 23 de febrero de 2021, C- 025 del 25 de febrero de 2021, C-037 del 26 de febrero de 2021, C-035 del 02 de marzo de 2021, C-040 del 02 de marzo de 2021, C-044 del 03 de marzo de 2021, C-102 del 25 de marzo de 2021, C-125 del 05 de abril de 2021, </w:t>
      </w:r>
      <w:r w:rsidRPr="00FC49A2">
        <w:rPr>
          <w:rFonts w:ascii="Verdana" w:eastAsia="Aptos" w:hAnsi="Verdana" w:cs="Arial"/>
          <w:shd w:val="clear" w:color="auto" w:fill="FFFFFF"/>
          <w:lang w:val="es-ES"/>
        </w:rPr>
        <w:lastRenderedPageBreak/>
        <w:t>C-127 del 06 de abril de 2021, C-130 del 07 de abril de 2021, C- 144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 y C-455 del 31 de agosto de 2021, entre otros. La Agencia también ha analizado las limitaciones territoriales de convocatorias a Mipymes, en los conceptos concepto C-705 de 7 de diciembre de 2020, C-523 del 11 de agosto de 2020, C-438 de 27 de septiembre de 2021, C- 041 del 2 de marzo de 2022 y C-460 del 18 de julio de 2022, C-523 del 16 de agosto de 2022, C- 539 del 29 de agosto de 2022, C-585 del 19 de septiembre de 2022, C-587 del 21 de septiembre de 2022, C-597 del 9 de septiembre de 2022, C-627 del 12 de septiembre de 2022, C-643 del 10 de octubre de 2022, C-662 del 13 de octubre de 2022, C-699 del 25 de octubre de 2022, C-744 del 08 de noviembre de 2022 y C-758 del 10 de noviembre de 2022, C-089 del 28 de abril de 2023, entre otros. Es</w:t>
      </w:r>
      <w:r w:rsidRPr="00FC49A2">
        <w:rPr>
          <w:rFonts w:ascii="Verdana" w:eastAsia="Aptos" w:hAnsi="Verdana" w:cs="Times New Roman"/>
        </w:rPr>
        <w:t>tos y otros conceptos se encuentran disponibles para consulta en el Sistema de relatoría de la Agencia, al cual se puede acceder a través del siguiente enlace:</w:t>
      </w:r>
      <w:r w:rsidRPr="00FC49A2">
        <w:rPr>
          <w:rFonts w:ascii="Verdana" w:eastAsia="Aptos" w:hAnsi="Verdana" w:cs="Arial"/>
          <w:shd w:val="clear" w:color="auto" w:fill="FFFFFF"/>
          <w:lang w:val="es-ES"/>
        </w:rPr>
        <w:t xml:space="preserve"> </w:t>
      </w:r>
      <w:hyperlink r:id="rId12" w:history="1">
        <w:r w:rsidRPr="00FC49A2">
          <w:rPr>
            <w:rFonts w:ascii="Verdana" w:eastAsia="Aptos" w:hAnsi="Verdana" w:cs="Arial"/>
            <w:color w:val="467886"/>
            <w:u w:val="single"/>
            <w:shd w:val="clear" w:color="auto" w:fill="FFFFFF"/>
            <w:lang w:val="es-ES"/>
          </w:rPr>
          <w:t>https://relatoria.colombiacompra.gov.co/busqueda/conceptos</w:t>
        </w:r>
      </w:hyperlink>
      <w:r w:rsidRPr="00FC49A2">
        <w:rPr>
          <w:rFonts w:ascii="Verdana" w:eastAsia="Aptos" w:hAnsi="Verdana" w:cs="Arial"/>
          <w:color w:val="FF0000"/>
          <w:shd w:val="clear" w:color="auto" w:fill="FFFFFF"/>
          <w:lang w:val="es-ES"/>
        </w:rPr>
        <w:t>.</w:t>
      </w:r>
    </w:p>
    <w:p w14:paraId="49B27ACF" w14:textId="77777777" w:rsidR="00987692" w:rsidRPr="00FC49A2" w:rsidRDefault="00987692" w:rsidP="00987692">
      <w:pPr>
        <w:widowControl w:val="0"/>
        <w:autoSpaceDE w:val="0"/>
        <w:autoSpaceDN w:val="0"/>
        <w:spacing w:after="0" w:line="276" w:lineRule="auto"/>
        <w:jc w:val="both"/>
        <w:rPr>
          <w:rFonts w:ascii="Verdana" w:eastAsia="Aptos" w:hAnsi="Verdana" w:cs="Arial"/>
          <w:shd w:val="clear" w:color="auto" w:fill="FFFFFF"/>
          <w:lang w:val="es-ES"/>
        </w:rPr>
      </w:pPr>
    </w:p>
    <w:p w14:paraId="5F1E3F46" w14:textId="77777777" w:rsidR="00987692" w:rsidRPr="00FC49A2" w:rsidRDefault="00987692" w:rsidP="00987692">
      <w:pPr>
        <w:widowControl w:val="0"/>
        <w:autoSpaceDE w:val="0"/>
        <w:autoSpaceDN w:val="0"/>
        <w:spacing w:after="0" w:line="276" w:lineRule="auto"/>
        <w:jc w:val="both"/>
        <w:rPr>
          <w:rFonts w:ascii="Verdana" w:eastAsia="Aptos" w:hAnsi="Verdana" w:cs="Arial"/>
          <w:shd w:val="clear" w:color="auto" w:fill="FFFFFF"/>
          <w:lang w:val="es-ES"/>
        </w:rPr>
      </w:pPr>
      <w:r w:rsidRPr="00FC49A2">
        <w:rPr>
          <w:rFonts w:ascii="Verdana" w:eastAsia="Aptos" w:hAnsi="Verdana" w:cs="Arial"/>
          <w:shd w:val="clear" w:color="auto" w:fill="FFFFFF"/>
          <w:lang w:val="es-ES"/>
        </w:rPr>
        <w:t xml:space="preserve">También le recomendamos consultar las versiones I y II de 2024 del Boletín de Relatoría de la Subdirección de Gestión Contractual, las cuales puede descargar en la página web de la Agencia: </w:t>
      </w:r>
      <w:r w:rsidRPr="00FC49A2">
        <w:rPr>
          <w:rFonts w:ascii="Verdana" w:eastAsia="Aptos" w:hAnsi="Verdana" w:cs="Times New Roman"/>
          <w:color w:val="467886"/>
          <w:u w:val="single"/>
          <w:lang w:val="es-ES"/>
        </w:rPr>
        <w:t>https://www.colombiacompra.gov.co/sala-de-prensa/boletin-digital</w:t>
      </w:r>
      <w:r w:rsidRPr="00FC49A2">
        <w:rPr>
          <w:rFonts w:ascii="Verdana" w:eastAsia="Aptos" w:hAnsi="Verdana" w:cs="Arial"/>
          <w:shd w:val="clear" w:color="auto" w:fill="FFFFFF"/>
          <w:lang w:val="es-ES"/>
        </w:rPr>
        <w:t xml:space="preserve">. </w:t>
      </w:r>
    </w:p>
    <w:p w14:paraId="266E45BC" w14:textId="77777777" w:rsidR="00987692" w:rsidRPr="00FC49A2" w:rsidRDefault="00987692" w:rsidP="00987692">
      <w:pPr>
        <w:widowControl w:val="0"/>
        <w:autoSpaceDE w:val="0"/>
        <w:autoSpaceDN w:val="0"/>
        <w:spacing w:after="0" w:line="276" w:lineRule="auto"/>
        <w:jc w:val="both"/>
        <w:rPr>
          <w:rFonts w:ascii="Verdana" w:eastAsia="Aptos" w:hAnsi="Verdana" w:cs="Arial"/>
          <w:shd w:val="clear" w:color="auto" w:fill="FFFFFF"/>
          <w:lang w:val="es-ES"/>
        </w:rPr>
      </w:pPr>
    </w:p>
    <w:p w14:paraId="6F7606F3" w14:textId="77777777" w:rsidR="00987692" w:rsidRPr="00FC49A2" w:rsidRDefault="00987692" w:rsidP="00987692">
      <w:pPr>
        <w:spacing w:after="0" w:line="240" w:lineRule="auto"/>
        <w:jc w:val="both"/>
        <w:rPr>
          <w:rFonts w:ascii="Verdana" w:eastAsia="Aptos" w:hAnsi="Verdana" w:cs="Times New Roman"/>
        </w:rPr>
      </w:pPr>
      <w:r w:rsidRPr="00FC49A2">
        <w:rPr>
          <w:rFonts w:ascii="Verdana" w:eastAsia="Aptos" w:hAnsi="Verdana" w:cs="Times New Roman"/>
        </w:rPr>
        <w:t xml:space="preserve">Por último, lo invitamos a seguirnos en las redes sociales en las cuales se difunde información institucional: </w:t>
      </w:r>
    </w:p>
    <w:p w14:paraId="1DF58753" w14:textId="77777777" w:rsidR="00987692" w:rsidRPr="00FC49A2" w:rsidRDefault="00987692" w:rsidP="00987692">
      <w:pPr>
        <w:spacing w:after="0" w:line="240" w:lineRule="auto"/>
        <w:jc w:val="both"/>
        <w:rPr>
          <w:rFonts w:ascii="Verdana" w:eastAsia="Aptos" w:hAnsi="Verdana" w:cs="Times New Roman"/>
        </w:rPr>
      </w:pPr>
    </w:p>
    <w:p w14:paraId="6F55361E" w14:textId="77777777" w:rsidR="00987692" w:rsidRPr="00FC49A2" w:rsidRDefault="00987692" w:rsidP="00987692">
      <w:pPr>
        <w:spacing w:after="0" w:line="240" w:lineRule="auto"/>
        <w:jc w:val="both"/>
        <w:rPr>
          <w:rFonts w:ascii="Verdana" w:eastAsia="Aptos" w:hAnsi="Verdana" w:cs="Times New Roman"/>
        </w:rPr>
      </w:pPr>
      <w:r w:rsidRPr="00FC49A2">
        <w:rPr>
          <w:rFonts w:ascii="Verdana" w:eastAsia="Aptos" w:hAnsi="Verdana" w:cs="Times New Roman"/>
        </w:rPr>
        <w:t xml:space="preserve">Twitter: </w:t>
      </w:r>
      <w:r w:rsidRPr="00FC49A2">
        <w:rPr>
          <w:rFonts w:ascii="Verdana" w:eastAsia="Aptos" w:hAnsi="Verdana" w:cs="Times New Roman"/>
          <w:color w:val="156082"/>
          <w:u w:val="single"/>
        </w:rPr>
        <w:t>@colombiacompra</w:t>
      </w:r>
      <w:r w:rsidRPr="00FC49A2">
        <w:rPr>
          <w:rFonts w:ascii="Verdana" w:eastAsia="Aptos" w:hAnsi="Verdana" w:cs="Times New Roman"/>
          <w:color w:val="156082"/>
        </w:rPr>
        <w:t xml:space="preserve"> </w:t>
      </w:r>
    </w:p>
    <w:p w14:paraId="330A1B3B" w14:textId="77777777" w:rsidR="00987692" w:rsidRPr="00FC49A2" w:rsidRDefault="00987692" w:rsidP="00987692">
      <w:pPr>
        <w:spacing w:after="0" w:line="240" w:lineRule="auto"/>
        <w:jc w:val="both"/>
        <w:rPr>
          <w:rFonts w:ascii="Verdana" w:eastAsia="Aptos" w:hAnsi="Verdana" w:cs="Times New Roman"/>
        </w:rPr>
      </w:pPr>
      <w:r w:rsidRPr="00FC49A2">
        <w:rPr>
          <w:rFonts w:ascii="Verdana" w:eastAsia="Aptos" w:hAnsi="Verdana" w:cs="Times New Roman"/>
        </w:rPr>
        <w:t xml:space="preserve">Facebook: </w:t>
      </w:r>
      <w:r w:rsidRPr="00FC49A2">
        <w:rPr>
          <w:rFonts w:ascii="Verdana" w:eastAsia="Aptos" w:hAnsi="Verdana" w:cs="Times New Roman"/>
          <w:color w:val="156082"/>
          <w:u w:val="single"/>
        </w:rPr>
        <w:t>ColombiaCompraEficiente</w:t>
      </w:r>
    </w:p>
    <w:p w14:paraId="25C36381" w14:textId="77777777" w:rsidR="00987692" w:rsidRPr="00FC49A2" w:rsidRDefault="00987692" w:rsidP="00987692">
      <w:pPr>
        <w:spacing w:after="0" w:line="240" w:lineRule="auto"/>
        <w:jc w:val="both"/>
        <w:rPr>
          <w:rFonts w:ascii="Verdana" w:eastAsia="Aptos" w:hAnsi="Verdana" w:cs="Times New Roman"/>
        </w:rPr>
      </w:pPr>
      <w:r w:rsidRPr="00FC49A2">
        <w:rPr>
          <w:rFonts w:ascii="Verdana" w:eastAsia="Aptos" w:hAnsi="Verdana" w:cs="Times New Roman"/>
        </w:rPr>
        <w:t xml:space="preserve">LinkedIn: </w:t>
      </w:r>
      <w:r w:rsidRPr="00FC49A2">
        <w:rPr>
          <w:rFonts w:ascii="Verdana" w:eastAsia="Aptos" w:hAnsi="Verdana" w:cs="Times New Roman"/>
          <w:color w:val="156082"/>
          <w:u w:val="single"/>
        </w:rPr>
        <w:t>Agencia Nacional de Contratación Pública - Colombia Compra Eficiente</w:t>
      </w:r>
      <w:r w:rsidRPr="00FC49A2">
        <w:rPr>
          <w:rFonts w:ascii="Verdana" w:eastAsia="Aptos" w:hAnsi="Verdana" w:cs="Times New Roman"/>
          <w:color w:val="156082"/>
        </w:rPr>
        <w:t xml:space="preserve"> </w:t>
      </w:r>
      <w:r w:rsidRPr="00FC49A2">
        <w:rPr>
          <w:rFonts w:ascii="Verdana" w:eastAsia="Aptos" w:hAnsi="Verdana" w:cs="Times New Roman"/>
        </w:rPr>
        <w:t xml:space="preserve">Instagram: </w:t>
      </w:r>
      <w:r w:rsidRPr="00FC49A2">
        <w:rPr>
          <w:rFonts w:ascii="Verdana" w:eastAsia="Aptos" w:hAnsi="Verdana" w:cs="Times New Roman"/>
          <w:color w:val="156082"/>
          <w:u w:val="single"/>
        </w:rPr>
        <w:t>@colombiacompraeficiente_cce</w:t>
      </w:r>
    </w:p>
    <w:p w14:paraId="53CD00C3" w14:textId="77777777" w:rsidR="00987692" w:rsidRPr="00FC49A2" w:rsidRDefault="00987692" w:rsidP="00987692">
      <w:pPr>
        <w:widowControl w:val="0"/>
        <w:autoSpaceDE w:val="0"/>
        <w:autoSpaceDN w:val="0"/>
        <w:spacing w:after="0" w:line="276" w:lineRule="auto"/>
        <w:jc w:val="both"/>
        <w:rPr>
          <w:rFonts w:ascii="Verdana" w:eastAsia="Aptos" w:hAnsi="Verdana" w:cs="Arial"/>
        </w:rPr>
      </w:pPr>
    </w:p>
    <w:p w14:paraId="7AA31BD1" w14:textId="77777777" w:rsidR="00987692" w:rsidRPr="00FC49A2" w:rsidRDefault="00987692" w:rsidP="00987692">
      <w:pPr>
        <w:widowControl w:val="0"/>
        <w:autoSpaceDE w:val="0"/>
        <w:autoSpaceDN w:val="0"/>
        <w:spacing w:after="0" w:line="276" w:lineRule="auto"/>
        <w:jc w:val="both"/>
        <w:rPr>
          <w:rFonts w:ascii="Verdana" w:eastAsia="Aptos" w:hAnsi="Verdana" w:cs="Arial"/>
          <w:lang w:val="es-ES_tradnl"/>
        </w:rPr>
      </w:pPr>
      <w:r w:rsidRPr="00FC49A2">
        <w:rPr>
          <w:rFonts w:ascii="Verdana" w:eastAsia="Aptos" w:hAnsi="Verdana" w:cs="Arial"/>
        </w:rPr>
        <w:t xml:space="preserve">Este concepto tiene el alcance previsto en el artículo 28 del Código de Procedimiento Administrativo y de lo Contencioso Administrativo </w:t>
      </w:r>
      <w:r w:rsidRPr="00FC49A2">
        <w:rPr>
          <w:rFonts w:ascii="Verdana" w:eastAsia="Aptos" w:hAnsi="Verdana" w:cs="Arial"/>
          <w:lang w:val="es-ES_tradnl"/>
        </w:rPr>
        <w:t>y las expresiones aquí utilizadas con mayúscula inicial deben ser entendidas con el significado que les otorga el artículo 2.2.1.1.1.3.1. del Decreto 1082 de 2015.</w:t>
      </w:r>
    </w:p>
    <w:p w14:paraId="5E6F1F1A" w14:textId="77777777" w:rsidR="00987692" w:rsidRPr="00FC49A2" w:rsidRDefault="00987692" w:rsidP="00987692">
      <w:pPr>
        <w:widowControl w:val="0"/>
        <w:autoSpaceDE w:val="0"/>
        <w:autoSpaceDN w:val="0"/>
        <w:spacing w:after="0" w:line="276" w:lineRule="auto"/>
        <w:jc w:val="both"/>
        <w:rPr>
          <w:rFonts w:ascii="Verdana" w:eastAsia="Aptos" w:hAnsi="Verdana" w:cs="Arial"/>
        </w:rPr>
      </w:pPr>
    </w:p>
    <w:p w14:paraId="68092426" w14:textId="77777777" w:rsidR="00987692" w:rsidRPr="00FC49A2" w:rsidRDefault="00987692" w:rsidP="00987692">
      <w:pPr>
        <w:spacing w:after="0" w:line="240" w:lineRule="auto"/>
        <w:rPr>
          <w:rFonts w:ascii="Verdana" w:eastAsia="Aptos" w:hAnsi="Verdana" w:cs="Arial"/>
          <w:lang w:eastAsia="es-CO"/>
        </w:rPr>
      </w:pPr>
      <w:r w:rsidRPr="00FC49A2">
        <w:rPr>
          <w:rFonts w:ascii="Verdana" w:eastAsia="Times New Roman" w:hAnsi="Verdana" w:cs="Arial"/>
          <w:lang w:eastAsia="es-CO"/>
        </w:rPr>
        <w:lastRenderedPageBreak/>
        <w:t>Atentamente,</w:t>
      </w:r>
      <w:r w:rsidRPr="00FC49A2">
        <w:rPr>
          <w:rFonts w:ascii="Verdana" w:eastAsia="Aptos" w:hAnsi="Verdana" w:cs="Arial"/>
          <w:lang w:eastAsia="es-CO"/>
        </w:rPr>
        <w:t xml:space="preserve"> </w:t>
      </w:r>
    </w:p>
    <w:p w14:paraId="41BCC1BC" w14:textId="17BCFE94" w:rsidR="00987692" w:rsidRPr="00FC49A2" w:rsidRDefault="00F33187" w:rsidP="00987692">
      <w:pPr>
        <w:spacing w:line="276" w:lineRule="auto"/>
        <w:jc w:val="center"/>
        <w:rPr>
          <w:rFonts w:ascii="Verdana" w:eastAsia="Aptos" w:hAnsi="Verdana" w:cs="Arial"/>
          <w:lang w:val="es-ES_tradnl" w:eastAsia="es-CO"/>
        </w:rPr>
      </w:pPr>
      <w:r w:rsidRPr="004D5C25">
        <w:rPr>
          <w:rFonts w:ascii="Century Gothic" w:hAnsi="Century Gothic"/>
          <w:noProof/>
        </w:rPr>
        <w:drawing>
          <wp:inline distT="0" distB="0" distL="0" distR="0" wp14:anchorId="487F39AC" wp14:editId="53D46761">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3"/>
                    <a:stretch>
                      <a:fillRect/>
                    </a:stretch>
                  </pic:blipFill>
                  <pic:spPr>
                    <a:xfrm>
                      <a:off x="0" y="0"/>
                      <a:ext cx="3705742" cy="1590897"/>
                    </a:xfrm>
                    <a:prstGeom prst="rect">
                      <a:avLst/>
                    </a:prstGeom>
                  </pic:spPr>
                </pic:pic>
              </a:graphicData>
            </a:graphic>
          </wp:inline>
        </w:drawing>
      </w:r>
    </w:p>
    <w:tbl>
      <w:tblPr>
        <w:tblStyle w:val="Tablaconcuadrcula1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987692" w:rsidRPr="00FC49A2" w14:paraId="368CDBCD" w14:textId="77777777" w:rsidTr="0057173C">
        <w:trPr>
          <w:trHeight w:val="286"/>
        </w:trPr>
        <w:tc>
          <w:tcPr>
            <w:tcW w:w="901" w:type="dxa"/>
            <w:vAlign w:val="center"/>
            <w:hideMark/>
          </w:tcPr>
          <w:p w14:paraId="016133C6"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Elaboró:</w:t>
            </w:r>
          </w:p>
        </w:tc>
        <w:tc>
          <w:tcPr>
            <w:tcW w:w="4344" w:type="dxa"/>
            <w:tcBorders>
              <w:top w:val="nil"/>
              <w:left w:val="nil"/>
              <w:bottom w:val="dotted" w:sz="4" w:space="0" w:color="7F7F7F"/>
              <w:right w:val="nil"/>
            </w:tcBorders>
            <w:vAlign w:val="center"/>
            <w:hideMark/>
          </w:tcPr>
          <w:p w14:paraId="090BEAAE"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Nasly Yeana Mosquera Rivas</w:t>
            </w:r>
          </w:p>
          <w:p w14:paraId="2936CE16"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Analista T2–06 de la Subdirección de Gestión Contractual</w:t>
            </w:r>
          </w:p>
        </w:tc>
      </w:tr>
      <w:tr w:rsidR="00987692" w:rsidRPr="00FC49A2" w14:paraId="656C294A" w14:textId="77777777" w:rsidTr="0057173C">
        <w:trPr>
          <w:trHeight w:val="299"/>
        </w:trPr>
        <w:tc>
          <w:tcPr>
            <w:tcW w:w="901" w:type="dxa"/>
            <w:vAlign w:val="center"/>
          </w:tcPr>
          <w:p w14:paraId="54D91356"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Revisó:</w:t>
            </w:r>
          </w:p>
        </w:tc>
        <w:tc>
          <w:tcPr>
            <w:tcW w:w="4344" w:type="dxa"/>
            <w:tcBorders>
              <w:top w:val="dotted" w:sz="4" w:space="0" w:color="7F7F7F"/>
              <w:left w:val="nil"/>
              <w:bottom w:val="dotted" w:sz="4" w:space="0" w:color="7F7F7F"/>
              <w:right w:val="nil"/>
            </w:tcBorders>
            <w:vAlign w:val="center"/>
          </w:tcPr>
          <w:p w14:paraId="26C7B3E5"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Juan David Cárdenas Cabeza</w:t>
            </w:r>
          </w:p>
          <w:p w14:paraId="564D1003"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Contratista de la Subdirección de Gestión Contractual</w:t>
            </w:r>
          </w:p>
        </w:tc>
      </w:tr>
      <w:tr w:rsidR="00987692" w:rsidRPr="00FC49A2" w14:paraId="17A68A64" w14:textId="77777777" w:rsidTr="0057173C">
        <w:trPr>
          <w:trHeight w:val="272"/>
        </w:trPr>
        <w:tc>
          <w:tcPr>
            <w:tcW w:w="901" w:type="dxa"/>
            <w:vAlign w:val="center"/>
            <w:hideMark/>
          </w:tcPr>
          <w:p w14:paraId="0178F2CC"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Aprobó:</w:t>
            </w:r>
          </w:p>
        </w:tc>
        <w:tc>
          <w:tcPr>
            <w:tcW w:w="4344" w:type="dxa"/>
            <w:tcBorders>
              <w:top w:val="dotted" w:sz="4" w:space="0" w:color="7F7F7F"/>
              <w:left w:val="nil"/>
              <w:bottom w:val="dotted" w:sz="4" w:space="0" w:color="7F7F7F"/>
              <w:right w:val="nil"/>
            </w:tcBorders>
            <w:vAlign w:val="center"/>
            <w:hideMark/>
          </w:tcPr>
          <w:p w14:paraId="180739B4"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Carolina Quintero Gacharná</w:t>
            </w:r>
          </w:p>
          <w:p w14:paraId="683D6DB4" w14:textId="77777777" w:rsidR="00987692" w:rsidRPr="00FC49A2" w:rsidRDefault="00987692" w:rsidP="0057173C">
            <w:pPr>
              <w:rPr>
                <w:rFonts w:ascii="Verdana" w:eastAsia="Aptos" w:hAnsi="Verdana" w:cs="Arial"/>
                <w:sz w:val="14"/>
                <w:szCs w:val="14"/>
                <w:lang w:eastAsia="es-ES"/>
              </w:rPr>
            </w:pPr>
            <w:r w:rsidRPr="00FC49A2">
              <w:rPr>
                <w:rFonts w:ascii="Verdana" w:eastAsia="Aptos" w:hAnsi="Verdana" w:cs="Arial"/>
                <w:sz w:val="14"/>
                <w:szCs w:val="14"/>
                <w:lang w:eastAsia="es-ES"/>
              </w:rPr>
              <w:t>Subdirectora de Gestión Contractual ANCP – CCE</w:t>
            </w:r>
          </w:p>
        </w:tc>
      </w:tr>
    </w:tbl>
    <w:p w14:paraId="6B17E103" w14:textId="77777777" w:rsidR="00987692" w:rsidRPr="00FC49A2" w:rsidRDefault="00987692" w:rsidP="00987692">
      <w:pPr>
        <w:spacing w:after="0" w:line="240" w:lineRule="auto"/>
        <w:rPr>
          <w:rFonts w:ascii="Verdana" w:eastAsia="Times New Roman" w:hAnsi="Verdana" w:cs="Arial"/>
          <w:sz w:val="24"/>
          <w:szCs w:val="24"/>
          <w:lang w:eastAsia="es-ES"/>
        </w:rPr>
      </w:pPr>
    </w:p>
    <w:p w14:paraId="0E202342" w14:textId="77777777" w:rsidR="00987692" w:rsidRPr="00FC49A2" w:rsidRDefault="00987692" w:rsidP="00987692">
      <w:pPr>
        <w:rPr>
          <w:rFonts w:ascii="Aptos" w:eastAsia="Aptos" w:hAnsi="Aptos" w:cs="Times New Roman"/>
        </w:rPr>
      </w:pPr>
    </w:p>
    <w:p w14:paraId="01F55580" w14:textId="77777777" w:rsidR="00987692" w:rsidRPr="00FC49A2" w:rsidRDefault="00987692" w:rsidP="00987692">
      <w:pPr>
        <w:rPr>
          <w:rFonts w:ascii="Aptos" w:eastAsia="Aptos" w:hAnsi="Aptos" w:cs="Times New Roman"/>
        </w:rPr>
      </w:pPr>
    </w:p>
    <w:p w14:paraId="3BDDBDA8" w14:textId="77777777" w:rsidR="00987692" w:rsidRPr="00FC49A2" w:rsidRDefault="00987692" w:rsidP="00987692">
      <w:pPr>
        <w:rPr>
          <w:rFonts w:ascii="Aptos" w:eastAsia="Aptos" w:hAnsi="Aptos" w:cs="Times New Roman"/>
        </w:rPr>
      </w:pPr>
    </w:p>
    <w:p w14:paraId="44C1ABAD" w14:textId="77777777" w:rsidR="00987692" w:rsidRPr="00FC49A2" w:rsidRDefault="00987692" w:rsidP="00987692">
      <w:pPr>
        <w:rPr>
          <w:rFonts w:ascii="Aptos" w:eastAsia="Aptos" w:hAnsi="Aptos" w:cs="Times New Roman"/>
        </w:rPr>
      </w:pPr>
    </w:p>
    <w:p w14:paraId="54E3EDEE" w14:textId="77777777" w:rsidR="00987692" w:rsidRPr="00FC49A2" w:rsidRDefault="00987692" w:rsidP="00987692"/>
    <w:p w14:paraId="15142F1C" w14:textId="77777777" w:rsidR="00987692" w:rsidRDefault="00987692"/>
    <w:sectPr w:rsidR="00987692" w:rsidSect="00987692">
      <w:headerReference w:type="default" r:id="rId14"/>
      <w:footerReference w:type="default" r:id="rId15"/>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73FA6" w14:textId="77777777" w:rsidR="00987692" w:rsidRDefault="00987692" w:rsidP="00987692">
      <w:pPr>
        <w:spacing w:after="0" w:line="240" w:lineRule="auto"/>
      </w:pPr>
      <w:r>
        <w:separator/>
      </w:r>
    </w:p>
  </w:endnote>
  <w:endnote w:type="continuationSeparator" w:id="0">
    <w:p w14:paraId="0F699E81" w14:textId="77777777" w:rsidR="00987692" w:rsidRDefault="00987692" w:rsidP="0098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70E8D" w14:textId="77777777" w:rsidR="00F33187" w:rsidRDefault="00F33187">
    <w:pPr>
      <w:pStyle w:val="Piedepgina"/>
    </w:pPr>
  </w:p>
  <w:p w14:paraId="494603A6" w14:textId="77777777" w:rsidR="00F33187" w:rsidRPr="00174B77" w:rsidRDefault="00F33187"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FC49A2">
      <w:rPr>
        <w:rFonts w:ascii="Verdana" w:eastAsia="Times New Roman" w:hAnsi="Verdana" w:cs="Times New Roman"/>
        <w:b/>
        <w:bCs/>
        <w:sz w:val="16"/>
        <w:szCs w:val="16"/>
        <w:lang w:val="es-ES"/>
      </w:rPr>
      <w:t xml:space="preserve">pág. </w:t>
    </w:r>
    <w:r w:rsidRPr="00FC49A2">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FC49A2">
      <w:rPr>
        <w:rFonts w:ascii="Verdana" w:eastAsia="Times New Roman" w:hAnsi="Verdana"/>
        <w:b/>
        <w:bCs/>
        <w:sz w:val="16"/>
        <w:szCs w:val="16"/>
      </w:rPr>
      <w:fldChar w:fldCharType="separate"/>
    </w:r>
    <w:r w:rsidRPr="00FC49A2">
      <w:rPr>
        <w:rFonts w:ascii="Verdana" w:eastAsia="Times New Roman" w:hAnsi="Verdana"/>
        <w:b/>
        <w:bCs/>
        <w:sz w:val="16"/>
        <w:szCs w:val="16"/>
      </w:rPr>
      <w:t>1</w:t>
    </w:r>
    <w:r w:rsidRPr="00FC49A2">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1E06DBA3" w14:textId="77777777" w:rsidR="00F33187" w:rsidRDefault="00F33187"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824B803" w14:textId="77777777" w:rsidR="00F33187" w:rsidRPr="00E41027" w:rsidRDefault="00F33187" w:rsidP="00D520D8">
    <w:pPr>
      <w:spacing w:after="0"/>
      <w:jc w:val="both"/>
      <w:rPr>
        <w:rFonts w:ascii="Verdana" w:hAnsi="Verdana"/>
        <w:sz w:val="18"/>
        <w:szCs w:val="18"/>
      </w:rPr>
    </w:pPr>
    <w:r w:rsidRPr="00E41027">
      <w:rPr>
        <w:rFonts w:ascii="Verdana" w:hAnsi="Verdana"/>
        <w:sz w:val="18"/>
        <w:szCs w:val="18"/>
      </w:rPr>
      <w:t>Mesa de servicio: (+57) 601 7456788</w:t>
    </w:r>
  </w:p>
  <w:p w14:paraId="03B3FC9F" w14:textId="77777777" w:rsidR="00F33187" w:rsidRDefault="00F33187"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Pr>
        <w:rFonts w:ascii="Century Gothic" w:eastAsia="Geo" w:hAnsi="Century Gothic" w:cs="Geo"/>
        <w:bCs/>
        <w:color w:val="000000"/>
        <w:sz w:val="16"/>
        <w:szCs w:val="16"/>
        <w:lang w:eastAsia="es-CO"/>
      </w:rPr>
      <w:t xml:space="preserve">17 </w:t>
    </w: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w:t>
    </w:r>
    <w:r>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0EC9F" w14:textId="77777777" w:rsidR="00987692" w:rsidRDefault="00987692" w:rsidP="00987692">
      <w:pPr>
        <w:spacing w:after="0" w:line="240" w:lineRule="auto"/>
      </w:pPr>
      <w:r>
        <w:separator/>
      </w:r>
    </w:p>
  </w:footnote>
  <w:footnote w:type="continuationSeparator" w:id="0">
    <w:p w14:paraId="0C0AE86D" w14:textId="77777777" w:rsidR="00987692" w:rsidRDefault="00987692" w:rsidP="00987692">
      <w:pPr>
        <w:spacing w:after="0" w:line="240" w:lineRule="auto"/>
      </w:pPr>
      <w:r>
        <w:continuationSeparator/>
      </w:r>
    </w:p>
  </w:footnote>
  <w:footnote w:id="1">
    <w:p w14:paraId="04ECAE59" w14:textId="77777777" w:rsidR="00987692" w:rsidRPr="001D1B8E" w:rsidRDefault="00987692" w:rsidP="00987692">
      <w:pPr>
        <w:pStyle w:val="Textonotapie"/>
        <w:ind w:firstLine="708"/>
        <w:jc w:val="both"/>
        <w:rPr>
          <w:rFonts w:ascii="Verdana" w:hAnsi="Verdana" w:cs="Arial"/>
          <w:sz w:val="11"/>
          <w:szCs w:val="11"/>
        </w:rPr>
      </w:pPr>
    </w:p>
    <w:p w14:paraId="06E92E21" w14:textId="77777777" w:rsidR="00987692" w:rsidRPr="001D1B8E" w:rsidRDefault="00987692" w:rsidP="00987692">
      <w:pPr>
        <w:pStyle w:val="Textonotapie"/>
        <w:ind w:firstLine="708"/>
        <w:jc w:val="both"/>
        <w:rPr>
          <w:rFonts w:ascii="Verdana" w:hAnsi="Verdana" w:cs="Arial"/>
          <w:sz w:val="11"/>
          <w:szCs w:val="11"/>
        </w:rPr>
      </w:pPr>
      <w:r w:rsidRPr="001D1B8E">
        <w:rPr>
          <w:rStyle w:val="Refdenotaalpie"/>
          <w:rFonts w:ascii="Verdana" w:hAnsi="Verdana" w:cs="Arial"/>
          <w:sz w:val="11"/>
          <w:szCs w:val="11"/>
        </w:rPr>
        <w:footnoteRef/>
      </w:r>
      <w:r w:rsidRPr="001D1B8E">
        <w:rPr>
          <w:rFonts w:ascii="Verdana" w:hAnsi="Verdana" w:cs="Arial"/>
          <w:sz w:val="11"/>
          <w:szCs w:val="11"/>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3A9B5865" w14:textId="77777777" w:rsidR="00987692" w:rsidRPr="001D1B8E" w:rsidRDefault="00987692" w:rsidP="00987692">
      <w:pPr>
        <w:pStyle w:val="Textonotapie"/>
        <w:ind w:firstLine="708"/>
        <w:jc w:val="both"/>
        <w:rPr>
          <w:rFonts w:ascii="Verdana" w:hAnsi="Verdana" w:cs="Arial"/>
          <w:sz w:val="11"/>
          <w:szCs w:val="11"/>
        </w:rPr>
      </w:pPr>
    </w:p>
  </w:footnote>
  <w:footnote w:id="2">
    <w:p w14:paraId="749ADB34" w14:textId="77777777" w:rsidR="00987692" w:rsidRPr="001D1B8E" w:rsidRDefault="00987692" w:rsidP="00987692">
      <w:pPr>
        <w:pStyle w:val="Textonotapie"/>
        <w:ind w:firstLine="708"/>
        <w:jc w:val="both"/>
        <w:rPr>
          <w:rFonts w:ascii="Verdana" w:hAnsi="Verdana" w:cs="Arial"/>
          <w:sz w:val="11"/>
          <w:szCs w:val="11"/>
        </w:rPr>
      </w:pPr>
    </w:p>
    <w:p w14:paraId="73D842CA" w14:textId="77777777" w:rsidR="00987692" w:rsidRPr="001D1B8E" w:rsidRDefault="00987692" w:rsidP="00987692">
      <w:pPr>
        <w:pStyle w:val="Textonotapie"/>
        <w:ind w:firstLine="708"/>
        <w:jc w:val="both"/>
        <w:rPr>
          <w:rFonts w:ascii="Verdana" w:hAnsi="Verdana" w:cs="Arial"/>
          <w:sz w:val="11"/>
          <w:szCs w:val="11"/>
        </w:rPr>
      </w:pPr>
      <w:r w:rsidRPr="001D1B8E">
        <w:rPr>
          <w:rStyle w:val="Refdenotaalpie"/>
          <w:rFonts w:ascii="Verdana" w:hAnsi="Verdana" w:cs="Arial"/>
          <w:sz w:val="11"/>
          <w:szCs w:val="11"/>
        </w:rPr>
        <w:footnoteRef/>
      </w:r>
      <w:r w:rsidRPr="001D1B8E">
        <w:rPr>
          <w:rFonts w:ascii="Verdana" w:hAnsi="Verdana" w:cs="Arial"/>
          <w:sz w:val="11"/>
          <w:szCs w:val="11"/>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4A87249C" w14:textId="77777777" w:rsidR="00987692" w:rsidRPr="001D1B8E" w:rsidRDefault="00987692" w:rsidP="00987692">
      <w:pPr>
        <w:pStyle w:val="Textonotapie"/>
        <w:ind w:firstLine="708"/>
        <w:jc w:val="both"/>
        <w:rPr>
          <w:rFonts w:ascii="Verdana" w:hAnsi="Verdana" w:cs="Arial"/>
          <w:sz w:val="11"/>
          <w:szCs w:val="11"/>
        </w:rPr>
      </w:pPr>
    </w:p>
  </w:footnote>
  <w:footnote w:id="3">
    <w:p w14:paraId="3D945DCC" w14:textId="77777777" w:rsidR="00987692" w:rsidRPr="001D1B8E" w:rsidRDefault="00987692" w:rsidP="00987692">
      <w:pPr>
        <w:pStyle w:val="Textonotapie"/>
        <w:ind w:firstLine="708"/>
        <w:jc w:val="both"/>
        <w:rPr>
          <w:rFonts w:ascii="Verdana" w:hAnsi="Verdana" w:cs="Arial"/>
          <w:sz w:val="11"/>
          <w:szCs w:val="11"/>
        </w:rPr>
      </w:pPr>
      <w:r w:rsidRPr="001D1B8E">
        <w:rPr>
          <w:rStyle w:val="Refdenotaalpie"/>
          <w:rFonts w:ascii="Verdana" w:hAnsi="Verdana" w:cs="Arial"/>
          <w:sz w:val="11"/>
          <w:szCs w:val="11"/>
        </w:rPr>
        <w:footnoteRef/>
      </w:r>
      <w:r w:rsidRPr="001D1B8E">
        <w:rPr>
          <w:rFonts w:ascii="Verdana" w:hAnsi="Verdana" w:cs="Arial"/>
          <w:sz w:val="11"/>
          <w:szCs w:val="11"/>
        </w:rPr>
        <w:t xml:space="preserve"> Cfr. Concepto emitido en el radicado 4201913000005674, dictado el 27 de septiembre de 2019.</w:t>
      </w:r>
    </w:p>
    <w:p w14:paraId="7FDF2EE0" w14:textId="77777777" w:rsidR="00987692" w:rsidRPr="001D1B8E" w:rsidRDefault="00987692" w:rsidP="00987692">
      <w:pPr>
        <w:pStyle w:val="Textonotapie"/>
        <w:ind w:firstLine="708"/>
        <w:jc w:val="both"/>
        <w:rPr>
          <w:rFonts w:ascii="Verdana" w:hAnsi="Verdana" w:cs="Arial"/>
          <w:sz w:val="11"/>
          <w:szCs w:val="11"/>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64A6D" w14:textId="77777777" w:rsidR="00F33187" w:rsidRDefault="00F33187">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3120B891" wp14:editId="4F555729">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17FD9A7C" wp14:editId="771C51A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2320599" w14:textId="77777777" w:rsidR="00F33187" w:rsidRDefault="00F33187">
    <w:pPr>
      <w:pStyle w:val="Encabezado"/>
    </w:pPr>
  </w:p>
  <w:p w14:paraId="340D9BCB" w14:textId="77777777" w:rsidR="00F33187" w:rsidRDefault="00F33187" w:rsidP="004A305D">
    <w:pPr>
      <w:spacing w:after="0"/>
      <w:rPr>
        <w:rFonts w:ascii="Verdana" w:hAnsi="Verdana"/>
        <w:b/>
        <w:bCs/>
      </w:rPr>
    </w:pPr>
  </w:p>
  <w:p w14:paraId="091E9317" w14:textId="77777777" w:rsidR="00F33187" w:rsidRPr="004A305D" w:rsidRDefault="00F33187" w:rsidP="00B01B1A">
    <w:pPr>
      <w:spacing w:after="0" w:line="120" w:lineRule="auto"/>
      <w:rPr>
        <w:rFonts w:ascii="Century Gothic" w:eastAsia="Geo" w:hAnsi="Century Gothic" w:cs="Geo"/>
        <w:sz w:val="16"/>
        <w:szCs w:val="16"/>
        <w:lang w:eastAsia="es-CO"/>
      </w:rPr>
    </w:pPr>
  </w:p>
  <w:p w14:paraId="74FD92BF" w14:textId="77777777" w:rsidR="00F33187" w:rsidRDefault="00F33187"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E5EF0"/>
    <w:multiLevelType w:val="hybridMultilevel"/>
    <w:tmpl w:val="986027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88E5AE1"/>
    <w:multiLevelType w:val="hybridMultilevel"/>
    <w:tmpl w:val="E20461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405FFE"/>
    <w:multiLevelType w:val="hybridMultilevel"/>
    <w:tmpl w:val="CD40A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3B856AF"/>
    <w:multiLevelType w:val="hybridMultilevel"/>
    <w:tmpl w:val="894EE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92"/>
    <w:rsid w:val="004F4BD8"/>
    <w:rsid w:val="00976241"/>
    <w:rsid w:val="00987692"/>
    <w:rsid w:val="00AB0E5F"/>
    <w:rsid w:val="00F331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0F65"/>
  <w15:chartTrackingRefBased/>
  <w15:docId w15:val="{351A482C-82F6-4877-A5B1-BF601C9C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692"/>
    <w:pPr>
      <w:spacing w:line="259" w:lineRule="auto"/>
    </w:pPr>
    <w:rPr>
      <w:kern w:val="0"/>
      <w:sz w:val="22"/>
      <w:szCs w:val="22"/>
      <w14:ligatures w14:val="none"/>
    </w:rPr>
  </w:style>
  <w:style w:type="paragraph" w:styleId="Ttulo1">
    <w:name w:val="heading 1"/>
    <w:basedOn w:val="Normal"/>
    <w:next w:val="Normal"/>
    <w:link w:val="Ttulo1Car"/>
    <w:uiPriority w:val="9"/>
    <w:qFormat/>
    <w:rsid w:val="00987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7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769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769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769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769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769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769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769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769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769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769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769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769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769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769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769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7692"/>
    <w:rPr>
      <w:rFonts w:eastAsiaTheme="majorEastAsia" w:cstheme="majorBidi"/>
      <w:color w:val="272727" w:themeColor="text1" w:themeTint="D8"/>
    </w:rPr>
  </w:style>
  <w:style w:type="paragraph" w:styleId="Ttulo">
    <w:name w:val="Title"/>
    <w:basedOn w:val="Normal"/>
    <w:next w:val="Normal"/>
    <w:link w:val="TtuloCar"/>
    <w:uiPriority w:val="10"/>
    <w:qFormat/>
    <w:rsid w:val="00987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769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769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769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7692"/>
    <w:pPr>
      <w:spacing w:before="160"/>
      <w:jc w:val="center"/>
    </w:pPr>
    <w:rPr>
      <w:i/>
      <w:iCs/>
      <w:color w:val="404040" w:themeColor="text1" w:themeTint="BF"/>
    </w:rPr>
  </w:style>
  <w:style w:type="character" w:customStyle="1" w:styleId="CitaCar">
    <w:name w:val="Cita Car"/>
    <w:basedOn w:val="Fuentedeprrafopredeter"/>
    <w:link w:val="Cita"/>
    <w:uiPriority w:val="29"/>
    <w:rsid w:val="00987692"/>
    <w:rPr>
      <w:i/>
      <w:iCs/>
      <w:color w:val="404040" w:themeColor="text1" w:themeTint="BF"/>
    </w:rPr>
  </w:style>
  <w:style w:type="paragraph" w:styleId="Prrafodelista">
    <w:name w:val="List Paragraph"/>
    <w:basedOn w:val="Normal"/>
    <w:uiPriority w:val="34"/>
    <w:qFormat/>
    <w:rsid w:val="00987692"/>
    <w:pPr>
      <w:ind w:left="720"/>
      <w:contextualSpacing/>
    </w:pPr>
  </w:style>
  <w:style w:type="character" w:styleId="nfasisintenso">
    <w:name w:val="Intense Emphasis"/>
    <w:basedOn w:val="Fuentedeprrafopredeter"/>
    <w:uiPriority w:val="21"/>
    <w:qFormat/>
    <w:rsid w:val="00987692"/>
    <w:rPr>
      <w:i/>
      <w:iCs/>
      <w:color w:val="0F4761" w:themeColor="accent1" w:themeShade="BF"/>
    </w:rPr>
  </w:style>
  <w:style w:type="paragraph" w:styleId="Citadestacada">
    <w:name w:val="Intense Quote"/>
    <w:basedOn w:val="Normal"/>
    <w:next w:val="Normal"/>
    <w:link w:val="CitadestacadaCar"/>
    <w:uiPriority w:val="30"/>
    <w:qFormat/>
    <w:rsid w:val="00987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7692"/>
    <w:rPr>
      <w:i/>
      <w:iCs/>
      <w:color w:val="0F4761" w:themeColor="accent1" w:themeShade="BF"/>
    </w:rPr>
  </w:style>
  <w:style w:type="character" w:styleId="Referenciaintensa">
    <w:name w:val="Intense Reference"/>
    <w:basedOn w:val="Fuentedeprrafopredeter"/>
    <w:uiPriority w:val="32"/>
    <w:qFormat/>
    <w:rsid w:val="00987692"/>
    <w:rPr>
      <w:b/>
      <w:bCs/>
      <w:smallCaps/>
      <w:color w:val="0F4761" w:themeColor="accent1" w:themeShade="BF"/>
      <w:spacing w:val="5"/>
    </w:rPr>
  </w:style>
  <w:style w:type="paragraph" w:styleId="Encabezado">
    <w:name w:val="header"/>
    <w:basedOn w:val="Normal"/>
    <w:link w:val="EncabezadoCar"/>
    <w:uiPriority w:val="99"/>
    <w:unhideWhenUsed/>
    <w:rsid w:val="009876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692"/>
    <w:rPr>
      <w:kern w:val="0"/>
      <w:sz w:val="22"/>
      <w:szCs w:val="22"/>
      <w14:ligatures w14:val="none"/>
    </w:rPr>
  </w:style>
  <w:style w:type="paragraph" w:styleId="Piedepgina">
    <w:name w:val="footer"/>
    <w:basedOn w:val="Normal"/>
    <w:link w:val="PiedepginaCar"/>
    <w:uiPriority w:val="99"/>
    <w:unhideWhenUsed/>
    <w:rsid w:val="009876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692"/>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8769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987692"/>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987692"/>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987692"/>
    <w:rPr>
      <w:vertAlign w:val="superscript"/>
    </w:rPr>
  </w:style>
  <w:style w:type="table" w:styleId="Tablaconcuadrcula">
    <w:name w:val="Table Grid"/>
    <w:basedOn w:val="Tablanormal"/>
    <w:uiPriority w:val="39"/>
    <w:qFormat/>
    <w:rsid w:val="0098769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87692"/>
    <w:pPr>
      <w:spacing w:line="240" w:lineRule="exact"/>
    </w:pPr>
    <w:rPr>
      <w:kern w:val="2"/>
      <w:sz w:val="24"/>
      <w:szCs w:val="24"/>
      <w:vertAlign w:val="superscript"/>
      <w14:ligatures w14:val="standardContextual"/>
    </w:rPr>
  </w:style>
  <w:style w:type="table" w:customStyle="1" w:styleId="Tablaconcuadrcula11">
    <w:name w:val="Tabla con cuadrícula11"/>
    <w:basedOn w:val="Tablanormal"/>
    <w:next w:val="Tablaconcuadrcula"/>
    <w:uiPriority w:val="59"/>
    <w:qFormat/>
    <w:rsid w:val="0098769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udia.leon.baron@g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7A0CE4-88FE-4080-B26E-9D5F03F12606}">
  <ds:schemaRefs>
    <ds:schemaRef ds:uri="http://schemas.microsoft.com/sharepoint/v3/contenttype/forms"/>
  </ds:schemaRefs>
</ds:datastoreItem>
</file>

<file path=customXml/itemProps2.xml><?xml version="1.0" encoding="utf-8"?>
<ds:datastoreItem xmlns:ds="http://schemas.openxmlformats.org/officeDocument/2006/customXml" ds:itemID="{3AF1B36E-1D25-45C5-9308-389CCFE3B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27AEE1-3FF9-476E-886C-02AE843CF974}">
  <ds:schemaRefs>
    <ds:schemaRef ds:uri="http://schemas.microsoft.com/office/2006/documentManagement/types"/>
    <ds:schemaRef ds:uri="9d85dbaf-23eb-4e57-a637-93dcacc8b1a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6cb9e4b-f1d1-4245-83ec-6cad768d53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3548</Words>
  <Characters>19516</Characters>
  <Application>Microsoft Office Word</Application>
  <DocSecurity>0</DocSecurity>
  <Lines>162</Lines>
  <Paragraphs>46</Paragraphs>
  <ScaleCrop>false</ScaleCrop>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Nasly Yeana Mosquera Rivas</dc:creator>
  <cp:keywords/>
  <dc:description/>
  <cp:lastModifiedBy>Sergio Andrés Rivera Cano</cp:lastModifiedBy>
  <cp:revision>2</cp:revision>
  <dcterms:created xsi:type="dcterms:W3CDTF">2024-08-23T15:54:00Z</dcterms:created>
  <dcterms:modified xsi:type="dcterms:W3CDTF">2024-08-23T15:54:00Z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