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459D" w14:textId="77777777" w:rsidR="00EB5968" w:rsidRPr="00F252D7" w:rsidRDefault="00EB5968" w:rsidP="00EB5968">
      <w:pPr>
        <w:spacing w:after="0" w:line="240" w:lineRule="auto"/>
        <w:contextualSpacing/>
        <w:jc w:val="both"/>
        <w:rPr>
          <w:rFonts w:ascii="Verdana" w:eastAsia="Calibri" w:hAnsi="Verdana" w:cs="Arial"/>
          <w:b/>
          <w:noProof/>
          <w:lang w:val="es-ES_tradnl" w:eastAsia="es-ES_tradnl"/>
        </w:rPr>
      </w:pPr>
      <w:bookmarkStart w:id="0" w:name="_Hlk143780582"/>
      <w:r w:rsidRPr="00F252D7">
        <w:rPr>
          <w:rFonts w:ascii="Verdana" w:eastAsia="Calibri" w:hAnsi="Verdana" w:cs="Arial"/>
          <w:b/>
          <w:noProof/>
          <w:lang w:val="es-ES_tradnl" w:eastAsia="es-ES_tradnl"/>
        </w:rPr>
        <w:t xml:space="preserve">PLANEACIÓN CONTRACTUAL – Noción </w:t>
      </w:r>
    </w:p>
    <w:p w14:paraId="57B150D4" w14:textId="77777777" w:rsidR="00EB5968" w:rsidRPr="00F252D7" w:rsidRDefault="00EB5968" w:rsidP="00EB5968">
      <w:pPr>
        <w:spacing w:after="0" w:line="240" w:lineRule="auto"/>
        <w:contextualSpacing/>
        <w:jc w:val="both"/>
        <w:rPr>
          <w:rFonts w:ascii="Verdana" w:eastAsia="Calibri" w:hAnsi="Verdana" w:cs="Arial"/>
          <w:b/>
          <w:noProof/>
          <w:sz w:val="20"/>
          <w:szCs w:val="20"/>
          <w:lang w:val="es-ES_tradnl" w:eastAsia="es-ES_tradnl"/>
        </w:rPr>
      </w:pPr>
    </w:p>
    <w:p w14:paraId="4876C914" w14:textId="77777777" w:rsidR="00EB5968" w:rsidRPr="00F252D7" w:rsidRDefault="00EB5968" w:rsidP="00EB5968">
      <w:pPr>
        <w:spacing w:after="0" w:line="240" w:lineRule="auto"/>
        <w:contextualSpacing/>
        <w:jc w:val="both"/>
        <w:rPr>
          <w:rFonts w:ascii="Verdana" w:eastAsia="Calibri" w:hAnsi="Verdana" w:cs="Arial"/>
          <w:bCs/>
          <w:sz w:val="20"/>
          <w:szCs w:val="20"/>
          <w:lang w:val="es-ES_tradnl" w:eastAsia="es-MX"/>
        </w:rPr>
      </w:pPr>
      <w:r w:rsidRPr="00F252D7">
        <w:rPr>
          <w:rFonts w:ascii="Verdana" w:eastAsia="Calibri" w:hAnsi="Verdana" w:cs="Arial"/>
          <w:bCs/>
          <w:sz w:val="20"/>
          <w:szCs w:val="20"/>
          <w:lang w:val="es-ES_tradnl" w:eastAsia="es-MX"/>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100CEBF8" w14:textId="77777777" w:rsidR="00EB5968" w:rsidRPr="00F252D7" w:rsidRDefault="00EB5968" w:rsidP="00EB5968">
      <w:pPr>
        <w:spacing w:after="0" w:line="240" w:lineRule="auto"/>
        <w:contextualSpacing/>
        <w:jc w:val="both"/>
        <w:rPr>
          <w:rFonts w:ascii="Verdana" w:eastAsia="Times New Roman" w:hAnsi="Verdana" w:cs="Arial"/>
          <w:sz w:val="20"/>
          <w:szCs w:val="20"/>
          <w:lang w:val="es-ES_tradnl" w:eastAsia="es-MX"/>
        </w:rPr>
      </w:pPr>
    </w:p>
    <w:p w14:paraId="5AC54B8E" w14:textId="77777777" w:rsidR="00EB5968" w:rsidRPr="00F252D7" w:rsidRDefault="00EB5968" w:rsidP="00EB5968">
      <w:pPr>
        <w:spacing w:after="0" w:line="240" w:lineRule="auto"/>
        <w:contextualSpacing/>
        <w:jc w:val="both"/>
        <w:rPr>
          <w:rFonts w:ascii="Verdana" w:eastAsia="Calibri" w:hAnsi="Verdana" w:cs="Arial"/>
          <w:bCs/>
          <w:sz w:val="20"/>
          <w:szCs w:val="20"/>
          <w:lang w:val="es-MX" w:eastAsia="es-ES_tradnl"/>
        </w:rPr>
      </w:pPr>
      <w:r w:rsidRPr="00F252D7">
        <w:rPr>
          <w:rFonts w:ascii="Verdana" w:eastAsia="Calibri" w:hAnsi="Verdana" w:cs="Arial"/>
          <w:bCs/>
          <w:sz w:val="20"/>
          <w:szCs w:val="20"/>
          <w:lang w:val="es-MX" w:eastAsia="es-ES_tradnl"/>
        </w:rPr>
        <w:t>El Estatuto General de Contratación de la Administración Pública – EGCAP –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p>
    <w:p w14:paraId="5DF064D8" w14:textId="77777777" w:rsidR="00EB5968" w:rsidRPr="00F252D7" w:rsidRDefault="00EB5968" w:rsidP="00EB5968">
      <w:pPr>
        <w:spacing w:after="0" w:line="240" w:lineRule="auto"/>
        <w:contextualSpacing/>
        <w:jc w:val="both"/>
        <w:rPr>
          <w:rFonts w:ascii="Verdana" w:eastAsia="Calibri" w:hAnsi="Verdana" w:cs="Arial"/>
          <w:b/>
          <w:noProof/>
          <w:sz w:val="20"/>
          <w:szCs w:val="20"/>
          <w:lang w:val="es-ES_tradnl" w:eastAsia="es-ES_tradnl"/>
        </w:rPr>
      </w:pPr>
    </w:p>
    <w:p w14:paraId="6A599FA3" w14:textId="77777777" w:rsidR="00EB5968" w:rsidRPr="00F252D7" w:rsidRDefault="00EB5968" w:rsidP="00EB5968">
      <w:pPr>
        <w:spacing w:after="0" w:line="240" w:lineRule="auto"/>
        <w:contextualSpacing/>
        <w:jc w:val="both"/>
        <w:rPr>
          <w:rFonts w:ascii="Verdana" w:eastAsia="Times New Roman" w:hAnsi="Verdana" w:cs="Arial"/>
          <w:b/>
          <w:bCs/>
          <w:lang w:eastAsia="es-ES_tradnl"/>
        </w:rPr>
      </w:pPr>
      <w:r w:rsidRPr="00F252D7">
        <w:rPr>
          <w:rFonts w:ascii="Verdana" w:eastAsia="Times New Roman" w:hAnsi="Verdana" w:cs="Arial"/>
          <w:b/>
          <w:bCs/>
          <w:lang w:eastAsia="es-ES_tradnl"/>
        </w:rPr>
        <w:t>ESTUDIOS PREVIOS – Análisis del sector – Planeación en los procesos de contratación pública</w:t>
      </w:r>
    </w:p>
    <w:p w14:paraId="0B4E2302" w14:textId="77777777" w:rsidR="00EB5968" w:rsidRPr="00F252D7" w:rsidRDefault="00EB5968" w:rsidP="00EB5968">
      <w:pPr>
        <w:spacing w:after="0" w:line="240" w:lineRule="auto"/>
        <w:contextualSpacing/>
        <w:jc w:val="both"/>
        <w:rPr>
          <w:rFonts w:ascii="Verdana" w:eastAsia="Times New Roman" w:hAnsi="Verdana" w:cs="Arial"/>
          <w:sz w:val="20"/>
          <w:szCs w:val="20"/>
          <w:lang w:eastAsia="es-ES_tradnl"/>
        </w:rPr>
      </w:pPr>
    </w:p>
    <w:p w14:paraId="4FA1C1B1" w14:textId="77777777" w:rsidR="00EB5968" w:rsidRPr="00F252D7" w:rsidRDefault="00EB5968" w:rsidP="00EB5968">
      <w:pPr>
        <w:spacing w:after="0" w:line="240" w:lineRule="auto"/>
        <w:contextualSpacing/>
        <w:jc w:val="both"/>
        <w:rPr>
          <w:rFonts w:ascii="Verdana" w:eastAsia="Times New Roman" w:hAnsi="Verdana" w:cs="Arial"/>
          <w:sz w:val="20"/>
          <w:szCs w:val="20"/>
          <w:lang w:val="es-ES_tradnl" w:eastAsia="es-MX"/>
        </w:rPr>
      </w:pPr>
      <w:r w:rsidRPr="00F252D7">
        <w:rPr>
          <w:rFonts w:ascii="Verdana" w:eastAsia="Calibri" w:hAnsi="Verdana" w:cs="Arial"/>
          <w:sz w:val="20"/>
          <w:szCs w:val="20"/>
          <w:lang w:eastAsia="es-ES_tradnl"/>
        </w:rPr>
        <w:t xml:space="preserve">[…] </w:t>
      </w:r>
      <w:r w:rsidRPr="00F252D7">
        <w:rPr>
          <w:rFonts w:ascii="Verdana" w:eastAsia="Times New Roman" w:hAnsi="Verdana" w:cs="Arial"/>
          <w:sz w:val="20"/>
          <w:szCs w:val="20"/>
          <w:lang w:val="es-ES_tradnl" w:eastAsia="es-MX"/>
        </w:rPr>
        <w:t xml:space="preserve">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F252D7">
        <w:rPr>
          <w:rFonts w:ascii="Verdana" w:eastAsia="Times New Roman" w:hAnsi="Verdana" w:cs="Arial"/>
          <w:sz w:val="20"/>
          <w:szCs w:val="20"/>
          <w:lang w:val="es-ES_tradnl" w:eastAsia="es-MX"/>
        </w:rPr>
        <w:t>vii</w:t>
      </w:r>
      <w:proofErr w:type="spellEnd"/>
      <w:r w:rsidRPr="00F252D7">
        <w:rPr>
          <w:rFonts w:ascii="Verdana" w:eastAsia="Times New Roman" w:hAnsi="Verdana" w:cs="Arial"/>
          <w:sz w:val="20"/>
          <w:szCs w:val="20"/>
          <w:lang w:val="es-ES_tradnl" w:eastAsia="es-MX"/>
        </w:rPr>
        <w:t xml:space="preserve">) los procedimientos, trámites y requisitos que deban satisfacerse, reunirse u obtenerse para llevar a cabo la selección del respectivo contratista y la celebración del contrato que se pretenda celebrar. La consideración de todos estos aspectos </w:t>
      </w:r>
      <w:r w:rsidRPr="00F252D7">
        <w:rPr>
          <w:rFonts w:ascii="Verdana" w:eastAsia="Calibri" w:hAnsi="Verdana" w:cs="Arial"/>
          <w:bCs/>
          <w:sz w:val="20"/>
          <w:szCs w:val="20"/>
          <w:lang w:val="es-ES_tradnl" w:eastAsia="es-MX"/>
        </w:rPr>
        <w:t xml:space="preserve">permite que los contratos resultantes de la planeación cuenten con el sustento técnico, económico y jurídico que incidirá </w:t>
      </w:r>
      <w:r w:rsidRPr="00F252D7">
        <w:rPr>
          <w:rFonts w:ascii="Verdana" w:eastAsia="Times New Roman" w:hAnsi="Verdana" w:cs="Arial"/>
          <w:sz w:val="20"/>
          <w:szCs w:val="20"/>
          <w:lang w:val="es-ES_tradnl" w:eastAsia="es-MX"/>
        </w:rPr>
        <w:t>en una adecuada ejecución.</w:t>
      </w:r>
    </w:p>
    <w:p w14:paraId="0B908576" w14:textId="77777777" w:rsidR="00EB5968" w:rsidRPr="00F252D7" w:rsidRDefault="00EB5968" w:rsidP="00EB5968">
      <w:pPr>
        <w:spacing w:after="0" w:line="240" w:lineRule="auto"/>
        <w:contextualSpacing/>
        <w:jc w:val="both"/>
        <w:rPr>
          <w:rFonts w:ascii="Verdana" w:eastAsia="Calibri" w:hAnsi="Verdana" w:cs="Arial"/>
          <w:b/>
          <w:noProof/>
          <w:sz w:val="20"/>
          <w:szCs w:val="20"/>
          <w:lang w:val="es-ES_tradnl" w:eastAsia="es-ES_tradnl"/>
        </w:rPr>
      </w:pPr>
    </w:p>
    <w:p w14:paraId="425CB165" w14:textId="77777777" w:rsidR="00EB5968" w:rsidRPr="00F252D7" w:rsidRDefault="00EB5968" w:rsidP="00EB5968">
      <w:pPr>
        <w:spacing w:after="0" w:line="240" w:lineRule="auto"/>
        <w:contextualSpacing/>
        <w:jc w:val="both"/>
        <w:rPr>
          <w:rFonts w:ascii="Verdana" w:eastAsia="Times New Roman" w:hAnsi="Verdana" w:cs="Arial"/>
          <w:b/>
          <w:bCs/>
          <w:lang w:eastAsia="es-ES_tradnl"/>
        </w:rPr>
      </w:pPr>
      <w:r w:rsidRPr="00F252D7">
        <w:rPr>
          <w:rFonts w:ascii="Verdana" w:eastAsia="Times New Roman" w:hAnsi="Verdana" w:cs="Arial"/>
          <w:b/>
          <w:bCs/>
          <w:lang w:eastAsia="es-ES_tradnl"/>
        </w:rPr>
        <w:t>ESTUDIOS PREVIOS – Contratación directa – Decreto 1083 de 2015 – Aplicación</w:t>
      </w:r>
    </w:p>
    <w:p w14:paraId="790E4C00"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348693D0" w14:textId="77777777" w:rsidR="00EB5968" w:rsidRPr="00F252D7" w:rsidRDefault="00EB5968" w:rsidP="00EB5968">
      <w:pPr>
        <w:spacing w:after="0" w:line="240" w:lineRule="auto"/>
        <w:contextualSpacing/>
        <w:jc w:val="both"/>
        <w:rPr>
          <w:rFonts w:ascii="Verdana" w:eastAsia="Times New Roman" w:hAnsi="Verdana" w:cs="Arial"/>
          <w:sz w:val="20"/>
          <w:szCs w:val="20"/>
          <w:lang w:val="es-ES_tradnl" w:eastAsia="es-MX"/>
        </w:rPr>
      </w:pPr>
      <w:r w:rsidRPr="00F252D7">
        <w:rPr>
          <w:rFonts w:ascii="Verdana" w:eastAsia="Times New Roman" w:hAnsi="Verdana" w:cs="Arial"/>
          <w:sz w:val="20"/>
          <w:szCs w:val="20"/>
          <w:lang w:val="es-ES_tradnl" w:eastAsia="es-MX"/>
        </w:rPr>
        <w:t>De acuerdo con la “Guía para la Elaboración de Estudios del Sector” expedida por Agencia Nacional de Contratación Pública – Colombia Compra Eficiente, respecto de la contratación directa, particularmente de un contrato de prestación de servicios, el estudio del sector se centra, entre otros aspectos, en “las condiciones de idoneidad y/o experiencia que llevan a contratar a la persona natural o jurídica que está en condiciones de desarrollar dicho objeto”.</w:t>
      </w:r>
    </w:p>
    <w:p w14:paraId="29E15720" w14:textId="77777777" w:rsidR="00EB5968" w:rsidRPr="00F252D7" w:rsidRDefault="00EB5968" w:rsidP="00EB5968">
      <w:pPr>
        <w:spacing w:after="0" w:line="240" w:lineRule="auto"/>
        <w:contextualSpacing/>
        <w:jc w:val="both"/>
        <w:rPr>
          <w:rFonts w:ascii="Verdana" w:eastAsia="Times New Roman" w:hAnsi="Verdana" w:cs="Arial"/>
          <w:sz w:val="20"/>
          <w:szCs w:val="20"/>
          <w:lang w:val="es-ES_tradnl" w:eastAsia="es-MX"/>
        </w:rPr>
      </w:pPr>
    </w:p>
    <w:p w14:paraId="44D821D2" w14:textId="77777777" w:rsidR="00EB5968" w:rsidRPr="00F252D7" w:rsidRDefault="00EB5968" w:rsidP="00EB5968">
      <w:pPr>
        <w:spacing w:after="0" w:line="240" w:lineRule="auto"/>
        <w:contextualSpacing/>
        <w:jc w:val="both"/>
        <w:rPr>
          <w:rFonts w:ascii="Verdana" w:eastAsia="Times New Roman" w:hAnsi="Verdana" w:cs="Arial"/>
          <w:sz w:val="20"/>
          <w:szCs w:val="20"/>
          <w:lang w:val="es-ES_tradnl" w:eastAsia="es-MX"/>
        </w:rPr>
      </w:pPr>
      <w:r w:rsidRPr="00F252D7">
        <w:rPr>
          <w:rFonts w:ascii="Verdana" w:eastAsia="Times New Roman" w:hAnsi="Verdana" w:cs="Arial"/>
          <w:sz w:val="20"/>
          <w:szCs w:val="20"/>
          <w:lang w:val="es-ES_tradnl" w:eastAsia="es-MX"/>
        </w:rPr>
        <w:t xml:space="preserve">Con base en lo anterior, para responder a su pregunta, una vez la entidad ha establecido la experiencia y los estudios que debe tener una persona natural o jurídica para celebrar un contrato de prestación de servicios, en su autonomía y como directora del proceso de contratación debe determinar cómo evaluar que esto se cumpla, sin que sea aplicable el Decreto 1083 de 2015 respecto de la equivalencia entre experiencia y estudios, ya que el artículo 2.1.1.1. que trata del objeto del decreto señala que es para el sector de la función pública en temas como “empleo público; funciones, competencias y requisitos generales para los empleos públicos de los distintos niveles jerárquicos de los organismos y entidades del orden nacional y territorial; administración de personal (…)”, entre otros. Y de acuerdo con el concepto del Departamento Administrativo de la Función Pública, “La relación contractual tiene como características la autonomía e independencia del contratista, por consiguiente los contratistas no son servidores públicos sino particulares que prestan una función pública (…)”, por lo que no es aplicable el Decreto 1083 de 2015, pero la entidad en su autonomía y como rectora del proceso de contratación puede determinar la observancia de la equivalencia entre experiencia y estudios allí establecida. </w:t>
      </w:r>
    </w:p>
    <w:p w14:paraId="32963BCC" w14:textId="77777777" w:rsidR="00EB5968" w:rsidRPr="00F252D7" w:rsidRDefault="00EB5968" w:rsidP="00EB5968">
      <w:pPr>
        <w:spacing w:after="0" w:line="240" w:lineRule="auto"/>
        <w:jc w:val="both"/>
        <w:rPr>
          <w:rFonts w:ascii="Verdana" w:eastAsia="Times New Roman" w:hAnsi="Verdana" w:cs="Arial"/>
          <w:noProof/>
          <w:lang w:val="es-ES" w:eastAsia="es-ES_tradnl"/>
        </w:rPr>
      </w:pPr>
    </w:p>
    <w:p w14:paraId="4880D807"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11EC52FF"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3238BAEF"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45682270"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46FE04B2"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1A06EA9F"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166393F4"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052FC858"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15257D23"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5A3E5EC9"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25C73244"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65E02E19"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6455554A"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38B5DA6A"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3388E8E1"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265AC772"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03A233BD"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00A78C8A"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36C74A6C" w14:textId="77777777" w:rsidR="00EB5968" w:rsidRDefault="00EB5968" w:rsidP="00EB5968">
      <w:pPr>
        <w:spacing w:after="0" w:line="240" w:lineRule="auto"/>
        <w:jc w:val="both"/>
        <w:rPr>
          <w:rFonts w:ascii="Verdana" w:eastAsia="Times New Roman" w:hAnsi="Verdana" w:cs="Arial"/>
          <w:noProof/>
          <w:lang w:val="es-ES_tradnl" w:eastAsia="es-ES_tradnl"/>
        </w:rPr>
      </w:pPr>
    </w:p>
    <w:p w14:paraId="167EE53C" w14:textId="77777777" w:rsidR="00EB5968" w:rsidRDefault="00EB5968" w:rsidP="00EB5968">
      <w:pPr>
        <w:spacing w:after="0" w:line="240" w:lineRule="auto"/>
        <w:jc w:val="both"/>
        <w:rPr>
          <w:rFonts w:ascii="Verdana" w:eastAsia="Times New Roman" w:hAnsi="Verdana" w:cs="Arial"/>
          <w:noProof/>
          <w:lang w:val="es-ES_tradnl" w:eastAsia="es-ES_tradnl"/>
        </w:rPr>
      </w:pPr>
    </w:p>
    <w:p w14:paraId="1D2CDF21" w14:textId="77777777" w:rsidR="00EB5968" w:rsidRDefault="00EB5968" w:rsidP="00EB5968">
      <w:pPr>
        <w:spacing w:after="0" w:line="240" w:lineRule="auto"/>
        <w:jc w:val="both"/>
        <w:rPr>
          <w:rFonts w:ascii="Verdana" w:eastAsia="Times New Roman" w:hAnsi="Verdana" w:cs="Arial"/>
          <w:noProof/>
          <w:lang w:val="es-ES_tradnl" w:eastAsia="es-ES_tradnl"/>
        </w:rPr>
      </w:pPr>
    </w:p>
    <w:p w14:paraId="5D78AE88"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79CC846C"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36012E74"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665FDE7F"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06E79D7C"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7E914E5F"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277898C9" w14:textId="371289B2" w:rsidR="00EB5968" w:rsidRDefault="00EB5968" w:rsidP="00EB5968">
      <w:pPr>
        <w:spacing w:after="0" w:line="240" w:lineRule="auto"/>
        <w:jc w:val="both"/>
        <w:rPr>
          <w:rFonts w:ascii="Verdana" w:eastAsia="Times New Roman" w:hAnsi="Verdana" w:cs="Arial"/>
          <w:noProof/>
          <w:lang w:val="es-ES_tradnl" w:eastAsia="es-ES_tradnl"/>
        </w:rPr>
      </w:pPr>
      <w:r w:rsidRPr="00F252D7">
        <w:rPr>
          <w:rFonts w:ascii="Verdana" w:eastAsia="Times New Roman" w:hAnsi="Verdana" w:cs="Arial"/>
          <w:noProof/>
          <w:lang w:val="es-ES_tradnl" w:eastAsia="es-ES_tradnl"/>
        </w:rPr>
        <w:lastRenderedPageBreak/>
        <w:t xml:space="preserve">Bogotá D.C., </w:t>
      </w:r>
      <w:r w:rsidR="006151C2">
        <w:rPr>
          <w:rFonts w:ascii="Verdana" w:eastAsia="Times New Roman" w:hAnsi="Verdana" w:cs="Arial"/>
          <w:noProof/>
          <w:lang w:val="es-ES_tradnl" w:eastAsia="es-ES_tradnl"/>
        </w:rPr>
        <w:t>12 de agosto de 2024</w:t>
      </w:r>
    </w:p>
    <w:p w14:paraId="793DAF1A" w14:textId="7E6A0A67" w:rsidR="006151C2" w:rsidRDefault="00797DD6" w:rsidP="00EB5968">
      <w:pPr>
        <w:spacing w:after="0" w:line="240" w:lineRule="auto"/>
        <w:jc w:val="both"/>
        <w:rPr>
          <w:rFonts w:ascii="Verdana" w:eastAsia="Times New Roman" w:hAnsi="Verdana" w:cs="Arial"/>
          <w:noProof/>
          <w:lang w:val="es-ES_tradnl" w:eastAsia="es-ES_tradnl"/>
        </w:rPr>
      </w:pPr>
      <w:r w:rsidRPr="006151C2">
        <w:rPr>
          <w:rFonts w:ascii="Verdana" w:eastAsia="Times New Roman" w:hAnsi="Verdana" w:cs="Arial"/>
          <w:noProof/>
          <w:lang w:val="es-ES_tradnl" w:eastAsia="es-ES_tradnl"/>
        </w:rPr>
        <w:drawing>
          <wp:anchor distT="0" distB="0" distL="114300" distR="114300" simplePos="0" relativeHeight="251658240" behindDoc="0" locked="0" layoutInCell="1" allowOverlap="1" wp14:anchorId="27350F2D" wp14:editId="36FE6E55">
            <wp:simplePos x="0" y="0"/>
            <wp:positionH relativeFrom="margin">
              <wp:posOffset>2474481</wp:posOffset>
            </wp:positionH>
            <wp:positionV relativeFrom="paragraph">
              <wp:posOffset>80010</wp:posOffset>
            </wp:positionV>
            <wp:extent cx="3134669" cy="862642"/>
            <wp:effectExtent l="0" t="0" r="0" b="0"/>
            <wp:wrapNone/>
            <wp:docPr id="289216251" name="Picture 1" descr="A close 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16251" name="Picture 1" descr="A close up of a messag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40980" cy="864379"/>
                    </a:xfrm>
                    <a:prstGeom prst="rect">
                      <a:avLst/>
                    </a:prstGeom>
                  </pic:spPr>
                </pic:pic>
              </a:graphicData>
            </a:graphic>
            <wp14:sizeRelH relativeFrom="margin">
              <wp14:pctWidth>0</wp14:pctWidth>
            </wp14:sizeRelH>
            <wp14:sizeRelV relativeFrom="margin">
              <wp14:pctHeight>0</wp14:pctHeight>
            </wp14:sizeRelV>
          </wp:anchor>
        </w:drawing>
      </w:r>
    </w:p>
    <w:p w14:paraId="3E8C4E31" w14:textId="45C70079" w:rsidR="006151C2" w:rsidRPr="00F252D7" w:rsidRDefault="006151C2" w:rsidP="006151C2">
      <w:pPr>
        <w:spacing w:after="0" w:line="240" w:lineRule="auto"/>
        <w:jc w:val="right"/>
        <w:rPr>
          <w:rFonts w:ascii="Verdana" w:eastAsia="Times New Roman" w:hAnsi="Verdana" w:cs="Arial"/>
          <w:noProof/>
          <w:lang w:val="es-ES_tradnl" w:eastAsia="es-ES_tradnl"/>
        </w:rPr>
      </w:pPr>
    </w:p>
    <w:p w14:paraId="588A1DAD" w14:textId="77777777" w:rsidR="00EB5968" w:rsidRPr="00F252D7" w:rsidRDefault="00EB5968" w:rsidP="00EB5968">
      <w:pPr>
        <w:spacing w:after="0" w:line="240" w:lineRule="auto"/>
        <w:jc w:val="both"/>
        <w:rPr>
          <w:rFonts w:ascii="Verdana" w:eastAsia="Times New Roman" w:hAnsi="Verdana" w:cs="Arial"/>
          <w:noProof/>
          <w:lang w:val="es-ES_tradnl" w:eastAsia="es-ES_tradnl"/>
        </w:rPr>
      </w:pPr>
    </w:p>
    <w:p w14:paraId="5A217199" w14:textId="77777777" w:rsidR="00EB5968" w:rsidRPr="00F252D7" w:rsidRDefault="00EB5968" w:rsidP="00EB5968">
      <w:pPr>
        <w:spacing w:after="0" w:line="240" w:lineRule="auto"/>
        <w:jc w:val="both"/>
        <w:rPr>
          <w:rFonts w:ascii="Verdana" w:eastAsia="Calibri" w:hAnsi="Verdana" w:cs="Arial"/>
          <w:lang w:val="es-ES" w:eastAsia="es-ES_tradnl"/>
        </w:rPr>
      </w:pPr>
      <w:r w:rsidRPr="00F252D7">
        <w:rPr>
          <w:rFonts w:ascii="Verdana" w:eastAsia="Calibri" w:hAnsi="Verdana" w:cs="Arial"/>
          <w:lang w:val="es-ES" w:eastAsia="es-ES_tradnl"/>
        </w:rPr>
        <w:t>Señor</w:t>
      </w:r>
    </w:p>
    <w:p w14:paraId="500FDBFD" w14:textId="77777777" w:rsidR="00EB5968" w:rsidRPr="00F252D7" w:rsidRDefault="00EB5968" w:rsidP="00EB5968">
      <w:pPr>
        <w:spacing w:after="0" w:line="240" w:lineRule="auto"/>
        <w:rPr>
          <w:rFonts w:ascii="Verdana" w:eastAsia="Calibri" w:hAnsi="Verdana" w:cs="Arial"/>
          <w:b/>
          <w:bCs/>
          <w:lang w:val="es-ES" w:eastAsia="es-ES_tradnl"/>
        </w:rPr>
      </w:pPr>
      <w:r w:rsidRPr="00F252D7">
        <w:rPr>
          <w:rFonts w:ascii="Verdana" w:eastAsia="Calibri" w:hAnsi="Verdana" w:cs="Arial"/>
          <w:b/>
          <w:bCs/>
          <w:lang w:val="es-ES" w:eastAsia="es-ES_tradnl"/>
        </w:rPr>
        <w:t>Eduardo José Acuña Gamba</w:t>
      </w:r>
    </w:p>
    <w:p w14:paraId="0B7757D9" w14:textId="77777777" w:rsidR="00EB5968" w:rsidRPr="00F252D7" w:rsidRDefault="00EB5968" w:rsidP="00EB5968">
      <w:pPr>
        <w:spacing w:after="0" w:line="240" w:lineRule="auto"/>
        <w:rPr>
          <w:rFonts w:ascii="Verdana" w:eastAsia="Calibri" w:hAnsi="Verdana" w:cs="Arial"/>
          <w:lang w:val="es-ES_tradnl" w:eastAsia="es-ES_tradnl"/>
        </w:rPr>
      </w:pPr>
      <w:r w:rsidRPr="00F252D7">
        <w:rPr>
          <w:rFonts w:ascii="Verdana" w:eastAsia="Calibri" w:hAnsi="Verdana" w:cs="Arial"/>
          <w:bCs/>
          <w:lang w:val="es-ES_tradnl" w:eastAsia="es-ES_tradnl"/>
        </w:rPr>
        <w:t>Ciudad</w:t>
      </w:r>
    </w:p>
    <w:p w14:paraId="7C71D8A0" w14:textId="77777777" w:rsidR="00EB5968" w:rsidRPr="00F252D7" w:rsidRDefault="00EB5968" w:rsidP="00EB5968">
      <w:pPr>
        <w:spacing w:after="0" w:line="240" w:lineRule="auto"/>
        <w:rPr>
          <w:rFonts w:ascii="Verdana" w:eastAsia="Calibri" w:hAnsi="Verdana" w:cs="Arial"/>
          <w:lang w:val="es-ES_tradnl" w:eastAsia="es-ES_tradnl"/>
        </w:rPr>
      </w:pPr>
    </w:p>
    <w:p w14:paraId="36906631" w14:textId="77777777" w:rsidR="00EB5968" w:rsidRPr="00F252D7" w:rsidRDefault="00EB5968" w:rsidP="00EB5968">
      <w:pPr>
        <w:spacing w:after="0" w:line="240" w:lineRule="auto"/>
        <w:rPr>
          <w:rFonts w:ascii="Verdana" w:eastAsia="Calibri" w:hAnsi="Verdana" w:cs="Arial"/>
          <w:lang w:val="es-ES_tradnl" w:eastAsia="es-ES_tradnl"/>
        </w:rPr>
      </w:pPr>
    </w:p>
    <w:p w14:paraId="5CAD2736" w14:textId="77777777" w:rsidR="00EB5968" w:rsidRPr="00F252D7" w:rsidRDefault="00EB5968" w:rsidP="00EB5968">
      <w:pPr>
        <w:spacing w:after="0" w:line="240" w:lineRule="auto"/>
        <w:ind w:left="2694"/>
        <w:rPr>
          <w:rFonts w:ascii="Verdana" w:eastAsia="Calibri" w:hAnsi="Verdana" w:cs="Arial"/>
          <w:b/>
          <w:bCs/>
          <w:lang w:val="es-ES" w:eastAsia="es-ES_tradnl"/>
        </w:rPr>
      </w:pPr>
      <w:r w:rsidRPr="00F252D7">
        <w:rPr>
          <w:rFonts w:ascii="Verdana" w:eastAsia="Calibri" w:hAnsi="Verdana" w:cs="Arial"/>
          <w:b/>
          <w:bCs/>
          <w:lang w:val="es-ES" w:eastAsia="es-ES_tradnl"/>
        </w:rPr>
        <w:t>Concepto C-258 de 2024</w:t>
      </w:r>
    </w:p>
    <w:p w14:paraId="79C63268" w14:textId="77777777" w:rsidR="00EB5968" w:rsidRPr="00F252D7" w:rsidRDefault="00EB5968" w:rsidP="00EB5968">
      <w:pPr>
        <w:spacing w:after="0" w:line="240" w:lineRule="auto"/>
        <w:jc w:val="both"/>
        <w:rPr>
          <w:rFonts w:ascii="Verdana" w:eastAsia="Calibri" w:hAnsi="Verdana"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EB5968" w:rsidRPr="00F252D7" w14:paraId="06018661" w14:textId="77777777" w:rsidTr="001B3D42">
        <w:trPr>
          <w:jc w:val="right"/>
        </w:trPr>
        <w:tc>
          <w:tcPr>
            <w:tcW w:w="1838" w:type="dxa"/>
          </w:tcPr>
          <w:p w14:paraId="4388C049" w14:textId="77777777" w:rsidR="00EB5968" w:rsidRPr="00F252D7" w:rsidRDefault="00EB5968" w:rsidP="001B3D42">
            <w:pPr>
              <w:jc w:val="center"/>
              <w:rPr>
                <w:rFonts w:ascii="Verdana" w:eastAsia="Calibri" w:hAnsi="Verdana" w:cs="Arial"/>
                <w:lang w:val="es-ES_tradnl" w:eastAsia="es-ES_tradnl"/>
              </w:rPr>
            </w:pPr>
            <w:r w:rsidRPr="00F252D7">
              <w:rPr>
                <w:rFonts w:ascii="Verdana" w:eastAsia="Calibri" w:hAnsi="Verdana" w:cs="Arial"/>
                <w:b/>
                <w:lang w:val="es-ES_tradnl" w:eastAsia="es-ES_tradnl"/>
              </w:rPr>
              <w:t>Temas:</w:t>
            </w:r>
          </w:p>
        </w:tc>
        <w:tc>
          <w:tcPr>
            <w:tcW w:w="6237" w:type="dxa"/>
          </w:tcPr>
          <w:p w14:paraId="704577C6" w14:textId="77777777" w:rsidR="00EB5968" w:rsidRDefault="00EB5968" w:rsidP="001B3D42">
            <w:pPr>
              <w:jc w:val="both"/>
              <w:textAlignment w:val="baseline"/>
              <w:rPr>
                <w:rFonts w:ascii="Verdana" w:eastAsia="Times New Roman" w:hAnsi="Verdana" w:cs="Arial"/>
                <w:lang w:eastAsia="es-ES_tradnl"/>
              </w:rPr>
            </w:pPr>
            <w:r w:rsidRPr="00F252D7">
              <w:rPr>
                <w:rFonts w:ascii="Verdana" w:eastAsia="Times New Roman" w:hAnsi="Verdana" w:cs="Arial"/>
                <w:lang w:eastAsia="es-ES_tradnl"/>
              </w:rPr>
              <w:t>PLANEACIÓN – Estudios previos / ESTUDIOS PREVIOS – Análisis del sector – Planeación en los procesos de contratación pública / ESTUDIOS PREVIOS – Contratación directa – Decreto 1083 de 2015 – Aplicación</w:t>
            </w:r>
          </w:p>
          <w:p w14:paraId="3410DD2B" w14:textId="77777777" w:rsidR="00EB5968" w:rsidRPr="00F252D7" w:rsidRDefault="00EB5968" w:rsidP="001B3D42">
            <w:pPr>
              <w:jc w:val="both"/>
              <w:textAlignment w:val="baseline"/>
              <w:rPr>
                <w:rFonts w:ascii="Verdana" w:eastAsia="Times New Roman" w:hAnsi="Verdana" w:cs="Arial"/>
                <w:lang w:val="es-ES_tradnl" w:eastAsia="es-ES_tradnl"/>
              </w:rPr>
            </w:pPr>
          </w:p>
        </w:tc>
      </w:tr>
      <w:tr w:rsidR="00EB5968" w:rsidRPr="00F252D7" w14:paraId="29686BC9" w14:textId="77777777" w:rsidTr="001B3D42">
        <w:trPr>
          <w:jc w:val="right"/>
        </w:trPr>
        <w:tc>
          <w:tcPr>
            <w:tcW w:w="1838" w:type="dxa"/>
          </w:tcPr>
          <w:p w14:paraId="038CDCDB" w14:textId="77777777" w:rsidR="00EB5968" w:rsidRPr="00F252D7" w:rsidRDefault="00EB5968" w:rsidP="001B3D42">
            <w:pPr>
              <w:jc w:val="center"/>
              <w:rPr>
                <w:rFonts w:ascii="Verdana" w:eastAsia="Calibri" w:hAnsi="Verdana" w:cs="Arial"/>
                <w:b/>
                <w:lang w:val="es-ES" w:eastAsia="es-ES_tradnl"/>
              </w:rPr>
            </w:pPr>
            <w:r w:rsidRPr="00F252D7">
              <w:rPr>
                <w:rFonts w:ascii="Verdana" w:eastAsia="Calibri" w:hAnsi="Verdana" w:cs="Arial"/>
                <w:b/>
                <w:lang w:val="es-ES" w:eastAsia="es-ES_tradnl"/>
              </w:rPr>
              <w:t>Radicación:</w:t>
            </w:r>
          </w:p>
        </w:tc>
        <w:tc>
          <w:tcPr>
            <w:tcW w:w="6237" w:type="dxa"/>
          </w:tcPr>
          <w:p w14:paraId="4E017814" w14:textId="77777777" w:rsidR="00EB5968" w:rsidRPr="00F252D7" w:rsidRDefault="00EB5968" w:rsidP="001B3D42">
            <w:pPr>
              <w:jc w:val="both"/>
              <w:rPr>
                <w:rFonts w:ascii="Verdana" w:eastAsia="Calibri" w:hAnsi="Verdana" w:cs="Arial"/>
                <w:lang w:val="es-ES" w:eastAsia="es-ES_tradnl"/>
              </w:rPr>
            </w:pPr>
            <w:r w:rsidRPr="00F252D7">
              <w:rPr>
                <w:rFonts w:ascii="Verdana" w:eastAsia="Calibri" w:hAnsi="Verdana" w:cs="Arial"/>
                <w:lang w:val="es-ES" w:eastAsia="es-ES_tradnl"/>
              </w:rPr>
              <w:t xml:space="preserve">Respuesta a consulta radicado No. </w:t>
            </w:r>
            <w:r w:rsidRPr="00F252D7">
              <w:rPr>
                <w:rFonts w:ascii="Verdana" w:eastAsia="Times New Roman" w:hAnsi="Verdana" w:cs="Arial"/>
                <w:lang w:eastAsia="es-ES_tradnl"/>
              </w:rPr>
              <w:t>P20240703006717</w:t>
            </w:r>
          </w:p>
        </w:tc>
      </w:tr>
    </w:tbl>
    <w:p w14:paraId="25FBD3AA" w14:textId="77777777" w:rsidR="00EB5968" w:rsidRPr="00F252D7" w:rsidRDefault="00EB5968" w:rsidP="00EB5968">
      <w:pPr>
        <w:spacing w:after="0" w:line="240" w:lineRule="auto"/>
        <w:jc w:val="both"/>
        <w:rPr>
          <w:rFonts w:ascii="Verdana" w:eastAsia="Calibri" w:hAnsi="Verdana" w:cs="Arial"/>
          <w:lang w:val="es-ES_tradnl" w:eastAsia="es-ES_tradnl"/>
        </w:rPr>
      </w:pPr>
    </w:p>
    <w:p w14:paraId="48F3EBD6" w14:textId="77777777" w:rsidR="00EB5968" w:rsidRPr="00F252D7" w:rsidRDefault="00EB5968" w:rsidP="00EB5968">
      <w:pPr>
        <w:spacing w:after="0" w:line="240" w:lineRule="auto"/>
        <w:jc w:val="both"/>
        <w:rPr>
          <w:rFonts w:ascii="Verdana" w:eastAsia="Calibri" w:hAnsi="Verdana" w:cs="Arial"/>
          <w:lang w:val="es-ES_tradnl" w:eastAsia="es-ES_tradnl"/>
        </w:rPr>
      </w:pPr>
    </w:p>
    <w:p w14:paraId="50AB4ABB" w14:textId="77777777" w:rsidR="00EB5968" w:rsidRPr="00F252D7" w:rsidRDefault="00EB5968" w:rsidP="00EB5968">
      <w:pPr>
        <w:spacing w:after="0" w:line="276" w:lineRule="auto"/>
        <w:contextualSpacing/>
        <w:jc w:val="both"/>
        <w:rPr>
          <w:rFonts w:ascii="Verdana" w:eastAsia="Calibri" w:hAnsi="Verdana" w:cs="Arial"/>
          <w:bCs/>
          <w:lang w:val="es-ES_tradnl" w:eastAsia="es-ES_tradnl"/>
        </w:rPr>
      </w:pPr>
      <w:r w:rsidRPr="00F252D7">
        <w:rPr>
          <w:rFonts w:ascii="Verdana" w:eastAsia="Calibri" w:hAnsi="Verdana" w:cs="Arial"/>
          <w:lang w:val="es-ES_tradnl" w:eastAsia="es-ES_tradnl"/>
        </w:rPr>
        <w:t>Estimado señor Acuña</w:t>
      </w:r>
      <w:r w:rsidRPr="00F252D7">
        <w:rPr>
          <w:rFonts w:ascii="Verdana" w:eastAsia="Calibri" w:hAnsi="Verdana" w:cs="Arial"/>
          <w:bCs/>
          <w:lang w:val="es-ES_tradnl" w:eastAsia="es-ES_tradnl"/>
        </w:rPr>
        <w:t>:</w:t>
      </w:r>
    </w:p>
    <w:p w14:paraId="565EC78B" w14:textId="77777777" w:rsidR="00EB5968" w:rsidRPr="00F252D7" w:rsidRDefault="00EB5968" w:rsidP="00EB5968">
      <w:pPr>
        <w:spacing w:after="0" w:line="276" w:lineRule="auto"/>
        <w:contextualSpacing/>
        <w:jc w:val="both"/>
        <w:rPr>
          <w:rFonts w:ascii="Verdana" w:eastAsia="Calibri" w:hAnsi="Verdana" w:cs="Arial"/>
          <w:lang w:val="es-ES_tradnl" w:eastAsia="es-ES_tradnl"/>
        </w:rPr>
      </w:pPr>
    </w:p>
    <w:p w14:paraId="0D19F0A6" w14:textId="77777777" w:rsidR="00EB5968" w:rsidRPr="00F252D7" w:rsidRDefault="00EB5968" w:rsidP="00EB5968">
      <w:pPr>
        <w:spacing w:after="0" w:line="276" w:lineRule="auto"/>
        <w:contextualSpacing/>
        <w:jc w:val="both"/>
        <w:rPr>
          <w:rFonts w:ascii="Verdana" w:eastAsia="Calibri" w:hAnsi="Verdana" w:cs="Arial"/>
          <w:lang w:val="es-ES" w:eastAsia="es-ES_tradnl"/>
        </w:rPr>
      </w:pPr>
      <w:r w:rsidRPr="00F252D7">
        <w:rPr>
          <w:rFonts w:ascii="Verdana" w:eastAsia="Calibri" w:hAnsi="Verdana" w:cs="Arial"/>
          <w:lang w:val="es-ES" w:eastAsia="es-ES_tradnl"/>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3 de julio de 2024, remitida por el Departamento Administrativo de la Función Pública mediante radicado No. 20242040446081, en la cual manifiesta lo siguiente:</w:t>
      </w:r>
    </w:p>
    <w:p w14:paraId="3731B8EB" w14:textId="77777777" w:rsidR="00EB5968" w:rsidRPr="00F252D7" w:rsidRDefault="00EB5968" w:rsidP="00EB5968">
      <w:pPr>
        <w:spacing w:after="0" w:line="276" w:lineRule="auto"/>
        <w:contextualSpacing/>
        <w:jc w:val="both"/>
        <w:rPr>
          <w:rFonts w:ascii="Verdana" w:eastAsia="Calibri" w:hAnsi="Verdana" w:cs="Arial"/>
          <w:b/>
          <w:szCs w:val="24"/>
          <w:lang w:val="es-ES_tradnl" w:eastAsia="es-ES_tradnl"/>
        </w:rPr>
      </w:pPr>
    </w:p>
    <w:p w14:paraId="098FD416"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eastAsia="es-ES_tradnl"/>
        </w:rPr>
      </w:pPr>
      <w:r w:rsidRPr="00F252D7">
        <w:rPr>
          <w:rFonts w:ascii="Verdana" w:eastAsia="Times New Roman" w:hAnsi="Verdana" w:cs="Arial"/>
          <w:sz w:val="21"/>
          <w:szCs w:val="21"/>
          <w:lang w:eastAsia="es-ES_tradnl"/>
        </w:rPr>
        <w:t>Teniendo en cuenta que el artículo 2.2.2.5.1 del Decreto 1083 de 2015, establece equivalencias de estudio y experiencia, aplicables a la vinculación de profesionales al servicio público y específicamente dispone en su numeral primero, lo siguiente;</w:t>
      </w:r>
    </w:p>
    <w:p w14:paraId="6DC7F2C2"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eastAsia="es-ES_tradnl"/>
        </w:rPr>
      </w:pPr>
      <w:r w:rsidRPr="00F252D7">
        <w:rPr>
          <w:rFonts w:ascii="Verdana" w:eastAsia="Times New Roman" w:hAnsi="Verdana" w:cs="Arial"/>
          <w:sz w:val="21"/>
          <w:szCs w:val="21"/>
          <w:lang w:eastAsia="es-ES_tradnl"/>
        </w:rPr>
        <w:t>(…)</w:t>
      </w:r>
    </w:p>
    <w:p w14:paraId="2AB8E11B"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eastAsia="es-ES_tradnl"/>
        </w:rPr>
      </w:pPr>
      <w:r w:rsidRPr="00F252D7">
        <w:rPr>
          <w:rFonts w:ascii="Verdana" w:eastAsia="Times New Roman" w:hAnsi="Verdana" w:cs="Arial"/>
          <w:sz w:val="21"/>
          <w:szCs w:val="21"/>
          <w:lang w:eastAsia="es-ES_tradnl"/>
        </w:rPr>
        <w:t>En una entidad territorial donde no se cuenta con tabla de equivalencias entre estudio y experiencia, ¿es dable aplicar los criterios de equivalencias que se encuentran descritos en el artículo 2.2.2.5.1 del Decreto 1083 de 2015, al momento de vinculación de profesionales al servicio público, a personas a través de contratos de prestación de servicios?”.</w:t>
      </w:r>
    </w:p>
    <w:p w14:paraId="11A0A08E"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eastAsia="es-ES_tradnl"/>
        </w:rPr>
      </w:pPr>
    </w:p>
    <w:p w14:paraId="5A3C0F99" w14:textId="77777777" w:rsidR="00EB5968" w:rsidRPr="00F252D7" w:rsidRDefault="00EB5968" w:rsidP="00EB5968">
      <w:pPr>
        <w:spacing w:after="120" w:line="276" w:lineRule="auto"/>
        <w:ind w:firstLine="709"/>
        <w:jc w:val="both"/>
        <w:rPr>
          <w:rFonts w:ascii="Verdana" w:eastAsia="Calibri" w:hAnsi="Verdana" w:cs="Arial"/>
          <w:color w:val="000000"/>
          <w:szCs w:val="24"/>
          <w:lang w:val="es-ES_tradnl" w:eastAsia="es-ES_tradnl"/>
        </w:rPr>
      </w:pPr>
      <w:r w:rsidRPr="00F252D7">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252D7">
        <w:rPr>
          <w:rFonts w:ascii="Verdana" w:eastAsia="Calibri" w:hAnsi="Verdana" w:cs="Arial"/>
          <w:color w:val="000000"/>
          <w:szCs w:val="24"/>
          <w:lang w:val="es-ES_tradnl" w:eastAsia="es-ES_tradnl"/>
        </w:rPr>
        <w:tab/>
      </w:r>
    </w:p>
    <w:p w14:paraId="4D2F3A45" w14:textId="77777777" w:rsidR="00EB5968" w:rsidRPr="00F252D7" w:rsidRDefault="00EB5968" w:rsidP="00EB5968">
      <w:pPr>
        <w:spacing w:after="0" w:line="276" w:lineRule="auto"/>
        <w:ind w:firstLine="709"/>
        <w:jc w:val="both"/>
        <w:rPr>
          <w:rFonts w:ascii="Verdana" w:eastAsia="Calibri" w:hAnsi="Verdana" w:cs="Arial"/>
          <w:lang w:val="es-ES" w:eastAsia="es-ES"/>
        </w:rPr>
      </w:pPr>
      <w:r w:rsidRPr="00F252D7">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7DB532B" w14:textId="77777777" w:rsidR="00EB5968" w:rsidRPr="00F252D7" w:rsidRDefault="00EB5968" w:rsidP="00EB5968">
      <w:pPr>
        <w:spacing w:after="0" w:line="276" w:lineRule="auto"/>
        <w:contextualSpacing/>
        <w:jc w:val="both"/>
        <w:rPr>
          <w:rFonts w:ascii="Verdana" w:eastAsia="Times New Roman" w:hAnsi="Verdana" w:cs="Arial"/>
          <w:szCs w:val="24"/>
          <w:lang w:val="es-ES_tradnl" w:eastAsia="es-ES_tradnl"/>
        </w:rPr>
      </w:pPr>
    </w:p>
    <w:p w14:paraId="241253E4" w14:textId="77777777" w:rsidR="00EB5968" w:rsidRPr="00F252D7" w:rsidRDefault="00EB5968" w:rsidP="00EB5968">
      <w:pPr>
        <w:tabs>
          <w:tab w:val="left" w:pos="0"/>
          <w:tab w:val="left" w:pos="284"/>
        </w:tabs>
        <w:spacing w:after="0" w:line="276" w:lineRule="auto"/>
        <w:contextualSpacing/>
        <w:jc w:val="both"/>
        <w:rPr>
          <w:rFonts w:ascii="Verdana" w:eastAsia="Calibri" w:hAnsi="Verdana" w:cs="Arial"/>
          <w:b/>
          <w:lang w:val="es-ES_tradnl"/>
        </w:rPr>
      </w:pPr>
      <w:r w:rsidRPr="00F252D7">
        <w:rPr>
          <w:rFonts w:ascii="Verdana" w:eastAsia="Calibri" w:hAnsi="Verdana" w:cs="Arial"/>
          <w:b/>
          <w:lang w:val="es-ES_tradnl"/>
        </w:rPr>
        <w:t>1. Problema planteado:</w:t>
      </w:r>
    </w:p>
    <w:p w14:paraId="6E291F4D" w14:textId="77777777" w:rsidR="00EB5968" w:rsidRPr="00F252D7" w:rsidRDefault="00EB5968" w:rsidP="00EB5968">
      <w:pPr>
        <w:tabs>
          <w:tab w:val="left" w:pos="0"/>
          <w:tab w:val="left" w:pos="284"/>
        </w:tabs>
        <w:spacing w:after="0" w:line="276" w:lineRule="auto"/>
        <w:contextualSpacing/>
        <w:jc w:val="both"/>
        <w:rPr>
          <w:rFonts w:ascii="Verdana" w:eastAsia="Calibri" w:hAnsi="Verdana" w:cs="Arial"/>
          <w:b/>
          <w:lang w:val="es-ES_tradnl"/>
        </w:rPr>
      </w:pPr>
    </w:p>
    <w:p w14:paraId="3AA2C622" w14:textId="77777777" w:rsidR="00EB5968" w:rsidRPr="00F252D7" w:rsidRDefault="00EB5968" w:rsidP="00EB5968">
      <w:pPr>
        <w:spacing w:after="0" w:line="276" w:lineRule="auto"/>
        <w:jc w:val="both"/>
        <w:rPr>
          <w:rFonts w:ascii="Verdana" w:eastAsia="Century Gothic" w:hAnsi="Verdana" w:cs="Century Gothic"/>
        </w:rPr>
      </w:pPr>
      <w:r w:rsidRPr="00F252D7">
        <w:rPr>
          <w:rFonts w:ascii="Verdana" w:eastAsia="Century Gothic" w:hAnsi="Verdana" w:cs="Century Gothic"/>
        </w:rPr>
        <w:t xml:space="preserve">De acuerdo con el contenido de su solicitud, esta Agencia resolverá el siguiente problema jurídico: ¿Se puede aplicar el Decreto 1083 de 2015 a la celebración de contratos de prestación de servicios respecto de la equivalencia entre experiencia y estudios? </w:t>
      </w:r>
    </w:p>
    <w:p w14:paraId="1197D541" w14:textId="77777777" w:rsidR="00EB5968" w:rsidRPr="00F252D7" w:rsidRDefault="00EB5968" w:rsidP="00EB5968">
      <w:pPr>
        <w:spacing w:after="0" w:line="276" w:lineRule="auto"/>
        <w:ind w:firstLine="709"/>
        <w:jc w:val="both"/>
        <w:rPr>
          <w:rFonts w:ascii="Verdana" w:eastAsia="Calibri" w:hAnsi="Verdana" w:cs="Arial"/>
          <w:lang w:val="es-ES" w:eastAsia="es-ES_tradnl"/>
        </w:rPr>
      </w:pPr>
    </w:p>
    <w:p w14:paraId="08DCDC5C" w14:textId="77777777" w:rsidR="00EB5968" w:rsidRPr="00F252D7" w:rsidRDefault="00EB5968" w:rsidP="00EB5968">
      <w:pPr>
        <w:tabs>
          <w:tab w:val="left" w:pos="142"/>
          <w:tab w:val="left" w:pos="284"/>
        </w:tabs>
        <w:spacing w:after="0" w:line="276" w:lineRule="auto"/>
        <w:jc w:val="both"/>
        <w:rPr>
          <w:rFonts w:ascii="Verdana" w:eastAsia="Century Gothic" w:hAnsi="Verdana" w:cs="Century Gothic"/>
          <w:b/>
          <w:bCs/>
        </w:rPr>
      </w:pPr>
      <w:r w:rsidRPr="00F252D7">
        <w:rPr>
          <w:rFonts w:ascii="Verdana" w:eastAsia="Century Gothic" w:hAnsi="Verdana" w:cs="Century Gothic"/>
          <w:b/>
          <w:bCs/>
        </w:rPr>
        <w:t>2. Respuesta:</w:t>
      </w:r>
    </w:p>
    <w:p w14:paraId="1BFE5C50" w14:textId="77777777" w:rsidR="00EB5968" w:rsidRPr="00F252D7" w:rsidRDefault="00EB5968" w:rsidP="00EB596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B5968" w:rsidRPr="00F252D7" w14:paraId="068BFF0B" w14:textId="77777777" w:rsidTr="001B3D42">
        <w:tc>
          <w:tcPr>
            <w:tcW w:w="8828" w:type="dxa"/>
            <w:shd w:val="clear" w:color="auto" w:fill="auto"/>
          </w:tcPr>
          <w:p w14:paraId="082826F5" w14:textId="77777777" w:rsidR="00EB5968" w:rsidRPr="00F252D7" w:rsidRDefault="00EB5968" w:rsidP="001B3D42">
            <w:pPr>
              <w:spacing w:after="120" w:line="276" w:lineRule="auto"/>
              <w:jc w:val="both"/>
              <w:rPr>
                <w:rFonts w:ascii="Verdana" w:eastAsia="Calibri" w:hAnsi="Verdana" w:cs="Arial"/>
                <w:szCs w:val="24"/>
                <w:lang w:val="es-ES" w:eastAsia="es-ES_tradnl"/>
              </w:rPr>
            </w:pPr>
            <w:r w:rsidRPr="00F252D7">
              <w:rPr>
                <w:rFonts w:ascii="Verdana" w:eastAsia="Calibri" w:hAnsi="Verdana" w:cs="Arial"/>
                <w:szCs w:val="24"/>
                <w:lang w:val="es-ES" w:eastAsia="es-ES_tradnl"/>
              </w:rPr>
              <w:t xml:space="preserve">De acuerdo con la </w:t>
            </w:r>
            <w:r w:rsidRPr="00F252D7">
              <w:rPr>
                <w:rFonts w:ascii="Verdana" w:eastAsia="Calibri" w:hAnsi="Verdana" w:cs="Arial"/>
                <w:bCs/>
                <w:lang w:val="es-ES_tradnl" w:eastAsia="es-MX"/>
              </w:rPr>
              <w:t>“Guía para la Elaboración de Estudios del Sector” expedida por Agencia Nacional de Contratación Pública – Colombia Compra Eficiente, respecto de la contratación directa, particularmente de un contrato de prestación de servicios, el estudio del sector se centra, entre otros aspectos, en “las condiciones de idoneidad y/o experiencia que llevan a contratar a la persona natural o jurídica que está en condiciones de desarrollar dicho objeto”.</w:t>
            </w:r>
          </w:p>
          <w:p w14:paraId="076B39D5" w14:textId="77777777" w:rsidR="00EB5968" w:rsidRDefault="00EB5968" w:rsidP="001B3D42">
            <w:pPr>
              <w:spacing w:after="120" w:line="276" w:lineRule="auto"/>
              <w:ind w:firstLine="851"/>
              <w:jc w:val="both"/>
              <w:rPr>
                <w:rFonts w:ascii="Verdana" w:eastAsia="Calibri" w:hAnsi="Verdana" w:cs="Arial"/>
                <w:szCs w:val="24"/>
                <w:lang w:val="es-ES" w:eastAsia="es-ES_tradnl"/>
              </w:rPr>
            </w:pPr>
            <w:r w:rsidRPr="00F252D7">
              <w:rPr>
                <w:rFonts w:ascii="Verdana" w:eastAsia="Times New Roman" w:hAnsi="Verdana" w:cs="Arial"/>
                <w:lang w:eastAsia="es-ES_tradnl"/>
              </w:rPr>
              <w:t>Con</w:t>
            </w:r>
            <w:r w:rsidRPr="00F252D7">
              <w:rPr>
                <w:rFonts w:ascii="Verdana" w:eastAsia="Calibri" w:hAnsi="Verdana" w:cs="Arial"/>
                <w:szCs w:val="24"/>
                <w:lang w:val="es-ES" w:eastAsia="es-ES_tradnl"/>
              </w:rPr>
              <w:t xml:space="preserve"> base en lo anterior, para responder a su pregunta, una vez la entidad ha establecido la experiencia y los estudios que debe tener una persona natural o jurídica para celebrar un contrato de prestación de servicios, </w:t>
            </w:r>
            <w:r w:rsidRPr="00F252D7">
              <w:rPr>
                <w:rFonts w:ascii="Verdana" w:eastAsia="Calibri" w:hAnsi="Verdana" w:cs="Arial"/>
                <w:szCs w:val="24"/>
                <w:lang w:val="es-ES" w:eastAsia="es-ES_tradnl"/>
              </w:rPr>
              <w:lastRenderedPageBreak/>
              <w:t xml:space="preserve">en su autonomía y como directora del proceso de contratación debe determinar cómo evaluar que esto se cumpla, sin que sea </w:t>
            </w:r>
            <w:r>
              <w:rPr>
                <w:rFonts w:ascii="Verdana" w:eastAsia="Calibri" w:hAnsi="Verdana" w:cs="Arial"/>
                <w:szCs w:val="24"/>
                <w:lang w:val="es-ES" w:eastAsia="es-ES_tradnl"/>
              </w:rPr>
              <w:t xml:space="preserve">obligatorio la </w:t>
            </w:r>
            <w:r w:rsidRPr="00F252D7">
              <w:rPr>
                <w:rFonts w:ascii="Verdana" w:eastAsia="Calibri" w:hAnsi="Verdana" w:cs="Arial"/>
                <w:szCs w:val="24"/>
                <w:lang w:val="es-ES" w:eastAsia="es-ES_tradnl"/>
              </w:rPr>
              <w:t>aplicab</w:t>
            </w:r>
            <w:r>
              <w:rPr>
                <w:rFonts w:ascii="Verdana" w:eastAsia="Calibri" w:hAnsi="Verdana" w:cs="Arial"/>
                <w:szCs w:val="24"/>
                <w:lang w:val="es-ES" w:eastAsia="es-ES_tradnl"/>
              </w:rPr>
              <w:t>ilidad</w:t>
            </w:r>
            <w:r w:rsidRPr="00F252D7">
              <w:rPr>
                <w:rFonts w:ascii="Verdana" w:eastAsia="Calibri" w:hAnsi="Verdana" w:cs="Arial"/>
                <w:szCs w:val="24"/>
                <w:lang w:val="es-ES" w:eastAsia="es-ES_tradnl"/>
              </w:rPr>
              <w:t xml:space="preserve"> el Decreto 1083 de 2015 respecto de la equivalencia entre experiencia y estudios, ya que el artículo 2.1.1.1. que trata del objeto del decreto señala que es para el sector de la función pública en temas como “empleo público; funciones, competencias y requisitos generales para los empleos públicos de los distintos niveles jerárquicos de los organismos y entidades del orden nacional y territorial; administración de personal (…)”, entre otros. </w:t>
            </w:r>
          </w:p>
          <w:p w14:paraId="37965607" w14:textId="77777777" w:rsidR="00EB5968" w:rsidRPr="00731D0E" w:rsidRDefault="00EB5968" w:rsidP="001B3D42">
            <w:pPr>
              <w:spacing w:after="120" w:line="276" w:lineRule="auto"/>
              <w:ind w:firstLine="851"/>
              <w:jc w:val="both"/>
              <w:rPr>
                <w:rFonts w:ascii="Verdana" w:eastAsia="Calibri" w:hAnsi="Verdana" w:cs="Arial"/>
                <w:szCs w:val="24"/>
                <w:lang w:val="es-ES" w:eastAsia="es-ES_tradnl"/>
              </w:rPr>
            </w:pPr>
            <w:r>
              <w:rPr>
                <w:rFonts w:ascii="Verdana" w:eastAsia="Calibri" w:hAnsi="Verdana" w:cs="Arial"/>
                <w:szCs w:val="24"/>
                <w:lang w:val="es-ES" w:eastAsia="es-ES_tradnl"/>
              </w:rPr>
              <w:t>D</w:t>
            </w:r>
            <w:r w:rsidRPr="00F252D7">
              <w:rPr>
                <w:rFonts w:ascii="Verdana" w:eastAsia="Calibri" w:hAnsi="Verdana" w:cs="Arial"/>
                <w:szCs w:val="24"/>
                <w:lang w:val="es-ES" w:eastAsia="es-ES_tradnl"/>
              </w:rPr>
              <w:t>e acuerdo con el concepto del Departamento Administrativo de la Función Pública</w:t>
            </w:r>
            <w:r>
              <w:rPr>
                <w:rStyle w:val="Refdenotaalpie"/>
                <w:rFonts w:ascii="Verdana" w:eastAsia="Calibri" w:hAnsi="Verdana" w:cs="Arial"/>
                <w:szCs w:val="24"/>
                <w:lang w:val="es-ES" w:eastAsia="es-ES_tradnl"/>
              </w:rPr>
              <w:footnoteReference w:id="2"/>
            </w:r>
            <w:r w:rsidRPr="00F252D7">
              <w:rPr>
                <w:rFonts w:ascii="Verdana" w:eastAsia="Calibri" w:hAnsi="Verdana" w:cs="Arial"/>
                <w:szCs w:val="24"/>
                <w:lang w:val="es-ES" w:eastAsia="es-ES_tradnl"/>
              </w:rPr>
              <w:t>, “La relación contractual tiene como características la autonomía e independencia del contratista, por consiguiente, los contratistas no son servidores públicos sino particulares que prestan una función pública (…)”, por lo que no es aplicable el Decreto 1083 de 2015</w:t>
            </w:r>
            <w:r>
              <w:rPr>
                <w:rFonts w:ascii="Verdana" w:eastAsia="Calibri" w:hAnsi="Verdana" w:cs="Arial"/>
                <w:szCs w:val="24"/>
                <w:lang w:val="es-ES" w:eastAsia="es-ES_tradnl"/>
              </w:rPr>
              <w:t>. Ahora bien,</w:t>
            </w:r>
            <w:r w:rsidRPr="00F252D7">
              <w:rPr>
                <w:rFonts w:ascii="Verdana" w:eastAsia="Calibri" w:hAnsi="Verdana" w:cs="Arial"/>
                <w:szCs w:val="24"/>
                <w:lang w:val="es-ES" w:eastAsia="es-ES_tradnl"/>
              </w:rPr>
              <w:t xml:space="preserve"> la entidad en su autonomía y como rectora del proceso de contratación puede determinar </w:t>
            </w:r>
            <w:r w:rsidRPr="00731D0E">
              <w:rPr>
                <w:rFonts w:ascii="Verdana" w:eastAsia="Calibri" w:hAnsi="Verdana" w:cs="Arial"/>
                <w:szCs w:val="24"/>
                <w:lang w:val="es-ES" w:eastAsia="es-ES_tradnl"/>
              </w:rPr>
              <w:t>la observancia de la equivalencia entre experiencia y estudios allí establecida y tendrá que justificarlo en los estudios previos y análisis del sector.</w:t>
            </w:r>
          </w:p>
          <w:p w14:paraId="1D6F267B" w14:textId="77777777" w:rsidR="00EB5968" w:rsidRDefault="00EB5968" w:rsidP="001B3D42">
            <w:pPr>
              <w:spacing w:after="120" w:line="276" w:lineRule="auto"/>
              <w:ind w:firstLine="851"/>
              <w:jc w:val="both"/>
              <w:rPr>
                <w:rFonts w:ascii="Verdana" w:eastAsia="Calibri" w:hAnsi="Verdana" w:cs="Arial"/>
                <w:szCs w:val="24"/>
                <w:lang w:val="es-ES" w:eastAsia="es-ES_tradnl"/>
              </w:rPr>
            </w:pPr>
            <w:r w:rsidRPr="00731D0E">
              <w:rPr>
                <w:rFonts w:ascii="Verdana" w:eastAsia="Calibri" w:hAnsi="Verdana" w:cs="Arial"/>
                <w:szCs w:val="24"/>
                <w:lang w:val="es-ES" w:eastAsia="es-ES_tradnl"/>
              </w:rPr>
              <w:t xml:space="preserve">Así mismo se indica que las entidades estatales de orden nacional y descentralizada al iniciar su vigencia fiscal correspondiente emiten un acto administrativo en las que regulan y estandarizan los valores de los honorarios de acuerdo con los años y/o meses de experiencia y formación profesional de los proveedores del servicio profesional. Lo anterior lo realizan con el fin de garantizar la austeridad del gasto público, la sostenibilidad financiera del presupuesto, el flujo de caja y la igual de condiciones en los contratistas que aportan idoneidad en la experiencia y formación profesional. </w:t>
            </w:r>
          </w:p>
          <w:p w14:paraId="4C2411A7" w14:textId="77777777" w:rsidR="00EB5968" w:rsidRPr="00960519" w:rsidRDefault="00EB5968" w:rsidP="001B3D42">
            <w:pPr>
              <w:spacing w:after="120" w:line="276" w:lineRule="auto"/>
              <w:ind w:firstLine="851"/>
              <w:jc w:val="both"/>
              <w:rPr>
                <w:rFonts w:ascii="Verdana" w:hAnsi="Verdana"/>
              </w:rPr>
            </w:pPr>
            <w:r w:rsidRPr="00731D0E">
              <w:rPr>
                <w:rFonts w:ascii="Verdana" w:eastAsia="Calibri" w:hAnsi="Verdana" w:cs="Arial"/>
                <w:szCs w:val="24"/>
                <w:lang w:val="es-ES" w:eastAsia="es-ES_tradnl"/>
              </w:rPr>
              <w:t xml:space="preserve">En conclusión, la entidad estatal dentro de su discrecionalidad expedirá el acto administrativo por la cual adopta la tabla de honorarios de los contratos de prestación de servicios y de apoyo a la gestión, </w:t>
            </w:r>
            <w:r w:rsidRPr="00960519">
              <w:rPr>
                <w:rFonts w:ascii="Verdana" w:hAnsi="Verdana"/>
              </w:rPr>
              <w:t xml:space="preserve">como herramienta para establecer objetivamente los costos de los servicios requeridos, teniendo en cuenta la escolaridad y experiencia, de conformidad con los principios de transparencia, economía, responsabilidad y selección objetiva, que rigen las actuaciones de quienes intervienen en la actividad contractual. </w:t>
            </w:r>
          </w:p>
          <w:p w14:paraId="1EC60CC3" w14:textId="77777777" w:rsidR="00EB5968" w:rsidRPr="00F252D7" w:rsidRDefault="00EB5968" w:rsidP="001B3D42">
            <w:pPr>
              <w:spacing w:after="120" w:line="276" w:lineRule="auto"/>
              <w:ind w:firstLine="851"/>
              <w:jc w:val="both"/>
              <w:rPr>
                <w:rFonts w:ascii="Verdana" w:eastAsia="Calibri" w:hAnsi="Verdana" w:cs="Arial"/>
                <w:szCs w:val="24"/>
                <w:lang w:val="es-ES" w:eastAsia="es-ES_tradnl"/>
              </w:rPr>
            </w:pPr>
            <w:r w:rsidRPr="00960519">
              <w:rPr>
                <w:rFonts w:ascii="Verdana" w:hAnsi="Verdana"/>
              </w:rPr>
              <w:lastRenderedPageBreak/>
              <w:t xml:space="preserve">En su defecto el perfil, requisitos mínimos de escolaridad, experiencia en meses o años del contratista y el valor de los honorarios a pagar, se definirán en los estudios previos y </w:t>
            </w:r>
            <w:proofErr w:type="spellStart"/>
            <w:r w:rsidRPr="00960519">
              <w:rPr>
                <w:rFonts w:ascii="Verdana" w:hAnsi="Verdana"/>
              </w:rPr>
              <w:t>analisis</w:t>
            </w:r>
            <w:proofErr w:type="spellEnd"/>
            <w:r w:rsidRPr="00960519">
              <w:rPr>
                <w:rFonts w:ascii="Verdana" w:hAnsi="Verdana"/>
              </w:rPr>
              <w:t xml:space="preserve"> del sector en concordancia con las competencias inherentes al objeto y obligaciones contractuales requeridas por la entidad con base en lo establecido en el acto administrativo que regule los honorarios.</w:t>
            </w:r>
          </w:p>
          <w:p w14:paraId="2EE44731" w14:textId="77777777" w:rsidR="00EB5968" w:rsidRPr="00F252D7" w:rsidRDefault="00EB5968" w:rsidP="001B3D42">
            <w:pPr>
              <w:spacing w:line="276" w:lineRule="auto"/>
              <w:ind w:firstLine="708"/>
              <w:jc w:val="both"/>
              <w:rPr>
                <w:rFonts w:ascii="Verdana" w:eastAsia="Calibri" w:hAnsi="Verdana" w:cs="Arial"/>
                <w:color w:val="7030A0"/>
              </w:rPr>
            </w:pPr>
            <w:r w:rsidRPr="00F252D7">
              <w:rPr>
                <w:rFonts w:ascii="Verdana" w:eastAsia="Times New Roman" w:hAnsi="Verdana" w:cs="Arial"/>
                <w:lang w:eastAsia="es-ES_tradnl"/>
              </w:rPr>
              <w:t>Sin perjuicio de las aclaraciones anteriores, debe advertirse que es la entidad contratante, al momento de adelantar su actividad contractual, quien debe determinar lo correspondiente a los contratos de prestación de servicios. Dado esto, y en atención al alcance la función consultiva atribuida a esta Agencia, lo aquí mencionado no constituye un juicio de valor sobre un proceso contractual particular.</w:t>
            </w:r>
          </w:p>
        </w:tc>
      </w:tr>
    </w:tbl>
    <w:p w14:paraId="43C3ED1D" w14:textId="77777777" w:rsidR="00EB5968" w:rsidRPr="00F252D7" w:rsidRDefault="00EB5968" w:rsidP="00EB5968">
      <w:pPr>
        <w:spacing w:after="0" w:line="276" w:lineRule="auto"/>
        <w:contextualSpacing/>
        <w:jc w:val="both"/>
        <w:rPr>
          <w:rFonts w:ascii="Verdana" w:eastAsia="Times New Roman" w:hAnsi="Verdana" w:cs="Arial"/>
          <w:lang w:eastAsia="es-ES_tradnl"/>
        </w:rPr>
      </w:pPr>
    </w:p>
    <w:p w14:paraId="4E6C3A24" w14:textId="77777777" w:rsidR="00EB5968" w:rsidRPr="00F252D7" w:rsidRDefault="00EB5968" w:rsidP="00EB5968">
      <w:pPr>
        <w:tabs>
          <w:tab w:val="left" w:pos="142"/>
          <w:tab w:val="left" w:pos="284"/>
        </w:tabs>
        <w:spacing w:after="0" w:line="276" w:lineRule="auto"/>
        <w:jc w:val="both"/>
        <w:rPr>
          <w:rFonts w:ascii="Verdana" w:eastAsia="Century Gothic" w:hAnsi="Verdana" w:cs="Century Gothic"/>
          <w:b/>
          <w:bCs/>
          <w:lang w:val="es-ES"/>
        </w:rPr>
      </w:pPr>
      <w:r w:rsidRPr="00F252D7">
        <w:rPr>
          <w:rFonts w:ascii="Verdana" w:eastAsia="Century Gothic" w:hAnsi="Verdana" w:cs="Century Gothic"/>
          <w:b/>
          <w:bCs/>
          <w:lang w:val="es-ES"/>
        </w:rPr>
        <w:t>3. Razones de la respuesta:</w:t>
      </w:r>
    </w:p>
    <w:p w14:paraId="28FF514B" w14:textId="77777777" w:rsidR="00EB5968" w:rsidRPr="00F252D7" w:rsidRDefault="00EB5968" w:rsidP="00EB5968">
      <w:pPr>
        <w:spacing w:after="0" w:line="276" w:lineRule="auto"/>
        <w:jc w:val="both"/>
        <w:rPr>
          <w:rFonts w:ascii="Verdana" w:eastAsia="Calibri" w:hAnsi="Verdana" w:cs="Arial"/>
          <w:color w:val="7030A0"/>
          <w:lang w:val="es-ES"/>
        </w:rPr>
      </w:pPr>
    </w:p>
    <w:p w14:paraId="65DE7865" w14:textId="77777777" w:rsidR="00EB5968" w:rsidRPr="00F252D7" w:rsidRDefault="00EB5968" w:rsidP="00EB5968">
      <w:pPr>
        <w:spacing w:after="0" w:line="276" w:lineRule="auto"/>
        <w:jc w:val="both"/>
        <w:rPr>
          <w:rFonts w:ascii="Verdana" w:eastAsia="Calibri" w:hAnsi="Verdana" w:cs="Arial"/>
          <w:lang w:val="es-ES"/>
        </w:rPr>
      </w:pPr>
      <w:r w:rsidRPr="00F252D7">
        <w:rPr>
          <w:rFonts w:ascii="Verdana" w:eastAsia="Calibri" w:hAnsi="Verdana" w:cs="Arial"/>
          <w:lang w:val="es-ES"/>
        </w:rPr>
        <w:t xml:space="preserve">Lo anterior se sustenta en las siguientes consideraciones: </w:t>
      </w:r>
    </w:p>
    <w:p w14:paraId="22BDA5D7" w14:textId="77777777" w:rsidR="00EB5968" w:rsidRPr="00F252D7" w:rsidRDefault="00EB5968" w:rsidP="00EB5968">
      <w:pPr>
        <w:spacing w:after="0" w:line="276" w:lineRule="auto"/>
        <w:contextualSpacing/>
        <w:jc w:val="both"/>
        <w:rPr>
          <w:rFonts w:ascii="Verdana" w:eastAsia="Times New Roman" w:hAnsi="Verdana" w:cs="Arial"/>
          <w:lang w:val="es-ES" w:eastAsia="es-ES_tradnl"/>
        </w:rPr>
      </w:pPr>
    </w:p>
    <w:p w14:paraId="608FF934" w14:textId="77777777" w:rsidR="00EB5968" w:rsidRPr="00F252D7" w:rsidRDefault="00EB5968" w:rsidP="00EB5968">
      <w:pPr>
        <w:numPr>
          <w:ilvl w:val="0"/>
          <w:numId w:val="17"/>
        </w:numPr>
        <w:spacing w:after="120" w:line="276" w:lineRule="auto"/>
        <w:contextualSpacing/>
        <w:jc w:val="both"/>
        <w:rPr>
          <w:rFonts w:ascii="Verdana" w:eastAsia="Times New Roman" w:hAnsi="Verdana" w:cs="Arial"/>
          <w:lang w:val="es-ES_tradnl" w:eastAsia="es-MX"/>
        </w:rPr>
      </w:pPr>
      <w:bookmarkStart w:id="1" w:name="_Hlk54011258"/>
      <w:r w:rsidRPr="00F252D7">
        <w:rPr>
          <w:rFonts w:ascii="Verdana" w:eastAsia="Calibri" w:hAnsi="Verdana" w:cs="Arial"/>
          <w:bCs/>
          <w:lang w:val="es-ES_tradnl" w:eastAsia="es-MX"/>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1"/>
      <w:r w:rsidRPr="00F252D7">
        <w:rPr>
          <w:rFonts w:ascii="Verdana" w:eastAsia="Calibri" w:hAnsi="Verdana" w:cs="Arial"/>
          <w:bCs/>
          <w:lang w:val="es-ES_tradnl" w:eastAsia="es-MX"/>
        </w:rPr>
        <w:t>.</w:t>
      </w:r>
    </w:p>
    <w:p w14:paraId="0E582067" w14:textId="77777777" w:rsidR="00EB5968" w:rsidRPr="00F252D7" w:rsidRDefault="00EB5968" w:rsidP="00EB5968">
      <w:pPr>
        <w:spacing w:after="120" w:line="276" w:lineRule="auto"/>
        <w:ind w:left="720"/>
        <w:contextualSpacing/>
        <w:jc w:val="both"/>
        <w:rPr>
          <w:rFonts w:ascii="Verdana" w:eastAsia="Times New Roman" w:hAnsi="Verdana" w:cs="Arial"/>
          <w:lang w:val="es-ES_tradnl" w:eastAsia="es-MX"/>
        </w:rPr>
      </w:pPr>
    </w:p>
    <w:p w14:paraId="65DFC118" w14:textId="77777777" w:rsidR="00EB5968" w:rsidRPr="00F252D7" w:rsidRDefault="00EB5968" w:rsidP="00EB5968">
      <w:pPr>
        <w:numPr>
          <w:ilvl w:val="0"/>
          <w:numId w:val="17"/>
        </w:numPr>
        <w:spacing w:before="120" w:after="0" w:line="276" w:lineRule="auto"/>
        <w:contextualSpacing/>
        <w:jc w:val="both"/>
        <w:rPr>
          <w:rFonts w:ascii="Verdana" w:eastAsia="Calibri" w:hAnsi="Verdana" w:cs="Arial"/>
          <w:bCs/>
          <w:lang w:val="es-ES" w:eastAsia="es-ES_tradnl"/>
        </w:rPr>
      </w:pPr>
      <w:r w:rsidRPr="00F252D7">
        <w:rPr>
          <w:rFonts w:ascii="Verdana" w:eastAsia="Calibri" w:hAnsi="Verdana" w:cs="Arial"/>
          <w:bCs/>
          <w:lang w:val="es-MX" w:eastAsia="es-ES_tradnl"/>
        </w:rPr>
        <w:t xml:space="preserve">El Estatuto General de Contratación de la Administración Pública – EGCAP –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53FF9FF7" w14:textId="77777777" w:rsidR="00EB5968" w:rsidRPr="00F252D7" w:rsidRDefault="00EB5968" w:rsidP="00EB5968">
      <w:pPr>
        <w:spacing w:after="0" w:line="276" w:lineRule="auto"/>
        <w:ind w:firstLine="709"/>
        <w:jc w:val="both"/>
        <w:rPr>
          <w:rFonts w:ascii="Verdana" w:eastAsia="Calibri" w:hAnsi="Verdana" w:cs="Arial"/>
          <w:bCs/>
          <w:lang w:val="es-ES" w:eastAsia="es-ES_tradnl"/>
        </w:rPr>
      </w:pPr>
    </w:p>
    <w:p w14:paraId="10A8B64D" w14:textId="77777777" w:rsidR="00EB5968" w:rsidRPr="00F252D7" w:rsidRDefault="00EB5968" w:rsidP="00EB5968">
      <w:pPr>
        <w:spacing w:after="0" w:line="240" w:lineRule="auto"/>
        <w:ind w:left="709" w:right="709"/>
        <w:contextualSpacing/>
        <w:jc w:val="both"/>
        <w:rPr>
          <w:rFonts w:ascii="Verdana" w:eastAsia="Calibri" w:hAnsi="Verdana" w:cs="Arial"/>
          <w:sz w:val="21"/>
          <w:szCs w:val="21"/>
          <w:lang w:val="es-MX" w:eastAsia="es-ES_tradnl"/>
        </w:rPr>
      </w:pPr>
      <w:r w:rsidRPr="00F252D7">
        <w:rPr>
          <w:rFonts w:ascii="Verdana" w:eastAsia="Calibri" w:hAnsi="Verdana" w:cs="Arial"/>
          <w:sz w:val="21"/>
          <w:szCs w:val="21"/>
          <w:lang w:val="es-MX" w:eastAsia="es-ES_tradnl"/>
        </w:rPr>
        <w:lastRenderedPageBreak/>
        <w:t>“7o. La conveniencia o inconveniencia del objeto a contratar y las autorizaciones y aprobaciones para ello, se analizarán o impartirán con antelación al inicio del proceso de selección del contratista o al de la firma del contrato, según el caso.</w:t>
      </w:r>
    </w:p>
    <w:p w14:paraId="33666D35" w14:textId="77777777" w:rsidR="00EB5968" w:rsidRPr="00F252D7" w:rsidRDefault="00EB5968" w:rsidP="00EB5968">
      <w:pPr>
        <w:spacing w:after="0" w:line="240" w:lineRule="auto"/>
        <w:ind w:left="709" w:right="709"/>
        <w:contextualSpacing/>
        <w:jc w:val="both"/>
        <w:rPr>
          <w:rFonts w:ascii="Verdana" w:eastAsia="Calibri" w:hAnsi="Verdana" w:cs="Arial"/>
          <w:sz w:val="21"/>
          <w:szCs w:val="21"/>
          <w:lang w:val="es-MX" w:eastAsia="es-ES_tradnl"/>
        </w:rPr>
      </w:pPr>
    </w:p>
    <w:p w14:paraId="7B785DCC" w14:textId="77777777" w:rsidR="00EB5968" w:rsidRPr="00F252D7" w:rsidRDefault="00EB5968" w:rsidP="00EB5968">
      <w:pPr>
        <w:spacing w:after="0" w:line="240" w:lineRule="auto"/>
        <w:ind w:left="709" w:right="709"/>
        <w:contextualSpacing/>
        <w:jc w:val="both"/>
        <w:rPr>
          <w:rFonts w:ascii="Verdana" w:eastAsia="Calibri" w:hAnsi="Verdana" w:cs="Arial"/>
          <w:sz w:val="21"/>
          <w:szCs w:val="21"/>
          <w:lang w:val="es-MX" w:eastAsia="es-ES_tradnl"/>
        </w:rPr>
      </w:pPr>
      <w:r w:rsidRPr="00F252D7">
        <w:rPr>
          <w:rFonts w:ascii="Verdana" w:eastAsia="Calibri" w:hAnsi="Verdana" w:cs="Arial"/>
          <w:sz w:val="21"/>
          <w:szCs w:val="21"/>
          <w:lang w:val="es-MX" w:eastAsia="es-ES_tradnl"/>
        </w:rPr>
        <w:t>[…]</w:t>
      </w:r>
    </w:p>
    <w:p w14:paraId="53B34941" w14:textId="77777777" w:rsidR="00EB5968" w:rsidRPr="00F252D7" w:rsidRDefault="00EB5968" w:rsidP="00EB5968">
      <w:pPr>
        <w:spacing w:after="0" w:line="240" w:lineRule="auto"/>
        <w:ind w:left="709" w:right="709"/>
        <w:contextualSpacing/>
        <w:jc w:val="both"/>
        <w:rPr>
          <w:rFonts w:ascii="Verdana" w:eastAsia="Calibri" w:hAnsi="Verdana" w:cs="Arial"/>
          <w:sz w:val="21"/>
          <w:szCs w:val="21"/>
          <w:lang w:val="es-MX" w:eastAsia="es-ES_tradnl"/>
        </w:rPr>
      </w:pPr>
    </w:p>
    <w:p w14:paraId="200E1D0E" w14:textId="77777777" w:rsidR="00EB5968" w:rsidRPr="00F252D7" w:rsidRDefault="00EB5968" w:rsidP="00EB5968">
      <w:pPr>
        <w:spacing w:after="0" w:line="240" w:lineRule="auto"/>
        <w:ind w:left="709" w:right="709"/>
        <w:contextualSpacing/>
        <w:jc w:val="both"/>
        <w:rPr>
          <w:rFonts w:ascii="Verdana" w:eastAsia="Calibri" w:hAnsi="Verdana" w:cs="Arial"/>
          <w:sz w:val="21"/>
          <w:szCs w:val="21"/>
          <w:lang w:val="es-MX" w:eastAsia="es-ES_tradnl"/>
        </w:rPr>
      </w:pPr>
      <w:r w:rsidRPr="00F252D7">
        <w:rPr>
          <w:rFonts w:ascii="Verdana" w:eastAsia="Calibri" w:hAnsi="Verdana" w:cs="Arial"/>
          <w:sz w:val="21"/>
          <w:szCs w:val="21"/>
          <w:lang w:val="es-MX" w:eastAsia="es-ES_tradnl"/>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87D5EC7" w14:textId="77777777" w:rsidR="00EB5968" w:rsidRPr="00F252D7" w:rsidRDefault="00EB5968" w:rsidP="00EB5968">
      <w:pPr>
        <w:spacing w:after="0" w:line="240" w:lineRule="auto"/>
        <w:ind w:left="709" w:right="709"/>
        <w:contextualSpacing/>
        <w:jc w:val="both"/>
        <w:rPr>
          <w:rFonts w:ascii="Verdana" w:eastAsia="Calibri" w:hAnsi="Verdana" w:cs="Arial"/>
          <w:sz w:val="21"/>
          <w:szCs w:val="21"/>
          <w:lang w:val="es-MX" w:eastAsia="es-ES_tradnl"/>
        </w:rPr>
      </w:pPr>
    </w:p>
    <w:p w14:paraId="5CA9D713" w14:textId="77777777" w:rsidR="00EB5968" w:rsidRPr="00F252D7" w:rsidRDefault="00EB5968" w:rsidP="00EB5968">
      <w:pPr>
        <w:spacing w:after="0" w:line="240" w:lineRule="auto"/>
        <w:ind w:left="709" w:right="709"/>
        <w:contextualSpacing/>
        <w:jc w:val="both"/>
        <w:rPr>
          <w:rFonts w:ascii="Verdana" w:eastAsia="Calibri" w:hAnsi="Verdana" w:cs="Arial"/>
          <w:sz w:val="21"/>
          <w:szCs w:val="21"/>
          <w:lang w:val="es-MX" w:eastAsia="es-ES_tradnl"/>
        </w:rPr>
      </w:pPr>
      <w:r w:rsidRPr="00F252D7">
        <w:rPr>
          <w:rFonts w:ascii="Verdana" w:eastAsia="Calibri" w:hAnsi="Verdana" w:cs="Arial"/>
          <w:sz w:val="21"/>
          <w:szCs w:val="21"/>
          <w:lang w:val="es-MX" w:eastAsia="es-ES_tradnl"/>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7AACEB7C" w14:textId="77777777" w:rsidR="00EB5968" w:rsidRPr="00F252D7" w:rsidRDefault="00EB5968" w:rsidP="00EB5968">
      <w:pPr>
        <w:spacing w:after="0" w:line="240" w:lineRule="auto"/>
        <w:ind w:left="709" w:right="709"/>
        <w:contextualSpacing/>
        <w:jc w:val="both"/>
        <w:rPr>
          <w:rFonts w:ascii="Verdana" w:eastAsia="Calibri" w:hAnsi="Verdana" w:cs="Arial"/>
          <w:sz w:val="21"/>
          <w:szCs w:val="21"/>
          <w:lang w:val="es-MX" w:eastAsia="es-ES_tradnl"/>
        </w:rPr>
      </w:pPr>
    </w:p>
    <w:p w14:paraId="56D2F05A"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755B93B8"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p>
    <w:p w14:paraId="553EF0AE"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6AA42058" w14:textId="77777777" w:rsidR="00EB5968" w:rsidRPr="00F252D7" w:rsidRDefault="00EB5968" w:rsidP="00EB5968">
      <w:pPr>
        <w:spacing w:after="0" w:line="276" w:lineRule="auto"/>
        <w:jc w:val="both"/>
        <w:rPr>
          <w:rFonts w:ascii="Verdana" w:eastAsia="Times New Roman" w:hAnsi="Verdana" w:cs="Arial"/>
          <w:lang w:val="es-ES_tradnl" w:eastAsia="es-MX"/>
        </w:rPr>
      </w:pPr>
    </w:p>
    <w:p w14:paraId="3579C7B5" w14:textId="77777777" w:rsidR="00EB5968" w:rsidRPr="00F252D7" w:rsidRDefault="00EB5968" w:rsidP="00EB5968">
      <w:pPr>
        <w:numPr>
          <w:ilvl w:val="0"/>
          <w:numId w:val="18"/>
        </w:numPr>
        <w:spacing w:after="0" w:line="276" w:lineRule="auto"/>
        <w:contextualSpacing/>
        <w:jc w:val="both"/>
        <w:rPr>
          <w:rFonts w:ascii="Verdana" w:eastAsia="Times New Roman" w:hAnsi="Verdana" w:cs="Arial"/>
          <w:lang w:val="es-ES_tradnl" w:eastAsia="es-MX"/>
        </w:rPr>
      </w:pPr>
      <w:r w:rsidRPr="00F252D7">
        <w:rPr>
          <w:rFonts w:ascii="Verdana" w:eastAsia="Times New Roman" w:hAnsi="Verdana" w:cs="Arial"/>
          <w:lang w:val="es-ES_tradnl" w:eastAsia="es-MX"/>
        </w:rPr>
        <w:t xml:space="preserve">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w:t>
      </w:r>
      <w:r w:rsidRPr="00F252D7">
        <w:rPr>
          <w:rFonts w:ascii="Verdana" w:eastAsia="Times New Roman" w:hAnsi="Verdana" w:cs="Arial"/>
          <w:lang w:val="es-ES_tradnl" w:eastAsia="es-MX"/>
        </w:rPr>
        <w:lastRenderedPageBreak/>
        <w:t>contratos estatales”</w:t>
      </w:r>
      <w:r w:rsidRPr="00F252D7">
        <w:rPr>
          <w:rFonts w:ascii="Geomanist Light" w:hAnsi="Geomanist Light"/>
          <w:vertAlign w:val="superscript"/>
          <w:lang w:val="es-ES" w:eastAsia="es-MX"/>
        </w:rPr>
        <w:footnoteReference w:id="3"/>
      </w:r>
      <w:r w:rsidRPr="00F252D7">
        <w:rPr>
          <w:rFonts w:ascii="Verdana" w:eastAsia="Times New Roman" w:hAnsi="Verdana" w:cs="Arial"/>
          <w:lang w:val="es-ES_tradnl" w:eastAsia="es-MX"/>
        </w:rPr>
        <w:t>. En congruencia con el artículo 25 de la Ley 80 de 1993, el Decreto Único Reglamentario del Sector Administrativo de Planeación Nacional –Decreto 1082 de 2015–, dispone en el artículo 2.2.1.1.2.1.1 el contenido mínimo de los estudios y documentos previos:</w:t>
      </w:r>
    </w:p>
    <w:p w14:paraId="1BEF2846" w14:textId="77777777" w:rsidR="00EB5968" w:rsidRPr="00F252D7" w:rsidRDefault="00EB5968" w:rsidP="00EB5968">
      <w:pPr>
        <w:spacing w:after="0" w:line="276" w:lineRule="auto"/>
        <w:rPr>
          <w:rFonts w:ascii="Verdana" w:eastAsia="Times New Roman" w:hAnsi="Verdana" w:cs="Arial"/>
          <w:lang w:val="es-ES_tradnl" w:eastAsia="es-CO"/>
        </w:rPr>
      </w:pPr>
    </w:p>
    <w:p w14:paraId="40E8BDC7"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3BC5458C"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p>
    <w:p w14:paraId="1A09E5ED"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 xml:space="preserve">1. La descripción de la necesidad que la Entidad Estatal pretende satisfacer con el Proceso de Contratación. </w:t>
      </w:r>
      <w:r w:rsidRPr="00F252D7">
        <w:rPr>
          <w:rFonts w:ascii="Arial" w:eastAsia="Times New Roman" w:hAnsi="Arial" w:cs="Arial"/>
          <w:sz w:val="21"/>
          <w:szCs w:val="21"/>
          <w:lang w:val="es-ES_tradnl" w:eastAsia="es-MX"/>
        </w:rPr>
        <w:t>​</w:t>
      </w:r>
    </w:p>
    <w:p w14:paraId="08C67551"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p>
    <w:p w14:paraId="408F4B17"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 xml:space="preserve">2. El objeto a contratar, con sus especificaciones, las autorizaciones, permisos y licencias requeridos para su ejecución, y cuando el contrato incluye diseño y construcción, los documentos técnicos para el desarrollo del proyecto. </w:t>
      </w:r>
    </w:p>
    <w:p w14:paraId="544080B4"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p>
    <w:p w14:paraId="499660F1"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 xml:space="preserve">3. La modalidad de selección del contratista y su justificación, incluyendo los fundamentos jurídicos. </w:t>
      </w:r>
    </w:p>
    <w:p w14:paraId="2911D871"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p>
    <w:p w14:paraId="2CA92731"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 xml:space="preserve">4. El valor estimado del contrato y la justificación </w:t>
      </w:r>
      <w:proofErr w:type="gramStart"/>
      <w:r w:rsidRPr="00F252D7">
        <w:rPr>
          <w:rFonts w:ascii="Verdana" w:eastAsia="Times New Roman" w:hAnsi="Verdana" w:cs="Arial"/>
          <w:sz w:val="21"/>
          <w:szCs w:val="21"/>
          <w:lang w:val="es-ES_tradnl" w:eastAsia="es-MX"/>
        </w:rPr>
        <w:t>del mismo</w:t>
      </w:r>
      <w:proofErr w:type="gramEnd"/>
      <w:r w:rsidRPr="00F252D7">
        <w:rPr>
          <w:rFonts w:ascii="Verdana" w:eastAsia="Times New Roman" w:hAnsi="Verdana" w:cs="Arial"/>
          <w:sz w:val="21"/>
          <w:szCs w:val="21"/>
          <w:lang w:val="es-ES_tradnl" w:eastAsia="es-MX"/>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705148DB"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p>
    <w:p w14:paraId="7964F364"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 xml:space="preserve">5. Los criterios para seleccionar la oferta más favorable. </w:t>
      </w:r>
    </w:p>
    <w:p w14:paraId="30DA2AA8"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p>
    <w:p w14:paraId="3CA33517"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 xml:space="preserve">6. El análisis de Riesgo y la forma de mitigarlo. </w:t>
      </w:r>
    </w:p>
    <w:p w14:paraId="5C3886D3"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p>
    <w:p w14:paraId="7F9933D3"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 xml:space="preserve">7. Las garantías que la Entidad Estatal contempla exigir en el proceso de contratación. </w:t>
      </w:r>
    </w:p>
    <w:p w14:paraId="33662A6D"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p>
    <w:p w14:paraId="71766C57"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 xml:space="preserve">8. La indicación de si el proceso de contratación está cobijado por un acuerdo comercial. </w:t>
      </w:r>
    </w:p>
    <w:p w14:paraId="67273027"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p>
    <w:p w14:paraId="656F2D65" w14:textId="77777777" w:rsidR="00EB5968" w:rsidRPr="00F252D7" w:rsidRDefault="00EB5968" w:rsidP="00EB5968">
      <w:pPr>
        <w:spacing w:after="0" w:line="240" w:lineRule="auto"/>
        <w:ind w:left="709" w:right="709"/>
        <w:contextualSpacing/>
        <w:jc w:val="both"/>
        <w:rPr>
          <w:rFonts w:ascii="Verdana" w:eastAsia="Times New Roman" w:hAnsi="Verdana" w:cs="Arial"/>
          <w:sz w:val="21"/>
          <w:szCs w:val="21"/>
          <w:lang w:val="es-ES_tradnl" w:eastAsia="es-MX"/>
        </w:rPr>
      </w:pPr>
      <w:r w:rsidRPr="00F252D7">
        <w:rPr>
          <w:rFonts w:ascii="Verdana" w:eastAsia="Times New Roman" w:hAnsi="Verdana" w:cs="Arial"/>
          <w:sz w:val="21"/>
          <w:szCs w:val="21"/>
          <w:lang w:val="es-ES_tradnl" w:eastAsia="es-MX"/>
        </w:rPr>
        <w:t>El presente artículo no es aplicable a la contratación por mínima cuantía”.</w:t>
      </w:r>
    </w:p>
    <w:p w14:paraId="752D64BD" w14:textId="77777777" w:rsidR="00EB5968" w:rsidRPr="00F252D7" w:rsidRDefault="00EB5968" w:rsidP="00EB5968">
      <w:pPr>
        <w:widowControl w:val="0"/>
        <w:tabs>
          <w:tab w:val="left" w:pos="1305"/>
        </w:tabs>
        <w:autoSpaceDE w:val="0"/>
        <w:autoSpaceDN w:val="0"/>
        <w:spacing w:after="0" w:line="276" w:lineRule="auto"/>
        <w:ind w:left="828" w:right="822"/>
        <w:rPr>
          <w:rFonts w:ascii="Verdana" w:eastAsia="Calibri" w:hAnsi="Verdana" w:cs="Arial"/>
          <w:lang w:val="es-MX" w:eastAsia="es-ES_tradnl"/>
        </w:rPr>
      </w:pPr>
    </w:p>
    <w:p w14:paraId="697E99D3" w14:textId="77777777" w:rsidR="00EB5968" w:rsidRPr="00F252D7" w:rsidRDefault="00EB5968" w:rsidP="00EB5968">
      <w:pPr>
        <w:numPr>
          <w:ilvl w:val="0"/>
          <w:numId w:val="18"/>
        </w:numPr>
        <w:spacing w:after="120" w:line="276" w:lineRule="auto"/>
        <w:contextualSpacing/>
        <w:jc w:val="both"/>
        <w:rPr>
          <w:rFonts w:ascii="Verdana" w:eastAsia="Times New Roman" w:hAnsi="Verdana" w:cs="Arial"/>
          <w:lang w:val="es-ES_tradnl" w:eastAsia="es-MX"/>
        </w:rPr>
      </w:pPr>
      <w:bookmarkStart w:id="2" w:name="_Hlk54011351"/>
      <w:r w:rsidRPr="00F252D7">
        <w:rPr>
          <w:rFonts w:ascii="Verdana" w:eastAsia="Times New Roman" w:hAnsi="Verdana" w:cs="Arial"/>
          <w:lang w:val="es-ES_tradnl" w:eastAsia="es-MX"/>
        </w:rPr>
        <w:lastRenderedPageBreak/>
        <w:t xml:space="preserve">De esta manera,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F252D7">
        <w:rPr>
          <w:rFonts w:ascii="Verdana" w:eastAsia="Times New Roman" w:hAnsi="Verdana" w:cs="Arial"/>
          <w:lang w:val="es-ES_tradnl" w:eastAsia="es-MX"/>
        </w:rPr>
        <w:t>vii</w:t>
      </w:r>
      <w:proofErr w:type="spellEnd"/>
      <w:r w:rsidRPr="00F252D7">
        <w:rPr>
          <w:rFonts w:ascii="Verdana" w:eastAsia="Times New Roman" w:hAnsi="Verdana" w:cs="Arial"/>
          <w:lang w:val="es-ES_tradnl" w:eastAsia="es-MX"/>
        </w:rPr>
        <w:t xml:space="preserve">) los procedimientos, trámites y requisitos que deban satisfacerse, reunirse u obtenerse para llevar a cabo la selección del respectivo contratista y la celebración del contrato que se pretenda celebrar. La consideración de todos estos aspectos </w:t>
      </w:r>
      <w:bookmarkEnd w:id="2"/>
      <w:r w:rsidRPr="00F252D7">
        <w:rPr>
          <w:rFonts w:ascii="Verdana" w:eastAsia="Calibri" w:hAnsi="Verdana" w:cs="Arial"/>
          <w:bCs/>
          <w:lang w:val="es-ES_tradnl" w:eastAsia="es-MX"/>
        </w:rPr>
        <w:t xml:space="preserve">permite que los contratos resultantes de la planeación cuenten con el sustento técnico, económico y jurídico que incidirá </w:t>
      </w:r>
      <w:r w:rsidRPr="00F252D7">
        <w:rPr>
          <w:rFonts w:ascii="Verdana" w:eastAsia="Times New Roman" w:hAnsi="Verdana" w:cs="Arial"/>
          <w:lang w:val="es-ES_tradnl" w:eastAsia="es-MX"/>
        </w:rPr>
        <w:t>en una adecuada ejecución.</w:t>
      </w:r>
    </w:p>
    <w:p w14:paraId="38E01489" w14:textId="77777777" w:rsidR="00EB5968" w:rsidRPr="00F252D7" w:rsidRDefault="00EB5968" w:rsidP="00EB5968">
      <w:pPr>
        <w:spacing w:after="120" w:line="276" w:lineRule="auto"/>
        <w:ind w:left="720"/>
        <w:contextualSpacing/>
        <w:jc w:val="both"/>
        <w:rPr>
          <w:rFonts w:ascii="Verdana" w:eastAsia="Times New Roman" w:hAnsi="Verdana" w:cs="Arial"/>
          <w:lang w:val="es-ES_tradnl" w:eastAsia="es-MX"/>
        </w:rPr>
      </w:pPr>
    </w:p>
    <w:p w14:paraId="0780A04B" w14:textId="77777777" w:rsidR="00EB5968" w:rsidRPr="00F252D7" w:rsidRDefault="00EB5968" w:rsidP="00EB5968">
      <w:pPr>
        <w:numPr>
          <w:ilvl w:val="0"/>
          <w:numId w:val="18"/>
        </w:numPr>
        <w:spacing w:after="120" w:line="276" w:lineRule="auto"/>
        <w:ind w:right="102"/>
        <w:contextualSpacing/>
        <w:jc w:val="both"/>
        <w:rPr>
          <w:rFonts w:ascii="Verdana" w:eastAsia="Times New Roman" w:hAnsi="Verdana" w:cs="Arial"/>
          <w:lang w:val="es-ES_tradnl" w:eastAsia="es-MX"/>
        </w:rPr>
      </w:pPr>
      <w:r w:rsidRPr="00F252D7">
        <w:rPr>
          <w:rFonts w:ascii="Verdana" w:eastAsia="Times New Roman" w:hAnsi="Verdana" w:cs="Arial"/>
          <w:lang w:val="es-ES_tradnl" w:eastAsia="es-MX"/>
        </w:rPr>
        <w:t>Más allá del cumplimiento de la normativa, “los estudios y documentos previos son el soporte para elaborar el proyecto de pliegos, los pliegos de condiciones, y el contrato”</w:t>
      </w:r>
      <w:r w:rsidRPr="00F252D7">
        <w:rPr>
          <w:rFonts w:ascii="Geomanist Light" w:hAnsi="Geomanist Light"/>
          <w:vertAlign w:val="superscript"/>
          <w:lang w:val="es-ES" w:eastAsia="es-MX"/>
        </w:rPr>
        <w:footnoteReference w:id="4"/>
      </w:r>
      <w:r w:rsidRPr="00F252D7">
        <w:rPr>
          <w:rFonts w:ascii="Verdana" w:eastAsia="Times New Roman" w:hAnsi="Verdana" w:cs="Arial"/>
          <w:lang w:val="es-ES_tradnl" w:eastAsia="es-MX"/>
        </w:rPr>
        <w:t xml:space="preserve">, por lo que deben publicarse en la etapa precontractual y sirven de motivación para los documentos expedidos unilateralmente por la Entidad Estatal tales como el acto administrativo de apertura, los pliegos de condiciones y el acto de adjudicación, entre otros. En ese sentido, </w:t>
      </w:r>
      <w:bookmarkStart w:id="4" w:name="_Hlk54011438"/>
      <w:r w:rsidRPr="00F252D7">
        <w:rPr>
          <w:rFonts w:ascii="Verdana" w:eastAsia="Times New Roman" w:hAnsi="Verdana" w:cs="Arial"/>
          <w:lang w:val="es-ES_tradnl" w:eastAsia="es-MX"/>
        </w:rPr>
        <w:t>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bookmarkEnd w:id="4"/>
      <w:r w:rsidRPr="00F252D7">
        <w:rPr>
          <w:rFonts w:ascii="Geomanist Light" w:hAnsi="Geomanist Light"/>
          <w:vertAlign w:val="superscript"/>
          <w:lang w:val="es-ES" w:eastAsia="es-MX"/>
        </w:rPr>
        <w:footnoteReference w:id="5"/>
      </w:r>
      <w:r w:rsidRPr="00F252D7">
        <w:rPr>
          <w:rFonts w:ascii="Verdana" w:eastAsia="Times New Roman" w:hAnsi="Verdana" w:cs="Arial"/>
          <w:lang w:val="es-ES_tradnl" w:eastAsia="es-MX"/>
        </w:rPr>
        <w:t>.</w:t>
      </w:r>
    </w:p>
    <w:p w14:paraId="6C920C86" w14:textId="77777777" w:rsidR="00EB5968" w:rsidRPr="00F252D7" w:rsidRDefault="00EB5968" w:rsidP="00EB5968">
      <w:pPr>
        <w:ind w:left="720"/>
        <w:contextualSpacing/>
        <w:rPr>
          <w:rFonts w:ascii="Verdana" w:eastAsia="Times New Roman" w:hAnsi="Verdana" w:cs="Arial"/>
          <w:lang w:val="es-ES_tradnl" w:eastAsia="es-MX"/>
        </w:rPr>
      </w:pPr>
    </w:p>
    <w:p w14:paraId="39F7621F" w14:textId="77777777" w:rsidR="00EB5968" w:rsidRPr="00F252D7" w:rsidRDefault="00EB5968" w:rsidP="00EB5968">
      <w:pPr>
        <w:numPr>
          <w:ilvl w:val="0"/>
          <w:numId w:val="18"/>
        </w:numPr>
        <w:spacing w:after="120" w:line="276" w:lineRule="auto"/>
        <w:contextualSpacing/>
        <w:jc w:val="both"/>
        <w:rPr>
          <w:rFonts w:ascii="Verdana" w:eastAsia="Times New Roman" w:hAnsi="Verdana" w:cs="Arial"/>
          <w:szCs w:val="24"/>
          <w:lang w:val="es-ES" w:eastAsia="es-ES_tradnl"/>
        </w:rPr>
      </w:pPr>
      <w:r w:rsidRPr="00F252D7">
        <w:rPr>
          <w:rFonts w:ascii="Verdana" w:eastAsia="Times New Roman" w:hAnsi="Verdana" w:cs="Arial"/>
          <w:szCs w:val="24"/>
          <w:lang w:val="es-ES" w:eastAsia="es-ES_tradnl"/>
        </w:rPr>
        <w:lastRenderedPageBreak/>
        <w:t xml:space="preserve">Ahora bien, el numeral 12 del artículo 25 de la Ley 80 de 1993, antes citado, establece el deber de las entidades de realizar estudios previos en dos (2) momentos específicos: i) previo a la apertura de un proceso de selección y ii) previo a la firma del contrato en el caso en que la modalidad de selección sea contratación directa. </w:t>
      </w:r>
    </w:p>
    <w:p w14:paraId="627C1966" w14:textId="77777777" w:rsidR="00EB5968" w:rsidRPr="00F252D7" w:rsidRDefault="00EB5968" w:rsidP="00EB5968">
      <w:pPr>
        <w:ind w:left="720"/>
        <w:contextualSpacing/>
        <w:rPr>
          <w:rFonts w:ascii="Verdana" w:eastAsia="Times New Roman" w:hAnsi="Verdana" w:cs="Arial"/>
          <w:szCs w:val="24"/>
          <w:lang w:val="es-ES" w:eastAsia="es-ES_tradnl"/>
        </w:rPr>
      </w:pPr>
    </w:p>
    <w:p w14:paraId="4DE74B99" w14:textId="77777777" w:rsidR="00EB5968" w:rsidRPr="00F252D7" w:rsidRDefault="00EB5968" w:rsidP="00EB5968">
      <w:pPr>
        <w:numPr>
          <w:ilvl w:val="0"/>
          <w:numId w:val="18"/>
        </w:numPr>
        <w:spacing w:after="120" w:line="276" w:lineRule="auto"/>
        <w:contextualSpacing/>
        <w:jc w:val="both"/>
        <w:rPr>
          <w:rFonts w:ascii="Verdana" w:eastAsia="Calibri" w:hAnsi="Verdana" w:cs="Arial"/>
          <w:bCs/>
          <w:lang w:val="es-ES_tradnl" w:eastAsia="es-MX"/>
        </w:rPr>
      </w:pPr>
      <w:r w:rsidRPr="00F252D7">
        <w:rPr>
          <w:rFonts w:ascii="Verdana" w:eastAsia="Times New Roman" w:hAnsi="Verdana" w:cs="Arial"/>
          <w:lang w:val="es-ES_tradnl" w:eastAsia="es-MX"/>
        </w:rPr>
        <w:t xml:space="preserve">Por otra parte, conforme se desprende de los numerales 2 y 4 del artículo 2.2.1.1.2.1.1 del Decreto 1082 de 2015, uno de los aspectos principales que deben abarcar los estudios previos es la determinación del objeto a contratar con sus especificaciones y el valor estimado del contrato aparejado de su respectiva justificación. </w:t>
      </w:r>
      <w:r w:rsidRPr="00F252D7">
        <w:rPr>
          <w:rFonts w:ascii="Verdana" w:eastAsia="Calibri" w:hAnsi="Verdana" w:cs="Arial"/>
          <w:bCs/>
          <w:lang w:val="es-ES_tradnl" w:eastAsia="es-MX"/>
        </w:rPr>
        <w:t xml:space="preserve">Para estos efectos resulta relevante </w:t>
      </w:r>
      <w:bookmarkStart w:id="5" w:name="_Hlk139465916"/>
      <w:r w:rsidRPr="00F252D7">
        <w:rPr>
          <w:rFonts w:ascii="Verdana" w:eastAsia="Calibri" w:hAnsi="Verdana" w:cs="Arial"/>
          <w:bCs/>
          <w:lang w:val="es-ES_tradnl" w:eastAsia="es-MX"/>
        </w:rPr>
        <w:t xml:space="preserve">la información recolectada en el marco del </w:t>
      </w:r>
      <w:r w:rsidRPr="00F252D7">
        <w:rPr>
          <w:rFonts w:ascii="Verdana" w:eastAsia="Calibri" w:hAnsi="Verdana" w:cs="Arial"/>
          <w:bCs/>
          <w:i/>
          <w:iCs/>
          <w:lang w:val="es-ES_tradnl" w:eastAsia="es-MX"/>
        </w:rPr>
        <w:t>estudio del mercado</w:t>
      </w:r>
      <w:r w:rsidRPr="00F252D7">
        <w:rPr>
          <w:rFonts w:ascii="Verdana" w:eastAsia="Calibri" w:hAnsi="Verdana" w:cs="Arial"/>
          <w:bCs/>
          <w:lang w:val="es-ES_tradnl" w:eastAsia="es-MX"/>
        </w:rPr>
        <w:t xml:space="preserve">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 En este sentido, el análisis del sector de las perspectivas legal, comercial, financiera, organizacional, técnica, y de análisis de Riesgo, al que se refiere el artículo </w:t>
      </w:r>
      <w:bookmarkStart w:id="6" w:name="_Hlk36117416"/>
      <w:r w:rsidRPr="00F252D7">
        <w:rPr>
          <w:rFonts w:ascii="Verdana" w:eastAsia="Calibri" w:hAnsi="Verdana" w:cs="Arial"/>
          <w:bCs/>
          <w:lang w:val="es-ES_tradnl" w:eastAsia="es-MX"/>
        </w:rPr>
        <w:t>2.2.1.1.1.6.1 del Decreto 1082 de 2015</w:t>
      </w:r>
      <w:bookmarkEnd w:id="6"/>
      <w:r w:rsidRPr="00F252D7">
        <w:rPr>
          <w:rFonts w:ascii="Verdana" w:eastAsia="Calibri" w:hAnsi="Verdana" w:cs="Arial"/>
          <w:bCs/>
          <w:lang w:val="es-ES_tradnl" w:eastAsia="es-MX"/>
        </w:rPr>
        <w:t>, constituye un insumo importante para determinar factores que pudieran determinar el valor del contrato y orientar a la entidad en torno al monto de la disponibilidad presupuestal que requiere para realizar la contratación</w:t>
      </w:r>
      <w:bookmarkEnd w:id="5"/>
      <w:r w:rsidRPr="00F252D7">
        <w:rPr>
          <w:rFonts w:ascii="Geomanist Light" w:eastAsia="Calibri" w:hAnsi="Geomanist Light"/>
          <w:bCs/>
          <w:vertAlign w:val="superscript"/>
          <w:lang w:val="es-ES" w:eastAsia="es-MX"/>
        </w:rPr>
        <w:footnoteReference w:id="6"/>
      </w:r>
      <w:r w:rsidRPr="00F252D7">
        <w:rPr>
          <w:rFonts w:ascii="Verdana" w:eastAsia="Calibri" w:hAnsi="Verdana" w:cs="Arial"/>
          <w:bCs/>
          <w:lang w:val="es-ES_tradnl" w:eastAsia="es-MX"/>
        </w:rPr>
        <w:t xml:space="preserve">. </w:t>
      </w:r>
    </w:p>
    <w:p w14:paraId="3D4C1BDA" w14:textId="77777777" w:rsidR="00EB5968" w:rsidRPr="00F252D7" w:rsidRDefault="00EB5968" w:rsidP="00EB5968">
      <w:pPr>
        <w:spacing w:after="120" w:line="276" w:lineRule="auto"/>
        <w:ind w:left="720"/>
        <w:contextualSpacing/>
        <w:jc w:val="both"/>
        <w:rPr>
          <w:rFonts w:ascii="Verdana" w:eastAsia="Calibri" w:hAnsi="Verdana" w:cs="Arial"/>
          <w:bCs/>
          <w:lang w:val="es-ES_tradnl" w:eastAsia="es-MX"/>
        </w:rPr>
      </w:pPr>
      <w:r w:rsidRPr="00F252D7">
        <w:rPr>
          <w:rFonts w:ascii="Verdana" w:eastAsia="Calibri" w:hAnsi="Verdana" w:cs="Arial"/>
          <w:bCs/>
          <w:lang w:val="es-ES_tradnl" w:eastAsia="es-MX"/>
        </w:rPr>
        <w:t xml:space="preserve"> </w:t>
      </w:r>
    </w:p>
    <w:p w14:paraId="2BD549EC" w14:textId="77777777" w:rsidR="00EB5968" w:rsidRPr="00F252D7" w:rsidRDefault="00EB5968" w:rsidP="00EB5968">
      <w:pPr>
        <w:numPr>
          <w:ilvl w:val="0"/>
          <w:numId w:val="18"/>
        </w:numPr>
        <w:spacing w:after="120" w:line="276" w:lineRule="auto"/>
        <w:contextualSpacing/>
        <w:jc w:val="both"/>
        <w:rPr>
          <w:rFonts w:ascii="Verdana" w:eastAsia="Calibri" w:hAnsi="Verdana" w:cs="Arial"/>
          <w:lang w:val="es-ES" w:eastAsia="es-MX"/>
        </w:rPr>
      </w:pPr>
      <w:r w:rsidRPr="41260AC2">
        <w:rPr>
          <w:rFonts w:ascii="Verdana" w:eastAsia="Calibri" w:hAnsi="Verdana" w:cs="Arial"/>
          <w:lang w:val="es-ES" w:eastAsia="es-MX"/>
        </w:rPr>
        <w:t xml:space="preserve">De acuerdo con la norma citada, </w:t>
      </w:r>
      <w:bookmarkStart w:id="7" w:name="_Hlk36140682"/>
      <w:r w:rsidRPr="41260AC2">
        <w:rPr>
          <w:rFonts w:ascii="Verdana" w:eastAsia="Calibri" w:hAnsi="Verdana" w:cs="Arial"/>
          <w:lang w:val="es-ES" w:eastAsia="es-MX"/>
        </w:rPr>
        <w:t xml:space="preserve">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w:t>
      </w:r>
      <w:r w:rsidRPr="41260AC2">
        <w:rPr>
          <w:rFonts w:ascii="Verdana" w:eastAsia="Calibri" w:hAnsi="Verdana" w:cs="Arial"/>
          <w:lang w:val="es-ES" w:eastAsia="es-MX"/>
        </w:rPr>
        <w:lastRenderedPageBreak/>
        <w:t>organizacional se pretende que la Entidad Estatal entienda cómo están organizados internamente los posibles oferentes y de qué manera realizan sus negocios y operaciones.</w:t>
      </w:r>
    </w:p>
    <w:p w14:paraId="3081A067" w14:textId="77777777" w:rsidR="00EB5968" w:rsidRPr="00F252D7" w:rsidRDefault="00EB5968" w:rsidP="00EB5968">
      <w:pPr>
        <w:ind w:left="720"/>
        <w:contextualSpacing/>
        <w:rPr>
          <w:rFonts w:ascii="Verdana" w:eastAsia="Calibri" w:hAnsi="Verdana" w:cs="Arial"/>
          <w:bCs/>
          <w:lang w:val="es-ES_tradnl" w:eastAsia="es-MX"/>
        </w:rPr>
      </w:pPr>
    </w:p>
    <w:p w14:paraId="77F355B3" w14:textId="77777777" w:rsidR="00EB5968" w:rsidRPr="00F252D7" w:rsidRDefault="00EB5968" w:rsidP="00EB5968">
      <w:pPr>
        <w:numPr>
          <w:ilvl w:val="0"/>
          <w:numId w:val="18"/>
        </w:numPr>
        <w:spacing w:after="120" w:line="276" w:lineRule="auto"/>
        <w:contextualSpacing/>
        <w:jc w:val="both"/>
        <w:rPr>
          <w:rFonts w:ascii="Verdana" w:eastAsia="Calibri" w:hAnsi="Verdana" w:cs="Arial"/>
          <w:bCs/>
          <w:lang w:val="es-ES_tradnl" w:eastAsia="es-MX"/>
        </w:rPr>
      </w:pPr>
      <w:r w:rsidRPr="00F252D7">
        <w:rPr>
          <w:rFonts w:ascii="Verdana" w:eastAsia="Calibri" w:hAnsi="Verdana" w:cs="Arial"/>
          <w:bCs/>
          <w:lang w:val="es-ES_tradnl" w:eastAsia="es-MX"/>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4D2B9C67" w14:textId="77777777" w:rsidR="00EB5968" w:rsidRPr="00F252D7" w:rsidRDefault="00EB5968" w:rsidP="00EB5968">
      <w:pPr>
        <w:ind w:left="720"/>
        <w:contextualSpacing/>
        <w:rPr>
          <w:rFonts w:ascii="Verdana" w:eastAsia="Calibri" w:hAnsi="Verdana" w:cs="Arial"/>
          <w:bCs/>
          <w:lang w:val="es-ES_tradnl" w:eastAsia="es-MX"/>
        </w:rPr>
      </w:pPr>
    </w:p>
    <w:p w14:paraId="1D1BF64F" w14:textId="77777777" w:rsidR="00EB5968" w:rsidRPr="00F252D7" w:rsidRDefault="00EB5968" w:rsidP="00EB5968">
      <w:pPr>
        <w:numPr>
          <w:ilvl w:val="0"/>
          <w:numId w:val="18"/>
        </w:numPr>
        <w:spacing w:after="120" w:line="276" w:lineRule="auto"/>
        <w:contextualSpacing/>
        <w:jc w:val="both"/>
        <w:rPr>
          <w:rFonts w:ascii="Verdana" w:eastAsia="Calibri" w:hAnsi="Verdana" w:cs="Arial"/>
          <w:bCs/>
          <w:lang w:val="es-ES_tradnl" w:eastAsia="es-MX"/>
        </w:rPr>
      </w:pPr>
      <w:r w:rsidRPr="00F252D7">
        <w:rPr>
          <w:rFonts w:ascii="Verdana" w:eastAsia="Calibri" w:hAnsi="Verdana" w:cs="Arial"/>
          <w:bCs/>
          <w:lang w:val="es-ES_tradnl" w:eastAsia="es-MX"/>
        </w:rPr>
        <w:t xml:space="preserve">Dicho análisis facilita tanto el conocimiento del sector, desde una perspectiva multidisciplinaria, como de los proveedores disponibles en el mercado para satisfacer la necesidad de la entidad contratante. Igualmente, el análisis del sector implica un estudio de la oferta, lo que permitirá identificar qué proveedores existen en el mercado y cómo intervienen en la cadena de producción, comercialización y distribución de los bienes, obras o servicios. De igual manera,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54C4F4D6" w14:textId="77777777" w:rsidR="00EB5968" w:rsidRPr="00F252D7" w:rsidRDefault="00EB5968" w:rsidP="00EB5968">
      <w:pPr>
        <w:ind w:left="720"/>
        <w:contextualSpacing/>
        <w:rPr>
          <w:rFonts w:ascii="Verdana" w:eastAsia="Calibri" w:hAnsi="Verdana" w:cs="Arial"/>
          <w:bCs/>
          <w:lang w:val="es-ES_tradnl" w:eastAsia="es-MX"/>
        </w:rPr>
      </w:pPr>
    </w:p>
    <w:p w14:paraId="22F1A22A" w14:textId="77777777" w:rsidR="00EB5968" w:rsidRPr="00F252D7" w:rsidRDefault="00EB5968" w:rsidP="00EB5968">
      <w:pPr>
        <w:numPr>
          <w:ilvl w:val="0"/>
          <w:numId w:val="18"/>
        </w:numPr>
        <w:spacing w:after="120" w:line="276" w:lineRule="auto"/>
        <w:contextualSpacing/>
        <w:jc w:val="both"/>
        <w:rPr>
          <w:rFonts w:ascii="Verdana" w:eastAsia="Calibri" w:hAnsi="Verdana" w:cs="Arial"/>
          <w:bCs/>
          <w:lang w:val="es-ES_tradnl" w:eastAsia="es-MX"/>
        </w:rPr>
      </w:pPr>
      <w:r w:rsidRPr="00F252D7">
        <w:rPr>
          <w:rFonts w:ascii="Verdana" w:eastAsia="Calibri" w:hAnsi="Verdana" w:cs="Arial"/>
          <w:bCs/>
          <w:lang w:val="es-ES_tradnl" w:eastAsia="es-MX"/>
        </w:rPr>
        <w:t xml:space="preserve">Si bien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w:t>
      </w:r>
      <w:r w:rsidRPr="00F252D7">
        <w:rPr>
          <w:rFonts w:ascii="Verdana" w:eastAsia="Times New Roman" w:hAnsi="Verdana" w:cs="Arial"/>
          <w:lang w:val="es-ES_tradnl" w:eastAsia="es-CO"/>
        </w:rPr>
        <w:t xml:space="preserve">son autónomas para estructurarlo, para lo cual deberán cumplir lo dispuesto en el artículo </w:t>
      </w:r>
      <w:r w:rsidRPr="00F252D7">
        <w:rPr>
          <w:rFonts w:ascii="Verdana" w:eastAsia="Calibri" w:hAnsi="Verdana" w:cs="Arial"/>
          <w:bCs/>
          <w:lang w:val="es-ES_tradnl" w:eastAsia="es-MX"/>
        </w:rPr>
        <w:t xml:space="preserve">2.2.1.1.1.6.1 del Decreto 1082 de 2015 y realizar un análisis integral de planeación que </w:t>
      </w:r>
      <w:r w:rsidRPr="00F252D7">
        <w:rPr>
          <w:rFonts w:ascii="Verdana" w:eastAsia="Times New Roman" w:hAnsi="Verdana" w:cs="Arial"/>
          <w:lang w:val="es-ES_tradnl" w:eastAsia="es-MX"/>
        </w:rPr>
        <w:t xml:space="preserve">sirva de sustento a la decisión de </w:t>
      </w:r>
      <w:r w:rsidRPr="00F252D7">
        <w:rPr>
          <w:rFonts w:ascii="Verdana" w:eastAsia="Times New Roman" w:hAnsi="Verdana" w:cs="Arial"/>
          <w:bCs/>
          <w:lang w:val="es-ES_tradnl" w:eastAsia="es-MX"/>
        </w:rPr>
        <w:t>realizar un Proceso de Contratación.</w:t>
      </w:r>
    </w:p>
    <w:p w14:paraId="2AE6F8BB" w14:textId="77777777" w:rsidR="00EB5968" w:rsidRPr="00F252D7" w:rsidRDefault="00EB5968" w:rsidP="00EB5968">
      <w:pPr>
        <w:ind w:left="720"/>
        <w:contextualSpacing/>
        <w:rPr>
          <w:rFonts w:ascii="Verdana" w:eastAsia="Calibri" w:hAnsi="Verdana" w:cs="Arial"/>
          <w:bCs/>
          <w:lang w:val="es-ES_tradnl" w:eastAsia="es-MX"/>
        </w:rPr>
      </w:pPr>
    </w:p>
    <w:p w14:paraId="79E0DEBE" w14:textId="77777777" w:rsidR="00EB5968" w:rsidRPr="00F252D7" w:rsidRDefault="00EB5968" w:rsidP="00EB5968">
      <w:pPr>
        <w:numPr>
          <w:ilvl w:val="0"/>
          <w:numId w:val="18"/>
        </w:numPr>
        <w:spacing w:after="120" w:line="276" w:lineRule="auto"/>
        <w:contextualSpacing/>
        <w:jc w:val="both"/>
        <w:rPr>
          <w:rFonts w:ascii="Verdana" w:eastAsia="Calibri" w:hAnsi="Verdana" w:cs="Arial"/>
          <w:bCs/>
          <w:szCs w:val="24"/>
          <w:lang w:val="es-ES" w:eastAsia="es-ES_tradnl"/>
        </w:rPr>
      </w:pPr>
      <w:bookmarkStart w:id="8" w:name="_Hlk139466113"/>
      <w:bookmarkEnd w:id="7"/>
      <w:r w:rsidRPr="00F252D7">
        <w:rPr>
          <w:rFonts w:ascii="Verdana" w:eastAsia="Calibri" w:hAnsi="Verdana" w:cs="Arial"/>
          <w:bCs/>
          <w:lang w:val="es-ES_tradnl" w:eastAsia="es-MX"/>
        </w:rPr>
        <w:lastRenderedPageBreak/>
        <w:t>La Agencia Nacional de Contratación Pública – Colombia Compra Eficiente dispone de una “Guía para la Elaboración de Estudios del Sector”</w:t>
      </w:r>
      <w:r w:rsidRPr="00F252D7">
        <w:rPr>
          <w:rFonts w:ascii="Verdana" w:eastAsia="Times New Roman" w:hAnsi="Verdana" w:cs="Arial"/>
          <w:vertAlign w:val="superscript"/>
          <w:lang w:val="es-ES_tradnl" w:eastAsia="es-CO"/>
        </w:rPr>
        <w:t xml:space="preserve"> </w:t>
      </w:r>
      <w:r w:rsidRPr="00F252D7">
        <w:rPr>
          <w:rFonts w:ascii="Geomanist Light" w:eastAsia="Times New Roman" w:hAnsi="Geomanist Light"/>
          <w:vertAlign w:val="superscript"/>
          <w:lang w:val="es-ES" w:eastAsia="es-CO"/>
        </w:rPr>
        <w:footnoteReference w:id="7"/>
      </w:r>
      <w:r w:rsidRPr="00F252D7">
        <w:rPr>
          <w:rFonts w:ascii="Verdana" w:eastAsia="Calibri" w:hAnsi="Verdana" w:cs="Arial"/>
          <w:bCs/>
          <w:lang w:val="es-ES_tradnl" w:eastAsia="es-MX"/>
        </w:rPr>
        <w:t>,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w:t>
      </w:r>
      <w:bookmarkEnd w:id="8"/>
      <w:r w:rsidRPr="00F252D7">
        <w:rPr>
          <w:rFonts w:ascii="Verdana" w:eastAsia="Calibri" w:hAnsi="Verdana" w:cs="Arial"/>
          <w:bCs/>
          <w:lang w:val="es-ES_tradnl" w:eastAsia="es-MX"/>
        </w:rPr>
        <w:t xml:space="preserve"> </w:t>
      </w:r>
      <w:r w:rsidRPr="00F252D7">
        <w:rPr>
          <w:rFonts w:ascii="Verdana" w:eastAsia="Calibri" w:hAnsi="Verdana" w:cs="Arial"/>
          <w:bCs/>
          <w:szCs w:val="24"/>
          <w:lang w:val="es-ES_tradnl" w:eastAsia="es-ES_tradnl"/>
        </w:rPr>
        <w:t>Esta Guía es un insumo para realizar el estudio del sector relativo al Proceso de Contratación, ya que comprende pautas sobre los aspectos generales del mercado, el análisis de la demanda y de la oferta y constituye un instrumento de orientación, por lo que –al carecer de fuerza vinculante– su aplicación no exime a las entidades de acatar las normas vigentes. De este modo, la Guía contiene</w:t>
      </w:r>
      <w:r w:rsidRPr="00F252D7">
        <w:rPr>
          <w:rFonts w:ascii="Verdana" w:eastAsia="Calibri" w:hAnsi="Verdana" w:cs="Arial"/>
          <w:bCs/>
          <w:szCs w:val="24"/>
          <w:lang w:val="es-ES" w:eastAsia="es-ES_tradnl"/>
        </w:rPr>
        <w:t xml:space="preserve"> recomendaciones generales por lo que no debe aplicarse de manera mecánica, pues la profundidad del estudio del sector depende de la complejidad y particularidades de cada Proceso de Contratación. </w:t>
      </w:r>
    </w:p>
    <w:p w14:paraId="42CE23CC" w14:textId="77777777" w:rsidR="00EB5968" w:rsidRPr="00F252D7" w:rsidRDefault="00EB5968" w:rsidP="00EB5968">
      <w:pPr>
        <w:ind w:left="720"/>
        <w:contextualSpacing/>
        <w:rPr>
          <w:rFonts w:ascii="Verdana" w:eastAsia="Calibri" w:hAnsi="Verdana" w:cs="Arial"/>
          <w:bCs/>
          <w:szCs w:val="24"/>
          <w:lang w:val="es-ES" w:eastAsia="es-ES_tradnl"/>
        </w:rPr>
      </w:pPr>
    </w:p>
    <w:p w14:paraId="79401DDA" w14:textId="77777777" w:rsidR="00EB5968" w:rsidRPr="00F252D7" w:rsidRDefault="00EB5968" w:rsidP="00EB5968">
      <w:pPr>
        <w:numPr>
          <w:ilvl w:val="0"/>
          <w:numId w:val="18"/>
        </w:numPr>
        <w:spacing w:after="120" w:line="276" w:lineRule="auto"/>
        <w:contextualSpacing/>
        <w:jc w:val="both"/>
        <w:rPr>
          <w:rFonts w:ascii="Verdana" w:eastAsia="Calibri" w:hAnsi="Verdana" w:cs="Arial"/>
          <w:szCs w:val="24"/>
          <w:lang w:val="es-ES" w:eastAsia="es-ES_tradnl"/>
        </w:rPr>
      </w:pPr>
      <w:r w:rsidRPr="00F252D7">
        <w:rPr>
          <w:rFonts w:ascii="Verdana" w:eastAsia="Calibri" w:hAnsi="Verdana" w:cs="Arial"/>
          <w:bCs/>
          <w:lang w:val="es-ES_tradnl" w:eastAsia="es-MX"/>
        </w:rPr>
        <w:t xml:space="preserve">En este instrumento se recomienda, particularmente para la contratación directa y los contratos de prestación de servicios que: </w:t>
      </w:r>
    </w:p>
    <w:p w14:paraId="2BC61EBF" w14:textId="77777777" w:rsidR="00EB5968" w:rsidRPr="00F252D7" w:rsidRDefault="00EB5968" w:rsidP="00EB5968">
      <w:pPr>
        <w:ind w:left="720"/>
        <w:contextualSpacing/>
        <w:rPr>
          <w:rFonts w:ascii="Verdana" w:eastAsia="Calibri" w:hAnsi="Verdana" w:cs="Arial"/>
          <w:szCs w:val="24"/>
          <w:lang w:val="es-ES" w:eastAsia="es-ES_tradnl"/>
        </w:rPr>
      </w:pPr>
    </w:p>
    <w:p w14:paraId="6A964440" w14:textId="77777777" w:rsidR="00EB5968" w:rsidRPr="00F252D7" w:rsidRDefault="00EB5968" w:rsidP="00EB5968">
      <w:pPr>
        <w:spacing w:after="0" w:line="276" w:lineRule="auto"/>
        <w:ind w:left="709" w:right="709"/>
        <w:contextualSpacing/>
        <w:jc w:val="both"/>
        <w:rPr>
          <w:rFonts w:ascii="Verdana" w:eastAsia="Times New Roman" w:hAnsi="Verdana" w:cs="Arial"/>
          <w:sz w:val="21"/>
          <w:szCs w:val="21"/>
          <w:lang w:val="es-MX" w:eastAsia="es-ES_tradnl"/>
        </w:rPr>
      </w:pPr>
      <w:r w:rsidRPr="00F252D7">
        <w:rPr>
          <w:rFonts w:ascii="Verdana" w:eastAsia="Times New Roman" w:hAnsi="Verdana" w:cs="Arial"/>
          <w:sz w:val="21"/>
          <w:szCs w:val="21"/>
          <w:lang w:val="es-ES" w:eastAsia="es-ES_tradnl"/>
        </w:rPr>
        <w:t>“</w:t>
      </w:r>
      <w:r w:rsidRPr="00F252D7">
        <w:rPr>
          <w:rFonts w:ascii="Verdana" w:eastAsia="Times New Roman" w:hAnsi="Verdana" w:cs="Arial"/>
          <w:sz w:val="21"/>
          <w:szCs w:val="21"/>
          <w:lang w:val="es-MX" w:eastAsia="es-ES_tradnl"/>
        </w:rPr>
        <w:t>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w:t>
      </w:r>
    </w:p>
    <w:p w14:paraId="21C5344D" w14:textId="77777777" w:rsidR="00EB5968" w:rsidRPr="00F252D7" w:rsidRDefault="00EB5968" w:rsidP="00EB5968">
      <w:pPr>
        <w:spacing w:after="0" w:line="276" w:lineRule="auto"/>
        <w:ind w:left="709" w:right="709"/>
        <w:contextualSpacing/>
        <w:jc w:val="both"/>
        <w:rPr>
          <w:rFonts w:ascii="Verdana" w:eastAsia="Times New Roman" w:hAnsi="Verdana" w:cs="Arial"/>
          <w:sz w:val="21"/>
          <w:szCs w:val="21"/>
          <w:lang w:val="es-MX" w:eastAsia="es-ES_tradnl"/>
        </w:rPr>
      </w:pPr>
    </w:p>
    <w:p w14:paraId="25743AC7" w14:textId="77777777" w:rsidR="00EB5968" w:rsidRPr="00F252D7" w:rsidRDefault="00EB5968" w:rsidP="00EB5968">
      <w:pPr>
        <w:spacing w:after="0" w:line="276" w:lineRule="auto"/>
        <w:ind w:left="709" w:right="709"/>
        <w:contextualSpacing/>
        <w:jc w:val="both"/>
        <w:rPr>
          <w:rFonts w:ascii="Verdana" w:eastAsia="Times New Roman" w:hAnsi="Verdana" w:cs="Arial"/>
          <w:sz w:val="21"/>
          <w:szCs w:val="21"/>
          <w:lang w:val="es-MX" w:eastAsia="es-ES_tradnl"/>
        </w:rPr>
      </w:pPr>
      <w:r w:rsidRPr="00F252D7">
        <w:rPr>
          <w:rFonts w:ascii="Verdana" w:eastAsia="Times New Roman" w:hAnsi="Verdana" w:cs="Arial"/>
          <w:sz w:val="21"/>
          <w:szCs w:val="21"/>
          <w:lang w:val="es-MX" w:eastAsia="es-ES_tradnl"/>
        </w:rPr>
        <w:t xml:space="preserve">La entidad debe consignar en los Documentos del Proceso, bien sea en los estudios previos o en la información de soporte de estos, los aspectos de que trata el artículo 2.2.1.1.1.6.1 del Decreto 1082 de 2015, esto es, el análisis desde la perspectiva legal, comercial, financiera, organizacional, técnica y de análisis de riesgo. En un contrato de prestación de servicios profesionales, el estudio del sector depende del objeto del contrato y de las condiciones de idoneidad y/o experiencia que llevan a contratar a la persona natural o jurídica que está en condiciones de desarrollar dicho objeto. Por ejemplo, si se trata de la contratación de un abogado para llevar un proceso judicial, la </w:t>
      </w:r>
      <w:r w:rsidRPr="00F252D7">
        <w:rPr>
          <w:rFonts w:ascii="Verdana" w:eastAsia="Times New Roman" w:hAnsi="Verdana" w:cs="Arial"/>
          <w:sz w:val="21"/>
          <w:szCs w:val="21"/>
          <w:lang w:val="es-MX" w:eastAsia="es-ES_tradnl"/>
        </w:rPr>
        <w:lastRenderedPageBreak/>
        <w:t>Entidad debe analizar la necesidad de contratar el servicio, de forma esencialmente temporal y las condiciones de los Procesos de Contratación que ha adelantado en el pasado para contratar este tipo de servicios, teniendo en cuenta plazos valor y forma de pago”</w:t>
      </w:r>
      <w:r w:rsidRPr="00F252D7">
        <w:rPr>
          <w:rFonts w:ascii="Verdana" w:eastAsia="Times New Roman" w:hAnsi="Verdana" w:cs="Arial"/>
          <w:sz w:val="21"/>
          <w:szCs w:val="21"/>
          <w:vertAlign w:val="superscript"/>
          <w:lang w:val="es-MX" w:eastAsia="es-ES_tradnl"/>
        </w:rPr>
        <w:footnoteReference w:id="8"/>
      </w:r>
      <w:r w:rsidRPr="00F252D7">
        <w:rPr>
          <w:rFonts w:ascii="Verdana" w:eastAsia="Times New Roman" w:hAnsi="Verdana" w:cs="Arial"/>
          <w:sz w:val="21"/>
          <w:szCs w:val="21"/>
          <w:lang w:val="es-MX" w:eastAsia="es-ES_tradnl"/>
        </w:rPr>
        <w:t>.</w:t>
      </w:r>
    </w:p>
    <w:p w14:paraId="76FF9EBC" w14:textId="77777777" w:rsidR="00EB5968" w:rsidRPr="00F252D7" w:rsidRDefault="00EB5968" w:rsidP="00EB5968">
      <w:pPr>
        <w:spacing w:after="0" w:line="276" w:lineRule="auto"/>
        <w:ind w:right="709"/>
        <w:jc w:val="both"/>
        <w:rPr>
          <w:rFonts w:ascii="Verdana" w:eastAsia="Times New Roman" w:hAnsi="Verdana" w:cs="Arial"/>
          <w:sz w:val="21"/>
          <w:szCs w:val="21"/>
          <w:lang w:val="es-MX" w:eastAsia="es-ES_tradnl"/>
        </w:rPr>
      </w:pPr>
    </w:p>
    <w:p w14:paraId="47798636" w14:textId="77777777" w:rsidR="00EB5968" w:rsidRPr="00F252D7" w:rsidRDefault="00EB5968" w:rsidP="00EB5968">
      <w:pPr>
        <w:numPr>
          <w:ilvl w:val="0"/>
          <w:numId w:val="18"/>
        </w:numPr>
        <w:spacing w:after="0" w:line="276" w:lineRule="auto"/>
        <w:contextualSpacing/>
        <w:jc w:val="both"/>
        <w:rPr>
          <w:rFonts w:ascii="Verdana" w:eastAsia="Times New Roman" w:hAnsi="Verdana" w:cs="Arial"/>
          <w:sz w:val="21"/>
          <w:szCs w:val="21"/>
          <w:lang w:val="es-MX" w:eastAsia="es-ES_tradnl"/>
        </w:rPr>
      </w:pPr>
      <w:r w:rsidRPr="00F252D7">
        <w:rPr>
          <w:rFonts w:ascii="Verdana" w:eastAsia="Times New Roman" w:hAnsi="Verdana" w:cs="Arial"/>
          <w:sz w:val="21"/>
          <w:szCs w:val="21"/>
          <w:lang w:val="es-MX" w:eastAsia="es-ES_tradnl"/>
        </w:rPr>
        <w:t xml:space="preserve">Ahora </w:t>
      </w:r>
      <w:r w:rsidRPr="00F252D7">
        <w:rPr>
          <w:rFonts w:ascii="Verdana" w:eastAsia="Times New Roman" w:hAnsi="Verdana" w:cs="Arial"/>
          <w:bCs/>
          <w:szCs w:val="24"/>
          <w:lang w:val="es-ES_tradnl" w:eastAsia="es-ES_tradnl"/>
        </w:rPr>
        <w:t>bien</w:t>
      </w:r>
      <w:r w:rsidRPr="00F252D7">
        <w:rPr>
          <w:rFonts w:ascii="Verdana" w:eastAsia="Times New Roman" w:hAnsi="Verdana" w:cs="Arial"/>
          <w:sz w:val="21"/>
          <w:szCs w:val="21"/>
          <w:lang w:val="es-MX" w:eastAsia="es-ES_tradnl"/>
        </w:rPr>
        <w:t xml:space="preserve">, respecto del Decreto 1083 de 2015 y su aplicación, es importante tener en cuenta que el artículo 2.1.1.1. se refiere a su objeto así: </w:t>
      </w:r>
    </w:p>
    <w:p w14:paraId="1C1E9F75" w14:textId="77777777" w:rsidR="00EB5968" w:rsidRPr="00F252D7" w:rsidRDefault="00EB5968" w:rsidP="00EB5968">
      <w:pPr>
        <w:spacing w:after="0" w:line="276" w:lineRule="auto"/>
        <w:ind w:left="720"/>
        <w:contextualSpacing/>
        <w:jc w:val="both"/>
        <w:rPr>
          <w:rFonts w:ascii="Verdana" w:eastAsia="Times New Roman" w:hAnsi="Verdana" w:cs="Arial"/>
          <w:sz w:val="21"/>
          <w:szCs w:val="21"/>
          <w:lang w:val="es-MX" w:eastAsia="es-ES_tradnl"/>
        </w:rPr>
      </w:pPr>
    </w:p>
    <w:p w14:paraId="5DD81D2D" w14:textId="77777777" w:rsidR="00EB5968" w:rsidRPr="00F252D7" w:rsidRDefault="00EB5968" w:rsidP="00EB5968">
      <w:pPr>
        <w:spacing w:after="0" w:line="276" w:lineRule="auto"/>
        <w:ind w:left="709" w:right="709"/>
        <w:contextualSpacing/>
        <w:jc w:val="both"/>
        <w:rPr>
          <w:rFonts w:ascii="Verdana" w:eastAsia="Times New Roman" w:hAnsi="Verdana" w:cs="Arial"/>
          <w:sz w:val="21"/>
          <w:szCs w:val="21"/>
          <w:lang w:val="es-MX" w:eastAsia="es-ES_tradnl"/>
        </w:rPr>
      </w:pPr>
      <w:r w:rsidRPr="00F252D7">
        <w:rPr>
          <w:rFonts w:ascii="Verdana" w:eastAsia="Times New Roman" w:hAnsi="Verdana" w:cs="Arial"/>
          <w:sz w:val="21"/>
          <w:szCs w:val="21"/>
          <w:lang w:val="es-MX" w:eastAsia="es-ES_tradnl"/>
        </w:rPr>
        <w:t>“El presente decreto compila en un sólo cuerpo normativo los decretos reglamentarios vigentes de competencia del sector de la función pública, incluidos los atinentes a las siguientes materias: empleo público; funciones, competencias y requisitos generales para los empleos públicos de los distintos niveles jerárquicos de los organismos y entidades del orden nacional y territorial; administración de personal, situaciones administrativas; capacitación; sistema de estímulos; retiro del servicio; reformas de las plantas de empleos; gerencia pública; comisiones de personal; Sistema de Información y Gestión del Empleo Público - SIGEP; sistemas específicos de carrera de la Unidad Administrativa Especial Dirección de Impuestos y Aduanas Nacionales, DIAN, de las Superintendencias y de la Unidad Administrativa Especial de Aeronáutica Civil, AEROCIVIL; Sistema de Control Interno; Modelo Integrado de Planeación y Gestión; Sistema de Gestión de Calidad; Trámites; Premio Nacional de Alta Gerencia y Banco de Éxitos; régimen de los servidores de las sociedades de economía mixta en las cuales el aporte de la Nación, entidades territoriales y entidades descentralizadas, sea igual o superior al noventa por ciento (90%) del capital social, estándares mínimos para elección de personeros municipales; designación de los directores o gerentes regionales o seccionales o quienes hagan sus veces en los establecimientos públicos de la Rama Ejecutiva del orden nacional; designación del comisionado de la Comisión Nacional del Servicio Civil; normas relativas al trabajador oficiales; y cesantías para los Congresistas”.</w:t>
      </w:r>
    </w:p>
    <w:p w14:paraId="46E420BD" w14:textId="77777777" w:rsidR="00EB5968" w:rsidRPr="00F252D7" w:rsidRDefault="00EB5968" w:rsidP="00EB5968">
      <w:pPr>
        <w:spacing w:after="0" w:line="276" w:lineRule="auto"/>
        <w:ind w:left="709" w:right="709"/>
        <w:contextualSpacing/>
        <w:jc w:val="both"/>
        <w:rPr>
          <w:rFonts w:ascii="Verdana" w:eastAsia="Times New Roman" w:hAnsi="Verdana" w:cs="Arial"/>
          <w:sz w:val="21"/>
          <w:szCs w:val="21"/>
          <w:lang w:val="es-MX" w:eastAsia="es-ES_tradnl"/>
        </w:rPr>
      </w:pPr>
    </w:p>
    <w:p w14:paraId="38C8C0E3" w14:textId="77777777" w:rsidR="00EB5968" w:rsidRPr="00F252D7" w:rsidRDefault="00EB5968" w:rsidP="00EB5968">
      <w:pPr>
        <w:numPr>
          <w:ilvl w:val="0"/>
          <w:numId w:val="18"/>
        </w:numPr>
        <w:spacing w:after="0" w:line="276" w:lineRule="auto"/>
        <w:contextualSpacing/>
        <w:jc w:val="both"/>
        <w:rPr>
          <w:rFonts w:ascii="Verdana" w:eastAsia="Times New Roman" w:hAnsi="Verdana" w:cs="Arial"/>
          <w:bCs/>
          <w:szCs w:val="24"/>
          <w:lang w:val="es-ES_tradnl" w:eastAsia="es-ES_tradnl"/>
        </w:rPr>
      </w:pPr>
      <w:r w:rsidRPr="00F252D7">
        <w:rPr>
          <w:rFonts w:ascii="Verdana" w:eastAsia="Times New Roman" w:hAnsi="Verdana" w:cs="Arial"/>
          <w:bCs/>
          <w:szCs w:val="24"/>
          <w:lang w:val="es-ES_tradnl" w:eastAsia="es-ES_tradnl"/>
        </w:rPr>
        <w:t>En ese sentido, se resalta la distinción entre los servidores públicos y contratistas, para lo cual se cita el concepto 193201 del 25 de mayo de 2022 del Departamento Administrativo de la Función Pública:</w:t>
      </w:r>
    </w:p>
    <w:p w14:paraId="089C9039" w14:textId="77777777" w:rsidR="00EB5968" w:rsidRPr="00F252D7" w:rsidRDefault="00EB5968" w:rsidP="00EB5968">
      <w:pPr>
        <w:spacing w:after="0" w:line="276" w:lineRule="auto"/>
        <w:jc w:val="both"/>
        <w:rPr>
          <w:rFonts w:ascii="Verdana" w:eastAsia="Times New Roman" w:hAnsi="Verdana" w:cs="Arial"/>
          <w:bCs/>
          <w:szCs w:val="24"/>
          <w:lang w:val="es-ES_tradnl" w:eastAsia="es-ES_tradnl"/>
        </w:rPr>
      </w:pPr>
    </w:p>
    <w:p w14:paraId="79558051" w14:textId="77777777" w:rsidR="00EB5968" w:rsidRPr="00F252D7" w:rsidRDefault="00EB5968" w:rsidP="00EB5968">
      <w:pPr>
        <w:spacing w:after="0" w:line="276" w:lineRule="auto"/>
        <w:ind w:left="709" w:right="709"/>
        <w:contextualSpacing/>
        <w:jc w:val="both"/>
        <w:rPr>
          <w:rFonts w:ascii="Verdana" w:eastAsia="Times New Roman" w:hAnsi="Verdana" w:cs="Arial"/>
          <w:sz w:val="21"/>
          <w:szCs w:val="21"/>
          <w:lang w:val="es-MX" w:eastAsia="es-ES_tradnl"/>
        </w:rPr>
      </w:pPr>
      <w:r w:rsidRPr="00F252D7">
        <w:rPr>
          <w:rFonts w:ascii="Verdana" w:eastAsia="Times New Roman" w:hAnsi="Verdana" w:cs="Arial"/>
          <w:sz w:val="21"/>
          <w:szCs w:val="21"/>
          <w:lang w:val="es-MX" w:eastAsia="es-ES_tradnl"/>
        </w:rPr>
        <w:lastRenderedPageBreak/>
        <w:t>“De lo anterior se concluye que las personas vinculadas mediante contrato de prestación de servicios son particulares contratados por el tiempo estrictamente necesario para desarrollar actividades relacionadas con la administración o funcionamiento de la entidad, cuando estas funciones no pueden ser realizadas con personal de planta o requieran de conocimientos especializados.</w:t>
      </w:r>
    </w:p>
    <w:p w14:paraId="6028AAAB" w14:textId="77777777" w:rsidR="00EB5968" w:rsidRPr="00F252D7" w:rsidRDefault="00EB5968" w:rsidP="00EB5968">
      <w:pPr>
        <w:spacing w:after="0" w:line="276" w:lineRule="auto"/>
        <w:ind w:left="709" w:right="709"/>
        <w:contextualSpacing/>
        <w:jc w:val="both"/>
        <w:rPr>
          <w:rFonts w:ascii="Verdana" w:eastAsia="Times New Roman" w:hAnsi="Verdana" w:cs="Arial"/>
          <w:sz w:val="21"/>
          <w:szCs w:val="21"/>
          <w:lang w:val="es-MX" w:eastAsia="es-ES_tradnl"/>
        </w:rPr>
      </w:pPr>
    </w:p>
    <w:p w14:paraId="13285D15" w14:textId="77777777" w:rsidR="00EB5968" w:rsidRPr="00F252D7" w:rsidRDefault="00EB5968" w:rsidP="00EB5968">
      <w:pPr>
        <w:spacing w:after="0" w:line="276" w:lineRule="auto"/>
        <w:ind w:left="709" w:right="709"/>
        <w:contextualSpacing/>
        <w:jc w:val="both"/>
        <w:rPr>
          <w:rFonts w:ascii="Verdana" w:eastAsia="Times New Roman" w:hAnsi="Verdana" w:cs="Arial"/>
          <w:sz w:val="21"/>
          <w:szCs w:val="21"/>
          <w:lang w:val="es-MX" w:eastAsia="es-ES_tradnl"/>
        </w:rPr>
      </w:pPr>
      <w:r w:rsidRPr="00F252D7">
        <w:rPr>
          <w:rFonts w:ascii="Verdana" w:eastAsia="Times New Roman" w:hAnsi="Verdana" w:cs="Arial"/>
          <w:sz w:val="21"/>
          <w:szCs w:val="21"/>
          <w:lang w:val="es-MX" w:eastAsia="es-ES_tradnl"/>
        </w:rPr>
        <w:t xml:space="preserve">Adicionalmente, </w:t>
      </w:r>
      <w:proofErr w:type="gramStart"/>
      <w:r w:rsidRPr="00F252D7">
        <w:rPr>
          <w:rFonts w:ascii="Verdana" w:eastAsia="Times New Roman" w:hAnsi="Verdana" w:cs="Arial"/>
          <w:sz w:val="21"/>
          <w:szCs w:val="21"/>
          <w:lang w:val="es-MX" w:eastAsia="es-ES_tradnl"/>
        </w:rPr>
        <w:t>éste</w:t>
      </w:r>
      <w:proofErr w:type="gramEnd"/>
      <w:r w:rsidRPr="00F252D7">
        <w:rPr>
          <w:rFonts w:ascii="Verdana" w:eastAsia="Times New Roman" w:hAnsi="Verdana" w:cs="Arial"/>
          <w:sz w:val="21"/>
          <w:szCs w:val="21"/>
          <w:lang w:val="es-MX" w:eastAsia="es-ES_tradnl"/>
        </w:rPr>
        <w:t xml:space="preserve"> tipo de contrato no supone iguales condiciones a las que se derivan de una relación legal y reglamentaria con la administración (empleado público) o de un contrato laboral (trabajador oficial) por cuanto, no hay subordinación. La relación contractual tiene como características la autonomía e independencia del contratista, por </w:t>
      </w:r>
      <w:proofErr w:type="gramStart"/>
      <w:r w:rsidRPr="00F252D7">
        <w:rPr>
          <w:rFonts w:ascii="Verdana" w:eastAsia="Times New Roman" w:hAnsi="Verdana" w:cs="Arial"/>
          <w:sz w:val="21"/>
          <w:szCs w:val="21"/>
          <w:lang w:val="es-MX" w:eastAsia="es-ES_tradnl"/>
        </w:rPr>
        <w:t>consiguiente</w:t>
      </w:r>
      <w:proofErr w:type="gramEnd"/>
      <w:r w:rsidRPr="00F252D7">
        <w:rPr>
          <w:rFonts w:ascii="Verdana" w:eastAsia="Times New Roman" w:hAnsi="Verdana" w:cs="Arial"/>
          <w:sz w:val="21"/>
          <w:szCs w:val="21"/>
          <w:lang w:val="es-MX" w:eastAsia="es-ES_tradnl"/>
        </w:rPr>
        <w:t xml:space="preserve"> los contratistas no son servidores públicos sino particulares que prestan una función pública, su relación está regulada además de las disposiciones contenidas en la Ley, por las estipulaciones realizadas dentro del contrato mismo y en ningún caso dichos contratos generaran relación laboral ni prestaciones laborales.</w:t>
      </w:r>
    </w:p>
    <w:p w14:paraId="0E87A4E1" w14:textId="77777777" w:rsidR="00EB5968" w:rsidRPr="00F252D7" w:rsidRDefault="00EB5968" w:rsidP="00EB5968">
      <w:pPr>
        <w:spacing w:after="0" w:line="276" w:lineRule="auto"/>
        <w:ind w:left="709" w:right="709"/>
        <w:contextualSpacing/>
        <w:jc w:val="both"/>
        <w:rPr>
          <w:rFonts w:ascii="Verdana" w:eastAsia="Times New Roman" w:hAnsi="Verdana" w:cs="Arial"/>
          <w:sz w:val="21"/>
          <w:szCs w:val="21"/>
          <w:lang w:val="es-MX" w:eastAsia="es-ES_tradnl"/>
        </w:rPr>
      </w:pPr>
    </w:p>
    <w:p w14:paraId="04CD12B3" w14:textId="77777777" w:rsidR="00EB5968" w:rsidRPr="00F252D7" w:rsidRDefault="00EB5968" w:rsidP="00EB5968">
      <w:pPr>
        <w:spacing w:after="0" w:line="276" w:lineRule="auto"/>
        <w:ind w:left="709" w:right="709"/>
        <w:contextualSpacing/>
        <w:jc w:val="both"/>
        <w:rPr>
          <w:rFonts w:ascii="Verdana" w:eastAsia="Times New Roman" w:hAnsi="Verdana" w:cs="Arial"/>
          <w:sz w:val="21"/>
          <w:szCs w:val="21"/>
          <w:lang w:val="es-MX" w:eastAsia="es-ES_tradnl"/>
        </w:rPr>
      </w:pPr>
      <w:r w:rsidRPr="00F252D7">
        <w:rPr>
          <w:rFonts w:ascii="Verdana" w:eastAsia="Times New Roman" w:hAnsi="Verdana" w:cs="Arial"/>
          <w:sz w:val="21"/>
          <w:szCs w:val="21"/>
          <w:lang w:val="es-MX" w:eastAsia="es-ES_tradnl"/>
        </w:rPr>
        <w:t>Ahora bien, es preciso recordar que esta Dirección Jurídica, a través de los conceptos jurídicos que emite, ha reiterado en numerosas oportunidades que el ejercicio de las funciones de carácter permanente en las entidades públicas no pueden se desarrolladas a través de contratos de prestación de servicio, de conformidad con la prohibición señalada en el artículo 32, numeral 3, de la Ley 80 de 1993 y del artículo 54, numeral 1, de la Ley 1952 de 20194y ha insistido en la necesidad de contar con personal de planta para el ejercicio de funciones misionales, así como el control efectivo que al interior de las entidades debe hacerse a los contratos de prestación de servicios que suscriban para desarrollar funciones de apoyo”.</w:t>
      </w:r>
    </w:p>
    <w:p w14:paraId="4A531107" w14:textId="77777777" w:rsidR="00EB5968" w:rsidRPr="00F252D7" w:rsidRDefault="00EB5968" w:rsidP="00EB5968">
      <w:pPr>
        <w:ind w:left="720"/>
        <w:contextualSpacing/>
        <w:rPr>
          <w:rFonts w:ascii="Verdana" w:eastAsia="Calibri" w:hAnsi="Verdana" w:cs="Arial"/>
          <w:szCs w:val="24"/>
          <w:lang w:val="es-ES" w:eastAsia="es-ES_tradnl"/>
        </w:rPr>
      </w:pPr>
    </w:p>
    <w:p w14:paraId="6FC115A1" w14:textId="77777777" w:rsidR="00EB5968" w:rsidRPr="00F252D7" w:rsidRDefault="00EB5968" w:rsidP="00EB5968">
      <w:pPr>
        <w:tabs>
          <w:tab w:val="left" w:pos="142"/>
          <w:tab w:val="left" w:pos="284"/>
        </w:tabs>
        <w:spacing w:after="0" w:line="276" w:lineRule="auto"/>
        <w:jc w:val="both"/>
        <w:rPr>
          <w:rFonts w:ascii="Verdana" w:eastAsia="Century Gothic" w:hAnsi="Verdana" w:cs="Century Gothic"/>
          <w:b/>
          <w:bCs/>
        </w:rPr>
      </w:pPr>
      <w:r w:rsidRPr="00F252D7">
        <w:rPr>
          <w:rFonts w:ascii="Verdana" w:eastAsia="Century Gothic" w:hAnsi="Verdana" w:cs="Century Gothic"/>
          <w:b/>
          <w:bCs/>
        </w:rPr>
        <w:t>4. Referencias normativas, jurisprudenciales y otras fuentes:</w:t>
      </w:r>
    </w:p>
    <w:p w14:paraId="5D67A464" w14:textId="77777777" w:rsidR="00EB5968" w:rsidRPr="00F252D7" w:rsidRDefault="00EB5968" w:rsidP="00EB596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B5968" w:rsidRPr="00F252D7" w14:paraId="582B779A" w14:textId="77777777" w:rsidTr="001B3D42">
        <w:trPr>
          <w:trHeight w:val="870"/>
        </w:trPr>
        <w:tc>
          <w:tcPr>
            <w:tcW w:w="8647" w:type="dxa"/>
          </w:tcPr>
          <w:p w14:paraId="6C1A8789" w14:textId="77777777" w:rsidR="00EB5968" w:rsidRPr="00F252D7" w:rsidRDefault="00EB5968" w:rsidP="001B3D42">
            <w:pPr>
              <w:widowControl w:val="0"/>
              <w:numPr>
                <w:ilvl w:val="0"/>
                <w:numId w:val="16"/>
              </w:numPr>
              <w:autoSpaceDE w:val="0"/>
              <w:autoSpaceDN w:val="0"/>
              <w:spacing w:after="120" w:line="276" w:lineRule="auto"/>
              <w:contextualSpacing/>
              <w:jc w:val="both"/>
              <w:rPr>
                <w:rFonts w:ascii="Verdana" w:hAnsi="Verdana" w:cs="Arial"/>
                <w:lang w:val="es-ES"/>
              </w:rPr>
            </w:pPr>
            <w:r w:rsidRPr="00F252D7">
              <w:rPr>
                <w:rFonts w:ascii="Verdana" w:hAnsi="Verdana" w:cs="Arial"/>
                <w:lang w:val="es-ES"/>
              </w:rPr>
              <w:t xml:space="preserve">Ley 80 de 1993, artículo 25. </w:t>
            </w:r>
          </w:p>
          <w:p w14:paraId="50CE9299" w14:textId="77777777" w:rsidR="00EB5968" w:rsidRPr="00F252D7" w:rsidRDefault="00EB5968" w:rsidP="001B3D42">
            <w:pPr>
              <w:widowControl w:val="0"/>
              <w:numPr>
                <w:ilvl w:val="0"/>
                <w:numId w:val="16"/>
              </w:numPr>
              <w:autoSpaceDE w:val="0"/>
              <w:autoSpaceDN w:val="0"/>
              <w:spacing w:after="120" w:line="276" w:lineRule="auto"/>
              <w:contextualSpacing/>
              <w:jc w:val="both"/>
              <w:rPr>
                <w:rFonts w:ascii="Verdana" w:hAnsi="Verdana" w:cs="Arial"/>
                <w:lang w:val="es-ES"/>
              </w:rPr>
            </w:pPr>
            <w:r w:rsidRPr="00F252D7">
              <w:rPr>
                <w:rFonts w:ascii="Verdana" w:hAnsi="Verdana" w:cs="Arial"/>
                <w:lang w:val="es-ES"/>
              </w:rPr>
              <w:t>Decreto 1082 de 2015, artículos 2.2.1.1.2.1.1. y 2.2.1.1.1.6.1.</w:t>
            </w:r>
          </w:p>
          <w:p w14:paraId="1FDACCED" w14:textId="77777777" w:rsidR="00EB5968" w:rsidRPr="00F252D7" w:rsidRDefault="00EB5968" w:rsidP="001B3D42">
            <w:pPr>
              <w:widowControl w:val="0"/>
              <w:numPr>
                <w:ilvl w:val="0"/>
                <w:numId w:val="16"/>
              </w:numPr>
              <w:autoSpaceDE w:val="0"/>
              <w:autoSpaceDN w:val="0"/>
              <w:spacing w:after="120" w:line="276" w:lineRule="auto"/>
              <w:contextualSpacing/>
              <w:jc w:val="both"/>
              <w:rPr>
                <w:rFonts w:ascii="Verdana" w:hAnsi="Verdana" w:cs="Arial"/>
                <w:lang w:val="es-ES"/>
              </w:rPr>
            </w:pPr>
            <w:r w:rsidRPr="00F252D7">
              <w:rPr>
                <w:rFonts w:ascii="Verdana" w:hAnsi="Verdana" w:cs="Arial"/>
                <w:lang w:val="es-ES"/>
              </w:rPr>
              <w:t>Decreto 1083 de 2015, Artículo 2.1.1.1.</w:t>
            </w:r>
          </w:p>
          <w:p w14:paraId="27F475AB" w14:textId="77777777" w:rsidR="00EB5968" w:rsidRPr="00F252D7" w:rsidRDefault="00EB5968" w:rsidP="001B3D42">
            <w:pPr>
              <w:widowControl w:val="0"/>
              <w:numPr>
                <w:ilvl w:val="0"/>
                <w:numId w:val="16"/>
              </w:numPr>
              <w:autoSpaceDE w:val="0"/>
              <w:autoSpaceDN w:val="0"/>
              <w:spacing w:after="120" w:line="276" w:lineRule="auto"/>
              <w:contextualSpacing/>
              <w:jc w:val="both"/>
              <w:rPr>
                <w:rFonts w:ascii="Verdana" w:hAnsi="Verdana" w:cs="Arial"/>
                <w:lang w:val="es-ES"/>
              </w:rPr>
            </w:pPr>
            <w:r w:rsidRPr="00F252D7">
              <w:rPr>
                <w:rFonts w:ascii="Verdana" w:hAnsi="Verdana" w:cs="Arial"/>
              </w:rPr>
              <w:t>Consejo de Estado. Sección Tercera. Subsección B. Sentencia del 31 de agosto de 2011. Exp. 18.080.</w:t>
            </w:r>
          </w:p>
          <w:p w14:paraId="6852E53B" w14:textId="77777777" w:rsidR="00EB5968" w:rsidRPr="00F252D7" w:rsidRDefault="00EB5968" w:rsidP="001B3D42">
            <w:pPr>
              <w:widowControl w:val="0"/>
              <w:numPr>
                <w:ilvl w:val="0"/>
                <w:numId w:val="16"/>
              </w:numPr>
              <w:tabs>
                <w:tab w:val="left" w:pos="8419"/>
              </w:tabs>
              <w:autoSpaceDE w:val="0"/>
              <w:autoSpaceDN w:val="0"/>
              <w:spacing w:after="120" w:line="276" w:lineRule="auto"/>
              <w:jc w:val="both"/>
              <w:rPr>
                <w:rFonts w:ascii="Verdana" w:hAnsi="Verdana" w:cs="Arial"/>
                <w:lang w:val="es-ES"/>
              </w:rPr>
            </w:pPr>
            <w:r w:rsidRPr="00F252D7">
              <w:rPr>
                <w:rFonts w:ascii="Verdana" w:hAnsi="Verdana" w:cs="Arial"/>
                <w:lang w:val="es-ES"/>
              </w:rPr>
              <w:t xml:space="preserve">Colombia Compra Eficiente, Guía de Elaboración de Estudios de Sector - GEES del 24 de junio de 2022. Disponible en: </w:t>
            </w:r>
            <w:r w:rsidRPr="00F252D7">
              <w:rPr>
                <w:rFonts w:ascii="Geomanist Light" w:hAnsi="Geomanist Light"/>
                <w:lang w:val="es-ES"/>
              </w:rPr>
              <w:t xml:space="preserve"> </w:t>
            </w:r>
            <w:r w:rsidRPr="00F252D7">
              <w:rPr>
                <w:rFonts w:ascii="Verdana" w:hAnsi="Verdana" w:cs="Arial"/>
                <w:lang w:val="es-ES"/>
              </w:rPr>
              <w:t>chrome-</w:t>
            </w:r>
            <w:r w:rsidRPr="00F252D7">
              <w:rPr>
                <w:rFonts w:ascii="Verdana" w:hAnsi="Verdana" w:cs="Arial"/>
                <w:lang w:val="es-ES"/>
              </w:rPr>
              <w:lastRenderedPageBreak/>
              <w:t>extension://efaidnbmnnnibpcajpcglclefindmkaj/https://www.colombiacompra.gov.co/sites/cce_public/files/cce_documentos/cce-eicp-gi-18._gees_v.2_2.pdf</w:t>
            </w:r>
          </w:p>
          <w:p w14:paraId="4F30E68B" w14:textId="77777777" w:rsidR="00EB5968" w:rsidRPr="00F252D7" w:rsidRDefault="00EB5968" w:rsidP="001B3D42">
            <w:pPr>
              <w:widowControl w:val="0"/>
              <w:numPr>
                <w:ilvl w:val="0"/>
                <w:numId w:val="16"/>
              </w:numPr>
              <w:tabs>
                <w:tab w:val="left" w:pos="8419"/>
              </w:tabs>
              <w:autoSpaceDE w:val="0"/>
              <w:autoSpaceDN w:val="0"/>
              <w:spacing w:after="120" w:line="276" w:lineRule="auto"/>
              <w:jc w:val="both"/>
              <w:rPr>
                <w:rFonts w:ascii="Verdana" w:hAnsi="Verdana" w:cs="Arial"/>
                <w:lang w:val="es-ES"/>
              </w:rPr>
            </w:pPr>
            <w:r w:rsidRPr="00F252D7">
              <w:rPr>
                <w:rFonts w:ascii="Verdana" w:hAnsi="Verdana" w:cs="Arial"/>
                <w:lang w:val="es-ES"/>
              </w:rPr>
              <w:t>Departamento Administrativo de la Función Pública, Concepto 193201 del 25 de mayo de 2022.</w:t>
            </w:r>
          </w:p>
          <w:p w14:paraId="220941BB" w14:textId="77777777" w:rsidR="00EB5968" w:rsidRPr="00F252D7" w:rsidRDefault="00EB5968" w:rsidP="001B3D42">
            <w:pPr>
              <w:widowControl w:val="0"/>
              <w:numPr>
                <w:ilvl w:val="0"/>
                <w:numId w:val="16"/>
              </w:numPr>
              <w:tabs>
                <w:tab w:val="left" w:pos="8419"/>
              </w:tabs>
              <w:autoSpaceDE w:val="0"/>
              <w:autoSpaceDN w:val="0"/>
              <w:spacing w:after="120" w:line="276" w:lineRule="auto"/>
              <w:jc w:val="both"/>
              <w:rPr>
                <w:rFonts w:ascii="Verdana" w:hAnsi="Verdana" w:cs="Arial"/>
                <w:lang w:val="es-ES"/>
              </w:rPr>
            </w:pPr>
            <w:r w:rsidRPr="00F252D7">
              <w:rPr>
                <w:rFonts w:ascii="Verdana" w:hAnsi="Verdana" w:cs="Arial"/>
                <w:lang w:val="es-ES"/>
              </w:rPr>
              <w:t>DEIK ACOSTAMADIEDO, Carolina, Guía de Contratación Estatal: Deber de planeación y modalidades de selección, Buenos Aires, 2015.</w:t>
            </w:r>
          </w:p>
        </w:tc>
      </w:tr>
    </w:tbl>
    <w:p w14:paraId="16983287" w14:textId="77777777" w:rsidR="00EB5968" w:rsidRPr="00F252D7" w:rsidRDefault="00EB5968" w:rsidP="00EB5968">
      <w:pPr>
        <w:tabs>
          <w:tab w:val="left" w:pos="142"/>
          <w:tab w:val="left" w:pos="284"/>
        </w:tabs>
        <w:spacing w:after="0" w:line="276" w:lineRule="auto"/>
        <w:jc w:val="both"/>
        <w:rPr>
          <w:rFonts w:ascii="Verdana" w:eastAsia="Century Gothic" w:hAnsi="Verdana" w:cs="Century Gothic"/>
          <w:b/>
          <w:bCs/>
        </w:rPr>
      </w:pPr>
    </w:p>
    <w:p w14:paraId="67D727E0" w14:textId="77777777" w:rsidR="00EB5968" w:rsidRPr="00F252D7" w:rsidRDefault="00EB5968" w:rsidP="00EB5968">
      <w:pPr>
        <w:tabs>
          <w:tab w:val="left" w:pos="142"/>
          <w:tab w:val="left" w:pos="284"/>
        </w:tabs>
        <w:spacing w:after="0" w:line="276" w:lineRule="auto"/>
        <w:jc w:val="both"/>
        <w:rPr>
          <w:rFonts w:ascii="Verdana" w:eastAsia="Century Gothic" w:hAnsi="Verdana" w:cs="Century Gothic"/>
          <w:b/>
          <w:bCs/>
          <w:lang w:val="es-ES"/>
        </w:rPr>
      </w:pPr>
      <w:r w:rsidRPr="00F252D7">
        <w:rPr>
          <w:rFonts w:ascii="Verdana" w:eastAsia="Century Gothic" w:hAnsi="Verdana" w:cs="Century Gothic"/>
          <w:b/>
          <w:bCs/>
        </w:rPr>
        <w:t xml:space="preserve">5. </w:t>
      </w:r>
      <w:r w:rsidRPr="00F252D7">
        <w:rPr>
          <w:rFonts w:ascii="Verdana" w:eastAsia="Century Gothic" w:hAnsi="Verdana" w:cs="Century Gothic"/>
          <w:b/>
          <w:bCs/>
          <w:lang w:val="es-ES"/>
        </w:rPr>
        <w:t>Doctrina de la Agencia Nacional de Contratación Pública:</w:t>
      </w:r>
    </w:p>
    <w:p w14:paraId="4421BD7A" w14:textId="77777777" w:rsidR="00EB5968" w:rsidRPr="00F252D7" w:rsidRDefault="00EB5968" w:rsidP="00EB5968">
      <w:pPr>
        <w:spacing w:after="0" w:line="276" w:lineRule="auto"/>
        <w:ind w:firstLine="709"/>
        <w:jc w:val="both"/>
        <w:rPr>
          <w:rFonts w:ascii="Verdana" w:eastAsia="Times New Roman" w:hAnsi="Verdana" w:cs="Arial"/>
          <w:szCs w:val="24"/>
          <w:lang w:val="es-ES" w:eastAsia="es-ES_tradnl"/>
        </w:rPr>
      </w:pPr>
    </w:p>
    <w:p w14:paraId="5D6EC9E2" w14:textId="77777777" w:rsidR="00EB5968" w:rsidRPr="00F252D7" w:rsidRDefault="00EB5968" w:rsidP="00EB5968">
      <w:pPr>
        <w:widowControl w:val="0"/>
        <w:autoSpaceDE w:val="0"/>
        <w:autoSpaceDN w:val="0"/>
        <w:spacing w:after="0" w:line="276" w:lineRule="auto"/>
        <w:jc w:val="both"/>
        <w:rPr>
          <w:rFonts w:ascii="Verdana" w:hAnsi="Verdana" w:cs="Arial"/>
          <w:color w:val="000000" w:themeColor="text1"/>
          <w:shd w:val="clear" w:color="auto" w:fill="FFFFFF"/>
          <w:lang w:val="es-ES"/>
        </w:rPr>
      </w:pPr>
      <w:r w:rsidRPr="00F252D7">
        <w:rPr>
          <w:rFonts w:ascii="Verdana" w:eastAsia="Calibri" w:hAnsi="Verdana" w:cs="Arial"/>
          <w:lang w:val="es-ES_tradnl" w:eastAsia="es-ES_tradnl"/>
        </w:rPr>
        <w:t xml:space="preserve">Sobre el deber de elaborar análisis del sector frente a procesos de contratación se pronunció esta Subdirección en los conceptos 2202013000000037 del 7 de enero de 2020, C-223 del 29 de abril de 2020 y C-148 de 2021. Igualmente, se reiteran los Conceptos C-387 del 23 de junio de 2020, </w:t>
      </w:r>
      <w:r w:rsidRPr="00F252D7">
        <w:rPr>
          <w:rFonts w:ascii="Verdana" w:eastAsia="Calibri" w:hAnsi="Verdana" w:cs="Arial"/>
          <w:lang w:eastAsia="es-ES_tradnl"/>
        </w:rPr>
        <w:t xml:space="preserve">C-415 del 7 de julio </w:t>
      </w:r>
      <w:r w:rsidRPr="00F252D7">
        <w:rPr>
          <w:rFonts w:ascii="Verdana" w:eastAsia="Calibri" w:hAnsi="Verdana" w:cs="Arial"/>
          <w:lang w:val="es-ES_tradnl" w:eastAsia="es-ES_tradnl"/>
        </w:rPr>
        <w:t>de 2020</w:t>
      </w:r>
      <w:r w:rsidRPr="00F252D7">
        <w:rPr>
          <w:rFonts w:ascii="Verdana" w:eastAsia="Calibri" w:hAnsi="Verdana" w:cs="Arial"/>
          <w:lang w:eastAsia="es-ES_tradnl"/>
        </w:rPr>
        <w:t xml:space="preserve">, C-443 del 7 de julio de 2020, </w:t>
      </w:r>
      <w:r w:rsidRPr="00F252D7">
        <w:rPr>
          <w:rFonts w:ascii="Verdana" w:eastAsia="Times New Roman" w:hAnsi="Verdana" w:cs="Arial"/>
          <w:lang w:eastAsia="es-ES_tradnl"/>
        </w:rPr>
        <w:t>C-387 del 23 de junio de 2020</w:t>
      </w:r>
      <w:r w:rsidRPr="00F252D7">
        <w:rPr>
          <w:rFonts w:ascii="Verdana" w:eastAsia="Calibri" w:hAnsi="Verdana" w:cs="Arial"/>
          <w:lang w:val="es-ES_tradnl" w:eastAsia="es-ES_tradnl"/>
        </w:rPr>
        <w:t xml:space="preserve">, C-223 del 29 de abril de 2020, C-671 de 2020 de 23 de noviembre de 2020, C-215 del 12 de mayo de 2021, C-742 del 27 de diciembre de 2021, </w:t>
      </w:r>
      <w:r w:rsidRPr="00F252D7">
        <w:rPr>
          <w:rFonts w:ascii="Verdana" w:eastAsia="Calibri" w:hAnsi="Verdana" w:cs="Arial"/>
          <w:lang w:val="es-ES" w:eastAsia="es-ES_tradnl"/>
        </w:rPr>
        <w:t>C-519 del 13 de septiembre de 2022, C-716 del 15 de noviembre de 2022, C-856 del 13 de diciembre de 2022, y C-235 del 5 de julio de 2023. Estos</w:t>
      </w:r>
      <w:r w:rsidRPr="00F252D7">
        <w:rPr>
          <w:rFonts w:ascii="Verdana" w:hAnsi="Verdana"/>
        </w:rPr>
        <w:t xml:space="preserve"> y otros conceptos se encuentran disponibles para consulta en el Sistema de relatoría de la Agencia, al cual se puede acceder a través del siguiente enlace:</w:t>
      </w:r>
      <w:r w:rsidRPr="00F252D7">
        <w:rPr>
          <w:rFonts w:ascii="Verdana" w:hAnsi="Verdana" w:cs="Arial"/>
          <w:shd w:val="clear" w:color="auto" w:fill="FFFFFF"/>
          <w:lang w:val="es-ES"/>
        </w:rPr>
        <w:t xml:space="preserve"> </w:t>
      </w:r>
      <w:hyperlink r:id="rId11" w:history="1">
        <w:r w:rsidRPr="00F252D7">
          <w:rPr>
            <w:rFonts w:ascii="Verdana" w:hAnsi="Verdana" w:cs="Arial"/>
            <w:color w:val="0563C1" w:themeColor="hyperlink"/>
            <w:u w:val="single"/>
            <w:shd w:val="clear" w:color="auto" w:fill="FFFFFF"/>
            <w:lang w:val="es-ES"/>
          </w:rPr>
          <w:t>https://relatoria.colombiacompra.gov.co/busqueda/conceptos</w:t>
        </w:r>
      </w:hyperlink>
    </w:p>
    <w:p w14:paraId="7E43D7C3" w14:textId="77777777" w:rsidR="00EB5968" w:rsidRPr="00F252D7" w:rsidRDefault="00EB5968" w:rsidP="00EB5968">
      <w:pPr>
        <w:widowControl w:val="0"/>
        <w:autoSpaceDE w:val="0"/>
        <w:autoSpaceDN w:val="0"/>
        <w:spacing w:after="0" w:line="276" w:lineRule="auto"/>
        <w:jc w:val="both"/>
        <w:rPr>
          <w:rFonts w:ascii="Verdana" w:hAnsi="Verdana" w:cs="Arial"/>
          <w:color w:val="000000" w:themeColor="text1"/>
          <w:shd w:val="clear" w:color="auto" w:fill="FFFFFF"/>
          <w:lang w:val="es-ES"/>
        </w:rPr>
      </w:pPr>
    </w:p>
    <w:p w14:paraId="0BB94CED" w14:textId="77777777" w:rsidR="00EB5968" w:rsidRPr="00F252D7" w:rsidRDefault="00EB5968" w:rsidP="00EB5968">
      <w:pPr>
        <w:widowControl w:val="0"/>
        <w:autoSpaceDE w:val="0"/>
        <w:autoSpaceDN w:val="0"/>
        <w:spacing w:after="0" w:line="276" w:lineRule="auto"/>
        <w:jc w:val="both"/>
        <w:rPr>
          <w:rFonts w:ascii="Verdana" w:hAnsi="Verdana" w:cs="Arial"/>
          <w:color w:val="FF0000"/>
          <w:shd w:val="clear" w:color="auto" w:fill="FFFFFF"/>
          <w:lang w:val="es-ES"/>
        </w:rPr>
      </w:pPr>
      <w:r w:rsidRPr="00F252D7">
        <w:rPr>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F252D7">
        <w:rPr>
          <w:rFonts w:ascii="Verdana" w:hAnsi="Verdana" w:cs="Arial"/>
          <w:color w:val="FF0000"/>
          <w:shd w:val="clear" w:color="auto" w:fill="FFFFFF"/>
          <w:lang w:val="es-ES"/>
        </w:rPr>
        <w:t xml:space="preserve"> </w:t>
      </w:r>
      <w:hyperlink r:id="rId12" w:history="1">
        <w:r w:rsidRPr="00F252D7">
          <w:rPr>
            <w:rFonts w:ascii="Verdana" w:hAnsi="Verdana" w:cs="Arial"/>
            <w:color w:val="0563C1" w:themeColor="hyperlink"/>
            <w:u w:val="single"/>
            <w:shd w:val="clear" w:color="auto" w:fill="FFFFFF"/>
            <w:lang w:val="es-ES"/>
          </w:rPr>
          <w:t>https://www.colombiacompra.gov.co/sala-de-prensa/boletin-digital</w:t>
        </w:r>
      </w:hyperlink>
      <w:r w:rsidRPr="00F252D7">
        <w:rPr>
          <w:rFonts w:ascii="Verdana" w:hAnsi="Verdana" w:cs="Arial"/>
          <w:color w:val="FF0000"/>
          <w:shd w:val="clear" w:color="auto" w:fill="FFFFFF"/>
          <w:lang w:val="es-ES"/>
        </w:rPr>
        <w:t xml:space="preserve">      </w:t>
      </w:r>
    </w:p>
    <w:p w14:paraId="5EC8E7F4" w14:textId="77777777" w:rsidR="00EB5968" w:rsidRPr="00F252D7" w:rsidRDefault="00EB5968" w:rsidP="00EB5968">
      <w:pPr>
        <w:spacing w:after="0" w:line="240" w:lineRule="auto"/>
        <w:jc w:val="both"/>
        <w:rPr>
          <w:rFonts w:ascii="Verdana" w:hAnsi="Verdana"/>
        </w:rPr>
      </w:pPr>
    </w:p>
    <w:p w14:paraId="5C775CE5" w14:textId="77777777" w:rsidR="00EB5968" w:rsidRPr="00F252D7" w:rsidRDefault="00EB5968" w:rsidP="00EB5968">
      <w:pPr>
        <w:spacing w:after="0" w:line="240" w:lineRule="auto"/>
        <w:jc w:val="both"/>
        <w:rPr>
          <w:rFonts w:ascii="Verdana" w:hAnsi="Verdana"/>
        </w:rPr>
      </w:pPr>
      <w:r w:rsidRPr="00F252D7">
        <w:rPr>
          <w:rFonts w:ascii="Verdana" w:hAnsi="Verdana"/>
        </w:rPr>
        <w:t xml:space="preserve">Por último, lo invitamos a seguirnos en las redes sociales en las cuales se difunde información institucional: </w:t>
      </w:r>
    </w:p>
    <w:p w14:paraId="6A33B48D" w14:textId="77777777" w:rsidR="00EB5968" w:rsidRPr="00F252D7" w:rsidRDefault="00EB5968" w:rsidP="00EB5968">
      <w:pPr>
        <w:spacing w:after="0" w:line="240" w:lineRule="auto"/>
        <w:jc w:val="both"/>
        <w:rPr>
          <w:rFonts w:ascii="Verdana" w:hAnsi="Verdana"/>
        </w:rPr>
      </w:pPr>
    </w:p>
    <w:p w14:paraId="5CA26C9F" w14:textId="77777777" w:rsidR="00EB5968" w:rsidRPr="00F252D7" w:rsidRDefault="00EB5968" w:rsidP="00EB5968">
      <w:pPr>
        <w:spacing w:after="0" w:line="240" w:lineRule="auto"/>
        <w:jc w:val="both"/>
        <w:rPr>
          <w:rFonts w:ascii="Verdana" w:hAnsi="Verdana"/>
        </w:rPr>
      </w:pPr>
      <w:r w:rsidRPr="00F252D7">
        <w:rPr>
          <w:rFonts w:ascii="Verdana" w:hAnsi="Verdana"/>
        </w:rPr>
        <w:t xml:space="preserve">Twitter: </w:t>
      </w:r>
      <w:r w:rsidRPr="00F252D7">
        <w:rPr>
          <w:rFonts w:ascii="Verdana" w:hAnsi="Verdana"/>
          <w:color w:val="4472C4" w:themeColor="accent1"/>
          <w:u w:val="single"/>
        </w:rPr>
        <w:t>@colombiacompra</w:t>
      </w:r>
      <w:r w:rsidRPr="00F252D7">
        <w:rPr>
          <w:rFonts w:ascii="Verdana" w:hAnsi="Verdana"/>
          <w:color w:val="4472C4" w:themeColor="accent1"/>
        </w:rPr>
        <w:t xml:space="preserve"> </w:t>
      </w:r>
    </w:p>
    <w:p w14:paraId="5E2E0313" w14:textId="77777777" w:rsidR="00EB5968" w:rsidRPr="00F252D7" w:rsidRDefault="00EB5968" w:rsidP="00EB5968">
      <w:pPr>
        <w:spacing w:after="0" w:line="240" w:lineRule="auto"/>
        <w:jc w:val="both"/>
        <w:rPr>
          <w:rFonts w:ascii="Verdana" w:hAnsi="Verdana"/>
        </w:rPr>
      </w:pPr>
      <w:r w:rsidRPr="00F252D7">
        <w:rPr>
          <w:rFonts w:ascii="Verdana" w:hAnsi="Verdana"/>
        </w:rPr>
        <w:t xml:space="preserve">Facebook: </w:t>
      </w:r>
      <w:r w:rsidRPr="00F252D7">
        <w:rPr>
          <w:rFonts w:ascii="Verdana" w:hAnsi="Verdana"/>
          <w:color w:val="4472C4" w:themeColor="accent1"/>
          <w:u w:val="single"/>
        </w:rPr>
        <w:t>ColombiaCompraEficiente</w:t>
      </w:r>
    </w:p>
    <w:p w14:paraId="2638DEA6" w14:textId="77777777" w:rsidR="00EB5968" w:rsidRPr="00F252D7" w:rsidRDefault="00EB5968" w:rsidP="00EB5968">
      <w:pPr>
        <w:spacing w:after="0" w:line="240" w:lineRule="auto"/>
        <w:jc w:val="both"/>
        <w:rPr>
          <w:rFonts w:ascii="Verdana" w:hAnsi="Verdana"/>
        </w:rPr>
      </w:pPr>
      <w:r w:rsidRPr="00F252D7">
        <w:rPr>
          <w:rFonts w:ascii="Verdana" w:hAnsi="Verdana"/>
        </w:rPr>
        <w:t xml:space="preserve">LinkedIn: </w:t>
      </w:r>
      <w:r w:rsidRPr="00F252D7">
        <w:rPr>
          <w:rFonts w:ascii="Verdana" w:hAnsi="Verdana"/>
          <w:color w:val="4472C4" w:themeColor="accent1"/>
          <w:u w:val="single"/>
        </w:rPr>
        <w:t>Agencia Nacional de Contratación Pública - Colombia Compra Eficiente</w:t>
      </w:r>
      <w:r w:rsidRPr="00F252D7">
        <w:rPr>
          <w:rFonts w:ascii="Verdana" w:hAnsi="Verdana"/>
          <w:color w:val="4472C4" w:themeColor="accent1"/>
        </w:rPr>
        <w:t xml:space="preserve"> </w:t>
      </w:r>
      <w:r w:rsidRPr="00F252D7">
        <w:rPr>
          <w:rFonts w:ascii="Verdana" w:hAnsi="Verdana"/>
        </w:rPr>
        <w:t xml:space="preserve">Instagram: </w:t>
      </w:r>
      <w:r w:rsidRPr="00F252D7">
        <w:rPr>
          <w:rFonts w:ascii="Verdana" w:hAnsi="Verdana"/>
          <w:color w:val="4472C4" w:themeColor="accent1"/>
          <w:u w:val="single"/>
        </w:rPr>
        <w:t>@colombiacompraeficiente_cce</w:t>
      </w:r>
    </w:p>
    <w:p w14:paraId="6EC24B9C" w14:textId="77777777" w:rsidR="00EB5968" w:rsidRPr="00F252D7" w:rsidRDefault="00EB5968" w:rsidP="00EB5968">
      <w:pPr>
        <w:widowControl w:val="0"/>
        <w:autoSpaceDE w:val="0"/>
        <w:autoSpaceDN w:val="0"/>
        <w:spacing w:after="0" w:line="276" w:lineRule="auto"/>
        <w:jc w:val="both"/>
        <w:rPr>
          <w:rFonts w:ascii="Verdana" w:hAnsi="Verdana" w:cs="Arial"/>
        </w:rPr>
      </w:pPr>
    </w:p>
    <w:p w14:paraId="2EDBA08D" w14:textId="77777777" w:rsidR="00EB5968" w:rsidRPr="00F252D7" w:rsidRDefault="00EB5968" w:rsidP="00EB5968">
      <w:pPr>
        <w:widowControl w:val="0"/>
        <w:autoSpaceDE w:val="0"/>
        <w:autoSpaceDN w:val="0"/>
        <w:spacing w:after="0" w:line="276" w:lineRule="auto"/>
        <w:jc w:val="both"/>
        <w:rPr>
          <w:rFonts w:ascii="Verdana" w:hAnsi="Verdana" w:cs="Arial"/>
          <w:lang w:val="es-ES_tradnl"/>
        </w:rPr>
      </w:pPr>
      <w:r w:rsidRPr="00F252D7">
        <w:rPr>
          <w:rFonts w:ascii="Verdana" w:hAnsi="Verdana" w:cs="Arial"/>
        </w:rPr>
        <w:t xml:space="preserve">Este concepto tiene el alcance previsto en el artículo 28 del Código de Procedimiento Administrativo y de lo Contencioso Administrativo </w:t>
      </w:r>
      <w:r w:rsidRPr="00F252D7">
        <w:rPr>
          <w:rFonts w:ascii="Verdana" w:hAnsi="Verdana" w:cs="Arial"/>
          <w:lang w:val="es-ES_tradnl"/>
        </w:rPr>
        <w:t xml:space="preserve">y las </w:t>
      </w:r>
      <w:r w:rsidRPr="00F252D7">
        <w:rPr>
          <w:rFonts w:ascii="Verdana" w:hAnsi="Verdana" w:cs="Arial"/>
          <w:lang w:val="es-ES_tradnl"/>
        </w:rPr>
        <w:lastRenderedPageBreak/>
        <w:t>expresiones aquí utilizadas con mayúscula inicial deben ser entendidas con el significado que les otorga el artículo 2.2.1.1.1.3.1. del Decreto 1082 de 2015.</w:t>
      </w:r>
    </w:p>
    <w:p w14:paraId="3AAB04E2" w14:textId="77777777" w:rsidR="00EB5968" w:rsidRPr="00F252D7" w:rsidRDefault="00EB5968" w:rsidP="00EB5968">
      <w:pPr>
        <w:spacing w:after="0" w:line="276" w:lineRule="auto"/>
        <w:ind w:firstLine="709"/>
        <w:jc w:val="both"/>
        <w:rPr>
          <w:rFonts w:ascii="Verdana" w:eastAsia="Times New Roman" w:hAnsi="Verdana" w:cs="Arial"/>
          <w:szCs w:val="24"/>
          <w:lang w:val="es-ES_tradnl" w:eastAsia="es-ES_tradnl"/>
        </w:rPr>
      </w:pPr>
    </w:p>
    <w:p w14:paraId="4DE72CC4" w14:textId="77777777" w:rsidR="00EB5968" w:rsidRPr="00F252D7" w:rsidRDefault="00EB5968" w:rsidP="00EB5968">
      <w:pPr>
        <w:spacing w:after="0" w:line="276" w:lineRule="auto"/>
        <w:jc w:val="both"/>
        <w:rPr>
          <w:rFonts w:ascii="Verdana" w:eastAsia="Times New Roman" w:hAnsi="Verdana" w:cs="Arial"/>
          <w:lang w:val="es-ES_tradnl" w:eastAsia="es-CO"/>
        </w:rPr>
      </w:pPr>
      <w:bookmarkStart w:id="9" w:name="_Hlk117695077"/>
      <w:r w:rsidRPr="00F252D7">
        <w:rPr>
          <w:rFonts w:ascii="Verdana" w:eastAsia="Times New Roman" w:hAnsi="Verdana" w:cs="Arial"/>
          <w:lang w:val="es-ES_tradnl" w:eastAsia="es-CO"/>
        </w:rPr>
        <w:t>Atentamente,</w:t>
      </w:r>
    </w:p>
    <w:bookmarkEnd w:id="9"/>
    <w:p w14:paraId="38AD2CCD" w14:textId="41E73BC3" w:rsidR="00EB5968" w:rsidRPr="00F252D7" w:rsidRDefault="005C5970" w:rsidP="00EB5968">
      <w:pPr>
        <w:spacing w:after="18" w:line="240" w:lineRule="auto"/>
        <w:jc w:val="center"/>
        <w:rPr>
          <w:rFonts w:ascii="Verdana" w:eastAsia="Times New Roman" w:hAnsi="Verdana" w:cs="Arial"/>
          <w:sz w:val="24"/>
          <w:szCs w:val="24"/>
          <w:lang w:eastAsia="es-CO"/>
        </w:rPr>
      </w:pPr>
      <w:r>
        <w:rPr>
          <w:noProof/>
        </w:rPr>
        <w:drawing>
          <wp:inline distT="0" distB="0" distL="0" distR="0" wp14:anchorId="5EEC8FD7" wp14:editId="34570971">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p w14:paraId="669C86E4" w14:textId="77777777" w:rsidR="00EB5968" w:rsidRPr="00F252D7" w:rsidRDefault="00EB5968" w:rsidP="00EB5968">
      <w:pPr>
        <w:spacing w:after="18" w:line="240" w:lineRule="auto"/>
        <w:jc w:val="center"/>
        <w:rPr>
          <w:rFonts w:ascii="Verdana" w:eastAsia="Times New Roman" w:hAnsi="Verdana" w:cs="Arial"/>
          <w:sz w:val="24"/>
          <w:szCs w:val="24"/>
          <w:lang w:eastAsia="es-CO"/>
        </w:rPr>
      </w:pP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217"/>
      </w:tblGrid>
      <w:tr w:rsidR="00EB5968" w:rsidRPr="00F252D7" w14:paraId="4533647B" w14:textId="77777777" w:rsidTr="001B3D42">
        <w:trPr>
          <w:trHeight w:val="286"/>
        </w:trPr>
        <w:tc>
          <w:tcPr>
            <w:tcW w:w="886" w:type="dxa"/>
            <w:vAlign w:val="center"/>
            <w:hideMark/>
          </w:tcPr>
          <w:p w14:paraId="1DEFD18A" w14:textId="77777777" w:rsidR="00EB5968" w:rsidRPr="00F252D7" w:rsidRDefault="00EB5968" w:rsidP="001B3D42">
            <w:pPr>
              <w:rPr>
                <w:rFonts w:ascii="Verdana" w:hAnsi="Verdana" w:cs="Arial"/>
                <w:sz w:val="14"/>
                <w:szCs w:val="14"/>
                <w:lang w:eastAsia="es-ES"/>
              </w:rPr>
            </w:pPr>
            <w:r w:rsidRPr="00F252D7">
              <w:rPr>
                <w:rFonts w:ascii="Verdana" w:hAnsi="Verdana" w:cs="Arial"/>
                <w:sz w:val="16"/>
                <w:szCs w:val="16"/>
                <w:lang w:eastAsia="es-ES"/>
              </w:rPr>
              <w:t>Elaboró:</w:t>
            </w:r>
          </w:p>
        </w:tc>
        <w:tc>
          <w:tcPr>
            <w:tcW w:w="4217" w:type="dxa"/>
            <w:tcBorders>
              <w:top w:val="nil"/>
              <w:left w:val="nil"/>
              <w:bottom w:val="dotted" w:sz="4" w:space="0" w:color="7F7F7F"/>
              <w:right w:val="nil"/>
            </w:tcBorders>
            <w:vAlign w:val="center"/>
            <w:hideMark/>
          </w:tcPr>
          <w:p w14:paraId="14466683" w14:textId="77777777" w:rsidR="00EB5968" w:rsidRPr="00F252D7" w:rsidRDefault="00EB5968" w:rsidP="001B3D42">
            <w:pPr>
              <w:rPr>
                <w:rFonts w:ascii="Verdana" w:hAnsi="Verdana" w:cs="Arial"/>
                <w:sz w:val="16"/>
                <w:szCs w:val="16"/>
                <w:lang w:val="es-ES_tradnl" w:eastAsia="es-ES"/>
              </w:rPr>
            </w:pPr>
            <w:r w:rsidRPr="00F252D7">
              <w:rPr>
                <w:rFonts w:ascii="Verdana" w:hAnsi="Verdana" w:cs="Arial"/>
                <w:sz w:val="16"/>
                <w:szCs w:val="16"/>
                <w:lang w:val="es-ES_tradnl" w:eastAsia="es-ES"/>
              </w:rPr>
              <w:t>Ximena Ríos López</w:t>
            </w:r>
          </w:p>
          <w:p w14:paraId="6BD77F16" w14:textId="77777777" w:rsidR="00EB5968" w:rsidRPr="00F252D7" w:rsidRDefault="00EB5968" w:rsidP="001B3D42">
            <w:pPr>
              <w:rPr>
                <w:rFonts w:ascii="Verdana" w:hAnsi="Verdana" w:cs="Arial"/>
                <w:sz w:val="14"/>
                <w:szCs w:val="14"/>
                <w:lang w:eastAsia="es-ES"/>
              </w:rPr>
            </w:pPr>
            <w:r w:rsidRPr="00F252D7">
              <w:rPr>
                <w:rFonts w:ascii="Verdana" w:hAnsi="Verdana" w:cs="Arial"/>
                <w:sz w:val="16"/>
                <w:szCs w:val="16"/>
                <w:lang w:eastAsia="es-ES"/>
              </w:rPr>
              <w:t>Gestor T1-11 de la Subdirección de Gestión Contractual</w:t>
            </w:r>
          </w:p>
        </w:tc>
      </w:tr>
      <w:tr w:rsidR="00EB5968" w:rsidRPr="00F252D7" w14:paraId="4C76E6D4" w14:textId="77777777" w:rsidTr="001B3D42">
        <w:trPr>
          <w:trHeight w:val="299"/>
        </w:trPr>
        <w:tc>
          <w:tcPr>
            <w:tcW w:w="886" w:type="dxa"/>
            <w:vAlign w:val="center"/>
            <w:hideMark/>
          </w:tcPr>
          <w:p w14:paraId="5FA29554" w14:textId="77777777" w:rsidR="00EB5968" w:rsidRPr="00F252D7" w:rsidRDefault="00EB5968" w:rsidP="001B3D42">
            <w:pPr>
              <w:rPr>
                <w:rFonts w:ascii="Verdana" w:hAnsi="Verdana" w:cs="Arial"/>
                <w:sz w:val="14"/>
                <w:szCs w:val="14"/>
                <w:lang w:eastAsia="es-ES"/>
              </w:rPr>
            </w:pPr>
            <w:r w:rsidRPr="00F252D7">
              <w:rPr>
                <w:rFonts w:ascii="Verdana" w:hAnsi="Verdana" w:cs="Arial"/>
                <w:sz w:val="16"/>
                <w:szCs w:val="16"/>
                <w:lang w:eastAsia="es-ES"/>
              </w:rPr>
              <w:t>Revisó:</w:t>
            </w:r>
          </w:p>
        </w:tc>
        <w:tc>
          <w:tcPr>
            <w:tcW w:w="4217" w:type="dxa"/>
            <w:tcBorders>
              <w:top w:val="dotted" w:sz="4" w:space="0" w:color="7F7F7F"/>
              <w:left w:val="nil"/>
              <w:bottom w:val="dotted" w:sz="4" w:space="0" w:color="7F7F7F"/>
              <w:right w:val="nil"/>
            </w:tcBorders>
            <w:vAlign w:val="center"/>
            <w:hideMark/>
          </w:tcPr>
          <w:p w14:paraId="7B479EC3" w14:textId="77777777" w:rsidR="00EB5968" w:rsidRPr="00F252D7" w:rsidRDefault="00EB5968" w:rsidP="001B3D42">
            <w:pPr>
              <w:rPr>
                <w:rFonts w:ascii="Verdana" w:hAnsi="Verdana" w:cs="Arial"/>
                <w:sz w:val="16"/>
                <w:szCs w:val="16"/>
                <w:lang w:val="es-ES_tradnl" w:eastAsia="es-ES"/>
              </w:rPr>
            </w:pPr>
            <w:r w:rsidRPr="00F252D7">
              <w:rPr>
                <w:rFonts w:ascii="Verdana" w:hAnsi="Verdana" w:cs="Arial"/>
                <w:sz w:val="16"/>
                <w:szCs w:val="16"/>
                <w:lang w:val="es-ES_tradnl" w:eastAsia="es-ES"/>
              </w:rPr>
              <w:t>Cielo González</w:t>
            </w:r>
          </w:p>
          <w:p w14:paraId="05A2AA96" w14:textId="77777777" w:rsidR="00EB5968" w:rsidRPr="00F252D7" w:rsidRDefault="00EB5968" w:rsidP="001B3D42">
            <w:pPr>
              <w:rPr>
                <w:rFonts w:ascii="Verdana" w:hAnsi="Verdana" w:cs="Arial"/>
                <w:sz w:val="14"/>
                <w:szCs w:val="14"/>
                <w:lang w:eastAsia="es-ES"/>
              </w:rPr>
            </w:pPr>
            <w:r w:rsidRPr="00F252D7">
              <w:rPr>
                <w:rFonts w:ascii="Verdana" w:hAnsi="Verdana" w:cs="Arial"/>
                <w:sz w:val="16"/>
                <w:szCs w:val="16"/>
                <w:lang w:eastAsia="es-ES"/>
              </w:rPr>
              <w:t>Contratista de la Subdirección de Gestión Contractual</w:t>
            </w:r>
          </w:p>
        </w:tc>
      </w:tr>
      <w:tr w:rsidR="00EB5968" w:rsidRPr="00F252D7" w14:paraId="7A545D26" w14:textId="77777777" w:rsidTr="001B3D42">
        <w:trPr>
          <w:trHeight w:val="272"/>
        </w:trPr>
        <w:tc>
          <w:tcPr>
            <w:tcW w:w="886" w:type="dxa"/>
            <w:vAlign w:val="center"/>
            <w:hideMark/>
          </w:tcPr>
          <w:p w14:paraId="08821E8C" w14:textId="77777777" w:rsidR="00EB5968" w:rsidRPr="00F252D7" w:rsidRDefault="00EB5968" w:rsidP="001B3D42">
            <w:pPr>
              <w:rPr>
                <w:rFonts w:ascii="Verdana" w:hAnsi="Verdana" w:cs="Arial"/>
                <w:sz w:val="14"/>
                <w:szCs w:val="14"/>
                <w:lang w:eastAsia="es-ES"/>
              </w:rPr>
            </w:pPr>
            <w:r w:rsidRPr="00F252D7">
              <w:rPr>
                <w:rFonts w:ascii="Verdana" w:hAnsi="Verdana" w:cs="Arial"/>
                <w:sz w:val="16"/>
                <w:szCs w:val="16"/>
                <w:lang w:eastAsia="es-ES"/>
              </w:rPr>
              <w:t>Aprobó:</w:t>
            </w:r>
          </w:p>
        </w:tc>
        <w:tc>
          <w:tcPr>
            <w:tcW w:w="4217" w:type="dxa"/>
            <w:tcBorders>
              <w:top w:val="dotted" w:sz="4" w:space="0" w:color="7F7F7F"/>
              <w:left w:val="nil"/>
              <w:bottom w:val="dotted" w:sz="4" w:space="0" w:color="7F7F7F"/>
              <w:right w:val="nil"/>
            </w:tcBorders>
            <w:vAlign w:val="center"/>
            <w:hideMark/>
          </w:tcPr>
          <w:p w14:paraId="02DA97F0" w14:textId="77777777" w:rsidR="00EB5968" w:rsidRPr="00F252D7" w:rsidRDefault="00EB5968" w:rsidP="001B3D42">
            <w:pPr>
              <w:rPr>
                <w:rFonts w:ascii="Verdana" w:hAnsi="Verdana" w:cs="Arial"/>
                <w:sz w:val="16"/>
                <w:szCs w:val="16"/>
                <w:lang w:eastAsia="es-ES"/>
              </w:rPr>
            </w:pPr>
            <w:r w:rsidRPr="00F252D7">
              <w:rPr>
                <w:rFonts w:ascii="Verdana" w:hAnsi="Verdana" w:cs="Arial"/>
                <w:sz w:val="16"/>
                <w:szCs w:val="16"/>
                <w:lang w:eastAsia="es-ES"/>
              </w:rPr>
              <w:t>Carolina Quintero Gacharná</w:t>
            </w:r>
          </w:p>
          <w:p w14:paraId="170372B6" w14:textId="77777777" w:rsidR="00EB5968" w:rsidRPr="00F252D7" w:rsidRDefault="00EB5968" w:rsidP="001B3D42">
            <w:pPr>
              <w:rPr>
                <w:rFonts w:ascii="Verdana" w:hAnsi="Verdana" w:cs="Arial"/>
                <w:sz w:val="14"/>
                <w:szCs w:val="14"/>
                <w:lang w:eastAsia="es-ES"/>
              </w:rPr>
            </w:pPr>
            <w:r w:rsidRPr="00F252D7">
              <w:rPr>
                <w:rFonts w:ascii="Verdana" w:hAnsi="Verdana" w:cs="Arial"/>
                <w:sz w:val="16"/>
                <w:szCs w:val="16"/>
                <w:lang w:eastAsia="es-ES"/>
              </w:rPr>
              <w:t>Subdirectora de Gestión Contractual ANCP – CCE</w:t>
            </w:r>
          </w:p>
        </w:tc>
      </w:tr>
    </w:tbl>
    <w:p w14:paraId="11867205" w14:textId="77777777" w:rsidR="00EB5968" w:rsidRPr="00F252D7" w:rsidRDefault="00EB5968" w:rsidP="00EB5968">
      <w:pPr>
        <w:spacing w:after="0" w:line="276" w:lineRule="auto"/>
        <w:jc w:val="both"/>
        <w:rPr>
          <w:rFonts w:ascii="Verdana" w:eastAsia="Times New Roman" w:hAnsi="Verdana" w:cs="Arial"/>
          <w:lang w:val="es-ES_tradnl"/>
        </w:rPr>
      </w:pPr>
    </w:p>
    <w:p w14:paraId="6DD0DCFD" w14:textId="77777777" w:rsidR="00EB5968" w:rsidRPr="00F252D7" w:rsidRDefault="00EB5968" w:rsidP="00EB5968">
      <w:pPr>
        <w:spacing w:after="0" w:line="240" w:lineRule="auto"/>
        <w:rPr>
          <w:rFonts w:ascii="Verdana" w:eastAsia="Times New Roman" w:hAnsi="Verdana" w:cs="Arial"/>
          <w:sz w:val="24"/>
          <w:szCs w:val="24"/>
          <w:lang w:eastAsia="es-ES_tradnl"/>
        </w:rPr>
      </w:pPr>
    </w:p>
    <w:p w14:paraId="00BAD870" w14:textId="77777777" w:rsidR="00EB5968" w:rsidRPr="00F252D7" w:rsidRDefault="00EB5968" w:rsidP="00EB5968">
      <w:pPr>
        <w:rPr>
          <w:rFonts w:ascii="Verdana" w:hAnsi="Verdana"/>
        </w:rPr>
      </w:pPr>
    </w:p>
    <w:p w14:paraId="1B0E045A" w14:textId="77777777" w:rsidR="00EB5968" w:rsidRPr="0044528D" w:rsidRDefault="00EB5968" w:rsidP="00EB5968">
      <w:pPr>
        <w:spacing w:after="0"/>
        <w:jc w:val="both"/>
        <w:rPr>
          <w:rStyle w:val="Hipervnculo"/>
          <w:rFonts w:ascii="Verdana" w:hAnsi="Verdana"/>
        </w:rPr>
      </w:pPr>
    </w:p>
    <w:bookmarkEnd w:id="0"/>
    <w:sectPr w:rsidR="00EB5968"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988A2" w14:textId="77777777" w:rsidR="00A543C3" w:rsidRDefault="00A543C3" w:rsidP="004A1847">
      <w:pPr>
        <w:spacing w:after="0" w:line="240" w:lineRule="auto"/>
      </w:pPr>
      <w:r>
        <w:separator/>
      </w:r>
    </w:p>
  </w:endnote>
  <w:endnote w:type="continuationSeparator" w:id="0">
    <w:p w14:paraId="4F72EA56" w14:textId="77777777" w:rsidR="00A543C3" w:rsidRDefault="00A543C3" w:rsidP="004A1847">
      <w:pPr>
        <w:spacing w:after="0" w:line="240" w:lineRule="auto"/>
      </w:pPr>
      <w:r>
        <w:continuationSeparator/>
      </w:r>
    </w:p>
  </w:endnote>
  <w:endnote w:type="continuationNotice" w:id="1">
    <w:p w14:paraId="120C0A78" w14:textId="77777777" w:rsidR="00A543C3" w:rsidRDefault="00A54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47476" w14:textId="77777777" w:rsidR="00A543C3" w:rsidRDefault="00A543C3" w:rsidP="004A1847">
      <w:pPr>
        <w:spacing w:after="0" w:line="240" w:lineRule="auto"/>
      </w:pPr>
      <w:r>
        <w:separator/>
      </w:r>
    </w:p>
  </w:footnote>
  <w:footnote w:type="continuationSeparator" w:id="0">
    <w:p w14:paraId="37BE0E04" w14:textId="77777777" w:rsidR="00A543C3" w:rsidRDefault="00A543C3" w:rsidP="004A1847">
      <w:pPr>
        <w:spacing w:after="0" w:line="240" w:lineRule="auto"/>
      </w:pPr>
      <w:r>
        <w:continuationSeparator/>
      </w:r>
    </w:p>
  </w:footnote>
  <w:footnote w:type="continuationNotice" w:id="1">
    <w:p w14:paraId="74F7CFC7" w14:textId="77777777" w:rsidR="00A543C3" w:rsidRDefault="00A543C3">
      <w:pPr>
        <w:spacing w:after="0" w:line="240" w:lineRule="auto"/>
      </w:pPr>
    </w:p>
  </w:footnote>
  <w:footnote w:id="2">
    <w:p w14:paraId="16E95482" w14:textId="77777777" w:rsidR="00EB5968" w:rsidRPr="00E06650" w:rsidRDefault="00EB5968" w:rsidP="00EB5968">
      <w:pPr>
        <w:pStyle w:val="Textonotapie"/>
        <w:ind w:firstLine="707"/>
        <w:rPr>
          <w:lang w:val="es-ES"/>
        </w:rPr>
      </w:pPr>
      <w:r>
        <w:rPr>
          <w:rStyle w:val="Refdenotaalpie"/>
        </w:rPr>
        <w:footnoteRef/>
      </w:r>
      <w:r>
        <w:t xml:space="preserve"> </w:t>
      </w:r>
      <w:r>
        <w:rPr>
          <w:rFonts w:ascii="Verdana" w:eastAsia="Times New Roman" w:hAnsi="Verdana" w:cs="Arial"/>
          <w:bCs/>
          <w:szCs w:val="24"/>
          <w:lang w:val="es-ES_tradnl" w:eastAsia="es-ES_tradnl"/>
        </w:rPr>
        <w:t>C</w:t>
      </w:r>
      <w:r w:rsidRPr="00F252D7">
        <w:rPr>
          <w:rFonts w:ascii="Verdana" w:eastAsia="Times New Roman" w:hAnsi="Verdana" w:cs="Arial"/>
          <w:bCs/>
          <w:szCs w:val="24"/>
          <w:lang w:val="es-ES_tradnl" w:eastAsia="es-ES_tradnl"/>
        </w:rPr>
        <w:t>oncepto 193201 del 25 de mayo de 2022 del Departamento Administrativo de la Función Pública</w:t>
      </w:r>
    </w:p>
  </w:footnote>
  <w:footnote w:id="3">
    <w:p w14:paraId="105BB720" w14:textId="77777777" w:rsidR="00EB5968" w:rsidRPr="000405DB" w:rsidRDefault="00EB5968" w:rsidP="00EB5968">
      <w:pPr>
        <w:spacing w:after="0" w:line="240" w:lineRule="auto"/>
        <w:ind w:firstLine="707"/>
        <w:contextualSpacing/>
        <w:jc w:val="both"/>
        <w:rPr>
          <w:rFonts w:ascii="Verdana" w:hAnsi="Verdana" w:cs="Arial"/>
          <w:sz w:val="10"/>
          <w:szCs w:val="10"/>
        </w:rPr>
      </w:pPr>
      <w:r w:rsidRPr="000405DB">
        <w:rPr>
          <w:rStyle w:val="Refdenotaalpie"/>
          <w:rFonts w:ascii="Verdana" w:hAnsi="Verdana" w:cs="Arial"/>
          <w:sz w:val="10"/>
          <w:szCs w:val="10"/>
        </w:rPr>
        <w:footnoteRef/>
      </w:r>
      <w:r w:rsidRPr="000405DB">
        <w:rPr>
          <w:rFonts w:ascii="Verdana" w:hAnsi="Verdana" w:cs="Arial"/>
          <w:position w:val="6"/>
          <w:sz w:val="10"/>
          <w:szCs w:val="10"/>
        </w:rPr>
        <w:t xml:space="preserve"> </w:t>
      </w:r>
      <w:r w:rsidRPr="000405DB">
        <w:rPr>
          <w:rFonts w:ascii="Verdana" w:hAnsi="Verdana" w:cs="Arial"/>
          <w:sz w:val="10"/>
          <w:szCs w:val="10"/>
        </w:rPr>
        <w:t>DEIK ACOSTAMADIEDO, Carolina, Guía de Contratación Estatal: Deber de planeación y modalidades de selección, Buenos Aires, 2015, p. 59.</w:t>
      </w:r>
    </w:p>
    <w:p w14:paraId="298D0D6F" w14:textId="77777777" w:rsidR="00EB5968" w:rsidRPr="000405DB" w:rsidRDefault="00EB5968" w:rsidP="00EB5968">
      <w:pPr>
        <w:pStyle w:val="Textonotapie"/>
        <w:contextualSpacing/>
        <w:jc w:val="both"/>
        <w:rPr>
          <w:rFonts w:ascii="Verdana" w:hAnsi="Verdana" w:cs="Arial"/>
          <w:sz w:val="10"/>
          <w:szCs w:val="10"/>
        </w:rPr>
      </w:pPr>
    </w:p>
  </w:footnote>
  <w:footnote w:id="4">
    <w:p w14:paraId="234927C1" w14:textId="77777777" w:rsidR="00EB5968" w:rsidRPr="000405DB" w:rsidRDefault="00EB5968" w:rsidP="00EB5968">
      <w:pPr>
        <w:pStyle w:val="Textoindependiente"/>
        <w:spacing w:after="0" w:line="240" w:lineRule="auto"/>
        <w:ind w:firstLine="709"/>
        <w:contextualSpacing/>
        <w:jc w:val="both"/>
        <w:rPr>
          <w:rFonts w:ascii="Verdana" w:hAnsi="Verdana" w:cs="Arial"/>
          <w:sz w:val="10"/>
          <w:szCs w:val="10"/>
        </w:rPr>
      </w:pPr>
      <w:r w:rsidRPr="000405DB">
        <w:rPr>
          <w:rStyle w:val="Refdenotaalpie"/>
          <w:rFonts w:ascii="Verdana" w:hAnsi="Verdana" w:cs="Arial"/>
          <w:sz w:val="10"/>
          <w:szCs w:val="10"/>
        </w:rPr>
        <w:footnoteRef/>
      </w:r>
      <w:r w:rsidRPr="000405DB">
        <w:rPr>
          <w:rFonts w:ascii="Verdana" w:hAnsi="Verdana" w:cs="Arial"/>
          <w:sz w:val="10"/>
          <w:szCs w:val="10"/>
        </w:rPr>
        <w:t xml:space="preserve"> “Artículo </w:t>
      </w:r>
      <w:bookmarkStart w:id="3" w:name="_Hlk54173885"/>
      <w:r w:rsidRPr="000405DB">
        <w:rPr>
          <w:rFonts w:ascii="Verdana" w:hAnsi="Verdana" w:cs="Arial"/>
          <w:sz w:val="10"/>
          <w:szCs w:val="10"/>
        </w:rPr>
        <w:t>2.2.1.1.2.1.1</w:t>
      </w:r>
      <w:bookmarkEnd w:id="3"/>
      <w:r w:rsidRPr="000405DB">
        <w:rPr>
          <w:rFonts w:ascii="Verdana" w:hAnsi="Verdana" w:cs="Arial"/>
          <w:sz w:val="10"/>
          <w:szCs w:val="10"/>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4886D514" w14:textId="77777777" w:rsidR="00EB5968" w:rsidRPr="000405DB" w:rsidRDefault="00EB5968" w:rsidP="00EB5968">
      <w:pPr>
        <w:pStyle w:val="Textoindependiente"/>
        <w:spacing w:after="0" w:line="240" w:lineRule="auto"/>
        <w:ind w:firstLine="709"/>
        <w:contextualSpacing/>
        <w:jc w:val="both"/>
        <w:rPr>
          <w:rFonts w:ascii="Verdana" w:hAnsi="Verdana" w:cs="Arial"/>
          <w:sz w:val="10"/>
          <w:szCs w:val="10"/>
        </w:rPr>
      </w:pPr>
    </w:p>
    <w:p w14:paraId="77A9426B" w14:textId="77777777" w:rsidR="00EB5968" w:rsidRPr="000405DB" w:rsidRDefault="00EB5968" w:rsidP="00EB5968">
      <w:pPr>
        <w:pStyle w:val="Textonotapie"/>
        <w:ind w:firstLine="709"/>
        <w:contextualSpacing/>
        <w:jc w:val="both"/>
        <w:rPr>
          <w:rFonts w:ascii="Verdana" w:hAnsi="Verdana" w:cs="Arial"/>
          <w:sz w:val="10"/>
          <w:szCs w:val="10"/>
        </w:rPr>
      </w:pPr>
    </w:p>
  </w:footnote>
  <w:footnote w:id="5">
    <w:p w14:paraId="33660120" w14:textId="77777777" w:rsidR="00EB5968" w:rsidRPr="000405DB" w:rsidRDefault="00EB5968" w:rsidP="00EB5968">
      <w:pPr>
        <w:pStyle w:val="Textoindependiente"/>
        <w:spacing w:after="0" w:line="240" w:lineRule="auto"/>
        <w:ind w:firstLine="709"/>
        <w:contextualSpacing/>
        <w:jc w:val="both"/>
        <w:rPr>
          <w:rFonts w:ascii="Verdana" w:hAnsi="Verdana" w:cs="Arial"/>
          <w:sz w:val="10"/>
          <w:szCs w:val="10"/>
        </w:rPr>
      </w:pPr>
      <w:r w:rsidRPr="000405DB">
        <w:rPr>
          <w:rStyle w:val="Refdenotaalpie"/>
          <w:rFonts w:ascii="Verdana" w:hAnsi="Verdana" w:cs="Arial"/>
          <w:sz w:val="10"/>
          <w:szCs w:val="10"/>
        </w:rPr>
        <w:footnoteRef/>
      </w:r>
      <w:r w:rsidRPr="000405DB">
        <w:rPr>
          <w:rFonts w:ascii="Verdana" w:hAnsi="Verdana" w:cs="Arial"/>
          <w:sz w:val="10"/>
          <w:szCs w:val="10"/>
        </w:rPr>
        <w:t xml:space="preserve"> Consejo de Estado. Sección Tercera. Subsección B. Sentencia del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6B460502" w14:textId="77777777" w:rsidR="00EB5968" w:rsidRPr="000405DB" w:rsidRDefault="00EB5968" w:rsidP="00EB5968">
      <w:pPr>
        <w:pStyle w:val="Textonotapie"/>
        <w:contextualSpacing/>
        <w:jc w:val="both"/>
        <w:rPr>
          <w:rFonts w:ascii="Verdana" w:hAnsi="Verdana" w:cs="Arial"/>
          <w:sz w:val="10"/>
          <w:szCs w:val="10"/>
        </w:rPr>
      </w:pPr>
    </w:p>
  </w:footnote>
  <w:footnote w:id="6">
    <w:p w14:paraId="783B1C81" w14:textId="77777777" w:rsidR="00EB5968" w:rsidRPr="000405DB" w:rsidRDefault="00EB5968" w:rsidP="00EB5968">
      <w:pPr>
        <w:pStyle w:val="Textonotapie"/>
        <w:ind w:firstLine="708"/>
        <w:contextualSpacing/>
        <w:jc w:val="both"/>
        <w:rPr>
          <w:rFonts w:ascii="Verdana" w:hAnsi="Verdana" w:cs="Arial"/>
          <w:sz w:val="10"/>
          <w:szCs w:val="10"/>
        </w:rPr>
      </w:pPr>
      <w:r w:rsidRPr="000405DB">
        <w:rPr>
          <w:rStyle w:val="Refdenotaalpie"/>
          <w:rFonts w:ascii="Verdana" w:hAnsi="Verdana" w:cs="Arial"/>
          <w:sz w:val="10"/>
          <w:szCs w:val="10"/>
        </w:rPr>
        <w:footnoteRef/>
      </w:r>
      <w:r w:rsidRPr="000405DB">
        <w:rPr>
          <w:rFonts w:ascii="Verdana" w:hAnsi="Verdana" w:cs="Arial"/>
          <w:sz w:val="10"/>
          <w:szCs w:val="10"/>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footnote>
  <w:footnote w:id="7">
    <w:p w14:paraId="0EC16798" w14:textId="77777777" w:rsidR="00EB5968" w:rsidRPr="000405DB" w:rsidRDefault="00EB5968" w:rsidP="00EB5968">
      <w:pPr>
        <w:pStyle w:val="Textonotapie"/>
        <w:ind w:firstLine="708"/>
        <w:contextualSpacing/>
        <w:jc w:val="both"/>
        <w:rPr>
          <w:rFonts w:ascii="Verdana" w:hAnsi="Verdana" w:cs="Arial"/>
          <w:sz w:val="10"/>
          <w:szCs w:val="10"/>
        </w:rPr>
      </w:pPr>
      <w:r w:rsidRPr="000405DB">
        <w:rPr>
          <w:rStyle w:val="Refdenotaalpie"/>
          <w:rFonts w:ascii="Verdana" w:hAnsi="Verdana" w:cs="Arial"/>
          <w:sz w:val="10"/>
          <w:szCs w:val="10"/>
        </w:rPr>
        <w:footnoteRef/>
      </w:r>
      <w:r w:rsidRPr="000405DB">
        <w:rPr>
          <w:rFonts w:ascii="Verdana" w:hAnsi="Verdana" w:cs="Arial"/>
          <w:sz w:val="10"/>
          <w:szCs w:val="10"/>
        </w:rPr>
        <w:t xml:space="preserve"> Colombia Compra Eficiente. </w:t>
      </w:r>
      <w:r w:rsidRPr="000405DB">
        <w:rPr>
          <w:rFonts w:ascii="Verdana" w:eastAsia="Calibri" w:hAnsi="Verdana" w:cs="Arial"/>
          <w:bCs/>
          <w:sz w:val="10"/>
          <w:szCs w:val="10"/>
          <w:lang w:val="es-ES_tradnl" w:eastAsia="es-ES_tradnl"/>
        </w:rPr>
        <w:t>Guía de Elaboración de Estudios del Sector</w:t>
      </w:r>
      <w:r w:rsidRPr="000405DB">
        <w:rPr>
          <w:rFonts w:ascii="Verdana" w:hAnsi="Verdana" w:cs="Arial"/>
          <w:sz w:val="10"/>
          <w:szCs w:val="10"/>
        </w:rPr>
        <w:t xml:space="preserve">. Disponible en: </w:t>
      </w:r>
      <w:hyperlink r:id="rId1" w:history="1">
        <w:r w:rsidRPr="000405DB">
          <w:rPr>
            <w:rStyle w:val="Hipervnculo"/>
            <w:rFonts w:ascii="Verdana" w:hAnsi="Verdana" w:cs="Arial"/>
            <w:sz w:val="10"/>
            <w:szCs w:val="10"/>
          </w:rPr>
          <w:t>https://www.colombiacompra.gov.co/manuales-guias-y-pliegos-tipo/manuales-y-guias</w:t>
        </w:r>
      </w:hyperlink>
      <w:r w:rsidRPr="000405DB">
        <w:rPr>
          <w:rFonts w:ascii="Verdana" w:hAnsi="Verdana" w:cs="Arial"/>
          <w:sz w:val="10"/>
          <w:szCs w:val="10"/>
        </w:rPr>
        <w:t xml:space="preserve"> </w:t>
      </w:r>
    </w:p>
    <w:p w14:paraId="2CAFE6E5" w14:textId="77777777" w:rsidR="00EB5968" w:rsidRPr="000405DB" w:rsidRDefault="00EB5968" w:rsidP="00EB5968">
      <w:pPr>
        <w:pStyle w:val="Textonotapie"/>
        <w:ind w:firstLine="708"/>
        <w:contextualSpacing/>
        <w:jc w:val="both"/>
        <w:rPr>
          <w:rFonts w:ascii="Verdana" w:hAnsi="Verdana" w:cs="Arial"/>
          <w:sz w:val="10"/>
          <w:szCs w:val="10"/>
          <w:lang w:val="es-CO"/>
        </w:rPr>
      </w:pPr>
    </w:p>
  </w:footnote>
  <w:footnote w:id="8">
    <w:p w14:paraId="7339AD44" w14:textId="77777777" w:rsidR="00EB5968" w:rsidRPr="000405DB" w:rsidRDefault="00EB5968" w:rsidP="00EB5968">
      <w:pPr>
        <w:pStyle w:val="Textonotapie"/>
        <w:ind w:firstLine="708"/>
        <w:jc w:val="both"/>
        <w:rPr>
          <w:rFonts w:ascii="Verdana" w:hAnsi="Verdana"/>
          <w:sz w:val="10"/>
          <w:szCs w:val="10"/>
          <w:lang w:val="es-CO"/>
        </w:rPr>
      </w:pPr>
      <w:r w:rsidRPr="000405DB">
        <w:rPr>
          <w:rStyle w:val="Refdenotaalpie"/>
          <w:rFonts w:ascii="Verdana" w:hAnsi="Verdana"/>
          <w:sz w:val="10"/>
          <w:szCs w:val="10"/>
        </w:rPr>
        <w:footnoteRef/>
      </w:r>
      <w:r w:rsidRPr="000405DB">
        <w:rPr>
          <w:rFonts w:ascii="Verdana" w:hAnsi="Verdana"/>
          <w:sz w:val="10"/>
          <w:szCs w:val="10"/>
        </w:rPr>
        <w:t xml:space="preserve"> Colombia Compra Eficiente, Guía de Elaboración de Estudios de Sector - GEES del 24 de junio de 2022. Pág.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0F4636"/>
    <w:multiLevelType w:val="hybridMultilevel"/>
    <w:tmpl w:val="806AD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3D97B18"/>
    <w:multiLevelType w:val="hybridMultilevel"/>
    <w:tmpl w:val="874AA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1"/>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0"/>
  </w:num>
  <w:num w:numId="13" w16cid:durableId="1512908409">
    <w:abstractNumId w:val="3"/>
  </w:num>
  <w:num w:numId="14" w16cid:durableId="895897244">
    <w:abstractNumId w:val="15"/>
  </w:num>
  <w:num w:numId="15" w16cid:durableId="390349800">
    <w:abstractNumId w:val="11"/>
  </w:num>
  <w:num w:numId="16" w16cid:durableId="679089576">
    <w:abstractNumId w:val="9"/>
  </w:num>
  <w:num w:numId="17" w16cid:durableId="986321315">
    <w:abstractNumId w:val="10"/>
  </w:num>
  <w:num w:numId="18" w16cid:durableId="894588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702AA"/>
    <w:rsid w:val="00082362"/>
    <w:rsid w:val="000A683E"/>
    <w:rsid w:val="000B19B9"/>
    <w:rsid w:val="000D0334"/>
    <w:rsid w:val="000F6486"/>
    <w:rsid w:val="00125105"/>
    <w:rsid w:val="00127233"/>
    <w:rsid w:val="0015306A"/>
    <w:rsid w:val="001E0A13"/>
    <w:rsid w:val="001E4177"/>
    <w:rsid w:val="001F7DC6"/>
    <w:rsid w:val="002421BB"/>
    <w:rsid w:val="00254B38"/>
    <w:rsid w:val="0025796E"/>
    <w:rsid w:val="002707A2"/>
    <w:rsid w:val="002951A0"/>
    <w:rsid w:val="002962BC"/>
    <w:rsid w:val="002A093D"/>
    <w:rsid w:val="002A0DD0"/>
    <w:rsid w:val="002A49AC"/>
    <w:rsid w:val="002A64FD"/>
    <w:rsid w:val="002C7A84"/>
    <w:rsid w:val="002D3E60"/>
    <w:rsid w:val="002E4FD9"/>
    <w:rsid w:val="00322A85"/>
    <w:rsid w:val="00324168"/>
    <w:rsid w:val="00334C86"/>
    <w:rsid w:val="003448F4"/>
    <w:rsid w:val="00374F5E"/>
    <w:rsid w:val="00377E3E"/>
    <w:rsid w:val="0039609C"/>
    <w:rsid w:val="003A26D1"/>
    <w:rsid w:val="003A779E"/>
    <w:rsid w:val="003B0CAB"/>
    <w:rsid w:val="003D0F4D"/>
    <w:rsid w:val="003D5B0D"/>
    <w:rsid w:val="003E0499"/>
    <w:rsid w:val="003F3941"/>
    <w:rsid w:val="003F5B13"/>
    <w:rsid w:val="00406575"/>
    <w:rsid w:val="0042722E"/>
    <w:rsid w:val="0044528D"/>
    <w:rsid w:val="0044683C"/>
    <w:rsid w:val="00452B12"/>
    <w:rsid w:val="004A1847"/>
    <w:rsid w:val="004A305D"/>
    <w:rsid w:val="004F21C4"/>
    <w:rsid w:val="004F3081"/>
    <w:rsid w:val="004F685F"/>
    <w:rsid w:val="005566E8"/>
    <w:rsid w:val="00574867"/>
    <w:rsid w:val="00591460"/>
    <w:rsid w:val="00592628"/>
    <w:rsid w:val="005C3777"/>
    <w:rsid w:val="005C5970"/>
    <w:rsid w:val="005C5CDC"/>
    <w:rsid w:val="005D476C"/>
    <w:rsid w:val="005F3430"/>
    <w:rsid w:val="00610812"/>
    <w:rsid w:val="006151C2"/>
    <w:rsid w:val="006219F8"/>
    <w:rsid w:val="00624536"/>
    <w:rsid w:val="00640B61"/>
    <w:rsid w:val="00650FF7"/>
    <w:rsid w:val="0066048F"/>
    <w:rsid w:val="0066493B"/>
    <w:rsid w:val="00665D70"/>
    <w:rsid w:val="00671DAC"/>
    <w:rsid w:val="006900D9"/>
    <w:rsid w:val="006D12F8"/>
    <w:rsid w:val="006D1D91"/>
    <w:rsid w:val="006D2790"/>
    <w:rsid w:val="00706C16"/>
    <w:rsid w:val="00756841"/>
    <w:rsid w:val="007649AB"/>
    <w:rsid w:val="00771D0C"/>
    <w:rsid w:val="007833AC"/>
    <w:rsid w:val="00797DD6"/>
    <w:rsid w:val="007B268C"/>
    <w:rsid w:val="007B7171"/>
    <w:rsid w:val="007C0C0F"/>
    <w:rsid w:val="007C3DC2"/>
    <w:rsid w:val="007E5497"/>
    <w:rsid w:val="00804702"/>
    <w:rsid w:val="00806F5F"/>
    <w:rsid w:val="00820278"/>
    <w:rsid w:val="00882AC7"/>
    <w:rsid w:val="008843B6"/>
    <w:rsid w:val="00891928"/>
    <w:rsid w:val="008A446D"/>
    <w:rsid w:val="008D180B"/>
    <w:rsid w:val="008D2FF2"/>
    <w:rsid w:val="008F0EA7"/>
    <w:rsid w:val="009135DA"/>
    <w:rsid w:val="00923EEF"/>
    <w:rsid w:val="009419F9"/>
    <w:rsid w:val="009554B4"/>
    <w:rsid w:val="0095685E"/>
    <w:rsid w:val="00961B09"/>
    <w:rsid w:val="00965334"/>
    <w:rsid w:val="0097093E"/>
    <w:rsid w:val="009A0DFA"/>
    <w:rsid w:val="009B2D26"/>
    <w:rsid w:val="009B7C03"/>
    <w:rsid w:val="009C71FA"/>
    <w:rsid w:val="009C72E7"/>
    <w:rsid w:val="009D3058"/>
    <w:rsid w:val="009F3A13"/>
    <w:rsid w:val="00A122D3"/>
    <w:rsid w:val="00A14893"/>
    <w:rsid w:val="00A17F13"/>
    <w:rsid w:val="00A20739"/>
    <w:rsid w:val="00A33C78"/>
    <w:rsid w:val="00A4167F"/>
    <w:rsid w:val="00A543C3"/>
    <w:rsid w:val="00A62C04"/>
    <w:rsid w:val="00AB0ADB"/>
    <w:rsid w:val="00B01B1A"/>
    <w:rsid w:val="00B07154"/>
    <w:rsid w:val="00B3430C"/>
    <w:rsid w:val="00B72CD3"/>
    <w:rsid w:val="00B72FFF"/>
    <w:rsid w:val="00B840F6"/>
    <w:rsid w:val="00BC3D36"/>
    <w:rsid w:val="00BD7F72"/>
    <w:rsid w:val="00C04FB3"/>
    <w:rsid w:val="00C330EB"/>
    <w:rsid w:val="00C754BE"/>
    <w:rsid w:val="00C76B1C"/>
    <w:rsid w:val="00CB6357"/>
    <w:rsid w:val="00CC1B26"/>
    <w:rsid w:val="00D423A2"/>
    <w:rsid w:val="00D520D8"/>
    <w:rsid w:val="00D63AC2"/>
    <w:rsid w:val="00D7383B"/>
    <w:rsid w:val="00DA231B"/>
    <w:rsid w:val="00DA23A0"/>
    <w:rsid w:val="00DC39FC"/>
    <w:rsid w:val="00DF5254"/>
    <w:rsid w:val="00DF561E"/>
    <w:rsid w:val="00E16408"/>
    <w:rsid w:val="00E20894"/>
    <w:rsid w:val="00E245AB"/>
    <w:rsid w:val="00E2764C"/>
    <w:rsid w:val="00E27F2E"/>
    <w:rsid w:val="00E413EA"/>
    <w:rsid w:val="00E46A61"/>
    <w:rsid w:val="00E50AFE"/>
    <w:rsid w:val="00E75C92"/>
    <w:rsid w:val="00E771DC"/>
    <w:rsid w:val="00E8772A"/>
    <w:rsid w:val="00E90F6B"/>
    <w:rsid w:val="00E92C27"/>
    <w:rsid w:val="00EA0E3D"/>
    <w:rsid w:val="00EB5968"/>
    <w:rsid w:val="00EC38A7"/>
    <w:rsid w:val="00EE1AA8"/>
    <w:rsid w:val="00F153E5"/>
    <w:rsid w:val="00F252D7"/>
    <w:rsid w:val="00F31EDC"/>
    <w:rsid w:val="00F32668"/>
    <w:rsid w:val="00F462B3"/>
    <w:rsid w:val="00F5664F"/>
    <w:rsid w:val="00F666C4"/>
    <w:rsid w:val="00F76AFC"/>
    <w:rsid w:val="00F963D1"/>
    <w:rsid w:val="00FA47C0"/>
    <w:rsid w:val="00FB0E8A"/>
    <w:rsid w:val="00FB5DD1"/>
    <w:rsid w:val="00FC2B5D"/>
    <w:rsid w:val="00FF1449"/>
    <w:rsid w:val="41260AC2"/>
    <w:rsid w:val="5CEADB7B"/>
    <w:rsid w:val="6D7B7EE7"/>
    <w:rsid w:val="78B566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24A3CAD7-AF23-4787-9EC2-8AF32815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Textoindependiente">
    <w:name w:val="Body Text"/>
    <w:basedOn w:val="Normal"/>
    <w:link w:val="TextoindependienteCar"/>
    <w:uiPriority w:val="99"/>
    <w:semiHidden/>
    <w:unhideWhenUsed/>
    <w:rsid w:val="00F252D7"/>
    <w:pPr>
      <w:spacing w:after="120"/>
    </w:pPr>
  </w:style>
  <w:style w:type="character" w:customStyle="1" w:styleId="TextoindependienteCar">
    <w:name w:val="Texto independiente Car"/>
    <w:basedOn w:val="Fuentedeprrafopredeter"/>
    <w:link w:val="Textoindependiente"/>
    <w:uiPriority w:val="99"/>
    <w:semiHidden/>
    <w:rsid w:val="00F252D7"/>
  </w:style>
  <w:style w:type="table" w:customStyle="1" w:styleId="Tablaconcuadrcula1">
    <w:name w:val="Tabla con cuadrícula1"/>
    <w:basedOn w:val="Tablanormal"/>
    <w:next w:val="Tablaconcuadrcula"/>
    <w:uiPriority w:val="59"/>
    <w:rsid w:val="00F252D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252D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ala-de-prensa/boletin-digi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41B00205-68D9-444D-BE4B-C3AEAA1E5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5124</Words>
  <Characters>28184</Characters>
  <Application>Microsoft Office Word</Application>
  <DocSecurity>0</DocSecurity>
  <Lines>234</Lines>
  <Paragraphs>66</Paragraphs>
  <ScaleCrop>false</ScaleCrop>
  <Company/>
  <LinksUpToDate>false</LinksUpToDate>
  <CharactersWithSpaces>33242</CharactersWithSpaces>
  <SharedDoc>false</SharedDoc>
  <HLinks>
    <vt:vector size="18" baseType="variant">
      <vt:variant>
        <vt:i4>5439494</vt:i4>
      </vt:variant>
      <vt:variant>
        <vt:i4>3</vt:i4>
      </vt:variant>
      <vt:variant>
        <vt:i4>0</vt:i4>
      </vt:variant>
      <vt:variant>
        <vt:i4>5</vt:i4>
      </vt:variant>
      <vt:variant>
        <vt:lpwstr>https://www.colombiacompra.gov.co/sala-de-prensa/boletin-digital</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5111895</vt:i4>
      </vt:variant>
      <vt:variant>
        <vt:i4>0</vt:i4>
      </vt:variant>
      <vt:variant>
        <vt:i4>0</vt:i4>
      </vt:variant>
      <vt:variant>
        <vt:i4>5</vt:i4>
      </vt:variant>
      <vt:variant>
        <vt:lpwstr>https://www.colombiacompra.gov.co/manuales-guias-y-pliegos-tipo/manuales-y-guias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7</cp:revision>
  <cp:lastPrinted>2023-01-10T21:18:00Z</cp:lastPrinted>
  <dcterms:created xsi:type="dcterms:W3CDTF">2024-08-12T14:11:00Z</dcterms:created>
  <dcterms:modified xsi:type="dcterms:W3CDTF">2024-08-26T21:29:00Z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