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5C1C1" w14:textId="77777777" w:rsidR="00C15107" w:rsidRDefault="00C15107" w:rsidP="00B76E5B">
      <w:pPr>
        <w:spacing w:after="0" w:line="276" w:lineRule="auto"/>
        <w:jc w:val="both"/>
        <w:rPr>
          <w:rFonts w:ascii="Verdana" w:hAnsi="Verdana" w:cs="Arial"/>
        </w:rPr>
      </w:pPr>
      <w:bookmarkStart w:id="0" w:name="_Hlk141954836"/>
    </w:p>
    <w:p w14:paraId="6378606B" w14:textId="77777777" w:rsidR="00C15107" w:rsidRPr="00C15107" w:rsidRDefault="00C15107" w:rsidP="00C15107">
      <w:pPr>
        <w:spacing w:after="0" w:line="240" w:lineRule="auto"/>
        <w:jc w:val="both"/>
        <w:rPr>
          <w:rFonts w:ascii="Verdana" w:eastAsia="Times New Roman" w:hAnsi="Verdana" w:cs="Arial"/>
          <w:b/>
          <w:bCs/>
          <w:sz w:val="20"/>
          <w:szCs w:val="20"/>
          <w:lang w:val="es-MX"/>
        </w:rPr>
      </w:pPr>
      <w:r w:rsidRPr="00C15107">
        <w:rPr>
          <w:rFonts w:ascii="Verdana" w:eastAsia="Times New Roman" w:hAnsi="Verdana" w:cs="Arial"/>
          <w:b/>
          <w:bCs/>
          <w:sz w:val="20"/>
          <w:szCs w:val="20"/>
          <w:lang w:val="es-MX"/>
        </w:rPr>
        <w:t>PUBLICIDAD SECOP – Entidades exceptuadas – Estatuto general de contratación – Modificación del artículo 53 – Ley 2195 de 2022</w:t>
      </w:r>
    </w:p>
    <w:p w14:paraId="1C17C569" w14:textId="77777777" w:rsidR="00C15107" w:rsidRPr="00C15107" w:rsidRDefault="00C15107" w:rsidP="00C15107">
      <w:pPr>
        <w:spacing w:after="0" w:line="240" w:lineRule="auto"/>
        <w:jc w:val="both"/>
        <w:rPr>
          <w:rFonts w:ascii="Verdana" w:eastAsia="Times New Roman" w:hAnsi="Verdana" w:cs="Arial"/>
          <w:b/>
          <w:bCs/>
          <w:sz w:val="20"/>
          <w:szCs w:val="20"/>
          <w:lang w:val="es-MX"/>
        </w:rPr>
      </w:pPr>
    </w:p>
    <w:p w14:paraId="56FD0D22" w14:textId="77777777" w:rsidR="00C15107" w:rsidRPr="00C15107" w:rsidRDefault="00C15107" w:rsidP="00C15107">
      <w:pPr>
        <w:spacing w:after="0" w:line="240" w:lineRule="auto"/>
        <w:jc w:val="both"/>
        <w:rPr>
          <w:rFonts w:ascii="Verdana" w:eastAsia="Times New Roman" w:hAnsi="Verdana" w:cs="Arial"/>
          <w:sz w:val="20"/>
          <w:szCs w:val="20"/>
          <w:lang w:val="es-MX"/>
        </w:rPr>
      </w:pPr>
      <w:r w:rsidRPr="00C15107">
        <w:rPr>
          <w:rFonts w:ascii="Verdana" w:eastAsia="Times New Roman" w:hAnsi="Verdana" w:cs="Arial"/>
          <w:sz w:val="20"/>
          <w:szCs w:val="20"/>
          <w:lang w:val="es-MX"/>
        </w:rPr>
        <w:t xml:space="preserve">El principio de publicidad impone a las autoridades el deber de dar a conocer sus actos, contratos y decisiones, para que se divulguen y eventualmente se controlen dichas actuaciones. Es por eso </w:t>
      </w:r>
      <w:proofErr w:type="gramStart"/>
      <w:r w:rsidRPr="00C15107">
        <w:rPr>
          <w:rFonts w:ascii="Verdana" w:eastAsia="Times New Roman" w:hAnsi="Verdana" w:cs="Arial"/>
          <w:sz w:val="20"/>
          <w:szCs w:val="20"/>
          <w:lang w:val="es-MX"/>
        </w:rPr>
        <w:t>que</w:t>
      </w:r>
      <w:proofErr w:type="gramEnd"/>
      <w:r w:rsidRPr="00C15107">
        <w:rPr>
          <w:rFonts w:ascii="Verdana" w:eastAsia="Times New Roman" w:hAnsi="Verdana" w:cs="Arial"/>
          <w:sz w:val="20"/>
          <w:szCs w:val="20"/>
          <w:lang w:val="es-MX"/>
        </w:rPr>
        <w:t>, en materia de la contratación estatal, el literal c) del artículo 3 de la Ley 1150 de 2007 establece el Sistema Electrónico para la Contratación Pública –SECOP– como un mecanismo que “contará con la información oficial de la contratación realizada con dineros públicos, para lo cual establecerá los patrones a que haya lugar y se encargará de su difusión a través de canales electrónicos”.</w:t>
      </w:r>
    </w:p>
    <w:p w14:paraId="44EDAFD6" w14:textId="77777777" w:rsidR="00C15107" w:rsidRPr="00C15107" w:rsidRDefault="00C15107" w:rsidP="00C15107">
      <w:pPr>
        <w:spacing w:after="0" w:line="240" w:lineRule="auto"/>
        <w:jc w:val="both"/>
        <w:rPr>
          <w:rFonts w:ascii="Verdana" w:eastAsia="Times New Roman" w:hAnsi="Verdana" w:cs="Arial"/>
          <w:sz w:val="20"/>
          <w:szCs w:val="20"/>
          <w:lang w:val="es-MX"/>
        </w:rPr>
      </w:pPr>
    </w:p>
    <w:p w14:paraId="6D7F8074" w14:textId="77777777" w:rsidR="00C15107" w:rsidRPr="00C15107" w:rsidRDefault="00C15107" w:rsidP="00C15107">
      <w:pPr>
        <w:spacing w:after="0" w:line="240" w:lineRule="auto"/>
        <w:jc w:val="both"/>
        <w:rPr>
          <w:rFonts w:ascii="Verdana" w:eastAsia="Times New Roman" w:hAnsi="Verdana" w:cs="Arial"/>
          <w:sz w:val="20"/>
          <w:szCs w:val="20"/>
          <w:lang w:val="es-MX"/>
        </w:rPr>
      </w:pPr>
      <w:r w:rsidRPr="00C15107">
        <w:rPr>
          <w:rFonts w:ascii="Verdana" w:eastAsia="Times New Roman" w:hAnsi="Verdana" w:cs="Arial"/>
          <w:sz w:val="20"/>
          <w:szCs w:val="20"/>
          <w:lang w:val="es-MX"/>
        </w:rPr>
        <w:t>La Ley 2195 de 2022, por medio de la cual se adoptan medidas en materia de transparencia, prevención y lucha contra la corrupción. Según lo dispone su artículo 1, esta Ley “[…] tiene por objeto adoptar disposiciones tendientes a prevenir los actos de corrupción, a reforzar la articulación y coordinación de las entidades del Estado y a recuperar los daños ocasionados por dichos actos con el fin de asegurar promover la cultura de la legalidad e integridad y recuperar la confianza ciudadana y el respeto por lo público». Dentro del capítulo VIII de esta Ley, que lleva por título “Disposiciones en materia contractual para la moralización y la transparencia», se ubica el artículo 53, mediante el cual se adiciona el artículo 13 de la Ley 1150 de 2007. La referida disposición les asigna la obligación a las entidades estatales que por disposición legal cuenten con un régimen contractual excepcional al del Estatuto General de Contratación de la Administración Pública de publicar los documentos relacionados con su actividad contractual en el Sistema Electrónico para la Contratación Pública –SECOP II- o la plataforma transaccional que haga sus veces.</w:t>
      </w:r>
    </w:p>
    <w:p w14:paraId="6669E3FF" w14:textId="77777777" w:rsidR="00C15107" w:rsidRPr="00C15107" w:rsidRDefault="00C15107" w:rsidP="00B76E5B">
      <w:pPr>
        <w:spacing w:after="0" w:line="276" w:lineRule="auto"/>
        <w:jc w:val="both"/>
        <w:rPr>
          <w:rFonts w:ascii="Verdana" w:hAnsi="Verdana" w:cs="Arial"/>
          <w:lang w:val="es-MX"/>
        </w:rPr>
      </w:pPr>
    </w:p>
    <w:p w14:paraId="0855307D" w14:textId="77777777" w:rsidR="00C15107" w:rsidRDefault="00C15107" w:rsidP="00B76E5B">
      <w:pPr>
        <w:spacing w:after="0" w:line="276" w:lineRule="auto"/>
        <w:jc w:val="both"/>
        <w:rPr>
          <w:rFonts w:ascii="Verdana" w:hAnsi="Verdana" w:cs="Arial"/>
        </w:rPr>
      </w:pPr>
    </w:p>
    <w:p w14:paraId="48A4ED05" w14:textId="77777777" w:rsidR="00C15107" w:rsidRPr="00C15107" w:rsidRDefault="00C15107" w:rsidP="00C15107">
      <w:pPr>
        <w:spacing w:after="0" w:line="240" w:lineRule="auto"/>
        <w:jc w:val="both"/>
        <w:rPr>
          <w:rFonts w:ascii="Verdana" w:eastAsia="Times New Roman" w:hAnsi="Verdana" w:cs="Arial"/>
          <w:b/>
          <w:bCs/>
          <w:lang w:val="es-MX"/>
        </w:rPr>
      </w:pPr>
      <w:r w:rsidRPr="00C15107">
        <w:rPr>
          <w:rFonts w:ascii="Verdana" w:eastAsia="Times New Roman" w:hAnsi="Verdana" w:cs="Arial"/>
          <w:b/>
          <w:bCs/>
          <w:lang w:val="es-MX"/>
        </w:rPr>
        <w:t>SECOP II – Deber de publicidad – Entidades exceptuadas – Documentos relacionados con la actividad contractual</w:t>
      </w:r>
    </w:p>
    <w:p w14:paraId="7A25C5C2" w14:textId="77777777" w:rsidR="00C15107" w:rsidRPr="00C15107" w:rsidRDefault="00C15107" w:rsidP="00C15107">
      <w:pPr>
        <w:spacing w:after="0" w:line="240" w:lineRule="auto"/>
        <w:jc w:val="both"/>
        <w:rPr>
          <w:rFonts w:ascii="Verdana" w:eastAsia="Times New Roman" w:hAnsi="Verdana" w:cs="Arial"/>
          <w:b/>
          <w:bCs/>
          <w:lang w:val="es-MX"/>
        </w:rPr>
      </w:pPr>
    </w:p>
    <w:p w14:paraId="1620A7BA" w14:textId="77777777" w:rsidR="00C15107" w:rsidRPr="00C15107" w:rsidRDefault="00C15107" w:rsidP="00C15107">
      <w:pPr>
        <w:spacing w:after="0" w:line="240" w:lineRule="auto"/>
        <w:jc w:val="both"/>
        <w:rPr>
          <w:rFonts w:ascii="Verdana" w:eastAsia="Times New Roman" w:hAnsi="Verdana" w:cs="Arial"/>
          <w:lang w:val="es-MX"/>
        </w:rPr>
      </w:pPr>
      <w:r w:rsidRPr="00C15107">
        <w:rPr>
          <w:rFonts w:ascii="Verdana" w:eastAsia="Times New Roman" w:hAnsi="Verdana" w:cs="Arial"/>
          <w:lang w:val="es-MX"/>
        </w:rPr>
        <w:t>El mencionado deber de publicidad debe cumplirse en el SECOP II o “la plataforma transaccional que haga sus veces”, esta expresión debe interpretarse bajo el entendido de que si bien el SECOP II es la plataforma oficial que actualmente se utiliza como mecanismo transaccional, en caso de que dicha plataforma sea remplazada por otra que tenga una denominación distinta, las entidades que tienen un régimen exceptuado deben continuar publicando la documentación de su actividad contractual en la nueva plataforma. En ese sentido, la locución “la plataforma que haga sus veces” no puede interpretarse como una autorización para que las entidades obligadas en virtud del artículo 53 de la Ley 2195 de 2022 pueden emplear sus páginas web o sus propios portales electrónicos para cumplir con el deber de publicidad que les asiste. Con esto se logra que la ciudadanía pueda encontrar en un mismo sistema la gestión de la actividad contractual del Estado, garantizándose en mayor grado la transparencia y el acceso a la documentación pública.</w:t>
      </w:r>
    </w:p>
    <w:p w14:paraId="7DCF54F8" w14:textId="77777777" w:rsidR="00C15107" w:rsidRPr="00C15107" w:rsidRDefault="00C15107" w:rsidP="00C15107">
      <w:pPr>
        <w:spacing w:after="0" w:line="240" w:lineRule="auto"/>
        <w:jc w:val="both"/>
        <w:rPr>
          <w:rFonts w:ascii="Verdana" w:eastAsia="Times New Roman" w:hAnsi="Verdana" w:cs="Arial"/>
          <w:lang w:val="es-MX"/>
        </w:rPr>
      </w:pPr>
    </w:p>
    <w:p w14:paraId="6168634E" w14:textId="243B733D" w:rsidR="00C15107" w:rsidRPr="00C15107" w:rsidRDefault="00C15107" w:rsidP="00C15107">
      <w:pPr>
        <w:spacing w:after="0" w:line="276" w:lineRule="auto"/>
        <w:jc w:val="both"/>
        <w:rPr>
          <w:rFonts w:ascii="Verdana" w:eastAsia="Times New Roman" w:hAnsi="Verdana" w:cs="Arial"/>
          <w:lang w:val="es-MX"/>
        </w:rPr>
      </w:pPr>
      <w:r w:rsidRPr="00C15107">
        <w:rPr>
          <w:rFonts w:ascii="Verdana" w:eastAsia="Times New Roman" w:hAnsi="Verdana" w:cs="Arial"/>
          <w:lang w:val="es-MX"/>
        </w:rPr>
        <w:t xml:space="preserve">En cuanto a los documentos que deben ser publicados en el SECOP II a efectos de dar cumplimiento al mandato consagrado en el artículo 53 de la Ley 2195 de 2022, </w:t>
      </w:r>
      <w:r w:rsidRPr="00C15107">
        <w:rPr>
          <w:rFonts w:ascii="Verdana" w:eastAsia="Times New Roman" w:hAnsi="Verdana" w:cs="Arial"/>
          <w:lang w:val="es-MX"/>
        </w:rPr>
        <w:lastRenderedPageBreak/>
        <w:t>es preciso advertir que la disposición hace referencia a los documentos relacionados con su actividad contractual, la cual define como “[…] los documentos, contratos, actos e información generada por oferentes, contratista, contratante, supervisor o interventor, tanto en la etapa precontractual, como en la contractual y la postcontractual”. En ese sentido, el artículo 53 de la Ley 2195 de 2022 establece el deber de publicar toda aquella información relacionada con el respectivo contrato, sin incluir ninguna excepción relacionada con la naturaleza u objeto contractual, por lo que no puede colegirse que los procesos de contratación relacionados con asuntos “no misionales” estén per se excluidos del deber de publicidad.</w:t>
      </w:r>
    </w:p>
    <w:p w14:paraId="553E3E14" w14:textId="77777777" w:rsidR="00C15107" w:rsidRPr="00C15107" w:rsidRDefault="00C15107" w:rsidP="00C15107">
      <w:pPr>
        <w:spacing w:after="0" w:line="276" w:lineRule="auto"/>
        <w:jc w:val="both"/>
        <w:rPr>
          <w:rFonts w:ascii="Verdana" w:eastAsia="Times New Roman" w:hAnsi="Verdana" w:cs="Arial"/>
          <w:lang w:val="es-MX"/>
        </w:rPr>
      </w:pPr>
    </w:p>
    <w:p w14:paraId="6A1CA453" w14:textId="77777777" w:rsidR="00C15107" w:rsidRPr="00C15107" w:rsidRDefault="00C15107" w:rsidP="00C15107">
      <w:pPr>
        <w:spacing w:after="0" w:line="240" w:lineRule="auto"/>
        <w:rPr>
          <w:rFonts w:ascii="Verdana" w:eastAsia="Times New Roman" w:hAnsi="Verdana" w:cs="Arial"/>
        </w:rPr>
      </w:pPr>
      <w:r w:rsidRPr="00C15107">
        <w:rPr>
          <w:rFonts w:ascii="Verdana" w:eastAsia="Times New Roman" w:hAnsi="Verdana" w:cs="Arial"/>
          <w:b/>
          <w:bCs/>
          <w:lang w:val="es-ES"/>
        </w:rPr>
        <w:t>PRINCIPIO DE PUBLICIDAD - Naturaleza</w:t>
      </w:r>
      <w:r w:rsidRPr="00C15107">
        <w:rPr>
          <w:rFonts w:ascii="Verdana" w:eastAsia="Times New Roman" w:hAnsi="Verdana" w:cs="Arial"/>
        </w:rPr>
        <w:t xml:space="preserve"> </w:t>
      </w:r>
    </w:p>
    <w:p w14:paraId="67D8F178" w14:textId="77777777" w:rsidR="00C15107" w:rsidRPr="00C15107" w:rsidRDefault="00C15107" w:rsidP="00C15107">
      <w:pPr>
        <w:spacing w:after="0" w:line="240" w:lineRule="auto"/>
        <w:rPr>
          <w:rFonts w:ascii="Verdana" w:eastAsia="Times New Roman" w:hAnsi="Verdana" w:cs="Arial"/>
        </w:rPr>
      </w:pPr>
    </w:p>
    <w:p w14:paraId="08B48953" w14:textId="77777777" w:rsidR="00C15107" w:rsidRPr="00C15107" w:rsidRDefault="00C15107" w:rsidP="00C15107">
      <w:pPr>
        <w:spacing w:after="0" w:line="240" w:lineRule="auto"/>
        <w:jc w:val="both"/>
        <w:rPr>
          <w:rFonts w:ascii="Verdana" w:eastAsia="Times New Roman" w:hAnsi="Verdana" w:cs="Arial"/>
          <w:color w:val="000000" w:themeColor="text1"/>
          <w:lang w:val="es-ES" w:eastAsia="es-ES"/>
        </w:rPr>
      </w:pPr>
      <w:r w:rsidRPr="00C15107">
        <w:rPr>
          <w:rFonts w:ascii="Verdana" w:eastAsia="Times New Roman" w:hAnsi="Verdana" w:cs="Arial"/>
          <w:lang w:val="es-ES" w:eastAsia="es-ES"/>
        </w:rPr>
        <w:t xml:space="preserve">Uno de los postulados más importantes de un Estado Social y Democrático de Derecho es el principio de </w:t>
      </w:r>
      <w:r w:rsidRPr="00C15107">
        <w:rPr>
          <w:rFonts w:ascii="Verdana" w:eastAsia="Times New Roman" w:hAnsi="Verdana" w:cs="Arial"/>
          <w:i/>
          <w:iCs/>
          <w:lang w:val="es-ES" w:eastAsia="es-ES"/>
        </w:rPr>
        <w:t>publicidad</w:t>
      </w:r>
      <w:r w:rsidRPr="00C15107">
        <w:rPr>
          <w:rFonts w:ascii="Verdana" w:eastAsia="Times New Roman" w:hAnsi="Verdana" w:cs="Arial"/>
          <w:lang w:val="es-ES" w:eastAsia="es-ES"/>
        </w:rPr>
        <w:t xml:space="preserve">, pues este permite que las actuaciones de las autoridades gocen de visibilidad. La Constitución Política de 1991 consagra en varios artículos la publicidad como un principio rector del Estado colombiano. Entre </w:t>
      </w:r>
      <w:r w:rsidRPr="00C15107">
        <w:rPr>
          <w:rFonts w:ascii="Verdana" w:eastAsia="Times New Roman" w:hAnsi="Verdana" w:cs="Arial"/>
          <w:color w:val="000000" w:themeColor="text1"/>
          <w:lang w:val="es-ES" w:eastAsia="es-ES"/>
        </w:rPr>
        <w:t xml:space="preserve">los más destacados, puede mencionarse el 209, que afirma que la publicidad es uno de los principios que fundamentan el ejercicio de la función administrativa y el 74, que consagra la garantía de acceso a los documentos públicos que no gocen de reserva –y esta, además, es excepcional, pues solo procede si existe causal constitucional o legal expresa–. </w:t>
      </w:r>
    </w:p>
    <w:p w14:paraId="702E63A3" w14:textId="77777777" w:rsidR="00C15107" w:rsidRPr="00C15107" w:rsidRDefault="00C15107" w:rsidP="00C15107">
      <w:pPr>
        <w:spacing w:after="0" w:line="276" w:lineRule="auto"/>
        <w:jc w:val="both"/>
        <w:rPr>
          <w:rFonts w:ascii="Verdana" w:hAnsi="Verdana" w:cs="Arial"/>
          <w:lang w:val="es-ES"/>
        </w:rPr>
      </w:pPr>
    </w:p>
    <w:p w14:paraId="5EEAEFDA" w14:textId="77777777" w:rsidR="00C15107" w:rsidRPr="00C15107" w:rsidRDefault="00C15107" w:rsidP="00C15107">
      <w:pPr>
        <w:spacing w:after="0" w:line="240" w:lineRule="auto"/>
        <w:jc w:val="both"/>
        <w:rPr>
          <w:rFonts w:ascii="Verdana" w:eastAsia="Times New Roman" w:hAnsi="Verdana" w:cs="Arial"/>
          <w:b/>
          <w:color w:val="000000"/>
        </w:rPr>
      </w:pPr>
      <w:r w:rsidRPr="00C15107">
        <w:rPr>
          <w:rFonts w:ascii="Verdana" w:eastAsia="Times New Roman" w:hAnsi="Verdana" w:cs="Arial"/>
          <w:b/>
          <w:color w:val="000000"/>
        </w:rPr>
        <w:t xml:space="preserve">ACCESO A DOCUMENTACIÓN PÚBLICA – Derecho fundamental – Transparencia – Información contractual </w:t>
      </w:r>
    </w:p>
    <w:p w14:paraId="7600715B" w14:textId="77777777" w:rsidR="00C15107" w:rsidRPr="00C15107" w:rsidRDefault="00C15107" w:rsidP="00C15107">
      <w:pPr>
        <w:tabs>
          <w:tab w:val="left" w:pos="1816"/>
        </w:tabs>
        <w:spacing w:after="0" w:line="240" w:lineRule="auto"/>
        <w:jc w:val="both"/>
        <w:rPr>
          <w:rFonts w:ascii="Verdana" w:eastAsia="Times New Roman" w:hAnsi="Verdana" w:cs="Arial"/>
          <w:b/>
          <w:color w:val="000000"/>
        </w:rPr>
      </w:pPr>
      <w:r w:rsidRPr="00C15107">
        <w:rPr>
          <w:rFonts w:ascii="Verdana" w:eastAsia="Times New Roman" w:hAnsi="Verdana" w:cs="Arial"/>
          <w:b/>
          <w:color w:val="000000"/>
        </w:rPr>
        <w:t xml:space="preserve"> </w:t>
      </w:r>
      <w:r w:rsidRPr="00C15107">
        <w:rPr>
          <w:rFonts w:ascii="Verdana" w:eastAsia="Times New Roman" w:hAnsi="Verdana" w:cs="Arial"/>
          <w:b/>
          <w:color w:val="000000"/>
        </w:rPr>
        <w:tab/>
      </w:r>
      <w:r w:rsidRPr="00C15107">
        <w:rPr>
          <w:rFonts w:ascii="Verdana" w:eastAsia="Times New Roman" w:hAnsi="Verdana" w:cs="Arial"/>
          <w:color w:val="000000"/>
        </w:rPr>
        <w:t xml:space="preserve"> </w:t>
      </w:r>
    </w:p>
    <w:p w14:paraId="0A09B73C" w14:textId="77777777" w:rsidR="00C15107" w:rsidRPr="00C15107" w:rsidRDefault="00C15107" w:rsidP="00C15107">
      <w:pPr>
        <w:spacing w:after="0" w:line="240" w:lineRule="auto"/>
        <w:jc w:val="both"/>
        <w:rPr>
          <w:rFonts w:ascii="Verdana" w:eastAsia="Times New Roman" w:hAnsi="Verdana" w:cs="Arial"/>
          <w:color w:val="000000" w:themeColor="text1"/>
          <w:lang w:val="es-ES"/>
        </w:rPr>
      </w:pPr>
      <w:r w:rsidRPr="00C15107">
        <w:rPr>
          <w:rFonts w:ascii="Verdana" w:eastAsia="Times New Roman" w:hAnsi="Verdana" w:cs="Arial"/>
          <w:color w:val="000000" w:themeColor="text1"/>
          <w:lang w:val="es-ES" w:eastAsia="es-ES"/>
        </w:rPr>
        <w:t xml:space="preserve">El principio de publicidad impone a las autoridades administrativas el deber de dar a conocer sus actos, contratos y decisiones, para que se divulguen y, eventualmente, se controlen dichas actuaciones. Es por eso </w:t>
      </w:r>
      <w:proofErr w:type="gramStart"/>
      <w:r w:rsidRPr="00C15107">
        <w:rPr>
          <w:rFonts w:ascii="Verdana" w:eastAsia="Times New Roman" w:hAnsi="Verdana" w:cs="Arial"/>
          <w:color w:val="000000" w:themeColor="text1"/>
          <w:lang w:val="es-ES" w:eastAsia="es-ES"/>
        </w:rPr>
        <w:t>que</w:t>
      </w:r>
      <w:proofErr w:type="gramEnd"/>
      <w:r w:rsidRPr="00C15107">
        <w:rPr>
          <w:rFonts w:ascii="Verdana" w:eastAsia="Times New Roman" w:hAnsi="Verdana" w:cs="Arial"/>
          <w:color w:val="000000" w:themeColor="text1"/>
          <w:lang w:val="es-ES" w:eastAsia="es-ES"/>
        </w:rPr>
        <w:t>, en la contratación estatal, el literal c) del artículo 3 de la Ley 1150 de 2007 establece el Sistema Electrónico para la Contratación Pública – en adelante SECOP– como un mecanismo que “contará con la información oficial de la contratación realizada con dineros públicos, para lo cual establecerá los patrones a que haya lugar y se encargará de su difusión a través de canales electrónicos”</w:t>
      </w:r>
      <w:r w:rsidRPr="00C15107">
        <w:rPr>
          <w:rFonts w:ascii="Verdana" w:eastAsia="Times New Roman" w:hAnsi="Verdana" w:cs="Arial"/>
          <w:color w:val="000000" w:themeColor="text1"/>
          <w:lang w:val="es-ES"/>
        </w:rPr>
        <w:t xml:space="preserve">. </w:t>
      </w:r>
    </w:p>
    <w:p w14:paraId="646A5926" w14:textId="77777777" w:rsidR="00C15107" w:rsidRPr="00C15107" w:rsidRDefault="00C15107" w:rsidP="00C15107">
      <w:pPr>
        <w:spacing w:after="0" w:line="276" w:lineRule="auto"/>
        <w:jc w:val="both"/>
        <w:rPr>
          <w:rFonts w:ascii="Verdana" w:hAnsi="Verdana" w:cs="Arial"/>
          <w:lang w:val="es-ES"/>
        </w:rPr>
      </w:pPr>
    </w:p>
    <w:p w14:paraId="029D14F8" w14:textId="77777777" w:rsidR="00C15107" w:rsidRDefault="00C15107" w:rsidP="00B76E5B">
      <w:pPr>
        <w:spacing w:after="0" w:line="276" w:lineRule="auto"/>
        <w:jc w:val="both"/>
        <w:rPr>
          <w:rFonts w:ascii="Verdana" w:hAnsi="Verdana" w:cs="Arial"/>
        </w:rPr>
      </w:pPr>
    </w:p>
    <w:p w14:paraId="54322F32" w14:textId="77777777" w:rsidR="00C15107" w:rsidRDefault="00C15107" w:rsidP="00B76E5B">
      <w:pPr>
        <w:spacing w:after="0" w:line="276" w:lineRule="auto"/>
        <w:jc w:val="both"/>
        <w:rPr>
          <w:rFonts w:ascii="Verdana" w:hAnsi="Verdana" w:cs="Arial"/>
        </w:rPr>
      </w:pPr>
    </w:p>
    <w:p w14:paraId="3083AC90" w14:textId="77777777" w:rsidR="00C15107" w:rsidRDefault="00C15107" w:rsidP="00B76E5B">
      <w:pPr>
        <w:spacing w:after="0" w:line="276" w:lineRule="auto"/>
        <w:jc w:val="both"/>
        <w:rPr>
          <w:rFonts w:ascii="Verdana" w:hAnsi="Verdana" w:cs="Arial"/>
        </w:rPr>
      </w:pPr>
    </w:p>
    <w:p w14:paraId="302D7B0C" w14:textId="77777777" w:rsidR="00C15107" w:rsidRDefault="00C15107" w:rsidP="00B76E5B">
      <w:pPr>
        <w:spacing w:after="0" w:line="276" w:lineRule="auto"/>
        <w:jc w:val="both"/>
        <w:rPr>
          <w:rFonts w:ascii="Verdana" w:hAnsi="Verdana" w:cs="Arial"/>
        </w:rPr>
      </w:pPr>
    </w:p>
    <w:p w14:paraId="43F1EC5A" w14:textId="77777777" w:rsidR="00C15107" w:rsidRDefault="00C15107" w:rsidP="00B76E5B">
      <w:pPr>
        <w:spacing w:after="0" w:line="276" w:lineRule="auto"/>
        <w:jc w:val="both"/>
        <w:rPr>
          <w:rFonts w:ascii="Verdana" w:hAnsi="Verdana" w:cs="Arial"/>
        </w:rPr>
      </w:pPr>
    </w:p>
    <w:p w14:paraId="6570FA42" w14:textId="77777777" w:rsidR="00C15107" w:rsidRDefault="00C15107" w:rsidP="00B76E5B">
      <w:pPr>
        <w:spacing w:after="0" w:line="276" w:lineRule="auto"/>
        <w:jc w:val="both"/>
        <w:rPr>
          <w:rFonts w:ascii="Verdana" w:hAnsi="Verdana" w:cs="Arial"/>
        </w:rPr>
      </w:pPr>
    </w:p>
    <w:p w14:paraId="68D6DEAC" w14:textId="77777777" w:rsidR="00C15107" w:rsidRDefault="00C15107" w:rsidP="00B76E5B">
      <w:pPr>
        <w:spacing w:after="0" w:line="276" w:lineRule="auto"/>
        <w:jc w:val="both"/>
        <w:rPr>
          <w:rFonts w:ascii="Verdana" w:hAnsi="Verdana" w:cs="Arial"/>
        </w:rPr>
      </w:pPr>
    </w:p>
    <w:p w14:paraId="49254832" w14:textId="77777777" w:rsidR="00C15107" w:rsidRDefault="00C15107" w:rsidP="00B76E5B">
      <w:pPr>
        <w:spacing w:after="0" w:line="276" w:lineRule="auto"/>
        <w:jc w:val="both"/>
        <w:rPr>
          <w:rFonts w:ascii="Verdana" w:hAnsi="Verdana" w:cs="Arial"/>
        </w:rPr>
      </w:pPr>
    </w:p>
    <w:p w14:paraId="1BB6CCAF" w14:textId="4169FEC0" w:rsidR="00B76E5B" w:rsidRPr="00574CE1" w:rsidRDefault="00B76E5B" w:rsidP="00B76E5B">
      <w:pPr>
        <w:spacing w:after="0" w:line="276" w:lineRule="auto"/>
        <w:jc w:val="both"/>
        <w:rPr>
          <w:rFonts w:ascii="Verdana" w:hAnsi="Verdana" w:cs="Arial"/>
        </w:rPr>
      </w:pPr>
      <w:r w:rsidRPr="00574CE1">
        <w:rPr>
          <w:rFonts w:ascii="Verdana" w:hAnsi="Verdana" w:cs="Arial"/>
        </w:rPr>
        <w:lastRenderedPageBreak/>
        <w:t>Bogotá D.C., [Día] [</w:t>
      </w:r>
      <w:proofErr w:type="spellStart"/>
      <w:r w:rsidRPr="00574CE1">
        <w:rPr>
          <w:rFonts w:ascii="Verdana" w:hAnsi="Verdana" w:cs="Arial"/>
        </w:rPr>
        <w:t>Mes.NombreCapitalizado</w:t>
      </w:r>
      <w:proofErr w:type="spellEnd"/>
      <w:r w:rsidRPr="00574CE1">
        <w:rPr>
          <w:rFonts w:ascii="Verdana" w:hAnsi="Verdana" w:cs="Arial"/>
        </w:rPr>
        <w:t>] [Año]</w:t>
      </w:r>
      <w:r w:rsidRPr="00574CE1">
        <w:rPr>
          <w:rFonts w:ascii="Verdana" w:hAnsi="Verdana" w:cs="Arial"/>
        </w:rPr>
        <w:tab/>
      </w:r>
    </w:p>
    <w:p w14:paraId="4ED7211A" w14:textId="45483565" w:rsidR="00B76E5B" w:rsidRDefault="00C15107" w:rsidP="00B76E5B">
      <w:pPr>
        <w:pStyle w:val="Sinespaciado"/>
        <w:spacing w:line="276" w:lineRule="auto"/>
        <w:rPr>
          <w:rFonts w:ascii="Verdana" w:hAnsi="Verdana" w:cs="Arial"/>
        </w:rPr>
      </w:pPr>
      <w:r w:rsidRPr="00C15107">
        <w:rPr>
          <w:rFonts w:ascii="Verdana" w:hAnsi="Verdana" w:cs="Arial"/>
          <w:noProof/>
        </w:rPr>
        <w:drawing>
          <wp:anchor distT="0" distB="0" distL="114300" distR="114300" simplePos="0" relativeHeight="251658240" behindDoc="1" locked="0" layoutInCell="1" allowOverlap="1" wp14:anchorId="31830E17" wp14:editId="790349A6">
            <wp:simplePos x="0" y="0"/>
            <wp:positionH relativeFrom="column">
              <wp:posOffset>2555387</wp:posOffset>
            </wp:positionH>
            <wp:positionV relativeFrom="paragraph">
              <wp:posOffset>9915</wp:posOffset>
            </wp:positionV>
            <wp:extent cx="3381375" cy="1038225"/>
            <wp:effectExtent l="0" t="0" r="9525" b="9525"/>
            <wp:wrapTight wrapText="bothSides">
              <wp:wrapPolygon edited="0">
                <wp:start x="0" y="0"/>
                <wp:lineTo x="0" y="21402"/>
                <wp:lineTo x="21539" y="21402"/>
                <wp:lineTo x="21539" y="0"/>
                <wp:lineTo x="0" y="0"/>
              </wp:wrapPolygon>
            </wp:wrapTight>
            <wp:docPr id="191413238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132385" name="Imagen 1" descr="Text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3381375" cy="1038225"/>
                    </a:xfrm>
                    <a:prstGeom prst="rect">
                      <a:avLst/>
                    </a:prstGeom>
                  </pic:spPr>
                </pic:pic>
              </a:graphicData>
            </a:graphic>
          </wp:anchor>
        </w:drawing>
      </w:r>
    </w:p>
    <w:p w14:paraId="70CD3B8A" w14:textId="4C006059" w:rsidR="00C15107" w:rsidRDefault="00C15107" w:rsidP="00B76E5B">
      <w:pPr>
        <w:pStyle w:val="Sinespaciado"/>
        <w:spacing w:line="276" w:lineRule="auto"/>
        <w:rPr>
          <w:rFonts w:ascii="Verdana" w:hAnsi="Verdana" w:cs="Arial"/>
        </w:rPr>
      </w:pPr>
    </w:p>
    <w:p w14:paraId="10F05D29" w14:textId="616D9DB6" w:rsidR="00C15107" w:rsidRDefault="00C15107" w:rsidP="00B76E5B">
      <w:pPr>
        <w:pStyle w:val="Sinespaciado"/>
        <w:spacing w:line="276" w:lineRule="auto"/>
        <w:rPr>
          <w:rFonts w:ascii="Verdana" w:hAnsi="Verdana" w:cs="Arial"/>
        </w:rPr>
      </w:pPr>
    </w:p>
    <w:p w14:paraId="64D8037B" w14:textId="77777777" w:rsidR="00C15107" w:rsidRDefault="00C15107" w:rsidP="00B76E5B">
      <w:pPr>
        <w:pStyle w:val="Sinespaciado"/>
        <w:spacing w:line="276" w:lineRule="auto"/>
        <w:rPr>
          <w:rFonts w:ascii="Verdana" w:hAnsi="Verdana" w:cs="Arial"/>
        </w:rPr>
      </w:pPr>
    </w:p>
    <w:p w14:paraId="7F10A892" w14:textId="77777777" w:rsidR="00C15107" w:rsidRPr="00574CE1" w:rsidRDefault="00C15107" w:rsidP="00B76E5B">
      <w:pPr>
        <w:pStyle w:val="Sinespaciado"/>
        <w:spacing w:line="276" w:lineRule="auto"/>
        <w:rPr>
          <w:rFonts w:ascii="Verdana" w:hAnsi="Verdana" w:cs="Arial"/>
        </w:rPr>
      </w:pPr>
    </w:p>
    <w:p w14:paraId="5B2D4016" w14:textId="77777777" w:rsidR="00C15107" w:rsidRDefault="00C15107" w:rsidP="00B76E5B">
      <w:pPr>
        <w:spacing w:after="0"/>
        <w:rPr>
          <w:rFonts w:ascii="Verdana" w:eastAsia="Calibri" w:hAnsi="Verdana" w:cs="Arial"/>
        </w:rPr>
      </w:pPr>
    </w:p>
    <w:p w14:paraId="2E1DBFE2" w14:textId="7E353B34" w:rsidR="00B76E5B" w:rsidRPr="00574CE1" w:rsidRDefault="00B76E5B" w:rsidP="00B76E5B">
      <w:pPr>
        <w:spacing w:after="0"/>
        <w:rPr>
          <w:rFonts w:ascii="Verdana" w:eastAsia="Calibri" w:hAnsi="Verdana" w:cs="Arial"/>
        </w:rPr>
      </w:pPr>
      <w:r w:rsidRPr="00574CE1">
        <w:rPr>
          <w:rFonts w:ascii="Verdana" w:eastAsia="Calibri" w:hAnsi="Verdana" w:cs="Arial"/>
        </w:rPr>
        <w:t>Señora</w:t>
      </w:r>
    </w:p>
    <w:p w14:paraId="465707FC" w14:textId="77777777" w:rsidR="00B76E5B" w:rsidRPr="00574CE1" w:rsidRDefault="00B76E5B" w:rsidP="00B76E5B">
      <w:pPr>
        <w:spacing w:after="0"/>
        <w:rPr>
          <w:rFonts w:ascii="Verdana" w:eastAsia="Calibri" w:hAnsi="Verdana" w:cs="Arial"/>
        </w:rPr>
      </w:pPr>
      <w:r w:rsidRPr="00574CE1">
        <w:rPr>
          <w:rFonts w:ascii="Verdana" w:eastAsia="Calibri" w:hAnsi="Verdana" w:cs="Arial"/>
        </w:rPr>
        <w:t>Nereida Peñaranda Gómez</w:t>
      </w:r>
    </w:p>
    <w:p w14:paraId="13DA21F2" w14:textId="77777777" w:rsidR="00B76E5B" w:rsidRPr="00574CE1" w:rsidRDefault="00B76E5B" w:rsidP="00B76E5B">
      <w:pPr>
        <w:spacing w:after="0"/>
        <w:rPr>
          <w:rFonts w:ascii="Verdana" w:eastAsia="Calibri" w:hAnsi="Verdana" w:cs="Arial"/>
        </w:rPr>
      </w:pPr>
      <w:r w:rsidRPr="00574CE1">
        <w:rPr>
          <w:rFonts w:ascii="Verdana" w:eastAsia="Calibri" w:hAnsi="Verdana" w:cs="Arial"/>
        </w:rPr>
        <w:t xml:space="preserve">Rio de Oro, Cesar </w:t>
      </w:r>
    </w:p>
    <w:p w14:paraId="3254FAC3" w14:textId="77777777" w:rsidR="00B76E5B" w:rsidRPr="00574CE1" w:rsidRDefault="00B76E5B" w:rsidP="00B76E5B">
      <w:pPr>
        <w:spacing w:after="0"/>
        <w:rPr>
          <w:rFonts w:ascii="Verdana" w:eastAsia="Calibri" w:hAnsi="Verdana" w:cs="Arial"/>
          <w:bCs/>
        </w:rPr>
      </w:pPr>
    </w:p>
    <w:p w14:paraId="0124C703" w14:textId="77777777" w:rsidR="00B76E5B" w:rsidRPr="00574CE1" w:rsidRDefault="00B76E5B" w:rsidP="00B76E5B">
      <w:pPr>
        <w:spacing w:after="0"/>
        <w:rPr>
          <w:rFonts w:ascii="Verdana" w:eastAsia="Calibri" w:hAnsi="Verdana" w:cs="Arial"/>
        </w:rPr>
      </w:pPr>
    </w:p>
    <w:p w14:paraId="7AF36C18" w14:textId="11EEAB3C" w:rsidR="00B76E5B" w:rsidRPr="00574CE1" w:rsidRDefault="00B76E5B" w:rsidP="00B76E5B">
      <w:pPr>
        <w:pStyle w:val="Sinespaciado"/>
        <w:spacing w:line="276" w:lineRule="auto"/>
        <w:ind w:left="708" w:firstLine="708"/>
        <w:jc w:val="both"/>
        <w:rPr>
          <w:rFonts w:ascii="Verdana" w:hAnsi="Verdana" w:cs="Arial"/>
          <w:b/>
          <w:bCs/>
        </w:rPr>
      </w:pPr>
      <w:r w:rsidRPr="00574CE1">
        <w:rPr>
          <w:rFonts w:ascii="Verdana" w:eastAsia="Calibri" w:hAnsi="Verdana" w:cs="Arial"/>
          <w:b/>
          <w:bCs/>
          <w:lang w:val="es-ES" w:eastAsia="es-ES"/>
        </w:rPr>
        <w:t>Concepto C- 2</w:t>
      </w:r>
      <w:r w:rsidR="00E93683">
        <w:rPr>
          <w:rFonts w:ascii="Verdana" w:eastAsia="Calibri" w:hAnsi="Verdana" w:cs="Arial"/>
          <w:b/>
          <w:bCs/>
          <w:lang w:val="es-ES" w:eastAsia="es-ES"/>
        </w:rPr>
        <w:t>6</w:t>
      </w:r>
      <w:r w:rsidRPr="00574CE1">
        <w:rPr>
          <w:rFonts w:ascii="Verdana" w:eastAsia="Calibri" w:hAnsi="Verdana" w:cs="Arial"/>
          <w:b/>
          <w:bCs/>
          <w:lang w:val="es-ES" w:eastAsia="es-ES"/>
        </w:rPr>
        <w:t>3 de 2024</w:t>
      </w:r>
    </w:p>
    <w:p w14:paraId="6786C2CA" w14:textId="77777777" w:rsidR="00B76E5B" w:rsidRPr="00574CE1" w:rsidRDefault="00B76E5B" w:rsidP="00B76E5B">
      <w:pPr>
        <w:jc w:val="center"/>
        <w:rPr>
          <w:rFonts w:ascii="Verdana" w:eastAsia="Calibri" w:hAnsi="Verdana" w:cs="Arial"/>
          <w:b/>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76E5B" w:rsidRPr="00574CE1" w14:paraId="70AB8A52" w14:textId="77777777" w:rsidTr="00920D34">
        <w:tc>
          <w:tcPr>
            <w:tcW w:w="2689" w:type="dxa"/>
            <w:hideMark/>
          </w:tcPr>
          <w:p w14:paraId="37EB9E51" w14:textId="77777777" w:rsidR="00B76E5B" w:rsidRPr="00574CE1" w:rsidRDefault="00B76E5B" w:rsidP="00920D34">
            <w:pPr>
              <w:rPr>
                <w:rFonts w:ascii="Verdana" w:eastAsia="Calibri" w:hAnsi="Verdana" w:cs="Arial"/>
              </w:rPr>
            </w:pPr>
            <w:r w:rsidRPr="00574CE1">
              <w:rPr>
                <w:rFonts w:ascii="Verdana" w:eastAsia="Calibri" w:hAnsi="Verdana" w:cs="Arial"/>
                <w:b/>
              </w:rPr>
              <w:t>Temas:</w:t>
            </w:r>
            <w:r w:rsidRPr="00574CE1">
              <w:rPr>
                <w:rFonts w:ascii="Verdana" w:eastAsia="Calibri" w:hAnsi="Verdana" w:cs="Arial"/>
              </w:rPr>
              <w:t xml:space="preserve">           </w:t>
            </w:r>
          </w:p>
        </w:tc>
        <w:tc>
          <w:tcPr>
            <w:tcW w:w="6237" w:type="dxa"/>
            <w:hideMark/>
          </w:tcPr>
          <w:p w14:paraId="65256895" w14:textId="77777777" w:rsidR="00B76E5B" w:rsidRPr="00574CE1" w:rsidRDefault="00B76E5B" w:rsidP="00920D34">
            <w:pPr>
              <w:jc w:val="both"/>
              <w:rPr>
                <w:rFonts w:ascii="Verdana" w:eastAsia="Arial" w:hAnsi="Verdana" w:cs="Arial"/>
                <w:lang w:val="es-MX" w:eastAsia="es-ES_tradnl"/>
              </w:rPr>
            </w:pPr>
            <w:r w:rsidRPr="00574CE1">
              <w:rPr>
                <w:rFonts w:ascii="Verdana" w:hAnsi="Verdana" w:cs="Arial"/>
                <w:bCs/>
                <w:lang w:val="es-MX" w:eastAsia="es-ES_tradnl"/>
              </w:rPr>
              <w:t>PUBLICIDAD SECOP – Entidades exceptuadas – Estatuto general de contratación – Modificación del artículo 53 – Ley 2195 de 2022 /</w:t>
            </w:r>
            <w:r w:rsidRPr="00574CE1">
              <w:rPr>
                <w:rFonts w:ascii="Verdana" w:hAnsi="Verdana"/>
              </w:rPr>
              <w:t xml:space="preserve"> </w:t>
            </w:r>
            <w:r w:rsidRPr="00574CE1">
              <w:rPr>
                <w:rFonts w:ascii="Verdana" w:hAnsi="Verdana" w:cs="Arial"/>
                <w:bCs/>
                <w:lang w:val="es-MX" w:eastAsia="es-ES_tradnl"/>
              </w:rPr>
              <w:t>SECOP II – Deber de publicidad – Entidades exceptuadas – Documentos relacionados con la actividad contractual – Reserva de la información pública.</w:t>
            </w:r>
          </w:p>
          <w:p w14:paraId="672A1031" w14:textId="77777777" w:rsidR="00B76E5B" w:rsidRPr="00574CE1" w:rsidRDefault="00B76E5B" w:rsidP="00920D34">
            <w:pPr>
              <w:jc w:val="both"/>
              <w:rPr>
                <w:rFonts w:ascii="Verdana" w:eastAsia="Calibri" w:hAnsi="Verdana" w:cs="Arial"/>
              </w:rPr>
            </w:pPr>
          </w:p>
          <w:p w14:paraId="53BC0F80" w14:textId="77777777" w:rsidR="00B76E5B" w:rsidRPr="00574CE1" w:rsidRDefault="00B76E5B" w:rsidP="00920D34">
            <w:pPr>
              <w:jc w:val="both"/>
              <w:rPr>
                <w:rFonts w:ascii="Verdana" w:eastAsia="Calibri" w:hAnsi="Verdana" w:cs="Arial"/>
                <w:highlight w:val="yellow"/>
              </w:rPr>
            </w:pPr>
          </w:p>
        </w:tc>
      </w:tr>
      <w:tr w:rsidR="00B76E5B" w:rsidRPr="00574CE1" w14:paraId="523C04AB" w14:textId="77777777" w:rsidTr="00920D34">
        <w:tc>
          <w:tcPr>
            <w:tcW w:w="2689" w:type="dxa"/>
          </w:tcPr>
          <w:p w14:paraId="7FE67069" w14:textId="77777777" w:rsidR="00B76E5B" w:rsidRPr="00574CE1" w:rsidRDefault="00B76E5B" w:rsidP="00920D34">
            <w:pPr>
              <w:rPr>
                <w:rFonts w:ascii="Verdana" w:eastAsia="Calibri" w:hAnsi="Verdana" w:cs="Arial"/>
                <w:b/>
              </w:rPr>
            </w:pPr>
            <w:r w:rsidRPr="00574CE1">
              <w:rPr>
                <w:rFonts w:ascii="Verdana" w:eastAsia="Calibri" w:hAnsi="Verdana" w:cs="Arial"/>
                <w:b/>
              </w:rPr>
              <w:t>Radicación:</w:t>
            </w:r>
            <w:r w:rsidRPr="00574CE1">
              <w:rPr>
                <w:rFonts w:ascii="Verdana" w:eastAsia="Calibri" w:hAnsi="Verdana" w:cs="Arial"/>
              </w:rPr>
              <w:t xml:space="preserve">                              </w:t>
            </w:r>
          </w:p>
        </w:tc>
        <w:tc>
          <w:tcPr>
            <w:tcW w:w="6237" w:type="dxa"/>
          </w:tcPr>
          <w:p w14:paraId="46735977" w14:textId="77777777" w:rsidR="00B76E5B" w:rsidRPr="00574CE1" w:rsidRDefault="00B76E5B" w:rsidP="00920D34">
            <w:pPr>
              <w:jc w:val="right"/>
              <w:rPr>
                <w:rFonts w:ascii="Verdana" w:eastAsia="Calibri" w:hAnsi="Verdana" w:cs="Arial"/>
              </w:rPr>
            </w:pPr>
            <w:r w:rsidRPr="00574CE1">
              <w:rPr>
                <w:rFonts w:ascii="Verdana" w:eastAsia="Calibri" w:hAnsi="Verdana" w:cs="Arial"/>
              </w:rPr>
              <w:t>Respuesta a consulta No. P20240523005348</w:t>
            </w:r>
          </w:p>
        </w:tc>
      </w:tr>
    </w:tbl>
    <w:p w14:paraId="638BF72D" w14:textId="77777777" w:rsidR="00B76E5B" w:rsidRPr="00574CE1" w:rsidRDefault="00B76E5B" w:rsidP="00B76E5B">
      <w:pPr>
        <w:jc w:val="both"/>
        <w:rPr>
          <w:rFonts w:ascii="Verdana" w:eastAsia="Calibri" w:hAnsi="Verdana" w:cs="Arial"/>
        </w:rPr>
      </w:pPr>
    </w:p>
    <w:p w14:paraId="0B965823" w14:textId="77777777" w:rsidR="00B76E5B" w:rsidRPr="00574CE1" w:rsidRDefault="00B76E5B" w:rsidP="00B76E5B">
      <w:pPr>
        <w:jc w:val="both"/>
        <w:rPr>
          <w:rFonts w:ascii="Verdana" w:eastAsia="Calibri" w:hAnsi="Verdana" w:cs="Arial"/>
        </w:rPr>
      </w:pPr>
    </w:p>
    <w:p w14:paraId="21BFE193" w14:textId="77777777" w:rsidR="00B76E5B" w:rsidRPr="00574CE1" w:rsidRDefault="00B76E5B" w:rsidP="00B76E5B">
      <w:pPr>
        <w:rPr>
          <w:rFonts w:ascii="Verdana" w:eastAsia="Calibri" w:hAnsi="Verdana" w:cs="Arial"/>
        </w:rPr>
      </w:pPr>
      <w:r w:rsidRPr="00574CE1">
        <w:rPr>
          <w:rFonts w:ascii="Verdana" w:eastAsia="Calibri" w:hAnsi="Verdana" w:cs="Arial"/>
        </w:rPr>
        <w:t>Estimado señora Peñaranda,</w:t>
      </w:r>
    </w:p>
    <w:p w14:paraId="593D9A58" w14:textId="77777777" w:rsidR="00B76E5B" w:rsidRPr="00574CE1" w:rsidRDefault="00B76E5B" w:rsidP="00B76E5B">
      <w:pPr>
        <w:pStyle w:val="Sinespaciado"/>
        <w:spacing w:line="276" w:lineRule="auto"/>
        <w:jc w:val="both"/>
        <w:rPr>
          <w:rFonts w:ascii="Verdana" w:hAnsi="Verdana" w:cs="Arial"/>
        </w:rPr>
      </w:pPr>
    </w:p>
    <w:p w14:paraId="2B5708EC" w14:textId="77777777" w:rsidR="00B76E5B" w:rsidRPr="00574CE1" w:rsidRDefault="00B76E5B" w:rsidP="00B76E5B">
      <w:pPr>
        <w:pStyle w:val="Sinespaciado"/>
        <w:spacing w:line="276" w:lineRule="auto"/>
        <w:jc w:val="both"/>
        <w:rPr>
          <w:rFonts w:ascii="Verdana" w:hAnsi="Verdana" w:cs="Arial"/>
        </w:rPr>
      </w:pPr>
    </w:p>
    <w:p w14:paraId="44FE0F3D" w14:textId="77777777" w:rsidR="00B76E5B" w:rsidRPr="00574CE1" w:rsidRDefault="00B76E5B" w:rsidP="00B76E5B">
      <w:pPr>
        <w:pStyle w:val="Sinespaciado"/>
        <w:spacing w:line="276" w:lineRule="auto"/>
        <w:jc w:val="both"/>
        <w:rPr>
          <w:rFonts w:ascii="Verdana" w:hAnsi="Verdana" w:cs="Arial"/>
        </w:rPr>
      </w:pPr>
      <w:r w:rsidRPr="00574CE1">
        <w:rPr>
          <w:rFonts w:ascii="Verdana" w:eastAsia="Calibri" w:hAnsi="Verdana" w:cs="Arial"/>
          <w:lang w:val="es-ES" w:eastAsia="es-ES"/>
        </w:rPr>
        <w:t>En ejercicio de la competencia otorgada por los artículos 3, numeral 5º, y 11, numeral 8º, del Decreto Ley 4170 de 2011,</w:t>
      </w:r>
      <w:r w:rsidRPr="00574CE1">
        <w:rPr>
          <w:rFonts w:ascii="Verdana" w:eastAsia="Arial MT" w:hAnsi="Verdana" w:cs="Arial MT"/>
          <w:lang w:val="es-ES" w:eastAsia="es-ES"/>
        </w:rPr>
        <w:t xml:space="preserve"> </w:t>
      </w:r>
      <w:r w:rsidRPr="00574CE1">
        <w:rPr>
          <w:rFonts w:ascii="Verdana" w:hAnsi="Verdana" w:cs="Arial"/>
        </w:rPr>
        <w:t xml:space="preserve">así como lo establecido en el artículo 4 de la Resolución 1707 de 2018 expedida por esta Entidad, </w:t>
      </w:r>
      <w:r w:rsidRPr="00574CE1">
        <w:rPr>
          <w:rFonts w:ascii="Verdana" w:eastAsia="Calibri" w:hAnsi="Verdana" w:cs="Arial"/>
          <w:lang w:val="es-ES" w:eastAsia="es-ES"/>
        </w:rPr>
        <w:t>la Agencia Nacional de Contratación Pública – Colombia Compra Eficiente– responde su solicitud de consulta de fecha 28 de junio de 2024, en la cual manifiesta lo siguiente</w:t>
      </w:r>
    </w:p>
    <w:p w14:paraId="619B7844" w14:textId="77777777" w:rsidR="00B76E5B" w:rsidRPr="00574CE1" w:rsidRDefault="00B76E5B" w:rsidP="00B76E5B">
      <w:pPr>
        <w:ind w:left="709" w:right="709"/>
        <w:jc w:val="both"/>
        <w:rPr>
          <w:rFonts w:ascii="Verdana" w:hAnsi="Verdana" w:cs="Arial"/>
          <w:i/>
          <w:iCs/>
          <w:sz w:val="20"/>
          <w:szCs w:val="20"/>
        </w:rPr>
      </w:pPr>
    </w:p>
    <w:p w14:paraId="6E703D89" w14:textId="77777777" w:rsidR="00FE4892" w:rsidRDefault="00B76E5B" w:rsidP="00B76E5B">
      <w:pPr>
        <w:pStyle w:val="Default"/>
        <w:ind w:left="709" w:right="709"/>
        <w:jc w:val="both"/>
        <w:rPr>
          <w:rFonts w:ascii="Verdana" w:eastAsia="Calibri" w:hAnsi="Verdana"/>
          <w:i/>
          <w:iCs/>
          <w:color w:val="auto"/>
          <w:sz w:val="20"/>
          <w:szCs w:val="20"/>
          <w:lang w:val="es-MX"/>
        </w:rPr>
      </w:pPr>
      <w:r w:rsidRPr="00574CE1">
        <w:rPr>
          <w:rFonts w:ascii="Verdana" w:eastAsia="Calibri" w:hAnsi="Verdana"/>
          <w:i/>
          <w:iCs/>
          <w:color w:val="auto"/>
          <w:sz w:val="20"/>
          <w:szCs w:val="20"/>
          <w:lang w:val="es-MX"/>
        </w:rPr>
        <w:t xml:space="preserve">“Solicito de manera formal se aclare si los documentos del proceso se deben publicar en el SECOP II de manera publicitaria es en el momento que se expidan los documentos de la etapa contractual (momento en el cual se ha seleccionado el proveedor) y que el tiempo de publicación es dentro de los tres (3) días siguientes a la fecha de su expedición (contrato) y sin tener en cuenta que los </w:t>
      </w:r>
      <w:r w:rsidRPr="00574CE1">
        <w:rPr>
          <w:rFonts w:ascii="Verdana" w:eastAsia="Calibri" w:hAnsi="Verdana"/>
          <w:i/>
          <w:iCs/>
          <w:color w:val="auto"/>
          <w:sz w:val="20"/>
          <w:szCs w:val="20"/>
          <w:lang w:val="es-MX"/>
        </w:rPr>
        <w:lastRenderedPageBreak/>
        <w:t>documentos de la etapa precontractual hayan sido expedidos con más de tres (3) días.</w:t>
      </w:r>
    </w:p>
    <w:p w14:paraId="2461B221" w14:textId="79822643" w:rsidR="00B76E5B" w:rsidRPr="00574CE1" w:rsidRDefault="00FE4892" w:rsidP="00B76E5B">
      <w:pPr>
        <w:pStyle w:val="Default"/>
        <w:ind w:left="709" w:right="709"/>
        <w:jc w:val="both"/>
        <w:rPr>
          <w:rFonts w:ascii="Verdana" w:hAnsi="Verdana"/>
          <w:i/>
          <w:iCs/>
          <w:color w:val="auto"/>
          <w:sz w:val="20"/>
          <w:szCs w:val="20"/>
        </w:rPr>
      </w:pPr>
      <w:proofErr w:type="gramStart"/>
      <w:r w:rsidRPr="00FE4892">
        <w:rPr>
          <w:rFonts w:ascii="Verdana" w:hAnsi="Verdana"/>
          <w:i/>
          <w:iCs/>
          <w:color w:val="auto"/>
          <w:sz w:val="20"/>
          <w:szCs w:val="20"/>
        </w:rPr>
        <w:t>Además</w:t>
      </w:r>
      <w:proofErr w:type="gramEnd"/>
      <w:r w:rsidRPr="00FE4892">
        <w:rPr>
          <w:rFonts w:ascii="Verdana" w:hAnsi="Verdana"/>
          <w:i/>
          <w:iCs/>
          <w:color w:val="auto"/>
          <w:sz w:val="20"/>
          <w:szCs w:val="20"/>
        </w:rPr>
        <w:t xml:space="preserve"> solcito sea enviando el manual de procedimientos régimen especial sin ofertas actualizado pues en la plataforma se encuentran desactualizados</w:t>
      </w:r>
      <w:r w:rsidR="00B76E5B" w:rsidRPr="00574CE1">
        <w:rPr>
          <w:rFonts w:ascii="Verdana" w:hAnsi="Verdana"/>
          <w:i/>
          <w:iCs/>
          <w:color w:val="auto"/>
          <w:sz w:val="20"/>
          <w:szCs w:val="20"/>
        </w:rPr>
        <w:t>”</w:t>
      </w:r>
    </w:p>
    <w:p w14:paraId="52FB6544" w14:textId="77777777" w:rsidR="00B76E5B" w:rsidRPr="00574CE1" w:rsidRDefault="00B76E5B" w:rsidP="00B76E5B">
      <w:pPr>
        <w:rPr>
          <w:rFonts w:ascii="Verdana" w:eastAsia="Calibri" w:hAnsi="Verdana" w:cs="Arial"/>
        </w:rPr>
      </w:pPr>
    </w:p>
    <w:p w14:paraId="1168D446" w14:textId="77777777" w:rsidR="00B76E5B" w:rsidRPr="00574CE1" w:rsidRDefault="00B76E5B" w:rsidP="00B76E5B">
      <w:pPr>
        <w:spacing w:after="0" w:line="276" w:lineRule="auto"/>
        <w:ind w:left="709" w:right="709"/>
        <w:jc w:val="both"/>
        <w:rPr>
          <w:rFonts w:ascii="Verdana" w:hAnsi="Verdana" w:cs="Arial"/>
        </w:rPr>
      </w:pPr>
    </w:p>
    <w:p w14:paraId="7DA42A7D" w14:textId="77777777" w:rsidR="00B76E5B" w:rsidRPr="00574CE1" w:rsidRDefault="00B76E5B" w:rsidP="00B76E5B">
      <w:pPr>
        <w:spacing w:after="120" w:line="276" w:lineRule="auto"/>
        <w:ind w:firstLine="709"/>
        <w:jc w:val="both"/>
        <w:rPr>
          <w:rFonts w:ascii="Verdana" w:eastAsia="Calibri" w:hAnsi="Verdana" w:cs="Arial"/>
          <w:szCs w:val="24"/>
          <w:lang w:val="es-ES_tradnl" w:eastAsia="es-ES_tradnl"/>
        </w:rPr>
      </w:pPr>
      <w:r w:rsidRPr="00574CE1">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74CE1">
        <w:rPr>
          <w:rFonts w:ascii="Verdana" w:eastAsia="Calibri" w:hAnsi="Verdana" w:cs="Arial"/>
          <w:szCs w:val="24"/>
          <w:lang w:val="es-ES_tradnl" w:eastAsia="es-ES_tradnl"/>
        </w:rPr>
        <w:tab/>
      </w:r>
    </w:p>
    <w:p w14:paraId="1DFEEBEF" w14:textId="77777777" w:rsidR="00B76E5B" w:rsidRPr="00574CE1" w:rsidRDefault="00B76E5B" w:rsidP="00B76E5B">
      <w:pPr>
        <w:spacing w:after="0" w:line="276" w:lineRule="auto"/>
        <w:ind w:firstLine="709"/>
        <w:jc w:val="both"/>
        <w:rPr>
          <w:rFonts w:ascii="Verdana" w:eastAsia="Calibri" w:hAnsi="Verdana" w:cs="Arial"/>
          <w:lang w:val="es-ES" w:eastAsia="es-ES"/>
        </w:rPr>
      </w:pPr>
      <w:r w:rsidRPr="00574CE1">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57ADE04D" w14:textId="77777777" w:rsidR="00B76E5B" w:rsidRPr="00574CE1" w:rsidRDefault="00B76E5B" w:rsidP="00B76E5B">
      <w:pPr>
        <w:spacing w:after="0" w:line="276" w:lineRule="auto"/>
        <w:ind w:firstLine="709"/>
        <w:jc w:val="both"/>
        <w:rPr>
          <w:rFonts w:ascii="Verdana" w:eastAsia="Calibri" w:hAnsi="Verdana" w:cs="Arial"/>
          <w:lang w:val="es-ES" w:eastAsia="es-ES"/>
        </w:rPr>
      </w:pPr>
    </w:p>
    <w:p w14:paraId="4482D7D1" w14:textId="77777777" w:rsidR="00B76E5B" w:rsidRPr="00574CE1" w:rsidRDefault="00B76E5B" w:rsidP="00B76E5B">
      <w:pPr>
        <w:pStyle w:val="Prrafodelista"/>
        <w:numPr>
          <w:ilvl w:val="0"/>
          <w:numId w:val="6"/>
        </w:numPr>
        <w:tabs>
          <w:tab w:val="left" w:pos="142"/>
          <w:tab w:val="left" w:pos="284"/>
        </w:tabs>
        <w:spacing w:after="0" w:line="276" w:lineRule="auto"/>
        <w:ind w:left="0" w:firstLine="0"/>
        <w:jc w:val="both"/>
        <w:rPr>
          <w:rFonts w:ascii="Verdana" w:eastAsia="Century Gothic" w:hAnsi="Verdana" w:cs="Century Gothic"/>
          <w:b/>
          <w:bCs/>
        </w:rPr>
      </w:pPr>
      <w:r w:rsidRPr="00574CE1">
        <w:rPr>
          <w:rFonts w:ascii="Verdana" w:eastAsia="Century Gothic" w:hAnsi="Verdana" w:cs="Century Gothic"/>
          <w:b/>
          <w:bCs/>
        </w:rPr>
        <w:t>Problema planteado:</w:t>
      </w:r>
    </w:p>
    <w:p w14:paraId="6A9E51B4" w14:textId="77777777" w:rsidR="00B76E5B" w:rsidRPr="00574CE1" w:rsidRDefault="00B76E5B" w:rsidP="00B76E5B">
      <w:pPr>
        <w:tabs>
          <w:tab w:val="left" w:pos="426"/>
        </w:tabs>
        <w:spacing w:after="0" w:line="276" w:lineRule="auto"/>
        <w:jc w:val="both"/>
        <w:rPr>
          <w:rFonts w:ascii="Verdana" w:eastAsia="Century Gothic" w:hAnsi="Verdana" w:cs="Century Gothic"/>
          <w:lang w:val="es-ES"/>
        </w:rPr>
      </w:pPr>
    </w:p>
    <w:p w14:paraId="56B14BFE" w14:textId="77777777" w:rsidR="00B76E5B" w:rsidRPr="00574CE1" w:rsidRDefault="00B76E5B" w:rsidP="00B76E5B">
      <w:pPr>
        <w:spacing w:after="0" w:line="276" w:lineRule="auto"/>
        <w:jc w:val="both"/>
        <w:rPr>
          <w:rFonts w:ascii="Verdana" w:eastAsia="Century Gothic" w:hAnsi="Verdana" w:cs="Century Gothic"/>
        </w:rPr>
      </w:pPr>
      <w:r w:rsidRPr="00574CE1">
        <w:rPr>
          <w:rFonts w:ascii="Verdana" w:eastAsia="Century Gothic" w:hAnsi="Verdana" w:cs="Century Gothic"/>
        </w:rPr>
        <w:t xml:space="preserve">De acuerdo con el contenido de su solicitud, esta Agencia resolverá el siguiente problema jurídico: En otras palabras, lo que se busca establecer con su petición </w:t>
      </w:r>
      <w:proofErr w:type="gramStart"/>
      <w:r w:rsidRPr="00574CE1">
        <w:rPr>
          <w:rFonts w:ascii="Verdana" w:eastAsia="Century Gothic" w:hAnsi="Verdana" w:cs="Century Gothic"/>
        </w:rPr>
        <w:t>es  ¿</w:t>
      </w:r>
      <w:proofErr w:type="gramEnd"/>
      <w:r w:rsidRPr="00574CE1">
        <w:rPr>
          <w:rFonts w:ascii="Verdana" w:eastAsia="Century Gothic" w:hAnsi="Verdana" w:cs="Century Gothic"/>
        </w:rPr>
        <w:t xml:space="preserve">Cómo debe computar el termino de publicación en SECOP II ? ¿este aplica a los documentos en la etapa </w:t>
      </w:r>
      <w:proofErr w:type="gramStart"/>
      <w:r w:rsidRPr="00574CE1">
        <w:rPr>
          <w:rFonts w:ascii="Verdana" w:eastAsia="Century Gothic" w:hAnsi="Verdana" w:cs="Century Gothic"/>
        </w:rPr>
        <w:t>pre contractual</w:t>
      </w:r>
      <w:proofErr w:type="gramEnd"/>
      <w:r w:rsidRPr="00574CE1">
        <w:rPr>
          <w:rFonts w:ascii="Verdana" w:eastAsia="Century Gothic" w:hAnsi="Verdana" w:cs="Century Gothic"/>
        </w:rPr>
        <w:t xml:space="preserve">? </w:t>
      </w:r>
    </w:p>
    <w:p w14:paraId="6ABD34CD" w14:textId="77777777" w:rsidR="00B76E5B" w:rsidRPr="00574CE1" w:rsidRDefault="00B76E5B" w:rsidP="00B76E5B">
      <w:pPr>
        <w:spacing w:after="0" w:line="276" w:lineRule="auto"/>
        <w:ind w:firstLine="709"/>
        <w:jc w:val="both"/>
        <w:rPr>
          <w:rFonts w:ascii="Verdana" w:eastAsia="Calibri" w:hAnsi="Verdana" w:cs="Arial"/>
          <w:lang w:eastAsia="es-ES"/>
        </w:rPr>
      </w:pPr>
    </w:p>
    <w:p w14:paraId="779F7B07" w14:textId="77777777" w:rsidR="00B76E5B" w:rsidRPr="00574CE1" w:rsidRDefault="00B76E5B" w:rsidP="00B76E5B">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p w14:paraId="3C3FC496" w14:textId="77777777" w:rsidR="00B76E5B" w:rsidRPr="00574CE1" w:rsidRDefault="00B76E5B" w:rsidP="00B76E5B">
      <w:pPr>
        <w:pStyle w:val="Prrafodelista"/>
        <w:numPr>
          <w:ilvl w:val="0"/>
          <w:numId w:val="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74CE1">
        <w:rPr>
          <w:rFonts w:ascii="Verdana" w:eastAsia="Century Gothic" w:hAnsi="Verdana" w:cs="Century Gothic"/>
          <w:b/>
          <w:bCs/>
        </w:rPr>
        <w:t>Respuesta:</w:t>
      </w:r>
    </w:p>
    <w:p w14:paraId="756590DF" w14:textId="77777777" w:rsidR="00B76E5B" w:rsidRPr="00574CE1" w:rsidRDefault="00B76E5B" w:rsidP="00B76E5B">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94"/>
      </w:tblGrid>
      <w:tr w:rsidR="00B76E5B" w:rsidRPr="00574CE1" w14:paraId="45B60460" w14:textId="77777777" w:rsidTr="00920D34">
        <w:tc>
          <w:tcPr>
            <w:tcW w:w="8828" w:type="dxa"/>
            <w:shd w:val="clear" w:color="auto" w:fill="auto"/>
          </w:tcPr>
          <w:p w14:paraId="5473A7CF" w14:textId="77777777" w:rsidR="00B76E5B" w:rsidRPr="00574CE1" w:rsidRDefault="00B76E5B" w:rsidP="00920D34">
            <w:pPr>
              <w:spacing w:before="120" w:after="120" w:line="276" w:lineRule="auto"/>
              <w:ind w:firstLine="708"/>
              <w:jc w:val="both"/>
              <w:rPr>
                <w:rFonts w:ascii="Verdana" w:eastAsia="Calibri" w:hAnsi="Verdana" w:cs="Arial"/>
                <w:lang w:val="es-ES"/>
              </w:rPr>
            </w:pPr>
            <w:r w:rsidRPr="00574CE1">
              <w:rPr>
                <w:rFonts w:ascii="Verdana" w:eastAsia="Calibri" w:hAnsi="Verdana" w:cs="Arial"/>
                <w:lang w:val="es-ES"/>
              </w:rPr>
              <w:t xml:space="preserve">Conforme a la naturaleza transaccional de SECOP II, estos documentos se publican en tiempo real en la plataforma, en la medida en que de ello depende el avance del </w:t>
            </w:r>
            <w:r w:rsidRPr="00574CE1">
              <w:rPr>
                <w:rFonts w:ascii="Verdana" w:eastAsia="Calibri" w:hAnsi="Verdana" w:cs="Arial"/>
                <w:i/>
                <w:iCs/>
                <w:lang w:val="es-ES"/>
              </w:rPr>
              <w:t>Proceso de Contratación</w:t>
            </w:r>
            <w:r w:rsidRPr="00574CE1">
              <w:rPr>
                <w:rFonts w:ascii="Verdana" w:eastAsia="Calibri" w:hAnsi="Verdana" w:cs="Arial"/>
                <w:lang w:val="es-ES"/>
              </w:rPr>
              <w:t xml:space="preserve">, por lo que en estos casos no aplica el término de tres (3) días previsto en el artículo 2.2.1.1.1.7.1 del Decreto 1082 de 2015, con </w:t>
            </w:r>
            <w:r w:rsidRPr="00574CE1">
              <w:rPr>
                <w:rFonts w:ascii="Verdana" w:eastAsia="Calibri" w:hAnsi="Verdana" w:cs="Arial"/>
                <w:lang w:val="es-ES"/>
              </w:rPr>
              <w:lastRenderedPageBreak/>
              <w:t xml:space="preserve">excepción de las actuaciones que por su naturaleza deben ser producidas en medio físico y luego cargadas a la plataforma. </w:t>
            </w:r>
          </w:p>
          <w:p w14:paraId="42488EF5" w14:textId="77777777" w:rsidR="00B76E5B" w:rsidRDefault="00B76E5B" w:rsidP="00920D34">
            <w:pPr>
              <w:spacing w:line="276" w:lineRule="auto"/>
              <w:jc w:val="both"/>
              <w:rPr>
                <w:rFonts w:ascii="Verdana" w:eastAsia="Calibri" w:hAnsi="Verdana" w:cs="Arial"/>
                <w:lang w:val="es-ES"/>
              </w:rPr>
            </w:pPr>
            <w:r w:rsidRPr="00574CE1">
              <w:rPr>
                <w:rFonts w:ascii="Verdana" w:eastAsia="Calibri" w:hAnsi="Verdana" w:cs="Arial"/>
                <w:lang w:val="es-ES"/>
              </w:rPr>
              <w:t>Las entidades estatales regidas por el Estatuto General de Contratación de la Administración Pública, a las que no corresponda gestionar sus procesos a través de SECOP II, deben publicar en SECOP I los anteriores documentos, y disponen de los tres (3) días hábiles siguientes a la expedición para hacerlo, conforme lo dispone el artículo 2.2.1.1.1.7.1 del Decreto 1082 de 2015</w:t>
            </w:r>
            <w:r w:rsidRPr="00574CE1">
              <w:rPr>
                <w:rFonts w:ascii="Verdana" w:eastAsia="Calibri" w:hAnsi="Verdana" w:cs="Arial"/>
                <w:i/>
                <w:iCs/>
                <w:lang w:val="es-ES"/>
              </w:rPr>
              <w:t xml:space="preserve">. </w:t>
            </w:r>
            <w:r w:rsidRPr="00574CE1">
              <w:rPr>
                <w:rFonts w:ascii="Verdana" w:eastAsia="Calibri" w:hAnsi="Verdana" w:cs="Arial"/>
                <w:lang w:val="es-ES"/>
              </w:rPr>
              <w:t>En los procesos adelantados SECOP I, las ofertas diferentes de la del adjudicatario están exceptuadas del deber de publicidad</w:t>
            </w:r>
          </w:p>
          <w:p w14:paraId="17BFB4F2" w14:textId="27D34189" w:rsidR="00694F62" w:rsidRDefault="00694F62" w:rsidP="00694F62">
            <w:pPr>
              <w:pStyle w:val="xmsonormal"/>
            </w:pPr>
            <w:r>
              <w:rPr>
                <w:rFonts w:ascii="Verdana" w:hAnsi="Verdana"/>
                <w:color w:val="3A3A3A"/>
                <w:sz w:val="22"/>
                <w:szCs w:val="22"/>
              </w:rPr>
              <w:t xml:space="preserve">De acuerdo con lo requerido nos permitimos informar que la </w:t>
            </w:r>
            <w:r>
              <w:rPr>
                <w:rFonts w:ascii="Verdana" w:hAnsi="Verdana"/>
                <w:b/>
                <w:bCs/>
                <w:color w:val="3A3A3A"/>
                <w:sz w:val="22"/>
                <w:szCs w:val="22"/>
              </w:rPr>
              <w:t>Guía de uso de SECOP II – Módulo de Régimen Especial (sin ofertas)</w:t>
            </w:r>
            <w:r>
              <w:rPr>
                <w:rFonts w:ascii="Verdana" w:hAnsi="Verdana"/>
                <w:color w:val="3A3A3A"/>
                <w:sz w:val="22"/>
                <w:szCs w:val="22"/>
              </w:rPr>
              <w:t xml:space="preserve">, se encuentra en proceso de actualización, los cambios más recientes incluidos en dicho módulo se encuentran publicados en el minisitio de SECOP II, en la sección Ayuda a Usuarios de SECOP II - En la infografía del </w:t>
            </w:r>
            <w:proofErr w:type="spellStart"/>
            <w:r>
              <w:rPr>
                <w:rFonts w:ascii="Verdana" w:hAnsi="Verdana"/>
                <w:color w:val="3A3A3A"/>
                <w:sz w:val="22"/>
                <w:szCs w:val="22"/>
              </w:rPr>
              <w:t>Release</w:t>
            </w:r>
            <w:proofErr w:type="spellEnd"/>
            <w:r>
              <w:rPr>
                <w:rFonts w:ascii="Verdana" w:hAnsi="Verdana"/>
                <w:color w:val="3A3A3A"/>
                <w:sz w:val="22"/>
                <w:szCs w:val="22"/>
              </w:rPr>
              <w:t xml:space="preserve"> 23.4 del 09 de diciembre de 2023 que podrán encontrar en el siguiente enlace:</w:t>
            </w:r>
          </w:p>
          <w:p w14:paraId="308D783D" w14:textId="77777777" w:rsidR="00694F62" w:rsidRDefault="00694F62" w:rsidP="00694F62">
            <w:pPr>
              <w:pStyle w:val="xmsonormal"/>
            </w:pPr>
            <w:r>
              <w:rPr>
                <w:rFonts w:ascii="Verdana" w:hAnsi="Verdana"/>
                <w:color w:val="3A3A3A"/>
                <w:sz w:val="22"/>
                <w:szCs w:val="22"/>
              </w:rPr>
              <w:t> </w:t>
            </w:r>
          </w:p>
          <w:p w14:paraId="3E4A8B36" w14:textId="77777777" w:rsidR="00694F62" w:rsidRDefault="00694F62" w:rsidP="00694F62">
            <w:pPr>
              <w:pStyle w:val="xmsolistparagraph"/>
              <w:numPr>
                <w:ilvl w:val="0"/>
                <w:numId w:val="11"/>
              </w:numPr>
              <w:rPr>
                <w:rFonts w:eastAsia="Times New Roman"/>
                <w:color w:val="3A3A3A"/>
              </w:rPr>
            </w:pPr>
            <w:r>
              <w:rPr>
                <w:rFonts w:ascii="Verdana" w:eastAsia="Times New Roman" w:hAnsi="Verdana"/>
                <w:color w:val="3A3A3A"/>
                <w:sz w:val="22"/>
                <w:szCs w:val="22"/>
              </w:rPr>
              <w:t xml:space="preserve">Enlace ayudas a usuario del SECOP II: </w:t>
            </w:r>
            <w:hyperlink r:id="rId11" w:history="1">
              <w:r>
                <w:rPr>
                  <w:rStyle w:val="Hipervnculo"/>
                  <w:rFonts w:ascii="Verdana" w:eastAsia="Times New Roman" w:hAnsi="Verdana"/>
                  <w:sz w:val="22"/>
                  <w:szCs w:val="22"/>
                </w:rPr>
                <w:t>https://www.colombiacompra.gov.co/secop-ii/eres-formador-del-secop-ii-encuentra-material-de-apoyo-aqui</w:t>
              </w:r>
            </w:hyperlink>
            <w:r>
              <w:rPr>
                <w:rFonts w:ascii="Verdana" w:eastAsia="Times New Roman" w:hAnsi="Verdana"/>
                <w:color w:val="3A3A3A"/>
                <w:sz w:val="22"/>
                <w:szCs w:val="22"/>
              </w:rPr>
              <w:t xml:space="preserve"> </w:t>
            </w:r>
          </w:p>
          <w:p w14:paraId="4CCB624B" w14:textId="77777777" w:rsidR="00694F62" w:rsidRDefault="00694F62" w:rsidP="00694F62">
            <w:pPr>
              <w:pStyle w:val="xmsonormal"/>
            </w:pPr>
            <w:r>
              <w:rPr>
                <w:rFonts w:ascii="Verdana" w:hAnsi="Verdana"/>
                <w:color w:val="3A3A3A"/>
                <w:sz w:val="22"/>
                <w:szCs w:val="22"/>
              </w:rPr>
              <w:t> </w:t>
            </w:r>
          </w:p>
          <w:p w14:paraId="3186C29F" w14:textId="77777777" w:rsidR="00694F62" w:rsidRDefault="00694F62" w:rsidP="00694F62">
            <w:pPr>
              <w:pStyle w:val="xmsolistparagraph"/>
              <w:numPr>
                <w:ilvl w:val="0"/>
                <w:numId w:val="12"/>
              </w:numPr>
              <w:rPr>
                <w:rFonts w:eastAsia="Times New Roman"/>
                <w:color w:val="3A3A3A"/>
              </w:rPr>
            </w:pPr>
            <w:r>
              <w:rPr>
                <w:rFonts w:ascii="Verdana" w:eastAsia="Times New Roman" w:hAnsi="Verdana"/>
                <w:color w:val="3A3A3A"/>
                <w:sz w:val="22"/>
                <w:szCs w:val="22"/>
              </w:rPr>
              <w:t xml:space="preserve">Enlace infografía del 09 de diciembre de 2023: </w:t>
            </w:r>
            <w:hyperlink r:id="rId12" w:history="1">
              <w:r>
                <w:rPr>
                  <w:rStyle w:val="Hipervnculo"/>
                  <w:rFonts w:ascii="Verdana" w:eastAsia="Times New Roman" w:hAnsi="Verdana"/>
                  <w:sz w:val="22"/>
                  <w:szCs w:val="22"/>
                </w:rPr>
                <w:t>https://www.colombiacompra.gov.co/sites/cce_public/files/cce_infografias/idt_cambios_secop_ii.pdf</w:t>
              </w:r>
            </w:hyperlink>
          </w:p>
          <w:p w14:paraId="19E50C68" w14:textId="77777777" w:rsidR="00694F62" w:rsidRDefault="00694F62" w:rsidP="00694F62">
            <w:pPr>
              <w:pStyle w:val="xmsonormal"/>
            </w:pPr>
            <w:r>
              <w:rPr>
                <w:rFonts w:ascii="Verdana" w:hAnsi="Verdana"/>
                <w:color w:val="3A3A3A"/>
                <w:sz w:val="22"/>
                <w:szCs w:val="22"/>
              </w:rPr>
              <w:t> </w:t>
            </w:r>
          </w:p>
          <w:p w14:paraId="73F98025" w14:textId="03199F91" w:rsidR="00694F62" w:rsidRPr="00574CE1" w:rsidRDefault="00694F62" w:rsidP="00694F62">
            <w:pPr>
              <w:spacing w:line="276" w:lineRule="auto"/>
              <w:jc w:val="both"/>
              <w:rPr>
                <w:rFonts w:ascii="Verdana" w:eastAsia="Calibri" w:hAnsi="Verdana" w:cs="Arial"/>
                <w:lang w:val="es-ES"/>
              </w:rPr>
            </w:pPr>
            <w:r>
              <w:rPr>
                <w:rFonts w:ascii="Verdana" w:hAnsi="Verdana"/>
                <w:color w:val="3A3A3A"/>
                <w:lang w:val="es-ES"/>
              </w:rPr>
              <w:t>Tan pronto la nueva versión de la guía se encuentre publicada será notificada por los canales oficiales de la ANCP – CCE</w:t>
            </w:r>
          </w:p>
        </w:tc>
      </w:tr>
    </w:tbl>
    <w:p w14:paraId="72D2B74E" w14:textId="77777777" w:rsidR="00B76E5B" w:rsidRPr="00574CE1" w:rsidRDefault="00B76E5B" w:rsidP="00B76E5B">
      <w:pPr>
        <w:tabs>
          <w:tab w:val="left" w:pos="142"/>
          <w:tab w:val="left" w:pos="284"/>
        </w:tabs>
        <w:spacing w:after="0" w:line="276" w:lineRule="auto"/>
        <w:jc w:val="both"/>
        <w:rPr>
          <w:rFonts w:ascii="Verdana" w:eastAsia="Century Gothic" w:hAnsi="Verdana" w:cs="Century Gothic"/>
          <w:b/>
          <w:bCs/>
          <w:lang w:val="es-ES"/>
        </w:rPr>
      </w:pPr>
    </w:p>
    <w:p w14:paraId="18CF22C6" w14:textId="77777777" w:rsidR="00B76E5B" w:rsidRPr="00574CE1" w:rsidRDefault="00B76E5B" w:rsidP="00B76E5B">
      <w:pPr>
        <w:pStyle w:val="Prrafodelista"/>
        <w:numPr>
          <w:ilvl w:val="0"/>
          <w:numId w:val="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74CE1">
        <w:rPr>
          <w:rFonts w:ascii="Verdana" w:eastAsia="Century Gothic" w:hAnsi="Verdana" w:cs="Century Gothic"/>
          <w:b/>
          <w:bCs/>
        </w:rPr>
        <w:t>Razones de la respuesta:</w:t>
      </w:r>
    </w:p>
    <w:p w14:paraId="5D75CE16" w14:textId="77777777" w:rsidR="00B76E5B" w:rsidRPr="00574CE1" w:rsidRDefault="00B76E5B" w:rsidP="00B76E5B">
      <w:pPr>
        <w:spacing w:after="0" w:line="276" w:lineRule="auto"/>
        <w:jc w:val="both"/>
        <w:rPr>
          <w:rFonts w:ascii="Verdana" w:eastAsia="Calibri" w:hAnsi="Verdana" w:cs="Arial"/>
          <w:lang w:val="es-ES"/>
        </w:rPr>
      </w:pPr>
    </w:p>
    <w:p w14:paraId="0B6FF8C3" w14:textId="77777777" w:rsidR="00B76E5B" w:rsidRPr="00574CE1" w:rsidRDefault="00B76E5B" w:rsidP="00B76E5B">
      <w:pPr>
        <w:spacing w:after="0" w:line="276" w:lineRule="auto"/>
        <w:jc w:val="both"/>
        <w:rPr>
          <w:rFonts w:ascii="Verdana" w:eastAsia="Calibri" w:hAnsi="Verdana" w:cs="Arial"/>
          <w:lang w:val="es-ES"/>
        </w:rPr>
      </w:pPr>
      <w:r w:rsidRPr="00574CE1">
        <w:rPr>
          <w:rFonts w:ascii="Verdana" w:eastAsia="Calibri" w:hAnsi="Verdana" w:cs="Arial"/>
          <w:lang w:val="es-ES"/>
        </w:rPr>
        <w:t xml:space="preserve">Lo anterior se sustenta en las siguientes consideraciones: </w:t>
      </w:r>
    </w:p>
    <w:p w14:paraId="61A7115A" w14:textId="77777777" w:rsidR="00B76E5B" w:rsidRPr="00574CE1" w:rsidRDefault="00B76E5B" w:rsidP="00B76E5B">
      <w:pPr>
        <w:pStyle w:val="Prrafodelista"/>
        <w:numPr>
          <w:ilvl w:val="0"/>
          <w:numId w:val="9"/>
        </w:numPr>
        <w:spacing w:before="120" w:after="120" w:line="276" w:lineRule="auto"/>
        <w:jc w:val="both"/>
        <w:rPr>
          <w:rFonts w:ascii="Verdana" w:eastAsia="Calibri" w:hAnsi="Verdana" w:cs="Arial"/>
        </w:rPr>
      </w:pPr>
      <w:r w:rsidRPr="00574CE1">
        <w:rPr>
          <w:rFonts w:ascii="Verdana" w:eastAsia="Calibri" w:hAnsi="Verdana" w:cs="Arial"/>
        </w:rPr>
        <w:t xml:space="preserve">Las entidades públicas sometidas al Estatuto General de Contratación de la Administración Pública, que en virtud de su inclusión en el Anexo 1 de la Circular Externa No. 1 de 2019 expedida por la Agencia Nacional de Contratación Pública – Colombia Compra Eficiente, deban gestionar sus procesos de contratación a través de la plataforma SECOP II, de conformidad con el artículo 3 de la Ley 1150 de 2007, desarrollado por el artículo 2.2.1.1.1.7.1 del Decreto 1082 de 2015, así como según el literal g) del artículo 11 de la Ley 1712 de 2014 y los artículos 2.1.1.2.1.7, 2.1.1.2.1.8, 2.1.1.2.1.9 y 2.1.1.2.1.10 del Decreto 1081 de 2015, deben publicar en dicha plataforma, además del Plan Anual de Adquisiciones, todos los documentos, actos </w:t>
      </w:r>
      <w:r w:rsidRPr="00574CE1">
        <w:rPr>
          <w:rFonts w:ascii="Verdana" w:eastAsia="Calibri" w:hAnsi="Verdana" w:cs="Arial"/>
        </w:rPr>
        <w:lastRenderedPageBreak/>
        <w:t xml:space="preserve">administrativos o actuaciones producidos con ocasión del </w:t>
      </w:r>
      <w:r w:rsidRPr="00574CE1">
        <w:rPr>
          <w:rFonts w:ascii="Verdana" w:eastAsia="Calibri" w:hAnsi="Verdana" w:cs="Arial"/>
          <w:i/>
          <w:iCs/>
        </w:rPr>
        <w:t>Proceso de Contratación</w:t>
      </w:r>
      <w:r w:rsidRPr="00574CE1">
        <w:rPr>
          <w:rFonts w:ascii="Verdana" w:eastAsia="Calibri" w:hAnsi="Verdana" w:cs="Arial"/>
        </w:rPr>
        <w:t>. Dentro de tales documentos encontramos, entre otros, los siguientes:</w:t>
      </w:r>
      <w:r w:rsidRPr="00574CE1">
        <w:rPr>
          <w:rStyle w:val="Textoennegrita"/>
          <w:rFonts w:ascii="Verdana" w:hAnsi="Verdana" w:cs="Arial"/>
        </w:rPr>
        <w:t xml:space="preserve"> i) el estudio de oportunidad y conveniencia; </w:t>
      </w:r>
      <w:proofErr w:type="spellStart"/>
      <w:r w:rsidRPr="00574CE1">
        <w:rPr>
          <w:rStyle w:val="Textoennegrita"/>
          <w:rFonts w:ascii="Verdana" w:hAnsi="Verdana" w:cs="Arial"/>
        </w:rPr>
        <w:t>ii</w:t>
      </w:r>
      <w:proofErr w:type="spellEnd"/>
      <w:r w:rsidRPr="00574CE1">
        <w:rPr>
          <w:rStyle w:val="Textoennegrita"/>
          <w:rFonts w:ascii="Verdana" w:hAnsi="Verdana" w:cs="Arial"/>
        </w:rPr>
        <w:t xml:space="preserve">) </w:t>
      </w:r>
      <w:r w:rsidRPr="00574CE1">
        <w:rPr>
          <w:rFonts w:ascii="Verdana" w:hAnsi="Verdana" w:cs="Arial"/>
        </w:rPr>
        <w:t xml:space="preserve">los estudios y documentos previos –técnicos o no–; </w:t>
      </w:r>
      <w:proofErr w:type="spellStart"/>
      <w:r w:rsidRPr="00574CE1">
        <w:rPr>
          <w:rFonts w:ascii="Verdana" w:hAnsi="Verdana" w:cs="Arial"/>
        </w:rPr>
        <w:t>iii</w:t>
      </w:r>
      <w:proofErr w:type="spellEnd"/>
      <w:r w:rsidRPr="00574CE1">
        <w:rPr>
          <w:rFonts w:ascii="Verdana" w:hAnsi="Verdana" w:cs="Arial"/>
        </w:rPr>
        <w:t xml:space="preserve">) el  aviso de convocatoria; </w:t>
      </w:r>
      <w:proofErr w:type="spellStart"/>
      <w:r w:rsidRPr="00574CE1">
        <w:rPr>
          <w:rFonts w:ascii="Verdana" w:hAnsi="Verdana" w:cs="Arial"/>
        </w:rPr>
        <w:t>iv</w:t>
      </w:r>
      <w:proofErr w:type="spellEnd"/>
      <w:r w:rsidRPr="00574CE1">
        <w:rPr>
          <w:rFonts w:ascii="Verdana" w:hAnsi="Verdana" w:cs="Arial"/>
        </w:rPr>
        <w:t xml:space="preserve">) el proyecto de pliego de condiciones y las observaciones que le formulen; v) el pliego de condiciones o la invitación, así como las observaciones que se les realicen; vi) las actas de la audiencia de asignación de riesgos; </w:t>
      </w:r>
      <w:proofErr w:type="spellStart"/>
      <w:r w:rsidRPr="00574CE1">
        <w:rPr>
          <w:rFonts w:ascii="Verdana" w:hAnsi="Verdana" w:cs="Arial"/>
        </w:rPr>
        <w:t>vii</w:t>
      </w:r>
      <w:proofErr w:type="spellEnd"/>
      <w:r w:rsidRPr="00574CE1">
        <w:rPr>
          <w:rFonts w:ascii="Verdana" w:hAnsi="Verdana" w:cs="Arial"/>
        </w:rPr>
        <w:t xml:space="preserve">) el acta de cierre del plazo para presentar ofertas; </w:t>
      </w:r>
      <w:proofErr w:type="spellStart"/>
      <w:r w:rsidRPr="00574CE1">
        <w:rPr>
          <w:rFonts w:ascii="Verdana" w:hAnsi="Verdana" w:cs="Arial"/>
        </w:rPr>
        <w:t>viii</w:t>
      </w:r>
      <w:proofErr w:type="spellEnd"/>
      <w:r w:rsidRPr="00574CE1">
        <w:rPr>
          <w:rFonts w:ascii="Verdana" w:hAnsi="Verdana" w:cs="Arial"/>
        </w:rPr>
        <w:t xml:space="preserve">) las adendas; </w:t>
      </w:r>
      <w:proofErr w:type="spellStart"/>
      <w:r w:rsidRPr="00574CE1">
        <w:rPr>
          <w:rFonts w:ascii="Verdana" w:hAnsi="Verdana" w:cs="Arial"/>
        </w:rPr>
        <w:t>ix</w:t>
      </w:r>
      <w:proofErr w:type="spellEnd"/>
      <w:r w:rsidRPr="00574CE1">
        <w:rPr>
          <w:rFonts w:ascii="Verdana" w:hAnsi="Verdana" w:cs="Arial"/>
        </w:rPr>
        <w:t xml:space="preserve">) las ofertas del adjudicatario y los proponentes habilitados, así como las aclaraciones que se les realicen; x) el informe de precalificación y las observaciones que se formulen; xi) el informe de evaluación y las observaciones que se formulen; </w:t>
      </w:r>
      <w:proofErr w:type="spellStart"/>
      <w:r w:rsidRPr="00574CE1">
        <w:rPr>
          <w:rFonts w:ascii="Verdana" w:hAnsi="Verdana" w:cs="Arial"/>
        </w:rPr>
        <w:t>xii</w:t>
      </w:r>
      <w:proofErr w:type="spellEnd"/>
      <w:r w:rsidRPr="00574CE1">
        <w:rPr>
          <w:rFonts w:ascii="Verdana" w:hAnsi="Verdana" w:cs="Arial"/>
        </w:rPr>
        <w:t xml:space="preserve">) las respuestas a las observaciones; </w:t>
      </w:r>
      <w:proofErr w:type="spellStart"/>
      <w:r w:rsidRPr="00574CE1">
        <w:rPr>
          <w:rFonts w:ascii="Verdana" w:hAnsi="Verdana" w:cs="Arial"/>
        </w:rPr>
        <w:t>xiii</w:t>
      </w:r>
      <w:proofErr w:type="spellEnd"/>
      <w:r w:rsidRPr="00574CE1">
        <w:rPr>
          <w:rFonts w:ascii="Verdana" w:hAnsi="Verdana" w:cs="Arial"/>
        </w:rPr>
        <w:t xml:space="preserve">) el contrato y los otrosíes o modificaciones; </w:t>
      </w:r>
      <w:proofErr w:type="spellStart"/>
      <w:r w:rsidRPr="00574CE1">
        <w:rPr>
          <w:rFonts w:ascii="Verdana" w:hAnsi="Verdana" w:cs="Arial"/>
        </w:rPr>
        <w:t>xiv</w:t>
      </w:r>
      <w:proofErr w:type="spellEnd"/>
      <w:r w:rsidRPr="00574CE1">
        <w:rPr>
          <w:rFonts w:ascii="Verdana" w:hAnsi="Verdana" w:cs="Arial"/>
        </w:rPr>
        <w:t xml:space="preserve">) el acta de inicio; </w:t>
      </w:r>
      <w:proofErr w:type="spellStart"/>
      <w:r w:rsidRPr="00574CE1">
        <w:rPr>
          <w:rFonts w:ascii="Verdana" w:hAnsi="Verdana" w:cs="Arial"/>
        </w:rPr>
        <w:t>xv</w:t>
      </w:r>
      <w:proofErr w:type="spellEnd"/>
      <w:r w:rsidRPr="00574CE1">
        <w:rPr>
          <w:rFonts w:ascii="Verdana" w:hAnsi="Verdana" w:cs="Arial"/>
        </w:rPr>
        <w:t xml:space="preserve">) las garantías; </w:t>
      </w:r>
      <w:proofErr w:type="spellStart"/>
      <w:r w:rsidRPr="00574CE1">
        <w:rPr>
          <w:rFonts w:ascii="Verdana" w:hAnsi="Verdana" w:cs="Arial"/>
        </w:rPr>
        <w:t>xvi</w:t>
      </w:r>
      <w:proofErr w:type="spellEnd"/>
      <w:r w:rsidRPr="00574CE1">
        <w:rPr>
          <w:rFonts w:ascii="Verdana" w:hAnsi="Verdana" w:cs="Arial"/>
        </w:rPr>
        <w:t xml:space="preserve">) el acta de liquidación; </w:t>
      </w:r>
      <w:proofErr w:type="spellStart"/>
      <w:r w:rsidRPr="00574CE1">
        <w:rPr>
          <w:rFonts w:ascii="Verdana" w:hAnsi="Verdana" w:cs="Arial"/>
        </w:rPr>
        <w:t>xvii</w:t>
      </w:r>
      <w:proofErr w:type="spellEnd"/>
      <w:r w:rsidRPr="00574CE1">
        <w:rPr>
          <w:rFonts w:ascii="Verdana" w:hAnsi="Verdana" w:cs="Arial"/>
        </w:rPr>
        <w:t xml:space="preserve">) los actos administrativos expedidos con ocasión del procedimiento de selección o la ejecución del contrato, como las resoluciones de apertura, de adjudicación, las que se impongan multas, la cláusula penal o declaren la caducidad del contrato; </w:t>
      </w:r>
      <w:proofErr w:type="spellStart"/>
      <w:r w:rsidRPr="00574CE1">
        <w:rPr>
          <w:rFonts w:ascii="Verdana" w:hAnsi="Verdana" w:cs="Arial"/>
        </w:rPr>
        <w:t>xviii</w:t>
      </w:r>
      <w:proofErr w:type="spellEnd"/>
      <w:r w:rsidRPr="00574CE1">
        <w:rPr>
          <w:rFonts w:ascii="Verdana" w:hAnsi="Verdana" w:cs="Arial"/>
        </w:rPr>
        <w:t xml:space="preserve">) los documentos de los procesos por incumplimiento contractual que se lleven a cabo conforme al artículo 86 de la Ley 1474 de 2011, como la citación, las pruebas que se practiquen, la resolución que resuelve la actuación y demás documentos que se produzcan; </w:t>
      </w:r>
      <w:proofErr w:type="spellStart"/>
      <w:r w:rsidRPr="00574CE1">
        <w:rPr>
          <w:rFonts w:ascii="Verdana" w:hAnsi="Verdana" w:cs="Arial"/>
        </w:rPr>
        <w:t>ix</w:t>
      </w:r>
      <w:proofErr w:type="spellEnd"/>
      <w:r w:rsidRPr="00574CE1">
        <w:rPr>
          <w:rFonts w:ascii="Verdana" w:hAnsi="Verdana" w:cs="Arial"/>
        </w:rPr>
        <w:t xml:space="preserve">) las reclamaciones que presenten las partes y las respuestas que se expidan a las mismas; </w:t>
      </w:r>
      <w:proofErr w:type="spellStart"/>
      <w:r w:rsidRPr="00574CE1">
        <w:rPr>
          <w:rFonts w:ascii="Verdana" w:hAnsi="Verdana" w:cs="Arial"/>
        </w:rPr>
        <w:t>xx</w:t>
      </w:r>
      <w:proofErr w:type="spellEnd"/>
      <w:r w:rsidRPr="00574CE1">
        <w:rPr>
          <w:rFonts w:ascii="Verdana" w:hAnsi="Verdana" w:cs="Arial"/>
        </w:rPr>
        <w:t xml:space="preserve">) las actas de entrega o recibo, </w:t>
      </w:r>
      <w:proofErr w:type="spellStart"/>
      <w:r w:rsidRPr="00574CE1">
        <w:rPr>
          <w:rFonts w:ascii="Verdana" w:hAnsi="Verdana" w:cs="Arial"/>
        </w:rPr>
        <w:t>xxi</w:t>
      </w:r>
      <w:proofErr w:type="spellEnd"/>
      <w:r w:rsidRPr="00574CE1">
        <w:rPr>
          <w:rFonts w:ascii="Verdana" w:hAnsi="Verdana" w:cs="Arial"/>
        </w:rPr>
        <w:t xml:space="preserve">) los informes de supervisión y/o interventoría; </w:t>
      </w:r>
      <w:proofErr w:type="spellStart"/>
      <w:r w:rsidRPr="00574CE1">
        <w:rPr>
          <w:rFonts w:ascii="Verdana" w:hAnsi="Verdana" w:cs="Arial"/>
        </w:rPr>
        <w:t>xxii</w:t>
      </w:r>
      <w:proofErr w:type="spellEnd"/>
      <w:r w:rsidRPr="00574CE1">
        <w:rPr>
          <w:rFonts w:ascii="Verdana" w:hAnsi="Verdana" w:cs="Arial"/>
        </w:rPr>
        <w:t xml:space="preserve">) en cuanto a la ejecución, de conformidad con el artículo 2.1.1.2.1.8 de Decreto 1081 de 2015, deberán publicarse las aprobaciones, autorizaciones, requerimientos o informes del supervisor o del interventor, que prueben la ejecución del contrato; </w:t>
      </w:r>
      <w:proofErr w:type="spellStart"/>
      <w:r w:rsidRPr="00574CE1">
        <w:rPr>
          <w:rFonts w:ascii="Verdana" w:hAnsi="Verdana" w:cs="Arial"/>
        </w:rPr>
        <w:t>xxiii</w:t>
      </w:r>
      <w:proofErr w:type="spellEnd"/>
      <w:r w:rsidRPr="00574CE1">
        <w:rPr>
          <w:rFonts w:ascii="Verdana" w:hAnsi="Verdana" w:cs="Arial"/>
        </w:rPr>
        <w:t xml:space="preserve">) la liquidación unilateral y </w:t>
      </w:r>
      <w:proofErr w:type="spellStart"/>
      <w:r w:rsidRPr="00574CE1">
        <w:rPr>
          <w:rFonts w:ascii="Verdana" w:hAnsi="Verdana" w:cs="Arial"/>
        </w:rPr>
        <w:t>xxiv</w:t>
      </w:r>
      <w:proofErr w:type="spellEnd"/>
      <w:r w:rsidRPr="00574CE1">
        <w:rPr>
          <w:rFonts w:ascii="Verdana" w:hAnsi="Verdana" w:cs="Arial"/>
        </w:rPr>
        <w:t xml:space="preserve">) en general cualquier otro documento producido o expedido con ocasión del </w:t>
      </w:r>
      <w:r w:rsidRPr="00574CE1">
        <w:rPr>
          <w:rFonts w:ascii="Verdana" w:hAnsi="Verdana" w:cs="Arial"/>
          <w:i/>
          <w:iCs/>
        </w:rPr>
        <w:t>Proceso de Contratación</w:t>
      </w:r>
      <w:r w:rsidRPr="00574CE1">
        <w:rPr>
          <w:rFonts w:ascii="Verdana" w:hAnsi="Verdana" w:cs="Arial"/>
        </w:rPr>
        <w:t>, sin importar quién sea su autor –la Administración o el contratista–, con excepción de los que pertenecen a</w:t>
      </w:r>
      <w:r w:rsidRPr="00574CE1">
        <w:rPr>
          <w:rFonts w:ascii="Verdana" w:eastAsia="Arial" w:hAnsi="Verdana" w:cs="Arial"/>
        </w:rPr>
        <w:t xml:space="preserve">l marco de operaciones de bolsa de productos, expresamente excluidos de publicación por el artículo 2.2.1.1.1.7.1. del Decreto 1082 de 2015. </w:t>
      </w:r>
    </w:p>
    <w:p w14:paraId="61519298" w14:textId="77777777" w:rsidR="00B76E5B" w:rsidRPr="00574CE1" w:rsidRDefault="00B76E5B" w:rsidP="00B76E5B">
      <w:pPr>
        <w:spacing w:before="120" w:after="120" w:line="276" w:lineRule="auto"/>
        <w:ind w:firstLine="708"/>
        <w:jc w:val="both"/>
        <w:rPr>
          <w:rFonts w:ascii="Verdana" w:eastAsia="Calibri" w:hAnsi="Verdana" w:cs="Arial"/>
          <w:lang w:val="es-ES"/>
        </w:rPr>
      </w:pPr>
      <w:r w:rsidRPr="00574CE1">
        <w:rPr>
          <w:rFonts w:ascii="Verdana" w:eastAsia="Calibri" w:hAnsi="Verdana" w:cs="Arial"/>
          <w:lang w:val="es-ES"/>
        </w:rPr>
        <w:t xml:space="preserve">Conforme a la naturaleza transaccional de SECOP II, estos documentos se publican en tiempo real en la plataforma, en la medida en que de ello depende el avance del </w:t>
      </w:r>
      <w:r w:rsidRPr="00574CE1">
        <w:rPr>
          <w:rFonts w:ascii="Verdana" w:eastAsia="Calibri" w:hAnsi="Verdana" w:cs="Arial"/>
          <w:i/>
          <w:iCs/>
          <w:lang w:val="es-ES"/>
        </w:rPr>
        <w:t>Proceso de Contratación</w:t>
      </w:r>
      <w:r w:rsidRPr="00574CE1">
        <w:rPr>
          <w:rFonts w:ascii="Verdana" w:eastAsia="Calibri" w:hAnsi="Verdana" w:cs="Arial"/>
          <w:lang w:val="es-ES"/>
        </w:rPr>
        <w:t xml:space="preserve">, por lo que en estos casos no aplica el término de tres (3) días previsto en el artículo 2.2.1.1.1.7.1 del Decreto 1082 de 2015, con excepción de las actuaciones que por su naturaleza deben ser producidas en medio físico y luego cargadas a la plataforma. </w:t>
      </w:r>
    </w:p>
    <w:p w14:paraId="1171B673" w14:textId="77777777" w:rsidR="00B76E5B" w:rsidRPr="00574CE1" w:rsidRDefault="00B76E5B" w:rsidP="00B76E5B">
      <w:pPr>
        <w:pStyle w:val="Prrafodelista"/>
        <w:spacing w:line="276" w:lineRule="auto"/>
        <w:jc w:val="both"/>
        <w:rPr>
          <w:rFonts w:ascii="Verdana" w:eastAsia="Calibri" w:hAnsi="Verdana" w:cs="Arial"/>
        </w:rPr>
      </w:pPr>
      <w:r w:rsidRPr="00574CE1">
        <w:rPr>
          <w:rFonts w:ascii="Verdana" w:eastAsia="Calibri" w:hAnsi="Verdana" w:cs="Arial"/>
        </w:rPr>
        <w:lastRenderedPageBreak/>
        <w:t>Las entidades estatales regidas por el Estatuto General de Contratación de la Administración Pública, a las que no corresponda gestionar sus procesos a través de SECOP II, deben publicar en SECOP I los anteriores documentos, y disponen de los tres (3) días hábiles siguientes a la expedición para hacerlo, conforme lo dispone el artículo 2.2.1.1.1.7.1 del Decreto 1082 de 2015</w:t>
      </w:r>
      <w:r w:rsidRPr="00574CE1">
        <w:rPr>
          <w:rFonts w:ascii="Verdana" w:eastAsia="Calibri" w:hAnsi="Verdana" w:cs="Arial"/>
          <w:i/>
          <w:iCs/>
        </w:rPr>
        <w:t xml:space="preserve">. </w:t>
      </w:r>
      <w:r w:rsidRPr="00574CE1">
        <w:rPr>
          <w:rFonts w:ascii="Verdana" w:eastAsia="Calibri" w:hAnsi="Verdana" w:cs="Arial"/>
        </w:rPr>
        <w:t>En los procesos adelantados SECOP I, las ofertas diferentes de la del adjudicatario están exceptuadas del deber de publicidad.</w:t>
      </w:r>
    </w:p>
    <w:p w14:paraId="52711C76" w14:textId="77777777" w:rsidR="00B76E5B" w:rsidRPr="00574CE1" w:rsidRDefault="00B76E5B" w:rsidP="00B76E5B">
      <w:pPr>
        <w:pStyle w:val="Prrafodelista"/>
        <w:widowControl w:val="0"/>
        <w:numPr>
          <w:ilvl w:val="0"/>
          <w:numId w:val="10"/>
        </w:numPr>
        <w:tabs>
          <w:tab w:val="left" w:pos="728"/>
        </w:tabs>
        <w:autoSpaceDE w:val="0"/>
        <w:autoSpaceDN w:val="0"/>
        <w:spacing w:line="276" w:lineRule="auto"/>
        <w:jc w:val="both"/>
        <w:rPr>
          <w:rFonts w:ascii="Verdana" w:eastAsia="Arial" w:hAnsi="Verdana" w:cs="Arial"/>
          <w:b/>
        </w:rPr>
      </w:pPr>
      <w:r w:rsidRPr="00574CE1">
        <w:rPr>
          <w:rFonts w:ascii="Verdana" w:eastAsia="Arial" w:hAnsi="Verdana" w:cs="Arial"/>
        </w:rPr>
        <w:t xml:space="preserve">Para la Corte Constitucional el principio de publicidad es la garantía de las personas de conocer las actuaciones judiciales y administrativas y con base en ese conocimiento tener la posibilidad de exigir que se realicen conforme a la ley: </w:t>
      </w:r>
    </w:p>
    <w:p w14:paraId="585DCE08" w14:textId="77777777" w:rsidR="00B76E5B" w:rsidRPr="00574CE1" w:rsidRDefault="00B76E5B" w:rsidP="00B76E5B">
      <w:pPr>
        <w:widowControl w:val="0"/>
        <w:tabs>
          <w:tab w:val="left" w:pos="728"/>
        </w:tabs>
        <w:autoSpaceDE w:val="0"/>
        <w:autoSpaceDN w:val="0"/>
        <w:spacing w:line="276" w:lineRule="auto"/>
        <w:ind w:left="363"/>
        <w:jc w:val="both"/>
        <w:rPr>
          <w:rFonts w:ascii="Verdana" w:eastAsia="Arial" w:hAnsi="Verdana" w:cs="Arial"/>
          <w:lang w:val="es-ES"/>
        </w:rPr>
      </w:pPr>
    </w:p>
    <w:p w14:paraId="21B5E9B7" w14:textId="77777777" w:rsidR="00B76E5B" w:rsidRPr="00574CE1" w:rsidRDefault="00B76E5B" w:rsidP="00B76E5B">
      <w:pPr>
        <w:widowControl w:val="0"/>
        <w:tabs>
          <w:tab w:val="left" w:pos="728"/>
        </w:tabs>
        <w:autoSpaceDE w:val="0"/>
        <w:autoSpaceDN w:val="0"/>
        <w:ind w:left="363" w:right="709"/>
        <w:jc w:val="both"/>
        <w:rPr>
          <w:rFonts w:ascii="Verdana" w:eastAsia="Arial" w:hAnsi="Verdana" w:cs="Arial"/>
          <w:lang w:val="es-ES"/>
        </w:rPr>
      </w:pPr>
      <w:r w:rsidRPr="00574CE1">
        <w:rPr>
          <w:rFonts w:ascii="Verdana" w:eastAsia="Arial" w:hAnsi="Verdana" w:cs="Arial"/>
          <w:lang w:val="es-ES"/>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w:t>
      </w:r>
    </w:p>
    <w:p w14:paraId="5AD3DF08" w14:textId="77777777" w:rsidR="00B76E5B" w:rsidRPr="00574CE1" w:rsidRDefault="00B76E5B" w:rsidP="00B76E5B">
      <w:pPr>
        <w:widowControl w:val="0"/>
        <w:tabs>
          <w:tab w:val="left" w:pos="728"/>
        </w:tabs>
        <w:autoSpaceDE w:val="0"/>
        <w:autoSpaceDN w:val="0"/>
        <w:ind w:left="363" w:right="709"/>
        <w:jc w:val="both"/>
        <w:rPr>
          <w:rFonts w:ascii="Verdana" w:eastAsia="Arial" w:hAnsi="Verdana" w:cs="Arial"/>
          <w:lang w:val="es-ES"/>
        </w:rPr>
      </w:pPr>
      <w:r w:rsidRPr="00574CE1">
        <w:rPr>
          <w:rFonts w:ascii="Verdana" w:eastAsia="Arial" w:hAnsi="Verdana" w:cs="Arial"/>
          <w:lang w:val="es-ES"/>
        </w:rPr>
        <w:t xml:space="preserve">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w:t>
      </w:r>
      <w:proofErr w:type="gramStart"/>
      <w:r w:rsidRPr="00574CE1">
        <w:rPr>
          <w:rFonts w:ascii="Verdana" w:eastAsia="Arial" w:hAnsi="Verdana" w:cs="Arial"/>
          <w:lang w:val="es-ES"/>
        </w:rPr>
        <w:t>autoridades públicas</w:t>
      </w:r>
      <w:proofErr w:type="gramEnd"/>
      <w:r w:rsidRPr="00574CE1">
        <w:rPr>
          <w:rFonts w:ascii="Verdana" w:eastAsia="Arial" w:hAnsi="Verdana" w:cs="Arial"/>
          <w:lang w:val="es-ES"/>
        </w:rPr>
        <w:t xml:space="preserve"> y, a través de ese conocimiento, a exigir que ellas se surtan conforme a la ley</w:t>
      </w:r>
      <w:r w:rsidRPr="00574CE1">
        <w:rPr>
          <w:rFonts w:ascii="Verdana" w:eastAsia="Arial" w:hAnsi="Verdana" w:cs="Arial"/>
          <w:vertAlign w:val="superscript"/>
          <w:lang w:val="es-ES"/>
        </w:rPr>
        <w:footnoteReference w:id="2"/>
      </w:r>
      <w:r w:rsidRPr="00574CE1">
        <w:rPr>
          <w:rFonts w:ascii="Verdana" w:eastAsia="Arial" w:hAnsi="Verdana" w:cs="Arial"/>
          <w:lang w:val="es-ES"/>
        </w:rPr>
        <w:t>.</w:t>
      </w:r>
    </w:p>
    <w:p w14:paraId="0D200FAC" w14:textId="77777777" w:rsidR="00B76E5B" w:rsidRPr="00574CE1" w:rsidRDefault="00B76E5B" w:rsidP="00B76E5B">
      <w:pPr>
        <w:widowControl w:val="0"/>
        <w:tabs>
          <w:tab w:val="left" w:pos="728"/>
        </w:tabs>
        <w:autoSpaceDE w:val="0"/>
        <w:autoSpaceDN w:val="0"/>
        <w:spacing w:after="120" w:line="276" w:lineRule="auto"/>
        <w:jc w:val="both"/>
        <w:rPr>
          <w:rFonts w:ascii="Verdana" w:eastAsia="Arial" w:hAnsi="Verdana" w:cs="Arial"/>
          <w:lang w:val="es-ES"/>
        </w:rPr>
      </w:pPr>
      <w:r w:rsidRPr="00574CE1">
        <w:rPr>
          <w:rFonts w:ascii="Verdana" w:eastAsia="Arial" w:hAnsi="Verdana" w:cs="Arial"/>
          <w:lang w:val="es-ES"/>
        </w:rPr>
        <w:tab/>
        <w:t>El principio de publicidad impone a las autoridades administrativas el deber de dar a conocer sus actos, contratos y decisiones, para que se divulguen y eventualmente se controlen las actuaciones. El literal c) del artículo 3 de la Ley 1150 de 2007 establece que el Sistema Electrónico para la Contratación Pública –SECOP– «contará con la información oficial de la contratación realizada con dineros públicos, para lo cual establecerá los patrones a que haya lugar y se encargará de su difusión a través de canales electrónicos»</w:t>
      </w:r>
      <w:r w:rsidRPr="00574CE1">
        <w:rPr>
          <w:rFonts w:ascii="Verdana" w:eastAsia="Arial" w:hAnsi="Verdana" w:cs="Arial"/>
          <w:vertAlign w:val="superscript"/>
          <w:lang w:val="es-ES"/>
        </w:rPr>
        <w:footnoteReference w:id="3"/>
      </w:r>
      <w:r w:rsidRPr="00574CE1">
        <w:rPr>
          <w:rFonts w:ascii="Verdana" w:eastAsia="Arial" w:hAnsi="Verdana" w:cs="Arial"/>
          <w:lang w:val="es-ES"/>
        </w:rPr>
        <w:t xml:space="preserve">. </w:t>
      </w:r>
    </w:p>
    <w:p w14:paraId="22060431" w14:textId="77777777" w:rsidR="00B76E5B" w:rsidRPr="00574CE1" w:rsidRDefault="00B76E5B" w:rsidP="00B76E5B">
      <w:pPr>
        <w:pStyle w:val="Prrafodelista"/>
        <w:spacing w:line="276" w:lineRule="auto"/>
        <w:jc w:val="both"/>
        <w:rPr>
          <w:rFonts w:ascii="Verdana" w:eastAsia="Arial" w:hAnsi="Verdana" w:cs="Arial"/>
        </w:rPr>
      </w:pPr>
      <w:r w:rsidRPr="00574CE1">
        <w:rPr>
          <w:rFonts w:ascii="Verdana" w:eastAsia="Arial" w:hAnsi="Verdana" w:cs="Arial"/>
        </w:rPr>
        <w:lastRenderedPageBreak/>
        <w:tab/>
        <w:t>De otra parte, la Ley 1712 de 2014, por medio de la cual se regula la transparencia el derecho de acceso a la información pública nacional y se dictan otras disposiciones,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sidRPr="00574CE1">
        <w:rPr>
          <w:rFonts w:ascii="Verdana" w:eastAsia="Arial" w:hAnsi="Verdana" w:cs="Arial"/>
          <w:vertAlign w:val="superscript"/>
        </w:rPr>
        <w:footnoteReference w:id="4"/>
      </w:r>
      <w:r w:rsidRPr="00574CE1">
        <w:rPr>
          <w:rFonts w:ascii="Verdana" w:eastAsia="Arial" w:hAnsi="Verdana" w:cs="Arial"/>
        </w:rPr>
        <w:t>. El principio de transparencia en la información alude al deber de los sujetos de proporcionar y facilitar el acceso a la misma en los términos más amplios posibles, y a través de los medios y procedimientos que establezca la ley</w:t>
      </w:r>
    </w:p>
    <w:p w14:paraId="5BDB82F2" w14:textId="77777777" w:rsidR="00B76E5B" w:rsidRPr="00574CE1" w:rsidRDefault="00B76E5B" w:rsidP="00B76E5B">
      <w:pPr>
        <w:pStyle w:val="Prrafodelista"/>
        <w:spacing w:line="276" w:lineRule="auto"/>
        <w:jc w:val="both"/>
        <w:rPr>
          <w:rFonts w:ascii="Verdana" w:eastAsia="Calibri" w:hAnsi="Verdana" w:cs="Arial"/>
        </w:rPr>
      </w:pPr>
    </w:p>
    <w:p w14:paraId="0F3B7222" w14:textId="77777777" w:rsidR="00B76E5B" w:rsidRPr="00574CE1" w:rsidRDefault="00B76E5B" w:rsidP="00B76E5B">
      <w:pPr>
        <w:pStyle w:val="Prrafodelista"/>
        <w:numPr>
          <w:ilvl w:val="0"/>
          <w:numId w:val="7"/>
        </w:numPr>
        <w:jc w:val="both"/>
        <w:rPr>
          <w:rFonts w:ascii="Verdana" w:hAnsi="Verdana" w:cs="Arial"/>
        </w:rPr>
      </w:pPr>
      <w:r w:rsidRPr="00574CE1">
        <w:rPr>
          <w:rFonts w:ascii="Verdana" w:hAnsi="Verdana" w:cs="Arial"/>
        </w:rPr>
        <w:t xml:space="preserve">La Ley 1712 de 2014 –Ley estatutaria que regula la transparencia y el derecho de acceso a la información y a los documentos públicos–,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 </w:t>
      </w:r>
      <w:r w:rsidRPr="00574CE1">
        <w:rPr>
          <w:rStyle w:val="Refdenotaalpie"/>
          <w:rFonts w:ascii="Verdana" w:hAnsi="Verdana" w:cs="Arial"/>
        </w:rPr>
        <w:footnoteReference w:id="5"/>
      </w:r>
      <w:r w:rsidRPr="00574CE1">
        <w:rPr>
          <w:rFonts w:ascii="Verdana" w:hAnsi="Verdana" w:cs="Arial"/>
        </w:rPr>
        <w:t xml:space="preserve"> . El principio de transparencia en la información alude al deber de los sujetos de proporcionar y facilitar el acceso a la misma en los términos más amplios posibles, y a través de los medios y procedimientos legales. En el artículo 5 de dicha ley, se incluye dentro de la lista de sujetos obligados a todas las entidades públicas y, además, en el literal c) a las personas naturales y jurídicas, públicas o privadas, que presten </w:t>
      </w:r>
      <w:proofErr w:type="gramStart"/>
      <w:r w:rsidRPr="00574CE1">
        <w:rPr>
          <w:rFonts w:ascii="Verdana" w:hAnsi="Verdana" w:cs="Arial"/>
        </w:rPr>
        <w:t>función pública y servicios públicos</w:t>
      </w:r>
      <w:proofErr w:type="gramEnd"/>
      <w:r w:rsidRPr="00574CE1">
        <w:rPr>
          <w:rFonts w:ascii="Verdana" w:hAnsi="Verdana" w:cs="Arial"/>
        </w:rPr>
        <w:t xml:space="preserve"> respecto de la información directamente relacionada con la prestación del servicio público, adicionalmente, en el literal </w:t>
      </w:r>
      <w:r w:rsidRPr="00574CE1">
        <w:rPr>
          <w:rFonts w:ascii="Verdana" w:hAnsi="Verdana" w:cs="Arial"/>
        </w:rPr>
        <w:lastRenderedPageBreak/>
        <w:t>g) incluyó a las entidades que administren recursos de naturaleza u origen público</w:t>
      </w:r>
      <w:r w:rsidRPr="00574CE1">
        <w:rPr>
          <w:rStyle w:val="Refdenotaalpie"/>
          <w:rFonts w:ascii="Verdana" w:hAnsi="Verdana" w:cs="Arial"/>
        </w:rPr>
        <w:footnoteReference w:id="6"/>
      </w:r>
      <w:r w:rsidRPr="00574CE1">
        <w:rPr>
          <w:rFonts w:ascii="Verdana" w:hAnsi="Verdana" w:cs="Arial"/>
        </w:rPr>
        <w:t xml:space="preserve"> .</w:t>
      </w:r>
    </w:p>
    <w:p w14:paraId="76962B42" w14:textId="77777777" w:rsidR="00B76E5B" w:rsidRPr="00574CE1" w:rsidRDefault="00B76E5B" w:rsidP="00B76E5B">
      <w:pPr>
        <w:jc w:val="both"/>
        <w:rPr>
          <w:rFonts w:ascii="Verdana" w:hAnsi="Verdana" w:cs="Arial"/>
        </w:rPr>
      </w:pPr>
    </w:p>
    <w:p w14:paraId="7A0689EB" w14:textId="77777777" w:rsidR="00B76E5B" w:rsidRPr="00574CE1" w:rsidRDefault="00B76E5B" w:rsidP="00B76E5B">
      <w:pPr>
        <w:pStyle w:val="Prrafodelista"/>
        <w:jc w:val="both"/>
        <w:rPr>
          <w:rFonts w:ascii="Verdana" w:hAnsi="Verdana" w:cs="Arial"/>
        </w:rPr>
      </w:pPr>
      <w:r w:rsidRPr="00574CE1">
        <w:rPr>
          <w:rFonts w:ascii="Verdana" w:hAnsi="Verdana" w:cs="Arial"/>
        </w:rPr>
        <w:t xml:space="preserve">Uno de los deberes definidos en la Ley 1712 de 2014, que deben acatar los sujetos obligados, es publicar la información contractual en el SECOP. En efecto, el literal e) del artículo 9 señala que los sujetos obligados deben publicar la información relativo a su contratación. Así mismo, de 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información esta, que también debe estar en el SECOP, adicionalmente el Decreto 1082 de 2015 reglamentó la materia estableciendo que la información contractual de los sujetos obligados que “contratan con cargo a recursos públicos”, debe hacerse en el Sistema Electrónico para la Contratación Pública  </w:t>
      </w:r>
      <w:r>
        <w:rPr>
          <w:rFonts w:ascii="Verdana" w:hAnsi="Verdana" w:cs="Arial"/>
        </w:rPr>
        <w:t>-</w:t>
      </w:r>
      <w:r w:rsidRPr="00574CE1">
        <w:rPr>
          <w:rFonts w:ascii="Verdana" w:hAnsi="Verdana" w:cs="Arial"/>
        </w:rPr>
        <w:t>SECOP</w:t>
      </w:r>
      <w:r>
        <w:rPr>
          <w:rFonts w:ascii="Verdana" w:hAnsi="Verdana" w:cs="Arial"/>
        </w:rPr>
        <w:t>-</w:t>
      </w:r>
      <w:r w:rsidRPr="00574CE1">
        <w:rPr>
          <w:rFonts w:ascii="Verdana" w:hAnsi="Verdana" w:cs="Arial"/>
        </w:rPr>
        <w:t>.</w:t>
      </w:r>
    </w:p>
    <w:p w14:paraId="67E601D1" w14:textId="77777777" w:rsidR="00B76E5B" w:rsidRPr="00574CE1" w:rsidRDefault="00B76E5B" w:rsidP="00B76E5B">
      <w:pPr>
        <w:spacing w:after="0" w:line="276" w:lineRule="auto"/>
        <w:ind w:left="360"/>
        <w:jc w:val="both"/>
        <w:rPr>
          <w:rFonts w:ascii="Verdana" w:eastAsia="Calibri" w:hAnsi="Verdana" w:cs="Arial"/>
        </w:rPr>
      </w:pPr>
    </w:p>
    <w:p w14:paraId="7DE09C18" w14:textId="77777777" w:rsidR="00B76E5B" w:rsidRPr="00574CE1" w:rsidRDefault="00B76E5B" w:rsidP="00B76E5B">
      <w:pPr>
        <w:pStyle w:val="Prrafodelista"/>
        <w:spacing w:line="276" w:lineRule="auto"/>
        <w:rPr>
          <w:rFonts w:ascii="Verdana" w:eastAsia="Calibri" w:hAnsi="Verdana"/>
        </w:rPr>
      </w:pPr>
    </w:p>
    <w:p w14:paraId="2CD13783" w14:textId="77777777" w:rsidR="00B76E5B" w:rsidRPr="00574CE1" w:rsidRDefault="00B76E5B" w:rsidP="00B76E5B">
      <w:pPr>
        <w:pStyle w:val="Prrafodelista"/>
        <w:numPr>
          <w:ilvl w:val="0"/>
          <w:numId w:val="7"/>
        </w:numPr>
        <w:spacing w:after="0" w:line="276" w:lineRule="auto"/>
        <w:jc w:val="both"/>
        <w:rPr>
          <w:rFonts w:ascii="Verdana" w:eastAsia="Calibri" w:hAnsi="Verdana" w:cs="Arial"/>
        </w:rPr>
      </w:pPr>
      <w:r w:rsidRPr="00574CE1">
        <w:rPr>
          <w:rFonts w:ascii="Verdana" w:eastAsia="Calibri" w:hAnsi="Verdana"/>
        </w:rPr>
        <w:t xml:space="preserve">En este orden de ideas, la Agencia ha expedido tres Documentos Tipo complementarios de infraestructura social. La Resolución 220 del 6 de agosto </w:t>
      </w:r>
      <w:r w:rsidRPr="00574CE1">
        <w:rPr>
          <w:rFonts w:ascii="Verdana" w:eastAsia="Calibri" w:hAnsi="Verdana"/>
        </w:rPr>
        <w:lastRenderedPageBreak/>
        <w:t xml:space="preserve">de 2021, «Por la cual se adoptan los documentos tipo complementarios para los procesos de licitación de obra pública de infraestructura social relacionados con el sector educativo»; la Resolución 392 de 2021 del 18 de noviembre de 2021, «Por la cual se adoptan los documentos tipo complementarios para los procesos de licitación de obra pública de infraestructura social relacionados con el sector salud» y la Resolución 454 de 2021 del 16 de diciembre de 2021, «Por la cual se adoptan los documentos tipo complementarios para los procesos de licitación de obra pública de infraestructura social relacionados con el Sector </w:t>
      </w:r>
      <w:bookmarkStart w:id="1" w:name="_Hlk109652495"/>
      <w:r w:rsidRPr="00574CE1">
        <w:rPr>
          <w:rFonts w:ascii="Verdana" w:eastAsia="Calibri" w:hAnsi="Verdana"/>
        </w:rPr>
        <w:t>cultura, recreación y deporte</w:t>
      </w:r>
      <w:bookmarkEnd w:id="1"/>
      <w:r w:rsidRPr="00574CE1">
        <w:rPr>
          <w:rFonts w:ascii="Verdana" w:eastAsia="Calibri" w:hAnsi="Verdana"/>
        </w:rPr>
        <w:t>».</w:t>
      </w:r>
      <w:r w:rsidRPr="00574CE1">
        <w:rPr>
          <w:rFonts w:ascii="Verdana" w:hAnsi="Verdana"/>
          <w:bCs/>
          <w:lang w:eastAsia="es-ES_tradnl"/>
        </w:rPr>
        <w:t xml:space="preserve"> El ámbito de aplicación de los Documentos Tipo de infraestructura social está determinado por las resoluciones mediante las cuales se implementan los documentos complementarios y que desarrollan las matrices de experiencia y los glosarios que definirán concretamente cada sector y que precisan de forma detallada su ámbito de aplicación. </w:t>
      </w:r>
    </w:p>
    <w:p w14:paraId="714B5A8E" w14:textId="77777777" w:rsidR="00B76E5B" w:rsidRPr="00574CE1" w:rsidRDefault="00B76E5B" w:rsidP="00B76E5B">
      <w:pPr>
        <w:pStyle w:val="Prrafodelista"/>
        <w:spacing w:line="276" w:lineRule="auto"/>
        <w:jc w:val="both"/>
        <w:rPr>
          <w:rFonts w:ascii="Verdana" w:eastAsia="Calibri" w:hAnsi="Verdana" w:cs="Arial"/>
        </w:rPr>
      </w:pPr>
    </w:p>
    <w:p w14:paraId="72DDDBBD" w14:textId="77777777" w:rsidR="00B76E5B" w:rsidRPr="00574CE1" w:rsidRDefault="00B76E5B" w:rsidP="00B76E5B">
      <w:pPr>
        <w:pStyle w:val="Prrafodelista"/>
        <w:numPr>
          <w:ilvl w:val="0"/>
          <w:numId w:val="7"/>
        </w:numPr>
        <w:spacing w:after="0" w:line="276" w:lineRule="auto"/>
        <w:jc w:val="both"/>
        <w:rPr>
          <w:rFonts w:ascii="Verdana" w:eastAsia="Calibri" w:hAnsi="Verdana" w:cs="Arial"/>
        </w:rPr>
      </w:pPr>
      <w:r w:rsidRPr="00574CE1">
        <w:rPr>
          <w:rFonts w:ascii="Verdana" w:hAnsi="Verdana" w:cs="Arial"/>
        </w:rPr>
        <w:t xml:space="preserve">Explicado lo anterior, es necesario establecer que se entiende por </w:t>
      </w:r>
      <w:r w:rsidRPr="00574CE1">
        <w:rPr>
          <w:rFonts w:ascii="Verdana" w:hAnsi="Verdana" w:cs="Arial"/>
          <w:i/>
          <w:iCs/>
        </w:rPr>
        <w:t xml:space="preserve">Plazas de Mercado. </w:t>
      </w:r>
      <w:r w:rsidRPr="00574CE1">
        <w:rPr>
          <w:rFonts w:ascii="Verdana" w:hAnsi="Verdana" w:cs="Arial"/>
        </w:rPr>
        <w:t>Al respecto, si bien no hay un concepto unificado es posible afirmar que las mismas son definidas como aquel espacio en el que tiene lugar el mercado de verduras, frutas, quesos, carnes, panes, etc., ya sea en un sitio abierto o cubierto</w:t>
      </w:r>
      <w:r w:rsidRPr="00574CE1">
        <w:rPr>
          <w:rStyle w:val="Refdenotaalpie"/>
          <w:rFonts w:ascii="Verdana" w:hAnsi="Verdana" w:cs="Arial"/>
        </w:rPr>
        <w:footnoteReference w:id="7"/>
      </w:r>
      <w:r w:rsidRPr="00574CE1">
        <w:rPr>
          <w:rFonts w:ascii="Verdana" w:hAnsi="Verdana" w:cs="Arial"/>
        </w:rPr>
        <w:t>, a través de las cuales el Estado ejerce la función de garantizar el suministro de los productos básicos de consumo doméstico a la comunidad</w:t>
      </w:r>
      <w:r w:rsidRPr="00574CE1">
        <w:rPr>
          <w:rStyle w:val="Refdenotaalpie"/>
          <w:rFonts w:ascii="Verdana" w:hAnsi="Verdana" w:cs="Arial"/>
        </w:rPr>
        <w:footnoteReference w:id="8"/>
      </w:r>
      <w:r w:rsidRPr="00574CE1">
        <w:rPr>
          <w:rFonts w:ascii="Verdana" w:hAnsi="Verdana" w:cs="Arial"/>
        </w:rPr>
        <w:t>. También es posible entenderlas como actividades, de carácter permanente o itinerante, que reúnen a comerciantes en espacios públicos construidos para comercializar bienes y servicios primordialmente de abastecimiento alimentario</w:t>
      </w:r>
      <w:r w:rsidRPr="00574CE1">
        <w:rPr>
          <w:rStyle w:val="Refdenotaalpie"/>
          <w:rFonts w:ascii="Verdana" w:hAnsi="Verdana" w:cs="Arial"/>
        </w:rPr>
        <w:footnoteReference w:id="9"/>
      </w:r>
      <w:r w:rsidRPr="00574CE1">
        <w:rPr>
          <w:rFonts w:ascii="Verdana" w:hAnsi="Verdana" w:cs="Arial"/>
        </w:rPr>
        <w:t xml:space="preserve">. </w:t>
      </w:r>
    </w:p>
    <w:p w14:paraId="4443E010" w14:textId="77777777" w:rsidR="00B76E5B" w:rsidRPr="00574CE1" w:rsidRDefault="00B76E5B" w:rsidP="00B76E5B">
      <w:pPr>
        <w:pStyle w:val="Prrafodelista"/>
        <w:spacing w:line="276" w:lineRule="auto"/>
        <w:rPr>
          <w:rFonts w:ascii="Verdana" w:hAnsi="Verdana" w:cs="Arial"/>
        </w:rPr>
      </w:pPr>
    </w:p>
    <w:p w14:paraId="7AF7B022" w14:textId="77777777" w:rsidR="00B76E5B" w:rsidRPr="00574CE1" w:rsidRDefault="00B76E5B" w:rsidP="00B76E5B">
      <w:pPr>
        <w:pStyle w:val="Prrafodelista"/>
        <w:numPr>
          <w:ilvl w:val="0"/>
          <w:numId w:val="7"/>
        </w:numPr>
        <w:spacing w:after="0" w:line="276" w:lineRule="auto"/>
        <w:jc w:val="both"/>
        <w:rPr>
          <w:rFonts w:ascii="Verdana" w:eastAsia="Calibri" w:hAnsi="Verdana" w:cs="Arial"/>
        </w:rPr>
      </w:pPr>
      <w:r w:rsidRPr="00574CE1">
        <w:rPr>
          <w:rFonts w:ascii="Verdana" w:hAnsi="Verdana" w:cs="Arial"/>
        </w:rPr>
        <w:t xml:space="preserve">Teniendo en cuenta el concepto de </w:t>
      </w:r>
      <w:r w:rsidRPr="00574CE1">
        <w:rPr>
          <w:rFonts w:ascii="Verdana" w:hAnsi="Verdana" w:cs="Arial"/>
          <w:i/>
          <w:iCs/>
          <w:lang w:eastAsia="es-ES_tradnl"/>
        </w:rPr>
        <w:t>Plazas de Mercado</w:t>
      </w:r>
      <w:r w:rsidRPr="00574CE1">
        <w:rPr>
          <w:rFonts w:ascii="Verdana" w:hAnsi="Verdana" w:cs="Arial"/>
        </w:rPr>
        <w:t xml:space="preserve"> antes descrito y el ámbito de aplicación de los Documentos Tipo trasversales de obra pública de infraestructura social y sus Documentos Tipo complementarios relacionados con los sectores de educación, salud, recreación y deporte, </w:t>
      </w:r>
      <w:r w:rsidRPr="00574CE1">
        <w:rPr>
          <w:rFonts w:ascii="Verdana" w:eastAsia="Times New Roman" w:hAnsi="Verdana" w:cs="Arial"/>
          <w:lang w:val="es-ES_tradnl" w:eastAsia="es-ES"/>
        </w:rPr>
        <w:t xml:space="preserve">es posible concluir que las </w:t>
      </w:r>
      <w:r w:rsidRPr="00574CE1">
        <w:rPr>
          <w:rFonts w:ascii="Verdana" w:hAnsi="Verdana" w:cs="Arial"/>
          <w:i/>
          <w:iCs/>
          <w:lang w:eastAsia="es-ES_tradnl"/>
        </w:rPr>
        <w:t>Plazas de Mercado</w:t>
      </w:r>
      <w:r w:rsidRPr="00574CE1">
        <w:rPr>
          <w:rFonts w:ascii="Verdana" w:hAnsi="Verdana" w:cs="Arial"/>
        </w:rPr>
        <w:t xml:space="preserve"> </w:t>
      </w:r>
      <w:r w:rsidRPr="00574CE1">
        <w:rPr>
          <w:rFonts w:ascii="Verdana" w:eastAsia="Times New Roman" w:hAnsi="Verdana" w:cs="Arial"/>
          <w:lang w:val="es-ES_tradnl" w:eastAsia="es-ES"/>
        </w:rPr>
        <w:t>no se encuentran incluidas en ninguno de los tres sectores de infraestructura social que cobija el documento tipo transversal ni los Documentos Tipo complementarios expedidos para cada sector y, por tanto, las obras tendientes a su intervención no se encuentran cobijadas por estos Documentos Tipo. De esta manera en los Procesos de Contratación que tengan por objeto este tipo de intervenciones no resultará aplicable el documento tipo expedido a través de la Resolución 219 de 2021, sin perjuicio de que la Entidad Estatal en el marco de la autonomía que le asiste decida aplicarlo a modo de buena práctica contractual.</w:t>
      </w:r>
    </w:p>
    <w:p w14:paraId="0B2CFEE4" w14:textId="77777777" w:rsidR="00B76E5B" w:rsidRPr="00574CE1" w:rsidRDefault="00B76E5B" w:rsidP="00B76E5B">
      <w:pPr>
        <w:pStyle w:val="Prrafodelista"/>
        <w:spacing w:line="276" w:lineRule="auto"/>
        <w:rPr>
          <w:rFonts w:ascii="Verdana" w:eastAsia="Times New Roman" w:hAnsi="Verdana" w:cs="Arial"/>
          <w:lang w:eastAsia="es-ES"/>
        </w:rPr>
      </w:pPr>
    </w:p>
    <w:p w14:paraId="583B3217" w14:textId="77777777" w:rsidR="00B76E5B" w:rsidRPr="00574CE1" w:rsidRDefault="00B76E5B" w:rsidP="00B76E5B">
      <w:pPr>
        <w:pStyle w:val="Prrafodelista"/>
        <w:numPr>
          <w:ilvl w:val="0"/>
          <w:numId w:val="10"/>
        </w:numPr>
        <w:jc w:val="both"/>
        <w:rPr>
          <w:rFonts w:ascii="Verdana" w:hAnsi="Verdana" w:cs="Arial"/>
        </w:rPr>
      </w:pPr>
      <w:r w:rsidRPr="00574CE1">
        <w:rPr>
          <w:rFonts w:ascii="Verdana" w:hAnsi="Verdana" w:cs="Arial"/>
        </w:rPr>
        <w:t>Las publicaciones que corresponde efectuar a las entidades estatales, como sujetos obligados por la normativa de la transparencia y acceso a la información pública, en particular en lo referente a la información contractual, antes que una derogación o subrogación del contenido del deber de publicidad regulado por el EGCAP, suponen una ampliación de su alcance, que lo hace trascender de la simple publicación de la información producida por la entidad estatal ” asociada a la noción de Documentos del Proceso. Esto en la medida en que, al establecerse la obligación de publicar los “ procedimientos ” y la “ información de la gestión contractual ” en el SECOP, se incorporó una visión omnicomprensiva de la actividad contractual que debe publicarse, comoquiera que la noción de procedimiento debe asimilarse a la de Proceso de Contratación, lo que implica que la publicación que corresponde a las entidades estatales, como sujetos obligados en el marco de la Ley 1712 de 2014, se extienda a todo el desarrollo del procedimiento, desde la etapa de planeación hasta el vencimiento de las garantías, incluyendo cada actuación que se produzca en ese lapso.</w:t>
      </w:r>
    </w:p>
    <w:p w14:paraId="71FD7E36" w14:textId="77777777" w:rsidR="00B76E5B" w:rsidRPr="00574CE1" w:rsidRDefault="00B76E5B" w:rsidP="00B76E5B">
      <w:pPr>
        <w:widowControl w:val="0"/>
        <w:autoSpaceDE w:val="0"/>
        <w:autoSpaceDN w:val="0"/>
        <w:spacing w:after="0" w:line="276" w:lineRule="auto"/>
        <w:jc w:val="both"/>
        <w:rPr>
          <w:rFonts w:ascii="Verdana" w:hAnsi="Verdana" w:cs="Arial"/>
        </w:rPr>
      </w:pPr>
    </w:p>
    <w:p w14:paraId="24DFC000" w14:textId="77777777" w:rsidR="00B76E5B" w:rsidRPr="00574CE1" w:rsidRDefault="00B76E5B" w:rsidP="00B76E5B">
      <w:pPr>
        <w:pStyle w:val="Prrafodelista"/>
        <w:numPr>
          <w:ilvl w:val="0"/>
          <w:numId w:val="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74CE1">
        <w:rPr>
          <w:rFonts w:ascii="Verdana" w:eastAsia="Century Gothic" w:hAnsi="Verdana" w:cs="Century Gothic"/>
          <w:b/>
          <w:bCs/>
        </w:rPr>
        <w:t>Referencias normativas, jurisprudenciales y otras fuentes:</w:t>
      </w:r>
    </w:p>
    <w:p w14:paraId="36D58682" w14:textId="77777777" w:rsidR="00B76E5B" w:rsidRPr="00574CE1" w:rsidRDefault="00B76E5B" w:rsidP="00B76E5B">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B76E5B" w:rsidRPr="00574CE1" w14:paraId="2603EA53" w14:textId="77777777" w:rsidTr="00920D34">
        <w:trPr>
          <w:trHeight w:val="870"/>
        </w:trPr>
        <w:tc>
          <w:tcPr>
            <w:tcW w:w="8647" w:type="dxa"/>
          </w:tcPr>
          <w:p w14:paraId="38960025" w14:textId="77777777" w:rsidR="00B76E5B" w:rsidRPr="00574CE1" w:rsidRDefault="00B76E5B" w:rsidP="00B76E5B">
            <w:pPr>
              <w:pStyle w:val="Prrafodelista"/>
              <w:widowControl w:val="0"/>
              <w:numPr>
                <w:ilvl w:val="0"/>
                <w:numId w:val="8"/>
              </w:numPr>
              <w:autoSpaceDE w:val="0"/>
              <w:autoSpaceDN w:val="0"/>
              <w:spacing w:after="120" w:line="276" w:lineRule="auto"/>
              <w:contextualSpacing w:val="0"/>
              <w:jc w:val="both"/>
              <w:rPr>
                <w:rFonts w:ascii="Verdana" w:hAnsi="Verdana" w:cs="Arial"/>
              </w:rPr>
            </w:pPr>
            <w:r w:rsidRPr="00574CE1">
              <w:rPr>
                <w:rFonts w:ascii="Verdana" w:hAnsi="Verdana" w:cs="Arial"/>
              </w:rPr>
              <w:t>Ley 80 de 1993: Articulo 24 Numeral 4</w:t>
            </w:r>
          </w:p>
          <w:p w14:paraId="6D9059E4" w14:textId="77777777" w:rsidR="00B76E5B" w:rsidRPr="00574CE1" w:rsidRDefault="00B76E5B" w:rsidP="00B76E5B">
            <w:pPr>
              <w:pStyle w:val="Prrafodelista"/>
              <w:widowControl w:val="0"/>
              <w:numPr>
                <w:ilvl w:val="0"/>
                <w:numId w:val="8"/>
              </w:numPr>
              <w:autoSpaceDE w:val="0"/>
              <w:autoSpaceDN w:val="0"/>
              <w:spacing w:after="120" w:line="276" w:lineRule="auto"/>
              <w:contextualSpacing w:val="0"/>
              <w:jc w:val="both"/>
              <w:rPr>
                <w:rFonts w:ascii="Verdana" w:hAnsi="Verdana" w:cs="Arial"/>
              </w:rPr>
            </w:pPr>
            <w:r w:rsidRPr="00574CE1">
              <w:rPr>
                <w:rFonts w:ascii="Verdana" w:hAnsi="Verdana"/>
                <w:shd w:val="clear" w:color="auto" w:fill="FFFFFF"/>
              </w:rPr>
              <w:t>Ley 1150 de 2007: Artículo 3</w:t>
            </w:r>
          </w:p>
          <w:p w14:paraId="55D5607C" w14:textId="77777777" w:rsidR="00B76E5B" w:rsidRPr="00574CE1" w:rsidRDefault="00B76E5B" w:rsidP="00B76E5B">
            <w:pPr>
              <w:pStyle w:val="Prrafodelista"/>
              <w:widowControl w:val="0"/>
              <w:numPr>
                <w:ilvl w:val="0"/>
                <w:numId w:val="8"/>
              </w:numPr>
              <w:autoSpaceDE w:val="0"/>
              <w:autoSpaceDN w:val="0"/>
              <w:spacing w:after="120" w:line="276" w:lineRule="auto"/>
              <w:contextualSpacing w:val="0"/>
              <w:jc w:val="both"/>
              <w:rPr>
                <w:rFonts w:ascii="Verdana" w:hAnsi="Verdana" w:cs="Arial"/>
              </w:rPr>
            </w:pPr>
            <w:r w:rsidRPr="00574CE1">
              <w:rPr>
                <w:rFonts w:ascii="Verdana" w:hAnsi="Verdana" w:cs="Arial"/>
              </w:rPr>
              <w:lastRenderedPageBreak/>
              <w:t>Ley 1712 de 2014: Artículos 2 y 11</w:t>
            </w:r>
          </w:p>
          <w:p w14:paraId="75E35B2C" w14:textId="77777777" w:rsidR="00B76E5B" w:rsidRPr="00574CE1" w:rsidRDefault="00B76E5B" w:rsidP="00B76E5B">
            <w:pPr>
              <w:pStyle w:val="Prrafodelista"/>
              <w:widowControl w:val="0"/>
              <w:numPr>
                <w:ilvl w:val="0"/>
                <w:numId w:val="8"/>
              </w:numPr>
              <w:autoSpaceDE w:val="0"/>
              <w:autoSpaceDN w:val="0"/>
              <w:spacing w:after="120" w:line="276" w:lineRule="auto"/>
              <w:contextualSpacing w:val="0"/>
              <w:jc w:val="both"/>
              <w:rPr>
                <w:rFonts w:ascii="Verdana" w:hAnsi="Verdana" w:cs="Arial"/>
              </w:rPr>
            </w:pPr>
            <w:r w:rsidRPr="00574CE1">
              <w:rPr>
                <w:rFonts w:ascii="Verdana" w:hAnsi="Verdana"/>
                <w:shd w:val="clear" w:color="auto" w:fill="FFFFFF"/>
              </w:rPr>
              <w:t>Decreto 1082 de 2015: Artículos 2.2.1.1.1.3.1, 2.2.1.1.1.4.3 y 2.2.1.1.1.7.1 –</w:t>
            </w:r>
          </w:p>
          <w:p w14:paraId="2E2D96EE" w14:textId="77777777" w:rsidR="00B76E5B" w:rsidRPr="00574CE1" w:rsidRDefault="00B76E5B" w:rsidP="00B76E5B">
            <w:pPr>
              <w:pStyle w:val="Prrafodelista"/>
              <w:widowControl w:val="0"/>
              <w:numPr>
                <w:ilvl w:val="0"/>
                <w:numId w:val="8"/>
              </w:numPr>
              <w:autoSpaceDE w:val="0"/>
              <w:autoSpaceDN w:val="0"/>
              <w:spacing w:after="120" w:line="276" w:lineRule="auto"/>
              <w:contextualSpacing w:val="0"/>
              <w:jc w:val="both"/>
              <w:rPr>
                <w:rFonts w:ascii="Verdana" w:hAnsi="Verdana" w:cs="Arial"/>
              </w:rPr>
            </w:pPr>
            <w:r w:rsidRPr="00574CE1">
              <w:rPr>
                <w:rFonts w:ascii="Verdana" w:hAnsi="Verdana"/>
                <w:shd w:val="clear" w:color="auto" w:fill="FFFFFF"/>
              </w:rPr>
              <w:t xml:space="preserve"> Decreto 1081 de 2015: Artículos 2.1.1.2.1.7, 2.1.1.2.1.8, 2.1.1.2.1.9 y 2.1.1.2.1.10 </w:t>
            </w:r>
          </w:p>
        </w:tc>
      </w:tr>
    </w:tbl>
    <w:p w14:paraId="7F413F06" w14:textId="77777777" w:rsidR="00B76E5B" w:rsidRPr="00574CE1" w:rsidRDefault="00B76E5B" w:rsidP="00B76E5B">
      <w:pPr>
        <w:widowControl w:val="0"/>
        <w:autoSpaceDE w:val="0"/>
        <w:autoSpaceDN w:val="0"/>
        <w:spacing w:after="0" w:line="276" w:lineRule="auto"/>
        <w:jc w:val="both"/>
        <w:rPr>
          <w:rFonts w:ascii="Verdana" w:hAnsi="Verdana" w:cs="Arial"/>
        </w:rPr>
      </w:pPr>
    </w:p>
    <w:p w14:paraId="051BD753" w14:textId="77777777" w:rsidR="00B76E5B" w:rsidRPr="00574CE1" w:rsidRDefault="00B76E5B" w:rsidP="00B76E5B">
      <w:pPr>
        <w:pStyle w:val="Prrafodelista"/>
        <w:numPr>
          <w:ilvl w:val="0"/>
          <w:numId w:val="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74CE1">
        <w:rPr>
          <w:rFonts w:ascii="Verdana" w:eastAsia="Century Gothic" w:hAnsi="Verdana" w:cs="Century Gothic"/>
          <w:b/>
          <w:bCs/>
        </w:rPr>
        <w:t>Doctrina de la Agencia Nacional de Contratación Pública:</w:t>
      </w:r>
    </w:p>
    <w:p w14:paraId="18202E4C" w14:textId="77777777" w:rsidR="00B76E5B" w:rsidRPr="00574CE1" w:rsidRDefault="00B76E5B" w:rsidP="00B76E5B">
      <w:pPr>
        <w:widowControl w:val="0"/>
        <w:autoSpaceDE w:val="0"/>
        <w:autoSpaceDN w:val="0"/>
        <w:spacing w:after="0" w:line="276" w:lineRule="auto"/>
        <w:jc w:val="both"/>
        <w:rPr>
          <w:rFonts w:ascii="Verdana" w:hAnsi="Verdana" w:cs="Arial"/>
        </w:rPr>
      </w:pPr>
    </w:p>
    <w:p w14:paraId="259CD45B" w14:textId="77777777" w:rsidR="00B76E5B" w:rsidRPr="00574CE1" w:rsidRDefault="00B76E5B" w:rsidP="00B76E5B">
      <w:pPr>
        <w:ind w:firstLine="708"/>
        <w:jc w:val="both"/>
        <w:rPr>
          <w:rStyle w:val="normaltextrun"/>
          <w:rFonts w:ascii="Verdana" w:hAnsi="Verdana" w:cs="Arial"/>
        </w:rPr>
      </w:pPr>
      <w:r w:rsidRPr="00574CE1">
        <w:rPr>
          <w:rFonts w:ascii="Verdana" w:hAnsi="Verdana" w:cs="Arial"/>
        </w:rPr>
        <w:t>sobre el ámbito de la publicidad en el SECOP que ha sido estudiado en por esta Subdirección en los conceptos C-433 del 24 de julio de 2020, C-468 del 24 de julio de 2020, C-474 del 24 de julio de 2020, C-488 del 28 de julio de 2020, C-544 del 21 de agosto de 2020, C-575 del 27 de agosto de 2020, C-643 del 26 de octubre de 2020, C-661 del 17 de noviembre de 2020, C-068 del 22 abril de 2021, C-094 del 13 de abril de 2021, C-185 del 29 abril de 2021, C-348 del 13 junio de 2022, C-332 del 23 de mayo de 2022, C-379 del 22 de junio de 2022, C-480 del 18 julio de 2022, C-568 del 12 septiembre de 2022, C-797 del 23 de noviembre de 2022, C-817 del 05 de diciembre de 2022, C-014 del 23 de febrero de 2023, C- 024 del 06 de marzo de 2023, C-199 del 13 de junio de 2023, C-196 del 15 de junio de 2023, C-199 del 13 de junio de 2023 y C-314 del 1º de agosto de 2023, C–381 de 2023 . La tesis expuesta en estos conceptos se reitera en el presente escrito.</w:t>
      </w:r>
      <w:r w:rsidRPr="00574CE1">
        <w:rPr>
          <w:rStyle w:val="normaltextrun"/>
          <w:rFonts w:ascii="Verdana" w:hAnsi="Verdana" w:cs="Arial"/>
          <w:shd w:val="clear" w:color="auto" w:fill="FFFFFF"/>
          <w:lang w:val="es-ES"/>
        </w:rPr>
        <w:t xml:space="preserve"> Es</w:t>
      </w:r>
      <w:r w:rsidRPr="00574CE1">
        <w:rPr>
          <w:rFonts w:ascii="Verdana" w:hAnsi="Verdana"/>
        </w:rPr>
        <w:t>tos y otros conceptos se encuentran disponibles para consulta en el Sistema de relatoría de la Agencia, al cual se puede acceder a través del siguiente enlace:</w:t>
      </w:r>
      <w:r w:rsidRPr="00574CE1">
        <w:rPr>
          <w:rStyle w:val="normaltextrun"/>
          <w:rFonts w:ascii="Verdana" w:hAnsi="Verdana" w:cs="Arial"/>
          <w:shd w:val="clear" w:color="auto" w:fill="FFFFFF"/>
          <w:lang w:val="es-ES"/>
        </w:rPr>
        <w:t xml:space="preserve"> </w:t>
      </w:r>
      <w:hyperlink r:id="rId13" w:history="1">
        <w:r w:rsidRPr="00574CE1">
          <w:rPr>
            <w:rStyle w:val="Hipervnculo"/>
            <w:rFonts w:ascii="Verdana" w:hAnsi="Verdana" w:cs="Arial"/>
            <w:color w:val="auto"/>
            <w:shd w:val="clear" w:color="auto" w:fill="FFFFFF"/>
            <w:lang w:val="es-ES"/>
          </w:rPr>
          <w:t>https://relatoria.colombiacompra.gov.co/busqueda/conceptos</w:t>
        </w:r>
      </w:hyperlink>
      <w:r w:rsidRPr="00574CE1">
        <w:rPr>
          <w:rStyle w:val="normaltextrun"/>
          <w:rFonts w:ascii="Verdana" w:hAnsi="Verdana" w:cs="Arial"/>
          <w:shd w:val="clear" w:color="auto" w:fill="FFFFFF"/>
          <w:lang w:val="es-ES"/>
        </w:rPr>
        <w:t xml:space="preserve">. </w:t>
      </w:r>
    </w:p>
    <w:p w14:paraId="0C8B6A1F" w14:textId="77777777" w:rsidR="00B76E5B" w:rsidRPr="00574CE1" w:rsidRDefault="00B76E5B" w:rsidP="00B76E5B">
      <w:pPr>
        <w:widowControl w:val="0"/>
        <w:autoSpaceDE w:val="0"/>
        <w:autoSpaceDN w:val="0"/>
        <w:spacing w:after="0" w:line="276" w:lineRule="auto"/>
        <w:jc w:val="both"/>
        <w:rPr>
          <w:rStyle w:val="normaltextrun"/>
          <w:rFonts w:ascii="Verdana" w:hAnsi="Verdana" w:cs="Arial"/>
          <w:shd w:val="clear" w:color="auto" w:fill="FFFFFF"/>
          <w:lang w:val="es-ES"/>
        </w:rPr>
      </w:pPr>
    </w:p>
    <w:p w14:paraId="5B72F08A" w14:textId="77777777" w:rsidR="00B76E5B" w:rsidRPr="00574CE1" w:rsidRDefault="00B76E5B" w:rsidP="00B76E5B">
      <w:pPr>
        <w:widowControl w:val="0"/>
        <w:autoSpaceDE w:val="0"/>
        <w:autoSpaceDN w:val="0"/>
        <w:spacing w:after="0" w:line="276" w:lineRule="auto"/>
        <w:jc w:val="both"/>
        <w:rPr>
          <w:rStyle w:val="normaltextrun"/>
          <w:rFonts w:ascii="Verdana" w:hAnsi="Verdana" w:cs="Arial"/>
          <w:shd w:val="clear" w:color="auto" w:fill="FFFFFF"/>
          <w:lang w:val="es-ES"/>
        </w:rPr>
      </w:pPr>
      <w:r w:rsidRPr="00574CE1">
        <w:rPr>
          <w:rStyle w:val="normaltextrun"/>
          <w:rFonts w:ascii="Verdana" w:hAnsi="Verdana" w:cs="Arial"/>
          <w:shd w:val="clear" w:color="auto" w:fill="FFFFFF"/>
          <w:lang w:val="es-ES"/>
        </w:rPr>
        <w:t xml:space="preserve">También le invitamos a consultar las versiones I y II de 2024 del Boletín de Relatoría de la Subdirección de Gestión Contractual, las cuales puede descargar en la página web de la Agencia: </w:t>
      </w:r>
      <w:hyperlink r:id="rId14" w:history="1">
        <w:r w:rsidRPr="00574CE1">
          <w:rPr>
            <w:rStyle w:val="Hipervnculo"/>
            <w:rFonts w:ascii="Verdana" w:hAnsi="Verdana" w:cs="Arial"/>
            <w:color w:val="auto"/>
            <w:shd w:val="clear" w:color="auto" w:fill="FFFFFF"/>
            <w:lang w:val="es-ES"/>
          </w:rPr>
          <w:t>https://www.colombiacompra.gov.co/sala-de-prensa/boletin-digital</w:t>
        </w:r>
      </w:hyperlink>
      <w:r w:rsidRPr="00574CE1">
        <w:rPr>
          <w:rStyle w:val="normaltextrun"/>
          <w:rFonts w:ascii="Verdana" w:hAnsi="Verdana" w:cs="Arial"/>
          <w:shd w:val="clear" w:color="auto" w:fill="FFFFFF"/>
          <w:lang w:val="es-ES"/>
        </w:rPr>
        <w:t xml:space="preserve">      </w:t>
      </w:r>
    </w:p>
    <w:p w14:paraId="6382D0B2" w14:textId="77777777" w:rsidR="00B76E5B" w:rsidRPr="00574CE1" w:rsidRDefault="00B76E5B" w:rsidP="00B76E5B">
      <w:pPr>
        <w:spacing w:after="0" w:line="240" w:lineRule="auto"/>
        <w:jc w:val="both"/>
        <w:rPr>
          <w:rFonts w:ascii="Verdana" w:hAnsi="Verdana"/>
        </w:rPr>
      </w:pPr>
      <w:r w:rsidRPr="00574CE1">
        <w:rPr>
          <w:rFonts w:ascii="Verdana" w:hAnsi="Verdana"/>
        </w:rPr>
        <w:t xml:space="preserve">Por último, lo invitamos a seguirnos en las redes sociales en las cuales se difunde información institucional: </w:t>
      </w:r>
    </w:p>
    <w:p w14:paraId="2C8D3274" w14:textId="77777777" w:rsidR="00B76E5B" w:rsidRPr="00574CE1" w:rsidRDefault="00B76E5B" w:rsidP="00B76E5B">
      <w:pPr>
        <w:spacing w:after="0" w:line="240" w:lineRule="auto"/>
        <w:jc w:val="both"/>
        <w:rPr>
          <w:rFonts w:ascii="Verdana" w:hAnsi="Verdana"/>
        </w:rPr>
      </w:pPr>
    </w:p>
    <w:p w14:paraId="3FD5544C" w14:textId="77777777" w:rsidR="00B76E5B" w:rsidRPr="00574CE1" w:rsidRDefault="00B76E5B" w:rsidP="00B76E5B">
      <w:pPr>
        <w:spacing w:after="0" w:line="240" w:lineRule="auto"/>
        <w:jc w:val="both"/>
        <w:rPr>
          <w:rFonts w:ascii="Verdana" w:hAnsi="Verdana"/>
        </w:rPr>
      </w:pPr>
      <w:r w:rsidRPr="00574CE1">
        <w:rPr>
          <w:rFonts w:ascii="Verdana" w:hAnsi="Verdana"/>
        </w:rPr>
        <w:t xml:space="preserve">Twitter: </w:t>
      </w:r>
      <w:r w:rsidRPr="00574CE1">
        <w:rPr>
          <w:rStyle w:val="Hipervnculo"/>
          <w:rFonts w:ascii="Verdana" w:hAnsi="Verdana"/>
          <w:color w:val="auto"/>
        </w:rPr>
        <w:t>@colombiacompra</w:t>
      </w:r>
      <w:r w:rsidRPr="00574CE1">
        <w:rPr>
          <w:rFonts w:ascii="Verdana" w:hAnsi="Verdana"/>
        </w:rPr>
        <w:t xml:space="preserve"> </w:t>
      </w:r>
    </w:p>
    <w:p w14:paraId="760FBE60" w14:textId="77777777" w:rsidR="00B76E5B" w:rsidRPr="00574CE1" w:rsidRDefault="00B76E5B" w:rsidP="00B76E5B">
      <w:pPr>
        <w:spacing w:after="0" w:line="240" w:lineRule="auto"/>
        <w:jc w:val="both"/>
        <w:rPr>
          <w:rFonts w:ascii="Verdana" w:hAnsi="Verdana"/>
        </w:rPr>
      </w:pPr>
      <w:r w:rsidRPr="00574CE1">
        <w:rPr>
          <w:rFonts w:ascii="Verdana" w:hAnsi="Verdana"/>
        </w:rPr>
        <w:t xml:space="preserve">Facebook: </w:t>
      </w:r>
      <w:proofErr w:type="spellStart"/>
      <w:r w:rsidRPr="00574CE1">
        <w:rPr>
          <w:rStyle w:val="Hipervnculo"/>
          <w:rFonts w:ascii="Verdana" w:hAnsi="Verdana"/>
          <w:color w:val="auto"/>
        </w:rPr>
        <w:t>ColombiaCompraEficiente</w:t>
      </w:r>
      <w:proofErr w:type="spellEnd"/>
    </w:p>
    <w:p w14:paraId="55074FC0" w14:textId="77777777" w:rsidR="00B76E5B" w:rsidRPr="00574CE1" w:rsidRDefault="00B76E5B" w:rsidP="00B76E5B">
      <w:pPr>
        <w:spacing w:after="0" w:line="240" w:lineRule="auto"/>
        <w:jc w:val="both"/>
        <w:rPr>
          <w:rFonts w:ascii="Verdana" w:hAnsi="Verdana"/>
        </w:rPr>
      </w:pPr>
      <w:r w:rsidRPr="00574CE1">
        <w:rPr>
          <w:rFonts w:ascii="Verdana" w:hAnsi="Verdana"/>
        </w:rPr>
        <w:t xml:space="preserve">LinkedIn: </w:t>
      </w:r>
      <w:r w:rsidRPr="00574CE1">
        <w:rPr>
          <w:rStyle w:val="Hipervnculo"/>
          <w:rFonts w:ascii="Verdana" w:hAnsi="Verdana"/>
          <w:color w:val="auto"/>
        </w:rPr>
        <w:t>Agencia Nacional de Contratación Pública - Colombia Compra Eficiente</w:t>
      </w:r>
      <w:r w:rsidRPr="00574CE1">
        <w:rPr>
          <w:rFonts w:ascii="Verdana" w:hAnsi="Verdana"/>
        </w:rPr>
        <w:t xml:space="preserve"> Instagram: </w:t>
      </w:r>
      <w:r w:rsidRPr="00574CE1">
        <w:rPr>
          <w:rStyle w:val="Hipervnculo"/>
          <w:rFonts w:ascii="Verdana" w:hAnsi="Verdana"/>
          <w:color w:val="auto"/>
        </w:rPr>
        <w:t>@colombiacompraeficiente_cce</w:t>
      </w:r>
    </w:p>
    <w:p w14:paraId="148B61BA" w14:textId="77777777" w:rsidR="00B76E5B" w:rsidRPr="00574CE1" w:rsidRDefault="00B76E5B" w:rsidP="00B76E5B">
      <w:pPr>
        <w:widowControl w:val="0"/>
        <w:autoSpaceDE w:val="0"/>
        <w:autoSpaceDN w:val="0"/>
        <w:spacing w:after="0" w:line="276" w:lineRule="auto"/>
        <w:jc w:val="both"/>
        <w:rPr>
          <w:rFonts w:ascii="Verdana" w:hAnsi="Verdana" w:cs="Arial"/>
        </w:rPr>
      </w:pPr>
    </w:p>
    <w:p w14:paraId="4230E267" w14:textId="77777777" w:rsidR="00B76E5B" w:rsidRPr="00574CE1" w:rsidRDefault="00B76E5B" w:rsidP="00B76E5B">
      <w:pPr>
        <w:pStyle w:val="Sinespaciado"/>
        <w:spacing w:line="276" w:lineRule="auto"/>
        <w:jc w:val="both"/>
        <w:rPr>
          <w:rFonts w:ascii="Verdana" w:hAnsi="Verdana" w:cs="Arial"/>
        </w:rPr>
      </w:pPr>
      <w:bookmarkStart w:id="2" w:name="_Hlk34951122"/>
    </w:p>
    <w:bookmarkEnd w:id="0"/>
    <w:bookmarkEnd w:id="2"/>
    <w:p w14:paraId="686A6E58" w14:textId="77777777" w:rsidR="00B76E5B" w:rsidRPr="00574CE1" w:rsidRDefault="00B76E5B" w:rsidP="00B76E5B">
      <w:pPr>
        <w:spacing w:after="0" w:line="276" w:lineRule="auto"/>
        <w:rPr>
          <w:rFonts w:ascii="Verdana" w:eastAsia="Times New Roman" w:hAnsi="Verdana" w:cs="Arial"/>
          <w:lang w:eastAsia="es-CO"/>
        </w:rPr>
      </w:pPr>
      <w:r w:rsidRPr="00574CE1">
        <w:rPr>
          <w:rFonts w:ascii="Verdana" w:eastAsia="Times New Roman" w:hAnsi="Verdana" w:cs="Arial"/>
          <w:lang w:eastAsia="es-CO"/>
        </w:rPr>
        <w:t>Atentamente,</w:t>
      </w:r>
    </w:p>
    <w:p w14:paraId="56181982" w14:textId="08F96DA9" w:rsidR="00B76E5B" w:rsidRDefault="00B76E5B" w:rsidP="00B76E5B">
      <w:pPr>
        <w:tabs>
          <w:tab w:val="left" w:pos="709"/>
        </w:tabs>
        <w:spacing w:before="120" w:after="120" w:line="276" w:lineRule="auto"/>
        <w:jc w:val="center"/>
        <w:rPr>
          <w:rFonts w:ascii="Verdana" w:hAnsi="Verdana"/>
          <w:noProof/>
        </w:rPr>
      </w:pPr>
    </w:p>
    <w:p w14:paraId="207FC7B4" w14:textId="77777777" w:rsidR="0087670B" w:rsidRDefault="0087670B" w:rsidP="00B76E5B">
      <w:pPr>
        <w:tabs>
          <w:tab w:val="left" w:pos="709"/>
        </w:tabs>
        <w:spacing w:before="120" w:after="120" w:line="276" w:lineRule="auto"/>
        <w:jc w:val="center"/>
        <w:rPr>
          <w:rFonts w:ascii="Verdana" w:hAnsi="Verdana"/>
          <w:noProof/>
        </w:rPr>
      </w:pPr>
    </w:p>
    <w:p w14:paraId="640C4B72" w14:textId="77777777" w:rsidR="0087670B" w:rsidRDefault="0087670B" w:rsidP="0087670B">
      <w:pPr>
        <w:tabs>
          <w:tab w:val="left" w:pos="709"/>
        </w:tabs>
        <w:spacing w:before="120" w:after="120" w:line="276" w:lineRule="auto"/>
        <w:rPr>
          <w:rFonts w:ascii="Verdana" w:hAnsi="Verdana"/>
          <w:noProof/>
        </w:rPr>
      </w:pPr>
    </w:p>
    <w:p w14:paraId="7E4AD034" w14:textId="77777777" w:rsidR="0087670B" w:rsidRDefault="0087670B" w:rsidP="00B76E5B">
      <w:pPr>
        <w:tabs>
          <w:tab w:val="left" w:pos="709"/>
        </w:tabs>
        <w:spacing w:before="120" w:after="120" w:line="276" w:lineRule="auto"/>
        <w:jc w:val="center"/>
        <w:rPr>
          <w:rFonts w:ascii="Verdana" w:hAnsi="Verdana"/>
          <w:noProof/>
        </w:rPr>
      </w:pPr>
    </w:p>
    <w:p w14:paraId="190DFBEC" w14:textId="488659E9" w:rsidR="0087670B" w:rsidRPr="00574CE1" w:rsidRDefault="0087670B" w:rsidP="00B76E5B">
      <w:pPr>
        <w:tabs>
          <w:tab w:val="left" w:pos="709"/>
        </w:tabs>
        <w:spacing w:before="120" w:after="120" w:line="276" w:lineRule="auto"/>
        <w:jc w:val="center"/>
        <w:rPr>
          <w:rFonts w:ascii="Verdana" w:hAnsi="Verdana" w:cs="Arial"/>
        </w:rPr>
      </w:pPr>
      <w:r>
        <w:rPr>
          <w:noProof/>
          <w14:ligatures w14:val="standardContextual"/>
        </w:rPr>
        <w:drawing>
          <wp:inline distT="0" distB="0" distL="0" distR="0" wp14:anchorId="65341CEE" wp14:editId="1B46B5C6">
            <wp:extent cx="3771900" cy="1400175"/>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5"/>
                    <a:stretch>
                      <a:fillRect/>
                    </a:stretch>
                  </pic:blipFill>
                  <pic:spPr>
                    <a:xfrm>
                      <a:off x="0" y="0"/>
                      <a:ext cx="3771900" cy="1400175"/>
                    </a:xfrm>
                    <a:prstGeom prst="rect">
                      <a:avLst/>
                    </a:prstGeom>
                  </pic:spPr>
                </pic:pic>
              </a:graphicData>
            </a:graphic>
          </wp:inline>
        </w:drawing>
      </w:r>
    </w:p>
    <w:p w14:paraId="75976D82" w14:textId="77777777" w:rsidR="00B76E5B" w:rsidRPr="00574CE1" w:rsidRDefault="00B76E5B" w:rsidP="00B76E5B">
      <w:pPr>
        <w:tabs>
          <w:tab w:val="left" w:pos="709"/>
        </w:tabs>
        <w:spacing w:before="120" w:after="120" w:line="276" w:lineRule="auto"/>
        <w:jc w:val="center"/>
        <w:rPr>
          <w:rFonts w:ascii="Verdana" w:hAnsi="Verdana" w:cs="Arial"/>
        </w:rPr>
      </w:pPr>
    </w:p>
    <w:tbl>
      <w:tblPr>
        <w:tblW w:w="56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8"/>
        <w:gridCol w:w="4214"/>
        <w:gridCol w:w="708"/>
      </w:tblGrid>
      <w:tr w:rsidR="00B76E5B" w:rsidRPr="00574CE1" w14:paraId="575BA870" w14:textId="77777777" w:rsidTr="0397209A">
        <w:trPr>
          <w:trHeight w:val="315"/>
        </w:trPr>
        <w:tc>
          <w:tcPr>
            <w:tcW w:w="748" w:type="dxa"/>
            <w:tcBorders>
              <w:top w:val="nil"/>
              <w:left w:val="nil"/>
              <w:bottom w:val="nil"/>
              <w:right w:val="nil"/>
            </w:tcBorders>
            <w:vAlign w:val="center"/>
            <w:hideMark/>
          </w:tcPr>
          <w:p w14:paraId="4D5119E6" w14:textId="77777777" w:rsidR="00B76E5B" w:rsidRPr="00574CE1" w:rsidRDefault="00B76E5B" w:rsidP="00920D34">
            <w:pPr>
              <w:spacing w:after="0" w:line="276" w:lineRule="auto"/>
              <w:textAlignment w:val="baseline"/>
              <w:rPr>
                <w:rFonts w:ascii="Verdana" w:eastAsia="Times New Roman" w:hAnsi="Verdana" w:cs="Arial"/>
                <w:sz w:val="14"/>
                <w:szCs w:val="14"/>
                <w:lang w:eastAsia="es-CO"/>
              </w:rPr>
            </w:pPr>
            <w:r w:rsidRPr="00574CE1">
              <w:rPr>
                <w:rFonts w:ascii="Verdana" w:eastAsia="Times New Roman" w:hAnsi="Verdana" w:cs="Arial"/>
                <w:sz w:val="14"/>
                <w:szCs w:val="14"/>
                <w:lang w:eastAsia="es-CO"/>
              </w:rPr>
              <w:t>Elaboró: </w:t>
            </w:r>
          </w:p>
        </w:tc>
        <w:tc>
          <w:tcPr>
            <w:tcW w:w="4214" w:type="dxa"/>
            <w:tcBorders>
              <w:top w:val="nil"/>
              <w:left w:val="nil"/>
              <w:bottom w:val="dotted" w:sz="6" w:space="0" w:color="7F7F7F" w:themeColor="text1" w:themeTint="80"/>
              <w:right w:val="nil"/>
            </w:tcBorders>
            <w:vAlign w:val="center"/>
            <w:hideMark/>
          </w:tcPr>
          <w:p w14:paraId="3B5B6831" w14:textId="77777777" w:rsidR="00B76E5B" w:rsidRPr="00574CE1" w:rsidRDefault="00B76E5B" w:rsidP="00920D34">
            <w:pPr>
              <w:spacing w:after="0" w:line="276" w:lineRule="auto"/>
              <w:textAlignment w:val="baseline"/>
              <w:rPr>
                <w:rFonts w:ascii="Verdana" w:eastAsia="Times New Roman" w:hAnsi="Verdana" w:cs="Arial"/>
                <w:sz w:val="14"/>
                <w:szCs w:val="14"/>
                <w:lang w:eastAsia="es-CO"/>
              </w:rPr>
            </w:pPr>
            <w:r w:rsidRPr="00574CE1">
              <w:rPr>
                <w:rFonts w:ascii="Verdana" w:eastAsia="Times New Roman" w:hAnsi="Verdana" w:cs="Arial"/>
                <w:sz w:val="14"/>
                <w:szCs w:val="14"/>
                <w:lang w:eastAsia="es-CO"/>
              </w:rPr>
              <w:t>Andrés Ricardo Cabarcas Thorne</w:t>
            </w:r>
          </w:p>
          <w:p w14:paraId="3CB8FF43" w14:textId="77777777" w:rsidR="00B76E5B" w:rsidRPr="00574CE1" w:rsidRDefault="00B76E5B" w:rsidP="00920D34">
            <w:pPr>
              <w:spacing w:after="0" w:line="276" w:lineRule="auto"/>
              <w:textAlignment w:val="baseline"/>
              <w:rPr>
                <w:rFonts w:ascii="Verdana" w:eastAsia="Times New Roman" w:hAnsi="Verdana" w:cs="Arial"/>
                <w:sz w:val="14"/>
                <w:szCs w:val="14"/>
                <w:lang w:eastAsia="es-CO"/>
              </w:rPr>
            </w:pPr>
            <w:r w:rsidRPr="00574CE1">
              <w:rPr>
                <w:rFonts w:ascii="Verdana" w:eastAsia="Times New Roman" w:hAnsi="Verdana" w:cs="Arial"/>
                <w:sz w:val="14"/>
                <w:szCs w:val="14"/>
                <w:lang w:eastAsia="es-CO"/>
              </w:rPr>
              <w:t>Analista T2-02 de la Subdirección de Gestión Contractual</w:t>
            </w:r>
          </w:p>
        </w:tc>
        <w:tc>
          <w:tcPr>
            <w:tcW w:w="708" w:type="dxa"/>
            <w:tcBorders>
              <w:top w:val="nil"/>
              <w:left w:val="nil"/>
              <w:bottom w:val="dotted" w:sz="6" w:space="0" w:color="7F7F7F" w:themeColor="text1" w:themeTint="80"/>
              <w:right w:val="nil"/>
            </w:tcBorders>
          </w:tcPr>
          <w:p w14:paraId="2025708E" w14:textId="77777777" w:rsidR="00B76E5B" w:rsidRPr="00574CE1" w:rsidRDefault="00B76E5B" w:rsidP="00920D34">
            <w:pPr>
              <w:spacing w:after="0" w:line="276" w:lineRule="auto"/>
              <w:textAlignment w:val="baseline"/>
              <w:rPr>
                <w:rFonts w:ascii="Verdana" w:eastAsia="Times New Roman" w:hAnsi="Verdana" w:cs="Arial"/>
                <w:sz w:val="14"/>
                <w:szCs w:val="14"/>
                <w:lang w:eastAsia="es-CO"/>
              </w:rPr>
            </w:pPr>
          </w:p>
        </w:tc>
      </w:tr>
      <w:tr w:rsidR="00B76E5B" w:rsidRPr="00574CE1" w14:paraId="5A4DA0D1" w14:textId="77777777" w:rsidTr="0397209A">
        <w:trPr>
          <w:trHeight w:val="315"/>
        </w:trPr>
        <w:tc>
          <w:tcPr>
            <w:tcW w:w="748" w:type="dxa"/>
            <w:tcBorders>
              <w:top w:val="nil"/>
              <w:left w:val="nil"/>
              <w:bottom w:val="nil"/>
              <w:right w:val="nil"/>
            </w:tcBorders>
            <w:vAlign w:val="center"/>
            <w:hideMark/>
          </w:tcPr>
          <w:p w14:paraId="7259BB02" w14:textId="77777777" w:rsidR="00B76E5B" w:rsidRPr="00574CE1" w:rsidRDefault="00B76E5B" w:rsidP="00920D34">
            <w:pPr>
              <w:spacing w:after="0" w:line="276" w:lineRule="auto"/>
              <w:textAlignment w:val="baseline"/>
              <w:rPr>
                <w:rFonts w:ascii="Verdana" w:eastAsia="Times New Roman" w:hAnsi="Verdana" w:cs="Arial"/>
                <w:sz w:val="14"/>
                <w:szCs w:val="14"/>
                <w:lang w:eastAsia="es-CO"/>
              </w:rPr>
            </w:pPr>
            <w:r w:rsidRPr="00574CE1">
              <w:rPr>
                <w:rFonts w:ascii="Verdana" w:eastAsia="Times New Roman" w:hAnsi="Verdana" w:cs="Arial"/>
                <w:sz w:val="14"/>
                <w:szCs w:val="14"/>
                <w:lang w:eastAsia="es-CO"/>
              </w:rPr>
              <w:t>Revisó: </w:t>
            </w:r>
          </w:p>
        </w:tc>
        <w:tc>
          <w:tcPr>
            <w:tcW w:w="4214" w:type="dxa"/>
            <w:tcBorders>
              <w:top w:val="dotted" w:sz="6" w:space="0" w:color="7F7F7F" w:themeColor="text1" w:themeTint="80"/>
              <w:left w:val="nil"/>
              <w:bottom w:val="dotted" w:sz="6" w:space="0" w:color="7F7F7F" w:themeColor="text1" w:themeTint="80"/>
              <w:right w:val="nil"/>
            </w:tcBorders>
            <w:vAlign w:val="center"/>
            <w:hideMark/>
          </w:tcPr>
          <w:p w14:paraId="77683243" w14:textId="77777777" w:rsidR="00B76E5B" w:rsidRPr="00574CE1" w:rsidRDefault="00B76E5B" w:rsidP="00920D34">
            <w:pPr>
              <w:spacing w:after="0" w:line="276" w:lineRule="auto"/>
              <w:textAlignment w:val="baseline"/>
              <w:rPr>
                <w:rFonts w:ascii="Verdana" w:eastAsia="Times New Roman" w:hAnsi="Verdana" w:cs="Arial"/>
                <w:sz w:val="14"/>
                <w:szCs w:val="14"/>
                <w:lang w:eastAsia="es-CO"/>
              </w:rPr>
            </w:pPr>
            <w:r w:rsidRPr="00574CE1">
              <w:rPr>
                <w:rFonts w:ascii="Verdana" w:eastAsia="Times New Roman" w:hAnsi="Verdana" w:cs="Arial"/>
                <w:sz w:val="14"/>
                <w:szCs w:val="14"/>
                <w:lang w:eastAsia="es-CO"/>
              </w:rPr>
              <w:t>Libardo Alberto Verjel De Filippis</w:t>
            </w:r>
          </w:p>
          <w:p w14:paraId="735D1BF6" w14:textId="77777777" w:rsidR="00B76E5B" w:rsidRPr="00574CE1" w:rsidRDefault="00B76E5B" w:rsidP="00920D34">
            <w:pPr>
              <w:spacing w:after="0" w:line="276" w:lineRule="auto"/>
              <w:textAlignment w:val="baseline"/>
              <w:rPr>
                <w:rFonts w:ascii="Verdana" w:eastAsia="Times New Roman" w:hAnsi="Verdana" w:cs="Arial"/>
                <w:sz w:val="14"/>
                <w:szCs w:val="14"/>
                <w:lang w:eastAsia="es-CO"/>
              </w:rPr>
            </w:pPr>
            <w:r w:rsidRPr="00574CE1">
              <w:rPr>
                <w:rFonts w:ascii="Verdana" w:eastAsia="Times New Roman" w:hAnsi="Verdana" w:cs="Arial"/>
                <w:sz w:val="14"/>
                <w:szCs w:val="14"/>
                <w:lang w:eastAsia="es-CO"/>
              </w:rPr>
              <w:t>Experto G3-08 de la Subdirección de Gestión Contractual</w:t>
            </w:r>
          </w:p>
        </w:tc>
        <w:tc>
          <w:tcPr>
            <w:tcW w:w="708" w:type="dxa"/>
            <w:tcBorders>
              <w:top w:val="dotted" w:sz="6" w:space="0" w:color="7F7F7F" w:themeColor="text1" w:themeTint="80"/>
              <w:left w:val="nil"/>
              <w:bottom w:val="dotted" w:sz="6" w:space="0" w:color="7F7F7F" w:themeColor="text1" w:themeTint="80"/>
              <w:right w:val="nil"/>
            </w:tcBorders>
          </w:tcPr>
          <w:p w14:paraId="5606B4A9" w14:textId="77777777" w:rsidR="00B76E5B" w:rsidRPr="00574CE1" w:rsidRDefault="00B76E5B" w:rsidP="00920D34">
            <w:pPr>
              <w:spacing w:after="0" w:line="276" w:lineRule="auto"/>
              <w:textAlignment w:val="baseline"/>
              <w:rPr>
                <w:rFonts w:ascii="Verdana" w:eastAsia="Times New Roman" w:hAnsi="Verdana" w:cs="Arial"/>
                <w:sz w:val="14"/>
                <w:szCs w:val="14"/>
                <w:lang w:eastAsia="es-CO"/>
              </w:rPr>
            </w:pPr>
          </w:p>
        </w:tc>
      </w:tr>
      <w:tr w:rsidR="00B76E5B" w:rsidRPr="00574CE1" w14:paraId="21F83FFC" w14:textId="77777777" w:rsidTr="0397209A">
        <w:trPr>
          <w:trHeight w:val="300"/>
        </w:trPr>
        <w:tc>
          <w:tcPr>
            <w:tcW w:w="748" w:type="dxa"/>
            <w:tcBorders>
              <w:top w:val="nil"/>
              <w:left w:val="nil"/>
              <w:bottom w:val="nil"/>
              <w:right w:val="nil"/>
            </w:tcBorders>
            <w:vAlign w:val="center"/>
            <w:hideMark/>
          </w:tcPr>
          <w:p w14:paraId="6F1F6191" w14:textId="77777777" w:rsidR="00B76E5B" w:rsidRPr="00574CE1" w:rsidRDefault="00B76E5B" w:rsidP="00920D34">
            <w:pPr>
              <w:spacing w:after="0" w:line="276" w:lineRule="auto"/>
              <w:textAlignment w:val="baseline"/>
              <w:rPr>
                <w:rFonts w:ascii="Verdana" w:eastAsia="Times New Roman" w:hAnsi="Verdana" w:cs="Arial"/>
                <w:sz w:val="14"/>
                <w:szCs w:val="14"/>
                <w:lang w:eastAsia="es-CO"/>
              </w:rPr>
            </w:pPr>
            <w:r w:rsidRPr="00574CE1">
              <w:rPr>
                <w:rFonts w:ascii="Verdana" w:eastAsia="Times New Roman" w:hAnsi="Verdana" w:cs="Arial"/>
                <w:sz w:val="14"/>
                <w:szCs w:val="14"/>
                <w:lang w:eastAsia="es-CO"/>
              </w:rPr>
              <w:t>Aprobó: </w:t>
            </w:r>
          </w:p>
        </w:tc>
        <w:tc>
          <w:tcPr>
            <w:tcW w:w="4214" w:type="dxa"/>
            <w:tcBorders>
              <w:top w:val="dotted" w:sz="6" w:space="0" w:color="7F7F7F" w:themeColor="text1" w:themeTint="80"/>
              <w:left w:val="nil"/>
              <w:bottom w:val="dotted" w:sz="6" w:space="0" w:color="7F7F7F" w:themeColor="text1" w:themeTint="80"/>
              <w:right w:val="nil"/>
            </w:tcBorders>
            <w:vAlign w:val="center"/>
            <w:hideMark/>
          </w:tcPr>
          <w:p w14:paraId="21EEEA3E" w14:textId="77777777" w:rsidR="00B76E5B" w:rsidRPr="00574CE1" w:rsidRDefault="00B76E5B" w:rsidP="00920D34">
            <w:pPr>
              <w:spacing w:after="0" w:line="276" w:lineRule="auto"/>
              <w:textAlignment w:val="baseline"/>
              <w:rPr>
                <w:rFonts w:ascii="Verdana" w:eastAsia="Times New Roman" w:hAnsi="Verdana" w:cs="Arial"/>
                <w:sz w:val="14"/>
                <w:szCs w:val="14"/>
                <w:lang w:val="es-ES" w:eastAsia="es-CO"/>
              </w:rPr>
            </w:pPr>
            <w:r w:rsidRPr="0397209A">
              <w:rPr>
                <w:rFonts w:ascii="Verdana" w:eastAsia="Times New Roman" w:hAnsi="Verdana" w:cs="Arial"/>
                <w:sz w:val="14"/>
                <w:szCs w:val="14"/>
                <w:lang w:val="es-ES" w:eastAsia="es-CO"/>
              </w:rPr>
              <w:t xml:space="preserve">Carolina Quintero </w:t>
            </w:r>
            <w:proofErr w:type="spellStart"/>
            <w:r w:rsidRPr="0397209A">
              <w:rPr>
                <w:rFonts w:ascii="Verdana" w:eastAsia="Times New Roman" w:hAnsi="Verdana" w:cs="Arial"/>
                <w:sz w:val="14"/>
                <w:szCs w:val="14"/>
                <w:lang w:val="es-ES" w:eastAsia="es-CO"/>
              </w:rPr>
              <w:t>Gacharná</w:t>
            </w:r>
            <w:proofErr w:type="spellEnd"/>
          </w:p>
          <w:p w14:paraId="659D1C05" w14:textId="77777777" w:rsidR="00B76E5B" w:rsidRPr="00574CE1" w:rsidRDefault="00B76E5B" w:rsidP="00920D34">
            <w:pPr>
              <w:spacing w:after="0" w:line="276" w:lineRule="auto"/>
              <w:textAlignment w:val="baseline"/>
              <w:rPr>
                <w:rFonts w:ascii="Verdana" w:eastAsia="Times New Roman" w:hAnsi="Verdana" w:cs="Arial"/>
                <w:sz w:val="14"/>
                <w:szCs w:val="14"/>
                <w:lang w:eastAsia="es-CO"/>
              </w:rPr>
            </w:pPr>
            <w:r w:rsidRPr="00574CE1">
              <w:rPr>
                <w:rFonts w:ascii="Verdana" w:eastAsia="Times New Roman" w:hAnsi="Verdana" w:cs="Arial"/>
                <w:sz w:val="14"/>
                <w:szCs w:val="14"/>
                <w:lang w:val="es-ES_tradnl" w:eastAsia="es-CO"/>
              </w:rPr>
              <w:t>Subdirectora de Gestión Contractual ANCP-CCE</w:t>
            </w:r>
          </w:p>
        </w:tc>
        <w:tc>
          <w:tcPr>
            <w:tcW w:w="708" w:type="dxa"/>
            <w:tcBorders>
              <w:top w:val="dotted" w:sz="6" w:space="0" w:color="7F7F7F" w:themeColor="text1" w:themeTint="80"/>
              <w:left w:val="nil"/>
              <w:bottom w:val="dotted" w:sz="6" w:space="0" w:color="7F7F7F" w:themeColor="text1" w:themeTint="80"/>
              <w:right w:val="nil"/>
            </w:tcBorders>
          </w:tcPr>
          <w:p w14:paraId="5748E14E" w14:textId="77777777" w:rsidR="00B76E5B" w:rsidRPr="00574CE1" w:rsidRDefault="00B76E5B" w:rsidP="00920D34">
            <w:pPr>
              <w:spacing w:after="0" w:line="276" w:lineRule="auto"/>
              <w:textAlignment w:val="baseline"/>
              <w:rPr>
                <w:rFonts w:ascii="Verdana" w:eastAsia="Times New Roman" w:hAnsi="Verdana" w:cs="Arial"/>
                <w:sz w:val="14"/>
                <w:szCs w:val="14"/>
                <w:lang w:val="es-ES_tradnl" w:eastAsia="es-CO"/>
              </w:rPr>
            </w:pPr>
          </w:p>
        </w:tc>
      </w:tr>
    </w:tbl>
    <w:p w14:paraId="4BBB676F" w14:textId="77777777" w:rsidR="00B76E5B" w:rsidRPr="00574CE1" w:rsidRDefault="00B76E5B" w:rsidP="00B76E5B">
      <w:pPr>
        <w:spacing w:line="276" w:lineRule="auto"/>
        <w:rPr>
          <w:rFonts w:ascii="Verdana" w:hAnsi="Verdana"/>
        </w:rPr>
      </w:pPr>
    </w:p>
    <w:p w14:paraId="6F7BF2B3" w14:textId="77777777" w:rsidR="00B76E5B" w:rsidRPr="00574CE1" w:rsidRDefault="00B76E5B" w:rsidP="00B76E5B">
      <w:pPr>
        <w:spacing w:line="276" w:lineRule="auto"/>
        <w:rPr>
          <w:rFonts w:ascii="Verdana" w:hAnsi="Verdana"/>
        </w:rPr>
      </w:pPr>
    </w:p>
    <w:p w14:paraId="0F293BF4" w14:textId="5FCEE4EB" w:rsidR="00127233" w:rsidRPr="00B76E5B" w:rsidRDefault="00127233" w:rsidP="00B76E5B"/>
    <w:sectPr w:rsidR="00127233" w:rsidRPr="00B76E5B" w:rsidSect="00A211EE">
      <w:headerReference w:type="default" r:id="rId16"/>
      <w:footerReference w:type="default" r:id="rId17"/>
      <w:pgSz w:w="12240" w:h="15840" w:code="1"/>
      <w:pgMar w:top="1418" w:right="1418" w:bottom="1418" w:left="1418"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030C07" w14:textId="77777777" w:rsidR="00492DE4" w:rsidRDefault="00492DE4" w:rsidP="004A1847">
      <w:pPr>
        <w:spacing w:after="0" w:line="240" w:lineRule="auto"/>
      </w:pPr>
      <w:r>
        <w:separator/>
      </w:r>
    </w:p>
  </w:endnote>
  <w:endnote w:type="continuationSeparator" w:id="0">
    <w:p w14:paraId="2B0EAF01" w14:textId="77777777" w:rsidR="00492DE4" w:rsidRDefault="00492DE4" w:rsidP="004A1847">
      <w:pPr>
        <w:spacing w:after="0" w:line="240" w:lineRule="auto"/>
      </w:pPr>
      <w:r>
        <w:continuationSeparator/>
      </w:r>
    </w:p>
  </w:endnote>
  <w:endnote w:type="continuationNotice" w:id="1">
    <w:p w14:paraId="1348C669" w14:textId="77777777" w:rsidR="00492DE4" w:rsidRDefault="00492D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orbel"/>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Yu Mincho">
    <w:charset w:val="80"/>
    <w:family w:val="roman"/>
    <w:pitch w:val="variable"/>
    <w:sig w:usb0="800002E7" w:usb1="2AC7FCFF" w:usb2="00000012" w:usb3="00000000" w:csb0="0002009F"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DAF56" w14:textId="77777777" w:rsidR="00A211EE" w:rsidRDefault="00A211EE" w:rsidP="00A211EE">
    <w:pPr>
      <w:spacing w:after="0"/>
      <w:rPr>
        <w:rFonts w:ascii="Verdana" w:hAnsi="Verdana"/>
        <w:b/>
        <w:bCs/>
        <w:sz w:val="20"/>
        <w:szCs w:val="20"/>
      </w:rPr>
    </w:pPr>
  </w:p>
  <w:p w14:paraId="4DAEE7DC" w14:textId="43FD1F7C" w:rsidR="00A211EE" w:rsidRPr="00174B77" w:rsidRDefault="00A211EE" w:rsidP="00A211EE">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4A01C741" w14:textId="77777777" w:rsidR="00A211EE" w:rsidRDefault="00A211EE" w:rsidP="00A211EE">
    <w:pPr>
      <w:spacing w:after="0"/>
      <w:jc w:val="both"/>
      <w:rPr>
        <w:rFonts w:ascii="Verdana" w:hAnsi="Verdana"/>
        <w:sz w:val="18"/>
        <w:szCs w:val="18"/>
      </w:rPr>
    </w:pPr>
    <w:r w:rsidRPr="00E41027">
      <w:rPr>
        <w:rFonts w:ascii="Verdana" w:hAnsi="Verdana"/>
        <w:sz w:val="18"/>
        <w:szCs w:val="18"/>
      </w:rPr>
      <w:t>Dirección: Carrera 7 # 26 – 20 - Bogotá, Colombia</w:t>
    </w:r>
  </w:p>
  <w:p w14:paraId="4145D2CB" w14:textId="77777777" w:rsidR="00A211EE" w:rsidRPr="00E41027" w:rsidRDefault="00A211EE" w:rsidP="00A211EE">
    <w:pPr>
      <w:spacing w:after="0"/>
      <w:jc w:val="both"/>
      <w:rPr>
        <w:rFonts w:ascii="Verdana" w:hAnsi="Verdana"/>
        <w:sz w:val="18"/>
        <w:szCs w:val="18"/>
      </w:rPr>
    </w:pPr>
    <w:r w:rsidRPr="00E41027">
      <w:rPr>
        <w:rFonts w:ascii="Verdana" w:hAnsi="Verdana"/>
        <w:sz w:val="18"/>
        <w:szCs w:val="18"/>
      </w:rPr>
      <w:t>Mesa de servicio: (+57) 601 7456788</w:t>
    </w:r>
  </w:p>
  <w:p w14:paraId="73EB2D37" w14:textId="3BAD4CB6" w:rsidR="00A211EE" w:rsidRPr="00A211EE" w:rsidRDefault="00A211EE" w:rsidP="00A211EE">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20"/>
        <w:szCs w:val="20"/>
      </w:rPr>
      <w:t xml:space="preserve">          </w:t>
    </w:r>
    <w:r w:rsidRPr="00A211EE">
      <w:rPr>
        <w:rFonts w:ascii="Verdana" w:eastAsia="Geo" w:hAnsi="Verdana" w:cs="Geo"/>
        <w:bCs/>
        <w:color w:val="000000"/>
        <w:sz w:val="16"/>
        <w:szCs w:val="16"/>
        <w:lang w:eastAsia="es-CO"/>
      </w:rPr>
      <w:t>Código: CCE-REC-FM-13 Versión</w:t>
    </w:r>
    <w:r w:rsidRPr="00A211EE">
      <w:rPr>
        <w:rFonts w:ascii="Verdana" w:eastAsia="Arial Nova" w:hAnsi="Verdana" w:cs="Arial Nova"/>
        <w:bCs/>
        <w:color w:val="000000"/>
        <w:sz w:val="16"/>
        <w:szCs w:val="16"/>
        <w:lang w:eastAsia="es-CO"/>
      </w:rPr>
      <w:t>:</w:t>
    </w:r>
    <w:r w:rsidRPr="00A211EE">
      <w:rPr>
        <w:rFonts w:ascii="Verdana" w:eastAsia="Arial Nova" w:hAnsi="Verdana" w:cs="Arial Nova"/>
        <w:b/>
        <w:color w:val="000000"/>
        <w:sz w:val="16"/>
        <w:szCs w:val="16"/>
        <w:lang w:eastAsia="es-CO"/>
      </w:rPr>
      <w:t xml:space="preserve"> </w:t>
    </w:r>
    <w:r w:rsidRPr="00A211EE">
      <w:rPr>
        <w:rFonts w:ascii="Verdana" w:eastAsia="Geo" w:hAnsi="Verdana" w:cs="Geo"/>
        <w:sz w:val="16"/>
        <w:szCs w:val="16"/>
        <w:lang w:eastAsia="es-CO"/>
      </w:rPr>
      <w:t>01 Fecha:15-06-2023</w:t>
    </w:r>
  </w:p>
  <w:p w14:paraId="744661F5" w14:textId="20328581" w:rsidR="006219F8" w:rsidRDefault="006219F8" w:rsidP="00A211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C9CB0" w14:textId="77777777" w:rsidR="00492DE4" w:rsidRDefault="00492DE4" w:rsidP="004A1847">
      <w:pPr>
        <w:spacing w:after="0" w:line="240" w:lineRule="auto"/>
      </w:pPr>
      <w:r>
        <w:separator/>
      </w:r>
    </w:p>
  </w:footnote>
  <w:footnote w:type="continuationSeparator" w:id="0">
    <w:p w14:paraId="222BAA7E" w14:textId="77777777" w:rsidR="00492DE4" w:rsidRDefault="00492DE4" w:rsidP="004A1847">
      <w:pPr>
        <w:spacing w:after="0" w:line="240" w:lineRule="auto"/>
      </w:pPr>
      <w:r>
        <w:continuationSeparator/>
      </w:r>
    </w:p>
  </w:footnote>
  <w:footnote w:type="continuationNotice" w:id="1">
    <w:p w14:paraId="0E1E90EA" w14:textId="77777777" w:rsidR="00492DE4" w:rsidRDefault="00492DE4">
      <w:pPr>
        <w:spacing w:after="0" w:line="240" w:lineRule="auto"/>
      </w:pPr>
    </w:p>
  </w:footnote>
  <w:footnote w:id="2">
    <w:p w14:paraId="4BB7CEA6" w14:textId="77777777" w:rsidR="00B76E5B" w:rsidRPr="00851936" w:rsidRDefault="00B76E5B" w:rsidP="00B76E5B">
      <w:pPr>
        <w:pStyle w:val="Textonotapie"/>
        <w:ind w:right="49" w:firstLine="709"/>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Corte Constitucional. Sentencia C- 341 del 4 de junio de 2014. M. P. Mauricio González Cuervo.</w:t>
      </w:r>
    </w:p>
    <w:p w14:paraId="657F8859" w14:textId="77777777" w:rsidR="00B76E5B" w:rsidRPr="00851936" w:rsidRDefault="00B76E5B" w:rsidP="00B76E5B">
      <w:pPr>
        <w:pStyle w:val="Textonotapie"/>
        <w:ind w:right="49" w:firstLine="709"/>
        <w:jc w:val="both"/>
        <w:rPr>
          <w:rFonts w:ascii="Arial" w:hAnsi="Arial" w:cs="Arial"/>
          <w:color w:val="000000" w:themeColor="text1"/>
          <w:sz w:val="19"/>
          <w:szCs w:val="19"/>
        </w:rPr>
      </w:pPr>
    </w:p>
  </w:footnote>
  <w:footnote w:id="3">
    <w:p w14:paraId="689EBA90" w14:textId="77777777" w:rsidR="00B76E5B" w:rsidRPr="00851936" w:rsidRDefault="00B76E5B" w:rsidP="00B76E5B">
      <w:pPr>
        <w:pStyle w:val="Textonotapie"/>
        <w:ind w:right="49" w:firstLine="709"/>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2C68064C" w14:textId="77777777" w:rsidR="00B76E5B" w:rsidRPr="00851936" w:rsidRDefault="00B76E5B" w:rsidP="00B76E5B">
      <w:pPr>
        <w:pStyle w:val="Textonotapie"/>
        <w:ind w:right="49" w:firstLine="709"/>
        <w:jc w:val="both"/>
        <w:rPr>
          <w:rFonts w:ascii="Arial" w:hAnsi="Arial" w:cs="Arial"/>
          <w:color w:val="000000" w:themeColor="text1"/>
          <w:sz w:val="19"/>
          <w:szCs w:val="19"/>
        </w:rPr>
      </w:pPr>
      <w:r w:rsidRPr="00851936">
        <w:rPr>
          <w:rFonts w:ascii="Arial" w:hAnsi="Arial" w:cs="Arial"/>
          <w:color w:val="000000" w:themeColor="text1"/>
          <w:sz w:val="19"/>
          <w:szCs w:val="19"/>
        </w:rPr>
        <w:t>» Lo anterior, sin perjuicio de las publicaciones previstas en el numeral 3 del artículo 30 de la Ley 80 de 1993.</w:t>
      </w:r>
    </w:p>
    <w:p w14:paraId="2DC65F3D" w14:textId="77777777" w:rsidR="00B76E5B" w:rsidRPr="00851936" w:rsidRDefault="00B76E5B" w:rsidP="00B76E5B">
      <w:pPr>
        <w:pStyle w:val="Textonotapie"/>
        <w:ind w:right="49" w:firstLine="709"/>
        <w:jc w:val="both"/>
        <w:rPr>
          <w:rFonts w:ascii="Arial" w:hAnsi="Arial" w:cs="Arial"/>
          <w:color w:val="000000" w:themeColor="text1"/>
          <w:sz w:val="19"/>
          <w:szCs w:val="19"/>
        </w:rPr>
      </w:pPr>
      <w:r w:rsidRPr="00851936">
        <w:rPr>
          <w:rFonts w:ascii="Arial" w:hAnsi="Arial" w:cs="Arial"/>
          <w:color w:val="000000" w:themeColor="text1"/>
          <w:sz w:val="19"/>
          <w:szCs w:val="19"/>
        </w:rPr>
        <w:t xml:space="preserve">»Con el fin de materializar los objetivos a que se refiere el inciso anterior, el Gobierno Nacional desarrollará el Sistema Electrónico para la Contratación Pública, Secop, el cual: </w:t>
      </w:r>
    </w:p>
    <w:p w14:paraId="2E406188" w14:textId="77777777" w:rsidR="00B76E5B" w:rsidRPr="00851936" w:rsidRDefault="00B76E5B" w:rsidP="00B76E5B">
      <w:pPr>
        <w:pStyle w:val="Textonotapie"/>
        <w:ind w:right="49" w:firstLine="709"/>
        <w:jc w:val="both"/>
        <w:rPr>
          <w:rFonts w:ascii="Arial" w:hAnsi="Arial" w:cs="Arial"/>
          <w:color w:val="000000" w:themeColor="text1"/>
          <w:sz w:val="19"/>
          <w:szCs w:val="19"/>
        </w:rPr>
      </w:pPr>
      <w:r w:rsidRPr="00851936">
        <w:rPr>
          <w:rFonts w:ascii="Arial" w:hAnsi="Arial" w:cs="Arial"/>
          <w:color w:val="000000" w:themeColor="text1"/>
          <w:sz w:val="19"/>
          <w:szCs w:val="19"/>
        </w:rPr>
        <w:t>[…]</w:t>
      </w:r>
    </w:p>
    <w:p w14:paraId="76EA64FC" w14:textId="77777777" w:rsidR="00B76E5B" w:rsidRPr="00851936" w:rsidRDefault="00B76E5B" w:rsidP="00B76E5B">
      <w:pPr>
        <w:pStyle w:val="Textonotapie"/>
        <w:ind w:right="49" w:firstLine="709"/>
        <w:jc w:val="both"/>
        <w:rPr>
          <w:rFonts w:ascii="Arial" w:hAnsi="Arial" w:cs="Arial"/>
          <w:color w:val="000000" w:themeColor="text1"/>
          <w:sz w:val="19"/>
          <w:szCs w:val="19"/>
        </w:rPr>
      </w:pPr>
      <w:r w:rsidRPr="00851936">
        <w:rPr>
          <w:rFonts w:ascii="Arial" w:hAnsi="Arial" w:cs="Arial"/>
          <w:color w:val="000000" w:themeColor="text1"/>
          <w:sz w:val="19"/>
          <w:szCs w:val="19"/>
        </w:rPr>
        <w:t xml:space="preserve">»c) Contará con la información oficial de la contratación realizada con dineros públicos, para lo cual establecerá los patrones a que haya lugar y se encargará de su difusión a través de canales electrónico». </w:t>
      </w:r>
    </w:p>
    <w:p w14:paraId="19311BCC" w14:textId="77777777" w:rsidR="00B76E5B" w:rsidRPr="00851936" w:rsidRDefault="00B76E5B" w:rsidP="00B76E5B">
      <w:pPr>
        <w:pStyle w:val="Textonotapie"/>
        <w:ind w:right="49"/>
        <w:jc w:val="both"/>
        <w:rPr>
          <w:rFonts w:ascii="Arial" w:hAnsi="Arial" w:cs="Arial"/>
          <w:color w:val="000000" w:themeColor="text1"/>
          <w:sz w:val="19"/>
          <w:szCs w:val="19"/>
        </w:rPr>
      </w:pPr>
    </w:p>
  </w:footnote>
  <w:footnote w:id="4">
    <w:p w14:paraId="0C042B84" w14:textId="77777777" w:rsidR="00B76E5B" w:rsidRPr="00851936" w:rsidRDefault="00B76E5B" w:rsidP="00B76E5B">
      <w:pPr>
        <w:pStyle w:val="Textonotapie"/>
        <w:ind w:right="49" w:firstLine="709"/>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Ley 1712 de 2014: «Artículo 2. Toda información en posesión, bajo control o custodia de un sujeto obligado es pública y no podrá ser reservada o limitada sino por disposición constitucional o legal, de conformidad con la presente ley».</w:t>
      </w:r>
    </w:p>
    <w:p w14:paraId="17062898" w14:textId="77777777" w:rsidR="00B76E5B" w:rsidRPr="00851936" w:rsidRDefault="00B76E5B" w:rsidP="00B76E5B">
      <w:pPr>
        <w:pStyle w:val="Textonotapie"/>
        <w:ind w:right="49" w:firstLine="709"/>
        <w:jc w:val="both"/>
        <w:rPr>
          <w:rFonts w:ascii="Arial" w:hAnsi="Arial" w:cs="Arial"/>
          <w:color w:val="000000" w:themeColor="text1"/>
          <w:sz w:val="19"/>
          <w:szCs w:val="19"/>
        </w:rPr>
      </w:pPr>
    </w:p>
  </w:footnote>
  <w:footnote w:id="5">
    <w:p w14:paraId="62500730" w14:textId="77777777" w:rsidR="00B76E5B" w:rsidRPr="0055553F" w:rsidRDefault="00B76E5B" w:rsidP="00B76E5B">
      <w:pPr>
        <w:pStyle w:val="Textonotapie"/>
        <w:rPr>
          <w:rFonts w:ascii="Verdana" w:hAnsi="Verdana" w:cs="Arial"/>
          <w:sz w:val="14"/>
          <w:szCs w:val="14"/>
        </w:rPr>
      </w:pPr>
      <w:r w:rsidRPr="0055553F">
        <w:rPr>
          <w:rStyle w:val="Refdenotaalpie"/>
          <w:rFonts w:ascii="Verdana" w:hAnsi="Verdana" w:cs="Arial"/>
          <w:sz w:val="14"/>
          <w:szCs w:val="14"/>
        </w:rPr>
        <w:footnoteRef/>
      </w:r>
      <w:r w:rsidRPr="0055553F">
        <w:rPr>
          <w:rFonts w:ascii="Verdana" w:hAnsi="Verdana" w:cs="Arial"/>
          <w:sz w:val="14"/>
          <w:szCs w:val="14"/>
        </w:rPr>
        <w:t xml:space="preserve"> Ley 1712 de 2014: “Artículo 2. Toda información en posesión, bajo control o custodia de un sujeto obligado es pública y no podrá ser reservada o limitada sino por disposición constitucional o legal, de conformidad con la presente ley”.</w:t>
      </w:r>
    </w:p>
    <w:p w14:paraId="3330B094" w14:textId="77777777" w:rsidR="00B76E5B" w:rsidRPr="0055553F" w:rsidRDefault="00B76E5B" w:rsidP="00B76E5B">
      <w:pPr>
        <w:pStyle w:val="Textonotapie"/>
        <w:rPr>
          <w:rFonts w:ascii="Verdana" w:hAnsi="Verdana" w:cs="Arial"/>
          <w:sz w:val="14"/>
          <w:szCs w:val="14"/>
        </w:rPr>
      </w:pPr>
    </w:p>
  </w:footnote>
  <w:footnote w:id="6">
    <w:p w14:paraId="6DF2E612" w14:textId="77777777" w:rsidR="00B76E5B" w:rsidRPr="0055553F" w:rsidRDefault="00B76E5B" w:rsidP="00B76E5B">
      <w:pPr>
        <w:pStyle w:val="Textonotapie"/>
        <w:spacing w:after="240"/>
        <w:jc w:val="both"/>
        <w:rPr>
          <w:rFonts w:ascii="Verdana" w:hAnsi="Verdana" w:cs="Arial"/>
          <w:sz w:val="14"/>
          <w:szCs w:val="14"/>
        </w:rPr>
      </w:pPr>
      <w:r w:rsidRPr="0055553F">
        <w:rPr>
          <w:rStyle w:val="Refdenotaalpie"/>
          <w:rFonts w:ascii="Verdana" w:hAnsi="Verdana" w:cs="Arial"/>
          <w:sz w:val="14"/>
          <w:szCs w:val="14"/>
        </w:rPr>
        <w:footnoteRef/>
      </w:r>
      <w:r w:rsidRPr="0055553F">
        <w:rPr>
          <w:rFonts w:ascii="Verdana" w:hAnsi="Verdana" w:cs="Arial"/>
          <w:sz w:val="14"/>
          <w:szCs w:val="14"/>
        </w:rPr>
        <w:t xml:space="preserve"> Ley 1712 de 2014: “Artículo 5. Ámbito de aplicación. Las disposiciones de esta ley serán aplicables a las siguientes personas en calidad de sujetos obligados:</w:t>
      </w:r>
    </w:p>
    <w:p w14:paraId="1A71253F" w14:textId="77777777" w:rsidR="00B76E5B" w:rsidRPr="0055553F" w:rsidRDefault="00B76E5B" w:rsidP="00B76E5B">
      <w:pPr>
        <w:pStyle w:val="Textonotapie"/>
        <w:spacing w:after="240"/>
        <w:jc w:val="both"/>
        <w:rPr>
          <w:rFonts w:ascii="Verdana" w:hAnsi="Verdana" w:cs="Arial"/>
          <w:sz w:val="14"/>
          <w:szCs w:val="14"/>
        </w:rPr>
      </w:pPr>
      <w:r w:rsidRPr="0055553F">
        <w:rPr>
          <w:rFonts w:ascii="Verdana" w:hAnsi="Verdana" w:cs="Arial"/>
          <w:sz w:val="14"/>
          <w:szCs w:val="14"/>
        </w:rPr>
        <w:t xml:space="preserve"> a) Toda entidad pública, incluyendo las pertenecientes a todas las Ramas del Poder Público, en todos los niveles de la estructura estatal, central o descentralizada por servicios o territorialmente, en los órdenes nacional, departamental, municipal y distrital. </w:t>
      </w:r>
    </w:p>
    <w:p w14:paraId="01AE9A29" w14:textId="77777777" w:rsidR="00B76E5B" w:rsidRPr="0055553F" w:rsidRDefault="00B76E5B" w:rsidP="00B76E5B">
      <w:pPr>
        <w:pStyle w:val="Textonotapie"/>
        <w:spacing w:after="240"/>
        <w:jc w:val="both"/>
        <w:rPr>
          <w:rFonts w:ascii="Verdana" w:hAnsi="Verdana" w:cs="Arial"/>
          <w:sz w:val="14"/>
          <w:szCs w:val="14"/>
        </w:rPr>
      </w:pPr>
      <w:r w:rsidRPr="0055553F">
        <w:rPr>
          <w:rFonts w:ascii="Verdana" w:hAnsi="Verdana" w:cs="Arial"/>
          <w:sz w:val="14"/>
          <w:szCs w:val="14"/>
        </w:rPr>
        <w:t xml:space="preserve">b) Los órganos, organismos y entidades estatales independientes o autónomos y de control. </w:t>
      </w:r>
    </w:p>
    <w:p w14:paraId="225CDA2F" w14:textId="77777777" w:rsidR="00B76E5B" w:rsidRPr="0055553F" w:rsidRDefault="00B76E5B" w:rsidP="00B76E5B">
      <w:pPr>
        <w:pStyle w:val="Textonotapie"/>
        <w:spacing w:after="240"/>
        <w:jc w:val="both"/>
        <w:rPr>
          <w:rFonts w:ascii="Verdana" w:hAnsi="Verdana" w:cs="Arial"/>
          <w:sz w:val="14"/>
          <w:szCs w:val="14"/>
        </w:rPr>
      </w:pPr>
      <w:r w:rsidRPr="0055553F">
        <w:rPr>
          <w:rFonts w:ascii="Verdana" w:hAnsi="Verdana" w:cs="Arial"/>
          <w:sz w:val="14"/>
          <w:szCs w:val="14"/>
        </w:rPr>
        <w:t>c) Las personas naturales y jurídicas, públicas o privadas, que presten función pública, que presten servicios públicos respecto de la información directamente relacionada con la prestación del servicio público.</w:t>
      </w:r>
    </w:p>
    <w:p w14:paraId="5F2AF4E6" w14:textId="77777777" w:rsidR="00B76E5B" w:rsidRPr="0055553F" w:rsidRDefault="00B76E5B" w:rsidP="00B76E5B">
      <w:pPr>
        <w:pStyle w:val="Textonotapie"/>
        <w:spacing w:after="240"/>
        <w:jc w:val="both"/>
        <w:rPr>
          <w:rFonts w:ascii="Verdana" w:hAnsi="Verdana" w:cs="Arial"/>
          <w:sz w:val="14"/>
          <w:szCs w:val="14"/>
        </w:rPr>
      </w:pPr>
      <w:r w:rsidRPr="0055553F">
        <w:rPr>
          <w:rFonts w:ascii="Verdana" w:hAnsi="Verdana" w:cs="Arial"/>
          <w:sz w:val="14"/>
          <w:szCs w:val="14"/>
        </w:rPr>
        <w:t xml:space="preserve"> d) Cualquier persona natural, jurídica o dependencia de persona jurídica que desempeñe función pública o de autoridad pública, respecto de la información directamente relacionada con el desempeño de su función.</w:t>
      </w:r>
    </w:p>
    <w:p w14:paraId="0E01F266" w14:textId="77777777" w:rsidR="00B76E5B" w:rsidRPr="0055553F" w:rsidRDefault="00B76E5B" w:rsidP="00B76E5B">
      <w:pPr>
        <w:pStyle w:val="Textonotapie"/>
        <w:spacing w:after="240"/>
        <w:jc w:val="both"/>
        <w:rPr>
          <w:rFonts w:ascii="Verdana" w:hAnsi="Verdana" w:cs="Arial"/>
          <w:sz w:val="14"/>
          <w:szCs w:val="14"/>
        </w:rPr>
      </w:pPr>
      <w:r w:rsidRPr="0055553F">
        <w:rPr>
          <w:rFonts w:ascii="Verdana" w:hAnsi="Verdana" w:cs="Arial"/>
          <w:sz w:val="14"/>
          <w:szCs w:val="14"/>
        </w:rPr>
        <w:t xml:space="preserve"> e) Las empresas públicas creadas por ley, las empresas del Estado y sociedades en que este tenga participación.</w:t>
      </w:r>
    </w:p>
    <w:p w14:paraId="7BBCFA88" w14:textId="77777777" w:rsidR="00B76E5B" w:rsidRPr="0055553F" w:rsidRDefault="00B76E5B" w:rsidP="00B76E5B">
      <w:pPr>
        <w:pStyle w:val="Textonotapie"/>
        <w:spacing w:after="240"/>
        <w:jc w:val="both"/>
        <w:rPr>
          <w:rFonts w:ascii="Verdana" w:hAnsi="Verdana" w:cs="Arial"/>
          <w:sz w:val="14"/>
          <w:szCs w:val="14"/>
        </w:rPr>
      </w:pPr>
      <w:r w:rsidRPr="0055553F">
        <w:rPr>
          <w:rFonts w:ascii="Verdana" w:hAnsi="Verdana" w:cs="Arial"/>
          <w:sz w:val="14"/>
          <w:szCs w:val="14"/>
        </w:rPr>
        <w:t xml:space="preserve"> f) Los partidos o movimientos políticos y los grupos significativos de ciudadanos.</w:t>
      </w:r>
    </w:p>
    <w:p w14:paraId="1BE43E8D" w14:textId="77777777" w:rsidR="00B76E5B" w:rsidRPr="0055553F" w:rsidRDefault="00B76E5B" w:rsidP="00B76E5B">
      <w:pPr>
        <w:pStyle w:val="Textonotapie"/>
        <w:spacing w:after="240"/>
        <w:jc w:val="both"/>
        <w:rPr>
          <w:rFonts w:ascii="Verdana" w:hAnsi="Verdana" w:cs="Arial"/>
          <w:sz w:val="14"/>
          <w:szCs w:val="14"/>
        </w:rPr>
      </w:pPr>
      <w:r w:rsidRPr="0055553F">
        <w:rPr>
          <w:rFonts w:ascii="Verdana" w:hAnsi="Verdana" w:cs="Arial"/>
          <w:sz w:val="14"/>
          <w:szCs w:val="14"/>
        </w:rPr>
        <w:t xml:space="preserve"> g) Las entidades que administren instituciones parafiscales, fondos o recursos de naturaleza u origen público. </w:t>
      </w:r>
    </w:p>
    <w:p w14:paraId="1E40668A" w14:textId="77777777" w:rsidR="00B76E5B" w:rsidRPr="0055553F" w:rsidRDefault="00B76E5B" w:rsidP="00B76E5B">
      <w:pPr>
        <w:pStyle w:val="Textonotapie"/>
        <w:spacing w:after="240"/>
        <w:jc w:val="both"/>
        <w:rPr>
          <w:rFonts w:ascii="Verdana" w:hAnsi="Verdana" w:cs="Arial"/>
          <w:sz w:val="14"/>
          <w:szCs w:val="14"/>
        </w:rPr>
      </w:pPr>
      <w:r w:rsidRPr="0055553F">
        <w:rPr>
          <w:rFonts w:ascii="Verdana" w:hAnsi="Verdana" w:cs="Arial"/>
          <w:sz w:val="14"/>
          <w:szCs w:val="14"/>
        </w:rPr>
        <w:t xml:space="preserve">Las personas naturales o jurídicas que reciban o intermedien fondos o beneficios públicos territoriales y nacionales y no cumplan ninguno de los otros requisitos para ser considerados sujetos obligados, solo deberán cumplir con la presente ley respecto de aquella información que se produzca en relación con fondos públicos que reciban o intermedien. </w:t>
      </w:r>
    </w:p>
    <w:p w14:paraId="27AA8244" w14:textId="77777777" w:rsidR="00B76E5B" w:rsidRPr="0055553F" w:rsidRDefault="00B76E5B" w:rsidP="00B76E5B">
      <w:pPr>
        <w:pStyle w:val="Textonotapie"/>
        <w:spacing w:after="240"/>
        <w:jc w:val="both"/>
        <w:rPr>
          <w:rFonts w:ascii="Verdana" w:hAnsi="Verdana" w:cs="Arial"/>
          <w:sz w:val="14"/>
          <w:szCs w:val="14"/>
        </w:rPr>
      </w:pPr>
      <w:r w:rsidRPr="0055553F">
        <w:rPr>
          <w:rFonts w:ascii="Verdana" w:hAnsi="Verdana" w:cs="Arial"/>
          <w:sz w:val="14"/>
          <w:szCs w:val="14"/>
        </w:rPr>
        <w:t>PARÁGRAFO 1o. No serán sujetos obligados aquellas personas naturales o jurídicas de carácter privado que sean usuarios de información pública”.</w:t>
      </w:r>
    </w:p>
  </w:footnote>
  <w:footnote w:id="7">
    <w:p w14:paraId="53544524" w14:textId="77777777" w:rsidR="00B76E5B" w:rsidRPr="00A172E0" w:rsidRDefault="00B76E5B" w:rsidP="00B76E5B">
      <w:pPr>
        <w:pStyle w:val="Textonotapie"/>
        <w:ind w:firstLine="708"/>
        <w:jc w:val="both"/>
        <w:rPr>
          <w:rFonts w:ascii="Verdana" w:hAnsi="Verdana" w:cs="Arial"/>
          <w:sz w:val="18"/>
          <w:szCs w:val="18"/>
        </w:rPr>
      </w:pPr>
      <w:r w:rsidRPr="00A172E0">
        <w:rPr>
          <w:rStyle w:val="Refdenotaalpie"/>
          <w:rFonts w:ascii="Verdana" w:hAnsi="Verdana" w:cs="Arial"/>
          <w:sz w:val="18"/>
          <w:szCs w:val="18"/>
        </w:rPr>
        <w:footnoteRef/>
      </w:r>
      <w:r>
        <w:rPr>
          <w:rFonts w:ascii="Verdana" w:hAnsi="Verdana" w:cs="Arial"/>
          <w:sz w:val="18"/>
          <w:szCs w:val="18"/>
        </w:rPr>
        <w:t xml:space="preserve"> </w:t>
      </w:r>
      <w:r w:rsidRPr="00A172E0">
        <w:rPr>
          <w:rFonts w:ascii="Verdana" w:hAnsi="Verdana" w:cs="Arial"/>
          <w:sz w:val="18"/>
          <w:szCs w:val="18"/>
        </w:rPr>
        <w:t xml:space="preserve">Definición tomada </w:t>
      </w:r>
      <w:hyperlink r:id="rId1" w:anchor=":~:text=Muchos%20tienen%20diferentes%20conceptos%20sobre,en%20un%20sitio%20abierto%20o" w:history="1">
        <w:r w:rsidRPr="00A172E0">
          <w:rPr>
            <w:rStyle w:val="Hipervnculo"/>
            <w:rFonts w:ascii="Verdana" w:hAnsi="Verdana" w:cs="Arial"/>
            <w:sz w:val="18"/>
            <w:szCs w:val="18"/>
          </w:rPr>
          <w:t>https://www.culturarecreacionydeporte.gov.co/es/bogotanitos/bogodatos/las-plazas-de-mercado-de-bogota#:~:text=Muchos%20tienen%20diferentes%20conceptos%20sobre,en%20un%20sitio%20abierto%20o</w:t>
        </w:r>
      </w:hyperlink>
      <w:r w:rsidRPr="00A172E0">
        <w:rPr>
          <w:rFonts w:ascii="Verdana" w:hAnsi="Verdana" w:cs="Arial"/>
          <w:sz w:val="18"/>
          <w:szCs w:val="18"/>
        </w:rPr>
        <w:t xml:space="preserve"> </w:t>
      </w:r>
    </w:p>
    <w:p w14:paraId="62ED5922" w14:textId="77777777" w:rsidR="00B76E5B" w:rsidRPr="00A172E0" w:rsidRDefault="00B76E5B" w:rsidP="00B76E5B">
      <w:pPr>
        <w:pStyle w:val="Textonotapie"/>
        <w:ind w:firstLine="708"/>
        <w:jc w:val="both"/>
        <w:rPr>
          <w:rFonts w:ascii="Verdana" w:hAnsi="Verdana" w:cs="Arial"/>
          <w:sz w:val="18"/>
          <w:szCs w:val="18"/>
        </w:rPr>
      </w:pPr>
    </w:p>
  </w:footnote>
  <w:footnote w:id="8">
    <w:p w14:paraId="46814C23" w14:textId="77777777" w:rsidR="00B76E5B" w:rsidRPr="00A172E0" w:rsidRDefault="00B76E5B" w:rsidP="00B76E5B">
      <w:pPr>
        <w:pStyle w:val="Textonotapie"/>
        <w:ind w:firstLine="708"/>
        <w:rPr>
          <w:rFonts w:ascii="Verdana" w:hAnsi="Verdana" w:cs="Arial"/>
          <w:sz w:val="18"/>
          <w:szCs w:val="18"/>
        </w:rPr>
      </w:pPr>
      <w:r w:rsidRPr="00A172E0">
        <w:rPr>
          <w:rStyle w:val="Refdenotaalpie"/>
          <w:rFonts w:ascii="Verdana" w:hAnsi="Verdana" w:cs="Arial"/>
          <w:sz w:val="18"/>
          <w:szCs w:val="18"/>
        </w:rPr>
        <w:footnoteRef/>
      </w:r>
      <w:r w:rsidRPr="00A172E0">
        <w:rPr>
          <w:rFonts w:ascii="Verdana" w:hAnsi="Verdana" w:cs="Arial"/>
          <w:sz w:val="18"/>
          <w:szCs w:val="18"/>
        </w:rPr>
        <w:t xml:space="preserve"> Instituto para la Economía Social de la Alcaldía Mayor de Bogotá D.C. Resolución No. 290 de 2014. </w:t>
      </w:r>
      <w:r w:rsidRPr="00A172E0">
        <w:rPr>
          <w:rFonts w:ascii="Verdana" w:hAnsi="Verdana" w:cs="Arial"/>
          <w:i/>
          <w:iCs/>
          <w:sz w:val="18"/>
          <w:szCs w:val="18"/>
        </w:rPr>
        <w:t>“Por la cual se expide el Reglamento Administrativo, Operativo y de Mantenimiento de las Plazas de Mercado del Distrito Capital”.</w:t>
      </w:r>
      <w:r w:rsidRPr="00A172E0">
        <w:rPr>
          <w:rFonts w:ascii="Verdana" w:hAnsi="Verdana" w:cs="Arial"/>
          <w:sz w:val="18"/>
          <w:szCs w:val="18"/>
        </w:rPr>
        <w:t xml:space="preserve"> Artículo 3. </w:t>
      </w:r>
    </w:p>
    <w:p w14:paraId="6952ABEF" w14:textId="77777777" w:rsidR="00B76E5B" w:rsidRPr="00A172E0" w:rsidRDefault="00B76E5B" w:rsidP="00B76E5B">
      <w:pPr>
        <w:pStyle w:val="Textonotapie"/>
        <w:ind w:firstLine="708"/>
        <w:rPr>
          <w:rFonts w:ascii="Verdana" w:hAnsi="Verdana" w:cs="Arial"/>
          <w:sz w:val="18"/>
          <w:szCs w:val="18"/>
        </w:rPr>
      </w:pPr>
    </w:p>
  </w:footnote>
  <w:footnote w:id="9">
    <w:p w14:paraId="239AEC22" w14:textId="77777777" w:rsidR="00B76E5B" w:rsidRPr="00A172E0" w:rsidRDefault="00B76E5B" w:rsidP="00B76E5B">
      <w:pPr>
        <w:pStyle w:val="Textonotapie"/>
        <w:ind w:firstLine="708"/>
        <w:jc w:val="both"/>
        <w:rPr>
          <w:rFonts w:ascii="Verdana" w:hAnsi="Verdana" w:cs="Arial"/>
          <w:sz w:val="18"/>
          <w:szCs w:val="18"/>
        </w:rPr>
      </w:pPr>
      <w:r w:rsidRPr="00A172E0">
        <w:rPr>
          <w:rStyle w:val="Refdenotaalpie"/>
          <w:rFonts w:ascii="Verdana" w:hAnsi="Verdana" w:cs="Arial"/>
          <w:sz w:val="18"/>
          <w:szCs w:val="18"/>
        </w:rPr>
        <w:footnoteRef/>
      </w:r>
      <w:r w:rsidRPr="00A172E0">
        <w:rPr>
          <w:rFonts w:ascii="Verdana" w:hAnsi="Verdana" w:cs="Arial"/>
          <w:sz w:val="18"/>
          <w:szCs w:val="18"/>
        </w:rPr>
        <w:t xml:space="preserve"> Instituto para la Economía Social de la Alcaldía Mayor de Bogotá D.C. Resolución No. 267 de 2020. </w:t>
      </w:r>
      <w:r w:rsidRPr="00A172E0">
        <w:rPr>
          <w:rFonts w:ascii="Verdana" w:eastAsia="Calibri" w:hAnsi="Verdana" w:cs="Arial"/>
          <w:sz w:val="18"/>
          <w:szCs w:val="18"/>
          <w:lang w:val="es-ES_tradnl"/>
        </w:rPr>
        <w:t>“</w:t>
      </w:r>
      <w:r w:rsidRPr="00A172E0">
        <w:rPr>
          <w:rFonts w:ascii="Verdana" w:hAnsi="Verdana" w:cs="Arial"/>
          <w:sz w:val="18"/>
          <w:szCs w:val="18"/>
        </w:rPr>
        <w:t>Artículo 3. Plazas de Mercado Distritales, Definición, función y misión. Las plazas de mercado son actividades, de carácter permanente o itinerante, que reúnen a comerciantes en espacios públicos construidos a efectos de comercializar bienes y servicios primordialmente de abastecimiento alimentario, para el cumplimiento de la misión y función del Sistema Distrital de Plazas de Mercado. El Sistema de Plazas de Mercado de propiedad del Distrito Capital, es el conjunto de medidas y acciones operativas, técnicas, económicas y jurídicas, que favorecen la prestación del servicio de suministro de alimentos. La misión de las plazas de mercado distritales es implementar el Plan Maestro de Abastecimiento y seguridad Alimentaria para Bogotá - PMASAB - conforme a la Política Pública de Seguridad Alimentaria y Nutricional - CONPES 09 de 2019, y en aquellas plazas reconocidas como atractivo turístico de la ciudad coordinará con el Instituto Distrital de Turismo - IDT- su aprovechamiento turístico</w:t>
      </w:r>
      <w:r w:rsidRPr="00A172E0">
        <w:rPr>
          <w:rFonts w:ascii="Verdana" w:eastAsia="Calibri" w:hAnsi="Verdana" w:cs="Arial"/>
          <w:sz w:val="18"/>
          <w:szCs w:val="18"/>
          <w:lang w:val="es-ES_trad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12154" w14:textId="26E0CE9D" w:rsidR="00756841" w:rsidRDefault="00A211EE">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1963371B" wp14:editId="240CF296">
          <wp:simplePos x="0" y="0"/>
          <wp:positionH relativeFrom="margin">
            <wp:align>center</wp:align>
          </wp:positionH>
          <wp:positionV relativeFrom="paragraph">
            <wp:posOffset>-250190</wp:posOffset>
          </wp:positionV>
          <wp:extent cx="1924050" cy="856004"/>
          <wp:effectExtent l="0" t="0" r="0" b="1270"/>
          <wp:wrapNone/>
          <wp:docPr id="13090899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309089902"/>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6AB0A4A3">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66537681" w14:textId="77777777" w:rsidR="00A211EE" w:rsidRDefault="00A211EE" w:rsidP="00A211EE">
    <w:pPr>
      <w:spacing w:after="0"/>
      <w:rPr>
        <w:rFonts w:ascii="Verdana" w:hAnsi="Verdana"/>
        <w:b/>
        <w:bCs/>
        <w:sz w:val="24"/>
        <w:szCs w:val="24"/>
      </w:rPr>
    </w:pPr>
  </w:p>
  <w:p w14:paraId="56E67371" w14:textId="77777777" w:rsidR="00A211EE" w:rsidRDefault="00A211EE" w:rsidP="00A211EE">
    <w:pPr>
      <w:spacing w:after="0" w:line="120" w:lineRule="auto"/>
      <w:rPr>
        <w:rFonts w:ascii="Verdana" w:hAnsi="Verdana"/>
        <w:b/>
        <w:bCs/>
        <w:sz w:val="24"/>
        <w:szCs w:val="24"/>
      </w:rPr>
    </w:pPr>
  </w:p>
  <w:p w14:paraId="57EAD95F" w14:textId="77777777" w:rsidR="00C15107" w:rsidRDefault="00C15107" w:rsidP="00A211EE">
    <w:pPr>
      <w:spacing w:after="0" w:line="120" w:lineRule="auto"/>
      <w:rPr>
        <w:rFonts w:ascii="Verdana" w:hAnsi="Verdana"/>
        <w:b/>
        <w:bCs/>
        <w:sz w:val="24"/>
        <w:szCs w:val="24"/>
      </w:rPr>
    </w:pPr>
  </w:p>
  <w:p w14:paraId="49D18D3D" w14:textId="77777777" w:rsidR="00C15107" w:rsidRPr="00A211EE" w:rsidRDefault="00C15107" w:rsidP="00A211EE">
    <w:pPr>
      <w:spacing w:after="0" w:line="120" w:lineRule="auto"/>
      <w:rPr>
        <w:rFonts w:ascii="Verdana" w:hAnsi="Verdana"/>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360"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3833D91"/>
    <w:multiLevelType w:val="hybridMultilevel"/>
    <w:tmpl w:val="180CE1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1057956"/>
    <w:multiLevelType w:val="multilevel"/>
    <w:tmpl w:val="300E0C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247C28"/>
    <w:multiLevelType w:val="multilevel"/>
    <w:tmpl w:val="DF74EA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72A90290"/>
    <w:multiLevelType w:val="hybridMultilevel"/>
    <w:tmpl w:val="0C80D4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48779781">
    <w:abstractNumId w:val="7"/>
  </w:num>
  <w:num w:numId="2" w16cid:durableId="19822139">
    <w:abstractNumId w:val="1"/>
  </w:num>
  <w:num w:numId="3" w16cid:durableId="876742304">
    <w:abstractNumId w:val="5"/>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1"/>
  </w:num>
  <w:num w:numId="6" w16cid:durableId="341274352">
    <w:abstractNumId w:val="0"/>
  </w:num>
  <w:num w:numId="7" w16cid:durableId="1492209491">
    <w:abstractNumId w:val="6"/>
  </w:num>
  <w:num w:numId="8" w16cid:durableId="679089576">
    <w:abstractNumId w:val="8"/>
  </w:num>
  <w:num w:numId="9" w16cid:durableId="1215779694">
    <w:abstractNumId w:val="9"/>
  </w:num>
  <w:num w:numId="10" w16cid:durableId="1677924500">
    <w:abstractNumId w:val="2"/>
  </w:num>
  <w:num w:numId="11" w16cid:durableId="1018695830">
    <w:abstractNumId w:val="3"/>
  </w:num>
  <w:num w:numId="12" w16cid:durableId="16677859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712EE"/>
    <w:rsid w:val="000A683E"/>
    <w:rsid w:val="000B19B9"/>
    <w:rsid w:val="000D0334"/>
    <w:rsid w:val="000E4556"/>
    <w:rsid w:val="000F6486"/>
    <w:rsid w:val="00127233"/>
    <w:rsid w:val="00170201"/>
    <w:rsid w:val="001B52B0"/>
    <w:rsid w:val="001E4177"/>
    <w:rsid w:val="001E7CB4"/>
    <w:rsid w:val="00263855"/>
    <w:rsid w:val="00280048"/>
    <w:rsid w:val="00293F8C"/>
    <w:rsid w:val="002951A0"/>
    <w:rsid w:val="002962BC"/>
    <w:rsid w:val="002A49AC"/>
    <w:rsid w:val="002A64FD"/>
    <w:rsid w:val="002C7430"/>
    <w:rsid w:val="002C7A84"/>
    <w:rsid w:val="002F3FC8"/>
    <w:rsid w:val="002F4432"/>
    <w:rsid w:val="00364476"/>
    <w:rsid w:val="00391635"/>
    <w:rsid w:val="003A4D7A"/>
    <w:rsid w:val="003A779E"/>
    <w:rsid w:val="003D0F4D"/>
    <w:rsid w:val="003E0499"/>
    <w:rsid w:val="003F3941"/>
    <w:rsid w:val="0042560E"/>
    <w:rsid w:val="00492DE4"/>
    <w:rsid w:val="004A1847"/>
    <w:rsid w:val="004A305D"/>
    <w:rsid w:val="004F21C4"/>
    <w:rsid w:val="004F685F"/>
    <w:rsid w:val="00516CA1"/>
    <w:rsid w:val="00516F79"/>
    <w:rsid w:val="005566E8"/>
    <w:rsid w:val="00574867"/>
    <w:rsid w:val="00594DCF"/>
    <w:rsid w:val="005B7355"/>
    <w:rsid w:val="005C5CDC"/>
    <w:rsid w:val="005C6095"/>
    <w:rsid w:val="005D476C"/>
    <w:rsid w:val="005E5DA4"/>
    <w:rsid w:val="005F04DD"/>
    <w:rsid w:val="006219F8"/>
    <w:rsid w:val="00665D70"/>
    <w:rsid w:val="00694F62"/>
    <w:rsid w:val="006F1A1E"/>
    <w:rsid w:val="00706C16"/>
    <w:rsid w:val="00756841"/>
    <w:rsid w:val="00762804"/>
    <w:rsid w:val="007649AB"/>
    <w:rsid w:val="007833AC"/>
    <w:rsid w:val="007C3DC2"/>
    <w:rsid w:val="007D375C"/>
    <w:rsid w:val="007E5497"/>
    <w:rsid w:val="00806F5F"/>
    <w:rsid w:val="00820278"/>
    <w:rsid w:val="008250F1"/>
    <w:rsid w:val="00860748"/>
    <w:rsid w:val="0087670B"/>
    <w:rsid w:val="008843B6"/>
    <w:rsid w:val="00891928"/>
    <w:rsid w:val="008A446D"/>
    <w:rsid w:val="008B5C99"/>
    <w:rsid w:val="008F0EA7"/>
    <w:rsid w:val="0091596E"/>
    <w:rsid w:val="00923EEF"/>
    <w:rsid w:val="009419F9"/>
    <w:rsid w:val="0094458D"/>
    <w:rsid w:val="00961B09"/>
    <w:rsid w:val="00962498"/>
    <w:rsid w:val="00965334"/>
    <w:rsid w:val="0097093E"/>
    <w:rsid w:val="009C71FA"/>
    <w:rsid w:val="009C72E7"/>
    <w:rsid w:val="00A17F13"/>
    <w:rsid w:val="00A20739"/>
    <w:rsid w:val="00A211EE"/>
    <w:rsid w:val="00A33C78"/>
    <w:rsid w:val="00A53CE0"/>
    <w:rsid w:val="00A84F8D"/>
    <w:rsid w:val="00AB0ADB"/>
    <w:rsid w:val="00AD788A"/>
    <w:rsid w:val="00B16D42"/>
    <w:rsid w:val="00B675BC"/>
    <w:rsid w:val="00B72CD3"/>
    <w:rsid w:val="00B72FFF"/>
    <w:rsid w:val="00B73AF8"/>
    <w:rsid w:val="00B76E5B"/>
    <w:rsid w:val="00BD4A47"/>
    <w:rsid w:val="00BD7F72"/>
    <w:rsid w:val="00C15107"/>
    <w:rsid w:val="00C24BBE"/>
    <w:rsid w:val="00C330EB"/>
    <w:rsid w:val="00C754BE"/>
    <w:rsid w:val="00CB6357"/>
    <w:rsid w:val="00CC1B26"/>
    <w:rsid w:val="00CD77D3"/>
    <w:rsid w:val="00D423A2"/>
    <w:rsid w:val="00D63AC2"/>
    <w:rsid w:val="00D7383B"/>
    <w:rsid w:val="00D825F4"/>
    <w:rsid w:val="00D83E2D"/>
    <w:rsid w:val="00DD28D8"/>
    <w:rsid w:val="00E009FC"/>
    <w:rsid w:val="00E10726"/>
    <w:rsid w:val="00E16408"/>
    <w:rsid w:val="00E20894"/>
    <w:rsid w:val="00E245AB"/>
    <w:rsid w:val="00E26153"/>
    <w:rsid w:val="00E50AFE"/>
    <w:rsid w:val="00E70AF3"/>
    <w:rsid w:val="00E771DC"/>
    <w:rsid w:val="00E8772A"/>
    <w:rsid w:val="00E90F6B"/>
    <w:rsid w:val="00E92C27"/>
    <w:rsid w:val="00E93683"/>
    <w:rsid w:val="00EA0E3D"/>
    <w:rsid w:val="00EE1AA8"/>
    <w:rsid w:val="00EF4AAB"/>
    <w:rsid w:val="00F15DFD"/>
    <w:rsid w:val="00F31EDC"/>
    <w:rsid w:val="00F5664F"/>
    <w:rsid w:val="00F76AFC"/>
    <w:rsid w:val="00F76FB5"/>
    <w:rsid w:val="00FB5DD1"/>
    <w:rsid w:val="00FC2B5D"/>
    <w:rsid w:val="00FC5592"/>
    <w:rsid w:val="00FE4892"/>
    <w:rsid w:val="00FF1449"/>
    <w:rsid w:val="0397209A"/>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CDEBE633-131D-410E-B89B-58D1CAB3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styleId="Hipervnculo">
    <w:name w:val="Hyperlink"/>
    <w:basedOn w:val="Fuentedeprrafopredeter"/>
    <w:uiPriority w:val="99"/>
    <w:unhideWhenUsed/>
    <w:rsid w:val="00B76E5B"/>
    <w:rPr>
      <w:color w:val="0000FF"/>
      <w:u w:val="single"/>
    </w:rPr>
  </w:style>
  <w:style w:type="paragraph" w:styleId="Sinespaciado">
    <w:name w:val="No Spacing"/>
    <w:uiPriority w:val="1"/>
    <w:qFormat/>
    <w:rsid w:val="00B76E5B"/>
    <w:pPr>
      <w:spacing w:after="0" w:line="240" w:lineRule="auto"/>
    </w:pPr>
  </w:style>
  <w:style w:type="paragraph" w:customStyle="1" w:styleId="Appelnotedebasde">
    <w:name w:val="Appel note de bas de..."/>
    <w:basedOn w:val="Normal"/>
    <w:link w:val="Refdenotaalpie"/>
    <w:uiPriority w:val="99"/>
    <w:rsid w:val="00B76E5B"/>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B76E5B"/>
    <w:rPr>
      <w:rFonts w:ascii="Geomanist Light" w:hAnsi="Geomanist Light"/>
      <w:lang w:val="es-ES"/>
    </w:rPr>
  </w:style>
  <w:style w:type="character" w:styleId="Textoennegrita">
    <w:name w:val="Strong"/>
    <w:basedOn w:val="Fuentedeprrafopredeter"/>
    <w:uiPriority w:val="22"/>
    <w:qFormat/>
    <w:rsid w:val="00B76E5B"/>
    <w:rPr>
      <w:b/>
      <w:bCs/>
    </w:rPr>
  </w:style>
  <w:style w:type="paragraph" w:customStyle="1" w:styleId="xmsonormal">
    <w:name w:val="x_msonormal"/>
    <w:basedOn w:val="Normal"/>
    <w:rsid w:val="00694F62"/>
    <w:pPr>
      <w:spacing w:after="0" w:line="240" w:lineRule="auto"/>
    </w:pPr>
    <w:rPr>
      <w:rFonts w:ascii="Aptos" w:hAnsi="Aptos" w:cs="Aptos"/>
      <w:sz w:val="24"/>
      <w:szCs w:val="24"/>
      <w:lang w:eastAsia="es-CO"/>
    </w:rPr>
  </w:style>
  <w:style w:type="paragraph" w:customStyle="1" w:styleId="xmsolistparagraph">
    <w:name w:val="x_msolistparagraph"/>
    <w:basedOn w:val="Normal"/>
    <w:rsid w:val="00694F62"/>
    <w:pPr>
      <w:spacing w:after="0" w:line="240" w:lineRule="auto"/>
      <w:ind w:left="720"/>
    </w:pPr>
    <w:rPr>
      <w:rFonts w:ascii="Aptos" w:hAnsi="Aptos" w:cs="Aptos"/>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50657">
      <w:bodyDiv w:val="1"/>
      <w:marLeft w:val="0"/>
      <w:marRight w:val="0"/>
      <w:marTop w:val="0"/>
      <w:marBottom w:val="0"/>
      <w:divBdr>
        <w:top w:val="none" w:sz="0" w:space="0" w:color="auto"/>
        <w:left w:val="none" w:sz="0" w:space="0" w:color="auto"/>
        <w:bottom w:val="none" w:sz="0" w:space="0" w:color="auto"/>
        <w:right w:val="none" w:sz="0" w:space="0" w:color="auto"/>
      </w:divBdr>
    </w:div>
    <w:div w:id="544220673">
      <w:bodyDiv w:val="1"/>
      <w:marLeft w:val="0"/>
      <w:marRight w:val="0"/>
      <w:marTop w:val="0"/>
      <w:marBottom w:val="0"/>
      <w:divBdr>
        <w:top w:val="none" w:sz="0" w:space="0" w:color="auto"/>
        <w:left w:val="none" w:sz="0" w:space="0" w:color="auto"/>
        <w:bottom w:val="none" w:sz="0" w:space="0" w:color="auto"/>
        <w:right w:val="none" w:sz="0" w:space="0" w:color="auto"/>
      </w:divBdr>
    </w:div>
    <w:div w:id="837841387">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447582299">
      <w:bodyDiv w:val="1"/>
      <w:marLeft w:val="0"/>
      <w:marRight w:val="0"/>
      <w:marTop w:val="0"/>
      <w:marBottom w:val="0"/>
      <w:divBdr>
        <w:top w:val="none" w:sz="0" w:space="0" w:color="auto"/>
        <w:left w:val="none" w:sz="0" w:space="0" w:color="auto"/>
        <w:bottom w:val="none" w:sz="0" w:space="0" w:color="auto"/>
        <w:right w:val="none" w:sz="0" w:space="0" w:color="auto"/>
      </w:divBdr>
    </w:div>
    <w:div w:id="203333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latoria.colombiacompra.gov.co/busqueda/concepto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am02.safelinks.protection.outlook.com/?url=https%3A%2F%2Fwww.colombiacompra.gov.co%2Fsites%2Fcce_public%2Ffiles%2Fcce_infografias%2Fidt_cambios_secop_ii.pdf&amp;data=05%7C02%7Candres.cabarcas%40colombiacompra.gov.co%7C1191c7e4bc554b41821c08dca0598ace%7C7b09041e245149d08cb179d5e3d8c1be%7C0%7C0%7C638561553692394043%7CUnknown%7CTWFpbGZsb3d8eyJWIjoiMC4wLjAwMDAiLCJQIjoiV2luMzIiLCJBTiI6Ik1haWwiLCJXVCI6Mn0%3D%7C0%7C%7C%7C&amp;sdata=makolFvaxqMKvFgAVPvsJxkqVJnZ7KT95uUIywN4h%2Fw%3D&amp;reserved=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m02.safelinks.protection.outlook.com/?url=https%3A%2F%2Fwww.colombiacompra.gov.co%2Fsecop-ii%2Feres-formador-del-secop-ii-encuentra-material-de-apoyo-aqui&amp;data=05%7C02%7Candres.cabarcas%40colombiacompra.gov.co%7C1191c7e4bc554b41821c08dca0598ace%7C7b09041e245149d08cb179d5e3d8c1be%7C0%7C0%7C638561553692378814%7CUnknown%7CTWFpbGZsb3d8eyJWIjoiMC4wLjAwMDAiLCJQIjoiV2luMzIiLCJBTiI6Ik1haWwiLCJXVCI6Mn0%3D%7C0%7C%7C%7C&amp;sdata=aNbtqOXtcmBqCPb2E%2BrOOizSRVJC5LBJItZwaoAV8OU%3D&amp;reserved=0"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lombiacompra.gov.co/sala-de-prensa/boletin-digita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ulturarecreacionydeporte.gov.co/es/bogotanitos/bogodatos/las-plazas-de-mercado-de-bogot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85dbaf-23eb-4e57-a637-93dcacc8b1a1">
      <Terms xmlns="http://schemas.microsoft.com/office/infopath/2007/PartnerControls"/>
    </lcf76f155ced4ddcb4097134ff3c332f>
    <TaxCatchAll xmlns="a6cb9e4b-f1d1-4245-83ec-6cad768d538a" xsi:nil="true"/>
    <SharedWithUsers xmlns="a6cb9e4b-f1d1-4245-83ec-6cad768d538a">
      <UserInfo>
        <DisplayName>Andrés Ricardo Cabarcas Thorne</DisplayName>
        <AccountId>736</AccountId>
        <AccountType/>
      </UserInfo>
      <UserInfo>
        <DisplayName>Libardo Alberto Verjel De Filippis</DisplayName>
        <AccountId>226</AccountId>
        <AccountType/>
      </UserInfo>
    </SharedWithUsers>
    <No xmlns="9d85dbaf-23eb-4e57-a637-93dcacc8b1a1" xsi:nil="true"/>
    <_Flow_SignoffStatus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44235339-776A-4318-BD4E-2676844FC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13</Pages>
  <Words>4058</Words>
  <Characters>22321</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Oscar David Mórelo Pedroza</cp:lastModifiedBy>
  <cp:revision>6</cp:revision>
  <cp:lastPrinted>2023-01-10T18:18:00Z</cp:lastPrinted>
  <dcterms:created xsi:type="dcterms:W3CDTF">2024-07-09T22:38:00Z</dcterms:created>
  <dcterms:modified xsi:type="dcterms:W3CDTF">2024-11-07T21:25:00Z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