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AA243" w14:textId="77777777" w:rsidR="006E1D19" w:rsidRPr="006E1D19" w:rsidRDefault="006E1D19" w:rsidP="006E1D19">
      <w:pPr>
        <w:pStyle w:val="Textoindependiente"/>
        <w:ind w:right="204"/>
        <w:jc w:val="both"/>
        <w:rPr>
          <w:rFonts w:ascii="Century Gothic" w:eastAsia="Aptos" w:hAnsi="Century Gothic" w:cs="Arial"/>
          <w:b/>
          <w:bCs/>
          <w:sz w:val="20"/>
          <w:szCs w:val="20"/>
          <w:lang w:val="es-ES"/>
        </w:rPr>
      </w:pPr>
      <w:r w:rsidRPr="006E1D19">
        <w:rPr>
          <w:rFonts w:ascii="Century Gothic" w:eastAsia="Aptos" w:hAnsi="Century Gothic" w:cs="Arial"/>
          <w:b/>
          <w:bCs/>
          <w:sz w:val="20"/>
          <w:szCs w:val="20"/>
          <w:lang w:val="es-ES"/>
        </w:rPr>
        <w:t xml:space="preserve">PUBLICIDAD – Deber de Publicidad – Entidades estatales </w:t>
      </w:r>
    </w:p>
    <w:p w14:paraId="05AF9ECA" w14:textId="77777777" w:rsidR="006E1D19" w:rsidRPr="006E1D19" w:rsidRDefault="006E1D19" w:rsidP="006E1D19">
      <w:pPr>
        <w:pStyle w:val="Textoindependiente"/>
        <w:ind w:right="204"/>
        <w:jc w:val="both"/>
        <w:rPr>
          <w:rFonts w:ascii="Century Gothic" w:eastAsia="Aptos" w:hAnsi="Century Gothic" w:cs="Arial"/>
          <w:sz w:val="20"/>
          <w:szCs w:val="20"/>
          <w:lang w:val="es-ES"/>
        </w:rPr>
      </w:pPr>
    </w:p>
    <w:p w14:paraId="3D6B5292" w14:textId="77777777" w:rsidR="006E1D19" w:rsidRPr="006E1D19" w:rsidRDefault="006E1D19" w:rsidP="006E1D19">
      <w:pPr>
        <w:pStyle w:val="Textoindependiente"/>
        <w:ind w:right="204"/>
        <w:jc w:val="both"/>
        <w:rPr>
          <w:rFonts w:ascii="Century Gothic" w:eastAsia="Aptos" w:hAnsi="Century Gothic" w:cs="Arial"/>
          <w:sz w:val="20"/>
          <w:szCs w:val="20"/>
          <w:lang w:val="es-ES"/>
        </w:rPr>
      </w:pPr>
      <w:r w:rsidRPr="006E1D19">
        <w:rPr>
          <w:rFonts w:ascii="Century Gothic" w:eastAsia="Aptos" w:hAnsi="Century Gothic" w:cs="Arial"/>
          <w:sz w:val="20"/>
          <w:szCs w:val="20"/>
          <w:lang w:val="es-ES"/>
        </w:rPr>
        <w:t>La Agencia Nacional de Contratación Pública - Colombia Compra Eficiente-, mediante la Circular Externa No 1 de 21 de junio de 2013, recopilada en la Circular Externa Única1, recopiló la normativa y recordó a todas las entidades del Estado la obligación de publicar oportunamente su actividad contractual en el Sistema Electrónico de Contratación Pública (SECOP), sin que sea relevante para la exigencia de esta obligación su régimen jurídico, naturaleza de público o privado o la pertenencia a una u otra rama del poder público. Junto con lo anterior,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594B84CD" w14:textId="77777777" w:rsidR="006E1D19" w:rsidRPr="006E1D19" w:rsidRDefault="006E1D19" w:rsidP="006E1D19">
      <w:pPr>
        <w:pStyle w:val="Textoindependiente"/>
        <w:ind w:right="204"/>
        <w:jc w:val="both"/>
        <w:rPr>
          <w:rFonts w:ascii="Century Gothic" w:eastAsia="Aptos" w:hAnsi="Century Gothic" w:cs="Arial"/>
          <w:sz w:val="20"/>
          <w:szCs w:val="20"/>
          <w:lang w:val="es-ES"/>
        </w:rPr>
      </w:pPr>
    </w:p>
    <w:p w14:paraId="41329D8A" w14:textId="77777777" w:rsidR="006E1D19" w:rsidRPr="006E1D19" w:rsidRDefault="006E1D19" w:rsidP="006E1D19">
      <w:pPr>
        <w:pStyle w:val="Textoindependiente"/>
        <w:ind w:right="204"/>
        <w:jc w:val="both"/>
        <w:rPr>
          <w:rFonts w:ascii="Century Gothic" w:eastAsia="Aptos" w:hAnsi="Century Gothic" w:cs="Arial"/>
          <w:b/>
          <w:bCs/>
          <w:sz w:val="20"/>
          <w:szCs w:val="20"/>
          <w:lang w:val="es-ES"/>
        </w:rPr>
      </w:pPr>
      <w:r w:rsidRPr="006E1D19">
        <w:rPr>
          <w:rFonts w:ascii="Century Gothic" w:eastAsia="Aptos" w:hAnsi="Century Gothic" w:cs="Arial"/>
          <w:b/>
          <w:bCs/>
          <w:sz w:val="20"/>
          <w:szCs w:val="20"/>
          <w:lang w:val="es-ES"/>
        </w:rPr>
        <w:t>PUBLICIDAD – Procesos de contratación – Cronograma – Horario – Actividad contractual</w:t>
      </w:r>
    </w:p>
    <w:p w14:paraId="4DD294A5" w14:textId="77777777" w:rsidR="006E1D19" w:rsidRPr="006E1D19" w:rsidRDefault="006E1D19" w:rsidP="006E1D19">
      <w:pPr>
        <w:pStyle w:val="Textoindependiente"/>
        <w:ind w:right="204"/>
        <w:jc w:val="both"/>
        <w:rPr>
          <w:rFonts w:ascii="Century Gothic" w:eastAsia="Aptos" w:hAnsi="Century Gothic" w:cs="Arial"/>
          <w:sz w:val="20"/>
          <w:szCs w:val="20"/>
          <w:lang w:val="es-ES"/>
        </w:rPr>
      </w:pPr>
    </w:p>
    <w:p w14:paraId="229D4BCB" w14:textId="77777777" w:rsidR="006E1D19" w:rsidRPr="006E1D19" w:rsidRDefault="006E1D19" w:rsidP="006E1D19">
      <w:pPr>
        <w:pStyle w:val="Textoindependiente"/>
        <w:ind w:right="204"/>
        <w:jc w:val="both"/>
        <w:rPr>
          <w:rFonts w:ascii="Century Gothic" w:eastAsia="Aptos" w:hAnsi="Century Gothic" w:cs="Arial"/>
          <w:sz w:val="20"/>
          <w:szCs w:val="20"/>
          <w:lang w:val="es-ES"/>
        </w:rPr>
      </w:pPr>
      <w:r w:rsidRPr="006E1D19">
        <w:rPr>
          <w:rFonts w:ascii="Century Gothic" w:eastAsia="Aptos" w:hAnsi="Century Gothic" w:cs="Arial"/>
          <w:sz w:val="20"/>
          <w:szCs w:val="20"/>
          <w:lang w:val="es-ES"/>
        </w:rPr>
        <w:t xml:space="preserve">Es importante precisar que las fechas, horas y plazos de los procesos de contratación se encuentran regulados en el cronograma que establezca la entidad al hacer la invitación a participar. Sin embargo, los artículos 2.2.1.1.1.7.1 y 2.2.1.1.2.2.1. del Decreto 1082 de 2015 sí precisan un término y horario para la publicación de las actividades contractuales. </w:t>
      </w:r>
    </w:p>
    <w:p w14:paraId="07717A06" w14:textId="77777777" w:rsidR="006E1D19" w:rsidRPr="006E1D19" w:rsidRDefault="006E1D19" w:rsidP="006E1D19">
      <w:pPr>
        <w:pStyle w:val="Textoindependiente"/>
        <w:ind w:right="204"/>
        <w:jc w:val="both"/>
        <w:rPr>
          <w:rFonts w:ascii="Century Gothic" w:eastAsia="Aptos" w:hAnsi="Century Gothic" w:cs="Arial"/>
          <w:sz w:val="20"/>
          <w:szCs w:val="20"/>
          <w:lang w:val="es-ES"/>
        </w:rPr>
      </w:pPr>
      <w:r w:rsidRPr="006E1D19">
        <w:rPr>
          <w:rFonts w:ascii="Century Gothic" w:eastAsia="Aptos" w:hAnsi="Century Gothic" w:cs="Arial"/>
          <w:sz w:val="20"/>
          <w:szCs w:val="20"/>
          <w:lang w:val="es-ES"/>
        </w:rPr>
        <w:t>Es indispensable señalar que ni la normativa civil y comercial, ni el Estatuto General de la Contratación Pública señalan que la actividad contractual deba someterse a la jornada laboral de las entidades públicas, pues, como se explicó, la publicidad de las adendas tiene su propio horario, mientras que las demás actividades deberán realizarse de conformidad con el cronograma del proceso de contratación.</w:t>
      </w:r>
    </w:p>
    <w:p w14:paraId="3B405EB7" w14:textId="77777777" w:rsidR="00871B59" w:rsidRPr="006E1D19" w:rsidRDefault="00871B59" w:rsidP="00871B59">
      <w:pPr>
        <w:spacing w:after="0" w:line="240" w:lineRule="auto"/>
        <w:rPr>
          <w:rFonts w:ascii="Verdana" w:eastAsia="Geomanist Light" w:hAnsi="Verdana" w:cs="Arial"/>
          <w:color w:val="000000" w:themeColor="text1"/>
        </w:rPr>
      </w:pPr>
    </w:p>
    <w:p w14:paraId="7C2A5907" w14:textId="77777777" w:rsidR="00871B59" w:rsidRDefault="00871B59" w:rsidP="00871B59">
      <w:pPr>
        <w:spacing w:after="0" w:line="240" w:lineRule="auto"/>
        <w:rPr>
          <w:rFonts w:ascii="Verdana" w:eastAsia="Geomanist Light" w:hAnsi="Verdana" w:cs="Arial"/>
          <w:color w:val="000000" w:themeColor="text1"/>
          <w:lang w:val="es-MX"/>
        </w:rPr>
      </w:pPr>
    </w:p>
    <w:p w14:paraId="7FA66796" w14:textId="77777777" w:rsidR="00871B59" w:rsidRDefault="00871B59" w:rsidP="00871B59">
      <w:pPr>
        <w:spacing w:after="0" w:line="240" w:lineRule="auto"/>
        <w:rPr>
          <w:rFonts w:ascii="Verdana" w:eastAsia="Geomanist Light" w:hAnsi="Verdana" w:cs="Arial"/>
          <w:color w:val="000000" w:themeColor="text1"/>
          <w:lang w:val="es-MX"/>
        </w:rPr>
      </w:pPr>
    </w:p>
    <w:p w14:paraId="2DE0E40C" w14:textId="77777777" w:rsidR="00871B59" w:rsidRDefault="00871B59" w:rsidP="00871B59">
      <w:pPr>
        <w:spacing w:after="0" w:line="240" w:lineRule="auto"/>
        <w:rPr>
          <w:rFonts w:ascii="Verdana" w:eastAsia="Geomanist Light" w:hAnsi="Verdana" w:cs="Arial"/>
          <w:color w:val="000000" w:themeColor="text1"/>
          <w:lang w:val="es-MX"/>
        </w:rPr>
      </w:pPr>
    </w:p>
    <w:p w14:paraId="27997242" w14:textId="77777777" w:rsidR="00871B59" w:rsidRDefault="00871B59" w:rsidP="00871B59">
      <w:pPr>
        <w:spacing w:after="0" w:line="240" w:lineRule="auto"/>
        <w:rPr>
          <w:rFonts w:ascii="Verdana" w:eastAsia="Geomanist Light" w:hAnsi="Verdana" w:cs="Arial"/>
          <w:color w:val="000000" w:themeColor="text1"/>
          <w:lang w:val="es-MX"/>
        </w:rPr>
      </w:pPr>
    </w:p>
    <w:p w14:paraId="44C115E8" w14:textId="77777777" w:rsidR="00871B59" w:rsidRDefault="00871B59" w:rsidP="00871B59">
      <w:pPr>
        <w:spacing w:after="0" w:line="240" w:lineRule="auto"/>
        <w:rPr>
          <w:rFonts w:ascii="Verdana" w:eastAsia="Geomanist Light" w:hAnsi="Verdana" w:cs="Arial"/>
          <w:color w:val="000000" w:themeColor="text1"/>
          <w:lang w:val="es-MX"/>
        </w:rPr>
      </w:pPr>
    </w:p>
    <w:p w14:paraId="3E724D82" w14:textId="77777777" w:rsidR="00871B59" w:rsidRDefault="00871B59" w:rsidP="00871B59">
      <w:pPr>
        <w:spacing w:after="0" w:line="240" w:lineRule="auto"/>
        <w:rPr>
          <w:rFonts w:ascii="Verdana" w:eastAsia="Geomanist Light" w:hAnsi="Verdana" w:cs="Arial"/>
          <w:color w:val="000000" w:themeColor="text1"/>
          <w:lang w:val="es-MX"/>
        </w:rPr>
      </w:pPr>
    </w:p>
    <w:p w14:paraId="4214411A" w14:textId="77777777" w:rsidR="00871B59" w:rsidRDefault="00871B59" w:rsidP="00871B59">
      <w:pPr>
        <w:spacing w:after="0" w:line="240" w:lineRule="auto"/>
        <w:rPr>
          <w:rFonts w:ascii="Verdana" w:eastAsia="Geomanist Light" w:hAnsi="Verdana" w:cs="Arial"/>
          <w:color w:val="000000" w:themeColor="text1"/>
          <w:lang w:val="es-MX"/>
        </w:rPr>
      </w:pPr>
    </w:p>
    <w:p w14:paraId="1E126A39" w14:textId="77777777" w:rsidR="00871B59" w:rsidRDefault="00871B59" w:rsidP="00871B59">
      <w:pPr>
        <w:spacing w:after="0" w:line="240" w:lineRule="auto"/>
        <w:rPr>
          <w:rFonts w:ascii="Verdana" w:eastAsia="Geomanist Light" w:hAnsi="Verdana" w:cs="Arial"/>
          <w:color w:val="000000" w:themeColor="text1"/>
          <w:lang w:val="es-MX"/>
        </w:rPr>
      </w:pPr>
    </w:p>
    <w:p w14:paraId="4381D623" w14:textId="77777777" w:rsidR="00871B59" w:rsidRDefault="00871B59" w:rsidP="00871B59">
      <w:pPr>
        <w:spacing w:after="0" w:line="240" w:lineRule="auto"/>
        <w:rPr>
          <w:rFonts w:ascii="Verdana" w:eastAsia="Geomanist Light" w:hAnsi="Verdana" w:cs="Arial"/>
          <w:color w:val="000000" w:themeColor="text1"/>
          <w:lang w:val="es-MX"/>
        </w:rPr>
      </w:pPr>
    </w:p>
    <w:p w14:paraId="6700D6DA" w14:textId="77777777" w:rsidR="00871B59" w:rsidRPr="00F919E7" w:rsidRDefault="00871B59" w:rsidP="00871B59">
      <w:pPr>
        <w:spacing w:after="0" w:line="240" w:lineRule="auto"/>
        <w:rPr>
          <w:rFonts w:ascii="Century Gothic" w:eastAsia="Geomanist Light" w:hAnsi="Century Gothic" w:cs="Arial"/>
          <w:color w:val="201F1E"/>
          <w:lang w:val="es-MX"/>
        </w:rPr>
      </w:pPr>
      <w:r w:rsidRPr="00F919E7">
        <w:rPr>
          <w:rFonts w:ascii="Century Gothic" w:eastAsia="Geomanist Light" w:hAnsi="Century Gothic" w:cs="Arial"/>
          <w:color w:val="000000" w:themeColor="text1"/>
          <w:lang w:val="es-MX"/>
        </w:rPr>
        <w:lastRenderedPageBreak/>
        <w:t>Bogotá D.C., </w:t>
      </w:r>
      <w:r w:rsidRPr="00F919E7">
        <w:rPr>
          <w:rFonts w:ascii="Century Gothic" w:eastAsia="Geomanist Light" w:hAnsi="Century Gothic" w:cs="Arial"/>
          <w:color w:val="201F1E"/>
          <w:lang w:val="es-MX"/>
        </w:rPr>
        <w:t>[Día] de [Mes.NombreCapitalizado] de [Año]</w:t>
      </w:r>
    </w:p>
    <w:p w14:paraId="263F56BE" w14:textId="77777777" w:rsidR="00871B59" w:rsidRPr="00F919E7" w:rsidRDefault="00871B59" w:rsidP="00871B59">
      <w:pPr>
        <w:spacing w:after="0" w:line="240" w:lineRule="auto"/>
        <w:jc w:val="both"/>
        <w:rPr>
          <w:rFonts w:ascii="Century Gothic" w:eastAsia="Calibri" w:hAnsi="Century Gothic" w:cs="Arial"/>
          <w:color w:val="000000"/>
          <w:lang w:val="es-ES"/>
        </w:rPr>
      </w:pPr>
    </w:p>
    <w:p w14:paraId="66EF7FED" w14:textId="313E94C9" w:rsidR="00871B59" w:rsidRPr="00F919E7" w:rsidRDefault="00871B59" w:rsidP="00871B59">
      <w:pPr>
        <w:spacing w:after="0" w:line="240" w:lineRule="auto"/>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Señor</w:t>
      </w:r>
      <w:r w:rsidR="006E1D19">
        <w:rPr>
          <w:rFonts w:ascii="Century Gothic" w:eastAsia="Calibri" w:hAnsi="Century Gothic" w:cs="Arial"/>
          <w:bCs/>
          <w:lang w:val="es-MX" w:eastAsia="es-ES_tradnl"/>
        </w:rPr>
        <w:t>a</w:t>
      </w:r>
    </w:p>
    <w:p w14:paraId="464ED9A8" w14:textId="69B71F74" w:rsidR="006E1D19" w:rsidRDefault="006E1D19" w:rsidP="00871B59">
      <w:pPr>
        <w:spacing w:after="0" w:line="240" w:lineRule="auto"/>
        <w:rPr>
          <w:rFonts w:ascii="Arial-BoldMT" w:hAnsi="Arial-BoldMT" w:cs="Arial-BoldMT"/>
          <w:b/>
          <w:bCs/>
          <w:sz w:val="24"/>
          <w:szCs w:val="24"/>
        </w:rPr>
      </w:pPr>
      <w:r>
        <w:rPr>
          <w:rFonts w:ascii="Arial-BoldMT" w:hAnsi="Arial-BoldMT" w:cs="Arial-BoldMT"/>
          <w:b/>
          <w:bCs/>
          <w:sz w:val="24"/>
          <w:szCs w:val="24"/>
        </w:rPr>
        <w:t>Marcela Menco Narváez</w:t>
      </w:r>
    </w:p>
    <w:p w14:paraId="4A2B68CF" w14:textId="605042F5" w:rsidR="00BF755C" w:rsidRPr="00F919E7" w:rsidRDefault="006E1D19" w:rsidP="00871B59">
      <w:pPr>
        <w:spacing w:after="0" w:line="240" w:lineRule="auto"/>
        <w:rPr>
          <w:rFonts w:ascii="Century Gothic" w:eastAsia="Calibri" w:hAnsi="Century Gothic" w:cs="Arial"/>
          <w:bCs/>
          <w:lang w:val="es-MX" w:eastAsia="es-ES_tradnl"/>
        </w:rPr>
      </w:pPr>
      <w:r>
        <w:rPr>
          <w:rFonts w:ascii="Century Gothic" w:eastAsia="Calibri" w:hAnsi="Century Gothic" w:cs="Arial"/>
          <w:bCs/>
          <w:lang w:val="es-MX" w:eastAsia="es-ES_tradnl"/>
        </w:rPr>
        <w:t>Procesosjuridicoj3@hotmail.com</w:t>
      </w:r>
    </w:p>
    <w:p w14:paraId="5ACFEA17" w14:textId="65DD9A24" w:rsidR="00871B59" w:rsidRPr="00F919E7" w:rsidRDefault="006E1D19" w:rsidP="00871B59">
      <w:pPr>
        <w:spacing w:after="0" w:line="240" w:lineRule="auto"/>
        <w:rPr>
          <w:rFonts w:ascii="Century Gothic" w:eastAsia="Calibri" w:hAnsi="Century Gothic" w:cs="Arial"/>
          <w:bCs/>
          <w:lang w:val="es-MX" w:eastAsia="es-ES_tradnl"/>
        </w:rPr>
      </w:pPr>
      <w:r>
        <w:rPr>
          <w:rFonts w:ascii="Century Gothic" w:eastAsia="Calibri" w:hAnsi="Century Gothic" w:cs="Arial"/>
          <w:bCs/>
          <w:lang w:val="es-MX" w:eastAsia="es-ES_tradnl"/>
        </w:rPr>
        <w:t>Pasto, Nariño.</w:t>
      </w:r>
    </w:p>
    <w:p w14:paraId="75545CBA" w14:textId="77777777" w:rsidR="00871B59" w:rsidRDefault="00871B59" w:rsidP="00871B59">
      <w:pPr>
        <w:spacing w:after="0" w:line="240" w:lineRule="auto"/>
        <w:rPr>
          <w:rFonts w:ascii="Century Gothic" w:eastAsia="Calibri" w:hAnsi="Century Gothic" w:cs="Arial"/>
          <w:b/>
          <w:bCs/>
          <w:color w:val="000000"/>
          <w:lang w:val="es-ES_tradnl" w:eastAsia="es-ES_tradnl"/>
        </w:rPr>
      </w:pPr>
    </w:p>
    <w:p w14:paraId="51E440B8" w14:textId="10AAD4CB" w:rsidR="00387DAB" w:rsidRPr="00F919E7" w:rsidRDefault="00387DAB" w:rsidP="00387DAB">
      <w:pPr>
        <w:spacing w:after="0" w:line="240" w:lineRule="auto"/>
        <w:jc w:val="right"/>
        <w:rPr>
          <w:rFonts w:ascii="Century Gothic" w:eastAsia="Calibri" w:hAnsi="Century Gothic" w:cs="Arial"/>
          <w:b/>
          <w:bCs/>
          <w:color w:val="000000"/>
          <w:lang w:val="es-ES_tradnl" w:eastAsia="es-ES_tradnl"/>
        </w:rPr>
      </w:pPr>
      <w:r w:rsidRPr="00387DAB">
        <w:rPr>
          <w:rFonts w:ascii="Century Gothic" w:eastAsia="Calibri" w:hAnsi="Century Gothic" w:cs="Arial"/>
          <w:b/>
          <w:bCs/>
          <w:color w:val="000000"/>
          <w:lang w:val="es-ES_tradnl" w:eastAsia="es-ES_tradnl"/>
        </w:rPr>
        <w:drawing>
          <wp:inline distT="0" distB="0" distL="0" distR="0" wp14:anchorId="04B22E17" wp14:editId="429EE0A0">
            <wp:extent cx="3829584" cy="1209844"/>
            <wp:effectExtent l="0" t="0" r="0" b="9525"/>
            <wp:docPr id="14857474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47428" name=""/>
                    <pic:cNvPicPr/>
                  </pic:nvPicPr>
                  <pic:blipFill>
                    <a:blip r:embed="rId11"/>
                    <a:stretch>
                      <a:fillRect/>
                    </a:stretch>
                  </pic:blipFill>
                  <pic:spPr>
                    <a:xfrm>
                      <a:off x="0" y="0"/>
                      <a:ext cx="3829584" cy="1209844"/>
                    </a:xfrm>
                    <a:prstGeom prst="rect">
                      <a:avLst/>
                    </a:prstGeom>
                  </pic:spPr>
                </pic:pic>
              </a:graphicData>
            </a:graphic>
          </wp:inline>
        </w:drawing>
      </w:r>
    </w:p>
    <w:p w14:paraId="40764CBF" w14:textId="77777777" w:rsidR="00871B59" w:rsidRPr="00F919E7" w:rsidRDefault="00871B59" w:rsidP="00871B59">
      <w:pPr>
        <w:spacing w:after="0" w:line="240" w:lineRule="auto"/>
        <w:rPr>
          <w:rFonts w:ascii="Century Gothic" w:eastAsia="Calibri" w:hAnsi="Century Gothic"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1B59" w:rsidRPr="00F919E7" w14:paraId="6AC1791A" w14:textId="77777777" w:rsidTr="002607A7">
        <w:trPr>
          <w:trHeight w:val="884"/>
        </w:trPr>
        <w:tc>
          <w:tcPr>
            <w:tcW w:w="2689" w:type="dxa"/>
          </w:tcPr>
          <w:p w14:paraId="156B1AEC" w14:textId="77777777" w:rsidR="00871B59" w:rsidRPr="00F919E7" w:rsidRDefault="00871B59" w:rsidP="002607A7">
            <w:pPr>
              <w:jc w:val="both"/>
              <w:rPr>
                <w:rFonts w:ascii="Century Gothic" w:eastAsia="Calibri" w:hAnsi="Century Gothic" w:cs="Arial"/>
                <w:b/>
                <w:bCs/>
                <w:color w:val="7030A0"/>
                <w:lang w:val="es-ES_tradnl" w:eastAsia="es-ES_tradnl"/>
              </w:rPr>
            </w:pPr>
          </w:p>
        </w:tc>
        <w:tc>
          <w:tcPr>
            <w:tcW w:w="6100" w:type="dxa"/>
          </w:tcPr>
          <w:p w14:paraId="48F499EA" w14:textId="70647D10" w:rsidR="00871B59" w:rsidRPr="00F919E7" w:rsidRDefault="00871B59" w:rsidP="002607A7">
            <w:pPr>
              <w:jc w:val="both"/>
              <w:rPr>
                <w:rFonts w:ascii="Century Gothic" w:eastAsia="Calibri" w:hAnsi="Century Gothic" w:cs="Arial"/>
                <w:b/>
                <w:bCs/>
                <w:color w:val="7030A0"/>
                <w:lang w:val="es-ES" w:eastAsia="es-ES"/>
              </w:rPr>
            </w:pPr>
            <w:r w:rsidRPr="00F919E7">
              <w:rPr>
                <w:rFonts w:ascii="Century Gothic" w:eastAsia="Calibri" w:hAnsi="Century Gothic" w:cs="Arial"/>
                <w:b/>
                <w:bCs/>
                <w:lang w:val="es-ES" w:eastAsia="es-ES"/>
              </w:rPr>
              <w:t xml:space="preserve">Concepto C- </w:t>
            </w:r>
            <w:r w:rsidR="00F919E7">
              <w:rPr>
                <w:rFonts w:ascii="Century Gothic" w:eastAsia="Calibri" w:hAnsi="Century Gothic" w:cs="Arial"/>
                <w:b/>
                <w:bCs/>
                <w:lang w:val="es-ES" w:eastAsia="es-ES"/>
              </w:rPr>
              <w:t>2</w:t>
            </w:r>
            <w:r w:rsidR="006E1D19">
              <w:rPr>
                <w:rFonts w:ascii="Century Gothic" w:eastAsia="Calibri" w:hAnsi="Century Gothic" w:cs="Arial"/>
                <w:b/>
                <w:bCs/>
                <w:lang w:val="es-ES" w:eastAsia="es-ES"/>
              </w:rPr>
              <w:t>84</w:t>
            </w:r>
            <w:r w:rsidRPr="00F919E7">
              <w:rPr>
                <w:rFonts w:ascii="Century Gothic" w:eastAsia="Calibri" w:hAnsi="Century Gothic" w:cs="Arial"/>
                <w:b/>
                <w:bCs/>
                <w:lang w:val="es-ES" w:eastAsia="es-ES"/>
              </w:rPr>
              <w:t xml:space="preserve"> de 2024</w:t>
            </w:r>
          </w:p>
        </w:tc>
      </w:tr>
      <w:tr w:rsidR="00871B59" w:rsidRPr="00F919E7" w14:paraId="0DD246A7" w14:textId="77777777" w:rsidTr="002607A7">
        <w:trPr>
          <w:trHeight w:val="884"/>
        </w:trPr>
        <w:tc>
          <w:tcPr>
            <w:tcW w:w="2689" w:type="dxa"/>
          </w:tcPr>
          <w:p w14:paraId="1B4FC525" w14:textId="77777777" w:rsidR="00871B59" w:rsidRPr="00F919E7" w:rsidRDefault="00871B59" w:rsidP="002607A7">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Temas:                   </w:t>
            </w:r>
          </w:p>
        </w:tc>
        <w:tc>
          <w:tcPr>
            <w:tcW w:w="6100" w:type="dxa"/>
          </w:tcPr>
          <w:p w14:paraId="6D762805" w14:textId="4AFD612D" w:rsidR="00871B59" w:rsidRPr="00F919E7" w:rsidRDefault="006E1D19" w:rsidP="002607A7">
            <w:pPr>
              <w:spacing w:line="276" w:lineRule="auto"/>
              <w:jc w:val="both"/>
              <w:rPr>
                <w:rFonts w:ascii="Century Gothic" w:eastAsia="Calibri" w:hAnsi="Century Gothic" w:cs="Arial"/>
                <w:bCs/>
                <w:lang w:val="es-MX" w:eastAsia="es-ES_tradnl"/>
              </w:rPr>
            </w:pPr>
            <w:r w:rsidRPr="004F1F39">
              <w:rPr>
                <w:rFonts w:ascii="Century Gothic" w:eastAsia="Calibri" w:hAnsi="Century Gothic" w:cs="Arial"/>
                <w:color w:val="000000"/>
                <w:lang w:val="es-ES_tradnl"/>
              </w:rPr>
              <w:t>PUBLICACIÓN EN SECOP – Plan Anual de adquisiciones - Principio de transparencia /</w:t>
            </w:r>
            <w:r>
              <w:rPr>
                <w:rFonts w:ascii="Century Gothic" w:eastAsia="Calibri" w:hAnsi="Century Gothic" w:cs="Arial"/>
                <w:color w:val="000000"/>
                <w:lang w:val="es-ES_tradnl"/>
              </w:rPr>
              <w:t xml:space="preserve"> Horarios de publicación </w:t>
            </w:r>
          </w:p>
          <w:p w14:paraId="7ADD1096" w14:textId="4250E578" w:rsidR="00BF755C" w:rsidRPr="00F919E7" w:rsidRDefault="00BF755C" w:rsidP="002607A7">
            <w:pPr>
              <w:spacing w:line="276" w:lineRule="auto"/>
              <w:jc w:val="both"/>
              <w:rPr>
                <w:rFonts w:ascii="Century Gothic" w:eastAsia="Calibri" w:hAnsi="Century Gothic" w:cs="Arial"/>
                <w:bCs/>
                <w:lang w:val="es-MX" w:eastAsia="es-ES_tradnl"/>
              </w:rPr>
            </w:pPr>
          </w:p>
        </w:tc>
      </w:tr>
      <w:tr w:rsidR="00871B59" w:rsidRPr="00F919E7" w14:paraId="0A874006" w14:textId="77777777" w:rsidTr="002607A7">
        <w:tc>
          <w:tcPr>
            <w:tcW w:w="2689" w:type="dxa"/>
          </w:tcPr>
          <w:p w14:paraId="56ED2765" w14:textId="77777777" w:rsidR="00871B59" w:rsidRPr="00F919E7" w:rsidRDefault="00871B59" w:rsidP="002607A7">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Radicación:               </w:t>
            </w:r>
          </w:p>
        </w:tc>
        <w:tc>
          <w:tcPr>
            <w:tcW w:w="6100" w:type="dxa"/>
          </w:tcPr>
          <w:p w14:paraId="630D2668" w14:textId="2494ED9A" w:rsidR="00871B59" w:rsidRPr="00F919E7" w:rsidRDefault="00871B59" w:rsidP="002607A7">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Respuesta a consulta con radicado No. </w:t>
            </w:r>
            <w:r w:rsidR="006E1D19" w:rsidRPr="006E1D19">
              <w:rPr>
                <w:rFonts w:ascii="Century Gothic" w:eastAsia="Calibri" w:hAnsi="Century Gothic" w:cs="Arial"/>
                <w:bCs/>
                <w:lang w:val="es-MX" w:eastAsia="es-ES_tradnl"/>
              </w:rPr>
              <w:t>P20240522005278</w:t>
            </w:r>
          </w:p>
        </w:tc>
      </w:tr>
    </w:tbl>
    <w:p w14:paraId="01AFCA4D" w14:textId="77777777" w:rsidR="00871B59" w:rsidRPr="00F919E7" w:rsidRDefault="00871B59" w:rsidP="00871B59">
      <w:pPr>
        <w:spacing w:after="0" w:line="240" w:lineRule="auto"/>
        <w:jc w:val="both"/>
        <w:rPr>
          <w:rFonts w:ascii="Century Gothic" w:eastAsia="Calibri" w:hAnsi="Century Gothic" w:cs="Arial"/>
          <w:color w:val="000000"/>
          <w:lang w:val="es-ES_tradnl" w:eastAsia="es-ES_tradnl"/>
        </w:rPr>
      </w:pPr>
    </w:p>
    <w:p w14:paraId="4FF08E37" w14:textId="77777777" w:rsidR="00871B59" w:rsidRPr="00F919E7" w:rsidRDefault="00871B59" w:rsidP="00871B59">
      <w:pPr>
        <w:spacing w:after="0" w:line="240" w:lineRule="auto"/>
        <w:jc w:val="both"/>
        <w:rPr>
          <w:rFonts w:ascii="Century Gothic" w:eastAsia="Calibri" w:hAnsi="Century Gothic" w:cs="Arial"/>
          <w:color w:val="000000"/>
          <w:lang w:val="es-ES_tradnl" w:eastAsia="es-ES_tradnl"/>
        </w:rPr>
      </w:pPr>
    </w:p>
    <w:p w14:paraId="5A8CAE32" w14:textId="77060264" w:rsidR="00871B59" w:rsidRPr="00E43EBA" w:rsidRDefault="00871B59" w:rsidP="00871B59">
      <w:pPr>
        <w:spacing w:after="0" w:line="276" w:lineRule="auto"/>
        <w:jc w:val="both"/>
        <w:rPr>
          <w:rFonts w:ascii="Century Gothic" w:eastAsia="Calibri" w:hAnsi="Century Gothic" w:cs="Arial"/>
          <w:bCs/>
          <w:lang w:val="es-MX" w:eastAsia="es-ES_tradnl"/>
        </w:rPr>
      </w:pPr>
      <w:r w:rsidRPr="00E43EBA">
        <w:rPr>
          <w:rFonts w:ascii="Century Gothic" w:eastAsia="Calibri" w:hAnsi="Century Gothic" w:cs="Arial"/>
          <w:bCs/>
          <w:lang w:val="es-MX" w:eastAsia="es-ES_tradnl"/>
        </w:rPr>
        <w:t>Estimad</w:t>
      </w:r>
      <w:r w:rsidR="006E1D19" w:rsidRPr="00E43EBA">
        <w:rPr>
          <w:rFonts w:ascii="Century Gothic" w:eastAsia="Calibri" w:hAnsi="Century Gothic" w:cs="Arial"/>
          <w:bCs/>
          <w:lang w:val="es-MX" w:eastAsia="es-ES_tradnl"/>
        </w:rPr>
        <w:t>a</w:t>
      </w:r>
      <w:r w:rsidRPr="00E43EBA">
        <w:rPr>
          <w:rFonts w:ascii="Century Gothic" w:eastAsia="Calibri" w:hAnsi="Century Gothic" w:cs="Arial"/>
          <w:bCs/>
          <w:lang w:val="es-MX" w:eastAsia="es-ES_tradnl"/>
        </w:rPr>
        <w:t xml:space="preserve"> señor</w:t>
      </w:r>
      <w:r w:rsidR="006E1D19" w:rsidRPr="00E43EBA">
        <w:rPr>
          <w:rFonts w:ascii="Century Gothic" w:eastAsia="Calibri" w:hAnsi="Century Gothic" w:cs="Arial"/>
          <w:bCs/>
          <w:lang w:val="es-MX" w:eastAsia="es-ES_tradnl"/>
        </w:rPr>
        <w:t>a</w:t>
      </w:r>
      <w:r w:rsidR="00BF755C" w:rsidRPr="00E43EBA">
        <w:rPr>
          <w:rFonts w:ascii="Century Gothic" w:eastAsia="Calibri" w:hAnsi="Century Gothic" w:cs="Arial"/>
          <w:bCs/>
          <w:lang w:val="es-MX" w:eastAsia="es-ES_tradnl"/>
        </w:rPr>
        <w:t xml:space="preserve"> </w:t>
      </w:r>
      <w:r w:rsidR="006E1D19" w:rsidRPr="00E43EBA">
        <w:rPr>
          <w:rFonts w:ascii="Century Gothic" w:eastAsia="Calibri" w:hAnsi="Century Gothic" w:cs="Arial"/>
          <w:bCs/>
          <w:lang w:val="es-MX" w:eastAsia="es-ES_tradnl"/>
        </w:rPr>
        <w:t>Menco</w:t>
      </w:r>
      <w:r w:rsidRPr="00E43EBA">
        <w:rPr>
          <w:rFonts w:ascii="Century Gothic" w:eastAsia="Calibri" w:hAnsi="Century Gothic" w:cs="Arial"/>
          <w:bCs/>
          <w:lang w:val="es-MX" w:eastAsia="es-ES_tradnl"/>
        </w:rPr>
        <w:t xml:space="preserve">: </w:t>
      </w:r>
    </w:p>
    <w:p w14:paraId="62039951" w14:textId="77777777" w:rsidR="00871B59" w:rsidRPr="00E43EBA" w:rsidRDefault="00871B59" w:rsidP="00871B59">
      <w:pPr>
        <w:tabs>
          <w:tab w:val="left" w:pos="3768"/>
        </w:tabs>
        <w:spacing w:after="0" w:line="276" w:lineRule="auto"/>
        <w:jc w:val="both"/>
        <w:rPr>
          <w:rFonts w:ascii="Century Gothic" w:eastAsia="Calibri" w:hAnsi="Century Gothic" w:cs="Arial"/>
          <w:color w:val="000000" w:themeColor="text1"/>
          <w:lang w:val="es-ES" w:eastAsia="es-ES"/>
        </w:rPr>
      </w:pPr>
      <w:r w:rsidRPr="00E43EBA">
        <w:rPr>
          <w:rFonts w:ascii="Century Gothic" w:eastAsia="Calibri" w:hAnsi="Century Gothic" w:cs="Arial"/>
          <w:color w:val="000000" w:themeColor="text1"/>
          <w:lang w:val="es-ES" w:eastAsia="es-ES"/>
        </w:rPr>
        <w:tab/>
      </w:r>
    </w:p>
    <w:p w14:paraId="3F1D9A82" w14:textId="259E160D" w:rsidR="00871B59" w:rsidRPr="00E43EBA" w:rsidRDefault="00871B59" w:rsidP="00871B59">
      <w:pPr>
        <w:spacing w:after="0" w:line="276" w:lineRule="auto"/>
        <w:jc w:val="both"/>
        <w:rPr>
          <w:rFonts w:ascii="Century Gothic" w:eastAsia="Calibri" w:hAnsi="Century Gothic" w:cs="Arial"/>
          <w:lang w:val="es-ES" w:eastAsia="es-ES"/>
        </w:rPr>
      </w:pPr>
      <w:r w:rsidRPr="00E43EBA">
        <w:rPr>
          <w:rFonts w:ascii="Century Gothic" w:eastAsia="Calibri" w:hAnsi="Century Gothic" w:cs="Arial"/>
          <w:color w:val="000000" w:themeColor="text1"/>
          <w:lang w:val="es-ES" w:eastAsia="es-ES"/>
        </w:rPr>
        <w:t>En ejercicio de la competencia otorgada por los artículos 3, numeral 5º, y 11, numeral 8º, del Decreto Ley 4170 de 2011,</w:t>
      </w:r>
      <w:r w:rsidRPr="00E43EBA">
        <w:rPr>
          <w:rFonts w:ascii="Century Gothic" w:eastAsia="Arial MT" w:hAnsi="Century Gothic" w:cs="Arial MT"/>
          <w:lang w:val="es-ES" w:eastAsia="es-ES"/>
        </w:rPr>
        <w:t xml:space="preserve"> </w:t>
      </w:r>
      <w:r w:rsidRPr="00E43EBA">
        <w:rPr>
          <w:rFonts w:ascii="Century Gothic" w:hAnsi="Century Gothic" w:cs="Arial"/>
        </w:rPr>
        <w:t xml:space="preserve">así como lo establecido en el artículo 4 de la Resolución 1707 de 2018 expedida por esta Entidad, </w:t>
      </w:r>
      <w:r w:rsidRPr="00E43EBA">
        <w:rPr>
          <w:rFonts w:ascii="Century Gothic" w:eastAsia="Calibri" w:hAnsi="Century Gothic" w:cs="Arial"/>
          <w:lang w:val="es-ES" w:eastAsia="es-ES"/>
        </w:rPr>
        <w:t xml:space="preserve">la Agencia Nacional de Contratación Pública – Colombia Compra Eficiente– responde su solicitud de consulta de fecha </w:t>
      </w:r>
      <w:r w:rsidR="00BF755C" w:rsidRPr="00E43EBA">
        <w:rPr>
          <w:rFonts w:ascii="Century Gothic" w:eastAsia="Calibri" w:hAnsi="Century Gothic" w:cs="Arial"/>
          <w:lang w:val="es-ES" w:eastAsia="es-ES"/>
        </w:rPr>
        <w:t xml:space="preserve">22 </w:t>
      </w:r>
      <w:r w:rsidRPr="00E43EBA">
        <w:rPr>
          <w:rFonts w:ascii="Century Gothic" w:eastAsia="Calibri" w:hAnsi="Century Gothic" w:cs="Arial"/>
          <w:lang w:val="es-ES" w:eastAsia="es-ES"/>
        </w:rPr>
        <w:t xml:space="preserve">de </w:t>
      </w:r>
      <w:r w:rsidR="00BF755C" w:rsidRPr="00E43EBA">
        <w:rPr>
          <w:rFonts w:ascii="Century Gothic" w:eastAsia="Calibri" w:hAnsi="Century Gothic" w:cs="Arial"/>
          <w:lang w:val="es-ES" w:eastAsia="es-ES"/>
        </w:rPr>
        <w:t>mayo</w:t>
      </w:r>
      <w:r w:rsidRPr="00E43EBA">
        <w:rPr>
          <w:rFonts w:ascii="Century Gothic" w:eastAsia="Calibri" w:hAnsi="Century Gothic" w:cs="Arial"/>
          <w:lang w:val="es-ES" w:eastAsia="es-ES"/>
        </w:rPr>
        <w:t xml:space="preserve"> de 20</w:t>
      </w:r>
      <w:r w:rsidR="00BF755C" w:rsidRPr="00E43EBA">
        <w:rPr>
          <w:rFonts w:ascii="Century Gothic" w:eastAsia="Calibri" w:hAnsi="Century Gothic" w:cs="Arial"/>
          <w:lang w:val="es-ES" w:eastAsia="es-ES"/>
        </w:rPr>
        <w:t>24</w:t>
      </w:r>
      <w:r w:rsidRPr="00E43EBA">
        <w:rPr>
          <w:rFonts w:ascii="Century Gothic" w:eastAsia="Calibri" w:hAnsi="Century Gothic" w:cs="Arial"/>
          <w:lang w:val="es-ES" w:eastAsia="es-ES"/>
        </w:rPr>
        <w:t xml:space="preserve">, en la cual manifiesta lo siguiente: </w:t>
      </w:r>
    </w:p>
    <w:p w14:paraId="6DBD3E26" w14:textId="77777777" w:rsidR="00871B59" w:rsidRPr="00A83E50"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sz w:val="20"/>
          <w:szCs w:val="20"/>
          <w:lang w:val="es-ES"/>
        </w:rPr>
      </w:pPr>
    </w:p>
    <w:p w14:paraId="1006183E" w14:textId="07BF96B6" w:rsidR="00871B59" w:rsidRPr="00A83E50" w:rsidRDefault="00871B59" w:rsidP="006E1D19">
      <w:pPr>
        <w:ind w:left="709" w:right="616"/>
        <w:jc w:val="both"/>
        <w:rPr>
          <w:rFonts w:ascii="Century Gothic" w:eastAsia="Century Gothic" w:hAnsi="Century Gothic" w:cs="Century Gothic"/>
          <w:sz w:val="20"/>
          <w:szCs w:val="20"/>
          <w:lang w:val="es-ES"/>
        </w:rPr>
      </w:pPr>
      <w:bookmarkStart w:id="0" w:name="_Hlk95313578"/>
      <w:r w:rsidRPr="00A83E50">
        <w:rPr>
          <w:rFonts w:ascii="Century Gothic" w:eastAsia="Century Gothic" w:hAnsi="Century Gothic" w:cs="Century Gothic"/>
          <w:sz w:val="20"/>
          <w:szCs w:val="20"/>
          <w:lang w:val="es-ES"/>
        </w:rPr>
        <w:t>“</w:t>
      </w:r>
      <w:r w:rsidR="006E1D19" w:rsidRPr="00A83E50">
        <w:rPr>
          <w:rFonts w:ascii="Century Gothic" w:eastAsia="Century Gothic" w:hAnsi="Century Gothic" w:cs="Century Gothic"/>
          <w:sz w:val="20"/>
          <w:szCs w:val="20"/>
          <w:lang w:val="es-ES"/>
        </w:rPr>
        <w:t xml:space="preserve">Para los procesos de licitación pública realizados a traves de SECOOP 1, es necesario que la administración de a conocera través de la plataforma, su horario de atención al público con el fin de que los futuros proponentes, puedan establecer en que horario, antes del cierre previsto, se pueda </w:t>
      </w:r>
      <w:r w:rsidR="006E1D19" w:rsidRPr="00A83E50">
        <w:rPr>
          <w:rFonts w:ascii="Century Gothic" w:eastAsia="Century Gothic" w:hAnsi="Century Gothic" w:cs="Century Gothic"/>
          <w:sz w:val="20"/>
          <w:szCs w:val="20"/>
          <w:lang w:val="es-ES"/>
        </w:rPr>
        <w:lastRenderedPageBreak/>
        <w:t>entregar la oferta? Y en caso de reformarse el horario de atención ya comunicado por la administración, este debe ser notificado a los proponentes? ¿Conque tiempo de anticipación al cierre del proceso?</w:t>
      </w:r>
      <w:bookmarkEnd w:id="0"/>
      <w:r w:rsidR="006E1D19" w:rsidRPr="00A83E50">
        <w:rPr>
          <w:rFonts w:ascii="Century Gothic" w:eastAsia="Century Gothic" w:hAnsi="Century Gothic" w:cs="Century Gothic"/>
          <w:sz w:val="20"/>
          <w:szCs w:val="20"/>
          <w:lang w:val="es-ES"/>
        </w:rPr>
        <w:t>” [sic]</w:t>
      </w:r>
    </w:p>
    <w:p w14:paraId="54DCAD4E" w14:textId="77777777" w:rsidR="00871B59" w:rsidRPr="00E43EBA"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lang w:val="es-ES"/>
        </w:rPr>
      </w:pPr>
    </w:p>
    <w:p w14:paraId="30F17EAD" w14:textId="77777777" w:rsidR="00871B59" w:rsidRPr="00E43EBA" w:rsidRDefault="00871B59" w:rsidP="00871B59">
      <w:pPr>
        <w:spacing w:after="120" w:line="276" w:lineRule="auto"/>
        <w:ind w:firstLine="709"/>
        <w:jc w:val="both"/>
        <w:rPr>
          <w:rFonts w:ascii="Century Gothic" w:eastAsia="Calibri" w:hAnsi="Century Gothic" w:cs="Arial"/>
          <w:color w:val="000000"/>
          <w:lang w:val="es-ES_tradnl" w:eastAsia="es-ES_tradnl"/>
        </w:rPr>
      </w:pPr>
      <w:r w:rsidRPr="00E43EBA">
        <w:rPr>
          <w:rFonts w:ascii="Century Gothic" w:eastAsia="Calibri" w:hAnsi="Century Gothic"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43EBA">
        <w:rPr>
          <w:rFonts w:ascii="Century Gothic" w:eastAsia="Calibri" w:hAnsi="Century Gothic" w:cs="Arial"/>
          <w:color w:val="000000"/>
          <w:lang w:val="es-ES_tradnl" w:eastAsia="es-ES_tradnl"/>
        </w:rPr>
        <w:tab/>
      </w:r>
    </w:p>
    <w:p w14:paraId="3B95778F" w14:textId="33E11D52" w:rsidR="00871B59" w:rsidRPr="00E43EBA" w:rsidRDefault="00871B59" w:rsidP="00871B59">
      <w:pPr>
        <w:spacing w:after="0" w:line="276" w:lineRule="auto"/>
        <w:ind w:firstLine="709"/>
        <w:jc w:val="both"/>
        <w:rPr>
          <w:rFonts w:ascii="Century Gothic" w:eastAsia="Calibri" w:hAnsi="Century Gothic" w:cs="Arial"/>
          <w:color w:val="000000"/>
          <w:lang w:val="es-ES" w:eastAsia="es-ES"/>
        </w:rPr>
      </w:pPr>
      <w:r w:rsidRPr="00E43EBA">
        <w:rPr>
          <w:rFonts w:ascii="Century Gothic" w:eastAsia="Calibri" w:hAnsi="Century Gothic"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problema</w:t>
      </w:r>
      <w:r w:rsidR="00BF755C"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jurídico</w:t>
      </w:r>
      <w:r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 xml:space="preserve">de su consulta. </w:t>
      </w:r>
    </w:p>
    <w:p w14:paraId="70187214" w14:textId="77777777" w:rsidR="00871B59" w:rsidRPr="00E43EBA" w:rsidRDefault="00871B59" w:rsidP="00871B59">
      <w:pPr>
        <w:spacing w:after="0" w:line="276" w:lineRule="auto"/>
        <w:ind w:firstLine="709"/>
        <w:jc w:val="both"/>
        <w:rPr>
          <w:rFonts w:ascii="Century Gothic" w:eastAsia="Calibri" w:hAnsi="Century Gothic" w:cs="Arial"/>
          <w:color w:val="000000"/>
          <w:lang w:val="es-ES" w:eastAsia="es-ES"/>
        </w:rPr>
      </w:pPr>
    </w:p>
    <w:p w14:paraId="74DD4DE4" w14:textId="77777777" w:rsidR="00871B59" w:rsidRPr="00E43EBA" w:rsidRDefault="00871B59" w:rsidP="00871B59">
      <w:pPr>
        <w:pStyle w:val="Prrafodelista"/>
        <w:numPr>
          <w:ilvl w:val="0"/>
          <w:numId w:val="4"/>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Problema planteado:</w:t>
      </w:r>
    </w:p>
    <w:p w14:paraId="690221EE" w14:textId="77777777" w:rsidR="00871B59" w:rsidRPr="00E43EBA" w:rsidRDefault="00871B59" w:rsidP="00871B59">
      <w:pPr>
        <w:tabs>
          <w:tab w:val="left" w:pos="426"/>
        </w:tabs>
        <w:spacing w:after="0" w:line="276" w:lineRule="auto"/>
        <w:jc w:val="both"/>
        <w:rPr>
          <w:rFonts w:ascii="Century Gothic" w:eastAsia="Century Gothic" w:hAnsi="Century Gothic" w:cs="Century Gothic"/>
          <w:lang w:val="es-ES"/>
        </w:rPr>
      </w:pPr>
    </w:p>
    <w:p w14:paraId="35FF99E8" w14:textId="7895EA29" w:rsidR="00BF755C" w:rsidRPr="00E43EBA" w:rsidRDefault="00871B59" w:rsidP="00BF755C">
      <w:pPr>
        <w:ind w:left="709" w:right="616"/>
        <w:jc w:val="both"/>
        <w:rPr>
          <w:rFonts w:ascii="Century Gothic" w:eastAsia="Times New Roman" w:hAnsi="Century Gothic" w:cs="Times New Roman"/>
          <w:color w:val="000000"/>
          <w:lang w:eastAsia="es-CO"/>
        </w:rPr>
      </w:pPr>
      <w:r w:rsidRPr="00E43EBA">
        <w:rPr>
          <w:rFonts w:ascii="Century Gothic" w:eastAsia="Century Gothic" w:hAnsi="Century Gothic" w:cs="Century Gothic"/>
        </w:rPr>
        <w:t>De acuerdo con el contenido de su solicitud, esta Agencia resolverá el siguiente</w:t>
      </w:r>
      <w:r w:rsidR="00BF755C" w:rsidRPr="00E43EBA">
        <w:rPr>
          <w:rFonts w:ascii="Century Gothic" w:eastAsia="Century Gothic" w:hAnsi="Century Gothic" w:cs="Century Gothic"/>
        </w:rPr>
        <w:t xml:space="preserve"> </w:t>
      </w:r>
      <w:r w:rsidRPr="00E43EBA">
        <w:rPr>
          <w:rFonts w:ascii="Century Gothic" w:eastAsia="Century Gothic" w:hAnsi="Century Gothic" w:cs="Century Gothic"/>
        </w:rPr>
        <w:t xml:space="preserve">problema jurídico: </w:t>
      </w:r>
      <w:r w:rsidR="00BF755C" w:rsidRPr="00E43EBA">
        <w:rPr>
          <w:rFonts w:ascii="Century Gothic" w:eastAsia="Century Gothic" w:hAnsi="Century Gothic" w:cs="Century Gothic"/>
        </w:rPr>
        <w:t>¿</w:t>
      </w:r>
      <w:r w:rsidR="00AB025E">
        <w:rPr>
          <w:rFonts w:ascii="Century Gothic" w:eastAsia="Century Gothic" w:hAnsi="Century Gothic" w:cs="Century Gothic"/>
        </w:rPr>
        <w:t>Es viable que la Entidad Estatal establezca horarios para la presentación de ofertas en un Proceso de Contratación adelantado a través del SECOP I</w:t>
      </w:r>
      <w:r w:rsidR="00BF755C" w:rsidRPr="00E43EBA">
        <w:rPr>
          <w:rFonts w:ascii="Century Gothic" w:eastAsia="Century Gothic" w:hAnsi="Century Gothic" w:cs="Century Gothic"/>
        </w:rPr>
        <w:t>?</w:t>
      </w:r>
    </w:p>
    <w:p w14:paraId="57640A16" w14:textId="44EF1AD0" w:rsidR="00871B59" w:rsidRPr="00FE33B4" w:rsidRDefault="00BF755C" w:rsidP="00871B59">
      <w:pPr>
        <w:spacing w:after="0" w:line="276" w:lineRule="auto"/>
        <w:jc w:val="both"/>
        <w:rPr>
          <w:rFonts w:ascii="Century Gothic" w:eastAsia="Century Gothic" w:hAnsi="Century Gothic" w:cs="Century Gothic"/>
        </w:rPr>
      </w:pPr>
      <w:r w:rsidRPr="00E43EBA">
        <w:rPr>
          <w:rFonts w:ascii="Century Gothic" w:eastAsia="Century Gothic" w:hAnsi="Century Gothic" w:cs="Century Gothic"/>
        </w:rPr>
        <w:t xml:space="preserve"> </w:t>
      </w:r>
    </w:p>
    <w:p w14:paraId="33E3D3F8"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Respuesta:</w:t>
      </w:r>
    </w:p>
    <w:p w14:paraId="4647B31A" w14:textId="77777777" w:rsidR="00871B59" w:rsidRPr="00E43EBA"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E43EBA" w14:paraId="14984B9D" w14:textId="77777777" w:rsidTr="002607A7">
        <w:tc>
          <w:tcPr>
            <w:tcW w:w="8828" w:type="dxa"/>
            <w:shd w:val="clear" w:color="auto" w:fill="auto"/>
          </w:tcPr>
          <w:p w14:paraId="7E70978F" w14:textId="49205627" w:rsidR="00AB025E" w:rsidRDefault="0071249B" w:rsidP="00CE7288">
            <w:pPr>
              <w:pStyle w:val="Textoindependiente"/>
              <w:spacing w:before="1" w:line="276" w:lineRule="auto"/>
              <w:ind w:left="300" w:right="207"/>
              <w:jc w:val="both"/>
              <w:rPr>
                <w:rFonts w:ascii="Century Gothic" w:eastAsia="Calibri" w:hAnsi="Century Gothic" w:cs="Arial"/>
                <w:lang w:eastAsia="es-MX"/>
              </w:rPr>
            </w:pPr>
            <w:r w:rsidRPr="00E43EBA">
              <w:rPr>
                <w:rFonts w:ascii="Century Gothic" w:eastAsia="Calibri" w:hAnsi="Century Gothic" w:cs="Arial"/>
                <w:lang w:eastAsia="es-MX"/>
              </w:rPr>
              <w:lastRenderedPageBreak/>
              <w:t xml:space="preserve">Es importante precisar que el Cronograma es el documento en el cual la Entidad Estatal establece las fechas, horas y plazos para las actividades propias del Proceso de Contratación y el lugar en el que estas deben llevarse a cabo. </w:t>
            </w:r>
            <w:r w:rsidR="00AB025E">
              <w:rPr>
                <w:rFonts w:ascii="Century Gothic" w:eastAsia="Calibri" w:hAnsi="Century Gothic" w:cs="Arial"/>
                <w:lang w:eastAsia="es-MX"/>
              </w:rPr>
              <w:t>En este sentido, la Entidad estatal es autónoma de establecer las fechas y horarios para las entregas de las ofertas en físico, en los procesos que sean adelantados a través de SECOP I.</w:t>
            </w:r>
          </w:p>
          <w:p w14:paraId="20575FAD" w14:textId="77777777" w:rsidR="00AB025E" w:rsidRDefault="00AB025E" w:rsidP="00CE7288">
            <w:pPr>
              <w:pStyle w:val="Textoindependiente"/>
              <w:spacing w:before="1" w:line="276" w:lineRule="auto"/>
              <w:ind w:left="300" w:right="207"/>
              <w:jc w:val="both"/>
              <w:rPr>
                <w:rFonts w:ascii="Century Gothic" w:eastAsia="Calibri" w:hAnsi="Century Gothic" w:cs="Arial"/>
                <w:lang w:eastAsia="es-MX"/>
              </w:rPr>
            </w:pPr>
          </w:p>
          <w:p w14:paraId="36F0FBDB" w14:textId="6CCB7652" w:rsidR="00F919E7" w:rsidRPr="00E43EBA" w:rsidRDefault="0071249B" w:rsidP="00CE7288">
            <w:pPr>
              <w:pStyle w:val="Textoindependiente"/>
              <w:spacing w:before="1" w:line="276" w:lineRule="auto"/>
              <w:ind w:left="300" w:right="207"/>
              <w:jc w:val="both"/>
              <w:rPr>
                <w:rFonts w:ascii="Century Gothic" w:eastAsia="Calibri" w:hAnsi="Century Gothic" w:cs="Arial"/>
                <w:i/>
                <w:iCs/>
                <w:lang w:eastAsia="es-MX"/>
              </w:rPr>
            </w:pPr>
            <w:r w:rsidRPr="00E43EBA">
              <w:rPr>
                <w:rFonts w:ascii="Century Gothic" w:eastAsia="Calibri" w:hAnsi="Century Gothic" w:cs="Arial"/>
                <w:lang w:eastAsia="es-MX"/>
              </w:rPr>
              <w:t xml:space="preserve">Sin embargo, </w:t>
            </w:r>
            <w:r w:rsidR="00AB025E">
              <w:rPr>
                <w:rFonts w:ascii="Century Gothic" w:eastAsia="Calibri" w:hAnsi="Century Gothic" w:cs="Arial"/>
                <w:lang w:eastAsia="es-MX"/>
              </w:rPr>
              <w:t xml:space="preserve">en el caso que se requiera alguna modificación del Cronograma </w:t>
            </w:r>
            <w:r w:rsidR="00CE7288" w:rsidRPr="00E43EBA">
              <w:rPr>
                <w:rFonts w:ascii="Century Gothic" w:eastAsia="Calibri" w:hAnsi="Century Gothic" w:cs="Arial"/>
                <w:lang w:eastAsia="es-MX"/>
              </w:rPr>
              <w:t>el</w:t>
            </w:r>
            <w:r w:rsidR="00AB025E" w:rsidRPr="00E43EBA">
              <w:rPr>
                <w:rFonts w:ascii="Century Gothic" w:eastAsia="Calibri" w:hAnsi="Century Gothic" w:cs="Arial"/>
                <w:lang w:val="es-MX"/>
              </w:rPr>
              <w:t xml:space="preserve"> artículo 2.2.1.1.2.2.1 </w:t>
            </w:r>
            <w:r w:rsidR="00AB025E">
              <w:rPr>
                <w:rFonts w:ascii="Century Gothic" w:eastAsia="Calibri" w:hAnsi="Century Gothic" w:cs="Arial"/>
                <w:lang w:eastAsia="es-MX"/>
              </w:rPr>
              <w:t xml:space="preserve">Decreto 1082 de 2015 </w:t>
            </w:r>
            <w:r w:rsidRPr="00E43EBA">
              <w:rPr>
                <w:rFonts w:ascii="Century Gothic" w:eastAsia="Calibri" w:hAnsi="Century Gothic" w:cs="Arial"/>
                <w:lang w:eastAsia="es-MX"/>
              </w:rPr>
              <w:t xml:space="preserve">establece que </w:t>
            </w:r>
            <w:r w:rsidRPr="00E43EBA">
              <w:rPr>
                <w:rFonts w:ascii="Century Gothic" w:eastAsia="Calibri" w:hAnsi="Century Gothic" w:cs="Arial"/>
                <w:i/>
                <w:iCs/>
                <w:lang w:eastAsia="es-MX"/>
              </w:rPr>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w:t>
            </w:r>
          </w:p>
          <w:p w14:paraId="55FAC21F" w14:textId="77777777" w:rsidR="00CE7288" w:rsidRPr="00E43EBA" w:rsidRDefault="00CE7288" w:rsidP="00CE7288">
            <w:pPr>
              <w:pStyle w:val="Textoindependiente"/>
              <w:spacing w:line="276" w:lineRule="auto"/>
              <w:ind w:left="300" w:right="204"/>
              <w:jc w:val="both"/>
              <w:rPr>
                <w:rFonts w:ascii="Century Gothic" w:eastAsia="Calibri" w:hAnsi="Century Gothic" w:cs="Arial"/>
                <w:lang w:eastAsia="es-MX"/>
              </w:rPr>
            </w:pPr>
            <w:r w:rsidRPr="00E43EBA">
              <w:rPr>
                <w:rFonts w:ascii="Century Gothic" w:eastAsia="Calibri" w:hAnsi="Century Gothic" w:cs="Arial"/>
                <w:lang w:eastAsia="es-MX"/>
              </w:rPr>
              <w:t>De conformidad con lo anterior, la obligación de publicar la actividad contractual en un horario específico solo se encuentra regulada para las adendas, donde se establece que será de 7:00 a.m. a 7:00 p.m.; mientras que las demás actividades contractuales no tienen horario, sino que está se debe realizar dentro de los tres (3) días siguientes a su expedición, lo cual, de conformidad con el artículo 67 del Código Civil, se entiende que es hasta la media noche.</w:t>
            </w:r>
          </w:p>
          <w:p w14:paraId="47AEB666" w14:textId="0DA31168" w:rsidR="00CE7288" w:rsidRPr="00E43EBA" w:rsidRDefault="00CE7288" w:rsidP="00CE7288">
            <w:pPr>
              <w:pStyle w:val="Textoindependiente"/>
              <w:spacing w:before="1" w:line="276" w:lineRule="auto"/>
              <w:ind w:left="300" w:right="207"/>
              <w:jc w:val="both"/>
              <w:rPr>
                <w:rFonts w:ascii="Century Gothic" w:eastAsia="Calibri" w:hAnsi="Century Gothic" w:cs="Arial"/>
                <w:lang w:eastAsia="es-MX"/>
              </w:rPr>
            </w:pPr>
          </w:p>
        </w:tc>
      </w:tr>
    </w:tbl>
    <w:p w14:paraId="3199705F" w14:textId="77777777" w:rsidR="00871B59" w:rsidRPr="00E43EBA"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p w14:paraId="6678B80A"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Razones de la respuesta:</w:t>
      </w:r>
    </w:p>
    <w:p w14:paraId="40393512" w14:textId="77777777" w:rsidR="00871B59" w:rsidRPr="00E43EBA" w:rsidRDefault="00871B59" w:rsidP="00871B59">
      <w:pPr>
        <w:spacing w:after="0" w:line="276" w:lineRule="auto"/>
        <w:jc w:val="both"/>
        <w:rPr>
          <w:rFonts w:ascii="Century Gothic" w:eastAsia="Calibri" w:hAnsi="Century Gothic" w:cs="Arial"/>
          <w:color w:val="7030A0"/>
          <w:lang w:val="es-ES"/>
        </w:rPr>
      </w:pPr>
    </w:p>
    <w:p w14:paraId="6DB5BA6B" w14:textId="77777777" w:rsidR="00871B59" w:rsidRPr="00E43EBA" w:rsidRDefault="00871B59" w:rsidP="00871B59">
      <w:pPr>
        <w:spacing w:after="0" w:line="276" w:lineRule="auto"/>
        <w:jc w:val="both"/>
        <w:rPr>
          <w:rFonts w:ascii="Century Gothic" w:eastAsia="Calibri" w:hAnsi="Century Gothic" w:cs="Arial"/>
          <w:lang w:val="es-ES"/>
        </w:rPr>
      </w:pPr>
      <w:r w:rsidRPr="00E43EBA">
        <w:rPr>
          <w:rFonts w:ascii="Century Gothic" w:eastAsia="Calibri" w:hAnsi="Century Gothic" w:cs="Arial"/>
          <w:lang w:val="es-ES"/>
        </w:rPr>
        <w:t xml:space="preserve">Lo anterior se sustenta en las siguientes consideraciones: </w:t>
      </w:r>
    </w:p>
    <w:p w14:paraId="6FBD94A1" w14:textId="77777777" w:rsidR="00871B59" w:rsidRPr="00E43EBA" w:rsidRDefault="00871B59" w:rsidP="00871B59">
      <w:pPr>
        <w:spacing w:after="0" w:line="276" w:lineRule="auto"/>
        <w:jc w:val="both"/>
        <w:rPr>
          <w:rFonts w:ascii="Century Gothic" w:eastAsia="Calibri" w:hAnsi="Century Gothic" w:cs="Arial"/>
          <w:color w:val="7030A0"/>
          <w:lang w:val="es-ES"/>
        </w:rPr>
      </w:pPr>
    </w:p>
    <w:p w14:paraId="290FB21C" w14:textId="77777777" w:rsidR="00CE7288" w:rsidRPr="00E43EBA" w:rsidRDefault="00CE7288" w:rsidP="00CE7288">
      <w:pPr>
        <w:pStyle w:val="Prrafodelista"/>
        <w:spacing w:line="276" w:lineRule="auto"/>
        <w:jc w:val="both"/>
        <w:rPr>
          <w:rFonts w:ascii="Century Gothic" w:eastAsia="Calibri" w:hAnsi="Century Gothic" w:cs="Arial"/>
          <w:color w:val="7030A0"/>
        </w:rPr>
      </w:pPr>
    </w:p>
    <w:p w14:paraId="6158036A" w14:textId="04C346AC" w:rsidR="00E43EBA" w:rsidRDefault="00E43EBA" w:rsidP="00E43EBA">
      <w:pPr>
        <w:pStyle w:val="Prrafodelista"/>
        <w:widowControl w:val="0"/>
        <w:numPr>
          <w:ilvl w:val="0"/>
          <w:numId w:val="12"/>
        </w:numPr>
        <w:tabs>
          <w:tab w:val="left" w:pos="728"/>
        </w:tabs>
        <w:autoSpaceDE w:val="0"/>
        <w:autoSpaceDN w:val="0"/>
        <w:spacing w:after="120" w:line="276" w:lineRule="auto"/>
        <w:jc w:val="both"/>
        <w:rPr>
          <w:rFonts w:ascii="Century Gothic" w:eastAsia="Arial" w:hAnsi="Century Gothic" w:cs="Arial"/>
          <w:lang w:val="es-ES"/>
        </w:rPr>
      </w:pPr>
      <w:r>
        <w:rPr>
          <w:rFonts w:ascii="Century Gothic" w:eastAsia="Arial" w:hAnsi="Century Gothic" w:cs="Arial"/>
          <w:lang w:val="es-ES"/>
        </w:rPr>
        <w:t>L</w:t>
      </w:r>
      <w:r w:rsidRPr="00E43EBA">
        <w:rPr>
          <w:rFonts w:ascii="Century Gothic" w:eastAsia="Arial" w:hAnsi="Century Gothic" w:cs="Arial"/>
          <w:lang w:val="es-ES"/>
        </w:rPr>
        <w:t xml:space="preserve">a Ley 1712 de 2014, por medio de la cual se regula la transparencia el derecho de acceso a la información pública nacional y se dictan otras disposiciones, identifica como principios que orientan el derecho de acceso a la información pública el de máxima publicidad y el de transparencia en </w:t>
      </w:r>
      <w:r w:rsidRPr="00E43EBA">
        <w:rPr>
          <w:rFonts w:ascii="Century Gothic" w:eastAsia="Arial" w:hAnsi="Century Gothic" w:cs="Arial"/>
          <w:lang w:val="es-ES"/>
        </w:rPr>
        <w:lastRenderedPageBreak/>
        <w:t xml:space="preserve">la información. De acuerdo con el primero, toda información en posesión, bajo control o custodia de un sujeto obligado es pública y no podrá ser reservada o limitada sino por disposición constitucional o legal. Por su parte, el segundo alude al deber de los sujetos de proporcionar y facilitar el acceso a la misma en los términos más amplios posibles, y a través de los medios y procedimientos que establezca la ley. </w:t>
      </w:r>
    </w:p>
    <w:p w14:paraId="4E8F2C25" w14:textId="77777777" w:rsidR="00E43EBA" w:rsidRPr="00E43EBA" w:rsidRDefault="00E43EBA" w:rsidP="00E43EBA">
      <w:pPr>
        <w:pStyle w:val="Prrafodelista"/>
        <w:widowControl w:val="0"/>
        <w:tabs>
          <w:tab w:val="left" w:pos="728"/>
        </w:tabs>
        <w:autoSpaceDE w:val="0"/>
        <w:autoSpaceDN w:val="0"/>
        <w:spacing w:after="120" w:line="276" w:lineRule="auto"/>
        <w:jc w:val="both"/>
        <w:rPr>
          <w:rFonts w:ascii="Century Gothic" w:eastAsia="Arial" w:hAnsi="Century Gothic" w:cs="Arial"/>
          <w:lang w:val="es-ES"/>
        </w:rPr>
      </w:pPr>
    </w:p>
    <w:p w14:paraId="0887F405" w14:textId="77777777" w:rsidR="00E43EBA" w:rsidRPr="00E43EBA" w:rsidRDefault="00E43EBA" w:rsidP="00E43EBA">
      <w:pPr>
        <w:pStyle w:val="Prrafodelista"/>
        <w:widowControl w:val="0"/>
        <w:numPr>
          <w:ilvl w:val="0"/>
          <w:numId w:val="12"/>
        </w:numPr>
        <w:tabs>
          <w:tab w:val="left" w:pos="728"/>
        </w:tabs>
        <w:autoSpaceDE w:val="0"/>
        <w:autoSpaceDN w:val="0"/>
        <w:spacing w:after="120" w:line="276" w:lineRule="auto"/>
        <w:jc w:val="both"/>
        <w:rPr>
          <w:rFonts w:ascii="Century Gothic" w:eastAsia="Arial" w:hAnsi="Century Gothic" w:cs="Arial"/>
          <w:lang w:val="es-ES"/>
        </w:rPr>
      </w:pPr>
      <w:r w:rsidRPr="00E43EBA">
        <w:rPr>
          <w:rFonts w:ascii="Century Gothic" w:eastAsia="Arial" w:hAnsi="Century Gothic" w:cs="Arial"/>
          <w:lang w:val="es-ES"/>
        </w:rPr>
        <w:tab/>
        <w:t>La ley citada establece, en el literal e) del artículo 9, que los sujetos obligados, que son todas las entidades públicas, deben publicar la información relativa a su contratación</w:t>
      </w:r>
      <w:r w:rsidRPr="008F1C41">
        <w:rPr>
          <w:vertAlign w:val="superscript"/>
          <w:lang w:val="es-ES"/>
        </w:rPr>
        <w:footnoteReference w:id="2"/>
      </w:r>
      <w:r w:rsidRPr="00E43EBA">
        <w:rPr>
          <w:rFonts w:ascii="Century Gothic" w:eastAsia="Arial" w:hAnsi="Century Gothic" w:cs="Arial"/>
          <w:lang w:val="es-ES"/>
        </w:rPr>
        <w:t>. Esta obligación fue en principio desarrollada por el Decreto 103 de 2015, hoy compilado en el Decreto Único Reglamentario 1081 de 2015, el cual dispuso que la publicación de la información contractual de los sujetos obligados, que contratan con cargo a recursos públicos, debe hacerse en el Sistema Electrónico de Contratación Pública –SECOP–</w:t>
      </w:r>
      <w:r w:rsidRPr="008F1C41">
        <w:rPr>
          <w:vertAlign w:val="superscript"/>
          <w:lang w:val="es-ES"/>
        </w:rPr>
        <w:footnoteReference w:id="3"/>
      </w:r>
      <w:r w:rsidRPr="00E43EBA">
        <w:rPr>
          <w:rFonts w:ascii="Century Gothic" w:eastAsia="Arial" w:hAnsi="Century Gothic" w:cs="Arial"/>
          <w:lang w:val="es-ES"/>
        </w:rPr>
        <w:t>.</w:t>
      </w:r>
    </w:p>
    <w:p w14:paraId="71FBBB94" w14:textId="77777777" w:rsidR="00E43EBA" w:rsidRDefault="00E43EBA" w:rsidP="00E43EBA">
      <w:pPr>
        <w:pStyle w:val="Prrafodelista"/>
        <w:spacing w:after="0" w:line="276" w:lineRule="auto"/>
        <w:jc w:val="both"/>
        <w:rPr>
          <w:rFonts w:ascii="Century Gothic" w:eastAsia="Calibri" w:hAnsi="Century Gothic" w:cs="Arial"/>
          <w:lang w:val="es-MX"/>
        </w:rPr>
      </w:pPr>
    </w:p>
    <w:p w14:paraId="5A30AC0B" w14:textId="0F7AB844" w:rsidR="00CE7288" w:rsidRPr="00E43EBA" w:rsidRDefault="00CE7288" w:rsidP="00CE7288">
      <w:pPr>
        <w:pStyle w:val="Prrafodelista"/>
        <w:numPr>
          <w:ilvl w:val="0"/>
          <w:numId w:val="12"/>
        </w:numPr>
        <w:spacing w:after="0" w:line="276" w:lineRule="auto"/>
        <w:jc w:val="both"/>
        <w:rPr>
          <w:rFonts w:ascii="Century Gothic" w:eastAsia="Calibri" w:hAnsi="Century Gothic" w:cs="Arial"/>
          <w:lang w:val="es-MX"/>
        </w:rPr>
      </w:pPr>
      <w:r w:rsidRPr="00E43EBA">
        <w:rPr>
          <w:rFonts w:ascii="Century Gothic" w:eastAsia="Calibri" w:hAnsi="Century Gothic" w:cs="Arial"/>
          <w:lang w:val="es-MX"/>
        </w:rPr>
        <w:t>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E43EBA">
        <w:rPr>
          <w:rFonts w:ascii="Century Gothic" w:hAnsi="Century Gothic"/>
          <w:vertAlign w:val="superscript"/>
          <w:lang w:val="es-MX"/>
        </w:rPr>
        <w:footnoteReference w:id="4"/>
      </w:r>
      <w:r w:rsidRPr="00E43EBA">
        <w:rPr>
          <w:rFonts w:ascii="Century Gothic" w:eastAsia="Calibri" w:hAnsi="Century Gothic" w:cs="Arial"/>
          <w:lang w:val="es-MX"/>
        </w:rPr>
        <w:t xml:space="preserve">, lo que permite controlar las actuaciones y decisiones de la Administración y el cumplimiento de los demás principios de </w:t>
      </w:r>
      <w:r w:rsidRPr="00E43EBA">
        <w:rPr>
          <w:rFonts w:ascii="Century Gothic" w:eastAsia="Calibri" w:hAnsi="Century Gothic" w:cs="Arial"/>
          <w:lang w:val="es-MX"/>
        </w:rPr>
        <w:lastRenderedPageBreak/>
        <w:t>la contratación pública. Así lo confirma el Consejo de Estado, en los siguientes términos:</w:t>
      </w:r>
    </w:p>
    <w:p w14:paraId="184513F7" w14:textId="77777777" w:rsidR="00CE7288" w:rsidRPr="00E43EBA" w:rsidRDefault="00CE7288" w:rsidP="00CE7288">
      <w:pPr>
        <w:pStyle w:val="Prrafodelista"/>
        <w:spacing w:after="0" w:line="276" w:lineRule="auto"/>
        <w:jc w:val="both"/>
        <w:rPr>
          <w:rFonts w:ascii="Century Gothic" w:eastAsia="Calibri" w:hAnsi="Century Gothic" w:cs="Arial"/>
          <w:lang w:val="es-MX"/>
        </w:rPr>
      </w:pPr>
    </w:p>
    <w:p w14:paraId="2D1BA8C6" w14:textId="77777777" w:rsidR="00CE7288" w:rsidRPr="00E43EBA" w:rsidRDefault="00CE7288" w:rsidP="00CE7288">
      <w:pPr>
        <w:pStyle w:val="Prrafodelista"/>
        <w:spacing w:after="120" w:line="240" w:lineRule="auto"/>
        <w:ind w:left="1276" w:right="680"/>
        <w:jc w:val="both"/>
        <w:rPr>
          <w:rFonts w:ascii="Century Gothic" w:eastAsia="Calibri" w:hAnsi="Century Gothic" w:cs="Arial"/>
          <w:sz w:val="20"/>
          <w:szCs w:val="20"/>
          <w:lang w:val="es-MX"/>
        </w:rPr>
      </w:pPr>
      <w:r w:rsidRPr="00E43EBA">
        <w:rPr>
          <w:rFonts w:ascii="Century Gothic" w:eastAsia="Calibri" w:hAnsi="Century Gothic" w:cs="Arial"/>
          <w:sz w:val="20"/>
          <w:szCs w:val="20"/>
          <w:lang w:val="es-MX"/>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192676B2" w14:textId="77777777" w:rsidR="00CE7288" w:rsidRPr="00E43EBA" w:rsidRDefault="00CE7288" w:rsidP="00CE7288">
      <w:pPr>
        <w:pStyle w:val="Prrafodelista"/>
        <w:spacing w:after="120" w:line="240" w:lineRule="auto"/>
        <w:ind w:left="1276" w:right="680"/>
        <w:jc w:val="both"/>
        <w:rPr>
          <w:rFonts w:ascii="Century Gothic" w:eastAsia="Calibri" w:hAnsi="Century Gothic" w:cs="Arial"/>
          <w:sz w:val="20"/>
          <w:szCs w:val="20"/>
          <w:lang w:val="es-MX"/>
        </w:rPr>
      </w:pPr>
      <w:r w:rsidRPr="00E43EBA">
        <w:rPr>
          <w:rFonts w:ascii="Century Gothic" w:eastAsia="Calibri" w:hAnsi="Century Gothic" w:cs="Arial"/>
          <w:sz w:val="20"/>
          <w:szCs w:val="20"/>
          <w:lang w:val="es-MX"/>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73A43811" w14:textId="40F67611" w:rsidR="00CE7288" w:rsidRPr="00E43EBA" w:rsidRDefault="00CE7288" w:rsidP="00CE7288">
      <w:pPr>
        <w:pStyle w:val="Prrafodelista"/>
        <w:spacing w:after="0" w:line="240" w:lineRule="auto"/>
        <w:ind w:left="1276" w:right="680"/>
        <w:jc w:val="both"/>
        <w:rPr>
          <w:rFonts w:ascii="Century Gothic" w:eastAsia="Calibri" w:hAnsi="Century Gothic" w:cs="Arial"/>
          <w:sz w:val="20"/>
          <w:szCs w:val="20"/>
          <w:lang w:val="es-MX"/>
        </w:rPr>
      </w:pPr>
      <w:r w:rsidRPr="00E43EBA">
        <w:rPr>
          <w:rFonts w:ascii="Century Gothic" w:eastAsia="Calibri" w:hAnsi="Century Gothic" w:cs="Arial"/>
          <w:sz w:val="20"/>
          <w:szCs w:val="20"/>
          <w:lang w:val="es-MX"/>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E43EBA">
        <w:rPr>
          <w:rFonts w:ascii="Century Gothic" w:hAnsi="Century Gothic"/>
          <w:sz w:val="20"/>
          <w:szCs w:val="20"/>
          <w:vertAlign w:val="superscript"/>
          <w:lang w:val="es-MX"/>
        </w:rPr>
        <w:footnoteReference w:id="5"/>
      </w:r>
      <w:r w:rsidRPr="00E43EBA">
        <w:rPr>
          <w:rFonts w:ascii="Century Gothic" w:eastAsia="Calibri" w:hAnsi="Century Gothic" w:cs="Arial"/>
          <w:sz w:val="20"/>
          <w:szCs w:val="20"/>
          <w:lang w:val="es-MX"/>
        </w:rPr>
        <w:t>.</w:t>
      </w:r>
    </w:p>
    <w:p w14:paraId="4B5D23CE" w14:textId="77777777" w:rsidR="00CE7288" w:rsidRPr="00E43EBA" w:rsidRDefault="00CE7288" w:rsidP="00CE7288">
      <w:pPr>
        <w:spacing w:after="0" w:line="240" w:lineRule="auto"/>
        <w:jc w:val="both"/>
        <w:rPr>
          <w:rFonts w:ascii="Century Gothic" w:eastAsia="Calibri" w:hAnsi="Century Gothic" w:cs="Arial"/>
          <w:lang w:val="es-MX"/>
        </w:rPr>
      </w:pPr>
    </w:p>
    <w:p w14:paraId="21376341" w14:textId="1A2AA1B2" w:rsidR="00CE7288" w:rsidRDefault="00CE7288" w:rsidP="00600948">
      <w:pPr>
        <w:pStyle w:val="Prrafodelista"/>
        <w:numPr>
          <w:ilvl w:val="0"/>
          <w:numId w:val="12"/>
        </w:numPr>
        <w:spacing w:after="0" w:line="276" w:lineRule="auto"/>
        <w:jc w:val="both"/>
        <w:rPr>
          <w:rFonts w:ascii="Century Gothic" w:eastAsia="Calibri" w:hAnsi="Century Gothic" w:cs="Arial"/>
          <w:lang w:val="es-MX"/>
        </w:rPr>
      </w:pPr>
      <w:r w:rsidRPr="00E43EBA">
        <w:rPr>
          <w:rFonts w:ascii="Century Gothic" w:eastAsia="Calibri" w:hAnsi="Century Gothic" w:cs="Arial"/>
          <w:lang w:val="es-MX"/>
        </w:rPr>
        <w:t>El artículo 2.2.1.1.1.7.1. del Decreto 1082 de 2015, l cual establece los documentos que se deben publicar y el SECOP como medio de publicación, lo que permite controlar las actuaciones y decisiones de la Administración y el cumplimiento de los demás principios de la contratación pública.</w:t>
      </w:r>
    </w:p>
    <w:p w14:paraId="7514F2D1" w14:textId="77777777" w:rsidR="00600948" w:rsidRPr="00600948" w:rsidRDefault="00600948" w:rsidP="00600948">
      <w:pPr>
        <w:pStyle w:val="Prrafodelista"/>
        <w:spacing w:after="0" w:line="276" w:lineRule="auto"/>
        <w:jc w:val="both"/>
        <w:rPr>
          <w:rFonts w:ascii="Century Gothic" w:eastAsia="Calibri" w:hAnsi="Century Gothic" w:cs="Arial"/>
          <w:lang w:val="es-MX"/>
        </w:rPr>
      </w:pPr>
    </w:p>
    <w:p w14:paraId="1A9117AB" w14:textId="57B393FD" w:rsidR="00CE7288" w:rsidRPr="00E43EBA" w:rsidRDefault="00CE7288" w:rsidP="00A05C7E">
      <w:pPr>
        <w:pStyle w:val="Prrafodelista"/>
        <w:numPr>
          <w:ilvl w:val="0"/>
          <w:numId w:val="12"/>
        </w:numPr>
        <w:spacing w:line="276" w:lineRule="auto"/>
        <w:jc w:val="both"/>
        <w:rPr>
          <w:rFonts w:ascii="Century Gothic" w:eastAsia="Calibri" w:hAnsi="Century Gothic" w:cs="Arial"/>
          <w:lang w:val="es-MX"/>
        </w:rPr>
      </w:pPr>
      <w:r w:rsidRPr="00E43EBA">
        <w:rPr>
          <w:rFonts w:ascii="Century Gothic" w:eastAsia="Calibri" w:hAnsi="Century Gothic" w:cs="Arial"/>
          <w:lang w:val="es-MX"/>
        </w:rPr>
        <w:t xml:space="preserve">El artículo 2.2.1.1.2.2.1 señala que La Entidad Estatal puede modificar los pliegos de condiciones a través de Adendas expedidas antes del vencimiento del plazo para presentar ofertas. La Entidad Estatal puede expedir Adendas para modificar el Cronograma una vez vencido el término para la presentación de las ofertas y antes de la adjudicación del contrato. </w:t>
      </w:r>
      <w:r w:rsidRPr="00E43EBA">
        <w:rPr>
          <w:rFonts w:ascii="Century Gothic" w:eastAsia="Calibri" w:hAnsi="Century Gothic" w:cs="Arial"/>
          <w:lang w:val="es-MX"/>
        </w:rPr>
        <w:lastRenderedPageBreak/>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w:t>
      </w:r>
    </w:p>
    <w:p w14:paraId="524C4581" w14:textId="77777777" w:rsidR="00871B59" w:rsidRPr="00E43EBA" w:rsidRDefault="00871B59" w:rsidP="00E43EBA">
      <w:pPr>
        <w:widowControl w:val="0"/>
        <w:autoSpaceDE w:val="0"/>
        <w:autoSpaceDN w:val="0"/>
        <w:spacing w:after="0" w:line="276" w:lineRule="auto"/>
        <w:ind w:left="708" w:hanging="708"/>
        <w:jc w:val="both"/>
        <w:rPr>
          <w:rFonts w:ascii="Century Gothic" w:hAnsi="Century Gothic" w:cs="Arial"/>
        </w:rPr>
      </w:pPr>
    </w:p>
    <w:p w14:paraId="53133908"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Referencias normativas, jurisprudenciales y otras fuentes:</w:t>
      </w:r>
    </w:p>
    <w:p w14:paraId="237FD993"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E43EBA" w14:paraId="150F7C2A" w14:textId="77777777" w:rsidTr="002607A7">
        <w:trPr>
          <w:trHeight w:val="870"/>
        </w:trPr>
        <w:tc>
          <w:tcPr>
            <w:tcW w:w="8647" w:type="dxa"/>
          </w:tcPr>
          <w:p w14:paraId="0D5F2A9A" w14:textId="02C5D4A1" w:rsidR="00E43EBA" w:rsidRPr="00E43EBA" w:rsidRDefault="00E43EBA"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Ley 1150 de 2007</w:t>
            </w:r>
          </w:p>
          <w:p w14:paraId="536BCB0C" w14:textId="66B84176" w:rsidR="00E43EBA" w:rsidRPr="00E43EBA" w:rsidRDefault="00E43EBA"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Decreto 1082 de 2015</w:t>
            </w:r>
            <w:r w:rsidR="00600948">
              <w:rPr>
                <w:rFonts w:ascii="Century Gothic" w:eastAsia="Calibri" w:hAnsi="Century Gothic" w:cs="Arial"/>
                <w:color w:val="000000"/>
                <w:lang w:val="es-ES"/>
              </w:rPr>
              <w:t xml:space="preserve">, </w:t>
            </w:r>
            <w:r w:rsidR="00600948" w:rsidRPr="00E43EBA">
              <w:rPr>
                <w:rFonts w:ascii="Century Gothic" w:eastAsia="Calibri" w:hAnsi="Century Gothic" w:cs="Arial"/>
                <w:lang w:val="es-MX"/>
              </w:rPr>
              <w:t>artículo 2.2.1.1.1.7.1.</w:t>
            </w:r>
            <w:r w:rsidR="00600948">
              <w:rPr>
                <w:rFonts w:ascii="Century Gothic" w:eastAsia="Calibri" w:hAnsi="Century Gothic" w:cs="Arial"/>
                <w:lang w:val="es-MX"/>
              </w:rPr>
              <w:t xml:space="preserve"> y </w:t>
            </w:r>
            <w:r w:rsidR="00600948" w:rsidRPr="00E43EBA">
              <w:rPr>
                <w:rFonts w:ascii="Century Gothic" w:eastAsia="Calibri" w:hAnsi="Century Gothic" w:cs="Arial"/>
                <w:lang w:val="es-MX"/>
              </w:rPr>
              <w:t>2.2.1.1.2.2.1</w:t>
            </w:r>
          </w:p>
          <w:p w14:paraId="3EA67EA8" w14:textId="01D11C32" w:rsidR="00F919E7" w:rsidRPr="00E43EBA" w:rsidRDefault="00E43EBA"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Circular Única Externa</w:t>
            </w:r>
            <w:r w:rsidR="00600948">
              <w:rPr>
                <w:rFonts w:ascii="Century Gothic" w:eastAsia="Calibri" w:hAnsi="Century Gothic" w:cs="Arial"/>
                <w:color w:val="000000"/>
                <w:lang w:val="es-ES"/>
              </w:rPr>
              <w:t xml:space="preserve">. Disponible en: </w:t>
            </w:r>
            <w:r w:rsidR="00600948" w:rsidRPr="00600948">
              <w:rPr>
                <w:rFonts w:ascii="Century Gothic" w:eastAsia="Calibri" w:hAnsi="Century Gothic" w:cs="Arial"/>
                <w:color w:val="000000"/>
                <w:lang w:val="es-ES"/>
              </w:rPr>
              <w:t>https://www.colombiacompra.gov.co/content/circular-unica-externa</w:t>
            </w:r>
          </w:p>
          <w:p w14:paraId="190A1CF8" w14:textId="77777777" w:rsidR="00871B59" w:rsidRPr="00E43EBA"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 xml:space="preserve">Jurisprudencia del Consejo de Estado. Disponible en: </w:t>
            </w:r>
            <w:hyperlink r:id="rId12" w:history="1">
              <w:r w:rsidRPr="00E43EBA">
                <w:rPr>
                  <w:rFonts w:ascii="Century Gothic" w:eastAsia="Calibri" w:hAnsi="Century Gothic"/>
                  <w:color w:val="000000"/>
                  <w:lang w:val="es-ES"/>
                </w:rPr>
                <w:t>https://relatoria.colombiacompra.gov.co/providencias-consejo-de-estado/</w:t>
              </w:r>
            </w:hyperlink>
            <w:r w:rsidRPr="00E43EBA">
              <w:rPr>
                <w:rFonts w:ascii="Century Gothic" w:eastAsia="Calibri" w:hAnsi="Century Gothic" w:cs="Arial"/>
                <w:color w:val="000000"/>
                <w:lang w:val="es-ES"/>
              </w:rPr>
              <w:t xml:space="preserve"> </w:t>
            </w:r>
          </w:p>
          <w:p w14:paraId="34062538" w14:textId="77777777" w:rsidR="00871B59" w:rsidRPr="00E43EBA"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 xml:space="preserve">Guías y manuales expedidos por la ANCP-CCE. Disponible en: </w:t>
            </w:r>
            <w:hyperlink r:id="rId13" w:history="1">
              <w:r w:rsidRPr="00E43EBA">
                <w:rPr>
                  <w:rFonts w:ascii="Century Gothic" w:eastAsia="Calibri" w:hAnsi="Century Gothic"/>
                  <w:color w:val="000000"/>
                  <w:lang w:val="es-ES"/>
                </w:rPr>
                <w:t>https://www.colombiacompra.gov.co/manuales-guias-y-pliegos-tipo/manuales-y-guias</w:t>
              </w:r>
            </w:hyperlink>
            <w:r w:rsidRPr="00E43EBA">
              <w:rPr>
                <w:rFonts w:ascii="Century Gothic" w:eastAsia="Calibri" w:hAnsi="Century Gothic" w:cs="Arial"/>
                <w:color w:val="000000"/>
                <w:lang w:val="es-ES"/>
              </w:rPr>
              <w:t xml:space="preserve"> </w:t>
            </w:r>
          </w:p>
          <w:p w14:paraId="6ACEA7FD" w14:textId="77777777" w:rsidR="00871B59" w:rsidRPr="00E43EBA" w:rsidRDefault="00871B59" w:rsidP="002607A7">
            <w:pPr>
              <w:widowControl w:val="0"/>
              <w:autoSpaceDE w:val="0"/>
              <w:autoSpaceDN w:val="0"/>
              <w:spacing w:after="120" w:line="276" w:lineRule="auto"/>
              <w:ind w:left="360"/>
              <w:jc w:val="both"/>
              <w:rPr>
                <w:rFonts w:ascii="Century Gothic" w:hAnsi="Century Gothic" w:cs="Arial"/>
              </w:rPr>
            </w:pPr>
          </w:p>
        </w:tc>
      </w:tr>
    </w:tbl>
    <w:p w14:paraId="0E1B166D"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p w14:paraId="40380BCB"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Doctrina de la Agencia Nacional de Contratación Pública:</w:t>
      </w:r>
    </w:p>
    <w:p w14:paraId="41294D6D"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p w14:paraId="688C30E7" w14:textId="4E33509A" w:rsidR="00871B59" w:rsidRPr="00E43EBA" w:rsidRDefault="007A7364" w:rsidP="00871B59">
      <w:pPr>
        <w:widowControl w:val="0"/>
        <w:autoSpaceDE w:val="0"/>
        <w:autoSpaceDN w:val="0"/>
        <w:spacing w:after="0" w:line="276" w:lineRule="auto"/>
        <w:jc w:val="both"/>
        <w:rPr>
          <w:rStyle w:val="normaltextrun"/>
          <w:rFonts w:ascii="Century Gothic" w:hAnsi="Century Gothic" w:cs="Arial"/>
          <w:color w:val="7030A0"/>
          <w:shd w:val="clear" w:color="auto" w:fill="FFFFFF"/>
          <w:lang w:val="es-ES"/>
        </w:rPr>
      </w:pPr>
      <w:r w:rsidRPr="00E43EBA">
        <w:rPr>
          <w:rFonts w:ascii="Century Gothic" w:eastAsia="Calibri" w:hAnsi="Century Gothic" w:cs="Arial"/>
          <w:color w:val="000000"/>
        </w:rPr>
        <w:t>L</w:t>
      </w:r>
      <w:r w:rsidRPr="00E43EBA">
        <w:rPr>
          <w:rFonts w:ascii="Century Gothic" w:eastAsia="Calibri" w:hAnsi="Century Gothic" w:cs="Arial"/>
          <w:color w:val="000000"/>
          <w:lang w:val="es-ES"/>
        </w:rPr>
        <w:t>a Agencia Nacional de Contratación Pública – Colombia Compra Eficiente, en lo</w:t>
      </w:r>
      <w:r w:rsidR="00600948">
        <w:rPr>
          <w:rFonts w:ascii="Century Gothic" w:eastAsia="Calibri" w:hAnsi="Century Gothic" w:cs="Arial"/>
          <w:color w:val="000000"/>
          <w:lang w:val="es-ES"/>
        </w:rPr>
        <w:t>s</w:t>
      </w:r>
      <w:r w:rsidR="00E43EBA">
        <w:rPr>
          <w:rFonts w:ascii="Century Gothic" w:eastAsia="Calibri" w:hAnsi="Century Gothic" w:cs="Arial"/>
          <w:color w:val="000000"/>
          <w:lang w:val="es-ES"/>
        </w:rPr>
        <w:t xml:space="preserve"> conceptos </w:t>
      </w:r>
      <w:r w:rsidR="00E43EBA" w:rsidRPr="00E43EBA">
        <w:rPr>
          <w:rFonts w:ascii="Century Gothic" w:eastAsia="Calibri" w:hAnsi="Century Gothic" w:cs="Arial"/>
          <w:lang w:val="es-ES" w:eastAsia="es-ES"/>
        </w:rPr>
        <w:t xml:space="preserve"> CU-003 del 15 de enero de 2020, </w:t>
      </w:r>
      <w:r w:rsidR="00E43EBA" w:rsidRPr="00E43EBA">
        <w:rPr>
          <w:rFonts w:ascii="Century Gothic" w:eastAsia="Times New Roman" w:hAnsi="Century Gothic" w:cs="Arial"/>
          <w:lang w:eastAsia="es-ES"/>
        </w:rPr>
        <w:t xml:space="preserve">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C-472 del 6 de septiembre de 2021, C-074 del 10 de marzo de 2022, C-083 del 18 de marzo de 2022, C-135 del 28 de marzo de 2022, C-332 del 24 de mayo de 2022, C-337 del 25 de mayo de 2022, C-355 del </w:t>
      </w:r>
      <w:r w:rsidR="00E43EBA" w:rsidRPr="00E43EBA">
        <w:rPr>
          <w:rFonts w:ascii="Century Gothic" w:eastAsia="Times New Roman" w:hAnsi="Century Gothic" w:cs="Arial"/>
          <w:lang w:eastAsia="es-ES"/>
        </w:rPr>
        <w:lastRenderedPageBreak/>
        <w:t>2 de junio de 2022, C-379 del 22 de junio de 2022 y algunos otros</w:t>
      </w:r>
      <w:r w:rsidR="00E43EBA" w:rsidRPr="00E43EBA">
        <w:rPr>
          <w:rFonts w:ascii="Century Gothic" w:eastAsia="Times New Roman" w:hAnsi="Century Gothic" w:cs="Arial"/>
          <w:lang w:val="es-ES" w:eastAsia="es-ES"/>
        </w:rPr>
        <w:t>. De igual manera, esta Subdirección se ha referido al alcance de lo dispuesto en el artículo 53 de la Ley 2195 de 2022 en los conceptos C-049 del 7 de marzo de 2022, C-120 del 22 de marzo de 2022, C-124 del 22 de marzo de 2022, C-132 del 28 de marzo de 2022, C-337 del 25 de mayo de 2022, C-348 del 13 de junio de 2022, C-357 del 13 de junio de 2022, C-422 del 13 de julio de 2022, C-475 del 26 de julio de 2022, C-480 del 18 de julio de 2022, C-492 del 2 de agosto de 2022, C-495 del 2 de agosto de 2022, C-510 del 8 de agosto de 2022, C-508 de 30 de agosto de 2022, C-457 del 24 de octubre de 2023, C-460 del 30 de noviembre de 2023</w:t>
      </w:r>
      <w:r w:rsidRPr="00E43EBA">
        <w:rPr>
          <w:rFonts w:ascii="Century Gothic" w:eastAsia="Calibri" w:hAnsi="Century Gothic" w:cs="Arial"/>
          <w:color w:val="000000"/>
          <w:lang w:val="es-ES"/>
        </w:rPr>
        <w:t xml:space="preserve">, analizó </w:t>
      </w:r>
      <w:r w:rsidR="00E43EBA" w:rsidRPr="00E43EBA">
        <w:rPr>
          <w:rFonts w:ascii="Century Gothic" w:eastAsia="Calibri" w:hAnsi="Century Gothic" w:cs="Arial"/>
          <w:color w:val="000000"/>
          <w:lang w:val="es-ES"/>
        </w:rPr>
        <w:t xml:space="preserve">el </w:t>
      </w:r>
      <w:r w:rsidR="00E43EBA" w:rsidRPr="00E43EBA">
        <w:rPr>
          <w:rFonts w:ascii="Century Gothic" w:eastAsia="Calibri" w:hAnsi="Century Gothic" w:cs="Arial"/>
          <w:lang w:val="es-ES" w:eastAsia="es-ES"/>
        </w:rPr>
        <w:t>deber de publicar la documentación contractual en las Sistema Electrónico de Contratación Pública–SECOP-</w:t>
      </w:r>
      <w:r w:rsidRPr="00E43EBA">
        <w:rPr>
          <w:rFonts w:ascii="Century Gothic" w:eastAsia="Calibri" w:hAnsi="Century Gothic" w:cs="Arial"/>
          <w:color w:val="000000"/>
          <w:lang w:val="es-ES"/>
        </w:rPr>
        <w:t>.</w:t>
      </w:r>
      <w:r w:rsidR="00871B59" w:rsidRPr="00E43EBA">
        <w:rPr>
          <w:rStyle w:val="normaltextrun"/>
          <w:rFonts w:ascii="Century Gothic" w:hAnsi="Century Gothic" w:cs="Arial"/>
          <w:shd w:val="clear" w:color="auto" w:fill="FFFFFF"/>
          <w:lang w:val="es-ES"/>
        </w:rPr>
        <w:t>Es</w:t>
      </w:r>
      <w:r w:rsidR="00871B59" w:rsidRPr="00E43EBA">
        <w:rPr>
          <w:rFonts w:ascii="Century Gothic" w:hAnsi="Century Gothic"/>
        </w:rPr>
        <w:t>tos y otros conceptos se encuentran disponibles para consulta en el Sistema de relatoría de la Agencia, al cual se puede acceder a través del siguiente enlace:</w:t>
      </w:r>
      <w:r w:rsidR="00871B59" w:rsidRPr="00E43EBA">
        <w:rPr>
          <w:rStyle w:val="normaltextrun"/>
          <w:rFonts w:ascii="Century Gothic" w:hAnsi="Century Gothic" w:cs="Arial"/>
          <w:shd w:val="clear" w:color="auto" w:fill="FFFFFF"/>
          <w:lang w:val="es-ES"/>
        </w:rPr>
        <w:t xml:space="preserve"> </w:t>
      </w:r>
      <w:hyperlink r:id="rId14" w:history="1">
        <w:r w:rsidR="00871B59" w:rsidRPr="00E43EBA">
          <w:rPr>
            <w:rStyle w:val="Hipervnculo"/>
            <w:rFonts w:ascii="Century Gothic" w:hAnsi="Century Gothic" w:cs="Arial"/>
            <w:shd w:val="clear" w:color="auto" w:fill="FFFFFF"/>
            <w:lang w:val="es-ES"/>
          </w:rPr>
          <w:t>https://relatoria.colombiacompra.gov.co/busqueda/conceptos</w:t>
        </w:r>
      </w:hyperlink>
      <w:r w:rsidR="00871B59" w:rsidRPr="00E43EBA">
        <w:rPr>
          <w:rStyle w:val="normaltextrun"/>
          <w:rFonts w:ascii="Century Gothic" w:hAnsi="Century Gothic" w:cs="Arial"/>
          <w:color w:val="FF0000"/>
          <w:shd w:val="clear" w:color="auto" w:fill="FFFFFF"/>
          <w:lang w:val="es-ES"/>
        </w:rPr>
        <w:t xml:space="preserve">. </w:t>
      </w:r>
    </w:p>
    <w:p w14:paraId="653CF3BE" w14:textId="77777777" w:rsidR="00871B59" w:rsidRPr="00E43EBA" w:rsidRDefault="00871B59" w:rsidP="00871B59">
      <w:pPr>
        <w:widowControl w:val="0"/>
        <w:autoSpaceDE w:val="0"/>
        <w:autoSpaceDN w:val="0"/>
        <w:spacing w:after="0" w:line="276" w:lineRule="auto"/>
        <w:jc w:val="both"/>
        <w:rPr>
          <w:rStyle w:val="normaltextrun"/>
          <w:rFonts w:ascii="Century Gothic" w:hAnsi="Century Gothic" w:cs="Arial"/>
          <w:color w:val="FF0000"/>
          <w:shd w:val="clear" w:color="auto" w:fill="FFFFFF"/>
          <w:lang w:val="es-ES"/>
        </w:rPr>
      </w:pPr>
    </w:p>
    <w:p w14:paraId="6E5FBA74" w14:textId="77777777" w:rsidR="00871B59" w:rsidRPr="00E43EBA" w:rsidRDefault="00871B59" w:rsidP="00871B59">
      <w:pPr>
        <w:widowControl w:val="0"/>
        <w:autoSpaceDE w:val="0"/>
        <w:autoSpaceDN w:val="0"/>
        <w:spacing w:after="0" w:line="276" w:lineRule="auto"/>
        <w:jc w:val="both"/>
        <w:rPr>
          <w:rStyle w:val="normaltextrun"/>
          <w:rFonts w:ascii="Century Gothic" w:hAnsi="Century Gothic" w:cs="Arial"/>
          <w:color w:val="FF0000"/>
          <w:shd w:val="clear" w:color="auto" w:fill="FFFFFF"/>
          <w:lang w:val="es-ES"/>
        </w:rPr>
      </w:pPr>
      <w:r w:rsidRPr="00E43EBA">
        <w:rPr>
          <w:rStyle w:val="normaltextrun"/>
          <w:rFonts w:ascii="Century Gothic" w:hAnsi="Century Gothic"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E43EBA">
        <w:rPr>
          <w:rStyle w:val="normaltextrun"/>
          <w:rFonts w:ascii="Century Gothic" w:hAnsi="Century Gothic" w:cs="Arial"/>
          <w:color w:val="FF0000"/>
          <w:shd w:val="clear" w:color="auto" w:fill="FFFFFF"/>
          <w:lang w:val="es-ES"/>
        </w:rPr>
        <w:t xml:space="preserve"> </w:t>
      </w:r>
      <w:hyperlink r:id="rId15" w:history="1">
        <w:r w:rsidRPr="00E43EBA">
          <w:rPr>
            <w:rStyle w:val="Hipervnculo"/>
            <w:rFonts w:ascii="Century Gothic" w:hAnsi="Century Gothic" w:cs="Arial"/>
            <w:shd w:val="clear" w:color="auto" w:fill="FFFFFF"/>
            <w:lang w:val="es-ES"/>
          </w:rPr>
          <w:t>https://www.colombiacompra.gov.co/sala-de-prensa/boletin-digital</w:t>
        </w:r>
      </w:hyperlink>
      <w:r w:rsidRPr="00E43EBA">
        <w:rPr>
          <w:rStyle w:val="normaltextrun"/>
          <w:rFonts w:ascii="Century Gothic" w:hAnsi="Century Gothic" w:cs="Arial"/>
          <w:color w:val="FF0000"/>
          <w:shd w:val="clear" w:color="auto" w:fill="FFFFFF"/>
          <w:lang w:val="es-ES"/>
        </w:rPr>
        <w:t xml:space="preserve">      </w:t>
      </w:r>
    </w:p>
    <w:p w14:paraId="1570ED43"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Por último, lo invitamos a seguirnos en las redes sociales en las cuales se difunde información institucional: </w:t>
      </w:r>
    </w:p>
    <w:p w14:paraId="284AF384" w14:textId="77777777" w:rsidR="008815E5" w:rsidRPr="00E43EBA" w:rsidRDefault="008815E5" w:rsidP="008815E5">
      <w:pPr>
        <w:spacing w:after="0" w:line="240" w:lineRule="auto"/>
        <w:jc w:val="both"/>
        <w:rPr>
          <w:rFonts w:ascii="Century Gothic" w:hAnsi="Century Gothic"/>
        </w:rPr>
      </w:pPr>
    </w:p>
    <w:p w14:paraId="5E6CD010"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Twitter: </w:t>
      </w:r>
      <w:r w:rsidRPr="00E43EBA">
        <w:rPr>
          <w:rStyle w:val="Hipervnculo"/>
          <w:rFonts w:ascii="Century Gothic" w:hAnsi="Century Gothic"/>
          <w:color w:val="4472C4" w:themeColor="accent1"/>
        </w:rPr>
        <w:t>@colombiacompra</w:t>
      </w:r>
      <w:r w:rsidRPr="00E43EBA">
        <w:rPr>
          <w:rFonts w:ascii="Century Gothic" w:hAnsi="Century Gothic"/>
          <w:color w:val="4472C4" w:themeColor="accent1"/>
        </w:rPr>
        <w:t xml:space="preserve"> </w:t>
      </w:r>
    </w:p>
    <w:p w14:paraId="0F76F019"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Facebook: </w:t>
      </w:r>
      <w:r w:rsidRPr="00E43EBA">
        <w:rPr>
          <w:rStyle w:val="Hipervnculo"/>
          <w:rFonts w:ascii="Century Gothic" w:hAnsi="Century Gothic"/>
          <w:color w:val="4472C4" w:themeColor="accent1"/>
        </w:rPr>
        <w:t>ColombiaCompraEficiente</w:t>
      </w:r>
    </w:p>
    <w:p w14:paraId="60E5B357"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LinkedIn: </w:t>
      </w:r>
      <w:r w:rsidRPr="00E43EBA">
        <w:rPr>
          <w:rStyle w:val="Hipervnculo"/>
          <w:rFonts w:ascii="Century Gothic" w:hAnsi="Century Gothic"/>
          <w:color w:val="4472C4" w:themeColor="accent1"/>
        </w:rPr>
        <w:t>Agencia Nacional de Contratación Pública - Colombia Compra Eficiente</w:t>
      </w:r>
      <w:r w:rsidRPr="00E43EBA">
        <w:rPr>
          <w:rFonts w:ascii="Century Gothic" w:hAnsi="Century Gothic"/>
          <w:color w:val="4472C4" w:themeColor="accent1"/>
        </w:rPr>
        <w:t xml:space="preserve"> </w:t>
      </w:r>
      <w:r w:rsidRPr="00E43EBA">
        <w:rPr>
          <w:rFonts w:ascii="Century Gothic" w:hAnsi="Century Gothic"/>
        </w:rPr>
        <w:t xml:space="preserve">Instagram: </w:t>
      </w:r>
      <w:r w:rsidRPr="00E43EBA">
        <w:rPr>
          <w:rStyle w:val="Hipervnculo"/>
          <w:rFonts w:ascii="Century Gothic" w:hAnsi="Century Gothic"/>
          <w:color w:val="4472C4" w:themeColor="accent1"/>
        </w:rPr>
        <w:t>@colombiacompraeficiente_cce</w:t>
      </w:r>
    </w:p>
    <w:p w14:paraId="6980ECB3"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p w14:paraId="120572E9" w14:textId="77777777" w:rsidR="00871B59" w:rsidRPr="00E43EBA" w:rsidRDefault="00871B59" w:rsidP="00871B59">
      <w:pPr>
        <w:widowControl w:val="0"/>
        <w:autoSpaceDE w:val="0"/>
        <w:autoSpaceDN w:val="0"/>
        <w:spacing w:after="0" w:line="276" w:lineRule="auto"/>
        <w:jc w:val="both"/>
        <w:rPr>
          <w:rFonts w:ascii="Century Gothic" w:hAnsi="Century Gothic" w:cs="Arial"/>
          <w:lang w:val="es-ES_tradnl"/>
        </w:rPr>
      </w:pPr>
      <w:r w:rsidRPr="00E43EBA">
        <w:rPr>
          <w:rFonts w:ascii="Century Gothic" w:hAnsi="Century Gothic" w:cs="Arial"/>
        </w:rPr>
        <w:t xml:space="preserve">Este concepto tiene el alcance previsto en el artículo 28 del Código de Procedimiento Administrativo y de lo Contencioso Administrativo </w:t>
      </w:r>
      <w:r w:rsidRPr="00E43EBA">
        <w:rPr>
          <w:rFonts w:ascii="Century Gothic" w:hAnsi="Century Gothic" w:cs="Arial"/>
          <w:lang w:val="es-ES_tradnl"/>
        </w:rPr>
        <w:t>y las expresiones aquí utilizadas con mayúscula inicial deben ser entendidas con el significado que les otorga el artículo 2.2.1.1.1.3.1. del Decreto 1082 de 2015.</w:t>
      </w:r>
    </w:p>
    <w:p w14:paraId="76160CFD"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p w14:paraId="46FD3687" w14:textId="77777777" w:rsidR="00871B59" w:rsidRPr="00E43EBA" w:rsidRDefault="00871B59" w:rsidP="00871B59">
      <w:pPr>
        <w:spacing w:after="0" w:line="240" w:lineRule="auto"/>
        <w:rPr>
          <w:rFonts w:ascii="Century Gothic" w:hAnsi="Century Gothic" w:cs="Arial"/>
          <w:lang w:eastAsia="es-CO"/>
        </w:rPr>
      </w:pPr>
      <w:r w:rsidRPr="00E43EBA">
        <w:rPr>
          <w:rFonts w:ascii="Century Gothic" w:eastAsia="Times New Roman" w:hAnsi="Century Gothic" w:cs="Arial"/>
          <w:lang w:eastAsia="es-CO"/>
        </w:rPr>
        <w:t>Atentamente,</w:t>
      </w:r>
      <w:r w:rsidRPr="00E43EBA">
        <w:rPr>
          <w:rFonts w:ascii="Century Gothic" w:hAnsi="Century Gothic" w:cs="Arial"/>
          <w:lang w:eastAsia="es-CO"/>
        </w:rPr>
        <w:t xml:space="preserve"> </w:t>
      </w:r>
    </w:p>
    <w:p w14:paraId="7B21B32E" w14:textId="2A2D9CF9" w:rsidR="00871B59" w:rsidRPr="00593A5F" w:rsidRDefault="002C1D0E" w:rsidP="00871B59">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32EBC67D" wp14:editId="1A2A6E92">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593A5F" w14:paraId="2A20789D" w14:textId="77777777" w:rsidTr="002607A7">
        <w:trPr>
          <w:trHeight w:val="315"/>
        </w:trPr>
        <w:tc>
          <w:tcPr>
            <w:tcW w:w="893" w:type="dxa"/>
            <w:vAlign w:val="center"/>
            <w:hideMark/>
          </w:tcPr>
          <w:p w14:paraId="56E3D941" w14:textId="77777777" w:rsidR="00871B59" w:rsidRPr="003751C7" w:rsidRDefault="00871B59" w:rsidP="002607A7">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929B3B3" w14:textId="3FF67129" w:rsidR="007A7364" w:rsidRPr="004656D7" w:rsidRDefault="003A462E" w:rsidP="002607A7">
            <w:pPr>
              <w:contextualSpacing/>
              <w:rPr>
                <w:rStyle w:val="normaltextrun"/>
                <w:rFonts w:ascii="Verdana" w:hAnsi="Verdana"/>
                <w:sz w:val="16"/>
                <w:szCs w:val="16"/>
              </w:rPr>
            </w:pPr>
            <w:r>
              <w:rPr>
                <w:rStyle w:val="normaltextrun"/>
                <w:rFonts w:ascii="Verdana" w:hAnsi="Verdana"/>
                <w:sz w:val="16"/>
                <w:szCs w:val="16"/>
              </w:rPr>
              <w:t xml:space="preserve">Diana </w:t>
            </w:r>
            <w:r w:rsidR="007A7364" w:rsidRPr="004656D7">
              <w:rPr>
                <w:rStyle w:val="normaltextrun"/>
                <w:rFonts w:ascii="Verdana" w:hAnsi="Verdana"/>
                <w:sz w:val="16"/>
                <w:szCs w:val="16"/>
              </w:rPr>
              <w:t xml:space="preserve">Carolina Blanco Rodriguez </w:t>
            </w:r>
          </w:p>
          <w:p w14:paraId="27134A92" w14:textId="0A67E70D" w:rsidR="00871B59" w:rsidRPr="004656D7" w:rsidRDefault="007A7364" w:rsidP="002607A7">
            <w:pPr>
              <w:contextualSpacing/>
              <w:rPr>
                <w:rFonts w:ascii="Verdana" w:eastAsia="Arial" w:hAnsi="Verdana" w:cs="Arial"/>
                <w:sz w:val="16"/>
                <w:szCs w:val="16"/>
              </w:rPr>
            </w:pPr>
            <w:r w:rsidRPr="004656D7">
              <w:rPr>
                <w:rStyle w:val="normaltextrun"/>
                <w:rFonts w:ascii="Verdana" w:eastAsia="Arial" w:hAnsi="Verdana" w:cs="Arial"/>
                <w:sz w:val="16"/>
                <w:szCs w:val="16"/>
              </w:rPr>
              <w:t xml:space="preserve">Contratista </w:t>
            </w:r>
            <w:r w:rsidR="00871B59" w:rsidRPr="004656D7">
              <w:rPr>
                <w:rStyle w:val="normaltextrun"/>
                <w:rFonts w:ascii="Verdana" w:eastAsia="Arial" w:hAnsi="Verdana" w:cs="Arial"/>
                <w:sz w:val="16"/>
                <w:szCs w:val="16"/>
              </w:rPr>
              <w:t>de la Subdirección de Gestión Contractual</w:t>
            </w:r>
          </w:p>
        </w:tc>
      </w:tr>
      <w:tr w:rsidR="00871B59" w:rsidRPr="00593A5F" w14:paraId="409BBACC" w14:textId="77777777" w:rsidTr="002607A7">
        <w:trPr>
          <w:trHeight w:val="330"/>
        </w:trPr>
        <w:tc>
          <w:tcPr>
            <w:tcW w:w="893" w:type="dxa"/>
            <w:vAlign w:val="center"/>
            <w:hideMark/>
          </w:tcPr>
          <w:p w14:paraId="3ABFF401" w14:textId="77777777" w:rsidR="00871B59" w:rsidRPr="003751C7" w:rsidRDefault="00871B59" w:rsidP="002607A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C5E1D8C" w14:textId="68D90257" w:rsidR="007A7364" w:rsidRPr="004656D7" w:rsidRDefault="007A7364" w:rsidP="002607A7">
            <w:pPr>
              <w:pStyle w:val="paragraph"/>
              <w:spacing w:before="0" w:beforeAutospacing="0" w:after="0" w:afterAutospacing="0"/>
              <w:contextualSpacing/>
              <w:textAlignment w:val="baseline"/>
              <w:rPr>
                <w:rStyle w:val="normaltextrun"/>
                <w:rFonts w:ascii="Verdana" w:hAnsi="Verdana" w:cs="Arial"/>
                <w:sz w:val="16"/>
                <w:szCs w:val="16"/>
                <w:lang w:val="es-ES"/>
              </w:rPr>
            </w:pPr>
            <w:r w:rsidRPr="004656D7">
              <w:rPr>
                <w:rStyle w:val="normaltextrun"/>
                <w:rFonts w:ascii="Verdana" w:hAnsi="Verdana" w:cs="Arial"/>
                <w:sz w:val="16"/>
                <w:szCs w:val="16"/>
                <w:lang w:val="es-ES"/>
              </w:rPr>
              <w:t xml:space="preserve">Juan David Cárdenas </w:t>
            </w:r>
            <w:r w:rsidR="003A462E">
              <w:rPr>
                <w:rStyle w:val="normaltextrun"/>
                <w:rFonts w:ascii="Verdana" w:hAnsi="Verdana" w:cs="Arial"/>
                <w:sz w:val="16"/>
                <w:szCs w:val="16"/>
                <w:lang w:val="es-ES"/>
              </w:rPr>
              <w:t>C</w:t>
            </w:r>
            <w:r w:rsidR="003A462E">
              <w:rPr>
                <w:rStyle w:val="normaltextrun"/>
                <w:rFonts w:ascii="Verdana" w:hAnsi="Verdana"/>
                <w:sz w:val="16"/>
                <w:szCs w:val="16"/>
                <w:lang w:val="es-ES"/>
              </w:rPr>
              <w:t>abeza</w:t>
            </w:r>
          </w:p>
          <w:p w14:paraId="408B71DB" w14:textId="69A696A0" w:rsidR="00871B59" w:rsidRPr="004656D7" w:rsidRDefault="007A7364" w:rsidP="002607A7">
            <w:pPr>
              <w:pStyle w:val="paragraph"/>
              <w:spacing w:before="0" w:beforeAutospacing="0" w:after="0" w:afterAutospacing="0"/>
              <w:contextualSpacing/>
              <w:textAlignment w:val="baseline"/>
              <w:rPr>
                <w:rFonts w:ascii="Verdana" w:hAnsi="Verdana" w:cs="Segoe UI"/>
                <w:sz w:val="16"/>
                <w:szCs w:val="16"/>
              </w:rPr>
            </w:pPr>
            <w:r w:rsidRPr="004656D7">
              <w:rPr>
                <w:rStyle w:val="normaltextrun"/>
                <w:rFonts w:ascii="Verdana" w:hAnsi="Verdana" w:cs="Arial"/>
                <w:sz w:val="16"/>
                <w:szCs w:val="16"/>
                <w:lang w:val="es-ES"/>
              </w:rPr>
              <w:t>Contratista</w:t>
            </w:r>
            <w:r w:rsidR="00871B59" w:rsidRPr="004656D7">
              <w:rPr>
                <w:rStyle w:val="normaltextrun"/>
                <w:rFonts w:ascii="Verdana" w:hAnsi="Verdana" w:cs="Arial"/>
                <w:sz w:val="16"/>
                <w:szCs w:val="16"/>
                <w:lang w:val="es-ES"/>
              </w:rPr>
              <w:t xml:space="preserve"> de la Subdirección de Gestión Contractual</w:t>
            </w:r>
            <w:r w:rsidR="00871B59" w:rsidRPr="004656D7">
              <w:rPr>
                <w:rStyle w:val="eop"/>
                <w:rFonts w:ascii="Verdana" w:hAnsi="Verdana" w:cs="Arial"/>
                <w:sz w:val="16"/>
                <w:szCs w:val="16"/>
              </w:rPr>
              <w:t> </w:t>
            </w:r>
          </w:p>
        </w:tc>
      </w:tr>
      <w:tr w:rsidR="00871B59" w:rsidRPr="00593A5F" w14:paraId="2A81CFC8" w14:textId="77777777" w:rsidTr="002607A7">
        <w:trPr>
          <w:trHeight w:val="300"/>
        </w:trPr>
        <w:tc>
          <w:tcPr>
            <w:tcW w:w="893" w:type="dxa"/>
            <w:vAlign w:val="center"/>
          </w:tcPr>
          <w:p w14:paraId="3159EE97" w14:textId="77777777" w:rsidR="00871B59" w:rsidRPr="003751C7" w:rsidRDefault="00871B59" w:rsidP="002607A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7777777" w:rsidR="00871B59" w:rsidRPr="003751C7" w:rsidRDefault="00871B59" w:rsidP="002607A7">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6EE38C14" w14:textId="77777777" w:rsidR="00871B59" w:rsidRPr="003751C7" w:rsidRDefault="00871B59" w:rsidP="002607A7">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510CF084" w14:textId="77777777" w:rsidR="00871B59" w:rsidRPr="00593A5F" w:rsidRDefault="00871B59" w:rsidP="00871B59">
      <w:pPr>
        <w:spacing w:after="0" w:line="240" w:lineRule="auto"/>
        <w:rPr>
          <w:rFonts w:ascii="Verdana" w:eastAsia="Times New Roman" w:hAnsi="Verdana" w:cs="Arial"/>
          <w:sz w:val="24"/>
          <w:szCs w:val="24"/>
          <w:lang w:eastAsia="es-ES"/>
        </w:rPr>
      </w:pPr>
    </w:p>
    <w:p w14:paraId="0083C991" w14:textId="5C765C2F" w:rsidR="5D8505AD" w:rsidRPr="00871B59" w:rsidRDefault="5D8505AD" w:rsidP="00871B59"/>
    <w:sectPr w:rsidR="5D8505AD" w:rsidRPr="00871B59" w:rsidSect="00E45F4B">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D4B0C" w14:textId="77777777" w:rsidR="00C76A2D" w:rsidRDefault="00C76A2D" w:rsidP="00B30448">
      <w:pPr>
        <w:spacing w:after="0" w:line="240" w:lineRule="auto"/>
      </w:pPr>
      <w:r>
        <w:separator/>
      </w:r>
    </w:p>
  </w:endnote>
  <w:endnote w:type="continuationSeparator" w:id="0">
    <w:p w14:paraId="0C643241" w14:textId="77777777" w:rsidR="00C76A2D" w:rsidRDefault="00C76A2D" w:rsidP="00B30448">
      <w:pPr>
        <w:spacing w:after="0" w:line="240" w:lineRule="auto"/>
      </w:pPr>
      <w:r>
        <w:continuationSeparator/>
      </w:r>
    </w:p>
  </w:endnote>
  <w:endnote w:type="continuationNotice" w:id="1">
    <w:p w14:paraId="494D6A9F" w14:textId="77777777" w:rsidR="00C76A2D" w:rsidRDefault="00C76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BoldMT">
    <w:altName w:val="Arial"/>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Geomanist Bold">
    <w:altName w:val="Corbel"/>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EC482" w14:textId="77777777" w:rsidR="00C76A2D" w:rsidRDefault="00C76A2D" w:rsidP="00B30448">
      <w:pPr>
        <w:spacing w:after="0" w:line="240" w:lineRule="auto"/>
      </w:pPr>
      <w:r>
        <w:separator/>
      </w:r>
    </w:p>
  </w:footnote>
  <w:footnote w:type="continuationSeparator" w:id="0">
    <w:p w14:paraId="1068D0E4" w14:textId="77777777" w:rsidR="00C76A2D" w:rsidRDefault="00C76A2D" w:rsidP="00B30448">
      <w:pPr>
        <w:spacing w:after="0" w:line="240" w:lineRule="auto"/>
      </w:pPr>
      <w:r>
        <w:continuationSeparator/>
      </w:r>
    </w:p>
  </w:footnote>
  <w:footnote w:type="continuationNotice" w:id="1">
    <w:p w14:paraId="6541A8BF" w14:textId="77777777" w:rsidR="00C76A2D" w:rsidRDefault="00C76A2D">
      <w:pPr>
        <w:spacing w:after="0" w:line="240" w:lineRule="auto"/>
      </w:pPr>
    </w:p>
  </w:footnote>
  <w:footnote w:id="2">
    <w:p w14:paraId="62A9169E" w14:textId="77777777" w:rsidR="00E43EBA" w:rsidRPr="009C660C" w:rsidRDefault="00E43EBA" w:rsidP="00E43EBA">
      <w:pPr>
        <w:pStyle w:val="Textonotapie"/>
        <w:ind w:right="49" w:firstLine="709"/>
        <w:jc w:val="both"/>
        <w:rPr>
          <w:rFonts w:ascii="Century Gothic" w:hAnsi="Century Gothic" w:cs="Arial"/>
          <w:color w:val="000000" w:themeColor="text1"/>
          <w:sz w:val="16"/>
          <w:szCs w:val="16"/>
        </w:rPr>
      </w:pPr>
      <w:r w:rsidRPr="009C660C">
        <w:rPr>
          <w:rStyle w:val="Refdenotaalpie"/>
          <w:rFonts w:ascii="Century Gothic" w:hAnsi="Century Gothic" w:cs="Arial"/>
          <w:color w:val="000000" w:themeColor="text1"/>
          <w:sz w:val="16"/>
          <w:szCs w:val="16"/>
        </w:rPr>
        <w:footnoteRef/>
      </w:r>
      <w:r w:rsidRPr="009C660C">
        <w:rPr>
          <w:rFonts w:ascii="Century Gothic" w:hAnsi="Century Gothic" w:cs="Arial"/>
          <w:color w:val="000000" w:themeColor="text1"/>
          <w:sz w:val="16"/>
          <w:szCs w:val="16"/>
        </w:rPr>
        <w:t xml:space="preserve"> Ley 1712 de 2014: “Artículo 5. Ámbito de aplicación. Las disposiciones de esta ley serán aplicables a las siguientes personas en calidad de sujetos obligados: </w:t>
      </w:r>
    </w:p>
    <w:p w14:paraId="0BD58B16" w14:textId="77777777" w:rsidR="00E43EBA" w:rsidRPr="009C660C" w:rsidRDefault="00E43EBA" w:rsidP="00E43EBA">
      <w:pPr>
        <w:pStyle w:val="Textonotapie"/>
        <w:ind w:right="49" w:firstLine="709"/>
        <w:jc w:val="both"/>
        <w:rPr>
          <w:rFonts w:ascii="Century Gothic" w:hAnsi="Century Gothic" w:cs="Arial"/>
          <w:color w:val="000000" w:themeColor="text1"/>
          <w:sz w:val="16"/>
          <w:szCs w:val="16"/>
        </w:rPr>
      </w:pPr>
      <w:r w:rsidRPr="009C660C">
        <w:rPr>
          <w:rFonts w:ascii="Century Gothic" w:hAnsi="Century Gothic"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footnote>
  <w:footnote w:id="3">
    <w:p w14:paraId="1A457CBF" w14:textId="77777777" w:rsidR="00E43EBA" w:rsidRPr="009C660C" w:rsidRDefault="00E43EBA" w:rsidP="00E43EBA">
      <w:pPr>
        <w:pStyle w:val="Textonotapie"/>
        <w:ind w:right="49" w:firstLine="709"/>
        <w:jc w:val="both"/>
        <w:rPr>
          <w:rFonts w:ascii="Century Gothic" w:hAnsi="Century Gothic" w:cs="Arial"/>
          <w:color w:val="000000" w:themeColor="text1"/>
          <w:sz w:val="16"/>
          <w:szCs w:val="16"/>
        </w:rPr>
      </w:pPr>
      <w:r w:rsidRPr="009C660C">
        <w:rPr>
          <w:rFonts w:ascii="Century Gothic" w:hAnsi="Century Gothic" w:cs="Arial"/>
          <w:color w:val="000000" w:themeColor="text1"/>
          <w:sz w:val="16"/>
          <w:szCs w:val="16"/>
          <w:vertAlign w:val="superscript"/>
          <w:lang w:val="es-ES" w:eastAsia="es-ES"/>
        </w:rPr>
        <w:footnoteRef/>
      </w:r>
      <w:r w:rsidRPr="009C660C">
        <w:rPr>
          <w:rFonts w:ascii="Century Gothic" w:hAnsi="Century Gothic" w:cs="Arial"/>
          <w:color w:val="000000" w:themeColor="text1"/>
          <w:sz w:val="16"/>
          <w:szCs w:val="16"/>
          <w:vertAlign w:val="superscript"/>
          <w:lang w:val="es-ES" w:eastAsia="es-ES"/>
        </w:rPr>
        <w:t xml:space="preserve"> </w:t>
      </w:r>
      <w:r w:rsidRPr="009C660C">
        <w:rPr>
          <w:rFonts w:ascii="Century Gothic" w:hAnsi="Century Gothic" w:cs="Arial"/>
          <w:color w:val="000000" w:themeColor="text1"/>
          <w:sz w:val="16"/>
          <w:szCs w:val="16"/>
          <w:lang w:val="es-ES" w:eastAsia="es-ES"/>
        </w:rPr>
        <w:t>“</w:t>
      </w:r>
      <w:r w:rsidRPr="009C660C">
        <w:rPr>
          <w:rFonts w:ascii="Century Gothic" w:hAnsi="Century Gothic" w:cs="Arial"/>
          <w:color w:val="000000" w:themeColor="text1"/>
          <w:sz w:val="16"/>
          <w:szCs w:val="16"/>
        </w:rPr>
        <w:t xml:space="preserve">Artículo </w:t>
      </w:r>
      <w:bookmarkStart w:id="1" w:name="_Hlk153373407"/>
      <w:r w:rsidRPr="009C660C">
        <w:rPr>
          <w:rFonts w:ascii="Century Gothic" w:hAnsi="Century Gothic" w:cs="Arial"/>
          <w:color w:val="000000" w:themeColor="text1"/>
          <w:sz w:val="16"/>
          <w:szCs w:val="16"/>
        </w:rPr>
        <w:t>2.1.1.2.1.7</w:t>
      </w:r>
      <w:bookmarkEnd w:id="1"/>
      <w:r w:rsidRPr="009C660C">
        <w:rPr>
          <w:rFonts w:ascii="Century Gothic" w:hAnsi="Century Gothic" w:cs="Arial"/>
          <w:color w:val="000000" w:themeColor="text1"/>
          <w:sz w:val="16"/>
          <w:szCs w:val="16"/>
        </w:rPr>
        <w:t xml:space="preserve">.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6CF763D" w14:textId="77777777" w:rsidR="00E43EBA" w:rsidRPr="009C660C" w:rsidRDefault="00E43EBA" w:rsidP="00E43EBA">
      <w:pPr>
        <w:pStyle w:val="Textonotapie"/>
        <w:ind w:right="49" w:firstLine="709"/>
        <w:jc w:val="both"/>
        <w:rPr>
          <w:rFonts w:ascii="Century Gothic" w:hAnsi="Century Gothic" w:cs="Arial"/>
          <w:color w:val="000000" w:themeColor="text1"/>
          <w:sz w:val="16"/>
          <w:szCs w:val="16"/>
          <w:lang w:val="es-ES" w:eastAsia="es-ES"/>
        </w:rPr>
      </w:pPr>
      <w:r w:rsidRPr="009C660C">
        <w:rPr>
          <w:rFonts w:ascii="Century Gothic" w:hAnsi="Century Gothic" w:cs="Arial"/>
          <w:color w:val="000000" w:themeColor="text1"/>
          <w:sz w:val="16"/>
          <w:szCs w:val="16"/>
        </w:rPr>
        <w:t>[…].</w:t>
      </w:r>
    </w:p>
    <w:p w14:paraId="0FF7ED9C" w14:textId="77777777" w:rsidR="00E43EBA" w:rsidRPr="009C660C" w:rsidRDefault="00E43EBA" w:rsidP="00E43EBA">
      <w:pPr>
        <w:pStyle w:val="Textonotapie"/>
        <w:ind w:right="49" w:firstLine="709"/>
        <w:jc w:val="both"/>
        <w:rPr>
          <w:rFonts w:ascii="Century Gothic" w:hAnsi="Century Gothic" w:cs="Arial"/>
          <w:color w:val="000000" w:themeColor="text1"/>
          <w:sz w:val="16"/>
          <w:szCs w:val="16"/>
          <w:lang w:val="es-ES" w:eastAsia="es-ES"/>
        </w:rPr>
      </w:pPr>
      <w:r w:rsidRPr="009C660C">
        <w:rPr>
          <w:rFonts w:ascii="Century Gothic" w:hAnsi="Century Gothic" w:cs="Arial"/>
          <w:color w:val="000000" w:themeColor="text1"/>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footnote>
  <w:footnote w:id="4">
    <w:p w14:paraId="7E07E739" w14:textId="77777777" w:rsidR="00CE7288" w:rsidRPr="003A462E" w:rsidRDefault="00CE7288" w:rsidP="00CE7288">
      <w:pPr>
        <w:pStyle w:val="Textonotapie"/>
        <w:spacing w:after="120"/>
        <w:ind w:right="51" w:firstLine="709"/>
        <w:jc w:val="both"/>
        <w:rPr>
          <w:rFonts w:ascii="Century Gothic" w:hAnsi="Century Gothic" w:cs="Arial"/>
          <w:color w:val="000000"/>
          <w:sz w:val="16"/>
          <w:szCs w:val="16"/>
          <w:lang w:val="es-ES"/>
        </w:rPr>
      </w:pPr>
    </w:p>
  </w:footnote>
  <w:footnote w:id="5">
    <w:p w14:paraId="103E6A13" w14:textId="77777777" w:rsidR="00CE7288" w:rsidRPr="003A462E" w:rsidRDefault="00CE7288" w:rsidP="00CE7288">
      <w:pPr>
        <w:pStyle w:val="Textonotapie"/>
        <w:ind w:firstLine="708"/>
        <w:jc w:val="both"/>
        <w:rPr>
          <w:rFonts w:ascii="Century Gothic" w:hAnsi="Century Gothic" w:cs="Arial"/>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445982"/>
    <w:multiLevelType w:val="hybridMultilevel"/>
    <w:tmpl w:val="B694C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304681"/>
    <w:multiLevelType w:val="hybridMultilevel"/>
    <w:tmpl w:val="46405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53841F3"/>
    <w:multiLevelType w:val="hybridMultilevel"/>
    <w:tmpl w:val="7570D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1" w15:restartNumberingAfterBreak="0">
    <w:nsid w:val="644D1A50"/>
    <w:multiLevelType w:val="hybridMultilevel"/>
    <w:tmpl w:val="4E0A28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290670214">
    <w:abstractNumId w:val="7"/>
  </w:num>
  <w:num w:numId="2" w16cid:durableId="4285022">
    <w:abstractNumId w:val="2"/>
  </w:num>
  <w:num w:numId="3" w16cid:durableId="881983949">
    <w:abstractNumId w:val="4"/>
  </w:num>
  <w:num w:numId="4" w16cid:durableId="341274352">
    <w:abstractNumId w:val="0"/>
  </w:num>
  <w:num w:numId="5" w16cid:durableId="1887524674">
    <w:abstractNumId w:val="10"/>
  </w:num>
  <w:num w:numId="6" w16cid:durableId="1082990391">
    <w:abstractNumId w:val="1"/>
  </w:num>
  <w:num w:numId="7" w16cid:durableId="1492209491">
    <w:abstractNumId w:val="6"/>
  </w:num>
  <w:num w:numId="8" w16cid:durableId="679089576">
    <w:abstractNumId w:val="8"/>
  </w:num>
  <w:num w:numId="9" w16cid:durableId="2123767494">
    <w:abstractNumId w:val="9"/>
  </w:num>
  <w:num w:numId="10" w16cid:durableId="1391228846">
    <w:abstractNumId w:val="5"/>
  </w:num>
  <w:num w:numId="11" w16cid:durableId="15233557">
    <w:abstractNumId w:val="11"/>
  </w:num>
  <w:num w:numId="12" w16cid:durableId="354035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74178"/>
    <w:rsid w:val="00082E4C"/>
    <w:rsid w:val="000849D5"/>
    <w:rsid w:val="0008528F"/>
    <w:rsid w:val="000A6E0C"/>
    <w:rsid w:val="000A7A56"/>
    <w:rsid w:val="000B1FF7"/>
    <w:rsid w:val="000B2513"/>
    <w:rsid w:val="000B4024"/>
    <w:rsid w:val="000C3C51"/>
    <w:rsid w:val="000C7262"/>
    <w:rsid w:val="000D2A7F"/>
    <w:rsid w:val="000D4FCE"/>
    <w:rsid w:val="0011037E"/>
    <w:rsid w:val="001363C7"/>
    <w:rsid w:val="00141AC5"/>
    <w:rsid w:val="00146B11"/>
    <w:rsid w:val="00147A04"/>
    <w:rsid w:val="0015476D"/>
    <w:rsid w:val="00161E13"/>
    <w:rsid w:val="00164AE0"/>
    <w:rsid w:val="00165E83"/>
    <w:rsid w:val="00166CD7"/>
    <w:rsid w:val="0017120C"/>
    <w:rsid w:val="00172F3A"/>
    <w:rsid w:val="001902B6"/>
    <w:rsid w:val="0019532A"/>
    <w:rsid w:val="0019670E"/>
    <w:rsid w:val="00197205"/>
    <w:rsid w:val="001A5DD4"/>
    <w:rsid w:val="001A67E9"/>
    <w:rsid w:val="001B143B"/>
    <w:rsid w:val="001B21CA"/>
    <w:rsid w:val="001C04FC"/>
    <w:rsid w:val="001C25A3"/>
    <w:rsid w:val="001C5D03"/>
    <w:rsid w:val="001C7771"/>
    <w:rsid w:val="001D62FF"/>
    <w:rsid w:val="001F3F48"/>
    <w:rsid w:val="002000AA"/>
    <w:rsid w:val="00204109"/>
    <w:rsid w:val="00211E6E"/>
    <w:rsid w:val="00212A46"/>
    <w:rsid w:val="0021401D"/>
    <w:rsid w:val="002146B8"/>
    <w:rsid w:val="00215516"/>
    <w:rsid w:val="002527C2"/>
    <w:rsid w:val="00270443"/>
    <w:rsid w:val="00270EE2"/>
    <w:rsid w:val="00272972"/>
    <w:rsid w:val="00286491"/>
    <w:rsid w:val="002A0F8D"/>
    <w:rsid w:val="002B6E44"/>
    <w:rsid w:val="002C1D0E"/>
    <w:rsid w:val="002E1DB5"/>
    <w:rsid w:val="002F6CCB"/>
    <w:rsid w:val="0030461E"/>
    <w:rsid w:val="0032756A"/>
    <w:rsid w:val="00334EF8"/>
    <w:rsid w:val="00336408"/>
    <w:rsid w:val="00340DFB"/>
    <w:rsid w:val="0034404F"/>
    <w:rsid w:val="00356980"/>
    <w:rsid w:val="00367462"/>
    <w:rsid w:val="00371ECA"/>
    <w:rsid w:val="00372748"/>
    <w:rsid w:val="0037332A"/>
    <w:rsid w:val="0038151A"/>
    <w:rsid w:val="00382308"/>
    <w:rsid w:val="00387DAB"/>
    <w:rsid w:val="0039082A"/>
    <w:rsid w:val="00390C21"/>
    <w:rsid w:val="003A37BD"/>
    <w:rsid w:val="003A462E"/>
    <w:rsid w:val="003B6D94"/>
    <w:rsid w:val="003C4C96"/>
    <w:rsid w:val="003C55E0"/>
    <w:rsid w:val="003F519B"/>
    <w:rsid w:val="0040544F"/>
    <w:rsid w:val="00406A19"/>
    <w:rsid w:val="0041222D"/>
    <w:rsid w:val="0041483E"/>
    <w:rsid w:val="00415369"/>
    <w:rsid w:val="00430492"/>
    <w:rsid w:val="00434AF5"/>
    <w:rsid w:val="00450BE7"/>
    <w:rsid w:val="004656D7"/>
    <w:rsid w:val="0046741E"/>
    <w:rsid w:val="00472CC6"/>
    <w:rsid w:val="0048026E"/>
    <w:rsid w:val="004807A9"/>
    <w:rsid w:val="004813EE"/>
    <w:rsid w:val="00493278"/>
    <w:rsid w:val="004943D9"/>
    <w:rsid w:val="004A0E7B"/>
    <w:rsid w:val="004A3498"/>
    <w:rsid w:val="004B0C45"/>
    <w:rsid w:val="004C0AB2"/>
    <w:rsid w:val="004C1619"/>
    <w:rsid w:val="004C1A26"/>
    <w:rsid w:val="004C1CC9"/>
    <w:rsid w:val="004C3755"/>
    <w:rsid w:val="004C4485"/>
    <w:rsid w:val="004D11AF"/>
    <w:rsid w:val="00500DFA"/>
    <w:rsid w:val="005019AA"/>
    <w:rsid w:val="005021BB"/>
    <w:rsid w:val="005139E7"/>
    <w:rsid w:val="005147DA"/>
    <w:rsid w:val="00515FB5"/>
    <w:rsid w:val="0052365C"/>
    <w:rsid w:val="005271EB"/>
    <w:rsid w:val="005426DB"/>
    <w:rsid w:val="0055082B"/>
    <w:rsid w:val="00552503"/>
    <w:rsid w:val="00552B57"/>
    <w:rsid w:val="00557DA1"/>
    <w:rsid w:val="0056322C"/>
    <w:rsid w:val="0058743A"/>
    <w:rsid w:val="005A3696"/>
    <w:rsid w:val="005A4DB0"/>
    <w:rsid w:val="005A7B8E"/>
    <w:rsid w:val="005B012B"/>
    <w:rsid w:val="005B0C87"/>
    <w:rsid w:val="005D23F6"/>
    <w:rsid w:val="005D2FA8"/>
    <w:rsid w:val="005E2281"/>
    <w:rsid w:val="005E667C"/>
    <w:rsid w:val="005F077C"/>
    <w:rsid w:val="005F63D0"/>
    <w:rsid w:val="005F7973"/>
    <w:rsid w:val="00600948"/>
    <w:rsid w:val="0061690E"/>
    <w:rsid w:val="00627361"/>
    <w:rsid w:val="0063017E"/>
    <w:rsid w:val="00631B28"/>
    <w:rsid w:val="00645B90"/>
    <w:rsid w:val="00650991"/>
    <w:rsid w:val="006511D7"/>
    <w:rsid w:val="00663D75"/>
    <w:rsid w:val="00670AEF"/>
    <w:rsid w:val="006728B7"/>
    <w:rsid w:val="00675678"/>
    <w:rsid w:val="00677012"/>
    <w:rsid w:val="006825B4"/>
    <w:rsid w:val="00682AF2"/>
    <w:rsid w:val="006864DF"/>
    <w:rsid w:val="006A3C8A"/>
    <w:rsid w:val="006A7552"/>
    <w:rsid w:val="006B5319"/>
    <w:rsid w:val="006B5953"/>
    <w:rsid w:val="006B7A81"/>
    <w:rsid w:val="006C4BAC"/>
    <w:rsid w:val="006C52F3"/>
    <w:rsid w:val="006E1D19"/>
    <w:rsid w:val="006E7F37"/>
    <w:rsid w:val="006F3B81"/>
    <w:rsid w:val="006F4F79"/>
    <w:rsid w:val="00705B37"/>
    <w:rsid w:val="00711FD9"/>
    <w:rsid w:val="0071249B"/>
    <w:rsid w:val="00735062"/>
    <w:rsid w:val="00746BA5"/>
    <w:rsid w:val="00751D23"/>
    <w:rsid w:val="00770577"/>
    <w:rsid w:val="00777666"/>
    <w:rsid w:val="00780EE2"/>
    <w:rsid w:val="0078159B"/>
    <w:rsid w:val="00782E10"/>
    <w:rsid w:val="0078706B"/>
    <w:rsid w:val="00790836"/>
    <w:rsid w:val="00797131"/>
    <w:rsid w:val="007A3C1D"/>
    <w:rsid w:val="007A7364"/>
    <w:rsid w:val="007B285D"/>
    <w:rsid w:val="007C6BC6"/>
    <w:rsid w:val="00807D79"/>
    <w:rsid w:val="00813634"/>
    <w:rsid w:val="00822821"/>
    <w:rsid w:val="00831C29"/>
    <w:rsid w:val="008431EF"/>
    <w:rsid w:val="008468E0"/>
    <w:rsid w:val="00871B59"/>
    <w:rsid w:val="00877D03"/>
    <w:rsid w:val="00877E96"/>
    <w:rsid w:val="008806CA"/>
    <w:rsid w:val="008815E5"/>
    <w:rsid w:val="00887B37"/>
    <w:rsid w:val="008909B9"/>
    <w:rsid w:val="00891DFC"/>
    <w:rsid w:val="008B12B4"/>
    <w:rsid w:val="008B7914"/>
    <w:rsid w:val="008C5D2A"/>
    <w:rsid w:val="008C7AF4"/>
    <w:rsid w:val="008D529F"/>
    <w:rsid w:val="008F5CC8"/>
    <w:rsid w:val="009061B8"/>
    <w:rsid w:val="0091008B"/>
    <w:rsid w:val="00911EA2"/>
    <w:rsid w:val="00916C7D"/>
    <w:rsid w:val="0092575D"/>
    <w:rsid w:val="009341DA"/>
    <w:rsid w:val="009430F9"/>
    <w:rsid w:val="009442E8"/>
    <w:rsid w:val="00946BD0"/>
    <w:rsid w:val="0095426C"/>
    <w:rsid w:val="00970087"/>
    <w:rsid w:val="00971074"/>
    <w:rsid w:val="00995D86"/>
    <w:rsid w:val="009A5453"/>
    <w:rsid w:val="009B4D94"/>
    <w:rsid w:val="009C2871"/>
    <w:rsid w:val="009D3C33"/>
    <w:rsid w:val="009D50FB"/>
    <w:rsid w:val="009D7F3A"/>
    <w:rsid w:val="009E4885"/>
    <w:rsid w:val="00A07DB6"/>
    <w:rsid w:val="00A10A73"/>
    <w:rsid w:val="00A170B3"/>
    <w:rsid w:val="00A223D5"/>
    <w:rsid w:val="00A37D1C"/>
    <w:rsid w:val="00A5453E"/>
    <w:rsid w:val="00A56F6C"/>
    <w:rsid w:val="00A76C8C"/>
    <w:rsid w:val="00A83E50"/>
    <w:rsid w:val="00A85F30"/>
    <w:rsid w:val="00A9099E"/>
    <w:rsid w:val="00A91FB7"/>
    <w:rsid w:val="00A9298F"/>
    <w:rsid w:val="00AA0351"/>
    <w:rsid w:val="00AA1CB7"/>
    <w:rsid w:val="00AA5F4A"/>
    <w:rsid w:val="00AB025E"/>
    <w:rsid w:val="00AB1984"/>
    <w:rsid w:val="00AB52B1"/>
    <w:rsid w:val="00AC4CB3"/>
    <w:rsid w:val="00AC780D"/>
    <w:rsid w:val="00AD036B"/>
    <w:rsid w:val="00AD1996"/>
    <w:rsid w:val="00AD4099"/>
    <w:rsid w:val="00AD4901"/>
    <w:rsid w:val="00AF1F30"/>
    <w:rsid w:val="00B02FE0"/>
    <w:rsid w:val="00B057B6"/>
    <w:rsid w:val="00B30448"/>
    <w:rsid w:val="00B34786"/>
    <w:rsid w:val="00B400EC"/>
    <w:rsid w:val="00B40162"/>
    <w:rsid w:val="00B41ACE"/>
    <w:rsid w:val="00B50156"/>
    <w:rsid w:val="00B518AD"/>
    <w:rsid w:val="00B60A96"/>
    <w:rsid w:val="00B678EC"/>
    <w:rsid w:val="00B76C94"/>
    <w:rsid w:val="00B772D0"/>
    <w:rsid w:val="00B836EA"/>
    <w:rsid w:val="00B84C05"/>
    <w:rsid w:val="00B9053B"/>
    <w:rsid w:val="00B91B81"/>
    <w:rsid w:val="00B97135"/>
    <w:rsid w:val="00BB3072"/>
    <w:rsid w:val="00BC7632"/>
    <w:rsid w:val="00BD48A9"/>
    <w:rsid w:val="00BD630F"/>
    <w:rsid w:val="00BD7EC6"/>
    <w:rsid w:val="00BE73FA"/>
    <w:rsid w:val="00BF1E90"/>
    <w:rsid w:val="00BF6B4B"/>
    <w:rsid w:val="00BF755C"/>
    <w:rsid w:val="00C0511C"/>
    <w:rsid w:val="00C20ACF"/>
    <w:rsid w:val="00C22307"/>
    <w:rsid w:val="00C23469"/>
    <w:rsid w:val="00C30C62"/>
    <w:rsid w:val="00C371DF"/>
    <w:rsid w:val="00C42055"/>
    <w:rsid w:val="00C44B4C"/>
    <w:rsid w:val="00C46734"/>
    <w:rsid w:val="00C47A86"/>
    <w:rsid w:val="00C53220"/>
    <w:rsid w:val="00C76A2D"/>
    <w:rsid w:val="00CA3347"/>
    <w:rsid w:val="00CC299A"/>
    <w:rsid w:val="00CD03E3"/>
    <w:rsid w:val="00CE4DAB"/>
    <w:rsid w:val="00CE6BDA"/>
    <w:rsid w:val="00CE7288"/>
    <w:rsid w:val="00D03DBE"/>
    <w:rsid w:val="00D072C0"/>
    <w:rsid w:val="00D34C82"/>
    <w:rsid w:val="00D3757A"/>
    <w:rsid w:val="00D504A9"/>
    <w:rsid w:val="00D5206D"/>
    <w:rsid w:val="00D7177D"/>
    <w:rsid w:val="00D81311"/>
    <w:rsid w:val="00DB201E"/>
    <w:rsid w:val="00DC0E68"/>
    <w:rsid w:val="00DD25ED"/>
    <w:rsid w:val="00DE0D6E"/>
    <w:rsid w:val="00E1610C"/>
    <w:rsid w:val="00E16D73"/>
    <w:rsid w:val="00E23E9E"/>
    <w:rsid w:val="00E25722"/>
    <w:rsid w:val="00E27F0A"/>
    <w:rsid w:val="00E4231E"/>
    <w:rsid w:val="00E4302C"/>
    <w:rsid w:val="00E43EBA"/>
    <w:rsid w:val="00E44AC7"/>
    <w:rsid w:val="00E45F4B"/>
    <w:rsid w:val="00E60A16"/>
    <w:rsid w:val="00E82B6E"/>
    <w:rsid w:val="00E94258"/>
    <w:rsid w:val="00E96C18"/>
    <w:rsid w:val="00EA2E61"/>
    <w:rsid w:val="00EA7D7F"/>
    <w:rsid w:val="00EB02F4"/>
    <w:rsid w:val="00EB2FA2"/>
    <w:rsid w:val="00EB769A"/>
    <w:rsid w:val="00EC3A35"/>
    <w:rsid w:val="00ED33DD"/>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46F22"/>
    <w:rsid w:val="00F53BE2"/>
    <w:rsid w:val="00F55684"/>
    <w:rsid w:val="00F64D5A"/>
    <w:rsid w:val="00F709CD"/>
    <w:rsid w:val="00F906F4"/>
    <w:rsid w:val="00F919E7"/>
    <w:rsid w:val="00FA0716"/>
    <w:rsid w:val="00FB4629"/>
    <w:rsid w:val="00FB6FB1"/>
    <w:rsid w:val="00FB7063"/>
    <w:rsid w:val="00FC7056"/>
    <w:rsid w:val="00FE1A00"/>
    <w:rsid w:val="00FE33B4"/>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1">
    <w:name w:val="Table Normal1"/>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9817">
      <w:bodyDiv w:val="1"/>
      <w:marLeft w:val="0"/>
      <w:marRight w:val="0"/>
      <w:marTop w:val="0"/>
      <w:marBottom w:val="0"/>
      <w:divBdr>
        <w:top w:val="none" w:sz="0" w:space="0" w:color="auto"/>
        <w:left w:val="none" w:sz="0" w:space="0" w:color="auto"/>
        <w:bottom w:val="none" w:sz="0" w:space="0" w:color="auto"/>
        <w:right w:val="none" w:sz="0" w:space="0" w:color="auto"/>
      </w:divBdr>
      <w:divsChild>
        <w:div w:id="2065254455">
          <w:marLeft w:val="0"/>
          <w:marRight w:val="0"/>
          <w:marTop w:val="0"/>
          <w:marBottom w:val="0"/>
          <w:divBdr>
            <w:top w:val="none" w:sz="0" w:space="0" w:color="auto"/>
            <w:left w:val="none" w:sz="0" w:space="0" w:color="auto"/>
            <w:bottom w:val="none" w:sz="0" w:space="0" w:color="auto"/>
            <w:right w:val="none" w:sz="0" w:space="0" w:color="auto"/>
          </w:divBdr>
        </w:div>
      </w:divsChild>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manuales-guias-y-pliegos-tipo/manuales-y-guia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providencias-consejo-de-estad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lombiacompra.gov.co/sala-de-prensa/boletin-digit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2206</Words>
  <Characters>12137</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Diana Carolina Blanco Rodriguez</cp:lastModifiedBy>
  <cp:revision>5</cp:revision>
  <dcterms:created xsi:type="dcterms:W3CDTF">2024-07-08T22:45:00Z</dcterms:created>
  <dcterms:modified xsi:type="dcterms:W3CDTF">2024-07-16T02:18:00Z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