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93658" w:rsidR="00B93658" w:rsidP="00B93658" w:rsidRDefault="00B93658" w14:paraId="3250C83C" w14:textId="77777777">
      <w:pPr>
        <w:spacing w:after="0" w:line="240" w:lineRule="auto"/>
        <w:jc w:val="both"/>
        <w:rPr>
          <w:rFonts w:ascii="Century Gothic" w:hAnsi="Century Gothic" w:eastAsia="Calibri" w:cs="Arial"/>
          <w:b/>
          <w:bCs/>
          <w:lang w:val="es-MX"/>
        </w:rPr>
      </w:pPr>
      <w:bookmarkStart w:name="_Hlk171380654" w:id="0"/>
      <w:r w:rsidRPr="00B93658">
        <w:rPr>
          <w:rFonts w:ascii="Century Gothic" w:hAnsi="Century Gothic" w:eastAsia="Calibri" w:cs="Arial"/>
          <w:b/>
          <w:bCs/>
          <w:lang w:val="es-MX"/>
        </w:rPr>
        <w:t xml:space="preserve">URGENCIA MANIFIESTA – Definición – Causal – Contratación directa </w:t>
      </w:r>
    </w:p>
    <w:p w:rsidRPr="00B93658" w:rsidR="00B93658" w:rsidP="00B93658" w:rsidRDefault="00B93658" w14:paraId="601E86FA" w14:textId="77777777">
      <w:pPr>
        <w:spacing w:after="0" w:line="240" w:lineRule="auto"/>
        <w:jc w:val="both"/>
        <w:rPr>
          <w:rFonts w:ascii="Century Gothic" w:hAnsi="Century Gothic" w:eastAsia="Calibri" w:cs="Arial"/>
          <w:b/>
          <w:bCs/>
          <w:lang w:val="es-MX"/>
        </w:rPr>
      </w:pPr>
    </w:p>
    <w:p w:rsidRPr="00B93658" w:rsidR="00B93658" w:rsidP="420A9396" w:rsidRDefault="00B93658" w14:paraId="0E2D1537" w14:textId="77777777">
      <w:pPr>
        <w:spacing w:after="0" w:line="240" w:lineRule="auto"/>
        <w:jc w:val="both"/>
        <w:rPr>
          <w:rFonts w:ascii="Century Gothic" w:hAnsi="Century Gothic" w:eastAsia="Calibri" w:cs="Arial"/>
          <w:lang w:val="es-ES"/>
        </w:rPr>
      </w:pPr>
      <w:r w:rsidRPr="420A9396" w:rsidR="00B93658">
        <w:rPr>
          <w:rFonts w:ascii="Century Gothic" w:hAnsi="Century Gothic" w:eastAsia="Calibri" w:cs="Arial"/>
          <w:lang w:val="es-ES"/>
        </w:rPr>
        <w:t>Si bien la licitación pública es la modalidad de selección que constituye la regla general para las entidades regidas por el Estatuto General de Contratación de la Administración Pública, el artículo 2.4 de la Ley 1150 de 2007 consagra algunas excepciones, que atienden a la necesidad de proteger principios como la eficiencia, la eficacia, la economía, la celeridad o la integridad de las personas.</w:t>
      </w:r>
      <w:r w:rsidRPr="420A9396" w:rsidR="00B93658">
        <w:rPr>
          <w:rFonts w:ascii="Century Gothic" w:hAnsi="Century Gothic" w:eastAsia="Calibri" w:cs="Arial"/>
          <w:lang w:val="es-ES"/>
        </w:rPr>
        <w:t xml:space="preserve"> Una de las excepciones es la causal de contratación directa prevista en el literal a) del mencionado numeral, denominada por la ley como “urgencia manifiesta”. </w:t>
      </w:r>
      <w:r w:rsidRPr="420A9396" w:rsidR="00B93658">
        <w:rPr>
          <w:rFonts w:ascii="Century Gothic" w:hAnsi="Century Gothic" w:eastAsia="Calibri" w:cs="Arial"/>
          <w:lang w:val="es-ES"/>
        </w:rPr>
        <w:t>Esta causal debe leerse en concordancia con los artículos 42 de la Ley 80 de 1993, que define el concepto y establece el procedimiento para su declaratoria, así como para la celebración de los contratos que se derivan de aquella.</w:t>
      </w:r>
    </w:p>
    <w:p w:rsidRPr="00B93658" w:rsidR="00B93658" w:rsidP="00B93658" w:rsidRDefault="00B93658" w14:paraId="7293A423" w14:textId="77777777">
      <w:pPr>
        <w:spacing w:after="0" w:line="240" w:lineRule="auto"/>
        <w:jc w:val="both"/>
        <w:rPr>
          <w:rFonts w:ascii="Century Gothic" w:hAnsi="Century Gothic" w:eastAsia="Calibri" w:cs="Arial"/>
        </w:rPr>
      </w:pPr>
    </w:p>
    <w:p w:rsidRPr="00B93658" w:rsidR="00B93658" w:rsidP="420A9396" w:rsidRDefault="00B93658" w14:paraId="250CC5A8" w14:textId="77777777">
      <w:pPr>
        <w:spacing w:after="0" w:line="240" w:lineRule="auto"/>
        <w:jc w:val="both"/>
        <w:rPr>
          <w:rFonts w:ascii="Century Gothic" w:hAnsi="Century Gothic" w:eastAsia="Calibri" w:cs="Arial"/>
          <w:lang w:val="es-ES"/>
        </w:rPr>
      </w:pPr>
      <w:r w:rsidRPr="420A9396" w:rsidR="00B93658">
        <w:rPr>
          <w:rFonts w:ascii="Century Gothic" w:hAnsi="Century Gothic" w:eastAsia="Calibri" w:cs="Arial"/>
          <w:lang w:val="es-ES"/>
        </w:rPr>
        <w:t>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w:t>
      </w:r>
      <w:r w:rsidRPr="420A9396" w:rsidR="00B93658">
        <w:rPr>
          <w:rFonts w:ascii="Century Gothic" w:hAnsi="Century Gothic" w:eastAsia="Calibri" w:cs="Arial"/>
          <w:lang w:val="es-ES"/>
        </w:rPr>
        <w:t xml:space="preserve"> </w:t>
      </w:r>
      <w:r w:rsidRPr="420A9396" w:rsidR="00B93658">
        <w:rPr>
          <w:rFonts w:ascii="Century Gothic" w:hAnsi="Century Gothic" w:eastAsia="Calibri" w:cs="Arial"/>
          <w:lang w:val="es-ES"/>
        </w:rPr>
        <w:t>No en vano, para la doctrina, las situaciones de urgencia manifiesta deben ser concretas, inmediatas, objetivas y probadas, pues se trata de circunstancias de hecho actuales, debidamente acreditadas y fundadas por estudios técnicos, verificadas por la autoridad competente.</w:t>
      </w:r>
      <w:r w:rsidRPr="420A9396" w:rsidR="00B93658">
        <w:rPr>
          <w:rFonts w:ascii="Century Gothic" w:hAnsi="Century Gothic" w:eastAsia="Calibri" w:cs="Arial"/>
          <w:lang w:val="es-ES"/>
        </w:rPr>
        <w:t xml:space="preserve"> </w:t>
      </w:r>
    </w:p>
    <w:p w:rsidRPr="00B93658" w:rsidR="00B93658" w:rsidP="00B93658" w:rsidRDefault="00B93658" w14:paraId="76078A15" w14:textId="77777777">
      <w:pPr>
        <w:spacing w:after="0" w:line="240" w:lineRule="auto"/>
        <w:jc w:val="both"/>
        <w:rPr>
          <w:rFonts w:ascii="Century Gothic" w:hAnsi="Century Gothic" w:eastAsia="Calibri" w:cs="Arial"/>
          <w:lang w:val="es-ES_tradnl"/>
        </w:rPr>
      </w:pPr>
    </w:p>
    <w:p w:rsidRPr="00B93658" w:rsidR="00B93658" w:rsidP="00B93658" w:rsidRDefault="00B93658" w14:paraId="1A492F7B" w14:textId="5326E871">
      <w:pPr>
        <w:spacing w:after="0" w:line="240" w:lineRule="auto"/>
        <w:jc w:val="both"/>
        <w:rPr>
          <w:rFonts w:ascii="Century Gothic" w:hAnsi="Century Gothic" w:eastAsia="Calibri" w:cs="Arial"/>
          <w:lang w:val="es-ES_tradnl"/>
        </w:rPr>
      </w:pPr>
      <w:r w:rsidRPr="00B93658">
        <w:rPr>
          <w:rFonts w:ascii="Century Gothic" w:hAnsi="Century Gothic" w:eastAsia="Calibri" w:cs="Arial"/>
          <w:lang w:val="es-ES_tradnl"/>
        </w:rPr>
        <w:t>En esos casos excepcionales, que comprometen fines superiores de interés colectivo, con mayor razón son de obligatoria aplicación los objetivos de la contratación administrativa, previstos en el artículo 3 de la Ley 80 de 1993. Esto en la medida que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r w:rsidRPr="00B93658">
        <w:rPr>
          <w:rFonts w:ascii="Century Gothic" w:hAnsi="Century Gothic" w:eastAsia="Calibri" w:cs="Arial"/>
          <w:lang w:val="es-ES_tradnl"/>
        </w:rPr>
        <w:t>.</w:t>
      </w:r>
    </w:p>
    <w:p w:rsidR="00B93658" w:rsidP="00B93658" w:rsidRDefault="00B93658" w14:paraId="7E78CA7C" w14:textId="77777777">
      <w:pPr>
        <w:spacing w:after="0" w:line="240" w:lineRule="auto"/>
        <w:jc w:val="both"/>
        <w:rPr>
          <w:rFonts w:ascii="Century Gothic" w:hAnsi="Century Gothic" w:eastAsia="Calibri" w:cs="Arial"/>
          <w:sz w:val="20"/>
          <w:szCs w:val="20"/>
          <w:lang w:val="es-ES_tradnl"/>
        </w:rPr>
      </w:pPr>
    </w:p>
    <w:p w:rsidRPr="003613EA" w:rsidR="00B93658" w:rsidP="00B93658" w:rsidRDefault="00B93658" w14:paraId="54221561" w14:textId="77777777">
      <w:pPr>
        <w:spacing w:after="0" w:line="240" w:lineRule="auto"/>
        <w:jc w:val="both"/>
        <w:rPr>
          <w:rFonts w:ascii="Century Gothic" w:hAnsi="Century Gothic" w:eastAsia="Calibri" w:cs="Arial"/>
          <w:sz w:val="20"/>
          <w:szCs w:val="20"/>
          <w:lang w:val="es-ES_tradnl"/>
        </w:rPr>
      </w:pPr>
    </w:p>
    <w:p w:rsidRPr="00B93658" w:rsidR="00020A5F" w:rsidP="00871B59" w:rsidRDefault="00020A5F" w14:paraId="6CD1C503" w14:textId="77777777">
      <w:pPr>
        <w:spacing w:after="0" w:line="240" w:lineRule="auto"/>
        <w:rPr>
          <w:rFonts w:ascii="Verdana" w:hAnsi="Verdana" w:eastAsia="Geomanist Light" w:cs="Arial"/>
          <w:lang w:val="es-ES_tradnl"/>
        </w:rPr>
      </w:pPr>
    </w:p>
    <w:p w:rsidR="00B93658" w:rsidP="00871B59" w:rsidRDefault="00B93658" w14:paraId="110A140F" w14:textId="77777777">
      <w:pPr>
        <w:spacing w:after="0" w:line="240" w:lineRule="auto"/>
        <w:rPr>
          <w:rFonts w:ascii="Verdana" w:hAnsi="Verdana" w:eastAsia="Geomanist Light" w:cs="Arial"/>
          <w:lang w:val="es-MX"/>
        </w:rPr>
      </w:pPr>
    </w:p>
    <w:p w:rsidR="00B93658" w:rsidP="00871B59" w:rsidRDefault="00B93658" w14:paraId="2F51E3A4" w14:textId="77777777">
      <w:pPr>
        <w:spacing w:after="0" w:line="240" w:lineRule="auto"/>
        <w:rPr>
          <w:rFonts w:ascii="Verdana" w:hAnsi="Verdana" w:eastAsia="Geomanist Light" w:cs="Arial"/>
          <w:lang w:val="es-MX"/>
        </w:rPr>
      </w:pPr>
    </w:p>
    <w:p w:rsidR="00B93658" w:rsidP="00871B59" w:rsidRDefault="00B93658" w14:paraId="28C0DEB9" w14:textId="77777777">
      <w:pPr>
        <w:spacing w:after="0" w:line="240" w:lineRule="auto"/>
        <w:rPr>
          <w:rFonts w:ascii="Verdana" w:hAnsi="Verdana" w:eastAsia="Geomanist Light" w:cs="Arial"/>
          <w:lang w:val="es-MX"/>
        </w:rPr>
      </w:pPr>
    </w:p>
    <w:p w:rsidR="00B93658" w:rsidP="00871B59" w:rsidRDefault="00B93658" w14:paraId="383DCDEC" w14:textId="77777777">
      <w:pPr>
        <w:spacing w:after="0" w:line="240" w:lineRule="auto"/>
        <w:rPr>
          <w:rFonts w:ascii="Verdana" w:hAnsi="Verdana" w:eastAsia="Geomanist Light" w:cs="Arial"/>
          <w:lang w:val="es-MX"/>
        </w:rPr>
      </w:pPr>
    </w:p>
    <w:p w:rsidR="00B93658" w:rsidP="00871B59" w:rsidRDefault="00B93658" w14:paraId="16E3E53E" w14:textId="77777777">
      <w:pPr>
        <w:spacing w:after="0" w:line="240" w:lineRule="auto"/>
        <w:rPr>
          <w:rFonts w:ascii="Verdana" w:hAnsi="Verdana" w:eastAsia="Geomanist Light" w:cs="Arial"/>
          <w:lang w:val="es-MX"/>
        </w:rPr>
      </w:pPr>
    </w:p>
    <w:bookmarkEnd w:id="0"/>
    <w:p w:rsidR="00B93658" w:rsidP="000B0126" w:rsidRDefault="00B93658" w14:paraId="5DE7688A" w14:textId="77777777">
      <w:pPr>
        <w:spacing w:after="0" w:line="240" w:lineRule="auto"/>
        <w:rPr>
          <w:rFonts w:ascii="Verdana" w:hAnsi="Verdana" w:eastAsia="Geomanist Light" w:cs="Arial"/>
          <w:lang w:val="es-MX"/>
        </w:rPr>
      </w:pPr>
    </w:p>
    <w:p w:rsidRPr="008A6279" w:rsidR="000B0126" w:rsidP="000B0126" w:rsidRDefault="000B0126" w14:paraId="67DC3674" w14:textId="57406ECC">
      <w:pPr>
        <w:spacing w:after="0" w:line="240" w:lineRule="auto"/>
        <w:rPr>
          <w:rFonts w:ascii="Verdana" w:hAnsi="Verdana" w:eastAsia="Geomanist Light" w:cs="Arial"/>
          <w:lang w:val="es-MX"/>
        </w:rPr>
      </w:pPr>
      <w:r w:rsidRPr="008A6279">
        <w:rPr>
          <w:rFonts w:ascii="Verdana" w:hAnsi="Verdana" w:eastAsia="Geomanist Light" w:cs="Arial"/>
          <w:lang w:val="es-MX"/>
        </w:rPr>
        <w:t>Bogotá D.C., [Día] de [Mes.NombreCapitalizado] de [Año]</w:t>
      </w:r>
    </w:p>
    <w:p w:rsidR="000B0126" w:rsidP="000B0126" w:rsidRDefault="000B0126" w14:paraId="0621DFD5" w14:textId="77777777">
      <w:pPr>
        <w:spacing w:after="0" w:line="240" w:lineRule="auto"/>
        <w:jc w:val="both"/>
        <w:rPr>
          <w:rFonts w:ascii="Verdana" w:hAnsi="Verdana" w:eastAsia="Calibri" w:cs="Arial"/>
          <w:lang w:val="es-ES"/>
        </w:rPr>
      </w:pPr>
    </w:p>
    <w:p w:rsidR="00B93658" w:rsidP="000B0126" w:rsidRDefault="00B93658" w14:paraId="48137996" w14:textId="17913BAD">
      <w:pPr>
        <w:spacing w:after="0" w:line="240" w:lineRule="auto"/>
        <w:jc w:val="both"/>
        <w:rPr>
          <w:rFonts w:ascii="Verdana" w:hAnsi="Verdana" w:eastAsia="Calibri" w:cs="Arial"/>
          <w:lang w:val="es-ES"/>
        </w:rPr>
      </w:pPr>
      <w:r w:rsidRPr="00B93658">
        <w:rPr>
          <w:rFonts w:ascii="Verdana" w:hAnsi="Verdana" w:eastAsia="Calibri" w:cs="Arial"/>
          <w:lang w:val="es-ES"/>
        </w:rPr>
        <w:drawing>
          <wp:anchor distT="0" distB="0" distL="114300" distR="114300" simplePos="0" relativeHeight="251658240" behindDoc="1" locked="0" layoutInCell="1" allowOverlap="1" wp14:anchorId="29607E66" wp14:editId="62EAA476">
            <wp:simplePos x="0" y="0"/>
            <wp:positionH relativeFrom="column">
              <wp:posOffset>2480701</wp:posOffset>
            </wp:positionH>
            <wp:positionV relativeFrom="paragraph">
              <wp:posOffset>50751</wp:posOffset>
            </wp:positionV>
            <wp:extent cx="3381375" cy="1009650"/>
            <wp:effectExtent l="0" t="0" r="9525" b="0"/>
            <wp:wrapTight wrapText="bothSides">
              <wp:wrapPolygon edited="0">
                <wp:start x="0" y="0"/>
                <wp:lineTo x="0" y="21192"/>
                <wp:lineTo x="21539" y="21192"/>
                <wp:lineTo x="21539" y="0"/>
                <wp:lineTo x="0" y="0"/>
              </wp:wrapPolygon>
            </wp:wrapTight>
            <wp:docPr id="112860606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606067"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381375" cy="1009650"/>
                    </a:xfrm>
                    <a:prstGeom prst="rect">
                      <a:avLst/>
                    </a:prstGeom>
                  </pic:spPr>
                </pic:pic>
              </a:graphicData>
            </a:graphic>
          </wp:anchor>
        </w:drawing>
      </w:r>
    </w:p>
    <w:p w:rsidR="00B93658" w:rsidP="000B0126" w:rsidRDefault="00B93658" w14:paraId="55BB4BC2" w14:textId="564870CD">
      <w:pPr>
        <w:spacing w:after="0" w:line="240" w:lineRule="auto"/>
        <w:jc w:val="both"/>
        <w:rPr>
          <w:rFonts w:ascii="Verdana" w:hAnsi="Verdana" w:eastAsia="Calibri" w:cs="Arial"/>
          <w:lang w:val="es-ES"/>
        </w:rPr>
      </w:pPr>
    </w:p>
    <w:p w:rsidR="00B93658" w:rsidP="000B0126" w:rsidRDefault="00B93658" w14:paraId="3EBCE91B" w14:textId="3CCEEA24">
      <w:pPr>
        <w:spacing w:after="0" w:line="240" w:lineRule="auto"/>
        <w:jc w:val="both"/>
        <w:rPr>
          <w:rFonts w:ascii="Verdana" w:hAnsi="Verdana" w:eastAsia="Calibri" w:cs="Arial"/>
          <w:lang w:val="es-ES"/>
        </w:rPr>
      </w:pPr>
    </w:p>
    <w:p w:rsidR="00B93658" w:rsidP="000B0126" w:rsidRDefault="00B93658" w14:paraId="11A0BAC1" w14:textId="06619DD5">
      <w:pPr>
        <w:spacing w:after="0" w:line="240" w:lineRule="auto"/>
        <w:jc w:val="both"/>
        <w:rPr>
          <w:rFonts w:ascii="Verdana" w:hAnsi="Verdana" w:eastAsia="Calibri" w:cs="Arial"/>
          <w:lang w:val="es-ES"/>
        </w:rPr>
      </w:pPr>
    </w:p>
    <w:p w:rsidR="00B93658" w:rsidP="000B0126" w:rsidRDefault="00B93658" w14:paraId="6E62F3E3" w14:textId="106F4405">
      <w:pPr>
        <w:spacing w:after="0" w:line="240" w:lineRule="auto"/>
        <w:jc w:val="both"/>
        <w:rPr>
          <w:rFonts w:ascii="Verdana" w:hAnsi="Verdana" w:eastAsia="Calibri" w:cs="Arial"/>
          <w:lang w:val="es-ES"/>
        </w:rPr>
      </w:pPr>
    </w:p>
    <w:p w:rsidR="00B93658" w:rsidP="000B0126" w:rsidRDefault="00B93658" w14:paraId="02CCFD6C" w14:textId="77777777">
      <w:pPr>
        <w:spacing w:after="0" w:line="240" w:lineRule="auto"/>
        <w:jc w:val="both"/>
        <w:rPr>
          <w:rFonts w:ascii="Verdana" w:hAnsi="Verdana" w:eastAsia="Calibri" w:cs="Arial"/>
          <w:lang w:val="es-ES"/>
        </w:rPr>
      </w:pPr>
    </w:p>
    <w:p w:rsidR="00B93658" w:rsidP="000B0126" w:rsidRDefault="00B93658" w14:paraId="09F6A1EB" w14:textId="77777777">
      <w:pPr>
        <w:spacing w:after="0" w:line="240" w:lineRule="auto"/>
        <w:jc w:val="both"/>
        <w:rPr>
          <w:rFonts w:ascii="Verdana" w:hAnsi="Verdana" w:eastAsia="Calibri" w:cs="Arial"/>
          <w:lang w:val="es-ES"/>
        </w:rPr>
      </w:pPr>
    </w:p>
    <w:p w:rsidRPr="008A6279" w:rsidR="00B93658" w:rsidP="000B0126" w:rsidRDefault="00B93658" w14:paraId="1DD29108" w14:textId="77777777">
      <w:pPr>
        <w:spacing w:after="0" w:line="240" w:lineRule="auto"/>
        <w:jc w:val="both"/>
        <w:rPr>
          <w:rFonts w:ascii="Verdana" w:hAnsi="Verdana" w:eastAsia="Calibri" w:cs="Arial"/>
          <w:lang w:val="es-ES"/>
        </w:rPr>
      </w:pPr>
    </w:p>
    <w:p w:rsidRPr="008A6279" w:rsidR="000B0126" w:rsidP="000B0126" w:rsidRDefault="000B0126" w14:paraId="5C9490C5" w14:textId="77777777">
      <w:pPr>
        <w:spacing w:after="0" w:line="240" w:lineRule="auto"/>
        <w:jc w:val="both"/>
        <w:rPr>
          <w:rFonts w:ascii="Verdana" w:hAnsi="Verdana" w:eastAsia="Calibri" w:cs="Arial"/>
          <w:lang w:val="es-ES" w:eastAsia="es-ES"/>
        </w:rPr>
      </w:pPr>
      <w:r w:rsidRPr="008A6279">
        <w:rPr>
          <w:rFonts w:ascii="Verdana" w:hAnsi="Verdana" w:eastAsia="Calibri" w:cs="Arial"/>
          <w:lang w:val="es-ES" w:eastAsia="es-ES"/>
        </w:rPr>
        <w:t>Señor</w:t>
      </w:r>
    </w:p>
    <w:p w:rsidRPr="001F34AA" w:rsidR="000B0126" w:rsidP="000B0126" w:rsidRDefault="000B0126" w14:paraId="4A82BDB7" w14:textId="77777777">
      <w:pPr>
        <w:spacing w:after="0" w:line="240" w:lineRule="auto"/>
        <w:rPr>
          <w:rFonts w:ascii="Verdana" w:hAnsi="Verdana" w:eastAsia="Calibri" w:cs="Arial"/>
          <w:b/>
          <w:lang w:eastAsia="es-ES_tradnl"/>
        </w:rPr>
      </w:pPr>
      <w:r w:rsidRPr="001F34AA">
        <w:rPr>
          <w:rFonts w:ascii="Verdana" w:hAnsi="Verdana" w:eastAsia="Calibri" w:cs="Arial"/>
          <w:b/>
          <w:lang w:eastAsia="es-ES_tradnl"/>
        </w:rPr>
        <w:t>Octavio Enrique Rodriguez Marquez</w:t>
      </w:r>
    </w:p>
    <w:p w:rsidRPr="008A6279" w:rsidR="000B0126" w:rsidP="000B0126" w:rsidRDefault="00000000" w14:paraId="14B501C1" w14:textId="77777777">
      <w:pPr>
        <w:spacing w:after="0" w:line="240" w:lineRule="auto"/>
        <w:rPr>
          <w:rFonts w:ascii="Verdana" w:hAnsi="Verdana"/>
        </w:rPr>
      </w:pPr>
      <w:hyperlink w:history="1" r:id="rId12">
        <w:r w:rsidRPr="008A6279" w:rsidR="000B0126">
          <w:rPr>
            <w:rFonts w:ascii="Verdana" w:hAnsi="Verdana"/>
            <w:color w:val="0563C1" w:themeColor="hyperlink"/>
            <w:u w:val="single"/>
          </w:rPr>
          <w:t>contratos@manati-atlantico.gov.co</w:t>
        </w:r>
      </w:hyperlink>
    </w:p>
    <w:p w:rsidRPr="008A6279" w:rsidR="000B0126" w:rsidP="000B0126" w:rsidRDefault="000B0126" w14:paraId="7F110EA5" w14:textId="77777777">
      <w:pPr>
        <w:spacing w:after="0" w:line="240" w:lineRule="auto"/>
        <w:rPr>
          <w:rFonts w:ascii="Verdana" w:hAnsi="Verdana" w:eastAsia="Calibri" w:cs="Arial"/>
          <w:b/>
          <w:bCs/>
          <w:lang w:val="es-ES" w:eastAsia="es-ES"/>
        </w:rPr>
      </w:pPr>
      <w:r w:rsidRPr="008A6279">
        <w:rPr>
          <w:rFonts w:ascii="Verdana" w:hAnsi="Verdana" w:eastAsia="Calibri" w:cs="Arial"/>
          <w:lang w:val="es-ES" w:eastAsia="es-ES"/>
        </w:rPr>
        <w:t>Manatí, Atlántico</w:t>
      </w:r>
    </w:p>
    <w:p w:rsidRPr="008A6279" w:rsidR="000B0126" w:rsidP="000B0126" w:rsidRDefault="000B0126" w14:paraId="4C6BBF5C" w14:textId="77777777">
      <w:pPr>
        <w:spacing w:after="0" w:line="240" w:lineRule="auto"/>
        <w:rPr>
          <w:rFonts w:ascii="Verdana" w:hAnsi="Verdana" w:eastAsia="Calibri" w:cs="Arial"/>
          <w:b/>
          <w:bCs/>
          <w:lang w:val="es-ES_tradnl" w:eastAsia="es-ES_tradnl"/>
        </w:rPr>
      </w:pPr>
    </w:p>
    <w:p w:rsidRPr="008A6279" w:rsidR="000B0126" w:rsidP="000B0126" w:rsidRDefault="000B0126" w14:paraId="5C990A28" w14:textId="77777777">
      <w:pPr>
        <w:spacing w:after="0" w:line="240" w:lineRule="auto"/>
        <w:rPr>
          <w:rFonts w:ascii="Verdana" w:hAnsi="Verdana" w:eastAsia="Calibri" w:cs="Arial"/>
          <w:b/>
          <w:bCs/>
          <w:lang w:val="es-ES_tradnl" w:eastAsia="es-ES_tradnl"/>
        </w:rPr>
      </w:pPr>
    </w:p>
    <w:tbl>
      <w:tblPr>
        <w:tblStyle w:val="Tablaconcuadrcula"/>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8A6279" w:rsidR="000B0126" w:rsidTr="00B93658" w14:paraId="2AC7FD87" w14:textId="77777777">
        <w:trPr>
          <w:trHeight w:val="884"/>
        </w:trPr>
        <w:tc>
          <w:tcPr>
            <w:tcW w:w="2689" w:type="dxa"/>
          </w:tcPr>
          <w:p w:rsidRPr="008A6279" w:rsidR="000B0126" w:rsidP="00293B25" w:rsidRDefault="000B0126" w14:paraId="76278349" w14:textId="77777777">
            <w:pPr>
              <w:jc w:val="both"/>
              <w:rPr>
                <w:rFonts w:ascii="Verdana" w:hAnsi="Verdana" w:eastAsia="Calibri" w:cs="Arial"/>
                <w:b/>
                <w:bCs/>
                <w:lang w:val="es-ES_tradnl" w:eastAsia="es-ES_tradnl"/>
              </w:rPr>
            </w:pPr>
          </w:p>
        </w:tc>
        <w:tc>
          <w:tcPr>
            <w:tcW w:w="6100" w:type="dxa"/>
          </w:tcPr>
          <w:p w:rsidRPr="008A6279" w:rsidR="000B0126" w:rsidP="00293B25" w:rsidRDefault="000B0126" w14:paraId="64E470CB" w14:textId="77777777">
            <w:pPr>
              <w:jc w:val="both"/>
              <w:rPr>
                <w:rFonts w:ascii="Verdana" w:hAnsi="Verdana" w:eastAsia="Calibri" w:cs="Arial"/>
                <w:b/>
                <w:bCs/>
                <w:lang w:val="es-ES" w:eastAsia="es-ES"/>
              </w:rPr>
            </w:pPr>
            <w:r w:rsidRPr="008A6279">
              <w:rPr>
                <w:rFonts w:ascii="Verdana" w:hAnsi="Verdana" w:eastAsia="Calibri" w:cs="Arial"/>
                <w:b/>
                <w:bCs/>
                <w:lang w:val="es-ES" w:eastAsia="es-ES"/>
              </w:rPr>
              <w:t>Concepto C- 287 de 2024</w:t>
            </w:r>
          </w:p>
        </w:tc>
      </w:tr>
      <w:tr w:rsidRPr="008A6279" w:rsidR="000B0126" w:rsidTr="00B93658" w14:paraId="4D202CF4" w14:textId="77777777">
        <w:trPr>
          <w:trHeight w:val="884"/>
        </w:trPr>
        <w:tc>
          <w:tcPr>
            <w:tcW w:w="2689" w:type="dxa"/>
          </w:tcPr>
          <w:p w:rsidRPr="008A6279" w:rsidR="000B0126" w:rsidP="00293B25" w:rsidRDefault="000B0126" w14:paraId="5555FF74" w14:textId="77777777">
            <w:pPr>
              <w:jc w:val="both"/>
              <w:rPr>
                <w:rFonts w:ascii="Verdana" w:hAnsi="Verdana" w:eastAsia="Calibri" w:cs="Arial"/>
                <w:lang w:val="es-ES_tradnl" w:eastAsia="es-ES_tradnl"/>
              </w:rPr>
            </w:pPr>
            <w:r w:rsidRPr="008A6279">
              <w:rPr>
                <w:rFonts w:ascii="Verdana" w:hAnsi="Verdana" w:eastAsia="Calibri" w:cs="Arial"/>
                <w:b/>
                <w:lang w:val="es-ES_tradnl" w:eastAsia="es-ES_tradnl"/>
              </w:rPr>
              <w:t>Temas:</w:t>
            </w:r>
            <w:r w:rsidRPr="008A6279">
              <w:rPr>
                <w:rFonts w:ascii="Verdana" w:hAnsi="Verdana" w:eastAsia="Calibri" w:cs="Arial"/>
                <w:lang w:val="es-ES_tradnl" w:eastAsia="es-ES_tradnl"/>
              </w:rPr>
              <w:t xml:space="preserve">                   </w:t>
            </w:r>
          </w:p>
        </w:tc>
        <w:tc>
          <w:tcPr>
            <w:tcW w:w="6100" w:type="dxa"/>
          </w:tcPr>
          <w:p w:rsidRPr="008A6279" w:rsidR="000B0126" w:rsidP="00293B25" w:rsidRDefault="000B0126" w14:paraId="5F35F60E" w14:textId="77777777">
            <w:pPr>
              <w:spacing w:line="276" w:lineRule="auto"/>
              <w:jc w:val="both"/>
              <w:rPr>
                <w:rFonts w:ascii="Verdana" w:hAnsi="Verdana" w:eastAsia="Calibri" w:cs="Arial"/>
                <w:bCs/>
                <w:lang w:val="es-MX" w:eastAsia="es-ES"/>
              </w:rPr>
            </w:pPr>
            <w:r w:rsidRPr="008A6279">
              <w:rPr>
                <w:rFonts w:ascii="Verdana" w:hAnsi="Verdana" w:eastAsia="Calibri" w:cs="Arial"/>
                <w:bCs/>
                <w:lang w:val="es-MX" w:eastAsia="es-ES"/>
              </w:rPr>
              <w:t xml:space="preserve">URGENCIA MANIFIESTA – Contratación directa / </w:t>
            </w:r>
            <w:r w:rsidRPr="008A6279">
              <w:rPr>
                <w:rFonts w:ascii="Verdana" w:hAnsi="Verdana" w:eastAsia="Calibri" w:cs="Arial"/>
                <w:bCs/>
                <w:lang w:val="es-ES" w:eastAsia="es-ES"/>
              </w:rPr>
              <w:t>GARANTÍAS – Contratación estatal – Constitución de garantías en el contrato de obra – Finalidad – Cumplimiento – Obligaciones contractuales / TIPOS DE GARANTÍAS – Póliza de seguro – Garantía bancaria– Fiducia mercantil de garantía.</w:t>
            </w:r>
          </w:p>
          <w:p w:rsidRPr="008A6279" w:rsidR="000B0126" w:rsidP="00293B25" w:rsidRDefault="000B0126" w14:paraId="342D6D06" w14:textId="77777777">
            <w:pPr>
              <w:spacing w:line="276" w:lineRule="auto"/>
              <w:jc w:val="both"/>
              <w:rPr>
                <w:rFonts w:ascii="Verdana" w:hAnsi="Verdana" w:eastAsia="Calibri" w:cs="Arial"/>
                <w:bCs/>
                <w:lang w:val="es-MX" w:eastAsia="es-ES"/>
              </w:rPr>
            </w:pPr>
          </w:p>
          <w:p w:rsidRPr="008A6279" w:rsidR="000B0126" w:rsidP="00293B25" w:rsidRDefault="000B0126" w14:paraId="4DBC5546" w14:textId="77777777">
            <w:pPr>
              <w:spacing w:line="276" w:lineRule="auto"/>
              <w:jc w:val="both"/>
              <w:rPr>
                <w:rFonts w:ascii="Verdana" w:hAnsi="Verdana" w:eastAsia="Calibri" w:cs="Arial"/>
                <w:lang w:val="es-ES_tradnl" w:eastAsia="es-ES"/>
              </w:rPr>
            </w:pPr>
          </w:p>
        </w:tc>
      </w:tr>
      <w:tr w:rsidRPr="008A6279" w:rsidR="000B0126" w:rsidTr="00B93658" w14:paraId="4886F963" w14:textId="77777777">
        <w:tc>
          <w:tcPr>
            <w:tcW w:w="2689" w:type="dxa"/>
          </w:tcPr>
          <w:p w:rsidRPr="008A6279" w:rsidR="000B0126" w:rsidP="00293B25" w:rsidRDefault="000B0126" w14:paraId="66697444" w14:textId="77777777">
            <w:pPr>
              <w:jc w:val="both"/>
              <w:rPr>
                <w:rFonts w:ascii="Verdana" w:hAnsi="Verdana" w:eastAsia="Calibri" w:cs="Arial"/>
                <w:b/>
                <w:lang w:val="es-ES_tradnl" w:eastAsia="es-ES_tradnl"/>
              </w:rPr>
            </w:pPr>
            <w:r w:rsidRPr="008A6279">
              <w:rPr>
                <w:rFonts w:ascii="Verdana" w:hAnsi="Verdana" w:eastAsia="Calibri" w:cs="Arial"/>
                <w:b/>
                <w:lang w:val="es-ES_tradnl" w:eastAsia="es-ES_tradnl"/>
              </w:rPr>
              <w:t>Radicación:</w:t>
            </w:r>
            <w:r w:rsidRPr="008A6279">
              <w:rPr>
                <w:rFonts w:ascii="Verdana" w:hAnsi="Verdana" w:eastAsia="Calibri" w:cs="Arial"/>
                <w:lang w:val="es-ES_tradnl" w:eastAsia="es-ES_tradnl"/>
              </w:rPr>
              <w:t xml:space="preserve">               </w:t>
            </w:r>
          </w:p>
        </w:tc>
        <w:tc>
          <w:tcPr>
            <w:tcW w:w="6100" w:type="dxa"/>
          </w:tcPr>
          <w:p w:rsidRPr="008A6279" w:rsidR="000B0126" w:rsidP="00293B25" w:rsidRDefault="000B0126" w14:paraId="769E368E" w14:textId="77777777">
            <w:pPr>
              <w:jc w:val="both"/>
              <w:rPr>
                <w:rFonts w:ascii="Verdana" w:hAnsi="Verdana" w:eastAsia="Calibri"/>
                <w:b/>
                <w:bCs/>
                <w:lang w:eastAsia="es-ES_tradnl"/>
              </w:rPr>
            </w:pPr>
            <w:r w:rsidRPr="008A6279">
              <w:rPr>
                <w:rFonts w:ascii="Verdana" w:hAnsi="Verdana" w:eastAsia="Calibri" w:cs="Arial"/>
                <w:lang w:val="es-ES_tradnl" w:eastAsia="es-ES_tradnl"/>
              </w:rPr>
              <w:t xml:space="preserve">Respuesta a consulta con radicado No. </w:t>
            </w:r>
            <w:r w:rsidRPr="008A6279">
              <w:rPr>
                <w:rFonts w:ascii="Verdana" w:hAnsi="Verdana" w:eastAsia="Calibri"/>
                <w:b/>
                <w:bCs/>
                <w:lang w:eastAsia="es-ES_tradnl"/>
              </w:rPr>
              <w:t>P20240528005524</w:t>
            </w:r>
          </w:p>
          <w:p w:rsidRPr="008A6279" w:rsidR="000B0126" w:rsidP="00293B25" w:rsidRDefault="000B0126" w14:paraId="2E9FEE55" w14:textId="77777777">
            <w:pPr>
              <w:jc w:val="both"/>
              <w:rPr>
                <w:rFonts w:ascii="Verdana" w:hAnsi="Verdana" w:eastAsia="Calibri" w:cs="Arial"/>
                <w:lang w:val="es-ES_tradnl" w:eastAsia="es-ES_tradnl"/>
              </w:rPr>
            </w:pPr>
          </w:p>
        </w:tc>
      </w:tr>
    </w:tbl>
    <w:p w:rsidRPr="008A6279" w:rsidR="000B0126" w:rsidP="000B0126" w:rsidRDefault="000B0126" w14:paraId="7D1A21E1" w14:textId="77777777">
      <w:pPr>
        <w:spacing w:after="0" w:line="240" w:lineRule="auto"/>
        <w:jc w:val="both"/>
        <w:rPr>
          <w:rFonts w:ascii="Verdana" w:hAnsi="Verdana" w:eastAsia="Calibri" w:cs="Arial"/>
          <w:lang w:val="es-ES_tradnl" w:eastAsia="es-ES_tradnl"/>
        </w:rPr>
      </w:pPr>
    </w:p>
    <w:p w:rsidRPr="008A6279" w:rsidR="000B0126" w:rsidP="000B0126" w:rsidRDefault="000B0126" w14:paraId="6E92A98D" w14:textId="77777777">
      <w:pPr>
        <w:spacing w:after="0" w:line="240" w:lineRule="auto"/>
        <w:jc w:val="both"/>
        <w:rPr>
          <w:rFonts w:ascii="Verdana" w:hAnsi="Verdana" w:eastAsia="Calibri" w:cs="Arial"/>
          <w:lang w:val="es-ES_tradnl" w:eastAsia="es-ES_tradnl"/>
        </w:rPr>
      </w:pPr>
    </w:p>
    <w:p w:rsidRPr="008A6279" w:rsidR="000B0126" w:rsidP="000B0126" w:rsidRDefault="000B0126" w14:paraId="0B7F66F5" w14:textId="77777777">
      <w:pPr>
        <w:spacing w:after="0" w:line="276" w:lineRule="auto"/>
        <w:jc w:val="both"/>
        <w:rPr>
          <w:rFonts w:ascii="Verdana" w:hAnsi="Verdana" w:eastAsia="Calibri" w:cs="Arial"/>
          <w:lang w:val="es-ES" w:eastAsia="es-ES"/>
        </w:rPr>
      </w:pPr>
      <w:r w:rsidRPr="008A6279">
        <w:rPr>
          <w:rFonts w:ascii="Verdana" w:hAnsi="Verdana" w:eastAsia="Calibri" w:cs="Arial"/>
          <w:lang w:val="es-ES" w:eastAsia="es-ES"/>
        </w:rPr>
        <w:t xml:space="preserve">Estimado señor Rodríguez: </w:t>
      </w:r>
    </w:p>
    <w:p w:rsidRPr="008A6279" w:rsidR="000B0126" w:rsidP="000B0126" w:rsidRDefault="000B0126" w14:paraId="319D8BAA" w14:textId="77777777">
      <w:pPr>
        <w:tabs>
          <w:tab w:val="left" w:pos="3768"/>
        </w:tabs>
        <w:spacing w:after="0" w:line="276" w:lineRule="auto"/>
        <w:jc w:val="both"/>
        <w:rPr>
          <w:rFonts w:ascii="Verdana" w:hAnsi="Verdana" w:eastAsia="Calibri" w:cs="Arial"/>
          <w:lang w:val="es-ES" w:eastAsia="es-ES"/>
        </w:rPr>
      </w:pPr>
      <w:r w:rsidRPr="008A6279">
        <w:rPr>
          <w:rFonts w:ascii="Verdana" w:hAnsi="Verdana" w:eastAsia="Calibri" w:cs="Arial"/>
          <w:lang w:val="es-ES" w:eastAsia="es-ES"/>
        </w:rPr>
        <w:tab/>
      </w:r>
    </w:p>
    <w:p w:rsidRPr="008A6279" w:rsidR="000B0126" w:rsidP="000B0126" w:rsidRDefault="000B0126" w14:paraId="0403B741" w14:textId="77777777">
      <w:pPr>
        <w:spacing w:after="0" w:line="276" w:lineRule="auto"/>
        <w:jc w:val="both"/>
        <w:rPr>
          <w:rFonts w:ascii="Verdana" w:hAnsi="Verdana" w:eastAsia="Calibri" w:cs="Arial"/>
          <w:lang w:val="es-ES" w:eastAsia="es-ES"/>
        </w:rPr>
      </w:pPr>
      <w:r w:rsidRPr="008A6279">
        <w:rPr>
          <w:rFonts w:ascii="Verdana" w:hAnsi="Verdana" w:eastAsia="Calibri" w:cs="Arial"/>
          <w:lang w:val="es-ES" w:eastAsia="es-ES"/>
        </w:rPr>
        <w:t>En ejercicio de la competencia otorgada por los artículos 3, numeral 5º, y 11, numeral 8º, del Decreto Ley 4170 de 2011,</w:t>
      </w:r>
      <w:r w:rsidRPr="008A6279">
        <w:rPr>
          <w:rFonts w:ascii="Verdana" w:hAnsi="Verdana" w:eastAsia="Arial MT" w:cs="Arial MT"/>
          <w:lang w:val="es-ES" w:eastAsia="es-ES"/>
        </w:rPr>
        <w:t xml:space="preserve"> </w:t>
      </w:r>
      <w:r w:rsidRPr="008A6279">
        <w:rPr>
          <w:rFonts w:ascii="Verdana" w:hAnsi="Verdana" w:cs="Arial"/>
        </w:rPr>
        <w:t xml:space="preserve">así como lo establecido en el artículo 4 de la Resolución 1707 de 2018 expedida por esta Entidad, </w:t>
      </w:r>
      <w:r w:rsidRPr="008A6279">
        <w:rPr>
          <w:rFonts w:ascii="Verdana" w:hAnsi="Verdana" w:eastAsia="Calibri" w:cs="Arial"/>
          <w:lang w:val="es-ES" w:eastAsia="es-ES"/>
        </w:rPr>
        <w:t xml:space="preserve">la Agencia Nacional </w:t>
      </w:r>
      <w:r w:rsidRPr="008A6279">
        <w:rPr>
          <w:rFonts w:ascii="Verdana" w:hAnsi="Verdana" w:eastAsia="Calibri" w:cs="Arial"/>
          <w:lang w:val="es-ES" w:eastAsia="es-ES"/>
        </w:rPr>
        <w:t xml:space="preserve">de Contratación Pública – Colombia Compra Eficiente– responde su solicitud de consulta de fecha 28 de mayo de 2024, en la cual manifiesta lo siguiente: </w:t>
      </w:r>
    </w:p>
    <w:p w:rsidRPr="008A6279" w:rsidR="000B0126" w:rsidP="000B0126" w:rsidRDefault="000B0126" w14:paraId="1D99D876" w14:textId="77777777">
      <w:pPr>
        <w:spacing w:after="0" w:line="240" w:lineRule="auto"/>
        <w:ind w:left="709" w:right="709"/>
        <w:jc w:val="both"/>
        <w:rPr>
          <w:rFonts w:ascii="Verdana" w:hAnsi="Verdana" w:eastAsia="Century Gothic" w:cs="Century Gothic"/>
          <w:sz w:val="20"/>
          <w:szCs w:val="20"/>
          <w:lang w:val="es-ES"/>
        </w:rPr>
      </w:pPr>
      <w:bookmarkStart w:name="_Hlk95313578" w:id="1"/>
    </w:p>
    <w:p w:rsidRPr="008A6279" w:rsidR="000B0126" w:rsidP="000B0126" w:rsidRDefault="000B0126" w14:paraId="3211E1E9" w14:textId="77777777">
      <w:pPr>
        <w:spacing w:after="0" w:line="240" w:lineRule="auto"/>
        <w:ind w:left="709" w:right="709"/>
        <w:jc w:val="both"/>
        <w:rPr>
          <w:rFonts w:ascii="Verdana" w:hAnsi="Verdana" w:eastAsia="Century Gothic" w:cs="Century Gothic"/>
          <w:sz w:val="20"/>
          <w:szCs w:val="20"/>
          <w:lang w:val="es-ES"/>
        </w:rPr>
      </w:pPr>
      <w:r w:rsidRPr="008A6279">
        <w:rPr>
          <w:rFonts w:ascii="Verdana" w:hAnsi="Verdana" w:eastAsia="Century Gothic" w:cs="Century Gothic"/>
          <w:sz w:val="20"/>
          <w:szCs w:val="20"/>
          <w:lang w:val="es-ES"/>
        </w:rPr>
        <w:t>“</w:t>
      </w:r>
      <w:bookmarkStart w:name="_Hlk171351084" w:id="2"/>
      <w:r w:rsidRPr="008A6279">
        <w:rPr>
          <w:rFonts w:ascii="Verdana" w:hAnsi="Verdana" w:cs="Arial"/>
          <w:sz w:val="20"/>
          <w:szCs w:val="20"/>
          <w:shd w:val="clear" w:color="auto" w:fill="FFFFFF"/>
        </w:rPr>
        <w:t>¿Es o no es oportuno y obligatorio solicitar póliza de Cumplimiento, responsabilidad civil extracontractual en los contratos de obra pública que realice el municipio por urgencia manifiesta y calamidad pública?</w:t>
      </w:r>
      <w:r w:rsidRPr="008A6279">
        <w:rPr>
          <w:rFonts w:ascii="Verdana" w:hAnsi="Verdana" w:cs="Arial"/>
          <w:sz w:val="20"/>
          <w:szCs w:val="20"/>
          <w:shd w:val="clear" w:color="auto" w:fill="FFFFFF"/>
          <w:lang w:val="es-ES"/>
        </w:rPr>
        <w:t xml:space="preserve"> </w:t>
      </w:r>
      <w:bookmarkEnd w:id="2"/>
      <w:r w:rsidRPr="008A6279">
        <w:rPr>
          <w:rFonts w:ascii="Verdana" w:hAnsi="Verdana" w:cs="Arial"/>
          <w:sz w:val="20"/>
          <w:szCs w:val="20"/>
          <w:shd w:val="clear" w:color="auto" w:fill="FFFFFF"/>
          <w:lang w:val="es-ES"/>
        </w:rPr>
        <w:t>[…]</w:t>
      </w:r>
      <w:r w:rsidRPr="008A6279">
        <w:rPr>
          <w:rFonts w:ascii="Verdana" w:hAnsi="Verdana" w:eastAsia="Century Gothic" w:cs="Century Gothic"/>
          <w:sz w:val="20"/>
          <w:szCs w:val="20"/>
          <w:lang w:val="es-ES"/>
        </w:rPr>
        <w:t>”</w:t>
      </w:r>
      <w:bookmarkEnd w:id="1"/>
      <w:r w:rsidRPr="008A6279">
        <w:rPr>
          <w:rFonts w:ascii="Verdana" w:hAnsi="Verdana" w:eastAsia="Century Gothic" w:cs="Century Gothic"/>
          <w:sz w:val="20"/>
          <w:szCs w:val="20"/>
          <w:lang w:val="es-ES"/>
        </w:rPr>
        <w:t>.</w:t>
      </w:r>
    </w:p>
    <w:p w:rsidRPr="008A6279" w:rsidR="000B0126" w:rsidP="000B0126" w:rsidRDefault="000B0126" w14:paraId="73148693" w14:textId="77777777">
      <w:pPr>
        <w:tabs>
          <w:tab w:val="left" w:pos="142"/>
          <w:tab w:val="left" w:pos="284"/>
        </w:tabs>
        <w:spacing w:line="276" w:lineRule="auto"/>
        <w:contextualSpacing/>
        <w:jc w:val="both"/>
        <w:rPr>
          <w:rFonts w:ascii="Verdana" w:hAnsi="Verdana" w:eastAsia="Century Gothic" w:cs="Century Gothic"/>
          <w:b/>
          <w:bCs/>
          <w:lang w:val="es-ES"/>
        </w:rPr>
      </w:pPr>
    </w:p>
    <w:p w:rsidRPr="008A6279" w:rsidR="000B0126" w:rsidP="000B0126" w:rsidRDefault="000B0126" w14:paraId="757BBAEC" w14:textId="77777777">
      <w:pPr>
        <w:spacing w:after="120" w:line="276" w:lineRule="auto"/>
        <w:ind w:firstLine="709"/>
        <w:jc w:val="both"/>
        <w:rPr>
          <w:rFonts w:ascii="Verdana" w:hAnsi="Verdana" w:eastAsia="Calibri" w:cs="Arial"/>
          <w:szCs w:val="24"/>
          <w:lang w:val="es-ES_tradnl" w:eastAsia="es-ES_tradnl"/>
        </w:rPr>
      </w:pPr>
      <w:r w:rsidRPr="008A6279">
        <w:rPr>
          <w:rFonts w:ascii="Verdana" w:hAnsi="Verdana" w:eastAsia="Calibri"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8A6279">
        <w:rPr>
          <w:rFonts w:ascii="Verdana" w:hAnsi="Verdana" w:eastAsia="Calibri" w:cs="Arial"/>
          <w:szCs w:val="24"/>
          <w:lang w:val="es-ES_tradnl" w:eastAsia="es-ES_tradnl"/>
        </w:rPr>
        <w:tab/>
      </w:r>
    </w:p>
    <w:p w:rsidRPr="008A6279" w:rsidR="000B0126" w:rsidP="000B0126" w:rsidRDefault="000B0126" w14:paraId="26BEE3F3" w14:textId="77777777">
      <w:pPr>
        <w:spacing w:after="0" w:line="276" w:lineRule="auto"/>
        <w:ind w:firstLine="709"/>
        <w:jc w:val="both"/>
        <w:rPr>
          <w:rFonts w:ascii="Verdana" w:hAnsi="Verdana" w:eastAsia="Calibri" w:cs="Arial"/>
          <w:lang w:val="es-ES" w:eastAsia="es-ES"/>
        </w:rPr>
      </w:pPr>
      <w:r w:rsidRPr="008A6279">
        <w:rPr>
          <w:rFonts w:ascii="Verdana" w:hAnsi="Verdana" w:eastAsia="Calibri"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rsidRPr="008A6279" w:rsidR="000B0126" w:rsidP="000B0126" w:rsidRDefault="000B0126" w14:paraId="043BB0A1" w14:textId="77777777">
      <w:pPr>
        <w:spacing w:after="0" w:line="276" w:lineRule="auto"/>
        <w:ind w:firstLine="709"/>
        <w:jc w:val="both"/>
        <w:rPr>
          <w:rFonts w:ascii="Verdana" w:hAnsi="Verdana" w:eastAsia="Calibri" w:cs="Arial"/>
          <w:lang w:val="es-ES" w:eastAsia="es-ES"/>
        </w:rPr>
      </w:pPr>
    </w:p>
    <w:p w:rsidRPr="008A6279" w:rsidR="000B0126" w:rsidP="000B0126" w:rsidRDefault="000B0126" w14:paraId="00F3D1AE" w14:textId="77777777">
      <w:pPr>
        <w:numPr>
          <w:ilvl w:val="0"/>
          <w:numId w:val="4"/>
        </w:numPr>
        <w:tabs>
          <w:tab w:val="left" w:pos="142"/>
          <w:tab w:val="left" w:pos="284"/>
        </w:tabs>
        <w:spacing w:after="0" w:line="276" w:lineRule="auto"/>
        <w:ind w:left="0" w:firstLine="0"/>
        <w:contextualSpacing/>
        <w:jc w:val="both"/>
        <w:rPr>
          <w:rFonts w:ascii="Verdana" w:hAnsi="Verdana" w:eastAsia="Century Gothic" w:cs="Century Gothic"/>
          <w:b/>
          <w:bCs/>
          <w:lang w:val="es-ES"/>
        </w:rPr>
      </w:pPr>
      <w:r w:rsidRPr="008A6279">
        <w:rPr>
          <w:rFonts w:ascii="Verdana" w:hAnsi="Verdana" w:eastAsia="Century Gothic" w:cs="Century Gothic"/>
          <w:b/>
          <w:bCs/>
          <w:lang w:val="es-ES"/>
        </w:rPr>
        <w:t>Problema planteado:</w:t>
      </w:r>
    </w:p>
    <w:p w:rsidRPr="008A6279" w:rsidR="000B0126" w:rsidP="000B0126" w:rsidRDefault="000B0126" w14:paraId="24BFB4BD" w14:textId="77777777">
      <w:pPr>
        <w:tabs>
          <w:tab w:val="left" w:pos="426"/>
        </w:tabs>
        <w:spacing w:after="0" w:line="276" w:lineRule="auto"/>
        <w:jc w:val="both"/>
        <w:rPr>
          <w:rFonts w:ascii="Verdana" w:hAnsi="Verdana" w:eastAsia="Century Gothic" w:cs="Century Gothic"/>
          <w:lang w:val="es-ES"/>
        </w:rPr>
      </w:pPr>
    </w:p>
    <w:p w:rsidRPr="008A6279" w:rsidR="000B0126" w:rsidP="000B0126" w:rsidRDefault="000B0126" w14:paraId="698576CC" w14:textId="77777777">
      <w:pPr>
        <w:spacing w:after="0" w:line="276" w:lineRule="auto"/>
        <w:jc w:val="both"/>
        <w:rPr>
          <w:rFonts w:ascii="Verdana" w:hAnsi="Verdana" w:eastAsia="Century Gothic" w:cs="Century Gothic"/>
        </w:rPr>
      </w:pPr>
      <w:r w:rsidRPr="008A6279">
        <w:rPr>
          <w:rFonts w:ascii="Verdana" w:hAnsi="Verdana" w:eastAsia="Century Gothic" w:cs="Century Gothic"/>
        </w:rPr>
        <w:t>De acuerdo con el contenido de su solicitud, esta Agencia resolverá el siguiente problema jurídico ¿Se requieren garantías en los contratos de obra pública bajo la modalidad de contratación directa por urgencia manifiesta?</w:t>
      </w:r>
    </w:p>
    <w:p w:rsidRPr="008A6279" w:rsidR="000B0126" w:rsidP="000B0126" w:rsidRDefault="000B0126" w14:paraId="402B6808" w14:textId="77777777">
      <w:pPr>
        <w:spacing w:after="0" w:line="276" w:lineRule="auto"/>
        <w:jc w:val="both"/>
        <w:rPr>
          <w:rFonts w:ascii="Verdana" w:hAnsi="Verdana" w:eastAsia="Calibri" w:cs="Arial"/>
          <w:lang w:val="es-ES"/>
        </w:rPr>
      </w:pPr>
    </w:p>
    <w:p w:rsidRPr="008A6279" w:rsidR="000B0126" w:rsidP="000B0126" w:rsidRDefault="000B0126" w14:paraId="5C42DD10" w14:textId="77777777">
      <w:pPr>
        <w:numPr>
          <w:ilvl w:val="0"/>
          <w:numId w:val="4"/>
        </w:numPr>
        <w:tabs>
          <w:tab w:val="left" w:pos="142"/>
          <w:tab w:val="left" w:pos="284"/>
        </w:tabs>
        <w:spacing w:after="0" w:line="276" w:lineRule="auto"/>
        <w:ind w:left="0" w:firstLine="0"/>
        <w:jc w:val="both"/>
        <w:rPr>
          <w:rFonts w:ascii="Verdana" w:hAnsi="Verdana" w:eastAsia="Century Gothic" w:cs="Century Gothic"/>
          <w:b/>
          <w:bCs/>
          <w:lang w:val="es-ES"/>
        </w:rPr>
      </w:pPr>
      <w:r w:rsidRPr="008A6279">
        <w:rPr>
          <w:rFonts w:ascii="Verdana" w:hAnsi="Verdana" w:eastAsia="Century Gothic" w:cs="Century Gothic"/>
          <w:b/>
          <w:bCs/>
          <w:lang w:val="es-ES"/>
        </w:rPr>
        <w:t>Respuesta:</w:t>
      </w:r>
    </w:p>
    <w:p w:rsidRPr="008A6279" w:rsidR="000B0126" w:rsidP="000B0126" w:rsidRDefault="000B0126" w14:paraId="0C2786B5" w14:textId="77777777">
      <w:pPr>
        <w:tabs>
          <w:tab w:val="left" w:pos="142"/>
          <w:tab w:val="left" w:pos="284"/>
        </w:tabs>
        <w:spacing w:after="0" w:line="276" w:lineRule="auto"/>
        <w:jc w:val="both"/>
        <w:rPr>
          <w:rFonts w:ascii="Verdana" w:hAnsi="Verdana" w:eastAsia="Century Gothic" w:cs="Century Gothic"/>
          <w:b/>
          <w:bCs/>
          <w:lang w:val="es-ES"/>
        </w:rPr>
      </w:pPr>
    </w:p>
    <w:p w:rsidRPr="008A6279" w:rsidR="000B0126" w:rsidP="000B0126" w:rsidRDefault="000B0126" w14:paraId="636783B3" w14:textId="77777777">
      <w:pPr>
        <w:tabs>
          <w:tab w:val="left" w:pos="142"/>
          <w:tab w:val="left" w:pos="284"/>
        </w:tabs>
        <w:spacing w:after="0" w:line="276" w:lineRule="auto"/>
        <w:jc w:val="both"/>
        <w:rPr>
          <w:rFonts w:ascii="Verdana" w:hAnsi="Verdana" w:eastAsia="Calibri" w:cs="Arial"/>
          <w:bCs/>
          <w:lang w:val="es-ES"/>
        </w:rPr>
      </w:pPr>
      <w:r w:rsidRPr="008A6279">
        <w:rPr>
          <w:rFonts w:ascii="Verdana" w:hAnsi="Verdana" w:eastAsia="Calibri" w:cs="Arial"/>
          <w:bCs/>
          <w:lang w:val="es-ES"/>
        </w:rPr>
        <w:t xml:space="preserve">El literal a) del numeral 4 del artículo 2 de la Ley 1150 del 2007 dispone como excepción a la regla general de la licitación y/o procesos competitivos en el que se escoge a la oferta más favorable, a la urgencia manifiesta, la cual hace parte de la modalidad de contratación directa. </w:t>
      </w:r>
    </w:p>
    <w:p w:rsidRPr="008A6279" w:rsidR="000B0126" w:rsidP="000B0126" w:rsidRDefault="000B0126" w14:paraId="153461D7" w14:textId="77777777">
      <w:pPr>
        <w:tabs>
          <w:tab w:val="left" w:pos="142"/>
          <w:tab w:val="left" w:pos="284"/>
        </w:tabs>
        <w:spacing w:after="0" w:line="276" w:lineRule="auto"/>
        <w:jc w:val="both"/>
        <w:rPr>
          <w:rFonts w:ascii="Verdana" w:hAnsi="Verdana" w:eastAsia="Calibri" w:cs="Arial"/>
          <w:bCs/>
          <w:lang w:val="es-ES"/>
        </w:rPr>
      </w:pPr>
    </w:p>
    <w:p w:rsidRPr="008A6279" w:rsidR="000B0126" w:rsidP="000B0126" w:rsidRDefault="000B0126" w14:paraId="159A3998" w14:textId="77777777">
      <w:pPr>
        <w:tabs>
          <w:tab w:val="left" w:pos="142"/>
          <w:tab w:val="left" w:pos="284"/>
        </w:tabs>
        <w:spacing w:after="0" w:line="276" w:lineRule="auto"/>
        <w:jc w:val="both"/>
        <w:rPr>
          <w:rFonts w:ascii="Verdana" w:hAnsi="Verdana" w:eastAsia="Calibri" w:cs="Arial"/>
          <w:bCs/>
          <w:lang w:val="es-ES"/>
        </w:rPr>
      </w:pPr>
      <w:r w:rsidRPr="008A6279">
        <w:rPr>
          <w:rFonts w:ascii="Verdana" w:hAnsi="Verdana" w:eastAsia="Calibri" w:cs="Arial"/>
          <w:bCs/>
          <w:lang w:val="es-ES"/>
        </w:rPr>
        <w:t>En ese orden de ideas la entidad estatal podrá recurrir a esta excepción para contratar bienes, obras y servicios de manera rápida cuando “</w:t>
      </w:r>
      <w:r w:rsidRPr="008A6279">
        <w:rPr>
          <w:rFonts w:ascii="Verdana" w:hAnsi="Verdana" w:eastAsia="Calibri" w:cs="Arial"/>
          <w:bCs/>
        </w:rPr>
        <w:t xml:space="preserve">una circunstancia que exige, con carácter apremiante, preservar la continuidad del servicio, cuando se afecta por situaciones de fuerza mayor, desastres, calamidades o hechos relacionados con los estados de excepción, </w:t>
      </w:r>
      <w:r w:rsidRPr="008A6279">
        <w:rPr>
          <w:rFonts w:ascii="Verdana" w:hAnsi="Verdana" w:eastAsia="Calibri" w:cs="Arial"/>
          <w:bCs/>
          <w:lang w:val="es-ES"/>
        </w:rPr>
        <w:t xml:space="preserve">que por su gravedad no dan tiempo para acordar con precisión el alcance de la obligación principal del contrato y el precio que se pagará al contratista” de conformidad con lo preceptuado en el artículo 42 de la Ley 80 de 1993 que </w:t>
      </w:r>
      <w:r w:rsidRPr="008A6279">
        <w:rPr>
          <w:rFonts w:ascii="Verdana" w:hAnsi="Verdana" w:eastAsia="Calibri" w:cs="Arial"/>
          <w:bCs/>
        </w:rPr>
        <w:t>define el trámite de la urgencia manifiesta</w:t>
      </w:r>
      <w:r w:rsidRPr="008A6279">
        <w:rPr>
          <w:rFonts w:ascii="Verdana" w:hAnsi="Verdana" w:eastAsia="Calibri" w:cs="Arial"/>
          <w:bCs/>
          <w:lang w:val="es-ES"/>
        </w:rPr>
        <w:t>.</w:t>
      </w:r>
    </w:p>
    <w:p w:rsidRPr="008A6279" w:rsidR="000B0126" w:rsidP="000B0126" w:rsidRDefault="000B0126" w14:paraId="58A03071" w14:textId="77777777">
      <w:pPr>
        <w:tabs>
          <w:tab w:val="left" w:pos="142"/>
          <w:tab w:val="left" w:pos="284"/>
        </w:tabs>
        <w:spacing w:after="0" w:line="276" w:lineRule="auto"/>
        <w:jc w:val="both"/>
        <w:rPr>
          <w:rFonts w:ascii="Verdana" w:hAnsi="Verdana" w:eastAsia="Calibri" w:cs="Arial"/>
          <w:bCs/>
          <w:lang w:val="es-ES"/>
        </w:rPr>
      </w:pPr>
    </w:p>
    <w:p w:rsidRPr="008A6279" w:rsidR="000B0126" w:rsidP="000B0126" w:rsidRDefault="000B0126" w14:paraId="146F500C" w14:textId="77777777">
      <w:pPr>
        <w:tabs>
          <w:tab w:val="left" w:pos="142"/>
          <w:tab w:val="left" w:pos="284"/>
        </w:tabs>
        <w:spacing w:after="0" w:line="276" w:lineRule="auto"/>
        <w:jc w:val="both"/>
        <w:rPr>
          <w:rFonts w:ascii="Verdana" w:hAnsi="Verdana" w:eastAsia="Calibri" w:cs="Arial"/>
          <w:bCs/>
          <w:lang w:val="es-ES"/>
        </w:rPr>
      </w:pPr>
      <w:r w:rsidRPr="008A6279">
        <w:rPr>
          <w:rFonts w:ascii="Verdana" w:hAnsi="Verdana" w:eastAsia="Calibri" w:cs="Arial"/>
          <w:bCs/>
          <w:lang w:val="es-ES"/>
        </w:rPr>
        <w:t xml:space="preserve">Ahora bien, debe tenerse en cuenta que, al ser una excepción a la regla general, la contratación de bienes, obras y servicios por la modalidad de contratación directa de urgencia manifiesta no </w:t>
      </w:r>
      <w:r>
        <w:rPr>
          <w:rFonts w:ascii="Verdana" w:hAnsi="Verdana" w:eastAsia="Calibri" w:cs="Arial"/>
          <w:bCs/>
          <w:lang w:val="es-ES"/>
        </w:rPr>
        <w:t>exonera a</w:t>
      </w:r>
      <w:r w:rsidRPr="008A6279">
        <w:rPr>
          <w:rFonts w:ascii="Verdana" w:hAnsi="Verdana" w:eastAsia="Calibri" w:cs="Arial"/>
          <w:bCs/>
          <w:lang w:val="es-ES"/>
        </w:rPr>
        <w:t xml:space="preserve"> la entidad contratante </w:t>
      </w:r>
      <w:r>
        <w:rPr>
          <w:rFonts w:ascii="Verdana" w:hAnsi="Verdana" w:eastAsia="Calibri" w:cs="Arial"/>
          <w:bCs/>
          <w:lang w:val="es-ES"/>
        </w:rPr>
        <w:t>de</w:t>
      </w:r>
      <w:r w:rsidRPr="008A6279">
        <w:rPr>
          <w:rFonts w:ascii="Verdana" w:hAnsi="Verdana" w:eastAsia="Calibri" w:cs="Arial"/>
          <w:bCs/>
          <w:lang w:val="es-ES"/>
        </w:rPr>
        <w:t xml:space="preserve"> exigir las garantías que </w:t>
      </w:r>
      <w:r>
        <w:rPr>
          <w:rFonts w:ascii="Verdana" w:hAnsi="Verdana" w:eastAsia="Calibri" w:cs="Arial"/>
          <w:bCs/>
          <w:lang w:val="es-ES"/>
        </w:rPr>
        <w:t xml:space="preserve">corresponda </w:t>
      </w:r>
      <w:r w:rsidRPr="008A6279">
        <w:rPr>
          <w:rFonts w:ascii="Verdana" w:hAnsi="Verdana" w:eastAsia="Calibri" w:cs="Arial"/>
          <w:bCs/>
          <w:lang w:val="es-ES"/>
        </w:rPr>
        <w:t>de</w:t>
      </w:r>
      <w:r>
        <w:rPr>
          <w:rFonts w:ascii="Verdana" w:hAnsi="Verdana" w:eastAsia="Calibri" w:cs="Arial"/>
          <w:bCs/>
          <w:lang w:val="es-ES"/>
        </w:rPr>
        <w:t xml:space="preserve"> conformidad con</w:t>
      </w:r>
      <w:r w:rsidRPr="008A6279">
        <w:rPr>
          <w:rFonts w:ascii="Verdana" w:hAnsi="Verdana" w:eastAsia="Calibri" w:cs="Arial"/>
          <w:bCs/>
          <w:lang w:val="es-ES"/>
        </w:rPr>
        <w:t xml:space="preserve"> la tipología contractual según el objeto a contratar</w:t>
      </w:r>
      <w:r w:rsidRPr="001D09F6">
        <w:rPr>
          <w:rFonts w:ascii="Verdana" w:hAnsi="Verdana" w:eastAsia="Calibri" w:cs="Arial"/>
          <w:bCs/>
          <w:lang w:val="es-ES"/>
        </w:rPr>
        <w:t>, los riesgos asociados a la ejecución y su cuantía</w:t>
      </w:r>
      <w:r w:rsidRPr="008A6279">
        <w:rPr>
          <w:rFonts w:ascii="Verdana" w:hAnsi="Verdana" w:eastAsia="Calibri" w:cs="Arial"/>
          <w:bCs/>
          <w:lang w:val="es-ES"/>
        </w:rPr>
        <w:t xml:space="preserve">, de acuerdo a los artículos </w:t>
      </w:r>
      <w:r w:rsidRPr="008A6279">
        <w:rPr>
          <w:rFonts w:ascii="Verdana" w:hAnsi="Verdana"/>
          <w:lang w:val="es-ES"/>
        </w:rPr>
        <w:t>2.2.1.2.</w:t>
      </w:r>
      <w:r>
        <w:rPr>
          <w:rFonts w:ascii="Verdana" w:hAnsi="Verdana"/>
          <w:lang w:val="es-ES"/>
        </w:rPr>
        <w:t>3.1.1 y subsiguientes 9</w:t>
      </w:r>
      <w:r w:rsidRPr="008A6279">
        <w:rPr>
          <w:rFonts w:ascii="Verdana" w:hAnsi="Verdana"/>
          <w:lang w:val="es-ES"/>
        </w:rPr>
        <w:t xml:space="preserve"> del Decreto 1082 de 2015</w:t>
      </w:r>
      <w:r>
        <w:rPr>
          <w:rFonts w:ascii="Verdana" w:hAnsi="Verdana"/>
          <w:lang w:val="es-ES"/>
        </w:rPr>
        <w:t xml:space="preserve">, </w:t>
      </w:r>
      <w:r w:rsidRPr="008A6279">
        <w:rPr>
          <w:rFonts w:ascii="Verdana" w:hAnsi="Verdana"/>
          <w:lang w:val="es-ES"/>
        </w:rPr>
        <w:t xml:space="preserve"> </w:t>
      </w:r>
      <w:r w:rsidRPr="008A6279">
        <w:rPr>
          <w:rFonts w:ascii="Verdana" w:hAnsi="Verdana" w:eastAsia="Calibri" w:cs="Arial"/>
          <w:bCs/>
          <w:lang w:val="es-ES"/>
        </w:rPr>
        <w:t xml:space="preserve"> </w:t>
      </w:r>
      <w:r>
        <w:rPr>
          <w:rFonts w:ascii="Verdana" w:hAnsi="Verdana" w:eastAsia="Calibri" w:cs="Arial"/>
          <w:bCs/>
          <w:lang w:val="es-ES"/>
        </w:rPr>
        <w:t xml:space="preserve"> lo cual deberá quedar debidamente analizado en el acto administrativo</w:t>
      </w:r>
      <w:r w:rsidRPr="008A6279">
        <w:rPr>
          <w:rFonts w:ascii="Verdana" w:hAnsi="Verdana" w:eastAsia="Calibri" w:cs="Arial"/>
          <w:bCs/>
          <w:lang w:val="es-ES"/>
        </w:rPr>
        <w:t xml:space="preserve"> que </w:t>
      </w:r>
      <w:r>
        <w:rPr>
          <w:rFonts w:ascii="Verdana" w:hAnsi="Verdana" w:eastAsia="Calibri" w:cs="Arial"/>
          <w:bCs/>
          <w:lang w:val="es-ES"/>
        </w:rPr>
        <w:t xml:space="preserve">declare </w:t>
      </w:r>
      <w:r w:rsidRPr="008A6279">
        <w:rPr>
          <w:rFonts w:ascii="Verdana" w:hAnsi="Verdana" w:eastAsia="Calibri" w:cs="Arial"/>
          <w:bCs/>
          <w:lang w:val="es-ES"/>
        </w:rPr>
        <w:t>la urgencia manifiesta</w:t>
      </w:r>
      <w:r>
        <w:rPr>
          <w:rFonts w:ascii="Verdana" w:hAnsi="Verdana" w:eastAsia="Calibri" w:cs="Arial"/>
          <w:bCs/>
          <w:lang w:val="es-ES"/>
        </w:rPr>
        <w:t>, lo anterior, atendiendo a lo prescrito</w:t>
      </w:r>
      <w:r w:rsidRPr="008A6279">
        <w:rPr>
          <w:rFonts w:ascii="Verdana" w:hAnsi="Verdana" w:eastAsia="Calibri" w:cs="Arial"/>
          <w:bCs/>
          <w:lang w:val="es-ES"/>
        </w:rPr>
        <w:t xml:space="preserve"> en el artículo </w:t>
      </w:r>
      <w:r w:rsidRPr="00511E36">
        <w:rPr>
          <w:rFonts w:ascii="Verdana" w:hAnsi="Verdana" w:eastAsia="Calibri" w:cs="Arial"/>
          <w:bCs/>
          <w:lang w:val="es-ES"/>
        </w:rPr>
        <w:t>2.2.1.2.1.4.2.</w:t>
      </w:r>
      <w:r>
        <w:rPr>
          <w:rFonts w:ascii="Verdana" w:hAnsi="Verdana" w:eastAsia="Calibri" w:cs="Arial"/>
          <w:bCs/>
          <w:lang w:val="es-ES"/>
        </w:rPr>
        <w:t xml:space="preserve"> del decreto en mención.</w:t>
      </w:r>
      <w:r w:rsidRPr="008A6279">
        <w:rPr>
          <w:rFonts w:ascii="Verdana" w:hAnsi="Verdana" w:eastAsia="Calibri" w:cs="Arial"/>
          <w:bCs/>
          <w:lang w:val="es-ES"/>
        </w:rPr>
        <w:t xml:space="preserve"> </w:t>
      </w:r>
    </w:p>
    <w:p w:rsidRPr="008A6279" w:rsidR="000B0126" w:rsidP="000B0126" w:rsidRDefault="000B0126" w14:paraId="0D5E8C8B" w14:textId="77777777">
      <w:pPr>
        <w:tabs>
          <w:tab w:val="left" w:pos="142"/>
          <w:tab w:val="left" w:pos="284"/>
        </w:tabs>
        <w:spacing w:after="0" w:line="276" w:lineRule="auto"/>
        <w:jc w:val="both"/>
        <w:rPr>
          <w:rFonts w:ascii="Verdana" w:hAnsi="Verdana" w:eastAsia="Calibri" w:cs="Arial"/>
          <w:bCs/>
          <w:lang w:val="es-ES"/>
        </w:rPr>
      </w:pPr>
    </w:p>
    <w:p w:rsidRPr="008A6279" w:rsidR="000B0126" w:rsidP="000B0126" w:rsidRDefault="000B0126" w14:paraId="7F425C1A" w14:textId="77777777">
      <w:pPr>
        <w:tabs>
          <w:tab w:val="left" w:pos="142"/>
          <w:tab w:val="left" w:pos="284"/>
        </w:tabs>
        <w:spacing w:after="0" w:line="276" w:lineRule="auto"/>
        <w:jc w:val="both"/>
        <w:rPr>
          <w:rFonts w:ascii="Verdana" w:hAnsi="Verdana" w:eastAsia="Calibri" w:cs="Arial"/>
          <w:bCs/>
          <w:lang w:val="es-ES"/>
        </w:rPr>
      </w:pPr>
      <w:r w:rsidRPr="008A6279">
        <w:rPr>
          <w:rFonts w:ascii="Verdana" w:hAnsi="Verdana" w:eastAsia="Calibri" w:cs="Arial"/>
          <w:bCs/>
          <w:lang w:val="es-ES"/>
        </w:rPr>
        <w:t xml:space="preserve">Téngase </w:t>
      </w:r>
      <w:r>
        <w:rPr>
          <w:rFonts w:ascii="Verdana" w:hAnsi="Verdana" w:eastAsia="Calibri" w:cs="Arial"/>
          <w:bCs/>
          <w:lang w:val="es-ES"/>
        </w:rPr>
        <w:t>en cuenta</w:t>
      </w:r>
      <w:r w:rsidRPr="008A6279">
        <w:rPr>
          <w:rFonts w:ascii="Verdana" w:hAnsi="Verdana" w:eastAsia="Calibri" w:cs="Arial"/>
          <w:bCs/>
          <w:lang w:val="es-ES"/>
        </w:rPr>
        <w:t xml:space="preserve"> que </w:t>
      </w:r>
      <w:r>
        <w:rPr>
          <w:rFonts w:ascii="Verdana" w:hAnsi="Verdana" w:eastAsia="Calibri" w:cs="Arial"/>
          <w:bCs/>
          <w:lang w:val="es-ES"/>
        </w:rPr>
        <w:t xml:space="preserve">si bien </w:t>
      </w:r>
      <w:r w:rsidRPr="008A6279">
        <w:rPr>
          <w:rFonts w:ascii="Verdana" w:hAnsi="Verdana" w:eastAsia="Calibri" w:cs="Arial"/>
          <w:bCs/>
          <w:lang w:val="es-ES"/>
        </w:rPr>
        <w:t xml:space="preserve">la </w:t>
      </w:r>
      <w:r>
        <w:rPr>
          <w:rFonts w:ascii="Verdana" w:hAnsi="Verdana" w:eastAsia="Calibri" w:cs="Arial"/>
          <w:bCs/>
          <w:lang w:val="es-ES"/>
        </w:rPr>
        <w:t>norma contempla la no obligatoriedad</w:t>
      </w:r>
      <w:r w:rsidRPr="008A6279">
        <w:rPr>
          <w:rFonts w:ascii="Verdana" w:hAnsi="Verdana" w:eastAsia="Calibri" w:cs="Arial"/>
          <w:bCs/>
          <w:lang w:val="es-ES"/>
        </w:rPr>
        <w:t xml:space="preserve"> de </w:t>
      </w:r>
      <w:r>
        <w:rPr>
          <w:rFonts w:ascii="Verdana" w:hAnsi="Verdana" w:eastAsia="Calibri" w:cs="Arial"/>
          <w:bCs/>
          <w:lang w:val="es-ES"/>
        </w:rPr>
        <w:t xml:space="preserve">la exigencia de las </w:t>
      </w:r>
      <w:r w:rsidRPr="008A6279">
        <w:rPr>
          <w:rFonts w:ascii="Verdana" w:hAnsi="Verdana" w:eastAsia="Calibri" w:cs="Arial"/>
          <w:bCs/>
          <w:lang w:val="es-ES"/>
        </w:rPr>
        <w:t xml:space="preserve">garantías en </w:t>
      </w:r>
      <w:r>
        <w:rPr>
          <w:rFonts w:ascii="Verdana" w:hAnsi="Verdana" w:eastAsia="Calibri" w:cs="Arial"/>
          <w:bCs/>
          <w:lang w:val="es-ES"/>
        </w:rPr>
        <w:t>la contratación directa</w:t>
      </w:r>
      <w:r w:rsidRPr="008A6279">
        <w:rPr>
          <w:rFonts w:ascii="Verdana" w:hAnsi="Verdana" w:eastAsia="Calibri" w:cs="Arial"/>
          <w:bCs/>
          <w:lang w:val="es-ES"/>
        </w:rPr>
        <w:t>, de acuerdo con el artículo 2.2.1.2.1.4.5 del Decreto 1082 de 2015 que establece: “En la contratación directa la exigencia de garantías establecidas en la Sección 3, que comprende los artículos 2.2.1.2.3.1.1 al 2.2.1.2.3.5.1. del presente decreto no es obligatoria y la justificación para exigirlas o no debe estar en los estudios y documentos previos”</w:t>
      </w:r>
      <w:r>
        <w:rPr>
          <w:rFonts w:ascii="Verdana" w:hAnsi="Verdana" w:eastAsia="Calibri" w:cs="Arial"/>
          <w:bCs/>
          <w:lang w:val="es-ES"/>
        </w:rPr>
        <w:t>, ello no</w:t>
      </w:r>
      <w:r w:rsidRPr="008A6279">
        <w:rPr>
          <w:rFonts w:ascii="Verdana" w:hAnsi="Verdana" w:eastAsia="Calibri" w:cs="Arial"/>
          <w:bCs/>
          <w:lang w:val="es-ES"/>
        </w:rPr>
        <w:t xml:space="preserve"> es</w:t>
      </w:r>
      <w:r>
        <w:rPr>
          <w:rFonts w:ascii="Verdana" w:hAnsi="Verdana" w:eastAsia="Calibri" w:cs="Arial"/>
          <w:bCs/>
          <w:lang w:val="es-ES"/>
        </w:rPr>
        <w:t xml:space="preserve"> una licencia o una autorización</w:t>
      </w:r>
      <w:r w:rsidRPr="008A6279">
        <w:rPr>
          <w:rFonts w:ascii="Verdana" w:hAnsi="Verdana" w:eastAsia="Calibri" w:cs="Arial"/>
          <w:bCs/>
          <w:lang w:val="es-ES"/>
        </w:rPr>
        <w:t xml:space="preserve"> para las </w:t>
      </w:r>
      <w:r>
        <w:rPr>
          <w:rFonts w:ascii="Verdana" w:hAnsi="Verdana" w:eastAsia="Calibri" w:cs="Arial"/>
          <w:bCs/>
          <w:lang w:val="es-ES"/>
        </w:rPr>
        <w:t>entidades</w:t>
      </w:r>
      <w:r w:rsidRPr="008A6279">
        <w:rPr>
          <w:rFonts w:ascii="Verdana" w:hAnsi="Verdana" w:eastAsia="Calibri" w:cs="Arial"/>
          <w:bCs/>
          <w:lang w:val="es-ES"/>
        </w:rPr>
        <w:t xml:space="preserve"> a </w:t>
      </w:r>
      <w:r>
        <w:rPr>
          <w:rFonts w:ascii="Verdana" w:hAnsi="Verdana" w:eastAsia="Calibri" w:cs="Arial"/>
          <w:bCs/>
          <w:lang w:val="es-ES"/>
        </w:rPr>
        <w:t>no exigirlas, atendiendo a su deber de observar el principio de responsabilidad</w:t>
      </w:r>
      <w:r w:rsidRPr="008A6279">
        <w:rPr>
          <w:rFonts w:ascii="Verdana" w:hAnsi="Verdana" w:eastAsia="Calibri" w:cs="Arial"/>
          <w:bCs/>
          <w:lang w:val="es-ES"/>
        </w:rPr>
        <w:t xml:space="preserve"> y </w:t>
      </w:r>
      <w:r>
        <w:rPr>
          <w:rFonts w:ascii="Verdana" w:hAnsi="Verdana" w:eastAsia="Calibri" w:cs="Arial"/>
          <w:bCs/>
          <w:lang w:val="es-ES"/>
        </w:rPr>
        <w:t>de prevenir el riesgo antijuridico propio de la gestión contractual</w:t>
      </w:r>
      <w:r w:rsidRPr="008A6279">
        <w:rPr>
          <w:rFonts w:ascii="Verdana" w:hAnsi="Verdana" w:eastAsia="Calibri" w:cs="Arial"/>
          <w:bCs/>
          <w:lang w:val="es-ES"/>
        </w:rPr>
        <w:t xml:space="preserve">. </w:t>
      </w:r>
    </w:p>
    <w:p w:rsidRPr="008A6279" w:rsidR="000B0126" w:rsidP="000B0126" w:rsidRDefault="000B0126" w14:paraId="2FD446B6" w14:textId="77777777">
      <w:pPr>
        <w:tabs>
          <w:tab w:val="left" w:pos="142"/>
          <w:tab w:val="left" w:pos="284"/>
        </w:tabs>
        <w:spacing w:after="0" w:line="276" w:lineRule="auto"/>
        <w:jc w:val="both"/>
        <w:rPr>
          <w:rFonts w:ascii="Verdana" w:hAnsi="Verdana" w:eastAsia="Calibri" w:cs="Arial"/>
          <w:bCs/>
          <w:lang w:val="es-ES"/>
        </w:rPr>
      </w:pPr>
    </w:p>
    <w:p w:rsidRPr="008A6279" w:rsidR="000B0126" w:rsidP="000B0126" w:rsidRDefault="000B0126" w14:paraId="7DA971EE" w14:textId="77777777">
      <w:pPr>
        <w:tabs>
          <w:tab w:val="left" w:pos="142"/>
          <w:tab w:val="left" w:pos="284"/>
        </w:tabs>
        <w:spacing w:after="0" w:line="276" w:lineRule="auto"/>
        <w:jc w:val="both"/>
        <w:rPr>
          <w:rFonts w:ascii="Verdana" w:hAnsi="Verdana" w:eastAsia="Calibri" w:cs="Arial"/>
          <w:bCs/>
          <w:lang w:val="es-ES"/>
        </w:rPr>
      </w:pPr>
      <w:r w:rsidRPr="008A6279">
        <w:rPr>
          <w:rFonts w:ascii="Verdana" w:hAnsi="Verdana" w:eastAsia="Calibri" w:cs="Arial"/>
          <w:bCs/>
          <w:lang w:val="es-ES"/>
        </w:rPr>
        <w:t>Conforme a lo anterior, la entidad estatal</w:t>
      </w:r>
      <w:r>
        <w:rPr>
          <w:rFonts w:ascii="Verdana" w:hAnsi="Verdana" w:eastAsia="Calibri" w:cs="Arial"/>
          <w:bCs/>
          <w:lang w:val="es-ES"/>
        </w:rPr>
        <w:t xml:space="preserve"> tiene la obligación de realizar un análisis objetivo de los eventuales riesgos que subyazcan de la ejecución del futuro contracto de obra, con las complejidades que este tipo de contratos encarna, y fruto de ello determinar la necesidad de </w:t>
      </w:r>
      <w:r w:rsidRPr="008A6279">
        <w:rPr>
          <w:rFonts w:ascii="Verdana" w:hAnsi="Verdana" w:eastAsia="Calibri" w:cs="Arial"/>
          <w:bCs/>
          <w:lang w:val="es-ES"/>
        </w:rPr>
        <w:t xml:space="preserve">exigir las garantías </w:t>
      </w:r>
      <w:r>
        <w:rPr>
          <w:rFonts w:ascii="Verdana" w:hAnsi="Verdana" w:eastAsia="Calibri" w:cs="Arial"/>
          <w:bCs/>
          <w:lang w:val="es-ES"/>
        </w:rPr>
        <w:t>que le resulten aplicables</w:t>
      </w:r>
      <w:r w:rsidRPr="008A6279">
        <w:rPr>
          <w:rFonts w:ascii="Verdana" w:hAnsi="Verdana" w:eastAsia="Calibri" w:cs="Arial"/>
          <w:bCs/>
          <w:lang w:val="es-ES"/>
        </w:rPr>
        <w:t xml:space="preserve">. </w:t>
      </w:r>
    </w:p>
    <w:p w:rsidRPr="008A6279" w:rsidR="000B0126" w:rsidP="000B0126" w:rsidRDefault="000B0126" w14:paraId="6884B20B" w14:textId="77777777">
      <w:pPr>
        <w:tabs>
          <w:tab w:val="left" w:pos="142"/>
          <w:tab w:val="left" w:pos="284"/>
        </w:tabs>
        <w:spacing w:after="0" w:line="276" w:lineRule="auto"/>
        <w:jc w:val="both"/>
        <w:rPr>
          <w:rFonts w:ascii="Verdana" w:hAnsi="Verdana" w:eastAsia="Century Gothic" w:cs="Century Gothic"/>
          <w:b/>
          <w:bCs/>
          <w:lang w:val="es-ES"/>
        </w:rPr>
      </w:pPr>
    </w:p>
    <w:p w:rsidRPr="008A6279" w:rsidR="000B0126" w:rsidP="000B0126" w:rsidRDefault="000B0126" w14:paraId="45AF3021" w14:textId="77777777">
      <w:pPr>
        <w:numPr>
          <w:ilvl w:val="0"/>
          <w:numId w:val="4"/>
        </w:numPr>
        <w:tabs>
          <w:tab w:val="left" w:pos="142"/>
          <w:tab w:val="left" w:pos="284"/>
        </w:tabs>
        <w:spacing w:after="0" w:line="276" w:lineRule="auto"/>
        <w:ind w:left="0" w:firstLine="0"/>
        <w:jc w:val="both"/>
        <w:rPr>
          <w:rFonts w:ascii="Verdana" w:hAnsi="Verdana" w:eastAsia="Century Gothic" w:cs="Century Gothic"/>
          <w:b/>
          <w:bCs/>
          <w:lang w:val="es-ES"/>
        </w:rPr>
      </w:pPr>
      <w:r w:rsidRPr="008A6279">
        <w:rPr>
          <w:rFonts w:ascii="Verdana" w:hAnsi="Verdana" w:eastAsia="Century Gothic" w:cs="Century Gothic"/>
          <w:b/>
          <w:bCs/>
          <w:lang w:val="es-ES"/>
        </w:rPr>
        <w:t>Razones de la respuesta:</w:t>
      </w:r>
    </w:p>
    <w:p w:rsidRPr="008A6279" w:rsidR="000B0126" w:rsidP="000B0126" w:rsidRDefault="000B0126" w14:paraId="6CD63D8C" w14:textId="77777777">
      <w:pPr>
        <w:spacing w:after="0" w:line="276" w:lineRule="auto"/>
        <w:jc w:val="both"/>
        <w:rPr>
          <w:rFonts w:ascii="Verdana" w:hAnsi="Verdana" w:eastAsia="Calibri" w:cs="Arial"/>
          <w:lang w:val="es-ES"/>
        </w:rPr>
      </w:pPr>
    </w:p>
    <w:p w:rsidRPr="008A6279" w:rsidR="000B0126" w:rsidP="000B0126" w:rsidRDefault="000B0126" w14:paraId="720422B6" w14:textId="77777777">
      <w:pPr>
        <w:spacing w:after="0" w:line="276" w:lineRule="auto"/>
        <w:jc w:val="both"/>
        <w:rPr>
          <w:rFonts w:ascii="Verdana" w:hAnsi="Verdana" w:eastAsia="Calibri" w:cs="Arial"/>
          <w:lang w:val="es-ES"/>
        </w:rPr>
      </w:pPr>
      <w:r w:rsidRPr="008A6279">
        <w:rPr>
          <w:rFonts w:ascii="Verdana" w:hAnsi="Verdana" w:eastAsia="Calibri" w:cs="Arial"/>
          <w:lang w:val="es-ES"/>
        </w:rPr>
        <w:t xml:space="preserve">Lo anterior se sustenta en las siguientes consideraciones: </w:t>
      </w:r>
    </w:p>
    <w:p w:rsidRPr="008A6279" w:rsidR="000B0126" w:rsidP="000B0126" w:rsidRDefault="000B0126" w14:paraId="23B48DE4" w14:textId="77777777">
      <w:pPr>
        <w:numPr>
          <w:ilvl w:val="0"/>
          <w:numId w:val="11"/>
        </w:numPr>
        <w:tabs>
          <w:tab w:val="left" w:pos="709"/>
        </w:tabs>
        <w:spacing w:after="120" w:line="276" w:lineRule="auto"/>
        <w:ind w:left="426" w:hanging="425"/>
        <w:jc w:val="both"/>
        <w:rPr>
          <w:rFonts w:ascii="Verdana" w:hAnsi="Verdana"/>
          <w:lang w:val="es-ES"/>
        </w:rPr>
      </w:pPr>
      <w:r w:rsidRPr="008A6279">
        <w:rPr>
          <w:rFonts w:ascii="Verdana" w:hAnsi="Verdana"/>
          <w:lang w:val="es-ES_tradnl"/>
        </w:rPr>
        <w:t xml:space="preserve">Por regla general, en los Procesos de Contratación pública es obligatoria </w:t>
      </w:r>
      <w:r w:rsidRPr="008A6279">
        <w:rPr>
          <w:rFonts w:ascii="Verdana" w:hAnsi="Verdana"/>
          <w:lang w:val="es-ES"/>
        </w:rPr>
        <w:t>la constitución de garantías en las etapas precontractual, contractual o postcontractual, con el fin de evitar o mitigar posibles riesgos</w:t>
      </w:r>
      <w:r w:rsidRPr="008A6279">
        <w:rPr>
          <w:rFonts w:ascii="Verdana" w:hAnsi="Verdana"/>
          <w:lang w:val="es-ES_tradnl"/>
        </w:rPr>
        <w:t>. En esa orientación,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p>
    <w:p w:rsidRPr="008A6279" w:rsidR="000B0126" w:rsidP="000B0126" w:rsidRDefault="000B0126" w14:paraId="60B41B59" w14:textId="77777777">
      <w:pPr>
        <w:numPr>
          <w:ilvl w:val="0"/>
          <w:numId w:val="11"/>
        </w:numPr>
        <w:tabs>
          <w:tab w:val="left" w:pos="709"/>
        </w:tabs>
        <w:spacing w:after="120" w:line="276" w:lineRule="auto"/>
        <w:ind w:left="426" w:hanging="425"/>
        <w:jc w:val="both"/>
        <w:rPr>
          <w:rFonts w:ascii="Verdana" w:hAnsi="Verdana"/>
          <w:lang w:val="es-ES"/>
        </w:rPr>
      </w:pPr>
      <w:r w:rsidRPr="008A6279">
        <w:rPr>
          <w:rFonts w:ascii="Verdana" w:hAnsi="Verdana"/>
          <w:lang w:val="es-MX"/>
        </w:rPr>
        <w:t>Las condiciones en las que debe cumplir la expedición de garantías están reglamentadas por los artículos 2.2.1.2.3.1.1. y 2.2.1.2.3.1.19 del Decreto 1082 de 2015. Estas disposiciones normativas se refieren a asuntos como las clases de garantías permitidas, la indivisibilidad de las mismas, los diferentes riesgos que deben ser objeto de cobertura, la vigencia y valores mínimos que deben cubrir los amparos, entre otros aspectos que deben cumplir las garantías constituidas por los contratistas ya sea a través de pólizas de seguro, garantías bancarías o patrimonios autónomos.</w:t>
      </w:r>
    </w:p>
    <w:p w:rsidRPr="008A6279" w:rsidR="000B0126" w:rsidP="000B0126" w:rsidRDefault="000B0126" w14:paraId="788A1605" w14:textId="77777777">
      <w:pPr>
        <w:numPr>
          <w:ilvl w:val="0"/>
          <w:numId w:val="11"/>
        </w:numPr>
        <w:tabs>
          <w:tab w:val="left" w:pos="709"/>
        </w:tabs>
        <w:spacing w:after="120" w:line="276" w:lineRule="auto"/>
        <w:jc w:val="both"/>
        <w:rPr>
          <w:rFonts w:ascii="Verdana" w:hAnsi="Verdana"/>
          <w:lang w:val="es-ES"/>
        </w:rPr>
      </w:pPr>
      <w:r w:rsidRPr="008A6279">
        <w:rPr>
          <w:rFonts w:ascii="Verdana" w:hAnsi="Verdana"/>
          <w:lang w:val="es-ES"/>
        </w:rPr>
        <w:t xml:space="preserve">La Agencia Nacional de Contratación Pública – Colombia Compra Eficiente expone en la “Guía de Garantías en los Procesos de Contratación” los riesgos que deben cubrirse en las diferentes fases del proceso: </w:t>
      </w:r>
    </w:p>
    <w:p w:rsidRPr="008A6279" w:rsidR="000B0126" w:rsidP="000B0126" w:rsidRDefault="000B0126" w14:paraId="647BC536" w14:textId="77777777">
      <w:pPr>
        <w:tabs>
          <w:tab w:val="left" w:pos="709"/>
        </w:tabs>
        <w:spacing w:after="120" w:line="276" w:lineRule="auto"/>
        <w:ind w:left="1416"/>
        <w:jc w:val="both"/>
        <w:rPr>
          <w:rFonts w:ascii="Verdana" w:hAnsi="Verdana"/>
          <w:sz w:val="21"/>
          <w:szCs w:val="21"/>
          <w:lang w:val="es-ES"/>
        </w:rPr>
      </w:pPr>
      <w:r w:rsidRPr="008A6279">
        <w:rPr>
          <w:rFonts w:ascii="Verdana" w:hAnsi="Verdana"/>
          <w:sz w:val="21"/>
          <w:szCs w:val="21"/>
          <w:lang w:val="es-ES"/>
        </w:rPr>
        <w:tab/>
      </w:r>
      <w:r w:rsidRPr="008A6279">
        <w:rPr>
          <w:rFonts w:ascii="Verdana" w:hAnsi="Verdana"/>
          <w:sz w:val="21"/>
          <w:szCs w:val="21"/>
          <w:lang w:val="es-ES"/>
        </w:rPr>
        <w:t xml:space="preserve">“i) Selección o etapa previa: el Proponente debe otorgar garantía de seriedad de la oferta amparando los siguientes eventos: la no ampliación de la vigencia de la garantía cuando el plazo para la </w:t>
      </w:r>
      <w:r w:rsidRPr="008A6279">
        <w:rPr>
          <w:rFonts w:ascii="Verdana" w:hAnsi="Verdana"/>
          <w:sz w:val="21"/>
          <w:szCs w:val="21"/>
          <w:lang w:val="es-ES"/>
        </w:rPr>
        <w:t>adjudicación o suscripción del contrato sea prorrogado, siempre que esa prórroga no exceda de tres (3) meses; retiro de la oferta después de vencido el plazo para su presentación; la no suscripción del contrato sin justa causa por parte del adjudicatario y; la no constitución de la garantía de cumplimiento del contrato por parte del adjudicatario.</w:t>
      </w:r>
    </w:p>
    <w:p w:rsidRPr="008A6279" w:rsidR="000B0126" w:rsidP="000B0126" w:rsidRDefault="000B0126" w14:paraId="7B498B25" w14:textId="77777777">
      <w:pPr>
        <w:tabs>
          <w:tab w:val="left" w:pos="709"/>
        </w:tabs>
        <w:spacing w:after="120" w:line="276" w:lineRule="auto"/>
        <w:ind w:left="1416"/>
        <w:jc w:val="both"/>
        <w:rPr>
          <w:rFonts w:ascii="Verdana" w:hAnsi="Verdana"/>
          <w:sz w:val="21"/>
          <w:szCs w:val="21"/>
          <w:lang w:val="es-ES"/>
        </w:rPr>
      </w:pPr>
      <w:r w:rsidRPr="008A6279">
        <w:rPr>
          <w:rFonts w:ascii="Verdana" w:hAnsi="Verdana"/>
          <w:sz w:val="21"/>
          <w:szCs w:val="21"/>
          <w:lang w:val="es-ES"/>
        </w:rPr>
        <w:t xml:space="preserve"> ii) Contratación y ejecución: en esta fase la garantía debe cubrir los riesgos derivados del incumplimiento del contrato. Esta garantía puede cubrir todos o algunos de los siguientes amparos, de acuerdo con las condiciones del contrato: buen manejo y correcta inversión del anticipo, devolución del pago anticipado, cumplimiento del contrato, pago de salarios, prestaciones sociales legales e indemnizaciones laborales. En adición a la garantía de cumplimiento, la Entidad Estatal puede solicitar un seguro de responsabilidad civil extracontractual para aquellos contratos en los que el desarrollo del objeto implica un riesgo de daños a terceros. En cuanto al amparo de pago de obligaciones laborales, el garante está obligado a pagar las obligaciones laborales y salariales que puedan presentarse por el incumplimiento del deber del pago por parte del contratista.</w:t>
      </w:r>
    </w:p>
    <w:p w:rsidRPr="008A6279" w:rsidR="000B0126" w:rsidP="000B0126" w:rsidRDefault="000B0126" w14:paraId="4F6C052C" w14:textId="77777777">
      <w:pPr>
        <w:tabs>
          <w:tab w:val="left" w:pos="709"/>
        </w:tabs>
        <w:spacing w:after="120" w:line="276" w:lineRule="auto"/>
        <w:ind w:left="1416"/>
        <w:jc w:val="both"/>
        <w:rPr>
          <w:rFonts w:ascii="Verdana" w:hAnsi="Verdana"/>
          <w:sz w:val="21"/>
          <w:szCs w:val="21"/>
          <w:lang w:val="es-ES"/>
        </w:rPr>
      </w:pPr>
      <w:r w:rsidRPr="008A6279">
        <w:rPr>
          <w:rFonts w:ascii="Verdana" w:hAnsi="Verdana"/>
          <w:sz w:val="21"/>
          <w:szCs w:val="21"/>
          <w:lang w:val="es-ES"/>
        </w:rPr>
        <w:t xml:space="preserve"> iii) Garantías posteriores a la ejecución: cubren los riesgos que se presenten con posterioridad a la terminación del contrato y sus amparos pueden ser: estabilidad y calidad de la obra; calidad del servicio; y calidad y correcto funcionamiento de los bienes.”</w:t>
      </w:r>
    </w:p>
    <w:p w:rsidRPr="008A6279" w:rsidR="000B0126" w:rsidP="000B0126" w:rsidRDefault="000B0126" w14:paraId="7E0F5733" w14:textId="77777777">
      <w:pPr>
        <w:numPr>
          <w:ilvl w:val="0"/>
          <w:numId w:val="14"/>
        </w:numPr>
        <w:tabs>
          <w:tab w:val="left" w:pos="709"/>
        </w:tabs>
        <w:spacing w:after="120" w:line="276" w:lineRule="auto"/>
        <w:contextualSpacing/>
        <w:jc w:val="both"/>
        <w:rPr>
          <w:rFonts w:ascii="Verdana" w:hAnsi="Verdana"/>
          <w:lang w:val="es-ES"/>
        </w:rPr>
      </w:pPr>
      <w:r w:rsidRPr="008A6279">
        <w:rPr>
          <w:rFonts w:ascii="Verdana" w:hAnsi="Verdana"/>
          <w:lang w:val="es-ES"/>
        </w:rPr>
        <w:t xml:space="preserve">Es indispensable mencionar que la obligatoriedad de exigir garantías depende de los tipos contractuales y de las modalidades de selección que deban aplicarse por parte del contratante, de acuerdo al objeto contenido en los procesos de contratación. Asimismo, los amparos que estarán inmersos en cada garantía dependerán de los riesgos que son propios de cada tipo contractual, para el caso del contrato de obra se exigen las siguientes: </w:t>
      </w:r>
    </w:p>
    <w:p w:rsidRPr="008A6279" w:rsidR="000B0126" w:rsidP="000B0126" w:rsidRDefault="000B0126" w14:paraId="2D914726" w14:textId="77777777">
      <w:pPr>
        <w:tabs>
          <w:tab w:val="left" w:pos="709"/>
        </w:tabs>
        <w:spacing w:after="120" w:line="276" w:lineRule="auto"/>
        <w:ind w:left="720"/>
        <w:contextualSpacing/>
        <w:jc w:val="both"/>
        <w:rPr>
          <w:rFonts w:ascii="Verdana" w:hAnsi="Verdana"/>
          <w:lang w:val="es-ES"/>
        </w:rPr>
      </w:pPr>
    </w:p>
    <w:tbl>
      <w:tblPr>
        <w:tblStyle w:val="Tablaconcuadrcula"/>
        <w:tblW w:w="10102" w:type="dxa"/>
        <w:tblInd w:w="-572" w:type="dxa"/>
        <w:tblLayout w:type="fixed"/>
        <w:tblLook w:val="04A0" w:firstRow="1" w:lastRow="0" w:firstColumn="1" w:lastColumn="0" w:noHBand="0" w:noVBand="1"/>
      </w:tblPr>
      <w:tblGrid>
        <w:gridCol w:w="1276"/>
        <w:gridCol w:w="1559"/>
        <w:gridCol w:w="1351"/>
        <w:gridCol w:w="1479"/>
        <w:gridCol w:w="1489"/>
        <w:gridCol w:w="1426"/>
        <w:gridCol w:w="1522"/>
      </w:tblGrid>
      <w:tr w:rsidRPr="008A6279" w:rsidR="000B0126" w:rsidTr="00293B25" w14:paraId="7338D8EF" w14:textId="77777777">
        <w:tc>
          <w:tcPr>
            <w:tcW w:w="1276" w:type="dxa"/>
            <w:shd w:val="clear" w:color="auto" w:fill="E7E6E6" w:themeFill="background2"/>
            <w:vAlign w:val="center"/>
          </w:tcPr>
          <w:p w:rsidRPr="00087131" w:rsidR="000B0126" w:rsidP="00293B25" w:rsidRDefault="000B0126" w14:paraId="39634DF4" w14:textId="77777777">
            <w:pPr>
              <w:tabs>
                <w:tab w:val="left" w:pos="142"/>
                <w:tab w:val="left" w:pos="284"/>
              </w:tabs>
              <w:spacing w:line="276" w:lineRule="auto"/>
              <w:jc w:val="center"/>
              <w:rPr>
                <w:rFonts w:ascii="Verdana" w:hAnsi="Verdana" w:eastAsia="Calibri" w:cs="Arial"/>
                <w:b/>
                <w:sz w:val="16"/>
                <w:szCs w:val="16"/>
                <w:lang w:val="es-ES"/>
              </w:rPr>
            </w:pPr>
            <w:r w:rsidRPr="00087131">
              <w:rPr>
                <w:rFonts w:ascii="Verdana" w:hAnsi="Verdana" w:eastAsia="Calibri" w:cs="Arial"/>
                <w:b/>
                <w:sz w:val="16"/>
                <w:szCs w:val="16"/>
                <w:lang w:val="es-ES"/>
              </w:rPr>
              <w:t>Amparo</w:t>
            </w:r>
          </w:p>
        </w:tc>
        <w:tc>
          <w:tcPr>
            <w:tcW w:w="1559" w:type="dxa"/>
            <w:shd w:val="clear" w:color="auto" w:fill="E7E6E6" w:themeFill="background2"/>
            <w:vAlign w:val="center"/>
          </w:tcPr>
          <w:p w:rsidRPr="00087131" w:rsidR="000B0126" w:rsidP="00293B25" w:rsidRDefault="000B0126" w14:paraId="31B2589E" w14:textId="77777777">
            <w:pPr>
              <w:tabs>
                <w:tab w:val="left" w:pos="142"/>
                <w:tab w:val="left" w:pos="284"/>
              </w:tabs>
              <w:spacing w:line="276" w:lineRule="auto"/>
              <w:jc w:val="center"/>
              <w:rPr>
                <w:rFonts w:ascii="Verdana" w:hAnsi="Verdana" w:eastAsia="Calibri" w:cs="Arial"/>
                <w:b/>
                <w:sz w:val="16"/>
                <w:szCs w:val="16"/>
                <w:lang w:val="es-ES"/>
              </w:rPr>
            </w:pPr>
            <w:r w:rsidRPr="00087131">
              <w:rPr>
                <w:rFonts w:ascii="Verdana" w:hAnsi="Verdana" w:eastAsia="Calibri" w:cs="Arial"/>
                <w:b/>
                <w:sz w:val="16"/>
                <w:szCs w:val="16"/>
                <w:lang w:val="es-ES"/>
              </w:rPr>
              <w:t>Cumplimiento del contrato</w:t>
            </w:r>
          </w:p>
        </w:tc>
        <w:tc>
          <w:tcPr>
            <w:tcW w:w="1351" w:type="dxa"/>
            <w:shd w:val="clear" w:color="auto" w:fill="E7E6E6" w:themeFill="background2"/>
            <w:vAlign w:val="center"/>
          </w:tcPr>
          <w:p w:rsidRPr="00087131" w:rsidR="000B0126" w:rsidP="00293B25" w:rsidRDefault="000B0126" w14:paraId="21FE6A1C" w14:textId="77777777">
            <w:pPr>
              <w:tabs>
                <w:tab w:val="left" w:pos="142"/>
                <w:tab w:val="left" w:pos="284"/>
              </w:tabs>
              <w:spacing w:line="276" w:lineRule="auto"/>
              <w:jc w:val="center"/>
              <w:rPr>
                <w:rFonts w:ascii="Verdana" w:hAnsi="Verdana" w:eastAsia="Calibri" w:cs="Arial"/>
                <w:b/>
                <w:sz w:val="16"/>
                <w:szCs w:val="16"/>
                <w:lang w:val="es-ES"/>
              </w:rPr>
            </w:pPr>
            <w:r w:rsidRPr="00087131">
              <w:rPr>
                <w:rFonts w:ascii="Verdana" w:hAnsi="Verdana" w:eastAsia="Calibri" w:cs="Arial"/>
                <w:b/>
                <w:sz w:val="16"/>
                <w:szCs w:val="16"/>
                <w:lang w:val="es-ES"/>
              </w:rPr>
              <w:t>Calidad de los bienes</w:t>
            </w:r>
          </w:p>
        </w:tc>
        <w:tc>
          <w:tcPr>
            <w:tcW w:w="1479" w:type="dxa"/>
            <w:shd w:val="clear" w:color="auto" w:fill="E7E6E6" w:themeFill="background2"/>
            <w:vAlign w:val="center"/>
          </w:tcPr>
          <w:p w:rsidRPr="00087131" w:rsidR="000B0126" w:rsidP="00293B25" w:rsidRDefault="000B0126" w14:paraId="38397D4D" w14:textId="77777777">
            <w:pPr>
              <w:tabs>
                <w:tab w:val="left" w:pos="142"/>
                <w:tab w:val="left" w:pos="284"/>
              </w:tabs>
              <w:spacing w:line="276" w:lineRule="auto"/>
              <w:jc w:val="center"/>
              <w:rPr>
                <w:rFonts w:ascii="Verdana" w:hAnsi="Verdana" w:eastAsia="Calibri" w:cs="Arial"/>
                <w:b/>
                <w:sz w:val="16"/>
                <w:szCs w:val="16"/>
                <w:lang w:val="es-ES"/>
              </w:rPr>
            </w:pPr>
            <w:r w:rsidRPr="00087131">
              <w:rPr>
                <w:rFonts w:ascii="Verdana" w:hAnsi="Verdana" w:eastAsia="Calibri" w:cs="Arial"/>
                <w:b/>
                <w:sz w:val="16"/>
                <w:szCs w:val="16"/>
                <w:lang w:val="es-ES"/>
              </w:rPr>
              <w:t>Responsabilidad Civil Extracontractual</w:t>
            </w:r>
          </w:p>
        </w:tc>
        <w:tc>
          <w:tcPr>
            <w:tcW w:w="1489" w:type="dxa"/>
            <w:shd w:val="clear" w:color="auto" w:fill="E7E6E6" w:themeFill="background2"/>
            <w:vAlign w:val="center"/>
          </w:tcPr>
          <w:p w:rsidRPr="00087131" w:rsidR="000B0126" w:rsidP="00293B25" w:rsidRDefault="000B0126" w14:paraId="1088D79B" w14:textId="77777777">
            <w:pPr>
              <w:tabs>
                <w:tab w:val="left" w:pos="142"/>
                <w:tab w:val="left" w:pos="284"/>
              </w:tabs>
              <w:spacing w:line="276" w:lineRule="auto"/>
              <w:jc w:val="center"/>
              <w:rPr>
                <w:rFonts w:ascii="Verdana" w:hAnsi="Verdana" w:eastAsia="Calibri" w:cs="Arial"/>
                <w:b/>
                <w:sz w:val="16"/>
                <w:szCs w:val="16"/>
                <w:lang w:val="es-ES"/>
              </w:rPr>
            </w:pPr>
            <w:r w:rsidRPr="00087131">
              <w:rPr>
                <w:rFonts w:ascii="Verdana" w:hAnsi="Verdana" w:eastAsia="Calibri" w:cs="Arial"/>
                <w:b/>
                <w:sz w:val="16"/>
                <w:szCs w:val="16"/>
                <w:lang w:val="es-ES"/>
              </w:rPr>
              <w:t xml:space="preserve">Pago de salarios, prestaciones sociales legales e </w:t>
            </w:r>
            <w:r w:rsidRPr="00087131">
              <w:rPr>
                <w:rFonts w:ascii="Verdana" w:hAnsi="Verdana" w:eastAsia="Calibri" w:cs="Arial"/>
                <w:b/>
                <w:sz w:val="16"/>
                <w:szCs w:val="16"/>
                <w:lang w:val="es-ES"/>
              </w:rPr>
              <w:t>indemnizaciones laborales.</w:t>
            </w:r>
          </w:p>
        </w:tc>
        <w:tc>
          <w:tcPr>
            <w:tcW w:w="1426" w:type="dxa"/>
            <w:shd w:val="clear" w:color="auto" w:fill="E7E6E6" w:themeFill="background2"/>
            <w:vAlign w:val="center"/>
          </w:tcPr>
          <w:p w:rsidRPr="00087131" w:rsidR="000B0126" w:rsidP="00293B25" w:rsidRDefault="000B0126" w14:paraId="6CC4069C" w14:textId="77777777">
            <w:pPr>
              <w:tabs>
                <w:tab w:val="left" w:pos="142"/>
                <w:tab w:val="left" w:pos="284"/>
              </w:tabs>
              <w:spacing w:line="276" w:lineRule="auto"/>
              <w:jc w:val="center"/>
              <w:rPr>
                <w:rFonts w:ascii="Verdana" w:hAnsi="Verdana" w:eastAsia="Calibri" w:cs="Arial"/>
                <w:b/>
                <w:sz w:val="16"/>
                <w:szCs w:val="16"/>
                <w:lang w:val="es-ES"/>
              </w:rPr>
            </w:pPr>
            <w:r w:rsidRPr="00087131">
              <w:rPr>
                <w:rFonts w:ascii="Verdana" w:hAnsi="Verdana" w:eastAsia="Calibri" w:cs="Arial"/>
                <w:b/>
                <w:sz w:val="16"/>
                <w:szCs w:val="16"/>
                <w:lang w:val="es-ES"/>
              </w:rPr>
              <w:t>Estabilidad de la Obra</w:t>
            </w:r>
          </w:p>
        </w:tc>
        <w:tc>
          <w:tcPr>
            <w:tcW w:w="1522" w:type="dxa"/>
            <w:shd w:val="clear" w:color="auto" w:fill="E7E6E6" w:themeFill="background2"/>
            <w:vAlign w:val="center"/>
          </w:tcPr>
          <w:p w:rsidRPr="00087131" w:rsidR="000B0126" w:rsidP="00293B25" w:rsidRDefault="000B0126" w14:paraId="373E7C71" w14:textId="77777777">
            <w:pPr>
              <w:tabs>
                <w:tab w:val="left" w:pos="142"/>
                <w:tab w:val="left" w:pos="284"/>
              </w:tabs>
              <w:spacing w:line="276" w:lineRule="auto"/>
              <w:jc w:val="center"/>
              <w:rPr>
                <w:rFonts w:ascii="Verdana" w:hAnsi="Verdana" w:eastAsia="Calibri" w:cs="Arial"/>
                <w:b/>
                <w:sz w:val="16"/>
                <w:szCs w:val="16"/>
                <w:lang w:val="es-ES"/>
              </w:rPr>
            </w:pPr>
            <w:r w:rsidRPr="00087131">
              <w:rPr>
                <w:rFonts w:ascii="Verdana" w:hAnsi="Verdana" w:eastAsia="Calibri" w:cs="Arial"/>
                <w:b/>
                <w:sz w:val="16"/>
                <w:szCs w:val="16"/>
                <w:lang w:val="es-ES"/>
              </w:rPr>
              <w:t>Seriedad de la Oferta</w:t>
            </w:r>
          </w:p>
        </w:tc>
      </w:tr>
      <w:tr w:rsidRPr="008A6279" w:rsidR="000B0126" w:rsidTr="00293B25" w14:paraId="1B4580E6" w14:textId="77777777">
        <w:tc>
          <w:tcPr>
            <w:tcW w:w="1276" w:type="dxa"/>
            <w:vAlign w:val="center"/>
          </w:tcPr>
          <w:p w:rsidRPr="00087131" w:rsidR="000B0126" w:rsidP="00293B25" w:rsidRDefault="000B0126" w14:paraId="66E73984" w14:textId="77777777">
            <w:pPr>
              <w:tabs>
                <w:tab w:val="left" w:pos="142"/>
                <w:tab w:val="left" w:pos="284"/>
              </w:tabs>
              <w:spacing w:line="276" w:lineRule="auto"/>
              <w:jc w:val="both"/>
              <w:rPr>
                <w:rFonts w:ascii="Verdana" w:hAnsi="Verdana" w:eastAsia="Calibri" w:cs="Arial"/>
                <w:sz w:val="16"/>
                <w:szCs w:val="16"/>
                <w:lang w:val="es-ES"/>
              </w:rPr>
            </w:pPr>
            <w:r w:rsidRPr="00087131">
              <w:rPr>
                <w:rFonts w:ascii="Verdana" w:hAnsi="Verdana" w:eastAsia="Calibri" w:cs="Arial"/>
                <w:sz w:val="16"/>
                <w:szCs w:val="16"/>
                <w:lang w:val="es-ES"/>
              </w:rPr>
              <w:t>Suficiencia</w:t>
            </w:r>
          </w:p>
        </w:tc>
        <w:tc>
          <w:tcPr>
            <w:tcW w:w="1559" w:type="dxa"/>
            <w:vAlign w:val="center"/>
          </w:tcPr>
          <w:p w:rsidRPr="00087131" w:rsidR="000B0126" w:rsidP="00293B25" w:rsidRDefault="000B0126" w14:paraId="4F965DFC" w14:textId="77777777">
            <w:pPr>
              <w:tabs>
                <w:tab w:val="left" w:pos="142"/>
                <w:tab w:val="left" w:pos="284"/>
              </w:tabs>
              <w:spacing w:line="276" w:lineRule="auto"/>
              <w:jc w:val="both"/>
              <w:rPr>
                <w:rFonts w:ascii="Verdana" w:hAnsi="Verdana" w:eastAsia="Calibri" w:cs="Arial"/>
                <w:sz w:val="16"/>
                <w:szCs w:val="16"/>
                <w:lang w:val="es-ES"/>
              </w:rPr>
            </w:pPr>
            <w:r w:rsidRPr="00087131">
              <w:rPr>
                <w:rFonts w:ascii="Verdana" w:hAnsi="Verdana" w:eastAsia="Calibri" w:cs="Arial"/>
                <w:sz w:val="16"/>
                <w:szCs w:val="16"/>
                <w:lang w:val="es-ES"/>
              </w:rPr>
              <w:t>10% por regla general</w:t>
            </w:r>
          </w:p>
        </w:tc>
        <w:tc>
          <w:tcPr>
            <w:tcW w:w="1351" w:type="dxa"/>
            <w:vAlign w:val="center"/>
          </w:tcPr>
          <w:p w:rsidRPr="00087131" w:rsidR="000B0126" w:rsidP="00293B25" w:rsidRDefault="000B0126" w14:paraId="56A06F00" w14:textId="77777777">
            <w:pPr>
              <w:tabs>
                <w:tab w:val="left" w:pos="142"/>
                <w:tab w:val="left" w:pos="284"/>
              </w:tabs>
              <w:spacing w:line="276" w:lineRule="auto"/>
              <w:jc w:val="both"/>
              <w:rPr>
                <w:rFonts w:ascii="Verdana" w:hAnsi="Verdana" w:eastAsia="Calibri" w:cs="Arial"/>
                <w:sz w:val="16"/>
                <w:szCs w:val="16"/>
                <w:lang w:val="es-ES"/>
              </w:rPr>
            </w:pPr>
            <w:r w:rsidRPr="00087131">
              <w:rPr>
                <w:rFonts w:ascii="Verdana" w:hAnsi="Verdana" w:eastAsia="Calibri" w:cs="Arial"/>
                <w:sz w:val="16"/>
                <w:szCs w:val="16"/>
                <w:lang w:val="es-ES"/>
              </w:rPr>
              <w:t>De conformidad con lo dispuesto en el artículo 2.2.1.2.3.1.16. del Decreto 1082 de 2015</w:t>
            </w:r>
          </w:p>
        </w:tc>
        <w:tc>
          <w:tcPr>
            <w:tcW w:w="1479" w:type="dxa"/>
            <w:vAlign w:val="center"/>
          </w:tcPr>
          <w:p w:rsidRPr="00087131" w:rsidR="000B0126" w:rsidP="00293B25" w:rsidRDefault="000B0126" w14:paraId="63CF46C3" w14:textId="77777777">
            <w:pPr>
              <w:tabs>
                <w:tab w:val="left" w:pos="142"/>
                <w:tab w:val="left" w:pos="284"/>
              </w:tabs>
              <w:spacing w:line="276" w:lineRule="auto"/>
              <w:jc w:val="both"/>
              <w:rPr>
                <w:rFonts w:ascii="Verdana" w:hAnsi="Verdana" w:eastAsia="Calibri" w:cs="Arial"/>
                <w:sz w:val="16"/>
                <w:szCs w:val="16"/>
                <w:lang w:val="es-ES"/>
              </w:rPr>
            </w:pPr>
            <w:r w:rsidRPr="00087131">
              <w:rPr>
                <w:rFonts w:ascii="Verdana" w:hAnsi="Verdana" w:eastAsia="Calibri" w:cs="Arial"/>
                <w:sz w:val="16"/>
                <w:szCs w:val="16"/>
                <w:lang w:val="es-ES"/>
              </w:rPr>
              <w:t>Conforme a lo dispuesto en el Artículo 2.2.1.2.3.1.17 del Decreto 1082 de 2015</w:t>
            </w:r>
          </w:p>
        </w:tc>
        <w:tc>
          <w:tcPr>
            <w:tcW w:w="1489" w:type="dxa"/>
            <w:vAlign w:val="center"/>
          </w:tcPr>
          <w:p w:rsidRPr="00087131" w:rsidR="000B0126" w:rsidP="00293B25" w:rsidRDefault="000B0126" w14:paraId="21DA9908" w14:textId="77777777">
            <w:pPr>
              <w:tabs>
                <w:tab w:val="left" w:pos="142"/>
                <w:tab w:val="left" w:pos="284"/>
              </w:tabs>
              <w:spacing w:line="276" w:lineRule="auto"/>
              <w:jc w:val="center"/>
              <w:rPr>
                <w:rFonts w:ascii="Verdana" w:hAnsi="Verdana" w:eastAsia="Calibri" w:cs="Arial"/>
                <w:sz w:val="16"/>
                <w:szCs w:val="16"/>
                <w:lang w:val="es-ES"/>
              </w:rPr>
            </w:pPr>
            <w:r w:rsidRPr="00087131">
              <w:rPr>
                <w:rFonts w:ascii="Verdana" w:hAnsi="Verdana" w:eastAsia="Calibri" w:cs="Arial"/>
                <w:sz w:val="16"/>
                <w:szCs w:val="16"/>
                <w:lang w:val="es-ES"/>
              </w:rPr>
              <w:t>5%</w:t>
            </w:r>
          </w:p>
        </w:tc>
        <w:tc>
          <w:tcPr>
            <w:tcW w:w="1426" w:type="dxa"/>
            <w:vAlign w:val="center"/>
          </w:tcPr>
          <w:p w:rsidRPr="00087131" w:rsidR="000B0126" w:rsidP="00293B25" w:rsidRDefault="000B0126" w14:paraId="5A2D9ADA" w14:textId="77777777">
            <w:pPr>
              <w:tabs>
                <w:tab w:val="left" w:pos="142"/>
                <w:tab w:val="left" w:pos="284"/>
              </w:tabs>
              <w:spacing w:line="276" w:lineRule="auto"/>
              <w:jc w:val="both"/>
              <w:rPr>
                <w:rFonts w:ascii="Verdana" w:hAnsi="Verdana" w:eastAsia="Calibri" w:cs="Arial"/>
                <w:sz w:val="16"/>
                <w:szCs w:val="16"/>
                <w:lang w:val="es-ES"/>
              </w:rPr>
            </w:pPr>
            <w:r w:rsidRPr="00087131">
              <w:rPr>
                <w:rFonts w:ascii="Verdana" w:hAnsi="Verdana" w:eastAsia="Calibri" w:cs="Arial"/>
                <w:sz w:val="16"/>
                <w:szCs w:val="16"/>
                <w:lang w:val="es-ES"/>
              </w:rPr>
              <w:t>De conformidad con lo establecido en el artículo 2.2.1.2.3.1.14 del Decreto 1082 de 2015</w:t>
            </w:r>
          </w:p>
        </w:tc>
        <w:tc>
          <w:tcPr>
            <w:tcW w:w="1522" w:type="dxa"/>
            <w:vAlign w:val="center"/>
          </w:tcPr>
          <w:p w:rsidRPr="00087131" w:rsidR="000B0126" w:rsidP="00293B25" w:rsidRDefault="000B0126" w14:paraId="229A79F5" w14:textId="77777777">
            <w:pPr>
              <w:tabs>
                <w:tab w:val="left" w:pos="142"/>
                <w:tab w:val="left" w:pos="284"/>
              </w:tabs>
              <w:spacing w:line="276" w:lineRule="auto"/>
              <w:jc w:val="center"/>
              <w:rPr>
                <w:rFonts w:ascii="Verdana" w:hAnsi="Verdana" w:eastAsia="Calibri" w:cs="Arial"/>
                <w:sz w:val="16"/>
                <w:szCs w:val="16"/>
                <w:lang w:val="es-ES"/>
              </w:rPr>
            </w:pPr>
            <w:r w:rsidRPr="00087131">
              <w:rPr>
                <w:rFonts w:ascii="Verdana" w:hAnsi="Verdana" w:eastAsia="Calibri" w:cs="Arial"/>
                <w:sz w:val="16"/>
                <w:szCs w:val="16"/>
                <w:lang w:val="es-ES"/>
              </w:rPr>
              <w:t>10%</w:t>
            </w:r>
          </w:p>
        </w:tc>
      </w:tr>
      <w:tr w:rsidRPr="008A6279" w:rsidR="000B0126" w:rsidTr="00293B25" w14:paraId="25D6F29D" w14:textId="77777777">
        <w:tc>
          <w:tcPr>
            <w:tcW w:w="1276" w:type="dxa"/>
            <w:vAlign w:val="center"/>
          </w:tcPr>
          <w:p w:rsidRPr="00087131" w:rsidR="000B0126" w:rsidP="00293B25" w:rsidRDefault="000B0126" w14:paraId="546EC9AD" w14:textId="77777777">
            <w:pPr>
              <w:tabs>
                <w:tab w:val="left" w:pos="142"/>
                <w:tab w:val="left" w:pos="284"/>
              </w:tabs>
              <w:spacing w:line="276" w:lineRule="auto"/>
              <w:jc w:val="both"/>
              <w:rPr>
                <w:rFonts w:ascii="Verdana" w:hAnsi="Verdana" w:eastAsia="Calibri" w:cs="Arial"/>
                <w:sz w:val="16"/>
                <w:szCs w:val="16"/>
                <w:lang w:val="es-ES"/>
              </w:rPr>
            </w:pPr>
            <w:r w:rsidRPr="00087131">
              <w:rPr>
                <w:rFonts w:ascii="Verdana" w:hAnsi="Verdana" w:eastAsia="Calibri" w:cs="Arial"/>
                <w:sz w:val="16"/>
                <w:szCs w:val="16"/>
                <w:lang w:val="es-ES"/>
              </w:rPr>
              <w:t>Cobertura</w:t>
            </w:r>
          </w:p>
        </w:tc>
        <w:tc>
          <w:tcPr>
            <w:tcW w:w="1559" w:type="dxa"/>
            <w:vAlign w:val="center"/>
          </w:tcPr>
          <w:p w:rsidRPr="00087131" w:rsidR="000B0126" w:rsidP="00293B25" w:rsidRDefault="000B0126" w14:paraId="393BCEAF" w14:textId="77777777">
            <w:pPr>
              <w:tabs>
                <w:tab w:val="left" w:pos="142"/>
                <w:tab w:val="left" w:pos="284"/>
              </w:tabs>
              <w:spacing w:line="276" w:lineRule="auto"/>
              <w:jc w:val="both"/>
              <w:rPr>
                <w:rFonts w:ascii="Verdana" w:hAnsi="Verdana" w:eastAsia="Calibri" w:cs="Arial"/>
                <w:sz w:val="16"/>
                <w:szCs w:val="16"/>
                <w:lang w:val="es-ES"/>
              </w:rPr>
            </w:pPr>
            <w:r w:rsidRPr="00087131">
              <w:rPr>
                <w:rFonts w:ascii="Verdana" w:hAnsi="Verdana" w:eastAsia="Calibri" w:cs="Arial"/>
                <w:sz w:val="16"/>
                <w:szCs w:val="16"/>
                <w:lang w:val="es-ES"/>
              </w:rPr>
              <w:t xml:space="preserve">Por el plazo de ejecución de la obra hasta la liquidación del contrato </w:t>
            </w:r>
          </w:p>
        </w:tc>
        <w:tc>
          <w:tcPr>
            <w:tcW w:w="1351" w:type="dxa"/>
            <w:vAlign w:val="center"/>
          </w:tcPr>
          <w:p w:rsidRPr="00087131" w:rsidR="000B0126" w:rsidP="00293B25" w:rsidRDefault="000B0126" w14:paraId="4674EB70" w14:textId="77777777">
            <w:pPr>
              <w:tabs>
                <w:tab w:val="left" w:pos="142"/>
                <w:tab w:val="left" w:pos="284"/>
              </w:tabs>
              <w:spacing w:line="276" w:lineRule="auto"/>
              <w:jc w:val="both"/>
              <w:rPr>
                <w:rFonts w:ascii="Verdana" w:hAnsi="Verdana" w:eastAsia="Calibri" w:cs="Arial"/>
                <w:sz w:val="16"/>
                <w:szCs w:val="16"/>
                <w:lang w:val="es-ES"/>
              </w:rPr>
            </w:pPr>
            <w:r w:rsidRPr="00087131">
              <w:rPr>
                <w:rFonts w:ascii="Verdana" w:hAnsi="Verdana" w:eastAsia="Calibri" w:cs="Arial"/>
                <w:sz w:val="16"/>
                <w:szCs w:val="16"/>
                <w:lang w:val="es-ES"/>
              </w:rPr>
              <w:t>De conformidad con lo dispuesto en el artículo 2.2.1.2.3.1.16. del Decreto 1082 de 2015</w:t>
            </w:r>
          </w:p>
        </w:tc>
        <w:tc>
          <w:tcPr>
            <w:tcW w:w="1479" w:type="dxa"/>
            <w:vAlign w:val="center"/>
          </w:tcPr>
          <w:p w:rsidRPr="00087131" w:rsidR="000B0126" w:rsidP="00293B25" w:rsidRDefault="000B0126" w14:paraId="0E78F5B1" w14:textId="77777777">
            <w:pPr>
              <w:tabs>
                <w:tab w:val="left" w:pos="142"/>
                <w:tab w:val="left" w:pos="284"/>
              </w:tabs>
              <w:spacing w:line="276" w:lineRule="auto"/>
              <w:jc w:val="both"/>
              <w:rPr>
                <w:rFonts w:ascii="Verdana" w:hAnsi="Verdana" w:eastAsia="Calibri" w:cs="Arial"/>
                <w:sz w:val="16"/>
                <w:szCs w:val="16"/>
                <w:lang w:val="es-ES"/>
              </w:rPr>
            </w:pPr>
            <w:r w:rsidRPr="00087131">
              <w:rPr>
                <w:rFonts w:ascii="Verdana" w:hAnsi="Verdana" w:eastAsia="Calibri" w:cs="Arial"/>
                <w:sz w:val="16"/>
                <w:szCs w:val="16"/>
                <w:lang w:val="es-ES"/>
              </w:rPr>
              <w:t>Por el plazo de ejecución de la obra.</w:t>
            </w:r>
          </w:p>
        </w:tc>
        <w:tc>
          <w:tcPr>
            <w:tcW w:w="1489" w:type="dxa"/>
            <w:vAlign w:val="center"/>
          </w:tcPr>
          <w:p w:rsidRPr="00087131" w:rsidR="000B0126" w:rsidP="00293B25" w:rsidRDefault="000B0126" w14:paraId="51763E26" w14:textId="77777777">
            <w:pPr>
              <w:tabs>
                <w:tab w:val="left" w:pos="142"/>
                <w:tab w:val="left" w:pos="284"/>
              </w:tabs>
              <w:spacing w:line="276" w:lineRule="auto"/>
              <w:jc w:val="both"/>
              <w:rPr>
                <w:rFonts w:ascii="Verdana" w:hAnsi="Verdana" w:eastAsia="Calibri" w:cs="Arial"/>
                <w:sz w:val="16"/>
                <w:szCs w:val="16"/>
                <w:lang w:val="es-ES"/>
              </w:rPr>
            </w:pPr>
            <w:r w:rsidRPr="00087131">
              <w:rPr>
                <w:rFonts w:ascii="Verdana" w:hAnsi="Verdana" w:eastAsia="Calibri" w:cs="Arial"/>
                <w:sz w:val="16"/>
                <w:szCs w:val="16"/>
                <w:lang w:val="es-ES"/>
              </w:rPr>
              <w:t>Por el plazo de ejecución del contrato y tres (3) años más</w:t>
            </w:r>
          </w:p>
        </w:tc>
        <w:tc>
          <w:tcPr>
            <w:tcW w:w="1426" w:type="dxa"/>
            <w:vAlign w:val="center"/>
          </w:tcPr>
          <w:p w:rsidRPr="00087131" w:rsidR="000B0126" w:rsidP="00293B25" w:rsidRDefault="000B0126" w14:paraId="403B1025" w14:textId="77777777">
            <w:pPr>
              <w:tabs>
                <w:tab w:val="left" w:pos="142"/>
                <w:tab w:val="left" w:pos="284"/>
              </w:tabs>
              <w:spacing w:line="276" w:lineRule="auto"/>
              <w:jc w:val="both"/>
              <w:rPr>
                <w:rFonts w:ascii="Verdana" w:hAnsi="Verdana" w:eastAsia="Calibri" w:cs="Arial"/>
                <w:sz w:val="16"/>
                <w:szCs w:val="16"/>
                <w:lang w:val="es-ES"/>
              </w:rPr>
            </w:pPr>
            <w:r w:rsidRPr="00087131">
              <w:rPr>
                <w:rFonts w:ascii="Verdana" w:hAnsi="Verdana" w:eastAsia="Calibri" w:cs="Arial"/>
                <w:sz w:val="16"/>
                <w:szCs w:val="16"/>
                <w:lang w:val="es-ES"/>
              </w:rPr>
              <w:t>Por un plazo no inferior cinco (5) años a partir del recibo de satisfacción de la obra</w:t>
            </w:r>
          </w:p>
        </w:tc>
        <w:tc>
          <w:tcPr>
            <w:tcW w:w="1522" w:type="dxa"/>
            <w:vAlign w:val="center"/>
          </w:tcPr>
          <w:p w:rsidRPr="00087131" w:rsidR="000B0126" w:rsidP="00293B25" w:rsidRDefault="000B0126" w14:paraId="34E73B33" w14:textId="77777777">
            <w:pPr>
              <w:tabs>
                <w:tab w:val="left" w:pos="142"/>
                <w:tab w:val="left" w:pos="284"/>
              </w:tabs>
              <w:spacing w:line="276" w:lineRule="auto"/>
              <w:jc w:val="both"/>
              <w:rPr>
                <w:rFonts w:ascii="Verdana" w:hAnsi="Verdana" w:eastAsia="Calibri" w:cs="Arial"/>
                <w:sz w:val="16"/>
                <w:szCs w:val="16"/>
                <w:lang w:val="es-ES"/>
              </w:rPr>
            </w:pPr>
            <w:r w:rsidRPr="00087131">
              <w:rPr>
                <w:rFonts w:ascii="Verdana" w:hAnsi="Verdana" w:eastAsia="Calibri" w:cs="Arial"/>
                <w:bCs/>
                <w:sz w:val="16"/>
                <w:szCs w:val="16"/>
                <w:lang w:val="es-ES"/>
              </w:rPr>
              <w:t>Desde</w:t>
            </w:r>
            <w:r w:rsidRPr="00087131">
              <w:rPr>
                <w:rFonts w:ascii="Verdana" w:hAnsi="Verdana" w:eastAsia="Calibri" w:cs="Arial"/>
                <w:sz w:val="16"/>
                <w:szCs w:val="16"/>
                <w:lang w:val="es-ES"/>
              </w:rPr>
              <w:t xml:space="preserve"> la presentación de la oferta y hasta la aprobación de la garantía de cumplimiento del contrato</w:t>
            </w:r>
          </w:p>
        </w:tc>
      </w:tr>
    </w:tbl>
    <w:p w:rsidRPr="008A6279" w:rsidR="000B0126" w:rsidP="000B0126" w:rsidRDefault="000B0126" w14:paraId="422637C5" w14:textId="77777777">
      <w:pPr>
        <w:tabs>
          <w:tab w:val="left" w:pos="709"/>
        </w:tabs>
        <w:spacing w:after="120" w:line="276" w:lineRule="auto"/>
        <w:ind w:left="720"/>
        <w:contextualSpacing/>
        <w:jc w:val="both"/>
        <w:rPr>
          <w:rFonts w:ascii="Verdana" w:hAnsi="Verdana"/>
          <w:lang w:val="es-ES"/>
        </w:rPr>
      </w:pPr>
    </w:p>
    <w:p w:rsidRPr="008A6279" w:rsidR="000B0126" w:rsidP="000B0126" w:rsidRDefault="000B0126" w14:paraId="4F364606" w14:textId="77777777">
      <w:pPr>
        <w:numPr>
          <w:ilvl w:val="0"/>
          <w:numId w:val="11"/>
        </w:numPr>
        <w:tabs>
          <w:tab w:val="left" w:pos="709"/>
        </w:tabs>
        <w:spacing w:after="120" w:line="276" w:lineRule="auto"/>
        <w:ind w:left="426" w:hanging="425"/>
        <w:jc w:val="both"/>
        <w:rPr>
          <w:rFonts w:ascii="Verdana" w:hAnsi="Verdana"/>
          <w:lang w:val="es-ES"/>
        </w:rPr>
      </w:pPr>
      <w:bookmarkStart w:name="_Hlk35882939" w:id="3"/>
      <w:r w:rsidRPr="008A6279">
        <w:rPr>
          <w:rFonts w:ascii="Verdana" w:hAnsi="Verdana" w:cs="Arial"/>
          <w:lang w:val="es-ES_tradnl"/>
        </w:rPr>
        <w:t xml:space="preserve">Ahora bien, el numeral 4 del artículo 2 de la Ley 1150 de 2007 consagra algunas excepciones a la licitación como regla general para las entidades regidas por el Estatuto General de Contratación de la Administración Pública, las cuales atienden a la necesidad de proteger los principios de la eficiencia, la eficacia, la economía, la celeridad o la integridad de las personas. </w:t>
      </w:r>
    </w:p>
    <w:p w:rsidRPr="008A6279" w:rsidR="000B0126" w:rsidP="000B0126" w:rsidRDefault="000B0126" w14:paraId="70293CA1" w14:textId="77777777">
      <w:pPr>
        <w:numPr>
          <w:ilvl w:val="0"/>
          <w:numId w:val="11"/>
        </w:numPr>
        <w:tabs>
          <w:tab w:val="left" w:pos="709"/>
        </w:tabs>
        <w:spacing w:after="120" w:line="276" w:lineRule="auto"/>
        <w:ind w:left="426" w:hanging="425"/>
        <w:jc w:val="both"/>
        <w:rPr>
          <w:rFonts w:ascii="Verdana" w:hAnsi="Verdana"/>
          <w:lang w:val="es-ES"/>
        </w:rPr>
      </w:pPr>
      <w:r w:rsidRPr="008A6279">
        <w:rPr>
          <w:rFonts w:ascii="Verdana" w:hAnsi="Verdana" w:cs="Arial"/>
          <w:lang w:val="es-ES_tradnl"/>
        </w:rPr>
        <w:t xml:space="preserve">El literal a) denominado “urgencia manifiesta” previsto en el numeral </w:t>
      </w:r>
      <w:r w:rsidRPr="0003725C">
        <w:rPr>
          <w:rFonts w:ascii="Verdana" w:hAnsi="Verdana" w:cs="Arial"/>
          <w:lang w:val="es-ES_tradnl"/>
        </w:rPr>
        <w:t>ibidem</w:t>
      </w:r>
      <w:r w:rsidRPr="008A6279">
        <w:rPr>
          <w:rFonts w:ascii="Verdana" w:hAnsi="Verdana" w:cs="Arial"/>
          <w:lang w:val="es-ES_tradnl"/>
        </w:rPr>
        <w:t xml:space="preserve"> de la contratación directa constituye una de las excepciones</w:t>
      </w:r>
      <w:bookmarkEnd w:id="3"/>
      <w:r w:rsidRPr="008A6279">
        <w:rPr>
          <w:rFonts w:ascii="Verdana" w:hAnsi="Verdana" w:cs="Arial"/>
          <w:lang w:val="es-ES_tradnl"/>
        </w:rPr>
        <w:t>. Esta causal en concordancia con los artículos 42 de la Ley 80 de 1993, define el concepto y establece el procedimiento para su declaratoria, así como para la celebración de los contratos que se derivan de aquella.</w:t>
      </w:r>
    </w:p>
    <w:p w:rsidRPr="008A6279" w:rsidR="000B0126" w:rsidP="000B0126" w:rsidRDefault="000B0126" w14:paraId="7907CE44" w14:textId="77777777">
      <w:pPr>
        <w:numPr>
          <w:ilvl w:val="0"/>
          <w:numId w:val="11"/>
        </w:numPr>
        <w:tabs>
          <w:tab w:val="left" w:pos="709"/>
        </w:tabs>
        <w:spacing w:after="120" w:line="276" w:lineRule="auto"/>
        <w:ind w:left="426" w:hanging="425"/>
        <w:jc w:val="both"/>
        <w:rPr>
          <w:rFonts w:ascii="Verdana" w:hAnsi="Verdana"/>
          <w:lang w:val="es-ES"/>
        </w:rPr>
      </w:pPr>
      <w:r w:rsidRPr="008A6279">
        <w:rPr>
          <w:rFonts w:ascii="Verdana" w:hAnsi="Verdana"/>
          <w:lang w:val="es-ES"/>
        </w:rPr>
        <w:t>Así las cosas,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p>
    <w:p w:rsidRPr="008A6279" w:rsidR="000B0126" w:rsidP="000B0126" w:rsidRDefault="000B0126" w14:paraId="3B81088E" w14:textId="77777777">
      <w:pPr>
        <w:numPr>
          <w:ilvl w:val="0"/>
          <w:numId w:val="11"/>
        </w:numPr>
        <w:tabs>
          <w:tab w:val="left" w:pos="709"/>
        </w:tabs>
        <w:spacing w:after="120" w:line="276" w:lineRule="auto"/>
        <w:ind w:left="426" w:hanging="425"/>
        <w:jc w:val="both"/>
        <w:rPr>
          <w:rFonts w:ascii="Verdana" w:hAnsi="Verdana"/>
          <w:lang w:val="es-ES"/>
        </w:rPr>
      </w:pPr>
      <w:r w:rsidRPr="008A6279">
        <w:rPr>
          <w:rFonts w:ascii="Verdana" w:hAnsi="Verdana"/>
          <w:lang w:val="es-ES"/>
        </w:rPr>
        <w:t>En los casos excepcionales que comprometen fines superiores de interés colectivo, con mayor razón son de obligatoria aplicación los fines de la contratación administrativa, previstos en el artículo 3 de la Ley 80 de 1993, en la medida que se garantiza la continua y eficiente prestación de los servicios públicos, y la efectividad de los derechos e intereses de los administrados que colaboran con entidades y organismos del Estado como fundamento a esta causal de contratación directa.</w:t>
      </w:r>
    </w:p>
    <w:p w:rsidRPr="008A6279" w:rsidR="000B0126" w:rsidP="000B0126" w:rsidRDefault="000B0126" w14:paraId="6032012E" w14:textId="77777777">
      <w:pPr>
        <w:numPr>
          <w:ilvl w:val="0"/>
          <w:numId w:val="11"/>
        </w:numPr>
        <w:tabs>
          <w:tab w:val="left" w:pos="709"/>
        </w:tabs>
        <w:spacing w:after="120" w:line="276" w:lineRule="auto"/>
        <w:ind w:left="426" w:hanging="425"/>
        <w:jc w:val="both"/>
        <w:rPr>
          <w:rFonts w:ascii="Verdana" w:hAnsi="Verdana"/>
          <w:lang w:val="es-ES"/>
        </w:rPr>
      </w:pPr>
      <w:r w:rsidRPr="008A6279">
        <w:rPr>
          <w:rFonts w:ascii="Verdana" w:hAnsi="Verdana"/>
          <w:lang w:val="es-ES"/>
        </w:rPr>
        <w:t>El precitado artículo 42 del Estatuto General de Contratación contempla cuatro (4) circunstancias o hechos que configuran la urgencia manifiesta, si así lo declara la entidad: i) cuando la continuidad del servicio exige el suministro de bienes, o la prestación de servicios, o la ejecución de obras en el inmediato futuro; ii) cuando se presenten situaciones relacionadas con los estados de excepción; iii) cuando se trate de conjurar situaciones excepcionales relacionadas con hechos de calamidad o constitutivos de fuerza mayor o desastre que demanden actuaciones inmediatas; y iv) en general, cuando se trate de situaciones similares que imposibiliten acudir a los procedimientos de selección o concurso públicos.</w:t>
      </w:r>
    </w:p>
    <w:p w:rsidRPr="008A6279" w:rsidR="000B0126" w:rsidP="000B0126" w:rsidRDefault="000B0126" w14:paraId="79643A7E" w14:textId="77777777">
      <w:pPr>
        <w:numPr>
          <w:ilvl w:val="0"/>
          <w:numId w:val="11"/>
        </w:numPr>
        <w:tabs>
          <w:tab w:val="left" w:pos="709"/>
        </w:tabs>
        <w:spacing w:after="120" w:line="276" w:lineRule="auto"/>
        <w:ind w:left="426" w:hanging="425"/>
        <w:jc w:val="both"/>
        <w:rPr>
          <w:rFonts w:ascii="Verdana" w:hAnsi="Verdana"/>
          <w:lang w:val="es-ES"/>
        </w:rPr>
      </w:pPr>
      <w:r w:rsidRPr="008A6279">
        <w:rPr>
          <w:rFonts w:ascii="Verdana" w:hAnsi="Verdana"/>
          <w:lang w:val="es-ES"/>
        </w:rPr>
        <w:t>El elemento común en los cuatro (4) eventos es que exigen atender la contingencia de manera pronta, mediante la ejecución de obras, la prestación de servicios o el suministro de bienes. Por tanto, lo que permite catalogar un supuesto fáctico como urgente, en forma manifiesta, es que demanda actuaciones del Estado que no dan espera para mantener la regularidad del servicio, e impiden acudir a los procedimientos de selección ordinarios, es decir, a la licitación pública, la selección abreviada, el concurso de méritos y la contratación de mínima cuantía.</w:t>
      </w:r>
    </w:p>
    <w:p w:rsidRPr="008A6279" w:rsidR="000B0126" w:rsidP="000B0126" w:rsidRDefault="000B0126" w14:paraId="1524EC7C" w14:textId="77777777">
      <w:pPr>
        <w:numPr>
          <w:ilvl w:val="0"/>
          <w:numId w:val="11"/>
        </w:numPr>
        <w:tabs>
          <w:tab w:val="left" w:pos="709"/>
        </w:tabs>
        <w:spacing w:after="120" w:line="276" w:lineRule="auto"/>
        <w:ind w:left="426" w:hanging="425"/>
        <w:jc w:val="both"/>
        <w:rPr>
          <w:rFonts w:ascii="Verdana" w:hAnsi="Verdana"/>
          <w:lang w:val="es-ES"/>
        </w:rPr>
      </w:pPr>
      <w:r w:rsidRPr="008A6279">
        <w:rPr>
          <w:rFonts w:ascii="Verdana" w:hAnsi="Verdana"/>
          <w:lang w:val="es-ES"/>
        </w:rPr>
        <w:t xml:space="preserve">Se insiste en que cuando se configure alguna de las cuatro (4) situaciones, el artículo 42 de la Ley 80 de 1993 exige declarar formalmente la urgencia manifiesta mediante acto administrativo motivado, es decir, a través de una manifestación unilateral de voluntad razonablemente justificada, proferida por el jefe o representante legal de cada entidad –o quien sea el titular de la competencia–, según lo establecido en los artículos 11 y 12 ibidem con el objetivo evidenciar las razones y argumentos que orientan a prevenir, </w:t>
      </w:r>
      <w:r w:rsidRPr="008A6279">
        <w:rPr>
          <w:rFonts w:ascii="Verdana" w:hAnsi="Verdana"/>
          <w:lang w:val="es-ES"/>
        </w:rPr>
        <w:t>mitigar o corregir el riesgo generado por la declaratoria de urgencia manifiesta.</w:t>
      </w:r>
    </w:p>
    <w:p w:rsidRPr="008A6279" w:rsidR="000B0126" w:rsidP="000B0126" w:rsidRDefault="000B0126" w14:paraId="44911C80" w14:textId="77777777">
      <w:pPr>
        <w:numPr>
          <w:ilvl w:val="0"/>
          <w:numId w:val="11"/>
        </w:numPr>
        <w:tabs>
          <w:tab w:val="left" w:pos="709"/>
        </w:tabs>
        <w:spacing w:after="120" w:line="276" w:lineRule="auto"/>
        <w:ind w:left="426" w:hanging="425"/>
        <w:jc w:val="both"/>
        <w:rPr>
          <w:rFonts w:ascii="Verdana" w:hAnsi="Verdana"/>
          <w:lang w:val="es-ES"/>
        </w:rPr>
      </w:pPr>
      <w:r w:rsidRPr="008A6279">
        <w:rPr>
          <w:rFonts w:ascii="Verdana" w:hAnsi="Verdana"/>
          <w:lang w:val="es-ES"/>
        </w:rPr>
        <w:t xml:space="preserve">Al presentarse un riesgo, peligro inminente o con el fin de mitigar la situación que menoscaba el interés general o la preservación del bien común, las entidades estatales no están obligadas a realizar estudios y documentos previos, como lo dispone el artículo 2.2.1.2.1.4.2. del Decreto 1082 de 2015: “Si la causal de contratación directa es la urgencia manifiesta, el acto administrativo que la declare hará las veces del acto administrativo de justificación, y en este caso la Entidad Estatal no está obligada a elaborar estudios y documentos previos”. </w:t>
      </w:r>
    </w:p>
    <w:p w:rsidRPr="008A6279" w:rsidR="000B0126" w:rsidP="000B0126" w:rsidRDefault="000B0126" w14:paraId="0DFF30F8" w14:textId="77777777">
      <w:pPr>
        <w:numPr>
          <w:ilvl w:val="0"/>
          <w:numId w:val="11"/>
        </w:numPr>
        <w:tabs>
          <w:tab w:val="left" w:pos="709"/>
        </w:tabs>
        <w:spacing w:after="120" w:line="276" w:lineRule="auto"/>
        <w:ind w:left="426" w:hanging="425"/>
        <w:jc w:val="both"/>
        <w:rPr>
          <w:rFonts w:ascii="Verdana" w:hAnsi="Verdana"/>
          <w:lang w:val="es-ES"/>
        </w:rPr>
      </w:pPr>
      <w:r w:rsidRPr="008A6279">
        <w:rPr>
          <w:rFonts w:ascii="Verdana" w:hAnsi="Verdana"/>
          <w:lang w:val="es-ES"/>
        </w:rPr>
        <w:t xml:space="preserve">En ese orden de ideas, las entidades estatales están obligadas a continuar con el trámite de control fiscal estipulado en el artículo 43 de la Ley 80 de 1993 cuando se contraten bienes, obras y servicios por contratación directa de urgencia manifiesta. De acuerdo con la norma, </w:t>
      </w:r>
      <w:r w:rsidRPr="008A6279">
        <w:rPr>
          <w:rFonts w:ascii="Verdana" w:hAnsi="Verdana"/>
          <w:i/>
          <w:lang w:val="es-ES"/>
        </w:rPr>
        <w:t>“i</w:t>
      </w:r>
      <w:r w:rsidRPr="008A6279">
        <w:rPr>
          <w:rFonts w:ascii="Arial" w:hAnsi="Arial" w:eastAsia="Times New Roman" w:cs="Arial"/>
          <w:i/>
          <w:color w:val="333333"/>
          <w:sz w:val="25"/>
          <w:szCs w:val="25"/>
          <w:lang w:val="es-ES" w:eastAsia="es-ES_tradnl"/>
        </w:rPr>
        <w:t>nmediatamente después de celebrado el contrato será enviado al funcionario u organismo que ejerza el control fiscal en la respectiva entidad junto con el acto administrativo que la declaró y el expediente contentivo de los antecedentes administrativos, con el fin que pronunciarse dentro de los dos (2) meses siguientes sobre los hechos y circunstancias que determinaron tal declaración.”</w:t>
      </w:r>
    </w:p>
    <w:p w:rsidRPr="008A6279" w:rsidR="000B0126" w:rsidP="000B0126" w:rsidRDefault="000B0126" w14:paraId="1206651A" w14:textId="77777777">
      <w:pPr>
        <w:numPr>
          <w:ilvl w:val="0"/>
          <w:numId w:val="11"/>
        </w:numPr>
        <w:tabs>
          <w:tab w:val="left" w:pos="709"/>
        </w:tabs>
        <w:spacing w:after="120" w:line="276" w:lineRule="auto"/>
        <w:ind w:left="426" w:hanging="425"/>
        <w:jc w:val="both"/>
        <w:rPr>
          <w:rFonts w:ascii="Verdana" w:hAnsi="Verdana"/>
          <w:lang w:val="es-ES"/>
        </w:rPr>
      </w:pPr>
      <w:r w:rsidRPr="008A6279">
        <w:rPr>
          <w:rFonts w:ascii="Verdana" w:hAnsi="Verdana"/>
          <w:lang w:val="es-ES"/>
        </w:rPr>
        <w:t xml:space="preserve">Ahora bien, de </w:t>
      </w:r>
      <w:r>
        <w:rPr>
          <w:rFonts w:ascii="Verdana" w:hAnsi="Verdana"/>
          <w:lang w:val="es-ES"/>
        </w:rPr>
        <w:t>conformidad con el objeto contractual, las obligaciones y la cuantía, la entidad estatal deberá analizar la necesidad de exigir las garantías y consignarlo así en el acto administrativo a través del cual se declara la urgencia manifiesta, lo anterior, de conformidad con lo dispuesto</w:t>
      </w:r>
      <w:r w:rsidRPr="008A6279">
        <w:rPr>
          <w:rFonts w:ascii="Verdana" w:hAnsi="Verdana"/>
          <w:lang w:val="es-ES"/>
        </w:rPr>
        <w:t xml:space="preserve"> en el artículo 2.2.1.1.1.4.5 del Decreto 1082 de 2015, </w:t>
      </w:r>
      <w:r>
        <w:rPr>
          <w:rFonts w:ascii="Verdana" w:hAnsi="Verdana"/>
          <w:lang w:val="es-ES"/>
        </w:rPr>
        <w:t>el cual indica</w:t>
      </w:r>
      <w:r w:rsidRPr="008A6279">
        <w:rPr>
          <w:rFonts w:ascii="Verdana" w:hAnsi="Verdana"/>
          <w:lang w:val="es-ES"/>
        </w:rPr>
        <w:t xml:space="preserve"> que “</w:t>
      </w:r>
      <w:r w:rsidRPr="008A6279">
        <w:rPr>
          <w:rFonts w:ascii="Verdana" w:hAnsi="Verdana"/>
        </w:rPr>
        <w:t xml:space="preserve">En la contratación directa la exigencia de garantías establecidas en la Sección 3, que comprende los artículos 2.2.1.2.3.1.1 al 2.2.1.2.3.5.1.del presente decreto no es obligatoria y la justificación para exigirlas o no debe estar en los estudios y documentos previos”. </w:t>
      </w:r>
    </w:p>
    <w:p w:rsidR="000B0126" w:rsidP="000B0126" w:rsidRDefault="000B0126" w14:paraId="1A61431B" w14:textId="77777777">
      <w:pPr>
        <w:tabs>
          <w:tab w:val="left" w:pos="142"/>
          <w:tab w:val="left" w:pos="284"/>
        </w:tabs>
        <w:spacing w:after="0" w:line="276" w:lineRule="auto"/>
        <w:jc w:val="both"/>
        <w:rPr>
          <w:rFonts w:ascii="Verdana" w:hAnsi="Verdana" w:eastAsia="Calibri" w:cs="Arial"/>
          <w:bCs/>
          <w:lang w:val="es-ES"/>
        </w:rPr>
      </w:pPr>
    </w:p>
    <w:p w:rsidRPr="008A6279" w:rsidR="000B0126" w:rsidP="000B0126" w:rsidRDefault="000B0126" w14:paraId="2058202D" w14:textId="77777777">
      <w:pPr>
        <w:tabs>
          <w:tab w:val="left" w:pos="142"/>
          <w:tab w:val="left" w:pos="284"/>
        </w:tabs>
        <w:spacing w:after="0" w:line="276" w:lineRule="auto"/>
        <w:jc w:val="both"/>
        <w:rPr>
          <w:rFonts w:ascii="Verdana" w:hAnsi="Verdana" w:eastAsia="Calibri" w:cs="Arial"/>
          <w:bCs/>
          <w:lang w:val="es-ES"/>
        </w:rPr>
      </w:pPr>
      <w:r w:rsidRPr="008A6279">
        <w:rPr>
          <w:rFonts w:ascii="Verdana" w:hAnsi="Verdana" w:eastAsia="Calibri" w:cs="Arial"/>
          <w:bCs/>
          <w:lang w:val="es-ES"/>
        </w:rPr>
        <w:t xml:space="preserve">Conforme a lo anterior, la entidad estatal </w:t>
      </w:r>
      <w:r>
        <w:rPr>
          <w:rFonts w:ascii="Verdana" w:hAnsi="Verdana" w:eastAsia="Calibri" w:cs="Arial"/>
          <w:bCs/>
          <w:lang w:val="es-ES"/>
        </w:rPr>
        <w:t xml:space="preserve">debe determinar la necesidad de </w:t>
      </w:r>
      <w:r w:rsidRPr="008A6279">
        <w:rPr>
          <w:rFonts w:ascii="Verdana" w:hAnsi="Verdana" w:eastAsia="Calibri" w:cs="Arial"/>
          <w:bCs/>
          <w:lang w:val="es-ES"/>
        </w:rPr>
        <w:t xml:space="preserve"> exigir las garantías en el contrato de obra por contratación directa de urgencia </w:t>
      </w:r>
      <w:r w:rsidRPr="008A6279">
        <w:rPr>
          <w:rFonts w:ascii="Verdana" w:hAnsi="Verdana" w:eastAsia="Calibri" w:cs="Arial"/>
          <w:bCs/>
          <w:lang w:val="es-ES"/>
        </w:rPr>
        <w:t xml:space="preserve">manifiesta, </w:t>
      </w:r>
      <w:r>
        <w:rPr>
          <w:rFonts w:ascii="Verdana" w:hAnsi="Verdana" w:eastAsia="Calibri" w:cs="Arial"/>
          <w:bCs/>
          <w:lang w:val="es-ES"/>
        </w:rPr>
        <w:t>en atención a los riesgos</w:t>
      </w:r>
      <w:r w:rsidRPr="008A6279">
        <w:rPr>
          <w:rFonts w:ascii="Verdana" w:hAnsi="Verdana" w:eastAsia="Calibri" w:cs="Arial"/>
          <w:bCs/>
          <w:lang w:val="es-ES"/>
        </w:rPr>
        <w:t xml:space="preserve"> que </w:t>
      </w:r>
      <w:r>
        <w:rPr>
          <w:rFonts w:ascii="Verdana" w:hAnsi="Verdana" w:eastAsia="Calibri" w:cs="Arial"/>
          <w:bCs/>
          <w:lang w:val="es-ES"/>
        </w:rPr>
        <w:t>subyacen</w:t>
      </w:r>
      <w:r w:rsidRPr="008A6279">
        <w:rPr>
          <w:rFonts w:ascii="Verdana" w:hAnsi="Verdana" w:eastAsia="Calibri" w:cs="Arial"/>
          <w:bCs/>
          <w:lang w:val="es-ES"/>
        </w:rPr>
        <w:t xml:space="preserve"> de la </w:t>
      </w:r>
      <w:r>
        <w:rPr>
          <w:rFonts w:ascii="Verdana" w:hAnsi="Verdana" w:eastAsia="Calibri" w:cs="Arial"/>
          <w:bCs/>
          <w:lang w:val="es-ES"/>
        </w:rPr>
        <w:t>futura ejecución, así como del deber de prevenir riesgos antijuridicos</w:t>
      </w:r>
      <w:r w:rsidRPr="008A6279">
        <w:rPr>
          <w:rFonts w:ascii="Verdana" w:hAnsi="Verdana" w:eastAsia="Calibri" w:cs="Arial"/>
          <w:bCs/>
          <w:lang w:val="es-ES"/>
        </w:rPr>
        <w:t xml:space="preserve"> para la </w:t>
      </w:r>
      <w:r>
        <w:rPr>
          <w:rFonts w:ascii="Verdana" w:hAnsi="Verdana" w:eastAsia="Calibri" w:cs="Arial"/>
          <w:bCs/>
          <w:lang w:val="es-ES"/>
        </w:rPr>
        <w:t>Entidad</w:t>
      </w:r>
      <w:r w:rsidRPr="008A6279">
        <w:rPr>
          <w:rFonts w:ascii="Verdana" w:hAnsi="Verdana" w:eastAsia="Calibri" w:cs="Arial"/>
          <w:bCs/>
          <w:lang w:val="es-ES"/>
        </w:rPr>
        <w:t xml:space="preserve">. </w:t>
      </w:r>
    </w:p>
    <w:p w:rsidRPr="008A6279" w:rsidR="000B0126" w:rsidP="000B0126" w:rsidRDefault="000B0126" w14:paraId="6FD72F1E" w14:textId="77777777">
      <w:pPr>
        <w:tabs>
          <w:tab w:val="left" w:pos="709"/>
        </w:tabs>
        <w:spacing w:after="120" w:line="276" w:lineRule="auto"/>
        <w:ind w:left="1"/>
        <w:jc w:val="both"/>
        <w:rPr>
          <w:rFonts w:ascii="Verdana" w:hAnsi="Verdana"/>
          <w:lang w:val="es-ES"/>
        </w:rPr>
      </w:pPr>
    </w:p>
    <w:p w:rsidRPr="008A6279" w:rsidR="000B0126" w:rsidP="000B0126" w:rsidRDefault="000B0126" w14:paraId="2D378AC2" w14:textId="77777777">
      <w:pPr>
        <w:numPr>
          <w:ilvl w:val="0"/>
          <w:numId w:val="4"/>
        </w:numPr>
        <w:tabs>
          <w:tab w:val="left" w:pos="142"/>
          <w:tab w:val="left" w:pos="284"/>
        </w:tabs>
        <w:spacing w:after="0" w:line="276" w:lineRule="auto"/>
        <w:ind w:left="0" w:firstLine="0"/>
        <w:jc w:val="both"/>
        <w:rPr>
          <w:rFonts w:ascii="Verdana" w:hAnsi="Verdana" w:eastAsia="Century Gothic" w:cs="Century Gothic"/>
          <w:b/>
          <w:bCs/>
          <w:lang w:val="es-ES"/>
        </w:rPr>
      </w:pPr>
      <w:r w:rsidRPr="008A6279">
        <w:rPr>
          <w:rFonts w:ascii="Verdana" w:hAnsi="Verdana" w:eastAsia="Century Gothic" w:cs="Century Gothic"/>
          <w:b/>
          <w:bCs/>
          <w:lang w:val="es-ES"/>
        </w:rPr>
        <w:t>Referencias normativas, jurisprudenciales y otras fuentes:</w:t>
      </w:r>
    </w:p>
    <w:p w:rsidRPr="008A6279" w:rsidR="000B0126" w:rsidP="000B0126" w:rsidRDefault="000B0126" w14:paraId="46D30DDE" w14:textId="77777777">
      <w:pPr>
        <w:widowControl w:val="0"/>
        <w:autoSpaceDE w:val="0"/>
        <w:autoSpaceDN w:val="0"/>
        <w:spacing w:after="120" w:line="276" w:lineRule="auto"/>
        <w:contextualSpacing/>
        <w:jc w:val="both"/>
        <w:rPr>
          <w:rFonts w:ascii="Verdana" w:hAnsi="Verdana" w:cs="Arial"/>
        </w:rPr>
      </w:pPr>
    </w:p>
    <w:p w:rsidRPr="0003725C" w:rsidR="000B0126" w:rsidP="000B0126" w:rsidRDefault="000B0126" w14:paraId="29C7CBE0" w14:textId="77777777">
      <w:pPr>
        <w:widowControl w:val="0"/>
        <w:numPr>
          <w:ilvl w:val="0"/>
          <w:numId w:val="14"/>
        </w:numPr>
        <w:autoSpaceDE w:val="0"/>
        <w:autoSpaceDN w:val="0"/>
        <w:spacing w:after="120" w:line="276" w:lineRule="auto"/>
        <w:contextualSpacing/>
        <w:jc w:val="both"/>
        <w:rPr>
          <w:rFonts w:ascii="Verdana" w:hAnsi="Verdana" w:cs="Arial"/>
        </w:rPr>
      </w:pPr>
      <w:r w:rsidRPr="0003725C">
        <w:rPr>
          <w:rFonts w:ascii="Verdana" w:hAnsi="Verdana" w:cs="Arial"/>
        </w:rPr>
        <w:t>Ley 80 de 1993, artículos 3, 11, 12, 42 y 41 incisos 4 y 5.</w:t>
      </w:r>
    </w:p>
    <w:p w:rsidRPr="008A6279" w:rsidR="000B0126" w:rsidP="000B0126" w:rsidRDefault="000B0126" w14:paraId="70E51C20" w14:textId="77777777">
      <w:pPr>
        <w:widowControl w:val="0"/>
        <w:numPr>
          <w:ilvl w:val="0"/>
          <w:numId w:val="14"/>
        </w:numPr>
        <w:autoSpaceDE w:val="0"/>
        <w:autoSpaceDN w:val="0"/>
        <w:spacing w:after="120" w:line="276" w:lineRule="auto"/>
        <w:contextualSpacing/>
        <w:jc w:val="both"/>
        <w:rPr>
          <w:rFonts w:ascii="Verdana" w:hAnsi="Verdana" w:cs="Arial"/>
        </w:rPr>
      </w:pPr>
      <w:r w:rsidRPr="008A6279">
        <w:rPr>
          <w:rFonts w:ascii="Verdana" w:hAnsi="Verdana" w:cs="Arial"/>
        </w:rPr>
        <w:t>Ley 1150 de 2007, artículos 2.4 y 7.</w:t>
      </w:r>
    </w:p>
    <w:p w:rsidRPr="008A6279" w:rsidR="000B0126" w:rsidP="000B0126" w:rsidRDefault="000B0126" w14:paraId="2074E9F8" w14:textId="77777777">
      <w:pPr>
        <w:widowControl w:val="0"/>
        <w:numPr>
          <w:ilvl w:val="0"/>
          <w:numId w:val="14"/>
        </w:numPr>
        <w:autoSpaceDE w:val="0"/>
        <w:autoSpaceDN w:val="0"/>
        <w:spacing w:after="120" w:line="276" w:lineRule="auto"/>
        <w:contextualSpacing/>
        <w:jc w:val="both"/>
        <w:rPr>
          <w:rFonts w:ascii="Verdana" w:hAnsi="Verdana" w:cs="Arial"/>
        </w:rPr>
      </w:pPr>
      <w:r w:rsidRPr="008A6279">
        <w:rPr>
          <w:rFonts w:ascii="Verdana" w:hAnsi="Verdana" w:cs="Arial"/>
        </w:rPr>
        <w:t>Decreto 1082 de 2015, artículos 2.2.1.2.1.4.5, 2.2.1.2.3.1.1, 2.2.1.2.3.5.1., 2.2.1.2.1.4.2 y 2.2.1.2.3.1.19.</w:t>
      </w:r>
    </w:p>
    <w:p w:rsidRPr="008A6279" w:rsidR="000B0126" w:rsidP="000B0126" w:rsidRDefault="000B0126" w14:paraId="404089C3" w14:textId="77777777">
      <w:pPr>
        <w:widowControl w:val="0"/>
        <w:numPr>
          <w:ilvl w:val="0"/>
          <w:numId w:val="14"/>
        </w:numPr>
        <w:autoSpaceDE w:val="0"/>
        <w:autoSpaceDN w:val="0"/>
        <w:spacing w:after="120" w:line="276" w:lineRule="auto"/>
        <w:contextualSpacing/>
        <w:jc w:val="both"/>
        <w:rPr>
          <w:rFonts w:ascii="Verdana" w:hAnsi="Verdana" w:cs="Arial"/>
        </w:rPr>
      </w:pPr>
      <w:r w:rsidRPr="008A6279">
        <w:rPr>
          <w:rFonts w:ascii="Verdana" w:hAnsi="Verdana" w:cs="Arial"/>
        </w:rPr>
        <w:t>Guía de garantías de los procesos de contratación. Disponible en:</w:t>
      </w:r>
    </w:p>
    <w:p w:rsidRPr="008A6279" w:rsidR="000B0126" w:rsidP="000B0126" w:rsidRDefault="00000000" w14:paraId="06F1E04D" w14:textId="77777777">
      <w:pPr>
        <w:widowControl w:val="0"/>
        <w:autoSpaceDE w:val="0"/>
        <w:autoSpaceDN w:val="0"/>
        <w:spacing w:after="120" w:line="276" w:lineRule="auto"/>
        <w:ind w:left="720"/>
        <w:contextualSpacing/>
        <w:jc w:val="both"/>
        <w:rPr>
          <w:rFonts w:ascii="Verdana" w:hAnsi="Verdana" w:cs="Arial"/>
        </w:rPr>
      </w:pPr>
      <w:hyperlink w:history="1" r:id="rId13">
        <w:r w:rsidRPr="008A6279" w:rsidR="000B0126">
          <w:rPr>
            <w:rFonts w:ascii="Verdana" w:hAnsi="Verdana" w:cs="Arial"/>
            <w:color w:val="0563C1" w:themeColor="hyperlink"/>
            <w:u w:val="single"/>
          </w:rPr>
          <w:t>https://www.colombiacompra.gov.co/sites/cce_public/files/cce_documents/cce_guia_garantias.pdf</w:t>
        </w:r>
      </w:hyperlink>
      <w:r w:rsidRPr="008A6279" w:rsidR="000B0126">
        <w:rPr>
          <w:rFonts w:ascii="Verdana" w:hAnsi="Verdana" w:cs="Arial"/>
        </w:rPr>
        <w:t xml:space="preserve"> </w:t>
      </w:r>
    </w:p>
    <w:p w:rsidRPr="008A6279" w:rsidR="000B0126" w:rsidP="000B0126" w:rsidRDefault="000B0126" w14:paraId="08369104" w14:textId="77777777">
      <w:pPr>
        <w:widowControl w:val="0"/>
        <w:autoSpaceDE w:val="0"/>
        <w:autoSpaceDN w:val="0"/>
        <w:spacing w:after="0" w:line="276" w:lineRule="auto"/>
        <w:jc w:val="both"/>
        <w:rPr>
          <w:rFonts w:ascii="Verdana" w:hAnsi="Verdana" w:cs="Arial"/>
        </w:rPr>
      </w:pPr>
    </w:p>
    <w:p w:rsidRPr="008A6279" w:rsidR="000B0126" w:rsidP="000B0126" w:rsidRDefault="000B0126" w14:paraId="3065EBEB" w14:textId="77777777">
      <w:pPr>
        <w:numPr>
          <w:ilvl w:val="0"/>
          <w:numId w:val="4"/>
        </w:numPr>
        <w:tabs>
          <w:tab w:val="left" w:pos="142"/>
          <w:tab w:val="left" w:pos="284"/>
        </w:tabs>
        <w:spacing w:after="0" w:line="276" w:lineRule="auto"/>
        <w:ind w:left="0" w:firstLine="0"/>
        <w:jc w:val="both"/>
        <w:rPr>
          <w:rFonts w:ascii="Verdana" w:hAnsi="Verdana" w:eastAsia="Century Gothic" w:cs="Century Gothic"/>
          <w:b/>
          <w:bCs/>
          <w:lang w:val="es-ES"/>
        </w:rPr>
      </w:pPr>
      <w:r w:rsidRPr="008A6279">
        <w:rPr>
          <w:rFonts w:ascii="Verdana" w:hAnsi="Verdana" w:eastAsia="Century Gothic" w:cs="Century Gothic"/>
          <w:b/>
          <w:bCs/>
          <w:lang w:val="es-ES"/>
        </w:rPr>
        <w:t>Doctrina de la Agencia Nacional de Contratación Pública:</w:t>
      </w:r>
    </w:p>
    <w:p w:rsidRPr="00D55FB5" w:rsidR="000B0126" w:rsidP="000B0126" w:rsidRDefault="000B0126" w14:paraId="51186951" w14:textId="77777777">
      <w:pPr>
        <w:widowControl w:val="0"/>
        <w:autoSpaceDE w:val="0"/>
        <w:autoSpaceDN w:val="0"/>
        <w:spacing w:after="0" w:line="276" w:lineRule="auto"/>
        <w:jc w:val="both"/>
        <w:rPr>
          <w:rFonts w:ascii="Verdana" w:hAnsi="Verdana" w:cs="Arial"/>
          <w:lang w:val="es-ES"/>
        </w:rPr>
      </w:pPr>
    </w:p>
    <w:p w:rsidRPr="008A6279" w:rsidR="000B0126" w:rsidP="000B0126" w:rsidRDefault="000B0126" w14:paraId="308D2530" w14:textId="77777777">
      <w:pPr>
        <w:widowControl w:val="0"/>
        <w:autoSpaceDE w:val="0"/>
        <w:autoSpaceDN w:val="0"/>
        <w:spacing w:after="0" w:line="276" w:lineRule="auto"/>
        <w:jc w:val="both"/>
        <w:rPr>
          <w:rFonts w:ascii="Verdana" w:hAnsi="Verdana" w:cs="Arial"/>
          <w:shd w:val="clear" w:color="auto" w:fill="FFFFFF"/>
          <w:lang w:val="es-ES_tradnl"/>
        </w:rPr>
      </w:pPr>
      <w:r w:rsidRPr="008A6279">
        <w:rPr>
          <w:rFonts w:ascii="Verdana" w:hAnsi="Verdana" w:cs="Arial"/>
          <w:shd w:val="clear" w:color="auto" w:fill="FFFFFF"/>
        </w:rPr>
        <w:t xml:space="preserve">La Agencia Nacional de Contratación Pública – Colombia Compra Eficiente –en adelante la ANCP-CCE– </w:t>
      </w:r>
      <w:r w:rsidRPr="008A6279">
        <w:rPr>
          <w:rFonts w:ascii="Verdana" w:hAnsi="Verdana" w:cs="Arial"/>
          <w:shd w:val="clear" w:color="auto" w:fill="FFFFFF"/>
          <w:lang w:val="es-ES_tradnl"/>
        </w:rPr>
        <w:t>ha impartido lineamientos sobre el régimen general de la urgencia manifiesta como causal de contratación directa, en los conceptos</w:t>
      </w:r>
      <w:r w:rsidRPr="008A6279">
        <w:rPr>
          <w:rFonts w:ascii="Verdana" w:hAnsi="Verdana" w:cs="Arial"/>
          <w:shd w:val="clear" w:color="auto" w:fill="FFFFFF"/>
          <w:lang w:val="es-MX"/>
        </w:rPr>
        <w:t xml:space="preserve"> </w:t>
      </w:r>
      <w:r w:rsidRPr="008A6279">
        <w:rPr>
          <w:rFonts w:ascii="Verdana" w:hAnsi="Verdana" w:cs="Arial"/>
          <w:shd w:val="clear" w:color="auto" w:fill="FFFFFF"/>
          <w:lang w:val="es-ES"/>
        </w:rPr>
        <w:t xml:space="preserve">Conceptos </w:t>
      </w:r>
      <w:r w:rsidRPr="008A6279">
        <w:rPr>
          <w:rFonts w:ascii="Verdana" w:hAnsi="Verdana" w:cs="Arial"/>
          <w:shd w:val="clear" w:color="auto" w:fill="FFFFFF"/>
          <w:lang w:val="es-MX"/>
        </w:rPr>
        <w:t>C-003 del 23 de abril de 2020, C-004 25 de abril de 2020, C-135 del 10 de abril de 2020, C-241 del 10 de abril de 2020, C-257 del 10 de abril de 2020, C-266 del 21 de mayo de 2020, C-269 del 10 de abril de 2020, C-275 del del 10 de abril de 2020, C-284 del 27 de mayo de 2020, C-300 del 25 de abril de 2020, C-301 del 25 de abril de 2020, C-333 del 19 de mayo de 2020, C-357 del 7 de julio de 2020, C-390 del 23 de junio de 2020, C-403 del 24 de junio de 2020, C-887 del 22 de diciembre de 2022, C-131 del 25 de mayo del 2023 y C-452 de noviembre de 2023</w:t>
      </w:r>
      <w:r w:rsidRPr="008A6279">
        <w:rPr>
          <w:rFonts w:ascii="Verdana" w:hAnsi="Verdana" w:cs="Arial"/>
          <w:bCs/>
          <w:shd w:val="clear" w:color="auto" w:fill="FFFFFF"/>
          <w:lang w:val="es-MX"/>
        </w:rPr>
        <w:t>.</w:t>
      </w:r>
      <w:r w:rsidRPr="008A6279">
        <w:rPr>
          <w:rFonts w:ascii="Verdana" w:hAnsi="Verdana" w:cs="Arial"/>
          <w:shd w:val="clear" w:color="auto" w:fill="FFFFFF"/>
          <w:lang w:val="es-ES_tradnl"/>
        </w:rPr>
        <w:t xml:space="preserve"> </w:t>
      </w:r>
    </w:p>
    <w:p w:rsidRPr="008A6279" w:rsidR="000B0126" w:rsidP="000B0126" w:rsidRDefault="000B0126" w14:paraId="31D87755" w14:textId="77777777">
      <w:pPr>
        <w:widowControl w:val="0"/>
        <w:autoSpaceDE w:val="0"/>
        <w:autoSpaceDN w:val="0"/>
        <w:spacing w:after="0" w:line="276" w:lineRule="auto"/>
        <w:jc w:val="both"/>
        <w:rPr>
          <w:rFonts w:ascii="Verdana" w:hAnsi="Verdana" w:cs="Arial"/>
          <w:shd w:val="clear" w:color="auto" w:fill="FFFFFF"/>
          <w:lang w:val="es-ES_tradnl"/>
        </w:rPr>
      </w:pPr>
    </w:p>
    <w:p w:rsidRPr="008A6279" w:rsidR="000B0126" w:rsidP="000B0126" w:rsidRDefault="000B0126" w14:paraId="5866CA00" w14:textId="77777777">
      <w:pPr>
        <w:widowControl w:val="0"/>
        <w:autoSpaceDE w:val="0"/>
        <w:autoSpaceDN w:val="0"/>
        <w:spacing w:after="0" w:line="276" w:lineRule="auto"/>
        <w:jc w:val="both"/>
        <w:rPr>
          <w:rFonts w:ascii="Verdana" w:hAnsi="Verdana" w:cs="Arial"/>
          <w:shd w:val="clear" w:color="auto" w:fill="FFFFFF"/>
          <w:lang w:val="es-ES_tradnl"/>
        </w:rPr>
      </w:pPr>
      <w:r w:rsidRPr="008A6279">
        <w:rPr>
          <w:rFonts w:ascii="Verdana" w:hAnsi="Verdana" w:cs="Arial"/>
          <w:shd w:val="clear" w:color="auto" w:fill="FFFFFF"/>
          <w:lang w:val="es-ES"/>
        </w:rPr>
        <w:t xml:space="preserve">Sobre las garantías en la contratación estatal, entre otros, en los conceptos 2201913000009075 del 9 de diciembre de 2019, C-080 del 8 de abril de 2021, C-525 del 27 de septiembre de 2021, </w:t>
      </w:r>
      <w:r w:rsidRPr="008A6279">
        <w:rPr>
          <w:rFonts w:ascii="Verdana" w:hAnsi="Verdana" w:cs="Arial"/>
          <w:shd w:val="clear" w:color="auto" w:fill="FFFFFF"/>
        </w:rPr>
        <w:t xml:space="preserve">C- 567 del 08 de octubre del 2021, C-036 del 28 de febrero del 2022, C-126 de 25 de marzo de 2022, C-583 del 19 de octubre de 2022, C-584 del 26 de septiembre de 2022, C-712 del 13 de octubre de 2022, C-845 del 7 de diciembre de 2022, C-036 del 31 de marzo de 2023 y C-037 de abril de 2024, entre otros. </w:t>
      </w:r>
      <w:r w:rsidRPr="008A6279">
        <w:rPr>
          <w:rFonts w:ascii="Verdana" w:hAnsi="Verdana" w:cs="Arial"/>
          <w:shd w:val="clear" w:color="auto" w:fill="FFFFFF"/>
          <w:lang w:val="es-ES_tradnl"/>
        </w:rPr>
        <w:t xml:space="preserve">Algunas de las consideraciones de estos </w:t>
      </w:r>
      <w:r w:rsidRPr="008A6279">
        <w:rPr>
          <w:rFonts w:ascii="Verdana" w:hAnsi="Verdana" w:cs="Arial"/>
          <w:shd w:val="clear" w:color="auto" w:fill="FFFFFF"/>
          <w:lang w:val="es-ES_tradnl"/>
        </w:rPr>
        <w:t>conceptos se reiteran y se complementan en lo pertinente para dar respuesta a su consulta.</w:t>
      </w:r>
    </w:p>
    <w:p w:rsidRPr="008A6279" w:rsidR="000B0126" w:rsidP="000B0126" w:rsidRDefault="000B0126" w14:paraId="7A603ED5" w14:textId="77777777">
      <w:pPr>
        <w:widowControl w:val="0"/>
        <w:autoSpaceDE w:val="0"/>
        <w:autoSpaceDN w:val="0"/>
        <w:spacing w:after="0" w:line="276" w:lineRule="auto"/>
        <w:jc w:val="both"/>
        <w:rPr>
          <w:rFonts w:ascii="Verdana" w:hAnsi="Verdana" w:cs="Arial"/>
          <w:shd w:val="clear" w:color="auto" w:fill="FFFFFF"/>
          <w:lang w:val="es-ES_tradnl"/>
        </w:rPr>
      </w:pPr>
    </w:p>
    <w:p w:rsidRPr="008A6279" w:rsidR="000B0126" w:rsidP="000B0126" w:rsidRDefault="000B0126" w14:paraId="5957739A" w14:textId="77777777">
      <w:pPr>
        <w:widowControl w:val="0"/>
        <w:autoSpaceDE w:val="0"/>
        <w:autoSpaceDN w:val="0"/>
        <w:spacing w:after="0" w:line="276" w:lineRule="auto"/>
        <w:jc w:val="both"/>
        <w:rPr>
          <w:rFonts w:ascii="Verdana" w:hAnsi="Verdana" w:cs="Arial"/>
          <w:color w:val="FF0000"/>
          <w:shd w:val="clear" w:color="auto" w:fill="FFFFFF"/>
          <w:lang w:val="es-ES"/>
        </w:rPr>
      </w:pPr>
      <w:r w:rsidRPr="008A6279">
        <w:rPr>
          <w:rFonts w:ascii="Verdana" w:hAnsi="Verdana" w:cs="Arial"/>
          <w:shd w:val="clear" w:color="auto" w:fill="FFFFFF"/>
          <w:lang w:val="es-ES"/>
        </w:rPr>
        <w:t>Es</w:t>
      </w:r>
      <w:r w:rsidRPr="008A6279">
        <w:rPr>
          <w:rFonts w:ascii="Verdana" w:hAnsi="Verdana"/>
        </w:rPr>
        <w:t>tos y otros conceptos se encuentran disponibles para consulta en el Sistema de relatoría de la Agencia, al cual se puede acceder a través del siguiente enlace:</w:t>
      </w:r>
      <w:r w:rsidRPr="008A6279">
        <w:rPr>
          <w:rFonts w:ascii="Verdana" w:hAnsi="Verdana" w:cs="Arial"/>
          <w:shd w:val="clear" w:color="auto" w:fill="FFFFFF"/>
          <w:lang w:val="es-ES"/>
        </w:rPr>
        <w:t xml:space="preserve"> </w:t>
      </w:r>
      <w:hyperlink w:history="1" r:id="rId14">
        <w:r w:rsidRPr="008A6279">
          <w:rPr>
            <w:rFonts w:ascii="Verdana" w:hAnsi="Verdana" w:cs="Arial"/>
            <w:color w:val="0563C1" w:themeColor="hyperlink"/>
            <w:u w:val="single"/>
            <w:shd w:val="clear" w:color="auto" w:fill="FFFFFF"/>
            <w:lang w:val="es-ES"/>
          </w:rPr>
          <w:t>https://relatoria.colombiacompra.gov.co/busqueda/conceptos</w:t>
        </w:r>
      </w:hyperlink>
      <w:r w:rsidRPr="008A6279">
        <w:rPr>
          <w:rFonts w:ascii="Verdana" w:hAnsi="Verdana" w:cs="Arial"/>
          <w:color w:val="FF0000"/>
          <w:shd w:val="clear" w:color="auto" w:fill="FFFFFF"/>
          <w:lang w:val="es-ES"/>
        </w:rPr>
        <w:t xml:space="preserve">. </w:t>
      </w:r>
    </w:p>
    <w:p w:rsidRPr="008A6279" w:rsidR="000B0126" w:rsidP="000B0126" w:rsidRDefault="000B0126" w14:paraId="0AFACF76" w14:textId="77777777">
      <w:pPr>
        <w:widowControl w:val="0"/>
        <w:autoSpaceDE w:val="0"/>
        <w:autoSpaceDN w:val="0"/>
        <w:spacing w:after="0" w:line="276" w:lineRule="auto"/>
        <w:jc w:val="both"/>
        <w:rPr>
          <w:rFonts w:ascii="Verdana" w:hAnsi="Verdana" w:cs="Arial"/>
          <w:color w:val="FF0000"/>
          <w:shd w:val="clear" w:color="auto" w:fill="FFFFFF"/>
          <w:lang w:val="es-ES"/>
        </w:rPr>
      </w:pPr>
    </w:p>
    <w:p w:rsidRPr="008A6279" w:rsidR="000B0126" w:rsidP="000B0126" w:rsidRDefault="000B0126" w14:paraId="52F5A6A7" w14:textId="77777777">
      <w:pPr>
        <w:widowControl w:val="0"/>
        <w:autoSpaceDE w:val="0"/>
        <w:autoSpaceDN w:val="0"/>
        <w:spacing w:after="0" w:line="276" w:lineRule="auto"/>
        <w:jc w:val="both"/>
        <w:rPr>
          <w:rFonts w:ascii="Verdana" w:hAnsi="Verdana" w:cs="Arial"/>
          <w:color w:val="FF0000"/>
          <w:shd w:val="clear" w:color="auto" w:fill="FFFFFF"/>
          <w:lang w:val="es-ES"/>
        </w:rPr>
      </w:pPr>
      <w:r w:rsidRPr="008A6279">
        <w:rPr>
          <w:rFonts w:ascii="Verdana" w:hAnsi="Verdana" w:cs="Arial"/>
          <w:shd w:val="clear" w:color="auto" w:fill="FFFFFF"/>
          <w:lang w:val="es-ES"/>
        </w:rPr>
        <w:t xml:space="preserve">También le invitamos a consultar las versiones I y II de 2024 del Boletín de Relatoría de la Subdirección de Gestión Contractual, las cuales puede descargar en la página web de la Agencia: </w:t>
      </w:r>
      <w:hyperlink w:history="1" r:id="rId15">
        <w:r w:rsidRPr="008A6279">
          <w:rPr>
            <w:rFonts w:ascii="Verdana" w:hAnsi="Verdana" w:cs="Arial"/>
            <w:color w:val="0563C1" w:themeColor="hyperlink"/>
            <w:u w:val="single"/>
            <w:shd w:val="clear" w:color="auto" w:fill="FFFFFF"/>
            <w:lang w:val="es-ES"/>
          </w:rPr>
          <w:t>https://www.colombiacompra.gov.co/sala-de-prensa/boletin-digital</w:t>
        </w:r>
      </w:hyperlink>
      <w:r w:rsidRPr="008A6279">
        <w:rPr>
          <w:rFonts w:ascii="Verdana" w:hAnsi="Verdana" w:cs="Arial"/>
          <w:color w:val="FF0000"/>
          <w:shd w:val="clear" w:color="auto" w:fill="FFFFFF"/>
          <w:lang w:val="es-ES"/>
        </w:rPr>
        <w:t xml:space="preserve">      </w:t>
      </w:r>
    </w:p>
    <w:p w:rsidRPr="008A6279" w:rsidR="000B0126" w:rsidP="000B0126" w:rsidRDefault="000B0126" w14:paraId="350724C4" w14:textId="77777777">
      <w:pPr>
        <w:widowControl w:val="0"/>
        <w:autoSpaceDE w:val="0"/>
        <w:autoSpaceDN w:val="0"/>
        <w:spacing w:after="0" w:line="276" w:lineRule="auto"/>
        <w:jc w:val="both"/>
        <w:rPr>
          <w:rFonts w:ascii="Verdana" w:hAnsi="Verdana" w:cs="Arial"/>
          <w:color w:val="FF0000"/>
          <w:shd w:val="clear" w:color="auto" w:fill="FFFFFF"/>
          <w:lang w:val="es-ES"/>
        </w:rPr>
      </w:pPr>
    </w:p>
    <w:p w:rsidRPr="008A6279" w:rsidR="000B0126" w:rsidP="000B0126" w:rsidRDefault="000B0126" w14:paraId="6E1A53B5" w14:textId="77777777">
      <w:pPr>
        <w:spacing w:after="0" w:line="240" w:lineRule="auto"/>
        <w:jc w:val="both"/>
        <w:rPr>
          <w:rFonts w:ascii="Verdana" w:hAnsi="Verdana"/>
        </w:rPr>
      </w:pPr>
      <w:r w:rsidRPr="008A6279">
        <w:rPr>
          <w:rFonts w:ascii="Verdana" w:hAnsi="Verdana"/>
        </w:rPr>
        <w:t xml:space="preserve">Por último, lo invitamos a seguirnos en las redes sociales en las cuales se difunde información institucional: </w:t>
      </w:r>
    </w:p>
    <w:p w:rsidRPr="008A6279" w:rsidR="000B0126" w:rsidP="000B0126" w:rsidRDefault="000B0126" w14:paraId="030A4529" w14:textId="77777777">
      <w:pPr>
        <w:spacing w:after="0" w:line="240" w:lineRule="auto"/>
        <w:jc w:val="both"/>
        <w:rPr>
          <w:rFonts w:ascii="Verdana" w:hAnsi="Verdana"/>
        </w:rPr>
      </w:pPr>
    </w:p>
    <w:p w:rsidRPr="008A6279" w:rsidR="000B0126" w:rsidP="000B0126" w:rsidRDefault="000B0126" w14:paraId="3C0BF9DB" w14:textId="77777777">
      <w:pPr>
        <w:spacing w:after="0" w:line="240" w:lineRule="auto"/>
        <w:jc w:val="both"/>
        <w:rPr>
          <w:rFonts w:ascii="Verdana" w:hAnsi="Verdana"/>
        </w:rPr>
      </w:pPr>
      <w:r w:rsidRPr="008A6279">
        <w:rPr>
          <w:rFonts w:ascii="Verdana" w:hAnsi="Verdana"/>
        </w:rPr>
        <w:t xml:space="preserve">Twitter: </w:t>
      </w:r>
      <w:r w:rsidRPr="008A6279">
        <w:rPr>
          <w:rFonts w:ascii="Verdana" w:hAnsi="Verdana"/>
          <w:color w:val="4472C4" w:themeColor="accent1"/>
          <w:u w:val="single"/>
        </w:rPr>
        <w:t>@colombiacompra</w:t>
      </w:r>
      <w:r w:rsidRPr="008A6279">
        <w:rPr>
          <w:rFonts w:ascii="Verdana" w:hAnsi="Verdana"/>
          <w:color w:val="4472C4" w:themeColor="accent1"/>
        </w:rPr>
        <w:t xml:space="preserve"> </w:t>
      </w:r>
    </w:p>
    <w:p w:rsidRPr="008A6279" w:rsidR="000B0126" w:rsidP="000B0126" w:rsidRDefault="000B0126" w14:paraId="327D16BC" w14:textId="77777777">
      <w:pPr>
        <w:spacing w:after="0" w:line="240" w:lineRule="auto"/>
        <w:jc w:val="both"/>
        <w:rPr>
          <w:rFonts w:ascii="Verdana" w:hAnsi="Verdana"/>
        </w:rPr>
      </w:pPr>
      <w:r w:rsidRPr="008A6279">
        <w:rPr>
          <w:rFonts w:ascii="Verdana" w:hAnsi="Verdana"/>
        </w:rPr>
        <w:t xml:space="preserve">Facebook: </w:t>
      </w:r>
      <w:r w:rsidRPr="008A6279">
        <w:rPr>
          <w:rFonts w:ascii="Verdana" w:hAnsi="Verdana"/>
          <w:color w:val="4472C4" w:themeColor="accent1"/>
          <w:u w:val="single"/>
        </w:rPr>
        <w:t>ColombiaCompraEficiente</w:t>
      </w:r>
    </w:p>
    <w:p w:rsidRPr="008A6279" w:rsidR="000B0126" w:rsidP="000B0126" w:rsidRDefault="000B0126" w14:paraId="03DE026B" w14:textId="77777777">
      <w:pPr>
        <w:spacing w:after="0" w:line="240" w:lineRule="auto"/>
        <w:jc w:val="both"/>
        <w:rPr>
          <w:rFonts w:ascii="Verdana" w:hAnsi="Verdana"/>
        </w:rPr>
      </w:pPr>
      <w:r w:rsidRPr="008A6279">
        <w:rPr>
          <w:rFonts w:ascii="Verdana" w:hAnsi="Verdana"/>
        </w:rPr>
        <w:t xml:space="preserve">LinkedIn: </w:t>
      </w:r>
      <w:r w:rsidRPr="008A6279">
        <w:rPr>
          <w:rFonts w:ascii="Verdana" w:hAnsi="Verdana"/>
          <w:color w:val="4472C4" w:themeColor="accent1"/>
          <w:u w:val="single"/>
        </w:rPr>
        <w:t>Agencia Nacional de Contratación Pública - Colombia Compra Eficiente</w:t>
      </w:r>
      <w:r w:rsidRPr="008A6279">
        <w:rPr>
          <w:rFonts w:ascii="Verdana" w:hAnsi="Verdana"/>
          <w:color w:val="4472C4" w:themeColor="accent1"/>
        </w:rPr>
        <w:t xml:space="preserve"> </w:t>
      </w:r>
      <w:r w:rsidRPr="008A6279">
        <w:rPr>
          <w:rFonts w:ascii="Verdana" w:hAnsi="Verdana"/>
        </w:rPr>
        <w:t xml:space="preserve">Instagram: </w:t>
      </w:r>
      <w:r w:rsidRPr="008A6279">
        <w:rPr>
          <w:rFonts w:ascii="Verdana" w:hAnsi="Verdana"/>
          <w:color w:val="4472C4" w:themeColor="accent1"/>
          <w:u w:val="single"/>
        </w:rPr>
        <w:t>@colombiacompraeficiente_cce</w:t>
      </w:r>
    </w:p>
    <w:p w:rsidRPr="008A6279" w:rsidR="000B0126" w:rsidP="000B0126" w:rsidRDefault="000B0126" w14:paraId="770F675C" w14:textId="77777777">
      <w:pPr>
        <w:widowControl w:val="0"/>
        <w:autoSpaceDE w:val="0"/>
        <w:autoSpaceDN w:val="0"/>
        <w:spacing w:after="0" w:line="276" w:lineRule="auto"/>
        <w:jc w:val="both"/>
        <w:rPr>
          <w:rFonts w:ascii="Verdana" w:hAnsi="Verdana" w:cs="Arial"/>
        </w:rPr>
      </w:pPr>
    </w:p>
    <w:p w:rsidRPr="008A6279" w:rsidR="000B0126" w:rsidP="000B0126" w:rsidRDefault="000B0126" w14:paraId="24FD1FDF" w14:textId="77777777">
      <w:pPr>
        <w:widowControl w:val="0"/>
        <w:autoSpaceDE w:val="0"/>
        <w:autoSpaceDN w:val="0"/>
        <w:spacing w:after="0" w:line="276" w:lineRule="auto"/>
        <w:jc w:val="both"/>
        <w:rPr>
          <w:rFonts w:ascii="Verdana" w:hAnsi="Verdana" w:cs="Arial"/>
          <w:lang w:val="es-ES_tradnl"/>
        </w:rPr>
      </w:pPr>
      <w:r w:rsidRPr="008A6279">
        <w:rPr>
          <w:rFonts w:ascii="Verdana" w:hAnsi="Verdana" w:cs="Arial"/>
        </w:rPr>
        <w:t>Este concepto tiene el alcance previsto en el artículo 28 del Código de Procedimiento Administrativo y de lo Contencioso Administrativo.</w:t>
      </w:r>
    </w:p>
    <w:p w:rsidRPr="008A6279" w:rsidR="000B0126" w:rsidP="000B0126" w:rsidRDefault="000B0126" w14:paraId="1DBC73C6" w14:textId="77777777">
      <w:pPr>
        <w:widowControl w:val="0"/>
        <w:autoSpaceDE w:val="0"/>
        <w:autoSpaceDN w:val="0"/>
        <w:spacing w:after="0" w:line="276" w:lineRule="auto"/>
        <w:jc w:val="both"/>
        <w:rPr>
          <w:rFonts w:ascii="Verdana" w:hAnsi="Verdana" w:cs="Arial"/>
        </w:rPr>
      </w:pPr>
    </w:p>
    <w:p w:rsidRPr="008A6279" w:rsidR="000B0126" w:rsidP="000B0126" w:rsidRDefault="000B0126" w14:paraId="61B22A86" w14:textId="77777777">
      <w:pPr>
        <w:spacing w:after="0" w:line="240" w:lineRule="auto"/>
        <w:rPr>
          <w:rFonts w:ascii="Verdana" w:hAnsi="Verdana" w:cs="Arial"/>
          <w:lang w:eastAsia="es-CO"/>
        </w:rPr>
      </w:pPr>
      <w:r w:rsidRPr="008A6279">
        <w:rPr>
          <w:rFonts w:ascii="Verdana" w:hAnsi="Verdana" w:eastAsia="Times New Roman" w:cs="Arial"/>
          <w:lang w:eastAsia="es-CO"/>
        </w:rPr>
        <w:t>Atentamente,</w:t>
      </w:r>
      <w:r w:rsidRPr="008A6279">
        <w:rPr>
          <w:rFonts w:ascii="Verdana" w:hAnsi="Verdana" w:cs="Arial"/>
          <w:lang w:eastAsia="es-CO"/>
        </w:rPr>
        <w:t xml:space="preserve"> </w:t>
      </w:r>
    </w:p>
    <w:p w:rsidRPr="008A6279" w:rsidR="000B0126" w:rsidP="000B0126" w:rsidRDefault="00B73C91" w14:paraId="0B164E58" w14:textId="5210A6B9">
      <w:pPr>
        <w:spacing w:line="276" w:lineRule="auto"/>
        <w:jc w:val="center"/>
        <w:rPr>
          <w:rFonts w:ascii="Verdana" w:hAnsi="Verdana" w:cs="Arial"/>
          <w:color w:val="000000"/>
          <w:lang w:val="es-ES_tradnl" w:eastAsia="es-CO"/>
        </w:rPr>
      </w:pPr>
      <w:r>
        <w:rPr>
          <w:noProof/>
          <w14:ligatures w14:val="standardContextual"/>
        </w:rPr>
        <w:drawing>
          <wp:inline distT="0" distB="0" distL="0" distR="0" wp14:anchorId="63D8DCD9" wp14:editId="119D6247">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8A6279" w:rsidR="000B0126" w:rsidTr="00293B25" w14:paraId="34292303" w14:textId="77777777">
        <w:trPr>
          <w:trHeight w:val="315"/>
        </w:trPr>
        <w:tc>
          <w:tcPr>
            <w:tcW w:w="893" w:type="dxa"/>
            <w:vAlign w:val="center"/>
            <w:hideMark/>
          </w:tcPr>
          <w:p w:rsidRPr="008A6279" w:rsidR="000B0126" w:rsidP="00293B25" w:rsidRDefault="000B0126" w14:paraId="71C83C84" w14:textId="77777777">
            <w:pPr>
              <w:contextualSpacing/>
              <w:rPr>
                <w:rFonts w:ascii="Verdana" w:hAnsi="Verdana" w:cs="Arial"/>
                <w:sz w:val="16"/>
                <w:szCs w:val="16"/>
                <w:lang w:val="es-ES" w:eastAsia="es-ES"/>
              </w:rPr>
            </w:pPr>
            <w:r w:rsidRPr="008A6279">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8A6279" w:rsidR="000B0126" w:rsidP="00293B25" w:rsidRDefault="000B0126" w14:paraId="29C676C9" w14:textId="77777777">
            <w:pPr>
              <w:contextualSpacing/>
              <w:rPr>
                <w:rFonts w:ascii="Verdana" w:hAnsi="Verdana" w:eastAsia="Arial" w:cs="Arial"/>
                <w:sz w:val="16"/>
                <w:szCs w:val="16"/>
              </w:rPr>
            </w:pPr>
            <w:r w:rsidRPr="008A6279">
              <w:rPr>
                <w:rFonts w:ascii="Verdana" w:hAnsi="Verdana"/>
                <w:sz w:val="16"/>
                <w:szCs w:val="16"/>
              </w:rPr>
              <w:t>Juan Manuel Avendaño Robles</w:t>
            </w:r>
          </w:p>
          <w:p w:rsidRPr="008A6279" w:rsidR="000B0126" w:rsidP="00293B25" w:rsidRDefault="000B0126" w14:paraId="3DC7C6F9" w14:textId="77777777">
            <w:pPr>
              <w:contextualSpacing/>
              <w:rPr>
                <w:rFonts w:ascii="Verdana" w:hAnsi="Verdana" w:eastAsia="Arial" w:cs="Arial"/>
                <w:sz w:val="16"/>
                <w:szCs w:val="16"/>
              </w:rPr>
            </w:pPr>
            <w:r w:rsidRPr="008A6279">
              <w:rPr>
                <w:rFonts w:ascii="Verdana" w:hAnsi="Verdana" w:eastAsia="Arial" w:cs="Arial"/>
                <w:sz w:val="16"/>
                <w:szCs w:val="16"/>
              </w:rPr>
              <w:t>Contratista de la Subdirección de Gestión Contractual</w:t>
            </w:r>
          </w:p>
        </w:tc>
      </w:tr>
      <w:tr w:rsidRPr="008A6279" w:rsidR="000B0126" w:rsidTr="00293B25" w14:paraId="42000683" w14:textId="77777777">
        <w:trPr>
          <w:trHeight w:val="330"/>
        </w:trPr>
        <w:tc>
          <w:tcPr>
            <w:tcW w:w="893" w:type="dxa"/>
            <w:vAlign w:val="center"/>
            <w:hideMark/>
          </w:tcPr>
          <w:p w:rsidRPr="008A6279" w:rsidR="000B0126" w:rsidP="00293B25" w:rsidRDefault="000B0126" w14:paraId="2930FACA" w14:textId="77777777">
            <w:pPr>
              <w:contextualSpacing/>
              <w:rPr>
                <w:rFonts w:ascii="Verdana" w:hAnsi="Verdana" w:cs="Arial"/>
                <w:sz w:val="16"/>
                <w:szCs w:val="16"/>
                <w:lang w:val="es-ES" w:eastAsia="es-ES"/>
              </w:rPr>
            </w:pPr>
            <w:r w:rsidRPr="008A6279">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8A6279" w:rsidR="000B0126" w:rsidP="00293B25" w:rsidRDefault="000B0126" w14:paraId="5711E2E9" w14:textId="77777777">
            <w:pPr>
              <w:contextualSpacing/>
              <w:textAlignment w:val="baseline"/>
              <w:rPr>
                <w:rFonts w:ascii="Verdana" w:hAnsi="Verdana" w:eastAsia="Times New Roman" w:cs="Segoe UI"/>
                <w:sz w:val="16"/>
                <w:szCs w:val="16"/>
                <w:lang w:eastAsia="es-ES_tradnl"/>
              </w:rPr>
            </w:pPr>
            <w:r w:rsidRPr="008A6279">
              <w:rPr>
                <w:rFonts w:ascii="Verdana" w:hAnsi="Verdana" w:eastAsia="Times New Roman" w:cs="Arial"/>
                <w:sz w:val="16"/>
                <w:szCs w:val="16"/>
                <w:lang w:val="es-ES" w:eastAsia="es-ES_tradnl"/>
              </w:rPr>
              <w:t>Cielo Victoria González Meza</w:t>
            </w:r>
          </w:p>
          <w:p w:rsidRPr="008A6279" w:rsidR="000B0126" w:rsidP="00293B25" w:rsidRDefault="000B0126" w14:paraId="643AE214" w14:textId="77777777">
            <w:pPr>
              <w:contextualSpacing/>
              <w:textAlignment w:val="baseline"/>
              <w:rPr>
                <w:rFonts w:ascii="Verdana" w:hAnsi="Verdana" w:eastAsia="Times New Roman" w:cs="Segoe UI"/>
                <w:sz w:val="16"/>
                <w:szCs w:val="16"/>
                <w:lang w:eastAsia="es-ES_tradnl"/>
              </w:rPr>
            </w:pPr>
            <w:r w:rsidRPr="008A6279">
              <w:rPr>
                <w:rFonts w:ascii="Verdana" w:hAnsi="Verdana" w:eastAsia="Arial" w:cs="Arial"/>
                <w:sz w:val="16"/>
                <w:szCs w:val="16"/>
                <w:lang w:eastAsia="es-ES_tradnl"/>
              </w:rPr>
              <w:t>Contratista de la Subdirección de Gestión Contractual</w:t>
            </w:r>
          </w:p>
        </w:tc>
      </w:tr>
      <w:tr w:rsidRPr="008A6279" w:rsidR="000B0126" w:rsidTr="00293B25" w14:paraId="2AB38950" w14:textId="77777777">
        <w:trPr>
          <w:trHeight w:val="300"/>
        </w:trPr>
        <w:tc>
          <w:tcPr>
            <w:tcW w:w="893" w:type="dxa"/>
            <w:vAlign w:val="center"/>
          </w:tcPr>
          <w:p w:rsidRPr="008A6279" w:rsidR="000B0126" w:rsidP="00293B25" w:rsidRDefault="000B0126" w14:paraId="1606A2FD" w14:textId="77777777">
            <w:pPr>
              <w:contextualSpacing/>
              <w:rPr>
                <w:rFonts w:ascii="Verdana" w:hAnsi="Verdana" w:cs="Arial"/>
                <w:sz w:val="16"/>
                <w:szCs w:val="16"/>
                <w:lang w:val="es-ES" w:eastAsia="es-ES"/>
              </w:rPr>
            </w:pPr>
            <w:r w:rsidRPr="008A6279">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tcPr>
          <w:p w:rsidRPr="008A6279" w:rsidR="000B0126" w:rsidP="00293B25" w:rsidRDefault="000B0126" w14:paraId="17A77DC2" w14:textId="77777777">
            <w:pPr>
              <w:contextualSpacing/>
              <w:rPr>
                <w:rFonts w:ascii="Verdana" w:hAnsi="Verdana" w:eastAsia="Calibri" w:cs="Arial"/>
                <w:sz w:val="16"/>
                <w:szCs w:val="16"/>
                <w:lang w:val="pt-BR" w:eastAsia="es-ES"/>
              </w:rPr>
            </w:pPr>
            <w:r w:rsidRPr="008A6279">
              <w:rPr>
                <w:rFonts w:ascii="Verdana" w:hAnsi="Verdana" w:eastAsia="Calibri" w:cs="Arial"/>
                <w:sz w:val="16"/>
                <w:szCs w:val="16"/>
                <w:lang w:val="pt-BR" w:eastAsia="es-ES"/>
              </w:rPr>
              <w:t>Carolina Quintero Gacharná</w:t>
            </w:r>
          </w:p>
          <w:p w:rsidRPr="008A6279" w:rsidR="000B0126" w:rsidP="00293B25" w:rsidRDefault="000B0126" w14:paraId="0F9037A6" w14:textId="77777777">
            <w:pPr>
              <w:contextualSpacing/>
              <w:rPr>
                <w:rFonts w:ascii="Verdana" w:hAnsi="Verdana" w:eastAsia="Calibri" w:cs="Arial"/>
                <w:sz w:val="16"/>
                <w:szCs w:val="16"/>
                <w:lang w:val="pt-BR" w:eastAsia="es-ES"/>
              </w:rPr>
            </w:pPr>
            <w:r w:rsidRPr="008A6279">
              <w:rPr>
                <w:rFonts w:ascii="Verdana" w:hAnsi="Verdana" w:eastAsia="Calibri" w:cs="Arial"/>
                <w:sz w:val="16"/>
                <w:szCs w:val="16"/>
                <w:lang w:eastAsia="es-ES"/>
              </w:rPr>
              <w:t>Subdirectora</w:t>
            </w:r>
            <w:r w:rsidRPr="008A6279">
              <w:rPr>
                <w:rFonts w:ascii="Verdana" w:hAnsi="Verdana" w:eastAsia="Calibri" w:cs="Arial"/>
                <w:sz w:val="16"/>
                <w:szCs w:val="16"/>
                <w:lang w:val="pt-BR" w:eastAsia="es-ES"/>
              </w:rPr>
              <w:t xml:space="preserve"> de Gestión Contractual ANCP – CCE</w:t>
            </w:r>
          </w:p>
        </w:tc>
      </w:tr>
    </w:tbl>
    <w:p w:rsidRPr="008A6279" w:rsidR="000B0126" w:rsidP="000B0126" w:rsidRDefault="000B0126" w14:paraId="44A789C5" w14:textId="77777777"/>
    <w:p w:rsidRPr="008A6279" w:rsidR="000B0126" w:rsidP="000B0126" w:rsidRDefault="000B0126" w14:paraId="6A5D1DE2" w14:textId="77777777"/>
    <w:p w:rsidRPr="00871B59" w:rsidR="5D8505AD" w:rsidP="000B0126" w:rsidRDefault="5D8505AD" w14:paraId="0083C991" w14:textId="5C765C2F">
      <w:pPr>
        <w:spacing w:after="0" w:line="240" w:lineRule="auto"/>
      </w:pPr>
    </w:p>
    <w:sectPr w:rsidRPr="00871B59" w:rsidR="5D8505AD" w:rsidSect="00E45F4B">
      <w:headerReference w:type="default" r:id="rId17"/>
      <w:footerReference w:type="default" r:id="rId18"/>
      <w:pgSz w:w="12240" w:h="15840" w:orient="portrait"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4D05" w:rsidP="00B30448" w:rsidRDefault="00994D05" w14:paraId="57162D7F" w14:textId="77777777">
      <w:pPr>
        <w:spacing w:after="0" w:line="240" w:lineRule="auto"/>
      </w:pPr>
      <w:r>
        <w:separator/>
      </w:r>
    </w:p>
  </w:endnote>
  <w:endnote w:type="continuationSeparator" w:id="0">
    <w:p w:rsidR="00994D05" w:rsidP="00B30448" w:rsidRDefault="00994D05" w14:paraId="075BB1A1" w14:textId="77777777">
      <w:pPr>
        <w:spacing w:after="0" w:line="240" w:lineRule="auto"/>
      </w:pPr>
      <w:r>
        <w:continuationSeparator/>
      </w:r>
    </w:p>
  </w:endnote>
  <w:endnote w:type="continuationNotice" w:id="1">
    <w:p w:rsidR="00994D05" w:rsidRDefault="00994D05" w14:paraId="76CEB28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manist Light">
    <w:altName w:val="Corbel"/>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49D5" w:rsidP="000849D5" w:rsidRDefault="000849D5" w14:paraId="74A7DACD" w14:textId="77777777">
    <w:pPr>
      <w:spacing w:after="0"/>
      <w:rPr>
        <w:rFonts w:ascii="Verdana" w:hAnsi="Verdana"/>
        <w:b/>
        <w:bCs/>
        <w:sz w:val="20"/>
        <w:szCs w:val="20"/>
      </w:rPr>
    </w:pPr>
  </w:p>
  <w:p w:rsidRPr="00174B77" w:rsidR="000849D5" w:rsidP="000849D5" w:rsidRDefault="000849D5" w14:paraId="6681ECB2"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0849D5" w:rsidP="000849D5" w:rsidRDefault="000849D5" w14:paraId="21625D2E"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0849D5" w:rsidP="000849D5" w:rsidRDefault="000849D5" w14:paraId="559D727E" w14:textId="77777777">
    <w:pPr>
      <w:spacing w:after="0"/>
      <w:jc w:val="both"/>
      <w:rPr>
        <w:rFonts w:ascii="Verdana" w:hAnsi="Verdana"/>
        <w:sz w:val="18"/>
        <w:szCs w:val="18"/>
      </w:rPr>
    </w:pPr>
    <w:r w:rsidRPr="00E41027">
      <w:rPr>
        <w:rFonts w:ascii="Verdana" w:hAnsi="Verdana"/>
        <w:sz w:val="18"/>
        <w:szCs w:val="18"/>
      </w:rPr>
      <w:t>Mesa de servicio: (+57) 601 7456788</w:t>
    </w:r>
  </w:p>
  <w:p w:rsidR="000849D5" w:rsidP="000849D5" w:rsidRDefault="000849D5" w14:paraId="143E423D" w14:textId="77777777">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rsidRPr="007D04B2" w:rsidR="000849D5" w:rsidP="000849D5" w:rsidRDefault="000849D5" w14:paraId="337FD84E" w14:textId="77777777">
    <w:pPr>
      <w:pStyle w:val="Piedepgina"/>
    </w:pPr>
  </w:p>
  <w:p w:rsidRPr="000849D5" w:rsidR="00B30448" w:rsidP="000849D5" w:rsidRDefault="00B30448" w14:paraId="769219E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4D05" w:rsidP="00B30448" w:rsidRDefault="00994D05" w14:paraId="107A7732" w14:textId="77777777">
      <w:pPr>
        <w:spacing w:after="0" w:line="240" w:lineRule="auto"/>
      </w:pPr>
      <w:r>
        <w:separator/>
      </w:r>
    </w:p>
  </w:footnote>
  <w:footnote w:type="continuationSeparator" w:id="0">
    <w:p w:rsidR="00994D05" w:rsidP="00B30448" w:rsidRDefault="00994D05" w14:paraId="127BEFFF" w14:textId="77777777">
      <w:pPr>
        <w:spacing w:after="0" w:line="240" w:lineRule="auto"/>
      </w:pPr>
      <w:r>
        <w:continuationSeparator/>
      </w:r>
    </w:p>
  </w:footnote>
  <w:footnote w:type="continuationNotice" w:id="1">
    <w:p w:rsidR="00994D05" w:rsidRDefault="00994D05" w14:paraId="6066C3B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15FB5" w:rsidP="00515FB5" w:rsidRDefault="00515FB5" w14:paraId="72849537" w14:textId="77777777">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515FB5" w:rsidP="00515FB5" w:rsidRDefault="00515FB5" w14:paraId="635D63E7" w14:textId="77777777">
    <w:pPr>
      <w:pStyle w:val="Encabezado"/>
    </w:pPr>
  </w:p>
  <w:p w:rsidR="00515FB5" w:rsidP="00515FB5" w:rsidRDefault="00515FB5" w14:paraId="10CE77C0" w14:textId="77777777">
    <w:pPr>
      <w:pStyle w:val="Encabezado"/>
    </w:pPr>
  </w:p>
  <w:p w:rsidR="00515FB5" w:rsidP="00515FB5" w:rsidRDefault="00515FB5" w14:paraId="5BD4CAA1" w14:textId="77777777">
    <w:pPr>
      <w:pStyle w:val="Encabezado"/>
    </w:pPr>
  </w:p>
  <w:p w:rsidRPr="00AB7B56" w:rsidR="00515FB5" w:rsidP="00515FB5" w:rsidRDefault="00515FB5" w14:paraId="0D6E6014" w14:textId="77777777">
    <w:pPr>
      <w:pStyle w:val="Encabezado"/>
    </w:pPr>
  </w:p>
  <w:p w:rsidRPr="00515FB5" w:rsidR="00B30448" w:rsidP="00515FB5" w:rsidRDefault="00B30448" w14:paraId="68E0C02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hint="default" w:ascii="Arial" w:hAnsi="Arial" w:eastAsia="Arial" w:cs="Arial"/>
        <w:b/>
        <w:bCs/>
        <w:w w:val="100"/>
        <w:sz w:val="22"/>
        <w:szCs w:val="22"/>
        <w:lang w:val="es-ES" w:eastAsia="en-US" w:bidi="ar-SA"/>
      </w:rPr>
    </w:lvl>
    <w:lvl w:ilvl="1">
      <w:start w:val="1"/>
      <w:numFmt w:val="decimal"/>
      <w:lvlText w:val="%1.%2."/>
      <w:lvlJc w:val="left"/>
      <w:pPr>
        <w:ind w:left="529" w:hanging="430"/>
      </w:pPr>
      <w:rPr>
        <w:rFonts w:hint="default" w:ascii="Arial" w:hAnsi="Arial" w:eastAsia="Arial" w:cs="Arial"/>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0769791B"/>
    <w:multiLevelType w:val="hybridMultilevel"/>
    <w:tmpl w:val="765C454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8" w15:restartNumberingAfterBreak="0">
    <w:nsid w:val="44A408A3"/>
    <w:multiLevelType w:val="multilevel"/>
    <w:tmpl w:val="100E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A7326E"/>
    <w:multiLevelType w:val="multilevel"/>
    <w:tmpl w:val="5CE2D418"/>
    <w:lvl w:ilvl="0">
      <w:start w:val="1"/>
      <w:numFmt w:val="decimal"/>
      <w:lvlText w:val="%1."/>
      <w:lvlJc w:val="left"/>
      <w:pPr>
        <w:ind w:left="480" w:hanging="360"/>
      </w:pPr>
      <w:rPr>
        <w:rFonts w:hint="default" w:ascii="Arial" w:hAnsi="Arial" w:eastAsia="Arial" w:cs="Arial"/>
        <w:b/>
        <w:bCs/>
        <w:color w:val="4E4D4D"/>
        <w:spacing w:val="-8"/>
        <w:w w:val="100"/>
        <w:sz w:val="22"/>
        <w:szCs w:val="22"/>
        <w:lang w:val="es-ES" w:eastAsia="en-US" w:bidi="ar-SA"/>
      </w:rPr>
    </w:lvl>
    <w:lvl w:ilvl="1">
      <w:start w:val="1"/>
      <w:numFmt w:val="decimal"/>
      <w:lvlText w:val="%1.%2"/>
      <w:lvlJc w:val="left"/>
      <w:pPr>
        <w:ind w:left="688" w:hanging="578"/>
      </w:pPr>
      <w:rPr>
        <w:rFonts w:hint="default" w:ascii="Arial" w:hAnsi="Arial" w:eastAsia="Arial" w:cs="Arial"/>
        <w:b/>
        <w:bCs/>
        <w:color w:val="4E4D4D"/>
        <w:spacing w:val="-3"/>
        <w:w w:val="100"/>
        <w:sz w:val="22"/>
        <w:szCs w:val="22"/>
        <w:lang w:val="es-ES" w:eastAsia="en-US" w:bidi="ar-SA"/>
      </w:rPr>
    </w:lvl>
    <w:lvl w:ilvl="2">
      <w:start w:val="1"/>
      <w:numFmt w:val="lowerLetter"/>
      <w:lvlText w:val="%3)"/>
      <w:lvlJc w:val="left"/>
      <w:pPr>
        <w:ind w:left="800" w:hanging="325"/>
      </w:pPr>
      <w:rPr>
        <w:rFonts w:hint="default" w:ascii="Arial" w:hAnsi="Arial" w:eastAsia="Arial" w:cs="Arial"/>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0" w15:restartNumberingAfterBreak="0">
    <w:nsid w:val="5B5225FB"/>
    <w:multiLevelType w:val="hybridMultilevel"/>
    <w:tmpl w:val="9754EF90"/>
    <w:lvl w:ilvl="0" w:tplc="240A0001">
      <w:start w:val="1"/>
      <w:numFmt w:val="bullet"/>
      <w:lvlText w:val=""/>
      <w:lvlJc w:val="left"/>
      <w:pPr>
        <w:ind w:left="1429" w:hanging="360"/>
      </w:pPr>
      <w:rPr>
        <w:rFonts w:hint="default" w:ascii="Symbol" w:hAnsi="Symbol"/>
      </w:rPr>
    </w:lvl>
    <w:lvl w:ilvl="1" w:tplc="240A0003" w:tentative="1">
      <w:start w:val="1"/>
      <w:numFmt w:val="bullet"/>
      <w:lvlText w:val="o"/>
      <w:lvlJc w:val="left"/>
      <w:pPr>
        <w:ind w:left="2149" w:hanging="360"/>
      </w:pPr>
      <w:rPr>
        <w:rFonts w:hint="default" w:ascii="Courier New" w:hAnsi="Courier New" w:cs="Courier New"/>
      </w:rPr>
    </w:lvl>
    <w:lvl w:ilvl="2" w:tplc="240A0005" w:tentative="1">
      <w:start w:val="1"/>
      <w:numFmt w:val="bullet"/>
      <w:lvlText w:val=""/>
      <w:lvlJc w:val="left"/>
      <w:pPr>
        <w:ind w:left="2869" w:hanging="360"/>
      </w:pPr>
      <w:rPr>
        <w:rFonts w:hint="default" w:ascii="Wingdings" w:hAnsi="Wingdings"/>
      </w:rPr>
    </w:lvl>
    <w:lvl w:ilvl="3" w:tplc="240A0001" w:tentative="1">
      <w:start w:val="1"/>
      <w:numFmt w:val="bullet"/>
      <w:lvlText w:val=""/>
      <w:lvlJc w:val="left"/>
      <w:pPr>
        <w:ind w:left="3589" w:hanging="360"/>
      </w:pPr>
      <w:rPr>
        <w:rFonts w:hint="default" w:ascii="Symbol" w:hAnsi="Symbol"/>
      </w:rPr>
    </w:lvl>
    <w:lvl w:ilvl="4" w:tplc="240A0003" w:tentative="1">
      <w:start w:val="1"/>
      <w:numFmt w:val="bullet"/>
      <w:lvlText w:val="o"/>
      <w:lvlJc w:val="left"/>
      <w:pPr>
        <w:ind w:left="4309" w:hanging="360"/>
      </w:pPr>
      <w:rPr>
        <w:rFonts w:hint="default" w:ascii="Courier New" w:hAnsi="Courier New" w:cs="Courier New"/>
      </w:rPr>
    </w:lvl>
    <w:lvl w:ilvl="5" w:tplc="240A0005" w:tentative="1">
      <w:start w:val="1"/>
      <w:numFmt w:val="bullet"/>
      <w:lvlText w:val=""/>
      <w:lvlJc w:val="left"/>
      <w:pPr>
        <w:ind w:left="5029" w:hanging="360"/>
      </w:pPr>
      <w:rPr>
        <w:rFonts w:hint="default" w:ascii="Wingdings" w:hAnsi="Wingdings"/>
      </w:rPr>
    </w:lvl>
    <w:lvl w:ilvl="6" w:tplc="240A0001" w:tentative="1">
      <w:start w:val="1"/>
      <w:numFmt w:val="bullet"/>
      <w:lvlText w:val=""/>
      <w:lvlJc w:val="left"/>
      <w:pPr>
        <w:ind w:left="5749" w:hanging="360"/>
      </w:pPr>
      <w:rPr>
        <w:rFonts w:hint="default" w:ascii="Symbol" w:hAnsi="Symbol"/>
      </w:rPr>
    </w:lvl>
    <w:lvl w:ilvl="7" w:tplc="240A0003" w:tentative="1">
      <w:start w:val="1"/>
      <w:numFmt w:val="bullet"/>
      <w:lvlText w:val="o"/>
      <w:lvlJc w:val="left"/>
      <w:pPr>
        <w:ind w:left="6469" w:hanging="360"/>
      </w:pPr>
      <w:rPr>
        <w:rFonts w:hint="default" w:ascii="Courier New" w:hAnsi="Courier New" w:cs="Courier New"/>
      </w:rPr>
    </w:lvl>
    <w:lvl w:ilvl="8" w:tplc="240A0005" w:tentative="1">
      <w:start w:val="1"/>
      <w:numFmt w:val="bullet"/>
      <w:lvlText w:val=""/>
      <w:lvlJc w:val="left"/>
      <w:pPr>
        <w:ind w:left="7189" w:hanging="360"/>
      </w:pPr>
      <w:rPr>
        <w:rFonts w:hint="default" w:ascii="Wingdings" w:hAnsi="Wingdings"/>
      </w:rPr>
    </w:lvl>
  </w:abstractNum>
  <w:abstractNum w:abstractNumId="11" w15:restartNumberingAfterBreak="0">
    <w:nsid w:val="6C651DBA"/>
    <w:multiLevelType w:val="hybridMultilevel"/>
    <w:tmpl w:val="E31C294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75C42D1E"/>
    <w:multiLevelType w:val="multilevel"/>
    <w:tmpl w:val="1206F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16533D"/>
    <w:multiLevelType w:val="hybridMultilevel"/>
    <w:tmpl w:val="0346E268"/>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num w:numId="1" w16cid:durableId="1030253862">
    <w:abstractNumId w:val="6"/>
  </w:num>
  <w:num w:numId="2" w16cid:durableId="367874488">
    <w:abstractNumId w:val="2"/>
  </w:num>
  <w:num w:numId="3" w16cid:durableId="706298036">
    <w:abstractNumId w:val="4"/>
  </w:num>
  <w:num w:numId="4" w16cid:durableId="933127192">
    <w:abstractNumId w:val="0"/>
  </w:num>
  <w:num w:numId="5" w16cid:durableId="2004896915">
    <w:abstractNumId w:val="9"/>
  </w:num>
  <w:num w:numId="6" w16cid:durableId="1872915253">
    <w:abstractNumId w:val="1"/>
  </w:num>
  <w:num w:numId="7" w16cid:durableId="261956072">
    <w:abstractNumId w:val="5"/>
  </w:num>
  <w:num w:numId="8" w16cid:durableId="1616016031">
    <w:abstractNumId w:val="7"/>
  </w:num>
  <w:num w:numId="9" w16cid:durableId="1705864037">
    <w:abstractNumId w:val="8"/>
  </w:num>
  <w:num w:numId="10" w16cid:durableId="864102602">
    <w:abstractNumId w:val="13"/>
  </w:num>
  <w:num w:numId="11" w16cid:durableId="1498494355">
    <w:abstractNumId w:val="3"/>
  </w:num>
  <w:num w:numId="12" w16cid:durableId="1556115472">
    <w:abstractNumId w:val="10"/>
  </w:num>
  <w:num w:numId="13" w16cid:durableId="1224216395">
    <w:abstractNumId w:val="12"/>
  </w:num>
  <w:num w:numId="14" w16cid:durableId="198819695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8"/>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20A5F"/>
    <w:rsid w:val="00026118"/>
    <w:rsid w:val="00031584"/>
    <w:rsid w:val="00032A0E"/>
    <w:rsid w:val="00037347"/>
    <w:rsid w:val="000442CC"/>
    <w:rsid w:val="000556D4"/>
    <w:rsid w:val="000716AB"/>
    <w:rsid w:val="00082E4C"/>
    <w:rsid w:val="00083159"/>
    <w:rsid w:val="000849D5"/>
    <w:rsid w:val="0008528F"/>
    <w:rsid w:val="000855FA"/>
    <w:rsid w:val="000A33A9"/>
    <w:rsid w:val="000A6E0C"/>
    <w:rsid w:val="000A7A56"/>
    <w:rsid w:val="000B0126"/>
    <w:rsid w:val="000B1FF7"/>
    <w:rsid w:val="000B2513"/>
    <w:rsid w:val="000B4024"/>
    <w:rsid w:val="000C3C51"/>
    <w:rsid w:val="000C3DCE"/>
    <w:rsid w:val="000C7262"/>
    <w:rsid w:val="000D2A7F"/>
    <w:rsid w:val="000D4FCE"/>
    <w:rsid w:val="000E18C2"/>
    <w:rsid w:val="0011037E"/>
    <w:rsid w:val="00132C24"/>
    <w:rsid w:val="001363C7"/>
    <w:rsid w:val="00141AC5"/>
    <w:rsid w:val="00146B11"/>
    <w:rsid w:val="00147A04"/>
    <w:rsid w:val="0015476D"/>
    <w:rsid w:val="00161E13"/>
    <w:rsid w:val="00164AE0"/>
    <w:rsid w:val="00165E83"/>
    <w:rsid w:val="00166CD7"/>
    <w:rsid w:val="0017120C"/>
    <w:rsid w:val="00172F3A"/>
    <w:rsid w:val="00177FC7"/>
    <w:rsid w:val="00186880"/>
    <w:rsid w:val="0019532A"/>
    <w:rsid w:val="0019549F"/>
    <w:rsid w:val="0019670E"/>
    <w:rsid w:val="00197205"/>
    <w:rsid w:val="001A5DD4"/>
    <w:rsid w:val="001A67E9"/>
    <w:rsid w:val="001B143B"/>
    <w:rsid w:val="001B21CA"/>
    <w:rsid w:val="001B4B7B"/>
    <w:rsid w:val="001C04FC"/>
    <w:rsid w:val="001C25A3"/>
    <w:rsid w:val="001C5D03"/>
    <w:rsid w:val="001C7771"/>
    <w:rsid w:val="001D62FF"/>
    <w:rsid w:val="001E72EA"/>
    <w:rsid w:val="001F3F48"/>
    <w:rsid w:val="002000AA"/>
    <w:rsid w:val="002021F8"/>
    <w:rsid w:val="00204109"/>
    <w:rsid w:val="00211E6E"/>
    <w:rsid w:val="00212A46"/>
    <w:rsid w:val="0021401D"/>
    <w:rsid w:val="002146B8"/>
    <w:rsid w:val="00215516"/>
    <w:rsid w:val="0022776B"/>
    <w:rsid w:val="002527C2"/>
    <w:rsid w:val="00257D93"/>
    <w:rsid w:val="0026411C"/>
    <w:rsid w:val="00270443"/>
    <w:rsid w:val="00270EE2"/>
    <w:rsid w:val="00272972"/>
    <w:rsid w:val="00277789"/>
    <w:rsid w:val="0028259E"/>
    <w:rsid w:val="00286491"/>
    <w:rsid w:val="002A0F8D"/>
    <w:rsid w:val="002B6E44"/>
    <w:rsid w:val="002E1DB5"/>
    <w:rsid w:val="002F6CCB"/>
    <w:rsid w:val="0030461E"/>
    <w:rsid w:val="00323421"/>
    <w:rsid w:val="0032756A"/>
    <w:rsid w:val="00334EF8"/>
    <w:rsid w:val="00336408"/>
    <w:rsid w:val="00340DFB"/>
    <w:rsid w:val="0034404F"/>
    <w:rsid w:val="00356980"/>
    <w:rsid w:val="00364E62"/>
    <w:rsid w:val="00367462"/>
    <w:rsid w:val="00371ECA"/>
    <w:rsid w:val="00372748"/>
    <w:rsid w:val="0037332A"/>
    <w:rsid w:val="0037697B"/>
    <w:rsid w:val="0038151A"/>
    <w:rsid w:val="0038199B"/>
    <w:rsid w:val="0039082A"/>
    <w:rsid w:val="00390C21"/>
    <w:rsid w:val="00395E92"/>
    <w:rsid w:val="003A37BD"/>
    <w:rsid w:val="003A4D8B"/>
    <w:rsid w:val="003B6D94"/>
    <w:rsid w:val="003C4C96"/>
    <w:rsid w:val="003C55E0"/>
    <w:rsid w:val="003D5D23"/>
    <w:rsid w:val="003F519B"/>
    <w:rsid w:val="003F6A59"/>
    <w:rsid w:val="0040544F"/>
    <w:rsid w:val="00406A19"/>
    <w:rsid w:val="00410C26"/>
    <w:rsid w:val="0041222D"/>
    <w:rsid w:val="0041483E"/>
    <w:rsid w:val="00415369"/>
    <w:rsid w:val="00430492"/>
    <w:rsid w:val="00450BE7"/>
    <w:rsid w:val="0046741E"/>
    <w:rsid w:val="00471211"/>
    <w:rsid w:val="0047265B"/>
    <w:rsid w:val="00472CC6"/>
    <w:rsid w:val="00473D93"/>
    <w:rsid w:val="0048026E"/>
    <w:rsid w:val="004807A9"/>
    <w:rsid w:val="004813EE"/>
    <w:rsid w:val="00493278"/>
    <w:rsid w:val="004943D9"/>
    <w:rsid w:val="004A0E7B"/>
    <w:rsid w:val="004A3498"/>
    <w:rsid w:val="004B0C45"/>
    <w:rsid w:val="004B36F0"/>
    <w:rsid w:val="004B78F9"/>
    <w:rsid w:val="004C0AB2"/>
    <w:rsid w:val="004C1619"/>
    <w:rsid w:val="004C1A26"/>
    <w:rsid w:val="004C1CC9"/>
    <w:rsid w:val="004C3755"/>
    <w:rsid w:val="004C4485"/>
    <w:rsid w:val="004D11AF"/>
    <w:rsid w:val="004F030F"/>
    <w:rsid w:val="00500DFA"/>
    <w:rsid w:val="005019AA"/>
    <w:rsid w:val="005021BB"/>
    <w:rsid w:val="005139E7"/>
    <w:rsid w:val="005147DA"/>
    <w:rsid w:val="00515FB5"/>
    <w:rsid w:val="0052365C"/>
    <w:rsid w:val="005271EB"/>
    <w:rsid w:val="005426DB"/>
    <w:rsid w:val="0055082B"/>
    <w:rsid w:val="00552503"/>
    <w:rsid w:val="00552B57"/>
    <w:rsid w:val="00557DA1"/>
    <w:rsid w:val="0056322C"/>
    <w:rsid w:val="005666A0"/>
    <w:rsid w:val="0058743A"/>
    <w:rsid w:val="00596F48"/>
    <w:rsid w:val="005A4DB0"/>
    <w:rsid w:val="005A7B8E"/>
    <w:rsid w:val="005B012B"/>
    <w:rsid w:val="005B048E"/>
    <w:rsid w:val="005B0C87"/>
    <w:rsid w:val="005D23F6"/>
    <w:rsid w:val="005D2FA8"/>
    <w:rsid w:val="005E2281"/>
    <w:rsid w:val="005E667C"/>
    <w:rsid w:val="005F077C"/>
    <w:rsid w:val="005F63D0"/>
    <w:rsid w:val="005F7973"/>
    <w:rsid w:val="0061690E"/>
    <w:rsid w:val="006171A8"/>
    <w:rsid w:val="00627361"/>
    <w:rsid w:val="0063017E"/>
    <w:rsid w:val="00631B28"/>
    <w:rsid w:val="00633A68"/>
    <w:rsid w:val="00645B90"/>
    <w:rsid w:val="00650991"/>
    <w:rsid w:val="006511D7"/>
    <w:rsid w:val="0066261C"/>
    <w:rsid w:val="00663D75"/>
    <w:rsid w:val="00670AEF"/>
    <w:rsid w:val="00673767"/>
    <w:rsid w:val="00675678"/>
    <w:rsid w:val="00677012"/>
    <w:rsid w:val="006825B4"/>
    <w:rsid w:val="00682AF2"/>
    <w:rsid w:val="006864DF"/>
    <w:rsid w:val="006A3C8A"/>
    <w:rsid w:val="006A7552"/>
    <w:rsid w:val="006B017A"/>
    <w:rsid w:val="006B547E"/>
    <w:rsid w:val="006B5953"/>
    <w:rsid w:val="006B7A81"/>
    <w:rsid w:val="006C00EC"/>
    <w:rsid w:val="006C4BAC"/>
    <w:rsid w:val="006C52F3"/>
    <w:rsid w:val="006E7F37"/>
    <w:rsid w:val="006F3B81"/>
    <w:rsid w:val="006F4F79"/>
    <w:rsid w:val="00705B37"/>
    <w:rsid w:val="00711FD9"/>
    <w:rsid w:val="00726389"/>
    <w:rsid w:val="00733953"/>
    <w:rsid w:val="00735062"/>
    <w:rsid w:val="00746BA5"/>
    <w:rsid w:val="00751D23"/>
    <w:rsid w:val="00756228"/>
    <w:rsid w:val="00770577"/>
    <w:rsid w:val="00775E11"/>
    <w:rsid w:val="00777666"/>
    <w:rsid w:val="0078159B"/>
    <w:rsid w:val="00782E10"/>
    <w:rsid w:val="0078706B"/>
    <w:rsid w:val="00790836"/>
    <w:rsid w:val="00797131"/>
    <w:rsid w:val="007A3C1D"/>
    <w:rsid w:val="007B285D"/>
    <w:rsid w:val="007C6BC6"/>
    <w:rsid w:val="00807D79"/>
    <w:rsid w:val="00813634"/>
    <w:rsid w:val="00822821"/>
    <w:rsid w:val="008267F9"/>
    <w:rsid w:val="00831C29"/>
    <w:rsid w:val="00832494"/>
    <w:rsid w:val="00832B57"/>
    <w:rsid w:val="00834C7F"/>
    <w:rsid w:val="008431EF"/>
    <w:rsid w:val="008468E0"/>
    <w:rsid w:val="00860DEA"/>
    <w:rsid w:val="00871B59"/>
    <w:rsid w:val="00877D03"/>
    <w:rsid w:val="00877E96"/>
    <w:rsid w:val="008806CA"/>
    <w:rsid w:val="008815E5"/>
    <w:rsid w:val="00887B37"/>
    <w:rsid w:val="008909B9"/>
    <w:rsid w:val="00891DFC"/>
    <w:rsid w:val="008B12B4"/>
    <w:rsid w:val="008B7914"/>
    <w:rsid w:val="008C5D2A"/>
    <w:rsid w:val="008C7AF4"/>
    <w:rsid w:val="008D529F"/>
    <w:rsid w:val="008F5CC8"/>
    <w:rsid w:val="009061B8"/>
    <w:rsid w:val="00907B6A"/>
    <w:rsid w:val="0091008B"/>
    <w:rsid w:val="00911EA2"/>
    <w:rsid w:val="00916C7D"/>
    <w:rsid w:val="0092575D"/>
    <w:rsid w:val="00933D20"/>
    <w:rsid w:val="009341DA"/>
    <w:rsid w:val="009430F9"/>
    <w:rsid w:val="009442E8"/>
    <w:rsid w:val="00946BD0"/>
    <w:rsid w:val="0095426C"/>
    <w:rsid w:val="00970087"/>
    <w:rsid w:val="00971074"/>
    <w:rsid w:val="00994D05"/>
    <w:rsid w:val="00995D86"/>
    <w:rsid w:val="009A0570"/>
    <w:rsid w:val="009A5453"/>
    <w:rsid w:val="009B4D94"/>
    <w:rsid w:val="009C2871"/>
    <w:rsid w:val="009C7660"/>
    <w:rsid w:val="009D3C33"/>
    <w:rsid w:val="009D5B59"/>
    <w:rsid w:val="009D7F3A"/>
    <w:rsid w:val="009E4885"/>
    <w:rsid w:val="00A0225D"/>
    <w:rsid w:val="00A05D8B"/>
    <w:rsid w:val="00A07DB6"/>
    <w:rsid w:val="00A10A04"/>
    <w:rsid w:val="00A10A73"/>
    <w:rsid w:val="00A13A94"/>
    <w:rsid w:val="00A15874"/>
    <w:rsid w:val="00A170B3"/>
    <w:rsid w:val="00A223D5"/>
    <w:rsid w:val="00A25E84"/>
    <w:rsid w:val="00A37D1C"/>
    <w:rsid w:val="00A5453E"/>
    <w:rsid w:val="00A56F6C"/>
    <w:rsid w:val="00A60FDC"/>
    <w:rsid w:val="00A61C42"/>
    <w:rsid w:val="00A76C8C"/>
    <w:rsid w:val="00A85F30"/>
    <w:rsid w:val="00A9099E"/>
    <w:rsid w:val="00A91FB7"/>
    <w:rsid w:val="00A9298F"/>
    <w:rsid w:val="00A93979"/>
    <w:rsid w:val="00AA0351"/>
    <w:rsid w:val="00AA5F4A"/>
    <w:rsid w:val="00AB1984"/>
    <w:rsid w:val="00AB52B1"/>
    <w:rsid w:val="00AC4CB3"/>
    <w:rsid w:val="00AC780D"/>
    <w:rsid w:val="00AD036B"/>
    <w:rsid w:val="00AD1996"/>
    <w:rsid w:val="00AD4099"/>
    <w:rsid w:val="00AD4901"/>
    <w:rsid w:val="00AF48DC"/>
    <w:rsid w:val="00B02FE0"/>
    <w:rsid w:val="00B057B6"/>
    <w:rsid w:val="00B30448"/>
    <w:rsid w:val="00B34786"/>
    <w:rsid w:val="00B400EC"/>
    <w:rsid w:val="00B40162"/>
    <w:rsid w:val="00B41ACE"/>
    <w:rsid w:val="00B50156"/>
    <w:rsid w:val="00B518AD"/>
    <w:rsid w:val="00B60A96"/>
    <w:rsid w:val="00B678EC"/>
    <w:rsid w:val="00B73C91"/>
    <w:rsid w:val="00B76C94"/>
    <w:rsid w:val="00B772D0"/>
    <w:rsid w:val="00B836EA"/>
    <w:rsid w:val="00B84C05"/>
    <w:rsid w:val="00B9032A"/>
    <w:rsid w:val="00B91B81"/>
    <w:rsid w:val="00B92994"/>
    <w:rsid w:val="00B93658"/>
    <w:rsid w:val="00B97135"/>
    <w:rsid w:val="00BB3072"/>
    <w:rsid w:val="00BB74AD"/>
    <w:rsid w:val="00BC3413"/>
    <w:rsid w:val="00BC56A0"/>
    <w:rsid w:val="00BC7632"/>
    <w:rsid w:val="00BD3502"/>
    <w:rsid w:val="00BD4378"/>
    <w:rsid w:val="00BD48A9"/>
    <w:rsid w:val="00BD630F"/>
    <w:rsid w:val="00BD7EC6"/>
    <w:rsid w:val="00BE73FA"/>
    <w:rsid w:val="00BF6B4B"/>
    <w:rsid w:val="00C0511C"/>
    <w:rsid w:val="00C20ACF"/>
    <w:rsid w:val="00C20CD8"/>
    <w:rsid w:val="00C22307"/>
    <w:rsid w:val="00C23469"/>
    <w:rsid w:val="00C30C62"/>
    <w:rsid w:val="00C371DF"/>
    <w:rsid w:val="00C42055"/>
    <w:rsid w:val="00C44B4C"/>
    <w:rsid w:val="00C44F97"/>
    <w:rsid w:val="00C46734"/>
    <w:rsid w:val="00C47A86"/>
    <w:rsid w:val="00C53220"/>
    <w:rsid w:val="00C53F23"/>
    <w:rsid w:val="00C634C2"/>
    <w:rsid w:val="00C8324B"/>
    <w:rsid w:val="00CA2177"/>
    <w:rsid w:val="00CA3347"/>
    <w:rsid w:val="00CA3D9F"/>
    <w:rsid w:val="00CB5253"/>
    <w:rsid w:val="00CC299A"/>
    <w:rsid w:val="00CD03E3"/>
    <w:rsid w:val="00CE6BDA"/>
    <w:rsid w:val="00D01E3C"/>
    <w:rsid w:val="00D03284"/>
    <w:rsid w:val="00D03DBE"/>
    <w:rsid w:val="00D072C0"/>
    <w:rsid w:val="00D10E98"/>
    <w:rsid w:val="00D34C82"/>
    <w:rsid w:val="00D3757A"/>
    <w:rsid w:val="00D46058"/>
    <w:rsid w:val="00D504A9"/>
    <w:rsid w:val="00D5206D"/>
    <w:rsid w:val="00D63011"/>
    <w:rsid w:val="00D7177D"/>
    <w:rsid w:val="00D81311"/>
    <w:rsid w:val="00DA769E"/>
    <w:rsid w:val="00DB1F5A"/>
    <w:rsid w:val="00DB201E"/>
    <w:rsid w:val="00DC0E68"/>
    <w:rsid w:val="00DD25ED"/>
    <w:rsid w:val="00DE0D6E"/>
    <w:rsid w:val="00DE42D0"/>
    <w:rsid w:val="00DF3A22"/>
    <w:rsid w:val="00E07F21"/>
    <w:rsid w:val="00E1610C"/>
    <w:rsid w:val="00E16D73"/>
    <w:rsid w:val="00E23E9E"/>
    <w:rsid w:val="00E25722"/>
    <w:rsid w:val="00E27F0A"/>
    <w:rsid w:val="00E35148"/>
    <w:rsid w:val="00E4231E"/>
    <w:rsid w:val="00E4302C"/>
    <w:rsid w:val="00E44AC7"/>
    <w:rsid w:val="00E45F4B"/>
    <w:rsid w:val="00E60A16"/>
    <w:rsid w:val="00E82B6E"/>
    <w:rsid w:val="00E91F2E"/>
    <w:rsid w:val="00E94258"/>
    <w:rsid w:val="00E96C18"/>
    <w:rsid w:val="00EA09CB"/>
    <w:rsid w:val="00EA2E61"/>
    <w:rsid w:val="00EA7D7F"/>
    <w:rsid w:val="00EB02F4"/>
    <w:rsid w:val="00EB2FA2"/>
    <w:rsid w:val="00EB654D"/>
    <w:rsid w:val="00EB769A"/>
    <w:rsid w:val="00EC3A35"/>
    <w:rsid w:val="00ED1F28"/>
    <w:rsid w:val="00ED4FE7"/>
    <w:rsid w:val="00EE1427"/>
    <w:rsid w:val="00EE17F2"/>
    <w:rsid w:val="00EE3138"/>
    <w:rsid w:val="00EF2AC7"/>
    <w:rsid w:val="00EF400A"/>
    <w:rsid w:val="00EF6BE4"/>
    <w:rsid w:val="00EF6E5D"/>
    <w:rsid w:val="00F04632"/>
    <w:rsid w:val="00F07764"/>
    <w:rsid w:val="00F12517"/>
    <w:rsid w:val="00F131DD"/>
    <w:rsid w:val="00F16BA1"/>
    <w:rsid w:val="00F24435"/>
    <w:rsid w:val="00F30C0F"/>
    <w:rsid w:val="00F314E8"/>
    <w:rsid w:val="00F323A2"/>
    <w:rsid w:val="00F33B57"/>
    <w:rsid w:val="00F33D5C"/>
    <w:rsid w:val="00F34E90"/>
    <w:rsid w:val="00F35508"/>
    <w:rsid w:val="00F356D6"/>
    <w:rsid w:val="00F53BE2"/>
    <w:rsid w:val="00F55684"/>
    <w:rsid w:val="00F64D5A"/>
    <w:rsid w:val="00F709CD"/>
    <w:rsid w:val="00F711AB"/>
    <w:rsid w:val="00F71E87"/>
    <w:rsid w:val="00F906F4"/>
    <w:rsid w:val="00F95BB2"/>
    <w:rsid w:val="00F9761E"/>
    <w:rsid w:val="00FA0716"/>
    <w:rsid w:val="00FB4629"/>
    <w:rsid w:val="00FB6FB1"/>
    <w:rsid w:val="00FB7063"/>
    <w:rsid w:val="00FC7056"/>
    <w:rsid w:val="00FE1A00"/>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420A9396"/>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BFA33CB-14F2-48B7-8712-23943DD29C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styleId="TextonotapieCar1" w:customStyle="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styleId="Appelnotedebasde" w:customStyle="1">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styleId="TextocomentarioCar" w:customStyle="1">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styleId="AsuntodelcomentarioCar" w:customStyle="1">
    <w:name w:val="Asunto del comentario Car"/>
    <w:basedOn w:val="TextocomentarioCar"/>
    <w:link w:val="Asuntodelcomentario"/>
    <w:uiPriority w:val="99"/>
    <w:semiHidden/>
    <w:rsid w:val="00A37D1C"/>
    <w:rPr>
      <w:b/>
      <w:bCs/>
      <w:sz w:val="20"/>
      <w:szCs w:val="20"/>
    </w:rPr>
  </w:style>
  <w:style w:type="paragraph" w:styleId="Normal11pt" w:customStyle="1">
    <w:name w:val="Normal + 11 pt"/>
    <w:aliases w:val="Negro,Justificado,Izquierda:  -0,95 cm,Derecha:  0,04 cm"/>
    <w:basedOn w:val="Normal"/>
    <w:uiPriority w:val="99"/>
    <w:rsid w:val="00B76C94"/>
    <w:pPr>
      <w:spacing w:after="0" w:line="240" w:lineRule="auto"/>
      <w:ind w:left="-540"/>
      <w:jc w:val="both"/>
    </w:pPr>
    <w:rPr>
      <w:rFonts w:ascii="Arial" w:hAnsi="Arial" w:eastAsia="Times New Roman" w:cs="Arial"/>
      <w:color w:val="000000"/>
      <w:lang w:val="es-ES_tradnl" w:eastAsia="es-ES"/>
    </w:rPr>
  </w:style>
  <w:style w:type="paragraph" w:styleId="Revisin">
    <w:name w:val="Revision"/>
    <w:hidden/>
    <w:uiPriority w:val="99"/>
    <w:semiHidden/>
    <w:rsid w:val="00F64D5A"/>
    <w:pPr>
      <w:spacing w:after="0" w:line="240" w:lineRule="auto"/>
    </w:pPr>
  </w:style>
  <w:style w:type="character" w:styleId="cf01" w:customStyle="1">
    <w:name w:val="cf01"/>
    <w:basedOn w:val="Fuentedeprrafopredeter"/>
    <w:rsid w:val="005019AA"/>
    <w:rPr>
      <w:rFonts w:hint="default" w:ascii="Segoe UI" w:hAnsi="Segoe UI" w:cs="Segoe UI"/>
      <w:i/>
      <w:iCs/>
      <w:sz w:val="18"/>
      <w:szCs w:val="18"/>
    </w:rPr>
  </w:style>
  <w:style w:type="character" w:styleId="normaltextrun" w:customStyle="1">
    <w:name w:val="normaltextrun"/>
    <w:basedOn w:val="Fuentedeprrafopredeter"/>
    <w:rsid w:val="5D8505AD"/>
  </w:style>
  <w:style w:type="character" w:styleId="eop" w:customStyle="1">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styleId="Hipervnculo1" w:customStyle="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styleId="TextoindependienteCar" w:customStyle="1">
    <w:name w:val="Texto independiente Car"/>
    <w:basedOn w:val="Fuentedeprrafopredeter"/>
    <w:link w:val="Textoindependiente"/>
    <w:uiPriority w:val="99"/>
    <w:rsid w:val="00430492"/>
  </w:style>
  <w:style w:type="paragraph" w:styleId="Car1" w:customStyle="1">
    <w:name w:val="Car1"/>
    <w:basedOn w:val="Normal"/>
    <w:next w:val="Textonotapie"/>
    <w:uiPriority w:val="99"/>
    <w:unhideWhenUsed/>
    <w:qFormat/>
    <w:rsid w:val="00430492"/>
    <w:pPr>
      <w:spacing w:after="0" w:line="240" w:lineRule="auto"/>
    </w:pPr>
    <w:rPr>
      <w:sz w:val="20"/>
      <w:szCs w:val="20"/>
      <w:lang w:val="es-MX"/>
    </w:rPr>
  </w:style>
  <w:style w:type="paragraph" w:styleId="Cuadrculamedia1-nfasis21" w:customStyle="1">
    <w:name w:val="Cuadrícula media 1 - Énfasis 21"/>
    <w:basedOn w:val="Normal"/>
    <w:uiPriority w:val="34"/>
    <w:qFormat/>
    <w:rsid w:val="009C2871"/>
    <w:pPr>
      <w:ind w:left="720"/>
      <w:contextualSpacing/>
    </w:pPr>
    <w:rPr>
      <w:rFonts w:ascii="Calibri" w:hAnsi="Calibri" w:eastAsia="Calibri" w:cs="Times New Roman"/>
    </w:rPr>
  </w:style>
  <w:style w:type="character" w:styleId="Ttulo1Car" w:customStyle="1">
    <w:name w:val="Título 1 Car"/>
    <w:basedOn w:val="Fuentedeprrafopredeter"/>
    <w:link w:val="Ttulo1"/>
    <w:uiPriority w:val="1"/>
    <w:rsid w:val="00B34786"/>
    <w:rPr>
      <w:rFonts w:ascii="Arial" w:hAnsi="Arial" w:eastAsia="Arial" w:cs="Arial"/>
      <w:b/>
      <w:bCs/>
      <w:lang w:val="es-ES"/>
    </w:rPr>
  </w:style>
  <w:style w:type="paragraph" w:styleId="Default" w:customStyle="1">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B34786"/>
    <w:rPr>
      <w:rFonts w:ascii="Geomanist" w:hAnsi="Geomanist" w:eastAsiaTheme="majorEastAsia" w:cstheme="majorBidi"/>
      <w:spacing w:val="-10"/>
      <w:kern w:val="28"/>
      <w:szCs w:val="56"/>
      <w:lang w:val="es-ES"/>
    </w:rPr>
  </w:style>
  <w:style w:type="table" w:styleId="Tablaconcuadrcula1" w:customStyle="1">
    <w:name w:val="Tabla con cuadrícula1"/>
    <w:basedOn w:val="Tablanormal"/>
    <w:next w:val="Tablaconcuadrcula"/>
    <w:uiPriority w:val="59"/>
    <w:qFormat/>
    <w:rsid w:val="00B347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inlista1" w:customStyle="1">
    <w:name w:val="Sin lista1"/>
    <w:next w:val="Sinlista"/>
    <w:uiPriority w:val="99"/>
    <w:semiHidden/>
    <w:unhideWhenUsed/>
    <w:rsid w:val="00B34786"/>
  </w:style>
  <w:style w:type="table" w:styleId="TableNormal1" w:customStyle="1">
    <w:name w:val="Table Normal1"/>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B34786"/>
    <w:pPr>
      <w:widowControl w:val="0"/>
      <w:autoSpaceDE w:val="0"/>
      <w:autoSpaceDN w:val="0"/>
      <w:spacing w:after="0" w:line="208" w:lineRule="exact"/>
      <w:ind w:left="119"/>
    </w:pPr>
    <w:rPr>
      <w:rFonts w:ascii="Calibri" w:hAnsi="Calibri" w:eastAsia="Calibri" w:cs="Calibri"/>
      <w:lang w:val="es-ES"/>
    </w:rPr>
  </w:style>
  <w:style w:type="table" w:styleId="Tablaconcuadrcula2" w:customStyle="1">
    <w:name w:val="Tabla con cuadrícula2"/>
    <w:basedOn w:val="Tablanormal"/>
    <w:next w:val="Tablaconcuadrcula"/>
    <w:uiPriority w:val="39"/>
    <w:rsid w:val="00B347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1A5DD4"/>
    <w:pPr>
      <w:spacing w:before="100" w:beforeAutospacing="1" w:after="100" w:afterAutospacing="1" w:line="240" w:lineRule="auto"/>
    </w:pPr>
    <w:rPr>
      <w:rFonts w:ascii="Times New Roman" w:hAnsi="Times New Roman" w:eastAsia="Times New Roman" w:cs="Times New Roman"/>
      <w:sz w:val="24"/>
      <w:szCs w:val="24"/>
      <w:lang w:eastAsia="es-ES_tradnl"/>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 w:type="paragraph" w:styleId="Sinespaciado">
    <w:name w:val="No Spacing"/>
    <w:aliases w:val="No Indent"/>
    <w:link w:val="SinespaciadoCar"/>
    <w:uiPriority w:val="3"/>
    <w:qFormat/>
    <w:rsid w:val="008267F9"/>
    <w:pPr>
      <w:spacing w:after="0" w:line="240" w:lineRule="auto"/>
    </w:pPr>
    <w:rPr>
      <w:sz w:val="24"/>
      <w:lang w:val="es-MX"/>
    </w:rPr>
  </w:style>
  <w:style w:type="character" w:styleId="SinespaciadoCar" w:customStyle="1">
    <w:name w:val="Sin espaciado Car"/>
    <w:aliases w:val="No Indent Car"/>
    <w:link w:val="Sinespaciado"/>
    <w:uiPriority w:val="3"/>
    <w:rsid w:val="008267F9"/>
    <w:rPr>
      <w:sz w:val="24"/>
      <w:lang w:val="es-MX"/>
    </w:rPr>
  </w:style>
  <w:style w:type="paragraph" w:styleId="Textodeglobo">
    <w:name w:val="Balloon Text"/>
    <w:basedOn w:val="Normal"/>
    <w:link w:val="TextodegloboCar"/>
    <w:uiPriority w:val="99"/>
    <w:semiHidden/>
    <w:unhideWhenUsed/>
    <w:rsid w:val="006171A8"/>
    <w:pPr>
      <w:spacing w:after="0" w:line="240" w:lineRule="auto"/>
    </w:pPr>
    <w:rPr>
      <w:rFonts w:ascii="Times New Roman" w:hAnsi="Times New Roman" w:cs="Times New Roman"/>
      <w:sz w:val="18"/>
      <w:szCs w:val="18"/>
    </w:rPr>
  </w:style>
  <w:style w:type="character" w:styleId="TextodegloboCar" w:customStyle="1">
    <w:name w:val="Texto de globo Car"/>
    <w:basedOn w:val="Fuentedeprrafopredeter"/>
    <w:link w:val="Textodeglobo"/>
    <w:uiPriority w:val="99"/>
    <w:semiHidden/>
    <w:rsid w:val="006171A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2715">
      <w:bodyDiv w:val="1"/>
      <w:marLeft w:val="0"/>
      <w:marRight w:val="0"/>
      <w:marTop w:val="0"/>
      <w:marBottom w:val="0"/>
      <w:divBdr>
        <w:top w:val="none" w:sz="0" w:space="0" w:color="auto"/>
        <w:left w:val="none" w:sz="0" w:space="0" w:color="auto"/>
        <w:bottom w:val="none" w:sz="0" w:space="0" w:color="auto"/>
        <w:right w:val="none" w:sz="0" w:space="0" w:color="auto"/>
      </w:divBdr>
    </w:div>
    <w:div w:id="90859947">
      <w:bodyDiv w:val="1"/>
      <w:marLeft w:val="0"/>
      <w:marRight w:val="0"/>
      <w:marTop w:val="0"/>
      <w:marBottom w:val="0"/>
      <w:divBdr>
        <w:top w:val="none" w:sz="0" w:space="0" w:color="auto"/>
        <w:left w:val="none" w:sz="0" w:space="0" w:color="auto"/>
        <w:bottom w:val="none" w:sz="0" w:space="0" w:color="auto"/>
        <w:right w:val="none" w:sz="0" w:space="0" w:color="auto"/>
      </w:divBdr>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206839246">
      <w:bodyDiv w:val="1"/>
      <w:marLeft w:val="0"/>
      <w:marRight w:val="0"/>
      <w:marTop w:val="0"/>
      <w:marBottom w:val="0"/>
      <w:divBdr>
        <w:top w:val="none" w:sz="0" w:space="0" w:color="auto"/>
        <w:left w:val="none" w:sz="0" w:space="0" w:color="auto"/>
        <w:bottom w:val="none" w:sz="0" w:space="0" w:color="auto"/>
        <w:right w:val="none" w:sz="0" w:space="0" w:color="auto"/>
      </w:divBdr>
      <w:divsChild>
        <w:div w:id="228999742">
          <w:marLeft w:val="0"/>
          <w:marRight w:val="0"/>
          <w:marTop w:val="0"/>
          <w:marBottom w:val="160"/>
          <w:divBdr>
            <w:top w:val="none" w:sz="0" w:space="0" w:color="auto"/>
            <w:left w:val="none" w:sz="0" w:space="0" w:color="auto"/>
            <w:bottom w:val="none" w:sz="0" w:space="0" w:color="auto"/>
            <w:right w:val="none" w:sz="0" w:space="0" w:color="auto"/>
          </w:divBdr>
        </w:div>
        <w:div w:id="1403795432">
          <w:marLeft w:val="0"/>
          <w:marRight w:val="0"/>
          <w:marTop w:val="0"/>
          <w:marBottom w:val="160"/>
          <w:divBdr>
            <w:top w:val="none" w:sz="0" w:space="0" w:color="auto"/>
            <w:left w:val="none" w:sz="0" w:space="0" w:color="auto"/>
            <w:bottom w:val="none" w:sz="0" w:space="0" w:color="auto"/>
            <w:right w:val="none" w:sz="0" w:space="0" w:color="auto"/>
          </w:divBdr>
        </w:div>
        <w:div w:id="1653438156">
          <w:marLeft w:val="0"/>
          <w:marRight w:val="0"/>
          <w:marTop w:val="0"/>
          <w:marBottom w:val="160"/>
          <w:divBdr>
            <w:top w:val="none" w:sz="0" w:space="0" w:color="auto"/>
            <w:left w:val="none" w:sz="0" w:space="0" w:color="auto"/>
            <w:bottom w:val="none" w:sz="0" w:space="0" w:color="auto"/>
            <w:right w:val="none" w:sz="0" w:space="0" w:color="auto"/>
          </w:divBdr>
        </w:div>
      </w:divsChild>
    </w:div>
    <w:div w:id="275866275">
      <w:bodyDiv w:val="1"/>
      <w:marLeft w:val="0"/>
      <w:marRight w:val="0"/>
      <w:marTop w:val="0"/>
      <w:marBottom w:val="0"/>
      <w:divBdr>
        <w:top w:val="none" w:sz="0" w:space="0" w:color="auto"/>
        <w:left w:val="none" w:sz="0" w:space="0" w:color="auto"/>
        <w:bottom w:val="none" w:sz="0" w:space="0" w:color="auto"/>
        <w:right w:val="none" w:sz="0" w:space="0" w:color="auto"/>
      </w:divBdr>
    </w:div>
    <w:div w:id="39840388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376468481">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2068453328">
      <w:bodyDiv w:val="1"/>
      <w:marLeft w:val="0"/>
      <w:marRight w:val="0"/>
      <w:marTop w:val="0"/>
      <w:marBottom w:val="0"/>
      <w:divBdr>
        <w:top w:val="none" w:sz="0" w:space="0" w:color="auto"/>
        <w:left w:val="none" w:sz="0" w:space="0" w:color="auto"/>
        <w:bottom w:val="none" w:sz="0" w:space="0" w:color="auto"/>
        <w:right w:val="none" w:sz="0" w:space="0" w:color="auto"/>
      </w:divBdr>
    </w:div>
    <w:div w:id="2105757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olombiacompra.gov.co/sites/cce_public/files/cce_documents/cce_guia_garantias.pdf"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ontratos@manati-atlantico.gov.co"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colombiacompra.gov.co/sala-de-prensa/boletin-digital"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elatoria.colombiacompra.gov.co/busqueda/conceptos"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D5F2F95D-4AB6-A24F-8865-2B569146145D}">
  <ds:schemaRefs>
    <ds:schemaRef ds:uri="http://schemas.openxmlformats.org/officeDocument/2006/bibliography"/>
  </ds:schemaRefs>
</ds:datastoreItem>
</file>

<file path=customXml/itemProps4.xml><?xml version="1.0" encoding="utf-8"?>
<ds:datastoreItem xmlns:ds="http://schemas.openxmlformats.org/officeDocument/2006/customXml" ds:itemID="{B524EFD2-6506-4654-A0AC-DEF36450FF5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ANCP-SGC</dc:creator>
  <keywords/>
  <dc:description/>
  <lastModifiedBy>Sergio Enrique Caballero Lesmes</lastModifiedBy>
  <revision>5</revision>
  <dcterms:created xsi:type="dcterms:W3CDTF">2024-07-15T18:52:00.0000000Z</dcterms:created>
  <dcterms:modified xsi:type="dcterms:W3CDTF">2024-07-31T12:45:44.2035247Z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