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F1CA7" w14:textId="77777777" w:rsidR="00F7025D" w:rsidRPr="00D6662D" w:rsidRDefault="00F7025D" w:rsidP="00F7025D">
      <w:pPr>
        <w:jc w:val="both"/>
        <w:rPr>
          <w:rFonts w:ascii="Verdana" w:hAnsi="Verdana" w:cs="Arial"/>
          <w:b/>
          <w:bCs/>
        </w:rPr>
      </w:pPr>
      <w:r w:rsidRPr="00D6662D">
        <w:rPr>
          <w:rFonts w:ascii="Verdana" w:hAnsi="Verdana" w:cs="Arial"/>
          <w:b/>
          <w:bCs/>
        </w:rPr>
        <w:t xml:space="preserve">RIESGOS – Normativa </w:t>
      </w:r>
    </w:p>
    <w:p w14:paraId="54AB07EF" w14:textId="77777777" w:rsidR="00F7025D" w:rsidRPr="00D6662D" w:rsidRDefault="00F7025D" w:rsidP="00F7025D">
      <w:pPr>
        <w:jc w:val="both"/>
        <w:rPr>
          <w:rFonts w:ascii="Verdana" w:hAnsi="Verdana" w:cs="Arial"/>
        </w:rPr>
      </w:pPr>
      <w:r w:rsidRPr="00D6662D">
        <w:rPr>
          <w:rFonts w:ascii="Verdana" w:hAnsi="Verdana" w:cs="Arial"/>
        </w:rPr>
        <w:t>[…] la expedición de la Ley 1150 de 2007 se propendió porque durante la planeación de los procesos de contratación las entidades estatales estimaran de forma anticipada las posibles eventualidades que puedan generarse durante la ejecución del contrato. […] Como resultado de la promulgación de la Ley 1150 de 2007, en relación con los riesgos, el artículo 4, obliga a las entidades estatales a estimar, tipificar y asignar los riesgos parte del contrato dentro de los pliegos de condiciones o en sus equivalentes. […] Por su parte, el Decreto 1082 de 2015 reiteró, en los siguientes términos, la obligación que tienen las entidades estatales de tipificar, estimar y asignar los riesgos previsibles que surjan durante la ejecución contractual dentro del pliego de condiciones</w:t>
      </w:r>
    </w:p>
    <w:p w14:paraId="405C50CA" w14:textId="77777777" w:rsidR="00F7025D" w:rsidRPr="00D6662D" w:rsidRDefault="00F7025D" w:rsidP="00F7025D">
      <w:pPr>
        <w:jc w:val="both"/>
        <w:rPr>
          <w:rFonts w:ascii="Verdana" w:hAnsi="Verdana" w:cs="Arial"/>
          <w:b/>
          <w:bCs/>
        </w:rPr>
      </w:pPr>
      <w:r w:rsidRPr="00D6662D">
        <w:rPr>
          <w:rFonts w:ascii="Verdana" w:hAnsi="Verdana" w:cs="Arial"/>
          <w:b/>
          <w:bCs/>
        </w:rPr>
        <w:t>RIESGOS – CONPES – Definición</w:t>
      </w:r>
    </w:p>
    <w:p w14:paraId="30941D9D" w14:textId="77777777" w:rsidR="00F7025D" w:rsidRPr="00D6662D" w:rsidRDefault="00F7025D" w:rsidP="00F7025D">
      <w:pPr>
        <w:jc w:val="both"/>
        <w:textAlignment w:val="baseline"/>
        <w:rPr>
          <w:rFonts w:ascii="Verdana" w:hAnsi="Verdana" w:cs="Arial"/>
        </w:rPr>
      </w:pPr>
      <w:r w:rsidRPr="00D6662D">
        <w:rPr>
          <w:rFonts w:ascii="Verdana" w:hAnsi="Verdana" w:cs="Arial"/>
        </w:rPr>
        <w:t xml:space="preserve">[…] con la expedición del CONPES 3107 de 2011 se establecieron lineamientos en materia de «Política de Manejo de Riesgo Contractual del Estado para Procesos de Participación Privada en Infraestructura» […] de tal forma, el CONPES estableció que en la medida que «una asignación adecuada de los riesgos minimiza el costo de su mitigación» es necesario que los riesgos sean asumidos por quién mejor los controla en la relación contractual, lo que implica que sean asignados e identificados correctamente. […] Sumado a lo anterior, el CONPES 3107 de 2011 consagra la importancia de realizar un análisis de información que permita determinar la asignación del riesgo basado en información confiable y de calidad, pues «con información de mejor calidad, la percepción de riesgo es menor y se pueden adoptar las medidas para controlar la incidencia de las fuentes de riesgo», establecer mecanismos de mitigación del impacto y cobertura, instrumentos de protección, así como determinar su asignación a los distintos participes del negocio jurídico. </w:t>
      </w:r>
    </w:p>
    <w:p w14:paraId="3D40EDC5" w14:textId="77777777" w:rsidR="00F7025D" w:rsidRPr="00D6662D" w:rsidRDefault="00F7025D" w:rsidP="00F7025D">
      <w:pPr>
        <w:jc w:val="both"/>
        <w:rPr>
          <w:rFonts w:ascii="Verdana" w:hAnsi="Verdana" w:cs="Arial"/>
        </w:rPr>
      </w:pPr>
      <w:r w:rsidRPr="00D6662D">
        <w:rPr>
          <w:rFonts w:ascii="Verdana" w:hAnsi="Verdana" w:cs="Arial"/>
        </w:rPr>
        <w:t xml:space="preserve">En la misma línea, el CONPES 3714 de 2011, definió lineamientos para el entendimiento del concepto de “riesgo previsible” en el marco de los procesos de selección sometidos al Estatuto General de Contratación de la Administración Pública, con el fin de «convertirse en una herramienta para el mejoramiento continuo en la aplicación de la normativa existente; buscar el establecimiento de reglas claras frente a posibles alteraciones del equilibrio financiero de los contratos; generar seguridad jurídica; y, en general, sentar las bases para el fortalecimiento y la homogenización de los pasos que se surten en la etapa </w:t>
      </w:r>
      <w:r w:rsidRPr="00D6662D">
        <w:rPr>
          <w:rFonts w:ascii="Verdana" w:hAnsi="Verdana" w:cs="Arial"/>
        </w:rPr>
        <w:lastRenderedPageBreak/>
        <w:t xml:space="preserve">precontractual para el establecimiento de los riesgos previsibles de la contratación». </w:t>
      </w:r>
    </w:p>
    <w:p w14:paraId="7EEE8152" w14:textId="77777777" w:rsidR="00F7025D" w:rsidRPr="00D6662D" w:rsidRDefault="00F7025D" w:rsidP="00F7025D">
      <w:pPr>
        <w:jc w:val="both"/>
        <w:rPr>
          <w:rFonts w:ascii="Verdana" w:hAnsi="Verdana" w:cs="Arial"/>
          <w:b/>
          <w:bCs/>
        </w:rPr>
      </w:pPr>
      <w:r w:rsidRPr="00D6662D">
        <w:rPr>
          <w:rFonts w:ascii="Verdana" w:hAnsi="Verdana" w:cs="Arial"/>
          <w:b/>
          <w:bCs/>
        </w:rPr>
        <w:t>COLOMBIA COMPRA EFICIENTE – Decreto Ley 4170 de 2011 – Naturaleza jurídica – Objeto</w:t>
      </w:r>
    </w:p>
    <w:p w14:paraId="1EE41011" w14:textId="77777777" w:rsidR="00F7025D" w:rsidRPr="00D6662D" w:rsidRDefault="00F7025D" w:rsidP="00F7025D">
      <w:pPr>
        <w:jc w:val="both"/>
        <w:rPr>
          <w:rFonts w:ascii="Verdana" w:hAnsi="Verdana" w:cs="Arial"/>
        </w:rPr>
      </w:pPr>
      <w:r w:rsidRPr="00D6662D">
        <w:rPr>
          <w:rFonts w:ascii="Verdana" w:hAnsi="Verdana" w:cs="Arial"/>
        </w:rPr>
        <w:t xml:space="preserve">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facultando a la Agencia para «difundir las normas, reglas, procedimientos, medios tecnológicos y mejores prácticas para las compras y la contratación pública», de conformidad con el numeral 10 del artículo 3 del Decreto Ley 4170 de 2011. </w:t>
      </w:r>
    </w:p>
    <w:p w14:paraId="2E491798" w14:textId="77777777" w:rsidR="00F7025D" w:rsidRPr="00D6662D" w:rsidRDefault="00F7025D" w:rsidP="00F7025D">
      <w:pPr>
        <w:jc w:val="both"/>
        <w:rPr>
          <w:rFonts w:ascii="Verdana" w:hAnsi="Verdana" w:cs="Arial"/>
        </w:rPr>
      </w:pPr>
      <w:r w:rsidRPr="00D6662D">
        <w:rPr>
          <w:rFonts w:ascii="Verdana" w:hAnsi="Verdana" w:cs="Arial"/>
        </w:rPr>
        <w:t xml:space="preserve">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w:t>
      </w:r>
    </w:p>
    <w:p w14:paraId="451AFDA2" w14:textId="77777777" w:rsidR="00F7025D" w:rsidRPr="00D6662D" w:rsidRDefault="00F7025D" w:rsidP="00F7025D">
      <w:pPr>
        <w:jc w:val="both"/>
        <w:rPr>
          <w:rFonts w:ascii="Verdana" w:hAnsi="Verdana" w:cs="Arial"/>
          <w:b/>
          <w:bCs/>
        </w:rPr>
      </w:pPr>
      <w:r w:rsidRPr="00D6662D">
        <w:rPr>
          <w:rFonts w:ascii="Verdana" w:hAnsi="Verdana" w:cs="Arial"/>
          <w:b/>
          <w:bCs/>
        </w:rPr>
        <w:t>COLOMBIA COMPRA EFICIENTE – Funciones – Expedición – Guías – Manuales – Circulares</w:t>
      </w:r>
    </w:p>
    <w:p w14:paraId="3780FA68" w14:textId="77777777" w:rsidR="00F7025D" w:rsidRPr="00D6662D" w:rsidRDefault="00F7025D" w:rsidP="00F7025D">
      <w:pPr>
        <w:pStyle w:val="Textoindependiente"/>
        <w:jc w:val="both"/>
        <w:rPr>
          <w:rFonts w:ascii="Verdana" w:hAnsi="Verdana" w:cs="Arial"/>
        </w:rPr>
      </w:pPr>
      <w:r w:rsidRPr="00D6662D">
        <w:rPr>
          <w:rFonts w:ascii="Verdana" w:hAnsi="Verdana" w:cs="Arial"/>
        </w:rPr>
        <w:t>En ejercicio de estas competencias conferidas por el Decreto Ley 4170 de 2011, Colombia Compra Eficiente ha expedido Guías, Manuales, Circulares y los Documentos Tipo, los cuales pueden ser calificados como herramientas de apoyo a los partícipes de la contratación pública.</w:t>
      </w:r>
    </w:p>
    <w:p w14:paraId="6A13375A" w14:textId="77777777" w:rsidR="00F7025D" w:rsidRPr="00D6662D" w:rsidRDefault="00F7025D" w:rsidP="00F7025D">
      <w:pPr>
        <w:jc w:val="both"/>
        <w:rPr>
          <w:rFonts w:ascii="Verdana" w:hAnsi="Verdana" w:cs="Arial"/>
          <w:b/>
        </w:rPr>
      </w:pPr>
      <w:r w:rsidRPr="00D6662D">
        <w:rPr>
          <w:rFonts w:ascii="Verdana" w:hAnsi="Verdana" w:cs="Arial"/>
          <w:b/>
        </w:rPr>
        <w:t>MANUALES – Colombia Compra Eficiente – Definición</w:t>
      </w:r>
    </w:p>
    <w:p w14:paraId="7E3F7426" w14:textId="77777777" w:rsidR="00F7025D" w:rsidRPr="00D6662D" w:rsidRDefault="00F7025D" w:rsidP="00F7025D">
      <w:pPr>
        <w:jc w:val="both"/>
        <w:rPr>
          <w:rFonts w:ascii="Verdana" w:hAnsi="Verdana" w:cs="Arial"/>
        </w:rPr>
      </w:pPr>
      <w:r w:rsidRPr="00D6662D">
        <w:rPr>
          <w:rFonts w:ascii="Verdana" w:hAnsi="Verdana" w:cs="Arial"/>
        </w:rPr>
        <w:t xml:space="preserve">[…] los Manuales han sido entendidos como documentos que tratan de manera general aspectos fundamentales y elementales de un tema. Su contenido tiende a ser teórico y su finalidad es aclarar los puntos más importantes del asunto abordado. Por ejemplo, la entidad ha elaborado manuales para determinar y </w:t>
      </w:r>
      <w:r w:rsidRPr="00D6662D">
        <w:rPr>
          <w:rFonts w:ascii="Verdana" w:hAnsi="Verdana" w:cs="Arial"/>
        </w:rPr>
        <w:lastRenderedPageBreak/>
        <w:t>verificar los requisitos habilitantes o para el manejo de los acuerdos comerciales en los procesos de contratación.</w:t>
      </w:r>
    </w:p>
    <w:p w14:paraId="6357CAB1" w14:textId="77777777" w:rsidR="00F7025D" w:rsidRPr="00D6662D" w:rsidRDefault="00F7025D" w:rsidP="00F7025D">
      <w:pPr>
        <w:jc w:val="both"/>
        <w:rPr>
          <w:rFonts w:ascii="Verdana" w:hAnsi="Verdana" w:cs="Arial"/>
          <w:b/>
          <w:bCs/>
        </w:rPr>
      </w:pPr>
      <w:r w:rsidRPr="00D6662D">
        <w:rPr>
          <w:rFonts w:ascii="Verdana" w:hAnsi="Verdana" w:cs="Arial"/>
          <w:b/>
          <w:bCs/>
        </w:rPr>
        <w:t>OBLIGATORIEDAD – Actos – Colombia Compra Eficiente</w:t>
      </w:r>
    </w:p>
    <w:p w14:paraId="3A07CFED" w14:textId="77777777" w:rsidR="00F7025D" w:rsidRPr="00D6662D" w:rsidRDefault="00F7025D" w:rsidP="00F7025D">
      <w:pPr>
        <w:jc w:val="both"/>
        <w:rPr>
          <w:rFonts w:ascii="Verdana" w:hAnsi="Verdana" w:cs="Arial"/>
        </w:rPr>
      </w:pPr>
      <w:r w:rsidRPr="00D6662D">
        <w:rPr>
          <w:rFonts w:ascii="Verdana" w:hAnsi="Verdana" w:cs="Arial"/>
        </w:rPr>
        <w:t xml:space="preserve">En otras palabras, lo que define la obligatoriedad de determinado acto que expida la entidad no es que se adopte mediante Circular Externa, sino que el contenido sea de aquellos cuya regulación ha sido encargada por el legislador o el </w:t>
      </w:r>
      <w:proofErr w:type="gramStart"/>
      <w:r w:rsidRPr="00D6662D">
        <w:rPr>
          <w:rFonts w:ascii="Verdana" w:hAnsi="Verdana" w:cs="Arial"/>
        </w:rPr>
        <w:t>Presidente</w:t>
      </w:r>
      <w:proofErr w:type="gramEnd"/>
      <w:r w:rsidRPr="00D6662D">
        <w:rPr>
          <w:rFonts w:ascii="Verdana" w:hAnsi="Verdana" w:cs="Arial"/>
        </w:rPr>
        <w:t xml:space="preserve"> de la República a la Agencia Nacional de Contratación Pública. Lo anterior hace referencia a uno de los elementos de los actos administrativos: la competencia.</w:t>
      </w:r>
    </w:p>
    <w:p w14:paraId="58C098F4" w14:textId="77777777" w:rsidR="00F7025D" w:rsidRPr="00D6662D" w:rsidRDefault="00F7025D" w:rsidP="00F7025D">
      <w:pPr>
        <w:jc w:val="both"/>
        <w:rPr>
          <w:rFonts w:ascii="Verdana" w:hAnsi="Verdana" w:cs="Arial"/>
        </w:rPr>
      </w:pPr>
      <w:r w:rsidRPr="00D6662D">
        <w:rPr>
          <w:rFonts w:ascii="Verdana" w:hAnsi="Verdana" w:cs="Arial"/>
        </w:rPr>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p>
    <w:p w14:paraId="6FB8AB05" w14:textId="77777777" w:rsidR="00F7025D" w:rsidRPr="00D6662D" w:rsidRDefault="00F7025D" w:rsidP="00F7025D">
      <w:pPr>
        <w:jc w:val="both"/>
        <w:rPr>
          <w:rFonts w:ascii="Verdana" w:hAnsi="Verdana" w:cs="Arial"/>
          <w:b/>
          <w:bCs/>
        </w:rPr>
      </w:pPr>
      <w:r w:rsidRPr="00D6662D">
        <w:rPr>
          <w:rFonts w:ascii="Verdana" w:hAnsi="Verdana" w:cs="Arial"/>
          <w:b/>
          <w:bCs/>
        </w:rPr>
        <w:t>MANUAL PARA LA IDENTIFICACIÓN Y COBERTURA DEL RIESGO EN LOS PROCESOS DE CONTRATACIÓN – No obligatoriedad – Nulidad – Norma que otorgaba competencia</w:t>
      </w:r>
    </w:p>
    <w:p w14:paraId="1A85CB9D" w14:textId="77777777" w:rsidR="00F7025D" w:rsidRPr="00D6662D" w:rsidRDefault="00F7025D" w:rsidP="00F7025D">
      <w:pPr>
        <w:pStyle w:val="Textoindependiente"/>
        <w:spacing w:line="240" w:lineRule="auto"/>
        <w:ind w:right="49"/>
        <w:jc w:val="both"/>
        <w:rPr>
          <w:rFonts w:ascii="Verdana" w:eastAsia="Times New Roman" w:hAnsi="Verdana" w:cs="Arial"/>
        </w:rPr>
      </w:pPr>
      <w:r w:rsidRPr="00D6662D">
        <w:rPr>
          <w:rFonts w:ascii="Verdana" w:eastAsia="Times New Roman" w:hAnsi="Verdana" w:cs="Arial"/>
        </w:rPr>
        <w:t>Frente a los manuales y guías para la “identificación y cobertura del riesgo”, el Consejo de Estado concluyó que, a la luz del artículo 4 de la Ley 1150 de 2007, son las entidades contratantes las obligadas a incluir en los pliegos de condiciones la estimación, tipificación y asignación del riesgo previsible a cada proceso de contratación. Asimismo, frente a la cobertura de ese riesgo, el artículo 7 de la Ley 1150 de 2007 determinó que era el Gobierno Nacional quien debía fijar los “criterios que seguirán las entidades para la exigencia de garantías, las clases y niveles de amparo de los riesgos de los contratos”.</w:t>
      </w:r>
    </w:p>
    <w:p w14:paraId="19E115FC" w14:textId="77777777" w:rsidR="00F7025D" w:rsidRPr="00D6662D" w:rsidRDefault="00F7025D" w:rsidP="00F7025D">
      <w:pPr>
        <w:pStyle w:val="Textoindependiente"/>
        <w:spacing w:line="240" w:lineRule="auto"/>
        <w:ind w:right="49"/>
        <w:jc w:val="both"/>
        <w:rPr>
          <w:rFonts w:ascii="Verdana" w:eastAsia="Times New Roman" w:hAnsi="Verdana" w:cs="Arial"/>
        </w:rPr>
      </w:pPr>
      <w:r w:rsidRPr="00D6662D">
        <w:rPr>
          <w:rFonts w:ascii="Verdana" w:eastAsia="Times New Roman" w:hAnsi="Verdana" w:cs="Arial"/>
        </w:rPr>
        <w:t>Por ello, al declararse la nulidad del literal a) del numeral 2 del artículo 159 del Decreto 1510 de 2013, el Consejo de Estado determinó que las guías o manuales que expida Colombia Compra Eficiente, en relación con la identificación y cobertura de riesgos, no son vinculantes para las entidades, quienes podrán, de manera facultativa, acudir a ellas como una guía para llevar a cabo la estimación, tipificación, asignación y cobertura de riesgos en cada proceso de contratación particular.</w:t>
      </w:r>
    </w:p>
    <w:p w14:paraId="1151CBE0" w14:textId="77777777" w:rsidR="00C847E1" w:rsidRDefault="00C847E1" w:rsidP="00F7025D">
      <w:pPr>
        <w:spacing w:after="0" w:line="240" w:lineRule="auto"/>
        <w:jc w:val="both"/>
        <w:rPr>
          <w:rFonts w:ascii="Verdana" w:hAnsi="Verdana" w:cs="Arial"/>
        </w:rPr>
      </w:pPr>
    </w:p>
    <w:p w14:paraId="4900A151" w14:textId="77777777" w:rsidR="00C847E1" w:rsidRDefault="00C847E1" w:rsidP="00F7025D">
      <w:pPr>
        <w:spacing w:after="0" w:line="240" w:lineRule="auto"/>
        <w:jc w:val="both"/>
        <w:rPr>
          <w:rFonts w:ascii="Verdana" w:hAnsi="Verdana" w:cs="Arial"/>
        </w:rPr>
      </w:pPr>
    </w:p>
    <w:p w14:paraId="4FC1D0DD" w14:textId="0A06FC10" w:rsidR="00F7025D" w:rsidRDefault="003B6A61" w:rsidP="00F7025D">
      <w:pPr>
        <w:spacing w:after="0" w:line="240" w:lineRule="auto"/>
        <w:jc w:val="both"/>
        <w:rPr>
          <w:rFonts w:ascii="Verdana" w:eastAsia="Geomanist Light" w:hAnsi="Verdana" w:cs="Arial"/>
          <w:color w:val="000000" w:themeColor="text1"/>
          <w:lang w:val="es-MX"/>
        </w:rPr>
      </w:pPr>
      <w:r w:rsidRPr="003B6A61">
        <w:rPr>
          <w:rFonts w:ascii="Verdana" w:eastAsia="Calibri" w:hAnsi="Verdana" w:cs="Arial"/>
          <w:noProof/>
          <w:color w:val="000000"/>
          <w:lang w:val="es-ES"/>
        </w:rPr>
        <w:lastRenderedPageBreak/>
        <w:drawing>
          <wp:anchor distT="0" distB="0" distL="114300" distR="114300" simplePos="0" relativeHeight="251658240" behindDoc="1" locked="0" layoutInCell="1" allowOverlap="1" wp14:anchorId="45098E63" wp14:editId="23BE8339">
            <wp:simplePos x="0" y="0"/>
            <wp:positionH relativeFrom="column">
              <wp:posOffset>3483166</wp:posOffset>
            </wp:positionH>
            <wp:positionV relativeFrom="paragraph">
              <wp:posOffset>-15420</wp:posOffset>
            </wp:positionV>
            <wp:extent cx="2581635" cy="743054"/>
            <wp:effectExtent l="0" t="0" r="0" b="0"/>
            <wp:wrapNone/>
            <wp:docPr id="187004208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42089"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581635" cy="743054"/>
                    </a:xfrm>
                    <a:prstGeom prst="rect">
                      <a:avLst/>
                    </a:prstGeom>
                  </pic:spPr>
                </pic:pic>
              </a:graphicData>
            </a:graphic>
          </wp:anchor>
        </w:drawing>
      </w:r>
      <w:r w:rsidRPr="003B6A61">
        <w:rPr>
          <w:rFonts w:ascii="Verdana" w:eastAsia="Geomanist Light" w:hAnsi="Verdana" w:cs="Arial"/>
          <w:color w:val="000000" w:themeColor="text1"/>
          <w:lang w:val="es-MX"/>
        </w:rPr>
        <w:t xml:space="preserve">Bogotá D.C., 16 </w:t>
      </w:r>
      <w:proofErr w:type="gramStart"/>
      <w:r w:rsidRPr="003B6A61">
        <w:rPr>
          <w:rFonts w:ascii="Verdana" w:eastAsia="Geomanist Light" w:hAnsi="Verdana" w:cs="Arial"/>
          <w:color w:val="000000" w:themeColor="text1"/>
          <w:lang w:val="es-MX"/>
        </w:rPr>
        <w:t>Agosto</w:t>
      </w:r>
      <w:proofErr w:type="gramEnd"/>
      <w:r w:rsidRPr="003B6A61">
        <w:rPr>
          <w:rFonts w:ascii="Verdana" w:eastAsia="Geomanist Light" w:hAnsi="Verdana" w:cs="Arial"/>
          <w:color w:val="000000" w:themeColor="text1"/>
          <w:lang w:val="es-MX"/>
        </w:rPr>
        <w:t xml:space="preserve"> 2024</w:t>
      </w:r>
    </w:p>
    <w:p w14:paraId="78C07001" w14:textId="442EB405" w:rsidR="003B6A61" w:rsidRPr="00D6662D" w:rsidRDefault="003B6A61" w:rsidP="00F7025D">
      <w:pPr>
        <w:spacing w:after="0" w:line="240" w:lineRule="auto"/>
        <w:jc w:val="both"/>
        <w:rPr>
          <w:rFonts w:ascii="Verdana" w:eastAsia="Calibri" w:hAnsi="Verdana" w:cs="Arial"/>
          <w:color w:val="000000"/>
          <w:lang w:val="es-ES"/>
        </w:rPr>
      </w:pPr>
    </w:p>
    <w:p w14:paraId="59768FB1" w14:textId="77777777" w:rsidR="00F7025D" w:rsidRPr="00D6662D" w:rsidRDefault="00F7025D" w:rsidP="00F7025D">
      <w:pPr>
        <w:spacing w:after="0" w:line="240" w:lineRule="auto"/>
        <w:jc w:val="both"/>
        <w:rPr>
          <w:rFonts w:ascii="Verdana" w:eastAsia="Calibri" w:hAnsi="Verdana" w:cs="Arial"/>
          <w:lang w:val="es-ES" w:eastAsia="es-ES"/>
        </w:rPr>
      </w:pPr>
      <w:r w:rsidRPr="00D6662D">
        <w:rPr>
          <w:rFonts w:ascii="Verdana" w:eastAsia="Calibri" w:hAnsi="Verdana" w:cs="Arial"/>
          <w:lang w:val="es-ES" w:eastAsia="es-ES"/>
        </w:rPr>
        <w:t>Señora:</w:t>
      </w:r>
    </w:p>
    <w:p w14:paraId="3473583C" w14:textId="77777777" w:rsidR="00F7025D" w:rsidRPr="00D6662D" w:rsidRDefault="00F7025D" w:rsidP="00F7025D">
      <w:pPr>
        <w:spacing w:after="0" w:line="240" w:lineRule="auto"/>
        <w:rPr>
          <w:rFonts w:ascii="Verdana" w:eastAsia="Calibri" w:hAnsi="Verdana" w:cs="Arial"/>
          <w:b/>
          <w:lang w:val="es-ES_tradnl" w:eastAsia="es-ES_tradnl"/>
        </w:rPr>
      </w:pPr>
      <w:r w:rsidRPr="00D6662D">
        <w:rPr>
          <w:rFonts w:ascii="Verdana" w:eastAsia="Calibri" w:hAnsi="Verdana" w:cs="Arial"/>
          <w:b/>
          <w:lang w:val="es-ES_tradnl" w:eastAsia="es-ES_tradnl"/>
        </w:rPr>
        <w:t>LUZ HELENA PATERMINA MORA</w:t>
      </w:r>
    </w:p>
    <w:p w14:paraId="480CD4F5" w14:textId="77777777" w:rsidR="00F7025D" w:rsidRPr="00D6662D" w:rsidRDefault="00F7025D" w:rsidP="00F7025D">
      <w:pPr>
        <w:spacing w:after="0" w:line="240" w:lineRule="auto"/>
        <w:rPr>
          <w:rFonts w:ascii="Verdana" w:eastAsia="Calibri" w:hAnsi="Verdana" w:cs="Arial"/>
          <w:bCs/>
          <w:lang w:val="es-ES_tradnl" w:eastAsia="es-ES_tradnl"/>
        </w:rPr>
      </w:pPr>
      <w:r w:rsidRPr="00D6662D">
        <w:rPr>
          <w:rFonts w:ascii="Verdana" w:eastAsia="Calibri" w:hAnsi="Verdana" w:cs="Arial"/>
          <w:bCs/>
          <w:lang w:val="es-ES_tradnl" w:eastAsia="es-ES_tradnl"/>
        </w:rPr>
        <w:t xml:space="preserve">Representante Legal </w:t>
      </w:r>
    </w:p>
    <w:p w14:paraId="2F5288B5" w14:textId="77777777" w:rsidR="00F7025D" w:rsidRPr="00D6662D" w:rsidRDefault="00586AEF" w:rsidP="00F7025D">
      <w:pPr>
        <w:spacing w:after="0" w:line="240" w:lineRule="auto"/>
        <w:rPr>
          <w:rFonts w:ascii="Verdana" w:eastAsia="Calibri" w:hAnsi="Verdana" w:cs="Arial"/>
          <w:u w:val="single"/>
          <w:lang w:val="es-ES" w:eastAsia="es-ES"/>
        </w:rPr>
      </w:pPr>
      <w:hyperlink r:id="rId12" w:history="1">
        <w:r w:rsidR="00F7025D" w:rsidRPr="00D6662D">
          <w:rPr>
            <w:rStyle w:val="Hipervnculo"/>
            <w:rFonts w:ascii="Verdana" w:eastAsia="Calibri" w:hAnsi="Verdana" w:cs="Arial"/>
            <w:lang w:val="es-ES" w:eastAsia="es-ES"/>
          </w:rPr>
          <w:t>lepaternina@cdinfraestrutura.com.co</w:t>
        </w:r>
      </w:hyperlink>
    </w:p>
    <w:p w14:paraId="0C534918" w14:textId="77777777" w:rsidR="00F7025D" w:rsidRPr="00D6662D" w:rsidRDefault="00F7025D" w:rsidP="00F7025D">
      <w:pPr>
        <w:spacing w:after="0" w:line="240" w:lineRule="auto"/>
        <w:rPr>
          <w:rFonts w:ascii="Verdana" w:eastAsia="Calibri" w:hAnsi="Verdana" w:cs="Arial"/>
          <w:b/>
          <w:bCs/>
          <w:lang w:val="es-ES" w:eastAsia="es-ES"/>
        </w:rPr>
      </w:pPr>
      <w:r w:rsidRPr="00D6662D">
        <w:rPr>
          <w:rFonts w:ascii="Verdana" w:eastAsia="Calibri" w:hAnsi="Verdana" w:cs="Arial"/>
          <w:lang w:val="es-ES" w:eastAsia="es-ES"/>
        </w:rPr>
        <w:t>Bogotá D.C</w:t>
      </w:r>
    </w:p>
    <w:p w14:paraId="7227E02D" w14:textId="77777777" w:rsidR="00F7025D" w:rsidRPr="00D6662D" w:rsidRDefault="00F7025D" w:rsidP="00F7025D">
      <w:pPr>
        <w:spacing w:after="0" w:line="240" w:lineRule="auto"/>
        <w:rPr>
          <w:rFonts w:ascii="Verdana" w:eastAsia="Calibri" w:hAnsi="Verdana" w:cs="Arial"/>
          <w:b/>
          <w:bCs/>
          <w:color w:val="000000"/>
          <w:lang w:val="es-ES_tradnl" w:eastAsia="es-ES_tradnl"/>
        </w:rPr>
      </w:pPr>
    </w:p>
    <w:p w14:paraId="7ED022F8" w14:textId="77777777" w:rsidR="00F7025D" w:rsidRPr="00D6662D" w:rsidRDefault="00F7025D" w:rsidP="00F7025D">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5954"/>
      </w:tblGrid>
      <w:tr w:rsidR="00F7025D" w:rsidRPr="00EF46B1" w14:paraId="51792BF8" w14:textId="77777777" w:rsidTr="00610E87">
        <w:trPr>
          <w:trHeight w:val="884"/>
        </w:trPr>
        <w:tc>
          <w:tcPr>
            <w:tcW w:w="2835" w:type="dxa"/>
          </w:tcPr>
          <w:p w14:paraId="11DA716B" w14:textId="77777777" w:rsidR="00F7025D" w:rsidRPr="00D6662D" w:rsidRDefault="00F7025D" w:rsidP="001C79B1">
            <w:pPr>
              <w:jc w:val="both"/>
              <w:rPr>
                <w:rFonts w:ascii="Verdana" w:eastAsia="Calibri" w:hAnsi="Verdana" w:cs="Arial"/>
                <w:b/>
                <w:bCs/>
                <w:highlight w:val="yellow"/>
                <w:lang w:val="es-ES_tradnl" w:eastAsia="es-ES_tradnl"/>
              </w:rPr>
            </w:pPr>
          </w:p>
        </w:tc>
        <w:tc>
          <w:tcPr>
            <w:tcW w:w="5954" w:type="dxa"/>
          </w:tcPr>
          <w:p w14:paraId="043DC9F3" w14:textId="6D6B2530" w:rsidR="00F7025D" w:rsidRPr="00E42DCA" w:rsidRDefault="00F7025D" w:rsidP="001C79B1">
            <w:pPr>
              <w:jc w:val="both"/>
              <w:rPr>
                <w:rFonts w:ascii="Verdana" w:eastAsia="Calibri" w:hAnsi="Verdana" w:cs="Arial"/>
                <w:b/>
                <w:bCs/>
                <w:lang w:val="es-ES" w:eastAsia="es-ES"/>
              </w:rPr>
            </w:pPr>
            <w:r w:rsidRPr="00E42DCA">
              <w:rPr>
                <w:rFonts w:ascii="Verdana" w:eastAsia="Calibri" w:hAnsi="Verdana" w:cs="Arial"/>
                <w:b/>
                <w:bCs/>
                <w:lang w:val="es-ES" w:eastAsia="es-ES"/>
              </w:rPr>
              <w:t>Concepto C- 2</w:t>
            </w:r>
            <w:r w:rsidR="00E92B49">
              <w:rPr>
                <w:rFonts w:ascii="Verdana" w:eastAsia="Calibri" w:hAnsi="Verdana" w:cs="Arial"/>
                <w:b/>
                <w:bCs/>
                <w:lang w:val="es-ES" w:eastAsia="es-ES"/>
              </w:rPr>
              <w:t>88</w:t>
            </w:r>
            <w:r w:rsidRPr="00E42DCA">
              <w:rPr>
                <w:rFonts w:ascii="Verdana" w:eastAsia="Calibri" w:hAnsi="Verdana" w:cs="Arial"/>
                <w:b/>
                <w:bCs/>
                <w:lang w:val="es-ES" w:eastAsia="es-ES"/>
              </w:rPr>
              <w:t xml:space="preserve"> de 2024</w:t>
            </w:r>
          </w:p>
        </w:tc>
      </w:tr>
      <w:tr w:rsidR="00F7025D" w:rsidRPr="00EF46B1" w14:paraId="576F3A4F" w14:textId="77777777" w:rsidTr="00610E87">
        <w:trPr>
          <w:trHeight w:val="884"/>
        </w:trPr>
        <w:tc>
          <w:tcPr>
            <w:tcW w:w="2835" w:type="dxa"/>
          </w:tcPr>
          <w:p w14:paraId="3098A7E1" w14:textId="77777777" w:rsidR="00F7025D" w:rsidRPr="00D6662D" w:rsidRDefault="00F7025D" w:rsidP="001C79B1">
            <w:pPr>
              <w:jc w:val="both"/>
              <w:rPr>
                <w:rFonts w:ascii="Verdana" w:eastAsia="Calibri" w:hAnsi="Verdana" w:cs="Arial"/>
                <w:color w:val="000000"/>
                <w:lang w:val="es-ES_tradnl" w:eastAsia="es-ES_tradnl"/>
              </w:rPr>
            </w:pPr>
            <w:r w:rsidRPr="00D6662D">
              <w:rPr>
                <w:rFonts w:ascii="Verdana" w:eastAsia="Calibri" w:hAnsi="Verdana" w:cs="Arial"/>
                <w:b/>
                <w:color w:val="000000"/>
                <w:lang w:val="es-ES_tradnl" w:eastAsia="es-ES_tradnl"/>
              </w:rPr>
              <w:t>Temas:</w:t>
            </w:r>
            <w:r w:rsidRPr="00D6662D">
              <w:rPr>
                <w:rFonts w:ascii="Verdana" w:eastAsia="Calibri" w:hAnsi="Verdana" w:cs="Arial"/>
                <w:color w:val="000000"/>
                <w:lang w:val="es-ES_tradnl" w:eastAsia="es-ES_tradnl"/>
              </w:rPr>
              <w:t xml:space="preserve">                   </w:t>
            </w:r>
          </w:p>
        </w:tc>
        <w:tc>
          <w:tcPr>
            <w:tcW w:w="5954" w:type="dxa"/>
          </w:tcPr>
          <w:p w14:paraId="6B6D33F5" w14:textId="77777777" w:rsidR="00F7025D" w:rsidRPr="00D6662D" w:rsidRDefault="00F7025D" w:rsidP="00610E87">
            <w:pPr>
              <w:spacing w:line="276" w:lineRule="auto"/>
              <w:ind w:left="708" w:hanging="708"/>
              <w:jc w:val="both"/>
              <w:rPr>
                <w:rFonts w:ascii="Verdana" w:eastAsia="Calibri" w:hAnsi="Verdana" w:cs="Arial"/>
                <w:lang w:val="es-ES" w:eastAsia="es-ES"/>
              </w:rPr>
            </w:pPr>
            <w:r w:rsidRPr="00D6662D">
              <w:rPr>
                <w:rFonts w:ascii="Verdana" w:eastAsia="Calibri" w:hAnsi="Verdana" w:cs="Arial"/>
                <w:lang w:val="es-ES" w:eastAsia="es-ES"/>
              </w:rPr>
              <w:t>RIESGOS – Normativa / RIESGOS – CONPES – Definición / COLOMBIA COMPRA EFICIENTE – Decreto Ley 4170 de 2011 – Naturaleza jurídica – Objeto / COLOMBIA COMPRA EFICIENTE – Funciones – Expedición – Guías – Manuales – Circulares / MANUALES – Colombia Compra Eficiente – Definición / GUÍAS – Colombia Compra Eficiente – Definición / OBLIGATORIEDAD – Actos – Colombia Compra Eficiente / MANUAL PARA LA IDENTIFICACIÓN Y COBERTURA DEL RIESGO EN LOS PROCESOS DE CONTRATACIÓN – No obligatoriedad.</w:t>
            </w:r>
          </w:p>
        </w:tc>
      </w:tr>
      <w:tr w:rsidR="00F7025D" w:rsidRPr="00EF46B1" w14:paraId="7867F9FB" w14:textId="77777777" w:rsidTr="00610E87">
        <w:tc>
          <w:tcPr>
            <w:tcW w:w="2835" w:type="dxa"/>
          </w:tcPr>
          <w:p w14:paraId="611CCFB9" w14:textId="77777777" w:rsidR="00F7025D" w:rsidRPr="00D6662D" w:rsidRDefault="00F7025D" w:rsidP="001C79B1">
            <w:pPr>
              <w:jc w:val="both"/>
              <w:rPr>
                <w:rFonts w:ascii="Verdana" w:eastAsia="Calibri" w:hAnsi="Verdana" w:cs="Arial"/>
                <w:b/>
                <w:lang w:val="es-ES_tradnl" w:eastAsia="es-ES_tradnl"/>
              </w:rPr>
            </w:pPr>
            <w:r w:rsidRPr="00D6662D">
              <w:rPr>
                <w:rFonts w:ascii="Verdana" w:eastAsia="Calibri" w:hAnsi="Verdana" w:cs="Arial"/>
                <w:b/>
                <w:lang w:val="es-ES_tradnl" w:eastAsia="es-ES_tradnl"/>
              </w:rPr>
              <w:t>Radicación:</w:t>
            </w:r>
            <w:r w:rsidRPr="00D6662D">
              <w:rPr>
                <w:rFonts w:ascii="Verdana" w:eastAsia="Calibri" w:hAnsi="Verdana" w:cs="Arial"/>
                <w:lang w:val="es-ES_tradnl" w:eastAsia="es-ES_tradnl"/>
              </w:rPr>
              <w:t xml:space="preserve">               </w:t>
            </w:r>
          </w:p>
        </w:tc>
        <w:tc>
          <w:tcPr>
            <w:tcW w:w="5954" w:type="dxa"/>
          </w:tcPr>
          <w:p w14:paraId="2959E30C" w14:textId="77777777" w:rsidR="00F7025D" w:rsidRPr="00D6662D" w:rsidRDefault="00F7025D" w:rsidP="001C79B1">
            <w:pPr>
              <w:jc w:val="both"/>
              <w:rPr>
                <w:rFonts w:ascii="Verdana" w:eastAsia="Calibri" w:hAnsi="Verdana" w:cs="Arial"/>
                <w:lang w:val="es-ES_tradnl" w:eastAsia="es-ES_tradnl"/>
              </w:rPr>
            </w:pPr>
            <w:r w:rsidRPr="00D6662D">
              <w:rPr>
                <w:rFonts w:ascii="Verdana" w:eastAsia="Calibri" w:hAnsi="Verdana" w:cs="Arial"/>
                <w:lang w:val="es-ES_tradnl" w:eastAsia="es-ES_tradnl"/>
              </w:rPr>
              <w:t>Respuesta a consulta con radicado No. P202</w:t>
            </w:r>
            <w:r>
              <w:rPr>
                <w:rFonts w:ascii="Verdana" w:eastAsia="Calibri" w:hAnsi="Verdana" w:cs="Arial"/>
                <w:lang w:val="es-ES_tradnl" w:eastAsia="es-ES_tradnl"/>
              </w:rPr>
              <w:t>407030067</w:t>
            </w:r>
          </w:p>
        </w:tc>
      </w:tr>
    </w:tbl>
    <w:p w14:paraId="47EDFBFB" w14:textId="77777777" w:rsidR="00F7025D" w:rsidRPr="00D6662D" w:rsidRDefault="00F7025D" w:rsidP="00F7025D">
      <w:pPr>
        <w:spacing w:after="0" w:line="240" w:lineRule="auto"/>
        <w:jc w:val="both"/>
        <w:rPr>
          <w:rFonts w:ascii="Verdana" w:eastAsia="Calibri" w:hAnsi="Verdana" w:cs="Arial"/>
          <w:color w:val="000000"/>
          <w:lang w:val="es-ES_tradnl" w:eastAsia="es-ES_tradnl"/>
        </w:rPr>
      </w:pPr>
    </w:p>
    <w:p w14:paraId="0FE8B84F" w14:textId="77777777" w:rsidR="00F7025D" w:rsidRPr="00D6662D" w:rsidRDefault="00F7025D" w:rsidP="00F7025D">
      <w:pPr>
        <w:spacing w:after="0" w:line="240" w:lineRule="auto"/>
        <w:jc w:val="both"/>
        <w:rPr>
          <w:rFonts w:ascii="Verdana" w:eastAsia="Calibri" w:hAnsi="Verdana" w:cs="Arial"/>
          <w:color w:val="000000"/>
          <w:lang w:val="es-ES_tradnl" w:eastAsia="es-ES_tradnl"/>
        </w:rPr>
      </w:pPr>
    </w:p>
    <w:p w14:paraId="6DF3664B" w14:textId="77777777" w:rsidR="00F7025D" w:rsidRPr="00D6662D" w:rsidRDefault="00F7025D" w:rsidP="00F7025D">
      <w:pPr>
        <w:spacing w:after="0" w:line="276" w:lineRule="auto"/>
        <w:jc w:val="both"/>
        <w:rPr>
          <w:rFonts w:ascii="Verdana" w:eastAsia="Calibri" w:hAnsi="Verdana" w:cs="Arial"/>
          <w:lang w:val="es-ES" w:eastAsia="es-ES"/>
        </w:rPr>
      </w:pPr>
      <w:r w:rsidRPr="00D6662D">
        <w:rPr>
          <w:rFonts w:ascii="Verdana" w:eastAsia="Calibri" w:hAnsi="Verdana" w:cs="Arial"/>
          <w:lang w:val="es-ES" w:eastAsia="es-ES"/>
        </w:rPr>
        <w:t xml:space="preserve">Estimada señora </w:t>
      </w:r>
      <w:proofErr w:type="spellStart"/>
      <w:r>
        <w:rPr>
          <w:rFonts w:ascii="Verdana" w:eastAsia="Calibri" w:hAnsi="Verdana" w:cs="Arial"/>
          <w:lang w:val="es-ES" w:eastAsia="es-ES"/>
        </w:rPr>
        <w:t>Patermina</w:t>
      </w:r>
      <w:proofErr w:type="spellEnd"/>
      <w:r w:rsidRPr="00D6662D">
        <w:rPr>
          <w:rFonts w:ascii="Verdana" w:eastAsia="Calibri" w:hAnsi="Verdana" w:cs="Arial"/>
          <w:lang w:val="es-ES" w:eastAsia="es-ES"/>
        </w:rPr>
        <w:t xml:space="preserve">: </w:t>
      </w:r>
    </w:p>
    <w:p w14:paraId="2DA842E8" w14:textId="77777777" w:rsidR="00F7025D" w:rsidRPr="00D6662D" w:rsidRDefault="00F7025D" w:rsidP="00F7025D">
      <w:pPr>
        <w:tabs>
          <w:tab w:val="left" w:pos="3768"/>
        </w:tabs>
        <w:spacing w:after="0" w:line="276" w:lineRule="auto"/>
        <w:jc w:val="both"/>
        <w:rPr>
          <w:rFonts w:ascii="Verdana" w:eastAsia="Calibri" w:hAnsi="Verdana" w:cs="Arial"/>
          <w:lang w:val="es-ES" w:eastAsia="es-ES"/>
        </w:rPr>
      </w:pPr>
      <w:r w:rsidRPr="00D6662D">
        <w:rPr>
          <w:rFonts w:ascii="Verdana" w:eastAsia="Calibri" w:hAnsi="Verdana" w:cs="Arial"/>
          <w:lang w:val="es-ES" w:eastAsia="es-ES"/>
        </w:rPr>
        <w:tab/>
      </w:r>
    </w:p>
    <w:p w14:paraId="2B1B9B45" w14:textId="77777777" w:rsidR="00F7025D" w:rsidRPr="00D6662D" w:rsidRDefault="00F7025D" w:rsidP="00F7025D">
      <w:pPr>
        <w:spacing w:after="0" w:line="276" w:lineRule="auto"/>
        <w:jc w:val="both"/>
        <w:rPr>
          <w:rFonts w:ascii="Verdana" w:eastAsia="Calibri" w:hAnsi="Verdana" w:cs="Arial"/>
          <w:lang w:val="es-ES" w:eastAsia="es-ES"/>
        </w:rPr>
      </w:pPr>
      <w:r w:rsidRPr="00D6662D">
        <w:rPr>
          <w:rFonts w:ascii="Verdana" w:eastAsia="Calibri" w:hAnsi="Verdana" w:cs="Arial"/>
          <w:lang w:val="es-ES" w:eastAsia="es-ES"/>
        </w:rPr>
        <w:t>En ejercicio de la competencia otorgada por los artículos 3, numeral 5º, y 11, numeral 8º, del Decreto Ley 4170 de 2011,</w:t>
      </w:r>
      <w:r w:rsidRPr="00D6662D">
        <w:rPr>
          <w:rFonts w:ascii="Verdana" w:eastAsia="Arial MT" w:hAnsi="Verdana" w:cs="Arial MT"/>
          <w:lang w:val="es-ES" w:eastAsia="es-ES"/>
        </w:rPr>
        <w:t xml:space="preserve"> </w:t>
      </w:r>
      <w:r w:rsidRPr="00D6662D">
        <w:rPr>
          <w:rFonts w:ascii="Verdana" w:hAnsi="Verdana" w:cs="Arial"/>
        </w:rPr>
        <w:t xml:space="preserve">así como lo establecido en el artículo 4 de la Resolución 1707 de 2018 expedida por esta Entidad, </w:t>
      </w:r>
      <w:r w:rsidRPr="00D6662D">
        <w:rPr>
          <w:rFonts w:ascii="Verdana" w:eastAsia="Calibri" w:hAnsi="Verdana" w:cs="Arial"/>
          <w:lang w:val="es-ES" w:eastAsia="es-ES"/>
        </w:rPr>
        <w:t xml:space="preserve">la Agencia Nacional de Contratación Pública – Colombia Compra Eficiente– responde su solicitud de consulta de fecha 04 de julio de 2024, en la cual manifiesta lo siguiente: </w:t>
      </w:r>
    </w:p>
    <w:p w14:paraId="5D206980" w14:textId="77777777" w:rsidR="00F7025D" w:rsidRPr="00D6662D" w:rsidRDefault="00F7025D" w:rsidP="00F7025D">
      <w:pPr>
        <w:spacing w:after="0" w:line="276" w:lineRule="auto"/>
        <w:jc w:val="both"/>
        <w:rPr>
          <w:rFonts w:ascii="Verdana" w:eastAsia="Calibri" w:hAnsi="Verdana" w:cs="Arial"/>
          <w:lang w:val="es-ES" w:eastAsia="es-ES"/>
        </w:rPr>
      </w:pPr>
    </w:p>
    <w:p w14:paraId="3F7C3F9F"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bookmarkStart w:id="0" w:name="_Hlk95313578"/>
      <w:r w:rsidRPr="00EF46B1">
        <w:rPr>
          <w:rStyle w:val="normaltextrun"/>
          <w:rFonts w:ascii="Verdana" w:hAnsi="Verdana" w:cs="Arial"/>
          <w:shd w:val="clear" w:color="auto" w:fill="FFFFFF"/>
          <w:lang w:val="es-ES"/>
        </w:rPr>
        <w:lastRenderedPageBreak/>
        <w:t>1. El primero de los interrogantes está relacionado sobre la necesidad de aclarar ¿si el “</w:t>
      </w:r>
      <w:bookmarkStart w:id="1" w:name="_Hlk172128101"/>
      <w:r w:rsidRPr="00EF46B1">
        <w:rPr>
          <w:rStyle w:val="normaltextrun"/>
          <w:rFonts w:ascii="Verdana" w:hAnsi="Verdana" w:cs="Arial"/>
          <w:shd w:val="clear" w:color="auto" w:fill="FFFFFF"/>
          <w:lang w:val="es-ES"/>
        </w:rPr>
        <w:t>Manual para la Identificación y Cobertura del Riesgo en los Procesos de Contratación</w:t>
      </w:r>
      <w:bookmarkEnd w:id="1"/>
      <w:r w:rsidRPr="00EF46B1">
        <w:rPr>
          <w:rStyle w:val="normaltextrun"/>
          <w:rFonts w:ascii="Verdana" w:hAnsi="Verdana" w:cs="Arial"/>
          <w:shd w:val="clear" w:color="auto" w:fill="FFFFFF"/>
          <w:lang w:val="es-ES"/>
        </w:rPr>
        <w:t xml:space="preserve">” debe ser aplicado obligatoriamente en todos sus aspectos por las Entidad Públicas o si por el contrario, dicho manual se puede considerar únicamente como una guía orientativa para la elaboración de las matrices de riesgos, permitiendo a las entidades cierta flexibilidad en su </w:t>
      </w:r>
      <w:proofErr w:type="gramStart"/>
      <w:r w:rsidRPr="00EF46B1">
        <w:rPr>
          <w:rStyle w:val="normaltextrun"/>
          <w:rFonts w:ascii="Verdana" w:hAnsi="Verdana" w:cs="Arial"/>
          <w:shd w:val="clear" w:color="auto" w:fill="FFFFFF"/>
          <w:lang w:val="es-ES"/>
        </w:rPr>
        <w:t>aplicación?.</w:t>
      </w:r>
      <w:proofErr w:type="gramEnd"/>
    </w:p>
    <w:p w14:paraId="1CA194B9"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p>
    <w:p w14:paraId="7DD34E80"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r w:rsidRPr="00EF46B1">
        <w:rPr>
          <w:rStyle w:val="normaltextrun"/>
          <w:rFonts w:ascii="Verdana" w:hAnsi="Verdana" w:cs="Arial"/>
          <w:shd w:val="clear" w:color="auto" w:fill="FFFFFF"/>
          <w:lang w:val="es-ES"/>
        </w:rPr>
        <w:t xml:space="preserve">2. Por otro lado, acorde con el Manual para la identificación y cobertura del Riesgo, publicado en la web https://www.colombiacompra.gov.co/sites/cce_public/files/cce_documents/cce_manual_cobertura_riesgo.pdf, respecto del punto B Estructura de la administración de Riesgos, “La administración de Riesgos es el conjunto de procesos dirigidos a proteger a la Entidad Estatal de los eventos en el Proceso de Contratación. </w:t>
      </w:r>
    </w:p>
    <w:p w14:paraId="2E7787C7"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r w:rsidRPr="00EF46B1">
        <w:rPr>
          <w:rStyle w:val="normaltextrun"/>
          <w:rFonts w:ascii="Verdana" w:hAnsi="Verdana" w:cs="Arial"/>
          <w:shd w:val="clear" w:color="auto" w:fill="FFFFFF"/>
          <w:lang w:val="es-ES"/>
        </w:rPr>
        <w:t>“La administración de Riesgos permite reducir la probabilidad de ocurrencia del evento y de su impacto en el Proceso de Contratación”</w:t>
      </w:r>
    </w:p>
    <w:p w14:paraId="3AA099C3"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p>
    <w:p w14:paraId="3E3797B8"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r w:rsidRPr="00EF46B1">
        <w:rPr>
          <w:rStyle w:val="normaltextrun"/>
          <w:rFonts w:ascii="Verdana" w:hAnsi="Verdana" w:cs="Arial"/>
          <w:shd w:val="clear" w:color="auto" w:fill="FFFFFF"/>
          <w:lang w:val="es-ES"/>
        </w:rPr>
        <w:t xml:space="preserve">Colombia Compra Eficiente propone administrar los Riesgos del Proceso de Contratación siguiendo los pasos enumerados a continuación: </w:t>
      </w:r>
    </w:p>
    <w:p w14:paraId="75C44B6D"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p>
    <w:p w14:paraId="068E8FC9"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r w:rsidRPr="00EF46B1">
        <w:rPr>
          <w:rStyle w:val="normaltextrun"/>
          <w:rFonts w:ascii="Verdana" w:hAnsi="Verdana" w:cs="Arial"/>
          <w:shd w:val="clear" w:color="auto" w:fill="FFFFFF"/>
          <w:lang w:val="es-ES"/>
        </w:rPr>
        <w:t>1. Establecer el contexto en el cual se adelanta el Proceso de Contratación.</w:t>
      </w:r>
    </w:p>
    <w:p w14:paraId="262EB6D0"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r w:rsidRPr="00EF46B1">
        <w:rPr>
          <w:rStyle w:val="normaltextrun"/>
          <w:rFonts w:ascii="Verdana" w:hAnsi="Verdana" w:cs="Arial"/>
          <w:shd w:val="clear" w:color="auto" w:fill="FFFFFF"/>
          <w:lang w:val="es-ES"/>
        </w:rPr>
        <w:t>2. Identificar y clasificar los Riesgos del Proceso de Contratación.</w:t>
      </w:r>
    </w:p>
    <w:p w14:paraId="69280427"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r w:rsidRPr="00EF46B1">
        <w:rPr>
          <w:rStyle w:val="normaltextrun"/>
          <w:rFonts w:ascii="Verdana" w:hAnsi="Verdana" w:cs="Arial"/>
          <w:shd w:val="clear" w:color="auto" w:fill="FFFFFF"/>
          <w:lang w:val="es-ES"/>
        </w:rPr>
        <w:t>3. Evaluar y calificar los Riesgos.</w:t>
      </w:r>
    </w:p>
    <w:p w14:paraId="3F344E05"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r w:rsidRPr="00EF46B1">
        <w:rPr>
          <w:rStyle w:val="normaltextrun"/>
          <w:rFonts w:ascii="Verdana" w:hAnsi="Verdana" w:cs="Arial"/>
          <w:shd w:val="clear" w:color="auto" w:fill="FFFFFF"/>
          <w:lang w:val="es-ES"/>
        </w:rPr>
        <w:t>4. Asignar y tratar los Riesgos.</w:t>
      </w:r>
    </w:p>
    <w:p w14:paraId="54A1E756"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r w:rsidRPr="00EF46B1">
        <w:rPr>
          <w:rStyle w:val="normaltextrun"/>
          <w:rFonts w:ascii="Verdana" w:hAnsi="Verdana" w:cs="Arial"/>
          <w:shd w:val="clear" w:color="auto" w:fill="FFFFFF"/>
          <w:lang w:val="es-ES"/>
        </w:rPr>
        <w:t>5. Monitorear y revisar la gestión de los Riesgos.”</w:t>
      </w:r>
    </w:p>
    <w:p w14:paraId="6234C00E"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p>
    <w:p w14:paraId="1CB8D5EB"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r w:rsidRPr="00EF46B1">
        <w:rPr>
          <w:rStyle w:val="normaltextrun"/>
          <w:rFonts w:ascii="Verdana" w:hAnsi="Verdana" w:cs="Arial"/>
          <w:shd w:val="clear" w:color="auto" w:fill="FFFFFF"/>
          <w:lang w:val="es-ES"/>
        </w:rPr>
        <w:t xml:space="preserve">Sobre el particular, surge la siguiente pregunta, respecto de los pasos 1 a 5 antes indicados, ¿corresponden estos al proceso de planeación del proceso contractual?, es decir, durante el proceso de planeación y estructuración contractual se debe establecer el contexto de dicho proceso de contratación, identificar y clasificar los riesgos para luego evaluarlos y calificarlos y posteriormente asignarlos consolidados en una matriz de riesgos, que es objeto de </w:t>
      </w:r>
      <w:r w:rsidRPr="00EF46B1">
        <w:rPr>
          <w:rStyle w:val="normaltextrun"/>
          <w:rFonts w:ascii="Verdana" w:hAnsi="Verdana" w:cs="Arial"/>
          <w:shd w:val="clear" w:color="auto" w:fill="FFFFFF"/>
          <w:lang w:val="es-ES"/>
        </w:rPr>
        <w:lastRenderedPageBreak/>
        <w:t xml:space="preserve">socialización en la audiencia de riesgos que predica la Ley 1150 de 2007 en su artículo cuarto?. </w:t>
      </w:r>
    </w:p>
    <w:p w14:paraId="79F3635F"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p>
    <w:p w14:paraId="09382CE6"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r w:rsidRPr="00EF46B1">
        <w:rPr>
          <w:rStyle w:val="normaltextrun"/>
          <w:rFonts w:ascii="Verdana" w:hAnsi="Verdana" w:cs="Arial"/>
          <w:shd w:val="clear" w:color="auto" w:fill="FFFFFF"/>
          <w:lang w:val="es-ES"/>
        </w:rPr>
        <w:t>Si ello es correcto, el párrafo a continuación del mismo punto B de la guía indica:</w:t>
      </w:r>
    </w:p>
    <w:p w14:paraId="4B1F30EC"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p>
    <w:p w14:paraId="06A49E83"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r w:rsidRPr="00EF46B1">
        <w:rPr>
          <w:rStyle w:val="normaltextrun"/>
          <w:rFonts w:ascii="Verdana" w:hAnsi="Verdana" w:cs="Arial"/>
          <w:shd w:val="clear" w:color="auto" w:fill="FFFFFF"/>
          <w:lang w:val="es-ES"/>
        </w:rPr>
        <w:t xml:space="preserve">“Colombia Compra Eficiente recomienda a las Entidades Estatales elaborar la matriz de la Tabla 1 que incluya todos los Riesgos identificados del Proceso de Contratación, estableciendo su clasificación, la probabilidad de ocurrencia estimada, su impacto, la parte que debe asumir el Riesgo, los tratamientos que se puedan realizar y las características del monitoreo más adecuado para administrarlo, como se muestra a continuación: </w:t>
      </w:r>
    </w:p>
    <w:p w14:paraId="7461B3B8"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p>
    <w:p w14:paraId="63389985"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r w:rsidRPr="00EF46B1">
        <w:rPr>
          <w:rStyle w:val="normaltextrun"/>
          <w:rFonts w:ascii="Verdana" w:hAnsi="Verdana" w:cs="Arial"/>
          <w:shd w:val="clear" w:color="auto" w:fill="FFFFFF"/>
          <w:lang w:val="es-ES"/>
        </w:rPr>
        <w:t>¨[…]”</w:t>
      </w:r>
      <w:bookmarkEnd w:id="0"/>
      <w:r w:rsidRPr="00EF46B1">
        <w:rPr>
          <w:rStyle w:val="normaltextrun"/>
          <w:rFonts w:ascii="Verdana" w:hAnsi="Verdana" w:cs="Arial"/>
          <w:shd w:val="clear" w:color="auto" w:fill="FFFFFF"/>
          <w:lang w:val="es-ES"/>
        </w:rPr>
        <w:t>.</w:t>
      </w:r>
    </w:p>
    <w:p w14:paraId="0D6670F1"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p>
    <w:p w14:paraId="2E077710" w14:textId="77777777" w:rsidR="00F7025D" w:rsidRPr="00EF46B1" w:rsidRDefault="00F7025D" w:rsidP="00F7025D">
      <w:pPr>
        <w:spacing w:after="0" w:line="240" w:lineRule="auto"/>
        <w:ind w:left="709" w:right="709"/>
        <w:jc w:val="both"/>
        <w:rPr>
          <w:rStyle w:val="normaltextrun"/>
          <w:rFonts w:ascii="Verdana" w:hAnsi="Verdana" w:cs="Arial"/>
          <w:shd w:val="clear" w:color="auto" w:fill="FFFFFF"/>
          <w:lang w:val="es-ES"/>
        </w:rPr>
      </w:pPr>
      <w:r w:rsidRPr="00EF46B1">
        <w:rPr>
          <w:rStyle w:val="normaltextrun"/>
          <w:rFonts w:ascii="Verdana" w:hAnsi="Verdana" w:cs="Arial"/>
          <w:shd w:val="clear" w:color="auto" w:fill="FFFFFF"/>
          <w:lang w:val="es-ES"/>
        </w:rPr>
        <w:t>Comedidamente solicitamos nos indiquen si nuestro entendimiento es correcto y si bien en la matriz se debe hacer referencia a los Tratamientos/Controles a ser implementados, las columnas subsiguientes corresponden a las acciones a desarrollar durante la etapa de ejecución contractual, es decir del monitoreo y revisión se puede establecer el impacto después del tratamiento en caso que los riesgos identificados en la etapa de planeación efectivamente se materialicen durante la ejecución contractual y de esta manera hacer un correcto seguimiento y monitoreo del acontecer contractual.</w:t>
      </w:r>
    </w:p>
    <w:p w14:paraId="6F6F6C6A" w14:textId="77777777" w:rsidR="00F7025D" w:rsidRPr="00EF46B1" w:rsidRDefault="00F7025D" w:rsidP="00F7025D">
      <w:pPr>
        <w:spacing w:after="0" w:line="240" w:lineRule="auto"/>
        <w:ind w:left="709" w:right="709"/>
        <w:jc w:val="both"/>
        <w:rPr>
          <w:rFonts w:ascii="Verdana" w:hAnsi="Verdana" w:cs="Arial"/>
          <w:color w:val="7030A0"/>
          <w:shd w:val="clear" w:color="auto" w:fill="FFFFFF"/>
          <w:lang w:val="es-ES"/>
        </w:rPr>
      </w:pPr>
    </w:p>
    <w:p w14:paraId="209F02EA" w14:textId="77777777" w:rsidR="00F7025D" w:rsidRPr="00D6662D" w:rsidRDefault="00F7025D" w:rsidP="00F7025D">
      <w:pPr>
        <w:spacing w:after="120" w:line="276" w:lineRule="auto"/>
        <w:jc w:val="both"/>
        <w:rPr>
          <w:rFonts w:ascii="Verdana" w:eastAsia="Calibri" w:hAnsi="Verdana" w:cs="Arial"/>
          <w:color w:val="000000"/>
          <w:lang w:val="es-ES_tradnl" w:eastAsia="es-ES_tradnl"/>
        </w:rPr>
      </w:pPr>
      <w:r w:rsidRPr="00D6662D">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w:t>
      </w:r>
      <w:r w:rsidRPr="00D6662D">
        <w:rPr>
          <w:rFonts w:ascii="Verdana" w:eastAsia="Calibri" w:hAnsi="Verdana" w:cs="Arial"/>
          <w:color w:val="000000"/>
          <w:lang w:val="es-ES" w:eastAsia="es-ES"/>
        </w:rPr>
        <w:lastRenderedPageBreak/>
        <w:t xml:space="preserve">interpretación de normas generales, por definición, no puede extenderse a la resolución de controversias, ni a brindar asesorías sobre casos puntuales. </w:t>
      </w:r>
      <w:r w:rsidRPr="00D6662D">
        <w:rPr>
          <w:rFonts w:ascii="Verdana" w:eastAsia="Calibri" w:hAnsi="Verdana" w:cs="Arial"/>
          <w:color w:val="000000"/>
          <w:lang w:val="es-ES_tradnl" w:eastAsia="es-ES_tradnl"/>
        </w:rPr>
        <w:tab/>
      </w:r>
    </w:p>
    <w:p w14:paraId="0F3F8DC6" w14:textId="77777777" w:rsidR="00F7025D" w:rsidRPr="00D6662D" w:rsidRDefault="00F7025D" w:rsidP="00F7025D">
      <w:pPr>
        <w:spacing w:after="0" w:line="276" w:lineRule="auto"/>
        <w:jc w:val="both"/>
        <w:rPr>
          <w:rFonts w:ascii="Verdana" w:eastAsia="Calibri" w:hAnsi="Verdana" w:cs="Arial"/>
          <w:color w:val="000000"/>
          <w:lang w:val="es-ES" w:eastAsia="es-ES"/>
        </w:rPr>
      </w:pPr>
      <w:r w:rsidRPr="00D6662D">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w:t>
      </w:r>
      <w:r w:rsidRPr="00D6662D">
        <w:rPr>
          <w:rFonts w:ascii="Verdana" w:eastAsia="Calibri" w:hAnsi="Verdana" w:cs="Arial"/>
          <w:color w:val="7030A0"/>
          <w:lang w:val="es-ES" w:eastAsia="es-ES"/>
        </w:rPr>
        <w:t xml:space="preserve"> </w:t>
      </w:r>
      <w:r w:rsidRPr="00D6662D">
        <w:rPr>
          <w:rFonts w:ascii="Verdana" w:eastAsia="Calibri" w:hAnsi="Verdana" w:cs="Arial"/>
          <w:color w:val="000000"/>
          <w:lang w:val="es-ES" w:eastAsia="es-ES"/>
        </w:rPr>
        <w:t>problema</w:t>
      </w:r>
      <w:r w:rsidRPr="00D6662D">
        <w:rPr>
          <w:rFonts w:ascii="Verdana" w:eastAsia="Calibri" w:hAnsi="Verdana" w:cs="Arial"/>
          <w:color w:val="7030A0"/>
          <w:lang w:val="es-ES" w:eastAsia="es-ES"/>
        </w:rPr>
        <w:t xml:space="preserve">s </w:t>
      </w:r>
      <w:r w:rsidRPr="00D6662D">
        <w:rPr>
          <w:rFonts w:ascii="Verdana" w:eastAsia="Calibri" w:hAnsi="Verdana" w:cs="Arial"/>
          <w:color w:val="000000"/>
          <w:lang w:val="es-ES" w:eastAsia="es-ES"/>
        </w:rPr>
        <w:t>jurídico</w:t>
      </w:r>
      <w:r w:rsidRPr="00D6662D">
        <w:rPr>
          <w:rFonts w:ascii="Verdana" w:eastAsia="Calibri" w:hAnsi="Verdana" w:cs="Arial"/>
          <w:color w:val="7030A0"/>
          <w:lang w:val="es-ES" w:eastAsia="es-ES"/>
        </w:rPr>
        <w:t xml:space="preserve">s </w:t>
      </w:r>
      <w:r w:rsidRPr="00D6662D">
        <w:rPr>
          <w:rFonts w:ascii="Verdana" w:eastAsia="Calibri" w:hAnsi="Verdana" w:cs="Arial"/>
          <w:color w:val="000000"/>
          <w:lang w:val="es-ES" w:eastAsia="es-ES"/>
        </w:rPr>
        <w:t xml:space="preserve">de su consulta. </w:t>
      </w:r>
    </w:p>
    <w:p w14:paraId="142E9257" w14:textId="77777777" w:rsidR="00F7025D" w:rsidRPr="00D6662D" w:rsidRDefault="00F7025D" w:rsidP="00F7025D">
      <w:pPr>
        <w:spacing w:after="0" w:line="276" w:lineRule="auto"/>
        <w:ind w:firstLine="709"/>
        <w:jc w:val="both"/>
        <w:rPr>
          <w:rFonts w:ascii="Verdana" w:eastAsia="Calibri" w:hAnsi="Verdana" w:cs="Arial"/>
          <w:color w:val="000000"/>
          <w:lang w:val="es-ES" w:eastAsia="es-ES"/>
        </w:rPr>
      </w:pPr>
    </w:p>
    <w:p w14:paraId="59B0C9ED" w14:textId="77777777" w:rsidR="00F7025D" w:rsidRPr="00D6662D" w:rsidRDefault="00F7025D" w:rsidP="00F7025D">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lang w:val="es-ES"/>
        </w:rPr>
      </w:pPr>
      <w:r w:rsidRPr="00D6662D">
        <w:rPr>
          <w:rFonts w:ascii="Verdana" w:eastAsia="Century Gothic" w:hAnsi="Verdana" w:cs="Century Gothic"/>
          <w:b/>
          <w:bCs/>
          <w:lang w:val="es-ES"/>
        </w:rPr>
        <w:t>Problema planteado:</w:t>
      </w:r>
    </w:p>
    <w:p w14:paraId="6E3F7D62" w14:textId="77777777" w:rsidR="00F7025D" w:rsidRPr="00D6662D" w:rsidRDefault="00F7025D" w:rsidP="00F7025D">
      <w:pPr>
        <w:tabs>
          <w:tab w:val="left" w:pos="426"/>
        </w:tabs>
        <w:spacing w:after="0" w:line="276" w:lineRule="auto"/>
        <w:jc w:val="both"/>
        <w:rPr>
          <w:rFonts w:ascii="Verdana" w:eastAsia="Century Gothic" w:hAnsi="Verdana" w:cs="Century Gothic"/>
          <w:lang w:val="es-ES"/>
        </w:rPr>
      </w:pPr>
    </w:p>
    <w:p w14:paraId="14BA1536" w14:textId="77777777" w:rsidR="00F7025D" w:rsidRPr="00D6662D" w:rsidRDefault="00F7025D" w:rsidP="00F7025D">
      <w:pPr>
        <w:spacing w:after="0" w:line="276" w:lineRule="auto"/>
        <w:jc w:val="both"/>
        <w:rPr>
          <w:rFonts w:ascii="Verdana" w:eastAsia="Century Gothic" w:hAnsi="Verdana" w:cs="Century Gothic"/>
        </w:rPr>
      </w:pPr>
      <w:r w:rsidRPr="00D6662D">
        <w:rPr>
          <w:rFonts w:ascii="Verdana" w:eastAsia="Century Gothic" w:hAnsi="Verdana" w:cs="Century Gothic"/>
        </w:rPr>
        <w:t>De acuerdo con el contenido de su solicitud, esta Agencia resolverá los siguientes problemas jurídicos: ¿Es vinculante el Manual para la Identificación y Cobertura del Riesgo en los Procesos de Contratación, o se puede considerar como una guía orientativa?; ¿Los pasos del 1 al 5 de la matriz de riesgos, del Manual en mención hacen parte del proceso de planeación de la contratación?</w:t>
      </w:r>
    </w:p>
    <w:p w14:paraId="41CC6ECA" w14:textId="77777777" w:rsidR="00F7025D" w:rsidRPr="00D6662D" w:rsidRDefault="00F7025D" w:rsidP="00F7025D">
      <w:pPr>
        <w:spacing w:after="0" w:line="276" w:lineRule="auto"/>
        <w:jc w:val="both"/>
        <w:rPr>
          <w:rFonts w:ascii="Verdana" w:eastAsia="Calibri" w:hAnsi="Verdana" w:cs="Arial"/>
          <w:color w:val="7030A0"/>
          <w:lang w:val="es-ES"/>
        </w:rPr>
      </w:pPr>
    </w:p>
    <w:p w14:paraId="5AC321BC" w14:textId="77777777" w:rsidR="00F7025D" w:rsidRPr="00EF46B1" w:rsidRDefault="00F7025D" w:rsidP="00F7025D">
      <w:pPr>
        <w:spacing w:after="0" w:line="240" w:lineRule="auto"/>
        <w:ind w:right="709"/>
        <w:jc w:val="both"/>
        <w:rPr>
          <w:rStyle w:val="normaltextrun"/>
          <w:rFonts w:ascii="Verdana" w:hAnsi="Verdana" w:cs="Arial"/>
          <w:color w:val="7030A0"/>
          <w:shd w:val="clear" w:color="auto" w:fill="FFFFFF"/>
          <w:lang w:val="es-ES"/>
        </w:rPr>
      </w:pPr>
      <w:r w:rsidRPr="00D6662D">
        <w:rPr>
          <w:rFonts w:ascii="Verdana" w:eastAsia="Century Gothic" w:hAnsi="Verdana" w:cs="Century Gothic"/>
          <w:b/>
          <w:bCs/>
          <w:lang w:val="es-ES"/>
        </w:rPr>
        <w:t xml:space="preserve">Respuesta: </w:t>
      </w:r>
    </w:p>
    <w:p w14:paraId="0AF207C9" w14:textId="77777777" w:rsidR="00F7025D" w:rsidRPr="00D6662D" w:rsidRDefault="00F7025D" w:rsidP="00F7025D">
      <w:pPr>
        <w:pStyle w:val="Prrafodelista"/>
        <w:tabs>
          <w:tab w:val="left" w:pos="142"/>
          <w:tab w:val="left" w:pos="284"/>
        </w:tabs>
        <w:spacing w:after="0" w:line="276" w:lineRule="auto"/>
        <w:ind w:left="0"/>
        <w:contextualSpacing w:val="0"/>
        <w:jc w:val="both"/>
        <w:rPr>
          <w:rFonts w:ascii="Verdana" w:eastAsia="Century Gothic" w:hAnsi="Verdana" w:cs="Century Gothic"/>
          <w:b/>
          <w:bCs/>
          <w:lang w:val="es-ES"/>
        </w:rPr>
      </w:pPr>
    </w:p>
    <w:p w14:paraId="02215F5F" w14:textId="77777777" w:rsidR="00F7025D" w:rsidRPr="00D6662D" w:rsidRDefault="00F7025D" w:rsidP="00F7025D">
      <w:pPr>
        <w:pStyle w:val="Textoindependiente"/>
        <w:ind w:right="49"/>
        <w:jc w:val="both"/>
        <w:rPr>
          <w:rFonts w:ascii="Verdana" w:hAnsi="Verdana" w:cs="Arial"/>
        </w:rPr>
      </w:pPr>
      <w:r w:rsidRPr="00D6662D">
        <w:rPr>
          <w:rFonts w:ascii="Verdana" w:hAnsi="Verdana" w:cs="Arial"/>
        </w:rPr>
        <w:t xml:space="preserve">Esta entidad se permite pronunciarse al respecto: </w:t>
      </w:r>
    </w:p>
    <w:p w14:paraId="55547F93" w14:textId="77777777" w:rsidR="00F7025D" w:rsidRPr="00D6662D" w:rsidRDefault="00F7025D" w:rsidP="00F7025D">
      <w:pPr>
        <w:pStyle w:val="Textoindependiente"/>
        <w:ind w:right="49"/>
        <w:jc w:val="both"/>
        <w:rPr>
          <w:rFonts w:ascii="Verdana" w:hAnsi="Verdana" w:cs="Arial"/>
        </w:rPr>
      </w:pPr>
      <w:r w:rsidRPr="00D6662D">
        <w:rPr>
          <w:rFonts w:ascii="Verdana" w:eastAsia="Century Gothic" w:hAnsi="Verdana" w:cs="Century Gothic"/>
        </w:rPr>
        <w:t>¿Es vinculante el Manual para la Identificación y Cobertura del Riesgo en los Procesos de Contratación, o se puede considerar como una guía orientativa?</w:t>
      </w:r>
    </w:p>
    <w:p w14:paraId="25AF0FDC" w14:textId="77777777" w:rsidR="00F7025D" w:rsidRPr="00D6662D" w:rsidRDefault="00F7025D" w:rsidP="00F7025D">
      <w:pPr>
        <w:pStyle w:val="Textoindependiente"/>
        <w:ind w:right="49"/>
        <w:jc w:val="both"/>
        <w:rPr>
          <w:rFonts w:ascii="Verdana" w:hAnsi="Verdana" w:cs="Arial"/>
        </w:rPr>
      </w:pPr>
      <w:r w:rsidRPr="00D6662D">
        <w:rPr>
          <w:rFonts w:ascii="Verdana" w:hAnsi="Verdana" w:cs="Arial"/>
        </w:rPr>
        <w:t>En primer lugar, es importante aclarar, que frente a los manuales y guías para la «identificación y cobertura del riesgo», el Consejo de Estado concluyó que, a la luz del artículo 4 de la Ley 1150 de 2007, son las entidades contratantes las obligadas a incluir en los pliegos de condiciones la estimación, tipificación y asignación del riesgo previsible a cada proceso de contratación. Asimismo, frente a la cobertura de ese riesgo, el artículo 7 de la Ley 1150 de 2007 determinó que era el Gobierno Nacional quien debía fijar los «criterios que seguirán las entidades para la exigencia de garantías, las clases y niveles de amparo de los riesgos de los contratos».</w:t>
      </w:r>
    </w:p>
    <w:p w14:paraId="48003327" w14:textId="77777777" w:rsidR="00F7025D" w:rsidRPr="00D6662D" w:rsidRDefault="00F7025D" w:rsidP="00F7025D">
      <w:pPr>
        <w:pStyle w:val="Textoindependiente"/>
        <w:ind w:right="49"/>
        <w:jc w:val="both"/>
        <w:rPr>
          <w:rFonts w:ascii="Verdana" w:hAnsi="Verdana" w:cs="Arial"/>
        </w:rPr>
      </w:pPr>
      <w:r w:rsidRPr="00D6662D">
        <w:rPr>
          <w:rFonts w:ascii="Verdana" w:hAnsi="Verdana" w:cs="Arial"/>
        </w:rPr>
        <w:t xml:space="preserve">Así las cosas, una vez declarada la nulidad del literal a) del numeral 2 del artículo 159 del Decreto 1510 de 2013, el Consejo de Estado determinó que las guías o </w:t>
      </w:r>
      <w:r w:rsidRPr="00D6662D">
        <w:rPr>
          <w:rFonts w:ascii="Verdana" w:hAnsi="Verdana" w:cs="Arial"/>
        </w:rPr>
        <w:lastRenderedPageBreak/>
        <w:t>manuales que expida Colombia Compra Eficiente, en relación con la identificación y cobertura de riesgos, no son vinculantes para las entidades, quienes podrán, de manera facultativa, acudir a ellas como una guía para llevar a cabo la estimación, tipificación, asignación y cobertura de riesgos en cada proceso de contratación particular.</w:t>
      </w:r>
    </w:p>
    <w:p w14:paraId="4AB73CE7" w14:textId="77777777" w:rsidR="00F7025D" w:rsidRPr="00D6662D" w:rsidRDefault="00F7025D" w:rsidP="00F7025D">
      <w:pPr>
        <w:spacing w:after="0" w:line="276" w:lineRule="auto"/>
        <w:jc w:val="both"/>
        <w:rPr>
          <w:rFonts w:ascii="Verdana" w:eastAsia="Century Gothic" w:hAnsi="Verdana" w:cs="Century Gothic"/>
        </w:rPr>
      </w:pPr>
      <w:r w:rsidRPr="00D6662D">
        <w:rPr>
          <w:rFonts w:ascii="Verdana" w:eastAsia="Century Gothic" w:hAnsi="Verdana" w:cs="Century Gothic"/>
        </w:rPr>
        <w:t>¿Los pasos del 1 al 5 de la matriz de riesgos, del Manual en mención hacen parte del proceso de planeación de la contratación?</w:t>
      </w:r>
    </w:p>
    <w:p w14:paraId="72A84CAC" w14:textId="77777777" w:rsidR="00F7025D" w:rsidRPr="00D6662D" w:rsidRDefault="00F7025D" w:rsidP="00F7025D">
      <w:pPr>
        <w:spacing w:after="0" w:line="276" w:lineRule="auto"/>
        <w:jc w:val="both"/>
        <w:rPr>
          <w:rFonts w:ascii="Verdana" w:eastAsia="Century Gothic" w:hAnsi="Verdana" w:cs="Century Gothic"/>
        </w:rPr>
      </w:pPr>
    </w:p>
    <w:p w14:paraId="3D924BC2" w14:textId="77777777" w:rsidR="00F7025D" w:rsidRPr="00D6662D" w:rsidRDefault="00F7025D" w:rsidP="00F7025D">
      <w:pPr>
        <w:spacing w:line="276" w:lineRule="auto"/>
        <w:jc w:val="both"/>
        <w:textAlignment w:val="baseline"/>
        <w:rPr>
          <w:rFonts w:ascii="Verdana" w:hAnsi="Verdana" w:cs="Arial"/>
          <w:lang w:val="es-ES" w:eastAsia="es-CO"/>
        </w:rPr>
      </w:pPr>
      <w:r w:rsidRPr="00D6662D">
        <w:rPr>
          <w:rFonts w:ascii="Verdana" w:hAnsi="Verdana" w:cs="Arial"/>
          <w:lang w:val="es-ES"/>
        </w:rPr>
        <w:t>La Agencia Nacional de Contratación Pública – Colombia Compra Eficiente expidió el «Manual para la identificación y cobertura del Riesgo en los Procesos de Contratación»</w:t>
      </w:r>
      <w:r w:rsidRPr="00D6662D">
        <w:rPr>
          <w:rStyle w:val="Refdenotaalpie"/>
          <w:rFonts w:ascii="Verdana" w:hAnsi="Verdana" w:cs="Arial"/>
          <w:lang w:val="es-ES"/>
        </w:rPr>
        <w:footnoteReference w:id="2"/>
      </w:r>
      <w:r w:rsidRPr="00D6662D">
        <w:rPr>
          <w:rFonts w:ascii="Verdana" w:hAnsi="Verdana" w:cs="Arial"/>
          <w:lang w:val="es-ES"/>
        </w:rPr>
        <w:t xml:space="preserve"> </w:t>
      </w:r>
      <w:r w:rsidRPr="00D6662D">
        <w:rPr>
          <w:rFonts w:ascii="Verdana" w:hAnsi="Verdana" w:cs="Arial"/>
          <w:lang w:val="es-ES" w:eastAsia="es-CO"/>
        </w:rPr>
        <w:t xml:space="preserve">establece que, para administrar los riesgos en los procesos de contratación del Estado, </w:t>
      </w:r>
      <w:r>
        <w:rPr>
          <w:rFonts w:ascii="Verdana" w:hAnsi="Verdana" w:cs="Arial"/>
          <w:lang w:val="es-ES" w:eastAsia="es-CO"/>
        </w:rPr>
        <w:t xml:space="preserve">es importante </w:t>
      </w:r>
      <w:proofErr w:type="gramStart"/>
      <w:r>
        <w:rPr>
          <w:rFonts w:ascii="Verdana" w:hAnsi="Verdana" w:cs="Arial"/>
          <w:lang w:val="es-ES" w:eastAsia="es-CO"/>
        </w:rPr>
        <w:t>revisar</w:t>
      </w:r>
      <w:r w:rsidRPr="00D6662D">
        <w:rPr>
          <w:rFonts w:ascii="Verdana" w:hAnsi="Verdana" w:cs="Arial"/>
          <w:lang w:val="es-ES" w:eastAsia="es-CO"/>
        </w:rPr>
        <w:t xml:space="preserve">  los</w:t>
      </w:r>
      <w:proofErr w:type="gramEnd"/>
      <w:r w:rsidRPr="00D6662D">
        <w:rPr>
          <w:rFonts w:ascii="Verdana" w:hAnsi="Verdana" w:cs="Arial"/>
          <w:lang w:val="es-ES" w:eastAsia="es-CO"/>
        </w:rPr>
        <w:t xml:space="preserve"> siguientes pasos, los cuales coinciden con la organización y/o estructuración del manual en comento: </w:t>
      </w:r>
    </w:p>
    <w:p w14:paraId="30713342" w14:textId="77777777" w:rsidR="00F7025D" w:rsidRPr="00D6662D" w:rsidRDefault="00F7025D" w:rsidP="00F7025D">
      <w:pPr>
        <w:pStyle w:val="Prrafodelista"/>
        <w:numPr>
          <w:ilvl w:val="0"/>
          <w:numId w:val="9"/>
        </w:numPr>
        <w:spacing w:after="0" w:line="276" w:lineRule="auto"/>
        <w:jc w:val="both"/>
        <w:textAlignment w:val="baseline"/>
        <w:rPr>
          <w:rFonts w:ascii="Verdana" w:hAnsi="Verdana" w:cs="Arial"/>
          <w:lang w:eastAsia="es-CO"/>
        </w:rPr>
      </w:pPr>
      <w:r w:rsidRPr="00D6662D">
        <w:rPr>
          <w:rFonts w:ascii="Verdana" w:hAnsi="Verdana" w:cs="Arial"/>
          <w:lang w:eastAsia="es-CO"/>
        </w:rPr>
        <w:t>Establecer el contexto en el cual se adelanta el Proceso de Contratación.  </w:t>
      </w:r>
    </w:p>
    <w:p w14:paraId="01C84665" w14:textId="77777777" w:rsidR="00F7025D" w:rsidRPr="00D6662D" w:rsidRDefault="00F7025D" w:rsidP="00F7025D">
      <w:pPr>
        <w:pStyle w:val="Prrafodelista"/>
        <w:numPr>
          <w:ilvl w:val="0"/>
          <w:numId w:val="9"/>
        </w:numPr>
        <w:spacing w:after="0" w:line="276" w:lineRule="auto"/>
        <w:jc w:val="both"/>
        <w:textAlignment w:val="baseline"/>
        <w:rPr>
          <w:rFonts w:ascii="Verdana" w:hAnsi="Verdana" w:cs="Arial"/>
          <w:lang w:eastAsia="es-CO"/>
        </w:rPr>
      </w:pPr>
      <w:r w:rsidRPr="00D6662D">
        <w:rPr>
          <w:rFonts w:ascii="Verdana" w:hAnsi="Verdana" w:cs="Arial"/>
          <w:lang w:eastAsia="es-CO"/>
        </w:rPr>
        <w:t>Identificar y clasificar los Riesgos del Proceso de Contratación.  </w:t>
      </w:r>
    </w:p>
    <w:p w14:paraId="7B4134E1" w14:textId="77777777" w:rsidR="00F7025D" w:rsidRPr="00D6662D" w:rsidRDefault="00F7025D" w:rsidP="00F7025D">
      <w:pPr>
        <w:pStyle w:val="Prrafodelista"/>
        <w:numPr>
          <w:ilvl w:val="0"/>
          <w:numId w:val="9"/>
        </w:numPr>
        <w:spacing w:after="0" w:line="276" w:lineRule="auto"/>
        <w:jc w:val="both"/>
        <w:textAlignment w:val="baseline"/>
        <w:rPr>
          <w:rFonts w:ascii="Verdana" w:hAnsi="Verdana" w:cs="Arial"/>
          <w:lang w:eastAsia="es-CO"/>
        </w:rPr>
      </w:pPr>
      <w:r w:rsidRPr="00D6662D">
        <w:rPr>
          <w:rFonts w:ascii="Verdana" w:hAnsi="Verdana" w:cs="Arial"/>
          <w:lang w:eastAsia="es-CO"/>
        </w:rPr>
        <w:t>Evaluar, calificar y estimar los riesgos  </w:t>
      </w:r>
    </w:p>
    <w:p w14:paraId="0F9691AE" w14:textId="77777777" w:rsidR="00F7025D" w:rsidRPr="00D6662D" w:rsidRDefault="00F7025D" w:rsidP="00F7025D">
      <w:pPr>
        <w:pStyle w:val="Prrafodelista"/>
        <w:numPr>
          <w:ilvl w:val="0"/>
          <w:numId w:val="9"/>
        </w:numPr>
        <w:spacing w:after="0" w:line="276" w:lineRule="auto"/>
        <w:jc w:val="both"/>
        <w:textAlignment w:val="baseline"/>
        <w:rPr>
          <w:rFonts w:ascii="Verdana" w:hAnsi="Verdana" w:cs="Arial"/>
          <w:lang w:eastAsia="es-CO"/>
        </w:rPr>
      </w:pPr>
      <w:r w:rsidRPr="00D6662D">
        <w:rPr>
          <w:rFonts w:ascii="Verdana" w:hAnsi="Verdana" w:cs="Arial"/>
          <w:lang w:eastAsia="es-CO"/>
        </w:rPr>
        <w:t>Asignar y tratar los Riesgos.  </w:t>
      </w:r>
    </w:p>
    <w:p w14:paraId="1E5F8705" w14:textId="77777777" w:rsidR="00F7025D" w:rsidRPr="00D6662D" w:rsidRDefault="00F7025D" w:rsidP="00F7025D">
      <w:pPr>
        <w:pStyle w:val="Prrafodelista"/>
        <w:numPr>
          <w:ilvl w:val="0"/>
          <w:numId w:val="9"/>
        </w:numPr>
        <w:spacing w:after="0" w:line="276" w:lineRule="auto"/>
        <w:jc w:val="both"/>
        <w:textAlignment w:val="baseline"/>
        <w:rPr>
          <w:rFonts w:ascii="Verdana" w:hAnsi="Verdana" w:cs="Arial"/>
          <w:lang w:eastAsia="es-CO"/>
        </w:rPr>
      </w:pPr>
      <w:r w:rsidRPr="00D6662D">
        <w:rPr>
          <w:rFonts w:ascii="Verdana" w:hAnsi="Verdana" w:cs="Arial"/>
          <w:lang w:eastAsia="es-CO"/>
        </w:rPr>
        <w:t>Monitorear y revisar la gestión de los Riesgos. </w:t>
      </w:r>
    </w:p>
    <w:p w14:paraId="51CB973E" w14:textId="77777777" w:rsidR="00F7025D" w:rsidRPr="00D6662D" w:rsidRDefault="00F7025D" w:rsidP="00F7025D">
      <w:pPr>
        <w:spacing w:after="0" w:line="276" w:lineRule="auto"/>
        <w:ind w:left="705"/>
        <w:jc w:val="both"/>
        <w:textAlignment w:val="baseline"/>
        <w:rPr>
          <w:rFonts w:ascii="Verdana" w:hAnsi="Verdana" w:cs="Arial"/>
          <w:lang w:eastAsia="es-CO"/>
        </w:rPr>
      </w:pPr>
    </w:p>
    <w:p w14:paraId="0A7609DB" w14:textId="77777777" w:rsidR="00F7025D" w:rsidRPr="00D6662D" w:rsidRDefault="00F7025D" w:rsidP="00F7025D">
      <w:pPr>
        <w:spacing w:after="120" w:line="276" w:lineRule="auto"/>
        <w:jc w:val="both"/>
        <w:textAlignment w:val="baseline"/>
        <w:rPr>
          <w:rFonts w:ascii="Verdana" w:hAnsi="Verdana" w:cs="Arial"/>
          <w:lang w:val="es-ES" w:eastAsia="es-CO"/>
        </w:rPr>
      </w:pPr>
      <w:r w:rsidRPr="00D6662D">
        <w:rPr>
          <w:rFonts w:ascii="Verdana" w:hAnsi="Verdana" w:cs="Arial"/>
          <w:lang w:val="es-ES" w:eastAsia="es-CO"/>
        </w:rPr>
        <w:t xml:space="preserve">Así las cosas, para establecer el contexto del Proceso de Contratación, se debe tener en cuenta el objeto, las experiencias pasadas, las condiciones sociales y económicas, el sector, entre otras. Posteriormente se deben identificar y clasificar los riesgos comúnmente asociados y los propios del proceso de contratación. Una vez identificados los riesgos, se recomienda establecer acciones o actividades específicas para responder a cada uno ellos, para lo cual, se sugiere en el Manual, «preparar un plan de tratamiento para documentar </w:t>
      </w:r>
      <w:r w:rsidRPr="00D6662D">
        <w:rPr>
          <w:rFonts w:ascii="Verdana" w:hAnsi="Verdana" w:cs="Arial"/>
          <w:lang w:val="es-ES" w:eastAsia="es-CO"/>
        </w:rPr>
        <w:lastRenderedPageBreak/>
        <w:t>cómo se enfrenta cada uno de los Riesgos (ver matriz), incluyendo acciones, cronogramas, recursos (personal, información) y presupuesto, responsabilidades, necesidades de informes y reportes y de monitoreo». Por último, cuando el manual establece que las entidades estatales deben realizar un monitoreo constante en la medida que los riesgos no son estáticos, hace referencia a que deben monitorear y hacer seguimiento el plan de tratamiento con el fin de identificar los posibles impactos generados por cambios en las circunstancias internas y externas</w:t>
      </w:r>
      <w:r w:rsidRPr="00D6662D">
        <w:rPr>
          <w:rStyle w:val="Refdenotaalpie"/>
          <w:rFonts w:ascii="Verdana" w:hAnsi="Verdana" w:cs="Arial"/>
          <w:lang w:val="es-ES" w:eastAsia="es-CO"/>
        </w:rPr>
        <w:footnoteReference w:id="3"/>
      </w:r>
      <w:r w:rsidRPr="00D6662D">
        <w:rPr>
          <w:rFonts w:ascii="Verdana" w:hAnsi="Verdana" w:cs="Arial"/>
          <w:lang w:val="es-ES" w:eastAsia="es-CO"/>
        </w:rPr>
        <w:t>.</w:t>
      </w:r>
    </w:p>
    <w:p w14:paraId="6D64D259" w14:textId="77777777" w:rsidR="00F7025D" w:rsidRPr="00D6662D" w:rsidRDefault="00F7025D" w:rsidP="00F7025D">
      <w:pPr>
        <w:spacing w:after="120" w:line="276" w:lineRule="auto"/>
        <w:jc w:val="both"/>
        <w:textAlignment w:val="baseline"/>
        <w:rPr>
          <w:rFonts w:ascii="Verdana" w:hAnsi="Verdana" w:cs="Arial"/>
          <w:lang w:val="es-ES" w:eastAsia="es-CO"/>
        </w:rPr>
      </w:pPr>
      <w:r w:rsidRPr="00D6662D">
        <w:rPr>
          <w:rFonts w:ascii="Verdana" w:hAnsi="Verdana" w:cs="Arial"/>
          <w:lang w:val="es-ES" w:eastAsia="es-CO"/>
        </w:rPr>
        <w:t xml:space="preserve">En dicho manual, la Agencia de Contratación </w:t>
      </w:r>
      <w:r w:rsidRPr="00D6662D">
        <w:rPr>
          <w:rFonts w:ascii="Verdana" w:hAnsi="Verdana" w:cs="Arial"/>
          <w:lang w:val="es-ES"/>
        </w:rPr>
        <w:t xml:space="preserve">Pública – Colombia Compra Eficiente, recomendó a las entidades incluir una matriz de riesgos en los que se incluya todos los riesgos identificados en el proceso contractual y con ello reducir la </w:t>
      </w:r>
      <w:r w:rsidRPr="00D6662D">
        <w:rPr>
          <w:rFonts w:ascii="Verdana" w:hAnsi="Verdana" w:cs="Arial"/>
          <w:lang w:val="es-ES" w:eastAsia="es-CO"/>
        </w:rPr>
        <w:t>exposición del proceso de contratación frente a los diferentes riesgos que se puedan presentar, por ejemplo, la identificación de:</w:t>
      </w:r>
    </w:p>
    <w:p w14:paraId="4FE69E96" w14:textId="77777777" w:rsidR="00F7025D" w:rsidRPr="00EF46B1" w:rsidRDefault="00F7025D" w:rsidP="00F7025D">
      <w:pPr>
        <w:autoSpaceDE w:val="0"/>
        <w:autoSpaceDN w:val="0"/>
        <w:adjustRightInd w:val="0"/>
        <w:ind w:left="709" w:right="709"/>
        <w:jc w:val="both"/>
        <w:rPr>
          <w:rFonts w:ascii="Verdana" w:hAnsi="Verdana" w:cs="Arial"/>
        </w:rPr>
      </w:pPr>
      <w:r w:rsidRPr="00EF46B1">
        <w:rPr>
          <w:rFonts w:ascii="Verdana" w:hAnsi="Verdana" w:cs="Arial"/>
        </w:rPr>
        <w:t>«(a) los eventos que impidan la adjudicación y firma del contrato como resultado del Proceso de Contratación; (b) los eventos que alteren la ejecución del contrato; (c) el equilibrio económico del contrato; (d) la eficacia del Proceso de Contratación, es decir, que la Entidad Estatal pueda satisfacer la necesidad que motivó el Proceso de Contratación; y (e) la reputación y legitimidad de la Entidad Estatal encargada de prestar el bien o servicio</w:t>
      </w:r>
      <w:r w:rsidRPr="00EF46B1">
        <w:rPr>
          <w:rStyle w:val="Refdenotaalpie"/>
          <w:rFonts w:ascii="Verdana" w:hAnsi="Verdana" w:cs="Arial"/>
        </w:rPr>
        <w:footnoteReference w:id="4"/>
      </w:r>
      <w:r w:rsidRPr="00EF46B1">
        <w:rPr>
          <w:rFonts w:ascii="Verdana" w:hAnsi="Verdana" w:cs="Arial"/>
        </w:rPr>
        <w:t>.»</w:t>
      </w:r>
    </w:p>
    <w:p w14:paraId="5D5EBCE1" w14:textId="77777777" w:rsidR="00F7025D" w:rsidRPr="00D6662D" w:rsidRDefault="00F7025D" w:rsidP="00F7025D">
      <w:pPr>
        <w:spacing w:after="120" w:line="276" w:lineRule="auto"/>
        <w:jc w:val="both"/>
        <w:textAlignment w:val="baseline"/>
        <w:rPr>
          <w:rFonts w:ascii="Verdana" w:hAnsi="Verdana" w:cs="Arial"/>
        </w:rPr>
      </w:pPr>
      <w:r w:rsidRPr="00D6662D">
        <w:rPr>
          <w:rFonts w:ascii="Verdana" w:hAnsi="Verdana" w:cs="Arial"/>
          <w:lang w:val="es-ES" w:eastAsia="es-CO"/>
        </w:rPr>
        <w:t xml:space="preserve">Finalmente, una adecuada administración de riesgos permite: </w:t>
      </w:r>
      <w:r w:rsidRPr="00D6662D">
        <w:rPr>
          <w:rFonts w:ascii="Verdana" w:hAnsi="Verdana" w:cs="Arial"/>
        </w:rPr>
        <w:t>«</w:t>
      </w:r>
      <w:r w:rsidRPr="00D6662D">
        <w:rPr>
          <w:rFonts w:ascii="Verdana" w:hAnsi="Verdana" w:cs="Arial"/>
          <w:lang w:eastAsia="es-CO"/>
        </w:rPr>
        <w:t>(i) proporcionar un mayor nivel de certeza y conocimiento para la toma de decisiones relacionadas con el Proceso de Contratación; (</w:t>
      </w:r>
      <w:proofErr w:type="spellStart"/>
      <w:r w:rsidRPr="00D6662D">
        <w:rPr>
          <w:rFonts w:ascii="Verdana" w:hAnsi="Verdana" w:cs="Arial"/>
          <w:lang w:eastAsia="es-CO"/>
        </w:rPr>
        <w:t>ii</w:t>
      </w:r>
      <w:proofErr w:type="spellEnd"/>
      <w:r w:rsidRPr="00D6662D">
        <w:rPr>
          <w:rFonts w:ascii="Verdana" w:hAnsi="Verdana" w:cs="Arial"/>
          <w:lang w:eastAsia="es-CO"/>
        </w:rPr>
        <w:t>) mejorar la planeación de contingencias del Proceso de Contratación; (</w:t>
      </w:r>
      <w:proofErr w:type="spellStart"/>
      <w:r w:rsidRPr="00D6662D">
        <w:rPr>
          <w:rFonts w:ascii="Verdana" w:hAnsi="Verdana" w:cs="Arial"/>
          <w:lang w:eastAsia="es-CO"/>
        </w:rPr>
        <w:t>iii</w:t>
      </w:r>
      <w:proofErr w:type="spellEnd"/>
      <w:r w:rsidRPr="00D6662D">
        <w:rPr>
          <w:rFonts w:ascii="Verdana" w:hAnsi="Verdana" w:cs="Arial"/>
          <w:lang w:eastAsia="es-CO"/>
        </w:rPr>
        <w:t xml:space="preserve">) incrementar el grado de confianza entre </w:t>
      </w:r>
      <w:proofErr w:type="gramStart"/>
      <w:r w:rsidRPr="00D6662D">
        <w:rPr>
          <w:rFonts w:ascii="Verdana" w:hAnsi="Verdana" w:cs="Arial"/>
          <w:lang w:eastAsia="es-CO"/>
        </w:rPr>
        <w:t>la partes</w:t>
      </w:r>
      <w:proofErr w:type="gramEnd"/>
      <w:r w:rsidRPr="00D6662D">
        <w:rPr>
          <w:rFonts w:ascii="Verdana" w:hAnsi="Verdana" w:cs="Arial"/>
          <w:lang w:eastAsia="es-CO"/>
        </w:rPr>
        <w:t xml:space="preserve"> del Proceso de Contratación; y (iv) reducir la posibilidad de litigios; entre otro</w:t>
      </w:r>
      <w:r w:rsidRPr="00D6662D">
        <w:rPr>
          <w:rFonts w:ascii="Verdana" w:hAnsi="Verdana" w:cs="Arial"/>
        </w:rPr>
        <w:t>»</w:t>
      </w:r>
      <w:r w:rsidRPr="00D6662D">
        <w:rPr>
          <w:rStyle w:val="Refdenotaalpie"/>
          <w:rFonts w:ascii="Verdana" w:hAnsi="Verdana" w:cs="Arial"/>
        </w:rPr>
        <w:footnoteReference w:id="5"/>
      </w:r>
      <w:r w:rsidRPr="00D6662D">
        <w:rPr>
          <w:rFonts w:ascii="Verdana" w:hAnsi="Verdana" w:cs="Arial"/>
        </w:rPr>
        <w:t>.</w:t>
      </w:r>
    </w:p>
    <w:p w14:paraId="1680DC28" w14:textId="77777777" w:rsidR="00F7025D" w:rsidRPr="00D6662D" w:rsidRDefault="00F7025D" w:rsidP="00F7025D">
      <w:pPr>
        <w:spacing w:after="120" w:line="276" w:lineRule="auto"/>
        <w:jc w:val="both"/>
        <w:textAlignment w:val="baseline"/>
        <w:rPr>
          <w:rFonts w:ascii="Verdana" w:hAnsi="Verdana" w:cs="Arial"/>
          <w:lang w:eastAsia="es-CO"/>
        </w:rPr>
      </w:pPr>
      <w:r w:rsidRPr="00D6662D">
        <w:rPr>
          <w:rFonts w:ascii="Verdana" w:hAnsi="Verdana" w:cs="Arial"/>
          <w:lang w:eastAsia="es-CO"/>
        </w:rPr>
        <w:lastRenderedPageBreak/>
        <w:t>Ahora bien, a las entidades estatales les corresponde, en cada procedimiento de selección, establecer en el pliego de condiciones o documento equivalente la tipificación, estimación y asignación definitiva de los riesgos previsibles involucrados en el proceso de contratación. En este sentido, si bien deben tener en consideración las observaciones formuladas por los interesados al proyecto de pliego de condiciones, al pliego de condiciones definitivo y lo debatido en la audiencia de asignación de riesgos –en los procesos de licitación pública–, corresponde a cada entidad analizar y pronunciarse motivadamente frente a dichas observaciones, correspondiendo a la entidad tomar la decisión final sobre el contenido de los riesgos</w:t>
      </w:r>
      <w:r w:rsidRPr="00D6662D">
        <w:rPr>
          <w:rStyle w:val="Refdenotaalpie"/>
          <w:rFonts w:ascii="Verdana" w:hAnsi="Verdana" w:cs="Arial"/>
          <w:lang w:eastAsia="es-CO"/>
        </w:rPr>
        <w:footnoteReference w:id="6"/>
      </w:r>
      <w:r w:rsidRPr="00D6662D">
        <w:rPr>
          <w:rFonts w:ascii="Verdana" w:hAnsi="Verdana" w:cs="Arial"/>
          <w:lang w:eastAsia="es-CO"/>
        </w:rPr>
        <w:t xml:space="preserve">. </w:t>
      </w:r>
    </w:p>
    <w:p w14:paraId="688AAAE4" w14:textId="77777777" w:rsidR="00F7025D" w:rsidRPr="00D6662D" w:rsidRDefault="00F7025D" w:rsidP="00F7025D">
      <w:pPr>
        <w:spacing w:after="120" w:line="276" w:lineRule="auto"/>
        <w:jc w:val="both"/>
        <w:textAlignment w:val="baseline"/>
        <w:rPr>
          <w:rFonts w:ascii="Verdana" w:hAnsi="Verdana" w:cs="Arial"/>
          <w:lang w:val="es-ES" w:eastAsia="es-CO"/>
        </w:rPr>
      </w:pPr>
      <w:r w:rsidRPr="00D6662D">
        <w:rPr>
          <w:rFonts w:ascii="Verdana" w:hAnsi="Verdana" w:cs="Arial"/>
          <w:lang w:val="es-ES" w:eastAsia="es-CO"/>
        </w:rPr>
        <w:t xml:space="preserve">Con fundamento en lo anterior, corresponde a cada entidad efectuar en la fase de planeación el análisis inicial de los riesgos previsibles asociados al procedimiento de selección. Desde luego, el resultado de este ejercicio depende de la naturaleza del objeto contractual, de su cuantía, del plazo de ejecución, de la situación económica del momento, entre otros factores. Tratándose de la volatilidad del dólar y en general de los fenómenos financieros globales que pueden incidir sobre el valor del contrato, las entidades estatales y los interesados tienen, en principio, el deber de tipificar, estimar y asignar este riesgo, siempre y cuando sea </w:t>
      </w:r>
      <w:r w:rsidRPr="00D6662D">
        <w:rPr>
          <w:rFonts w:ascii="Verdana" w:hAnsi="Verdana" w:cs="Arial"/>
          <w:i/>
          <w:iCs/>
          <w:lang w:val="es-ES" w:eastAsia="es-CO"/>
        </w:rPr>
        <w:t>previsible</w:t>
      </w:r>
      <w:r w:rsidRPr="00D6662D">
        <w:rPr>
          <w:rFonts w:ascii="Verdana" w:hAnsi="Verdana" w:cs="Arial"/>
          <w:lang w:val="es-ES" w:eastAsia="es-CO"/>
        </w:rPr>
        <w:t>. Los riesgos imprevisibles que afecten la ecuación contractual podrían dar lugar al deber de restablecimiento del equilibrio económico del contrato, en los términos de los artículos 4, numeral 3</w:t>
      </w:r>
      <w:r w:rsidRPr="00D6662D">
        <w:rPr>
          <w:rStyle w:val="Refdenotaalpie"/>
          <w:rFonts w:ascii="Verdana" w:hAnsi="Verdana" w:cs="Arial"/>
          <w:lang w:val="es-ES" w:eastAsia="es-CO"/>
        </w:rPr>
        <w:footnoteReference w:id="7"/>
      </w:r>
      <w:r w:rsidRPr="00D6662D">
        <w:rPr>
          <w:rFonts w:ascii="Verdana" w:hAnsi="Verdana" w:cs="Arial"/>
          <w:lang w:val="es-ES" w:eastAsia="es-CO"/>
        </w:rPr>
        <w:t xml:space="preserve"> y 5, numeral 1</w:t>
      </w:r>
      <w:r w:rsidRPr="00D6662D">
        <w:rPr>
          <w:rStyle w:val="Refdenotaalpie"/>
          <w:rFonts w:ascii="Verdana" w:hAnsi="Verdana" w:cs="Arial"/>
          <w:lang w:val="es-ES" w:eastAsia="es-CO"/>
        </w:rPr>
        <w:footnoteReference w:id="8"/>
      </w:r>
      <w:r w:rsidRPr="00D6662D">
        <w:rPr>
          <w:rFonts w:ascii="Verdana" w:hAnsi="Verdana" w:cs="Arial"/>
          <w:lang w:val="es-ES" w:eastAsia="es-CO"/>
        </w:rPr>
        <w:t xml:space="preserve">, de la </w:t>
      </w:r>
      <w:bookmarkStart w:id="2" w:name="_Hlk172127444"/>
      <w:r w:rsidRPr="00D6662D">
        <w:rPr>
          <w:rFonts w:ascii="Verdana" w:hAnsi="Verdana" w:cs="Arial"/>
          <w:lang w:val="es-ES" w:eastAsia="es-CO"/>
        </w:rPr>
        <w:t>Ley 80 de 1993</w:t>
      </w:r>
      <w:bookmarkEnd w:id="2"/>
      <w:r w:rsidRPr="00D6662D">
        <w:rPr>
          <w:rFonts w:ascii="Verdana" w:hAnsi="Verdana" w:cs="Arial"/>
          <w:lang w:val="es-ES" w:eastAsia="es-CO"/>
        </w:rPr>
        <w:t>.</w:t>
      </w:r>
    </w:p>
    <w:p w14:paraId="2ACAEE28" w14:textId="77777777" w:rsidR="00F7025D" w:rsidRPr="00E42DCA" w:rsidRDefault="00F7025D" w:rsidP="00F7025D">
      <w:pPr>
        <w:pStyle w:val="Prrafodelista"/>
        <w:numPr>
          <w:ilvl w:val="0"/>
          <w:numId w:val="4"/>
        </w:numPr>
        <w:tabs>
          <w:tab w:val="left" w:pos="142"/>
          <w:tab w:val="left" w:pos="284"/>
        </w:tabs>
        <w:spacing w:after="0" w:line="276" w:lineRule="auto"/>
        <w:ind w:left="0" w:firstLine="0"/>
        <w:contextualSpacing w:val="0"/>
        <w:jc w:val="both"/>
        <w:rPr>
          <w:rFonts w:ascii="Verdana" w:hAnsi="Verdana" w:cs="Arial"/>
          <w:b/>
          <w:bCs/>
          <w:lang w:val="es-ES" w:eastAsia="es-CO"/>
        </w:rPr>
      </w:pPr>
      <w:r w:rsidRPr="00E42DCA">
        <w:rPr>
          <w:rFonts w:ascii="Verdana" w:hAnsi="Verdana" w:cs="Arial"/>
          <w:b/>
          <w:bCs/>
          <w:lang w:val="es-ES" w:eastAsia="es-CO"/>
        </w:rPr>
        <w:lastRenderedPageBreak/>
        <w:t xml:space="preserve">Razones de la respuesta: </w:t>
      </w:r>
    </w:p>
    <w:p w14:paraId="461F3BA3" w14:textId="77777777" w:rsidR="00F7025D" w:rsidRPr="00D6662D" w:rsidRDefault="00F7025D" w:rsidP="00F7025D">
      <w:pPr>
        <w:pStyle w:val="Prrafodelista"/>
        <w:tabs>
          <w:tab w:val="left" w:pos="142"/>
          <w:tab w:val="left" w:pos="284"/>
        </w:tabs>
        <w:spacing w:after="0" w:line="276" w:lineRule="auto"/>
        <w:ind w:left="0"/>
        <w:contextualSpacing w:val="0"/>
        <w:jc w:val="both"/>
        <w:rPr>
          <w:rFonts w:ascii="Verdana" w:hAnsi="Verdana" w:cs="Arial"/>
          <w:lang w:val="es-ES" w:eastAsia="es-CO"/>
        </w:rPr>
      </w:pPr>
      <w:r w:rsidRPr="00D6662D">
        <w:rPr>
          <w:rFonts w:ascii="Verdana" w:hAnsi="Verdana" w:cs="Arial"/>
          <w:lang w:val="es-ES" w:eastAsia="es-CO"/>
        </w:rPr>
        <w:t xml:space="preserve">Lo anterior se sustenta en las siguientes consideraciones: </w:t>
      </w:r>
    </w:p>
    <w:p w14:paraId="373FC484" w14:textId="77777777" w:rsidR="00F7025D" w:rsidRPr="00EF46B1" w:rsidRDefault="00F7025D" w:rsidP="00F7025D">
      <w:pPr>
        <w:pStyle w:val="Prrafodelista"/>
        <w:tabs>
          <w:tab w:val="left" w:pos="142"/>
          <w:tab w:val="left" w:pos="284"/>
        </w:tabs>
        <w:spacing w:after="0" w:line="276" w:lineRule="auto"/>
        <w:ind w:left="0"/>
        <w:contextualSpacing w:val="0"/>
        <w:jc w:val="both"/>
        <w:rPr>
          <w:rFonts w:ascii="Verdana" w:hAnsi="Verdana" w:cs="Arial"/>
          <w:lang w:val="es-ES" w:eastAsia="es-CO"/>
        </w:rPr>
      </w:pPr>
    </w:p>
    <w:p w14:paraId="2462CFCD" w14:textId="77777777" w:rsidR="00F7025D" w:rsidRPr="00D6662D" w:rsidRDefault="00F7025D" w:rsidP="00F7025D">
      <w:pPr>
        <w:pStyle w:val="Textoindependiente"/>
        <w:ind w:right="42"/>
        <w:jc w:val="both"/>
        <w:rPr>
          <w:rFonts w:ascii="Verdana" w:hAnsi="Verdana" w:cs="Arial"/>
        </w:rPr>
      </w:pPr>
      <w:bookmarkStart w:id="3" w:name="_Hlk172124037"/>
      <w:r>
        <w:rPr>
          <w:rFonts w:ascii="Verdana" w:hAnsi="Verdana" w:cs="Arial"/>
          <w:lang w:val="es-ES" w:eastAsia="es-CO"/>
        </w:rPr>
        <w:t>En virtud de lo expuesto anteriormente y b</w:t>
      </w:r>
      <w:r w:rsidRPr="00D6662D">
        <w:rPr>
          <w:rFonts w:ascii="Verdana" w:hAnsi="Verdana" w:cs="Arial"/>
        </w:rPr>
        <w:t>ajo las denominaciones de Guías, Manuales, instructivos y protocolos muchas entidades del Estado han adoptado herramientas e instrumentos para definir criterios técnicos, fijar procedimientos, estandarizar procesos y establecer metodologías y no existe un significado unívoco que defina cada herramienta</w:t>
      </w:r>
      <w:bookmarkEnd w:id="3"/>
      <w:r w:rsidRPr="00D6662D">
        <w:rPr>
          <w:rStyle w:val="Refdenotaalpie"/>
          <w:rFonts w:ascii="Verdana" w:hAnsi="Verdana" w:cs="Arial"/>
        </w:rPr>
        <w:footnoteReference w:id="9"/>
      </w:r>
      <w:r w:rsidRPr="00D6662D">
        <w:rPr>
          <w:rFonts w:ascii="Verdana" w:hAnsi="Verdana" w:cs="Arial"/>
        </w:rPr>
        <w:t>.</w:t>
      </w:r>
    </w:p>
    <w:p w14:paraId="7DCAA8C3" w14:textId="77777777" w:rsidR="00F7025D" w:rsidRPr="00D6662D" w:rsidRDefault="00F7025D" w:rsidP="00F7025D">
      <w:pPr>
        <w:pStyle w:val="Textoindependiente"/>
        <w:ind w:right="42"/>
        <w:jc w:val="both"/>
        <w:rPr>
          <w:rFonts w:ascii="Verdana" w:hAnsi="Verdana" w:cs="Arial"/>
        </w:rPr>
      </w:pPr>
      <w:r w:rsidRPr="00D6662D">
        <w:rPr>
          <w:rFonts w:ascii="Verdana" w:hAnsi="Verdana" w:cs="Arial"/>
        </w:rPr>
        <w:t xml:space="preserve">Dentro del funcionamiento interno de esta entidad, los Manuales han sido entendidos como documentos que tratan de manera general aspectos fundamentales y elementales de un tema. Su contenido tiende a ser teórico y su finalidad es aclarar los puntos más importantes del asunto abordado. Por ejemplo, la entidad ha elaborado manuales para determinar y verificar los </w:t>
      </w:r>
      <w:r w:rsidRPr="00D6662D">
        <w:rPr>
          <w:rFonts w:ascii="Verdana" w:hAnsi="Verdana" w:cs="Arial"/>
        </w:rPr>
        <w:lastRenderedPageBreak/>
        <w:t>requisitos habilitantes o para el manejo de los acuerdos comerciales en los procesos de contratación.</w:t>
      </w:r>
    </w:p>
    <w:p w14:paraId="62B93101" w14:textId="77777777" w:rsidR="00F7025D" w:rsidRPr="00DD31C7" w:rsidRDefault="00F7025D" w:rsidP="00F7025D">
      <w:pPr>
        <w:pStyle w:val="Textoindependiente"/>
        <w:spacing w:before="1"/>
        <w:ind w:right="42"/>
        <w:jc w:val="both"/>
        <w:rPr>
          <w:rFonts w:ascii="Verdana" w:hAnsi="Verdana" w:cs="Arial"/>
        </w:rPr>
      </w:pPr>
      <w:r w:rsidRPr="00D6662D">
        <w:rPr>
          <w:rFonts w:ascii="Verdana" w:hAnsi="Verdana" w:cs="Arial"/>
        </w:rPr>
        <w:t xml:space="preserve">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la guía para la liquidación de los contratos estatales, la cual fija un procedimiento para el efecto. </w:t>
      </w:r>
    </w:p>
    <w:p w14:paraId="7599F06A" w14:textId="77777777" w:rsidR="00F7025D" w:rsidRPr="00DD31C7" w:rsidRDefault="00F7025D" w:rsidP="00F7025D">
      <w:pPr>
        <w:spacing w:after="0" w:line="276" w:lineRule="auto"/>
        <w:jc w:val="both"/>
        <w:rPr>
          <w:rFonts w:ascii="Verdana" w:eastAsia="Calibri" w:hAnsi="Verdana" w:cs="Arial"/>
          <w:lang w:val="es-ES"/>
        </w:rPr>
      </w:pPr>
    </w:p>
    <w:p w14:paraId="2DA918C8" w14:textId="77777777" w:rsidR="00F7025D" w:rsidRPr="00DD31C7" w:rsidRDefault="00F7025D" w:rsidP="00F7025D">
      <w:pPr>
        <w:spacing w:after="0" w:line="276" w:lineRule="auto"/>
        <w:jc w:val="both"/>
        <w:rPr>
          <w:rFonts w:ascii="Verdana" w:eastAsia="Calibri" w:hAnsi="Verdana" w:cs="Arial"/>
          <w:b/>
          <w:bCs/>
          <w:lang w:val="es-ES"/>
        </w:rPr>
      </w:pPr>
      <w:r w:rsidRPr="00DD31C7">
        <w:rPr>
          <w:rFonts w:ascii="Verdana" w:eastAsia="Calibri" w:hAnsi="Verdana" w:cs="Arial"/>
          <w:b/>
          <w:bCs/>
          <w:lang w:val="es-ES"/>
        </w:rPr>
        <w:t>2.1 Obligatoriedad de los Instrumentos de Colombia Compra Eficiente</w:t>
      </w:r>
    </w:p>
    <w:p w14:paraId="4B287750" w14:textId="77777777" w:rsidR="00F7025D" w:rsidRPr="00DD31C7" w:rsidRDefault="00F7025D" w:rsidP="00F7025D">
      <w:pPr>
        <w:spacing w:after="0" w:line="276" w:lineRule="auto"/>
        <w:jc w:val="both"/>
        <w:rPr>
          <w:rFonts w:ascii="Verdana" w:eastAsia="Calibri" w:hAnsi="Verdana" w:cs="Arial"/>
          <w:lang w:val="es-ES"/>
        </w:rPr>
      </w:pPr>
    </w:p>
    <w:p w14:paraId="6A761CEA" w14:textId="77777777" w:rsidR="00F7025D" w:rsidRPr="00DD31C7" w:rsidRDefault="00F7025D" w:rsidP="00F7025D">
      <w:pPr>
        <w:spacing w:after="0" w:line="276" w:lineRule="auto"/>
        <w:jc w:val="both"/>
        <w:rPr>
          <w:rFonts w:ascii="Verdana" w:eastAsia="Calibri" w:hAnsi="Verdana" w:cs="Arial"/>
          <w:lang w:val="es-ES"/>
        </w:rPr>
      </w:pPr>
      <w:r w:rsidRPr="00DD31C7">
        <w:rPr>
          <w:rFonts w:ascii="Verdana" w:eastAsia="Calibri" w:hAnsi="Verdana" w:cs="Arial"/>
          <w:lang w:val="es-ES"/>
        </w:rPr>
        <w:t xml:space="preserve">Hasta 2016, los Manuales y Guías de Colombia Compra Eficiente eran obligatorios solo si se adoptaban a través de circulares externas publicadas en el Diario Oficial. </w:t>
      </w:r>
      <w:r>
        <w:rPr>
          <w:rFonts w:ascii="Verdana" w:eastAsia="Calibri" w:hAnsi="Verdana" w:cs="Arial"/>
          <w:lang w:val="es-ES"/>
        </w:rPr>
        <w:t>Como también l</w:t>
      </w:r>
      <w:r w:rsidRPr="00DD31C7">
        <w:rPr>
          <w:rFonts w:ascii="Verdana" w:eastAsia="Calibri" w:hAnsi="Verdana" w:cs="Arial"/>
          <w:lang w:val="es-ES"/>
        </w:rPr>
        <w:t>as circulares externas, como actos administrativos generales, eran vinculantes para el Sistema de Compra Pública. Manuales y guías, en cambio, solo tenían carácter de recomendación a menos que se adoptaran mediante una circular externa o un acto administrativo con fundamento legal. En 2017, se adoptó un enfoque más sustantivo que considera obligatorio cualquier acto de Colombia Compra Eficiente siempre y cuando esté respaldado por una competencia legal o reglamentaria. Así, los manuales y guías con base en tal competencia son obligatorios, mientras que aquellos sin dicha base son solo recomendaciones de buenas prácticas.</w:t>
      </w:r>
    </w:p>
    <w:p w14:paraId="50402994" w14:textId="77777777" w:rsidR="00F7025D" w:rsidRPr="00DD31C7" w:rsidRDefault="00F7025D" w:rsidP="00F7025D">
      <w:pPr>
        <w:spacing w:after="0" w:line="276" w:lineRule="auto"/>
        <w:jc w:val="both"/>
        <w:rPr>
          <w:rFonts w:ascii="Verdana" w:eastAsia="Calibri" w:hAnsi="Verdana" w:cs="Arial"/>
          <w:b/>
          <w:bCs/>
          <w:lang w:val="es-ES"/>
        </w:rPr>
      </w:pPr>
    </w:p>
    <w:p w14:paraId="4887F42C" w14:textId="77777777" w:rsidR="00F7025D" w:rsidRPr="00DD31C7" w:rsidRDefault="00F7025D" w:rsidP="00F7025D">
      <w:pPr>
        <w:spacing w:after="0" w:line="276" w:lineRule="auto"/>
        <w:jc w:val="both"/>
        <w:rPr>
          <w:rFonts w:ascii="Verdana" w:eastAsia="Calibri" w:hAnsi="Verdana" w:cs="Arial"/>
          <w:b/>
          <w:bCs/>
          <w:lang w:val="es-ES"/>
        </w:rPr>
      </w:pPr>
      <w:r w:rsidRPr="00DD31C7">
        <w:rPr>
          <w:rFonts w:ascii="Verdana" w:eastAsia="Calibri" w:hAnsi="Verdana" w:cs="Arial"/>
          <w:b/>
          <w:bCs/>
          <w:lang w:val="es-ES"/>
        </w:rPr>
        <w:t>2.2. Riesgos en la Contratación Estatal</w:t>
      </w:r>
    </w:p>
    <w:p w14:paraId="22AF1AEC" w14:textId="77777777" w:rsidR="00F7025D" w:rsidRPr="00DD31C7" w:rsidRDefault="00F7025D" w:rsidP="00F7025D">
      <w:pPr>
        <w:spacing w:after="0" w:line="276" w:lineRule="auto"/>
        <w:jc w:val="both"/>
        <w:rPr>
          <w:rFonts w:ascii="Verdana" w:eastAsia="Calibri" w:hAnsi="Verdana" w:cs="Arial"/>
          <w:lang w:val="es-ES"/>
        </w:rPr>
      </w:pPr>
    </w:p>
    <w:p w14:paraId="32A88888" w14:textId="77777777" w:rsidR="00F7025D" w:rsidRDefault="00F7025D" w:rsidP="00F7025D">
      <w:pPr>
        <w:spacing w:after="0" w:line="276" w:lineRule="auto"/>
        <w:jc w:val="both"/>
        <w:rPr>
          <w:rFonts w:ascii="Verdana" w:eastAsia="Calibri" w:hAnsi="Verdana" w:cs="Arial"/>
          <w:lang w:val="es-ES"/>
        </w:rPr>
      </w:pPr>
      <w:r w:rsidRPr="00DD31C7">
        <w:rPr>
          <w:rFonts w:ascii="Verdana" w:eastAsia="Calibri" w:hAnsi="Verdana" w:cs="Arial"/>
          <w:lang w:val="es-ES"/>
        </w:rPr>
        <w:t xml:space="preserve">El riesgo en la contratación estatal se define como la posibilidad de eventos que puedan afectar la ejecución del contrato, según la RAE y literatura internacional. El Decreto 423 de 2001 y la Ley 1150 de 2007 establecieron que las entidades estatales deben estimar, tipificar y asignar riesgos previsibles en los pliegos de condiciones. El CONPES 3107 de 2011 y el CONPES 3714 de 2011 introdujeron lineamientos para la adecuada asignación y gestión de riesgos, subrayando la importancia de información precisa y la identificación de riesgos previsibles. El Decreto 1082 de 2015 reforzó esta obligación, exigiendo que los pliegos incluyan información detallada sobre riesgos y su mitigación. Las entidades estatales y </w:t>
      </w:r>
      <w:r w:rsidRPr="00DD31C7">
        <w:rPr>
          <w:rFonts w:ascii="Verdana" w:eastAsia="Calibri" w:hAnsi="Verdana" w:cs="Arial"/>
          <w:lang w:val="es-ES"/>
        </w:rPr>
        <w:lastRenderedPageBreak/>
        <w:t>los participantes deben colaborar en la estimación y asignación de riesgos, con audiencias obligatorias para discutir estos riesgos en procesos de licitación pública.</w:t>
      </w:r>
    </w:p>
    <w:p w14:paraId="068A971C" w14:textId="77777777" w:rsidR="00F7025D" w:rsidRDefault="00F7025D" w:rsidP="00F7025D">
      <w:pPr>
        <w:spacing w:after="0" w:line="276" w:lineRule="auto"/>
        <w:jc w:val="both"/>
        <w:rPr>
          <w:rFonts w:ascii="Verdana" w:eastAsia="Calibri" w:hAnsi="Verdana" w:cs="Arial"/>
          <w:lang w:val="es-ES"/>
        </w:rPr>
      </w:pPr>
    </w:p>
    <w:p w14:paraId="0DD3CE83" w14:textId="77777777" w:rsidR="00F7025D" w:rsidRDefault="00F7025D" w:rsidP="00F7025D">
      <w:pPr>
        <w:spacing w:after="0" w:line="276" w:lineRule="auto"/>
        <w:jc w:val="both"/>
        <w:rPr>
          <w:rFonts w:ascii="Verdana" w:eastAsia="Calibri" w:hAnsi="Verdana" w:cs="Arial"/>
          <w:lang w:val="es-ES"/>
        </w:rPr>
      </w:pPr>
    </w:p>
    <w:p w14:paraId="11A63A0E" w14:textId="77777777" w:rsidR="00F7025D" w:rsidRPr="00EF46B1" w:rsidRDefault="00F7025D" w:rsidP="00F7025D">
      <w:pPr>
        <w:spacing w:after="0" w:line="276" w:lineRule="auto"/>
        <w:jc w:val="both"/>
        <w:rPr>
          <w:rFonts w:ascii="Verdana" w:eastAsia="Calibri" w:hAnsi="Verdana" w:cs="Arial"/>
          <w:lang w:val="es-ES"/>
        </w:rPr>
      </w:pPr>
    </w:p>
    <w:p w14:paraId="310DE2FC" w14:textId="77777777" w:rsidR="00F7025D" w:rsidRPr="00D6662D" w:rsidRDefault="00F7025D" w:rsidP="00F7025D">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D6662D">
        <w:rPr>
          <w:rFonts w:ascii="Verdana" w:eastAsia="Century Gothic" w:hAnsi="Verdana" w:cs="Century Gothic"/>
          <w:b/>
          <w:bCs/>
          <w:lang w:val="es-ES"/>
        </w:rPr>
        <w:t>Referencias normativas, jurisprudenciales y otras fuentes:</w:t>
      </w:r>
    </w:p>
    <w:p w14:paraId="7CC9A45A" w14:textId="77777777" w:rsidR="00F7025D" w:rsidRPr="00D6662D" w:rsidRDefault="00F7025D" w:rsidP="00F7025D">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7025D" w:rsidRPr="00EF46B1" w14:paraId="4A947C16" w14:textId="77777777" w:rsidTr="001C79B1">
        <w:trPr>
          <w:trHeight w:val="870"/>
        </w:trPr>
        <w:tc>
          <w:tcPr>
            <w:tcW w:w="8647" w:type="dxa"/>
          </w:tcPr>
          <w:p w14:paraId="5EB3037C" w14:textId="77777777" w:rsidR="00F7025D" w:rsidRPr="00EF46B1" w:rsidRDefault="00F7025D" w:rsidP="00F7025D">
            <w:pPr>
              <w:pStyle w:val="Prrafodelista"/>
              <w:numPr>
                <w:ilvl w:val="0"/>
                <w:numId w:val="13"/>
              </w:numPr>
              <w:rPr>
                <w:rFonts w:ascii="Verdana" w:hAnsi="Verdana" w:cs="Arial"/>
                <w:lang w:val="es-ES" w:eastAsia="es-CO"/>
              </w:rPr>
            </w:pPr>
            <w:r w:rsidRPr="00EF46B1">
              <w:rPr>
                <w:rFonts w:ascii="Verdana" w:hAnsi="Verdana" w:cs="Arial"/>
                <w:lang w:val="es-ES" w:eastAsia="es-CO"/>
              </w:rPr>
              <w:t>Decreto Ley 4170 de 2011</w:t>
            </w:r>
          </w:p>
          <w:p w14:paraId="14999061" w14:textId="77777777" w:rsidR="00F7025D" w:rsidRPr="00EF46B1" w:rsidRDefault="00F7025D" w:rsidP="00F7025D">
            <w:pPr>
              <w:pStyle w:val="Prrafodelista"/>
              <w:numPr>
                <w:ilvl w:val="0"/>
                <w:numId w:val="13"/>
              </w:numPr>
              <w:rPr>
                <w:rFonts w:ascii="Verdana" w:hAnsi="Verdana" w:cs="Arial"/>
                <w:lang w:val="es-ES" w:eastAsia="es-CO"/>
              </w:rPr>
            </w:pPr>
            <w:r w:rsidRPr="00EF46B1">
              <w:rPr>
                <w:rFonts w:ascii="Verdana" w:hAnsi="Verdana" w:cs="Arial"/>
                <w:lang w:val="es-ES" w:eastAsia="es-CO"/>
              </w:rPr>
              <w:t>Ley 80 de 1993</w:t>
            </w:r>
          </w:p>
          <w:p w14:paraId="62449507" w14:textId="77777777" w:rsidR="00F7025D" w:rsidRPr="00EF46B1" w:rsidRDefault="00F7025D" w:rsidP="00F7025D">
            <w:pPr>
              <w:pStyle w:val="Textonotapie"/>
              <w:numPr>
                <w:ilvl w:val="0"/>
                <w:numId w:val="13"/>
              </w:numPr>
              <w:jc w:val="both"/>
              <w:rPr>
                <w:rFonts w:ascii="Verdana" w:hAnsi="Verdana" w:cs="Arial"/>
                <w:sz w:val="22"/>
                <w:szCs w:val="22"/>
              </w:rPr>
            </w:pPr>
            <w:r w:rsidRPr="00EF46B1">
              <w:rPr>
                <w:rFonts w:ascii="Verdana" w:hAnsi="Verdana" w:cs="Arial"/>
                <w:sz w:val="22"/>
                <w:szCs w:val="22"/>
              </w:rPr>
              <w:t>Ley 1437 de 2011, artículo 65 y 66 de la misma ley.</w:t>
            </w:r>
          </w:p>
          <w:p w14:paraId="7C162BCB" w14:textId="77777777" w:rsidR="00F7025D" w:rsidRPr="00EF46B1" w:rsidRDefault="00F7025D" w:rsidP="00F7025D">
            <w:pPr>
              <w:pStyle w:val="Prrafodelista"/>
              <w:numPr>
                <w:ilvl w:val="0"/>
                <w:numId w:val="13"/>
              </w:numPr>
              <w:rPr>
                <w:rFonts w:ascii="Verdana" w:hAnsi="Verdana" w:cs="Arial"/>
                <w:lang w:val="es-ES" w:eastAsia="es-CO"/>
              </w:rPr>
            </w:pPr>
            <w:r w:rsidRPr="00EF46B1">
              <w:rPr>
                <w:rFonts w:ascii="Verdana" w:hAnsi="Verdana" w:cs="Arial"/>
                <w:lang w:val="es-ES" w:eastAsia="es-CO"/>
              </w:rPr>
              <w:t>Decreto 1082 de 2015 </w:t>
            </w:r>
          </w:p>
          <w:p w14:paraId="799B0D6B" w14:textId="77777777" w:rsidR="00F7025D" w:rsidRPr="00EF46B1" w:rsidRDefault="00F7025D" w:rsidP="00F7025D">
            <w:pPr>
              <w:pStyle w:val="Prrafodelista"/>
              <w:numPr>
                <w:ilvl w:val="0"/>
                <w:numId w:val="13"/>
              </w:numPr>
              <w:rPr>
                <w:rFonts w:ascii="Verdana" w:hAnsi="Verdana" w:cs="Arial"/>
                <w:lang w:val="es-ES" w:eastAsia="es-CO"/>
              </w:rPr>
            </w:pPr>
            <w:r w:rsidRPr="00EF46B1">
              <w:rPr>
                <w:rFonts w:ascii="Verdana" w:hAnsi="Verdana" w:cs="Arial"/>
                <w:lang w:val="es-ES" w:eastAsia="es-CO"/>
              </w:rPr>
              <w:t>Conpes 3107 de 2011</w:t>
            </w:r>
          </w:p>
          <w:p w14:paraId="4C5EB9AE" w14:textId="77777777" w:rsidR="00F7025D" w:rsidRPr="00EF46B1" w:rsidRDefault="00F7025D" w:rsidP="00F7025D">
            <w:pPr>
              <w:pStyle w:val="Prrafodelista"/>
              <w:numPr>
                <w:ilvl w:val="0"/>
                <w:numId w:val="13"/>
              </w:numPr>
              <w:rPr>
                <w:rFonts w:ascii="Verdana" w:hAnsi="Verdana" w:cs="Arial"/>
                <w:lang w:val="es-ES" w:eastAsia="es-CO"/>
              </w:rPr>
            </w:pPr>
            <w:r w:rsidRPr="00EF46B1">
              <w:rPr>
                <w:rFonts w:ascii="Verdana" w:hAnsi="Verdana" w:cs="Arial"/>
                <w:lang w:val="es-ES" w:eastAsia="es-CO"/>
              </w:rPr>
              <w:t>Decreto 1068 de 2015</w:t>
            </w:r>
          </w:p>
          <w:p w14:paraId="69063322" w14:textId="77777777" w:rsidR="00F7025D" w:rsidRPr="00EF46B1" w:rsidRDefault="00F7025D" w:rsidP="00F7025D">
            <w:pPr>
              <w:pStyle w:val="Prrafodelista"/>
              <w:numPr>
                <w:ilvl w:val="0"/>
                <w:numId w:val="13"/>
              </w:numPr>
              <w:rPr>
                <w:rStyle w:val="normaltextrun"/>
                <w:rFonts w:ascii="Verdana" w:hAnsi="Verdana" w:cs="Arial"/>
                <w:shd w:val="clear" w:color="auto" w:fill="FFFFFF"/>
                <w:lang w:val="es-ES"/>
              </w:rPr>
            </w:pPr>
            <w:r w:rsidRPr="00EF46B1">
              <w:rPr>
                <w:rStyle w:val="normaltextrun"/>
                <w:rFonts w:ascii="Verdana" w:hAnsi="Verdana" w:cs="Arial"/>
                <w:shd w:val="clear" w:color="auto" w:fill="FFFFFF"/>
                <w:lang w:val="es-ES"/>
              </w:rPr>
              <w:t xml:space="preserve">Manual para la Identificación y Cobertura del Riesgo en los Procesos de Contratación. Disponible en: </w:t>
            </w:r>
            <w:hyperlink r:id="rId13" w:history="1">
              <w:r w:rsidRPr="00EF46B1">
                <w:rPr>
                  <w:rStyle w:val="Hipervnculo"/>
                  <w:rFonts w:ascii="Verdana" w:hAnsi="Verdana" w:cs="Arial"/>
                  <w:shd w:val="clear" w:color="auto" w:fill="FFFFFF"/>
                  <w:lang w:val="es-ES"/>
                </w:rPr>
                <w:t>https://www.colombiacompra.gov.co/sites/cce_public/files/cce_documents/cce_manual_cobertura_riesgo.pdf</w:t>
              </w:r>
            </w:hyperlink>
            <w:r w:rsidRPr="00EF46B1">
              <w:rPr>
                <w:rStyle w:val="normaltextrun"/>
                <w:rFonts w:ascii="Verdana" w:hAnsi="Verdana" w:cs="Arial"/>
                <w:shd w:val="clear" w:color="auto" w:fill="FFFFFF"/>
                <w:lang w:val="es-ES"/>
              </w:rPr>
              <w:t xml:space="preserve"> </w:t>
            </w:r>
          </w:p>
          <w:p w14:paraId="2DE480E9" w14:textId="77777777" w:rsidR="00F7025D" w:rsidRPr="00EF46B1" w:rsidRDefault="00F7025D" w:rsidP="00F7025D">
            <w:pPr>
              <w:pStyle w:val="Prrafodelista"/>
              <w:numPr>
                <w:ilvl w:val="0"/>
                <w:numId w:val="13"/>
              </w:numPr>
              <w:tabs>
                <w:tab w:val="left" w:pos="4805"/>
                <w:tab w:val="left" w:pos="8980"/>
              </w:tabs>
              <w:jc w:val="both"/>
              <w:rPr>
                <w:rFonts w:ascii="Verdana" w:hAnsi="Verdana" w:cs="Arial"/>
              </w:rPr>
            </w:pPr>
            <w:r w:rsidRPr="00EF46B1">
              <w:rPr>
                <w:rFonts w:ascii="Verdana" w:hAnsi="Verdana" w:cs="Arial"/>
              </w:rPr>
              <w:t xml:space="preserve">Circular Externa Única de Colombia Compra Eficiente. Disponible en: </w:t>
            </w:r>
            <w:hyperlink r:id="rId14" w:history="1">
              <w:r w:rsidRPr="00EF46B1">
                <w:rPr>
                  <w:rStyle w:val="Hipervnculo"/>
                  <w:rFonts w:ascii="Verdana" w:hAnsi="Verdana" w:cs="Arial"/>
                </w:rPr>
                <w:t>https://www.colombiacompra.gov.co/sites/cce_public/files/cce_circulares/cce_circular_unica.pdf</w:t>
              </w:r>
            </w:hyperlink>
            <w:r w:rsidRPr="00EF46B1">
              <w:rPr>
                <w:rFonts w:ascii="Verdana" w:hAnsi="Verdana" w:cs="Arial"/>
              </w:rPr>
              <w:t xml:space="preserve"> </w:t>
            </w:r>
          </w:p>
          <w:p w14:paraId="32323127" w14:textId="77777777" w:rsidR="00F7025D" w:rsidRPr="00EF46B1" w:rsidRDefault="00F7025D" w:rsidP="001C79B1">
            <w:pPr>
              <w:pStyle w:val="Prrafodelista"/>
              <w:widowControl w:val="0"/>
              <w:autoSpaceDE w:val="0"/>
              <w:autoSpaceDN w:val="0"/>
              <w:spacing w:after="120" w:line="276" w:lineRule="auto"/>
              <w:contextualSpacing w:val="0"/>
              <w:jc w:val="both"/>
              <w:rPr>
                <w:rFonts w:ascii="Verdana" w:hAnsi="Verdana" w:cs="Arial"/>
              </w:rPr>
            </w:pPr>
            <w:r w:rsidRPr="00EF46B1">
              <w:rPr>
                <w:rFonts w:ascii="Verdana" w:hAnsi="Verdana" w:cs="Arial"/>
                <w:color w:val="7030A0"/>
              </w:rPr>
              <w:t xml:space="preserve"> </w:t>
            </w:r>
          </w:p>
        </w:tc>
      </w:tr>
    </w:tbl>
    <w:p w14:paraId="3D692671" w14:textId="77777777" w:rsidR="00F7025D" w:rsidRPr="00EF46B1" w:rsidRDefault="00F7025D" w:rsidP="00F7025D">
      <w:pPr>
        <w:widowControl w:val="0"/>
        <w:autoSpaceDE w:val="0"/>
        <w:autoSpaceDN w:val="0"/>
        <w:spacing w:after="0" w:line="276" w:lineRule="auto"/>
        <w:jc w:val="both"/>
        <w:rPr>
          <w:rFonts w:ascii="Verdana" w:hAnsi="Verdana" w:cs="Arial"/>
        </w:rPr>
      </w:pPr>
    </w:p>
    <w:p w14:paraId="05F49DB6" w14:textId="77777777" w:rsidR="00F7025D" w:rsidRPr="00D6662D" w:rsidRDefault="00F7025D" w:rsidP="00F7025D">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D6662D">
        <w:rPr>
          <w:rFonts w:ascii="Verdana" w:eastAsia="Century Gothic" w:hAnsi="Verdana" w:cs="Century Gothic"/>
          <w:b/>
          <w:bCs/>
          <w:lang w:val="es-ES"/>
        </w:rPr>
        <w:t>Doctrina de la Agencia Nacional de Contratación Pública:</w:t>
      </w:r>
    </w:p>
    <w:p w14:paraId="14530EBC" w14:textId="77777777" w:rsidR="00F7025D" w:rsidRPr="00D6662D" w:rsidRDefault="00F7025D" w:rsidP="00F7025D">
      <w:pPr>
        <w:widowControl w:val="0"/>
        <w:autoSpaceDE w:val="0"/>
        <w:autoSpaceDN w:val="0"/>
        <w:spacing w:after="0" w:line="276" w:lineRule="auto"/>
        <w:jc w:val="both"/>
        <w:rPr>
          <w:rFonts w:ascii="Verdana" w:hAnsi="Verdana" w:cs="Arial"/>
        </w:rPr>
      </w:pPr>
    </w:p>
    <w:p w14:paraId="5168FDF0" w14:textId="77777777" w:rsidR="00F7025D" w:rsidRPr="00EF46B1" w:rsidRDefault="00F7025D" w:rsidP="00F7025D">
      <w:pPr>
        <w:rPr>
          <w:rStyle w:val="normaltextrun"/>
          <w:rFonts w:ascii="Verdana" w:eastAsia="Calibri" w:hAnsi="Verdana" w:cs="Arial"/>
          <w:b/>
        </w:rPr>
      </w:pPr>
      <w:r w:rsidRPr="00D6662D">
        <w:rPr>
          <w:rStyle w:val="normaltextrun"/>
          <w:rFonts w:ascii="Verdana" w:hAnsi="Verdana" w:cs="Arial"/>
          <w:shd w:val="clear" w:color="auto" w:fill="FFFFFF"/>
          <w:lang w:val="es-ES"/>
        </w:rPr>
        <w:t xml:space="preserve">Sobre el ámbito de aplicación de </w:t>
      </w:r>
      <w:r w:rsidRPr="00EF46B1">
        <w:rPr>
          <w:rFonts w:ascii="Verdana" w:eastAsia="Calibri" w:hAnsi="Verdana" w:cs="Arial"/>
          <w:bCs/>
        </w:rPr>
        <w:t>concepto C –519 de 2021,</w:t>
      </w:r>
      <w:r w:rsidRPr="00EF46B1">
        <w:rPr>
          <w:rFonts w:ascii="Verdana" w:hAnsi="Verdana"/>
        </w:rPr>
        <w:t xml:space="preserve"> </w:t>
      </w:r>
      <w:r w:rsidRPr="00EF46B1">
        <w:rPr>
          <w:rFonts w:ascii="Verdana" w:eastAsia="Calibri" w:hAnsi="Verdana" w:cs="Arial"/>
          <w:bCs/>
        </w:rPr>
        <w:t xml:space="preserve">Concepto C –451 de 2021. </w:t>
      </w:r>
      <w:r w:rsidRPr="00D6662D">
        <w:rPr>
          <w:rStyle w:val="normaltextrun"/>
          <w:rFonts w:ascii="Verdana" w:hAnsi="Verdana" w:cs="Arial"/>
          <w:shd w:val="clear" w:color="auto" w:fill="FFFFFF"/>
          <w:lang w:val="es-ES"/>
        </w:rPr>
        <w:t>Es</w:t>
      </w:r>
      <w:r w:rsidRPr="00D6662D">
        <w:rPr>
          <w:rFonts w:ascii="Verdana" w:hAnsi="Verdana"/>
        </w:rPr>
        <w:t>tos y otros conceptos se encuentran disponibles para consulta en el Sistema de relatoría de la Agencia, al cual se puede acceder a través del siguiente enlace:</w:t>
      </w:r>
      <w:r w:rsidRPr="00D6662D">
        <w:rPr>
          <w:rStyle w:val="normaltextrun"/>
          <w:rFonts w:ascii="Verdana" w:hAnsi="Verdana" w:cs="Arial"/>
          <w:shd w:val="clear" w:color="auto" w:fill="FFFFFF"/>
          <w:lang w:val="es-ES"/>
        </w:rPr>
        <w:t xml:space="preserve"> </w:t>
      </w:r>
      <w:hyperlink r:id="rId15" w:history="1">
        <w:r w:rsidRPr="00D6662D">
          <w:rPr>
            <w:rStyle w:val="Hipervnculo"/>
            <w:rFonts w:ascii="Verdana" w:hAnsi="Verdana" w:cs="Arial"/>
            <w:color w:val="auto"/>
            <w:shd w:val="clear" w:color="auto" w:fill="FFFFFF"/>
            <w:lang w:val="es-ES"/>
          </w:rPr>
          <w:t>https://relatoria.colombiacompra.gov.co/busqueda/conceptos</w:t>
        </w:r>
      </w:hyperlink>
      <w:r w:rsidRPr="00D6662D">
        <w:rPr>
          <w:rStyle w:val="normaltextrun"/>
          <w:rFonts w:ascii="Verdana" w:hAnsi="Verdana" w:cs="Arial"/>
          <w:shd w:val="clear" w:color="auto" w:fill="FFFFFF"/>
          <w:lang w:val="es-ES"/>
        </w:rPr>
        <w:t>.</w:t>
      </w:r>
    </w:p>
    <w:p w14:paraId="43E2D081" w14:textId="77777777" w:rsidR="00F7025D" w:rsidRPr="00D6662D" w:rsidRDefault="00F7025D" w:rsidP="00F7025D">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F65C96A" w14:textId="77777777" w:rsidR="00F7025D" w:rsidRPr="00D6662D" w:rsidRDefault="00F7025D" w:rsidP="00F7025D">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D6662D">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D6662D">
        <w:rPr>
          <w:rStyle w:val="normaltextrun"/>
          <w:rFonts w:ascii="Verdana" w:hAnsi="Verdana" w:cs="Arial"/>
          <w:color w:val="FF0000"/>
          <w:shd w:val="clear" w:color="auto" w:fill="FFFFFF"/>
          <w:lang w:val="es-ES"/>
        </w:rPr>
        <w:t xml:space="preserve"> </w:t>
      </w:r>
      <w:hyperlink r:id="rId16" w:history="1">
        <w:r w:rsidRPr="00D6662D">
          <w:rPr>
            <w:rStyle w:val="Hipervnculo"/>
            <w:rFonts w:ascii="Verdana" w:hAnsi="Verdana" w:cs="Arial"/>
            <w:shd w:val="clear" w:color="auto" w:fill="FFFFFF"/>
            <w:lang w:val="es-ES"/>
          </w:rPr>
          <w:t>https://www.colombiacompra.gov.co/sala-de-prensa/boletin-digital</w:t>
        </w:r>
      </w:hyperlink>
      <w:r w:rsidRPr="00E42DCA">
        <w:rPr>
          <w:rStyle w:val="normaltextrun"/>
          <w:rFonts w:ascii="Verdana" w:hAnsi="Verdana" w:cs="Arial"/>
          <w:shd w:val="clear" w:color="auto" w:fill="FFFFFF"/>
          <w:lang w:val="es-ES"/>
        </w:rPr>
        <w:t xml:space="preserve">. </w:t>
      </w:r>
    </w:p>
    <w:p w14:paraId="2EECDE92" w14:textId="77777777" w:rsidR="00F7025D" w:rsidRDefault="00F7025D" w:rsidP="00F7025D">
      <w:pPr>
        <w:spacing w:after="0" w:line="240" w:lineRule="auto"/>
        <w:jc w:val="both"/>
        <w:rPr>
          <w:rFonts w:ascii="Verdana" w:hAnsi="Verdana"/>
        </w:rPr>
      </w:pPr>
    </w:p>
    <w:p w14:paraId="502352A4" w14:textId="77777777" w:rsidR="00F7025D" w:rsidRPr="00D6662D" w:rsidRDefault="00F7025D" w:rsidP="00F7025D">
      <w:pPr>
        <w:spacing w:after="0" w:line="240" w:lineRule="auto"/>
        <w:jc w:val="both"/>
        <w:rPr>
          <w:rFonts w:ascii="Verdana" w:hAnsi="Verdana"/>
        </w:rPr>
      </w:pPr>
      <w:r w:rsidRPr="00D6662D">
        <w:rPr>
          <w:rFonts w:ascii="Verdana" w:hAnsi="Verdana"/>
        </w:rPr>
        <w:t xml:space="preserve">Por último, lo invitamos a seguirnos en las redes sociales en las cuales se difunde información institucional: </w:t>
      </w:r>
    </w:p>
    <w:p w14:paraId="762641FB" w14:textId="77777777" w:rsidR="00F7025D" w:rsidRPr="00D6662D" w:rsidRDefault="00F7025D" w:rsidP="00F7025D">
      <w:pPr>
        <w:spacing w:after="0" w:line="240" w:lineRule="auto"/>
        <w:jc w:val="both"/>
        <w:rPr>
          <w:rFonts w:ascii="Verdana" w:hAnsi="Verdana"/>
        </w:rPr>
      </w:pPr>
    </w:p>
    <w:p w14:paraId="34BE234F" w14:textId="77777777" w:rsidR="00F7025D" w:rsidRPr="00D6662D" w:rsidRDefault="00F7025D" w:rsidP="00F7025D">
      <w:pPr>
        <w:spacing w:after="0" w:line="240" w:lineRule="auto"/>
        <w:jc w:val="both"/>
        <w:rPr>
          <w:rFonts w:ascii="Verdana" w:hAnsi="Verdana"/>
        </w:rPr>
      </w:pPr>
      <w:r w:rsidRPr="00D6662D">
        <w:rPr>
          <w:rFonts w:ascii="Verdana" w:hAnsi="Verdana"/>
        </w:rPr>
        <w:t xml:space="preserve">Twitter: </w:t>
      </w:r>
      <w:r w:rsidRPr="00D6662D">
        <w:rPr>
          <w:rStyle w:val="Hipervnculo"/>
          <w:rFonts w:ascii="Verdana" w:hAnsi="Verdana"/>
          <w:color w:val="4472C4" w:themeColor="accent1"/>
        </w:rPr>
        <w:t>@colombiacompra</w:t>
      </w:r>
      <w:r w:rsidRPr="00D6662D">
        <w:rPr>
          <w:rFonts w:ascii="Verdana" w:hAnsi="Verdana"/>
          <w:color w:val="4472C4" w:themeColor="accent1"/>
        </w:rPr>
        <w:t xml:space="preserve"> </w:t>
      </w:r>
    </w:p>
    <w:p w14:paraId="7D5D618A" w14:textId="77777777" w:rsidR="00F7025D" w:rsidRPr="00D6662D" w:rsidRDefault="00F7025D" w:rsidP="00F7025D">
      <w:pPr>
        <w:spacing w:after="0" w:line="240" w:lineRule="auto"/>
        <w:jc w:val="both"/>
        <w:rPr>
          <w:rFonts w:ascii="Verdana" w:hAnsi="Verdana"/>
        </w:rPr>
      </w:pPr>
      <w:r w:rsidRPr="00D6662D">
        <w:rPr>
          <w:rFonts w:ascii="Verdana" w:hAnsi="Verdana"/>
        </w:rPr>
        <w:t xml:space="preserve">Facebook: </w:t>
      </w:r>
      <w:r w:rsidRPr="00D6662D">
        <w:rPr>
          <w:rStyle w:val="Hipervnculo"/>
          <w:rFonts w:ascii="Verdana" w:hAnsi="Verdana"/>
          <w:color w:val="4472C4" w:themeColor="accent1"/>
        </w:rPr>
        <w:t>ColombiaCompraEficiente</w:t>
      </w:r>
    </w:p>
    <w:p w14:paraId="0273F528" w14:textId="77777777" w:rsidR="00F7025D" w:rsidRPr="00D6662D" w:rsidRDefault="00F7025D" w:rsidP="00F7025D">
      <w:pPr>
        <w:spacing w:after="0" w:line="240" w:lineRule="auto"/>
        <w:jc w:val="both"/>
        <w:rPr>
          <w:rFonts w:ascii="Verdana" w:hAnsi="Verdana"/>
        </w:rPr>
      </w:pPr>
      <w:r w:rsidRPr="00D6662D">
        <w:rPr>
          <w:rFonts w:ascii="Verdana" w:hAnsi="Verdana"/>
        </w:rPr>
        <w:t xml:space="preserve">LinkedIn: </w:t>
      </w:r>
      <w:r w:rsidRPr="00D6662D">
        <w:rPr>
          <w:rStyle w:val="Hipervnculo"/>
          <w:rFonts w:ascii="Verdana" w:hAnsi="Verdana"/>
          <w:color w:val="4472C4" w:themeColor="accent1"/>
        </w:rPr>
        <w:t>Agencia Nacional de Contratación Pública - Colombia Compra Eficiente</w:t>
      </w:r>
      <w:r w:rsidRPr="00D6662D">
        <w:rPr>
          <w:rFonts w:ascii="Verdana" w:hAnsi="Verdana"/>
          <w:color w:val="4472C4" w:themeColor="accent1"/>
        </w:rPr>
        <w:t xml:space="preserve"> </w:t>
      </w:r>
      <w:r w:rsidRPr="00D6662D">
        <w:rPr>
          <w:rFonts w:ascii="Verdana" w:hAnsi="Verdana"/>
        </w:rPr>
        <w:t xml:space="preserve">Instagram: </w:t>
      </w:r>
      <w:r w:rsidRPr="00D6662D">
        <w:rPr>
          <w:rStyle w:val="Hipervnculo"/>
          <w:rFonts w:ascii="Verdana" w:hAnsi="Verdana"/>
          <w:color w:val="4472C4" w:themeColor="accent1"/>
        </w:rPr>
        <w:t>@colombiacompraeficiente_cce</w:t>
      </w:r>
    </w:p>
    <w:p w14:paraId="3590A320" w14:textId="77777777" w:rsidR="00F7025D" w:rsidRPr="00D6662D" w:rsidRDefault="00F7025D" w:rsidP="00F7025D">
      <w:pPr>
        <w:widowControl w:val="0"/>
        <w:autoSpaceDE w:val="0"/>
        <w:autoSpaceDN w:val="0"/>
        <w:spacing w:after="0" w:line="276" w:lineRule="auto"/>
        <w:jc w:val="both"/>
        <w:rPr>
          <w:rFonts w:ascii="Verdana" w:hAnsi="Verdana" w:cs="Arial"/>
        </w:rPr>
      </w:pPr>
    </w:p>
    <w:p w14:paraId="08CEC0D2" w14:textId="77777777" w:rsidR="00F7025D" w:rsidRPr="00D6662D" w:rsidRDefault="00F7025D" w:rsidP="00F7025D">
      <w:pPr>
        <w:widowControl w:val="0"/>
        <w:autoSpaceDE w:val="0"/>
        <w:autoSpaceDN w:val="0"/>
        <w:spacing w:after="0" w:line="276" w:lineRule="auto"/>
        <w:jc w:val="both"/>
        <w:rPr>
          <w:rFonts w:ascii="Verdana" w:hAnsi="Verdana" w:cs="Arial"/>
          <w:lang w:val="es-ES_tradnl"/>
        </w:rPr>
      </w:pPr>
      <w:r w:rsidRPr="00D6662D">
        <w:rPr>
          <w:rFonts w:ascii="Verdana" w:hAnsi="Verdana" w:cs="Arial"/>
        </w:rPr>
        <w:t xml:space="preserve">Este concepto tiene el alcance previsto en el artículo 28 del Código de Procedimiento Administrativo y de lo Contencioso Administrativo </w:t>
      </w:r>
      <w:r w:rsidRPr="00D6662D">
        <w:rPr>
          <w:rFonts w:ascii="Verdana" w:hAnsi="Verdana" w:cs="Arial"/>
          <w:lang w:val="es-ES_tradnl"/>
        </w:rPr>
        <w:t>y las expresiones aquí utilizadas con mayúscula inicial deben ser entendidas con el significado que les otorga el artículo 2.2.1.1.1.3.1. del Decreto 1082 de 2015.</w:t>
      </w:r>
    </w:p>
    <w:p w14:paraId="7EC7F99F" w14:textId="77777777" w:rsidR="00F7025D" w:rsidRPr="00D6662D" w:rsidRDefault="00F7025D" w:rsidP="00F7025D">
      <w:pPr>
        <w:widowControl w:val="0"/>
        <w:autoSpaceDE w:val="0"/>
        <w:autoSpaceDN w:val="0"/>
        <w:spacing w:after="0" w:line="276" w:lineRule="auto"/>
        <w:jc w:val="both"/>
        <w:rPr>
          <w:rFonts w:ascii="Verdana" w:hAnsi="Verdana" w:cs="Arial"/>
        </w:rPr>
      </w:pPr>
    </w:p>
    <w:p w14:paraId="65FAE39C" w14:textId="230B8827" w:rsidR="00F7025D" w:rsidRPr="00586AEF" w:rsidRDefault="00586AEF" w:rsidP="00586AEF">
      <w:pPr>
        <w:spacing w:after="0" w:line="240" w:lineRule="auto"/>
        <w:rPr>
          <w:rFonts w:ascii="Verdana" w:hAnsi="Verdana" w:cs="Arial"/>
          <w:lang w:eastAsia="es-CO"/>
        </w:rPr>
      </w:pPr>
      <w:r w:rsidRPr="00586AEF">
        <w:rPr>
          <w:rFonts w:ascii="Verdana" w:hAnsi="Verdana"/>
          <w:noProof/>
          <w:lang w:val="es-MX"/>
        </w:rPr>
        <w:drawing>
          <wp:anchor distT="0" distB="0" distL="114300" distR="114300" simplePos="0" relativeHeight="251659264" behindDoc="1" locked="0" layoutInCell="1" allowOverlap="1" wp14:anchorId="43C7961B" wp14:editId="7C0D3DDF">
            <wp:simplePos x="0" y="0"/>
            <wp:positionH relativeFrom="margin">
              <wp:align>center</wp:align>
            </wp:positionH>
            <wp:positionV relativeFrom="paragraph">
              <wp:posOffset>318734</wp:posOffset>
            </wp:positionV>
            <wp:extent cx="3771900" cy="1400175"/>
            <wp:effectExtent l="0" t="0" r="0" b="9525"/>
            <wp:wrapTopAndBottom/>
            <wp:docPr id="427043863"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43863" name="Imagen 2"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anchor>
        </w:drawing>
      </w:r>
      <w:r w:rsidR="00F7025D" w:rsidRPr="00D6662D">
        <w:rPr>
          <w:rFonts w:ascii="Verdana" w:eastAsia="Times New Roman" w:hAnsi="Verdana" w:cs="Arial"/>
          <w:lang w:eastAsia="es-CO"/>
        </w:rPr>
        <w:t>Atentamente,</w:t>
      </w:r>
      <w:r w:rsidR="00F7025D" w:rsidRPr="00D6662D">
        <w:rPr>
          <w:rFonts w:ascii="Verdana" w:hAnsi="Verdana" w:cs="Arial"/>
          <w:lang w:eastAsia="es-CO"/>
        </w:rPr>
        <w:t xml:space="preserve"> </w:t>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5375"/>
      </w:tblGrid>
      <w:tr w:rsidR="00F7025D" w:rsidRPr="00EF46B1" w14:paraId="225C0255" w14:textId="77777777" w:rsidTr="001C79B1">
        <w:trPr>
          <w:trHeight w:val="315"/>
        </w:trPr>
        <w:tc>
          <w:tcPr>
            <w:tcW w:w="893" w:type="dxa"/>
            <w:vAlign w:val="center"/>
            <w:hideMark/>
          </w:tcPr>
          <w:p w14:paraId="64FACBCF" w14:textId="77777777" w:rsidR="00F7025D" w:rsidRPr="00EF46B1" w:rsidRDefault="00F7025D" w:rsidP="001C79B1">
            <w:pPr>
              <w:contextualSpacing/>
              <w:rPr>
                <w:rFonts w:ascii="Verdana" w:hAnsi="Verdana" w:cs="Arial"/>
                <w:lang w:val="es-ES" w:eastAsia="es-ES"/>
              </w:rPr>
            </w:pPr>
            <w:r w:rsidRPr="00EF46B1">
              <w:rPr>
                <w:rFonts w:ascii="Verdana" w:hAnsi="Verdana" w:cs="Arial"/>
                <w:lang w:val="es-ES" w:eastAsia="es-ES"/>
              </w:rPr>
              <w:t>Elaboró:</w:t>
            </w:r>
          </w:p>
        </w:tc>
        <w:tc>
          <w:tcPr>
            <w:tcW w:w="5628" w:type="dxa"/>
            <w:tcBorders>
              <w:top w:val="nil"/>
              <w:left w:val="nil"/>
              <w:bottom w:val="dotted" w:sz="4" w:space="0" w:color="7F7F7F" w:themeColor="text1" w:themeTint="80"/>
              <w:right w:val="nil"/>
            </w:tcBorders>
            <w:vAlign w:val="center"/>
            <w:hideMark/>
          </w:tcPr>
          <w:p w14:paraId="0469B2DF" w14:textId="77777777" w:rsidR="00F7025D" w:rsidRPr="00EF46B1" w:rsidRDefault="00F7025D" w:rsidP="001C79B1">
            <w:pPr>
              <w:contextualSpacing/>
              <w:rPr>
                <w:rStyle w:val="normaltextrun"/>
                <w:rFonts w:ascii="Verdana" w:hAnsi="Verdana"/>
              </w:rPr>
            </w:pPr>
            <w:r w:rsidRPr="00EF46B1">
              <w:rPr>
                <w:rStyle w:val="normaltextrun"/>
                <w:rFonts w:ascii="Verdana" w:eastAsia="Arial" w:hAnsi="Verdana" w:cs="Arial"/>
              </w:rPr>
              <w:t>Ximena Moreno</w:t>
            </w:r>
          </w:p>
          <w:p w14:paraId="65FFD35A" w14:textId="77777777" w:rsidR="00F7025D" w:rsidRPr="00EF46B1" w:rsidRDefault="00F7025D" w:rsidP="001C79B1">
            <w:pPr>
              <w:contextualSpacing/>
              <w:rPr>
                <w:rFonts w:ascii="Verdana" w:eastAsia="Arial" w:hAnsi="Verdana" w:cs="Arial"/>
              </w:rPr>
            </w:pPr>
            <w:r w:rsidRPr="00EF46B1">
              <w:rPr>
                <w:rStyle w:val="normaltextrun"/>
                <w:rFonts w:ascii="Verdana" w:eastAsia="Arial" w:hAnsi="Verdana" w:cs="Arial"/>
              </w:rPr>
              <w:t>Contratista de la Subdirección de Gestión Contractual</w:t>
            </w:r>
          </w:p>
        </w:tc>
      </w:tr>
      <w:tr w:rsidR="00F7025D" w:rsidRPr="00EF46B1" w14:paraId="2646422A" w14:textId="77777777" w:rsidTr="001C79B1">
        <w:trPr>
          <w:trHeight w:val="330"/>
        </w:trPr>
        <w:tc>
          <w:tcPr>
            <w:tcW w:w="893" w:type="dxa"/>
            <w:vAlign w:val="center"/>
            <w:hideMark/>
          </w:tcPr>
          <w:p w14:paraId="3ED23A2A" w14:textId="77777777" w:rsidR="00F7025D" w:rsidRPr="00EF46B1" w:rsidRDefault="00F7025D" w:rsidP="001C79B1">
            <w:pPr>
              <w:contextualSpacing/>
              <w:rPr>
                <w:rFonts w:ascii="Verdana" w:hAnsi="Verdana" w:cs="Arial"/>
                <w:lang w:val="es-ES" w:eastAsia="es-ES"/>
              </w:rPr>
            </w:pPr>
            <w:r w:rsidRPr="00EF46B1">
              <w:rPr>
                <w:rFonts w:ascii="Verdana" w:hAnsi="Verdana" w:cs="Arial"/>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20E3B72" w14:textId="77777777" w:rsidR="00F7025D" w:rsidRPr="00F7025D" w:rsidRDefault="00F7025D" w:rsidP="001C79B1">
            <w:pPr>
              <w:pStyle w:val="paragraph"/>
              <w:spacing w:before="0" w:beforeAutospacing="0" w:after="0" w:afterAutospacing="0"/>
              <w:contextualSpacing/>
              <w:textAlignment w:val="baseline"/>
              <w:rPr>
                <w:rStyle w:val="normaltextrun"/>
                <w:rFonts w:ascii="Verdana" w:hAnsi="Verdana" w:cs="Arial"/>
                <w:sz w:val="22"/>
                <w:szCs w:val="22"/>
                <w:lang w:val="es-ES"/>
              </w:rPr>
            </w:pPr>
            <w:r w:rsidRPr="00F7025D">
              <w:rPr>
                <w:rStyle w:val="normaltextrun"/>
                <w:rFonts w:ascii="Verdana" w:hAnsi="Verdana" w:cs="Arial"/>
                <w:sz w:val="22"/>
                <w:szCs w:val="22"/>
                <w:lang w:val="es-ES"/>
              </w:rPr>
              <w:t xml:space="preserve">Adriana Katerine López Rodríguez </w:t>
            </w:r>
          </w:p>
          <w:p w14:paraId="170B4441" w14:textId="77777777" w:rsidR="00F7025D" w:rsidRPr="00EF46B1" w:rsidRDefault="00F7025D" w:rsidP="001C79B1">
            <w:pPr>
              <w:pStyle w:val="paragraph"/>
              <w:spacing w:before="0" w:beforeAutospacing="0" w:after="0" w:afterAutospacing="0"/>
              <w:contextualSpacing/>
              <w:textAlignment w:val="baseline"/>
              <w:rPr>
                <w:rFonts w:ascii="Verdana" w:hAnsi="Verdana" w:cs="Segoe UI"/>
                <w:sz w:val="22"/>
                <w:szCs w:val="22"/>
              </w:rPr>
            </w:pPr>
            <w:r w:rsidRPr="00F7025D">
              <w:rPr>
                <w:rStyle w:val="normaltextrun"/>
                <w:rFonts w:ascii="Verdana" w:hAnsi="Verdana" w:cs="Arial"/>
                <w:sz w:val="22"/>
                <w:szCs w:val="22"/>
                <w:lang w:val="es-ES"/>
              </w:rPr>
              <w:t>Contratista de la Subdirección de Gestión Contractual</w:t>
            </w:r>
            <w:r w:rsidRPr="00F7025D">
              <w:rPr>
                <w:rStyle w:val="eop"/>
                <w:rFonts w:ascii="Verdana" w:hAnsi="Verdana" w:cs="Arial"/>
                <w:sz w:val="22"/>
                <w:szCs w:val="22"/>
              </w:rPr>
              <w:t> </w:t>
            </w:r>
          </w:p>
        </w:tc>
      </w:tr>
      <w:tr w:rsidR="00F7025D" w:rsidRPr="00EF46B1" w14:paraId="7AAE2296" w14:textId="77777777" w:rsidTr="001C79B1">
        <w:trPr>
          <w:trHeight w:val="300"/>
        </w:trPr>
        <w:tc>
          <w:tcPr>
            <w:tcW w:w="893" w:type="dxa"/>
            <w:vAlign w:val="center"/>
          </w:tcPr>
          <w:p w14:paraId="706502D9" w14:textId="77777777" w:rsidR="00F7025D" w:rsidRPr="00EF46B1" w:rsidRDefault="00F7025D" w:rsidP="001C79B1">
            <w:pPr>
              <w:contextualSpacing/>
              <w:rPr>
                <w:rFonts w:ascii="Verdana" w:hAnsi="Verdana" w:cs="Arial"/>
                <w:lang w:val="es-ES" w:eastAsia="es-ES"/>
              </w:rPr>
            </w:pPr>
            <w:r w:rsidRPr="00EF46B1">
              <w:rPr>
                <w:rFonts w:ascii="Verdana" w:hAnsi="Verdana" w:cs="Arial"/>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E2B2482" w14:textId="77777777" w:rsidR="00F7025D" w:rsidRPr="00EF46B1" w:rsidRDefault="00F7025D" w:rsidP="001C79B1">
            <w:pPr>
              <w:contextualSpacing/>
              <w:rPr>
                <w:rFonts w:ascii="Verdana" w:eastAsia="Calibri" w:hAnsi="Verdana" w:cs="Arial"/>
                <w:lang w:val="pt-BR" w:eastAsia="es-ES"/>
              </w:rPr>
            </w:pPr>
            <w:r w:rsidRPr="00EF46B1">
              <w:rPr>
                <w:rFonts w:ascii="Verdana" w:eastAsia="Calibri" w:hAnsi="Verdana" w:cs="Arial"/>
                <w:lang w:val="pt-BR" w:eastAsia="es-ES"/>
              </w:rPr>
              <w:t>Carolina Quintero Gacharná</w:t>
            </w:r>
          </w:p>
          <w:p w14:paraId="08247BCD" w14:textId="77777777" w:rsidR="00F7025D" w:rsidRPr="00EF46B1" w:rsidRDefault="00F7025D" w:rsidP="001C79B1">
            <w:pPr>
              <w:contextualSpacing/>
              <w:rPr>
                <w:rFonts w:ascii="Verdana" w:eastAsia="Calibri" w:hAnsi="Verdana" w:cs="Arial"/>
                <w:lang w:val="pt-BR" w:eastAsia="es-ES"/>
              </w:rPr>
            </w:pPr>
            <w:r w:rsidRPr="00EF46B1">
              <w:rPr>
                <w:rFonts w:ascii="Verdana" w:eastAsia="Calibri" w:hAnsi="Verdana" w:cs="Arial"/>
                <w:lang w:eastAsia="es-ES"/>
              </w:rPr>
              <w:t>Subdirectora</w:t>
            </w:r>
            <w:r w:rsidRPr="00EF46B1">
              <w:rPr>
                <w:rFonts w:ascii="Verdana" w:eastAsia="Calibri" w:hAnsi="Verdana" w:cs="Arial"/>
                <w:lang w:val="pt-BR" w:eastAsia="es-ES"/>
              </w:rPr>
              <w:t xml:space="preserve"> de Gestión </w:t>
            </w:r>
            <w:proofErr w:type="spellStart"/>
            <w:r w:rsidRPr="00EF46B1">
              <w:rPr>
                <w:rFonts w:ascii="Verdana" w:eastAsia="Calibri" w:hAnsi="Verdana" w:cs="Arial"/>
                <w:lang w:val="pt-BR" w:eastAsia="es-ES"/>
              </w:rPr>
              <w:t>Contractual</w:t>
            </w:r>
            <w:proofErr w:type="spellEnd"/>
            <w:r w:rsidRPr="00EF46B1">
              <w:rPr>
                <w:rFonts w:ascii="Verdana" w:eastAsia="Calibri" w:hAnsi="Verdana" w:cs="Arial"/>
                <w:lang w:val="pt-BR" w:eastAsia="es-ES"/>
              </w:rPr>
              <w:t xml:space="preserve"> ANCP – CCE</w:t>
            </w:r>
          </w:p>
        </w:tc>
      </w:tr>
    </w:tbl>
    <w:p w14:paraId="0571E0C3" w14:textId="77777777" w:rsidR="00F7025D" w:rsidRPr="00D6662D" w:rsidRDefault="00F7025D" w:rsidP="00F7025D">
      <w:pPr>
        <w:spacing w:after="0" w:line="240" w:lineRule="auto"/>
        <w:rPr>
          <w:rFonts w:ascii="Verdana" w:eastAsia="Times New Roman" w:hAnsi="Verdana" w:cs="Arial"/>
          <w:lang w:eastAsia="es-ES"/>
        </w:rPr>
      </w:pPr>
    </w:p>
    <w:p w14:paraId="7CC84D83" w14:textId="77777777" w:rsidR="00F7025D" w:rsidRPr="00EF46B1" w:rsidRDefault="00F7025D" w:rsidP="00F7025D">
      <w:pPr>
        <w:rPr>
          <w:rFonts w:ascii="Verdana" w:hAnsi="Verdana"/>
        </w:rPr>
      </w:pPr>
    </w:p>
    <w:p w14:paraId="0083C991" w14:textId="5C765C2F" w:rsidR="5D8505AD" w:rsidRPr="00F7025D" w:rsidRDefault="5D8505AD" w:rsidP="00F7025D"/>
    <w:sectPr w:rsidR="5D8505AD" w:rsidRPr="00F7025D" w:rsidSect="00E45F4B">
      <w:headerReference w:type="default" r:id="rId18"/>
      <w:footerReference w:type="default" r:id="rId1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D0B65" w14:textId="77777777" w:rsidR="00C77CF8" w:rsidRDefault="00C77CF8" w:rsidP="00B30448">
      <w:pPr>
        <w:spacing w:after="0" w:line="240" w:lineRule="auto"/>
      </w:pPr>
      <w:r>
        <w:separator/>
      </w:r>
    </w:p>
  </w:endnote>
  <w:endnote w:type="continuationSeparator" w:id="0">
    <w:p w14:paraId="704455A9" w14:textId="77777777" w:rsidR="00C77CF8" w:rsidRDefault="00C77CF8" w:rsidP="00B30448">
      <w:pPr>
        <w:spacing w:after="0" w:line="240" w:lineRule="auto"/>
      </w:pPr>
      <w:r>
        <w:continuationSeparator/>
      </w:r>
    </w:p>
  </w:endnote>
  <w:endnote w:type="continuationNotice" w:id="1">
    <w:p w14:paraId="29EC78CC" w14:textId="77777777" w:rsidR="00C77CF8" w:rsidRDefault="00C77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93042" w14:textId="77777777" w:rsidR="00C77CF8" w:rsidRDefault="00C77CF8" w:rsidP="00B30448">
      <w:pPr>
        <w:spacing w:after="0" w:line="240" w:lineRule="auto"/>
      </w:pPr>
      <w:r>
        <w:separator/>
      </w:r>
    </w:p>
  </w:footnote>
  <w:footnote w:type="continuationSeparator" w:id="0">
    <w:p w14:paraId="5E53BED0" w14:textId="77777777" w:rsidR="00C77CF8" w:rsidRDefault="00C77CF8" w:rsidP="00B30448">
      <w:pPr>
        <w:spacing w:after="0" w:line="240" w:lineRule="auto"/>
      </w:pPr>
      <w:r>
        <w:continuationSeparator/>
      </w:r>
    </w:p>
  </w:footnote>
  <w:footnote w:type="continuationNotice" w:id="1">
    <w:p w14:paraId="27CD00DE" w14:textId="77777777" w:rsidR="00C77CF8" w:rsidRDefault="00C77CF8">
      <w:pPr>
        <w:spacing w:after="0" w:line="240" w:lineRule="auto"/>
      </w:pPr>
    </w:p>
  </w:footnote>
  <w:footnote w:id="2">
    <w:p w14:paraId="2943C42B" w14:textId="77777777" w:rsidR="00F7025D" w:rsidRPr="00350925" w:rsidRDefault="00F7025D" w:rsidP="00F7025D">
      <w:pPr>
        <w:pStyle w:val="Textoindependiente"/>
        <w:ind w:right="49" w:firstLine="708"/>
        <w:jc w:val="both"/>
        <w:rPr>
          <w:sz w:val="19"/>
          <w:szCs w:val="19"/>
        </w:rPr>
      </w:pPr>
      <w:r w:rsidRPr="00350925">
        <w:rPr>
          <w:rStyle w:val="Refdenotaalpie"/>
          <w:sz w:val="19"/>
          <w:szCs w:val="19"/>
        </w:rPr>
        <w:footnoteRef/>
      </w:r>
      <w:r w:rsidRPr="00350925">
        <w:rPr>
          <w:sz w:val="19"/>
          <w:szCs w:val="19"/>
        </w:rPr>
        <w:t xml:space="preserve"> Cabe precisar que el Consejo de Estado en la Sentencia del 11 de abril de 2019. Rad. 2014-00135-00 (52055). Sección Tercera. C.P. María Adriana Marín, determinó que las guías o manuales que expida Colombia Compra Eficiente, en relación con la identificación y cobertura de riesgos, no son vinculantes para las entidades, quienes podrán, de manera facultativa, acudir a ellas como una guía para llevar a cabo la estimación, tipificación, asignación y cobertura de riesgos en cada proceso de contratación particular.</w:t>
      </w:r>
    </w:p>
    <w:p w14:paraId="27C97D84" w14:textId="77777777" w:rsidR="00F7025D" w:rsidRPr="00350925" w:rsidRDefault="00F7025D" w:rsidP="00F7025D">
      <w:pPr>
        <w:pStyle w:val="Textonotapie"/>
        <w:jc w:val="both"/>
        <w:rPr>
          <w:rFonts w:ascii="Arial" w:hAnsi="Arial" w:cs="Arial"/>
          <w:sz w:val="19"/>
          <w:szCs w:val="19"/>
          <w:lang w:val="es-ES"/>
        </w:rPr>
      </w:pPr>
    </w:p>
  </w:footnote>
  <w:footnote w:id="3">
    <w:p w14:paraId="77E0E6E6" w14:textId="77777777" w:rsidR="00F7025D" w:rsidRPr="00350925" w:rsidRDefault="00F7025D" w:rsidP="00F7025D">
      <w:pPr>
        <w:pStyle w:val="Textonotapie"/>
        <w:ind w:firstLine="708"/>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sz w:val="19"/>
          <w:szCs w:val="19"/>
        </w:rPr>
        <w:t xml:space="preserve"> Así se establece en el «</w:t>
      </w:r>
      <w:r w:rsidRPr="00350925">
        <w:rPr>
          <w:rFonts w:ascii="Arial" w:eastAsia="Calibri" w:hAnsi="Arial" w:cs="Arial"/>
          <w:color w:val="000000" w:themeColor="text1"/>
          <w:sz w:val="19"/>
          <w:szCs w:val="19"/>
        </w:rPr>
        <w:t>Manual para la Identificación y Cobertura del Riesgo en los Procesos de Contratación</w:t>
      </w:r>
      <w:r w:rsidRPr="00350925">
        <w:rPr>
          <w:rFonts w:ascii="Arial" w:hAnsi="Arial" w:cs="Arial"/>
          <w:sz w:val="19"/>
          <w:szCs w:val="19"/>
        </w:rPr>
        <w:t>»: «5. Monitorear los Riesgos.</w:t>
      </w:r>
    </w:p>
    <w:p w14:paraId="0A06FD5E" w14:textId="77777777" w:rsidR="00F7025D" w:rsidRPr="00350925" w:rsidRDefault="00F7025D" w:rsidP="00F7025D">
      <w:pPr>
        <w:pStyle w:val="Textonotapie"/>
        <w:ind w:firstLine="708"/>
        <w:jc w:val="both"/>
        <w:rPr>
          <w:rFonts w:ascii="Arial" w:hAnsi="Arial" w:cs="Arial"/>
          <w:sz w:val="19"/>
          <w:szCs w:val="19"/>
        </w:rPr>
      </w:pPr>
      <w:r w:rsidRPr="00350925">
        <w:rPr>
          <w:rFonts w:ascii="Arial" w:hAnsi="Arial" w:cs="Arial"/>
          <w:sz w:val="19"/>
          <w:szCs w:val="19"/>
        </w:rPr>
        <w:t>»</w:t>
      </w:r>
      <w:r>
        <w:rPr>
          <w:rFonts w:ascii="Arial" w:hAnsi="Arial" w:cs="Arial"/>
          <w:sz w:val="19"/>
          <w:szCs w:val="19"/>
        </w:rPr>
        <w:t xml:space="preserve"> </w:t>
      </w:r>
      <w:r w:rsidRPr="00350925">
        <w:rPr>
          <w:rFonts w:ascii="Arial" w:hAnsi="Arial" w:cs="Arial"/>
          <w:sz w:val="19"/>
          <w:szCs w:val="19"/>
        </w:rPr>
        <w:t xml:space="preserve">La Entidad Estatal debe realizar un monitoreo constante a los Riesgos del Proceso de Contratación pues las circunstancias cambian rápidamente y los Riesgos no son estáticos. La matriz y el plan de tratamiento deben ser revisadas constantemente y </w:t>
      </w:r>
      <w:r w:rsidRPr="00350925">
        <w:rPr>
          <w:rFonts w:ascii="Arial" w:hAnsi="Arial" w:cs="Arial"/>
          <w:i/>
          <w:iCs/>
          <w:sz w:val="19"/>
          <w:szCs w:val="19"/>
        </w:rPr>
        <w:t>revisar si es necesario hacer ajustes al plan de tratamiento de acuerdo con las circunstancias</w:t>
      </w:r>
      <w:r w:rsidRPr="00350925">
        <w:rPr>
          <w:rFonts w:ascii="Arial" w:hAnsi="Arial" w:cs="Arial"/>
          <w:sz w:val="19"/>
          <w:szCs w:val="19"/>
        </w:rPr>
        <w:t>» (Cursiva fuera del original).</w:t>
      </w:r>
    </w:p>
  </w:footnote>
  <w:footnote w:id="4">
    <w:p w14:paraId="4932C3B5" w14:textId="77777777" w:rsidR="00F7025D" w:rsidRPr="00350925" w:rsidRDefault="00F7025D" w:rsidP="00F7025D">
      <w:pPr>
        <w:pStyle w:val="Textonotapie"/>
        <w:jc w:val="both"/>
        <w:rPr>
          <w:rFonts w:ascii="Arial" w:hAnsi="Arial" w:cs="Arial"/>
          <w:sz w:val="19"/>
          <w:szCs w:val="19"/>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sz w:val="19"/>
          <w:szCs w:val="19"/>
          <w:lang w:val="es-ES"/>
        </w:rPr>
        <w:t xml:space="preserve">Manual para la identificación y cobertura del Riesgo en los Procesos de Contratación. </w:t>
      </w:r>
    </w:p>
  </w:footnote>
  <w:footnote w:id="5">
    <w:p w14:paraId="3B8AD850" w14:textId="77777777" w:rsidR="00F7025D" w:rsidRPr="00350925" w:rsidRDefault="00F7025D" w:rsidP="00F7025D">
      <w:pPr>
        <w:pStyle w:val="Textonotapie"/>
        <w:ind w:firstLine="708"/>
        <w:jc w:val="both"/>
        <w:rPr>
          <w:rFonts w:ascii="Arial" w:hAnsi="Arial" w:cs="Arial"/>
          <w:sz w:val="19"/>
          <w:szCs w:val="19"/>
          <w:lang w:val="es-CO"/>
        </w:rPr>
      </w:pPr>
      <w:r w:rsidRPr="00350925">
        <w:rPr>
          <w:rStyle w:val="Refdenotaalpie"/>
          <w:rFonts w:ascii="Arial" w:hAnsi="Arial" w:cs="Arial"/>
          <w:sz w:val="19"/>
          <w:szCs w:val="19"/>
        </w:rPr>
        <w:footnoteRef/>
      </w:r>
      <w:r w:rsidRPr="00350925">
        <w:rPr>
          <w:rFonts w:ascii="Arial" w:hAnsi="Arial" w:cs="Arial"/>
          <w:sz w:val="19"/>
          <w:szCs w:val="19"/>
        </w:rPr>
        <w:t xml:space="preserve"> </w:t>
      </w:r>
      <w:r w:rsidRPr="00350925">
        <w:rPr>
          <w:rFonts w:ascii="Arial" w:hAnsi="Arial" w:cs="Arial"/>
          <w:sz w:val="19"/>
          <w:szCs w:val="19"/>
          <w:lang w:val="es-ES"/>
        </w:rPr>
        <w:t xml:space="preserve">Ibíd. </w:t>
      </w:r>
    </w:p>
  </w:footnote>
  <w:footnote w:id="6">
    <w:p w14:paraId="58993B92" w14:textId="77777777" w:rsidR="00F7025D" w:rsidRPr="00350925" w:rsidRDefault="00F7025D" w:rsidP="00F7025D">
      <w:pPr>
        <w:pStyle w:val="Textonotapie"/>
        <w:ind w:firstLine="708"/>
        <w:jc w:val="both"/>
        <w:rPr>
          <w:lang w:val="es-CO"/>
        </w:rPr>
      </w:pPr>
      <w:r w:rsidRPr="00350925">
        <w:rPr>
          <w:rStyle w:val="Refdenotaalpie"/>
        </w:rPr>
        <w:footnoteRef/>
      </w:r>
      <w:r w:rsidRPr="00350925">
        <w:t xml:space="preserve"> </w:t>
      </w:r>
      <w:r w:rsidRPr="00350925">
        <w:rPr>
          <w:rFonts w:ascii="Arial" w:hAnsi="Arial" w:cs="Arial"/>
          <w:sz w:val="19"/>
          <w:szCs w:val="19"/>
          <w:lang w:val="es-ES"/>
        </w:rPr>
        <w:t>«[…] resulta que son las entidades públicas sujetas al Estatuto General de Contratación Pública, en cada caso concreto, las encargadas de definir en sus pliegos de condiciones los riesgos relacionados con su actividad contractual, y sólo estarán obligadas a ajustarse a lo que se defina en la ley sobre el particular y a las políticas generales que defina el presidente de la República, en ejercicio de su función reglamentaria» (Consejo de Estado. Sección Tercera Subsección A. Sentencia del 11 de abril de 2019. Exp. 52.055. C.P. María Adriana Marín).</w:t>
      </w:r>
    </w:p>
  </w:footnote>
  <w:footnote w:id="7">
    <w:p w14:paraId="098F26F6" w14:textId="77777777" w:rsidR="00F7025D" w:rsidRPr="005745DD" w:rsidRDefault="00F7025D" w:rsidP="00F7025D">
      <w:pPr>
        <w:pStyle w:val="Textonotapie"/>
        <w:ind w:firstLine="709"/>
        <w:jc w:val="both"/>
        <w:rPr>
          <w:rFonts w:ascii="Arial" w:hAnsi="Arial" w:cs="Arial"/>
          <w:sz w:val="19"/>
          <w:szCs w:val="19"/>
          <w:lang w:val="es-ES"/>
        </w:rPr>
      </w:pPr>
      <w:r w:rsidRPr="005745DD">
        <w:rPr>
          <w:rStyle w:val="Refdenotaalpie"/>
          <w:rFonts w:ascii="Arial" w:hAnsi="Arial" w:cs="Arial"/>
          <w:sz w:val="19"/>
          <w:szCs w:val="19"/>
        </w:rPr>
        <w:footnoteRef/>
      </w:r>
      <w:r w:rsidRPr="005745DD">
        <w:rPr>
          <w:rFonts w:ascii="Arial" w:hAnsi="Arial" w:cs="Arial"/>
          <w:sz w:val="19"/>
          <w:szCs w:val="19"/>
        </w:rPr>
        <w:t xml:space="preserve"> </w:t>
      </w:r>
      <w:r w:rsidRPr="005745DD">
        <w:rPr>
          <w:rFonts w:ascii="Arial" w:hAnsi="Arial" w:cs="Arial"/>
          <w:sz w:val="19"/>
          <w:szCs w:val="19"/>
          <w:lang w:val="es-ES"/>
        </w:rPr>
        <w:t>«Para la consecución de los fines de que trata el artículo anterior, las entidades estatales:</w:t>
      </w:r>
    </w:p>
    <w:p w14:paraId="53D65374" w14:textId="77777777" w:rsidR="00F7025D" w:rsidRPr="005745DD" w:rsidRDefault="00F7025D" w:rsidP="00F7025D">
      <w:pPr>
        <w:ind w:firstLine="709"/>
        <w:jc w:val="both"/>
        <w:rPr>
          <w:rFonts w:ascii="Arial" w:hAnsi="Arial" w:cs="Arial"/>
          <w:sz w:val="19"/>
          <w:szCs w:val="19"/>
          <w:lang w:val="es-ES"/>
        </w:rPr>
      </w:pPr>
      <w:r w:rsidRPr="005745DD">
        <w:rPr>
          <w:rFonts w:ascii="Arial" w:hAnsi="Arial" w:cs="Arial"/>
          <w:sz w:val="19"/>
          <w:szCs w:val="19"/>
          <w:lang w:val="es-ES"/>
        </w:rPr>
        <w:t>» […] 3o. Solicitarán la actualización o la revisión de los precios cuando se produzcan fenómenos que alteren en su contra el equilibrio económico o financiero del contrato».</w:t>
      </w:r>
    </w:p>
    <w:p w14:paraId="604C69CC" w14:textId="77777777" w:rsidR="00F7025D" w:rsidRPr="005745DD" w:rsidRDefault="00F7025D" w:rsidP="00F7025D">
      <w:pPr>
        <w:pStyle w:val="Textonotapie"/>
        <w:ind w:firstLine="709"/>
        <w:jc w:val="both"/>
        <w:rPr>
          <w:rFonts w:ascii="Arial" w:hAnsi="Arial" w:cs="Arial"/>
          <w:sz w:val="19"/>
          <w:szCs w:val="19"/>
          <w:lang w:val="es-ES"/>
        </w:rPr>
      </w:pPr>
    </w:p>
  </w:footnote>
  <w:footnote w:id="8">
    <w:p w14:paraId="6E839D16" w14:textId="77777777" w:rsidR="00F7025D" w:rsidRPr="005745DD" w:rsidRDefault="00F7025D" w:rsidP="00F7025D">
      <w:pPr>
        <w:pStyle w:val="Textonotapie"/>
        <w:ind w:firstLine="709"/>
        <w:jc w:val="both"/>
        <w:rPr>
          <w:rFonts w:ascii="Arial" w:hAnsi="Arial" w:cs="Arial"/>
          <w:sz w:val="19"/>
          <w:szCs w:val="19"/>
          <w:lang w:val="es-ES"/>
        </w:rPr>
      </w:pPr>
      <w:r w:rsidRPr="005745DD">
        <w:rPr>
          <w:rStyle w:val="Refdenotaalpie"/>
          <w:rFonts w:ascii="Arial" w:hAnsi="Arial" w:cs="Arial"/>
          <w:sz w:val="19"/>
          <w:szCs w:val="19"/>
        </w:rPr>
        <w:footnoteRef/>
      </w:r>
      <w:r w:rsidRPr="005745DD">
        <w:rPr>
          <w:rFonts w:ascii="Arial" w:hAnsi="Arial" w:cs="Arial"/>
          <w:sz w:val="19"/>
          <w:szCs w:val="19"/>
        </w:rPr>
        <w:t xml:space="preserve"> </w:t>
      </w:r>
      <w:r w:rsidRPr="005745DD">
        <w:rPr>
          <w:rFonts w:ascii="Arial" w:hAnsi="Arial" w:cs="Arial"/>
          <w:sz w:val="19"/>
          <w:szCs w:val="19"/>
          <w:lang w:val="es-ES"/>
        </w:rPr>
        <w:t>«</w:t>
      </w:r>
      <w:r w:rsidRPr="005745DD">
        <w:rPr>
          <w:rFonts w:ascii="Arial" w:hAnsi="Arial" w:cs="Arial"/>
          <w:sz w:val="19"/>
          <w:szCs w:val="19"/>
        </w:rPr>
        <w:t>Para</w:t>
      </w:r>
      <w:r w:rsidRPr="005745DD">
        <w:rPr>
          <w:rFonts w:ascii="Arial" w:hAnsi="Arial" w:cs="Arial"/>
          <w:sz w:val="19"/>
          <w:szCs w:val="19"/>
          <w:lang w:val="es-ES"/>
        </w:rPr>
        <w:t xml:space="preserve"> la realización de los fines de que trata el artículo 3o. de esta Ley, los contratistas:</w:t>
      </w:r>
    </w:p>
    <w:p w14:paraId="4A2E3700" w14:textId="77777777" w:rsidR="00F7025D" w:rsidRPr="005745DD" w:rsidRDefault="00F7025D" w:rsidP="00F7025D">
      <w:pPr>
        <w:pStyle w:val="Textonotapie"/>
        <w:ind w:firstLine="709"/>
        <w:jc w:val="both"/>
        <w:rPr>
          <w:rFonts w:ascii="Arial" w:hAnsi="Arial" w:cs="Arial"/>
          <w:sz w:val="19"/>
          <w:szCs w:val="19"/>
          <w:lang w:val="es-ES"/>
        </w:rPr>
      </w:pPr>
      <w:r w:rsidRPr="005745DD">
        <w:rPr>
          <w:rFonts w:ascii="Arial" w:hAnsi="Arial" w:cs="Arial"/>
          <w:sz w:val="19"/>
          <w:szCs w:val="19"/>
          <w:lang w:val="es-ES"/>
        </w:rPr>
        <w:t>» 1o. Tendrán derecho a recibir oportunamente la remuneración pactada y a que el valor intrínseco de la misma no se altere o modifique durante la vigencia del contrato.</w:t>
      </w:r>
    </w:p>
    <w:p w14:paraId="6A00C4F4" w14:textId="77777777" w:rsidR="00F7025D" w:rsidRPr="005745DD" w:rsidRDefault="00F7025D" w:rsidP="00F7025D">
      <w:pPr>
        <w:pStyle w:val="Textonotapie"/>
        <w:ind w:firstLine="709"/>
        <w:jc w:val="both"/>
        <w:rPr>
          <w:rFonts w:ascii="Arial" w:hAnsi="Arial" w:cs="Arial"/>
          <w:sz w:val="19"/>
          <w:szCs w:val="19"/>
          <w:lang w:val="es-ES"/>
        </w:rPr>
      </w:pPr>
      <w:r w:rsidRPr="005745DD">
        <w:rPr>
          <w:rFonts w:ascii="Arial" w:hAnsi="Arial" w:cs="Arial"/>
          <w:sz w:val="19"/>
          <w:szCs w:val="19"/>
          <w:lang w:val="es-ES"/>
        </w:rPr>
        <w:t>» En consecuencia tendrán derecho, previa solicitud, a que la administración les restablezca el equilibrio de la ecuación económica del contrato a un punto de no pérdida por la ocurrencia de situaciones imprevistas que no sean imputables a los contratistas. Si dicho equilibrio se rompe por incumplimiento de la entidad estatal contratante, tendrá que restablecerse la ecuación surgida al momento del nacimiento del contrato».</w:t>
      </w:r>
    </w:p>
  </w:footnote>
  <w:footnote w:id="9">
    <w:p w14:paraId="3A90A932" w14:textId="77777777" w:rsidR="00F7025D" w:rsidRPr="00B560EE" w:rsidRDefault="00F7025D" w:rsidP="00F7025D">
      <w:pPr>
        <w:tabs>
          <w:tab w:val="left" w:pos="426"/>
          <w:tab w:val="left" w:pos="2087"/>
          <w:tab w:val="left" w:pos="3424"/>
          <w:tab w:val="left" w:pos="4701"/>
          <w:tab w:val="left" w:pos="5341"/>
          <w:tab w:val="left" w:pos="5920"/>
          <w:tab w:val="left" w:pos="7487"/>
          <w:tab w:val="left" w:pos="8037"/>
          <w:tab w:val="left" w:pos="8524"/>
        </w:tabs>
        <w:ind w:firstLine="709"/>
        <w:jc w:val="both"/>
        <w:rPr>
          <w:rFonts w:ascii="Arial" w:hAnsi="Arial" w:cs="Arial"/>
          <w:sz w:val="19"/>
          <w:szCs w:val="19"/>
        </w:rPr>
      </w:pPr>
      <w:r w:rsidRPr="00B560EE">
        <w:rPr>
          <w:rStyle w:val="Refdenotaalpie"/>
          <w:rFonts w:ascii="Arial" w:hAnsi="Arial" w:cs="Arial"/>
          <w:sz w:val="19"/>
          <w:szCs w:val="19"/>
        </w:rPr>
        <w:footnoteRef/>
      </w:r>
      <w:r w:rsidRPr="00B560EE">
        <w:rPr>
          <w:rFonts w:ascii="Arial" w:hAnsi="Arial" w:cs="Arial"/>
          <w:sz w:val="19"/>
          <w:szCs w:val="19"/>
        </w:rPr>
        <w:t xml:space="preserve"> Por ejemplo, para Colciencias los manuales «son instrumentos administrativos que se elaboran para determinar en forma explícita, ordenada y sistemática información sobre objetivos, políticas, atribuciones, organización y procedimientos de los órganos de una institución. Se caracterizan por desarrollar criterios generales sobre un tema estratégico y en su mayoría, referencian procedimientos, guías, instructivos, modelos y formatos». Mientras que las guías son «documentos que contienen orientaciones acerca de la forma como se desarrolla una metodología</w:t>
      </w:r>
      <w:r w:rsidRPr="00B560EE">
        <w:rPr>
          <w:rFonts w:ascii="Arial" w:hAnsi="Arial" w:cs="Arial"/>
          <w:sz w:val="19"/>
          <w:szCs w:val="19"/>
        </w:rPr>
        <w:tab/>
        <w:t>relacionada con los procedimientos de la entidad»: https://www.colciencias.gov.co/sites/default/files/ckeditor_files/G102PR01-procedimiento-elaboracion- control.pdf</w:t>
      </w:r>
    </w:p>
    <w:p w14:paraId="5AB7B3DC" w14:textId="77777777" w:rsidR="00F7025D" w:rsidRPr="00B560EE" w:rsidRDefault="00F7025D" w:rsidP="00F7025D">
      <w:pPr>
        <w:jc w:val="both"/>
        <w:rPr>
          <w:rFonts w:ascii="Arial" w:hAnsi="Arial" w:cs="Arial"/>
          <w:sz w:val="19"/>
          <w:szCs w:val="19"/>
        </w:rPr>
      </w:pPr>
      <w:r w:rsidRPr="00B560EE">
        <w:rPr>
          <w:rFonts w:ascii="Arial" w:hAnsi="Arial" w:cs="Arial"/>
          <w:sz w:val="19"/>
          <w:szCs w:val="19"/>
        </w:rPr>
        <w:t xml:space="preserve">Para la Autoridad Nacional de Licencias Ambientales los manuales y guías </w:t>
      </w:r>
      <w:r w:rsidRPr="00B560EE">
        <w:rPr>
          <w:rFonts w:ascii="Arial" w:hAnsi="Arial" w:cs="Arial"/>
          <w:sz w:val="19"/>
          <w:szCs w:val="19"/>
          <w:lang w:val="es-MX"/>
        </w:rPr>
        <w:t>«</w:t>
      </w:r>
      <w:r w:rsidRPr="00B560EE">
        <w:rPr>
          <w:rFonts w:ascii="Arial" w:hAnsi="Arial" w:cs="Arial"/>
          <w:sz w:val="19"/>
          <w:szCs w:val="19"/>
        </w:rPr>
        <w:t xml:space="preserve">son documentos técnicos a través de los cuales se estandarizan y se definen criterios y procedimientos de una actividad específica. A través de ellos se indican enfoques, lineamientos, se definen instructivos y se detallan los pasos que deben seguir quienes desarrollan una actividad determinada. El propósito de esta herramienta es el de permitir que las autoridades o a cualquier otro organismo equivalente haga más efectiva su gestión y documente sistemáticamente los criterios considerados durante los procesos de toma de decisiones»: </w:t>
      </w:r>
      <w:hyperlink r:id="rId1">
        <w:r w:rsidRPr="00B560EE">
          <w:rPr>
            <w:rFonts w:ascii="Arial" w:hAnsi="Arial" w:cs="Arial"/>
            <w:sz w:val="19"/>
            <w:szCs w:val="19"/>
          </w:rPr>
          <w:t>http://portal.anla.gov.co/manuales-y-guias</w:t>
        </w:r>
      </w:hyperlink>
    </w:p>
    <w:p w14:paraId="547BF0D0" w14:textId="77777777" w:rsidR="00F7025D" w:rsidRPr="00B560EE" w:rsidRDefault="00F7025D" w:rsidP="00F7025D">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F6F64BE"/>
    <w:multiLevelType w:val="hybridMultilevel"/>
    <w:tmpl w:val="F5A09EF0"/>
    <w:lvl w:ilvl="0" w:tplc="92788410">
      <w:start w:val="1"/>
      <w:numFmt w:val="decimal"/>
      <w:lvlText w:val="%1."/>
      <w:lvlJc w:val="left"/>
      <w:pPr>
        <w:ind w:left="1425" w:hanging="360"/>
      </w:pPr>
      <w:rPr>
        <w:rFonts w:hint="default"/>
      </w:r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42501D3"/>
    <w:multiLevelType w:val="hybridMultilevel"/>
    <w:tmpl w:val="37460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0" w15:restartNumberingAfterBreak="0">
    <w:nsid w:val="68886460"/>
    <w:multiLevelType w:val="hybridMultilevel"/>
    <w:tmpl w:val="59BAC92C"/>
    <w:lvl w:ilvl="0" w:tplc="6556F346">
      <w:start w:val="1"/>
      <w:numFmt w:val="decimal"/>
      <w:lvlText w:val="%1."/>
      <w:lvlJc w:val="left"/>
      <w:pPr>
        <w:ind w:left="972" w:hanging="360"/>
      </w:pPr>
      <w:rPr>
        <w:rFonts w:hint="default"/>
      </w:rPr>
    </w:lvl>
    <w:lvl w:ilvl="1" w:tplc="240A0019" w:tentative="1">
      <w:start w:val="1"/>
      <w:numFmt w:val="lowerLetter"/>
      <w:lvlText w:val="%2."/>
      <w:lvlJc w:val="left"/>
      <w:pPr>
        <w:ind w:left="1692" w:hanging="360"/>
      </w:pPr>
    </w:lvl>
    <w:lvl w:ilvl="2" w:tplc="240A001B" w:tentative="1">
      <w:start w:val="1"/>
      <w:numFmt w:val="lowerRoman"/>
      <w:lvlText w:val="%3."/>
      <w:lvlJc w:val="right"/>
      <w:pPr>
        <w:ind w:left="2412" w:hanging="180"/>
      </w:pPr>
    </w:lvl>
    <w:lvl w:ilvl="3" w:tplc="240A000F" w:tentative="1">
      <w:start w:val="1"/>
      <w:numFmt w:val="decimal"/>
      <w:lvlText w:val="%4."/>
      <w:lvlJc w:val="left"/>
      <w:pPr>
        <w:ind w:left="3132" w:hanging="360"/>
      </w:pPr>
    </w:lvl>
    <w:lvl w:ilvl="4" w:tplc="240A0019" w:tentative="1">
      <w:start w:val="1"/>
      <w:numFmt w:val="lowerLetter"/>
      <w:lvlText w:val="%5."/>
      <w:lvlJc w:val="left"/>
      <w:pPr>
        <w:ind w:left="3852" w:hanging="360"/>
      </w:pPr>
    </w:lvl>
    <w:lvl w:ilvl="5" w:tplc="240A001B" w:tentative="1">
      <w:start w:val="1"/>
      <w:numFmt w:val="lowerRoman"/>
      <w:lvlText w:val="%6."/>
      <w:lvlJc w:val="right"/>
      <w:pPr>
        <w:ind w:left="4572" w:hanging="180"/>
      </w:pPr>
    </w:lvl>
    <w:lvl w:ilvl="6" w:tplc="240A000F" w:tentative="1">
      <w:start w:val="1"/>
      <w:numFmt w:val="decimal"/>
      <w:lvlText w:val="%7."/>
      <w:lvlJc w:val="left"/>
      <w:pPr>
        <w:ind w:left="5292" w:hanging="360"/>
      </w:pPr>
    </w:lvl>
    <w:lvl w:ilvl="7" w:tplc="240A0019" w:tentative="1">
      <w:start w:val="1"/>
      <w:numFmt w:val="lowerLetter"/>
      <w:lvlText w:val="%8."/>
      <w:lvlJc w:val="left"/>
      <w:pPr>
        <w:ind w:left="6012" w:hanging="360"/>
      </w:pPr>
    </w:lvl>
    <w:lvl w:ilvl="8" w:tplc="240A001B" w:tentative="1">
      <w:start w:val="1"/>
      <w:numFmt w:val="lowerRoman"/>
      <w:lvlText w:val="%9."/>
      <w:lvlJc w:val="right"/>
      <w:pPr>
        <w:ind w:left="6732" w:hanging="180"/>
      </w:pPr>
    </w:lvl>
  </w:abstractNum>
  <w:abstractNum w:abstractNumId="11" w15:restartNumberingAfterBreak="0">
    <w:nsid w:val="6E353CA8"/>
    <w:multiLevelType w:val="hybridMultilevel"/>
    <w:tmpl w:val="8556CC82"/>
    <w:lvl w:ilvl="0" w:tplc="147AD612">
      <w:start w:val="1"/>
      <w:numFmt w:val="decimal"/>
      <w:lvlText w:val="%1."/>
      <w:lvlJc w:val="left"/>
      <w:pPr>
        <w:ind w:left="1065" w:hanging="360"/>
      </w:pPr>
      <w:rPr>
        <w:rFonts w:ascii="Arial" w:hAnsi="Arial" w:cs="Arial" w:hint="default"/>
        <w:b w:val="0"/>
        <w:bCs/>
        <w:sz w:val="22"/>
        <w:szCs w:val="22"/>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2" w15:restartNumberingAfterBreak="0">
    <w:nsid w:val="781C0F7C"/>
    <w:multiLevelType w:val="multilevel"/>
    <w:tmpl w:val="314A5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90670214">
    <w:abstractNumId w:val="6"/>
  </w:num>
  <w:num w:numId="2" w16cid:durableId="4285022">
    <w:abstractNumId w:val="2"/>
  </w:num>
  <w:num w:numId="3" w16cid:durableId="881983949">
    <w:abstractNumId w:val="3"/>
  </w:num>
  <w:num w:numId="4" w16cid:durableId="341274352">
    <w:abstractNumId w:val="0"/>
  </w:num>
  <w:num w:numId="5" w16cid:durableId="1887524674">
    <w:abstractNumId w:val="9"/>
  </w:num>
  <w:num w:numId="6" w16cid:durableId="1082990391">
    <w:abstractNumId w:val="1"/>
  </w:num>
  <w:num w:numId="7" w16cid:durableId="1492209491">
    <w:abstractNumId w:val="5"/>
  </w:num>
  <w:num w:numId="8" w16cid:durableId="679089576">
    <w:abstractNumId w:val="7"/>
  </w:num>
  <w:num w:numId="9" w16cid:durableId="38668947">
    <w:abstractNumId w:val="11"/>
  </w:num>
  <w:num w:numId="10" w16cid:durableId="530729171">
    <w:abstractNumId w:val="12"/>
  </w:num>
  <w:num w:numId="11" w16cid:durableId="1332373419">
    <w:abstractNumId w:val="4"/>
  </w:num>
  <w:num w:numId="12" w16cid:durableId="1335765048">
    <w:abstractNumId w:val="10"/>
  </w:num>
  <w:num w:numId="13" w16cid:durableId="2605763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05F81"/>
    <w:rsid w:val="0001025F"/>
    <w:rsid w:val="0001222D"/>
    <w:rsid w:val="000135EB"/>
    <w:rsid w:val="00015D2B"/>
    <w:rsid w:val="00031584"/>
    <w:rsid w:val="00032A0E"/>
    <w:rsid w:val="00033C4D"/>
    <w:rsid w:val="00037347"/>
    <w:rsid w:val="000442CC"/>
    <w:rsid w:val="0004779F"/>
    <w:rsid w:val="000556D4"/>
    <w:rsid w:val="00061AA2"/>
    <w:rsid w:val="000716AB"/>
    <w:rsid w:val="00082E4C"/>
    <w:rsid w:val="000849D5"/>
    <w:rsid w:val="0008528F"/>
    <w:rsid w:val="000A563E"/>
    <w:rsid w:val="000A6E0C"/>
    <w:rsid w:val="000A7A56"/>
    <w:rsid w:val="000B1FF7"/>
    <w:rsid w:val="000B2513"/>
    <w:rsid w:val="000B4024"/>
    <w:rsid w:val="000B6EA6"/>
    <w:rsid w:val="000C3C51"/>
    <w:rsid w:val="000C7262"/>
    <w:rsid w:val="000D2A7F"/>
    <w:rsid w:val="000D4FCE"/>
    <w:rsid w:val="0011037E"/>
    <w:rsid w:val="001363C7"/>
    <w:rsid w:val="00141AC5"/>
    <w:rsid w:val="00146B11"/>
    <w:rsid w:val="00147A04"/>
    <w:rsid w:val="0015476D"/>
    <w:rsid w:val="00161E13"/>
    <w:rsid w:val="00164AE0"/>
    <w:rsid w:val="00165E83"/>
    <w:rsid w:val="00166CD7"/>
    <w:rsid w:val="0017120C"/>
    <w:rsid w:val="00172F3A"/>
    <w:rsid w:val="0019532A"/>
    <w:rsid w:val="0019670E"/>
    <w:rsid w:val="00197205"/>
    <w:rsid w:val="001A5DD4"/>
    <w:rsid w:val="001A67E9"/>
    <w:rsid w:val="001A7A97"/>
    <w:rsid w:val="001B143B"/>
    <w:rsid w:val="001B21CA"/>
    <w:rsid w:val="001C04FC"/>
    <w:rsid w:val="001C25A3"/>
    <w:rsid w:val="001C5D03"/>
    <w:rsid w:val="001C7771"/>
    <w:rsid w:val="001D117D"/>
    <w:rsid w:val="001D62FF"/>
    <w:rsid w:val="001F3F48"/>
    <w:rsid w:val="002000AA"/>
    <w:rsid w:val="00204109"/>
    <w:rsid w:val="00211E6E"/>
    <w:rsid w:val="00212A46"/>
    <w:rsid w:val="0021401D"/>
    <w:rsid w:val="002146B8"/>
    <w:rsid w:val="00215516"/>
    <w:rsid w:val="00246693"/>
    <w:rsid w:val="002515CF"/>
    <w:rsid w:val="002527C2"/>
    <w:rsid w:val="00263BB6"/>
    <w:rsid w:val="00270443"/>
    <w:rsid w:val="00270EE2"/>
    <w:rsid w:val="00272972"/>
    <w:rsid w:val="00286491"/>
    <w:rsid w:val="002A0F8D"/>
    <w:rsid w:val="002A1C03"/>
    <w:rsid w:val="002B6E44"/>
    <w:rsid w:val="002C2DE8"/>
    <w:rsid w:val="002C44DA"/>
    <w:rsid w:val="002E1DB5"/>
    <w:rsid w:val="002E70C0"/>
    <w:rsid w:val="002F6CCB"/>
    <w:rsid w:val="0030001A"/>
    <w:rsid w:val="0030461E"/>
    <w:rsid w:val="00322559"/>
    <w:rsid w:val="0032756A"/>
    <w:rsid w:val="00334EF8"/>
    <w:rsid w:val="00336408"/>
    <w:rsid w:val="00340DFB"/>
    <w:rsid w:val="00341913"/>
    <w:rsid w:val="0034404F"/>
    <w:rsid w:val="00356980"/>
    <w:rsid w:val="00367462"/>
    <w:rsid w:val="00371ECA"/>
    <w:rsid w:val="00372748"/>
    <w:rsid w:val="0037332A"/>
    <w:rsid w:val="0038151A"/>
    <w:rsid w:val="0039082A"/>
    <w:rsid w:val="00390C21"/>
    <w:rsid w:val="00391884"/>
    <w:rsid w:val="003A37BD"/>
    <w:rsid w:val="003B6A61"/>
    <w:rsid w:val="003B6D94"/>
    <w:rsid w:val="003C4C96"/>
    <w:rsid w:val="003C55E0"/>
    <w:rsid w:val="003E486B"/>
    <w:rsid w:val="003F519B"/>
    <w:rsid w:val="0040544F"/>
    <w:rsid w:val="00406A19"/>
    <w:rsid w:val="0041222D"/>
    <w:rsid w:val="0041483E"/>
    <w:rsid w:val="00415369"/>
    <w:rsid w:val="00430492"/>
    <w:rsid w:val="00434A93"/>
    <w:rsid w:val="00450BE7"/>
    <w:rsid w:val="0046741E"/>
    <w:rsid w:val="00470CBE"/>
    <w:rsid w:val="00472CC6"/>
    <w:rsid w:val="0048026E"/>
    <w:rsid w:val="004807A9"/>
    <w:rsid w:val="004813EE"/>
    <w:rsid w:val="00493278"/>
    <w:rsid w:val="004943D9"/>
    <w:rsid w:val="004A0E7B"/>
    <w:rsid w:val="004A3498"/>
    <w:rsid w:val="004B0C45"/>
    <w:rsid w:val="004C0AB2"/>
    <w:rsid w:val="004C1619"/>
    <w:rsid w:val="004C1A26"/>
    <w:rsid w:val="004C1CC9"/>
    <w:rsid w:val="004C3755"/>
    <w:rsid w:val="004C4485"/>
    <w:rsid w:val="004C5BCE"/>
    <w:rsid w:val="004D11AF"/>
    <w:rsid w:val="00500DFA"/>
    <w:rsid w:val="005019AA"/>
    <w:rsid w:val="005021BB"/>
    <w:rsid w:val="005116D4"/>
    <w:rsid w:val="005139E7"/>
    <w:rsid w:val="005147DA"/>
    <w:rsid w:val="00515FB5"/>
    <w:rsid w:val="00521D66"/>
    <w:rsid w:val="0052365C"/>
    <w:rsid w:val="005271EB"/>
    <w:rsid w:val="005426DB"/>
    <w:rsid w:val="005446FB"/>
    <w:rsid w:val="0055082B"/>
    <w:rsid w:val="00552503"/>
    <w:rsid w:val="00552B57"/>
    <w:rsid w:val="00557DA1"/>
    <w:rsid w:val="0056322C"/>
    <w:rsid w:val="00586AEF"/>
    <w:rsid w:val="0058743A"/>
    <w:rsid w:val="005A4DB0"/>
    <w:rsid w:val="005A6AB4"/>
    <w:rsid w:val="005A7B8E"/>
    <w:rsid w:val="005B012B"/>
    <w:rsid w:val="005B0C87"/>
    <w:rsid w:val="005D23F6"/>
    <w:rsid w:val="005D2FA8"/>
    <w:rsid w:val="005E2281"/>
    <w:rsid w:val="005E667C"/>
    <w:rsid w:val="005F077C"/>
    <w:rsid w:val="005F63D0"/>
    <w:rsid w:val="005F7973"/>
    <w:rsid w:val="00606123"/>
    <w:rsid w:val="00610E87"/>
    <w:rsid w:val="0061690E"/>
    <w:rsid w:val="00627361"/>
    <w:rsid w:val="0063017E"/>
    <w:rsid w:val="00631B28"/>
    <w:rsid w:val="00643FE6"/>
    <w:rsid w:val="00645B90"/>
    <w:rsid w:val="00650991"/>
    <w:rsid w:val="006511D7"/>
    <w:rsid w:val="00663D75"/>
    <w:rsid w:val="00670AEF"/>
    <w:rsid w:val="00675678"/>
    <w:rsid w:val="00677012"/>
    <w:rsid w:val="006825B4"/>
    <w:rsid w:val="00682AF2"/>
    <w:rsid w:val="006864DF"/>
    <w:rsid w:val="006A3C8A"/>
    <w:rsid w:val="006A7552"/>
    <w:rsid w:val="006B5953"/>
    <w:rsid w:val="006B7A81"/>
    <w:rsid w:val="006C4BAC"/>
    <w:rsid w:val="006C52F3"/>
    <w:rsid w:val="006E7F37"/>
    <w:rsid w:val="006F3B81"/>
    <w:rsid w:val="006F4F79"/>
    <w:rsid w:val="006F7AAA"/>
    <w:rsid w:val="00705B37"/>
    <w:rsid w:val="00711FD9"/>
    <w:rsid w:val="00735062"/>
    <w:rsid w:val="007373D7"/>
    <w:rsid w:val="007463F8"/>
    <w:rsid w:val="00746BA5"/>
    <w:rsid w:val="00751D23"/>
    <w:rsid w:val="00757732"/>
    <w:rsid w:val="00761608"/>
    <w:rsid w:val="00770577"/>
    <w:rsid w:val="00777666"/>
    <w:rsid w:val="0078159B"/>
    <w:rsid w:val="00782E10"/>
    <w:rsid w:val="0078706B"/>
    <w:rsid w:val="00790836"/>
    <w:rsid w:val="00797131"/>
    <w:rsid w:val="007A3C1D"/>
    <w:rsid w:val="007B0E89"/>
    <w:rsid w:val="007B285D"/>
    <w:rsid w:val="007C6BC6"/>
    <w:rsid w:val="007E4D41"/>
    <w:rsid w:val="00804861"/>
    <w:rsid w:val="00807D79"/>
    <w:rsid w:val="00811B0F"/>
    <w:rsid w:val="00813634"/>
    <w:rsid w:val="00822821"/>
    <w:rsid w:val="00831C29"/>
    <w:rsid w:val="008431EF"/>
    <w:rsid w:val="008468E0"/>
    <w:rsid w:val="00871B59"/>
    <w:rsid w:val="00877D03"/>
    <w:rsid w:val="00877E96"/>
    <w:rsid w:val="008806CA"/>
    <w:rsid w:val="008815E5"/>
    <w:rsid w:val="008877BA"/>
    <w:rsid w:val="00887B37"/>
    <w:rsid w:val="008909B9"/>
    <w:rsid w:val="00891DFC"/>
    <w:rsid w:val="008A1313"/>
    <w:rsid w:val="008B12B4"/>
    <w:rsid w:val="008B7914"/>
    <w:rsid w:val="008C5D2A"/>
    <w:rsid w:val="008C7AF4"/>
    <w:rsid w:val="008D4E57"/>
    <w:rsid w:val="008D529F"/>
    <w:rsid w:val="008E43AF"/>
    <w:rsid w:val="008F5CC8"/>
    <w:rsid w:val="009061B8"/>
    <w:rsid w:val="0091008B"/>
    <w:rsid w:val="00911EA2"/>
    <w:rsid w:val="00916C7D"/>
    <w:rsid w:val="0092575D"/>
    <w:rsid w:val="009341DA"/>
    <w:rsid w:val="009430F9"/>
    <w:rsid w:val="009442E8"/>
    <w:rsid w:val="00946BD0"/>
    <w:rsid w:val="0095426C"/>
    <w:rsid w:val="0096263D"/>
    <w:rsid w:val="00970087"/>
    <w:rsid w:val="00971074"/>
    <w:rsid w:val="0097275C"/>
    <w:rsid w:val="00975FAD"/>
    <w:rsid w:val="00995D86"/>
    <w:rsid w:val="009A35EB"/>
    <w:rsid w:val="009A4F19"/>
    <w:rsid w:val="009A5453"/>
    <w:rsid w:val="009B4D94"/>
    <w:rsid w:val="009C2871"/>
    <w:rsid w:val="009D3C33"/>
    <w:rsid w:val="009D7F3A"/>
    <w:rsid w:val="009E4885"/>
    <w:rsid w:val="009F56D5"/>
    <w:rsid w:val="00A012BD"/>
    <w:rsid w:val="00A07D76"/>
    <w:rsid w:val="00A07DB6"/>
    <w:rsid w:val="00A10A73"/>
    <w:rsid w:val="00A170B3"/>
    <w:rsid w:val="00A223D5"/>
    <w:rsid w:val="00A37D1C"/>
    <w:rsid w:val="00A5453E"/>
    <w:rsid w:val="00A56F6C"/>
    <w:rsid w:val="00A76C8C"/>
    <w:rsid w:val="00A85F30"/>
    <w:rsid w:val="00A9099E"/>
    <w:rsid w:val="00A91FB7"/>
    <w:rsid w:val="00A9298F"/>
    <w:rsid w:val="00A97878"/>
    <w:rsid w:val="00AA0351"/>
    <w:rsid w:val="00AA5F4A"/>
    <w:rsid w:val="00AB1984"/>
    <w:rsid w:val="00AB52B1"/>
    <w:rsid w:val="00AC4CB3"/>
    <w:rsid w:val="00AC780D"/>
    <w:rsid w:val="00AD036B"/>
    <w:rsid w:val="00AD1996"/>
    <w:rsid w:val="00AD4099"/>
    <w:rsid w:val="00AD4901"/>
    <w:rsid w:val="00B01F10"/>
    <w:rsid w:val="00B02FE0"/>
    <w:rsid w:val="00B057B6"/>
    <w:rsid w:val="00B24CFD"/>
    <w:rsid w:val="00B30448"/>
    <w:rsid w:val="00B34786"/>
    <w:rsid w:val="00B400EC"/>
    <w:rsid w:val="00B40162"/>
    <w:rsid w:val="00B41ACE"/>
    <w:rsid w:val="00B44076"/>
    <w:rsid w:val="00B50156"/>
    <w:rsid w:val="00B518AD"/>
    <w:rsid w:val="00B52A94"/>
    <w:rsid w:val="00B60A96"/>
    <w:rsid w:val="00B678EC"/>
    <w:rsid w:val="00B76C94"/>
    <w:rsid w:val="00B772D0"/>
    <w:rsid w:val="00B836EA"/>
    <w:rsid w:val="00B84C05"/>
    <w:rsid w:val="00B91B81"/>
    <w:rsid w:val="00B97135"/>
    <w:rsid w:val="00BB3072"/>
    <w:rsid w:val="00BC7632"/>
    <w:rsid w:val="00BD48A9"/>
    <w:rsid w:val="00BD630F"/>
    <w:rsid w:val="00BD7EC6"/>
    <w:rsid w:val="00BE73FA"/>
    <w:rsid w:val="00BF6B4B"/>
    <w:rsid w:val="00C0511C"/>
    <w:rsid w:val="00C20ACF"/>
    <w:rsid w:val="00C22307"/>
    <w:rsid w:val="00C23469"/>
    <w:rsid w:val="00C30C62"/>
    <w:rsid w:val="00C371DF"/>
    <w:rsid w:val="00C42055"/>
    <w:rsid w:val="00C44B4C"/>
    <w:rsid w:val="00C46734"/>
    <w:rsid w:val="00C47A86"/>
    <w:rsid w:val="00C53220"/>
    <w:rsid w:val="00C77CF8"/>
    <w:rsid w:val="00C847E1"/>
    <w:rsid w:val="00C91364"/>
    <w:rsid w:val="00CA3347"/>
    <w:rsid w:val="00CC299A"/>
    <w:rsid w:val="00CD03E3"/>
    <w:rsid w:val="00CE4D89"/>
    <w:rsid w:val="00CE6BDA"/>
    <w:rsid w:val="00CF72F1"/>
    <w:rsid w:val="00D03DBE"/>
    <w:rsid w:val="00D072C0"/>
    <w:rsid w:val="00D120AE"/>
    <w:rsid w:val="00D3077B"/>
    <w:rsid w:val="00D34C82"/>
    <w:rsid w:val="00D3757A"/>
    <w:rsid w:val="00D45EFD"/>
    <w:rsid w:val="00D504A9"/>
    <w:rsid w:val="00D5206D"/>
    <w:rsid w:val="00D52C59"/>
    <w:rsid w:val="00D6662D"/>
    <w:rsid w:val="00D7177D"/>
    <w:rsid w:val="00D81311"/>
    <w:rsid w:val="00DB201E"/>
    <w:rsid w:val="00DC0E68"/>
    <w:rsid w:val="00DD25ED"/>
    <w:rsid w:val="00DD31C7"/>
    <w:rsid w:val="00DE0D6E"/>
    <w:rsid w:val="00DE402D"/>
    <w:rsid w:val="00E0003B"/>
    <w:rsid w:val="00E1610C"/>
    <w:rsid w:val="00E16D73"/>
    <w:rsid w:val="00E23E9E"/>
    <w:rsid w:val="00E25722"/>
    <w:rsid w:val="00E27F0A"/>
    <w:rsid w:val="00E368C0"/>
    <w:rsid w:val="00E4231E"/>
    <w:rsid w:val="00E42DCA"/>
    <w:rsid w:val="00E4302C"/>
    <w:rsid w:val="00E44AC7"/>
    <w:rsid w:val="00E45F4B"/>
    <w:rsid w:val="00E60A16"/>
    <w:rsid w:val="00E74678"/>
    <w:rsid w:val="00E82B6E"/>
    <w:rsid w:val="00E92B49"/>
    <w:rsid w:val="00E94258"/>
    <w:rsid w:val="00E9513D"/>
    <w:rsid w:val="00E96C18"/>
    <w:rsid w:val="00EA0B15"/>
    <w:rsid w:val="00EA2232"/>
    <w:rsid w:val="00EA2E61"/>
    <w:rsid w:val="00EA7D7F"/>
    <w:rsid w:val="00EB02F4"/>
    <w:rsid w:val="00EB2FA2"/>
    <w:rsid w:val="00EB5315"/>
    <w:rsid w:val="00EB769A"/>
    <w:rsid w:val="00EC3A35"/>
    <w:rsid w:val="00EE17F2"/>
    <w:rsid w:val="00EE3138"/>
    <w:rsid w:val="00EF2AC7"/>
    <w:rsid w:val="00EF400A"/>
    <w:rsid w:val="00EF46B1"/>
    <w:rsid w:val="00EF5699"/>
    <w:rsid w:val="00EF6BE4"/>
    <w:rsid w:val="00EF6E5D"/>
    <w:rsid w:val="00F07764"/>
    <w:rsid w:val="00F12517"/>
    <w:rsid w:val="00F131DD"/>
    <w:rsid w:val="00F16BA1"/>
    <w:rsid w:val="00F21E83"/>
    <w:rsid w:val="00F24435"/>
    <w:rsid w:val="00F30C0F"/>
    <w:rsid w:val="00F314E8"/>
    <w:rsid w:val="00F323A2"/>
    <w:rsid w:val="00F33B57"/>
    <w:rsid w:val="00F33D5C"/>
    <w:rsid w:val="00F34E90"/>
    <w:rsid w:val="00F356D6"/>
    <w:rsid w:val="00F53BE2"/>
    <w:rsid w:val="00F55684"/>
    <w:rsid w:val="00F56196"/>
    <w:rsid w:val="00F64D5A"/>
    <w:rsid w:val="00F7025D"/>
    <w:rsid w:val="00F709CD"/>
    <w:rsid w:val="00F906F4"/>
    <w:rsid w:val="00FA0716"/>
    <w:rsid w:val="00FA1465"/>
    <w:rsid w:val="00FA5063"/>
    <w:rsid w:val="00FB4629"/>
    <w:rsid w:val="00FB509F"/>
    <w:rsid w:val="00FB6FB1"/>
    <w:rsid w:val="00FB7063"/>
    <w:rsid w:val="00FB7C94"/>
    <w:rsid w:val="00FC7056"/>
    <w:rsid w:val="00FD1E42"/>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1"/>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826240142">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530993482">
      <w:bodyDiv w:val="1"/>
      <w:marLeft w:val="0"/>
      <w:marRight w:val="0"/>
      <w:marTop w:val="0"/>
      <w:marBottom w:val="0"/>
      <w:divBdr>
        <w:top w:val="none" w:sz="0" w:space="0" w:color="auto"/>
        <w:left w:val="none" w:sz="0" w:space="0" w:color="auto"/>
        <w:bottom w:val="none" w:sz="0" w:space="0" w:color="auto"/>
        <w:right w:val="none" w:sz="0" w:space="0" w:color="auto"/>
      </w:divBdr>
    </w:div>
    <w:div w:id="1539590889">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documents/cce_manual_cobertura_riesgo.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epaternina@cdinfraestrutura.com.co"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colombiacompra.gov.co/sala-de-prensa/boletin-digit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latoria.colombiacompra.gov.co/busqueda/concepto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ites/cce_public/files/cce_circulares/cce_circular_unica.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ortal.anla.gov.c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Props1.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2.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3.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3760</Words>
  <Characters>20685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Gloria Ximena Moreno Guio</cp:lastModifiedBy>
  <cp:revision>2</cp:revision>
  <dcterms:created xsi:type="dcterms:W3CDTF">2024-08-28T20:15:00Z</dcterms:created>
  <dcterms:modified xsi:type="dcterms:W3CDTF">2024-08-28T20:15:00Z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