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0958" w14:textId="77777777" w:rsidR="00312F26" w:rsidRDefault="00312F26" w:rsidP="00E245AB">
      <w:pPr>
        <w:spacing w:after="0"/>
        <w:rPr>
          <w:rFonts w:ascii="Verdana" w:hAnsi="Verdana"/>
        </w:rPr>
      </w:pPr>
      <w:bookmarkStart w:id="0" w:name="_Hlk143780582"/>
    </w:p>
    <w:p w14:paraId="6797BD4C" w14:textId="77777777" w:rsidR="00312F26" w:rsidRPr="00312F26" w:rsidRDefault="00312F26" w:rsidP="00312F26">
      <w:pPr>
        <w:spacing w:after="0"/>
        <w:rPr>
          <w:rFonts w:ascii="Verdana" w:hAnsi="Verdana"/>
          <w:b/>
          <w:bCs/>
          <w:lang w:val="es-ES"/>
        </w:rPr>
      </w:pPr>
    </w:p>
    <w:p w14:paraId="4345EC98" w14:textId="77777777" w:rsidR="00312F26" w:rsidRPr="00312F26" w:rsidRDefault="00312F26" w:rsidP="00DD138A">
      <w:pPr>
        <w:spacing w:after="0"/>
        <w:jc w:val="both"/>
        <w:rPr>
          <w:rFonts w:ascii="Verdana" w:hAnsi="Verdana"/>
          <w:b/>
          <w:lang w:val="es-ES"/>
        </w:rPr>
      </w:pPr>
      <w:r w:rsidRPr="00312F26">
        <w:rPr>
          <w:rFonts w:ascii="Verdana" w:hAnsi="Verdana"/>
          <w:b/>
          <w:lang w:val="es-ES"/>
        </w:rPr>
        <w:t xml:space="preserve">GARANTÍAS – Contratación estatal – Constitución de garantías – Finalidad – Cumplimiento – Obligaciones contractuales </w:t>
      </w:r>
    </w:p>
    <w:p w14:paraId="6C9250D8" w14:textId="77777777" w:rsidR="00312F26" w:rsidRPr="00312F26" w:rsidRDefault="00312F26" w:rsidP="00DD138A">
      <w:pPr>
        <w:spacing w:after="0"/>
        <w:jc w:val="both"/>
        <w:rPr>
          <w:rFonts w:ascii="Verdana" w:hAnsi="Verdana"/>
          <w:bCs/>
          <w:lang w:val="es-ES"/>
        </w:rPr>
      </w:pPr>
    </w:p>
    <w:p w14:paraId="44344F34" w14:textId="77777777" w:rsidR="00312F26" w:rsidRPr="00312F26" w:rsidRDefault="00312F26" w:rsidP="00DD138A">
      <w:pPr>
        <w:spacing w:after="0"/>
        <w:jc w:val="both"/>
        <w:rPr>
          <w:rFonts w:ascii="Verdana" w:hAnsi="Verdana"/>
          <w:bCs/>
          <w:lang w:val="es-ES"/>
        </w:rPr>
      </w:pPr>
      <w:r w:rsidRPr="00312F26">
        <w:rPr>
          <w:rFonts w:ascii="Verdana" w:hAnsi="Verdana"/>
          <w:lang w:val="es-ES_tradnl"/>
        </w:rPr>
        <w:t xml:space="preserve">El Estatuto General de Contratación de la Administración Pública – en adelante EGCAP – exige, por regla general, en los Procesos de Contratación pública </w:t>
      </w:r>
      <w:r w:rsidRPr="00312F26">
        <w:rPr>
          <w:rFonts w:ascii="Verdana" w:hAnsi="Verdana"/>
          <w:lang w:val="es-ES"/>
        </w:rPr>
        <w:t xml:space="preserve">la constitución de garantías ya sea en la etapa precontractual, contractual o </w:t>
      </w:r>
      <w:proofErr w:type="spellStart"/>
      <w:r w:rsidRPr="00312F26">
        <w:rPr>
          <w:rFonts w:ascii="Verdana" w:hAnsi="Verdana"/>
          <w:lang w:val="es-ES"/>
        </w:rPr>
        <w:t>postcontractual</w:t>
      </w:r>
      <w:proofErr w:type="spellEnd"/>
      <w:r w:rsidRPr="00312F26">
        <w:rPr>
          <w:rFonts w:ascii="Verdana" w:hAnsi="Verdana"/>
          <w:lang w:val="es-ES"/>
        </w:rPr>
        <w:t>, con el fin de evitar o mitigar posibles riesgos</w:t>
      </w:r>
      <w:r w:rsidRPr="00312F26">
        <w:rPr>
          <w:rFonts w:ascii="Verdana" w:hAnsi="Verdana"/>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6E8099B0" w14:textId="77777777" w:rsidR="00312F26" w:rsidRPr="00312F26" w:rsidRDefault="00312F26" w:rsidP="00DD138A">
      <w:pPr>
        <w:spacing w:after="0"/>
        <w:jc w:val="both"/>
        <w:rPr>
          <w:rFonts w:ascii="Verdana" w:hAnsi="Verdana"/>
          <w:lang w:val="es-MX"/>
        </w:rPr>
      </w:pPr>
    </w:p>
    <w:p w14:paraId="5694D658" w14:textId="77777777" w:rsidR="00312F26" w:rsidRPr="00312F26" w:rsidRDefault="00312F26" w:rsidP="00DD138A">
      <w:pPr>
        <w:spacing w:after="0"/>
        <w:jc w:val="both"/>
        <w:rPr>
          <w:rFonts w:ascii="Verdana" w:hAnsi="Verdana"/>
          <w:lang w:val="es-MX"/>
        </w:rPr>
      </w:pPr>
    </w:p>
    <w:p w14:paraId="26EFCCE8" w14:textId="77777777" w:rsidR="00312F26" w:rsidRPr="00312F26" w:rsidRDefault="00312F26" w:rsidP="00DD138A">
      <w:pPr>
        <w:spacing w:after="0"/>
        <w:jc w:val="both"/>
        <w:rPr>
          <w:rFonts w:ascii="Verdana" w:hAnsi="Verdana"/>
          <w:b/>
          <w:bCs/>
        </w:rPr>
      </w:pPr>
      <w:r w:rsidRPr="00312F26">
        <w:rPr>
          <w:rFonts w:ascii="Verdana" w:hAnsi="Verdana"/>
          <w:b/>
          <w:bCs/>
        </w:rPr>
        <w:t>PRINCIPIO DE INDIVISIBILIDAD DE LA GARANTÍA – Noción – Alcance</w:t>
      </w:r>
    </w:p>
    <w:p w14:paraId="58949913" w14:textId="77777777" w:rsidR="00312F26" w:rsidRPr="00312F26" w:rsidRDefault="00312F26" w:rsidP="00DD138A">
      <w:pPr>
        <w:spacing w:after="0"/>
        <w:jc w:val="both"/>
        <w:rPr>
          <w:rFonts w:ascii="Verdana" w:hAnsi="Verdana"/>
          <w:b/>
          <w:bCs/>
        </w:rPr>
      </w:pPr>
    </w:p>
    <w:p w14:paraId="57C161F7" w14:textId="62ED5832" w:rsidR="00312F26" w:rsidRPr="00312F26" w:rsidRDefault="00BD5610" w:rsidP="00DD138A">
      <w:pPr>
        <w:spacing w:after="0"/>
        <w:jc w:val="both"/>
        <w:rPr>
          <w:rFonts w:ascii="Verdana" w:hAnsi="Verdana"/>
        </w:rPr>
      </w:pPr>
      <w:r>
        <w:rPr>
          <w:rFonts w:ascii="Verdana" w:hAnsi="Verdana"/>
        </w:rPr>
        <w:t>P</w:t>
      </w:r>
      <w:r w:rsidR="00312F26" w:rsidRPr="00312F26">
        <w:rPr>
          <w:rFonts w:ascii="Verdana" w:hAnsi="Verdana"/>
        </w:rPr>
        <w:t>or regla general</w:t>
      </w:r>
      <w:r>
        <w:rPr>
          <w:rFonts w:ascii="Verdana" w:hAnsi="Verdana"/>
        </w:rPr>
        <w:t xml:space="preserve"> </w:t>
      </w:r>
      <w:r w:rsidR="00312F26" w:rsidRPr="00312F26">
        <w:rPr>
          <w:rFonts w:ascii="Verdana" w:hAnsi="Verdana"/>
        </w:rPr>
        <w:t>un contrato estatal debe estar amparado mediante una sola garantía, sin perjuicio de algunas excepciones, como la que se deriva de la norma analizada. En efecto, en los contratos cuyo plazo de ejecución sea mayor a cinco (5) años se podrá dividir la garantía, tal como lo prevé el Decreto 1082 de 2015: “La garantía de cobertura del Riesgo es indivisible. Sin embargo, en los contratos con un plazo mayor a cinco (5) años las garantías pueden cubrir los Riesgos de la Etapa del Contrato o del Periodo Contractual, de acuerdo con lo previsto en el contrato”.</w:t>
      </w:r>
    </w:p>
    <w:p w14:paraId="30D8286F" w14:textId="77777777" w:rsidR="00312F26" w:rsidRPr="00312F26" w:rsidRDefault="00312F26" w:rsidP="00DD138A">
      <w:pPr>
        <w:spacing w:after="0"/>
        <w:jc w:val="both"/>
        <w:rPr>
          <w:rFonts w:ascii="Verdana" w:hAnsi="Verdana"/>
        </w:rPr>
      </w:pPr>
    </w:p>
    <w:p w14:paraId="6F93ECC8" w14:textId="77777777" w:rsidR="00312F26" w:rsidRPr="00312F26" w:rsidRDefault="00312F26" w:rsidP="00DD138A">
      <w:pPr>
        <w:spacing w:after="0"/>
        <w:jc w:val="both"/>
        <w:rPr>
          <w:rFonts w:ascii="Verdana" w:hAnsi="Verdana"/>
          <w:b/>
          <w:bCs/>
          <w:lang w:val="es-ES"/>
        </w:rPr>
      </w:pPr>
      <w:r w:rsidRPr="00312F26">
        <w:rPr>
          <w:rFonts w:ascii="Verdana" w:hAnsi="Verdana"/>
          <w:b/>
          <w:bCs/>
          <w:lang w:val="es-ES"/>
        </w:rPr>
        <w:t>RESPONSABILIDAD CIVIL EXTRACONTRACTUAL – Garantías – Póliza – Normativa</w:t>
      </w:r>
    </w:p>
    <w:p w14:paraId="18EFB948" w14:textId="77777777" w:rsidR="00312F26" w:rsidRPr="00312F26" w:rsidRDefault="00312F26" w:rsidP="00DD138A">
      <w:pPr>
        <w:spacing w:after="0"/>
        <w:jc w:val="both"/>
        <w:rPr>
          <w:rFonts w:ascii="Verdana" w:hAnsi="Verdana"/>
          <w:b/>
          <w:bCs/>
          <w:lang w:val="es-ES"/>
        </w:rPr>
      </w:pPr>
    </w:p>
    <w:p w14:paraId="3FA3C61D" w14:textId="77777777" w:rsidR="00312F26" w:rsidRPr="00312F26" w:rsidRDefault="00312F26" w:rsidP="00DD138A">
      <w:pPr>
        <w:spacing w:after="0"/>
        <w:jc w:val="both"/>
        <w:rPr>
          <w:rFonts w:ascii="Verdana" w:hAnsi="Verdana"/>
          <w:lang w:val="es-ES"/>
        </w:rPr>
      </w:pPr>
      <w:r w:rsidRPr="00312F26">
        <w:rPr>
          <w:rFonts w:ascii="Verdana" w:hAnsi="Verdana"/>
          <w:lang w:val="es-ES"/>
        </w:rPr>
        <w:t>En efecto, el artículo 2.2.1.2.3.1.5 del Decreto 1082 de 2015, establece, respecto de la cobertura, que la responsabilidad civil extracontractual proveniente de hechos, acciones u omisiones</w:t>
      </w:r>
      <w:r w:rsidRPr="00312F26">
        <w:rPr>
          <w:rFonts w:ascii="Verdana" w:hAnsi="Verdana"/>
          <w:lang w:val="es-MX"/>
        </w:rPr>
        <w:t xml:space="preserve"> </w:t>
      </w:r>
      <w:r w:rsidRPr="00312F26">
        <w:rPr>
          <w:rFonts w:ascii="Verdana" w:hAnsi="Verdana"/>
          <w:lang w:val="es-ES"/>
        </w:rPr>
        <w:t xml:space="preserve"> del contratista o subcontratista, únicamente puede ser amparada con un contrato de seguro […] Así mismo, el artículo 2.2.1.2.3.1.17, determina el valor que debe ser asegurado con el contrato de seguro teniendo en cuenta el valor en salarios mínimos mensuales legales vigentes del contrato […] Finalmente, el artículo 2.2.1.2.3.2.9. establece los requisitos del seguro de responsabilidad civil extracontractual, los cuales, al ser esenciales deben estar presentes en todo contrato de seguro contenido en una póliza que cubra lo relativo a la responsabilidad civil extracontractual. </w:t>
      </w:r>
    </w:p>
    <w:p w14:paraId="31A203B2" w14:textId="77777777" w:rsidR="00312F26" w:rsidRDefault="00312F26" w:rsidP="00E245AB">
      <w:pPr>
        <w:spacing w:after="0"/>
        <w:rPr>
          <w:rFonts w:ascii="Verdana" w:hAnsi="Verdana"/>
        </w:rPr>
      </w:pPr>
    </w:p>
    <w:p w14:paraId="249AD444" w14:textId="77777777" w:rsidR="00312F26" w:rsidRDefault="00312F26" w:rsidP="00E245AB">
      <w:pPr>
        <w:spacing w:after="0"/>
        <w:rPr>
          <w:rFonts w:ascii="Verdana" w:hAnsi="Verdana"/>
        </w:rPr>
      </w:pPr>
    </w:p>
    <w:p w14:paraId="132B1D89" w14:textId="77777777" w:rsidR="00312F26" w:rsidRDefault="00312F26" w:rsidP="00E245AB">
      <w:pPr>
        <w:spacing w:after="0"/>
        <w:rPr>
          <w:rFonts w:ascii="Verdana" w:hAnsi="Verdana"/>
        </w:rPr>
      </w:pPr>
    </w:p>
    <w:p w14:paraId="3FE2184B" w14:textId="62CDFB35"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01AC05D3" w:rsidR="00E245AB" w:rsidRPr="0044528D" w:rsidRDefault="00312F26" w:rsidP="00E245AB">
      <w:pPr>
        <w:spacing w:after="0"/>
        <w:rPr>
          <w:rFonts w:ascii="Verdana" w:hAnsi="Verdana"/>
        </w:rPr>
      </w:pPr>
      <w:r w:rsidRPr="00312F26">
        <w:rPr>
          <w:rFonts w:ascii="Verdana" w:eastAsia="Calibri" w:hAnsi="Verdana" w:cs="Arial"/>
          <w:b/>
          <w:noProof/>
          <w:color w:val="000000" w:themeColor="text1"/>
          <w:lang w:val="es-ES_tradnl" w:eastAsia="es-ES_tradnl"/>
        </w:rPr>
        <w:drawing>
          <wp:anchor distT="0" distB="0" distL="114300" distR="114300" simplePos="0" relativeHeight="251658240" behindDoc="1" locked="0" layoutInCell="1" allowOverlap="1" wp14:anchorId="7850500C" wp14:editId="24D8496E">
            <wp:simplePos x="0" y="0"/>
            <wp:positionH relativeFrom="margin">
              <wp:posOffset>2992755</wp:posOffset>
            </wp:positionH>
            <wp:positionV relativeFrom="paragraph">
              <wp:posOffset>37465</wp:posOffset>
            </wp:positionV>
            <wp:extent cx="2931275" cy="866775"/>
            <wp:effectExtent l="0" t="0" r="2540" b="0"/>
            <wp:wrapNone/>
            <wp:docPr id="20534256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2569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31275" cy="866775"/>
                    </a:xfrm>
                    <a:prstGeom prst="rect">
                      <a:avLst/>
                    </a:prstGeom>
                  </pic:spPr>
                </pic:pic>
              </a:graphicData>
            </a:graphic>
            <wp14:sizeRelH relativeFrom="page">
              <wp14:pctWidth>0</wp14:pctWidth>
            </wp14:sizeRelH>
            <wp14:sizeRelV relativeFrom="page">
              <wp14:pctHeight>0</wp14:pctHeight>
            </wp14:sizeRelV>
          </wp:anchor>
        </w:drawing>
      </w:r>
    </w:p>
    <w:p w14:paraId="533627CC" w14:textId="6487F22A" w:rsidR="00587F78" w:rsidRPr="00791D63" w:rsidRDefault="00587F78" w:rsidP="00587F78">
      <w:pPr>
        <w:spacing w:after="0" w:line="240" w:lineRule="auto"/>
        <w:jc w:val="both"/>
        <w:rPr>
          <w:rFonts w:ascii="Verdana" w:eastAsia="Calibri" w:hAnsi="Verdana" w:cs="Arial"/>
          <w:color w:val="000000" w:themeColor="text1"/>
          <w:lang w:val="es-ES" w:eastAsia="es-ES"/>
        </w:rPr>
      </w:pPr>
      <w:r w:rsidRPr="00791D63">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a</w:t>
      </w:r>
    </w:p>
    <w:p w14:paraId="5FA1A02A" w14:textId="5E0A3D5E" w:rsidR="00587F78" w:rsidRPr="00AD08F9" w:rsidRDefault="00587F78" w:rsidP="00587F78">
      <w:pPr>
        <w:spacing w:after="0" w:line="240" w:lineRule="auto"/>
        <w:rPr>
          <w:rFonts w:ascii="Verdana" w:eastAsia="Calibri" w:hAnsi="Verdana" w:cs="Arial"/>
          <w:b/>
          <w:color w:val="000000" w:themeColor="text1"/>
          <w:lang w:val="es-ES_tradnl" w:eastAsia="es-ES_tradnl"/>
        </w:rPr>
      </w:pPr>
      <w:r w:rsidRPr="00AD08F9">
        <w:rPr>
          <w:rFonts w:ascii="Verdana" w:eastAsia="Calibri" w:hAnsi="Verdana" w:cs="Arial"/>
          <w:b/>
          <w:color w:val="000000" w:themeColor="text1"/>
          <w:lang w:val="es-ES_tradnl" w:eastAsia="es-ES_tradnl"/>
        </w:rPr>
        <w:t>Fabiola Guarín</w:t>
      </w:r>
    </w:p>
    <w:p w14:paraId="568A4A0B" w14:textId="77777777" w:rsidR="00587F78" w:rsidRPr="00AD4AF9" w:rsidRDefault="00587F78" w:rsidP="00587F78">
      <w:pPr>
        <w:spacing w:after="0" w:line="240" w:lineRule="auto"/>
        <w:rPr>
          <w:rFonts w:ascii="Verdana" w:eastAsia="Calibri" w:hAnsi="Verdana" w:cs="Arial"/>
          <w:b/>
          <w:bCs/>
          <w:color w:val="000000" w:themeColor="text1"/>
          <w:sz w:val="20"/>
          <w:szCs w:val="20"/>
          <w:lang w:val="es-ES" w:eastAsia="es-ES"/>
        </w:rPr>
      </w:pPr>
      <w:r w:rsidRPr="00AD4AF9">
        <w:rPr>
          <w:rFonts w:ascii="Verdana" w:hAnsi="Verdana"/>
          <w:color w:val="000000" w:themeColor="text1"/>
          <w:sz w:val="20"/>
          <w:szCs w:val="20"/>
        </w:rPr>
        <w:t xml:space="preserve">fabiolaguarin67@gmail.com </w:t>
      </w:r>
    </w:p>
    <w:p w14:paraId="12475939" w14:textId="6D3893F5" w:rsidR="00587F78" w:rsidRPr="0069671A" w:rsidRDefault="0069671A" w:rsidP="00587F78">
      <w:pPr>
        <w:spacing w:after="0" w:line="240" w:lineRule="auto"/>
        <w:rPr>
          <w:rFonts w:ascii="Verdana" w:eastAsia="Calibri" w:hAnsi="Verdana" w:cs="Arial"/>
          <w:color w:val="000000" w:themeColor="text1"/>
          <w:lang w:val="es-ES_tradnl" w:eastAsia="es-ES_tradnl"/>
        </w:rPr>
      </w:pPr>
      <w:r w:rsidRPr="0069671A">
        <w:rPr>
          <w:rFonts w:ascii="Verdana" w:eastAsia="Calibri" w:hAnsi="Verdana" w:cs="Arial"/>
          <w:color w:val="000000" w:themeColor="text1"/>
          <w:lang w:val="es-ES_tradnl" w:eastAsia="es-ES_tradnl"/>
        </w:rPr>
        <w:t>Bogotá D.C.</w:t>
      </w:r>
    </w:p>
    <w:p w14:paraId="56368F49" w14:textId="77777777" w:rsidR="00587F78" w:rsidRPr="00791D63" w:rsidRDefault="00587F78" w:rsidP="00587F78">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87F78" w:rsidRPr="00791D63" w14:paraId="007788FA" w14:textId="77777777" w:rsidTr="007A1E99">
        <w:trPr>
          <w:trHeight w:val="884"/>
        </w:trPr>
        <w:tc>
          <w:tcPr>
            <w:tcW w:w="2689" w:type="dxa"/>
          </w:tcPr>
          <w:p w14:paraId="0623CA7A" w14:textId="77777777" w:rsidR="00587F78" w:rsidRPr="00791D63" w:rsidRDefault="00587F78" w:rsidP="007A1E99">
            <w:pPr>
              <w:jc w:val="both"/>
              <w:rPr>
                <w:rFonts w:ascii="Verdana" w:eastAsia="Calibri" w:hAnsi="Verdana" w:cs="Arial"/>
                <w:b/>
                <w:bCs/>
                <w:color w:val="000000" w:themeColor="text1"/>
                <w:lang w:val="es-ES_tradnl" w:eastAsia="es-ES_tradnl"/>
              </w:rPr>
            </w:pPr>
          </w:p>
        </w:tc>
        <w:tc>
          <w:tcPr>
            <w:tcW w:w="6100" w:type="dxa"/>
          </w:tcPr>
          <w:p w14:paraId="261B4D77" w14:textId="6DEDC134" w:rsidR="00587F78" w:rsidRPr="00AD08F9" w:rsidRDefault="00587F78" w:rsidP="007A1E99">
            <w:pPr>
              <w:jc w:val="both"/>
              <w:rPr>
                <w:rFonts w:ascii="Verdana" w:eastAsia="Calibri" w:hAnsi="Verdana" w:cs="Arial"/>
                <w:b/>
                <w:bCs/>
                <w:color w:val="000000" w:themeColor="text1"/>
                <w:lang w:val="es-ES" w:eastAsia="es-ES"/>
              </w:rPr>
            </w:pPr>
            <w:r w:rsidRPr="00AD08F9">
              <w:rPr>
                <w:rFonts w:ascii="Verdana" w:eastAsia="Calibri" w:hAnsi="Verdana" w:cs="Arial"/>
                <w:b/>
                <w:bCs/>
                <w:color w:val="0D0D0D" w:themeColor="text1" w:themeTint="F2"/>
                <w:lang w:val="es-ES" w:eastAsia="es-ES"/>
              </w:rPr>
              <w:t>Concepto C- 289 de 2024</w:t>
            </w:r>
          </w:p>
        </w:tc>
      </w:tr>
      <w:tr w:rsidR="00587F78" w:rsidRPr="00791D63" w14:paraId="24DFAF6B" w14:textId="77777777" w:rsidTr="007A1E99">
        <w:trPr>
          <w:trHeight w:val="1512"/>
        </w:trPr>
        <w:tc>
          <w:tcPr>
            <w:tcW w:w="2689" w:type="dxa"/>
          </w:tcPr>
          <w:p w14:paraId="04CEA1E3" w14:textId="77777777" w:rsidR="00587F78" w:rsidRPr="00791D63" w:rsidRDefault="00587F78" w:rsidP="007A1E99">
            <w:pPr>
              <w:jc w:val="both"/>
              <w:rPr>
                <w:rFonts w:ascii="Verdana" w:eastAsia="Calibri" w:hAnsi="Verdana" w:cs="Arial"/>
                <w:color w:val="000000" w:themeColor="text1"/>
                <w:lang w:val="es-ES_tradnl" w:eastAsia="es-ES_tradnl"/>
              </w:rPr>
            </w:pPr>
            <w:r w:rsidRPr="00791D63">
              <w:rPr>
                <w:rFonts w:ascii="Verdana" w:eastAsia="Calibri" w:hAnsi="Verdana" w:cs="Arial"/>
                <w:b/>
                <w:color w:val="000000" w:themeColor="text1"/>
                <w:lang w:val="es-ES_tradnl" w:eastAsia="es-ES_tradnl"/>
              </w:rPr>
              <w:t>Temas:</w:t>
            </w:r>
            <w:r w:rsidRPr="00791D63">
              <w:rPr>
                <w:rFonts w:ascii="Verdana" w:eastAsia="Calibri" w:hAnsi="Verdana" w:cs="Arial"/>
                <w:color w:val="000000" w:themeColor="text1"/>
                <w:lang w:val="es-ES_tradnl" w:eastAsia="es-ES_tradnl"/>
              </w:rPr>
              <w:t xml:space="preserve">                   </w:t>
            </w:r>
          </w:p>
        </w:tc>
        <w:tc>
          <w:tcPr>
            <w:tcW w:w="6100" w:type="dxa"/>
          </w:tcPr>
          <w:p w14:paraId="06252463" w14:textId="77777777" w:rsidR="00587F78" w:rsidRPr="00550FC9" w:rsidRDefault="00587F78" w:rsidP="007A1E99">
            <w:pPr>
              <w:contextualSpacing/>
              <w:jc w:val="both"/>
              <w:rPr>
                <w:rFonts w:ascii="Verdana" w:eastAsia="Calibri" w:hAnsi="Verdana"/>
                <w:bCs/>
                <w:lang w:val="es-MX" w:eastAsia="es-ES_tradnl"/>
              </w:rPr>
            </w:pPr>
            <w:r w:rsidRPr="00550FC9">
              <w:rPr>
                <w:rFonts w:ascii="Verdana" w:eastAsia="Calibri" w:hAnsi="Verdana"/>
                <w:bCs/>
                <w:lang w:val="es-ES" w:eastAsia="es-ES_tradnl"/>
              </w:rPr>
              <w:t xml:space="preserve">GARANTÍAS – Contratación estatal – Constitución de garantías – Finalidad – Cumplimiento – Obligaciones contractuales / TIPOS DE GARANTÍAS – Póliza de seguro </w:t>
            </w:r>
            <w:r>
              <w:rPr>
                <w:rFonts w:ascii="Verdana" w:eastAsia="Calibri" w:hAnsi="Verdana"/>
                <w:bCs/>
                <w:lang w:val="es-ES" w:eastAsia="es-ES_tradnl"/>
              </w:rPr>
              <w:t>de responsabilidad civil extracontractual.</w:t>
            </w:r>
          </w:p>
          <w:p w14:paraId="59F19B4D" w14:textId="77777777" w:rsidR="00587F78" w:rsidRPr="00791D63" w:rsidRDefault="00587F78" w:rsidP="007A1E99">
            <w:pPr>
              <w:spacing w:line="276" w:lineRule="auto"/>
              <w:jc w:val="both"/>
              <w:rPr>
                <w:rFonts w:ascii="Verdana" w:eastAsia="Calibri" w:hAnsi="Verdana" w:cs="Arial"/>
                <w:color w:val="000000" w:themeColor="text1"/>
                <w:lang w:val="es-ES" w:eastAsia="es-ES"/>
              </w:rPr>
            </w:pPr>
          </w:p>
        </w:tc>
      </w:tr>
      <w:tr w:rsidR="00587F78" w:rsidRPr="00791D63" w14:paraId="5D20AE17" w14:textId="77777777" w:rsidTr="007A1E99">
        <w:tc>
          <w:tcPr>
            <w:tcW w:w="2689" w:type="dxa"/>
          </w:tcPr>
          <w:p w14:paraId="3459671A" w14:textId="77777777" w:rsidR="00587F78" w:rsidRPr="00791D63" w:rsidRDefault="00587F78" w:rsidP="007A1E99">
            <w:pPr>
              <w:jc w:val="both"/>
              <w:rPr>
                <w:rFonts w:ascii="Verdana" w:eastAsia="Calibri" w:hAnsi="Verdana" w:cs="Arial"/>
                <w:b/>
                <w:color w:val="000000" w:themeColor="text1"/>
                <w:lang w:val="es-ES_tradnl" w:eastAsia="es-ES_tradnl"/>
              </w:rPr>
            </w:pPr>
            <w:r w:rsidRPr="00791D63">
              <w:rPr>
                <w:rFonts w:ascii="Verdana" w:eastAsia="Calibri" w:hAnsi="Verdana" w:cs="Arial"/>
                <w:b/>
                <w:color w:val="000000" w:themeColor="text1"/>
                <w:lang w:val="es-ES_tradnl" w:eastAsia="es-ES_tradnl"/>
              </w:rPr>
              <w:t>Radicación:</w:t>
            </w:r>
            <w:r w:rsidRPr="00791D63">
              <w:rPr>
                <w:rFonts w:ascii="Verdana" w:eastAsia="Calibri" w:hAnsi="Verdana" w:cs="Arial"/>
                <w:color w:val="000000" w:themeColor="text1"/>
                <w:lang w:val="es-ES_tradnl" w:eastAsia="es-ES_tradnl"/>
              </w:rPr>
              <w:t xml:space="preserve">               </w:t>
            </w:r>
          </w:p>
        </w:tc>
        <w:tc>
          <w:tcPr>
            <w:tcW w:w="6100" w:type="dxa"/>
          </w:tcPr>
          <w:p w14:paraId="64D51201" w14:textId="77777777" w:rsidR="00587F78" w:rsidRPr="00791D63" w:rsidRDefault="00587F78" w:rsidP="007A1E99">
            <w:pPr>
              <w:jc w:val="both"/>
              <w:rPr>
                <w:rFonts w:ascii="Verdana" w:eastAsia="Calibri" w:hAnsi="Verdana" w:cs="Arial"/>
                <w:color w:val="000000" w:themeColor="text1"/>
                <w:lang w:val="es-ES_tradnl" w:eastAsia="es-ES_tradnl"/>
              </w:rPr>
            </w:pPr>
            <w:r w:rsidRPr="00791D63">
              <w:rPr>
                <w:rFonts w:ascii="Verdana" w:eastAsia="Calibri" w:hAnsi="Verdana" w:cs="Arial"/>
                <w:color w:val="000000" w:themeColor="text1"/>
                <w:lang w:val="es-ES_tradnl" w:eastAsia="es-ES_tradnl"/>
              </w:rPr>
              <w:t>Respuesta a consulta con radicado No. P20240705006797</w:t>
            </w:r>
          </w:p>
        </w:tc>
      </w:tr>
    </w:tbl>
    <w:p w14:paraId="49C3A09D" w14:textId="77777777" w:rsidR="00587F78" w:rsidRPr="00791D63" w:rsidRDefault="00587F78" w:rsidP="00587F78">
      <w:pPr>
        <w:spacing w:after="0" w:line="240" w:lineRule="auto"/>
        <w:jc w:val="both"/>
        <w:rPr>
          <w:rFonts w:ascii="Verdana" w:eastAsia="Calibri" w:hAnsi="Verdana" w:cs="Arial"/>
          <w:color w:val="000000" w:themeColor="text1"/>
          <w:lang w:val="es-ES_tradnl" w:eastAsia="es-ES_tradnl"/>
        </w:rPr>
      </w:pPr>
    </w:p>
    <w:p w14:paraId="70F59554" w14:textId="77777777" w:rsidR="00587F78" w:rsidRPr="00791D63" w:rsidRDefault="00587F78" w:rsidP="00587F78">
      <w:pPr>
        <w:spacing w:after="0" w:line="240" w:lineRule="auto"/>
        <w:jc w:val="both"/>
        <w:rPr>
          <w:rFonts w:ascii="Verdana" w:eastAsia="Calibri" w:hAnsi="Verdana" w:cs="Arial"/>
          <w:color w:val="000000" w:themeColor="text1"/>
          <w:lang w:val="es-ES_tradnl" w:eastAsia="es-ES_tradnl"/>
        </w:rPr>
      </w:pPr>
    </w:p>
    <w:p w14:paraId="186E9FBE" w14:textId="77777777" w:rsidR="00587F78" w:rsidRPr="00791D63" w:rsidRDefault="00587F78" w:rsidP="00587F78">
      <w:pPr>
        <w:spacing w:after="0" w:line="276" w:lineRule="auto"/>
        <w:jc w:val="both"/>
        <w:rPr>
          <w:rFonts w:ascii="Verdana" w:eastAsia="Calibri" w:hAnsi="Verdana" w:cs="Arial"/>
          <w:color w:val="000000" w:themeColor="text1"/>
          <w:lang w:val="es-ES" w:eastAsia="es-ES"/>
        </w:rPr>
      </w:pPr>
      <w:r w:rsidRPr="00791D63">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791D63">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sidRPr="00791D63">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Guarín</w:t>
      </w:r>
      <w:r w:rsidRPr="00791D63">
        <w:rPr>
          <w:rFonts w:ascii="Verdana" w:eastAsia="Calibri" w:hAnsi="Verdana" w:cs="Arial"/>
          <w:color w:val="000000" w:themeColor="text1"/>
          <w:lang w:val="es-ES" w:eastAsia="es-ES"/>
        </w:rPr>
        <w:t xml:space="preserve">: </w:t>
      </w:r>
    </w:p>
    <w:p w14:paraId="66F308F9" w14:textId="77777777" w:rsidR="00587F78" w:rsidRPr="00791D63" w:rsidRDefault="00587F78" w:rsidP="00587F78">
      <w:pPr>
        <w:tabs>
          <w:tab w:val="left" w:pos="3768"/>
        </w:tabs>
        <w:spacing w:after="0" w:line="276" w:lineRule="auto"/>
        <w:jc w:val="both"/>
        <w:rPr>
          <w:rFonts w:ascii="Verdana" w:eastAsia="Calibri" w:hAnsi="Verdana" w:cs="Arial"/>
          <w:color w:val="000000" w:themeColor="text1"/>
          <w:lang w:val="es-ES" w:eastAsia="es-ES"/>
        </w:rPr>
      </w:pPr>
      <w:r w:rsidRPr="00791D63">
        <w:rPr>
          <w:rFonts w:ascii="Verdana" w:eastAsia="Calibri" w:hAnsi="Verdana" w:cs="Arial"/>
          <w:color w:val="000000" w:themeColor="text1"/>
          <w:lang w:val="es-ES" w:eastAsia="es-ES"/>
        </w:rPr>
        <w:tab/>
      </w:r>
    </w:p>
    <w:p w14:paraId="14AC2734" w14:textId="77777777" w:rsidR="00587F78" w:rsidRPr="00791D63" w:rsidRDefault="00587F78" w:rsidP="00587F78">
      <w:pPr>
        <w:spacing w:after="0" w:line="276" w:lineRule="auto"/>
        <w:jc w:val="both"/>
        <w:rPr>
          <w:rFonts w:ascii="Verdana" w:eastAsia="Calibri" w:hAnsi="Verdana" w:cs="Arial"/>
          <w:color w:val="000000" w:themeColor="text1"/>
          <w:lang w:val="es-ES" w:eastAsia="es-ES"/>
        </w:rPr>
      </w:pPr>
      <w:r w:rsidRPr="00791D63">
        <w:rPr>
          <w:rFonts w:ascii="Verdana" w:eastAsia="Calibri" w:hAnsi="Verdana" w:cs="Arial"/>
          <w:color w:val="000000" w:themeColor="text1"/>
          <w:lang w:val="es-ES" w:eastAsia="es-ES"/>
        </w:rPr>
        <w:t>En ejercicio de la competencia otorgada por los artículos 3, numeral 5º, y 11, numeral 8º, del Decreto Ley 4170 de 2011,</w:t>
      </w:r>
      <w:r w:rsidRPr="00791D63">
        <w:rPr>
          <w:rFonts w:ascii="Verdana" w:eastAsia="Arial MT" w:hAnsi="Verdana" w:cs="Arial MT"/>
          <w:color w:val="000000" w:themeColor="text1"/>
          <w:lang w:val="es-ES" w:eastAsia="es-ES"/>
        </w:rPr>
        <w:t xml:space="preserve"> </w:t>
      </w:r>
      <w:r w:rsidRPr="00791D63">
        <w:rPr>
          <w:rFonts w:ascii="Verdana" w:hAnsi="Verdana" w:cs="Arial"/>
          <w:color w:val="000000" w:themeColor="text1"/>
        </w:rPr>
        <w:t xml:space="preserve">así como lo establecido en el artículo 4 de la Resolución 1707 de 2018 expedida por esta Entidad, </w:t>
      </w:r>
      <w:r w:rsidRPr="00791D63">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05</w:t>
      </w:r>
      <w:r w:rsidRPr="00791D63">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Julio</w:t>
      </w:r>
      <w:r w:rsidRPr="00791D63">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791D63">
        <w:rPr>
          <w:rFonts w:ascii="Verdana" w:eastAsia="Calibri" w:hAnsi="Verdana" w:cs="Arial"/>
          <w:color w:val="000000" w:themeColor="text1"/>
          <w:lang w:val="es-ES" w:eastAsia="es-ES"/>
        </w:rPr>
        <w:t xml:space="preserve"> en la cual manifiesta lo siguiente: </w:t>
      </w:r>
    </w:p>
    <w:p w14:paraId="2B68BB33" w14:textId="77777777" w:rsidR="00587F78" w:rsidRPr="00791D63" w:rsidRDefault="00587F78" w:rsidP="00587F78">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6BE26E0A" w14:textId="77777777" w:rsidR="00587F78" w:rsidRPr="00791D63" w:rsidRDefault="00587F78" w:rsidP="00587F78">
      <w:pPr>
        <w:spacing w:after="0" w:line="240" w:lineRule="auto"/>
        <w:ind w:left="709" w:right="709"/>
        <w:jc w:val="both"/>
        <w:rPr>
          <w:rFonts w:ascii="Verdana" w:hAnsi="Verdana" w:cs="Arial"/>
          <w:color w:val="000000" w:themeColor="text1"/>
          <w:sz w:val="20"/>
          <w:szCs w:val="20"/>
          <w:shd w:val="clear" w:color="auto" w:fill="FFFFFF"/>
          <w:lang w:val="es-ES"/>
        </w:rPr>
      </w:pPr>
      <w:bookmarkStart w:id="1" w:name="_Hlk95313578"/>
      <w:r w:rsidRPr="00791D63">
        <w:rPr>
          <w:rFonts w:ascii="Verdana" w:eastAsia="Century Gothic" w:hAnsi="Verdana" w:cs="Century Gothic"/>
          <w:color w:val="000000" w:themeColor="text1"/>
          <w:sz w:val="20"/>
          <w:szCs w:val="20"/>
          <w:lang w:val="es-ES"/>
        </w:rPr>
        <w:t>“</w:t>
      </w:r>
      <w:r w:rsidRPr="00791D63">
        <w:rPr>
          <w:rStyle w:val="normaltextrun"/>
          <w:rFonts w:ascii="Verdana" w:hAnsi="Verdana" w:cs="Arial"/>
          <w:color w:val="000000" w:themeColor="text1"/>
          <w:sz w:val="20"/>
          <w:szCs w:val="20"/>
          <w:shd w:val="clear" w:color="auto" w:fill="FFFFFF"/>
          <w:lang w:val="es-ES"/>
        </w:rPr>
        <w:t>Por medio del presente requiero información sobre cuántos salarios se debe constituir una póliza, para el amparo en responsabilidad civil extracontractual en diferentes de un espectáculo público. Presentación de cantantes Realización de un evento de folclor</w:t>
      </w:r>
      <w:r>
        <w:rPr>
          <w:rStyle w:val="normaltextrun"/>
          <w:rFonts w:ascii="Verdana" w:hAnsi="Verdana" w:cs="Arial"/>
          <w:color w:val="000000" w:themeColor="text1"/>
          <w:sz w:val="20"/>
          <w:szCs w:val="20"/>
          <w:shd w:val="clear" w:color="auto" w:fill="FFFFFF"/>
          <w:lang w:val="es-ES"/>
        </w:rPr>
        <w:t xml:space="preserve">, </w:t>
      </w:r>
      <w:r w:rsidRPr="00791D63">
        <w:rPr>
          <w:rStyle w:val="normaltextrun"/>
          <w:rFonts w:ascii="Verdana" w:hAnsi="Verdana" w:cs="Arial"/>
          <w:color w:val="000000" w:themeColor="text1"/>
          <w:sz w:val="20"/>
          <w:szCs w:val="20"/>
          <w:shd w:val="clear" w:color="auto" w:fill="FFFFFF"/>
          <w:lang w:val="es-ES"/>
        </w:rPr>
        <w:t>un culto en espacio público</w:t>
      </w:r>
      <w:r w:rsidRPr="00791D63">
        <w:rPr>
          <w:rFonts w:ascii="Verdana" w:eastAsia="Century Gothic" w:hAnsi="Verdana" w:cs="Century Gothic"/>
          <w:color w:val="000000" w:themeColor="text1"/>
          <w:sz w:val="20"/>
          <w:szCs w:val="20"/>
          <w:lang w:val="es-ES"/>
        </w:rPr>
        <w:t>”</w:t>
      </w:r>
      <w:bookmarkEnd w:id="1"/>
      <w:r w:rsidRPr="00791D63">
        <w:rPr>
          <w:rFonts w:ascii="Verdana" w:eastAsia="Century Gothic" w:hAnsi="Verdana" w:cs="Century Gothic"/>
          <w:color w:val="000000" w:themeColor="text1"/>
          <w:sz w:val="20"/>
          <w:szCs w:val="20"/>
          <w:lang w:val="es-ES"/>
        </w:rPr>
        <w:t>.</w:t>
      </w:r>
    </w:p>
    <w:p w14:paraId="68A45FA7" w14:textId="77777777" w:rsidR="00587F78" w:rsidRPr="00791D63" w:rsidRDefault="00587F78" w:rsidP="00587F78">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04F68AC6" w14:textId="77777777" w:rsidR="00587F78" w:rsidRDefault="00587F78" w:rsidP="00587F78">
      <w:pPr>
        <w:spacing w:after="120" w:line="276" w:lineRule="auto"/>
        <w:jc w:val="both"/>
        <w:rPr>
          <w:rFonts w:ascii="Verdana" w:eastAsia="Calibri" w:hAnsi="Verdana" w:cs="Arial"/>
          <w:color w:val="000000"/>
          <w:szCs w:val="24"/>
          <w:lang w:val="es-ES_tradnl" w:eastAsia="es-ES_tradnl"/>
        </w:rPr>
      </w:pPr>
      <w:r w:rsidRPr="00791D63">
        <w:rPr>
          <w:rFonts w:ascii="Verdana" w:eastAsia="Calibri" w:hAnsi="Verdana" w:cs="Arial"/>
          <w:color w:val="000000" w:themeColor="text1"/>
          <w:lang w:val="es-ES" w:eastAsia="es-ES"/>
        </w:rPr>
        <w:t>De manera preliminar, resulta necesario acotar que esta entidad solo tiene competencia para responder consultas sobre la aplicación de normas de carácter general en materia de compras y contratación pública. En ese sentido</w:t>
      </w:r>
      <w:r w:rsidRPr="00593A5F">
        <w:rPr>
          <w:rFonts w:ascii="Verdana" w:eastAsia="Calibri" w:hAnsi="Verdana" w:cs="Arial"/>
          <w:color w:val="000000"/>
          <w:lang w:val="es-ES" w:eastAsia="es-ES"/>
        </w:rPr>
        <w:t xml:space="preserve">, resolver casos particulares desborda las atribuciones asignadas por el legislador extraordinario, que no concibió a Colombia Compra Eficiente como una autoridad para solucionar problemas jurídicos particulares de todos los partícipes del </w:t>
      </w:r>
      <w:r w:rsidRPr="00593A5F">
        <w:rPr>
          <w:rFonts w:ascii="Verdana" w:eastAsia="Calibri" w:hAnsi="Verdana" w:cs="Arial"/>
          <w:color w:val="000000"/>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1368023" w14:textId="77777777" w:rsidR="00587F78" w:rsidRDefault="00587F78" w:rsidP="00587F78">
      <w:pPr>
        <w:spacing w:after="0" w:line="276" w:lineRule="auto"/>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2DE66A7" w14:textId="77777777" w:rsidR="00587F78" w:rsidRPr="00593A5F" w:rsidRDefault="00587F78" w:rsidP="00587F78">
      <w:pPr>
        <w:spacing w:after="0" w:line="276" w:lineRule="auto"/>
        <w:ind w:firstLine="709"/>
        <w:jc w:val="both"/>
        <w:rPr>
          <w:rFonts w:ascii="Verdana" w:eastAsia="Calibri" w:hAnsi="Verdana" w:cs="Arial"/>
          <w:color w:val="000000"/>
          <w:lang w:val="es-ES" w:eastAsia="es-ES"/>
        </w:rPr>
      </w:pPr>
    </w:p>
    <w:p w14:paraId="4914E764" w14:textId="77777777" w:rsidR="00587F78" w:rsidRPr="00593A5F" w:rsidRDefault="00587F78" w:rsidP="00587F7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1FDBAB0" w14:textId="77777777" w:rsidR="00587F78" w:rsidRPr="00593A5F" w:rsidRDefault="00587F78" w:rsidP="00587F78">
      <w:pPr>
        <w:tabs>
          <w:tab w:val="left" w:pos="426"/>
        </w:tabs>
        <w:spacing w:after="0" w:line="276" w:lineRule="auto"/>
        <w:jc w:val="both"/>
        <w:rPr>
          <w:rFonts w:ascii="Verdana" w:eastAsia="Century Gothic" w:hAnsi="Verdana" w:cs="Century Gothic"/>
          <w:lang w:val="es-ES"/>
        </w:rPr>
      </w:pPr>
    </w:p>
    <w:p w14:paraId="3DEFBB84" w14:textId="5DAC768E" w:rsidR="00587F78" w:rsidRPr="00593A5F" w:rsidRDefault="00587F78" w:rsidP="00587F7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w:t>
      </w:r>
      <w:r>
        <w:rPr>
          <w:rFonts w:ascii="Verdana" w:eastAsia="Century Gothic" w:hAnsi="Verdana" w:cs="Century Gothic"/>
        </w:rPr>
        <w:t xml:space="preserve"> </w:t>
      </w:r>
      <w:r w:rsidRPr="00593A5F">
        <w:rPr>
          <w:rFonts w:ascii="Verdana" w:eastAsia="Century Gothic" w:hAnsi="Verdana" w:cs="Century Gothic"/>
        </w:rPr>
        <w:t>problema</w:t>
      </w:r>
      <w:r>
        <w:rPr>
          <w:rFonts w:ascii="Verdana" w:eastAsia="Century Gothic" w:hAnsi="Verdana" w:cs="Century Gothic"/>
        </w:rPr>
        <w:t xml:space="preserve"> </w:t>
      </w:r>
      <w:r w:rsidRPr="00593A5F">
        <w:rPr>
          <w:rFonts w:ascii="Verdana" w:eastAsia="Century Gothic" w:hAnsi="Verdana" w:cs="Century Gothic"/>
        </w:rPr>
        <w:t>jurídico</w:t>
      </w:r>
      <w:r w:rsidRPr="00712603">
        <w:rPr>
          <w:rFonts w:ascii="Verdana" w:eastAsia="Century Gothic" w:hAnsi="Verdana" w:cs="Century Gothic"/>
          <w:color w:val="000000" w:themeColor="text1"/>
        </w:rPr>
        <w:t xml:space="preserve">: ¿Cuál debe ser </w:t>
      </w:r>
      <w:r w:rsidR="00161361" w:rsidRPr="00712603">
        <w:rPr>
          <w:rFonts w:ascii="Verdana" w:eastAsia="Century Gothic" w:hAnsi="Verdana" w:cs="Century Gothic"/>
          <w:color w:val="000000" w:themeColor="text1"/>
        </w:rPr>
        <w:t>el valor</w:t>
      </w:r>
      <w:r w:rsidRPr="00712603">
        <w:rPr>
          <w:rFonts w:ascii="Verdana" w:eastAsia="Century Gothic" w:hAnsi="Verdana" w:cs="Century Gothic"/>
          <w:color w:val="000000" w:themeColor="text1"/>
        </w:rPr>
        <w:t xml:space="preserve"> asegurado por los contratos de seguro que amparan la responsabilidad civil extracontractual? </w:t>
      </w:r>
    </w:p>
    <w:p w14:paraId="30F99F08" w14:textId="77777777" w:rsidR="00587F78" w:rsidRPr="00593A5F" w:rsidRDefault="00587F78" w:rsidP="00587F78">
      <w:pPr>
        <w:spacing w:after="0" w:line="276" w:lineRule="auto"/>
        <w:jc w:val="both"/>
        <w:rPr>
          <w:rFonts w:ascii="Verdana" w:eastAsia="Calibri" w:hAnsi="Verdana" w:cs="Arial"/>
          <w:color w:val="7030A0"/>
          <w:lang w:val="es-ES"/>
        </w:rPr>
      </w:pPr>
    </w:p>
    <w:p w14:paraId="7356B4D8" w14:textId="77777777" w:rsidR="00587F78" w:rsidRDefault="00587F78" w:rsidP="00587F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064B27C" w14:textId="77777777" w:rsidR="00587F78" w:rsidRDefault="00587F78" w:rsidP="00587F7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ABA7296" w14:textId="710BCBA7" w:rsidR="008F6865" w:rsidRDefault="00973FD5" w:rsidP="00EC4C8D">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En materia de contratación estatal,</w:t>
      </w:r>
      <w:r w:rsidR="00587F78" w:rsidRPr="002B4DB2">
        <w:rPr>
          <w:rFonts w:ascii="Verdana" w:eastAsia="Century Gothic" w:hAnsi="Verdana" w:cs="Century Gothic"/>
        </w:rPr>
        <w:t xml:space="preserve"> la responsabilidad extracontractual </w:t>
      </w:r>
      <w:r w:rsidR="008F6865" w:rsidRPr="008F6865">
        <w:rPr>
          <w:rFonts w:ascii="Verdana" w:eastAsia="Century Gothic" w:hAnsi="Verdana" w:cs="Century Gothic"/>
        </w:rPr>
        <w:t>de la administración derivada</w:t>
      </w:r>
      <w:r w:rsidR="00587F78" w:rsidRPr="002B4DB2">
        <w:rPr>
          <w:rFonts w:ascii="Verdana" w:eastAsia="Century Gothic" w:hAnsi="Verdana" w:cs="Century Gothic"/>
        </w:rPr>
        <w:t xml:space="preserve"> de </w:t>
      </w:r>
      <w:r w:rsidR="008F6865" w:rsidRPr="008F6865">
        <w:rPr>
          <w:rFonts w:ascii="Verdana" w:eastAsia="Century Gothic" w:hAnsi="Verdana" w:cs="Century Gothic"/>
        </w:rPr>
        <w:t xml:space="preserve">las actuaciones, </w:t>
      </w:r>
      <w:r w:rsidR="00587F78" w:rsidRPr="002B4DB2">
        <w:rPr>
          <w:rFonts w:ascii="Verdana" w:eastAsia="Century Gothic" w:hAnsi="Verdana" w:cs="Century Gothic"/>
        </w:rPr>
        <w:t xml:space="preserve">hechos u omisiones </w:t>
      </w:r>
      <w:r w:rsidR="008F6865" w:rsidRPr="008F6865">
        <w:rPr>
          <w:rFonts w:ascii="Verdana" w:eastAsia="Century Gothic" w:hAnsi="Verdana" w:cs="Century Gothic"/>
        </w:rPr>
        <w:t>de sus contratistas</w:t>
      </w:r>
      <w:r w:rsidR="00587F78" w:rsidRPr="002B4DB2">
        <w:rPr>
          <w:rFonts w:ascii="Verdana" w:eastAsia="Century Gothic" w:hAnsi="Verdana" w:cs="Century Gothic"/>
        </w:rPr>
        <w:t xml:space="preserve"> o </w:t>
      </w:r>
      <w:r w:rsidR="008F6865" w:rsidRPr="008F6865">
        <w:rPr>
          <w:rFonts w:ascii="Verdana" w:eastAsia="Century Gothic" w:hAnsi="Verdana" w:cs="Century Gothic"/>
        </w:rPr>
        <w:t>subcontratistas solamente</w:t>
      </w:r>
      <w:r w:rsidR="00587F78" w:rsidRPr="002B4DB2">
        <w:rPr>
          <w:rFonts w:ascii="Verdana" w:eastAsia="Century Gothic" w:hAnsi="Verdana" w:cs="Century Gothic"/>
        </w:rPr>
        <w:t xml:space="preserve"> puede ser amparada con un contrato de seguro</w:t>
      </w:r>
      <w:r w:rsidR="008F6865">
        <w:rPr>
          <w:rFonts w:ascii="Verdana" w:eastAsia="Century Gothic" w:hAnsi="Verdana" w:cs="Century Gothic"/>
        </w:rPr>
        <w:t>, así lo dispone</w:t>
      </w:r>
      <w:r w:rsidR="00587F78" w:rsidRPr="002B4DB2">
        <w:rPr>
          <w:rFonts w:ascii="Verdana" w:eastAsia="Century Gothic" w:hAnsi="Verdana" w:cs="Century Gothic"/>
        </w:rPr>
        <w:t xml:space="preserve"> el artículo 2.2.1.2.3.1.</w:t>
      </w:r>
      <w:r w:rsidR="007423FE" w:rsidRPr="00973FD5">
        <w:rPr>
          <w:rFonts w:ascii="Verdana" w:eastAsia="Century Gothic" w:hAnsi="Verdana" w:cs="Century Gothic"/>
        </w:rPr>
        <w:t xml:space="preserve">5 </w:t>
      </w:r>
      <w:r w:rsidR="007423FE">
        <w:rPr>
          <w:rFonts w:ascii="Verdana" w:eastAsia="Century Gothic" w:hAnsi="Verdana" w:cs="Century Gothic"/>
        </w:rPr>
        <w:t xml:space="preserve">del </w:t>
      </w:r>
      <w:r w:rsidR="008F6865">
        <w:rPr>
          <w:rFonts w:ascii="Verdana" w:eastAsia="Century Gothic" w:hAnsi="Verdana" w:cs="Century Gothic"/>
        </w:rPr>
        <w:t>Decreto 1082 de 2015</w:t>
      </w:r>
      <w:r w:rsidR="008F6865" w:rsidRPr="008F6865">
        <w:rPr>
          <w:rFonts w:ascii="Verdana" w:eastAsia="Century Gothic" w:hAnsi="Verdana" w:cs="Century Gothic"/>
        </w:rPr>
        <w:t>.</w:t>
      </w:r>
    </w:p>
    <w:p w14:paraId="4BEB5EFC" w14:textId="501C5A21" w:rsidR="008F6865" w:rsidRDefault="008F6865" w:rsidP="00EC4C8D">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 xml:space="preserve"> </w:t>
      </w:r>
    </w:p>
    <w:p w14:paraId="12202E2B" w14:textId="190507E0" w:rsidR="00587F78" w:rsidRPr="00103231" w:rsidRDefault="007423FE" w:rsidP="00EC4C8D">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 xml:space="preserve">El mencionado decreto en su </w:t>
      </w:r>
      <w:r w:rsidR="00587F78" w:rsidRPr="00973FD5">
        <w:rPr>
          <w:rFonts w:ascii="Verdana" w:eastAsia="Century Gothic" w:hAnsi="Verdana" w:cs="Century Gothic"/>
        </w:rPr>
        <w:t>artículo 2.2.1.2.3.1.</w:t>
      </w:r>
      <w:r w:rsidR="00587F78" w:rsidRPr="002B4DB2">
        <w:rPr>
          <w:rFonts w:ascii="Verdana" w:eastAsia="Century Gothic" w:hAnsi="Verdana" w:cs="Century Gothic"/>
        </w:rPr>
        <w:t>17, determina el valor que debe ser asegurado con el contrato de seguro teniendo en cuenta el valor en salarios mínimos mensuales legales vigentes del contrato no debe ser inferior a:</w:t>
      </w:r>
    </w:p>
    <w:p w14:paraId="7797E968" w14:textId="77777777" w:rsidR="00587F78" w:rsidRPr="00550FC9" w:rsidRDefault="00587F78" w:rsidP="00587F78">
      <w:pPr>
        <w:spacing w:after="0" w:line="276" w:lineRule="auto"/>
        <w:ind w:right="709"/>
        <w:jc w:val="both"/>
        <w:rPr>
          <w:rFonts w:ascii="Verdana" w:eastAsia="Calibri" w:hAnsi="Verdana" w:cs="Arial"/>
          <w:color w:val="000000"/>
          <w:lang w:val="es-ES"/>
        </w:rPr>
      </w:pPr>
    </w:p>
    <w:p w14:paraId="19E2270E"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bookmarkStart w:id="2" w:name="2.2.1.2.3.1.17.1"/>
      <w:bookmarkEnd w:id="2"/>
      <w:r w:rsidRPr="00550FC9">
        <w:rPr>
          <w:rFonts w:ascii="Verdana" w:eastAsia="Calibri" w:hAnsi="Verdana" w:cs="Arial"/>
          <w:color w:val="000000"/>
          <w:lang w:val="es-ES"/>
        </w:rPr>
        <w:t>1. Doscientos (200) SMMLV para contratos cuyo valor sea inferior o igual a mil quinientos (1.500) SMMLV.</w:t>
      </w:r>
    </w:p>
    <w:p w14:paraId="140109B3"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p>
    <w:p w14:paraId="06DDC1B1"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bookmarkStart w:id="3" w:name="2.2.1.2.3.1.17.2"/>
      <w:bookmarkEnd w:id="3"/>
      <w:r w:rsidRPr="00550FC9">
        <w:rPr>
          <w:rFonts w:ascii="Verdana" w:eastAsia="Calibri" w:hAnsi="Verdana" w:cs="Arial"/>
          <w:color w:val="000000"/>
          <w:lang w:val="es-ES"/>
        </w:rPr>
        <w:t>2. Trescientos (300) SMMLV para contratos cuyo valor sea superior a mil quinientos (1.500) SMMLV e inferior o igual a dos mil quinientos (2.500) SMMLV.</w:t>
      </w:r>
    </w:p>
    <w:p w14:paraId="045C567B"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p>
    <w:p w14:paraId="656E627B"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bookmarkStart w:id="4" w:name="2.2.1.2.3.1.17.3"/>
      <w:bookmarkEnd w:id="4"/>
      <w:r w:rsidRPr="00550FC9">
        <w:rPr>
          <w:rFonts w:ascii="Verdana" w:eastAsia="Calibri" w:hAnsi="Verdana" w:cs="Arial"/>
          <w:color w:val="000000"/>
          <w:lang w:val="es-ES"/>
        </w:rPr>
        <w:t>3. Cuatrocientos (400) SMMLV para contratos cuyo valor sea superior a dos mil quinientos (2.500) SMMLV e inferior o igual a cinco mil (5.000) SMMLV.</w:t>
      </w:r>
    </w:p>
    <w:p w14:paraId="56C4F28E"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p>
    <w:p w14:paraId="5C9A24AD"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bookmarkStart w:id="5" w:name="2.2.1.2.3.1.17.4"/>
      <w:bookmarkEnd w:id="5"/>
      <w:r w:rsidRPr="00550FC9">
        <w:rPr>
          <w:rFonts w:ascii="Verdana" w:eastAsia="Calibri" w:hAnsi="Verdana" w:cs="Arial"/>
          <w:color w:val="000000"/>
          <w:lang w:val="es-ES"/>
        </w:rPr>
        <w:t>4. Quinientos (500) SMMLV para contratos cuyo valor sea superior a cinco mil (5.000) SMMLV e inferior o igual a diez mil (10.000) SMMLV.</w:t>
      </w:r>
      <w:bookmarkStart w:id="6" w:name="2.2.1.2.3.1.17.5"/>
      <w:bookmarkEnd w:id="6"/>
    </w:p>
    <w:p w14:paraId="207DDAB0" w14:textId="77777777" w:rsidR="00587F78" w:rsidRPr="00550FC9" w:rsidRDefault="00587F78" w:rsidP="00587F78">
      <w:pPr>
        <w:shd w:val="clear" w:color="auto" w:fill="FFFFFF"/>
        <w:spacing w:after="0" w:line="240" w:lineRule="auto"/>
        <w:ind w:left="709" w:right="709"/>
        <w:jc w:val="both"/>
        <w:rPr>
          <w:rFonts w:ascii="Verdana" w:eastAsia="Calibri" w:hAnsi="Verdana" w:cs="Arial"/>
          <w:color w:val="000000"/>
          <w:lang w:val="es-ES"/>
        </w:rPr>
      </w:pPr>
    </w:p>
    <w:p w14:paraId="173B639D" w14:textId="77777777" w:rsidR="00587F78" w:rsidRPr="00550FC9" w:rsidRDefault="00587F78" w:rsidP="00587F78">
      <w:pPr>
        <w:shd w:val="clear" w:color="auto" w:fill="FFFFFF"/>
        <w:spacing w:after="0" w:line="240" w:lineRule="auto"/>
        <w:ind w:left="709" w:right="709"/>
        <w:jc w:val="both"/>
        <w:rPr>
          <w:rFonts w:ascii="Verdana" w:eastAsia="Century Gothic" w:hAnsi="Verdana" w:cs="Century Gothic"/>
          <w:b/>
          <w:bCs/>
          <w:lang w:val="es-ES"/>
        </w:rPr>
      </w:pPr>
      <w:r w:rsidRPr="00550FC9">
        <w:rPr>
          <w:rFonts w:ascii="Verdana" w:eastAsia="Calibri" w:hAnsi="Verdana" w:cs="Arial"/>
          <w:color w:val="000000"/>
          <w:lang w:val="es-ES"/>
        </w:rPr>
        <w:t>5. El cinco por ciento (5%) del valor del contrato cuando este sea superior a diez mil (10.000) SMMLV, caso en el cual el valor asegurado debe ser máximo setenta y cinco mil (75.000) SMMLV</w:t>
      </w:r>
      <w:r>
        <w:rPr>
          <w:rFonts w:ascii="Verdana" w:eastAsia="Calibri" w:hAnsi="Verdana" w:cs="Arial"/>
          <w:color w:val="000000"/>
          <w:lang w:val="es-ES"/>
        </w:rPr>
        <w:t>.</w:t>
      </w:r>
    </w:p>
    <w:p w14:paraId="5C69310F" w14:textId="77777777" w:rsidR="00587F78" w:rsidRPr="00593A5F" w:rsidRDefault="00587F78" w:rsidP="00587F78">
      <w:pPr>
        <w:tabs>
          <w:tab w:val="left" w:pos="142"/>
          <w:tab w:val="left" w:pos="284"/>
        </w:tabs>
        <w:spacing w:after="0" w:line="276" w:lineRule="auto"/>
        <w:jc w:val="both"/>
        <w:rPr>
          <w:rFonts w:ascii="Verdana" w:eastAsia="Century Gothic" w:hAnsi="Verdana" w:cs="Century Gothic"/>
          <w:b/>
          <w:bCs/>
          <w:lang w:val="es-ES"/>
        </w:rPr>
      </w:pPr>
    </w:p>
    <w:p w14:paraId="566477D3" w14:textId="351C3289" w:rsidR="00DE0967" w:rsidRDefault="00DE0967" w:rsidP="00587F78">
      <w:pPr>
        <w:tabs>
          <w:tab w:val="left" w:pos="142"/>
          <w:tab w:val="left" w:pos="284"/>
        </w:tabs>
        <w:spacing w:after="0" w:line="276" w:lineRule="auto"/>
        <w:jc w:val="both"/>
        <w:rPr>
          <w:rFonts w:ascii="Verdana" w:eastAsia="Century Gothic" w:hAnsi="Verdana" w:cs="Century Gothic"/>
          <w:lang w:val="es-ES"/>
        </w:rPr>
      </w:pPr>
      <w:r>
        <w:rPr>
          <w:rFonts w:ascii="Verdana" w:eastAsia="Century Gothic" w:hAnsi="Verdana" w:cs="Century Gothic"/>
          <w:lang w:val="es-ES"/>
        </w:rPr>
        <w:t xml:space="preserve">Dicho lo anterior, es preciso indicar que la norma citada establece unos valores mínimos del amparo, sin embargo, dentro de la autonomía de la entidad existe la posibilidad de solicitar </w:t>
      </w:r>
      <w:r w:rsidR="00EB5CD3">
        <w:rPr>
          <w:rFonts w:ascii="Verdana" w:eastAsia="Century Gothic" w:hAnsi="Verdana" w:cs="Century Gothic"/>
          <w:lang w:val="es-ES"/>
        </w:rPr>
        <w:t xml:space="preserve">un valor amparado mayor, esto dependiendo del riesgo que consideren puede presentarse y el posible costo o tasación </w:t>
      </w:r>
      <w:proofErr w:type="gramStart"/>
      <w:r w:rsidR="00EB5CD3">
        <w:rPr>
          <w:rFonts w:ascii="Verdana" w:eastAsia="Century Gothic" w:hAnsi="Verdana" w:cs="Century Gothic"/>
          <w:lang w:val="es-ES"/>
        </w:rPr>
        <w:t>del mismo</w:t>
      </w:r>
      <w:proofErr w:type="gramEnd"/>
      <w:r w:rsidR="00EB5CD3">
        <w:rPr>
          <w:rFonts w:ascii="Verdana" w:eastAsia="Century Gothic" w:hAnsi="Verdana" w:cs="Century Gothic"/>
          <w:lang w:val="es-ES"/>
        </w:rPr>
        <w:t xml:space="preserve"> si se da su ocurrencia.</w:t>
      </w:r>
    </w:p>
    <w:p w14:paraId="3E0AE215" w14:textId="77777777" w:rsidR="00EB5CD3" w:rsidRPr="00DE0967" w:rsidRDefault="00EB5CD3" w:rsidP="00587F78">
      <w:pPr>
        <w:tabs>
          <w:tab w:val="left" w:pos="142"/>
          <w:tab w:val="left" w:pos="284"/>
        </w:tabs>
        <w:spacing w:after="0" w:line="276" w:lineRule="auto"/>
        <w:jc w:val="both"/>
        <w:rPr>
          <w:rFonts w:ascii="Verdana" w:eastAsia="Century Gothic" w:hAnsi="Verdana" w:cs="Century Gothic"/>
          <w:lang w:val="es-ES"/>
        </w:rPr>
      </w:pPr>
    </w:p>
    <w:p w14:paraId="4A8C010A" w14:textId="77777777" w:rsidR="00587F78" w:rsidRPr="00593A5F" w:rsidRDefault="00587F78" w:rsidP="00587F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810A862" w14:textId="77777777" w:rsidR="00587F78" w:rsidRPr="00593A5F" w:rsidRDefault="00587F78" w:rsidP="00587F78">
      <w:pPr>
        <w:spacing w:after="0" w:line="276" w:lineRule="auto"/>
        <w:jc w:val="both"/>
        <w:rPr>
          <w:rFonts w:ascii="Verdana" w:eastAsia="Calibri" w:hAnsi="Verdana" w:cs="Arial"/>
          <w:color w:val="7030A0"/>
          <w:lang w:val="es-ES"/>
        </w:rPr>
      </w:pPr>
    </w:p>
    <w:p w14:paraId="3218A9F1" w14:textId="097496BB" w:rsidR="00587F78" w:rsidRPr="00CF7347" w:rsidRDefault="00587F78" w:rsidP="00587F78">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r w:rsidR="00312F26">
        <w:rPr>
          <w:rFonts w:ascii="Verdana" w:eastAsia="Calibri" w:hAnsi="Verdana" w:cs="Arial"/>
          <w:lang w:val="es-ES"/>
        </w:rPr>
        <w:t>:</w:t>
      </w:r>
    </w:p>
    <w:p w14:paraId="773C6394" w14:textId="77777777" w:rsidR="00587F78" w:rsidRPr="00593A5F" w:rsidRDefault="00587F78" w:rsidP="00587F78">
      <w:pPr>
        <w:pStyle w:val="Prrafodelista"/>
        <w:spacing w:line="276" w:lineRule="auto"/>
        <w:rPr>
          <w:rFonts w:ascii="Verdana" w:eastAsia="Calibri" w:hAnsi="Verdana"/>
          <w:color w:val="7030A0"/>
        </w:rPr>
      </w:pPr>
    </w:p>
    <w:p w14:paraId="62C52D95" w14:textId="77777777" w:rsidR="00587F78" w:rsidRPr="00550FC9" w:rsidRDefault="00587F78" w:rsidP="00587F78">
      <w:pPr>
        <w:pStyle w:val="Prrafodelista"/>
        <w:numPr>
          <w:ilvl w:val="0"/>
          <w:numId w:val="17"/>
        </w:numPr>
        <w:spacing w:after="0" w:line="276" w:lineRule="auto"/>
        <w:jc w:val="both"/>
        <w:rPr>
          <w:rFonts w:ascii="Verdana" w:eastAsia="Calibri" w:hAnsi="Verdana" w:cs="Arial"/>
          <w:color w:val="000000" w:themeColor="text1"/>
        </w:rPr>
      </w:pPr>
      <w:r w:rsidRPr="00550FC9">
        <w:rPr>
          <w:rFonts w:ascii="Verdana" w:eastAsia="Calibri" w:hAnsi="Verdana" w:cs="Arial"/>
          <w:color w:val="000000" w:themeColor="text1"/>
          <w:lang w:val="es-ES_tradnl" w:eastAsia="es-ES_tradnl"/>
        </w:rPr>
        <w:t>El Estatuto General de Contratación de la Administración Pública exige</w:t>
      </w:r>
      <w:r>
        <w:rPr>
          <w:rFonts w:ascii="Verdana" w:eastAsia="Calibri" w:hAnsi="Verdana" w:cs="Arial"/>
          <w:color w:val="000000" w:themeColor="text1"/>
          <w:lang w:val="es-ES_tradnl" w:eastAsia="es-ES_tradnl"/>
        </w:rPr>
        <w:t xml:space="preserve"> </w:t>
      </w:r>
      <w:r w:rsidRPr="00550FC9">
        <w:rPr>
          <w:rFonts w:ascii="Verdana" w:eastAsia="Calibri" w:hAnsi="Verdana" w:cs="Arial"/>
          <w:color w:val="000000" w:themeColor="text1"/>
          <w:lang w:val="es-ES_tradnl" w:eastAsia="es-ES_tradnl"/>
        </w:rPr>
        <w:t xml:space="preserve">por regla general, en los Procesos de Contratación pública </w:t>
      </w:r>
      <w:r w:rsidRPr="00550FC9">
        <w:rPr>
          <w:rFonts w:ascii="Verdana" w:eastAsia="Calibri" w:hAnsi="Verdana" w:cs="Arial"/>
          <w:color w:val="000000" w:themeColor="text1"/>
          <w:lang w:eastAsia="es-ES_tradnl"/>
        </w:rPr>
        <w:t xml:space="preserve">la constitución de garantías ya sea en la etapa precontractual, contractual o </w:t>
      </w:r>
      <w:proofErr w:type="spellStart"/>
      <w:r w:rsidRPr="00550FC9">
        <w:rPr>
          <w:rFonts w:ascii="Verdana" w:eastAsia="Calibri" w:hAnsi="Verdana" w:cs="Arial"/>
          <w:color w:val="000000" w:themeColor="text1"/>
          <w:lang w:eastAsia="es-ES_tradnl"/>
        </w:rPr>
        <w:t>postcontractual</w:t>
      </w:r>
      <w:proofErr w:type="spellEnd"/>
      <w:r w:rsidRPr="00550FC9">
        <w:rPr>
          <w:rFonts w:ascii="Verdana" w:eastAsia="Calibri" w:hAnsi="Verdana" w:cs="Arial"/>
          <w:color w:val="000000" w:themeColor="text1"/>
          <w:lang w:eastAsia="es-ES_tradnl"/>
        </w:rPr>
        <w:t>, con el fin de evitar o mitigar posibles riesgos</w:t>
      </w:r>
      <w:r w:rsidRPr="00550FC9">
        <w:rPr>
          <w:rFonts w:ascii="Verdana" w:eastAsia="Calibri" w:hAnsi="Verdana" w:cs="Arial"/>
          <w:color w:val="000000" w:themeColor="text1"/>
          <w:lang w:val="es-ES_tradnl" w:eastAsia="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4172A10B" w14:textId="77777777" w:rsidR="00587F78" w:rsidRPr="00550FC9" w:rsidRDefault="00587F78" w:rsidP="00587F78">
      <w:pPr>
        <w:spacing w:after="0" w:line="276" w:lineRule="auto"/>
        <w:jc w:val="both"/>
        <w:rPr>
          <w:rFonts w:ascii="Verdana" w:eastAsia="Calibri" w:hAnsi="Verdana" w:cs="Arial"/>
          <w:color w:val="000000" w:themeColor="text1"/>
          <w:lang w:val="es-ES"/>
        </w:rPr>
      </w:pPr>
    </w:p>
    <w:p w14:paraId="6598FCC2" w14:textId="77777777" w:rsidR="00587F78" w:rsidRPr="00712603" w:rsidRDefault="00587F78" w:rsidP="00587F78">
      <w:pPr>
        <w:pStyle w:val="Prrafodelista"/>
        <w:numPr>
          <w:ilvl w:val="0"/>
          <w:numId w:val="17"/>
        </w:numPr>
        <w:spacing w:after="0" w:line="276" w:lineRule="auto"/>
        <w:jc w:val="both"/>
        <w:rPr>
          <w:rFonts w:ascii="Verdana" w:eastAsia="Calibri" w:hAnsi="Verdana" w:cs="Arial"/>
          <w:color w:val="000000" w:themeColor="text1"/>
        </w:rPr>
      </w:pPr>
      <w:r w:rsidRPr="00550FC9">
        <w:rPr>
          <w:rFonts w:ascii="Verdana" w:eastAsia="Calibri" w:hAnsi="Verdana" w:cs="Arial"/>
          <w:color w:val="000000" w:themeColor="text1"/>
        </w:rPr>
        <w:t>El seguro de responsabilidad civil extracontractual transfiere el Riesgo a la aseguradora de reparar a la víctima (tercero) por un actuar que genere responsabilidad civil en cabeza del asegurado. De esta forma el asegurado</w:t>
      </w:r>
      <w:r w:rsidRPr="00712603">
        <w:rPr>
          <w:rFonts w:ascii="Verdana" w:eastAsia="Calibri" w:hAnsi="Verdana" w:cs="Arial"/>
          <w:color w:val="000000" w:themeColor="text1"/>
        </w:rPr>
        <w:t xml:space="preserve"> protege su patrimonio pues no tendrá que asumir el pago de estos perjuicios que serán indemnizados por la compañía de seguros. En los Procesos de Contratación sólo son admisibles como garantía de responsabilidad civil extracontractual los contratos de seguro.</w:t>
      </w:r>
    </w:p>
    <w:p w14:paraId="39258F8B" w14:textId="77777777" w:rsidR="00587F78" w:rsidRPr="00712603" w:rsidRDefault="00587F78" w:rsidP="00587F78">
      <w:pPr>
        <w:pStyle w:val="Prrafodelista"/>
        <w:spacing w:after="0" w:line="276" w:lineRule="auto"/>
        <w:jc w:val="both"/>
        <w:rPr>
          <w:rFonts w:ascii="Verdana" w:eastAsia="Calibri" w:hAnsi="Verdana" w:cs="Arial"/>
          <w:color w:val="000000" w:themeColor="text1"/>
        </w:rPr>
      </w:pPr>
    </w:p>
    <w:p w14:paraId="7100A501" w14:textId="77777777" w:rsidR="00587F78" w:rsidRPr="00103231" w:rsidRDefault="00587F78" w:rsidP="00587F78">
      <w:pPr>
        <w:pStyle w:val="Prrafodelista"/>
        <w:numPr>
          <w:ilvl w:val="0"/>
          <w:numId w:val="17"/>
        </w:numPr>
        <w:spacing w:after="0" w:line="276" w:lineRule="auto"/>
        <w:jc w:val="both"/>
        <w:rPr>
          <w:rFonts w:ascii="Verdana" w:eastAsia="Calibri" w:hAnsi="Verdana" w:cs="Arial"/>
          <w:color w:val="000000" w:themeColor="text1"/>
        </w:rPr>
      </w:pPr>
      <w:r w:rsidRPr="00712603">
        <w:rPr>
          <w:rFonts w:ascii="Verdana" w:eastAsia="Calibri" w:hAnsi="Verdana" w:cs="Arial"/>
          <w:color w:val="000000" w:themeColor="text1"/>
        </w:rPr>
        <w:lastRenderedPageBreak/>
        <w:t>Este seguro es obligatorio para los contratos de obra pública. En los demás contratos la Entidad Estatal debe establecer si en su ejecución existe el Riesgo de que el contratista pueda generarle daños a terceros, en el desarrollo del objeto del contrato.</w:t>
      </w:r>
    </w:p>
    <w:p w14:paraId="40C70B94" w14:textId="77777777" w:rsidR="00587F78" w:rsidRPr="00593A5F" w:rsidRDefault="00587F78" w:rsidP="00587F78">
      <w:pPr>
        <w:widowControl w:val="0"/>
        <w:autoSpaceDE w:val="0"/>
        <w:autoSpaceDN w:val="0"/>
        <w:spacing w:after="0" w:line="276" w:lineRule="auto"/>
        <w:jc w:val="both"/>
        <w:rPr>
          <w:rFonts w:ascii="Verdana" w:hAnsi="Verdana" w:cs="Arial"/>
        </w:rPr>
      </w:pPr>
    </w:p>
    <w:p w14:paraId="2F13FC1E" w14:textId="77777777" w:rsidR="00587F78" w:rsidRPr="00593A5F" w:rsidRDefault="00587F78" w:rsidP="00587F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CBBCC16" w14:textId="77777777" w:rsidR="00587F78" w:rsidRPr="00593A5F" w:rsidRDefault="00587F78" w:rsidP="00587F7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87F78" w:rsidRPr="00593A5F" w14:paraId="2D5387C2" w14:textId="77777777" w:rsidTr="007A1E99">
        <w:trPr>
          <w:trHeight w:val="870"/>
        </w:trPr>
        <w:tc>
          <w:tcPr>
            <w:tcW w:w="8647" w:type="dxa"/>
          </w:tcPr>
          <w:p w14:paraId="3B9142E1" w14:textId="0CD26A1A" w:rsidR="00587F78" w:rsidRPr="00560320" w:rsidRDefault="00587F78" w:rsidP="00587F7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550FC9">
              <w:rPr>
                <w:rFonts w:ascii="Verdana" w:eastAsia="Calibri" w:hAnsi="Verdana" w:cs="Arial"/>
                <w:color w:val="000000" w:themeColor="text1"/>
                <w:lang w:val="es-ES_tradnl" w:eastAsia="es-ES_tradnl"/>
              </w:rPr>
              <w:t>Ley 1150 de 2007</w:t>
            </w:r>
            <w:r>
              <w:rPr>
                <w:rFonts w:ascii="Verdana" w:eastAsia="Calibri" w:hAnsi="Verdana" w:cs="Arial"/>
                <w:color w:val="000000" w:themeColor="text1"/>
                <w:lang w:val="es-ES_tradnl" w:eastAsia="es-ES_tradnl"/>
              </w:rPr>
              <w:t xml:space="preserve">. Disponible </w:t>
            </w:r>
            <w:r w:rsidR="00A65D2F">
              <w:rPr>
                <w:rFonts w:ascii="Verdana" w:eastAsia="Calibri" w:hAnsi="Verdana" w:cs="Arial"/>
                <w:color w:val="000000" w:themeColor="text1"/>
                <w:lang w:val="es-ES_tradnl" w:eastAsia="es-ES_tradnl"/>
              </w:rPr>
              <w:t>en:</w:t>
            </w:r>
            <w:r>
              <w:rPr>
                <w:rFonts w:ascii="Verdana" w:eastAsia="Calibri" w:hAnsi="Verdana" w:cs="Arial"/>
                <w:color w:val="000000" w:themeColor="text1"/>
                <w:lang w:val="es-ES_tradnl" w:eastAsia="es-ES_tradnl"/>
              </w:rPr>
              <w:t xml:space="preserve"> </w:t>
            </w:r>
            <w:hyperlink r:id="rId11" w:history="1">
              <w:r w:rsidRPr="00103231">
                <w:rPr>
                  <w:rStyle w:val="Hipervnculo"/>
                  <w:rFonts w:ascii="Verdana" w:eastAsia="Calibri" w:hAnsi="Verdana" w:cs="Arial"/>
                  <w:lang w:val="es-ES_tradnl" w:eastAsia="es-ES_tradnl"/>
                </w:rPr>
                <w:t>https://relatoria.colombiacompra.gov.co/normativa/ley-1150-de-2007/</w:t>
              </w:r>
            </w:hyperlink>
          </w:p>
          <w:p w14:paraId="4EBF983D" w14:textId="2A409EA8" w:rsidR="00587F78" w:rsidRPr="00560320" w:rsidRDefault="00587F78" w:rsidP="00587F78">
            <w:pPr>
              <w:pStyle w:val="Prrafodelista"/>
              <w:widowControl w:val="0"/>
              <w:numPr>
                <w:ilvl w:val="0"/>
                <w:numId w:val="18"/>
              </w:numPr>
              <w:autoSpaceDE w:val="0"/>
              <w:autoSpaceDN w:val="0"/>
              <w:spacing w:after="120" w:line="276" w:lineRule="auto"/>
              <w:contextualSpacing w:val="0"/>
              <w:jc w:val="both"/>
              <w:rPr>
                <w:rFonts w:ascii="Verdana" w:hAnsi="Verdana" w:cs="Arial"/>
              </w:rPr>
            </w:pPr>
            <w:r>
              <w:rPr>
                <w:rFonts w:ascii="Verdana" w:eastAsia="Century Gothic" w:hAnsi="Verdana" w:cs="Century Gothic"/>
              </w:rPr>
              <w:t>D</w:t>
            </w:r>
            <w:r w:rsidRPr="002B4DB2">
              <w:rPr>
                <w:rFonts w:ascii="Verdana" w:eastAsia="Century Gothic" w:hAnsi="Verdana" w:cs="Century Gothic"/>
              </w:rPr>
              <w:t xml:space="preserve">ecreto 1082 de </w:t>
            </w:r>
            <w:r w:rsidR="00161361" w:rsidRPr="002B4DB2">
              <w:rPr>
                <w:rFonts w:ascii="Verdana" w:eastAsia="Century Gothic" w:hAnsi="Verdana" w:cs="Century Gothic"/>
              </w:rPr>
              <w:t>2015.</w:t>
            </w:r>
            <w:r>
              <w:rPr>
                <w:rFonts w:ascii="Verdana" w:eastAsia="Century Gothic" w:hAnsi="Verdana" w:cs="Century Gothic"/>
              </w:rPr>
              <w:t xml:space="preserve"> Disponible </w:t>
            </w:r>
            <w:r w:rsidR="00161361">
              <w:rPr>
                <w:rFonts w:ascii="Verdana" w:eastAsia="Century Gothic" w:hAnsi="Verdana" w:cs="Century Gothic"/>
              </w:rPr>
              <w:t>en:</w:t>
            </w:r>
            <w:r>
              <w:rPr>
                <w:rFonts w:ascii="Verdana" w:eastAsia="Century Gothic" w:hAnsi="Verdana" w:cs="Century Gothic"/>
              </w:rPr>
              <w:t xml:space="preserve"> </w:t>
            </w:r>
            <w:hyperlink r:id="rId12" w:history="1">
              <w:r w:rsidRPr="004572F9">
                <w:rPr>
                  <w:rStyle w:val="Hipervnculo"/>
                  <w:rFonts w:ascii="Verdana" w:eastAsia="Century Gothic" w:hAnsi="Verdana" w:cs="Century Gothic"/>
                </w:rPr>
                <w:t>https://relatoria.colombiacompra.gov.co/normativa/decreto-1082-de-2015/</w:t>
              </w:r>
            </w:hyperlink>
          </w:p>
          <w:p w14:paraId="27404895" w14:textId="77777777" w:rsidR="00587F78" w:rsidRPr="00560320" w:rsidRDefault="00587F78" w:rsidP="00587F78">
            <w:pPr>
              <w:widowControl w:val="0"/>
              <w:numPr>
                <w:ilvl w:val="0"/>
                <w:numId w:val="18"/>
              </w:numPr>
              <w:autoSpaceDE w:val="0"/>
              <w:autoSpaceDN w:val="0"/>
              <w:spacing w:after="120" w:line="276" w:lineRule="auto"/>
              <w:contextualSpacing/>
              <w:jc w:val="both"/>
              <w:rPr>
                <w:rFonts w:ascii="Verdana" w:hAnsi="Verdana" w:cs="Arial"/>
              </w:rPr>
            </w:pPr>
            <w:r w:rsidRPr="00A65D2F">
              <w:rPr>
                <w:rFonts w:ascii="Verdana" w:hAnsi="Verdana" w:cs="Arial"/>
              </w:rPr>
              <w:t>Jurisprudencia del Consejo de Estado. Disponible en:</w:t>
            </w:r>
            <w:r w:rsidRPr="00560320">
              <w:rPr>
                <w:rFonts w:ascii="Verdana" w:hAnsi="Verdana" w:cs="Arial"/>
                <w:color w:val="7030A0"/>
              </w:rPr>
              <w:t xml:space="preserve"> </w:t>
            </w:r>
            <w:hyperlink r:id="rId13" w:history="1">
              <w:r w:rsidRPr="00560320">
                <w:rPr>
                  <w:rFonts w:ascii="Verdana" w:hAnsi="Verdana" w:cs="Arial"/>
                  <w:color w:val="0563C1" w:themeColor="hyperlink"/>
                  <w:u w:val="single"/>
                </w:rPr>
                <w:t>https://relatoria.colombiacompra.gov.co/providencias-consejo-de-estado/</w:t>
              </w:r>
            </w:hyperlink>
            <w:r w:rsidRPr="00560320">
              <w:rPr>
                <w:rFonts w:ascii="Verdana" w:hAnsi="Verdana" w:cs="Arial"/>
              </w:rPr>
              <w:t xml:space="preserve"> </w:t>
            </w:r>
          </w:p>
          <w:p w14:paraId="682D4F99" w14:textId="77777777" w:rsidR="00587F78" w:rsidRPr="00AC742F" w:rsidRDefault="00587F78" w:rsidP="00587F7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A65D2F">
              <w:rPr>
                <w:rFonts w:ascii="Verdana" w:eastAsia="Calibri" w:hAnsi="Verdana" w:cs="Arial"/>
              </w:rPr>
              <w:t>Guías y manuales expedidos por la ANCP-CCE. Disponible en:</w:t>
            </w:r>
            <w:r w:rsidRPr="00560320">
              <w:rPr>
                <w:rFonts w:ascii="Calibri" w:eastAsia="Calibri" w:hAnsi="Calibri" w:cs="Times New Roman"/>
                <w:color w:val="7030A0"/>
              </w:rPr>
              <w:t xml:space="preserve"> </w:t>
            </w:r>
            <w:hyperlink r:id="rId14" w:history="1">
              <w:r w:rsidRPr="00560320">
                <w:rPr>
                  <w:rFonts w:ascii="Verdana" w:eastAsia="Calibri" w:hAnsi="Verdana" w:cs="Arial"/>
                  <w:color w:val="0563C1" w:themeColor="hyperlink"/>
                  <w:u w:val="single"/>
                </w:rPr>
                <w:t>https://www.colombiacompra.gov.co/manuales-guias-y-pliegos-tipo/manuales-y-guias</w:t>
              </w:r>
            </w:hyperlink>
          </w:p>
        </w:tc>
      </w:tr>
    </w:tbl>
    <w:p w14:paraId="788BFBE2" w14:textId="77777777" w:rsidR="00587F78" w:rsidRPr="00593A5F" w:rsidRDefault="00587F78" w:rsidP="00587F78">
      <w:pPr>
        <w:widowControl w:val="0"/>
        <w:autoSpaceDE w:val="0"/>
        <w:autoSpaceDN w:val="0"/>
        <w:spacing w:after="0" w:line="276" w:lineRule="auto"/>
        <w:jc w:val="both"/>
        <w:rPr>
          <w:rFonts w:ascii="Verdana" w:hAnsi="Verdana" w:cs="Arial"/>
        </w:rPr>
      </w:pPr>
    </w:p>
    <w:p w14:paraId="2D4B0836" w14:textId="77777777" w:rsidR="00587F78" w:rsidRDefault="00587F78" w:rsidP="00587F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286C3E1" w14:textId="77777777" w:rsidR="00587F78" w:rsidRPr="00167D96" w:rsidRDefault="00587F78" w:rsidP="00587F78">
      <w:pPr>
        <w:pStyle w:val="Prrafodelista"/>
        <w:tabs>
          <w:tab w:val="left" w:pos="142"/>
          <w:tab w:val="left" w:pos="284"/>
        </w:tabs>
        <w:spacing w:after="0" w:line="276" w:lineRule="auto"/>
        <w:ind w:left="0"/>
        <w:contextualSpacing w:val="0"/>
        <w:jc w:val="both"/>
        <w:rPr>
          <w:rStyle w:val="normaltextrun"/>
          <w:rFonts w:ascii="Verdana" w:eastAsia="Century Gothic" w:hAnsi="Verdana" w:cs="Century Gothic"/>
          <w:b/>
          <w:bCs/>
        </w:rPr>
      </w:pPr>
      <w:r w:rsidRPr="00550FC9">
        <w:rPr>
          <w:rFonts w:ascii="Verdana" w:eastAsia="Calibri" w:hAnsi="Verdana" w:cs="Arial"/>
          <w:lang w:eastAsia="es-ES_tradnl"/>
        </w:rPr>
        <w:t xml:space="preserve">La Agencia Nacional de Contratación Pública – Colombia Compra Eficiente, </w:t>
      </w:r>
      <w:r w:rsidRPr="00550FC9">
        <w:rPr>
          <w:rFonts w:ascii="Verdana" w:eastAsia="Calibri" w:hAnsi="Verdana" w:cs="Arial"/>
          <w:lang w:eastAsia="es-ES"/>
        </w:rPr>
        <w:t xml:space="preserve">se ha pronunciado </w:t>
      </w:r>
      <w:r w:rsidRPr="00550FC9">
        <w:rPr>
          <w:rFonts w:ascii="Verdana" w:eastAsia="Times New Roman" w:hAnsi="Verdana" w:cs="Arial"/>
          <w:lang w:eastAsia="es-ES_tradnl"/>
        </w:rPr>
        <w:t>en términos generales sobre las garantías en la contratación estatal,  en los conceptos</w:t>
      </w:r>
      <w:r>
        <w:rPr>
          <w:rFonts w:ascii="Verdana" w:eastAsia="Times New Roman" w:hAnsi="Verdana" w:cs="Arial"/>
          <w:lang w:eastAsia="es-ES_tradnl"/>
        </w:rPr>
        <w:t xml:space="preserve"> C- 069 de 2024, </w:t>
      </w:r>
      <w:r w:rsidRPr="00550FC9">
        <w:rPr>
          <w:rFonts w:ascii="Verdana" w:eastAsia="Times New Roman" w:hAnsi="Verdana" w:cs="Arial"/>
          <w:lang w:eastAsia="es-ES_tradnl"/>
        </w:rPr>
        <w:t xml:space="preserve">C- 037 del 23 abril de 2024, C-080 del 8 de abril de 2021, , C-525 del 27 de septiembre de 2021, </w:t>
      </w:r>
      <w:r w:rsidRPr="00550FC9">
        <w:rPr>
          <w:rFonts w:ascii="Verdana" w:eastAsia="Calibri" w:hAnsi="Verdana" w:cs="Arial"/>
          <w:lang w:eastAsia="es-ES_tradnl"/>
        </w:rPr>
        <w:t>C- 567 del 08 de octubre del 2021, C-036 del 28 de febrero del 2022, C-126 de 25 de marzo de 2022, C-583 del 19 de octubre de 2022, C-584 del 26 de septiembre de 2022, C-712 del 13 de octubre de 2022, C-845 del 7 de diciembre de 2022, C-036 del 31 de marzo de 2023, entre otros.</w:t>
      </w:r>
      <w:r w:rsidRPr="00550FC9">
        <w:rPr>
          <w:rStyle w:val="normaltextrun"/>
          <w:rFonts w:ascii="Verdana" w:hAnsi="Verdana" w:cs="Arial"/>
          <w:color w:val="7030A0"/>
          <w:shd w:val="clear" w:color="auto" w:fill="FFFFFF"/>
        </w:rPr>
        <w:t xml:space="preserve">. </w:t>
      </w:r>
      <w:r w:rsidRPr="00550FC9">
        <w:rPr>
          <w:rStyle w:val="normaltextrun"/>
          <w:rFonts w:ascii="Verdana" w:hAnsi="Verdana" w:cs="Arial"/>
          <w:shd w:val="clear" w:color="auto" w:fill="FFFFFF"/>
        </w:rPr>
        <w:t>Es</w:t>
      </w:r>
      <w:r w:rsidRPr="00550FC9">
        <w:rPr>
          <w:rFonts w:ascii="Verdana" w:hAnsi="Verdana"/>
        </w:rPr>
        <w:t>tos y otros conceptos se encuentran disponibles para consulta en el Sistema de relatoría de</w:t>
      </w:r>
      <w:r w:rsidRPr="00A1554D">
        <w:rPr>
          <w:rFonts w:ascii="Verdana" w:hAnsi="Verdana"/>
        </w:rPr>
        <w:t xml:space="preserve"> la Agencia, al cual se puede acceder a través del siguiente enlace:</w:t>
      </w:r>
      <w:r w:rsidRPr="00A1554D">
        <w:rPr>
          <w:rStyle w:val="normaltextrun"/>
          <w:rFonts w:ascii="Verdana" w:hAnsi="Verdana" w:cs="Arial"/>
          <w:shd w:val="clear" w:color="auto" w:fill="FFFFFF"/>
        </w:rPr>
        <w:t xml:space="preserve"> </w:t>
      </w:r>
      <w:hyperlink r:id="rId15" w:history="1">
        <w:r w:rsidRPr="00A1554D">
          <w:rPr>
            <w:rStyle w:val="Hipervnculo"/>
            <w:rFonts w:ascii="Verdana" w:hAnsi="Verdana" w:cs="Arial"/>
            <w:shd w:val="clear" w:color="auto" w:fill="FFFFFF"/>
          </w:rPr>
          <w:t>https://relatoria.colombiacompra.gov.co/busqueda/conceptos</w:t>
        </w:r>
      </w:hyperlink>
      <w:r>
        <w:rPr>
          <w:rStyle w:val="normaltextrun"/>
          <w:rFonts w:ascii="Verdana" w:hAnsi="Verdana" w:cs="Arial"/>
          <w:color w:val="FF0000"/>
          <w:shd w:val="clear" w:color="auto" w:fill="FFFFFF"/>
        </w:rPr>
        <w:t xml:space="preserve">. </w:t>
      </w:r>
    </w:p>
    <w:p w14:paraId="7715546B" w14:textId="77777777" w:rsidR="00587F78" w:rsidRDefault="00587F78" w:rsidP="00587F7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8548A3B" w14:textId="77777777" w:rsidR="00587F78" w:rsidRDefault="00587F78" w:rsidP="00587F7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Pr="003705EA">
          <w:rPr>
            <w:rStyle w:val="Hipervnculo"/>
            <w:rFonts w:ascii="Verdana" w:hAnsi="Verdana" w:cs="Arial"/>
            <w:shd w:val="clear" w:color="auto" w:fill="FFFFFF"/>
            <w:lang w:val="es-ES"/>
          </w:rPr>
          <w:t>https://www.colombiacompra.gov.co/sala-de-</w:t>
        </w:r>
        <w:r w:rsidRPr="003705EA">
          <w:rPr>
            <w:rStyle w:val="Hipervnculo"/>
            <w:rFonts w:ascii="Verdana" w:hAnsi="Verdana" w:cs="Arial"/>
            <w:shd w:val="clear" w:color="auto" w:fill="FFFFFF"/>
            <w:lang w:val="es-ES"/>
          </w:rPr>
          <w:lastRenderedPageBreak/>
          <w:t>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E47A891" w14:textId="77777777" w:rsidR="00587F78" w:rsidRPr="003E2460" w:rsidRDefault="00587F78" w:rsidP="00587F7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0E1A7FD2" w14:textId="77777777" w:rsidR="00587F78" w:rsidRPr="003E2460" w:rsidRDefault="00587F78" w:rsidP="00587F78">
      <w:pPr>
        <w:spacing w:after="0" w:line="240" w:lineRule="auto"/>
        <w:jc w:val="both"/>
        <w:rPr>
          <w:rFonts w:ascii="Verdana" w:hAnsi="Verdana"/>
        </w:rPr>
      </w:pPr>
    </w:p>
    <w:p w14:paraId="29A65729" w14:textId="77777777" w:rsidR="00587F78" w:rsidRPr="003E2460" w:rsidRDefault="00587F78" w:rsidP="00587F7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D6A7863" w14:textId="77777777" w:rsidR="00587F78" w:rsidRPr="003E2460" w:rsidRDefault="00587F78" w:rsidP="00587F7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28996C85" w14:textId="77777777" w:rsidR="00587F78" w:rsidRPr="003E2460" w:rsidRDefault="00587F78" w:rsidP="00587F7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0E4FC37" w14:textId="77777777" w:rsidR="00587F78" w:rsidRPr="00593A5F" w:rsidRDefault="00587F78" w:rsidP="00587F78">
      <w:pPr>
        <w:widowControl w:val="0"/>
        <w:autoSpaceDE w:val="0"/>
        <w:autoSpaceDN w:val="0"/>
        <w:spacing w:after="0" w:line="276" w:lineRule="auto"/>
        <w:jc w:val="both"/>
        <w:rPr>
          <w:rFonts w:ascii="Verdana" w:hAnsi="Verdana" w:cs="Arial"/>
        </w:rPr>
      </w:pPr>
    </w:p>
    <w:p w14:paraId="0BAC91EA" w14:textId="77777777" w:rsidR="00587F78" w:rsidRPr="00593A5F" w:rsidRDefault="00587F78" w:rsidP="00587F7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667FDE" w14:textId="77777777" w:rsidR="00587F78" w:rsidRPr="00593A5F" w:rsidRDefault="00587F78" w:rsidP="00587F78">
      <w:pPr>
        <w:widowControl w:val="0"/>
        <w:autoSpaceDE w:val="0"/>
        <w:autoSpaceDN w:val="0"/>
        <w:spacing w:after="0" w:line="276" w:lineRule="auto"/>
        <w:jc w:val="both"/>
        <w:rPr>
          <w:rFonts w:ascii="Verdana" w:hAnsi="Verdana" w:cs="Arial"/>
        </w:rPr>
      </w:pPr>
    </w:p>
    <w:p w14:paraId="55445AE3" w14:textId="77777777" w:rsidR="00587F78" w:rsidRPr="00593A5F" w:rsidRDefault="00587F78" w:rsidP="00587F7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A5F9E64" w14:textId="79285319" w:rsidR="00587F78" w:rsidRPr="00593A5F" w:rsidRDefault="00312F26" w:rsidP="00587F78">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1B08E623" wp14:editId="3F71908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87F78" w:rsidRPr="00593A5F" w14:paraId="1A46B537" w14:textId="77777777" w:rsidTr="007A1E99">
        <w:trPr>
          <w:trHeight w:val="315"/>
        </w:trPr>
        <w:tc>
          <w:tcPr>
            <w:tcW w:w="893" w:type="dxa"/>
            <w:vAlign w:val="center"/>
            <w:hideMark/>
          </w:tcPr>
          <w:p w14:paraId="014C39B3" w14:textId="77777777" w:rsidR="00587F78" w:rsidRPr="003751C7" w:rsidRDefault="00587F78" w:rsidP="007A1E9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44E338F" w14:textId="77777777" w:rsidR="00587F78" w:rsidRPr="000235EC" w:rsidRDefault="00587F78" w:rsidP="007A1E99">
            <w:pPr>
              <w:contextualSpacing/>
              <w:rPr>
                <w:rFonts w:ascii="Verdana" w:eastAsia="Arial" w:hAnsi="Verdana" w:cs="Arial"/>
                <w:color w:val="7030A0"/>
                <w:sz w:val="16"/>
                <w:szCs w:val="16"/>
              </w:rPr>
            </w:pPr>
            <w:r w:rsidRPr="001F12D4">
              <w:rPr>
                <w:rFonts w:ascii="Verdana" w:eastAsia="Arial" w:hAnsi="Verdana" w:cs="Arial"/>
                <w:sz w:val="16"/>
                <w:szCs w:val="16"/>
              </w:rPr>
              <w:t>K</w:t>
            </w:r>
            <w:r w:rsidRPr="000235EC">
              <w:rPr>
                <w:rFonts w:ascii="Verdana" w:eastAsia="Arial" w:hAnsi="Verdana" w:cs="Arial"/>
                <w:sz w:val="16"/>
                <w:szCs w:val="16"/>
              </w:rPr>
              <w:t>eila Margarita Reyes Cassiani</w:t>
            </w:r>
          </w:p>
          <w:p w14:paraId="271CE33F" w14:textId="77777777" w:rsidR="00587F78" w:rsidRPr="000235EC" w:rsidRDefault="00587F78" w:rsidP="007A1E99">
            <w:pPr>
              <w:contextualSpacing/>
              <w:rPr>
                <w:rFonts w:ascii="Verdana" w:eastAsia="Arial" w:hAnsi="Verdana" w:cs="Arial"/>
                <w:sz w:val="16"/>
                <w:szCs w:val="16"/>
              </w:rPr>
            </w:pPr>
            <w:r w:rsidRPr="000235EC">
              <w:rPr>
                <w:rStyle w:val="normaltextrun"/>
                <w:rFonts w:ascii="Verdana" w:eastAsia="Arial" w:hAnsi="Verdana" w:cs="Arial"/>
                <w:sz w:val="16"/>
                <w:szCs w:val="16"/>
              </w:rPr>
              <w:t>Contratista de la Subdirección de Gestión Contractual</w:t>
            </w:r>
          </w:p>
        </w:tc>
      </w:tr>
      <w:tr w:rsidR="00587F78" w:rsidRPr="00593A5F" w14:paraId="3D5DCF01" w14:textId="77777777" w:rsidTr="007A1E99">
        <w:trPr>
          <w:trHeight w:val="330"/>
        </w:trPr>
        <w:tc>
          <w:tcPr>
            <w:tcW w:w="893" w:type="dxa"/>
            <w:vAlign w:val="center"/>
            <w:hideMark/>
          </w:tcPr>
          <w:p w14:paraId="25A2C3D7" w14:textId="77777777" w:rsidR="00587F78" w:rsidRPr="003751C7" w:rsidRDefault="00587F78" w:rsidP="007A1E9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03FE62B" w14:textId="2CCA866B" w:rsidR="00587F78" w:rsidRPr="00193DA6" w:rsidRDefault="00587F78" w:rsidP="007A1E99">
            <w:pPr>
              <w:pStyle w:val="paragraph"/>
              <w:spacing w:before="0" w:beforeAutospacing="0" w:after="0" w:afterAutospacing="0"/>
              <w:contextualSpacing/>
              <w:textAlignment w:val="baseline"/>
              <w:rPr>
                <w:rFonts w:ascii="Verdana" w:hAnsi="Verdana" w:cs="Segoe UI"/>
                <w:sz w:val="16"/>
                <w:szCs w:val="16"/>
              </w:rPr>
            </w:pPr>
            <w:r w:rsidRPr="00193DA6">
              <w:rPr>
                <w:rFonts w:ascii="Verdana" w:hAnsi="Verdana" w:cs="Segoe UI"/>
                <w:sz w:val="16"/>
                <w:szCs w:val="16"/>
              </w:rPr>
              <w:t>Juan David Cárdenas</w:t>
            </w:r>
            <w:r w:rsidR="00973FD5">
              <w:rPr>
                <w:rFonts w:ascii="Verdana" w:hAnsi="Verdana" w:cs="Segoe UI"/>
                <w:sz w:val="16"/>
                <w:szCs w:val="16"/>
              </w:rPr>
              <w:t xml:space="preserve"> Cabeza</w:t>
            </w:r>
          </w:p>
          <w:p w14:paraId="5E6E025F" w14:textId="77777777" w:rsidR="00587F78" w:rsidRPr="00193DA6" w:rsidRDefault="00587F78" w:rsidP="007A1E99">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 xml:space="preserve">Contratista </w:t>
            </w:r>
            <w:r w:rsidRPr="00193DA6">
              <w:rPr>
                <w:rStyle w:val="normaltextrun"/>
                <w:rFonts w:ascii="Verdana" w:hAnsi="Verdana" w:cs="Arial"/>
                <w:sz w:val="16"/>
                <w:szCs w:val="16"/>
                <w:lang w:val="es-ES"/>
              </w:rPr>
              <w:t>de la Subdirección de Gestión Contractual</w:t>
            </w:r>
            <w:r w:rsidRPr="00193DA6">
              <w:rPr>
                <w:rStyle w:val="eop"/>
                <w:rFonts w:ascii="Verdana" w:hAnsi="Verdana" w:cs="Arial"/>
                <w:sz w:val="16"/>
                <w:szCs w:val="16"/>
              </w:rPr>
              <w:t> </w:t>
            </w:r>
          </w:p>
        </w:tc>
      </w:tr>
      <w:tr w:rsidR="00587F78" w:rsidRPr="00593A5F" w14:paraId="29B07989" w14:textId="77777777" w:rsidTr="007A1E99">
        <w:trPr>
          <w:trHeight w:val="300"/>
        </w:trPr>
        <w:tc>
          <w:tcPr>
            <w:tcW w:w="893" w:type="dxa"/>
            <w:vAlign w:val="center"/>
          </w:tcPr>
          <w:p w14:paraId="52DB20B2" w14:textId="77777777" w:rsidR="00587F78" w:rsidRPr="003751C7" w:rsidRDefault="00587F78" w:rsidP="007A1E9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B822382" w14:textId="77777777" w:rsidR="00587F78" w:rsidRPr="003751C7" w:rsidRDefault="00587F78" w:rsidP="007A1E9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A98F9B6" w14:textId="77777777" w:rsidR="00587F78" w:rsidRPr="003751C7" w:rsidRDefault="00587F78" w:rsidP="007A1E9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72333C02" w14:textId="77777777" w:rsidR="00587F78" w:rsidRPr="00871B59" w:rsidRDefault="00587F78" w:rsidP="00587F78"/>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C5FF" w14:textId="77777777" w:rsidR="001603F3" w:rsidRDefault="001603F3" w:rsidP="004A1847">
      <w:pPr>
        <w:spacing w:after="0" w:line="240" w:lineRule="auto"/>
      </w:pPr>
      <w:r>
        <w:separator/>
      </w:r>
    </w:p>
  </w:endnote>
  <w:endnote w:type="continuationSeparator" w:id="0">
    <w:p w14:paraId="73BE2E62" w14:textId="77777777" w:rsidR="001603F3" w:rsidRDefault="001603F3" w:rsidP="004A1847">
      <w:pPr>
        <w:spacing w:after="0" w:line="240" w:lineRule="auto"/>
      </w:pPr>
      <w:r>
        <w:continuationSeparator/>
      </w:r>
    </w:p>
  </w:endnote>
  <w:endnote w:type="continuationNotice" w:id="1">
    <w:p w14:paraId="263812BA" w14:textId="77777777" w:rsidR="001603F3" w:rsidRDefault="00160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CCDF" w14:textId="77777777" w:rsidR="001603F3" w:rsidRDefault="001603F3" w:rsidP="004A1847">
      <w:pPr>
        <w:spacing w:after="0" w:line="240" w:lineRule="auto"/>
      </w:pPr>
      <w:r>
        <w:separator/>
      </w:r>
    </w:p>
  </w:footnote>
  <w:footnote w:type="continuationSeparator" w:id="0">
    <w:p w14:paraId="4CC21B84" w14:textId="77777777" w:rsidR="001603F3" w:rsidRDefault="001603F3" w:rsidP="004A1847">
      <w:pPr>
        <w:spacing w:after="0" w:line="240" w:lineRule="auto"/>
      </w:pPr>
      <w:r>
        <w:continuationSeparator/>
      </w:r>
    </w:p>
  </w:footnote>
  <w:footnote w:type="continuationNotice" w:id="1">
    <w:p w14:paraId="07D42FCE" w14:textId="77777777" w:rsidR="001603F3" w:rsidRDefault="00160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2pt;height:14.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02DC"/>
    <w:rsid w:val="00061B2A"/>
    <w:rsid w:val="00082362"/>
    <w:rsid w:val="000A683E"/>
    <w:rsid w:val="000B19B9"/>
    <w:rsid w:val="000D0334"/>
    <w:rsid w:val="000D7EF0"/>
    <w:rsid w:val="000E65DE"/>
    <w:rsid w:val="000F6486"/>
    <w:rsid w:val="00125105"/>
    <w:rsid w:val="00127233"/>
    <w:rsid w:val="001603F3"/>
    <w:rsid w:val="00161361"/>
    <w:rsid w:val="001B7341"/>
    <w:rsid w:val="001E4177"/>
    <w:rsid w:val="001F12D4"/>
    <w:rsid w:val="001F2DA6"/>
    <w:rsid w:val="001F7DC6"/>
    <w:rsid w:val="002421BB"/>
    <w:rsid w:val="0025796E"/>
    <w:rsid w:val="002707A2"/>
    <w:rsid w:val="002951A0"/>
    <w:rsid w:val="002962BC"/>
    <w:rsid w:val="002A093D"/>
    <w:rsid w:val="002A0DD0"/>
    <w:rsid w:val="002A49AC"/>
    <w:rsid w:val="002A64FD"/>
    <w:rsid w:val="002C7A84"/>
    <w:rsid w:val="002E4FD9"/>
    <w:rsid w:val="00312F26"/>
    <w:rsid w:val="00322A85"/>
    <w:rsid w:val="00324168"/>
    <w:rsid w:val="003448F4"/>
    <w:rsid w:val="00374F5E"/>
    <w:rsid w:val="00377E3E"/>
    <w:rsid w:val="003A26D1"/>
    <w:rsid w:val="003A779E"/>
    <w:rsid w:val="003D0F4D"/>
    <w:rsid w:val="003D5B0D"/>
    <w:rsid w:val="003E0499"/>
    <w:rsid w:val="003F3941"/>
    <w:rsid w:val="003F4706"/>
    <w:rsid w:val="00406575"/>
    <w:rsid w:val="00421110"/>
    <w:rsid w:val="0042722E"/>
    <w:rsid w:val="0044528D"/>
    <w:rsid w:val="004A1847"/>
    <w:rsid w:val="004A305D"/>
    <w:rsid w:val="004F21C4"/>
    <w:rsid w:val="004F685F"/>
    <w:rsid w:val="005566E8"/>
    <w:rsid w:val="00574867"/>
    <w:rsid w:val="00587F78"/>
    <w:rsid w:val="00591460"/>
    <w:rsid w:val="00592628"/>
    <w:rsid w:val="005C3777"/>
    <w:rsid w:val="005C5CDC"/>
    <w:rsid w:val="005D476C"/>
    <w:rsid w:val="00610812"/>
    <w:rsid w:val="00615CE0"/>
    <w:rsid w:val="006219F8"/>
    <w:rsid w:val="00650FF7"/>
    <w:rsid w:val="00660E8B"/>
    <w:rsid w:val="00665D70"/>
    <w:rsid w:val="00671DAC"/>
    <w:rsid w:val="006900D9"/>
    <w:rsid w:val="0069671A"/>
    <w:rsid w:val="006D12F8"/>
    <w:rsid w:val="00706C16"/>
    <w:rsid w:val="007423FE"/>
    <w:rsid w:val="00756841"/>
    <w:rsid w:val="007649AB"/>
    <w:rsid w:val="00771D0C"/>
    <w:rsid w:val="007833AC"/>
    <w:rsid w:val="007B268C"/>
    <w:rsid w:val="007B7171"/>
    <w:rsid w:val="007C0C0F"/>
    <w:rsid w:val="007C3DC2"/>
    <w:rsid w:val="007E5497"/>
    <w:rsid w:val="00806F5F"/>
    <w:rsid w:val="008125E0"/>
    <w:rsid w:val="00820278"/>
    <w:rsid w:val="00864558"/>
    <w:rsid w:val="008843B6"/>
    <w:rsid w:val="00891928"/>
    <w:rsid w:val="008A446D"/>
    <w:rsid w:val="008B7055"/>
    <w:rsid w:val="008D180B"/>
    <w:rsid w:val="008F0EA7"/>
    <w:rsid w:val="008F6865"/>
    <w:rsid w:val="00923EEF"/>
    <w:rsid w:val="009419F9"/>
    <w:rsid w:val="009523A9"/>
    <w:rsid w:val="0095685E"/>
    <w:rsid w:val="00961B09"/>
    <w:rsid w:val="00965334"/>
    <w:rsid w:val="0097093E"/>
    <w:rsid w:val="00973FD5"/>
    <w:rsid w:val="009A0DFA"/>
    <w:rsid w:val="009B2D26"/>
    <w:rsid w:val="009C71FA"/>
    <w:rsid w:val="009C72E7"/>
    <w:rsid w:val="009D3058"/>
    <w:rsid w:val="009F3A13"/>
    <w:rsid w:val="00A122D3"/>
    <w:rsid w:val="00A17F13"/>
    <w:rsid w:val="00A20739"/>
    <w:rsid w:val="00A33C78"/>
    <w:rsid w:val="00A65D2F"/>
    <w:rsid w:val="00AB0ADB"/>
    <w:rsid w:val="00AB25ED"/>
    <w:rsid w:val="00AD08F9"/>
    <w:rsid w:val="00B01B1A"/>
    <w:rsid w:val="00B178C4"/>
    <w:rsid w:val="00B72CD3"/>
    <w:rsid w:val="00B72FFF"/>
    <w:rsid w:val="00B955A9"/>
    <w:rsid w:val="00BC3D36"/>
    <w:rsid w:val="00BD5610"/>
    <w:rsid w:val="00BD7F72"/>
    <w:rsid w:val="00C04FB3"/>
    <w:rsid w:val="00C16CA9"/>
    <w:rsid w:val="00C330EB"/>
    <w:rsid w:val="00C5770B"/>
    <w:rsid w:val="00C754BE"/>
    <w:rsid w:val="00C76B1C"/>
    <w:rsid w:val="00CA4952"/>
    <w:rsid w:val="00CB6357"/>
    <w:rsid w:val="00CC1B26"/>
    <w:rsid w:val="00CF78C5"/>
    <w:rsid w:val="00D129AF"/>
    <w:rsid w:val="00D423A2"/>
    <w:rsid w:val="00D520D8"/>
    <w:rsid w:val="00D63AC2"/>
    <w:rsid w:val="00D72D30"/>
    <w:rsid w:val="00D7383B"/>
    <w:rsid w:val="00D76DB1"/>
    <w:rsid w:val="00DA231B"/>
    <w:rsid w:val="00DA23A0"/>
    <w:rsid w:val="00DC39FC"/>
    <w:rsid w:val="00DD138A"/>
    <w:rsid w:val="00DE0967"/>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5CD3"/>
    <w:rsid w:val="00EC38A7"/>
    <w:rsid w:val="00EC4C8D"/>
    <w:rsid w:val="00EE1AA8"/>
    <w:rsid w:val="00EF5371"/>
    <w:rsid w:val="00F31EDC"/>
    <w:rsid w:val="00F462B3"/>
    <w:rsid w:val="00F5664F"/>
    <w:rsid w:val="00F60A49"/>
    <w:rsid w:val="00F666C4"/>
    <w:rsid w:val="00F76AFC"/>
    <w:rsid w:val="00F94542"/>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7F7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9024159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 w:id="21444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normativa/decreto-1082-de-201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ley-1150-de-2007/"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864EA-544F-471A-BE93-5D13BD2FE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1718</Words>
  <Characters>9451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5</cp:revision>
  <cp:lastPrinted>2023-01-10T21:18:00Z</cp:lastPrinted>
  <dcterms:created xsi:type="dcterms:W3CDTF">2024-08-16T16:18:00Z</dcterms:created>
  <dcterms:modified xsi:type="dcterms:W3CDTF">2024-08-17T16:48:00Z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