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EE0A" w14:textId="77777777" w:rsidR="00704DE3" w:rsidRPr="007B7F83" w:rsidRDefault="00704DE3" w:rsidP="00704DE3">
      <w:pPr>
        <w:spacing w:line="276" w:lineRule="auto"/>
        <w:rPr>
          <w:rFonts w:ascii="Verdana" w:hAnsi="Verdana"/>
          <w:b/>
          <w:bCs/>
        </w:rPr>
      </w:pPr>
      <w:bookmarkStart w:id="0" w:name="_Hlk143780582"/>
      <w:r w:rsidRPr="007B7F83">
        <w:rPr>
          <w:rFonts w:ascii="Verdana" w:hAnsi="Verdana"/>
          <w:b/>
          <w:bCs/>
        </w:rPr>
        <w:t xml:space="preserve">CONTRATOS CON ESAL – Constitución – Artículo 355 – Fundamento </w:t>
      </w:r>
    </w:p>
    <w:p w14:paraId="0E3ACF66" w14:textId="77777777" w:rsidR="00704DE3" w:rsidRPr="007C01C8" w:rsidRDefault="00704DE3" w:rsidP="00704DE3">
      <w:pPr>
        <w:spacing w:line="276" w:lineRule="auto"/>
        <w:jc w:val="both"/>
        <w:rPr>
          <w:rFonts w:ascii="Verdana" w:hAnsi="Verdana"/>
          <w:b/>
          <w:bCs/>
          <w:sz w:val="20"/>
          <w:szCs w:val="20"/>
        </w:rPr>
      </w:pPr>
      <w:r w:rsidRPr="007C01C8">
        <w:rPr>
          <w:rFonts w:ascii="Verdana" w:eastAsia="Calibri" w:hAnsi="Verdana"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7C01C8">
        <w:rPr>
          <w:rStyle w:val="FootnoteReference"/>
          <w:rFonts w:ascii="Verdana" w:hAnsi="Verdana" w:cs="Arial"/>
          <w:color w:val="000000" w:themeColor="text1"/>
          <w:sz w:val="20"/>
          <w:szCs w:val="20"/>
          <w:lang w:val="es-ES_tradnl"/>
        </w:rPr>
        <w:footnoteReference w:id="2"/>
      </w:r>
      <w:r w:rsidRPr="007C01C8">
        <w:rPr>
          <w:rFonts w:ascii="Verdana" w:eastAsia="Calibri" w:hAnsi="Verdana" w:cs="Arial"/>
          <w:color w:val="000000" w:themeColor="text1"/>
          <w:sz w:val="20"/>
          <w:szCs w:val="20"/>
          <w:lang w:val="es-E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013346C3" w14:textId="77777777" w:rsidR="00704DE3" w:rsidRPr="007B7F83" w:rsidRDefault="00704DE3" w:rsidP="00704DE3">
      <w:pPr>
        <w:spacing w:line="276" w:lineRule="auto"/>
        <w:rPr>
          <w:rFonts w:ascii="Verdana" w:hAnsi="Verdana"/>
          <w:b/>
          <w:bCs/>
        </w:rPr>
      </w:pPr>
      <w:r w:rsidRPr="007B7F83">
        <w:rPr>
          <w:rFonts w:ascii="Verdana" w:hAnsi="Verdana"/>
          <w:b/>
          <w:bCs/>
        </w:rPr>
        <w:t>TIPOS DE CONTRATOS – ESAL – Constitución Política – Artículo 355 – Ley 489 – Artículo 96</w:t>
      </w:r>
    </w:p>
    <w:p w14:paraId="272E5DFD" w14:textId="77777777" w:rsidR="00704DE3" w:rsidRPr="007C01C8" w:rsidRDefault="00704DE3" w:rsidP="00704DE3">
      <w:pPr>
        <w:spacing w:before="120" w:after="120" w:line="276" w:lineRule="auto"/>
        <w:jc w:val="both"/>
        <w:rPr>
          <w:rFonts w:ascii="Verdana" w:eastAsia="Calibri" w:hAnsi="Verdana" w:cs="Arial"/>
          <w:color w:val="000000" w:themeColor="text1"/>
          <w:sz w:val="20"/>
          <w:szCs w:val="20"/>
          <w:lang w:val="es-ES"/>
        </w:rPr>
      </w:pPr>
      <w:r w:rsidRPr="007C01C8">
        <w:rPr>
          <w:rFonts w:ascii="Verdana" w:eastAsia="Calibri" w:hAnsi="Verdana" w:cs="Arial"/>
          <w:color w:val="000000" w:themeColor="text1"/>
          <w:sz w:val="20"/>
          <w:szCs w:val="20"/>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7C01C8">
        <w:rPr>
          <w:rFonts w:ascii="Verdana" w:eastAsia="Calibri" w:hAnsi="Verdana" w:cs="Arial"/>
          <w:color w:val="000000" w:themeColor="text1"/>
          <w:sz w:val="20"/>
          <w:szCs w:val="20"/>
          <w:lang w:val="es-ES"/>
        </w:rPr>
        <w:t>ii</w:t>
      </w:r>
      <w:proofErr w:type="spellEnd"/>
      <w:r w:rsidRPr="007C01C8">
        <w:rPr>
          <w:rFonts w:ascii="Verdana" w:eastAsia="Calibri" w:hAnsi="Verdana" w:cs="Arial"/>
          <w:color w:val="000000" w:themeColor="text1"/>
          <w:sz w:val="20"/>
          <w:szCs w:val="20"/>
          <w:lang w:val="es-ES"/>
        </w:rPr>
        <w:t xml:space="preserve">) los convenios de asociación, para el desarrollo conjunto de actividades relacionadas con las funciones de las entidades estatales, en desarrollo del artículo 96 de la Ley 489 de 1998. </w:t>
      </w:r>
    </w:p>
    <w:p w14:paraId="7CE5A42F" w14:textId="77777777" w:rsidR="008B7F5D" w:rsidRDefault="008B7F5D">
      <w:pPr>
        <w:rPr>
          <w:rFonts w:ascii="Verdana" w:hAnsi="Verdana"/>
        </w:rPr>
      </w:pPr>
      <w:r>
        <w:rPr>
          <w:rFonts w:ascii="Verdana" w:hAnsi="Verdana"/>
        </w:rPr>
        <w:br w:type="page"/>
      </w:r>
    </w:p>
    <w:p w14:paraId="3FE2184B" w14:textId="0D5170F1" w:rsidR="00E245AB" w:rsidRDefault="00E245AB" w:rsidP="00E245AB">
      <w:pPr>
        <w:spacing w:after="0"/>
        <w:rPr>
          <w:rFonts w:ascii="Verdana" w:hAnsi="Verdana"/>
        </w:rPr>
      </w:pPr>
      <w:r w:rsidRPr="0044528D">
        <w:rPr>
          <w:rFonts w:ascii="Verdana" w:hAnsi="Verdana"/>
        </w:rPr>
        <w:t xml:space="preserve">Bogotá D.C., </w:t>
      </w:r>
      <w:r w:rsidR="00700E6E">
        <w:rPr>
          <w:rFonts w:ascii="Verdana" w:hAnsi="Verdana"/>
        </w:rPr>
        <w:t>21 de agosto de 2024</w:t>
      </w:r>
    </w:p>
    <w:p w14:paraId="08668FF1" w14:textId="61ACC17A" w:rsidR="00700E6E" w:rsidRDefault="00700E6E" w:rsidP="00E245AB">
      <w:pPr>
        <w:spacing w:after="0"/>
        <w:rPr>
          <w:rFonts w:ascii="Verdana" w:hAnsi="Verdana"/>
        </w:rPr>
      </w:pPr>
    </w:p>
    <w:p w14:paraId="3B87569D" w14:textId="77777777" w:rsidR="00700E6E" w:rsidRPr="0044528D" w:rsidRDefault="00700E6E" w:rsidP="00E245AB">
      <w:pPr>
        <w:spacing w:after="0"/>
        <w:rPr>
          <w:rFonts w:ascii="Verdana" w:hAnsi="Verdana"/>
        </w:rPr>
      </w:pPr>
    </w:p>
    <w:p w14:paraId="5FCADBF9" w14:textId="313A0BEE" w:rsidR="00E245AB" w:rsidRPr="0044528D" w:rsidRDefault="00700E6E" w:rsidP="00700E6E">
      <w:pPr>
        <w:spacing w:after="0"/>
        <w:jc w:val="right"/>
        <w:rPr>
          <w:rFonts w:ascii="Verdana" w:hAnsi="Verdana"/>
        </w:rPr>
      </w:pPr>
      <w:r w:rsidRPr="00700E6E">
        <w:rPr>
          <w:rFonts w:ascii="Verdana" w:hAnsi="Verdana"/>
          <w:noProof/>
        </w:rPr>
        <w:drawing>
          <wp:inline distT="0" distB="0" distL="0" distR="0" wp14:anchorId="1AE88480" wp14:editId="484A4D9B">
            <wp:extent cx="2752191" cy="8021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6867" cy="818082"/>
                    </a:xfrm>
                    <a:prstGeom prst="rect">
                      <a:avLst/>
                    </a:prstGeom>
                  </pic:spPr>
                </pic:pic>
              </a:graphicData>
            </a:graphic>
          </wp:inline>
        </w:drawing>
      </w:r>
    </w:p>
    <w:p w14:paraId="0465BA6D" w14:textId="77777777" w:rsidR="00E245AB" w:rsidRPr="0044528D" w:rsidRDefault="00E245AB" w:rsidP="00E245AB">
      <w:pPr>
        <w:spacing w:after="0"/>
        <w:rPr>
          <w:rFonts w:ascii="Verdana" w:hAnsi="Verdana"/>
        </w:rPr>
      </w:pPr>
    </w:p>
    <w:p w14:paraId="0EBCE418" w14:textId="1AC21844" w:rsidR="00891928" w:rsidRPr="00E413EA" w:rsidRDefault="00A95E52" w:rsidP="00891928">
      <w:pPr>
        <w:spacing w:after="0"/>
        <w:rPr>
          <w:rFonts w:ascii="Verdana" w:hAnsi="Verdana"/>
          <w:lang w:val="es-MX"/>
        </w:rPr>
      </w:pPr>
      <w:r>
        <w:rPr>
          <w:rFonts w:ascii="Verdana" w:hAnsi="Verdana"/>
          <w:lang w:val="es-MX"/>
        </w:rPr>
        <w:t>Señora</w:t>
      </w:r>
    </w:p>
    <w:p w14:paraId="1E41A3DE" w14:textId="7B7E36F4" w:rsidR="00E413EA" w:rsidRPr="004F2189" w:rsidRDefault="00A95E52" w:rsidP="00891928">
      <w:pPr>
        <w:spacing w:after="0"/>
        <w:rPr>
          <w:rFonts w:ascii="Verdana" w:hAnsi="Verdana"/>
          <w:b/>
        </w:rPr>
      </w:pPr>
      <w:r w:rsidRPr="004F2189">
        <w:rPr>
          <w:rFonts w:ascii="Verdana" w:hAnsi="Verdana"/>
          <w:b/>
        </w:rPr>
        <w:t xml:space="preserve">María Juliana Arabia </w:t>
      </w:r>
      <w:r w:rsidR="00845F41" w:rsidRPr="004F2189">
        <w:rPr>
          <w:rFonts w:ascii="Verdana" w:hAnsi="Verdana"/>
          <w:b/>
        </w:rPr>
        <w:t>Abadía</w:t>
      </w:r>
    </w:p>
    <w:p w14:paraId="732EF136" w14:textId="6234D6D2" w:rsidR="00845F41" w:rsidRDefault="007055CC" w:rsidP="00E413EA">
      <w:pPr>
        <w:spacing w:after="0"/>
        <w:rPr>
          <w:rFonts w:ascii="Verdana" w:hAnsi="Verdana"/>
        </w:rPr>
      </w:pPr>
      <w:hyperlink r:id="rId12" w:history="1">
        <w:r w:rsidR="00DF0955" w:rsidRPr="002B5558">
          <w:rPr>
            <w:rStyle w:val="Hyperlink"/>
            <w:rFonts w:ascii="Verdana" w:hAnsi="Verdana"/>
          </w:rPr>
          <w:t>juliab017@gmail.com</w:t>
        </w:r>
      </w:hyperlink>
      <w:r w:rsidR="00DF0955">
        <w:rPr>
          <w:rFonts w:ascii="Verdana" w:hAnsi="Verdana"/>
        </w:rPr>
        <w:t xml:space="preserve"> </w:t>
      </w:r>
      <w:r w:rsidR="00845F41" w:rsidRPr="00CB2266">
        <w:rPr>
          <w:rFonts w:ascii="Verdana" w:hAnsi="Verdana"/>
        </w:rPr>
        <w:t xml:space="preserve"> </w:t>
      </w:r>
    </w:p>
    <w:p w14:paraId="36688937" w14:textId="4DEB50A4" w:rsidR="00E413EA" w:rsidRPr="00E413EA" w:rsidRDefault="00845F41" w:rsidP="00E413EA">
      <w:pPr>
        <w:spacing w:after="0"/>
        <w:rPr>
          <w:rFonts w:ascii="Verdana" w:hAnsi="Verdana"/>
        </w:rPr>
      </w:pPr>
      <w:r>
        <w:rPr>
          <w:rFonts w:ascii="Verdana" w:hAnsi="Verdana"/>
          <w:lang w:val="es-MX"/>
        </w:rPr>
        <w:t>Cali, Valle del Cauca</w:t>
      </w:r>
    </w:p>
    <w:p w14:paraId="1F423BF7" w14:textId="77777777" w:rsidR="00E245AB" w:rsidRPr="0044528D" w:rsidRDefault="00E245AB" w:rsidP="00E245AB">
      <w:pPr>
        <w:spacing w:after="0"/>
        <w:rPr>
          <w:rFonts w:ascii="Verdana" w:hAnsi="Verdana"/>
        </w:rPr>
      </w:pPr>
    </w:p>
    <w:bookmarkEnd w:id="0"/>
    <w:p w14:paraId="7A94F7CE" w14:textId="77777777" w:rsidR="00654D71" w:rsidRPr="00B81287" w:rsidRDefault="00654D71" w:rsidP="00654D71">
      <w:pPr>
        <w:spacing w:after="0" w:line="240" w:lineRule="auto"/>
        <w:jc w:val="both"/>
        <w:rPr>
          <w:rFonts w:ascii="Verdana" w:eastAsia="Calibri" w:hAnsi="Verdana" w:cs="Arial"/>
          <w:szCs w:val="24"/>
          <w:lang w:val="es-ES_tradnl" w:eastAsia="es-ES_tradnl"/>
        </w:rPr>
      </w:pPr>
    </w:p>
    <w:p w14:paraId="3FF3964B" w14:textId="0CAD6514" w:rsidR="00654D71" w:rsidRPr="001D47E6" w:rsidRDefault="00654D71" w:rsidP="00654D71">
      <w:pPr>
        <w:spacing w:after="0" w:line="240" w:lineRule="auto"/>
        <w:ind w:left="2694"/>
        <w:jc w:val="both"/>
        <w:rPr>
          <w:rFonts w:ascii="Verdana" w:eastAsia="Calibri" w:hAnsi="Verdana" w:cs="Arial"/>
          <w:b/>
          <w:bCs/>
          <w:lang w:val="es-ES" w:eastAsia="es-ES"/>
        </w:rPr>
      </w:pPr>
      <w:r w:rsidRPr="1DFA589B">
        <w:rPr>
          <w:rFonts w:ascii="Verdana" w:eastAsia="Calibri" w:hAnsi="Verdana" w:cs="Arial"/>
          <w:b/>
          <w:bCs/>
          <w:lang w:val="es-ES" w:eastAsia="es-ES"/>
        </w:rPr>
        <w:t>Concepto C–</w:t>
      </w:r>
      <w:r w:rsidR="009142C4">
        <w:rPr>
          <w:rFonts w:ascii="Verdana" w:eastAsia="Calibri" w:hAnsi="Verdana" w:cs="Arial"/>
          <w:b/>
          <w:bCs/>
          <w:lang w:val="es-ES" w:eastAsia="es-ES"/>
        </w:rPr>
        <w:t>296</w:t>
      </w:r>
      <w:r w:rsidRPr="1DFA589B">
        <w:rPr>
          <w:rFonts w:ascii="Verdana" w:eastAsia="Calibri" w:hAnsi="Verdana" w:cs="Arial"/>
          <w:b/>
          <w:bCs/>
          <w:lang w:val="es-ES" w:eastAsia="es-ES"/>
        </w:rPr>
        <w:t xml:space="preserve"> de 2024</w:t>
      </w:r>
    </w:p>
    <w:p w14:paraId="7ED989D8" w14:textId="77777777" w:rsidR="00654D71" w:rsidRPr="00B81287" w:rsidRDefault="00654D71" w:rsidP="00654D71">
      <w:pPr>
        <w:spacing w:after="0" w:line="240" w:lineRule="auto"/>
        <w:rPr>
          <w:rFonts w:ascii="Verdana" w:eastAsia="Calibri" w:hAnsi="Verdana" w:cs="Arial"/>
          <w:szCs w:val="24"/>
          <w:lang w:val="es-ES_tradnl" w:eastAsia="es-ES_tradnl"/>
        </w:rPr>
      </w:pPr>
    </w:p>
    <w:tbl>
      <w:tblPr>
        <w:tblStyle w:val="TableGrid"/>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654D71" w:rsidRPr="00B81287" w14:paraId="16778E2F" w14:textId="77777777" w:rsidTr="00343DE7">
        <w:trPr>
          <w:trHeight w:val="884"/>
        </w:trPr>
        <w:tc>
          <w:tcPr>
            <w:tcW w:w="2685" w:type="dxa"/>
            <w:hideMark/>
          </w:tcPr>
          <w:p w14:paraId="7A8A120F" w14:textId="1309543B" w:rsidR="00654D71" w:rsidRPr="00B81287" w:rsidRDefault="00654D71" w:rsidP="00343DE7">
            <w:pPr>
              <w:jc w:val="both"/>
              <w:rPr>
                <w:rFonts w:ascii="Verdana" w:eastAsia="Calibri" w:hAnsi="Verdana" w:cs="Arial"/>
                <w:szCs w:val="24"/>
                <w:lang w:val="es-ES_tradnl" w:eastAsia="es-ES_tradnl"/>
              </w:rPr>
            </w:pPr>
            <w:r w:rsidRPr="00B81287">
              <w:rPr>
                <w:rFonts w:ascii="Verdana" w:eastAsia="Calibri" w:hAnsi="Verdana" w:cs="Arial"/>
                <w:szCs w:val="24"/>
                <w:lang w:val="es-ES_tradnl" w:eastAsia="es-ES_tradnl"/>
              </w:rPr>
              <w:t xml:space="preserve">Temas:                   </w:t>
            </w:r>
          </w:p>
        </w:tc>
        <w:tc>
          <w:tcPr>
            <w:tcW w:w="6241" w:type="dxa"/>
            <w:hideMark/>
          </w:tcPr>
          <w:p w14:paraId="1DE3CD8D" w14:textId="18CF1A68" w:rsidR="00654D71" w:rsidRPr="001D47E6" w:rsidRDefault="00654D71" w:rsidP="00343DE7">
            <w:pPr>
              <w:spacing w:line="276" w:lineRule="auto"/>
              <w:jc w:val="both"/>
              <w:rPr>
                <w:rFonts w:ascii="Verdana" w:hAnsi="Verdana"/>
              </w:rPr>
            </w:pPr>
            <w:r w:rsidRPr="009E2491">
              <w:rPr>
                <w:rFonts w:ascii="Verdana" w:hAnsi="Verdana"/>
              </w:rPr>
              <w:t xml:space="preserve">CONTRATOS CON ESAL – Constitución – Artículo 355 – Fundamento / </w:t>
            </w:r>
            <w:r w:rsidR="009E2491" w:rsidRPr="009E2491">
              <w:rPr>
                <w:rFonts w:ascii="Verdana" w:eastAsia="Century Gothic" w:hAnsi="Verdana" w:cs="Century Gothic"/>
              </w:rPr>
              <w:t>INDICADORES DE EFICIENCIA</w:t>
            </w:r>
            <w:r w:rsidR="006D1E0F">
              <w:rPr>
                <w:rFonts w:ascii="Verdana" w:eastAsia="Century Gothic" w:hAnsi="Verdana" w:cs="Century Gothic"/>
              </w:rPr>
              <w:t xml:space="preserve"> </w:t>
            </w:r>
            <w:r w:rsidR="009E2491" w:rsidRPr="009E2491">
              <w:rPr>
                <w:rFonts w:ascii="Verdana" w:eastAsia="Century Gothic" w:hAnsi="Verdana" w:cs="Century Gothic"/>
              </w:rPr>
              <w:t>-</w:t>
            </w:r>
            <w:r w:rsidR="006D1E0F">
              <w:rPr>
                <w:rFonts w:ascii="Verdana" w:eastAsia="Century Gothic" w:hAnsi="Verdana" w:cs="Century Gothic"/>
              </w:rPr>
              <w:t xml:space="preserve"> F</w:t>
            </w:r>
            <w:r w:rsidR="009E2491">
              <w:rPr>
                <w:rFonts w:ascii="Verdana" w:eastAsia="Century Gothic" w:hAnsi="Verdana" w:cs="Century Gothic"/>
              </w:rPr>
              <w:t>inalidad-</w:t>
            </w:r>
            <w:r w:rsidR="009E2491" w:rsidRPr="009E2491">
              <w:rPr>
                <w:rFonts w:ascii="Verdana" w:eastAsia="Century Gothic" w:hAnsi="Verdana" w:cs="Century Gothic"/>
              </w:rPr>
              <w:t>verificación</w:t>
            </w:r>
          </w:p>
        </w:tc>
        <w:tc>
          <w:tcPr>
            <w:tcW w:w="6237" w:type="dxa"/>
          </w:tcPr>
          <w:p w14:paraId="475156B1" w14:textId="77777777" w:rsidR="00654D71" w:rsidRPr="00B81287" w:rsidRDefault="00654D71" w:rsidP="00343DE7">
            <w:pPr>
              <w:jc w:val="both"/>
              <w:rPr>
                <w:rFonts w:ascii="Verdana" w:hAnsi="Verdana" w:cs="Arial"/>
                <w:highlight w:val="yellow"/>
                <w:lang w:val="es-ES"/>
              </w:rPr>
            </w:pPr>
          </w:p>
        </w:tc>
      </w:tr>
      <w:tr w:rsidR="00654D71" w:rsidRPr="00B81287" w14:paraId="4B49B47E" w14:textId="77777777" w:rsidTr="00343DE7">
        <w:tc>
          <w:tcPr>
            <w:tcW w:w="2685" w:type="dxa"/>
            <w:hideMark/>
          </w:tcPr>
          <w:p w14:paraId="0396584D" w14:textId="77777777" w:rsidR="00654D71" w:rsidRPr="00B81287" w:rsidRDefault="00654D71" w:rsidP="00343DE7">
            <w:pPr>
              <w:spacing w:before="120"/>
              <w:jc w:val="both"/>
              <w:rPr>
                <w:rFonts w:ascii="Verdana" w:eastAsia="Calibri" w:hAnsi="Verdana" w:cs="Arial"/>
                <w:szCs w:val="24"/>
                <w:lang w:val="es-ES_tradnl" w:eastAsia="es-ES_tradnl"/>
              </w:rPr>
            </w:pPr>
            <w:r w:rsidRPr="00B81287">
              <w:rPr>
                <w:rFonts w:ascii="Verdana" w:eastAsia="Calibri" w:hAnsi="Verdana" w:cs="Arial"/>
                <w:szCs w:val="24"/>
                <w:lang w:val="es-ES_tradnl" w:eastAsia="es-ES_tradnl"/>
              </w:rPr>
              <w:t xml:space="preserve">Radicación:               </w:t>
            </w:r>
          </w:p>
        </w:tc>
        <w:tc>
          <w:tcPr>
            <w:tcW w:w="6241" w:type="dxa"/>
            <w:hideMark/>
          </w:tcPr>
          <w:p w14:paraId="39C6306E" w14:textId="2467C19E" w:rsidR="00654D71" w:rsidRPr="00B81287" w:rsidRDefault="00654D71" w:rsidP="00343DE7">
            <w:pPr>
              <w:spacing w:before="120" w:line="276" w:lineRule="auto"/>
              <w:jc w:val="both"/>
              <w:rPr>
                <w:rFonts w:ascii="Verdana" w:eastAsia="Calibri" w:hAnsi="Verdana" w:cs="Arial"/>
                <w:szCs w:val="24"/>
                <w:lang w:val="es-ES_tradnl" w:eastAsia="es-ES_tradnl"/>
              </w:rPr>
            </w:pPr>
            <w:r w:rsidRPr="00B81287">
              <w:rPr>
                <w:rFonts w:ascii="Verdana" w:eastAsia="Calibri" w:hAnsi="Verdana" w:cs="Arial"/>
                <w:szCs w:val="24"/>
                <w:lang w:val="es-ES_tradnl" w:eastAsia="es-ES_tradnl"/>
              </w:rPr>
              <w:t xml:space="preserve">Respuesta a consulta con radicado No. </w:t>
            </w:r>
            <w:r w:rsidR="009142C4" w:rsidRPr="009142C4">
              <w:rPr>
                <w:rFonts w:ascii="Verdana" w:eastAsia="Calibri" w:hAnsi="Verdana" w:cs="Arial"/>
                <w:szCs w:val="24"/>
                <w:lang w:val="es-ES_tradnl" w:eastAsia="es-ES_tradnl"/>
              </w:rPr>
              <w:t>P20240708006855</w:t>
            </w:r>
            <w:r w:rsidR="005405F7" w:rsidRPr="00CB2266">
              <w:rPr>
                <w:rFonts w:ascii="Verdana" w:eastAsia="Calibri" w:hAnsi="Verdana" w:cs="Arial"/>
                <w:szCs w:val="24"/>
                <w:lang w:val="es-ES_tradnl" w:eastAsia="es-ES_tradnl"/>
              </w:rPr>
              <w:t xml:space="preserve"> y P20240708006856</w:t>
            </w:r>
          </w:p>
        </w:tc>
        <w:tc>
          <w:tcPr>
            <w:tcW w:w="6237" w:type="dxa"/>
          </w:tcPr>
          <w:p w14:paraId="033CB71E" w14:textId="77777777" w:rsidR="00654D71" w:rsidRPr="00B81287" w:rsidRDefault="00654D71" w:rsidP="00343DE7">
            <w:pPr>
              <w:spacing w:before="120"/>
              <w:jc w:val="both"/>
              <w:rPr>
                <w:rFonts w:ascii="Verdana" w:eastAsia="Calibri" w:hAnsi="Verdana" w:cs="Arial"/>
                <w:szCs w:val="24"/>
                <w:lang w:val="es-ES_tradnl" w:eastAsia="es-ES_tradnl"/>
              </w:rPr>
            </w:pPr>
          </w:p>
        </w:tc>
      </w:tr>
    </w:tbl>
    <w:p w14:paraId="659E2143" w14:textId="77777777" w:rsidR="00654D71" w:rsidRPr="006723FA" w:rsidRDefault="00654D71" w:rsidP="00654D71">
      <w:pPr>
        <w:spacing w:after="0" w:line="240" w:lineRule="auto"/>
        <w:jc w:val="both"/>
        <w:rPr>
          <w:rFonts w:ascii="Verdana" w:eastAsia="Calibri" w:hAnsi="Verdana" w:cs="Arial"/>
          <w:szCs w:val="24"/>
          <w:lang w:val="es-ES_tradnl" w:eastAsia="es-ES_tradnl"/>
        </w:rPr>
      </w:pPr>
    </w:p>
    <w:p w14:paraId="7E6EEFDC" w14:textId="1A96E528" w:rsidR="00654D71" w:rsidRPr="006723FA" w:rsidRDefault="00654D71" w:rsidP="00654D71">
      <w:pPr>
        <w:spacing w:after="0" w:line="240" w:lineRule="auto"/>
        <w:jc w:val="both"/>
        <w:rPr>
          <w:rFonts w:ascii="Verdana" w:eastAsia="Calibri" w:hAnsi="Verdana" w:cs="Arial"/>
          <w:lang w:val="es-ES" w:eastAsia="es-ES"/>
        </w:rPr>
      </w:pPr>
      <w:r w:rsidRPr="006723FA">
        <w:rPr>
          <w:rFonts w:ascii="Verdana" w:eastAsia="Calibri" w:hAnsi="Verdana" w:cs="Arial"/>
          <w:lang w:val="es-ES" w:eastAsia="es-ES"/>
        </w:rPr>
        <w:t>Estimad</w:t>
      </w:r>
      <w:r>
        <w:rPr>
          <w:rFonts w:ascii="Verdana" w:eastAsia="Calibri" w:hAnsi="Verdana" w:cs="Arial"/>
          <w:lang w:val="es-ES" w:eastAsia="es-ES"/>
        </w:rPr>
        <w:t xml:space="preserve">a </w:t>
      </w:r>
      <w:r w:rsidRPr="006723FA">
        <w:rPr>
          <w:rFonts w:ascii="Verdana" w:eastAsia="Calibri" w:hAnsi="Verdana" w:cs="Arial"/>
          <w:lang w:val="es-ES" w:eastAsia="es-ES"/>
        </w:rPr>
        <w:t xml:space="preserve">señora </w:t>
      </w:r>
      <w:r w:rsidR="009142C4">
        <w:rPr>
          <w:rFonts w:ascii="Verdana" w:eastAsia="Calibri" w:hAnsi="Verdana" w:cs="Arial"/>
          <w:lang w:val="es-ES" w:eastAsia="es-ES"/>
        </w:rPr>
        <w:t>María Juliana</w:t>
      </w:r>
      <w:r w:rsidRPr="006723FA">
        <w:rPr>
          <w:rFonts w:ascii="Verdana" w:eastAsia="Calibri" w:hAnsi="Verdana" w:cs="Arial"/>
          <w:lang w:val="es-ES" w:eastAsia="es-ES"/>
        </w:rPr>
        <w:t xml:space="preserve">: </w:t>
      </w:r>
    </w:p>
    <w:p w14:paraId="00F4DA0A" w14:textId="77777777" w:rsidR="00654D71" w:rsidRPr="006723FA" w:rsidRDefault="00654D71" w:rsidP="00654D71">
      <w:pPr>
        <w:spacing w:after="0" w:line="240" w:lineRule="auto"/>
        <w:jc w:val="both"/>
        <w:rPr>
          <w:rFonts w:ascii="Verdana" w:eastAsia="Calibri" w:hAnsi="Verdana" w:cs="Arial"/>
          <w:lang w:val="es-ES" w:eastAsia="es-ES"/>
        </w:rPr>
      </w:pPr>
    </w:p>
    <w:p w14:paraId="4C5D62B6" w14:textId="02778CE7" w:rsidR="00654D71" w:rsidRPr="006723FA" w:rsidRDefault="00654D71" w:rsidP="00654D71">
      <w:pPr>
        <w:spacing w:after="120" w:line="276" w:lineRule="auto"/>
        <w:jc w:val="both"/>
        <w:rPr>
          <w:rFonts w:ascii="Verdana" w:eastAsia="Calibri" w:hAnsi="Verdana" w:cs="Arial"/>
          <w:lang w:val="es-ES" w:eastAsia="es-ES"/>
        </w:rPr>
      </w:pPr>
      <w:r w:rsidRPr="006723FA">
        <w:rPr>
          <w:rFonts w:ascii="Verdana" w:eastAsia="Calibri" w:hAnsi="Verdana" w:cs="Arial"/>
          <w:lang w:val="es-ES" w:eastAsia="es-ES"/>
        </w:rPr>
        <w:t>En ejercicio de la competencia otorgada por los artículos 3, numeral 5º, y 11, numeral 8º, del Decreto Ley 4170 de 2011,</w:t>
      </w:r>
      <w:r w:rsidRPr="006723FA">
        <w:rPr>
          <w:rFonts w:ascii="Verdana" w:eastAsia="Arial MT" w:hAnsi="Verdana" w:cs="Arial MT"/>
          <w:lang w:val="es-ES" w:eastAsia="es-ES"/>
        </w:rPr>
        <w:t xml:space="preserve"> </w:t>
      </w:r>
      <w:r w:rsidRPr="006723FA">
        <w:rPr>
          <w:rFonts w:ascii="Verdana" w:eastAsia="Calibri" w:hAnsi="Verdana" w:cs="Arial"/>
          <w:lang w:val="es-ES" w:eastAsia="es-ES"/>
        </w:rPr>
        <w:t xml:space="preserve">la Agencia Nacional de Contratación Pública – Colombia Compra Eficiente– responde </w:t>
      </w:r>
      <w:r w:rsidR="0077798C">
        <w:rPr>
          <w:rFonts w:ascii="Verdana" w:eastAsia="Calibri" w:hAnsi="Verdana" w:cs="Arial"/>
          <w:lang w:val="es-ES" w:eastAsia="es-ES"/>
        </w:rPr>
        <w:t xml:space="preserve">las </w:t>
      </w:r>
      <w:r w:rsidRPr="00CB2266">
        <w:rPr>
          <w:rFonts w:ascii="Verdana" w:eastAsia="Calibri" w:hAnsi="Verdana" w:cs="Arial"/>
          <w:lang w:val="es-ES" w:eastAsia="es-ES"/>
        </w:rPr>
        <w:t>solicitud</w:t>
      </w:r>
      <w:r w:rsidR="0077798C">
        <w:rPr>
          <w:rFonts w:ascii="Verdana" w:eastAsia="Calibri" w:hAnsi="Verdana" w:cs="Arial"/>
          <w:lang w:val="es-ES" w:eastAsia="es-ES"/>
        </w:rPr>
        <w:t>es</w:t>
      </w:r>
      <w:r w:rsidRPr="006723FA">
        <w:rPr>
          <w:rFonts w:ascii="Verdana" w:eastAsia="Calibri" w:hAnsi="Verdana" w:cs="Arial"/>
          <w:lang w:val="es-ES" w:eastAsia="es-ES"/>
        </w:rPr>
        <w:t xml:space="preserve"> de consulta del </w:t>
      </w:r>
      <w:r w:rsidR="0024270A">
        <w:rPr>
          <w:rFonts w:ascii="Verdana" w:eastAsia="Calibri" w:hAnsi="Verdana" w:cs="Arial"/>
          <w:lang w:val="es-ES" w:eastAsia="es-ES"/>
        </w:rPr>
        <w:t>08</w:t>
      </w:r>
      <w:r w:rsidRPr="006723FA">
        <w:rPr>
          <w:rFonts w:ascii="Verdana" w:eastAsia="Calibri" w:hAnsi="Verdana" w:cs="Arial"/>
          <w:lang w:val="es-ES" w:eastAsia="es-ES"/>
        </w:rPr>
        <w:t xml:space="preserve"> de julio de 2024. En la cual manifiesta </w:t>
      </w:r>
      <w:r w:rsidR="009C0EC3">
        <w:rPr>
          <w:rFonts w:ascii="Verdana" w:eastAsia="Calibri" w:hAnsi="Verdana" w:cs="Arial"/>
          <w:lang w:val="es-ES" w:eastAsia="es-ES"/>
        </w:rPr>
        <w:t>de manera conjunta,</w:t>
      </w:r>
      <w:r w:rsidR="0077798C">
        <w:rPr>
          <w:rFonts w:ascii="Verdana" w:eastAsia="Calibri" w:hAnsi="Verdana" w:cs="Arial"/>
          <w:lang w:val="es-ES" w:eastAsia="es-ES"/>
        </w:rPr>
        <w:t xml:space="preserve"> </w:t>
      </w:r>
      <w:r w:rsidRPr="006723FA">
        <w:rPr>
          <w:rFonts w:ascii="Verdana" w:eastAsia="Calibri" w:hAnsi="Verdana" w:cs="Arial"/>
          <w:lang w:val="es-ES" w:eastAsia="es-ES"/>
        </w:rPr>
        <w:t>lo siguiente:</w:t>
      </w:r>
    </w:p>
    <w:p w14:paraId="2E66F223" w14:textId="02869D31" w:rsidR="0043184F" w:rsidRDefault="00654D71" w:rsidP="0043184F">
      <w:pPr>
        <w:spacing w:after="0" w:line="240" w:lineRule="auto"/>
        <w:ind w:left="709" w:right="709"/>
        <w:jc w:val="both"/>
        <w:rPr>
          <w:rFonts w:ascii="Verdana" w:eastAsia="Calibri" w:hAnsi="Verdana" w:cs="Arial"/>
          <w:sz w:val="20"/>
          <w:szCs w:val="20"/>
          <w:lang w:eastAsia="es-ES"/>
        </w:rPr>
      </w:pPr>
      <w:r w:rsidRPr="00CB2266">
        <w:rPr>
          <w:rFonts w:ascii="Verdana" w:eastAsia="Calibri" w:hAnsi="Verdana" w:cs="Arial"/>
          <w:sz w:val="20"/>
          <w:szCs w:val="20"/>
          <w:lang w:val="es-ES" w:eastAsia="es-ES"/>
        </w:rPr>
        <w:t>“</w:t>
      </w:r>
      <w:r w:rsidR="0035584F">
        <w:rPr>
          <w:rFonts w:ascii="Verdana" w:eastAsia="Calibri" w:hAnsi="Verdana" w:cs="Arial"/>
          <w:sz w:val="20"/>
          <w:szCs w:val="20"/>
          <w:lang w:val="es-ES" w:eastAsia="es-ES"/>
        </w:rPr>
        <w:t>(…)</w:t>
      </w:r>
      <w:r w:rsidRPr="00CB2266">
        <w:rPr>
          <w:rFonts w:ascii="Verdana" w:eastAsia="Calibri" w:hAnsi="Verdana" w:cs="Arial"/>
          <w:sz w:val="20"/>
          <w:szCs w:val="20"/>
          <w:lang w:val="es-ES" w:eastAsia="es-ES"/>
        </w:rPr>
        <w:t>[</w:t>
      </w:r>
      <w:r w:rsidR="0043184F">
        <w:rPr>
          <w:rFonts w:ascii="Verdana" w:eastAsia="Calibri" w:hAnsi="Verdana" w:cs="Arial"/>
          <w:sz w:val="20"/>
          <w:szCs w:val="20"/>
          <w:lang w:val="es-ES" w:eastAsia="es-ES"/>
        </w:rPr>
        <w:t>P</w:t>
      </w:r>
      <w:r>
        <w:rPr>
          <w:rFonts w:ascii="Verdana" w:eastAsia="Calibri" w:hAnsi="Verdana" w:cs="Arial"/>
          <w:sz w:val="20"/>
          <w:szCs w:val="20"/>
          <w:lang w:val="es-ES" w:eastAsia="es-ES"/>
        </w:rPr>
        <w:t>]</w:t>
      </w:r>
      <w:proofErr w:type="spellStart"/>
      <w:r w:rsidR="0043184F" w:rsidRPr="0043184F">
        <w:rPr>
          <w:rFonts w:ascii="Verdana" w:eastAsia="Calibri" w:hAnsi="Verdana" w:cs="Arial"/>
          <w:sz w:val="20"/>
          <w:szCs w:val="20"/>
          <w:lang w:eastAsia="es-ES"/>
        </w:rPr>
        <w:t>or</w:t>
      </w:r>
      <w:proofErr w:type="spellEnd"/>
      <w:r w:rsidR="0043184F" w:rsidRPr="0043184F">
        <w:rPr>
          <w:rFonts w:ascii="Verdana" w:eastAsia="Calibri" w:hAnsi="Verdana" w:cs="Arial"/>
          <w:sz w:val="20"/>
          <w:szCs w:val="20"/>
          <w:lang w:eastAsia="es-ES"/>
        </w:rPr>
        <w:t xml:space="preserve"> medio de la presente solicitud, pido su concepto respecto al indicador de eficiencia el cual se calcula para los procesos competitivos en Convenio de Asociación 092.</w:t>
      </w:r>
    </w:p>
    <w:p w14:paraId="2B018AC9" w14:textId="77777777" w:rsidR="0043184F" w:rsidRDefault="0043184F" w:rsidP="0043184F">
      <w:pPr>
        <w:spacing w:after="0" w:line="240" w:lineRule="auto"/>
        <w:ind w:left="709" w:right="709"/>
        <w:jc w:val="both"/>
        <w:rPr>
          <w:rFonts w:ascii="Verdana" w:eastAsia="Calibri" w:hAnsi="Verdana" w:cs="Arial"/>
          <w:sz w:val="20"/>
          <w:szCs w:val="20"/>
          <w:lang w:eastAsia="es-ES"/>
        </w:rPr>
      </w:pPr>
    </w:p>
    <w:p w14:paraId="53D5C4D5" w14:textId="77777777" w:rsidR="007E007D" w:rsidRDefault="0043184F" w:rsidP="0043184F">
      <w:pPr>
        <w:spacing w:after="0" w:line="240" w:lineRule="auto"/>
        <w:ind w:left="709" w:right="709"/>
        <w:jc w:val="both"/>
        <w:rPr>
          <w:rFonts w:ascii="Verdana" w:eastAsia="Calibri" w:hAnsi="Verdana" w:cs="Arial"/>
          <w:sz w:val="20"/>
          <w:szCs w:val="20"/>
          <w:lang w:eastAsia="es-ES"/>
        </w:rPr>
      </w:pPr>
      <w:r w:rsidRPr="0043184F">
        <w:rPr>
          <w:rFonts w:ascii="Verdana" w:eastAsia="Calibri" w:hAnsi="Verdana" w:cs="Arial"/>
          <w:sz w:val="20"/>
          <w:szCs w:val="20"/>
          <w:lang w:eastAsia="es-ES"/>
        </w:rPr>
        <w:t xml:space="preserve">En la </w:t>
      </w:r>
      <w:proofErr w:type="spellStart"/>
      <w:r w:rsidRPr="0043184F">
        <w:rPr>
          <w:rFonts w:ascii="Verdana" w:eastAsia="Calibri" w:hAnsi="Verdana" w:cs="Arial"/>
          <w:sz w:val="20"/>
          <w:szCs w:val="20"/>
          <w:lang w:eastAsia="es-ES"/>
        </w:rPr>
        <w:t>guia</w:t>
      </w:r>
      <w:proofErr w:type="spellEnd"/>
      <w:r w:rsidRPr="0043184F">
        <w:rPr>
          <w:rFonts w:ascii="Verdana" w:eastAsia="Calibri" w:hAnsi="Verdana" w:cs="Arial"/>
          <w:sz w:val="20"/>
          <w:szCs w:val="20"/>
          <w:lang w:eastAsia="es-ES"/>
        </w:rPr>
        <w:t xml:space="preserve"> sugerida por Colombia Compra Eficiente, se determina que el artículo 4 del Decreto 092 de 2017 establece las siguientes fases para el proceso competitivo de ESAL: (i) definición y publicación de los indicadores de idoneidad, experiencia, eficacia, eficiencia, economía y de manejo del Riesgo y los criterios de ponderación para comparar las ofertas; (</w:t>
      </w:r>
      <w:proofErr w:type="spellStart"/>
      <w:r w:rsidRPr="0043184F">
        <w:rPr>
          <w:rFonts w:ascii="Verdana" w:eastAsia="Calibri" w:hAnsi="Verdana" w:cs="Arial"/>
          <w:sz w:val="20"/>
          <w:szCs w:val="20"/>
          <w:lang w:eastAsia="es-ES"/>
        </w:rPr>
        <w:t>ii</w:t>
      </w:r>
      <w:proofErr w:type="spellEnd"/>
      <w:r w:rsidRPr="0043184F">
        <w:rPr>
          <w:rFonts w:ascii="Verdana" w:eastAsia="Calibri" w:hAnsi="Verdana" w:cs="Arial"/>
          <w:sz w:val="20"/>
          <w:szCs w:val="20"/>
          <w:lang w:eastAsia="es-ES"/>
        </w:rPr>
        <w:t>) definición de un plazo razonable para que las ESAL presenten sus ofertas y los documentos que acrediten su idoneidad; y (</w:t>
      </w:r>
      <w:proofErr w:type="spellStart"/>
      <w:r w:rsidRPr="0043184F">
        <w:rPr>
          <w:rFonts w:ascii="Verdana" w:eastAsia="Calibri" w:hAnsi="Verdana" w:cs="Arial"/>
          <w:sz w:val="20"/>
          <w:szCs w:val="20"/>
          <w:lang w:eastAsia="es-ES"/>
        </w:rPr>
        <w:t>iii</w:t>
      </w:r>
      <w:proofErr w:type="spellEnd"/>
      <w:r w:rsidRPr="0043184F">
        <w:rPr>
          <w:rFonts w:ascii="Verdana" w:eastAsia="Calibri" w:hAnsi="Verdana" w:cs="Arial"/>
          <w:sz w:val="20"/>
          <w:szCs w:val="20"/>
          <w:lang w:eastAsia="es-ES"/>
        </w:rPr>
        <w:t xml:space="preserve">) evaluación de acuerdo con los criterios definidos para el efecto. </w:t>
      </w:r>
    </w:p>
    <w:p w14:paraId="7FA8F072" w14:textId="77777777" w:rsidR="007E007D" w:rsidRDefault="007E007D" w:rsidP="0043184F">
      <w:pPr>
        <w:spacing w:after="0" w:line="240" w:lineRule="auto"/>
        <w:ind w:left="709" w:right="709"/>
        <w:jc w:val="both"/>
        <w:rPr>
          <w:rFonts w:ascii="Verdana" w:eastAsia="Calibri" w:hAnsi="Verdana" w:cs="Arial"/>
          <w:sz w:val="20"/>
          <w:szCs w:val="20"/>
          <w:lang w:eastAsia="es-ES"/>
        </w:rPr>
      </w:pPr>
    </w:p>
    <w:p w14:paraId="6E94A764" w14:textId="11F7FF93" w:rsidR="00C82738" w:rsidRDefault="0043184F" w:rsidP="00654D71">
      <w:pPr>
        <w:spacing w:after="0" w:line="240" w:lineRule="auto"/>
        <w:ind w:left="709" w:right="709"/>
        <w:jc w:val="both"/>
        <w:rPr>
          <w:rFonts w:ascii="Verdana" w:eastAsia="Calibri" w:hAnsi="Verdana" w:cs="Arial"/>
          <w:sz w:val="20"/>
          <w:szCs w:val="20"/>
          <w:lang w:val="es-ES" w:eastAsia="es-ES"/>
        </w:rPr>
      </w:pPr>
      <w:r w:rsidRPr="0043184F">
        <w:rPr>
          <w:rFonts w:ascii="Verdana" w:eastAsia="Calibri" w:hAnsi="Verdana" w:cs="Arial"/>
          <w:sz w:val="20"/>
          <w:szCs w:val="20"/>
          <w:lang w:eastAsia="es-ES"/>
        </w:rPr>
        <w:t xml:space="preserve">Hago parte del equipo estructurador de la entidad, elaboro los análisis del sector y en el momento de calcular y evaluar los indicadores de eficiencia, no puedo determinar si una entidad sin </w:t>
      </w:r>
      <w:r w:rsidR="005405F7" w:rsidRPr="00CB2266">
        <w:rPr>
          <w:rFonts w:ascii="Verdana" w:eastAsia="Calibri" w:hAnsi="Verdana" w:cs="Arial"/>
          <w:sz w:val="20"/>
          <w:szCs w:val="20"/>
          <w:lang w:eastAsia="es-ES"/>
        </w:rPr>
        <w:t>ánimo</w:t>
      </w:r>
      <w:r w:rsidRPr="0043184F">
        <w:rPr>
          <w:rFonts w:ascii="Verdana" w:eastAsia="Calibri" w:hAnsi="Verdana" w:cs="Arial"/>
          <w:sz w:val="20"/>
          <w:szCs w:val="20"/>
          <w:lang w:eastAsia="es-ES"/>
        </w:rPr>
        <w:t xml:space="preserve"> de lucro CUMPLE o NO CUMPLE</w:t>
      </w:r>
      <w:r w:rsidRPr="00CB2266">
        <w:rPr>
          <w:rFonts w:ascii="Verdana" w:eastAsia="Calibri" w:hAnsi="Verdana" w:cs="Arial"/>
          <w:sz w:val="20"/>
          <w:szCs w:val="20"/>
          <w:lang w:eastAsia="es-ES"/>
        </w:rPr>
        <w:t>.</w:t>
      </w:r>
      <w:r w:rsidR="0035584F">
        <w:rPr>
          <w:rFonts w:ascii="Verdana" w:eastAsia="Calibri" w:hAnsi="Verdana" w:cs="Arial"/>
          <w:sz w:val="20"/>
          <w:szCs w:val="20"/>
          <w:lang w:eastAsia="es-ES"/>
        </w:rPr>
        <w:t>(…)</w:t>
      </w:r>
    </w:p>
    <w:p w14:paraId="42B0CC74" w14:textId="77777777" w:rsidR="00C82738" w:rsidRDefault="00C82738" w:rsidP="00654D71">
      <w:pPr>
        <w:spacing w:after="0" w:line="240" w:lineRule="auto"/>
        <w:ind w:left="709" w:right="709"/>
        <w:jc w:val="both"/>
        <w:rPr>
          <w:rFonts w:ascii="Verdana" w:eastAsia="Calibri" w:hAnsi="Verdana" w:cs="Arial"/>
          <w:sz w:val="20"/>
          <w:szCs w:val="20"/>
          <w:lang w:val="es-ES" w:eastAsia="es-ES"/>
        </w:rPr>
      </w:pPr>
    </w:p>
    <w:p w14:paraId="4A833D08" w14:textId="77777777" w:rsidR="0035584F" w:rsidRPr="00CB2266" w:rsidRDefault="0035584F" w:rsidP="0035584F">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eastAsia="es-ES"/>
        </w:rPr>
        <w:t>(…)</w:t>
      </w:r>
    </w:p>
    <w:p w14:paraId="27C92A82" w14:textId="6B708575" w:rsidR="0035584F" w:rsidRPr="00CB2266" w:rsidRDefault="00C82738" w:rsidP="0035584F">
      <w:pPr>
        <w:spacing w:after="0" w:line="240" w:lineRule="auto"/>
        <w:ind w:left="709" w:right="709"/>
        <w:jc w:val="both"/>
        <w:rPr>
          <w:rFonts w:ascii="Verdana" w:eastAsia="Calibri" w:hAnsi="Verdana" w:cs="Arial"/>
          <w:sz w:val="20"/>
          <w:szCs w:val="20"/>
          <w:lang w:val="es-ES" w:eastAsia="es-ES"/>
        </w:rPr>
      </w:pPr>
      <w:r w:rsidRPr="00CB2266">
        <w:rPr>
          <w:rFonts w:ascii="Verdana" w:eastAsia="Calibri" w:hAnsi="Verdana" w:cs="Arial"/>
          <w:sz w:val="20"/>
          <w:szCs w:val="20"/>
          <w:lang w:val="es-ES" w:eastAsia="es-ES"/>
        </w:rPr>
        <w:t>L</w:t>
      </w:r>
      <w:r w:rsidRPr="00CB2266">
        <w:rPr>
          <w:rFonts w:ascii="Verdana" w:eastAsia="Calibri" w:hAnsi="Verdana" w:cs="Arial"/>
          <w:sz w:val="20"/>
          <w:szCs w:val="20"/>
          <w:lang w:eastAsia="es-ES"/>
        </w:rPr>
        <w:t xml:space="preserve">a </w:t>
      </w:r>
      <w:r w:rsidR="00E91720" w:rsidRPr="00CB2266">
        <w:rPr>
          <w:rFonts w:ascii="Verdana" w:eastAsia="Calibri" w:hAnsi="Verdana" w:cs="Arial"/>
          <w:sz w:val="20"/>
          <w:szCs w:val="20"/>
          <w:lang w:eastAsia="es-ES"/>
        </w:rPr>
        <w:t>guía</w:t>
      </w:r>
      <w:r w:rsidRPr="00CB2266">
        <w:rPr>
          <w:rFonts w:ascii="Verdana" w:eastAsia="Calibri" w:hAnsi="Verdana" w:cs="Arial"/>
          <w:sz w:val="20"/>
          <w:szCs w:val="20"/>
          <w:lang w:eastAsia="es-ES"/>
        </w:rPr>
        <w:t xml:space="preserve"> de CCE para contratar con ESAL no determina cuando una entidad CUMPLE o NO CUMPLE con el indicador de eficiencia, se debe calcular y evaluar pero no es criterio HABILITANTE, solo se menciona que entre </w:t>
      </w:r>
      <w:r w:rsidR="00E91720" w:rsidRPr="00CB2266">
        <w:rPr>
          <w:rFonts w:ascii="Verdana" w:eastAsia="Calibri" w:hAnsi="Verdana" w:cs="Arial"/>
          <w:sz w:val="20"/>
          <w:szCs w:val="20"/>
          <w:lang w:eastAsia="es-ES"/>
        </w:rPr>
        <w:t>más</w:t>
      </w:r>
      <w:r w:rsidRPr="00CB2266">
        <w:rPr>
          <w:rFonts w:ascii="Verdana" w:eastAsia="Calibri" w:hAnsi="Verdana" w:cs="Arial"/>
          <w:sz w:val="20"/>
          <w:szCs w:val="20"/>
          <w:lang w:eastAsia="es-ES"/>
        </w:rPr>
        <w:t xml:space="preserve"> alto es el %, </w:t>
      </w:r>
      <w:r w:rsidR="00E91720" w:rsidRPr="00CB2266">
        <w:rPr>
          <w:rFonts w:ascii="Verdana" w:eastAsia="Calibri" w:hAnsi="Verdana" w:cs="Arial"/>
          <w:sz w:val="20"/>
          <w:szCs w:val="20"/>
          <w:lang w:eastAsia="es-ES"/>
        </w:rPr>
        <w:t>más</w:t>
      </w:r>
      <w:r w:rsidRPr="00CB2266">
        <w:rPr>
          <w:rFonts w:ascii="Verdana" w:eastAsia="Calibri" w:hAnsi="Verdana" w:cs="Arial"/>
          <w:sz w:val="20"/>
          <w:szCs w:val="20"/>
          <w:lang w:eastAsia="es-ES"/>
        </w:rPr>
        <w:t xml:space="preserve"> eficiente es. Puede haber alguna forma para poderse determinar como criterio evaluador? Para la entidad no es confiable asociarse con una ESAL que su indicador de eficiencia este por debajo del 80%. Muchas gracias y quedo espera de su amable respuesta.</w:t>
      </w:r>
      <w:r w:rsidRPr="00CB2266">
        <w:rPr>
          <w:rFonts w:ascii="Verdana" w:eastAsia="Calibri" w:hAnsi="Verdana" w:cs="Arial"/>
          <w:sz w:val="20"/>
          <w:szCs w:val="20"/>
          <w:lang w:val="es-ES" w:eastAsia="es-ES"/>
        </w:rPr>
        <w:t>”</w:t>
      </w:r>
      <w:r w:rsidR="0035584F" w:rsidRPr="0035584F">
        <w:rPr>
          <w:rFonts w:ascii="Verdana" w:eastAsia="Calibri" w:hAnsi="Verdana" w:cs="Arial"/>
          <w:sz w:val="20"/>
          <w:szCs w:val="20"/>
          <w:lang w:eastAsia="es-ES"/>
        </w:rPr>
        <w:t xml:space="preserve"> </w:t>
      </w:r>
      <w:r w:rsidR="0035584F">
        <w:rPr>
          <w:rFonts w:ascii="Verdana" w:eastAsia="Calibri" w:hAnsi="Verdana" w:cs="Arial"/>
          <w:sz w:val="20"/>
          <w:szCs w:val="20"/>
          <w:lang w:eastAsia="es-ES"/>
        </w:rPr>
        <w:t>(…)</w:t>
      </w:r>
    </w:p>
    <w:p w14:paraId="093FDAE0" w14:textId="22E63766" w:rsidR="00654D71" w:rsidRPr="006723FA" w:rsidRDefault="00654D71" w:rsidP="00654D71">
      <w:pPr>
        <w:spacing w:after="0" w:line="240" w:lineRule="auto"/>
        <w:ind w:left="709" w:right="709"/>
        <w:jc w:val="both"/>
        <w:rPr>
          <w:rFonts w:ascii="Verdana" w:eastAsia="Calibri" w:hAnsi="Verdana" w:cs="Arial"/>
          <w:sz w:val="20"/>
          <w:szCs w:val="20"/>
          <w:lang w:val="es-ES" w:eastAsia="es-ES"/>
        </w:rPr>
      </w:pPr>
    </w:p>
    <w:p w14:paraId="66F191D0" w14:textId="77777777" w:rsidR="00654D71" w:rsidRPr="006723FA" w:rsidRDefault="00654D71" w:rsidP="00654D71">
      <w:pPr>
        <w:spacing w:after="120" w:line="276" w:lineRule="auto"/>
        <w:jc w:val="both"/>
        <w:rPr>
          <w:rFonts w:ascii="Verdana" w:eastAsia="Calibri" w:hAnsi="Verdana" w:cs="Arial"/>
          <w:lang w:val="es-ES" w:eastAsia="es-ES"/>
        </w:rPr>
      </w:pPr>
      <w:r w:rsidRPr="006723FA">
        <w:rPr>
          <w:rFonts w:ascii="Verdana" w:eastAsia="Calibri" w:hAnsi="Verdana" w:cs="Arial"/>
          <w:lang w:val="es-ES_tradnl" w:eastAsia="es-ES_tradnl"/>
        </w:rPr>
        <w:tab/>
      </w:r>
      <w:r w:rsidRPr="006723FA">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5C73C462" w14:textId="77777777" w:rsidR="00654D71" w:rsidRDefault="00654D71" w:rsidP="00654D71">
      <w:pPr>
        <w:spacing w:after="0" w:line="276" w:lineRule="auto"/>
        <w:jc w:val="both"/>
        <w:rPr>
          <w:rFonts w:ascii="Verdana" w:eastAsia="Calibri" w:hAnsi="Verdana" w:cs="Arial"/>
          <w:lang w:val="es-ES" w:eastAsia="es-ES"/>
        </w:rPr>
      </w:pPr>
      <w:r w:rsidRPr="006723FA">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041CC0D" w14:textId="77777777" w:rsidR="00654D71" w:rsidRPr="006723FA" w:rsidRDefault="00654D71" w:rsidP="00654D71">
      <w:pPr>
        <w:spacing w:after="0" w:line="276" w:lineRule="auto"/>
        <w:jc w:val="both"/>
        <w:rPr>
          <w:rFonts w:ascii="Verdana" w:eastAsia="Calibri" w:hAnsi="Verdana" w:cs="Arial"/>
          <w:lang w:val="es-ES" w:eastAsia="es-ES"/>
        </w:rPr>
      </w:pPr>
    </w:p>
    <w:p w14:paraId="573DF081" w14:textId="77777777" w:rsidR="00654D71" w:rsidRPr="006723FA" w:rsidRDefault="00654D71" w:rsidP="00654D71">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723FA">
        <w:rPr>
          <w:rFonts w:ascii="Verdana" w:eastAsia="Century Gothic" w:hAnsi="Verdana" w:cs="Century Gothic"/>
          <w:b/>
          <w:bCs/>
        </w:rPr>
        <w:t>Problema planteado:</w:t>
      </w:r>
    </w:p>
    <w:p w14:paraId="7E406046" w14:textId="77777777" w:rsidR="00654D71" w:rsidRPr="006723FA" w:rsidRDefault="00654D71" w:rsidP="00654D71">
      <w:pPr>
        <w:spacing w:after="0" w:line="240" w:lineRule="auto"/>
        <w:jc w:val="both"/>
        <w:rPr>
          <w:rFonts w:ascii="Verdana" w:eastAsia="Century Gothic" w:hAnsi="Verdana" w:cs="Century Gothic"/>
        </w:rPr>
      </w:pPr>
    </w:p>
    <w:p w14:paraId="06BA4E5A" w14:textId="5F712234" w:rsidR="00654D71" w:rsidRDefault="00654D71" w:rsidP="00654D71">
      <w:pPr>
        <w:spacing w:after="0" w:line="276" w:lineRule="auto"/>
        <w:jc w:val="both"/>
        <w:rPr>
          <w:rFonts w:ascii="Verdana" w:eastAsia="Century Gothic" w:hAnsi="Verdana" w:cs="Century Gothic"/>
        </w:rPr>
      </w:pPr>
      <w:r w:rsidRPr="00FB7C0B">
        <w:rPr>
          <w:rFonts w:ascii="Verdana" w:eastAsia="Century Gothic" w:hAnsi="Verdana" w:cs="Century Gothic"/>
        </w:rPr>
        <w:t xml:space="preserve">De acuerdo con el contenido de su solicitud, esta Agencia resolverá </w:t>
      </w:r>
      <w:r w:rsidR="0085683C">
        <w:rPr>
          <w:rFonts w:ascii="Verdana" w:eastAsia="Century Gothic" w:hAnsi="Verdana" w:cs="Century Gothic"/>
        </w:rPr>
        <w:t xml:space="preserve">el </w:t>
      </w:r>
      <w:r w:rsidR="008E1C7C">
        <w:rPr>
          <w:rFonts w:ascii="Verdana" w:eastAsia="Century Gothic" w:hAnsi="Verdana" w:cs="Century Gothic"/>
        </w:rPr>
        <w:t>siguiente problem</w:t>
      </w:r>
      <w:r w:rsidR="008E1C7C" w:rsidRPr="008E1C7C">
        <w:rPr>
          <w:rFonts w:ascii="Verdana" w:eastAsia="Century Gothic" w:hAnsi="Verdana" w:cs="Century Gothic"/>
        </w:rPr>
        <w:t>a ¿</w:t>
      </w:r>
      <w:r w:rsidR="00B35A58" w:rsidRPr="008E1C7C">
        <w:rPr>
          <w:rFonts w:ascii="Verdana" w:eastAsia="Century Gothic" w:hAnsi="Verdana" w:cs="Century Gothic"/>
        </w:rPr>
        <w:t>Qué son</w:t>
      </w:r>
      <w:r w:rsidR="00B35A58" w:rsidRPr="0085683C">
        <w:rPr>
          <w:rFonts w:ascii="Verdana" w:eastAsia="Century Gothic" w:hAnsi="Verdana" w:cs="Century Gothic"/>
        </w:rPr>
        <w:t xml:space="preserve"> los indicadores de eficiencia</w:t>
      </w:r>
      <w:r w:rsidR="00D00F36" w:rsidRPr="0085683C">
        <w:rPr>
          <w:rFonts w:ascii="Verdana" w:eastAsia="Century Gothic" w:hAnsi="Verdana" w:cs="Century Gothic"/>
        </w:rPr>
        <w:t xml:space="preserve"> a la luz de lo </w:t>
      </w:r>
      <w:r w:rsidR="0085683C" w:rsidRPr="0085683C">
        <w:rPr>
          <w:rFonts w:ascii="Verdana" w:eastAsia="Century Gothic" w:hAnsi="Verdana" w:cs="Century Gothic"/>
        </w:rPr>
        <w:t xml:space="preserve">establecido en la </w:t>
      </w:r>
      <w:r w:rsidR="0085683C" w:rsidRPr="0085683C">
        <w:rPr>
          <w:rFonts w:ascii="Verdana" w:eastAsia="Century Gothic" w:hAnsi="Verdana" w:cs="Century Gothic"/>
          <w:i/>
          <w:iCs/>
        </w:rPr>
        <w:t>Guía para la contratación con entidades sin ánimo de lucro y de reconocida idoneidad</w:t>
      </w:r>
      <w:r w:rsidRPr="0085683C">
        <w:rPr>
          <w:rFonts w:ascii="Verdana" w:eastAsia="Century Gothic" w:hAnsi="Verdana" w:cs="Century Gothic"/>
        </w:rPr>
        <w:t>?</w:t>
      </w:r>
      <w:r w:rsidR="005405F7" w:rsidRPr="00CB2266">
        <w:rPr>
          <w:rFonts w:ascii="Verdana" w:eastAsia="Century Gothic" w:hAnsi="Verdana" w:cs="Century Gothic"/>
        </w:rPr>
        <w:t xml:space="preserve"> y ¿Cómo se realiza su verificación? </w:t>
      </w:r>
    </w:p>
    <w:p w14:paraId="345C7BFB" w14:textId="77777777" w:rsidR="00654D71" w:rsidRDefault="00654D71" w:rsidP="00654D71">
      <w:pPr>
        <w:spacing w:after="0" w:line="276" w:lineRule="auto"/>
        <w:jc w:val="both"/>
        <w:rPr>
          <w:rFonts w:ascii="Verdana" w:eastAsia="Century Gothic" w:hAnsi="Verdana" w:cs="Century Gothic"/>
        </w:rPr>
      </w:pPr>
    </w:p>
    <w:p w14:paraId="5B0D293E" w14:textId="77777777" w:rsidR="00654D71" w:rsidRDefault="00654D71" w:rsidP="00654D71">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1545C">
        <w:rPr>
          <w:rFonts w:ascii="Verdana" w:eastAsia="Century Gothic" w:hAnsi="Verdana" w:cs="Century Gothic"/>
          <w:b/>
          <w:bCs/>
        </w:rPr>
        <w:t>Respuesta:</w:t>
      </w:r>
    </w:p>
    <w:p w14:paraId="22F4204B" w14:textId="77777777" w:rsidR="00654D71" w:rsidRDefault="00654D71" w:rsidP="00654D71">
      <w:pPr>
        <w:pStyle w:val="ListParagraph"/>
        <w:tabs>
          <w:tab w:val="left" w:pos="142"/>
          <w:tab w:val="left" w:pos="284"/>
        </w:tabs>
        <w:spacing w:after="0" w:line="276" w:lineRule="auto"/>
        <w:ind w:left="0"/>
        <w:jc w:val="both"/>
        <w:rPr>
          <w:rFonts w:ascii="Verdana" w:eastAsia="Century Gothic" w:hAnsi="Verdana" w:cs="Century Gothic"/>
          <w:b/>
          <w:bCs/>
        </w:rPr>
      </w:pPr>
    </w:p>
    <w:p w14:paraId="4BB0AF96" w14:textId="276A217F" w:rsidR="005F57C8" w:rsidRPr="00CB2266" w:rsidRDefault="005F57C8" w:rsidP="005F57C8">
      <w:pPr>
        <w:spacing w:after="0" w:line="276" w:lineRule="auto"/>
        <w:jc w:val="both"/>
        <w:rPr>
          <w:rFonts w:ascii="Verdana" w:eastAsia="Century Gothic" w:hAnsi="Verdana" w:cs="Century Gothic"/>
          <w:iCs/>
        </w:rPr>
      </w:pPr>
      <w:r w:rsidRPr="00CB2266">
        <w:rPr>
          <w:rFonts w:ascii="Verdana" w:eastAsia="Century Gothic" w:hAnsi="Verdana" w:cs="Century Gothic"/>
        </w:rPr>
        <w:t xml:space="preserve">Los indicadores de eficiencia planteados por parte de la Agencia en la </w:t>
      </w:r>
      <w:r w:rsidRPr="004F2189">
        <w:rPr>
          <w:rFonts w:ascii="Verdana" w:eastAsia="Century Gothic" w:hAnsi="Verdana" w:cs="Century Gothic"/>
          <w:i/>
        </w:rPr>
        <w:t>Guía para la contratación con entidades sin ánimo de lucro y de reconocida idoneidad</w:t>
      </w:r>
      <w:r w:rsidRPr="00CB2266">
        <w:rPr>
          <w:rFonts w:ascii="Verdana" w:eastAsia="Century Gothic" w:hAnsi="Verdana" w:cs="Century Gothic"/>
          <w:iCs/>
        </w:rPr>
        <w:t xml:space="preserve">, tiene como propósito verificar el grado de madurez y de dedicación a proyectos misionales por parte de las ESALES. </w:t>
      </w:r>
    </w:p>
    <w:p w14:paraId="2D93DF47" w14:textId="77777777" w:rsidR="005F57C8" w:rsidRPr="00CB2266" w:rsidRDefault="005F57C8" w:rsidP="005F57C8">
      <w:pPr>
        <w:spacing w:after="0" w:line="276" w:lineRule="auto"/>
        <w:jc w:val="both"/>
        <w:rPr>
          <w:rFonts w:ascii="Verdana" w:eastAsia="Century Gothic" w:hAnsi="Verdana" w:cs="Century Gothic"/>
          <w:iCs/>
        </w:rPr>
      </w:pPr>
    </w:p>
    <w:p w14:paraId="0D3BB3D3" w14:textId="6DA4A81C" w:rsidR="005F57C8" w:rsidRPr="00CB2266" w:rsidRDefault="005F57C8" w:rsidP="004F2189">
      <w:pPr>
        <w:spacing w:after="120" w:line="276" w:lineRule="auto"/>
        <w:jc w:val="both"/>
        <w:rPr>
          <w:rFonts w:ascii="Verdana" w:eastAsia="Century Gothic" w:hAnsi="Verdana" w:cs="Century Gothic"/>
        </w:rPr>
      </w:pPr>
      <w:r w:rsidRPr="00CB2266">
        <w:rPr>
          <w:rFonts w:ascii="Verdana" w:eastAsia="Century Gothic" w:hAnsi="Verdana" w:cs="Century Gothic"/>
          <w:iCs/>
        </w:rPr>
        <w:t xml:space="preserve">Para realizar la verificación </w:t>
      </w:r>
      <w:r w:rsidRPr="00CB2266">
        <w:rPr>
          <w:rFonts w:ascii="Verdana" w:eastAsia="Century Gothic" w:hAnsi="Verdana" w:cs="Century Gothic"/>
        </w:rPr>
        <w:t>la Guía propone dos indicadores que permiten evaluar de manera objetiva a l</w:t>
      </w:r>
      <w:r w:rsidR="00216B0C">
        <w:rPr>
          <w:rFonts w:ascii="Verdana" w:eastAsia="Century Gothic" w:hAnsi="Verdana" w:cs="Century Gothic"/>
        </w:rPr>
        <w:t>a eficiencia organizativa de los</w:t>
      </w:r>
      <w:r w:rsidRPr="00CB2266">
        <w:rPr>
          <w:rFonts w:ascii="Verdana" w:eastAsia="Century Gothic" w:hAnsi="Verdana" w:cs="Century Gothic"/>
        </w:rPr>
        <w:t xml:space="preserve"> proponentes, de la siguiente manera</w:t>
      </w:r>
      <w:r w:rsidR="00216B0C">
        <w:rPr>
          <w:rFonts w:ascii="Verdana" w:eastAsia="Century Gothic" w:hAnsi="Verdana" w:cs="Century Gothic"/>
        </w:rPr>
        <w:t xml:space="preserve">, </w:t>
      </w:r>
      <w:r w:rsidR="00A02186">
        <w:rPr>
          <w:rFonts w:ascii="Verdana" w:eastAsia="Century Gothic" w:hAnsi="Verdana" w:cs="Century Gothic"/>
        </w:rPr>
        <w:t>los cuales resultan de</w:t>
      </w:r>
      <w:r w:rsidRPr="00CB2266">
        <w:rPr>
          <w:rFonts w:ascii="Verdana" w:eastAsia="Century Gothic" w:hAnsi="Verdana" w:cs="Century Gothic"/>
        </w:rPr>
        <w:t xml:space="preserve">: </w:t>
      </w:r>
      <w:r w:rsidR="00F20CC7">
        <w:rPr>
          <w:rFonts w:ascii="Verdana" w:eastAsia="Century Gothic" w:hAnsi="Verdana" w:cs="Century Gothic"/>
        </w:rPr>
        <w:t xml:space="preserve">(i) el </w:t>
      </w:r>
      <w:r w:rsidR="008C349C">
        <w:rPr>
          <w:rFonts w:ascii="Verdana" w:eastAsia="Century Gothic" w:hAnsi="Verdana" w:cs="Century Gothic"/>
        </w:rPr>
        <w:t>cociente</w:t>
      </w:r>
      <w:r w:rsidR="00F20CC7">
        <w:rPr>
          <w:rFonts w:ascii="Verdana" w:eastAsia="Century Gothic" w:hAnsi="Verdana" w:cs="Century Gothic"/>
        </w:rPr>
        <w:t xml:space="preserve"> </w:t>
      </w:r>
      <w:r w:rsidR="00A02186">
        <w:rPr>
          <w:rFonts w:ascii="Verdana" w:eastAsia="Century Gothic" w:hAnsi="Verdana" w:cs="Century Gothic"/>
        </w:rPr>
        <w:t>que arroja</w:t>
      </w:r>
      <w:r w:rsidR="0056116A">
        <w:rPr>
          <w:rFonts w:ascii="Verdana" w:eastAsia="Century Gothic" w:hAnsi="Verdana" w:cs="Century Gothic"/>
        </w:rPr>
        <w:t xml:space="preserve"> </w:t>
      </w:r>
      <w:r w:rsidR="009F6B0B">
        <w:rPr>
          <w:rFonts w:ascii="Verdana" w:eastAsia="Century Gothic" w:hAnsi="Verdana" w:cs="Century Gothic"/>
        </w:rPr>
        <w:t xml:space="preserve">la </w:t>
      </w:r>
      <w:r w:rsidR="0056116A">
        <w:rPr>
          <w:rFonts w:ascii="Verdana" w:eastAsia="Century Gothic" w:hAnsi="Verdana" w:cs="Century Gothic"/>
        </w:rPr>
        <w:t>divi</w:t>
      </w:r>
      <w:r w:rsidR="009F6B0B">
        <w:rPr>
          <w:rFonts w:ascii="Verdana" w:eastAsia="Century Gothic" w:hAnsi="Verdana" w:cs="Century Gothic"/>
        </w:rPr>
        <w:t>sión de</w:t>
      </w:r>
      <w:r w:rsidR="0056116A">
        <w:rPr>
          <w:rFonts w:ascii="Verdana" w:eastAsia="Century Gothic" w:hAnsi="Verdana" w:cs="Century Gothic"/>
        </w:rPr>
        <w:t xml:space="preserve"> los </w:t>
      </w:r>
      <w:r w:rsidR="0056116A" w:rsidRPr="004F2189">
        <w:rPr>
          <w:rFonts w:ascii="Verdana" w:eastAsia="Century Gothic" w:hAnsi="Verdana" w:cs="Century Gothic"/>
          <w:i/>
          <w:iCs/>
        </w:rPr>
        <w:t>Gastos de Implemen</w:t>
      </w:r>
      <w:r w:rsidR="00F44BC1" w:rsidRPr="004F2189">
        <w:rPr>
          <w:rFonts w:ascii="Verdana" w:eastAsia="Century Gothic" w:hAnsi="Verdana" w:cs="Century Gothic"/>
          <w:i/>
          <w:iCs/>
        </w:rPr>
        <w:t>tación de los proyectos en un año determinado</w:t>
      </w:r>
      <w:r w:rsidR="00F44BC1">
        <w:rPr>
          <w:rFonts w:ascii="Verdana" w:eastAsia="Century Gothic" w:hAnsi="Verdana" w:cs="Century Gothic"/>
        </w:rPr>
        <w:t xml:space="preserve">, entre el </w:t>
      </w:r>
      <w:r w:rsidR="00F44BC1" w:rsidRPr="004F2189">
        <w:rPr>
          <w:rFonts w:ascii="Verdana" w:eastAsia="Century Gothic" w:hAnsi="Verdana" w:cs="Century Gothic"/>
          <w:i/>
          <w:iCs/>
        </w:rPr>
        <w:t xml:space="preserve">Total de los Gastos de funcionamiento de la Entidad Sin </w:t>
      </w:r>
      <w:proofErr w:type="spellStart"/>
      <w:r w:rsidR="00F44BC1" w:rsidRPr="004F2189">
        <w:rPr>
          <w:rFonts w:ascii="Verdana" w:eastAsia="Century Gothic" w:hAnsi="Verdana" w:cs="Century Gothic"/>
          <w:i/>
          <w:iCs/>
        </w:rPr>
        <w:t>Animo</w:t>
      </w:r>
      <w:proofErr w:type="spellEnd"/>
      <w:r w:rsidR="00F44BC1" w:rsidRPr="004F2189">
        <w:rPr>
          <w:rFonts w:ascii="Verdana" w:eastAsia="Century Gothic" w:hAnsi="Verdana" w:cs="Century Gothic"/>
          <w:i/>
          <w:iCs/>
        </w:rPr>
        <w:t xml:space="preserve"> de Lucro en dicho</w:t>
      </w:r>
      <w:r w:rsidR="001A1E98" w:rsidRPr="004F2189">
        <w:rPr>
          <w:rFonts w:ascii="Verdana" w:eastAsia="Century Gothic" w:hAnsi="Verdana" w:cs="Century Gothic"/>
          <w:i/>
          <w:iCs/>
        </w:rPr>
        <w:t xml:space="preserve"> año</w:t>
      </w:r>
      <w:r w:rsidR="001A1E98">
        <w:rPr>
          <w:rFonts w:ascii="Verdana" w:eastAsia="Century Gothic" w:hAnsi="Verdana" w:cs="Century Gothic"/>
        </w:rPr>
        <w:t xml:space="preserve">; y </w:t>
      </w:r>
      <w:proofErr w:type="spellStart"/>
      <w:r w:rsidR="001A1E98">
        <w:rPr>
          <w:rFonts w:ascii="Verdana" w:eastAsia="Century Gothic" w:hAnsi="Verdana" w:cs="Century Gothic"/>
        </w:rPr>
        <w:t>ii</w:t>
      </w:r>
      <w:proofErr w:type="spellEnd"/>
      <w:r w:rsidR="001A1E98">
        <w:rPr>
          <w:rFonts w:ascii="Verdana" w:eastAsia="Century Gothic" w:hAnsi="Verdana" w:cs="Century Gothic"/>
        </w:rPr>
        <w:t xml:space="preserve">) el cociente del </w:t>
      </w:r>
      <w:r w:rsidR="001A1E98" w:rsidRPr="004F2189">
        <w:rPr>
          <w:rFonts w:ascii="Verdana" w:eastAsia="Century Gothic" w:hAnsi="Verdana" w:cs="Century Gothic"/>
          <w:i/>
          <w:iCs/>
        </w:rPr>
        <w:t xml:space="preserve">Total de gastos de </w:t>
      </w:r>
      <w:r w:rsidR="00775308" w:rsidRPr="004F2189">
        <w:rPr>
          <w:rFonts w:ascii="Verdana" w:eastAsia="Century Gothic" w:hAnsi="Verdana" w:cs="Century Gothic"/>
          <w:i/>
          <w:iCs/>
        </w:rPr>
        <w:t>funcionamiento de la Entidad Ánimo de Lucro</w:t>
      </w:r>
      <w:r w:rsidR="006D4140" w:rsidRPr="004F2189">
        <w:rPr>
          <w:rFonts w:ascii="Verdana" w:eastAsia="Century Gothic" w:hAnsi="Verdana" w:cs="Century Gothic"/>
          <w:i/>
          <w:iCs/>
        </w:rPr>
        <w:t xml:space="preserve"> en un determinado</w:t>
      </w:r>
      <w:r w:rsidR="006D4140">
        <w:rPr>
          <w:rFonts w:ascii="Verdana" w:eastAsia="Century Gothic" w:hAnsi="Verdana" w:cs="Century Gothic"/>
        </w:rPr>
        <w:t xml:space="preserve">, </w:t>
      </w:r>
      <w:r w:rsidR="009F6B0B">
        <w:rPr>
          <w:rFonts w:ascii="Verdana" w:eastAsia="Century Gothic" w:hAnsi="Verdana" w:cs="Century Gothic"/>
        </w:rPr>
        <w:t xml:space="preserve">dividido </w:t>
      </w:r>
      <w:r w:rsidR="006D4140">
        <w:rPr>
          <w:rFonts w:ascii="Verdana" w:eastAsia="Century Gothic" w:hAnsi="Verdana" w:cs="Century Gothic"/>
        </w:rPr>
        <w:t xml:space="preserve">entre el </w:t>
      </w:r>
      <w:r w:rsidR="006D4140" w:rsidRPr="004F2189">
        <w:rPr>
          <w:rFonts w:ascii="Verdana" w:eastAsia="Century Gothic" w:hAnsi="Verdana" w:cs="Century Gothic"/>
          <w:i/>
          <w:iCs/>
        </w:rPr>
        <w:t>Total de contribuciones del sector privado en dicho año</w:t>
      </w:r>
      <w:r w:rsidR="006D4140">
        <w:rPr>
          <w:rFonts w:ascii="Verdana" w:eastAsia="Century Gothic" w:hAnsi="Verdana" w:cs="Century Gothic"/>
        </w:rPr>
        <w:t>.</w:t>
      </w:r>
    </w:p>
    <w:p w14:paraId="544CF544" w14:textId="4744DB73" w:rsidR="005F57C8" w:rsidRDefault="005F57C8" w:rsidP="004F2189">
      <w:pPr>
        <w:spacing w:after="120" w:line="276" w:lineRule="auto"/>
        <w:ind w:firstLine="709"/>
        <w:jc w:val="both"/>
        <w:rPr>
          <w:rFonts w:ascii="Verdana" w:eastAsia="Century Gothic" w:hAnsi="Verdana" w:cs="Century Gothic"/>
          <w:iCs/>
        </w:rPr>
      </w:pPr>
      <w:r w:rsidRPr="00CB2266">
        <w:rPr>
          <w:rFonts w:ascii="Verdana" w:eastAsia="Century Gothic" w:hAnsi="Verdana" w:cs="Century Gothic"/>
        </w:rPr>
        <w:t xml:space="preserve">De lo anterior, se puede precisar que el </w:t>
      </w:r>
      <w:r w:rsidRPr="004F2189">
        <w:rPr>
          <w:rFonts w:ascii="Verdana" w:eastAsia="Century Gothic" w:hAnsi="Verdana" w:cs="Century Gothic"/>
          <w:i/>
          <w:iCs/>
        </w:rPr>
        <w:t>primer indicador</w:t>
      </w:r>
      <w:r w:rsidRPr="00CB2266">
        <w:rPr>
          <w:rFonts w:ascii="Verdana" w:eastAsia="Century Gothic" w:hAnsi="Verdana" w:cs="Century Gothic"/>
        </w:rPr>
        <w:t xml:space="preserve"> tiene como objetivo medir la </w:t>
      </w:r>
      <w:r w:rsidR="00D44211">
        <w:rPr>
          <w:rFonts w:ascii="Verdana" w:eastAsia="Century Gothic" w:hAnsi="Verdana" w:cs="Century Gothic"/>
        </w:rPr>
        <w:t>eficiencia</w:t>
      </w:r>
      <w:r w:rsidR="00EA247B">
        <w:rPr>
          <w:rFonts w:ascii="Verdana" w:eastAsia="Century Gothic" w:hAnsi="Verdana" w:cs="Century Gothic"/>
        </w:rPr>
        <w:t xml:space="preserve"> de la organización, de cara la ejecución del contrato, midiendo </w:t>
      </w:r>
      <w:r w:rsidR="00BE2D6C">
        <w:rPr>
          <w:rFonts w:ascii="Verdana" w:eastAsia="Century Gothic" w:hAnsi="Verdana" w:cs="Century Gothic"/>
        </w:rPr>
        <w:t xml:space="preserve">el porcentaje de recursos que se </w:t>
      </w:r>
      <w:r w:rsidR="002E5DB9">
        <w:rPr>
          <w:rFonts w:ascii="Verdana" w:eastAsia="Century Gothic" w:hAnsi="Verdana" w:cs="Century Gothic"/>
        </w:rPr>
        <w:t xml:space="preserve">requiere la entidad sin </w:t>
      </w:r>
      <w:proofErr w:type="spellStart"/>
      <w:r w:rsidR="002E5DB9">
        <w:rPr>
          <w:rFonts w:ascii="Verdana" w:eastAsia="Century Gothic" w:hAnsi="Verdana" w:cs="Century Gothic"/>
        </w:rPr>
        <w:t>animo</w:t>
      </w:r>
      <w:proofErr w:type="spellEnd"/>
      <w:r w:rsidR="002E5DB9">
        <w:rPr>
          <w:rFonts w:ascii="Verdana" w:eastAsia="Century Gothic" w:hAnsi="Verdana" w:cs="Century Gothic"/>
        </w:rPr>
        <w:t xml:space="preserve"> de lucro, </w:t>
      </w:r>
      <w:r w:rsidR="006057E6">
        <w:rPr>
          <w:rFonts w:ascii="Verdana" w:eastAsia="Century Gothic" w:hAnsi="Verdana" w:cs="Century Gothic"/>
        </w:rPr>
        <w:t xml:space="preserve">de manera que </w:t>
      </w:r>
      <w:r w:rsidR="00166A5B">
        <w:rPr>
          <w:rFonts w:ascii="Verdana" w:eastAsia="Century Gothic" w:hAnsi="Verdana" w:cs="Century Gothic"/>
        </w:rPr>
        <w:t xml:space="preserve">entre mayor </w:t>
      </w:r>
      <w:r w:rsidR="00653933">
        <w:rPr>
          <w:rFonts w:ascii="Verdana" w:eastAsia="Century Gothic" w:hAnsi="Verdana" w:cs="Century Gothic"/>
        </w:rPr>
        <w:t xml:space="preserve">sea </w:t>
      </w:r>
      <w:r w:rsidR="002D4966">
        <w:rPr>
          <w:rFonts w:ascii="Verdana" w:eastAsia="Century Gothic" w:hAnsi="Verdana" w:cs="Century Gothic"/>
        </w:rPr>
        <w:t xml:space="preserve">el </w:t>
      </w:r>
      <w:r w:rsidR="00284EE6">
        <w:rPr>
          <w:rFonts w:ascii="Verdana" w:eastAsia="Century Gothic" w:hAnsi="Verdana" w:cs="Century Gothic"/>
        </w:rPr>
        <w:t xml:space="preserve">porcentaje </w:t>
      </w:r>
      <w:r w:rsidR="00F926CB">
        <w:rPr>
          <w:rFonts w:ascii="Verdana" w:eastAsia="Century Gothic" w:hAnsi="Verdana" w:cs="Century Gothic"/>
        </w:rPr>
        <w:t>establecido</w:t>
      </w:r>
      <w:r w:rsidR="00653933">
        <w:rPr>
          <w:rFonts w:ascii="Verdana" w:eastAsia="Century Gothic" w:hAnsi="Verdana" w:cs="Century Gothic"/>
        </w:rPr>
        <w:t xml:space="preserve"> como indicador</w:t>
      </w:r>
      <w:r w:rsidR="00F926CB">
        <w:rPr>
          <w:rFonts w:ascii="Verdana" w:eastAsia="Century Gothic" w:hAnsi="Verdana" w:cs="Century Gothic"/>
        </w:rPr>
        <w:t xml:space="preserve">, </w:t>
      </w:r>
      <w:r w:rsidR="00A54566">
        <w:rPr>
          <w:rFonts w:ascii="Verdana" w:eastAsia="Century Gothic" w:hAnsi="Verdana" w:cs="Century Gothic"/>
        </w:rPr>
        <w:t xml:space="preserve">mayor será el grado de eficiencia, en la medida en que </w:t>
      </w:r>
      <w:r w:rsidR="00AA65A0">
        <w:rPr>
          <w:rFonts w:ascii="Verdana" w:eastAsia="Century Gothic" w:hAnsi="Verdana" w:cs="Century Gothic"/>
        </w:rPr>
        <w:t>serán menores los gastos de administración que los efectivamente destinados al proyecto.</w:t>
      </w:r>
      <w:r w:rsidR="00BE2D6C">
        <w:rPr>
          <w:rFonts w:ascii="Verdana" w:eastAsia="Century Gothic" w:hAnsi="Verdana" w:cs="Century Gothic"/>
        </w:rPr>
        <w:t xml:space="preserve"> </w:t>
      </w:r>
      <w:r w:rsidR="00AA65A0">
        <w:rPr>
          <w:rFonts w:ascii="Verdana" w:eastAsia="Century Gothic" w:hAnsi="Verdana" w:cs="Century Gothic"/>
        </w:rPr>
        <w:t xml:space="preserve">El </w:t>
      </w:r>
      <w:r w:rsidR="00AA65A0" w:rsidRPr="004F2189">
        <w:rPr>
          <w:rFonts w:ascii="Verdana" w:eastAsia="Century Gothic" w:hAnsi="Verdana" w:cs="Century Gothic"/>
          <w:i/>
          <w:iCs/>
        </w:rPr>
        <w:t>segundo indicador</w:t>
      </w:r>
      <w:r w:rsidR="00AA65A0">
        <w:rPr>
          <w:rFonts w:ascii="Verdana" w:eastAsia="Century Gothic" w:hAnsi="Verdana" w:cs="Century Gothic"/>
        </w:rPr>
        <w:t>, es aplicable en procesos en los que establece la posibilidad de ejecutar el proyec</w:t>
      </w:r>
      <w:r w:rsidR="00063F4A">
        <w:rPr>
          <w:rFonts w:ascii="Verdana" w:eastAsia="Century Gothic" w:hAnsi="Verdana" w:cs="Century Gothic"/>
        </w:rPr>
        <w:t>to con financiación privada</w:t>
      </w:r>
      <w:r w:rsidR="00F741AE">
        <w:rPr>
          <w:rFonts w:ascii="Verdana" w:eastAsia="Century Gothic" w:hAnsi="Verdana" w:cs="Century Gothic"/>
        </w:rPr>
        <w:t>, de manera que esta sea valora</w:t>
      </w:r>
      <w:r w:rsidR="0033032E">
        <w:rPr>
          <w:rFonts w:ascii="Verdana" w:eastAsia="Century Gothic" w:hAnsi="Verdana" w:cs="Century Gothic"/>
        </w:rPr>
        <w:t xml:space="preserve">da de forma positiva, permitiendo que quien acredite </w:t>
      </w:r>
      <w:r w:rsidR="00791D98">
        <w:rPr>
          <w:rFonts w:ascii="Verdana" w:eastAsia="Century Gothic" w:hAnsi="Verdana" w:cs="Century Gothic"/>
        </w:rPr>
        <w:t>más financiaci</w:t>
      </w:r>
      <w:r w:rsidR="00135417">
        <w:rPr>
          <w:rFonts w:ascii="Verdana" w:eastAsia="Century Gothic" w:hAnsi="Verdana" w:cs="Century Gothic"/>
        </w:rPr>
        <w:t xml:space="preserve">ón sea considerado más eficiente. </w:t>
      </w:r>
      <w:r w:rsidR="00BA195F">
        <w:rPr>
          <w:rFonts w:ascii="Verdana" w:eastAsia="Century Gothic" w:hAnsi="Verdana" w:cs="Century Gothic"/>
        </w:rPr>
        <w:t xml:space="preserve"> </w:t>
      </w:r>
      <w:r w:rsidR="00CA2AA0">
        <w:rPr>
          <w:rFonts w:ascii="Verdana" w:eastAsia="Century Gothic" w:hAnsi="Verdana" w:cs="Century Gothic"/>
        </w:rPr>
        <w:t>Sin perjuicio de esto</w:t>
      </w:r>
      <w:r w:rsidR="00A3449D">
        <w:rPr>
          <w:rFonts w:ascii="Verdana" w:eastAsia="Century Gothic" w:hAnsi="Verdana" w:cs="Century Gothic"/>
          <w:iCs/>
        </w:rPr>
        <w:t xml:space="preserve">, corresponde a cada </w:t>
      </w:r>
      <w:r w:rsidRPr="00CB2266">
        <w:rPr>
          <w:rFonts w:ascii="Verdana" w:eastAsia="Century Gothic" w:hAnsi="Verdana" w:cs="Century Gothic"/>
          <w:iCs/>
        </w:rPr>
        <w:t xml:space="preserve">  </w:t>
      </w:r>
      <w:r w:rsidR="00A3449D">
        <w:rPr>
          <w:rFonts w:ascii="Verdana" w:eastAsia="Century Gothic" w:hAnsi="Verdana" w:cs="Century Gothic"/>
          <w:iCs/>
        </w:rPr>
        <w:t>E</w:t>
      </w:r>
      <w:r w:rsidRPr="00CB2266">
        <w:rPr>
          <w:rFonts w:ascii="Verdana" w:eastAsia="Century Gothic" w:hAnsi="Verdana" w:cs="Century Gothic"/>
          <w:iCs/>
        </w:rPr>
        <w:t>ntidad</w:t>
      </w:r>
      <w:r w:rsidR="00A3449D">
        <w:rPr>
          <w:rFonts w:ascii="Verdana" w:eastAsia="Century Gothic" w:hAnsi="Verdana" w:cs="Century Gothic"/>
          <w:iCs/>
        </w:rPr>
        <w:t xml:space="preserve"> Estatal contratante desarrollar el análisis del sector </w:t>
      </w:r>
      <w:r w:rsidR="008E1649">
        <w:rPr>
          <w:rFonts w:ascii="Verdana" w:eastAsia="Century Gothic" w:hAnsi="Verdana" w:cs="Century Gothic"/>
          <w:iCs/>
        </w:rPr>
        <w:t>económico tendiente a establecer</w:t>
      </w:r>
      <w:r w:rsidRPr="00CB2266">
        <w:rPr>
          <w:rFonts w:ascii="Verdana" w:eastAsia="Century Gothic" w:hAnsi="Verdana" w:cs="Century Gothic"/>
          <w:iCs/>
        </w:rPr>
        <w:t xml:space="preserve"> </w:t>
      </w:r>
      <w:proofErr w:type="spellStart"/>
      <w:r w:rsidR="008E1649">
        <w:rPr>
          <w:rFonts w:ascii="Verdana" w:eastAsia="Century Gothic" w:hAnsi="Verdana" w:cs="Century Gothic"/>
          <w:iCs/>
        </w:rPr>
        <w:t>cual</w:t>
      </w:r>
      <w:proofErr w:type="spellEnd"/>
      <w:r w:rsidR="008E1649">
        <w:rPr>
          <w:rFonts w:ascii="Verdana" w:eastAsia="Century Gothic" w:hAnsi="Verdana" w:cs="Century Gothic"/>
          <w:iCs/>
        </w:rPr>
        <w:t xml:space="preserve"> es la manera más adecuada de </w:t>
      </w:r>
      <w:r w:rsidR="00CA2AA0">
        <w:rPr>
          <w:rFonts w:ascii="Verdana" w:eastAsia="Century Gothic" w:hAnsi="Verdana" w:cs="Century Gothic"/>
          <w:iCs/>
        </w:rPr>
        <w:t>evaluar la idoneidad o de aplicar estos indicadores, de acuerdo con el alcance y complejidad del objeto contractual.</w:t>
      </w:r>
    </w:p>
    <w:p w14:paraId="70DC9763" w14:textId="2154C862" w:rsidR="0035584F" w:rsidRPr="00CB2266" w:rsidRDefault="00CA2AA0" w:rsidP="004F2189">
      <w:pPr>
        <w:spacing w:after="0" w:line="276" w:lineRule="auto"/>
        <w:ind w:firstLine="708"/>
        <w:jc w:val="both"/>
        <w:rPr>
          <w:rFonts w:ascii="Verdana" w:eastAsia="Century Gothic" w:hAnsi="Verdana" w:cs="Century Gothic"/>
          <w:iCs/>
        </w:rPr>
      </w:pPr>
      <w:r>
        <w:rPr>
          <w:rFonts w:ascii="Verdana" w:eastAsia="Century Gothic" w:hAnsi="Verdana" w:cs="Century Gothic"/>
          <w:iCs/>
        </w:rPr>
        <w:t xml:space="preserve">En todo caso, </w:t>
      </w:r>
      <w:r w:rsidR="00176538">
        <w:rPr>
          <w:rFonts w:ascii="Verdana" w:eastAsia="Century Gothic" w:hAnsi="Verdana" w:cs="Century Gothic"/>
          <w:iCs/>
        </w:rPr>
        <w:t xml:space="preserve">es preciso aclarar que el contenido de la </w:t>
      </w:r>
      <w:r w:rsidR="00176538" w:rsidRPr="009E161B">
        <w:rPr>
          <w:rFonts w:ascii="Verdana" w:eastAsia="Century Gothic" w:hAnsi="Verdana" w:cs="Century Gothic"/>
          <w:i/>
        </w:rPr>
        <w:t>Guía para la contratación con entidades sin ánimo de lucro y de reconocida idoneidad</w:t>
      </w:r>
      <w:r w:rsidR="00176538">
        <w:rPr>
          <w:rFonts w:ascii="Verdana" w:eastAsia="Century Gothic" w:hAnsi="Verdana" w:cs="Century Gothic"/>
          <w:i/>
        </w:rPr>
        <w:t xml:space="preserve">, </w:t>
      </w:r>
      <w:r w:rsidR="009E56FF">
        <w:rPr>
          <w:rFonts w:ascii="Verdana" w:eastAsia="Century Gothic" w:hAnsi="Verdana" w:cs="Century Gothic"/>
          <w:iCs/>
        </w:rPr>
        <w:t>no resulta vinculante</w:t>
      </w:r>
      <w:r w:rsidR="00F45F33">
        <w:rPr>
          <w:rFonts w:ascii="Verdana" w:eastAsia="Century Gothic" w:hAnsi="Verdana" w:cs="Century Gothic"/>
          <w:iCs/>
        </w:rPr>
        <w:t xml:space="preserve">, </w:t>
      </w:r>
      <w:r w:rsidR="00F67273">
        <w:rPr>
          <w:rFonts w:ascii="Verdana" w:eastAsia="Century Gothic" w:hAnsi="Verdana" w:cs="Century Gothic"/>
          <w:iCs/>
        </w:rPr>
        <w:t xml:space="preserve">por lo que las Entidades Estatales no están obligadas a aplicar su contenido. </w:t>
      </w:r>
      <w:r w:rsidR="003A22A8">
        <w:rPr>
          <w:rFonts w:ascii="Verdana" w:eastAsia="Century Gothic" w:hAnsi="Verdana" w:cs="Century Gothic"/>
          <w:iCs/>
        </w:rPr>
        <w:t xml:space="preserve"> </w:t>
      </w:r>
      <w:r w:rsidR="00F67273">
        <w:rPr>
          <w:rFonts w:ascii="Verdana" w:eastAsia="Century Gothic" w:hAnsi="Verdana" w:cs="Century Gothic"/>
          <w:iCs/>
        </w:rPr>
        <w:t xml:space="preserve">Esto como quiera que </w:t>
      </w:r>
      <w:r w:rsidR="0054799D">
        <w:rPr>
          <w:rFonts w:ascii="Verdana" w:eastAsia="Century Gothic" w:hAnsi="Verdana" w:cs="Century Gothic"/>
          <w:iCs/>
        </w:rPr>
        <w:t>el</w:t>
      </w:r>
      <w:r w:rsidR="004D1D01">
        <w:rPr>
          <w:rFonts w:ascii="Verdana" w:eastAsia="Century Gothic" w:hAnsi="Verdana" w:cs="Century Gothic"/>
          <w:iCs/>
        </w:rPr>
        <w:t xml:space="preserve"> segundo inciso del artículo 1, al igual que el</w:t>
      </w:r>
      <w:r w:rsidR="0054799D">
        <w:rPr>
          <w:rFonts w:ascii="Verdana" w:eastAsia="Century Gothic" w:hAnsi="Verdana" w:cs="Century Gothic"/>
          <w:iCs/>
        </w:rPr>
        <w:t xml:space="preserve"> segundo inciso del artículo 3 del Decreto 092 de 2017,</w:t>
      </w:r>
      <w:r w:rsidR="004D1D01">
        <w:rPr>
          <w:rFonts w:ascii="Verdana" w:eastAsia="Century Gothic" w:hAnsi="Verdana" w:cs="Century Gothic"/>
          <w:iCs/>
        </w:rPr>
        <w:t xml:space="preserve"> </w:t>
      </w:r>
      <w:r w:rsidR="00F67273">
        <w:rPr>
          <w:rFonts w:ascii="Verdana" w:eastAsia="Century Gothic" w:hAnsi="Verdana" w:cs="Century Gothic"/>
          <w:iCs/>
        </w:rPr>
        <w:t xml:space="preserve">disposiciones que </w:t>
      </w:r>
      <w:r w:rsidR="009E4230">
        <w:rPr>
          <w:rFonts w:ascii="Verdana" w:eastAsia="Century Gothic" w:hAnsi="Verdana" w:cs="Century Gothic"/>
          <w:iCs/>
        </w:rPr>
        <w:t>establecían la obligatoriedad del documento, fueron objeto de medida cautelas de suspensión provisional decretada por la Sección Tercera del Consejo de Estado en e</w:t>
      </w:r>
      <w:r w:rsidR="00135417">
        <w:rPr>
          <w:rFonts w:ascii="Verdana" w:eastAsia="Century Gothic" w:hAnsi="Verdana" w:cs="Century Gothic"/>
          <w:iCs/>
        </w:rPr>
        <w:t xml:space="preserve">l </w:t>
      </w:r>
      <w:r w:rsidR="009E4230">
        <w:rPr>
          <w:rFonts w:ascii="Verdana" w:eastAsia="Century Gothic" w:hAnsi="Verdana" w:cs="Century Gothic"/>
          <w:iCs/>
        </w:rPr>
        <w:t>a</w:t>
      </w:r>
      <w:r w:rsidR="00135417">
        <w:rPr>
          <w:rFonts w:ascii="Verdana" w:eastAsia="Century Gothic" w:hAnsi="Verdana" w:cs="Century Gothic"/>
          <w:iCs/>
        </w:rPr>
        <w:t xml:space="preserve">uto del </w:t>
      </w:r>
      <w:r w:rsidR="00135417" w:rsidRPr="0035584F">
        <w:rPr>
          <w:rFonts w:ascii="Verdana" w:eastAsia="Century Gothic" w:hAnsi="Verdana" w:cs="Century Gothic"/>
          <w:iCs/>
        </w:rPr>
        <w:t xml:space="preserve">6 de agosto </w:t>
      </w:r>
      <w:r w:rsidR="009E4230">
        <w:rPr>
          <w:rFonts w:ascii="Verdana" w:eastAsia="Century Gothic" w:hAnsi="Verdana" w:cs="Century Gothic"/>
          <w:iCs/>
        </w:rPr>
        <w:t xml:space="preserve">2019, expedido dentro del </w:t>
      </w:r>
      <w:r w:rsidR="008249F1">
        <w:rPr>
          <w:rFonts w:ascii="Verdana" w:eastAsia="Century Gothic" w:hAnsi="Verdana" w:cs="Century Gothic"/>
          <w:iCs/>
        </w:rPr>
        <w:t xml:space="preserve">expediente No. </w:t>
      </w:r>
      <w:r w:rsidR="008249F1" w:rsidRPr="008249F1">
        <w:rPr>
          <w:rFonts w:ascii="Verdana" w:eastAsia="Century Gothic" w:hAnsi="Verdana" w:cs="Century Gothic"/>
          <w:iCs/>
        </w:rPr>
        <w:t>62</w:t>
      </w:r>
      <w:r w:rsidR="008249F1">
        <w:rPr>
          <w:rFonts w:ascii="Verdana" w:eastAsia="Century Gothic" w:hAnsi="Verdana" w:cs="Century Gothic"/>
          <w:iCs/>
        </w:rPr>
        <w:t>.</w:t>
      </w:r>
      <w:r w:rsidR="008249F1" w:rsidRPr="008249F1">
        <w:rPr>
          <w:rFonts w:ascii="Verdana" w:eastAsia="Century Gothic" w:hAnsi="Verdana" w:cs="Century Gothic"/>
          <w:iCs/>
        </w:rPr>
        <w:t>003</w:t>
      </w:r>
      <w:r w:rsidR="008249F1">
        <w:rPr>
          <w:rFonts w:ascii="Verdana" w:eastAsia="Century Gothic" w:hAnsi="Verdana" w:cs="Century Gothic"/>
          <w:iCs/>
        </w:rPr>
        <w:t>.</w:t>
      </w:r>
    </w:p>
    <w:p w14:paraId="058D98F3" w14:textId="1143F9B9" w:rsidR="004C545A" w:rsidRPr="00CB2266" w:rsidRDefault="00654D71" w:rsidP="00654D71">
      <w:pPr>
        <w:pStyle w:val="ListParagraph"/>
        <w:tabs>
          <w:tab w:val="left" w:pos="142"/>
          <w:tab w:val="left" w:pos="284"/>
        </w:tabs>
        <w:spacing w:after="0" w:line="276" w:lineRule="auto"/>
        <w:ind w:left="0"/>
        <w:jc w:val="both"/>
        <w:rPr>
          <w:rFonts w:ascii="Verdana" w:eastAsia="Calibri" w:hAnsi="Verdana" w:cs="Arial"/>
          <w:lang w:val="es-ES_tradnl" w:eastAsia="es-ES_tradnl"/>
        </w:rPr>
      </w:pPr>
      <w:r w:rsidRPr="00CB2266">
        <w:rPr>
          <w:rFonts w:ascii="Verdana" w:eastAsia="Calibri" w:hAnsi="Verdana" w:cs="Arial"/>
        </w:rPr>
        <w:tab/>
      </w:r>
    </w:p>
    <w:p w14:paraId="749AE578" w14:textId="77777777" w:rsidR="00654D71" w:rsidRPr="006723FA" w:rsidRDefault="00654D71" w:rsidP="00654D71">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723FA">
        <w:rPr>
          <w:rFonts w:ascii="Verdana" w:eastAsia="Century Gothic" w:hAnsi="Verdana" w:cs="Century Gothic"/>
          <w:b/>
          <w:bCs/>
        </w:rPr>
        <w:t>Razones de la respuesta:</w:t>
      </w:r>
    </w:p>
    <w:p w14:paraId="75623197" w14:textId="77777777" w:rsidR="00654D71" w:rsidRPr="006723FA" w:rsidRDefault="00654D71" w:rsidP="00654D71">
      <w:pPr>
        <w:spacing w:after="0" w:line="276" w:lineRule="auto"/>
        <w:jc w:val="both"/>
        <w:rPr>
          <w:rFonts w:ascii="Verdana" w:eastAsia="Calibri" w:hAnsi="Verdana" w:cs="Arial"/>
          <w:lang w:val="es-ES" w:eastAsia="es-ES"/>
        </w:rPr>
      </w:pPr>
    </w:p>
    <w:p w14:paraId="53155794" w14:textId="77777777" w:rsidR="00654D71" w:rsidRPr="006723FA" w:rsidRDefault="00654D71" w:rsidP="00654D71">
      <w:pPr>
        <w:spacing w:after="0" w:line="276" w:lineRule="auto"/>
        <w:jc w:val="both"/>
        <w:rPr>
          <w:rFonts w:ascii="Verdana" w:eastAsia="Calibri" w:hAnsi="Verdana" w:cs="Arial"/>
          <w:lang w:val="es-ES"/>
        </w:rPr>
      </w:pPr>
      <w:r w:rsidRPr="006723FA">
        <w:rPr>
          <w:rFonts w:ascii="Verdana" w:eastAsia="Calibri" w:hAnsi="Verdana" w:cs="Arial"/>
          <w:lang w:val="es-ES"/>
        </w:rPr>
        <w:t xml:space="preserve">Lo anterior se sustenta en las siguientes consideraciones: </w:t>
      </w:r>
    </w:p>
    <w:p w14:paraId="74CDADFE" w14:textId="77777777" w:rsidR="00654D71" w:rsidRPr="00CB2266" w:rsidRDefault="00654D71" w:rsidP="00654D71">
      <w:pPr>
        <w:spacing w:after="0" w:line="276" w:lineRule="auto"/>
        <w:jc w:val="both"/>
        <w:rPr>
          <w:rFonts w:ascii="Verdana" w:eastAsia="Calibri" w:hAnsi="Verdana" w:cs="Arial"/>
          <w:lang w:val="es-ES_tradnl"/>
        </w:rPr>
      </w:pPr>
    </w:p>
    <w:p w14:paraId="1198D253" w14:textId="77777777" w:rsidR="00654D71" w:rsidRPr="00CB2266" w:rsidRDefault="00654D71" w:rsidP="00654D71">
      <w:pPr>
        <w:spacing w:line="276" w:lineRule="auto"/>
        <w:jc w:val="both"/>
        <w:rPr>
          <w:rFonts w:ascii="Verdana" w:eastAsia="Calibri" w:hAnsi="Verdana" w:cs="Arial"/>
          <w:lang w:val="es-ES"/>
        </w:rPr>
      </w:pPr>
      <w:r w:rsidRPr="00CB2266">
        <w:rPr>
          <w:rFonts w:ascii="Verdana" w:eastAsia="Calibri" w:hAnsi="Verdana" w:cs="Arial"/>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CB2266">
        <w:rPr>
          <w:rStyle w:val="FootnoteReference"/>
          <w:rFonts w:ascii="Verdana" w:hAnsi="Verdana" w:cs="Arial"/>
          <w:lang w:val="es-ES_tradnl"/>
        </w:rPr>
        <w:footnoteReference w:id="3"/>
      </w:r>
      <w:r w:rsidRPr="00CB2266">
        <w:rPr>
          <w:rFonts w:ascii="Verdana" w:eastAsia="Calibri" w:hAnsi="Verdana" w:cs="Arial"/>
          <w:lang w:val="es-E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CB2266">
        <w:rPr>
          <w:rStyle w:val="FootnoteReference"/>
          <w:rFonts w:ascii="Verdana" w:eastAsia="Calibri" w:hAnsi="Verdana" w:cs="Arial"/>
          <w:lang w:val="es-ES_tradnl"/>
        </w:rPr>
        <w:footnoteReference w:id="4"/>
      </w:r>
      <w:r w:rsidRPr="00CB2266">
        <w:rPr>
          <w:rFonts w:ascii="Verdana" w:eastAsia="Calibri" w:hAnsi="Verdana" w:cs="Arial"/>
          <w:lang w:val="es-ES"/>
        </w:rPr>
        <w:t>.</w:t>
      </w:r>
    </w:p>
    <w:p w14:paraId="2EC9871B" w14:textId="77777777" w:rsidR="00654D71" w:rsidRPr="00CB2266" w:rsidRDefault="00654D71" w:rsidP="00654D71">
      <w:pPr>
        <w:spacing w:before="120" w:after="120" w:line="276" w:lineRule="auto"/>
        <w:ind w:firstLine="709"/>
        <w:jc w:val="both"/>
        <w:rPr>
          <w:rFonts w:ascii="Verdana" w:eastAsia="Calibri" w:hAnsi="Verdana" w:cs="Arial"/>
          <w:lang w:val="es-ES"/>
        </w:rPr>
      </w:pPr>
      <w:bookmarkStart w:id="2" w:name="_Hlk38819155"/>
      <w:r w:rsidRPr="00CB2266">
        <w:rPr>
          <w:rFonts w:ascii="Verdana" w:eastAsia="Calibri" w:hAnsi="Verdana" w:cs="Arial"/>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CB2266">
        <w:rPr>
          <w:rFonts w:ascii="Verdana" w:eastAsia="Calibri" w:hAnsi="Verdana" w:cs="Arial"/>
          <w:lang w:val="es-ES"/>
        </w:rPr>
        <w:t>ii</w:t>
      </w:r>
      <w:proofErr w:type="spellEnd"/>
      <w:r w:rsidRPr="00CB2266">
        <w:rPr>
          <w:rFonts w:ascii="Verdana" w:eastAsia="Calibri" w:hAnsi="Verdana" w:cs="Arial"/>
          <w:lang w:val="es-ES"/>
        </w:rPr>
        <w:t xml:space="preserve">) los convenios de asociación, para el desarrollo conjunto de actividades relacionadas con las funciones de las entidades estatales, en desarrollo del artículo 96 de la Ley 489 de 1998. </w:t>
      </w:r>
    </w:p>
    <w:bookmarkEnd w:id="2"/>
    <w:p w14:paraId="0450DF31" w14:textId="77777777" w:rsidR="00654D71" w:rsidRPr="00CB2266" w:rsidRDefault="00654D71" w:rsidP="00654D71">
      <w:pPr>
        <w:spacing w:before="120" w:after="120" w:line="276" w:lineRule="auto"/>
        <w:ind w:firstLine="709"/>
        <w:jc w:val="both"/>
        <w:rPr>
          <w:rFonts w:ascii="Verdana" w:eastAsia="Calibri" w:hAnsi="Verdana" w:cs="Arial"/>
          <w:lang w:val="es-ES"/>
        </w:rPr>
      </w:pPr>
      <w:r w:rsidRPr="00CB2266">
        <w:rPr>
          <w:rFonts w:ascii="Verdana" w:eastAsia="Calibri" w:hAnsi="Verdana" w:cs="Arial"/>
          <w:lang w:val="es-ES"/>
        </w:rPr>
        <w:t xml:space="preserve">Los </w:t>
      </w:r>
      <w:r w:rsidRPr="00CB2266">
        <w:rPr>
          <w:rFonts w:ascii="Verdana" w:eastAsia="Calibri" w:hAnsi="Verdana" w:cs="Arial"/>
          <w:i/>
          <w:lang w:val="es-ES"/>
        </w:rPr>
        <w:t>contratos del artículo 355 de la Constitución Política</w:t>
      </w:r>
      <w:r w:rsidRPr="00CB2266">
        <w:rPr>
          <w:rFonts w:ascii="Verdana" w:eastAsia="Calibri" w:hAnsi="Verdana"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2D8F201C" w14:textId="77777777" w:rsidR="00654D71" w:rsidRPr="00CB2266" w:rsidRDefault="00654D71" w:rsidP="00654D71">
      <w:pPr>
        <w:spacing w:before="120" w:after="120" w:line="276" w:lineRule="auto"/>
        <w:ind w:firstLine="709"/>
        <w:jc w:val="both"/>
        <w:rPr>
          <w:rFonts w:ascii="Verdana" w:eastAsia="Calibri" w:hAnsi="Verdana" w:cs="Arial"/>
          <w:lang w:val="es-ES"/>
        </w:rPr>
      </w:pPr>
      <w:r w:rsidRPr="00CB2266">
        <w:rPr>
          <w:rFonts w:ascii="Verdana" w:eastAsia="Calibri" w:hAnsi="Verdana" w:cs="Arial"/>
          <w:lang w:val="es-ES"/>
        </w:rPr>
        <w:t xml:space="preserve">De otro lado, los </w:t>
      </w:r>
      <w:r w:rsidRPr="00CB2266">
        <w:rPr>
          <w:rFonts w:ascii="Verdana" w:eastAsia="Calibri" w:hAnsi="Verdana" w:cs="Arial"/>
          <w:i/>
          <w:lang w:val="es-ES"/>
        </w:rPr>
        <w:t>convenios de asociación</w:t>
      </w:r>
      <w:r w:rsidRPr="00CB2266">
        <w:rPr>
          <w:rFonts w:ascii="Verdana" w:eastAsia="Calibri" w:hAnsi="Verdana" w:cs="Arial"/>
          <w:lang w:val="es-ES"/>
        </w:rPr>
        <w:t xml:space="preserve"> “[…] [t]</w:t>
      </w:r>
      <w:proofErr w:type="spellStart"/>
      <w:r w:rsidRPr="00CB2266">
        <w:rPr>
          <w:rFonts w:ascii="Verdana" w:eastAsia="Calibri" w:hAnsi="Verdana" w:cs="Arial"/>
          <w:lang w:val="es-ES"/>
        </w:rPr>
        <w:t>ienen</w:t>
      </w:r>
      <w:proofErr w:type="spellEnd"/>
      <w:r w:rsidRPr="00CB2266">
        <w:rPr>
          <w:rFonts w:ascii="Verdana" w:eastAsia="Calibri" w:hAnsi="Verdana" w:cs="Arial"/>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CB2266">
        <w:rPr>
          <w:rStyle w:val="FootnoteReference"/>
          <w:rFonts w:ascii="Verdana" w:hAnsi="Verdana" w:cs="Arial"/>
          <w:lang w:val="es-ES"/>
        </w:rPr>
        <w:footnoteReference w:id="5"/>
      </w:r>
      <w:r w:rsidRPr="00CB2266">
        <w:rPr>
          <w:rFonts w:ascii="Verdana" w:eastAsia="Calibri" w:hAnsi="Verdana" w:cs="Arial"/>
          <w:lang w:val="es-ES"/>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CB2266">
        <w:rPr>
          <w:rStyle w:val="FootnoteReference"/>
          <w:rFonts w:ascii="Verdana" w:hAnsi="Verdana" w:cs="Arial"/>
          <w:lang w:val="es-ES"/>
        </w:rPr>
        <w:footnoteReference w:id="6"/>
      </w:r>
      <w:r w:rsidRPr="00CB2266">
        <w:rPr>
          <w:rFonts w:ascii="Verdana" w:eastAsia="Calibri" w:hAnsi="Verdana" w:cs="Arial"/>
          <w:lang w:val="es-ES"/>
        </w:rPr>
        <w:t>.</w:t>
      </w:r>
    </w:p>
    <w:p w14:paraId="66CFACAF" w14:textId="77777777" w:rsidR="00654D71" w:rsidRPr="00CB2266" w:rsidRDefault="00654D71" w:rsidP="00654D71">
      <w:pPr>
        <w:spacing w:before="120" w:after="120" w:line="276" w:lineRule="auto"/>
        <w:ind w:firstLine="709"/>
        <w:jc w:val="both"/>
        <w:rPr>
          <w:rFonts w:ascii="Verdana" w:eastAsia="Calibri" w:hAnsi="Verdana" w:cs="Arial"/>
          <w:lang w:val="es-ES_tradnl"/>
        </w:rPr>
      </w:pPr>
      <w:r w:rsidRPr="00CB2266">
        <w:rPr>
          <w:rFonts w:ascii="Verdana" w:eastAsia="Calibri" w:hAnsi="Verdana" w:cs="Arial"/>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CB2266">
        <w:rPr>
          <w:rStyle w:val="FootnoteReference"/>
          <w:rFonts w:ascii="Verdana" w:eastAsia="Calibri" w:hAnsi="Verdana" w:cs="Arial"/>
          <w:lang w:val="es-ES_tradnl"/>
        </w:rPr>
        <w:footnoteReference w:id="7"/>
      </w:r>
      <w:r w:rsidRPr="00CB2266">
        <w:rPr>
          <w:rFonts w:ascii="Verdana" w:eastAsia="Calibri" w:hAnsi="Verdana" w:cs="Arial"/>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48209F99" w14:textId="77777777" w:rsidR="00654D71" w:rsidRPr="00CB2266" w:rsidRDefault="00654D71" w:rsidP="00654D71">
      <w:pPr>
        <w:spacing w:before="120" w:after="120" w:line="276" w:lineRule="auto"/>
        <w:ind w:firstLine="709"/>
        <w:jc w:val="both"/>
        <w:rPr>
          <w:rFonts w:ascii="Verdana" w:eastAsia="Calibri" w:hAnsi="Verdana" w:cs="Arial"/>
          <w:lang w:val="es-ES_tradnl"/>
        </w:rPr>
      </w:pPr>
      <w:r w:rsidRPr="00CB2266">
        <w:rPr>
          <w:rFonts w:ascii="Verdana" w:eastAsia="Calibri" w:hAnsi="Verdana" w:cs="Arial"/>
          <w:lang w:val="es-ES_tradnl"/>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w:t>
      </w:r>
      <w:r w:rsidRPr="00CB2266">
        <w:rPr>
          <w:rFonts w:ascii="Verdana" w:eastAsia="Calibri" w:hAnsi="Verdana" w:cs="Arial"/>
          <w:i/>
          <w:lang w:val="es-ES_tradn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2AF40C22" w14:textId="77777777" w:rsidR="00B64912" w:rsidRPr="00CB2266" w:rsidRDefault="00654D71" w:rsidP="00654D71">
      <w:pPr>
        <w:spacing w:before="120" w:line="276" w:lineRule="auto"/>
        <w:ind w:firstLine="709"/>
        <w:jc w:val="both"/>
        <w:rPr>
          <w:rFonts w:ascii="Verdana" w:eastAsia="Calibri" w:hAnsi="Verdana" w:cs="Arial"/>
          <w:lang w:val="es-ES"/>
        </w:rPr>
      </w:pPr>
      <w:r w:rsidRPr="5071DC46">
        <w:rPr>
          <w:rFonts w:ascii="Verdana" w:eastAsia="Calibri" w:hAnsi="Verdana" w:cs="Arial"/>
          <w:lang w:val="es-ES"/>
        </w:rPr>
        <w:t xml:space="preserve">De conformidad con lo anterior, el citado artículo 355 establece el régimen de la contratación con ESALES, el cual –además de extenderse a los </w:t>
      </w:r>
      <w:r w:rsidRPr="5071DC46">
        <w:rPr>
          <w:rFonts w:ascii="Verdana" w:eastAsia="Calibri" w:hAnsi="Verdana" w:cs="Arial"/>
          <w:i/>
          <w:lang w:val="es-ES"/>
        </w:rPr>
        <w:t>convenios de asociación</w:t>
      </w:r>
      <w:r w:rsidRPr="5071DC46">
        <w:rPr>
          <w:rFonts w:ascii="Verdana" w:eastAsia="Calibri" w:hAnsi="Verdana" w:cs="Arial"/>
          <w:lang w:val="es-ES"/>
        </w:rPr>
        <w:t xml:space="preserve"> en virtud de lo dispuesto en el artículo 96 de la Ley 489 de 1998– se desarrolló a través del Decreto 092 de 2017. Esta contratación, si bien está regulada, principalmente, por dicho decreto autónomo, también está sometida a las prohibiciones, inhabilidades e incompatibilidades establecidas en la Constitución y en las Leyes 80 de 1993, 1150 de 2007 y 1474 de 2011, según reconoce el artículo 6 del decreto</w:t>
      </w:r>
      <w:r w:rsidRPr="5071DC46">
        <w:rPr>
          <w:rStyle w:val="FootnoteReference"/>
          <w:rFonts w:ascii="Verdana" w:eastAsia="Calibri" w:hAnsi="Verdana" w:cs="Arial"/>
          <w:lang w:val="es-ES"/>
        </w:rPr>
        <w:footnoteReference w:id="8"/>
      </w:r>
      <w:r w:rsidRPr="5071DC46">
        <w:rPr>
          <w:rFonts w:ascii="Verdana" w:eastAsia="Calibri" w:hAnsi="Verdana" w:cs="Arial"/>
          <w:lang w:val="es-ES"/>
        </w:rPr>
        <w:t>, así como a los principios de la contratación estatal y las normas presupuestales, según indica el artículo 7</w:t>
      </w:r>
      <w:r w:rsidRPr="5071DC46">
        <w:rPr>
          <w:rStyle w:val="FootnoteReference"/>
          <w:rFonts w:ascii="Verdana" w:eastAsia="Calibri" w:hAnsi="Verdana" w:cs="Arial"/>
          <w:lang w:val="es-ES"/>
        </w:rPr>
        <w:footnoteReference w:id="9"/>
      </w:r>
      <w:r w:rsidRPr="5071DC46">
        <w:rPr>
          <w:rFonts w:ascii="Verdana" w:eastAsia="Calibri" w:hAnsi="Verdana" w:cs="Arial"/>
          <w:lang w:val="es-ES"/>
        </w:rPr>
        <w:t xml:space="preserve">. </w:t>
      </w:r>
    </w:p>
    <w:p w14:paraId="26978B3F" w14:textId="6B8D68A2" w:rsidR="00654D71" w:rsidRPr="006723FA" w:rsidRDefault="00654D71" w:rsidP="00654D71">
      <w:pPr>
        <w:spacing w:before="120" w:line="276" w:lineRule="auto"/>
        <w:ind w:firstLine="709"/>
        <w:jc w:val="both"/>
        <w:rPr>
          <w:rFonts w:ascii="Verdana" w:hAnsi="Verdana"/>
        </w:rPr>
      </w:pPr>
      <w:r w:rsidRPr="00CB2266">
        <w:rPr>
          <w:rFonts w:ascii="Verdana" w:eastAsia="Calibri" w:hAnsi="Verdana" w:cs="Arial"/>
          <w:lang w:val="es-ES_tradnl"/>
        </w:rPr>
        <w:t>A su vez, el artículo de esta normativa integra las disposiciones generales del sistema de compra pública, en lo no regulado por el Decreto 092 de 2017</w:t>
      </w:r>
      <w:r w:rsidRPr="00CB2266">
        <w:rPr>
          <w:rStyle w:val="FootnoteReference"/>
          <w:rFonts w:ascii="Verdana" w:eastAsia="Calibri" w:hAnsi="Verdana" w:cs="Arial"/>
          <w:lang w:val="es-ES_tradnl"/>
        </w:rPr>
        <w:footnoteReference w:id="10"/>
      </w:r>
      <w:r w:rsidRPr="00CB2266">
        <w:rPr>
          <w:rFonts w:ascii="Verdana" w:eastAsia="Calibri" w:hAnsi="Verdana" w:cs="Arial"/>
          <w:lang w:val="es-ES_tradnl"/>
        </w:rPr>
        <w:t xml:space="preserve">.  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CB2266">
        <w:rPr>
          <w:rFonts w:ascii="Verdana" w:eastAsia="Calibri" w:hAnsi="Verdana" w:cs="Arial"/>
          <w:i/>
          <w:lang w:val="es-ES_tradnl"/>
        </w:rPr>
        <w:t xml:space="preserve">contratos del artículo 355 de la Constitución </w:t>
      </w:r>
      <w:r w:rsidRPr="00CB2266">
        <w:rPr>
          <w:rFonts w:ascii="Verdana" w:eastAsia="Calibri" w:hAnsi="Verdana" w:cs="Arial"/>
          <w:lang w:val="es-ES_tradnl"/>
        </w:rPr>
        <w:t xml:space="preserve">y la indelegabilidad de la autorización –art. 2–, la idoneidad de las ESAL –art. 3–, su registro en el SECOP –art. 9– y la inaplicación del registro único de proponentes –art. </w:t>
      </w:r>
    </w:p>
    <w:p w14:paraId="52D57E2D" w14:textId="7E1389E2" w:rsidR="002B2C8B" w:rsidRDefault="002206A8" w:rsidP="004F2189">
      <w:pPr>
        <w:tabs>
          <w:tab w:val="left" w:pos="142"/>
          <w:tab w:val="left" w:pos="284"/>
        </w:tabs>
        <w:spacing w:after="120" w:line="276" w:lineRule="auto"/>
        <w:jc w:val="both"/>
        <w:rPr>
          <w:rFonts w:ascii="Verdana" w:eastAsia="Century Gothic" w:hAnsi="Verdana" w:cs="Century Gothic"/>
          <w:i/>
          <w:iCs/>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009D33F5" w:rsidRPr="002206A8">
        <w:rPr>
          <w:rFonts w:ascii="Verdana" w:eastAsia="Century Gothic" w:hAnsi="Verdana" w:cs="Century Gothic"/>
        </w:rPr>
        <w:t xml:space="preserve">Ahora bien, la Agencia Nacional de Contratación </w:t>
      </w:r>
      <w:r w:rsidRPr="002206A8">
        <w:rPr>
          <w:rFonts w:ascii="Verdana" w:eastAsia="Century Gothic" w:hAnsi="Verdana" w:cs="Century Gothic"/>
        </w:rPr>
        <w:t>Pública</w:t>
      </w:r>
      <w:r w:rsidR="009D33F5" w:rsidRPr="002206A8">
        <w:rPr>
          <w:rFonts w:ascii="Verdana" w:eastAsia="Century Gothic" w:hAnsi="Verdana" w:cs="Century Gothic"/>
        </w:rPr>
        <w:t xml:space="preserve">-Colombia Compra Eficiente, en atención a </w:t>
      </w:r>
      <w:r w:rsidR="004F5B31" w:rsidRPr="002206A8">
        <w:rPr>
          <w:rFonts w:ascii="Verdana" w:eastAsia="Century Gothic" w:hAnsi="Verdana" w:cs="Century Gothic"/>
        </w:rPr>
        <w:t xml:space="preserve">lo establecido en el </w:t>
      </w:r>
      <w:r w:rsidR="00480A40" w:rsidRPr="002206A8">
        <w:rPr>
          <w:rFonts w:ascii="Verdana" w:eastAsia="Century Gothic" w:hAnsi="Verdana" w:cs="Century Gothic"/>
        </w:rPr>
        <w:t xml:space="preserve">Decreto 092 de 2017, expidió la </w:t>
      </w:r>
      <w:r w:rsidRPr="00C167F5">
        <w:rPr>
          <w:rFonts w:ascii="Verdana" w:eastAsia="Century Gothic" w:hAnsi="Verdana" w:cs="Century Gothic"/>
          <w:i/>
          <w:iCs/>
        </w:rPr>
        <w:t>Guía</w:t>
      </w:r>
      <w:r w:rsidR="00480A40" w:rsidRPr="00C167F5">
        <w:rPr>
          <w:rFonts w:ascii="Verdana" w:eastAsia="Century Gothic" w:hAnsi="Verdana" w:cs="Century Gothic"/>
          <w:i/>
          <w:iCs/>
        </w:rPr>
        <w:t xml:space="preserve"> </w:t>
      </w:r>
      <w:r w:rsidR="00B24D0A" w:rsidRPr="00C167F5">
        <w:rPr>
          <w:rFonts w:ascii="Verdana" w:eastAsia="Century Gothic" w:hAnsi="Verdana" w:cs="Century Gothic"/>
          <w:i/>
          <w:iCs/>
        </w:rPr>
        <w:t xml:space="preserve">para la contratación con entidades sin </w:t>
      </w:r>
      <w:r w:rsidR="00C167F5" w:rsidRPr="00C167F5">
        <w:rPr>
          <w:rFonts w:ascii="Verdana" w:eastAsia="Century Gothic" w:hAnsi="Verdana" w:cs="Century Gothic"/>
          <w:i/>
          <w:iCs/>
        </w:rPr>
        <w:t>ánimo</w:t>
      </w:r>
      <w:r w:rsidR="00B24D0A" w:rsidRPr="00C167F5">
        <w:rPr>
          <w:rFonts w:ascii="Verdana" w:eastAsia="Century Gothic" w:hAnsi="Verdana" w:cs="Century Gothic"/>
          <w:i/>
          <w:iCs/>
        </w:rPr>
        <w:t xml:space="preserve"> de lucro y de reconocida idoneidad</w:t>
      </w:r>
      <w:r w:rsidR="00196545">
        <w:rPr>
          <w:rStyle w:val="FootnoteReference"/>
          <w:rFonts w:ascii="Verdana" w:eastAsia="Century Gothic" w:hAnsi="Verdana" w:cs="Century Gothic"/>
        </w:rPr>
        <w:footnoteReference w:id="11"/>
      </w:r>
      <w:r w:rsidR="00B24D0A" w:rsidRPr="002206A8">
        <w:rPr>
          <w:rFonts w:ascii="Verdana" w:eastAsia="Century Gothic" w:hAnsi="Verdana" w:cs="Century Gothic"/>
        </w:rPr>
        <w:t xml:space="preserve">, </w:t>
      </w:r>
      <w:r w:rsidRPr="002206A8">
        <w:rPr>
          <w:rFonts w:ascii="Verdana" w:eastAsia="Century Gothic" w:hAnsi="Verdana" w:cs="Century Gothic"/>
        </w:rPr>
        <w:t xml:space="preserve">en la cual </w:t>
      </w:r>
      <w:r w:rsidR="00892184">
        <w:rPr>
          <w:rFonts w:ascii="Verdana" w:eastAsia="Century Gothic" w:hAnsi="Verdana" w:cs="Century Gothic"/>
        </w:rPr>
        <w:t>se incluyeron</w:t>
      </w:r>
      <w:r w:rsidRPr="002206A8">
        <w:rPr>
          <w:rFonts w:ascii="Verdana" w:eastAsia="Century Gothic" w:hAnsi="Verdana" w:cs="Century Gothic"/>
        </w:rPr>
        <w:t xml:space="preserve"> definiciones y </w:t>
      </w:r>
      <w:r w:rsidR="00892184">
        <w:rPr>
          <w:rFonts w:ascii="Verdana" w:eastAsia="Century Gothic" w:hAnsi="Verdana" w:cs="Century Gothic"/>
        </w:rPr>
        <w:t xml:space="preserve">se establecieron pautas </w:t>
      </w:r>
      <w:r w:rsidRPr="002206A8">
        <w:rPr>
          <w:rFonts w:ascii="Verdana" w:eastAsia="Century Gothic" w:hAnsi="Verdana" w:cs="Century Gothic"/>
        </w:rPr>
        <w:t>y criterios para</w:t>
      </w:r>
      <w:r w:rsidR="00892184">
        <w:rPr>
          <w:rFonts w:ascii="Verdana" w:eastAsia="Century Gothic" w:hAnsi="Verdana" w:cs="Century Gothic"/>
        </w:rPr>
        <w:t xml:space="preserve"> </w:t>
      </w:r>
      <w:r w:rsidRPr="002206A8">
        <w:rPr>
          <w:rFonts w:ascii="Verdana" w:eastAsia="Century Gothic" w:hAnsi="Verdana" w:cs="Century Gothic"/>
        </w:rPr>
        <w:t>definir las características que deben acreditar las entidades privadas sin ánimo de lucro que contratan con</w:t>
      </w:r>
      <w:r w:rsidR="00892184">
        <w:rPr>
          <w:rFonts w:ascii="Verdana" w:eastAsia="Century Gothic" w:hAnsi="Verdana" w:cs="Century Gothic"/>
        </w:rPr>
        <w:t xml:space="preserve"> </w:t>
      </w:r>
      <w:r w:rsidRPr="002206A8">
        <w:rPr>
          <w:rFonts w:ascii="Verdana" w:eastAsia="Century Gothic" w:hAnsi="Verdana" w:cs="Century Gothic"/>
        </w:rPr>
        <w:t>Entidades Estatales</w:t>
      </w:r>
      <w:r w:rsidR="009E6A11">
        <w:rPr>
          <w:rFonts w:ascii="Verdana" w:eastAsia="Century Gothic" w:hAnsi="Verdana" w:cs="Century Gothic"/>
        </w:rPr>
        <w:t>, para lo cual y de</w:t>
      </w:r>
      <w:r w:rsidR="00584023">
        <w:rPr>
          <w:rFonts w:ascii="Verdana" w:eastAsia="Century Gothic" w:hAnsi="Verdana" w:cs="Century Gothic"/>
        </w:rPr>
        <w:t xml:space="preserve"> </w:t>
      </w:r>
      <w:r w:rsidR="009E6A11">
        <w:rPr>
          <w:rFonts w:ascii="Verdana" w:eastAsia="Century Gothic" w:hAnsi="Verdana" w:cs="Century Gothic"/>
        </w:rPr>
        <w:t xml:space="preserve">manera </w:t>
      </w:r>
      <w:r w:rsidR="00584023">
        <w:rPr>
          <w:rFonts w:ascii="Verdana" w:eastAsia="Century Gothic" w:hAnsi="Verdana" w:cs="Century Gothic"/>
        </w:rPr>
        <w:t>específica</w:t>
      </w:r>
      <w:r w:rsidR="009E6A11">
        <w:rPr>
          <w:rFonts w:ascii="Verdana" w:eastAsia="Century Gothic" w:hAnsi="Verdana" w:cs="Century Gothic"/>
        </w:rPr>
        <w:t xml:space="preserve"> </w:t>
      </w:r>
      <w:r w:rsidR="00584023">
        <w:rPr>
          <w:rFonts w:ascii="Verdana" w:eastAsia="Century Gothic" w:hAnsi="Verdana" w:cs="Century Gothic"/>
        </w:rPr>
        <w:t xml:space="preserve">estableció en el numeral </w:t>
      </w:r>
      <w:r w:rsidR="00584023">
        <w:rPr>
          <w:rFonts w:ascii="Verdana" w:eastAsia="Century Gothic" w:hAnsi="Verdana" w:cs="Century Gothic"/>
          <w:i/>
          <w:iCs/>
        </w:rPr>
        <w:t xml:space="preserve">IV Determinación de la reconocida idoneidad de la ESAL, </w:t>
      </w:r>
      <w:r w:rsidR="00642923">
        <w:rPr>
          <w:rFonts w:ascii="Verdana" w:eastAsia="Century Gothic" w:hAnsi="Verdana" w:cs="Century Gothic"/>
        </w:rPr>
        <w:t xml:space="preserve">una serie de criterios </w:t>
      </w:r>
      <w:r w:rsidR="00337E6D">
        <w:rPr>
          <w:rFonts w:ascii="Verdana" w:eastAsia="Century Gothic" w:hAnsi="Verdana" w:cs="Century Gothic"/>
        </w:rPr>
        <w:t xml:space="preserve">para determinar </w:t>
      </w:r>
      <w:r w:rsidR="00E91720" w:rsidRPr="00CB2266">
        <w:rPr>
          <w:rFonts w:ascii="Verdana" w:eastAsia="Century Gothic" w:hAnsi="Verdana" w:cs="Century Gothic"/>
        </w:rPr>
        <w:t>este componente</w:t>
      </w:r>
      <w:r w:rsidR="00736A80">
        <w:rPr>
          <w:rFonts w:ascii="Verdana" w:eastAsia="Century Gothic" w:hAnsi="Verdana" w:cs="Century Gothic"/>
        </w:rPr>
        <w:t xml:space="preserve"> dentro de los procesos que se adelanten por parte de las entidades </w:t>
      </w:r>
      <w:r w:rsidR="008E0131">
        <w:rPr>
          <w:rFonts w:ascii="Verdana" w:eastAsia="Century Gothic" w:hAnsi="Verdana" w:cs="Century Gothic"/>
        </w:rPr>
        <w:t>pública</w:t>
      </w:r>
      <w:r w:rsidR="00E54C28">
        <w:rPr>
          <w:rFonts w:ascii="Verdana" w:eastAsia="Century Gothic" w:hAnsi="Verdana" w:cs="Century Gothic"/>
        </w:rPr>
        <w:t xml:space="preserve">s, </w:t>
      </w:r>
      <w:r w:rsidR="00337E6D">
        <w:rPr>
          <w:rFonts w:ascii="Verdana" w:eastAsia="Century Gothic" w:hAnsi="Verdana" w:cs="Century Gothic"/>
        </w:rPr>
        <w:t xml:space="preserve">entendida esta como </w:t>
      </w:r>
      <w:r w:rsidR="00EA3BD6">
        <w:rPr>
          <w:rFonts w:ascii="Verdana" w:eastAsia="Century Gothic" w:hAnsi="Verdana" w:cs="Century Gothic"/>
        </w:rPr>
        <w:t xml:space="preserve">aquella cualidad de ser adecuado o apropiado para cumplir un fin </w:t>
      </w:r>
      <w:r w:rsidR="00D01634">
        <w:rPr>
          <w:rFonts w:ascii="Verdana" w:eastAsia="Century Gothic" w:hAnsi="Verdana" w:cs="Century Gothic"/>
        </w:rPr>
        <w:t xml:space="preserve">y que debe ser reconocida; </w:t>
      </w:r>
      <w:r w:rsidR="00962B2B">
        <w:rPr>
          <w:rFonts w:ascii="Verdana" w:eastAsia="Century Gothic" w:hAnsi="Verdana" w:cs="Century Gothic"/>
        </w:rPr>
        <w:t xml:space="preserve">aquellos criterios son: </w:t>
      </w:r>
      <w:r w:rsidR="00E97283" w:rsidRPr="00E97283">
        <w:rPr>
          <w:rFonts w:ascii="Verdana" w:eastAsia="Century Gothic" w:hAnsi="Verdana" w:cs="Century Gothic"/>
          <w:i/>
          <w:iCs/>
        </w:rPr>
        <w:t>A. Correspondencia del objeto de la entidad privada sin ánimo de lucro y el programa o actividad prevista en el plan de desarrollo</w:t>
      </w:r>
      <w:r w:rsidR="00E97283">
        <w:rPr>
          <w:rFonts w:ascii="Verdana" w:eastAsia="Century Gothic" w:hAnsi="Verdana" w:cs="Century Gothic"/>
          <w:i/>
          <w:iCs/>
        </w:rPr>
        <w:t xml:space="preserve">; </w:t>
      </w:r>
      <w:r w:rsidR="00E97283" w:rsidRPr="00E97283">
        <w:rPr>
          <w:rFonts w:ascii="Verdana" w:eastAsia="Century Gothic" w:hAnsi="Verdana" w:cs="Century Gothic"/>
          <w:i/>
          <w:iCs/>
        </w:rPr>
        <w:t>B. Capacidad del personal de la entidad privada sin ánimo de lucro</w:t>
      </w:r>
      <w:r w:rsidR="00E97283">
        <w:rPr>
          <w:rFonts w:ascii="Verdana" w:eastAsia="Century Gothic" w:hAnsi="Verdana" w:cs="Century Gothic"/>
          <w:i/>
          <w:iCs/>
        </w:rPr>
        <w:t xml:space="preserve">; </w:t>
      </w:r>
      <w:r w:rsidR="00E97283" w:rsidRPr="00E97283">
        <w:rPr>
          <w:rFonts w:ascii="Verdana" w:eastAsia="Century Gothic" w:hAnsi="Verdana" w:cs="Century Gothic"/>
          <w:i/>
          <w:iCs/>
        </w:rPr>
        <w:t>C. Experiencia</w:t>
      </w:r>
      <w:r w:rsidR="00E97283">
        <w:rPr>
          <w:rFonts w:ascii="Verdana" w:eastAsia="Century Gothic" w:hAnsi="Verdana" w:cs="Century Gothic"/>
          <w:i/>
          <w:iCs/>
        </w:rPr>
        <w:t xml:space="preserve">; </w:t>
      </w:r>
      <w:r w:rsidR="00A35B79" w:rsidRPr="00A35B79">
        <w:rPr>
          <w:rFonts w:ascii="Verdana" w:eastAsia="Century Gothic" w:hAnsi="Verdana" w:cs="Century Gothic"/>
          <w:i/>
          <w:iCs/>
        </w:rPr>
        <w:t>D. Estructura organizacional</w:t>
      </w:r>
      <w:r w:rsidR="00A35B79">
        <w:rPr>
          <w:rFonts w:ascii="Verdana" w:eastAsia="Century Gothic" w:hAnsi="Verdana" w:cs="Century Gothic"/>
          <w:i/>
          <w:iCs/>
        </w:rPr>
        <w:t xml:space="preserve">; </w:t>
      </w:r>
      <w:r w:rsidR="00A35B79" w:rsidRPr="00A35B79">
        <w:rPr>
          <w:rFonts w:ascii="Verdana" w:eastAsia="Century Gothic" w:hAnsi="Verdana" w:cs="Century Gothic"/>
          <w:i/>
          <w:iCs/>
        </w:rPr>
        <w:t>E. Indicadores de la eficiencia de la organización</w:t>
      </w:r>
      <w:r w:rsidR="00A35B79">
        <w:rPr>
          <w:rFonts w:ascii="Verdana" w:eastAsia="Century Gothic" w:hAnsi="Verdana" w:cs="Century Gothic"/>
          <w:i/>
          <w:iCs/>
        </w:rPr>
        <w:t xml:space="preserve"> </w:t>
      </w:r>
      <w:r w:rsidR="00A35B79">
        <w:rPr>
          <w:rFonts w:ascii="Verdana" w:eastAsia="Century Gothic" w:hAnsi="Verdana" w:cs="Century Gothic"/>
        </w:rPr>
        <w:t>y</w:t>
      </w:r>
      <w:r w:rsidR="00A35B79">
        <w:rPr>
          <w:rFonts w:ascii="Verdana" w:eastAsia="Century Gothic" w:hAnsi="Verdana" w:cs="Century Gothic"/>
          <w:i/>
          <w:iCs/>
        </w:rPr>
        <w:t xml:space="preserve"> </w:t>
      </w:r>
      <w:r w:rsidR="00A35B79" w:rsidRPr="00A35B79">
        <w:rPr>
          <w:rFonts w:ascii="Verdana" w:eastAsia="Century Gothic" w:hAnsi="Verdana" w:cs="Century Gothic"/>
          <w:i/>
          <w:iCs/>
        </w:rPr>
        <w:t>F. Reputación</w:t>
      </w:r>
      <w:r w:rsidR="002B2C8B">
        <w:rPr>
          <w:rFonts w:ascii="Verdana" w:eastAsia="Century Gothic" w:hAnsi="Verdana" w:cs="Century Gothic"/>
          <w:i/>
          <w:iCs/>
        </w:rPr>
        <w:t xml:space="preserve">. </w:t>
      </w:r>
    </w:p>
    <w:p w14:paraId="69710B84" w14:textId="4FF18978" w:rsidR="00236507" w:rsidRDefault="002B2C8B" w:rsidP="00E31C9E">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t>En atención a la consulta en donde se hace referencia de manera particular a los indica</w:t>
      </w:r>
      <w:r w:rsidR="00B30D9C">
        <w:rPr>
          <w:rFonts w:ascii="Verdana" w:eastAsia="Century Gothic" w:hAnsi="Verdana" w:cs="Century Gothic"/>
        </w:rPr>
        <w:t xml:space="preserve">dores de eficiencia, </w:t>
      </w:r>
      <w:r w:rsidR="00CA24FF">
        <w:rPr>
          <w:rFonts w:ascii="Verdana" w:eastAsia="Century Gothic" w:hAnsi="Verdana" w:cs="Century Gothic"/>
        </w:rPr>
        <w:t xml:space="preserve">los cuales </w:t>
      </w:r>
      <w:r w:rsidR="00E31C9E">
        <w:rPr>
          <w:rFonts w:ascii="Verdana" w:eastAsia="Century Gothic" w:hAnsi="Verdana" w:cs="Century Gothic"/>
        </w:rPr>
        <w:t>a la luz de lo establecido en la Guía son</w:t>
      </w:r>
      <w:r w:rsidR="00236507">
        <w:rPr>
          <w:rFonts w:ascii="Verdana" w:eastAsia="Century Gothic" w:hAnsi="Verdana" w:cs="Century Gothic"/>
        </w:rPr>
        <w:t>:</w:t>
      </w:r>
      <w:r w:rsidR="00E31C9E">
        <w:rPr>
          <w:rFonts w:ascii="Verdana" w:eastAsia="Century Gothic" w:hAnsi="Verdana" w:cs="Century Gothic"/>
        </w:rPr>
        <w:t xml:space="preserve"> </w:t>
      </w:r>
    </w:p>
    <w:p w14:paraId="43D4A603" w14:textId="77777777" w:rsidR="00236507" w:rsidRDefault="00236507" w:rsidP="00E31C9E">
      <w:pPr>
        <w:tabs>
          <w:tab w:val="left" w:pos="142"/>
          <w:tab w:val="left" w:pos="284"/>
        </w:tabs>
        <w:spacing w:after="0" w:line="276" w:lineRule="auto"/>
        <w:jc w:val="both"/>
        <w:rPr>
          <w:rFonts w:ascii="Verdana" w:eastAsia="Century Gothic" w:hAnsi="Verdana" w:cs="Century Gothic"/>
        </w:rPr>
      </w:pPr>
    </w:p>
    <w:p w14:paraId="339D04AC" w14:textId="0232E8C1" w:rsidR="006B1E76" w:rsidRPr="006B1E76" w:rsidRDefault="00E31C9E" w:rsidP="006B1E76">
      <w:pPr>
        <w:tabs>
          <w:tab w:val="left" w:pos="142"/>
          <w:tab w:val="left" w:pos="284"/>
        </w:tabs>
        <w:spacing w:after="0" w:line="240" w:lineRule="auto"/>
        <w:ind w:left="851" w:right="900"/>
        <w:jc w:val="both"/>
        <w:rPr>
          <w:rFonts w:ascii="Verdana" w:eastAsia="Century Gothic" w:hAnsi="Verdana" w:cs="Century Gothic"/>
          <w:sz w:val="20"/>
          <w:szCs w:val="20"/>
        </w:rPr>
      </w:pPr>
      <w:r>
        <w:rPr>
          <w:rFonts w:ascii="Verdana" w:eastAsia="Century Gothic" w:hAnsi="Verdana" w:cs="Century Gothic"/>
        </w:rPr>
        <w:t>“</w:t>
      </w:r>
      <w:r w:rsidRPr="00E31C9E">
        <w:rPr>
          <w:rFonts w:ascii="Verdana" w:eastAsia="Century Gothic" w:hAnsi="Verdana" w:cs="Century Gothic"/>
          <w:sz w:val="20"/>
          <w:szCs w:val="20"/>
        </w:rPr>
        <w:t>Los indicadores financieros asociados a la eficiencia de la ESAL muestran su grado de madurez y de</w:t>
      </w:r>
      <w:r w:rsidRPr="006B1E76">
        <w:rPr>
          <w:rFonts w:ascii="Verdana" w:eastAsia="Century Gothic" w:hAnsi="Verdana" w:cs="Century Gothic"/>
          <w:sz w:val="20"/>
          <w:szCs w:val="20"/>
        </w:rPr>
        <w:t xml:space="preserve"> </w:t>
      </w:r>
      <w:r w:rsidRPr="00E31C9E">
        <w:rPr>
          <w:rFonts w:ascii="Verdana" w:eastAsia="Century Gothic" w:hAnsi="Verdana" w:cs="Century Gothic"/>
          <w:sz w:val="20"/>
          <w:szCs w:val="20"/>
        </w:rPr>
        <w:t>dedicación a proyectos misionales. Las entidades sin ánimo de lucro tienen el deber de llevar contabilidad,</w:t>
      </w:r>
      <w:r w:rsidR="00236507" w:rsidRPr="006B1E76">
        <w:rPr>
          <w:rFonts w:ascii="Verdana" w:eastAsia="Century Gothic" w:hAnsi="Verdana" w:cs="Century Gothic"/>
          <w:sz w:val="20"/>
          <w:szCs w:val="20"/>
        </w:rPr>
        <w:t xml:space="preserve"> </w:t>
      </w:r>
      <w:r w:rsidRPr="00E31C9E">
        <w:rPr>
          <w:rFonts w:ascii="Verdana" w:eastAsia="Century Gothic" w:hAnsi="Verdana" w:cs="Century Gothic"/>
          <w:sz w:val="20"/>
          <w:szCs w:val="20"/>
        </w:rPr>
        <w:t>por ello, la Entidad Estatal debe establecer criterios objetivos relacionados con los resultados financieros de</w:t>
      </w:r>
      <w:r w:rsidR="006B1E76">
        <w:rPr>
          <w:rFonts w:ascii="Verdana" w:eastAsia="Century Gothic" w:hAnsi="Verdana" w:cs="Century Gothic"/>
          <w:sz w:val="20"/>
          <w:szCs w:val="20"/>
        </w:rPr>
        <w:t xml:space="preserve"> </w:t>
      </w:r>
      <w:r w:rsidRPr="00E31C9E">
        <w:rPr>
          <w:rFonts w:ascii="Verdana" w:eastAsia="Century Gothic" w:hAnsi="Verdana" w:cs="Century Gothic"/>
          <w:sz w:val="20"/>
          <w:szCs w:val="20"/>
        </w:rPr>
        <w:t>las entidades sin ánimo de lucro, así comparar su idoneidad y contratar con la ESAL que muestre resultados</w:t>
      </w:r>
      <w:r w:rsidR="00236507" w:rsidRPr="006B1E76">
        <w:rPr>
          <w:rFonts w:ascii="Verdana" w:eastAsia="Century Gothic" w:hAnsi="Verdana" w:cs="Century Gothic"/>
          <w:sz w:val="20"/>
          <w:szCs w:val="20"/>
        </w:rPr>
        <w:t xml:space="preserve"> </w:t>
      </w:r>
      <w:r w:rsidRPr="00E31C9E">
        <w:rPr>
          <w:rFonts w:ascii="Verdana" w:eastAsia="Century Gothic" w:hAnsi="Verdana" w:cs="Century Gothic"/>
          <w:sz w:val="20"/>
          <w:szCs w:val="20"/>
        </w:rPr>
        <w:t>sólidos. La Entidad Estatal puede verificar estos indicadores a través de declaraciones tributarias, estados</w:t>
      </w:r>
      <w:r w:rsidR="00236507" w:rsidRPr="006B1E76">
        <w:rPr>
          <w:rFonts w:ascii="Verdana" w:eastAsia="Century Gothic" w:hAnsi="Verdana" w:cs="Century Gothic"/>
          <w:sz w:val="20"/>
          <w:szCs w:val="20"/>
        </w:rPr>
        <w:t xml:space="preserve"> </w:t>
      </w:r>
      <w:r w:rsidRPr="006B1E76">
        <w:rPr>
          <w:rFonts w:ascii="Verdana" w:eastAsia="Century Gothic" w:hAnsi="Verdana" w:cs="Century Gothic"/>
          <w:sz w:val="20"/>
          <w:szCs w:val="20"/>
        </w:rPr>
        <w:t>financieros o en caso de tenerlo el certificado del RUP</w:t>
      </w:r>
      <w:r w:rsidR="00236507" w:rsidRPr="006B1E76">
        <w:rPr>
          <w:rFonts w:ascii="Verdana" w:eastAsia="Century Gothic" w:hAnsi="Verdana" w:cs="Century Gothic"/>
          <w:sz w:val="20"/>
          <w:szCs w:val="20"/>
        </w:rPr>
        <w:t>.</w:t>
      </w:r>
    </w:p>
    <w:p w14:paraId="213A700B" w14:textId="77777777" w:rsidR="006B1E76" w:rsidRPr="006B1E76" w:rsidRDefault="006B1E76" w:rsidP="006B1E76">
      <w:pPr>
        <w:tabs>
          <w:tab w:val="left" w:pos="142"/>
          <w:tab w:val="left" w:pos="284"/>
        </w:tabs>
        <w:spacing w:after="0" w:line="240" w:lineRule="auto"/>
        <w:ind w:left="851" w:right="900"/>
        <w:jc w:val="both"/>
        <w:rPr>
          <w:rFonts w:ascii="Verdana" w:eastAsia="Century Gothic" w:hAnsi="Verdana" w:cs="Century Gothic"/>
          <w:sz w:val="20"/>
          <w:szCs w:val="20"/>
        </w:rPr>
      </w:pPr>
    </w:p>
    <w:p w14:paraId="77C00B42" w14:textId="33A76956" w:rsidR="00E31C9E" w:rsidRPr="006B1E76" w:rsidRDefault="006B1E76" w:rsidP="006B1E76">
      <w:pPr>
        <w:tabs>
          <w:tab w:val="left" w:pos="142"/>
          <w:tab w:val="left" w:pos="284"/>
        </w:tabs>
        <w:spacing w:after="0" w:line="240" w:lineRule="auto"/>
        <w:ind w:left="851" w:right="900"/>
        <w:jc w:val="both"/>
        <w:rPr>
          <w:rFonts w:ascii="Verdana" w:eastAsia="Century Gothic" w:hAnsi="Verdana" w:cs="Century Gothic"/>
          <w:sz w:val="20"/>
          <w:szCs w:val="20"/>
        </w:rPr>
      </w:pPr>
      <w:r w:rsidRPr="006B1E76">
        <w:rPr>
          <w:rFonts w:ascii="Verdana" w:eastAsia="Century Gothic" w:hAnsi="Verdana" w:cs="Century Gothic"/>
          <w:sz w:val="20"/>
          <w:szCs w:val="20"/>
        </w:rPr>
        <w:t>La Entidad Estatal debe asegurarse que la entidad con la que pretende contratar es efectivamente sin ánimo de lucro, por ello debe verificar que se encuentra en el régimen tributario especial al que se refieren el artículo 356-2 del Estatuto Tributario, esto solo es posible si su objeto social corresponde a cualquiera de las actividades meritorias definidas en el artículo 359 del Estatuto Tributario, siempre y cuando las mismas sean de interés general y que a ellas tenga acceso la comunidad.</w:t>
      </w:r>
      <w:r w:rsidR="00236507" w:rsidRPr="006B1E76">
        <w:rPr>
          <w:rFonts w:ascii="Verdana" w:eastAsia="Century Gothic" w:hAnsi="Verdana" w:cs="Century Gothic"/>
          <w:sz w:val="20"/>
          <w:szCs w:val="20"/>
        </w:rPr>
        <w:t>”</w:t>
      </w:r>
    </w:p>
    <w:p w14:paraId="0D67EC8D" w14:textId="77777777" w:rsidR="00A35B79" w:rsidRDefault="00A35B79" w:rsidP="00E97283">
      <w:pPr>
        <w:tabs>
          <w:tab w:val="left" w:pos="142"/>
          <w:tab w:val="left" w:pos="284"/>
        </w:tabs>
        <w:spacing w:after="0" w:line="276" w:lineRule="auto"/>
        <w:jc w:val="both"/>
        <w:rPr>
          <w:rFonts w:ascii="Verdana" w:eastAsia="Century Gothic" w:hAnsi="Verdana" w:cs="Century Gothic"/>
          <w:i/>
          <w:iCs/>
        </w:rPr>
      </w:pPr>
    </w:p>
    <w:p w14:paraId="513B7FD5" w14:textId="728FF56A" w:rsidR="00B41C5C" w:rsidRDefault="00E60DA9" w:rsidP="00B41C5C">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00C30CD7" w:rsidRPr="00CB2266">
        <w:rPr>
          <w:rFonts w:ascii="Verdana" w:eastAsia="Century Gothic" w:hAnsi="Verdana" w:cs="Century Gothic"/>
        </w:rPr>
        <w:t>En atención a lo anterior</w:t>
      </w:r>
      <w:r w:rsidR="008C3B93">
        <w:rPr>
          <w:rFonts w:ascii="Verdana" w:eastAsia="Century Gothic" w:hAnsi="Verdana" w:cs="Century Gothic"/>
        </w:rPr>
        <w:t xml:space="preserve"> la </w:t>
      </w:r>
      <w:r w:rsidR="00B12D61">
        <w:rPr>
          <w:rFonts w:ascii="Verdana" w:eastAsia="Century Gothic" w:hAnsi="Verdana" w:cs="Century Gothic"/>
        </w:rPr>
        <w:t>Guía</w:t>
      </w:r>
      <w:r w:rsidR="008C3B93">
        <w:rPr>
          <w:rFonts w:ascii="Verdana" w:eastAsia="Century Gothic" w:hAnsi="Verdana" w:cs="Century Gothic"/>
        </w:rPr>
        <w:t xml:space="preserve"> propone </w:t>
      </w:r>
      <w:r w:rsidR="00C24BDC">
        <w:rPr>
          <w:rFonts w:ascii="Verdana" w:eastAsia="Century Gothic" w:hAnsi="Verdana" w:cs="Century Gothic"/>
        </w:rPr>
        <w:t xml:space="preserve">dos </w:t>
      </w:r>
      <w:r w:rsidR="005D6E31">
        <w:rPr>
          <w:rFonts w:ascii="Verdana" w:eastAsia="Century Gothic" w:hAnsi="Verdana" w:cs="Century Gothic"/>
        </w:rPr>
        <w:t xml:space="preserve">indicadores que permiten evaluar de manera objetiva a los proponentes, de la siguiente manera: </w:t>
      </w:r>
    </w:p>
    <w:p w14:paraId="1C230F35" w14:textId="77777777" w:rsidR="00C8200F" w:rsidRDefault="00C8200F" w:rsidP="00B41C5C">
      <w:pPr>
        <w:tabs>
          <w:tab w:val="left" w:pos="142"/>
          <w:tab w:val="left" w:pos="284"/>
        </w:tabs>
        <w:spacing w:after="0" w:line="276" w:lineRule="auto"/>
        <w:jc w:val="both"/>
        <w:rPr>
          <w:rFonts w:ascii="Verdana" w:eastAsia="Century Gothic" w:hAnsi="Verdana" w:cs="Century Gothic"/>
        </w:rPr>
      </w:pPr>
    </w:p>
    <w:p w14:paraId="4E5D1B6E" w14:textId="67718CD6" w:rsidR="00C8200F" w:rsidRDefault="00C8200F" w:rsidP="00B41C5C">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(i)</w:t>
      </w:r>
    </w:p>
    <w:p w14:paraId="2E381FFC" w14:textId="724EBBEA" w:rsidR="00C8200F" w:rsidRDefault="00C8200F" w:rsidP="00C8200F">
      <w:pPr>
        <w:tabs>
          <w:tab w:val="left" w:pos="142"/>
          <w:tab w:val="left" w:pos="284"/>
        </w:tabs>
        <w:spacing w:after="0" w:line="276" w:lineRule="auto"/>
        <w:jc w:val="center"/>
        <w:rPr>
          <w:rFonts w:ascii="Verdana" w:eastAsia="Century Gothic" w:hAnsi="Verdana" w:cs="Century Gothic"/>
        </w:rPr>
      </w:pPr>
      <w:r w:rsidRPr="00C8200F">
        <w:rPr>
          <w:rFonts w:ascii="Verdana" w:eastAsia="Century Gothic" w:hAnsi="Verdana" w:cs="Century Gothic"/>
          <w:noProof/>
        </w:rPr>
        <w:drawing>
          <wp:inline distT="0" distB="0" distL="0" distR="0" wp14:anchorId="518BF785" wp14:editId="774D79D3">
            <wp:extent cx="4610743" cy="495369"/>
            <wp:effectExtent l="0" t="0" r="0" b="0"/>
            <wp:docPr id="1285448584"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48584" name="Imagen 1" descr="Un conjunto de letras blancas en un fondo blanco&#10;&#10;Descripción generada automáticamente con confianza media"/>
                    <pic:cNvPicPr/>
                  </pic:nvPicPr>
                  <pic:blipFill>
                    <a:blip r:embed="rId13"/>
                    <a:stretch>
                      <a:fillRect/>
                    </a:stretch>
                  </pic:blipFill>
                  <pic:spPr>
                    <a:xfrm>
                      <a:off x="0" y="0"/>
                      <a:ext cx="4610743" cy="495369"/>
                    </a:xfrm>
                    <a:prstGeom prst="rect">
                      <a:avLst/>
                    </a:prstGeom>
                  </pic:spPr>
                </pic:pic>
              </a:graphicData>
            </a:graphic>
          </wp:inline>
        </w:drawing>
      </w:r>
    </w:p>
    <w:p w14:paraId="176942FD" w14:textId="661C8254" w:rsidR="00B41C5C" w:rsidRDefault="008C3B93" w:rsidP="00B41C5C">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p>
    <w:p w14:paraId="32A90C39" w14:textId="3F2832CB" w:rsidR="00C8200F" w:rsidRDefault="00C8200F" w:rsidP="00C8200F">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w:t>
      </w:r>
      <w:proofErr w:type="spellStart"/>
      <w:r>
        <w:rPr>
          <w:rFonts w:ascii="Verdana" w:eastAsia="Century Gothic" w:hAnsi="Verdana" w:cs="Century Gothic"/>
        </w:rPr>
        <w:t>ii</w:t>
      </w:r>
      <w:proofErr w:type="spellEnd"/>
      <w:r>
        <w:rPr>
          <w:rFonts w:ascii="Verdana" w:eastAsia="Century Gothic" w:hAnsi="Verdana" w:cs="Century Gothic"/>
        </w:rPr>
        <w:t xml:space="preserve">) </w:t>
      </w:r>
    </w:p>
    <w:p w14:paraId="577E3B35" w14:textId="50F1FA30" w:rsidR="00DC296E" w:rsidRDefault="00DC296E" w:rsidP="00DC296E">
      <w:pPr>
        <w:tabs>
          <w:tab w:val="left" w:pos="142"/>
          <w:tab w:val="left" w:pos="284"/>
        </w:tabs>
        <w:spacing w:after="0" w:line="276" w:lineRule="auto"/>
        <w:jc w:val="center"/>
        <w:rPr>
          <w:rFonts w:ascii="Verdana" w:eastAsia="Century Gothic" w:hAnsi="Verdana" w:cs="Century Gothic"/>
        </w:rPr>
      </w:pPr>
      <w:r w:rsidRPr="00DC296E">
        <w:rPr>
          <w:rFonts w:ascii="Verdana" w:eastAsia="Century Gothic" w:hAnsi="Verdana" w:cs="Century Gothic"/>
          <w:noProof/>
        </w:rPr>
        <w:drawing>
          <wp:inline distT="0" distB="0" distL="0" distR="0" wp14:anchorId="6E17DE53" wp14:editId="6D034DD4">
            <wp:extent cx="4839375" cy="704948"/>
            <wp:effectExtent l="0" t="0" r="0" b="0"/>
            <wp:docPr id="133055959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59596" name="Imagen 1" descr="Texto&#10;&#10;Descripción generada automáticamente con confianza media"/>
                    <pic:cNvPicPr/>
                  </pic:nvPicPr>
                  <pic:blipFill>
                    <a:blip r:embed="rId14"/>
                    <a:stretch>
                      <a:fillRect/>
                    </a:stretch>
                  </pic:blipFill>
                  <pic:spPr>
                    <a:xfrm>
                      <a:off x="0" y="0"/>
                      <a:ext cx="4839375" cy="704948"/>
                    </a:xfrm>
                    <a:prstGeom prst="rect">
                      <a:avLst/>
                    </a:prstGeom>
                  </pic:spPr>
                </pic:pic>
              </a:graphicData>
            </a:graphic>
          </wp:inline>
        </w:drawing>
      </w:r>
    </w:p>
    <w:p w14:paraId="3BE0F9CC" w14:textId="77777777" w:rsidR="00C8200F" w:rsidRDefault="00C8200F" w:rsidP="00B41C5C">
      <w:pPr>
        <w:tabs>
          <w:tab w:val="left" w:pos="142"/>
          <w:tab w:val="left" w:pos="284"/>
        </w:tabs>
        <w:spacing w:after="0" w:line="276" w:lineRule="auto"/>
        <w:jc w:val="both"/>
        <w:rPr>
          <w:rFonts w:ascii="Verdana" w:eastAsia="Century Gothic" w:hAnsi="Verdana" w:cs="Century Gothic"/>
        </w:rPr>
      </w:pPr>
    </w:p>
    <w:p w14:paraId="273FA60B" w14:textId="05BAFD0E" w:rsidR="00DB6AE2" w:rsidRDefault="00DC296E" w:rsidP="004F2189">
      <w:pPr>
        <w:tabs>
          <w:tab w:val="left" w:pos="142"/>
          <w:tab w:val="left" w:pos="284"/>
        </w:tabs>
        <w:spacing w:after="12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00E60DA9">
        <w:rPr>
          <w:rFonts w:ascii="Verdana" w:eastAsia="Century Gothic" w:hAnsi="Verdana" w:cs="Century Gothic"/>
        </w:rPr>
        <w:t>De lo anterior</w:t>
      </w:r>
      <w:r w:rsidR="000C0C38">
        <w:rPr>
          <w:rFonts w:ascii="Verdana" w:eastAsia="Century Gothic" w:hAnsi="Verdana" w:cs="Century Gothic"/>
        </w:rPr>
        <w:t xml:space="preserve">, se puede precisar que </w:t>
      </w:r>
      <w:r>
        <w:rPr>
          <w:rFonts w:ascii="Verdana" w:eastAsia="Century Gothic" w:hAnsi="Verdana" w:cs="Century Gothic"/>
        </w:rPr>
        <w:t>el</w:t>
      </w:r>
      <w:r w:rsidR="002926FB">
        <w:rPr>
          <w:rFonts w:ascii="Verdana" w:eastAsia="Century Gothic" w:hAnsi="Verdana" w:cs="Century Gothic"/>
        </w:rPr>
        <w:t xml:space="preserve"> </w:t>
      </w:r>
      <w:r>
        <w:rPr>
          <w:rFonts w:ascii="Verdana" w:eastAsia="Century Gothic" w:hAnsi="Verdana" w:cs="Century Gothic"/>
        </w:rPr>
        <w:t xml:space="preserve">primer indicador </w:t>
      </w:r>
      <w:r w:rsidR="000C0C38">
        <w:rPr>
          <w:rFonts w:ascii="Verdana" w:eastAsia="Century Gothic" w:hAnsi="Verdana" w:cs="Century Gothic"/>
        </w:rPr>
        <w:t>tiene como</w:t>
      </w:r>
      <w:r w:rsidR="000A47D8">
        <w:rPr>
          <w:rFonts w:ascii="Verdana" w:eastAsia="Century Gothic" w:hAnsi="Verdana" w:cs="Century Gothic"/>
        </w:rPr>
        <w:t xml:space="preserve"> objetivo medir la </w:t>
      </w:r>
      <w:r w:rsidR="00A06CF8">
        <w:rPr>
          <w:rFonts w:ascii="Verdana" w:eastAsia="Century Gothic" w:hAnsi="Verdana" w:cs="Century Gothic"/>
        </w:rPr>
        <w:t>eficiencia de la organización de las ESALES</w:t>
      </w:r>
      <w:r w:rsidR="00A06CF8" w:rsidRPr="00CB2266">
        <w:rPr>
          <w:rFonts w:ascii="Verdana" w:eastAsia="Century Gothic" w:hAnsi="Verdana" w:cs="Century Gothic"/>
        </w:rPr>
        <w:t xml:space="preserve"> </w:t>
      </w:r>
      <w:r w:rsidR="00B41C5C">
        <w:rPr>
          <w:rFonts w:ascii="Verdana" w:eastAsia="Century Gothic" w:hAnsi="Verdana" w:cs="Century Gothic"/>
        </w:rPr>
        <w:t>de acuerdo c</w:t>
      </w:r>
      <w:r w:rsidR="00DB6AE2" w:rsidRPr="00DB6AE2">
        <w:rPr>
          <w:rFonts w:ascii="Verdana" w:eastAsia="Century Gothic" w:hAnsi="Verdana" w:cs="Century Gothic"/>
        </w:rPr>
        <w:t>on la revisión y división de los gastos de implementación de los</w:t>
      </w:r>
      <w:r w:rsidR="00B41C5C">
        <w:rPr>
          <w:rFonts w:ascii="Verdana" w:eastAsia="Century Gothic" w:hAnsi="Verdana" w:cs="Century Gothic"/>
        </w:rPr>
        <w:t xml:space="preserve"> </w:t>
      </w:r>
      <w:r w:rsidR="00DB6AE2" w:rsidRPr="00DB6AE2">
        <w:rPr>
          <w:rFonts w:ascii="Verdana" w:eastAsia="Century Gothic" w:hAnsi="Verdana" w:cs="Century Gothic"/>
        </w:rPr>
        <w:t>proyectos anuales entre el total de gastos de funcionamiento de la ESAL por ese</w:t>
      </w:r>
      <w:r w:rsidR="000A47D8">
        <w:rPr>
          <w:rFonts w:ascii="Verdana" w:eastAsia="Century Gothic" w:hAnsi="Verdana" w:cs="Century Gothic"/>
        </w:rPr>
        <w:t xml:space="preserve"> </w:t>
      </w:r>
      <w:r w:rsidR="00DB6AE2" w:rsidRPr="00DB6AE2">
        <w:rPr>
          <w:rFonts w:ascii="Verdana" w:eastAsia="Century Gothic" w:hAnsi="Verdana" w:cs="Century Gothic"/>
        </w:rPr>
        <w:t>mismo año, de modo que se premie la mayor utilización de recursos para satisfacer</w:t>
      </w:r>
      <w:r w:rsidR="000A47D8">
        <w:rPr>
          <w:rFonts w:ascii="Verdana" w:eastAsia="Century Gothic" w:hAnsi="Verdana" w:cs="Century Gothic"/>
        </w:rPr>
        <w:t xml:space="preserve"> </w:t>
      </w:r>
      <w:r w:rsidR="00DB6AE2" w:rsidRPr="00DB6AE2">
        <w:rPr>
          <w:rFonts w:ascii="Verdana" w:eastAsia="Century Gothic" w:hAnsi="Verdana" w:cs="Century Gothic"/>
        </w:rPr>
        <w:t>las necesidades de la comunidad y menos para su propio funcionamiento,</w:t>
      </w:r>
      <w:r w:rsidR="009E0122">
        <w:rPr>
          <w:rFonts w:ascii="Verdana" w:eastAsia="Century Gothic" w:hAnsi="Verdana" w:cs="Century Gothic"/>
        </w:rPr>
        <w:t xml:space="preserve"> y en el segundo indicador</w:t>
      </w:r>
      <w:r w:rsidR="008F2F3F">
        <w:rPr>
          <w:rFonts w:ascii="Verdana" w:eastAsia="Century Gothic" w:hAnsi="Verdana" w:cs="Century Gothic"/>
        </w:rPr>
        <w:t xml:space="preserve"> recomendado por parte de la Agencia</w:t>
      </w:r>
      <w:r w:rsidR="009E0122">
        <w:rPr>
          <w:rFonts w:ascii="Verdana" w:eastAsia="Century Gothic" w:hAnsi="Verdana" w:cs="Century Gothic"/>
        </w:rPr>
        <w:t>,</w:t>
      </w:r>
      <w:r w:rsidR="00DB6AE2" w:rsidRPr="00DB6AE2">
        <w:rPr>
          <w:rFonts w:ascii="Verdana" w:eastAsia="Century Gothic" w:hAnsi="Verdana" w:cs="Century Gothic"/>
        </w:rPr>
        <w:t xml:space="preserve"> se divide el total de gastos de funcionamiento de la ESAL en el año entre el</w:t>
      </w:r>
      <w:r w:rsidR="009E0122">
        <w:rPr>
          <w:rFonts w:ascii="Verdana" w:eastAsia="Century Gothic" w:hAnsi="Verdana" w:cs="Century Gothic"/>
        </w:rPr>
        <w:t xml:space="preserve"> </w:t>
      </w:r>
      <w:r w:rsidR="00DB6AE2" w:rsidRPr="00DB6AE2">
        <w:rPr>
          <w:rFonts w:ascii="Verdana" w:eastAsia="Century Gothic" w:hAnsi="Verdana" w:cs="Century Gothic"/>
        </w:rPr>
        <w:t>total de contribuciones del sector privado en ese período para estimular la búsqueda</w:t>
      </w:r>
      <w:r w:rsidR="008F2F3F">
        <w:rPr>
          <w:rFonts w:ascii="Verdana" w:eastAsia="Century Gothic" w:hAnsi="Verdana" w:cs="Century Gothic"/>
        </w:rPr>
        <w:t xml:space="preserve"> </w:t>
      </w:r>
      <w:r w:rsidR="00DB6AE2" w:rsidRPr="00DB6AE2">
        <w:rPr>
          <w:rFonts w:ascii="Verdana" w:eastAsia="Century Gothic" w:hAnsi="Verdana" w:cs="Century Gothic"/>
        </w:rPr>
        <w:t>de financiación privada. Lo que adquiere importancia para puntuar por</w:t>
      </w:r>
      <w:r w:rsidR="001A6287">
        <w:rPr>
          <w:rFonts w:ascii="Verdana" w:eastAsia="Century Gothic" w:hAnsi="Verdana" w:cs="Century Gothic"/>
        </w:rPr>
        <w:t xml:space="preserve"> </w:t>
      </w:r>
      <w:r w:rsidR="00DB6AE2" w:rsidRPr="00DB6AE2">
        <w:rPr>
          <w:rFonts w:ascii="Verdana" w:eastAsia="Century Gothic" w:hAnsi="Verdana" w:cs="Century Gothic"/>
        </w:rPr>
        <w:t>este indicador es lo que arroje el mayor gasto para favorecer a la comunidad o e</w:t>
      </w:r>
      <w:r w:rsidR="001A6287">
        <w:rPr>
          <w:rFonts w:ascii="Verdana" w:eastAsia="Century Gothic" w:hAnsi="Verdana" w:cs="Century Gothic"/>
        </w:rPr>
        <w:t xml:space="preserve"> </w:t>
      </w:r>
      <w:r w:rsidR="00DB6AE2" w:rsidRPr="00DB6AE2">
        <w:rPr>
          <w:rFonts w:ascii="Verdana" w:eastAsia="Century Gothic" w:hAnsi="Verdana" w:cs="Century Gothic"/>
        </w:rPr>
        <w:t>mayor aporte privado para financiar las actividades.</w:t>
      </w:r>
    </w:p>
    <w:p w14:paraId="7FF8AC53" w14:textId="77777777" w:rsidR="003E5398" w:rsidRDefault="003E5398" w:rsidP="004F2189">
      <w:pPr>
        <w:tabs>
          <w:tab w:val="left" w:pos="142"/>
          <w:tab w:val="left" w:pos="284"/>
        </w:tabs>
        <w:spacing w:after="12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00E650E1" w:rsidRPr="00CB2266">
        <w:rPr>
          <w:rFonts w:ascii="Verdana" w:eastAsia="Century Gothic" w:hAnsi="Verdana" w:cs="Century Gothic"/>
        </w:rPr>
        <w:t xml:space="preserve">Para realizar la verificación de </w:t>
      </w:r>
      <w:r w:rsidR="0059245F" w:rsidRPr="00CB2266">
        <w:rPr>
          <w:rFonts w:ascii="Verdana" w:eastAsia="Century Gothic" w:hAnsi="Verdana" w:cs="Century Gothic"/>
        </w:rPr>
        <w:t xml:space="preserve">los indicadores propuestos en la </w:t>
      </w:r>
      <w:r w:rsidR="001E3811" w:rsidRPr="00CB2266">
        <w:rPr>
          <w:rFonts w:ascii="Verdana" w:eastAsia="Century Gothic" w:hAnsi="Verdana" w:cs="Century Gothic"/>
        </w:rPr>
        <w:t>Guía</w:t>
      </w:r>
      <w:r w:rsidR="0059245F" w:rsidRPr="00CB2266">
        <w:rPr>
          <w:rFonts w:ascii="Verdana" w:eastAsia="Century Gothic" w:hAnsi="Verdana" w:cs="Century Gothic"/>
        </w:rPr>
        <w:t xml:space="preserve">, las entidades podrán solicitar </w:t>
      </w:r>
      <w:r w:rsidR="001E3811" w:rsidRPr="00CB2266">
        <w:rPr>
          <w:rFonts w:ascii="Verdana" w:eastAsia="Century Gothic" w:hAnsi="Verdana" w:cs="Century Gothic"/>
        </w:rPr>
        <w:t>a los participantes los Estados Financieros, en las cuales debe estar presente la información, requerida para el cálculo de los citados indicadores</w:t>
      </w:r>
      <w:r w:rsidR="00E91720" w:rsidRPr="00CB2266">
        <w:rPr>
          <w:rFonts w:ascii="Verdana" w:eastAsia="Century Gothic" w:hAnsi="Verdana" w:cs="Century Gothic"/>
        </w:rPr>
        <w:t>, dependiendo de la complejidad del objetivo del plan de desarrollo que se pretende cumplir, puede usar los siguientes indicadores u otros que le permitan comparar objetivamente a los proponentes</w:t>
      </w:r>
      <w:r w:rsidR="00C30CD7" w:rsidRPr="00CB2266">
        <w:rPr>
          <w:rFonts w:ascii="Verdana" w:eastAsia="Century Gothic" w:hAnsi="Verdana" w:cs="Century Gothic"/>
        </w:rPr>
        <w:t xml:space="preserve"> y será la entidad que adelanta el proceso competitivo a la luz de lo establecido en el Decreto 092 de 2017 y la Guía para la contratación con entidades sin ánimo de lucro y de reconocida idoneidad, quien determinará cual es el porcentaje mínimo que deba cumplir la ESAL.</w:t>
      </w:r>
      <w:r w:rsidR="00E91720" w:rsidRPr="00CB2266">
        <w:rPr>
          <w:rFonts w:ascii="Verdana" w:eastAsia="Century Gothic" w:hAnsi="Verdana" w:cs="Century Gothic"/>
        </w:rPr>
        <w:tab/>
      </w:r>
    </w:p>
    <w:p w14:paraId="593CA680" w14:textId="2B5C684C" w:rsidR="00E91720" w:rsidRPr="00CB2266" w:rsidRDefault="00A06CF8" w:rsidP="00892184">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iCs/>
        </w:rPr>
        <w:tab/>
      </w:r>
      <w:r>
        <w:rPr>
          <w:rFonts w:ascii="Verdana" w:eastAsia="Century Gothic" w:hAnsi="Verdana" w:cs="Century Gothic"/>
          <w:iCs/>
        </w:rPr>
        <w:tab/>
      </w:r>
      <w:r>
        <w:rPr>
          <w:rFonts w:ascii="Verdana" w:eastAsia="Century Gothic" w:hAnsi="Verdana" w:cs="Century Gothic"/>
          <w:iCs/>
        </w:rPr>
        <w:tab/>
      </w:r>
      <w:r w:rsidR="003E5398">
        <w:rPr>
          <w:rFonts w:ascii="Verdana" w:eastAsia="Century Gothic" w:hAnsi="Verdana" w:cs="Century Gothic"/>
          <w:iCs/>
        </w:rPr>
        <w:t xml:space="preserve">Finalmente se reitera que lo establecido en la </w:t>
      </w:r>
      <w:r w:rsidR="003E5398" w:rsidRPr="0035584F">
        <w:rPr>
          <w:rFonts w:ascii="Verdana" w:eastAsia="Century Gothic" w:hAnsi="Verdana" w:cs="Century Gothic"/>
          <w:iCs/>
        </w:rPr>
        <w:t>Guía para la contratación con entidades sin ánimo de lucro y de reconocida idoneidad</w:t>
      </w:r>
      <w:r w:rsidR="003E5398">
        <w:rPr>
          <w:rFonts w:ascii="Verdana" w:eastAsia="Century Gothic" w:hAnsi="Verdana" w:cs="Century Gothic"/>
          <w:iCs/>
        </w:rPr>
        <w:t>, se debe tener como documento de referencia, por cuanto el artículo 1 del Decreto 092 de 2017, teniendo en cuenta que e</w:t>
      </w:r>
      <w:r w:rsidR="003E5398" w:rsidRPr="003E5398">
        <w:rPr>
          <w:rFonts w:ascii="Verdana" w:eastAsia="Century Gothic" w:hAnsi="Verdana" w:cs="Century Gothic"/>
        </w:rPr>
        <w:t>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003E5398" w:rsidRPr="003E5398">
        <w:rPr>
          <w:rFonts w:ascii="Verdana" w:eastAsia="Century Gothic" w:hAnsi="Verdana" w:cs="Century Gothic"/>
        </w:rPr>
        <w:footnoteReference w:id="12"/>
      </w:r>
      <w:r w:rsidR="003E5398" w:rsidRPr="003E5398">
        <w:rPr>
          <w:rFonts w:ascii="Verdana" w:eastAsia="Century Gothic" w:hAnsi="Verdana" w:cs="Century Gothic"/>
        </w:rPr>
        <w:t>. Cabe precisar que las decisiones adoptadas en el auto indicado fueron mantenidas en su mayoría en el Auto del 15 de marzo de 2022 de la Sala Plena del Consejo de Estado</w:t>
      </w:r>
      <w:r w:rsidR="003E5398">
        <w:rPr>
          <w:rFonts w:ascii="Verdana" w:eastAsia="Century Gothic" w:hAnsi="Verdana" w:cs="Century Gothic"/>
        </w:rPr>
        <w:t>.</w:t>
      </w:r>
      <w:r w:rsidR="00E91720" w:rsidRPr="00CB2266">
        <w:rPr>
          <w:rFonts w:ascii="Verdana" w:eastAsia="Century Gothic" w:hAnsi="Verdana" w:cs="Century Gothic"/>
        </w:rPr>
        <w:tab/>
      </w:r>
    </w:p>
    <w:p w14:paraId="1B0F7286" w14:textId="77777777" w:rsidR="007A2E4B" w:rsidRPr="009D33F5" w:rsidRDefault="007A2E4B" w:rsidP="00892184">
      <w:pPr>
        <w:tabs>
          <w:tab w:val="left" w:pos="142"/>
          <w:tab w:val="left" w:pos="284"/>
        </w:tabs>
        <w:spacing w:after="0" w:line="276" w:lineRule="auto"/>
        <w:jc w:val="both"/>
        <w:rPr>
          <w:rFonts w:ascii="Verdana" w:eastAsia="Century Gothic" w:hAnsi="Verdana" w:cs="Century Gothic"/>
        </w:rPr>
      </w:pPr>
    </w:p>
    <w:p w14:paraId="4F67C48A" w14:textId="06FD06C3" w:rsidR="00654D71" w:rsidRPr="006723FA" w:rsidRDefault="00654D71" w:rsidP="00654D71">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723FA">
        <w:rPr>
          <w:rFonts w:ascii="Verdana" w:eastAsia="Century Gothic" w:hAnsi="Verdana" w:cs="Century Gothic"/>
          <w:b/>
          <w:bCs/>
        </w:rPr>
        <w:t>Referencias normativas, jurisprudenciales y otras fuentes:</w:t>
      </w:r>
    </w:p>
    <w:p w14:paraId="5AEBC111" w14:textId="77777777" w:rsidR="00654D71" w:rsidRPr="006723FA" w:rsidRDefault="00654D71" w:rsidP="00654D71">
      <w:pPr>
        <w:spacing w:after="0" w:line="276" w:lineRule="auto"/>
        <w:ind w:right="709"/>
        <w:jc w:val="both"/>
        <w:textAlignment w:val="baseline"/>
        <w:rPr>
          <w:rFonts w:ascii="Verdana" w:eastAsia="Times New Roman" w:hAnsi="Verdana" w:cs="Arial"/>
          <w:bCs/>
          <w:lang w:val="es-ES_tradnl" w:eastAsia="es-CO"/>
        </w:rPr>
      </w:pPr>
    </w:p>
    <w:p w14:paraId="215A8856" w14:textId="77777777" w:rsidR="00654D71" w:rsidRPr="00CB2266" w:rsidRDefault="00654D71" w:rsidP="00654D71">
      <w:pPr>
        <w:pStyle w:val="ListParagraph"/>
        <w:numPr>
          <w:ilvl w:val="0"/>
          <w:numId w:val="17"/>
        </w:numPr>
        <w:spacing w:after="0" w:line="276" w:lineRule="auto"/>
        <w:ind w:right="709"/>
        <w:rPr>
          <w:rFonts w:ascii="Verdana" w:hAnsi="Verdana" w:cs="Arial"/>
          <w:lang w:val="es-ES_tradnl"/>
        </w:rPr>
      </w:pPr>
      <w:r w:rsidRPr="00CB2266">
        <w:rPr>
          <w:rFonts w:ascii="Verdana" w:hAnsi="Verdana" w:cs="Arial"/>
          <w:lang w:val="es-ES_tradnl"/>
        </w:rPr>
        <w:t xml:space="preserve">Constitución Política de Colombia, artículo 355. Disponible en:  </w:t>
      </w:r>
    </w:p>
    <w:p w14:paraId="292D18F2" w14:textId="77777777" w:rsidR="00654D71" w:rsidRPr="00CB2266" w:rsidRDefault="007055CC" w:rsidP="00654D71">
      <w:pPr>
        <w:pStyle w:val="ListParagraph"/>
        <w:spacing w:after="0" w:line="276" w:lineRule="auto"/>
        <w:ind w:right="709"/>
        <w:jc w:val="both"/>
        <w:rPr>
          <w:rFonts w:ascii="Verdana" w:hAnsi="Verdana" w:cs="Arial"/>
          <w:lang w:val="es-ES_tradnl"/>
        </w:rPr>
      </w:pPr>
      <w:hyperlink r:id="rId15" w:history="1">
        <w:r w:rsidR="00654D71" w:rsidRPr="00CB2266">
          <w:rPr>
            <w:rStyle w:val="Hyperlink"/>
            <w:rFonts w:ascii="Verdana" w:hAnsi="Verdana" w:cs="Arial"/>
            <w:color w:val="auto"/>
            <w:lang w:val="es-ES_tradnl"/>
          </w:rPr>
          <w:t>https://relatoria.colombiacompra.gov.co/normativa/constitucion-politica-de-colombia/</w:t>
        </w:r>
      </w:hyperlink>
    </w:p>
    <w:p w14:paraId="49C32913" w14:textId="77777777" w:rsidR="00654D71" w:rsidRPr="00CB2266" w:rsidRDefault="00654D71" w:rsidP="00654D71">
      <w:pPr>
        <w:pStyle w:val="ListParagraph"/>
        <w:numPr>
          <w:ilvl w:val="0"/>
          <w:numId w:val="17"/>
        </w:numPr>
        <w:spacing w:after="0" w:line="276" w:lineRule="auto"/>
        <w:ind w:right="709"/>
        <w:jc w:val="both"/>
        <w:rPr>
          <w:rFonts w:ascii="Verdana" w:hAnsi="Verdana" w:cs="Arial"/>
          <w:lang w:val="es-ES_tradnl"/>
        </w:rPr>
      </w:pPr>
      <w:r w:rsidRPr="00CB2266">
        <w:rPr>
          <w:rFonts w:ascii="Verdana" w:hAnsi="Verdana" w:cs="Arial"/>
          <w:lang w:val="es-ES_tradnl"/>
        </w:rPr>
        <w:t xml:space="preserve">Artículo 2, 4, 5 y 8 del Decreto 092 de 2017. </w:t>
      </w:r>
      <w:hyperlink r:id="rId16" w:history="1">
        <w:r w:rsidRPr="00CB2266">
          <w:rPr>
            <w:rStyle w:val="Hyperlink"/>
            <w:rFonts w:ascii="Verdana" w:hAnsi="Verdana" w:cs="Arial"/>
            <w:color w:val="auto"/>
            <w:lang w:val="es-ES_tradnl"/>
          </w:rPr>
          <w:t>https://relatoria.colombiacompra.gov.co/normativa/decreto-092-de-2017/</w:t>
        </w:r>
      </w:hyperlink>
    </w:p>
    <w:p w14:paraId="6F3C6388" w14:textId="3C71C698" w:rsidR="00654D71" w:rsidRPr="00CB2266" w:rsidRDefault="00654D71" w:rsidP="00654D71">
      <w:pPr>
        <w:pStyle w:val="ListParagraph"/>
        <w:spacing w:line="276" w:lineRule="auto"/>
        <w:ind w:right="709"/>
        <w:jc w:val="both"/>
        <w:rPr>
          <w:rFonts w:ascii="Verdana" w:hAnsi="Verdana" w:cs="Arial"/>
          <w:lang w:val="es-ES_tradnl"/>
        </w:rPr>
      </w:pPr>
    </w:p>
    <w:p w14:paraId="7AC342A7" w14:textId="77777777" w:rsidR="00654D71" w:rsidRPr="000942CA" w:rsidRDefault="00654D71" w:rsidP="00654D71">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942CA">
        <w:rPr>
          <w:rFonts w:ascii="Verdana" w:eastAsia="Century Gothic" w:hAnsi="Verdana" w:cs="Century Gothic"/>
          <w:b/>
          <w:bCs/>
        </w:rPr>
        <w:t>Doctrina de la Agencia Nacional de Contratación Pública:</w:t>
      </w:r>
    </w:p>
    <w:p w14:paraId="2FE0F063" w14:textId="77777777" w:rsidR="00654D71" w:rsidRPr="000942CA" w:rsidRDefault="00654D71" w:rsidP="00654D71">
      <w:pPr>
        <w:widowControl w:val="0"/>
        <w:autoSpaceDE w:val="0"/>
        <w:autoSpaceDN w:val="0"/>
        <w:spacing w:after="0" w:line="276" w:lineRule="auto"/>
        <w:jc w:val="both"/>
        <w:rPr>
          <w:rFonts w:ascii="Verdana" w:eastAsia="Calibri" w:hAnsi="Verdana" w:cs="Arial"/>
          <w:lang w:val="es-ES" w:eastAsia="es-ES"/>
        </w:rPr>
      </w:pPr>
    </w:p>
    <w:p w14:paraId="6DFDF415" w14:textId="59C49ED3" w:rsidR="004C545A" w:rsidRDefault="00654D71" w:rsidP="00654D71">
      <w:pPr>
        <w:widowControl w:val="0"/>
        <w:autoSpaceDE w:val="0"/>
        <w:autoSpaceDN w:val="0"/>
        <w:spacing w:after="0" w:line="276" w:lineRule="auto"/>
        <w:jc w:val="both"/>
        <w:rPr>
          <w:rStyle w:val="normaltextrun"/>
          <w:rFonts w:ascii="Verdana" w:hAnsi="Verdana" w:cs="Arial"/>
          <w:shd w:val="clear" w:color="auto" w:fill="FFFFFF"/>
        </w:rPr>
      </w:pPr>
      <w:r w:rsidRPr="000942CA">
        <w:rPr>
          <w:rStyle w:val="normaltextrun"/>
          <w:rFonts w:ascii="Verdana" w:hAnsi="Verdana" w:cs="Arial"/>
          <w:shd w:val="clear" w:color="auto" w:fill="FFFFFF"/>
        </w:rPr>
        <w:t xml:space="preserve">La Agencia Nacional de Contratación Pública – Colombia Compra Eficiente analizó 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y C-115 del 16 de julio de 2024. </w:t>
      </w:r>
      <w:r w:rsidR="005B143B" w:rsidRPr="005B143B">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B2266">
        <w:rPr>
          <w:rFonts w:ascii="Verdana" w:hAnsi="Verdana"/>
        </w:rPr>
        <w:t xml:space="preserve">, </w:t>
      </w:r>
      <w:r w:rsidR="008A2797">
        <w:rPr>
          <w:rFonts w:ascii="Verdana" w:hAnsi="Verdana"/>
        </w:rPr>
        <w:t>a</w:t>
      </w:r>
      <w:r w:rsidRPr="00CB2266">
        <w:rPr>
          <w:rFonts w:ascii="Verdana" w:hAnsi="Verdana"/>
        </w:rPr>
        <w:t>ccede a través del siguiente enlace:</w:t>
      </w:r>
      <w:r w:rsidR="008A2797">
        <w:rPr>
          <w:rFonts w:ascii="Verdana" w:hAnsi="Verdana"/>
        </w:rPr>
        <w:t xml:space="preserve"> </w:t>
      </w:r>
      <w:hyperlink r:id="rId17" w:history="1">
        <w:r w:rsidRPr="000942CA">
          <w:rPr>
            <w:rStyle w:val="Hyperlink"/>
            <w:rFonts w:ascii="Verdana" w:hAnsi="Verdana" w:cs="Arial"/>
            <w:shd w:val="clear" w:color="auto" w:fill="FFFFFF"/>
            <w:lang w:val="es-ES"/>
          </w:rPr>
          <w:t>https://relatoria.colombiacompra.gov.co/busqueda/conceptos</w:t>
        </w:r>
      </w:hyperlink>
      <w:r w:rsidRPr="00CB2266">
        <w:rPr>
          <w:rStyle w:val="normaltextrun"/>
          <w:rFonts w:ascii="Verdana" w:hAnsi="Verdana" w:cs="Arial"/>
          <w:shd w:val="clear" w:color="auto" w:fill="FFFFFF"/>
        </w:rPr>
        <w:t>.</w:t>
      </w:r>
      <w:r w:rsidR="008A2797">
        <w:rPr>
          <w:rStyle w:val="normaltextrun"/>
          <w:rFonts w:ascii="Verdana" w:hAnsi="Verdana" w:cs="Arial"/>
          <w:shd w:val="clear" w:color="auto" w:fill="FFFFFF"/>
        </w:rPr>
        <w:t xml:space="preserve"> También te </w:t>
      </w:r>
      <w:r w:rsidR="008A2797" w:rsidRPr="008A2797">
        <w:rPr>
          <w:rFonts w:ascii="Verdana" w:hAnsi="Verdana" w:cs="Arial"/>
          <w:shd w:val="clear" w:color="auto" w:fill="FFFFFF"/>
        </w:rPr>
        <w:t>invitamos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008A2797" w:rsidRPr="008A2797">
          <w:rPr>
            <w:rStyle w:val="Hyperlink"/>
            <w:rFonts w:ascii="Verdana" w:hAnsi="Verdana" w:cs="Arial"/>
            <w:shd w:val="clear" w:color="auto" w:fill="FFFFFF"/>
          </w:rPr>
          <w:t>https://www.colombiacompra.gov.co/sites/cce_public/files/files_2020/boletin_de_realtoria_iii.pdf</w:t>
        </w:r>
      </w:hyperlink>
      <w:r w:rsidR="008A2797" w:rsidRPr="008A2797">
        <w:rPr>
          <w:rFonts w:ascii="Verdana" w:hAnsi="Verdana" w:cs="Arial"/>
          <w:shd w:val="clear" w:color="auto" w:fill="FFFFFF"/>
        </w:rPr>
        <w:t> ".  </w:t>
      </w:r>
    </w:p>
    <w:p w14:paraId="6372D935" w14:textId="4289BF6B" w:rsidR="00654D71" w:rsidRPr="00CB2266" w:rsidRDefault="00654D71" w:rsidP="00654D71">
      <w:pPr>
        <w:widowControl w:val="0"/>
        <w:autoSpaceDE w:val="0"/>
        <w:autoSpaceDN w:val="0"/>
        <w:spacing w:after="0" w:line="276" w:lineRule="auto"/>
        <w:jc w:val="both"/>
        <w:rPr>
          <w:rStyle w:val="normaltextrun"/>
          <w:rFonts w:ascii="Verdana" w:hAnsi="Verdana" w:cs="Arial"/>
          <w:shd w:val="clear" w:color="auto" w:fill="FFFFFF"/>
        </w:rPr>
      </w:pPr>
    </w:p>
    <w:p w14:paraId="0C933DD2" w14:textId="7A703C5F" w:rsidR="004F2189" w:rsidRDefault="006D1E0F" w:rsidP="006D1E0F">
      <w:pPr>
        <w:widowControl w:val="0"/>
        <w:autoSpaceDE w:val="0"/>
        <w:autoSpaceDN w:val="0"/>
        <w:spacing w:after="0" w:line="276" w:lineRule="auto"/>
        <w:jc w:val="both"/>
        <w:rPr>
          <w:rFonts w:ascii="Verdana" w:hAnsi="Verdana" w:cs="Arial"/>
          <w:shd w:val="clear" w:color="auto" w:fill="FFFFFF"/>
        </w:rPr>
      </w:pPr>
      <w:r w:rsidRPr="006D1E0F">
        <w:rPr>
          <w:rFonts w:ascii="Verdana" w:hAnsi="Verdana" w:cs="Arial"/>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w:t>
      </w:r>
    </w:p>
    <w:p w14:paraId="3ECDD41A" w14:textId="05BF0799" w:rsidR="006D1E0F" w:rsidRPr="006D1E0F" w:rsidRDefault="006D1E0F" w:rsidP="006D1E0F">
      <w:pPr>
        <w:widowControl w:val="0"/>
        <w:autoSpaceDE w:val="0"/>
        <w:autoSpaceDN w:val="0"/>
        <w:spacing w:after="0" w:line="276" w:lineRule="auto"/>
        <w:jc w:val="both"/>
        <w:rPr>
          <w:rFonts w:ascii="Verdana" w:hAnsi="Verdana" w:cs="Arial"/>
          <w:shd w:val="clear" w:color="auto" w:fill="FFFFFF"/>
        </w:rPr>
      </w:pPr>
      <w:r w:rsidRPr="006D1E0F">
        <w:rPr>
          <w:rFonts w:ascii="Verdana" w:hAnsi="Verdana" w:cs="Arial"/>
          <w:shd w:val="clear" w:color="auto" w:fill="FFFFFF"/>
        </w:rPr>
        <w:t>  </w:t>
      </w:r>
      <w:r w:rsidRPr="006D1E0F">
        <w:rPr>
          <w:rFonts w:ascii="Verdana" w:hAnsi="Verdana" w:cs="Arial"/>
          <w:shd w:val="clear" w:color="auto" w:fill="FFFFFF"/>
        </w:rPr>
        <w:br/>
      </w:r>
      <w:hyperlink r:id="rId19" w:history="1">
        <w:r w:rsidRPr="006D1E0F">
          <w:rPr>
            <w:rStyle w:val="Hyperlink"/>
            <w:rFonts w:ascii="Verdana" w:hAnsi="Verdana" w:cs="Arial"/>
            <w:shd w:val="clear" w:color="auto" w:fill="FFFFFF"/>
          </w:rPr>
          <w:t>https://www.sucop.gov.co/entidades/colombiacompra/Normativa?IDNorma=17363</w:t>
        </w:r>
      </w:hyperlink>
      <w:r>
        <w:rPr>
          <w:rFonts w:ascii="Verdana" w:hAnsi="Verdana" w:cs="Arial"/>
          <w:shd w:val="clear" w:color="auto" w:fill="FFFFFF"/>
        </w:rPr>
        <w:t xml:space="preserve"> y </w:t>
      </w:r>
      <w:r w:rsidRPr="006D1E0F">
        <w:rPr>
          <w:rFonts w:ascii="Verdana" w:hAnsi="Verdana" w:cs="Arial"/>
          <w:shd w:val="clear" w:color="auto" w:fill="FFFFFF"/>
        </w:rPr>
        <w:t> </w:t>
      </w:r>
      <w:hyperlink r:id="rId20" w:tgtFrame="_blank" w:tooltip="Dirección URL original: https://www.colombiacompra.gov.co/content/convocatorias. Haga clic o pulse si confía en este vínculo." w:history="1">
        <w:r w:rsidRPr="006D1E0F">
          <w:rPr>
            <w:rStyle w:val="Hyperlink"/>
            <w:rFonts w:ascii="Verdana" w:hAnsi="Verdana" w:cs="Arial"/>
            <w:shd w:val="clear" w:color="auto" w:fill="FFFFFF"/>
          </w:rPr>
          <w:t>https://www.colombiacompra.gov.co/content/convocatorias</w:t>
        </w:r>
      </w:hyperlink>
      <w:r w:rsidRPr="006D1E0F">
        <w:rPr>
          <w:rFonts w:ascii="Verdana" w:hAnsi="Verdana" w:cs="Arial"/>
          <w:shd w:val="clear" w:color="auto" w:fill="FFFFFF"/>
        </w:rPr>
        <w:t> </w:t>
      </w:r>
    </w:p>
    <w:p w14:paraId="02D2F8C9" w14:textId="77777777" w:rsidR="00654D71" w:rsidRPr="000942CA" w:rsidRDefault="00654D71" w:rsidP="00654D71">
      <w:pPr>
        <w:widowControl w:val="0"/>
        <w:autoSpaceDE w:val="0"/>
        <w:autoSpaceDN w:val="0"/>
        <w:spacing w:after="0" w:line="276" w:lineRule="auto"/>
        <w:jc w:val="both"/>
        <w:rPr>
          <w:rFonts w:ascii="Verdana" w:hAnsi="Verdana" w:cs="Arial"/>
          <w:shd w:val="clear" w:color="auto" w:fill="FFFFFF"/>
          <w:lang w:val="es-ES"/>
        </w:rPr>
      </w:pPr>
    </w:p>
    <w:p w14:paraId="729EDF67" w14:textId="77777777" w:rsidR="00654D71" w:rsidRPr="000942CA" w:rsidRDefault="00654D71" w:rsidP="00654D71">
      <w:pPr>
        <w:spacing w:after="0" w:line="240" w:lineRule="auto"/>
        <w:jc w:val="both"/>
        <w:rPr>
          <w:rFonts w:ascii="Verdana" w:hAnsi="Verdana"/>
        </w:rPr>
      </w:pPr>
      <w:r w:rsidRPr="000942CA">
        <w:rPr>
          <w:rFonts w:ascii="Verdana" w:hAnsi="Verdana"/>
        </w:rPr>
        <w:t xml:space="preserve">Por último, lo invitamos a seguirnos en las redes sociales en las cuales se difunde información institucional: </w:t>
      </w:r>
    </w:p>
    <w:p w14:paraId="53ED6EF3" w14:textId="77777777" w:rsidR="00654D71" w:rsidRPr="00DC1DF5" w:rsidRDefault="00654D71" w:rsidP="00654D71">
      <w:pPr>
        <w:spacing w:after="0" w:line="240" w:lineRule="auto"/>
        <w:jc w:val="both"/>
        <w:rPr>
          <w:rFonts w:ascii="Verdana" w:hAnsi="Verdana"/>
        </w:rPr>
      </w:pPr>
    </w:p>
    <w:p w14:paraId="56C64CD9" w14:textId="77777777" w:rsidR="00654D71" w:rsidRPr="00DC1DF5" w:rsidRDefault="00654D71" w:rsidP="00654D71">
      <w:pPr>
        <w:spacing w:after="0" w:line="240" w:lineRule="auto"/>
        <w:jc w:val="both"/>
        <w:rPr>
          <w:rFonts w:ascii="Verdana" w:hAnsi="Verdana"/>
        </w:rPr>
      </w:pPr>
      <w:r w:rsidRPr="00DC1DF5">
        <w:rPr>
          <w:rFonts w:ascii="Verdana" w:hAnsi="Verdana"/>
        </w:rPr>
        <w:t xml:space="preserve">Twitter: </w:t>
      </w:r>
      <w:r w:rsidRPr="00CB2266">
        <w:rPr>
          <w:rFonts w:ascii="Verdana" w:hAnsi="Verdana"/>
          <w:u w:val="single"/>
        </w:rPr>
        <w:t>@</w:t>
      </w:r>
      <w:proofErr w:type="spellStart"/>
      <w:r w:rsidRPr="00CB2266">
        <w:rPr>
          <w:rFonts w:ascii="Verdana" w:hAnsi="Verdana"/>
          <w:u w:val="single"/>
        </w:rPr>
        <w:t>colombiacompra</w:t>
      </w:r>
      <w:proofErr w:type="spellEnd"/>
      <w:r w:rsidRPr="00CB2266">
        <w:rPr>
          <w:rFonts w:ascii="Verdana" w:hAnsi="Verdana"/>
        </w:rPr>
        <w:t xml:space="preserve"> </w:t>
      </w:r>
    </w:p>
    <w:p w14:paraId="107F023E" w14:textId="77777777" w:rsidR="00654D71" w:rsidRPr="00DC1DF5" w:rsidRDefault="00654D71" w:rsidP="00654D71">
      <w:pPr>
        <w:spacing w:after="0" w:line="240" w:lineRule="auto"/>
        <w:jc w:val="both"/>
        <w:rPr>
          <w:rFonts w:ascii="Verdana" w:hAnsi="Verdana"/>
        </w:rPr>
      </w:pPr>
      <w:r w:rsidRPr="00DC1DF5">
        <w:rPr>
          <w:rFonts w:ascii="Verdana" w:hAnsi="Verdana"/>
        </w:rPr>
        <w:t xml:space="preserve">Facebook: </w:t>
      </w:r>
      <w:proofErr w:type="spellStart"/>
      <w:r w:rsidRPr="00CB2266">
        <w:rPr>
          <w:rFonts w:ascii="Verdana" w:hAnsi="Verdana"/>
          <w:u w:val="single"/>
        </w:rPr>
        <w:t>ColombiaCompraEficiente</w:t>
      </w:r>
      <w:proofErr w:type="spellEnd"/>
    </w:p>
    <w:p w14:paraId="7385BD17" w14:textId="77777777" w:rsidR="00654D71" w:rsidRPr="00DC1DF5" w:rsidRDefault="00654D71" w:rsidP="00654D71">
      <w:pPr>
        <w:spacing w:after="0" w:line="240" w:lineRule="auto"/>
        <w:jc w:val="both"/>
        <w:rPr>
          <w:rFonts w:ascii="Verdana" w:hAnsi="Verdana"/>
        </w:rPr>
      </w:pPr>
      <w:r w:rsidRPr="00DC1DF5">
        <w:rPr>
          <w:rFonts w:ascii="Verdana" w:hAnsi="Verdana"/>
        </w:rPr>
        <w:t xml:space="preserve">LinkedIn: </w:t>
      </w:r>
      <w:r w:rsidRPr="00CB2266">
        <w:rPr>
          <w:rFonts w:ascii="Verdana" w:hAnsi="Verdana"/>
          <w:u w:val="single"/>
        </w:rPr>
        <w:t>Agencia Nacional de Contratación Pública - Colombia Compra Eficiente</w:t>
      </w:r>
      <w:r w:rsidRPr="00CB2266">
        <w:rPr>
          <w:rFonts w:ascii="Verdana" w:hAnsi="Verdana"/>
        </w:rPr>
        <w:t xml:space="preserve"> </w:t>
      </w:r>
      <w:r w:rsidRPr="00DC1DF5">
        <w:rPr>
          <w:rFonts w:ascii="Verdana" w:hAnsi="Verdana"/>
        </w:rPr>
        <w:t xml:space="preserve">Instagram: </w:t>
      </w:r>
      <w:r w:rsidRPr="00CB2266">
        <w:rPr>
          <w:rFonts w:ascii="Verdana" w:hAnsi="Verdana"/>
          <w:u w:val="single"/>
        </w:rPr>
        <w:t>@</w:t>
      </w:r>
      <w:proofErr w:type="spellStart"/>
      <w:r w:rsidRPr="00CB2266">
        <w:rPr>
          <w:rFonts w:ascii="Verdana" w:hAnsi="Verdana"/>
          <w:u w:val="single"/>
        </w:rPr>
        <w:t>colombiacompraeficiente_cce</w:t>
      </w:r>
      <w:proofErr w:type="spellEnd"/>
    </w:p>
    <w:p w14:paraId="6CB420E0" w14:textId="77777777" w:rsidR="00654D71" w:rsidRPr="00DC1DF5" w:rsidRDefault="00654D71" w:rsidP="00654D71">
      <w:pPr>
        <w:widowControl w:val="0"/>
        <w:autoSpaceDE w:val="0"/>
        <w:autoSpaceDN w:val="0"/>
        <w:spacing w:after="0" w:line="276" w:lineRule="auto"/>
        <w:jc w:val="both"/>
        <w:rPr>
          <w:rFonts w:ascii="Verdana" w:hAnsi="Verdana" w:cs="Arial"/>
        </w:rPr>
      </w:pPr>
    </w:p>
    <w:p w14:paraId="17D4E135" w14:textId="77777777" w:rsidR="00654D71" w:rsidRPr="006723FA" w:rsidRDefault="00654D71" w:rsidP="00654D71">
      <w:pPr>
        <w:spacing w:before="120" w:after="0" w:line="276" w:lineRule="auto"/>
        <w:jc w:val="both"/>
        <w:textAlignment w:val="baseline"/>
        <w:rPr>
          <w:rFonts w:ascii="Verdana" w:eastAsia="Times New Roman" w:hAnsi="Verdana"/>
          <w:bCs/>
          <w:lang w:val="es-ES_tradnl" w:eastAsia="es-CO"/>
        </w:rPr>
      </w:pPr>
      <w:r w:rsidRPr="00CB2266">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CD06F71" w14:textId="77777777" w:rsidR="00654D71" w:rsidRPr="006723FA" w:rsidRDefault="00654D71" w:rsidP="00654D71">
      <w:pPr>
        <w:spacing w:after="0" w:line="240" w:lineRule="auto"/>
        <w:rPr>
          <w:rFonts w:ascii="Verdana" w:eastAsia="Calibri" w:hAnsi="Verdana"/>
        </w:rPr>
      </w:pPr>
    </w:p>
    <w:p w14:paraId="43501CF0" w14:textId="7DFDA006" w:rsidR="00654D71" w:rsidRDefault="00654D71" w:rsidP="00654D71">
      <w:pPr>
        <w:spacing w:after="0" w:line="240" w:lineRule="auto"/>
        <w:rPr>
          <w:rFonts w:ascii="Verdana" w:eastAsia="Times New Roman" w:hAnsi="Verdana" w:cs="Arial"/>
          <w:lang w:eastAsia="es-CO"/>
        </w:rPr>
      </w:pPr>
      <w:r w:rsidRPr="006723FA">
        <w:rPr>
          <w:rFonts w:ascii="Verdana" w:eastAsia="Times New Roman" w:hAnsi="Verdana" w:cs="Arial"/>
          <w:lang w:eastAsia="es-CO"/>
        </w:rPr>
        <w:t>Atentamente,</w:t>
      </w:r>
    </w:p>
    <w:p w14:paraId="05F0FD18" w14:textId="70F47C42" w:rsidR="00700E6E" w:rsidRDefault="00700E6E" w:rsidP="00654D71">
      <w:pPr>
        <w:spacing w:after="0" w:line="240" w:lineRule="auto"/>
        <w:rPr>
          <w:rFonts w:ascii="Verdana" w:eastAsia="Times New Roman" w:hAnsi="Verdana" w:cs="Arial"/>
          <w:lang w:eastAsia="es-CO"/>
        </w:rPr>
      </w:pPr>
    </w:p>
    <w:p w14:paraId="6E4FF127" w14:textId="0BE344B4" w:rsidR="00700E6E" w:rsidRPr="006723FA" w:rsidRDefault="00700E6E" w:rsidP="00654D71">
      <w:pPr>
        <w:spacing w:after="0" w:line="240" w:lineRule="auto"/>
        <w:rPr>
          <w:rFonts w:ascii="Verdana" w:eastAsia="Times New Roman" w:hAnsi="Verdana" w:cs="Arial"/>
          <w:lang w:eastAsia="es-CO"/>
        </w:rPr>
      </w:pPr>
      <w:r w:rsidRPr="002C3AD6">
        <w:rPr>
          <w:rFonts w:ascii="Century Gothic" w:hAnsi="Century Gothic"/>
          <w:noProof/>
        </w:rPr>
        <w:drawing>
          <wp:inline distT="0" distB="0" distL="0" distR="0" wp14:anchorId="28CF77A5" wp14:editId="3A2DCF0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bookmarkStart w:id="3" w:name="_GoBack"/>
      <w:bookmarkEnd w:id="3"/>
    </w:p>
    <w:p w14:paraId="737309B0" w14:textId="08913AD5" w:rsidR="00654D71" w:rsidRDefault="00654D71" w:rsidP="00654D71">
      <w:pPr>
        <w:spacing w:after="0" w:line="276" w:lineRule="auto"/>
        <w:jc w:val="center"/>
        <w:rPr>
          <w:rFonts w:ascii="Century Gothic" w:hAnsi="Century Gothic"/>
          <w:noProof/>
        </w:rPr>
      </w:pPr>
    </w:p>
    <w:p w14:paraId="1F47915C" w14:textId="659005E1" w:rsidR="00654D71" w:rsidRPr="001D47E6" w:rsidRDefault="00654D71" w:rsidP="00654D71">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54D71" w:rsidRPr="000942CA" w14:paraId="4131D3F4" w14:textId="77777777" w:rsidTr="00343DE7">
        <w:trPr>
          <w:trHeight w:val="409"/>
        </w:trPr>
        <w:tc>
          <w:tcPr>
            <w:tcW w:w="817" w:type="dxa"/>
            <w:tcBorders>
              <w:top w:val="nil"/>
              <w:left w:val="nil"/>
              <w:bottom w:val="nil"/>
              <w:right w:val="nil"/>
            </w:tcBorders>
            <w:vAlign w:val="center"/>
            <w:hideMark/>
          </w:tcPr>
          <w:p w14:paraId="17A049F8" w14:textId="77777777" w:rsidR="00654D71" w:rsidRPr="000942CA" w:rsidRDefault="00654D71" w:rsidP="00343DE7">
            <w:pPr>
              <w:spacing w:after="0" w:line="240" w:lineRule="auto"/>
              <w:jc w:val="both"/>
              <w:rPr>
                <w:rFonts w:ascii="Verdana" w:hAnsi="Verdana" w:cs="Arial"/>
                <w:sz w:val="16"/>
                <w:szCs w:val="16"/>
              </w:rPr>
            </w:pPr>
            <w:r w:rsidRPr="000942CA">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B4276DF" w14:textId="77777777" w:rsidR="00654D71" w:rsidRPr="000942CA" w:rsidRDefault="00654D71" w:rsidP="00343DE7">
            <w:pPr>
              <w:spacing w:after="0" w:line="240" w:lineRule="auto"/>
              <w:jc w:val="both"/>
              <w:rPr>
                <w:rFonts w:ascii="Verdana" w:hAnsi="Verdana" w:cs="Arial"/>
                <w:sz w:val="16"/>
                <w:szCs w:val="16"/>
              </w:rPr>
            </w:pPr>
            <w:r w:rsidRPr="000942CA">
              <w:rPr>
                <w:rFonts w:ascii="Verdana" w:hAnsi="Verdana" w:cs="Arial"/>
                <w:sz w:val="16"/>
                <w:szCs w:val="16"/>
              </w:rPr>
              <w:t>Gustavo Hinestroza Martínez</w:t>
            </w:r>
          </w:p>
          <w:p w14:paraId="3FD749AA" w14:textId="77777777" w:rsidR="00654D71" w:rsidRPr="000942CA" w:rsidRDefault="00654D71" w:rsidP="00343DE7">
            <w:pPr>
              <w:spacing w:after="0" w:line="240" w:lineRule="auto"/>
              <w:jc w:val="both"/>
              <w:rPr>
                <w:rFonts w:ascii="Verdana" w:hAnsi="Verdana" w:cs="Arial"/>
                <w:sz w:val="16"/>
                <w:szCs w:val="16"/>
              </w:rPr>
            </w:pPr>
            <w:r w:rsidRPr="000942CA">
              <w:rPr>
                <w:rFonts w:ascii="Verdana" w:hAnsi="Verdana" w:cs="Arial"/>
                <w:sz w:val="16"/>
                <w:szCs w:val="16"/>
              </w:rPr>
              <w:t>Contratista de la Subdirección de Gestión Contractual</w:t>
            </w:r>
          </w:p>
        </w:tc>
      </w:tr>
      <w:tr w:rsidR="00654D71" w:rsidRPr="000942CA" w14:paraId="04D789BC" w14:textId="77777777" w:rsidTr="00343DE7">
        <w:trPr>
          <w:trHeight w:val="409"/>
        </w:trPr>
        <w:tc>
          <w:tcPr>
            <w:tcW w:w="817" w:type="dxa"/>
            <w:tcBorders>
              <w:top w:val="nil"/>
              <w:left w:val="nil"/>
              <w:bottom w:val="nil"/>
              <w:right w:val="nil"/>
            </w:tcBorders>
            <w:vAlign w:val="center"/>
            <w:hideMark/>
          </w:tcPr>
          <w:p w14:paraId="2F9CFF46" w14:textId="77777777" w:rsidR="00654D71" w:rsidRPr="000942CA" w:rsidRDefault="00654D71" w:rsidP="00343DE7">
            <w:pPr>
              <w:spacing w:after="0"/>
              <w:jc w:val="both"/>
              <w:rPr>
                <w:rFonts w:ascii="Verdana" w:hAnsi="Verdana" w:cs="Arial"/>
                <w:sz w:val="16"/>
                <w:szCs w:val="16"/>
              </w:rPr>
            </w:pPr>
            <w:r w:rsidRPr="000942CA">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4F9ECC8" w14:textId="77777777" w:rsidR="00654D71" w:rsidRPr="000942CA" w:rsidRDefault="00654D71" w:rsidP="00343DE7">
            <w:pPr>
              <w:spacing w:after="0" w:line="276" w:lineRule="auto"/>
              <w:textAlignment w:val="baseline"/>
              <w:rPr>
                <w:rFonts w:ascii="Verdana" w:eastAsia="Times New Roman" w:hAnsi="Verdana" w:cstheme="minorHAnsi"/>
                <w:sz w:val="16"/>
                <w:szCs w:val="16"/>
                <w:lang w:val="es-ES" w:eastAsia="es-ES"/>
              </w:rPr>
            </w:pPr>
            <w:r w:rsidRPr="000942CA">
              <w:rPr>
                <w:rFonts w:ascii="Verdana" w:eastAsia="Times New Roman" w:hAnsi="Verdana" w:cstheme="minorHAnsi"/>
                <w:sz w:val="16"/>
                <w:szCs w:val="16"/>
                <w:lang w:val="es-ES" w:eastAsia="es-ES"/>
              </w:rPr>
              <w:t>Alejandro Sarmiento Cantillo</w:t>
            </w:r>
          </w:p>
          <w:p w14:paraId="72FD9204" w14:textId="77777777" w:rsidR="00654D71" w:rsidRPr="000942CA" w:rsidRDefault="00654D71" w:rsidP="00343DE7">
            <w:pPr>
              <w:spacing w:after="0" w:line="240" w:lineRule="auto"/>
              <w:jc w:val="both"/>
              <w:rPr>
                <w:rFonts w:ascii="Verdana" w:hAnsi="Verdana" w:cs="Arial"/>
                <w:sz w:val="16"/>
                <w:szCs w:val="16"/>
              </w:rPr>
            </w:pPr>
            <w:r w:rsidRPr="000942CA">
              <w:rPr>
                <w:rFonts w:ascii="Verdana" w:eastAsia="Times New Roman" w:hAnsi="Verdana" w:cstheme="minorHAnsi"/>
                <w:sz w:val="16"/>
                <w:szCs w:val="16"/>
                <w:lang w:val="es-ES" w:eastAsia="es-ES"/>
              </w:rPr>
              <w:t>Gestor T-15 de la Subdirección de Gestión Contractual</w:t>
            </w:r>
          </w:p>
        </w:tc>
      </w:tr>
      <w:tr w:rsidR="00654D71" w:rsidRPr="000942CA" w14:paraId="6E22BD62" w14:textId="77777777" w:rsidTr="00343DE7">
        <w:trPr>
          <w:trHeight w:val="389"/>
        </w:trPr>
        <w:tc>
          <w:tcPr>
            <w:tcW w:w="817" w:type="dxa"/>
            <w:tcBorders>
              <w:top w:val="nil"/>
              <w:left w:val="nil"/>
              <w:bottom w:val="nil"/>
              <w:right w:val="nil"/>
            </w:tcBorders>
            <w:vAlign w:val="center"/>
            <w:hideMark/>
          </w:tcPr>
          <w:p w14:paraId="5BCBA286" w14:textId="77777777" w:rsidR="00654D71" w:rsidRPr="000942CA" w:rsidRDefault="00654D71" w:rsidP="00343DE7">
            <w:pPr>
              <w:spacing w:after="0" w:line="240" w:lineRule="auto"/>
              <w:jc w:val="both"/>
              <w:rPr>
                <w:rFonts w:ascii="Verdana" w:hAnsi="Verdana" w:cs="Arial"/>
                <w:sz w:val="16"/>
                <w:szCs w:val="16"/>
              </w:rPr>
            </w:pPr>
            <w:r w:rsidRPr="000942CA">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E26D57C" w14:textId="77777777" w:rsidR="00654D71" w:rsidRPr="000942CA" w:rsidRDefault="00654D71" w:rsidP="00343DE7">
            <w:pPr>
              <w:spacing w:after="0"/>
              <w:rPr>
                <w:rFonts w:ascii="Verdana" w:eastAsia="Calibri" w:hAnsi="Verdana" w:cs="Arial"/>
                <w:sz w:val="16"/>
                <w:szCs w:val="16"/>
                <w:lang w:val="pt-BR" w:eastAsia="es-ES"/>
              </w:rPr>
            </w:pPr>
            <w:r w:rsidRPr="000942CA">
              <w:rPr>
                <w:rFonts w:ascii="Verdana" w:eastAsia="Calibri" w:hAnsi="Verdana" w:cs="Arial"/>
                <w:sz w:val="16"/>
                <w:szCs w:val="16"/>
                <w:lang w:val="pt-BR" w:eastAsia="es-ES"/>
              </w:rPr>
              <w:t>Carolina Quintero Gacharná</w:t>
            </w:r>
          </w:p>
          <w:p w14:paraId="22D8B19E" w14:textId="77777777" w:rsidR="00654D71" w:rsidRPr="000942CA" w:rsidRDefault="00654D71" w:rsidP="00343DE7">
            <w:pPr>
              <w:spacing w:after="0" w:line="240" w:lineRule="auto"/>
              <w:jc w:val="both"/>
              <w:rPr>
                <w:rFonts w:ascii="Verdana" w:hAnsi="Verdana" w:cs="Arial"/>
                <w:sz w:val="16"/>
                <w:szCs w:val="16"/>
              </w:rPr>
            </w:pPr>
            <w:r w:rsidRPr="000942CA">
              <w:rPr>
                <w:rFonts w:ascii="Verdana" w:hAnsi="Verdana" w:cs="Arial"/>
                <w:sz w:val="16"/>
                <w:szCs w:val="16"/>
              </w:rPr>
              <w:t>Subdirectora de Gestión Contractual ANCP – CCE</w:t>
            </w:r>
          </w:p>
        </w:tc>
      </w:tr>
    </w:tbl>
    <w:p w14:paraId="0F293BF4" w14:textId="33056126" w:rsidR="00127233" w:rsidRPr="003E5398" w:rsidRDefault="00127233" w:rsidP="003E5398">
      <w:pPr>
        <w:spacing w:after="0" w:line="240" w:lineRule="auto"/>
        <w:textAlignment w:val="baseline"/>
        <w:rPr>
          <w:rFonts w:ascii="Verdana" w:eastAsia="Times New Roman" w:hAnsi="Verdana" w:cs="Segoe UI"/>
          <w:sz w:val="18"/>
          <w:szCs w:val="18"/>
          <w:lang w:eastAsia="es-CO"/>
        </w:rPr>
      </w:pPr>
    </w:p>
    <w:sectPr w:rsidR="00127233" w:rsidRPr="003E5398"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7EB4" w14:textId="77777777" w:rsidR="00C15174" w:rsidRDefault="00C15174" w:rsidP="004A1847">
      <w:pPr>
        <w:spacing w:after="0" w:line="240" w:lineRule="auto"/>
      </w:pPr>
      <w:r>
        <w:separator/>
      </w:r>
    </w:p>
  </w:endnote>
  <w:endnote w:type="continuationSeparator" w:id="0">
    <w:p w14:paraId="42490611" w14:textId="77777777" w:rsidR="00C15174" w:rsidRDefault="00C15174" w:rsidP="004A1847">
      <w:pPr>
        <w:spacing w:after="0" w:line="240" w:lineRule="auto"/>
      </w:pPr>
      <w:r>
        <w:continuationSeparator/>
      </w:r>
    </w:p>
  </w:endnote>
  <w:endnote w:type="continuationNotice" w:id="1">
    <w:p w14:paraId="289B62F8" w14:textId="77777777" w:rsidR="00C15174" w:rsidRDefault="00C15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alibri"/>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0E296" w14:textId="77777777" w:rsidR="00C15174" w:rsidRDefault="00C15174" w:rsidP="004A1847">
      <w:pPr>
        <w:spacing w:after="0" w:line="240" w:lineRule="auto"/>
      </w:pPr>
      <w:r>
        <w:separator/>
      </w:r>
    </w:p>
  </w:footnote>
  <w:footnote w:type="continuationSeparator" w:id="0">
    <w:p w14:paraId="356E71C2" w14:textId="77777777" w:rsidR="00C15174" w:rsidRDefault="00C15174" w:rsidP="004A1847">
      <w:pPr>
        <w:spacing w:after="0" w:line="240" w:lineRule="auto"/>
      </w:pPr>
      <w:r>
        <w:continuationSeparator/>
      </w:r>
    </w:p>
  </w:footnote>
  <w:footnote w:type="continuationNotice" w:id="1">
    <w:p w14:paraId="7F2EC235" w14:textId="77777777" w:rsidR="00C15174" w:rsidRDefault="00C15174">
      <w:pPr>
        <w:spacing w:after="0" w:line="240" w:lineRule="auto"/>
      </w:pPr>
    </w:p>
  </w:footnote>
  <w:footnote w:id="2">
    <w:p w14:paraId="38D880C3" w14:textId="77777777" w:rsidR="00704DE3" w:rsidRPr="00096A08" w:rsidRDefault="00704DE3" w:rsidP="00704DE3">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esta norma, consultar los conceptos del 8 de octubre de 2019, con radicado No. 2201913000007532, y del 20 de diciembre de 2019, con radicado No. 4201913000008240.</w:t>
      </w:r>
    </w:p>
    <w:p w14:paraId="64D0939D" w14:textId="77777777" w:rsidR="00704DE3" w:rsidRPr="00096A08" w:rsidRDefault="00704DE3" w:rsidP="00704DE3">
      <w:pPr>
        <w:pStyle w:val="FootnoteText"/>
        <w:ind w:firstLine="709"/>
        <w:jc w:val="both"/>
        <w:rPr>
          <w:rFonts w:ascii="Verdana" w:hAnsi="Verdana" w:cs="Arial"/>
          <w:color w:val="000000" w:themeColor="text1"/>
          <w:sz w:val="12"/>
          <w:szCs w:val="12"/>
          <w:lang w:val="es-ES"/>
        </w:rPr>
      </w:pPr>
    </w:p>
  </w:footnote>
  <w:footnote w:id="3">
    <w:p w14:paraId="74EDF1D8"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esta norma, consultar los conceptos del 8 de octubre de 2019, con radicado No. 2201913000007532, y del 20 de diciembre de 2019, con radicado No. 4201913000008240.</w:t>
      </w:r>
    </w:p>
    <w:p w14:paraId="6763D737" w14:textId="77777777" w:rsidR="00654D71" w:rsidRPr="00096A08" w:rsidRDefault="00654D71" w:rsidP="00654D71">
      <w:pPr>
        <w:pStyle w:val="FootnoteText"/>
        <w:ind w:firstLine="709"/>
        <w:jc w:val="both"/>
        <w:rPr>
          <w:rFonts w:ascii="Verdana" w:hAnsi="Verdana" w:cs="Arial"/>
          <w:color w:val="000000" w:themeColor="text1"/>
          <w:sz w:val="12"/>
          <w:szCs w:val="12"/>
          <w:lang w:val="es-ES"/>
        </w:rPr>
      </w:pPr>
    </w:p>
  </w:footnote>
  <w:footnote w:id="4">
    <w:p w14:paraId="7C443A9C"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0896682"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Fonts w:ascii="Verdana" w:hAnsi="Verdana" w:cs="Arial"/>
          <w:color w:val="000000" w:themeColor="text1"/>
          <w:sz w:val="12"/>
          <w:szCs w:val="12"/>
        </w:rPr>
        <w:t xml:space="preserve">Los convenios de asociación a que se refiere el presente artículo </w:t>
      </w:r>
      <w:bookmarkStart w:id="1" w:name="_Hlk36023315"/>
      <w:r w:rsidRPr="00096A08">
        <w:rPr>
          <w:rFonts w:ascii="Verdana" w:hAnsi="Verdana" w:cs="Arial"/>
          <w:color w:val="000000" w:themeColor="text1"/>
          <w:sz w:val="12"/>
          <w:szCs w:val="12"/>
        </w:rPr>
        <w:t>se celebrarán de conformidad con lo dispuesto en el artículo 355 de la Constitución Política</w:t>
      </w:r>
      <w:bookmarkEnd w:id="1"/>
      <w:r w:rsidRPr="00096A08">
        <w:rPr>
          <w:rFonts w:ascii="Verdana" w:hAnsi="Verdana" w:cs="Arial"/>
          <w:color w:val="000000" w:themeColor="text1"/>
          <w:sz w:val="12"/>
          <w:szCs w:val="12"/>
        </w:rPr>
        <w:t>, en ellos se determinará con precisión su objeto, término, obligaciones de las partes, aportes, coordinación y todos aquellos aspectos que se consideren pertinentes”.</w:t>
      </w:r>
    </w:p>
    <w:p w14:paraId="122E828A" w14:textId="77777777" w:rsidR="00654D71" w:rsidRPr="00096A08" w:rsidRDefault="00654D71" w:rsidP="00654D71">
      <w:pPr>
        <w:pStyle w:val="FootnoteText"/>
        <w:ind w:firstLine="709"/>
        <w:jc w:val="both"/>
        <w:rPr>
          <w:rFonts w:ascii="Verdana" w:hAnsi="Verdana" w:cs="Arial"/>
          <w:color w:val="000000" w:themeColor="text1"/>
          <w:sz w:val="12"/>
          <w:szCs w:val="12"/>
          <w:lang w:val="es-ES"/>
        </w:rPr>
      </w:pPr>
      <w:r w:rsidRPr="00096A08">
        <w:rPr>
          <w:rFonts w:ascii="Verdana" w:hAnsi="Verdana" w:cs="Arial"/>
          <w:color w:val="000000" w:themeColor="text1"/>
          <w:sz w:val="12"/>
          <w:szCs w:val="12"/>
        </w:rPr>
        <w:t xml:space="preserve"> </w:t>
      </w:r>
    </w:p>
  </w:footnote>
  <w:footnote w:id="5">
    <w:p w14:paraId="1D529E88"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Concepto del 3 de septiembre de 2019, con radicado No. 2201913000006512.</w:t>
      </w:r>
    </w:p>
    <w:p w14:paraId="05989C4E" w14:textId="77777777" w:rsidR="00654D71" w:rsidRPr="00096A08" w:rsidRDefault="00654D71" w:rsidP="00654D71">
      <w:pPr>
        <w:pStyle w:val="FootnoteText"/>
        <w:ind w:firstLine="709"/>
        <w:jc w:val="both"/>
        <w:rPr>
          <w:rFonts w:ascii="Verdana" w:hAnsi="Verdana" w:cs="Arial"/>
          <w:color w:val="000000" w:themeColor="text1"/>
          <w:sz w:val="12"/>
          <w:szCs w:val="12"/>
        </w:rPr>
      </w:pPr>
    </w:p>
  </w:footnote>
  <w:footnote w:id="6">
    <w:p w14:paraId="4AB10818"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la naturaleza de los convenios de asociación, se reitera lo expuesto en el concepto del 19 de noviembre de 2019, con radicado No. 2201913000008611.</w:t>
      </w:r>
    </w:p>
    <w:p w14:paraId="04905D8F" w14:textId="77777777" w:rsidR="00654D71" w:rsidRPr="00096A08" w:rsidRDefault="00654D71" w:rsidP="00654D71">
      <w:pPr>
        <w:pStyle w:val="FootnoteText"/>
        <w:ind w:firstLine="709"/>
        <w:jc w:val="both"/>
        <w:rPr>
          <w:rFonts w:ascii="Verdana" w:hAnsi="Verdana" w:cs="Arial"/>
          <w:color w:val="000000" w:themeColor="text1"/>
          <w:sz w:val="12"/>
          <w:szCs w:val="12"/>
        </w:rPr>
      </w:pPr>
    </w:p>
  </w:footnote>
  <w:footnote w:id="7">
    <w:p w14:paraId="3161EC73" w14:textId="77777777" w:rsidR="00654D71" w:rsidRPr="00096A08" w:rsidRDefault="00654D71" w:rsidP="00654D71">
      <w:pPr>
        <w:pStyle w:val="FootnoteText"/>
        <w:ind w:firstLine="709"/>
        <w:jc w:val="both"/>
        <w:rPr>
          <w:rFonts w:ascii="Verdana" w:hAnsi="Verdana" w:cs="Arial"/>
          <w:color w:val="000000" w:themeColor="text1"/>
          <w:sz w:val="12"/>
          <w:szCs w:val="12"/>
        </w:rPr>
      </w:pPr>
      <w:r w:rsidRPr="00096A08">
        <w:rPr>
          <w:rStyle w:val="FootnoteReferenc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4B8C5C8" w14:textId="77777777" w:rsidR="00654D71" w:rsidRPr="00096A08" w:rsidRDefault="00654D71" w:rsidP="00654D71">
      <w:pPr>
        <w:pStyle w:val="FootnoteText"/>
        <w:ind w:firstLine="709"/>
        <w:jc w:val="both"/>
        <w:rPr>
          <w:rFonts w:ascii="Verdana" w:hAnsi="Verdana" w:cs="Arial"/>
          <w:color w:val="000000" w:themeColor="text1"/>
          <w:sz w:val="12"/>
          <w:szCs w:val="12"/>
          <w:lang w:val="es-ES"/>
        </w:rPr>
      </w:pPr>
    </w:p>
  </w:footnote>
  <w:footnote w:id="8">
    <w:p w14:paraId="0F884082" w14:textId="77777777" w:rsidR="00654D71" w:rsidRPr="00096A08" w:rsidRDefault="00654D71" w:rsidP="00654D71">
      <w:pPr>
        <w:pStyle w:val="FootnoteText"/>
        <w:ind w:firstLine="708"/>
        <w:jc w:val="both"/>
        <w:rPr>
          <w:rFonts w:ascii="Verdana" w:hAnsi="Verdana"/>
          <w:sz w:val="12"/>
          <w:szCs w:val="12"/>
        </w:rPr>
      </w:pPr>
      <w:r w:rsidRPr="00096A08">
        <w:rPr>
          <w:rStyle w:val="FootnoteReference"/>
          <w:rFonts w:ascii="Verdana" w:hAnsi="Verdana"/>
          <w:sz w:val="12"/>
          <w:szCs w:val="12"/>
        </w:rPr>
        <w:footnoteRef/>
      </w:r>
      <w:r w:rsidRPr="00096A08">
        <w:rPr>
          <w:rFonts w:ascii="Verdana" w:hAnsi="Verdana"/>
          <w:sz w:val="12"/>
          <w:szCs w:val="12"/>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9">
    <w:p w14:paraId="791F6D33" w14:textId="77777777" w:rsidR="00654D71" w:rsidRPr="00096A08" w:rsidRDefault="00654D71" w:rsidP="00654D71">
      <w:pPr>
        <w:pStyle w:val="FootnoteText"/>
        <w:ind w:firstLine="708"/>
        <w:jc w:val="both"/>
        <w:rPr>
          <w:rFonts w:ascii="Verdana" w:hAnsi="Verdana"/>
          <w:sz w:val="12"/>
          <w:szCs w:val="12"/>
        </w:rPr>
      </w:pPr>
    </w:p>
    <w:p w14:paraId="45AD43A6" w14:textId="77777777" w:rsidR="00654D71" w:rsidRPr="00096A08" w:rsidRDefault="00654D71" w:rsidP="00654D71">
      <w:pPr>
        <w:pStyle w:val="FootnoteText"/>
        <w:ind w:firstLine="708"/>
        <w:jc w:val="both"/>
        <w:rPr>
          <w:rFonts w:ascii="Verdana" w:hAnsi="Verdana"/>
          <w:sz w:val="12"/>
          <w:szCs w:val="12"/>
          <w:lang w:val="es-CO"/>
        </w:rPr>
      </w:pPr>
      <w:r w:rsidRPr="00096A08">
        <w:rPr>
          <w:rStyle w:val="FootnoteReference"/>
          <w:rFonts w:ascii="Verdana" w:hAnsi="Verdana"/>
          <w:sz w:val="12"/>
          <w:szCs w:val="12"/>
        </w:rPr>
        <w:footnoteRef/>
      </w:r>
      <w:r w:rsidRPr="00096A08">
        <w:rPr>
          <w:rFonts w:ascii="Verdana" w:hAnsi="Verdana"/>
          <w:sz w:val="12"/>
          <w:szCs w:val="12"/>
        </w:rPr>
        <w:t xml:space="preserve"> “</w:t>
      </w:r>
      <w:r w:rsidRPr="00096A08">
        <w:rPr>
          <w:rFonts w:ascii="Verdana" w:hAnsi="Verdana"/>
          <w:sz w:val="12"/>
          <w:szCs w:val="12"/>
          <w:lang w:val="es-CO"/>
        </w:rPr>
        <w:t>Artículo 7º.</w:t>
      </w:r>
      <w:r w:rsidRPr="00096A08">
        <w:rPr>
          <w:rFonts w:ascii="Verdana" w:hAnsi="Verdana"/>
          <w:b/>
          <w:bCs/>
          <w:i/>
          <w:iCs/>
          <w:sz w:val="12"/>
          <w:szCs w:val="12"/>
          <w:lang w:val="es-CO"/>
        </w:rPr>
        <w:t> </w:t>
      </w:r>
      <w:r w:rsidRPr="00096A08">
        <w:rPr>
          <w:rFonts w:ascii="Verdana" w:hAnsi="Verdana"/>
          <w:sz w:val="12"/>
          <w:szCs w:val="12"/>
          <w:lang w:val="es-CO"/>
        </w:rPr>
        <w:t>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2309168A" w14:textId="77777777" w:rsidR="00654D71" w:rsidRPr="00096A08" w:rsidRDefault="00654D71" w:rsidP="00654D71">
      <w:pPr>
        <w:pStyle w:val="FootnoteText"/>
        <w:ind w:firstLine="708"/>
        <w:jc w:val="both"/>
        <w:rPr>
          <w:rFonts w:ascii="Verdana" w:hAnsi="Verdana"/>
          <w:sz w:val="12"/>
          <w:szCs w:val="12"/>
        </w:rPr>
      </w:pPr>
      <w:r w:rsidRPr="00096A08">
        <w:rPr>
          <w:rFonts w:ascii="Verdana" w:hAnsi="Verdana"/>
          <w:sz w:val="12"/>
          <w:szCs w:val="12"/>
        </w:rPr>
        <w:t xml:space="preserve"> </w:t>
      </w:r>
    </w:p>
  </w:footnote>
  <w:footnote w:id="10">
    <w:p w14:paraId="2EB280CE" w14:textId="77777777" w:rsidR="00654D71" w:rsidRPr="00096A08" w:rsidRDefault="00654D71" w:rsidP="00654D71">
      <w:pPr>
        <w:pStyle w:val="FootnoteText"/>
        <w:ind w:firstLine="708"/>
        <w:jc w:val="both"/>
        <w:rPr>
          <w:rFonts w:ascii="Verdana" w:hAnsi="Verdana"/>
          <w:sz w:val="12"/>
          <w:szCs w:val="12"/>
        </w:rPr>
      </w:pPr>
      <w:r w:rsidRPr="00096A08">
        <w:rPr>
          <w:rStyle w:val="FootnoteReference"/>
          <w:rFonts w:ascii="Verdana" w:hAnsi="Verdana"/>
          <w:sz w:val="12"/>
          <w:szCs w:val="12"/>
        </w:rPr>
        <w:footnoteRef/>
      </w:r>
      <w:r w:rsidRPr="00096A08">
        <w:rPr>
          <w:rFonts w:ascii="Verdana" w:hAnsi="Verdana"/>
          <w:sz w:val="12"/>
          <w:szCs w:val="12"/>
        </w:rPr>
        <w:t xml:space="preserve"> “Artículo 8º. Aplicación de normas generales del sistema de contratación pública. La contratación a la que hace referencia el presente decreto está sujeta a las normas generales aplicables a la contratación pública excepto en lo reglamentado en el presente decreto”. </w:t>
      </w:r>
    </w:p>
  </w:footnote>
  <w:footnote w:id="11">
    <w:p w14:paraId="3372A1A5" w14:textId="77777777" w:rsidR="00196545" w:rsidRDefault="00196545">
      <w:pPr>
        <w:pStyle w:val="FootnoteText"/>
      </w:pPr>
    </w:p>
    <w:p w14:paraId="452449EF" w14:textId="30F61425" w:rsidR="00196545" w:rsidRDefault="00196545" w:rsidP="00196545">
      <w:pPr>
        <w:pStyle w:val="FootnoteText"/>
        <w:ind w:firstLine="708"/>
      </w:pPr>
      <w:r w:rsidRPr="00D64119">
        <w:rPr>
          <w:rFonts w:ascii="Verdana" w:hAnsi="Verdana"/>
          <w:sz w:val="12"/>
          <w:szCs w:val="12"/>
          <w:lang w:val="es-CO"/>
        </w:rPr>
        <w:footnoteRef/>
      </w:r>
      <w:r w:rsidRPr="00D64119">
        <w:rPr>
          <w:rFonts w:ascii="Verdana" w:hAnsi="Verdana"/>
          <w:sz w:val="12"/>
          <w:szCs w:val="12"/>
          <w:lang w:val="es-CO"/>
        </w:rPr>
        <w:t xml:space="preserve">Se puede consultar en el siguiente enlace: </w:t>
      </w:r>
      <w:hyperlink r:id="rId1" w:history="1">
        <w:r w:rsidRPr="008C5C5C">
          <w:rPr>
            <w:rStyle w:val="Hyperlink"/>
          </w:rPr>
          <w:t>https://www.colombiacompra.gov.co/sites/cce_public/files/cce_documents/cce_guia_esal.pdf</w:t>
        </w:r>
      </w:hyperlink>
      <w:r>
        <w:t xml:space="preserve"> </w:t>
      </w:r>
    </w:p>
    <w:p w14:paraId="0E2EEF55" w14:textId="77777777" w:rsidR="00196545" w:rsidRDefault="00196545" w:rsidP="00196545">
      <w:pPr>
        <w:pStyle w:val="FootnoteText"/>
        <w:ind w:firstLine="708"/>
      </w:pPr>
    </w:p>
  </w:footnote>
  <w:footnote w:id="12">
    <w:p w14:paraId="0B2F9935" w14:textId="77777777" w:rsidR="003E5398" w:rsidRPr="004F2189" w:rsidRDefault="003E5398" w:rsidP="003E5398">
      <w:pPr>
        <w:pStyle w:val="FootnoteText"/>
        <w:ind w:firstLine="708"/>
        <w:jc w:val="both"/>
        <w:rPr>
          <w:rFonts w:ascii="Verdana" w:hAnsi="Verdana" w:cs="Arial"/>
          <w:color w:val="000000" w:themeColor="text1"/>
          <w:sz w:val="18"/>
          <w:szCs w:val="18"/>
        </w:rPr>
      </w:pPr>
      <w:r w:rsidRPr="004F2189">
        <w:rPr>
          <w:rStyle w:val="FootnoteReference"/>
          <w:rFonts w:ascii="Verdana" w:hAnsi="Verdana" w:cs="Arial"/>
          <w:color w:val="000000" w:themeColor="text1"/>
          <w:sz w:val="18"/>
          <w:szCs w:val="18"/>
        </w:rPr>
        <w:footnoteRef/>
      </w:r>
      <w:r w:rsidRPr="004F2189">
        <w:rPr>
          <w:rFonts w:ascii="Verdana" w:hAnsi="Verdana" w:cs="Arial"/>
          <w:color w:val="000000" w:themeColor="text1"/>
          <w:sz w:val="18"/>
          <w:szCs w:val="18"/>
        </w:rPr>
        <w:t xml:space="preserve"> </w:t>
      </w:r>
      <w:r w:rsidRPr="00343DE7">
        <w:rPr>
          <w:rFonts w:ascii="Verdana" w:hAnsi="Verdana" w:cs="Arial"/>
          <w:color w:val="000000" w:themeColor="text1"/>
          <w:sz w:val="12"/>
          <w:szCs w:val="12"/>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581449">
    <w:abstractNumId w:val="7"/>
  </w:num>
  <w:num w:numId="2" w16cid:durableId="1435327481">
    <w:abstractNumId w:val="2"/>
  </w:num>
  <w:num w:numId="3" w16cid:durableId="1507596400">
    <w:abstractNumId w:val="5"/>
  </w:num>
  <w:num w:numId="4" w16cid:durableId="754012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7162193">
    <w:abstractNumId w:val="2"/>
  </w:num>
  <w:num w:numId="6" w16cid:durableId="1903589793">
    <w:abstractNumId w:val="13"/>
  </w:num>
  <w:num w:numId="7" w16cid:durableId="747729940">
    <w:abstractNumId w:val="6"/>
  </w:num>
  <w:num w:numId="8" w16cid:durableId="1410424576">
    <w:abstractNumId w:val="12"/>
  </w:num>
  <w:num w:numId="9" w16cid:durableId="781651335">
    <w:abstractNumId w:val="8"/>
  </w:num>
  <w:num w:numId="10" w16cid:durableId="2016035202">
    <w:abstractNumId w:val="11"/>
  </w:num>
  <w:num w:numId="11" w16cid:durableId="854002055">
    <w:abstractNumId w:val="9"/>
  </w:num>
  <w:num w:numId="12" w16cid:durableId="2057509769">
    <w:abstractNumId w:val="1"/>
  </w:num>
  <w:num w:numId="13" w16cid:durableId="1508711158">
    <w:abstractNumId w:val="4"/>
  </w:num>
  <w:num w:numId="14" w16cid:durableId="608976600">
    <w:abstractNumId w:val="14"/>
  </w:num>
  <w:num w:numId="15" w16cid:durableId="57480056">
    <w:abstractNumId w:val="10"/>
  </w:num>
  <w:num w:numId="16" w16cid:durableId="14305395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15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29C"/>
    <w:rsid w:val="00061B2A"/>
    <w:rsid w:val="00063F4A"/>
    <w:rsid w:val="00082362"/>
    <w:rsid w:val="00084867"/>
    <w:rsid w:val="00087164"/>
    <w:rsid w:val="00090A34"/>
    <w:rsid w:val="000A47D8"/>
    <w:rsid w:val="000A683E"/>
    <w:rsid w:val="000B19B9"/>
    <w:rsid w:val="000C0C38"/>
    <w:rsid w:val="000D0334"/>
    <w:rsid w:val="000E352E"/>
    <w:rsid w:val="000F6486"/>
    <w:rsid w:val="00122D6C"/>
    <w:rsid w:val="00125105"/>
    <w:rsid w:val="00127233"/>
    <w:rsid w:val="00131FAC"/>
    <w:rsid w:val="00132C2D"/>
    <w:rsid w:val="00135417"/>
    <w:rsid w:val="00166A5B"/>
    <w:rsid w:val="00174242"/>
    <w:rsid w:val="00176538"/>
    <w:rsid w:val="001946E9"/>
    <w:rsid w:val="00196545"/>
    <w:rsid w:val="001A1E98"/>
    <w:rsid w:val="001A6287"/>
    <w:rsid w:val="001E3811"/>
    <w:rsid w:val="001E4177"/>
    <w:rsid w:val="001F7DC6"/>
    <w:rsid w:val="00206907"/>
    <w:rsid w:val="00216B0C"/>
    <w:rsid w:val="002206A8"/>
    <w:rsid w:val="00236507"/>
    <w:rsid w:val="002421BB"/>
    <w:rsid w:val="0024270A"/>
    <w:rsid w:val="00252280"/>
    <w:rsid w:val="0025796E"/>
    <w:rsid w:val="002707A2"/>
    <w:rsid w:val="00284EE6"/>
    <w:rsid w:val="002926FB"/>
    <w:rsid w:val="002951A0"/>
    <w:rsid w:val="002962BC"/>
    <w:rsid w:val="00297E28"/>
    <w:rsid w:val="002A093D"/>
    <w:rsid w:val="002A0DD0"/>
    <w:rsid w:val="002A49AC"/>
    <w:rsid w:val="002A64FD"/>
    <w:rsid w:val="002B2C8B"/>
    <w:rsid w:val="002C7A84"/>
    <w:rsid w:val="002D4966"/>
    <w:rsid w:val="002E4FD9"/>
    <w:rsid w:val="002E5DB9"/>
    <w:rsid w:val="00311CF4"/>
    <w:rsid w:val="00322A85"/>
    <w:rsid w:val="00323B19"/>
    <w:rsid w:val="00324168"/>
    <w:rsid w:val="0033032E"/>
    <w:rsid w:val="00337E6D"/>
    <w:rsid w:val="00343DE7"/>
    <w:rsid w:val="003448F4"/>
    <w:rsid w:val="0035584F"/>
    <w:rsid w:val="003713C7"/>
    <w:rsid w:val="00374F5E"/>
    <w:rsid w:val="00377E3E"/>
    <w:rsid w:val="003A22A8"/>
    <w:rsid w:val="003A26D1"/>
    <w:rsid w:val="003A779E"/>
    <w:rsid w:val="003D0E34"/>
    <w:rsid w:val="003D0F4D"/>
    <w:rsid w:val="003D5B0D"/>
    <w:rsid w:val="003E0499"/>
    <w:rsid w:val="003E5398"/>
    <w:rsid w:val="003E5EBC"/>
    <w:rsid w:val="003F3941"/>
    <w:rsid w:val="00406575"/>
    <w:rsid w:val="00410309"/>
    <w:rsid w:val="0041039F"/>
    <w:rsid w:val="0042722E"/>
    <w:rsid w:val="0043184F"/>
    <w:rsid w:val="0044528D"/>
    <w:rsid w:val="0045771F"/>
    <w:rsid w:val="00480A40"/>
    <w:rsid w:val="00492F10"/>
    <w:rsid w:val="004A1847"/>
    <w:rsid w:val="004A305D"/>
    <w:rsid w:val="004C545A"/>
    <w:rsid w:val="004D0471"/>
    <w:rsid w:val="004D1D01"/>
    <w:rsid w:val="004F2189"/>
    <w:rsid w:val="004F21C4"/>
    <w:rsid w:val="004F5B31"/>
    <w:rsid w:val="004F685F"/>
    <w:rsid w:val="0053770F"/>
    <w:rsid w:val="005405F7"/>
    <w:rsid w:val="0054799D"/>
    <w:rsid w:val="00550D72"/>
    <w:rsid w:val="005566E8"/>
    <w:rsid w:val="0056116A"/>
    <w:rsid w:val="00572578"/>
    <w:rsid w:val="00574867"/>
    <w:rsid w:val="00584023"/>
    <w:rsid w:val="00591460"/>
    <w:rsid w:val="0059245F"/>
    <w:rsid w:val="00592628"/>
    <w:rsid w:val="005B143B"/>
    <w:rsid w:val="005C3777"/>
    <w:rsid w:val="005C5CDC"/>
    <w:rsid w:val="005C6DB6"/>
    <w:rsid w:val="005C7168"/>
    <w:rsid w:val="005D476C"/>
    <w:rsid w:val="005D6E31"/>
    <w:rsid w:val="005F57C8"/>
    <w:rsid w:val="006057E6"/>
    <w:rsid w:val="00610812"/>
    <w:rsid w:val="006219F8"/>
    <w:rsid w:val="00633C28"/>
    <w:rsid w:val="006426F8"/>
    <w:rsid w:val="00642923"/>
    <w:rsid w:val="00650FF7"/>
    <w:rsid w:val="00653933"/>
    <w:rsid w:val="00654D71"/>
    <w:rsid w:val="00662CEB"/>
    <w:rsid w:val="00665D70"/>
    <w:rsid w:val="00671DAC"/>
    <w:rsid w:val="00672ED6"/>
    <w:rsid w:val="00680E1C"/>
    <w:rsid w:val="006900D9"/>
    <w:rsid w:val="006B1E76"/>
    <w:rsid w:val="006D12F8"/>
    <w:rsid w:val="006D1E0F"/>
    <w:rsid w:val="006D4140"/>
    <w:rsid w:val="006E3CC5"/>
    <w:rsid w:val="00700E6E"/>
    <w:rsid w:val="00704DE3"/>
    <w:rsid w:val="007055CC"/>
    <w:rsid w:val="00706C16"/>
    <w:rsid w:val="00736A80"/>
    <w:rsid w:val="00756841"/>
    <w:rsid w:val="007649AB"/>
    <w:rsid w:val="00766226"/>
    <w:rsid w:val="00771D0C"/>
    <w:rsid w:val="00775308"/>
    <w:rsid w:val="0077798C"/>
    <w:rsid w:val="007833AC"/>
    <w:rsid w:val="00791D98"/>
    <w:rsid w:val="00795FFE"/>
    <w:rsid w:val="007A2E4B"/>
    <w:rsid w:val="007A47E3"/>
    <w:rsid w:val="007B268C"/>
    <w:rsid w:val="007B7171"/>
    <w:rsid w:val="007C0C0F"/>
    <w:rsid w:val="007C3DC2"/>
    <w:rsid w:val="007E007D"/>
    <w:rsid w:val="007E314B"/>
    <w:rsid w:val="007E5497"/>
    <w:rsid w:val="00806086"/>
    <w:rsid w:val="00806F5F"/>
    <w:rsid w:val="00820278"/>
    <w:rsid w:val="00822B2C"/>
    <w:rsid w:val="008249F1"/>
    <w:rsid w:val="0083078D"/>
    <w:rsid w:val="00831B9A"/>
    <w:rsid w:val="00845F41"/>
    <w:rsid w:val="00847E09"/>
    <w:rsid w:val="0085683C"/>
    <w:rsid w:val="00860410"/>
    <w:rsid w:val="00863429"/>
    <w:rsid w:val="00874F0A"/>
    <w:rsid w:val="008843B6"/>
    <w:rsid w:val="00891928"/>
    <w:rsid w:val="00892184"/>
    <w:rsid w:val="008A2797"/>
    <w:rsid w:val="008A446D"/>
    <w:rsid w:val="008B7F5D"/>
    <w:rsid w:val="008C349C"/>
    <w:rsid w:val="008C3B93"/>
    <w:rsid w:val="008D180B"/>
    <w:rsid w:val="008E0131"/>
    <w:rsid w:val="008E1649"/>
    <w:rsid w:val="008E1C7C"/>
    <w:rsid w:val="008F0EA7"/>
    <w:rsid w:val="008F2F3F"/>
    <w:rsid w:val="009142C4"/>
    <w:rsid w:val="00923EEF"/>
    <w:rsid w:val="009419F9"/>
    <w:rsid w:val="0095685E"/>
    <w:rsid w:val="00961B09"/>
    <w:rsid w:val="00962B2B"/>
    <w:rsid w:val="00965334"/>
    <w:rsid w:val="00966E6E"/>
    <w:rsid w:val="0097093E"/>
    <w:rsid w:val="0097450E"/>
    <w:rsid w:val="009A0DFA"/>
    <w:rsid w:val="009B2D26"/>
    <w:rsid w:val="009C0EC3"/>
    <w:rsid w:val="009C71FA"/>
    <w:rsid w:val="009C72E7"/>
    <w:rsid w:val="009D3058"/>
    <w:rsid w:val="009D33F5"/>
    <w:rsid w:val="009E0122"/>
    <w:rsid w:val="009E2491"/>
    <w:rsid w:val="009E4230"/>
    <w:rsid w:val="009E56FF"/>
    <w:rsid w:val="009E6A11"/>
    <w:rsid w:val="009F3A13"/>
    <w:rsid w:val="009F5DC5"/>
    <w:rsid w:val="009F6B0B"/>
    <w:rsid w:val="00A02186"/>
    <w:rsid w:val="00A02718"/>
    <w:rsid w:val="00A06CF8"/>
    <w:rsid w:val="00A122D3"/>
    <w:rsid w:val="00A17F13"/>
    <w:rsid w:val="00A20739"/>
    <w:rsid w:val="00A33C78"/>
    <w:rsid w:val="00A3449D"/>
    <w:rsid w:val="00A35B79"/>
    <w:rsid w:val="00A54566"/>
    <w:rsid w:val="00A57A05"/>
    <w:rsid w:val="00A66D50"/>
    <w:rsid w:val="00A95E52"/>
    <w:rsid w:val="00AA65A0"/>
    <w:rsid w:val="00AB0ADB"/>
    <w:rsid w:val="00AB3EFE"/>
    <w:rsid w:val="00AC339C"/>
    <w:rsid w:val="00B01B1A"/>
    <w:rsid w:val="00B12D61"/>
    <w:rsid w:val="00B24D0A"/>
    <w:rsid w:val="00B261B5"/>
    <w:rsid w:val="00B30D9C"/>
    <w:rsid w:val="00B35A58"/>
    <w:rsid w:val="00B41C5C"/>
    <w:rsid w:val="00B44E95"/>
    <w:rsid w:val="00B64912"/>
    <w:rsid w:val="00B6595F"/>
    <w:rsid w:val="00B72CD3"/>
    <w:rsid w:val="00B72FFF"/>
    <w:rsid w:val="00B74514"/>
    <w:rsid w:val="00B97273"/>
    <w:rsid w:val="00BA195F"/>
    <w:rsid w:val="00BC3D36"/>
    <w:rsid w:val="00BD7F72"/>
    <w:rsid w:val="00BE2D6C"/>
    <w:rsid w:val="00C00928"/>
    <w:rsid w:val="00C04FB3"/>
    <w:rsid w:val="00C15174"/>
    <w:rsid w:val="00C167F5"/>
    <w:rsid w:val="00C24BDC"/>
    <w:rsid w:val="00C30CD7"/>
    <w:rsid w:val="00C330EB"/>
    <w:rsid w:val="00C36D3E"/>
    <w:rsid w:val="00C419AD"/>
    <w:rsid w:val="00C6705A"/>
    <w:rsid w:val="00C754BE"/>
    <w:rsid w:val="00C76B1C"/>
    <w:rsid w:val="00C8200F"/>
    <w:rsid w:val="00C82738"/>
    <w:rsid w:val="00CA24FF"/>
    <w:rsid w:val="00CA2AA0"/>
    <w:rsid w:val="00CB2266"/>
    <w:rsid w:val="00CB6357"/>
    <w:rsid w:val="00CC1B26"/>
    <w:rsid w:val="00CD3830"/>
    <w:rsid w:val="00CF2FAE"/>
    <w:rsid w:val="00D00F36"/>
    <w:rsid w:val="00D01634"/>
    <w:rsid w:val="00D16C1F"/>
    <w:rsid w:val="00D423A2"/>
    <w:rsid w:val="00D44211"/>
    <w:rsid w:val="00D520D8"/>
    <w:rsid w:val="00D63AC2"/>
    <w:rsid w:val="00D64119"/>
    <w:rsid w:val="00D7383B"/>
    <w:rsid w:val="00D74B31"/>
    <w:rsid w:val="00DA231B"/>
    <w:rsid w:val="00DA23A0"/>
    <w:rsid w:val="00DB6AE2"/>
    <w:rsid w:val="00DC296E"/>
    <w:rsid w:val="00DC39FC"/>
    <w:rsid w:val="00DD5287"/>
    <w:rsid w:val="00DE7C4F"/>
    <w:rsid w:val="00DF0955"/>
    <w:rsid w:val="00DF5254"/>
    <w:rsid w:val="00E16408"/>
    <w:rsid w:val="00E20894"/>
    <w:rsid w:val="00E245AB"/>
    <w:rsid w:val="00E2764C"/>
    <w:rsid w:val="00E27F2E"/>
    <w:rsid w:val="00E31C9E"/>
    <w:rsid w:val="00E413EA"/>
    <w:rsid w:val="00E50AFE"/>
    <w:rsid w:val="00E527B5"/>
    <w:rsid w:val="00E54C28"/>
    <w:rsid w:val="00E60DA9"/>
    <w:rsid w:val="00E650E1"/>
    <w:rsid w:val="00E75C92"/>
    <w:rsid w:val="00E771DC"/>
    <w:rsid w:val="00E85811"/>
    <w:rsid w:val="00E8772A"/>
    <w:rsid w:val="00E90F6B"/>
    <w:rsid w:val="00E91720"/>
    <w:rsid w:val="00E92C27"/>
    <w:rsid w:val="00E97283"/>
    <w:rsid w:val="00EA0E3D"/>
    <w:rsid w:val="00EA247B"/>
    <w:rsid w:val="00EA3BD6"/>
    <w:rsid w:val="00EC38A7"/>
    <w:rsid w:val="00EE1AA8"/>
    <w:rsid w:val="00F10BB3"/>
    <w:rsid w:val="00F20CC7"/>
    <w:rsid w:val="00F30FE8"/>
    <w:rsid w:val="00F31EDC"/>
    <w:rsid w:val="00F4361D"/>
    <w:rsid w:val="00F44BC1"/>
    <w:rsid w:val="00F45F33"/>
    <w:rsid w:val="00F462B3"/>
    <w:rsid w:val="00F5664F"/>
    <w:rsid w:val="00F61CB1"/>
    <w:rsid w:val="00F642BE"/>
    <w:rsid w:val="00F666C4"/>
    <w:rsid w:val="00F67273"/>
    <w:rsid w:val="00F741AE"/>
    <w:rsid w:val="00F76AFC"/>
    <w:rsid w:val="00F926CB"/>
    <w:rsid w:val="00FA47C0"/>
    <w:rsid w:val="00FB2AD3"/>
    <w:rsid w:val="00FB5671"/>
    <w:rsid w:val="00FB5DD1"/>
    <w:rsid w:val="00FC2B5D"/>
    <w:rsid w:val="00FD6358"/>
    <w:rsid w:val="00FF0063"/>
    <w:rsid w:val="00FF1449"/>
    <w:rsid w:val="5071DC4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45A98930-9AEC-401F-A324-2FA9F9F7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paragraph" w:customStyle="1" w:styleId="Appelnotedebasde">
    <w:name w:val="Appel note de bas de..."/>
    <w:basedOn w:val="Normal"/>
    <w:link w:val="FootnoteReference"/>
    <w:uiPriority w:val="99"/>
    <w:rsid w:val="0053770F"/>
    <w:pPr>
      <w:spacing w:line="240" w:lineRule="exact"/>
    </w:pPr>
    <w:rPr>
      <w:vertAlign w:val="superscript"/>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654D71"/>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495009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73146801">
      <w:bodyDiv w:val="1"/>
      <w:marLeft w:val="0"/>
      <w:marRight w:val="0"/>
      <w:marTop w:val="0"/>
      <w:marBottom w:val="0"/>
      <w:divBdr>
        <w:top w:val="none" w:sz="0" w:space="0" w:color="auto"/>
        <w:left w:val="none" w:sz="0" w:space="0" w:color="auto"/>
        <w:bottom w:val="none" w:sz="0" w:space="0" w:color="auto"/>
        <w:right w:val="none" w:sz="0" w:space="0" w:color="auto"/>
      </w:divBdr>
    </w:div>
    <w:div w:id="1015041208">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7649757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juliab017@gmail.com" TargetMode="External"/><Relationship Id="rId17" Type="http://schemas.openxmlformats.org/officeDocument/2006/relationships/hyperlink" Target="https://relatoria.colombiacompra.gov.co/busqueda/concept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decreto-092-de-2017/" TargetMode="External"/><Relationship Id="rId20" Type="http://schemas.openxmlformats.org/officeDocument/2006/relationships/hyperlink" Target="https://nam02.safelinks.protection.outlook.com/?url=https%3A%2F%2Fwww.colombiacompra.gov.co%2Fcontent%2Fconvocatorias&amp;data=05%7C02%7Calejandro.sarmiento%40colombiacompra.gov.co%7C992f1c9609394a8da8fe08dcc1676546%7C7b09041e245149d08cb179d5e3d8c1be%7C0%7C0%7C638597897038014955%7CUnknown%7CTWFpbGZsb3d8eyJWIjoiMC4wLjAwMDAiLCJQIjoiV2luMzIiLCJBTiI6Ik1haWwiLCJXVCI6Mn0%3D%7C0%7C%7C%7C&amp;sdata=Pj5xvxGhbJ3hq4nnwx8SuYfmT4FIZYQXqTnomkyVEm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normativa/constitucion-politica-de-colombi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cop.gov.co/entidades/colombiacompra/Normativa?IDNorma=17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es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B75826CE-0633-4893-AE71-8EBC021B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D73E7-7A78-4785-B571-3EE3077B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3632</Words>
  <Characters>20708</Characters>
  <Application>Microsoft Office Word</Application>
  <DocSecurity>4</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24292</CharactersWithSpaces>
  <SharedDoc>false</SharedDoc>
  <HLinks>
    <vt:vector size="48" baseType="variant">
      <vt:variant>
        <vt:i4>2424868</vt:i4>
      </vt:variant>
      <vt:variant>
        <vt:i4>18</vt:i4>
      </vt:variant>
      <vt:variant>
        <vt:i4>0</vt:i4>
      </vt:variant>
      <vt:variant>
        <vt:i4>5</vt:i4>
      </vt:variant>
      <vt:variant>
        <vt:lpwstr>https://nam02.safelinks.protection.outlook.com/?url=https%3A%2F%2Fwww.colombiacompra.gov.co%2Fcontent%2Fconvocatorias&amp;data=05%7C02%7Calejandro.sarmiento%40colombiacompra.gov.co%7C992f1c9609394a8da8fe08dcc1676546%7C7b09041e245149d08cb179d5e3d8c1be%7C0%7C0%7C638597897038014955%7CUnknown%7CTWFpbGZsb3d8eyJWIjoiMC4wLjAwMDAiLCJQIjoiV2luMzIiLCJBTiI6Ik1haWwiLCJXVCI6Mn0%3D%7C0%7C%7C%7C&amp;sdata=Pj5xvxGhbJ3hq4nnwx8SuYfmT4FIZYQXqTnomkyVEmk%3D&amp;reserved=0</vt:lpwstr>
      </vt:variant>
      <vt:variant>
        <vt:lpwstr/>
      </vt:variant>
      <vt:variant>
        <vt:i4>852047</vt:i4>
      </vt:variant>
      <vt:variant>
        <vt:i4>15</vt:i4>
      </vt:variant>
      <vt:variant>
        <vt:i4>0</vt:i4>
      </vt:variant>
      <vt:variant>
        <vt:i4>5</vt:i4>
      </vt:variant>
      <vt:variant>
        <vt:lpwstr>https://www.sucop.gov.co/entidades/colombiacompra/Normativa?IDNorma=17363</vt:lpwstr>
      </vt:variant>
      <vt:variant>
        <vt:lpwstr/>
      </vt:variant>
      <vt:variant>
        <vt:i4>3342357</vt:i4>
      </vt:variant>
      <vt:variant>
        <vt:i4>12</vt:i4>
      </vt:variant>
      <vt:variant>
        <vt:i4>0</vt:i4>
      </vt:variant>
      <vt:variant>
        <vt:i4>5</vt:i4>
      </vt:variant>
      <vt:variant>
        <vt:lpwstr>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2162810</vt:i4>
      </vt:variant>
      <vt:variant>
        <vt:i4>6</vt:i4>
      </vt:variant>
      <vt:variant>
        <vt:i4>0</vt:i4>
      </vt:variant>
      <vt:variant>
        <vt:i4>5</vt:i4>
      </vt:variant>
      <vt:variant>
        <vt:lpwstr>https://relatoria.colombiacompra.gov.co/normativa/decreto-092-de-2017/</vt:lpwstr>
      </vt:variant>
      <vt:variant>
        <vt:lpwstr/>
      </vt:variant>
      <vt:variant>
        <vt:i4>5374035</vt:i4>
      </vt:variant>
      <vt:variant>
        <vt:i4>3</vt:i4>
      </vt:variant>
      <vt:variant>
        <vt:i4>0</vt:i4>
      </vt:variant>
      <vt:variant>
        <vt:i4>5</vt:i4>
      </vt:variant>
      <vt:variant>
        <vt:lpwstr>https://relatoria.colombiacompra.gov.co/normativa/constitucion-politica-de-colombia/</vt:lpwstr>
      </vt:variant>
      <vt:variant>
        <vt:lpwstr/>
      </vt:variant>
      <vt:variant>
        <vt:i4>6684672</vt:i4>
      </vt:variant>
      <vt:variant>
        <vt:i4>0</vt:i4>
      </vt:variant>
      <vt:variant>
        <vt:i4>0</vt:i4>
      </vt:variant>
      <vt:variant>
        <vt:i4>5</vt:i4>
      </vt:variant>
      <vt:variant>
        <vt:lpwstr>mailto:juliab017@gmail.com</vt:lpwstr>
      </vt:variant>
      <vt:variant>
        <vt:lpwstr/>
      </vt:variant>
      <vt:variant>
        <vt:i4>5963852</vt:i4>
      </vt:variant>
      <vt:variant>
        <vt:i4>0</vt:i4>
      </vt:variant>
      <vt:variant>
        <vt:i4>0</vt:i4>
      </vt:variant>
      <vt:variant>
        <vt:i4>5</vt:i4>
      </vt:variant>
      <vt:variant>
        <vt:lpwstr>https://www.colombiacompra.gov.co/sites/cce_public/files/cce_documents/cce_guia_esal.pdf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7</cp:revision>
  <cp:lastPrinted>2023-01-11T06:18:00Z</cp:lastPrinted>
  <dcterms:created xsi:type="dcterms:W3CDTF">2024-08-21T19:13:00Z</dcterms:created>
  <dcterms:modified xsi:type="dcterms:W3CDTF">2024-08-21T21:31:00Z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