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4D6DA" w14:textId="77777777" w:rsidR="00C0100E" w:rsidRPr="003C30D6" w:rsidRDefault="00C0100E" w:rsidP="00C0100E">
      <w:pPr>
        <w:spacing w:after="0" w:line="240" w:lineRule="auto"/>
        <w:rPr>
          <w:rFonts w:ascii="Verdana" w:eastAsia="Calibri" w:hAnsi="Verdana" w:cs="Arial"/>
          <w:b/>
          <w:bCs/>
          <w:lang w:val="es-ES" w:eastAsia="es-ES"/>
        </w:rPr>
      </w:pPr>
      <w:bookmarkStart w:id="0" w:name="_GoBack"/>
      <w:bookmarkEnd w:id="0"/>
      <w:r w:rsidRPr="003C30D6">
        <w:rPr>
          <w:rFonts w:ascii="Verdana" w:eastAsia="Calibri" w:hAnsi="Verdana" w:cs="Arial"/>
          <w:b/>
          <w:bCs/>
          <w:lang w:val="es-ES" w:eastAsia="es-ES"/>
        </w:rPr>
        <w:t>FUNCIONES CONTRACTUALES – Delegación – Fundamento normativo – Artículo 211 superior</w:t>
      </w:r>
    </w:p>
    <w:p w14:paraId="0BE34789" w14:textId="77777777" w:rsidR="00C0100E" w:rsidRPr="003C30D6" w:rsidRDefault="00C0100E" w:rsidP="00C0100E">
      <w:pPr>
        <w:spacing w:after="0" w:line="240" w:lineRule="auto"/>
        <w:rPr>
          <w:rFonts w:ascii="Verdana" w:eastAsia="Calibri" w:hAnsi="Verdana" w:cs="Arial"/>
          <w:lang w:val="es-ES" w:eastAsia="es-ES"/>
        </w:rPr>
      </w:pPr>
    </w:p>
    <w:p w14:paraId="293BFA2F" w14:textId="77777777" w:rsidR="00C0100E" w:rsidRPr="003C30D6" w:rsidRDefault="00C0100E" w:rsidP="00C0100E">
      <w:pPr>
        <w:spacing w:after="0" w:line="240" w:lineRule="auto"/>
        <w:jc w:val="both"/>
        <w:rPr>
          <w:rFonts w:ascii="Verdana" w:eastAsia="Calibri" w:hAnsi="Verdana" w:cs="Arial"/>
          <w:sz w:val="20"/>
          <w:szCs w:val="20"/>
          <w:lang w:val="es-ES_tradnl"/>
        </w:rPr>
      </w:pPr>
      <w:r w:rsidRPr="003C30D6">
        <w:rPr>
          <w:rFonts w:ascii="Verdana" w:eastAsia="Calibri" w:hAnsi="Verdana" w:cs="Arial"/>
          <w:sz w:val="20"/>
          <w:szCs w:val="20"/>
          <w:lang w:val="es-ES_tradnl"/>
        </w:rPr>
        <w:t>El artículo 11 de la Ley 80 de 1993, definió la competencia para dirigir procesos de selección y suscribir contratos, centralizándola en determinadas autoridades estatales. […]</w:t>
      </w:r>
    </w:p>
    <w:p w14:paraId="7CF9A560" w14:textId="77777777" w:rsidR="00C0100E" w:rsidRPr="003C30D6" w:rsidRDefault="00C0100E" w:rsidP="00C0100E">
      <w:pPr>
        <w:spacing w:after="0" w:line="240" w:lineRule="auto"/>
        <w:jc w:val="both"/>
        <w:rPr>
          <w:rFonts w:ascii="Verdana" w:eastAsia="Calibri" w:hAnsi="Verdana" w:cs="Arial"/>
          <w:sz w:val="20"/>
          <w:szCs w:val="20"/>
          <w:lang w:val="es-ES_tradnl"/>
        </w:rPr>
      </w:pPr>
      <w:r w:rsidRPr="003C30D6">
        <w:rPr>
          <w:rFonts w:ascii="Verdana" w:eastAsia="Calibri" w:hAnsi="Verdana" w:cs="Arial"/>
          <w:sz w:val="20"/>
          <w:szCs w:val="20"/>
          <w:lang w:val="es-ES_tradnl"/>
        </w:rPr>
        <w:t>[…]</w:t>
      </w:r>
    </w:p>
    <w:p w14:paraId="104A5EF2" w14:textId="77777777" w:rsidR="00C0100E" w:rsidRPr="003C30D6" w:rsidRDefault="00C0100E" w:rsidP="00C0100E">
      <w:pPr>
        <w:spacing w:after="0" w:line="240" w:lineRule="auto"/>
        <w:jc w:val="both"/>
        <w:rPr>
          <w:rFonts w:ascii="Verdana" w:eastAsia="Calibri" w:hAnsi="Verdana" w:cs="Arial"/>
          <w:sz w:val="20"/>
          <w:szCs w:val="20"/>
          <w:lang w:val="es-ES_tradnl"/>
        </w:rPr>
      </w:pPr>
      <w:r w:rsidRPr="003C30D6">
        <w:rPr>
          <w:rFonts w:ascii="Verdana" w:eastAsia="Calibri" w:hAnsi="Verdana" w:cs="Arial"/>
          <w:sz w:val="20"/>
          <w:szCs w:val="20"/>
          <w:lang w:val="es-ES_tradnl"/>
        </w:rPr>
        <w:t>[…] durante la ejecución de la actividad contractual, dichos órganos cumplen con una multiplicidad de funciones, por lo que el ordenamiento jurídico dispuso técnicas de organización administrativa que permiten el reparto de las tareas asignadas con miras a su cumplimiento eficaz y eficiente. Por esta razón, el artículo 209 de la Constitución Política dispone que la función administrativa se desarrolla mediante la descentralización, la delegación y la desconcentración de funciones.</w:t>
      </w:r>
    </w:p>
    <w:p w14:paraId="10292230" w14:textId="77777777" w:rsidR="00C0100E" w:rsidRPr="003C30D6" w:rsidRDefault="00C0100E" w:rsidP="00C0100E">
      <w:pPr>
        <w:spacing w:after="0" w:line="240" w:lineRule="auto"/>
        <w:jc w:val="both"/>
        <w:rPr>
          <w:rFonts w:ascii="Verdana" w:eastAsia="Calibri" w:hAnsi="Verdana" w:cs="Arial"/>
          <w:sz w:val="20"/>
          <w:szCs w:val="20"/>
          <w:lang w:val="es-ES_tradnl"/>
        </w:rPr>
      </w:pPr>
    </w:p>
    <w:p w14:paraId="15114EBA" w14:textId="77777777" w:rsidR="00C0100E" w:rsidRPr="003C30D6" w:rsidRDefault="00C0100E" w:rsidP="00C0100E">
      <w:pPr>
        <w:spacing w:after="0" w:line="240" w:lineRule="auto"/>
        <w:jc w:val="both"/>
        <w:rPr>
          <w:rFonts w:ascii="Verdana" w:eastAsia="Calibri" w:hAnsi="Verdana" w:cs="Arial"/>
          <w:sz w:val="20"/>
          <w:szCs w:val="20"/>
          <w:lang w:val="es-ES_tradnl"/>
        </w:rPr>
      </w:pPr>
      <w:r w:rsidRPr="003C30D6">
        <w:rPr>
          <w:rFonts w:ascii="Verdana" w:eastAsia="Calibri" w:hAnsi="Verdana" w:cs="Arial"/>
          <w:sz w:val="20"/>
          <w:szCs w:val="20"/>
          <w:lang w:val="es-ES_tradnl"/>
        </w:rPr>
        <w:t>[…]en desarrollo del artículo 211 superior,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p>
    <w:p w14:paraId="5405ED64" w14:textId="77777777" w:rsidR="00C0100E" w:rsidRPr="003C30D6" w:rsidRDefault="00C0100E" w:rsidP="00C0100E">
      <w:pPr>
        <w:spacing w:after="0" w:line="240" w:lineRule="auto"/>
        <w:rPr>
          <w:rFonts w:ascii="Verdana" w:eastAsia="Calibri" w:hAnsi="Verdana" w:cs="Arial"/>
          <w:lang w:val="es-ES" w:eastAsia="es-ES"/>
        </w:rPr>
      </w:pPr>
    </w:p>
    <w:p w14:paraId="0270FB89" w14:textId="77777777" w:rsidR="00C0100E" w:rsidRPr="003C30D6" w:rsidRDefault="00C0100E" w:rsidP="00C0100E">
      <w:pPr>
        <w:spacing w:after="0" w:line="240" w:lineRule="auto"/>
        <w:jc w:val="both"/>
        <w:rPr>
          <w:rFonts w:ascii="Verdana" w:eastAsia="Calibri" w:hAnsi="Verdana" w:cs="Arial"/>
          <w:b/>
          <w:bCs/>
          <w:lang w:val="es-ES" w:eastAsia="es-ES"/>
        </w:rPr>
      </w:pPr>
      <w:r w:rsidRPr="003C30D6">
        <w:rPr>
          <w:rFonts w:ascii="Verdana" w:eastAsia="Calibri" w:hAnsi="Verdana" w:cs="Arial"/>
          <w:b/>
          <w:bCs/>
          <w:lang w:val="es-ES" w:eastAsia="es-ES"/>
        </w:rPr>
        <w:t>UNIDADES ASESORAS – Comités de contratación – Facultad de Creación – Numeral 9 del artículo 25 – Ley 80 de 1993</w:t>
      </w:r>
    </w:p>
    <w:p w14:paraId="436E60F4" w14:textId="77777777" w:rsidR="00C0100E" w:rsidRPr="003C30D6" w:rsidRDefault="00C0100E" w:rsidP="00C0100E">
      <w:pPr>
        <w:spacing w:after="0" w:line="240" w:lineRule="auto"/>
        <w:rPr>
          <w:rFonts w:ascii="Verdana" w:eastAsia="Calibri" w:hAnsi="Verdana" w:cs="Arial"/>
          <w:lang w:val="es-ES" w:eastAsia="es-ES"/>
        </w:rPr>
      </w:pPr>
    </w:p>
    <w:p w14:paraId="7C8A5498" w14:textId="77777777" w:rsidR="00C0100E" w:rsidRPr="003C30D6" w:rsidRDefault="00C0100E" w:rsidP="00C0100E">
      <w:pPr>
        <w:spacing w:after="0" w:line="240" w:lineRule="auto"/>
        <w:jc w:val="both"/>
        <w:rPr>
          <w:rFonts w:ascii="Arial" w:eastAsia="Calibri" w:hAnsi="Arial" w:cs="Arial"/>
          <w:sz w:val="20"/>
          <w:szCs w:val="20"/>
          <w:lang w:val="es-ES"/>
        </w:rPr>
      </w:pPr>
      <w:r w:rsidRPr="003C30D6">
        <w:rPr>
          <w:rFonts w:ascii="Arial" w:eastAsia="Calibri" w:hAnsi="Arial" w:cs="Arial"/>
          <w:sz w:val="20"/>
          <w:szCs w:val="20"/>
          <w:lang w:val="es-ES"/>
        </w:rPr>
        <w:t>[…] el numeral 9, del artículo 25, de la Ley 80 de 1993, señaló que “En los procesos de contratación intervendrán el jefe y las unidades asesoras y ejecutoras de la entidad que se señalen en las correspondientes normas sobre su organización y funcionamiento” [Énfasis fuera de texto]. En este sentido, quien tiene la competencia y responsabilidad para tramitar, celebrar y liquidar un contrato, es el jefe o representante legal de la entidad, o quien este delegue. Bajo este precepto, dichos sujetos están facultados para crear unidades asesoras –como es el caso de los comités asesores de contratación– que, con el fin de promover el cumplimiento de los principios de transparencia y responsabilidad, asesoren y apoyen a la gestión contractual de la entidad.</w:t>
      </w:r>
    </w:p>
    <w:p w14:paraId="61DC47E6" w14:textId="77777777" w:rsidR="00C0100E" w:rsidRPr="003C30D6" w:rsidRDefault="00C0100E" w:rsidP="00C0100E">
      <w:pPr>
        <w:spacing w:after="0" w:line="240" w:lineRule="auto"/>
        <w:jc w:val="both"/>
        <w:rPr>
          <w:rFonts w:ascii="Arial" w:eastAsia="Calibri" w:hAnsi="Arial" w:cs="Arial"/>
          <w:sz w:val="20"/>
          <w:szCs w:val="20"/>
          <w:lang w:val="es-ES_tradnl"/>
        </w:rPr>
      </w:pPr>
    </w:p>
    <w:p w14:paraId="5ABF25FC" w14:textId="77777777" w:rsidR="00C0100E" w:rsidRPr="003C30D6" w:rsidRDefault="00C0100E" w:rsidP="00C0100E">
      <w:pPr>
        <w:spacing w:after="0" w:line="240" w:lineRule="auto"/>
        <w:jc w:val="both"/>
        <w:rPr>
          <w:rFonts w:ascii="Arial" w:eastAsia="Calibri" w:hAnsi="Arial" w:cs="Arial"/>
          <w:sz w:val="20"/>
          <w:szCs w:val="20"/>
          <w:lang w:val="es-ES_tradnl"/>
        </w:rPr>
      </w:pPr>
      <w:r w:rsidRPr="003C30D6">
        <w:rPr>
          <w:rFonts w:ascii="Arial" w:eastAsia="Calibri" w:hAnsi="Arial" w:cs="Arial"/>
          <w:sz w:val="20"/>
          <w:szCs w:val="20"/>
          <w:lang w:val="es-ES_tradnl"/>
        </w:rPr>
        <w:t>[…] serán los respectivos jefes o representantes legales de las entidades públicas quiénes definirán en el marco de las funciones y competencias que les han sido conferidas por el ordenamiento jurídico, la necesidad de constituir unidades asesoras de contratación, las funciones que estas desempeñarán, la forma en la que estarán integradas, las calidades en las que actuarán los respectivos integrantes y el alcance que tendrán los conceptos que emitan sobre los procesos contractuales que pretenda adelantar la entidad.</w:t>
      </w:r>
    </w:p>
    <w:p w14:paraId="72210FCF" w14:textId="77777777" w:rsidR="00C0100E" w:rsidRDefault="00C0100E" w:rsidP="00C0100E">
      <w:pPr>
        <w:spacing w:after="0" w:line="240" w:lineRule="auto"/>
        <w:rPr>
          <w:rFonts w:ascii="Verdana" w:eastAsia="Geomanist Light" w:hAnsi="Verdana" w:cs="Arial"/>
          <w:sz w:val="20"/>
          <w:szCs w:val="20"/>
          <w:lang w:val="es-MX"/>
        </w:rPr>
      </w:pPr>
    </w:p>
    <w:p w14:paraId="79685B2D" w14:textId="77777777" w:rsidR="00C0100E" w:rsidRDefault="00C0100E" w:rsidP="00C0100E">
      <w:pPr>
        <w:spacing w:after="0" w:line="240" w:lineRule="auto"/>
        <w:rPr>
          <w:rFonts w:ascii="Verdana" w:eastAsia="Geomanist Light" w:hAnsi="Verdana" w:cs="Arial"/>
          <w:sz w:val="20"/>
          <w:szCs w:val="20"/>
          <w:lang w:val="es-MX"/>
        </w:rPr>
      </w:pPr>
    </w:p>
    <w:p w14:paraId="337ECB9A" w14:textId="77777777" w:rsidR="00C0100E" w:rsidRDefault="00C0100E" w:rsidP="00C0100E">
      <w:pPr>
        <w:spacing w:after="0" w:line="240" w:lineRule="auto"/>
        <w:rPr>
          <w:rFonts w:ascii="Verdana" w:eastAsia="Geomanist Light" w:hAnsi="Verdana" w:cs="Arial"/>
          <w:sz w:val="20"/>
          <w:szCs w:val="20"/>
          <w:lang w:val="es-MX"/>
        </w:rPr>
      </w:pPr>
    </w:p>
    <w:p w14:paraId="2255AF56" w14:textId="77777777" w:rsidR="00C0100E" w:rsidRDefault="00C0100E" w:rsidP="00C0100E">
      <w:pPr>
        <w:spacing w:after="0" w:line="240" w:lineRule="auto"/>
        <w:rPr>
          <w:rFonts w:ascii="Verdana" w:eastAsia="Geomanist Light" w:hAnsi="Verdana" w:cs="Arial"/>
          <w:sz w:val="20"/>
          <w:szCs w:val="20"/>
          <w:lang w:val="es-MX"/>
        </w:rPr>
      </w:pPr>
    </w:p>
    <w:p w14:paraId="4C34284B" w14:textId="77777777" w:rsidR="00C0100E" w:rsidRPr="003C30D6" w:rsidRDefault="00C0100E" w:rsidP="00C0100E">
      <w:pPr>
        <w:spacing w:after="0" w:line="240" w:lineRule="auto"/>
        <w:rPr>
          <w:rFonts w:ascii="Verdana" w:eastAsia="Geomanist Light" w:hAnsi="Verdana" w:cs="Arial"/>
          <w:sz w:val="20"/>
          <w:szCs w:val="20"/>
          <w:lang w:val="es-MX"/>
        </w:rPr>
      </w:pPr>
    </w:p>
    <w:p w14:paraId="1034AE33" w14:textId="77777777" w:rsidR="00C0100E" w:rsidRPr="00C0100E" w:rsidRDefault="00C0100E" w:rsidP="00C0100E">
      <w:pPr>
        <w:spacing w:after="0" w:line="240" w:lineRule="auto"/>
        <w:rPr>
          <w:rFonts w:ascii="Verdana" w:eastAsia="Geomanist Light" w:hAnsi="Verdana" w:cs="Arial"/>
          <w:lang w:val="es-MX"/>
        </w:rPr>
      </w:pPr>
      <w:r w:rsidRPr="00C0100E">
        <w:rPr>
          <w:rFonts w:ascii="Verdana" w:eastAsia="Geomanist Light" w:hAnsi="Verdana" w:cs="Arial"/>
          <w:lang w:val="es-MX"/>
        </w:rPr>
        <w:lastRenderedPageBreak/>
        <w:t>Bogotá D.C., [Día] de [</w:t>
      </w:r>
      <w:proofErr w:type="spellStart"/>
      <w:r w:rsidRPr="00C0100E">
        <w:rPr>
          <w:rFonts w:ascii="Verdana" w:eastAsia="Geomanist Light" w:hAnsi="Verdana" w:cs="Arial"/>
          <w:lang w:val="es-MX"/>
        </w:rPr>
        <w:t>Mes.NombreCapitalizado</w:t>
      </w:r>
      <w:proofErr w:type="spellEnd"/>
      <w:r w:rsidRPr="00C0100E">
        <w:rPr>
          <w:rFonts w:ascii="Verdana" w:eastAsia="Geomanist Light" w:hAnsi="Verdana" w:cs="Arial"/>
          <w:lang w:val="es-MX"/>
        </w:rPr>
        <w:t>] de [Año]</w:t>
      </w:r>
    </w:p>
    <w:p w14:paraId="500B8A7B" w14:textId="77777777" w:rsidR="00C0100E" w:rsidRDefault="00C0100E" w:rsidP="00C0100E">
      <w:pPr>
        <w:spacing w:after="0" w:line="240" w:lineRule="auto"/>
        <w:jc w:val="both"/>
        <w:rPr>
          <w:rFonts w:ascii="Verdana" w:eastAsia="Calibri" w:hAnsi="Verdana" w:cs="Arial"/>
          <w:lang w:val="es-ES"/>
        </w:rPr>
      </w:pPr>
    </w:p>
    <w:p w14:paraId="3205AEC8" w14:textId="4E441D67" w:rsidR="00C0100E" w:rsidRDefault="00C0100E" w:rsidP="00430076">
      <w:pPr>
        <w:spacing w:after="0" w:line="240" w:lineRule="auto"/>
        <w:jc w:val="right"/>
        <w:rPr>
          <w:rFonts w:ascii="Verdana" w:eastAsia="Calibri" w:hAnsi="Verdana" w:cs="Arial"/>
          <w:lang w:val="es-ES"/>
        </w:rPr>
      </w:pPr>
      <w:r w:rsidRPr="00C0100E">
        <w:rPr>
          <w:rFonts w:ascii="Verdana" w:eastAsia="Calibri" w:hAnsi="Verdana" w:cs="Arial"/>
          <w:noProof/>
          <w:lang w:val="es-ES"/>
        </w:rPr>
        <w:drawing>
          <wp:inline distT="0" distB="0" distL="0" distR="0" wp14:anchorId="2628DEEC" wp14:editId="08FCC9CC">
            <wp:extent cx="3286584" cy="952633"/>
            <wp:effectExtent l="0" t="0" r="9525" b="0"/>
            <wp:docPr id="11157356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35653" name=""/>
                    <pic:cNvPicPr/>
                  </pic:nvPicPr>
                  <pic:blipFill>
                    <a:blip r:embed="rId10"/>
                    <a:stretch>
                      <a:fillRect/>
                    </a:stretch>
                  </pic:blipFill>
                  <pic:spPr>
                    <a:xfrm>
                      <a:off x="0" y="0"/>
                      <a:ext cx="3286584" cy="952633"/>
                    </a:xfrm>
                    <a:prstGeom prst="rect">
                      <a:avLst/>
                    </a:prstGeom>
                  </pic:spPr>
                </pic:pic>
              </a:graphicData>
            </a:graphic>
          </wp:inline>
        </w:drawing>
      </w:r>
    </w:p>
    <w:p w14:paraId="1C27FFF2" w14:textId="77777777" w:rsidR="00C0100E" w:rsidRPr="00C0100E" w:rsidRDefault="00C0100E" w:rsidP="00C0100E">
      <w:pPr>
        <w:spacing w:after="0" w:line="240" w:lineRule="auto"/>
        <w:jc w:val="both"/>
        <w:rPr>
          <w:rFonts w:ascii="Verdana" w:eastAsia="Calibri" w:hAnsi="Verdana" w:cs="Arial"/>
          <w:lang w:val="es-ES"/>
        </w:rPr>
      </w:pPr>
    </w:p>
    <w:p w14:paraId="65CC741D" w14:textId="77777777" w:rsidR="00C0100E" w:rsidRPr="00C0100E" w:rsidRDefault="00C0100E" w:rsidP="00C0100E">
      <w:pPr>
        <w:spacing w:after="0" w:line="240" w:lineRule="auto"/>
        <w:jc w:val="both"/>
        <w:rPr>
          <w:rFonts w:ascii="Verdana" w:eastAsia="Calibri" w:hAnsi="Verdana" w:cs="Arial"/>
          <w:lang w:val="es-ES" w:eastAsia="es-ES"/>
        </w:rPr>
      </w:pPr>
      <w:r w:rsidRPr="00C0100E">
        <w:rPr>
          <w:rFonts w:ascii="Verdana" w:eastAsia="Calibri" w:hAnsi="Verdana" w:cs="Arial"/>
          <w:lang w:val="es-ES" w:eastAsia="es-ES"/>
        </w:rPr>
        <w:t>Señora</w:t>
      </w:r>
    </w:p>
    <w:p w14:paraId="6F8F57CC" w14:textId="77777777" w:rsidR="00C0100E" w:rsidRPr="00C0100E" w:rsidRDefault="00C0100E" w:rsidP="00C0100E">
      <w:pPr>
        <w:spacing w:after="0" w:line="240" w:lineRule="auto"/>
        <w:rPr>
          <w:rFonts w:ascii="Verdana" w:eastAsia="Calibri" w:hAnsi="Verdana" w:cs="Arial"/>
          <w:b/>
          <w:lang w:val="es-ES_tradnl" w:eastAsia="es-ES_tradnl"/>
        </w:rPr>
      </w:pPr>
      <w:r w:rsidRPr="00C0100E">
        <w:rPr>
          <w:rFonts w:ascii="Verdana" w:eastAsia="Calibri" w:hAnsi="Verdana" w:cs="Arial"/>
          <w:b/>
          <w:lang w:val="es-ES_tradnl" w:eastAsia="es-ES_tradnl"/>
        </w:rPr>
        <w:t>Clara Maritza Sánchez Fonseca</w:t>
      </w:r>
    </w:p>
    <w:p w14:paraId="69281016" w14:textId="77777777" w:rsidR="00C0100E" w:rsidRPr="00C0100E" w:rsidRDefault="008D7CFD" w:rsidP="00C0100E">
      <w:pPr>
        <w:spacing w:after="0" w:line="240" w:lineRule="auto"/>
        <w:rPr>
          <w:rFonts w:ascii="Verdana" w:eastAsia="Calibri" w:hAnsi="Verdana" w:cs="Arial"/>
          <w:b/>
          <w:lang w:val="es-ES_tradnl" w:eastAsia="es-ES_tradnl"/>
        </w:rPr>
      </w:pPr>
      <w:hyperlink r:id="rId11" w:history="1">
        <w:r w:rsidR="00C0100E" w:rsidRPr="00C0100E">
          <w:rPr>
            <w:rFonts w:ascii="Verdana" w:eastAsia="Calibri" w:hAnsi="Verdana" w:cs="Times New Roman"/>
            <w:color w:val="0563C1"/>
            <w:u w:val="single"/>
          </w:rPr>
          <w:t>mailto:maritzasanchezfonseca@gmail.com</w:t>
        </w:r>
      </w:hyperlink>
    </w:p>
    <w:p w14:paraId="40FE1A3F" w14:textId="77777777" w:rsidR="00C0100E" w:rsidRPr="00C0100E" w:rsidRDefault="00C0100E" w:rsidP="00C0100E">
      <w:pPr>
        <w:spacing w:after="0" w:line="240" w:lineRule="auto"/>
        <w:rPr>
          <w:rFonts w:ascii="Verdana" w:eastAsia="Calibri" w:hAnsi="Verdana" w:cs="Arial"/>
          <w:b/>
          <w:bCs/>
          <w:lang w:val="es-ES" w:eastAsia="es-ES"/>
        </w:rPr>
      </w:pPr>
      <w:r w:rsidRPr="00C0100E">
        <w:rPr>
          <w:rFonts w:ascii="Verdana" w:eastAsia="Calibri" w:hAnsi="Verdana" w:cs="Arial"/>
          <w:lang w:val="es-ES" w:eastAsia="es-ES"/>
        </w:rPr>
        <w:t>Leticia, Amazonas</w:t>
      </w:r>
    </w:p>
    <w:p w14:paraId="6F41BF32" w14:textId="77777777" w:rsidR="00C0100E" w:rsidRPr="00C0100E" w:rsidRDefault="00C0100E" w:rsidP="00C0100E">
      <w:pPr>
        <w:spacing w:after="0" w:line="240" w:lineRule="auto"/>
        <w:rPr>
          <w:rFonts w:ascii="Verdana" w:eastAsia="Calibri" w:hAnsi="Verdana" w:cs="Arial"/>
          <w:b/>
          <w:bCs/>
          <w:lang w:val="es-ES_tradnl" w:eastAsia="es-ES_tradnl"/>
        </w:rPr>
      </w:pPr>
    </w:p>
    <w:p w14:paraId="4850D8F9" w14:textId="77777777" w:rsidR="00C0100E" w:rsidRPr="00C0100E" w:rsidRDefault="00C0100E" w:rsidP="00C0100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0100E" w:rsidRPr="00C0100E" w14:paraId="1530659F" w14:textId="77777777" w:rsidTr="00C64DBA">
        <w:trPr>
          <w:trHeight w:val="884"/>
        </w:trPr>
        <w:tc>
          <w:tcPr>
            <w:tcW w:w="2689" w:type="dxa"/>
          </w:tcPr>
          <w:p w14:paraId="60A0B361" w14:textId="77777777" w:rsidR="00C0100E" w:rsidRPr="00C0100E" w:rsidRDefault="00C0100E" w:rsidP="00C0100E">
            <w:pPr>
              <w:jc w:val="both"/>
              <w:rPr>
                <w:rFonts w:ascii="Verdana" w:eastAsia="Calibri" w:hAnsi="Verdana" w:cs="Arial"/>
                <w:b/>
                <w:bCs/>
                <w:lang w:val="es-ES_tradnl" w:eastAsia="es-ES_tradnl"/>
              </w:rPr>
            </w:pPr>
          </w:p>
        </w:tc>
        <w:tc>
          <w:tcPr>
            <w:tcW w:w="6100" w:type="dxa"/>
          </w:tcPr>
          <w:p w14:paraId="100E71CC" w14:textId="77777777" w:rsidR="00C0100E" w:rsidRPr="00C0100E" w:rsidRDefault="00C0100E" w:rsidP="00C0100E">
            <w:pPr>
              <w:jc w:val="both"/>
              <w:rPr>
                <w:rFonts w:ascii="Verdana" w:eastAsia="Calibri" w:hAnsi="Verdana" w:cs="Arial"/>
                <w:b/>
                <w:bCs/>
                <w:lang w:val="es-ES" w:eastAsia="es-ES"/>
              </w:rPr>
            </w:pPr>
            <w:r w:rsidRPr="00C0100E">
              <w:rPr>
                <w:rFonts w:ascii="Verdana" w:eastAsia="Calibri" w:hAnsi="Verdana" w:cs="Arial"/>
                <w:b/>
                <w:bCs/>
                <w:lang w:val="es-ES" w:eastAsia="es-ES"/>
              </w:rPr>
              <w:t>Concepto C-298 de 2024</w:t>
            </w:r>
          </w:p>
        </w:tc>
      </w:tr>
      <w:tr w:rsidR="00C0100E" w:rsidRPr="00C0100E" w14:paraId="1F5AA4C2" w14:textId="77777777" w:rsidTr="00C64DBA">
        <w:trPr>
          <w:trHeight w:val="884"/>
        </w:trPr>
        <w:tc>
          <w:tcPr>
            <w:tcW w:w="2689" w:type="dxa"/>
          </w:tcPr>
          <w:p w14:paraId="7CB73550" w14:textId="77777777" w:rsidR="00C0100E" w:rsidRPr="00C0100E" w:rsidRDefault="00C0100E" w:rsidP="00C0100E">
            <w:pPr>
              <w:jc w:val="both"/>
              <w:rPr>
                <w:rFonts w:ascii="Verdana" w:eastAsia="Calibri" w:hAnsi="Verdana" w:cs="Arial"/>
                <w:lang w:val="es-ES_tradnl" w:eastAsia="es-ES_tradnl"/>
              </w:rPr>
            </w:pPr>
            <w:r w:rsidRPr="00C0100E">
              <w:rPr>
                <w:rFonts w:ascii="Verdana" w:eastAsia="Calibri" w:hAnsi="Verdana" w:cs="Arial"/>
                <w:b/>
                <w:lang w:val="es-ES_tradnl" w:eastAsia="es-ES_tradnl"/>
              </w:rPr>
              <w:t>Temas:</w:t>
            </w:r>
            <w:r w:rsidRPr="00C0100E">
              <w:rPr>
                <w:rFonts w:ascii="Verdana" w:eastAsia="Calibri" w:hAnsi="Verdana" w:cs="Arial"/>
                <w:lang w:val="es-ES_tradnl" w:eastAsia="es-ES_tradnl"/>
              </w:rPr>
              <w:t xml:space="preserve">                   </w:t>
            </w:r>
          </w:p>
        </w:tc>
        <w:tc>
          <w:tcPr>
            <w:tcW w:w="6100" w:type="dxa"/>
          </w:tcPr>
          <w:p w14:paraId="1B8532E1" w14:textId="77777777" w:rsidR="00C0100E" w:rsidRPr="00C0100E" w:rsidRDefault="00C0100E" w:rsidP="00C0100E">
            <w:pPr>
              <w:spacing w:line="276" w:lineRule="auto"/>
              <w:jc w:val="both"/>
              <w:rPr>
                <w:rFonts w:ascii="Verdana" w:eastAsia="Calibri" w:hAnsi="Verdana" w:cs="Arial"/>
                <w:lang w:val="es-ES" w:eastAsia="es-ES"/>
              </w:rPr>
            </w:pPr>
            <w:r w:rsidRPr="00C0100E">
              <w:rPr>
                <w:rFonts w:ascii="Verdana" w:eastAsia="Calibri" w:hAnsi="Verdana" w:cs="Arial"/>
                <w:lang w:val="es-ES" w:eastAsia="es-ES"/>
              </w:rPr>
              <w:t xml:space="preserve">FUNCIONES CONTRACTUALES – Delegación – Fundamento normativo – Artículo 211 superior / UNIDADES ASESORAS – Comités de contratación – Facultad de Creación – Numeral 9 del artículo 25 – Ley 80 de 1993 </w:t>
            </w:r>
          </w:p>
          <w:p w14:paraId="5FFD9C1B" w14:textId="77777777" w:rsidR="00C0100E" w:rsidRPr="00C0100E" w:rsidRDefault="00C0100E" w:rsidP="00C0100E">
            <w:pPr>
              <w:spacing w:line="276" w:lineRule="auto"/>
              <w:jc w:val="both"/>
              <w:rPr>
                <w:rFonts w:ascii="Verdana" w:eastAsia="Calibri" w:hAnsi="Verdana" w:cs="Arial"/>
                <w:lang w:val="es-ES" w:eastAsia="es-ES"/>
              </w:rPr>
            </w:pPr>
          </w:p>
        </w:tc>
      </w:tr>
      <w:tr w:rsidR="00C0100E" w:rsidRPr="00C0100E" w14:paraId="5191A78C" w14:textId="77777777" w:rsidTr="00C64DBA">
        <w:tc>
          <w:tcPr>
            <w:tcW w:w="2689" w:type="dxa"/>
          </w:tcPr>
          <w:p w14:paraId="736F5DFF" w14:textId="77777777" w:rsidR="00C0100E" w:rsidRPr="00C0100E" w:rsidRDefault="00C0100E" w:rsidP="00C0100E">
            <w:pPr>
              <w:jc w:val="both"/>
              <w:rPr>
                <w:rFonts w:ascii="Verdana" w:eastAsia="Calibri" w:hAnsi="Verdana" w:cs="Arial"/>
                <w:b/>
                <w:lang w:val="es-ES_tradnl" w:eastAsia="es-ES_tradnl"/>
              </w:rPr>
            </w:pPr>
            <w:r w:rsidRPr="00C0100E">
              <w:rPr>
                <w:rFonts w:ascii="Verdana" w:eastAsia="Calibri" w:hAnsi="Verdana" w:cs="Arial"/>
                <w:b/>
                <w:lang w:val="es-ES_tradnl" w:eastAsia="es-ES_tradnl"/>
              </w:rPr>
              <w:t>Radicación:</w:t>
            </w:r>
            <w:r w:rsidRPr="00C0100E">
              <w:rPr>
                <w:rFonts w:ascii="Verdana" w:eastAsia="Calibri" w:hAnsi="Verdana" w:cs="Arial"/>
                <w:lang w:val="es-ES_tradnl" w:eastAsia="es-ES_tradnl"/>
              </w:rPr>
              <w:t xml:space="preserve">               </w:t>
            </w:r>
          </w:p>
        </w:tc>
        <w:tc>
          <w:tcPr>
            <w:tcW w:w="6100" w:type="dxa"/>
          </w:tcPr>
          <w:p w14:paraId="1275F055" w14:textId="77777777" w:rsidR="00C0100E" w:rsidRPr="00C0100E" w:rsidRDefault="00C0100E" w:rsidP="00C0100E">
            <w:pPr>
              <w:jc w:val="both"/>
              <w:rPr>
                <w:rFonts w:ascii="Verdana" w:eastAsia="Calibri" w:hAnsi="Verdana" w:cs="Arial"/>
                <w:lang w:val="es-ES_tradnl" w:eastAsia="es-ES_tradnl"/>
              </w:rPr>
            </w:pPr>
            <w:r w:rsidRPr="00C0100E">
              <w:rPr>
                <w:rFonts w:ascii="Verdana" w:eastAsia="Calibri" w:hAnsi="Verdana" w:cs="Arial"/>
                <w:lang w:val="es-ES_tradnl" w:eastAsia="es-ES_tradnl"/>
              </w:rPr>
              <w:t>Respuesta a consulta con radicado No. P20240708006867</w:t>
            </w:r>
            <w:r w:rsidRPr="00C0100E">
              <w:rPr>
                <w:rFonts w:ascii="Verdana" w:eastAsia="Calibri" w:hAnsi="Verdana" w:cs="Arial"/>
                <w:lang w:val="es-ES_tradnl" w:eastAsia="es-ES_tradnl"/>
              </w:rPr>
              <w:tab/>
            </w:r>
            <w:r w:rsidRPr="00C0100E">
              <w:rPr>
                <w:rFonts w:ascii="Verdana" w:eastAsia="Calibri" w:hAnsi="Verdana" w:cs="Arial"/>
                <w:lang w:val="es-ES_tradnl" w:eastAsia="es-ES_tradnl"/>
              </w:rPr>
              <w:tab/>
            </w:r>
            <w:r w:rsidRPr="00C0100E">
              <w:rPr>
                <w:rFonts w:ascii="Verdana" w:eastAsia="Calibri" w:hAnsi="Verdana" w:cs="Arial"/>
                <w:lang w:val="es-ES_tradnl" w:eastAsia="es-ES_tradnl"/>
              </w:rPr>
              <w:tab/>
            </w:r>
          </w:p>
        </w:tc>
      </w:tr>
    </w:tbl>
    <w:p w14:paraId="5BD58850" w14:textId="77777777" w:rsidR="00C0100E" w:rsidRPr="00C0100E" w:rsidRDefault="00C0100E" w:rsidP="00C0100E">
      <w:pPr>
        <w:spacing w:after="0" w:line="240" w:lineRule="auto"/>
        <w:jc w:val="both"/>
        <w:rPr>
          <w:rFonts w:ascii="Verdana" w:eastAsia="Calibri" w:hAnsi="Verdana" w:cs="Arial"/>
          <w:lang w:val="es-ES_tradnl" w:eastAsia="es-ES_tradnl"/>
        </w:rPr>
      </w:pPr>
    </w:p>
    <w:p w14:paraId="29DB58D4" w14:textId="77777777" w:rsidR="00C0100E" w:rsidRPr="00C0100E" w:rsidRDefault="00C0100E" w:rsidP="00C0100E">
      <w:pPr>
        <w:spacing w:after="0" w:line="240" w:lineRule="auto"/>
        <w:jc w:val="both"/>
        <w:rPr>
          <w:rFonts w:ascii="Verdana" w:eastAsia="Calibri" w:hAnsi="Verdana" w:cs="Arial"/>
          <w:lang w:val="es-ES_tradnl" w:eastAsia="es-ES_tradnl"/>
        </w:rPr>
      </w:pPr>
    </w:p>
    <w:p w14:paraId="5EEB88D7" w14:textId="77777777" w:rsidR="00C0100E" w:rsidRPr="00C0100E" w:rsidRDefault="00C0100E" w:rsidP="00C0100E">
      <w:pPr>
        <w:spacing w:after="0" w:line="276" w:lineRule="auto"/>
        <w:jc w:val="both"/>
        <w:rPr>
          <w:rFonts w:ascii="Verdana" w:eastAsia="Calibri" w:hAnsi="Verdana" w:cs="Arial"/>
          <w:lang w:val="es-ES" w:eastAsia="es-ES"/>
        </w:rPr>
      </w:pPr>
      <w:r w:rsidRPr="00C0100E">
        <w:rPr>
          <w:rFonts w:ascii="Verdana" w:eastAsia="Calibri" w:hAnsi="Verdana" w:cs="Arial"/>
          <w:lang w:val="es-ES" w:eastAsia="es-ES"/>
        </w:rPr>
        <w:t xml:space="preserve">Estimada señora Sánchez: </w:t>
      </w:r>
    </w:p>
    <w:p w14:paraId="0CED996B" w14:textId="77777777" w:rsidR="00C0100E" w:rsidRPr="00C0100E" w:rsidRDefault="00C0100E" w:rsidP="00C0100E">
      <w:pPr>
        <w:tabs>
          <w:tab w:val="left" w:pos="3768"/>
        </w:tabs>
        <w:spacing w:after="0" w:line="276" w:lineRule="auto"/>
        <w:jc w:val="both"/>
        <w:rPr>
          <w:rFonts w:ascii="Verdana" w:eastAsia="Calibri" w:hAnsi="Verdana" w:cs="Arial"/>
          <w:lang w:val="es-ES" w:eastAsia="es-ES"/>
        </w:rPr>
      </w:pPr>
      <w:r w:rsidRPr="00C0100E">
        <w:rPr>
          <w:rFonts w:ascii="Verdana" w:eastAsia="Calibri" w:hAnsi="Verdana" w:cs="Arial"/>
          <w:lang w:val="es-ES" w:eastAsia="es-ES"/>
        </w:rPr>
        <w:tab/>
      </w:r>
    </w:p>
    <w:p w14:paraId="12235446" w14:textId="77777777" w:rsidR="00C0100E" w:rsidRPr="00C0100E" w:rsidRDefault="00C0100E" w:rsidP="00C0100E">
      <w:pPr>
        <w:spacing w:after="0" w:line="276" w:lineRule="auto"/>
        <w:jc w:val="both"/>
        <w:rPr>
          <w:rFonts w:ascii="Verdana" w:eastAsia="Calibri" w:hAnsi="Verdana" w:cs="Arial"/>
          <w:lang w:val="es-ES" w:eastAsia="es-ES"/>
        </w:rPr>
      </w:pPr>
      <w:r w:rsidRPr="00C0100E">
        <w:rPr>
          <w:rFonts w:ascii="Verdana" w:eastAsia="Calibri" w:hAnsi="Verdana" w:cs="Arial"/>
          <w:lang w:val="es-ES" w:eastAsia="es-ES"/>
        </w:rPr>
        <w:t>En ejercicio de la competencia otorgada por los artículos 3, numeral 5º, y 11, numeral 8º, del Decreto Ley 4170 de 2011,</w:t>
      </w:r>
      <w:r w:rsidRPr="00C0100E">
        <w:rPr>
          <w:rFonts w:ascii="Verdana" w:eastAsia="Arial MT" w:hAnsi="Verdana" w:cs="Arial MT"/>
          <w:lang w:val="es-ES" w:eastAsia="es-ES"/>
        </w:rPr>
        <w:t xml:space="preserve"> </w:t>
      </w:r>
      <w:r w:rsidRPr="00C0100E">
        <w:rPr>
          <w:rFonts w:ascii="Verdana" w:eastAsia="Calibri" w:hAnsi="Verdana" w:cs="Arial"/>
        </w:rPr>
        <w:t xml:space="preserve">así como lo establecido en el artículo 4 de la Resolución 1707 de 2018 expedida por esta Entidad, </w:t>
      </w:r>
      <w:r w:rsidRPr="00C0100E">
        <w:rPr>
          <w:rFonts w:ascii="Verdana" w:eastAsia="Calibri" w:hAnsi="Verdana" w:cs="Arial"/>
          <w:lang w:val="es-ES" w:eastAsia="es-ES"/>
        </w:rPr>
        <w:t xml:space="preserve">la Agencia Nacional de Contratación Pública – Colombia Compra Eficiente– responde su solicitud de consulta de fecha del 08 de julio de 2024, en la que realiza las siguientes preguntas: </w:t>
      </w:r>
    </w:p>
    <w:p w14:paraId="7064AFF5" w14:textId="77777777" w:rsidR="00C0100E" w:rsidRPr="00C0100E" w:rsidRDefault="00C0100E" w:rsidP="00C0100E">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1BF427D" w14:textId="77777777" w:rsidR="00C0100E" w:rsidRPr="00C0100E" w:rsidRDefault="00C0100E" w:rsidP="00C0100E">
      <w:pPr>
        <w:tabs>
          <w:tab w:val="left" w:pos="709"/>
        </w:tabs>
        <w:spacing w:after="0" w:line="240" w:lineRule="auto"/>
        <w:ind w:left="709" w:right="709"/>
        <w:jc w:val="both"/>
        <w:rPr>
          <w:rFonts w:ascii="Verdana" w:eastAsia="Calibri" w:hAnsi="Verdana" w:cs="Arial"/>
          <w:sz w:val="20"/>
          <w:szCs w:val="20"/>
          <w:lang w:val="es-MX"/>
        </w:rPr>
      </w:pPr>
      <w:r w:rsidRPr="00C0100E">
        <w:rPr>
          <w:rFonts w:ascii="Verdana" w:eastAsia="Calibri" w:hAnsi="Verdana" w:cs="Arial"/>
          <w:sz w:val="20"/>
          <w:szCs w:val="20"/>
          <w:lang w:val="es-MX"/>
        </w:rPr>
        <w:t>“1. ¿Cuál es el alcance del Comité de Adquisiciones o Comité de Compras en una entidad del estado?</w:t>
      </w:r>
    </w:p>
    <w:p w14:paraId="01669240" w14:textId="77777777" w:rsidR="00C0100E" w:rsidRPr="00C0100E" w:rsidRDefault="00C0100E" w:rsidP="00C0100E">
      <w:pPr>
        <w:tabs>
          <w:tab w:val="left" w:pos="709"/>
        </w:tabs>
        <w:spacing w:before="120" w:after="0" w:line="240" w:lineRule="auto"/>
        <w:ind w:left="709" w:right="709"/>
        <w:jc w:val="both"/>
        <w:rPr>
          <w:rFonts w:ascii="Verdana" w:eastAsia="Calibri" w:hAnsi="Verdana" w:cs="Arial"/>
          <w:sz w:val="20"/>
          <w:szCs w:val="20"/>
          <w:lang w:val="es-MX"/>
        </w:rPr>
      </w:pPr>
      <w:r w:rsidRPr="00C0100E">
        <w:rPr>
          <w:rFonts w:ascii="Verdana" w:eastAsia="Calibri" w:hAnsi="Verdana" w:cs="Arial"/>
          <w:sz w:val="20"/>
          <w:szCs w:val="20"/>
          <w:lang w:val="es-MX"/>
        </w:rPr>
        <w:t>2. ¿Existe un deber legal de establecer el Comité de Adquisiciones o Compras? En caso afirmativo ¿Cuál es la norma que lo establece?</w:t>
      </w:r>
    </w:p>
    <w:p w14:paraId="570556BF" w14:textId="77777777" w:rsidR="00C0100E" w:rsidRPr="00C0100E" w:rsidRDefault="00C0100E" w:rsidP="00C0100E">
      <w:pPr>
        <w:tabs>
          <w:tab w:val="left" w:pos="709"/>
        </w:tabs>
        <w:spacing w:before="120" w:after="0" w:line="240" w:lineRule="auto"/>
        <w:ind w:left="709" w:right="709"/>
        <w:jc w:val="both"/>
        <w:rPr>
          <w:rFonts w:ascii="Verdana" w:eastAsia="Calibri" w:hAnsi="Verdana" w:cs="Arial"/>
          <w:sz w:val="20"/>
          <w:szCs w:val="20"/>
          <w:lang w:val="es-MX"/>
        </w:rPr>
      </w:pPr>
      <w:r w:rsidRPr="00C0100E">
        <w:rPr>
          <w:rFonts w:ascii="Verdana" w:eastAsia="Calibri" w:hAnsi="Verdana" w:cs="Arial"/>
          <w:sz w:val="20"/>
          <w:szCs w:val="20"/>
          <w:lang w:val="es-MX"/>
        </w:rPr>
        <w:lastRenderedPageBreak/>
        <w:t>3. ¿Cuándo una entidad cuenta con un solo jefe que es a su vez el representante legal de la entidad, y quien toma las decisiones, ya que jerárquicamente no hay más personal, solamente profesionales universitarios, es necesario el comité de adquisiciones?</w:t>
      </w:r>
    </w:p>
    <w:p w14:paraId="02DDD1C1" w14:textId="77777777" w:rsidR="00C0100E" w:rsidRPr="00C0100E" w:rsidRDefault="00C0100E" w:rsidP="00C0100E">
      <w:pPr>
        <w:tabs>
          <w:tab w:val="left" w:pos="709"/>
        </w:tabs>
        <w:spacing w:before="120" w:after="0" w:line="240" w:lineRule="auto"/>
        <w:ind w:left="709" w:right="709"/>
        <w:jc w:val="both"/>
        <w:rPr>
          <w:rFonts w:ascii="Verdana" w:eastAsia="Calibri" w:hAnsi="Verdana" w:cs="Arial"/>
          <w:sz w:val="20"/>
          <w:szCs w:val="20"/>
          <w:lang w:val="es-MX"/>
        </w:rPr>
      </w:pPr>
      <w:r w:rsidRPr="00C0100E">
        <w:rPr>
          <w:rFonts w:ascii="Verdana" w:eastAsia="Calibri" w:hAnsi="Verdana" w:cs="Arial"/>
          <w:sz w:val="20"/>
          <w:szCs w:val="20"/>
          <w:lang w:val="es-MX"/>
        </w:rPr>
        <w:t xml:space="preserve">4. ¿A través del comité de adquisiciones se puede impedir una adquisición de la cual los miembros no estén de acuerdo? Lo anterior considerando </w:t>
      </w:r>
      <w:proofErr w:type="gramStart"/>
      <w:r w:rsidRPr="00C0100E">
        <w:rPr>
          <w:rFonts w:ascii="Verdana" w:eastAsia="Calibri" w:hAnsi="Verdana" w:cs="Arial"/>
          <w:sz w:val="20"/>
          <w:szCs w:val="20"/>
          <w:lang w:val="es-MX"/>
        </w:rPr>
        <w:t>que</w:t>
      </w:r>
      <w:proofErr w:type="gramEnd"/>
      <w:r w:rsidRPr="00C0100E">
        <w:rPr>
          <w:rFonts w:ascii="Verdana" w:eastAsia="Calibri" w:hAnsi="Verdana" w:cs="Arial"/>
          <w:sz w:val="20"/>
          <w:szCs w:val="20"/>
          <w:lang w:val="es-MX"/>
        </w:rPr>
        <w:t xml:space="preserve"> en la entidad, jerárquicamente solo existe un jeje que es el representante legal y quine toma las decisiones de contratación. [sic]</w:t>
      </w:r>
    </w:p>
    <w:p w14:paraId="12C49B6E" w14:textId="77777777" w:rsidR="00C0100E" w:rsidRPr="00C0100E" w:rsidRDefault="00C0100E" w:rsidP="00C0100E">
      <w:pPr>
        <w:tabs>
          <w:tab w:val="left" w:pos="142"/>
          <w:tab w:val="left" w:pos="284"/>
        </w:tabs>
        <w:spacing w:line="276" w:lineRule="auto"/>
        <w:contextualSpacing/>
        <w:jc w:val="both"/>
        <w:rPr>
          <w:rFonts w:ascii="Verdana" w:eastAsia="Century Gothic" w:hAnsi="Verdana" w:cs="Century Gothic"/>
          <w:b/>
          <w:bCs/>
          <w:lang w:val="es-ES"/>
        </w:rPr>
      </w:pPr>
    </w:p>
    <w:p w14:paraId="1B8B74ED" w14:textId="77777777" w:rsidR="00C0100E" w:rsidRPr="00C0100E" w:rsidRDefault="00C0100E" w:rsidP="00C0100E">
      <w:pPr>
        <w:spacing w:after="120" w:line="276" w:lineRule="auto"/>
        <w:ind w:firstLine="709"/>
        <w:jc w:val="both"/>
        <w:rPr>
          <w:rFonts w:ascii="Verdana" w:eastAsia="Calibri" w:hAnsi="Verdana" w:cs="Arial"/>
          <w:szCs w:val="24"/>
          <w:lang w:val="es-ES_tradnl" w:eastAsia="es-ES_tradnl"/>
        </w:rPr>
      </w:pPr>
      <w:r w:rsidRPr="00C0100E">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0100E">
        <w:rPr>
          <w:rFonts w:ascii="Verdana" w:eastAsia="Calibri" w:hAnsi="Verdana" w:cs="Arial"/>
          <w:szCs w:val="24"/>
          <w:lang w:val="es-ES_tradnl" w:eastAsia="es-ES_tradnl"/>
        </w:rPr>
        <w:tab/>
      </w:r>
    </w:p>
    <w:p w14:paraId="501167C9" w14:textId="77777777" w:rsidR="00C0100E" w:rsidRPr="00C0100E" w:rsidRDefault="00C0100E" w:rsidP="00C0100E">
      <w:pPr>
        <w:spacing w:after="0" w:line="276" w:lineRule="auto"/>
        <w:ind w:firstLine="709"/>
        <w:jc w:val="both"/>
        <w:rPr>
          <w:rFonts w:ascii="Verdana" w:eastAsia="Calibri" w:hAnsi="Verdana" w:cs="Arial"/>
          <w:lang w:val="es-ES" w:eastAsia="es-ES"/>
        </w:rPr>
      </w:pPr>
      <w:r w:rsidRPr="00C0100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6C772FE" w14:textId="77777777" w:rsidR="00C0100E" w:rsidRPr="00C0100E" w:rsidRDefault="00C0100E" w:rsidP="00C0100E">
      <w:pPr>
        <w:spacing w:after="0" w:line="276" w:lineRule="auto"/>
        <w:ind w:firstLine="709"/>
        <w:jc w:val="both"/>
        <w:rPr>
          <w:rFonts w:ascii="Verdana" w:eastAsia="Calibri" w:hAnsi="Verdana" w:cs="Arial"/>
          <w:lang w:val="es-ES" w:eastAsia="es-ES"/>
        </w:rPr>
      </w:pPr>
    </w:p>
    <w:p w14:paraId="6C936678" w14:textId="77777777" w:rsidR="00C0100E" w:rsidRPr="00C0100E" w:rsidRDefault="00C0100E" w:rsidP="00C0100E">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C0100E">
        <w:rPr>
          <w:rFonts w:ascii="Verdana" w:eastAsia="Arial" w:hAnsi="Verdana" w:cs="Arial"/>
          <w:b/>
          <w:bCs/>
          <w:lang w:val="es-ES"/>
        </w:rPr>
        <w:t>1. Problema planteado:</w:t>
      </w:r>
    </w:p>
    <w:p w14:paraId="6DCEEE85" w14:textId="77777777" w:rsidR="00C0100E" w:rsidRPr="00C0100E" w:rsidRDefault="00C0100E" w:rsidP="00C0100E">
      <w:pPr>
        <w:tabs>
          <w:tab w:val="left" w:pos="426"/>
        </w:tabs>
        <w:spacing w:after="0" w:line="276" w:lineRule="auto"/>
        <w:jc w:val="both"/>
        <w:rPr>
          <w:rFonts w:ascii="Verdana" w:eastAsia="Century Gothic" w:hAnsi="Verdana" w:cs="Century Gothic"/>
          <w:lang w:val="es-ES"/>
        </w:rPr>
      </w:pPr>
    </w:p>
    <w:p w14:paraId="36A157EF" w14:textId="77777777" w:rsidR="00C0100E" w:rsidRPr="00C0100E" w:rsidRDefault="00C0100E" w:rsidP="00C0100E">
      <w:pPr>
        <w:spacing w:after="0" w:line="276" w:lineRule="auto"/>
        <w:jc w:val="both"/>
        <w:rPr>
          <w:rFonts w:ascii="Verdana" w:eastAsia="Century Gothic" w:hAnsi="Verdana" w:cs="Century Gothic"/>
        </w:rPr>
      </w:pPr>
      <w:r w:rsidRPr="00C0100E">
        <w:rPr>
          <w:rFonts w:ascii="Verdana" w:eastAsia="Century Gothic" w:hAnsi="Verdana" w:cs="Century Gothic"/>
        </w:rPr>
        <w:t>De acuerdo con el contenido de su solicitud, se evidencia que la misma está relacionada con las funciones y/o competencias de las unidades asesoras de contratación, que se crean al interior de las Entidades Estatales en el marco del numeral 9 del artícu4lo 25 de la Ley 80 de 1993. Por lo que, se resolverá su consulta desde los siguientes problemas jurídicos:</w:t>
      </w:r>
      <w:bookmarkStart w:id="1" w:name="_Hlk171070029"/>
      <w:r w:rsidRPr="00C0100E">
        <w:rPr>
          <w:rFonts w:ascii="Verdana" w:eastAsia="Century Gothic" w:hAnsi="Verdana" w:cs="Century Gothic"/>
        </w:rPr>
        <w:t xml:space="preserve"> i) ¿existe un deber legal de establecer el comité de adquisiciones o compras y su normatividad? y </w:t>
      </w:r>
      <w:proofErr w:type="spellStart"/>
      <w:r w:rsidRPr="00C0100E">
        <w:rPr>
          <w:rFonts w:ascii="Verdana" w:eastAsia="Century Gothic" w:hAnsi="Verdana" w:cs="Century Gothic"/>
        </w:rPr>
        <w:t>iii</w:t>
      </w:r>
      <w:proofErr w:type="spellEnd"/>
      <w:r w:rsidRPr="00C0100E">
        <w:rPr>
          <w:rFonts w:ascii="Verdana" w:eastAsia="Century Gothic" w:hAnsi="Verdana" w:cs="Century Gothic"/>
        </w:rPr>
        <w:t>) ¿cuál es el alcance del comité de adquisiciones o comité de compras en una entidad del estado?</w:t>
      </w:r>
    </w:p>
    <w:p w14:paraId="66B729CA" w14:textId="77777777" w:rsidR="00C0100E" w:rsidRPr="00C0100E" w:rsidRDefault="00C0100E" w:rsidP="00C0100E">
      <w:pPr>
        <w:spacing w:after="0" w:line="276" w:lineRule="auto"/>
        <w:jc w:val="both"/>
        <w:rPr>
          <w:rFonts w:ascii="Verdana" w:eastAsia="Calibri" w:hAnsi="Verdana" w:cs="Arial"/>
          <w:lang w:val="es-ES"/>
        </w:rPr>
      </w:pPr>
    </w:p>
    <w:bookmarkEnd w:id="1"/>
    <w:p w14:paraId="1BCB0C8B" w14:textId="77777777" w:rsidR="00C0100E" w:rsidRPr="00C0100E" w:rsidRDefault="00C0100E" w:rsidP="00C0100E">
      <w:pPr>
        <w:widowControl w:val="0"/>
        <w:autoSpaceDE w:val="0"/>
        <w:autoSpaceDN w:val="0"/>
        <w:spacing w:before="1" w:after="0" w:line="240" w:lineRule="auto"/>
        <w:jc w:val="both"/>
        <w:outlineLvl w:val="0"/>
        <w:rPr>
          <w:rFonts w:ascii="Verdana" w:eastAsia="Arial" w:hAnsi="Verdana" w:cs="Arial"/>
          <w:b/>
          <w:bCs/>
          <w:lang w:val="es-ES"/>
        </w:rPr>
      </w:pPr>
      <w:r w:rsidRPr="00C0100E">
        <w:rPr>
          <w:rFonts w:ascii="Verdana" w:eastAsia="Arial" w:hAnsi="Verdana" w:cs="Arial"/>
          <w:b/>
          <w:bCs/>
          <w:lang w:val="es-ES"/>
        </w:rPr>
        <w:lastRenderedPageBreak/>
        <w:t>2. Respuestas:</w:t>
      </w:r>
    </w:p>
    <w:p w14:paraId="57ACE206" w14:textId="77777777" w:rsidR="00C0100E" w:rsidRPr="00C0100E" w:rsidRDefault="00C0100E" w:rsidP="00C0100E">
      <w:pPr>
        <w:spacing w:after="0"/>
        <w:rPr>
          <w:rFonts w:ascii="Verdana" w:eastAsia="Calibri"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0100E" w:rsidRPr="00C0100E" w14:paraId="11829F39" w14:textId="77777777" w:rsidTr="00C64DBA">
        <w:tc>
          <w:tcPr>
            <w:tcW w:w="8828" w:type="dxa"/>
            <w:shd w:val="clear" w:color="auto" w:fill="auto"/>
          </w:tcPr>
          <w:p w14:paraId="1E67DC7E" w14:textId="77777777" w:rsidR="00C0100E" w:rsidRPr="00C0100E" w:rsidRDefault="00C0100E" w:rsidP="00C0100E">
            <w:pPr>
              <w:spacing w:line="276" w:lineRule="auto"/>
              <w:jc w:val="both"/>
              <w:rPr>
                <w:rFonts w:ascii="Verdana" w:eastAsia="Calibri" w:hAnsi="Verdana" w:cs="Arial"/>
                <w:lang w:val="es-ES"/>
              </w:rPr>
            </w:pPr>
            <w:bookmarkStart w:id="2" w:name="_Hlk171067516"/>
            <w:r w:rsidRPr="00C0100E">
              <w:rPr>
                <w:rFonts w:ascii="Verdana" w:eastAsia="Calibri" w:hAnsi="Verdana" w:cs="Arial"/>
                <w:lang w:val="es-ES"/>
              </w:rPr>
              <w:t xml:space="preserve">i) De acuerdo con lo señalado en el artículo 11 de la Ley 80 de 1993, debe precisarse que quien tiene la competencia y la responsabilidad para tramitar, celebrar y liquidar un contrato, es el jefe o representante legal de la Entidad Estatal, o en su defecto, aquel a quien este delegue para tal fin. Bajo este precepto, dichos sujetos, en el marco del numeral 9 del artículo 25 ibidem, están facultados para crear unidades asesoras –como es el caso de los comités de adquisiciones–, con el fin de que promuevan el cumplimiento de los principios de transparencia y responsabilidad, así como el que asesoren y apoyen la gestión contractual de la Entidad Estatal. </w:t>
            </w:r>
            <w:proofErr w:type="spellStart"/>
            <w:r w:rsidRPr="00C0100E">
              <w:rPr>
                <w:rFonts w:ascii="Verdana" w:eastAsia="Calibri" w:hAnsi="Verdana" w:cs="Arial"/>
                <w:lang w:val="es-ES"/>
              </w:rPr>
              <w:t>ii</w:t>
            </w:r>
            <w:proofErr w:type="spellEnd"/>
            <w:r w:rsidRPr="00C0100E">
              <w:rPr>
                <w:rFonts w:ascii="Verdana" w:eastAsia="Calibri" w:hAnsi="Verdana" w:cs="Arial"/>
                <w:lang w:val="es-ES"/>
              </w:rPr>
              <w:t>) Sin embargo, es importante aclarar, que serán los jefes o representantes legales de las Entidades Estatales, quienes tendrán la carga de definir, en el marco de sus funciones y competencias, las funciones que dichas unidades asesoras desempeñarán, la forma en la que estarán integradas, las calidades en las que actuarán sus respectivos integrantes y el alcance que tendrán los conceptos que emitan en materia contractual.</w:t>
            </w:r>
          </w:p>
        </w:tc>
      </w:tr>
      <w:bookmarkEnd w:id="2"/>
    </w:tbl>
    <w:p w14:paraId="5B231231" w14:textId="77777777" w:rsidR="00C0100E" w:rsidRPr="00C0100E" w:rsidRDefault="00C0100E" w:rsidP="00C0100E">
      <w:pPr>
        <w:tabs>
          <w:tab w:val="left" w:pos="142"/>
          <w:tab w:val="left" w:pos="967"/>
        </w:tabs>
        <w:spacing w:after="0" w:line="276" w:lineRule="auto"/>
        <w:jc w:val="both"/>
        <w:rPr>
          <w:rFonts w:ascii="Verdana" w:eastAsia="Century Gothic" w:hAnsi="Verdana" w:cs="Century Gothic"/>
          <w:b/>
          <w:bCs/>
          <w:lang w:val="es-ES"/>
        </w:rPr>
      </w:pPr>
    </w:p>
    <w:p w14:paraId="6B7DBC63" w14:textId="77777777" w:rsidR="00C0100E" w:rsidRPr="00C0100E" w:rsidRDefault="00C0100E" w:rsidP="00C0100E">
      <w:pPr>
        <w:widowControl w:val="0"/>
        <w:autoSpaceDE w:val="0"/>
        <w:autoSpaceDN w:val="0"/>
        <w:spacing w:before="1" w:after="0" w:line="240" w:lineRule="auto"/>
        <w:ind w:left="360" w:hanging="360"/>
        <w:outlineLvl w:val="0"/>
        <w:rPr>
          <w:rFonts w:ascii="Verdana" w:eastAsia="Arial" w:hAnsi="Verdana" w:cs="Arial"/>
          <w:b/>
          <w:bCs/>
          <w:lang w:val="es-ES"/>
        </w:rPr>
      </w:pPr>
      <w:r w:rsidRPr="00C0100E">
        <w:rPr>
          <w:rFonts w:ascii="Verdana" w:eastAsia="Arial" w:hAnsi="Verdana" w:cs="Arial"/>
          <w:b/>
          <w:bCs/>
          <w:lang w:val="es-ES"/>
        </w:rPr>
        <w:t>3. Razones de la respuesta</w:t>
      </w:r>
    </w:p>
    <w:p w14:paraId="51B112F5" w14:textId="77777777" w:rsidR="00C0100E" w:rsidRPr="00C0100E" w:rsidRDefault="00C0100E" w:rsidP="00C0100E">
      <w:pPr>
        <w:spacing w:after="0" w:line="276" w:lineRule="auto"/>
        <w:jc w:val="both"/>
        <w:rPr>
          <w:rFonts w:ascii="Verdana" w:eastAsia="Calibri" w:hAnsi="Verdana" w:cs="Arial"/>
          <w:lang w:val="es-ES"/>
        </w:rPr>
      </w:pPr>
    </w:p>
    <w:p w14:paraId="1131178D" w14:textId="77777777" w:rsidR="00C0100E" w:rsidRPr="00C0100E" w:rsidRDefault="00C0100E" w:rsidP="00C0100E">
      <w:pPr>
        <w:spacing w:after="0" w:line="276" w:lineRule="auto"/>
        <w:jc w:val="both"/>
        <w:rPr>
          <w:rFonts w:ascii="Verdana" w:eastAsia="Calibri" w:hAnsi="Verdana" w:cs="Arial"/>
          <w:lang w:val="es-ES"/>
        </w:rPr>
      </w:pPr>
      <w:r w:rsidRPr="00C0100E">
        <w:rPr>
          <w:rFonts w:ascii="Verdana" w:eastAsia="Calibri" w:hAnsi="Verdana" w:cs="Arial"/>
          <w:lang w:val="es-ES"/>
        </w:rPr>
        <w:t xml:space="preserve">La respuesta anterior se sustenta en las siguientes consideraciones: </w:t>
      </w:r>
    </w:p>
    <w:p w14:paraId="236127D5" w14:textId="77777777" w:rsidR="00C0100E" w:rsidRPr="00C0100E" w:rsidRDefault="00C0100E" w:rsidP="00C0100E">
      <w:pPr>
        <w:spacing w:after="0" w:line="276" w:lineRule="auto"/>
        <w:jc w:val="both"/>
        <w:rPr>
          <w:rFonts w:ascii="Verdana" w:eastAsia="Calibri" w:hAnsi="Verdana" w:cs="Arial"/>
          <w:lang w:val="es-ES"/>
        </w:rPr>
      </w:pPr>
    </w:p>
    <w:p w14:paraId="6141E547" w14:textId="77777777" w:rsidR="00C0100E" w:rsidRPr="00C0100E" w:rsidRDefault="00C0100E" w:rsidP="00C0100E">
      <w:pPr>
        <w:numPr>
          <w:ilvl w:val="0"/>
          <w:numId w:val="3"/>
        </w:numPr>
        <w:spacing w:before="120" w:after="0" w:line="276" w:lineRule="auto"/>
        <w:contextualSpacing/>
        <w:jc w:val="both"/>
        <w:rPr>
          <w:rFonts w:ascii="Verdana" w:eastAsia="Calibri" w:hAnsi="Verdana" w:cs="Arial"/>
          <w:lang w:val="es-ES_tradnl"/>
        </w:rPr>
      </w:pPr>
      <w:r w:rsidRPr="00C0100E">
        <w:rPr>
          <w:rFonts w:ascii="Verdana" w:eastAsia="Times New Roman" w:hAnsi="Verdana" w:cs="Arial"/>
          <w:szCs w:val="24"/>
          <w:lang w:val="es-ES_tradnl" w:eastAsia="es-ES_tradnl"/>
        </w:rPr>
        <w:t>En desarrollo del artículo 211 superior</w:t>
      </w:r>
      <w:r w:rsidRPr="00C0100E">
        <w:rPr>
          <w:rFonts w:ascii="Verdana" w:eastAsia="Calibri" w:hAnsi="Verdana" w:cs="Times New Roman"/>
          <w:vertAlign w:val="superscript"/>
          <w:lang w:val="es-ES_tradnl"/>
        </w:rPr>
        <w:footnoteReference w:id="1"/>
      </w:r>
      <w:r w:rsidRPr="00C0100E">
        <w:rPr>
          <w:rFonts w:ascii="Verdana" w:eastAsia="Calibri" w:hAnsi="Verdana" w:cs="Arial"/>
          <w:lang w:val="es-ES_tradnl"/>
        </w:rPr>
        <w:t>,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r w:rsidRPr="00C0100E">
        <w:rPr>
          <w:rFonts w:ascii="Verdana" w:eastAsia="Calibri" w:hAnsi="Verdana" w:cs="Times New Roman"/>
          <w:vertAlign w:val="superscript"/>
          <w:lang w:val="es-ES_tradnl"/>
        </w:rPr>
        <w:footnoteReference w:id="2"/>
      </w:r>
      <w:r w:rsidRPr="00C0100E">
        <w:rPr>
          <w:rFonts w:ascii="Verdana" w:eastAsia="Calibri" w:hAnsi="Verdana" w:cs="Arial"/>
          <w:lang w:val="es-ES_tradnl"/>
        </w:rPr>
        <w:t>.</w:t>
      </w:r>
    </w:p>
    <w:p w14:paraId="3805B8E6" w14:textId="77777777" w:rsidR="00C0100E" w:rsidRPr="00C0100E" w:rsidRDefault="00C0100E" w:rsidP="00C0100E">
      <w:pPr>
        <w:spacing w:before="120" w:after="0" w:line="276" w:lineRule="auto"/>
        <w:ind w:left="720"/>
        <w:contextualSpacing/>
        <w:jc w:val="both"/>
        <w:rPr>
          <w:rFonts w:ascii="Verdana" w:eastAsia="Calibri" w:hAnsi="Verdana" w:cs="Arial"/>
          <w:color w:val="7030A0"/>
          <w:lang w:val="es-ES_tradnl"/>
        </w:rPr>
      </w:pPr>
    </w:p>
    <w:p w14:paraId="4E931CCE" w14:textId="77777777" w:rsidR="00C0100E" w:rsidRPr="00C0100E" w:rsidRDefault="00C0100E" w:rsidP="00C0100E">
      <w:pPr>
        <w:numPr>
          <w:ilvl w:val="0"/>
          <w:numId w:val="4"/>
        </w:numPr>
        <w:spacing w:after="0" w:line="276" w:lineRule="auto"/>
        <w:contextualSpacing/>
        <w:jc w:val="both"/>
        <w:rPr>
          <w:rFonts w:ascii="Verdana" w:eastAsia="Calibri" w:hAnsi="Verdana" w:cs="Arial"/>
          <w:lang w:val="es-ES"/>
        </w:rPr>
      </w:pPr>
      <w:r w:rsidRPr="00C0100E">
        <w:rPr>
          <w:rFonts w:ascii="Verdana" w:eastAsia="Calibri" w:hAnsi="Verdana" w:cs="Arial"/>
          <w:lang w:val="es-ES"/>
        </w:rPr>
        <w:t>Como se observa, la facultad se limitó a la celebración de contratos, motivo por el cual, el artículo 37 del Decreto Ley 2150 de 1995 amplió las materias delegables al disponer que “Los jefes y los representantes legales de las entidades estatales podrán delegar total o parcialmente la competencia para la realización de licitaciones o para la celebración de contratos, sin consideración a la naturaleza o cuantía de los mismos, en los servidores públicos que desempeñen cargos del nivel directo o ejecutivo o en sus equivalentes”.</w:t>
      </w:r>
    </w:p>
    <w:p w14:paraId="7CC4EF16" w14:textId="77777777" w:rsidR="00C0100E" w:rsidRPr="00C0100E" w:rsidRDefault="00C0100E" w:rsidP="00C0100E">
      <w:pPr>
        <w:spacing w:after="0" w:line="276" w:lineRule="auto"/>
        <w:ind w:left="720"/>
        <w:contextualSpacing/>
        <w:jc w:val="both"/>
        <w:rPr>
          <w:rFonts w:ascii="Verdana" w:eastAsia="Calibri" w:hAnsi="Verdana" w:cs="Arial"/>
          <w:lang w:val="es-ES"/>
        </w:rPr>
      </w:pPr>
    </w:p>
    <w:p w14:paraId="2A15208B" w14:textId="77777777" w:rsidR="00C0100E" w:rsidRPr="00C0100E" w:rsidRDefault="00C0100E" w:rsidP="00C0100E">
      <w:pPr>
        <w:numPr>
          <w:ilvl w:val="0"/>
          <w:numId w:val="4"/>
        </w:numPr>
        <w:spacing w:after="0" w:line="276" w:lineRule="auto"/>
        <w:contextualSpacing/>
        <w:jc w:val="both"/>
        <w:rPr>
          <w:rFonts w:ascii="Verdana" w:eastAsia="Calibri" w:hAnsi="Verdana" w:cs="Arial"/>
          <w:lang w:val="es-ES"/>
        </w:rPr>
      </w:pPr>
      <w:r w:rsidRPr="00C0100E">
        <w:rPr>
          <w:rFonts w:ascii="Verdana" w:eastAsia="Calibri" w:hAnsi="Verdana" w:cs="Arial"/>
          <w:lang w:val="es-ES"/>
        </w:rPr>
        <w:t>Posteriormente, el artículo 9 de la Ley 489 de 1998 permitió la delegación en funcionarios públicos del nivel directivo y asesor vinculados al órgano correspondiente. En todo caso, esta última ley exige un acto administrativo donde se determine la autoridad delegataria y las funciones específicas que transfiere el delegante, sin perjuicio de que a este último se le informe sobre el desarrollo de la delegación e imparta orientaciones generales para el ejercicio de las funciones delegadas –art.10–. Además, se supedita a que no se confiera para expedir reglamentos –salvo excepciones legales–, subdelegar o transferir funciones que por su naturaleza o por mandato constitucional o legal son indelegables –art. 11–. Finalmente, los actos del delegatario tienen los requisitos y recursos que los del delegante, reiterando el régimen de responsabilidad y recuperación de la competencia previsto en el artículo 211 constitucional –art. 12–.</w:t>
      </w:r>
    </w:p>
    <w:p w14:paraId="078E5096" w14:textId="77777777" w:rsidR="00C0100E" w:rsidRPr="00C0100E" w:rsidRDefault="00C0100E" w:rsidP="00C0100E">
      <w:pPr>
        <w:spacing w:after="0" w:line="276" w:lineRule="auto"/>
        <w:jc w:val="both"/>
        <w:rPr>
          <w:rFonts w:ascii="Verdana" w:eastAsia="Calibri" w:hAnsi="Verdana" w:cs="Arial"/>
          <w:lang w:val="es-ES"/>
        </w:rPr>
      </w:pPr>
    </w:p>
    <w:p w14:paraId="79B64708" w14:textId="77777777" w:rsidR="00C0100E" w:rsidRPr="00C0100E" w:rsidRDefault="00C0100E" w:rsidP="00C0100E">
      <w:pPr>
        <w:numPr>
          <w:ilvl w:val="0"/>
          <w:numId w:val="4"/>
        </w:numPr>
        <w:spacing w:after="0" w:line="276" w:lineRule="auto"/>
        <w:contextualSpacing/>
        <w:jc w:val="both"/>
        <w:rPr>
          <w:rFonts w:ascii="Verdana" w:eastAsia="Calibri" w:hAnsi="Verdana" w:cs="Arial"/>
          <w:lang w:val="es-ES"/>
        </w:rPr>
      </w:pPr>
      <w:r w:rsidRPr="00C0100E">
        <w:rPr>
          <w:rFonts w:ascii="Verdana" w:eastAsia="Calibri" w:hAnsi="Verdana" w:cs="Arial"/>
          <w:lang w:val="es-ES"/>
        </w:rPr>
        <w:t>Sin embargo, la delegación en materia contractual tuvo cambios importantes con la expedición de la Ley 1150 de 2007, adicionando un segundo inciso al artículo 12 de la Ley 80 de 1993. En esta medida, dispuso que: “En ningún caso, los jefes y representantes legales de las entidades estatales quedarán exonerados por virtud de la delegación de sus deberes de control y vigilancia de la actividad precontractual y contractual”. Dicha disposición cambió el régimen de responsabilidad del delegante previsto en el precitado inciso segundo del artículo 211 superior. Por ello, la Corte Constitucional –retomando la línea jurisprudencial de la Sentencia C-372 de 2002– declaró que este inciso es condicionalmente exequible, en el entendido de que el delegante sólo responde por la ausencia de control y vigilancia siempre que medie dolo o culpa grave</w:t>
      </w:r>
      <w:r w:rsidRPr="00C0100E">
        <w:rPr>
          <w:rFonts w:ascii="Verdana" w:eastAsia="Calibri" w:hAnsi="Verdana" w:cs="Arial"/>
          <w:lang w:val="es-ES"/>
        </w:rPr>
        <w:footnoteReference w:id="3"/>
      </w:r>
      <w:r w:rsidRPr="00C0100E">
        <w:rPr>
          <w:rFonts w:ascii="Verdana" w:eastAsia="Calibri" w:hAnsi="Verdana" w:cs="Arial"/>
          <w:lang w:val="es-ES"/>
        </w:rPr>
        <w:t xml:space="preserve">. La aplicación de este régimen especial de responsabilidad </w:t>
      </w:r>
      <w:r w:rsidRPr="00C0100E">
        <w:rPr>
          <w:rFonts w:ascii="Verdana" w:eastAsia="Calibri" w:hAnsi="Verdana" w:cs="Arial"/>
          <w:lang w:val="es-ES"/>
        </w:rPr>
        <w:lastRenderedPageBreak/>
        <w:t>supone que el órgano competente para adelantar procesos de selección y celebrar contratos, por medio de un acto administrativo, asigna determinadas funciones a los servidores autorizados previamente por la ley.</w:t>
      </w:r>
    </w:p>
    <w:p w14:paraId="60CFF51E" w14:textId="77777777" w:rsidR="00C0100E" w:rsidRPr="00C0100E" w:rsidRDefault="00C0100E" w:rsidP="00C0100E">
      <w:pPr>
        <w:spacing w:after="0" w:line="276" w:lineRule="auto"/>
        <w:jc w:val="both"/>
        <w:rPr>
          <w:rFonts w:ascii="Verdana" w:eastAsia="Calibri" w:hAnsi="Verdana" w:cs="Arial"/>
          <w:lang w:val="es-ES"/>
        </w:rPr>
      </w:pPr>
    </w:p>
    <w:p w14:paraId="24FB5971" w14:textId="77777777" w:rsidR="00C0100E" w:rsidRPr="00C0100E" w:rsidRDefault="00C0100E" w:rsidP="00C0100E">
      <w:pPr>
        <w:widowControl w:val="0"/>
        <w:numPr>
          <w:ilvl w:val="0"/>
          <w:numId w:val="1"/>
        </w:numPr>
        <w:autoSpaceDE w:val="0"/>
        <w:autoSpaceDN w:val="0"/>
        <w:spacing w:after="0" w:line="276" w:lineRule="auto"/>
        <w:contextualSpacing/>
        <w:jc w:val="both"/>
        <w:rPr>
          <w:rFonts w:ascii="Verdana" w:eastAsia="Calibri" w:hAnsi="Verdana" w:cs="Arial"/>
        </w:rPr>
      </w:pPr>
      <w:r w:rsidRPr="00C0100E">
        <w:rPr>
          <w:rFonts w:ascii="Verdana" w:eastAsia="Calibri" w:hAnsi="Verdana" w:cs="Times New Roman"/>
          <w:lang w:val="es-ES"/>
        </w:rPr>
        <w:t>En línea con lo anterior, el numeral 9, del artículo 25, de la Ley 80 de 1993, señaló que “En los procesos de contratación intervendrán el jefe y las unidades asesoras y ejecutoras de la entidad que se señalen en las correspondientes normas sobre su organización y funcionamiento” [Énfasis fuera de texto]. En este sentido, en principio, quien tiene la competencia y responsabilidad para tramitar, celebrar y liquidar un contrato, es el jefe o representante legal de la entidad, o quien este delegue. Bajo este precepto, dichos sujetos están facultados para crear unidades asesoras –como es el caso de los comités asesores de contratación– que, con el fin de promover el cumplimiento de los principios de transparencia y responsabilidad, asesoren y apoyen la gestión contractual de la entidad.</w:t>
      </w:r>
    </w:p>
    <w:p w14:paraId="59A2F9D9" w14:textId="77777777" w:rsidR="00C0100E" w:rsidRPr="00C0100E" w:rsidRDefault="00C0100E" w:rsidP="00C0100E">
      <w:pPr>
        <w:widowControl w:val="0"/>
        <w:autoSpaceDE w:val="0"/>
        <w:autoSpaceDN w:val="0"/>
        <w:spacing w:after="0" w:line="276" w:lineRule="auto"/>
        <w:ind w:left="720"/>
        <w:contextualSpacing/>
        <w:jc w:val="both"/>
        <w:rPr>
          <w:rFonts w:ascii="Verdana" w:eastAsia="Calibri" w:hAnsi="Verdana" w:cs="Arial"/>
        </w:rPr>
      </w:pPr>
    </w:p>
    <w:p w14:paraId="5C57E3B4" w14:textId="77777777" w:rsidR="00C0100E" w:rsidRPr="00C0100E" w:rsidRDefault="00C0100E" w:rsidP="00C0100E">
      <w:pPr>
        <w:numPr>
          <w:ilvl w:val="0"/>
          <w:numId w:val="1"/>
        </w:numPr>
        <w:spacing w:after="0" w:line="276" w:lineRule="auto"/>
        <w:contextualSpacing/>
        <w:jc w:val="both"/>
        <w:rPr>
          <w:rFonts w:ascii="Verdana" w:eastAsia="Calibri" w:hAnsi="Verdana" w:cs="Arial"/>
        </w:rPr>
      </w:pPr>
      <w:r w:rsidRPr="00C0100E">
        <w:rPr>
          <w:rFonts w:ascii="Verdana" w:eastAsia="Calibri" w:hAnsi="Verdana" w:cs="Arial"/>
        </w:rPr>
        <w:t>Con todo, es necesario precisar que son los jefes o representantes legales de las entidades públicas quiénes deben definir, en el marco de las funciones y competencias que les han sido conferidas por el ordenamiento jurídico, la necesidad de constituir unidades asesoras de contratación, las funciones que estas desempeñarán, la forma en la que estarán integradas, las calidades en las que actuarán los respectivos integrantes y el alcance que tendrán los conceptos que emitan sobre los procesos contractuales que pretenda adelantar la entidad. En ese sentido, el alcance de las funciones de estas unidades asesoras y/o comités necesariamente estará determinado por lo dispuesto en sus actos administrativos de creación o delegación de funciones.</w:t>
      </w:r>
    </w:p>
    <w:p w14:paraId="32C7637B" w14:textId="77777777" w:rsidR="00C0100E" w:rsidRPr="00C0100E" w:rsidRDefault="00C0100E" w:rsidP="00C0100E">
      <w:pPr>
        <w:widowControl w:val="0"/>
        <w:autoSpaceDE w:val="0"/>
        <w:autoSpaceDN w:val="0"/>
        <w:spacing w:after="0" w:line="276" w:lineRule="auto"/>
        <w:ind w:left="720"/>
        <w:contextualSpacing/>
        <w:jc w:val="both"/>
        <w:rPr>
          <w:rFonts w:ascii="Verdana" w:eastAsia="Calibri" w:hAnsi="Verdana" w:cs="Arial"/>
        </w:rPr>
      </w:pPr>
    </w:p>
    <w:p w14:paraId="26403F86" w14:textId="77777777" w:rsidR="00C0100E" w:rsidRPr="00C0100E" w:rsidRDefault="00C0100E" w:rsidP="00C0100E">
      <w:pPr>
        <w:numPr>
          <w:ilvl w:val="0"/>
          <w:numId w:val="1"/>
        </w:numPr>
        <w:spacing w:after="0" w:line="276" w:lineRule="auto"/>
        <w:contextualSpacing/>
        <w:jc w:val="both"/>
        <w:rPr>
          <w:rFonts w:ascii="Verdana" w:eastAsia="Calibri" w:hAnsi="Verdana" w:cs="Arial"/>
        </w:rPr>
      </w:pPr>
      <w:r w:rsidRPr="00C0100E">
        <w:rPr>
          <w:rFonts w:ascii="Verdana" w:eastAsia="Calibri" w:hAnsi="Verdana" w:cs="Times New Roman"/>
          <w:lang w:val="es-ES"/>
        </w:rPr>
        <w:t>Finalmente, debe destacarse que la Agencia Nacional de Contratación Pública –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09D1C95B" w14:textId="77777777" w:rsidR="00C0100E" w:rsidRPr="00C0100E" w:rsidRDefault="00C0100E" w:rsidP="00C0100E">
      <w:pPr>
        <w:widowControl w:val="0"/>
        <w:autoSpaceDE w:val="0"/>
        <w:autoSpaceDN w:val="0"/>
        <w:spacing w:after="0" w:line="276" w:lineRule="auto"/>
        <w:contextualSpacing/>
        <w:jc w:val="both"/>
        <w:rPr>
          <w:rFonts w:ascii="Verdana" w:eastAsia="Calibri" w:hAnsi="Verdana" w:cs="Arial"/>
        </w:rPr>
      </w:pPr>
    </w:p>
    <w:p w14:paraId="50265B16" w14:textId="77777777" w:rsidR="00C0100E" w:rsidRPr="00C0100E" w:rsidRDefault="00C0100E" w:rsidP="00C0100E">
      <w:pPr>
        <w:widowControl w:val="0"/>
        <w:autoSpaceDE w:val="0"/>
        <w:autoSpaceDN w:val="0"/>
        <w:spacing w:before="1" w:after="0" w:line="240" w:lineRule="auto"/>
        <w:outlineLvl w:val="0"/>
        <w:rPr>
          <w:rFonts w:ascii="Arial" w:eastAsia="Arial" w:hAnsi="Arial" w:cs="Arial"/>
          <w:b/>
          <w:bCs/>
          <w:lang w:val="es-ES"/>
        </w:rPr>
      </w:pPr>
      <w:r w:rsidRPr="00C0100E">
        <w:rPr>
          <w:rFonts w:ascii="Arial" w:eastAsia="Arial" w:hAnsi="Arial" w:cs="Arial"/>
          <w:b/>
          <w:bCs/>
          <w:lang w:val="es-ES"/>
        </w:rPr>
        <w:t>4.</w:t>
      </w:r>
      <w:r w:rsidRPr="00C0100E">
        <w:rPr>
          <w:rFonts w:ascii="Verdana" w:eastAsia="Arial" w:hAnsi="Verdana" w:cs="Arial"/>
          <w:b/>
          <w:bCs/>
          <w:lang w:val="es-ES"/>
        </w:rPr>
        <w:t>Referencias normativas, jurisprudenciales y otras fuentes:</w:t>
      </w:r>
    </w:p>
    <w:p w14:paraId="6A812937" w14:textId="77777777" w:rsidR="00C0100E" w:rsidRPr="00C0100E" w:rsidRDefault="00C0100E" w:rsidP="00C0100E">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0100E" w:rsidRPr="00C0100E" w14:paraId="677B1987" w14:textId="77777777" w:rsidTr="00C64DBA">
        <w:trPr>
          <w:trHeight w:val="870"/>
        </w:trPr>
        <w:tc>
          <w:tcPr>
            <w:tcW w:w="8647" w:type="dxa"/>
          </w:tcPr>
          <w:p w14:paraId="78171518" w14:textId="77777777" w:rsidR="00C0100E" w:rsidRPr="00C0100E" w:rsidRDefault="00C0100E" w:rsidP="00C0100E">
            <w:pPr>
              <w:widowControl w:val="0"/>
              <w:numPr>
                <w:ilvl w:val="0"/>
                <w:numId w:val="2"/>
              </w:numPr>
              <w:autoSpaceDE w:val="0"/>
              <w:autoSpaceDN w:val="0"/>
              <w:spacing w:after="120" w:line="276" w:lineRule="auto"/>
              <w:contextualSpacing/>
              <w:jc w:val="both"/>
              <w:rPr>
                <w:rFonts w:ascii="Verdana" w:eastAsia="Calibri" w:hAnsi="Verdana" w:cs="Arial"/>
              </w:rPr>
            </w:pPr>
            <w:r w:rsidRPr="00C0100E">
              <w:rPr>
                <w:rFonts w:ascii="Verdana" w:eastAsia="Calibri" w:hAnsi="Verdana" w:cs="Arial"/>
                <w:lang w:val="es-ES"/>
              </w:rPr>
              <w:t>Ley 80 de 1993. Artículo 11 y 12; Artículo 25, numeral 9</w:t>
            </w:r>
          </w:p>
          <w:p w14:paraId="28912C10" w14:textId="77777777" w:rsidR="00C0100E" w:rsidRPr="00C0100E" w:rsidRDefault="00C0100E" w:rsidP="00C0100E">
            <w:pPr>
              <w:widowControl w:val="0"/>
              <w:numPr>
                <w:ilvl w:val="0"/>
                <w:numId w:val="2"/>
              </w:numPr>
              <w:autoSpaceDE w:val="0"/>
              <w:autoSpaceDN w:val="0"/>
              <w:spacing w:after="120" w:line="276" w:lineRule="auto"/>
              <w:contextualSpacing/>
              <w:jc w:val="both"/>
              <w:rPr>
                <w:rFonts w:ascii="Verdana" w:eastAsia="Calibri" w:hAnsi="Verdana" w:cs="Arial"/>
              </w:rPr>
            </w:pPr>
            <w:r w:rsidRPr="00C0100E">
              <w:rPr>
                <w:rFonts w:ascii="Verdana" w:eastAsia="Calibri" w:hAnsi="Verdana" w:cs="Arial"/>
                <w:lang w:val="es-ES"/>
              </w:rPr>
              <w:t>Constitución Política. Artículo 209 y 211</w:t>
            </w:r>
          </w:p>
          <w:p w14:paraId="64541C7B" w14:textId="77777777" w:rsidR="00C0100E" w:rsidRPr="00C0100E" w:rsidRDefault="00C0100E" w:rsidP="00C0100E">
            <w:pPr>
              <w:widowControl w:val="0"/>
              <w:numPr>
                <w:ilvl w:val="0"/>
                <w:numId w:val="2"/>
              </w:numPr>
              <w:autoSpaceDE w:val="0"/>
              <w:autoSpaceDN w:val="0"/>
              <w:spacing w:after="120" w:line="276" w:lineRule="auto"/>
              <w:contextualSpacing/>
              <w:jc w:val="both"/>
              <w:rPr>
                <w:rFonts w:ascii="Verdana" w:eastAsia="Calibri" w:hAnsi="Verdana" w:cs="Arial"/>
              </w:rPr>
            </w:pPr>
            <w:r w:rsidRPr="00C0100E">
              <w:rPr>
                <w:rFonts w:ascii="Verdana" w:eastAsia="Calibri" w:hAnsi="Verdana" w:cs="Arial"/>
              </w:rPr>
              <w:t>Decreto Ley 2150 de 1995. Artículo 37</w:t>
            </w:r>
          </w:p>
          <w:p w14:paraId="09D57D25" w14:textId="77777777" w:rsidR="00C0100E" w:rsidRPr="00C0100E" w:rsidRDefault="00C0100E" w:rsidP="00C0100E">
            <w:pPr>
              <w:widowControl w:val="0"/>
              <w:numPr>
                <w:ilvl w:val="0"/>
                <w:numId w:val="2"/>
              </w:numPr>
              <w:autoSpaceDE w:val="0"/>
              <w:autoSpaceDN w:val="0"/>
              <w:spacing w:line="276" w:lineRule="auto"/>
              <w:contextualSpacing/>
              <w:jc w:val="both"/>
              <w:rPr>
                <w:rFonts w:ascii="Verdana" w:eastAsia="Calibri" w:hAnsi="Verdana" w:cs="Arial"/>
              </w:rPr>
            </w:pPr>
            <w:r w:rsidRPr="00C0100E">
              <w:rPr>
                <w:rFonts w:ascii="Verdana" w:eastAsia="Calibri" w:hAnsi="Verdana" w:cs="Arial"/>
                <w:lang w:val="es-ES"/>
              </w:rPr>
              <w:t>Ley 489 de 1998. Artículo 9</w:t>
            </w:r>
          </w:p>
          <w:p w14:paraId="5E2E9B7A" w14:textId="77777777" w:rsidR="00C0100E" w:rsidRPr="00C0100E" w:rsidRDefault="00C0100E" w:rsidP="00C0100E">
            <w:pPr>
              <w:widowControl w:val="0"/>
              <w:numPr>
                <w:ilvl w:val="0"/>
                <w:numId w:val="2"/>
              </w:numPr>
              <w:autoSpaceDE w:val="0"/>
              <w:autoSpaceDN w:val="0"/>
              <w:spacing w:line="276" w:lineRule="auto"/>
              <w:contextualSpacing/>
              <w:jc w:val="both"/>
              <w:rPr>
                <w:rFonts w:ascii="Verdana" w:eastAsia="Calibri" w:hAnsi="Verdana" w:cs="Arial"/>
              </w:rPr>
            </w:pPr>
            <w:r w:rsidRPr="00C0100E">
              <w:rPr>
                <w:rFonts w:ascii="Verdana" w:eastAsia="Calibri" w:hAnsi="Verdana" w:cs="Arial"/>
              </w:rPr>
              <w:t>Ley 1150 de 2007</w:t>
            </w:r>
          </w:p>
          <w:p w14:paraId="3D0F8983" w14:textId="77777777" w:rsidR="00C0100E" w:rsidRPr="00C0100E" w:rsidRDefault="00C0100E" w:rsidP="00C0100E">
            <w:pPr>
              <w:widowControl w:val="0"/>
              <w:numPr>
                <w:ilvl w:val="0"/>
                <w:numId w:val="2"/>
              </w:numPr>
              <w:autoSpaceDE w:val="0"/>
              <w:autoSpaceDN w:val="0"/>
              <w:spacing w:line="276" w:lineRule="auto"/>
              <w:contextualSpacing/>
              <w:jc w:val="both"/>
              <w:rPr>
                <w:rFonts w:ascii="Verdana" w:eastAsia="Calibri" w:hAnsi="Verdana" w:cs="Arial"/>
              </w:rPr>
            </w:pPr>
            <w:r w:rsidRPr="00C0100E">
              <w:rPr>
                <w:rFonts w:ascii="Verdana" w:eastAsia="Calibri" w:hAnsi="Verdana" w:cs="Arial"/>
              </w:rPr>
              <w:t>CORTE CONSTITUCIONAL. Sentencia C- 693 de 2008. M.P. Marco Gerardo Monroy Cabra</w:t>
            </w:r>
          </w:p>
          <w:p w14:paraId="181B398A" w14:textId="77777777" w:rsidR="00C0100E" w:rsidRPr="00C0100E" w:rsidRDefault="00C0100E" w:rsidP="00C0100E">
            <w:pPr>
              <w:widowControl w:val="0"/>
              <w:numPr>
                <w:ilvl w:val="0"/>
                <w:numId w:val="2"/>
              </w:numPr>
              <w:autoSpaceDE w:val="0"/>
              <w:autoSpaceDN w:val="0"/>
              <w:spacing w:line="276" w:lineRule="auto"/>
              <w:contextualSpacing/>
              <w:jc w:val="both"/>
              <w:rPr>
                <w:rFonts w:ascii="Verdana" w:eastAsia="Calibri" w:hAnsi="Verdana" w:cs="Arial"/>
              </w:rPr>
            </w:pPr>
            <w:r w:rsidRPr="00C0100E">
              <w:rPr>
                <w:rFonts w:ascii="Verdana" w:eastAsia="Calibri" w:hAnsi="Verdana" w:cs="Arial"/>
              </w:rPr>
              <w:t xml:space="preserve">  CORTE CONSTITUCIONAL. Sentencia C-382 de 2000. M.P. Antonio Barrera Carbonell.</w:t>
            </w:r>
          </w:p>
        </w:tc>
      </w:tr>
    </w:tbl>
    <w:p w14:paraId="788F4B4C" w14:textId="77777777" w:rsidR="00C0100E" w:rsidRPr="00C0100E" w:rsidRDefault="00C0100E" w:rsidP="00C0100E">
      <w:pPr>
        <w:widowControl w:val="0"/>
        <w:autoSpaceDE w:val="0"/>
        <w:autoSpaceDN w:val="0"/>
        <w:spacing w:after="0" w:line="276" w:lineRule="auto"/>
        <w:jc w:val="both"/>
        <w:rPr>
          <w:rFonts w:ascii="Verdana" w:eastAsia="Calibri" w:hAnsi="Verdana" w:cs="Arial"/>
        </w:rPr>
      </w:pPr>
    </w:p>
    <w:p w14:paraId="2C489B18" w14:textId="77777777" w:rsidR="00C0100E" w:rsidRPr="00C0100E" w:rsidRDefault="00C0100E" w:rsidP="00C0100E">
      <w:pPr>
        <w:widowControl w:val="0"/>
        <w:autoSpaceDE w:val="0"/>
        <w:autoSpaceDN w:val="0"/>
        <w:spacing w:before="1" w:after="0" w:line="240" w:lineRule="auto"/>
        <w:outlineLvl w:val="0"/>
        <w:rPr>
          <w:rFonts w:ascii="Verdana" w:eastAsia="Arial" w:hAnsi="Verdana" w:cs="Arial"/>
          <w:b/>
          <w:bCs/>
          <w:lang w:val="es-ES"/>
        </w:rPr>
      </w:pPr>
      <w:r w:rsidRPr="00C0100E">
        <w:rPr>
          <w:rFonts w:ascii="Verdana" w:eastAsia="Arial" w:hAnsi="Verdana" w:cs="Arial"/>
          <w:b/>
          <w:bCs/>
          <w:lang w:val="es-ES"/>
        </w:rPr>
        <w:t>5. Doctrina de la Agencia Nacional de Contratación Pública:</w:t>
      </w:r>
    </w:p>
    <w:p w14:paraId="7872C48D" w14:textId="77777777" w:rsidR="00C0100E" w:rsidRPr="00C0100E" w:rsidRDefault="00C0100E" w:rsidP="00C0100E">
      <w:pPr>
        <w:widowControl w:val="0"/>
        <w:autoSpaceDE w:val="0"/>
        <w:autoSpaceDN w:val="0"/>
        <w:spacing w:after="0" w:line="276" w:lineRule="auto"/>
        <w:jc w:val="both"/>
        <w:rPr>
          <w:rFonts w:ascii="Verdana" w:eastAsia="Calibri" w:hAnsi="Verdana" w:cs="Arial"/>
        </w:rPr>
      </w:pPr>
    </w:p>
    <w:p w14:paraId="65EB5772" w14:textId="77777777" w:rsidR="00C0100E" w:rsidRPr="00C0100E" w:rsidRDefault="00C0100E" w:rsidP="00C0100E">
      <w:pPr>
        <w:widowControl w:val="0"/>
        <w:autoSpaceDE w:val="0"/>
        <w:autoSpaceDN w:val="0"/>
        <w:spacing w:after="0" w:line="276" w:lineRule="auto"/>
        <w:jc w:val="both"/>
        <w:rPr>
          <w:rFonts w:ascii="Verdana" w:eastAsia="Calibri" w:hAnsi="Verdana" w:cs="Arial"/>
          <w:shd w:val="clear" w:color="auto" w:fill="FFFFFF"/>
          <w:lang w:val="es-ES"/>
        </w:rPr>
      </w:pPr>
      <w:r w:rsidRPr="00C0100E">
        <w:rPr>
          <w:rFonts w:ascii="Verdana" w:eastAsia="Calibri" w:hAnsi="Verdana" w:cs="Arial"/>
          <w:shd w:val="clear" w:color="auto" w:fill="FFFFFF"/>
          <w:lang w:val="es-ES"/>
        </w:rPr>
        <w:t xml:space="preserve">Sobre la delegación de funciones contractuales y las unidades asesoras de contratación, esta Subdirección se ha referido en los Conceptos con número de radicado: 4201912000006841 del 28 de octubre de 2019, 2201913000008176 del 31 de octubre de 2019, 2201913000009082 del 9 de diciembre de 2019, C-268 del 21 de abril de 2020, C-448 del 28 de julio de 2020, C-603 del 02 de noviembre de 2021, C-060 del 10 de marzo de 2022, C-063 del 17 de abril de 2023,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C0100E">
          <w:rPr>
            <w:rFonts w:ascii="Verdana" w:eastAsia="Calibri" w:hAnsi="Verdana" w:cs="Arial"/>
            <w:color w:val="0000FF"/>
            <w:u w:val="single"/>
            <w:shd w:val="clear" w:color="auto" w:fill="FFFFFF"/>
            <w:lang w:val="es-ES"/>
          </w:rPr>
          <w:t>https://relatoria.colombiacompra.gov.co/</w:t>
        </w:r>
      </w:hyperlink>
      <w:r w:rsidRPr="00C0100E">
        <w:rPr>
          <w:rFonts w:ascii="Verdana" w:eastAsia="Calibri" w:hAnsi="Verdana" w:cs="Arial"/>
          <w:shd w:val="clear" w:color="auto" w:fill="FFFFFF"/>
          <w:lang w:val="es-ES"/>
        </w:rPr>
        <w:t xml:space="preserve"> </w:t>
      </w:r>
    </w:p>
    <w:p w14:paraId="1086A4EE" w14:textId="77777777" w:rsidR="00C0100E" w:rsidRPr="00C0100E" w:rsidRDefault="00C0100E" w:rsidP="00C0100E">
      <w:pPr>
        <w:widowControl w:val="0"/>
        <w:autoSpaceDE w:val="0"/>
        <w:autoSpaceDN w:val="0"/>
        <w:spacing w:after="0" w:line="276" w:lineRule="auto"/>
        <w:jc w:val="both"/>
        <w:rPr>
          <w:rFonts w:ascii="Verdana" w:eastAsia="Calibri" w:hAnsi="Verdana" w:cs="Arial"/>
          <w:shd w:val="clear" w:color="auto" w:fill="FFFFFF"/>
          <w:lang w:val="es-ES"/>
        </w:rPr>
      </w:pPr>
    </w:p>
    <w:p w14:paraId="1872033F" w14:textId="77777777" w:rsidR="00C0100E" w:rsidRPr="00C0100E" w:rsidRDefault="00C0100E" w:rsidP="00C0100E">
      <w:pPr>
        <w:widowControl w:val="0"/>
        <w:autoSpaceDE w:val="0"/>
        <w:autoSpaceDN w:val="0"/>
        <w:spacing w:after="0" w:line="276" w:lineRule="auto"/>
        <w:jc w:val="both"/>
        <w:rPr>
          <w:rFonts w:ascii="Verdana" w:eastAsia="Calibri" w:hAnsi="Verdana" w:cs="Arial"/>
          <w:shd w:val="clear" w:color="auto" w:fill="FFFFFF"/>
          <w:lang w:val="es-ES"/>
        </w:rPr>
      </w:pPr>
      <w:r w:rsidRPr="00C0100E">
        <w:rPr>
          <w:rFonts w:ascii="Verdana" w:eastAsia="Calibri" w:hAnsi="Verdana" w:cs="Arial"/>
          <w:shd w:val="clear" w:color="auto" w:fill="FFFFFF"/>
          <w:lang w:val="es-ES"/>
        </w:rPr>
        <w:t xml:space="preserve">Le invitamos también a revisar la tercera edición del Boletín de Relatoría de 2024 en el cual podrás consultar en detalle el marco normativo de documentos tipo: </w:t>
      </w:r>
      <w:hyperlink r:id="rId13" w:history="1">
        <w:r w:rsidRPr="00C0100E">
          <w:rPr>
            <w:rFonts w:ascii="Verdana" w:eastAsia="Calibri" w:hAnsi="Verdana" w:cs="Arial"/>
            <w:color w:val="0000FF"/>
            <w:u w:val="single"/>
            <w:shd w:val="clear" w:color="auto" w:fill="FFFFFF"/>
            <w:lang w:val="es-ES"/>
          </w:rPr>
          <w:t>https://www.colombiacompra.gov.co/sites/cce_public/files/files_2020/boletin_de_realtoria_iii.pdf</w:t>
        </w:r>
      </w:hyperlink>
      <w:r w:rsidRPr="00C0100E">
        <w:rPr>
          <w:rFonts w:ascii="Verdana" w:eastAsia="Calibri" w:hAnsi="Verdana" w:cs="Arial"/>
          <w:shd w:val="clear" w:color="auto" w:fill="FFFFFF"/>
          <w:lang w:val="es-ES"/>
        </w:rPr>
        <w:t xml:space="preserve">. </w:t>
      </w:r>
    </w:p>
    <w:p w14:paraId="68F357FC" w14:textId="77777777" w:rsidR="00C0100E" w:rsidRPr="00C0100E" w:rsidRDefault="00C0100E" w:rsidP="00C0100E">
      <w:pPr>
        <w:widowControl w:val="0"/>
        <w:autoSpaceDE w:val="0"/>
        <w:autoSpaceDN w:val="0"/>
        <w:spacing w:after="0" w:line="276" w:lineRule="auto"/>
        <w:jc w:val="both"/>
        <w:rPr>
          <w:rFonts w:ascii="Verdana" w:eastAsia="Calibri" w:hAnsi="Verdana" w:cs="Arial"/>
          <w:shd w:val="clear" w:color="auto" w:fill="FFFFFF"/>
          <w:lang w:val="es-ES"/>
        </w:rPr>
      </w:pPr>
    </w:p>
    <w:p w14:paraId="5A833F0E" w14:textId="77777777" w:rsidR="00C0100E" w:rsidRPr="00C0100E" w:rsidRDefault="00C0100E" w:rsidP="00C0100E">
      <w:pPr>
        <w:widowControl w:val="0"/>
        <w:autoSpaceDE w:val="0"/>
        <w:autoSpaceDN w:val="0"/>
        <w:spacing w:after="0" w:line="276" w:lineRule="auto"/>
        <w:jc w:val="both"/>
        <w:rPr>
          <w:rFonts w:ascii="Verdana" w:eastAsia="Calibri" w:hAnsi="Verdana" w:cs="Arial"/>
          <w:shd w:val="clear" w:color="auto" w:fill="FFFFFF"/>
          <w:lang w:val="es-ES"/>
        </w:rPr>
      </w:pPr>
      <w:r w:rsidRPr="00C0100E">
        <w:rPr>
          <w:rFonts w:ascii="Verdana" w:eastAsia="Calibri" w:hAnsi="Verdana" w:cs="Arial"/>
          <w:shd w:val="clear" w:color="auto" w:fill="FFFFFF"/>
        </w:rPr>
        <w:t xml:space="preserve">De otra parte, le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w:t>
      </w:r>
      <w:r w:rsidRPr="00C0100E">
        <w:rPr>
          <w:rFonts w:ascii="Verdana" w:eastAsia="Calibri" w:hAnsi="Verdana" w:cs="Arial"/>
          <w:shd w:val="clear" w:color="auto" w:fill="FFFFFF"/>
        </w:rPr>
        <w:lastRenderedPageBreak/>
        <w:t>de 2024. Te invitamos a participar dejando tus observaciones en los siguientes enlaces: </w:t>
      </w:r>
      <w:hyperlink r:id="rId14" w:tgtFrame="_blank" w:tooltip="Dirección URL original: https://www.sucop.gov.co/entidades/colombiacompra/Normativa?IDNorma=17363. Haga clic o pulse si confía en este vínculo." w:history="1">
        <w:r w:rsidRPr="00C0100E">
          <w:rPr>
            <w:rFonts w:ascii="Verdana" w:eastAsia="Calibri" w:hAnsi="Verdana" w:cs="Arial"/>
            <w:color w:val="0000FF"/>
            <w:u w:val="single"/>
            <w:shd w:val="clear" w:color="auto" w:fill="FFFFFF"/>
          </w:rPr>
          <w:t>https://www.sucop.gov.co/entidades/colombiacompra/Normativa?IDNorma=17363</w:t>
        </w:r>
      </w:hyperlink>
      <w:r w:rsidRPr="00C0100E">
        <w:rPr>
          <w:rFonts w:ascii="Verdana" w:eastAsia="Calibri" w:hAnsi="Verdana" w:cs="Arial"/>
          <w:shd w:val="clear" w:color="auto" w:fill="FFFFFF"/>
        </w:rPr>
        <w:t> y </w:t>
      </w:r>
      <w:hyperlink r:id="rId15" w:tgtFrame="_blank" w:tooltip="Dirección URL original: https://www.colombiacompra.gov.co/content/convocatorias. Haga clic o pulse si confía en este vínculo." w:history="1">
        <w:r w:rsidRPr="00C0100E">
          <w:rPr>
            <w:rFonts w:ascii="Verdana" w:eastAsia="Calibri" w:hAnsi="Verdana" w:cs="Arial"/>
            <w:color w:val="0000FF"/>
            <w:u w:val="single"/>
            <w:shd w:val="clear" w:color="auto" w:fill="FFFFFF"/>
          </w:rPr>
          <w:t>https://www.colombiacompra.gov.co/content/convocatorias</w:t>
        </w:r>
      </w:hyperlink>
    </w:p>
    <w:p w14:paraId="7816D420" w14:textId="77777777" w:rsidR="00C0100E" w:rsidRPr="00C0100E" w:rsidRDefault="00C0100E" w:rsidP="00C0100E">
      <w:pPr>
        <w:widowControl w:val="0"/>
        <w:autoSpaceDE w:val="0"/>
        <w:autoSpaceDN w:val="0"/>
        <w:spacing w:after="0" w:line="276" w:lineRule="auto"/>
        <w:jc w:val="both"/>
        <w:rPr>
          <w:rFonts w:ascii="Verdana" w:eastAsia="Calibri" w:hAnsi="Verdana" w:cs="Arial"/>
          <w:shd w:val="clear" w:color="auto" w:fill="FFFFFF"/>
          <w:lang w:val="es-ES"/>
        </w:rPr>
      </w:pPr>
    </w:p>
    <w:p w14:paraId="1ED4B9E0" w14:textId="77777777" w:rsidR="00C0100E" w:rsidRPr="00C0100E" w:rsidRDefault="00C0100E" w:rsidP="00C0100E">
      <w:pPr>
        <w:spacing w:after="0" w:line="240" w:lineRule="auto"/>
        <w:jc w:val="both"/>
        <w:rPr>
          <w:rFonts w:ascii="Verdana" w:eastAsia="Calibri" w:hAnsi="Verdana" w:cs="Times New Roman"/>
        </w:rPr>
      </w:pPr>
      <w:r w:rsidRPr="00C0100E">
        <w:rPr>
          <w:rFonts w:ascii="Verdana" w:eastAsia="Calibri" w:hAnsi="Verdana" w:cs="Times New Roman"/>
        </w:rPr>
        <w:t xml:space="preserve">Por último, lo invitamos a seguirnos en las redes sociales en las cuales se difunde información institucional: </w:t>
      </w:r>
    </w:p>
    <w:p w14:paraId="61EB8FBA" w14:textId="77777777" w:rsidR="00C0100E" w:rsidRPr="00C0100E" w:rsidRDefault="00C0100E" w:rsidP="00C0100E">
      <w:pPr>
        <w:spacing w:after="0" w:line="240" w:lineRule="auto"/>
        <w:jc w:val="both"/>
        <w:rPr>
          <w:rFonts w:ascii="Verdana" w:eastAsia="Calibri" w:hAnsi="Verdana" w:cs="Times New Roman"/>
        </w:rPr>
      </w:pPr>
    </w:p>
    <w:p w14:paraId="24F5CC1B" w14:textId="77777777" w:rsidR="00C0100E" w:rsidRPr="00C0100E" w:rsidRDefault="00C0100E" w:rsidP="00C0100E">
      <w:pPr>
        <w:spacing w:after="0" w:line="240" w:lineRule="auto"/>
        <w:jc w:val="both"/>
        <w:rPr>
          <w:rFonts w:ascii="Verdana" w:eastAsia="Calibri" w:hAnsi="Verdana" w:cs="Times New Roman"/>
        </w:rPr>
      </w:pPr>
      <w:r w:rsidRPr="00C0100E">
        <w:rPr>
          <w:rFonts w:ascii="Verdana" w:eastAsia="Calibri" w:hAnsi="Verdana" w:cs="Times New Roman"/>
        </w:rPr>
        <w:t xml:space="preserve">Twitter: </w:t>
      </w:r>
      <w:r w:rsidRPr="00C0100E">
        <w:rPr>
          <w:rFonts w:ascii="Verdana" w:eastAsia="Calibri" w:hAnsi="Verdana" w:cs="Times New Roman"/>
          <w:color w:val="4472C4"/>
          <w:u w:val="single"/>
        </w:rPr>
        <w:t>@colombiacompra</w:t>
      </w:r>
      <w:r w:rsidRPr="00C0100E">
        <w:rPr>
          <w:rFonts w:ascii="Verdana" w:eastAsia="Calibri" w:hAnsi="Verdana" w:cs="Times New Roman"/>
          <w:color w:val="4472C4"/>
        </w:rPr>
        <w:t xml:space="preserve"> </w:t>
      </w:r>
    </w:p>
    <w:p w14:paraId="04A3F31E" w14:textId="77777777" w:rsidR="00C0100E" w:rsidRPr="00C0100E" w:rsidRDefault="00C0100E" w:rsidP="00C0100E">
      <w:pPr>
        <w:spacing w:after="0" w:line="240" w:lineRule="auto"/>
        <w:jc w:val="both"/>
        <w:rPr>
          <w:rFonts w:ascii="Verdana" w:eastAsia="Calibri" w:hAnsi="Verdana" w:cs="Times New Roman"/>
        </w:rPr>
      </w:pPr>
      <w:r w:rsidRPr="00C0100E">
        <w:rPr>
          <w:rFonts w:ascii="Verdana" w:eastAsia="Calibri" w:hAnsi="Verdana" w:cs="Times New Roman"/>
        </w:rPr>
        <w:t xml:space="preserve">Facebook: </w:t>
      </w:r>
      <w:proofErr w:type="spellStart"/>
      <w:r w:rsidRPr="00C0100E">
        <w:rPr>
          <w:rFonts w:ascii="Verdana" w:eastAsia="Calibri" w:hAnsi="Verdana" w:cs="Times New Roman"/>
          <w:color w:val="4472C4"/>
          <w:u w:val="single"/>
        </w:rPr>
        <w:t>ColombiaCompraEficiente</w:t>
      </w:r>
      <w:proofErr w:type="spellEnd"/>
    </w:p>
    <w:p w14:paraId="20B26811" w14:textId="77777777" w:rsidR="00C0100E" w:rsidRPr="00C0100E" w:rsidRDefault="00C0100E" w:rsidP="00C0100E">
      <w:pPr>
        <w:spacing w:after="0" w:line="240" w:lineRule="auto"/>
        <w:jc w:val="both"/>
        <w:rPr>
          <w:rFonts w:ascii="Verdana" w:eastAsia="Calibri" w:hAnsi="Verdana" w:cs="Times New Roman"/>
        </w:rPr>
      </w:pPr>
      <w:r w:rsidRPr="00C0100E">
        <w:rPr>
          <w:rFonts w:ascii="Verdana" w:eastAsia="Calibri" w:hAnsi="Verdana" w:cs="Times New Roman"/>
        </w:rPr>
        <w:t xml:space="preserve">LinkedIn: </w:t>
      </w:r>
      <w:r w:rsidRPr="00C0100E">
        <w:rPr>
          <w:rFonts w:ascii="Verdana" w:eastAsia="Calibri" w:hAnsi="Verdana" w:cs="Times New Roman"/>
          <w:color w:val="4472C4"/>
          <w:u w:val="single"/>
        </w:rPr>
        <w:t>Agencia Nacional de Contratación Pública - Colombia Compra Eficiente</w:t>
      </w:r>
      <w:r w:rsidRPr="00C0100E">
        <w:rPr>
          <w:rFonts w:ascii="Verdana" w:eastAsia="Calibri" w:hAnsi="Verdana" w:cs="Times New Roman"/>
          <w:color w:val="4472C4"/>
        </w:rPr>
        <w:t xml:space="preserve"> </w:t>
      </w:r>
      <w:r w:rsidRPr="00C0100E">
        <w:rPr>
          <w:rFonts w:ascii="Verdana" w:eastAsia="Calibri" w:hAnsi="Verdana" w:cs="Times New Roman"/>
        </w:rPr>
        <w:t xml:space="preserve">Instagram: </w:t>
      </w:r>
      <w:r w:rsidRPr="00C0100E">
        <w:rPr>
          <w:rFonts w:ascii="Verdana" w:eastAsia="Calibri" w:hAnsi="Verdana" w:cs="Times New Roman"/>
          <w:color w:val="4472C4"/>
          <w:u w:val="single"/>
        </w:rPr>
        <w:t>@colombiacompraeficiente_cce</w:t>
      </w:r>
    </w:p>
    <w:p w14:paraId="774F276B" w14:textId="77777777" w:rsidR="00C0100E" w:rsidRPr="00C0100E" w:rsidRDefault="00C0100E" w:rsidP="00C0100E">
      <w:pPr>
        <w:widowControl w:val="0"/>
        <w:autoSpaceDE w:val="0"/>
        <w:autoSpaceDN w:val="0"/>
        <w:spacing w:after="0" w:line="276" w:lineRule="auto"/>
        <w:jc w:val="both"/>
        <w:rPr>
          <w:rFonts w:ascii="Verdana" w:eastAsia="Calibri" w:hAnsi="Verdana" w:cs="Arial"/>
        </w:rPr>
      </w:pPr>
    </w:p>
    <w:p w14:paraId="32A82C82" w14:textId="77777777" w:rsidR="00C0100E" w:rsidRPr="00C0100E" w:rsidRDefault="00C0100E" w:rsidP="00C0100E">
      <w:pPr>
        <w:widowControl w:val="0"/>
        <w:autoSpaceDE w:val="0"/>
        <w:autoSpaceDN w:val="0"/>
        <w:spacing w:after="0" w:line="276" w:lineRule="auto"/>
        <w:jc w:val="both"/>
        <w:rPr>
          <w:rFonts w:ascii="Verdana" w:eastAsia="Calibri" w:hAnsi="Verdana" w:cs="Arial"/>
          <w:lang w:val="es-ES_tradnl"/>
        </w:rPr>
      </w:pPr>
      <w:r w:rsidRPr="00C0100E">
        <w:rPr>
          <w:rFonts w:ascii="Verdana" w:eastAsia="Calibri" w:hAnsi="Verdana" w:cs="Arial"/>
        </w:rPr>
        <w:t xml:space="preserve">Este concepto tiene el alcance previsto en el artículo 28 del Código de Procedimiento Administrativo y de lo Contencioso Administrativo </w:t>
      </w:r>
      <w:r w:rsidRPr="00C0100E">
        <w:rPr>
          <w:rFonts w:ascii="Verdana" w:eastAsia="Calibri" w:hAnsi="Verdana" w:cs="Arial"/>
          <w:lang w:val="es-ES_tradnl"/>
        </w:rPr>
        <w:t>y las expresiones aquí utilizadas con mayúscula inicial deben ser entendidas con el significado que les otorga el artículo 2.2.1.1.1.3.1. del Decreto 1082 de 2015.</w:t>
      </w:r>
    </w:p>
    <w:p w14:paraId="78C03BC8" w14:textId="77777777" w:rsidR="00C0100E" w:rsidRPr="00C0100E" w:rsidRDefault="00C0100E" w:rsidP="00C0100E">
      <w:pPr>
        <w:widowControl w:val="0"/>
        <w:autoSpaceDE w:val="0"/>
        <w:autoSpaceDN w:val="0"/>
        <w:spacing w:after="0" w:line="276" w:lineRule="auto"/>
        <w:jc w:val="both"/>
        <w:rPr>
          <w:rFonts w:ascii="Verdana" w:eastAsia="Calibri" w:hAnsi="Verdana" w:cs="Arial"/>
        </w:rPr>
      </w:pPr>
    </w:p>
    <w:p w14:paraId="01C26F95" w14:textId="77777777" w:rsidR="00C0100E" w:rsidRPr="00C0100E" w:rsidRDefault="00C0100E" w:rsidP="00C0100E">
      <w:pPr>
        <w:spacing w:after="0" w:line="240" w:lineRule="auto"/>
        <w:rPr>
          <w:rFonts w:ascii="Verdana" w:eastAsia="Calibri" w:hAnsi="Verdana" w:cs="Arial"/>
          <w:lang w:eastAsia="es-CO"/>
        </w:rPr>
      </w:pPr>
      <w:r w:rsidRPr="00C0100E">
        <w:rPr>
          <w:rFonts w:ascii="Verdana" w:eastAsia="Times New Roman" w:hAnsi="Verdana" w:cs="Arial"/>
          <w:lang w:eastAsia="es-CO"/>
        </w:rPr>
        <w:t>Atentamente,</w:t>
      </w:r>
      <w:r w:rsidRPr="00C0100E">
        <w:rPr>
          <w:rFonts w:ascii="Verdana" w:eastAsia="Calibri" w:hAnsi="Verdana" w:cs="Arial"/>
          <w:lang w:eastAsia="es-CO"/>
        </w:rPr>
        <w:t xml:space="preserve"> </w:t>
      </w:r>
    </w:p>
    <w:p w14:paraId="1B3F476D" w14:textId="38AED23C" w:rsidR="00C0100E" w:rsidRPr="00C0100E" w:rsidRDefault="00AF79FF" w:rsidP="00C0100E">
      <w:pPr>
        <w:spacing w:line="276" w:lineRule="auto"/>
        <w:jc w:val="center"/>
        <w:rPr>
          <w:rFonts w:ascii="Verdana" w:eastAsia="Calibri" w:hAnsi="Verdana" w:cs="Arial"/>
          <w:lang w:val="es-ES_tradnl" w:eastAsia="es-CO"/>
        </w:rPr>
      </w:pPr>
      <w:r w:rsidRPr="00AF79FF">
        <w:rPr>
          <w:rFonts w:ascii="Verdana" w:eastAsia="Calibri" w:hAnsi="Verdana" w:cs="Arial"/>
          <w:noProof/>
          <w:lang w:eastAsia="es-CO"/>
        </w:rPr>
        <w:drawing>
          <wp:inline distT="0" distB="0" distL="0" distR="0" wp14:anchorId="556F70D5" wp14:editId="3AF734BC">
            <wp:extent cx="3771900" cy="1400175"/>
            <wp:effectExtent l="0" t="0" r="0" b="9525"/>
            <wp:docPr id="65614408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AF79FF">
        <w:rPr>
          <w:rFonts w:ascii="Verdana" w:eastAsia="Calibri"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C0100E" w:rsidRPr="00C0100E" w14:paraId="22FB4237" w14:textId="77777777" w:rsidTr="00C64DBA">
        <w:trPr>
          <w:trHeight w:val="286"/>
        </w:trPr>
        <w:tc>
          <w:tcPr>
            <w:tcW w:w="901" w:type="dxa"/>
            <w:vAlign w:val="center"/>
            <w:hideMark/>
          </w:tcPr>
          <w:p w14:paraId="65A3DF17"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5AB25291"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Nasly Yeana Mosquera Rivas</w:t>
            </w:r>
          </w:p>
          <w:p w14:paraId="06165D05"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Analista T2–06 de la Subdirección de Gestión Contractual</w:t>
            </w:r>
          </w:p>
        </w:tc>
      </w:tr>
      <w:tr w:rsidR="00C0100E" w:rsidRPr="00C0100E" w14:paraId="07352B15" w14:textId="77777777" w:rsidTr="00C64DBA">
        <w:trPr>
          <w:trHeight w:val="299"/>
        </w:trPr>
        <w:tc>
          <w:tcPr>
            <w:tcW w:w="901" w:type="dxa"/>
            <w:vAlign w:val="center"/>
          </w:tcPr>
          <w:p w14:paraId="1C27F0B4"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4349F020"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 xml:space="preserve">Adriana </w:t>
            </w:r>
            <w:proofErr w:type="spellStart"/>
            <w:r w:rsidRPr="00C0100E">
              <w:rPr>
                <w:rFonts w:ascii="Verdana" w:eastAsia="Calibri" w:hAnsi="Verdana" w:cs="Arial"/>
                <w:sz w:val="14"/>
                <w:szCs w:val="14"/>
                <w:lang w:eastAsia="es-ES"/>
              </w:rPr>
              <w:t>Katerine</w:t>
            </w:r>
            <w:proofErr w:type="spellEnd"/>
            <w:r w:rsidRPr="00C0100E">
              <w:rPr>
                <w:rFonts w:ascii="Verdana" w:eastAsia="Calibri" w:hAnsi="Verdana" w:cs="Arial"/>
                <w:sz w:val="14"/>
                <w:szCs w:val="14"/>
                <w:lang w:eastAsia="es-ES"/>
              </w:rPr>
              <w:t xml:space="preserve"> López Rodríguez </w:t>
            </w:r>
          </w:p>
          <w:p w14:paraId="068DC116"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Contratista de la Subdirección de Gestión Contractual</w:t>
            </w:r>
          </w:p>
        </w:tc>
      </w:tr>
      <w:tr w:rsidR="00C0100E" w:rsidRPr="00C0100E" w14:paraId="78A8E19E" w14:textId="77777777" w:rsidTr="00C64DBA">
        <w:trPr>
          <w:trHeight w:val="272"/>
        </w:trPr>
        <w:tc>
          <w:tcPr>
            <w:tcW w:w="901" w:type="dxa"/>
            <w:vAlign w:val="center"/>
            <w:hideMark/>
          </w:tcPr>
          <w:p w14:paraId="1DC2800D"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49B727C6"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Carolina Quintero Gacharná</w:t>
            </w:r>
          </w:p>
          <w:p w14:paraId="127DA17D" w14:textId="77777777" w:rsidR="00C0100E" w:rsidRPr="00C0100E" w:rsidRDefault="00C0100E" w:rsidP="00C0100E">
            <w:pPr>
              <w:rPr>
                <w:rFonts w:ascii="Verdana" w:eastAsia="Calibri" w:hAnsi="Verdana" w:cs="Arial"/>
                <w:sz w:val="14"/>
                <w:szCs w:val="14"/>
                <w:lang w:eastAsia="es-ES"/>
              </w:rPr>
            </w:pPr>
            <w:r w:rsidRPr="00C0100E">
              <w:rPr>
                <w:rFonts w:ascii="Verdana" w:eastAsia="Calibri" w:hAnsi="Verdana" w:cs="Arial"/>
                <w:sz w:val="14"/>
                <w:szCs w:val="14"/>
                <w:lang w:eastAsia="es-ES"/>
              </w:rPr>
              <w:t>Subdirectora de Gestión Contractual ANCP – CCE</w:t>
            </w:r>
          </w:p>
        </w:tc>
      </w:tr>
    </w:tbl>
    <w:p w14:paraId="01E466DC" w14:textId="77777777" w:rsidR="00C0100E" w:rsidRPr="00C0100E" w:rsidRDefault="00C0100E" w:rsidP="00C0100E">
      <w:pPr>
        <w:spacing w:after="0" w:line="240" w:lineRule="auto"/>
        <w:rPr>
          <w:rFonts w:ascii="Verdana" w:eastAsia="Times New Roman" w:hAnsi="Verdana" w:cs="Arial"/>
          <w:sz w:val="24"/>
          <w:szCs w:val="24"/>
          <w:lang w:eastAsia="es-ES"/>
        </w:rPr>
      </w:pPr>
    </w:p>
    <w:p w14:paraId="324AAE29" w14:textId="77777777" w:rsidR="00C0100E" w:rsidRPr="00C0100E" w:rsidRDefault="00C0100E" w:rsidP="00C0100E">
      <w:pPr>
        <w:rPr>
          <w:rFonts w:ascii="Calibri" w:eastAsia="Calibri" w:hAnsi="Calibri" w:cs="Times New Roman"/>
        </w:rPr>
      </w:pPr>
    </w:p>
    <w:p w14:paraId="76082320" w14:textId="77777777" w:rsidR="00C0100E" w:rsidRPr="00C0100E" w:rsidRDefault="00C0100E" w:rsidP="00C0100E">
      <w:pPr>
        <w:rPr>
          <w:rFonts w:ascii="Calibri" w:eastAsia="Calibri" w:hAnsi="Calibri" w:cs="Times New Roman"/>
        </w:rPr>
      </w:pPr>
    </w:p>
    <w:p w14:paraId="328E8713" w14:textId="77777777" w:rsidR="00C0100E" w:rsidRPr="003C30D6" w:rsidRDefault="00C0100E" w:rsidP="00C0100E"/>
    <w:p w14:paraId="20E0A1AF" w14:textId="77777777" w:rsidR="00C0100E" w:rsidRPr="003C30D6" w:rsidRDefault="00C0100E" w:rsidP="00C0100E"/>
    <w:p w14:paraId="20337C48" w14:textId="77777777" w:rsidR="008E5C2E" w:rsidRDefault="008E5C2E"/>
    <w:sectPr w:rsidR="008E5C2E" w:rsidSect="00C0100E">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B14AF" w14:textId="77777777" w:rsidR="00C0100E" w:rsidRDefault="00C0100E" w:rsidP="00C0100E">
      <w:pPr>
        <w:spacing w:after="0" w:line="240" w:lineRule="auto"/>
      </w:pPr>
      <w:r>
        <w:separator/>
      </w:r>
    </w:p>
  </w:endnote>
  <w:endnote w:type="continuationSeparator" w:id="0">
    <w:p w14:paraId="3B753D77" w14:textId="77777777" w:rsidR="00C0100E" w:rsidRDefault="00C0100E" w:rsidP="00C0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CE73" w14:textId="77777777" w:rsidR="00AF79FF" w:rsidRDefault="00AF79FF">
    <w:pPr>
      <w:pStyle w:val="Piedepgina"/>
    </w:pPr>
  </w:p>
  <w:p w14:paraId="0C6AFD4E" w14:textId="77777777" w:rsidR="00AF79FF" w:rsidRPr="00174B77" w:rsidRDefault="00AF79FF"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F843F8C" w14:textId="77777777" w:rsidR="00AF79FF" w:rsidRDefault="00AF79FF"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F86D021" w14:textId="77777777" w:rsidR="00AF79FF" w:rsidRPr="00E41027" w:rsidRDefault="00AF79FF" w:rsidP="00D520D8">
    <w:pPr>
      <w:spacing w:after="0"/>
      <w:jc w:val="both"/>
      <w:rPr>
        <w:rFonts w:ascii="Verdana" w:hAnsi="Verdana"/>
        <w:sz w:val="18"/>
        <w:szCs w:val="18"/>
      </w:rPr>
    </w:pPr>
    <w:r w:rsidRPr="00E41027">
      <w:rPr>
        <w:rFonts w:ascii="Verdana" w:hAnsi="Verdana"/>
        <w:sz w:val="18"/>
        <w:szCs w:val="18"/>
      </w:rPr>
      <w:t>Mesa de servicio: (+57) 601 7456788</w:t>
    </w:r>
  </w:p>
  <w:p w14:paraId="41EB359D" w14:textId="77777777" w:rsidR="00AF79FF" w:rsidRDefault="00AF79FF"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ABC62" w14:textId="77777777" w:rsidR="00C0100E" w:rsidRDefault="00C0100E" w:rsidP="00C0100E">
      <w:pPr>
        <w:spacing w:after="0" w:line="240" w:lineRule="auto"/>
      </w:pPr>
      <w:r>
        <w:separator/>
      </w:r>
    </w:p>
  </w:footnote>
  <w:footnote w:type="continuationSeparator" w:id="0">
    <w:p w14:paraId="05E6B221" w14:textId="77777777" w:rsidR="00C0100E" w:rsidRDefault="00C0100E" w:rsidP="00C0100E">
      <w:pPr>
        <w:spacing w:after="0" w:line="240" w:lineRule="auto"/>
      </w:pPr>
      <w:r>
        <w:continuationSeparator/>
      </w:r>
    </w:p>
  </w:footnote>
  <w:footnote w:id="1">
    <w:p w14:paraId="0BE63FCD" w14:textId="77777777" w:rsidR="00C0100E" w:rsidRPr="003306EC" w:rsidRDefault="00C0100E" w:rsidP="00C0100E">
      <w:pPr>
        <w:pStyle w:val="Textonotapie"/>
        <w:ind w:firstLine="709"/>
        <w:jc w:val="both"/>
        <w:rPr>
          <w:rFonts w:ascii="Verdana" w:hAnsi="Verdana" w:cs="Arial"/>
          <w:sz w:val="8"/>
          <w:szCs w:val="8"/>
        </w:rPr>
      </w:pPr>
    </w:p>
    <w:p w14:paraId="1B2A4E80" w14:textId="77777777" w:rsidR="00C0100E" w:rsidRPr="003306EC" w:rsidRDefault="00C0100E" w:rsidP="00C0100E">
      <w:pPr>
        <w:pStyle w:val="Textonotapie"/>
        <w:ind w:firstLine="709"/>
        <w:jc w:val="both"/>
        <w:rPr>
          <w:rFonts w:ascii="Verdana" w:eastAsia="Calibri" w:hAnsi="Verdana" w:cs="Arial"/>
          <w:sz w:val="8"/>
          <w:szCs w:val="8"/>
          <w:lang w:val="es-ES_tradnl"/>
        </w:rPr>
      </w:pPr>
      <w:r w:rsidRPr="003306EC">
        <w:rPr>
          <w:rStyle w:val="Refdenotaalpie"/>
          <w:rFonts w:ascii="Verdana" w:hAnsi="Verdana" w:cs="Arial"/>
          <w:sz w:val="8"/>
          <w:szCs w:val="8"/>
        </w:rPr>
        <w:footnoteRef/>
      </w:r>
      <w:r w:rsidRPr="003306EC">
        <w:rPr>
          <w:rFonts w:ascii="Verdana" w:hAnsi="Verdana" w:cs="Arial"/>
          <w:sz w:val="8"/>
          <w:szCs w:val="8"/>
        </w:rPr>
        <w:t xml:space="preserve"> </w:t>
      </w:r>
      <w:r w:rsidRPr="003306EC">
        <w:rPr>
          <w:rFonts w:ascii="Verdana" w:eastAsia="Calibri" w:hAnsi="Verdana" w:cs="Arial"/>
          <w:sz w:val="8"/>
          <w:szCs w:val="8"/>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411252BA" w14:textId="77777777" w:rsidR="00C0100E" w:rsidRPr="003306EC" w:rsidRDefault="00C0100E" w:rsidP="00C0100E">
      <w:pPr>
        <w:pStyle w:val="Textonotapie"/>
        <w:ind w:firstLine="709"/>
        <w:jc w:val="both"/>
        <w:rPr>
          <w:rFonts w:ascii="Verdana" w:eastAsia="Calibri" w:hAnsi="Verdana" w:cs="Arial"/>
          <w:sz w:val="8"/>
          <w:szCs w:val="8"/>
          <w:lang w:val="es-ES_tradnl"/>
        </w:rPr>
      </w:pPr>
    </w:p>
    <w:p w14:paraId="76FC7552" w14:textId="77777777" w:rsidR="00C0100E" w:rsidRPr="003306EC" w:rsidRDefault="00C0100E" w:rsidP="00C0100E">
      <w:pPr>
        <w:pStyle w:val="Textonotapie"/>
        <w:ind w:firstLine="709"/>
        <w:jc w:val="both"/>
        <w:rPr>
          <w:rFonts w:ascii="Verdana" w:eastAsia="Calibri" w:hAnsi="Verdana" w:cs="Arial"/>
          <w:sz w:val="8"/>
          <w:szCs w:val="8"/>
          <w:lang w:val="es-ES_tradnl"/>
        </w:rPr>
      </w:pPr>
      <w:r w:rsidRPr="003306EC">
        <w:rPr>
          <w:rFonts w:ascii="Verdana" w:eastAsia="Calibri" w:hAnsi="Verdana" w:cs="Arial"/>
          <w:sz w:val="8"/>
          <w:szCs w:val="8"/>
          <w:lang w:val="es-ES_tradnl"/>
        </w:rPr>
        <w:t>La delegación exime de responsabilidad al delegante, la cual corresponderá exclusivamente al delegatario, cuyos actos o resoluciones podrá siempre reformar o revocar aquel, reasumiendo la responsabilidad consiguiente”.</w:t>
      </w:r>
    </w:p>
    <w:p w14:paraId="4E2DBD21" w14:textId="77777777" w:rsidR="00C0100E" w:rsidRPr="003306EC" w:rsidRDefault="00C0100E" w:rsidP="00C0100E">
      <w:pPr>
        <w:pStyle w:val="Textonotapie"/>
        <w:ind w:firstLine="709"/>
        <w:jc w:val="both"/>
        <w:rPr>
          <w:rFonts w:ascii="Verdana" w:eastAsia="Calibri" w:hAnsi="Verdana" w:cs="Arial"/>
          <w:sz w:val="8"/>
          <w:szCs w:val="8"/>
          <w:lang w:val="es-ES_tradnl"/>
        </w:rPr>
      </w:pPr>
    </w:p>
  </w:footnote>
  <w:footnote w:id="2">
    <w:p w14:paraId="4BBD7C05" w14:textId="77777777" w:rsidR="00C0100E" w:rsidRPr="003306EC" w:rsidRDefault="00C0100E" w:rsidP="00C0100E">
      <w:pPr>
        <w:pStyle w:val="Textonotapie"/>
        <w:ind w:firstLine="709"/>
        <w:jc w:val="both"/>
        <w:rPr>
          <w:rFonts w:ascii="Verdana" w:eastAsia="Calibri" w:hAnsi="Verdana" w:cs="Arial"/>
          <w:sz w:val="8"/>
          <w:szCs w:val="8"/>
          <w:lang w:val="es-ES_tradnl"/>
        </w:rPr>
      </w:pPr>
      <w:r w:rsidRPr="003306EC">
        <w:rPr>
          <w:rStyle w:val="Refdenotaalpie"/>
          <w:rFonts w:ascii="Verdana" w:hAnsi="Verdana" w:cs="Arial"/>
          <w:sz w:val="8"/>
          <w:szCs w:val="8"/>
        </w:rPr>
        <w:footnoteRef/>
      </w:r>
      <w:r w:rsidRPr="003306EC">
        <w:rPr>
          <w:rFonts w:ascii="Verdana" w:hAnsi="Verdana" w:cs="Arial"/>
          <w:sz w:val="8"/>
          <w:szCs w:val="8"/>
        </w:rPr>
        <w:t xml:space="preserve"> </w:t>
      </w:r>
      <w:r w:rsidRPr="003306EC">
        <w:rPr>
          <w:rFonts w:ascii="Verdana" w:eastAsia="Calibri" w:hAnsi="Verdana" w:cs="Arial"/>
          <w:sz w:val="8"/>
          <w:szCs w:val="8"/>
          <w:lang w:val="es-ES_tradnl"/>
        </w:rPr>
        <w:t xml:space="preserve">Cfr. CORTE CONSTITUCIONAL. Sentencia C-372 de 2002. M.P. Jaime Córdoba Triviño. </w:t>
      </w:r>
    </w:p>
    <w:p w14:paraId="3F4BAE46" w14:textId="77777777" w:rsidR="00C0100E" w:rsidRPr="003306EC" w:rsidRDefault="00C0100E" w:rsidP="00C0100E">
      <w:pPr>
        <w:pStyle w:val="Textonotapie"/>
        <w:ind w:firstLine="709"/>
        <w:jc w:val="both"/>
        <w:rPr>
          <w:rFonts w:ascii="Verdana" w:eastAsia="Calibri" w:hAnsi="Verdana" w:cs="Arial"/>
          <w:sz w:val="8"/>
          <w:szCs w:val="8"/>
          <w:lang w:val="es-ES_tradnl"/>
        </w:rPr>
      </w:pPr>
    </w:p>
  </w:footnote>
  <w:footnote w:id="3">
    <w:p w14:paraId="556980D4" w14:textId="77777777" w:rsidR="00C0100E" w:rsidRPr="003306EC" w:rsidRDefault="00C0100E" w:rsidP="00C0100E">
      <w:pPr>
        <w:pStyle w:val="Textonotapie"/>
        <w:ind w:firstLine="709"/>
        <w:jc w:val="both"/>
        <w:rPr>
          <w:rFonts w:ascii="Verdana" w:hAnsi="Verdana" w:cs="Arial"/>
          <w:sz w:val="8"/>
          <w:szCs w:val="8"/>
        </w:rPr>
      </w:pPr>
    </w:p>
    <w:p w14:paraId="4B803735" w14:textId="77777777" w:rsidR="00C0100E" w:rsidRPr="003306EC" w:rsidRDefault="00C0100E" w:rsidP="00C0100E">
      <w:pPr>
        <w:pStyle w:val="Textonotapie"/>
        <w:ind w:firstLine="709"/>
        <w:jc w:val="both"/>
        <w:rPr>
          <w:rFonts w:ascii="Verdana" w:eastAsia="Calibri" w:hAnsi="Verdana" w:cs="Arial"/>
          <w:sz w:val="8"/>
          <w:szCs w:val="8"/>
          <w:lang w:val="es-ES_tradnl"/>
        </w:rPr>
      </w:pPr>
      <w:r w:rsidRPr="003306EC">
        <w:rPr>
          <w:rStyle w:val="Refdenotaalpie"/>
          <w:rFonts w:ascii="Verdana" w:hAnsi="Verdana" w:cs="Arial"/>
          <w:sz w:val="8"/>
          <w:szCs w:val="8"/>
        </w:rPr>
        <w:footnoteRef/>
      </w:r>
      <w:r w:rsidRPr="003306EC">
        <w:rPr>
          <w:rFonts w:ascii="Verdana" w:hAnsi="Verdana" w:cs="Arial"/>
          <w:sz w:val="8"/>
          <w:szCs w:val="8"/>
        </w:rPr>
        <w:t xml:space="preserve"> </w:t>
      </w:r>
      <w:r w:rsidRPr="003306EC">
        <w:rPr>
          <w:rFonts w:ascii="Verdana" w:eastAsia="Calibri" w:hAnsi="Verdana" w:cs="Arial"/>
          <w:sz w:val="8"/>
          <w:szCs w:val="8"/>
          <w:lang w:val="es-ES_tradnl"/>
        </w:rPr>
        <w:t>CORTE CONSTITUCIONAL. Sentencia C-</w:t>
      </w:r>
      <w:r w:rsidRPr="003306EC">
        <w:rPr>
          <w:rFonts w:ascii="Verdana" w:hAnsi="Verdana" w:cs="Arial"/>
          <w:sz w:val="8"/>
          <w:szCs w:val="8"/>
        </w:rPr>
        <w:t xml:space="preserve"> </w:t>
      </w:r>
      <w:r w:rsidRPr="003306EC">
        <w:rPr>
          <w:rFonts w:ascii="Verdana" w:eastAsia="Calibri" w:hAnsi="Verdana" w:cs="Arial"/>
          <w:sz w:val="8"/>
          <w:szCs w:val="8"/>
          <w:lang w:val="es-ES_tradnl"/>
        </w:rPr>
        <w:t>693 de 2008. M.P. Marco Gerardo Monroy Cabra</w:t>
      </w:r>
    </w:p>
    <w:p w14:paraId="10D2BF34" w14:textId="77777777" w:rsidR="00C0100E" w:rsidRPr="003306EC" w:rsidRDefault="00C0100E" w:rsidP="00C0100E">
      <w:pPr>
        <w:pStyle w:val="Textonotapie"/>
        <w:ind w:firstLine="709"/>
        <w:rPr>
          <w:rFonts w:ascii="Verdana" w:hAnsi="Verdana" w:cs="Arial"/>
          <w:sz w:val="8"/>
          <w:szCs w:val="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A8909" w14:textId="77777777" w:rsidR="00AF79FF" w:rsidRDefault="00AF79FF">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1503617" wp14:editId="0D37DF69">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3826476" wp14:editId="2C54C7E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D68254A" w14:textId="77777777" w:rsidR="00AF79FF" w:rsidRDefault="00AF79FF">
    <w:pPr>
      <w:pStyle w:val="Encabezado"/>
    </w:pPr>
  </w:p>
  <w:p w14:paraId="4F6B6E02" w14:textId="77777777" w:rsidR="00AF79FF" w:rsidRDefault="00AF79FF" w:rsidP="004A305D">
    <w:pPr>
      <w:spacing w:after="0"/>
      <w:rPr>
        <w:rFonts w:ascii="Verdana" w:hAnsi="Verdana"/>
        <w:b/>
        <w:bCs/>
      </w:rPr>
    </w:pPr>
  </w:p>
  <w:p w14:paraId="676832BE" w14:textId="77777777" w:rsidR="00AF79FF" w:rsidRPr="004A305D" w:rsidRDefault="00AF79FF" w:rsidP="00B01B1A">
    <w:pPr>
      <w:spacing w:after="0" w:line="120" w:lineRule="auto"/>
      <w:rPr>
        <w:rFonts w:ascii="Century Gothic" w:eastAsia="Geo" w:hAnsi="Century Gothic" w:cs="Geo"/>
        <w:sz w:val="16"/>
        <w:szCs w:val="16"/>
        <w:lang w:eastAsia="es-CO"/>
      </w:rPr>
    </w:pPr>
  </w:p>
  <w:p w14:paraId="236F9212" w14:textId="77777777" w:rsidR="00AF79FF" w:rsidRDefault="00AF79FF"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02A9"/>
    <w:multiLevelType w:val="hybridMultilevel"/>
    <w:tmpl w:val="21B2F864"/>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405AE"/>
    <w:multiLevelType w:val="hybridMultilevel"/>
    <w:tmpl w:val="18864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0E"/>
    <w:rsid w:val="00430076"/>
    <w:rsid w:val="005727E1"/>
    <w:rsid w:val="005818E2"/>
    <w:rsid w:val="00745C98"/>
    <w:rsid w:val="008D7CFD"/>
    <w:rsid w:val="008E5C2E"/>
    <w:rsid w:val="00950D3B"/>
    <w:rsid w:val="00AA5B68"/>
    <w:rsid w:val="00AF79FF"/>
    <w:rsid w:val="00BE1A4B"/>
    <w:rsid w:val="00C0100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7D09"/>
  <w15:chartTrackingRefBased/>
  <w15:docId w15:val="{8990EC4A-F93A-429C-B180-2F0D2461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0E"/>
    <w:rPr>
      <w:kern w:val="0"/>
      <w14:ligatures w14:val="none"/>
    </w:rPr>
  </w:style>
  <w:style w:type="paragraph" w:styleId="Ttulo1">
    <w:name w:val="heading 1"/>
    <w:basedOn w:val="Normal"/>
    <w:next w:val="Normal"/>
    <w:link w:val="Ttulo1Car"/>
    <w:uiPriority w:val="9"/>
    <w:qFormat/>
    <w:rsid w:val="00C01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1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10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10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10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10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10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10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10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0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10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10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10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10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10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10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10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100E"/>
    <w:rPr>
      <w:rFonts w:eastAsiaTheme="majorEastAsia" w:cstheme="majorBidi"/>
      <w:color w:val="272727" w:themeColor="text1" w:themeTint="D8"/>
    </w:rPr>
  </w:style>
  <w:style w:type="paragraph" w:styleId="Ttulo">
    <w:name w:val="Title"/>
    <w:basedOn w:val="Normal"/>
    <w:next w:val="Normal"/>
    <w:link w:val="TtuloCar"/>
    <w:uiPriority w:val="10"/>
    <w:qFormat/>
    <w:rsid w:val="00C01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10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10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10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100E"/>
    <w:pPr>
      <w:spacing w:before="160"/>
      <w:jc w:val="center"/>
    </w:pPr>
    <w:rPr>
      <w:i/>
      <w:iCs/>
      <w:color w:val="404040" w:themeColor="text1" w:themeTint="BF"/>
    </w:rPr>
  </w:style>
  <w:style w:type="character" w:customStyle="1" w:styleId="CitaCar">
    <w:name w:val="Cita Car"/>
    <w:basedOn w:val="Fuentedeprrafopredeter"/>
    <w:link w:val="Cita"/>
    <w:uiPriority w:val="29"/>
    <w:rsid w:val="00C0100E"/>
    <w:rPr>
      <w:i/>
      <w:iCs/>
      <w:color w:val="404040" w:themeColor="text1" w:themeTint="BF"/>
    </w:rPr>
  </w:style>
  <w:style w:type="paragraph" w:styleId="Prrafodelista">
    <w:name w:val="List Paragraph"/>
    <w:basedOn w:val="Normal"/>
    <w:uiPriority w:val="34"/>
    <w:qFormat/>
    <w:rsid w:val="00C0100E"/>
    <w:pPr>
      <w:ind w:left="720"/>
      <w:contextualSpacing/>
    </w:pPr>
  </w:style>
  <w:style w:type="character" w:styleId="nfasisintenso">
    <w:name w:val="Intense Emphasis"/>
    <w:basedOn w:val="Fuentedeprrafopredeter"/>
    <w:uiPriority w:val="21"/>
    <w:qFormat/>
    <w:rsid w:val="00C0100E"/>
    <w:rPr>
      <w:i/>
      <w:iCs/>
      <w:color w:val="0F4761" w:themeColor="accent1" w:themeShade="BF"/>
    </w:rPr>
  </w:style>
  <w:style w:type="paragraph" w:styleId="Citadestacada">
    <w:name w:val="Intense Quote"/>
    <w:basedOn w:val="Normal"/>
    <w:next w:val="Normal"/>
    <w:link w:val="CitadestacadaCar"/>
    <w:uiPriority w:val="30"/>
    <w:qFormat/>
    <w:rsid w:val="00C01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100E"/>
    <w:rPr>
      <w:i/>
      <w:iCs/>
      <w:color w:val="0F4761" w:themeColor="accent1" w:themeShade="BF"/>
    </w:rPr>
  </w:style>
  <w:style w:type="character" w:styleId="Referenciaintensa">
    <w:name w:val="Intense Reference"/>
    <w:basedOn w:val="Fuentedeprrafopredeter"/>
    <w:uiPriority w:val="32"/>
    <w:qFormat/>
    <w:rsid w:val="00C0100E"/>
    <w:rPr>
      <w:b/>
      <w:bCs/>
      <w:smallCaps/>
      <w:color w:val="0F4761" w:themeColor="accent1" w:themeShade="BF"/>
      <w:spacing w:val="5"/>
    </w:rPr>
  </w:style>
  <w:style w:type="paragraph" w:styleId="Encabezado">
    <w:name w:val="header"/>
    <w:basedOn w:val="Normal"/>
    <w:link w:val="EncabezadoCar"/>
    <w:uiPriority w:val="99"/>
    <w:unhideWhenUsed/>
    <w:rsid w:val="00C010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00E"/>
    <w:rPr>
      <w:kern w:val="0"/>
      <w14:ligatures w14:val="none"/>
    </w:rPr>
  </w:style>
  <w:style w:type="paragraph" w:styleId="Piedepgina">
    <w:name w:val="footer"/>
    <w:basedOn w:val="Normal"/>
    <w:link w:val="PiedepginaCar"/>
    <w:uiPriority w:val="99"/>
    <w:unhideWhenUsed/>
    <w:rsid w:val="00C010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00E"/>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100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0100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0100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100E"/>
    <w:rPr>
      <w:vertAlign w:val="superscript"/>
    </w:rPr>
  </w:style>
  <w:style w:type="table" w:styleId="Tablaconcuadrcula">
    <w:name w:val="Table Grid"/>
    <w:basedOn w:val="Tablanormal"/>
    <w:uiPriority w:val="39"/>
    <w:qFormat/>
    <w:rsid w:val="00C010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C0100E"/>
    <w:pPr>
      <w:spacing w:line="240" w:lineRule="exact"/>
    </w:pPr>
    <w:rPr>
      <w:kern w:val="2"/>
      <w:vertAlign w:val="superscript"/>
      <w14:ligatures w14:val="standardContextual"/>
    </w:rPr>
  </w:style>
  <w:style w:type="table" w:customStyle="1" w:styleId="Tablaconcuadrcula11">
    <w:name w:val="Tabla con cuadrícula11"/>
    <w:basedOn w:val="Tablanormal"/>
    <w:next w:val="Tablaconcuadrcula"/>
    <w:uiPriority w:val="59"/>
    <w:qFormat/>
    <w:rsid w:val="00C010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tzasanchezfonseca@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convocatorias&amp;data=05%7C02%7Cnasly.mosquera%40colombiacompra.gov.co%7C5aad36a736844ec87b2108dcc1fa4639%7C7b09041e245149d08cb179d5e3d8c1be%7C0%7C0%7C638598527917255339%7CUnknown%7CTWFpbGZsb3d8eyJWIjoiMC4wLjAwMDAiLCJQIjoiV2luMzIiLCJBTiI6Ik1haWwiLCJXVCI6Mn0%3D%7C0%7C%7C%7C&amp;sdata=g%2FEO5QoxW33SrPJI2OITi%2FAObnFrF7sIm6bdz6kIZFU%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7363&amp;data=05%7C02%7Cnasly.mosquera%40colombiacompra.gov.co%7C5aad36a736844ec87b2108dcc1fa4639%7C7b09041e245149d08cb179d5e3d8c1be%7C0%7C0%7C638598527917243897%7CUnknown%7CTWFpbGZsb3d8eyJWIjoiMC4wLjAwMDAiLCJQIjoiV2luMzIiLCJBTiI6Ik1haWwiLCJXVCI6Mn0%3D%7C0%7C%7C%7C&amp;sdata=48YmPbO4hs2FHMMxj0wFwpMQkRkLM65rYzBqCM0nL6E%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E5152-5A22-442F-B0A0-8D05D0DC1555}">
  <ds:schemaRefs>
    <ds:schemaRef ds:uri="http://schemas.microsoft.com/sharepoint/v3/contenttype/forms"/>
  </ds:schemaRefs>
</ds:datastoreItem>
</file>

<file path=customXml/itemProps2.xml><?xml version="1.0" encoding="utf-8"?>
<ds:datastoreItem xmlns:ds="http://schemas.openxmlformats.org/officeDocument/2006/customXml" ds:itemID="{9FD4CCE4-1E46-4FC3-A2BC-997DB871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B33A-1118-4FB0-B038-2C2F8A4DAC29}">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http://schemas.openxmlformats.org/package/2006/metadata/core-propertie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2723</Words>
  <Characters>14980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2024-08-23T15:59:00Z</dcterms:created>
  <dcterms:modified xsi:type="dcterms:W3CDTF">2024-08-23T15:59:00Z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