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1EF1E" w14:textId="4F66D58E" w:rsidR="0023526F" w:rsidRPr="0023526F" w:rsidRDefault="0023526F" w:rsidP="0023526F">
      <w:pPr>
        <w:spacing w:after="0" w:line="240" w:lineRule="auto"/>
        <w:rPr>
          <w:rFonts w:ascii="Verdana" w:eastAsia="Times New Roman" w:hAnsi="Verdana" w:cs="Arial"/>
          <w:b/>
          <w:lang w:eastAsia="es-ES_tradnl"/>
        </w:rPr>
      </w:pPr>
      <w:bookmarkStart w:id="0" w:name="_Hlk143780582"/>
      <w:r w:rsidRPr="0023526F">
        <w:rPr>
          <w:rFonts w:ascii="Verdana" w:eastAsia="Times New Roman" w:hAnsi="Verdana" w:cs="Arial"/>
          <w:b/>
          <w:lang w:eastAsia="es-ES_tradnl"/>
        </w:rPr>
        <w:t>PLANEACIÓN – Estudios previos</w:t>
      </w:r>
    </w:p>
    <w:p w14:paraId="371B953C" w14:textId="3838E0CF" w:rsidR="0023526F" w:rsidRDefault="0023526F" w:rsidP="0023526F">
      <w:pPr>
        <w:spacing w:after="0" w:line="240" w:lineRule="auto"/>
        <w:rPr>
          <w:rFonts w:ascii="Verdana" w:eastAsia="Times New Roman" w:hAnsi="Verdana" w:cs="Arial"/>
          <w:bCs/>
          <w:lang w:eastAsia="es-ES_tradnl"/>
        </w:rPr>
      </w:pPr>
    </w:p>
    <w:p w14:paraId="79154002" w14:textId="213C381C" w:rsidR="0023526F" w:rsidRDefault="0023526F" w:rsidP="0023526F">
      <w:pPr>
        <w:spacing w:after="0" w:line="240" w:lineRule="auto"/>
        <w:jc w:val="both"/>
        <w:rPr>
          <w:rFonts w:ascii="Verdana" w:eastAsia="Calibri" w:hAnsi="Verdana" w:cs="Arial"/>
          <w:bCs/>
          <w:sz w:val="20"/>
          <w:szCs w:val="20"/>
          <w:lang w:val="es-ES_tradnl"/>
        </w:rPr>
      </w:pPr>
      <w:r w:rsidRPr="0023526F">
        <w:rPr>
          <w:rFonts w:ascii="Verdana" w:eastAsia="Calibri" w:hAnsi="Verdana" w:cs="Arial"/>
          <w:bCs/>
          <w:sz w:val="20"/>
          <w:szCs w:val="20"/>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1E415C4C" w14:textId="4C7E8615" w:rsidR="0023526F" w:rsidRDefault="0023526F" w:rsidP="0023526F">
      <w:pPr>
        <w:spacing w:after="0" w:line="240" w:lineRule="auto"/>
        <w:jc w:val="both"/>
        <w:rPr>
          <w:rFonts w:ascii="Verdana" w:eastAsia="Calibri" w:hAnsi="Verdana" w:cs="Arial"/>
          <w:bCs/>
          <w:sz w:val="20"/>
          <w:szCs w:val="20"/>
          <w:lang w:val="es-ES_tradnl"/>
        </w:rPr>
      </w:pPr>
    </w:p>
    <w:p w14:paraId="2CEAAF7E" w14:textId="3A26919F" w:rsidR="0023526F" w:rsidRDefault="0023526F" w:rsidP="0023526F">
      <w:pPr>
        <w:spacing w:after="0" w:line="240" w:lineRule="auto"/>
        <w:jc w:val="both"/>
        <w:rPr>
          <w:rFonts w:ascii="Verdana" w:eastAsia="Times New Roman" w:hAnsi="Verdana" w:cs="Arial"/>
          <w:b/>
          <w:lang w:eastAsia="es-ES_tradnl"/>
        </w:rPr>
      </w:pPr>
      <w:r w:rsidRPr="0023526F">
        <w:rPr>
          <w:rFonts w:ascii="Verdana" w:eastAsia="Times New Roman" w:hAnsi="Verdana" w:cs="Arial"/>
          <w:b/>
          <w:lang w:eastAsia="es-ES_tradnl"/>
        </w:rPr>
        <w:t>ESTUDIOS PREVIOS – Planeación – Análisis del sector – Requisitos habilitantes y ponderables</w:t>
      </w:r>
    </w:p>
    <w:p w14:paraId="74AD6563" w14:textId="3B1784FF" w:rsidR="0023526F" w:rsidRDefault="0023526F" w:rsidP="0023526F">
      <w:pPr>
        <w:spacing w:after="0" w:line="240" w:lineRule="auto"/>
        <w:jc w:val="both"/>
        <w:rPr>
          <w:rFonts w:ascii="Verdana" w:eastAsia="Times New Roman" w:hAnsi="Verdana" w:cs="Arial"/>
          <w:b/>
          <w:lang w:eastAsia="es-ES_tradnl"/>
        </w:rPr>
      </w:pPr>
    </w:p>
    <w:p w14:paraId="1055F232" w14:textId="1B3FBFF0" w:rsidR="0023526F" w:rsidRPr="0023526F" w:rsidRDefault="0023526F" w:rsidP="0023526F">
      <w:pPr>
        <w:spacing w:before="120" w:after="0" w:line="240" w:lineRule="auto"/>
        <w:jc w:val="both"/>
        <w:rPr>
          <w:rFonts w:ascii="Verdana" w:hAnsi="Verdana" w:cs="Arial"/>
          <w:sz w:val="20"/>
          <w:szCs w:val="20"/>
          <w:lang w:val="es-MX"/>
        </w:rPr>
      </w:pPr>
      <w:r w:rsidRPr="0023526F">
        <w:rPr>
          <w:rFonts w:ascii="Verdana" w:hAnsi="Verdana" w:cs="Arial"/>
          <w:bCs/>
          <w:sz w:val="20"/>
          <w:szCs w:val="20"/>
          <w:lang w:val="es-MX"/>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14:paraId="2905E07C" w14:textId="6181CFEF" w:rsidR="0023526F" w:rsidRDefault="0023526F" w:rsidP="0023526F">
      <w:pPr>
        <w:spacing w:after="0" w:line="240" w:lineRule="auto"/>
        <w:jc w:val="both"/>
        <w:rPr>
          <w:rFonts w:ascii="Verdana" w:hAnsi="Verdana" w:cs="Arial"/>
          <w:lang w:val="es-MX"/>
        </w:rPr>
      </w:pPr>
    </w:p>
    <w:p w14:paraId="4C12EA53" w14:textId="7FCA744D" w:rsidR="0023526F" w:rsidRDefault="0023526F" w:rsidP="0023526F">
      <w:pPr>
        <w:spacing w:after="0" w:line="240" w:lineRule="auto"/>
        <w:jc w:val="both"/>
        <w:rPr>
          <w:rFonts w:ascii="Verdana" w:eastAsia="Calibri" w:hAnsi="Verdana" w:cs="Arial"/>
          <w:b/>
          <w:lang w:val="es-ES" w:eastAsia="es-ES"/>
        </w:rPr>
      </w:pPr>
      <w:r w:rsidRPr="0023526F">
        <w:rPr>
          <w:rFonts w:ascii="Verdana" w:eastAsia="Calibri" w:hAnsi="Verdana" w:cs="Arial"/>
          <w:b/>
          <w:lang w:val="es-ES" w:eastAsia="es-ES"/>
        </w:rPr>
        <w:t>PLIEGO DE CONDICIONES – Naturaleza jurídica</w:t>
      </w:r>
    </w:p>
    <w:p w14:paraId="14DCB812" w14:textId="728E3505" w:rsidR="0023526F" w:rsidRDefault="0023526F" w:rsidP="0023526F">
      <w:pPr>
        <w:spacing w:after="0" w:line="240" w:lineRule="auto"/>
        <w:jc w:val="both"/>
        <w:rPr>
          <w:rFonts w:ascii="Verdana" w:eastAsia="Calibri" w:hAnsi="Verdana" w:cs="Arial"/>
          <w:b/>
          <w:lang w:val="es-ES" w:eastAsia="es-ES"/>
        </w:rPr>
      </w:pPr>
    </w:p>
    <w:p w14:paraId="73468F48" w14:textId="4AD98973" w:rsidR="0023526F" w:rsidRPr="0023526F" w:rsidRDefault="0023526F" w:rsidP="0023526F">
      <w:pPr>
        <w:spacing w:after="120" w:line="240" w:lineRule="auto"/>
        <w:jc w:val="both"/>
        <w:rPr>
          <w:rFonts w:ascii="Verdana" w:hAnsi="Verdana"/>
          <w:sz w:val="20"/>
          <w:szCs w:val="20"/>
          <w:lang w:val="es-MX"/>
        </w:rPr>
      </w:pPr>
      <w:r w:rsidRPr="0023526F">
        <w:rPr>
          <w:rFonts w:ascii="Verdana" w:hAnsi="Verdana"/>
          <w:sz w:val="20"/>
          <w:szCs w:val="20"/>
          <w:lang w:val="es-MX"/>
        </w:rPr>
        <w:t xml:space="preserve">Mas allá del cumplimiento de la normativa, </w:t>
      </w:r>
      <w:r w:rsidRPr="0023526F">
        <w:rPr>
          <w:rFonts w:ascii="Verdana" w:hAnsi="Verdana"/>
          <w:i/>
          <w:iCs/>
          <w:sz w:val="20"/>
          <w:szCs w:val="20"/>
          <w:lang w:val="es-MX"/>
        </w:rPr>
        <w:t>“los estudios y documentos previos son el soporte para elaborar el proyecto de pliegos, los pliegos de condiciones, y el contrato”,</w:t>
      </w:r>
      <w:r w:rsidRPr="0023526F">
        <w:rPr>
          <w:rFonts w:ascii="Verdana" w:hAnsi="Verdana"/>
          <w:sz w:val="20"/>
          <w:szCs w:val="20"/>
          <w:lang w:val="es-MX"/>
        </w:rPr>
        <w:t xml:space="preserve">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549500A5" w14:textId="766039E2" w:rsidR="0023526F" w:rsidRDefault="0023526F" w:rsidP="0023526F">
      <w:pPr>
        <w:spacing w:after="0" w:line="240" w:lineRule="auto"/>
        <w:jc w:val="both"/>
        <w:rPr>
          <w:rFonts w:ascii="Verdana" w:hAnsi="Verdana"/>
          <w:sz w:val="20"/>
          <w:szCs w:val="20"/>
          <w:lang w:val="es-MX"/>
        </w:rPr>
      </w:pPr>
      <w:r w:rsidRPr="0023526F">
        <w:rPr>
          <w:rFonts w:ascii="Verdana" w:hAnsi="Verdana"/>
          <w:sz w:val="20"/>
          <w:szCs w:val="20"/>
          <w:lang w:val="es-MX"/>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w:t>
      </w:r>
      <w:r>
        <w:rPr>
          <w:rFonts w:ascii="Verdana" w:hAnsi="Verdana"/>
          <w:sz w:val="20"/>
          <w:szCs w:val="20"/>
          <w:lang w:val="es-MX"/>
        </w:rPr>
        <w:t>o.</w:t>
      </w:r>
    </w:p>
    <w:p w14:paraId="649991F4" w14:textId="72812B68" w:rsidR="0023526F" w:rsidRDefault="0023526F" w:rsidP="0023526F">
      <w:pPr>
        <w:spacing w:after="0" w:line="240" w:lineRule="auto"/>
        <w:jc w:val="both"/>
        <w:rPr>
          <w:rFonts w:ascii="Verdana" w:hAnsi="Verdana"/>
          <w:sz w:val="20"/>
          <w:szCs w:val="20"/>
          <w:lang w:val="es-MX"/>
        </w:rPr>
      </w:pPr>
    </w:p>
    <w:p w14:paraId="606B38F4" w14:textId="0C74D25E" w:rsidR="0023526F" w:rsidRPr="0023526F" w:rsidRDefault="0023526F" w:rsidP="0023526F">
      <w:pPr>
        <w:spacing w:after="0" w:line="240" w:lineRule="auto"/>
        <w:jc w:val="both"/>
        <w:rPr>
          <w:rFonts w:ascii="Verdana" w:eastAsia="Calibri" w:hAnsi="Verdana" w:cs="Arial"/>
          <w:b/>
          <w:sz w:val="20"/>
          <w:szCs w:val="20"/>
          <w:lang w:val="es-ES" w:eastAsia="es-ES"/>
        </w:rPr>
      </w:pPr>
      <w:r w:rsidRPr="0023526F">
        <w:rPr>
          <w:rFonts w:ascii="Verdana" w:eastAsia="Arial" w:hAnsi="Verdana" w:cs="Arial"/>
          <w:b/>
          <w:lang w:val="es-MX" w:eastAsia="es-ES"/>
        </w:rPr>
        <w:t>PLIEGO DE CONDICIONES – Contenido – Carácter prevalente – Selección objetiva</w:t>
      </w:r>
    </w:p>
    <w:p w14:paraId="02241A7B" w14:textId="139FF3C0" w:rsidR="0023526F" w:rsidRDefault="0023526F" w:rsidP="0023526F">
      <w:pPr>
        <w:spacing w:after="0"/>
        <w:jc w:val="both"/>
        <w:rPr>
          <w:rFonts w:ascii="Verdana" w:eastAsia="Calibri" w:hAnsi="Verdana" w:cs="Arial"/>
          <w:b/>
          <w:lang w:val="es-ES" w:eastAsia="es-ES"/>
        </w:rPr>
      </w:pPr>
    </w:p>
    <w:p w14:paraId="7029FF6F" w14:textId="375EEA52" w:rsidR="00696360" w:rsidRPr="00696360" w:rsidRDefault="00696360" w:rsidP="00696360">
      <w:pPr>
        <w:pStyle w:val="Textoindependiente"/>
        <w:spacing w:line="276" w:lineRule="auto"/>
        <w:ind w:right="108"/>
        <w:jc w:val="both"/>
        <w:rPr>
          <w:rFonts w:ascii="Verdana" w:hAnsi="Verdana"/>
          <w:sz w:val="20"/>
          <w:szCs w:val="20"/>
        </w:rPr>
      </w:pPr>
      <w:r w:rsidRPr="00696360">
        <w:rPr>
          <w:rFonts w:ascii="Verdana" w:hAnsi="Verdana"/>
          <w:sz w:val="20"/>
          <w:szCs w:val="20"/>
        </w:rPr>
        <w:t>De otra parte, es necesario explicar que, el pliego de condiciones es la hoja de ruta o plan</w:t>
      </w:r>
      <w:r w:rsidRPr="00696360">
        <w:rPr>
          <w:sz w:val="20"/>
          <w:szCs w:val="20"/>
        </w:rPr>
        <w:t xml:space="preserve"> </w:t>
      </w:r>
      <w:r w:rsidRPr="00696360">
        <w:rPr>
          <w:rFonts w:ascii="Verdana" w:hAnsi="Verdana"/>
          <w:sz w:val="20"/>
          <w:szCs w:val="20"/>
        </w:rPr>
        <w:t>sobre el cual se diseña, estructura y concreta el proceso de selección de contratistas. El mismo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p>
    <w:p w14:paraId="7A56D4AE" w14:textId="163938A4" w:rsidR="00696360" w:rsidRPr="00696360" w:rsidRDefault="00696360" w:rsidP="00696360">
      <w:pPr>
        <w:spacing w:after="0"/>
        <w:jc w:val="both"/>
        <w:rPr>
          <w:rFonts w:ascii="Verdana" w:eastAsia="Calibri" w:hAnsi="Verdana" w:cs="Arial"/>
          <w:b/>
          <w:sz w:val="20"/>
          <w:szCs w:val="20"/>
          <w:lang w:val="es-ES" w:eastAsia="es-ES"/>
        </w:rPr>
      </w:pPr>
      <w:r w:rsidRPr="00696360">
        <w:rPr>
          <w:rFonts w:ascii="Verdana" w:hAnsi="Verdana"/>
          <w:sz w:val="20"/>
          <w:szCs w:val="20"/>
        </w:rPr>
        <w:lastRenderedPageBreak/>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convierte en una reglamentación de todo el </w:t>
      </w:r>
      <w:proofErr w:type="spellStart"/>
      <w:r w:rsidRPr="00696360">
        <w:rPr>
          <w:rFonts w:ascii="Verdana" w:hAnsi="Verdana"/>
          <w:i/>
          <w:iCs/>
          <w:sz w:val="20"/>
          <w:szCs w:val="20"/>
        </w:rPr>
        <w:t>iter</w:t>
      </w:r>
      <w:proofErr w:type="spellEnd"/>
      <w:r w:rsidRPr="00696360">
        <w:rPr>
          <w:rFonts w:ascii="Verdana" w:hAnsi="Verdana"/>
          <w:sz w:val="20"/>
          <w:szCs w:val="20"/>
        </w:rPr>
        <w:t xml:space="preserve"> contractual.</w:t>
      </w:r>
    </w:p>
    <w:p w14:paraId="4F60616C" w14:textId="77777777" w:rsidR="0023526F" w:rsidRPr="0023526F" w:rsidRDefault="0023526F" w:rsidP="0023526F">
      <w:pPr>
        <w:spacing w:after="0"/>
        <w:jc w:val="both"/>
        <w:rPr>
          <w:rFonts w:ascii="Verdana" w:eastAsia="Times New Roman" w:hAnsi="Verdana" w:cs="Arial"/>
          <w:b/>
          <w:lang w:eastAsia="es-ES_tradnl"/>
        </w:rPr>
      </w:pPr>
    </w:p>
    <w:p w14:paraId="098F8B0C" w14:textId="62D5F41E" w:rsidR="0023526F" w:rsidRDefault="0023526F" w:rsidP="0023526F">
      <w:pPr>
        <w:spacing w:after="0"/>
        <w:jc w:val="both"/>
        <w:rPr>
          <w:rFonts w:ascii="Verdana" w:eastAsia="Times New Roman" w:hAnsi="Verdana" w:cs="Arial"/>
          <w:b/>
          <w:lang w:eastAsia="es-ES_tradnl"/>
        </w:rPr>
      </w:pPr>
    </w:p>
    <w:p w14:paraId="45031BE8" w14:textId="77777777" w:rsidR="0023526F" w:rsidRPr="0023526F" w:rsidRDefault="0023526F" w:rsidP="0023526F">
      <w:pPr>
        <w:spacing w:after="0"/>
        <w:jc w:val="both"/>
        <w:rPr>
          <w:rFonts w:ascii="Verdana" w:eastAsia="Calibri" w:hAnsi="Verdana" w:cs="Arial"/>
          <w:b/>
          <w:sz w:val="20"/>
          <w:szCs w:val="20"/>
          <w:lang w:val="es-ES_tradnl"/>
        </w:rPr>
      </w:pPr>
    </w:p>
    <w:p w14:paraId="3940524F" w14:textId="73A26E19" w:rsidR="0023526F" w:rsidRDefault="0023526F" w:rsidP="0023526F">
      <w:pPr>
        <w:spacing w:after="0"/>
        <w:jc w:val="both"/>
        <w:rPr>
          <w:rFonts w:ascii="Verdana" w:eastAsia="Calibri" w:hAnsi="Verdana" w:cs="Arial"/>
          <w:bCs/>
          <w:sz w:val="20"/>
          <w:szCs w:val="20"/>
          <w:lang w:val="es-ES_tradnl"/>
        </w:rPr>
      </w:pPr>
    </w:p>
    <w:p w14:paraId="3966A746" w14:textId="77777777" w:rsidR="0023526F" w:rsidRPr="0023526F" w:rsidRDefault="0023526F" w:rsidP="0023526F">
      <w:pPr>
        <w:spacing w:after="0"/>
        <w:jc w:val="both"/>
        <w:rPr>
          <w:rFonts w:ascii="Verdana" w:eastAsia="Times New Roman" w:hAnsi="Verdana" w:cs="Arial"/>
          <w:bCs/>
          <w:sz w:val="20"/>
          <w:szCs w:val="20"/>
          <w:lang w:eastAsia="es-ES_tradnl"/>
        </w:rPr>
      </w:pPr>
    </w:p>
    <w:p w14:paraId="0AE46172" w14:textId="767AFD1F" w:rsidR="0023526F" w:rsidRDefault="0023526F" w:rsidP="00E245AB">
      <w:pPr>
        <w:spacing w:after="0"/>
        <w:rPr>
          <w:rFonts w:ascii="Verdana" w:eastAsia="Times New Roman" w:hAnsi="Verdana" w:cs="Arial"/>
          <w:bCs/>
          <w:lang w:eastAsia="es-ES_tradnl"/>
        </w:rPr>
      </w:pPr>
    </w:p>
    <w:p w14:paraId="674D7CA1" w14:textId="77777777" w:rsidR="0023526F" w:rsidRDefault="0023526F" w:rsidP="00E245AB">
      <w:pPr>
        <w:spacing w:after="0"/>
        <w:rPr>
          <w:rFonts w:ascii="Verdana" w:hAnsi="Verdana"/>
        </w:rPr>
      </w:pPr>
    </w:p>
    <w:p w14:paraId="03041443" w14:textId="77777777" w:rsidR="0023526F" w:rsidRDefault="0023526F" w:rsidP="00E245AB">
      <w:pPr>
        <w:spacing w:after="0"/>
        <w:rPr>
          <w:rFonts w:ascii="Verdana" w:hAnsi="Verdana"/>
        </w:rPr>
      </w:pPr>
    </w:p>
    <w:p w14:paraId="1ED387D8" w14:textId="77777777" w:rsidR="0023526F" w:rsidRDefault="0023526F" w:rsidP="00E245AB">
      <w:pPr>
        <w:spacing w:after="0"/>
        <w:rPr>
          <w:rFonts w:ascii="Verdana" w:hAnsi="Verdana"/>
        </w:rPr>
      </w:pPr>
    </w:p>
    <w:p w14:paraId="464E79A0" w14:textId="77777777" w:rsidR="0023526F" w:rsidRDefault="0023526F" w:rsidP="00E245AB">
      <w:pPr>
        <w:spacing w:after="0"/>
        <w:rPr>
          <w:rFonts w:ascii="Verdana" w:hAnsi="Verdana"/>
        </w:rPr>
      </w:pPr>
    </w:p>
    <w:p w14:paraId="57A8AAFB" w14:textId="77777777" w:rsidR="0023526F" w:rsidRDefault="0023526F" w:rsidP="00E245AB">
      <w:pPr>
        <w:spacing w:after="0"/>
        <w:rPr>
          <w:rFonts w:ascii="Verdana" w:hAnsi="Verdana"/>
        </w:rPr>
      </w:pPr>
    </w:p>
    <w:p w14:paraId="2A863B23" w14:textId="77777777" w:rsidR="0023526F" w:rsidRDefault="0023526F" w:rsidP="00E245AB">
      <w:pPr>
        <w:spacing w:after="0"/>
        <w:rPr>
          <w:rFonts w:ascii="Verdana" w:hAnsi="Verdana"/>
        </w:rPr>
      </w:pPr>
    </w:p>
    <w:p w14:paraId="1E0AD45F" w14:textId="77777777" w:rsidR="0023526F" w:rsidRDefault="0023526F" w:rsidP="00E245AB">
      <w:pPr>
        <w:spacing w:after="0"/>
        <w:rPr>
          <w:rFonts w:ascii="Verdana" w:hAnsi="Verdana"/>
        </w:rPr>
      </w:pPr>
    </w:p>
    <w:p w14:paraId="343505B0" w14:textId="77777777" w:rsidR="0023526F" w:rsidRDefault="0023526F" w:rsidP="00E245AB">
      <w:pPr>
        <w:spacing w:after="0"/>
        <w:rPr>
          <w:rFonts w:ascii="Verdana" w:hAnsi="Verdana"/>
        </w:rPr>
      </w:pPr>
    </w:p>
    <w:p w14:paraId="25B422AD" w14:textId="77777777" w:rsidR="0023526F" w:rsidRDefault="0023526F" w:rsidP="00E245AB">
      <w:pPr>
        <w:spacing w:after="0"/>
        <w:rPr>
          <w:rFonts w:ascii="Verdana" w:hAnsi="Verdana"/>
        </w:rPr>
      </w:pPr>
    </w:p>
    <w:p w14:paraId="2E385C79" w14:textId="77777777" w:rsidR="0023526F" w:rsidRDefault="0023526F" w:rsidP="00E245AB">
      <w:pPr>
        <w:spacing w:after="0"/>
        <w:rPr>
          <w:rFonts w:ascii="Verdana" w:hAnsi="Verdana"/>
        </w:rPr>
      </w:pPr>
    </w:p>
    <w:p w14:paraId="18EC0E02" w14:textId="77777777" w:rsidR="0023526F" w:rsidRDefault="0023526F" w:rsidP="00E245AB">
      <w:pPr>
        <w:spacing w:after="0"/>
        <w:rPr>
          <w:rFonts w:ascii="Verdana" w:hAnsi="Verdana"/>
        </w:rPr>
      </w:pPr>
    </w:p>
    <w:p w14:paraId="287483CE" w14:textId="77777777" w:rsidR="0023526F" w:rsidRDefault="0023526F" w:rsidP="00E245AB">
      <w:pPr>
        <w:spacing w:after="0"/>
        <w:rPr>
          <w:rFonts w:ascii="Verdana" w:hAnsi="Verdana"/>
        </w:rPr>
      </w:pPr>
    </w:p>
    <w:p w14:paraId="77436E4D" w14:textId="77777777" w:rsidR="0023526F" w:rsidRDefault="0023526F" w:rsidP="00E245AB">
      <w:pPr>
        <w:spacing w:after="0"/>
        <w:rPr>
          <w:rFonts w:ascii="Verdana" w:hAnsi="Verdana"/>
        </w:rPr>
      </w:pPr>
    </w:p>
    <w:p w14:paraId="129EB2C2" w14:textId="77777777" w:rsidR="0023526F" w:rsidRDefault="0023526F" w:rsidP="00E245AB">
      <w:pPr>
        <w:spacing w:after="0"/>
        <w:rPr>
          <w:rFonts w:ascii="Verdana" w:hAnsi="Verdana"/>
        </w:rPr>
      </w:pPr>
    </w:p>
    <w:p w14:paraId="426637E6" w14:textId="77777777" w:rsidR="0023526F" w:rsidRDefault="0023526F" w:rsidP="00E245AB">
      <w:pPr>
        <w:spacing w:after="0"/>
        <w:rPr>
          <w:rFonts w:ascii="Verdana" w:hAnsi="Verdana"/>
        </w:rPr>
      </w:pPr>
    </w:p>
    <w:p w14:paraId="23FD870E" w14:textId="77777777" w:rsidR="0023526F" w:rsidRDefault="0023526F" w:rsidP="00E245AB">
      <w:pPr>
        <w:spacing w:after="0"/>
        <w:rPr>
          <w:rFonts w:ascii="Verdana" w:hAnsi="Verdana"/>
        </w:rPr>
      </w:pPr>
    </w:p>
    <w:p w14:paraId="4AFA302C" w14:textId="77777777" w:rsidR="0023526F" w:rsidRDefault="0023526F" w:rsidP="00E245AB">
      <w:pPr>
        <w:spacing w:after="0"/>
        <w:rPr>
          <w:rFonts w:ascii="Verdana" w:hAnsi="Verdana"/>
        </w:rPr>
      </w:pPr>
    </w:p>
    <w:p w14:paraId="3804ABC6" w14:textId="77777777" w:rsidR="0023526F" w:rsidRDefault="0023526F" w:rsidP="00E245AB">
      <w:pPr>
        <w:spacing w:after="0"/>
        <w:rPr>
          <w:rFonts w:ascii="Verdana" w:hAnsi="Verdana"/>
        </w:rPr>
      </w:pPr>
    </w:p>
    <w:p w14:paraId="4A8EFEE5" w14:textId="77777777" w:rsidR="0023526F" w:rsidRDefault="0023526F" w:rsidP="00E245AB">
      <w:pPr>
        <w:spacing w:after="0"/>
        <w:rPr>
          <w:rFonts w:ascii="Verdana" w:hAnsi="Verdana"/>
        </w:rPr>
      </w:pPr>
    </w:p>
    <w:p w14:paraId="1B2FBCA1" w14:textId="77777777" w:rsidR="0023526F" w:rsidRDefault="0023526F" w:rsidP="00E245AB">
      <w:pPr>
        <w:spacing w:after="0"/>
        <w:rPr>
          <w:rFonts w:ascii="Verdana" w:hAnsi="Verdana"/>
        </w:rPr>
      </w:pPr>
    </w:p>
    <w:p w14:paraId="4C89719B" w14:textId="77777777" w:rsidR="0023526F" w:rsidRDefault="0023526F" w:rsidP="00E245AB">
      <w:pPr>
        <w:spacing w:after="0"/>
        <w:rPr>
          <w:rFonts w:ascii="Verdana" w:hAnsi="Verdana"/>
        </w:rPr>
      </w:pPr>
    </w:p>
    <w:p w14:paraId="301DD041" w14:textId="77777777" w:rsidR="0023526F" w:rsidRDefault="0023526F" w:rsidP="00E245AB">
      <w:pPr>
        <w:spacing w:after="0"/>
        <w:rPr>
          <w:rFonts w:ascii="Verdana" w:hAnsi="Verdana"/>
        </w:rPr>
      </w:pPr>
    </w:p>
    <w:p w14:paraId="473F589B" w14:textId="77777777" w:rsidR="0023526F" w:rsidRDefault="0023526F" w:rsidP="00E245AB">
      <w:pPr>
        <w:spacing w:after="0"/>
        <w:rPr>
          <w:rFonts w:ascii="Verdana" w:hAnsi="Verdana"/>
        </w:rPr>
      </w:pPr>
    </w:p>
    <w:p w14:paraId="2DE2C19A" w14:textId="77777777" w:rsidR="0023526F" w:rsidRDefault="0023526F" w:rsidP="00E245AB">
      <w:pPr>
        <w:spacing w:after="0"/>
        <w:rPr>
          <w:rFonts w:ascii="Verdana" w:hAnsi="Verdana"/>
        </w:rPr>
      </w:pPr>
    </w:p>
    <w:p w14:paraId="3ADE3357" w14:textId="77777777" w:rsidR="0023526F" w:rsidRDefault="0023526F" w:rsidP="00E245AB">
      <w:pPr>
        <w:spacing w:after="0"/>
        <w:rPr>
          <w:rFonts w:ascii="Verdana" w:hAnsi="Verdana"/>
        </w:rPr>
      </w:pPr>
    </w:p>
    <w:p w14:paraId="199CC863" w14:textId="77777777" w:rsidR="0023526F" w:rsidRDefault="0023526F" w:rsidP="00E245AB">
      <w:pPr>
        <w:spacing w:after="0"/>
        <w:rPr>
          <w:rFonts w:ascii="Verdana" w:hAnsi="Verdana"/>
        </w:rPr>
      </w:pPr>
    </w:p>
    <w:p w14:paraId="4E593ED6" w14:textId="77777777" w:rsidR="00696360" w:rsidRDefault="00696360" w:rsidP="00E245AB">
      <w:pPr>
        <w:spacing w:after="0"/>
        <w:rPr>
          <w:rFonts w:ascii="Verdana" w:hAnsi="Verdana"/>
        </w:rPr>
      </w:pPr>
    </w:p>
    <w:p w14:paraId="4E0BB45A" w14:textId="77777777" w:rsidR="00696360" w:rsidRDefault="00696360" w:rsidP="00E245AB">
      <w:pPr>
        <w:spacing w:after="0"/>
        <w:rPr>
          <w:rFonts w:ascii="Verdana" w:hAnsi="Verdana"/>
        </w:rPr>
      </w:pPr>
    </w:p>
    <w:p w14:paraId="27036A22" w14:textId="77777777" w:rsidR="00696360" w:rsidRDefault="00696360" w:rsidP="00E245AB">
      <w:pPr>
        <w:spacing w:after="0"/>
        <w:rPr>
          <w:rFonts w:ascii="Verdana" w:hAnsi="Verdana"/>
        </w:rPr>
      </w:pPr>
    </w:p>
    <w:p w14:paraId="55086968" w14:textId="77777777" w:rsidR="00696360" w:rsidRDefault="00696360" w:rsidP="00E245AB">
      <w:pPr>
        <w:spacing w:after="0"/>
        <w:rPr>
          <w:rFonts w:ascii="Verdana" w:hAnsi="Verdana"/>
        </w:rPr>
      </w:pPr>
    </w:p>
    <w:p w14:paraId="7E2C1CC2" w14:textId="77777777" w:rsidR="00696360" w:rsidRDefault="00696360" w:rsidP="00E245AB">
      <w:pPr>
        <w:spacing w:after="0"/>
        <w:rPr>
          <w:rFonts w:ascii="Verdana" w:hAnsi="Verdana"/>
        </w:rPr>
      </w:pPr>
    </w:p>
    <w:p w14:paraId="6E7B6F03" w14:textId="52B3D9E9" w:rsidR="002326D6"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p>
    <w:p w14:paraId="3E0887DE" w14:textId="58BBA060" w:rsidR="002326D6" w:rsidRDefault="00412060" w:rsidP="00E245AB">
      <w:pPr>
        <w:spacing w:after="0"/>
        <w:rPr>
          <w:rFonts w:ascii="Verdana" w:hAnsi="Verdana"/>
        </w:rPr>
      </w:pPr>
      <w:bookmarkStart w:id="1" w:name="_GoBack"/>
      <w:r w:rsidRPr="00412060">
        <w:rPr>
          <w:rFonts w:ascii="Verdana" w:eastAsia="Calibri" w:hAnsi="Verdana" w:cs="Arial"/>
          <w:b/>
          <w:lang w:val="es-ES_tradnl" w:eastAsia="es-ES_tradnl"/>
        </w:rPr>
        <w:drawing>
          <wp:anchor distT="0" distB="0" distL="114300" distR="114300" simplePos="0" relativeHeight="251658240" behindDoc="0" locked="0" layoutInCell="1" allowOverlap="1" wp14:anchorId="2F14906E" wp14:editId="31046FD2">
            <wp:simplePos x="0" y="0"/>
            <wp:positionH relativeFrom="margin">
              <wp:align>right</wp:align>
            </wp:positionH>
            <wp:positionV relativeFrom="paragraph">
              <wp:posOffset>45803</wp:posOffset>
            </wp:positionV>
            <wp:extent cx="3275937" cy="117157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75937" cy="1171575"/>
                    </a:xfrm>
                    <a:prstGeom prst="rect">
                      <a:avLst/>
                    </a:prstGeom>
                  </pic:spPr>
                </pic:pic>
              </a:graphicData>
            </a:graphic>
            <wp14:sizeRelH relativeFrom="margin">
              <wp14:pctWidth>0</wp14:pctWidth>
            </wp14:sizeRelH>
          </wp:anchor>
        </w:drawing>
      </w:r>
      <w:bookmarkEnd w:id="1"/>
    </w:p>
    <w:p w14:paraId="5C16E05E" w14:textId="61EDB85C" w:rsidR="003D33C1" w:rsidRDefault="003D33C1" w:rsidP="00E245AB">
      <w:pPr>
        <w:spacing w:after="0"/>
        <w:rPr>
          <w:rFonts w:ascii="Verdana" w:hAnsi="Verdana"/>
        </w:rPr>
      </w:pPr>
    </w:p>
    <w:p w14:paraId="0DC8458A" w14:textId="1215D260" w:rsidR="002326D6" w:rsidRPr="00B96799" w:rsidRDefault="002326D6" w:rsidP="002326D6">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57208869" w14:textId="418D8C80" w:rsidR="002326D6" w:rsidRDefault="002326D6" w:rsidP="002326D6">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Laura Alejandra Ríos Carrillo</w:t>
      </w:r>
      <w:r w:rsidR="00412060">
        <w:rPr>
          <w:rFonts w:ascii="Verdana" w:eastAsia="Calibri" w:hAnsi="Verdana" w:cs="Arial"/>
          <w:b/>
          <w:lang w:val="es-ES_tradnl" w:eastAsia="es-ES_tradnl"/>
        </w:rPr>
        <w:t xml:space="preserve"> </w:t>
      </w:r>
    </w:p>
    <w:p w14:paraId="161E16B6" w14:textId="77777777" w:rsidR="002326D6" w:rsidRPr="006C29B9" w:rsidRDefault="00097A4C" w:rsidP="002326D6">
      <w:pPr>
        <w:spacing w:after="0" w:line="240" w:lineRule="auto"/>
        <w:rPr>
          <w:rFonts w:ascii="Verdana" w:eastAsia="Calibri" w:hAnsi="Verdana" w:cs="Arial"/>
          <w:u w:val="single"/>
          <w:lang w:val="es-ES" w:eastAsia="es-ES"/>
        </w:rPr>
      </w:pPr>
      <w:hyperlink r:id="rId12" w:history="1">
        <w:r w:rsidR="002326D6" w:rsidRPr="006C29B9">
          <w:rPr>
            <w:rStyle w:val="Hipervnculo"/>
            <w:rFonts w:ascii="Verdana" w:eastAsia="Calibri" w:hAnsi="Verdana" w:cs="Arial"/>
            <w:lang w:val="es-ES" w:eastAsia="es-ES"/>
          </w:rPr>
          <w:t>alejandrarioc0415@gmail.com</w:t>
        </w:r>
      </w:hyperlink>
    </w:p>
    <w:p w14:paraId="1B5A138B" w14:textId="6B7438FB" w:rsidR="002326D6" w:rsidRDefault="002326D6" w:rsidP="002326D6">
      <w:pPr>
        <w:spacing w:after="0" w:line="240" w:lineRule="auto"/>
        <w:rPr>
          <w:rFonts w:ascii="Verdana" w:eastAsia="Calibri" w:hAnsi="Verdana" w:cs="Arial"/>
          <w:lang w:val="es-ES" w:eastAsia="es-ES"/>
        </w:rPr>
      </w:pPr>
      <w:r>
        <w:rPr>
          <w:rFonts w:ascii="Verdana" w:eastAsia="Calibri" w:hAnsi="Verdana" w:cs="Arial"/>
          <w:lang w:val="es-ES" w:eastAsia="es-ES"/>
        </w:rPr>
        <w:t>Bucaramanga</w:t>
      </w:r>
      <w:r w:rsidRPr="00B96799">
        <w:rPr>
          <w:rFonts w:ascii="Verdana" w:eastAsia="Calibri" w:hAnsi="Verdana" w:cs="Arial"/>
          <w:lang w:val="es-ES" w:eastAsia="es-ES"/>
        </w:rPr>
        <w:t xml:space="preserve">, </w:t>
      </w:r>
      <w:r>
        <w:rPr>
          <w:rFonts w:ascii="Verdana" w:eastAsia="Calibri" w:hAnsi="Verdana" w:cs="Arial"/>
          <w:lang w:val="es-ES" w:eastAsia="es-ES"/>
        </w:rPr>
        <w:t>Santander</w:t>
      </w:r>
    </w:p>
    <w:p w14:paraId="64BAD683" w14:textId="77777777" w:rsidR="00696360" w:rsidRPr="00B96799" w:rsidRDefault="00696360" w:rsidP="002326D6">
      <w:pPr>
        <w:spacing w:after="0" w:line="240" w:lineRule="auto"/>
        <w:rPr>
          <w:rFonts w:ascii="Verdana" w:eastAsia="Calibri" w:hAnsi="Verdana" w:cs="Arial"/>
          <w:b/>
          <w:bCs/>
          <w:lang w:val="es-ES" w:eastAsia="es-ES"/>
        </w:rPr>
      </w:pPr>
    </w:p>
    <w:p w14:paraId="1149481F" w14:textId="77777777" w:rsidR="002326D6" w:rsidRPr="00593A5F" w:rsidRDefault="002326D6" w:rsidP="002326D6">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326D6" w:rsidRPr="00593A5F" w14:paraId="1FC948D4" w14:textId="77777777" w:rsidTr="00305AB1">
        <w:trPr>
          <w:trHeight w:val="570"/>
        </w:trPr>
        <w:tc>
          <w:tcPr>
            <w:tcW w:w="2689" w:type="dxa"/>
          </w:tcPr>
          <w:p w14:paraId="28D6AD34" w14:textId="77777777" w:rsidR="002326D6" w:rsidRPr="00C00976" w:rsidRDefault="002326D6" w:rsidP="00F11EC0">
            <w:pPr>
              <w:jc w:val="both"/>
              <w:rPr>
                <w:rFonts w:ascii="Verdana" w:eastAsia="Calibri" w:hAnsi="Verdana" w:cs="Arial"/>
                <w:b/>
                <w:bCs/>
                <w:color w:val="7030A0"/>
                <w:lang w:val="es-ES_tradnl" w:eastAsia="es-ES_tradnl"/>
              </w:rPr>
            </w:pPr>
          </w:p>
        </w:tc>
        <w:tc>
          <w:tcPr>
            <w:tcW w:w="6100" w:type="dxa"/>
          </w:tcPr>
          <w:p w14:paraId="4EBF666D" w14:textId="77777777" w:rsidR="002326D6" w:rsidRPr="00C00976" w:rsidRDefault="002326D6" w:rsidP="00F11EC0">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Concepto C</w:t>
            </w:r>
            <w:r>
              <w:rPr>
                <w:rFonts w:ascii="Verdana" w:eastAsia="Calibri" w:hAnsi="Verdana" w:cs="Arial"/>
                <w:b/>
                <w:bCs/>
                <w:lang w:val="es-ES" w:eastAsia="es-ES"/>
              </w:rPr>
              <w:t xml:space="preserve"> – 314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0A0120">
              <w:rPr>
                <w:rFonts w:ascii="Verdana" w:eastAsia="Calibri" w:hAnsi="Verdana" w:cs="Arial"/>
                <w:b/>
                <w:bCs/>
                <w:lang w:val="es-ES" w:eastAsia="es-ES"/>
              </w:rPr>
              <w:t>2024</w:t>
            </w:r>
          </w:p>
        </w:tc>
      </w:tr>
      <w:tr w:rsidR="002326D6" w:rsidRPr="00622393" w14:paraId="05BA8D9D" w14:textId="77777777" w:rsidTr="00F11EC0">
        <w:trPr>
          <w:trHeight w:val="884"/>
        </w:trPr>
        <w:tc>
          <w:tcPr>
            <w:tcW w:w="2689" w:type="dxa"/>
          </w:tcPr>
          <w:p w14:paraId="07FBAFB5" w14:textId="77777777" w:rsidR="002326D6" w:rsidRPr="00593A5F" w:rsidRDefault="002326D6" w:rsidP="00F11EC0">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D905931" w14:textId="0C62DA38" w:rsidR="00622393" w:rsidRPr="00C70975" w:rsidRDefault="002326D6" w:rsidP="007F48EC">
            <w:pPr>
              <w:spacing w:line="276" w:lineRule="auto"/>
              <w:jc w:val="both"/>
              <w:rPr>
                <w:rFonts w:ascii="Verdana" w:eastAsia="Arial" w:hAnsi="Verdana" w:cs="Arial"/>
                <w:bCs/>
                <w:lang w:val="es-MX" w:eastAsia="es-ES"/>
              </w:rPr>
            </w:pPr>
            <w:r w:rsidRPr="00246A5C">
              <w:rPr>
                <w:rFonts w:ascii="Verdana" w:eastAsia="Times New Roman" w:hAnsi="Verdana" w:cs="Arial"/>
                <w:bCs/>
                <w:lang w:eastAsia="es-ES_tradnl"/>
              </w:rPr>
              <w:t xml:space="preserve">PLANEACIÓN – Estudios previos / ESTUDIOS PREVIOS – Planeación </w:t>
            </w:r>
            <w:r w:rsidR="003D33C1">
              <w:rPr>
                <w:rFonts w:ascii="Verdana" w:eastAsia="Times New Roman" w:hAnsi="Verdana" w:cs="Arial"/>
                <w:bCs/>
                <w:lang w:eastAsia="es-ES_tradnl"/>
              </w:rPr>
              <w:t xml:space="preserve">– Análisis del sector – Requisitos habilitantes y ponderables </w:t>
            </w:r>
            <w:r w:rsidRPr="00246A5C">
              <w:rPr>
                <w:rFonts w:ascii="Verdana" w:eastAsia="Times New Roman" w:hAnsi="Verdana" w:cs="Arial"/>
                <w:bCs/>
                <w:color w:val="000000" w:themeColor="text1"/>
                <w:lang w:val="es-ES_tradnl" w:eastAsia="es-ES_tradnl"/>
              </w:rPr>
              <w:t>/</w:t>
            </w:r>
            <w:r w:rsidRPr="00246A5C">
              <w:rPr>
                <w:rFonts w:ascii="Verdana" w:eastAsia="Times New Roman" w:hAnsi="Verdana" w:cs="Arial"/>
                <w:bCs/>
                <w:lang w:eastAsia="es-ES_tradnl"/>
              </w:rPr>
              <w:t xml:space="preserve"> </w:t>
            </w:r>
            <w:r w:rsidRPr="00246A5C">
              <w:rPr>
                <w:rFonts w:ascii="Verdana" w:eastAsia="Calibri" w:hAnsi="Verdana" w:cs="Arial"/>
                <w:bCs/>
                <w:lang w:val="es-ES" w:eastAsia="es-ES"/>
              </w:rPr>
              <w:t>PLIEGO DE CONDICIONES – Naturaleza</w:t>
            </w:r>
            <w:r w:rsidR="00622393">
              <w:rPr>
                <w:rFonts w:ascii="Verdana" w:eastAsia="Calibri" w:hAnsi="Verdana" w:cs="Arial"/>
                <w:bCs/>
                <w:lang w:val="es-ES" w:eastAsia="es-ES"/>
              </w:rPr>
              <w:t xml:space="preserve"> jurídica</w:t>
            </w:r>
            <w:r w:rsidRPr="00246A5C">
              <w:rPr>
                <w:rFonts w:ascii="Verdana" w:eastAsia="Calibri" w:hAnsi="Verdana" w:cs="Arial"/>
                <w:bCs/>
                <w:lang w:val="es-ES" w:eastAsia="es-ES"/>
              </w:rPr>
              <w:t xml:space="preserve"> / </w:t>
            </w:r>
            <w:r w:rsidRPr="00246A5C">
              <w:rPr>
                <w:rFonts w:ascii="Verdana" w:eastAsia="Arial" w:hAnsi="Verdana" w:cs="Arial"/>
                <w:bCs/>
                <w:lang w:val="es-MX" w:eastAsia="es-ES"/>
              </w:rPr>
              <w:t xml:space="preserve">PLIEGO DE CONDICIONES </w:t>
            </w:r>
            <w:r w:rsidR="00622393">
              <w:rPr>
                <w:rFonts w:ascii="Verdana" w:eastAsia="Arial" w:hAnsi="Verdana" w:cs="Arial"/>
                <w:bCs/>
                <w:lang w:val="es-MX" w:eastAsia="es-ES"/>
              </w:rPr>
              <w:t>–</w:t>
            </w:r>
            <w:r w:rsidRPr="00246A5C">
              <w:rPr>
                <w:rFonts w:ascii="Verdana" w:eastAsia="Arial" w:hAnsi="Verdana" w:cs="Arial"/>
                <w:bCs/>
                <w:lang w:val="es-MX" w:eastAsia="es-ES"/>
              </w:rPr>
              <w:t xml:space="preserve"> Contenido</w:t>
            </w:r>
            <w:r w:rsidR="00622393">
              <w:rPr>
                <w:rFonts w:ascii="Verdana" w:eastAsia="Arial" w:hAnsi="Verdana" w:cs="Arial"/>
                <w:bCs/>
                <w:lang w:val="es-MX" w:eastAsia="es-ES"/>
              </w:rPr>
              <w:t xml:space="preserve"> – Carácter prevalente – Selección objetiva</w:t>
            </w:r>
            <w:r>
              <w:rPr>
                <w:rFonts w:ascii="Verdana" w:eastAsia="Arial" w:hAnsi="Verdana" w:cs="Arial"/>
                <w:bCs/>
                <w:lang w:val="es-MX" w:eastAsia="es-ES"/>
              </w:rPr>
              <w:t xml:space="preserve"> </w:t>
            </w:r>
          </w:p>
        </w:tc>
      </w:tr>
      <w:tr w:rsidR="002326D6" w:rsidRPr="00593A5F" w14:paraId="07E71FAA" w14:textId="77777777" w:rsidTr="00F11EC0">
        <w:tc>
          <w:tcPr>
            <w:tcW w:w="2689" w:type="dxa"/>
          </w:tcPr>
          <w:p w14:paraId="60D76739" w14:textId="77777777" w:rsidR="002326D6" w:rsidRPr="00835F5A" w:rsidRDefault="002326D6" w:rsidP="00F11EC0">
            <w:pPr>
              <w:jc w:val="both"/>
              <w:rPr>
                <w:rFonts w:ascii="Verdana" w:eastAsia="Calibri" w:hAnsi="Verdana" w:cs="Arial"/>
                <w:b/>
                <w:lang w:val="es-ES_tradnl" w:eastAsia="es-ES_tradnl"/>
              </w:rPr>
            </w:pPr>
            <w:r w:rsidRPr="00835F5A">
              <w:rPr>
                <w:rFonts w:ascii="Verdana" w:eastAsia="Calibri" w:hAnsi="Verdana" w:cs="Arial"/>
                <w:b/>
                <w:lang w:val="es-ES_tradnl" w:eastAsia="es-ES_tradnl"/>
              </w:rPr>
              <w:t>Radicación:</w:t>
            </w:r>
            <w:r w:rsidRPr="00835F5A">
              <w:rPr>
                <w:rFonts w:ascii="Verdana" w:eastAsia="Calibri" w:hAnsi="Verdana" w:cs="Arial"/>
                <w:lang w:val="es-ES_tradnl" w:eastAsia="es-ES_tradnl"/>
              </w:rPr>
              <w:t xml:space="preserve">               </w:t>
            </w:r>
          </w:p>
        </w:tc>
        <w:tc>
          <w:tcPr>
            <w:tcW w:w="6100" w:type="dxa"/>
          </w:tcPr>
          <w:p w14:paraId="429FCF79" w14:textId="3CFC6B0A" w:rsidR="002326D6" w:rsidRPr="00835F5A" w:rsidRDefault="002326D6" w:rsidP="007F48EC">
            <w:pPr>
              <w:spacing w:line="276" w:lineRule="auto"/>
              <w:jc w:val="both"/>
              <w:rPr>
                <w:rFonts w:ascii="Verdana" w:eastAsia="Calibri" w:hAnsi="Verdana" w:cs="Arial"/>
                <w:lang w:val="es-ES_tradnl" w:eastAsia="es-ES_tradnl"/>
              </w:rPr>
            </w:pPr>
            <w:r w:rsidRPr="00835F5A">
              <w:rPr>
                <w:rFonts w:ascii="Verdana" w:eastAsia="Calibri" w:hAnsi="Verdana" w:cs="Arial"/>
                <w:lang w:val="es-ES_tradnl" w:eastAsia="es-ES_tradnl"/>
              </w:rPr>
              <w:t>Respuesta a consulta con radicado</w:t>
            </w:r>
            <w:r w:rsidR="000E57BB">
              <w:rPr>
                <w:rFonts w:ascii="Verdana" w:eastAsia="Calibri" w:hAnsi="Verdana" w:cs="Arial"/>
                <w:lang w:val="es-ES_tradnl" w:eastAsia="es-ES_tradnl"/>
              </w:rPr>
              <w:t>s</w:t>
            </w:r>
            <w:r w:rsidRPr="00835F5A">
              <w:rPr>
                <w:rFonts w:ascii="Verdana" w:eastAsia="Calibri" w:hAnsi="Verdana" w:cs="Arial"/>
                <w:lang w:val="es-ES_tradnl" w:eastAsia="es-ES_tradnl"/>
              </w:rPr>
              <w:t xml:space="preserve"> No. </w:t>
            </w:r>
            <w:r w:rsidRPr="00835F5A">
              <w:rPr>
                <w:rFonts w:ascii="Verdana" w:eastAsia="Calibri" w:hAnsi="Verdana" w:cs="Arial"/>
              </w:rPr>
              <w:t>P20240709006990</w:t>
            </w:r>
            <w:r w:rsidR="000E57BB">
              <w:rPr>
                <w:rFonts w:ascii="Verdana" w:eastAsia="Calibri" w:hAnsi="Verdana" w:cs="Arial"/>
              </w:rPr>
              <w:t xml:space="preserve"> y</w:t>
            </w:r>
            <w:r>
              <w:rPr>
                <w:rFonts w:ascii="Verdana" w:eastAsia="Calibri" w:hAnsi="Verdana" w:cs="Arial"/>
              </w:rPr>
              <w:t xml:space="preserve"> </w:t>
            </w:r>
            <w:r w:rsidRPr="0012117F">
              <w:rPr>
                <w:rFonts w:ascii="Verdana" w:eastAsia="Calibri" w:hAnsi="Verdana" w:cs="Arial"/>
              </w:rPr>
              <w:t>P20240710007000</w:t>
            </w:r>
            <w:r w:rsidR="000E57BB">
              <w:rPr>
                <w:rFonts w:ascii="Verdana" w:eastAsia="Calibri" w:hAnsi="Verdana" w:cs="Arial"/>
              </w:rPr>
              <w:t xml:space="preserve"> (acumuladas)</w:t>
            </w:r>
          </w:p>
        </w:tc>
      </w:tr>
    </w:tbl>
    <w:p w14:paraId="48B673E8" w14:textId="77777777" w:rsidR="002326D6" w:rsidRPr="00593A5F" w:rsidRDefault="002326D6" w:rsidP="002326D6">
      <w:pPr>
        <w:spacing w:after="0" w:line="240" w:lineRule="auto"/>
        <w:jc w:val="both"/>
        <w:rPr>
          <w:rFonts w:ascii="Verdana" w:eastAsia="Calibri" w:hAnsi="Verdana" w:cs="Arial"/>
          <w:color w:val="000000"/>
          <w:lang w:val="es-ES_tradnl" w:eastAsia="es-ES_tradnl"/>
        </w:rPr>
      </w:pPr>
    </w:p>
    <w:p w14:paraId="1A895922" w14:textId="77777777" w:rsidR="002326D6" w:rsidRPr="00593A5F" w:rsidRDefault="002326D6" w:rsidP="002326D6">
      <w:pPr>
        <w:spacing w:after="0" w:line="240" w:lineRule="auto"/>
        <w:jc w:val="both"/>
        <w:rPr>
          <w:rFonts w:ascii="Verdana" w:eastAsia="Calibri" w:hAnsi="Verdana" w:cs="Arial"/>
          <w:color w:val="000000"/>
          <w:lang w:val="es-ES_tradnl" w:eastAsia="es-ES_tradnl"/>
        </w:rPr>
      </w:pPr>
    </w:p>
    <w:p w14:paraId="222D3CA1" w14:textId="77777777" w:rsidR="002326D6" w:rsidRDefault="002326D6" w:rsidP="002326D6">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 señor</w:t>
      </w:r>
      <w:r>
        <w:rPr>
          <w:rFonts w:ascii="Verdana" w:eastAsia="Calibri" w:hAnsi="Verdana" w:cs="Arial"/>
          <w:lang w:val="es-ES" w:eastAsia="es-ES"/>
        </w:rPr>
        <w:t>a</w:t>
      </w:r>
      <w:r w:rsidRPr="00835F5A">
        <w:rPr>
          <w:rFonts w:ascii="Verdana" w:eastAsia="Calibri" w:hAnsi="Verdana" w:cs="Arial"/>
          <w:lang w:val="es-ES" w:eastAsia="es-ES"/>
        </w:rPr>
        <w:t xml:space="preserve"> Ríos</w:t>
      </w:r>
      <w:r w:rsidRPr="00593A5F">
        <w:rPr>
          <w:rFonts w:ascii="Verdana" w:eastAsia="Calibri" w:hAnsi="Verdana" w:cs="Arial"/>
          <w:color w:val="000000" w:themeColor="text1"/>
          <w:lang w:val="es-ES" w:eastAsia="es-ES"/>
        </w:rPr>
        <w:t xml:space="preserve">: </w:t>
      </w:r>
    </w:p>
    <w:p w14:paraId="3C7BA6B5" w14:textId="77777777" w:rsidR="002326D6" w:rsidRDefault="002326D6" w:rsidP="002326D6">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EB74CC3" w14:textId="77777777" w:rsidR="002326D6" w:rsidRPr="00593A5F" w:rsidRDefault="002326D6" w:rsidP="002326D6">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w:t>
      </w:r>
      <w:r>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 responde su solicitud de</w:t>
      </w:r>
      <w:r>
        <w:rPr>
          <w:rFonts w:ascii="Verdana" w:eastAsia="Calibri" w:hAnsi="Verdana" w:cs="Arial"/>
          <w:color w:val="000000" w:themeColor="text1"/>
          <w:lang w:val="es-ES" w:eastAsia="es-ES"/>
        </w:rPr>
        <w:t xml:space="preserve"> consulta de fecha</w:t>
      </w:r>
      <w:r w:rsidRPr="00593A5F">
        <w:rPr>
          <w:rFonts w:ascii="Verdana" w:eastAsia="Calibri" w:hAnsi="Verdana" w:cs="Arial"/>
          <w:color w:val="000000" w:themeColor="text1"/>
          <w:lang w:val="es-ES" w:eastAsia="es-ES"/>
        </w:rPr>
        <w:t xml:space="preserve"> </w:t>
      </w:r>
      <w:r w:rsidRPr="00EA60D3">
        <w:rPr>
          <w:rFonts w:ascii="Verdana" w:eastAsia="Calibri" w:hAnsi="Verdana" w:cs="Arial"/>
        </w:rPr>
        <w:t xml:space="preserve">9 de Julio </w:t>
      </w:r>
      <w:r w:rsidRPr="00835F5A">
        <w:rPr>
          <w:rFonts w:ascii="Verdana" w:eastAsia="Calibri" w:hAnsi="Verdana" w:cs="Arial"/>
        </w:rPr>
        <w:t>2024</w:t>
      </w:r>
      <w:r w:rsidRPr="00835F5A">
        <w:rPr>
          <w:rFonts w:ascii="Verdana" w:eastAsia="Calibri" w:hAnsi="Verdana" w:cs="Arial"/>
          <w:lang w:val="es-ES" w:eastAsia="es-ES"/>
        </w:rPr>
        <w:t>, en la cual manifiesta lo siguiente:</w:t>
      </w:r>
      <w:r w:rsidRPr="00835F5A">
        <w:rPr>
          <w:rFonts w:ascii="Verdana" w:eastAsia="Calibri" w:hAnsi="Verdana" w:cs="Arial"/>
          <w:color w:val="7030A0"/>
          <w:lang w:val="es-ES" w:eastAsia="es-ES"/>
        </w:rPr>
        <w:t xml:space="preserve"> </w:t>
      </w:r>
    </w:p>
    <w:p w14:paraId="07F5F376" w14:textId="77777777" w:rsidR="003D33C1" w:rsidRDefault="003D33C1" w:rsidP="002326D6">
      <w:pPr>
        <w:spacing w:after="0" w:line="276" w:lineRule="auto"/>
        <w:ind w:left="709" w:right="709"/>
        <w:jc w:val="both"/>
        <w:rPr>
          <w:rFonts w:ascii="Verdana" w:eastAsia="Century Gothic" w:hAnsi="Verdana" w:cs="Century Gothic"/>
          <w:i/>
          <w:iCs/>
          <w:sz w:val="20"/>
          <w:szCs w:val="20"/>
          <w:lang w:val="es-ES"/>
        </w:rPr>
      </w:pPr>
      <w:bookmarkStart w:id="2" w:name="_Hlk95313578"/>
    </w:p>
    <w:p w14:paraId="2EF985C0" w14:textId="749B6170" w:rsidR="002326D6" w:rsidRPr="00D52B2D" w:rsidRDefault="002326D6" w:rsidP="002326D6">
      <w:pPr>
        <w:spacing w:after="0" w:line="276" w:lineRule="auto"/>
        <w:ind w:left="709" w:right="709"/>
        <w:jc w:val="both"/>
        <w:rPr>
          <w:rFonts w:ascii="Verdana" w:hAnsi="Verdana"/>
          <w:i/>
          <w:iCs/>
          <w:sz w:val="20"/>
          <w:szCs w:val="20"/>
        </w:rPr>
      </w:pPr>
      <w:r w:rsidRPr="00D52B2D">
        <w:rPr>
          <w:rFonts w:ascii="Verdana" w:eastAsia="Century Gothic" w:hAnsi="Verdana" w:cs="Century Gothic"/>
          <w:i/>
          <w:iCs/>
          <w:sz w:val="20"/>
          <w:szCs w:val="20"/>
          <w:lang w:val="es-ES"/>
        </w:rPr>
        <w:t>“</w:t>
      </w:r>
      <w:r w:rsidRPr="00D52B2D">
        <w:rPr>
          <w:rFonts w:ascii="Verdana" w:eastAsia="Calibri" w:hAnsi="Verdana" w:cs="Arial"/>
          <w:i/>
          <w:iCs/>
          <w:sz w:val="20"/>
          <w:szCs w:val="20"/>
        </w:rPr>
        <w:t xml:space="preserve">1. </w:t>
      </w:r>
      <w:r w:rsidRPr="00D52B2D">
        <w:rPr>
          <w:rFonts w:ascii="Verdana" w:hAnsi="Verdana"/>
          <w:i/>
          <w:iCs/>
          <w:sz w:val="20"/>
          <w:szCs w:val="20"/>
        </w:rPr>
        <w:t>Cuando hay una contradicción entre los estudios previos y el pliego de condiciones ¿qué prevalece?</w:t>
      </w:r>
    </w:p>
    <w:p w14:paraId="358CDF6E" w14:textId="77777777" w:rsidR="002326D6" w:rsidRPr="00D52B2D" w:rsidRDefault="002326D6" w:rsidP="002326D6">
      <w:pPr>
        <w:spacing w:after="0" w:line="276" w:lineRule="auto"/>
        <w:ind w:left="709" w:right="709"/>
        <w:jc w:val="both"/>
        <w:rPr>
          <w:rFonts w:ascii="Verdana" w:hAnsi="Verdana"/>
          <w:i/>
          <w:iCs/>
          <w:sz w:val="20"/>
          <w:szCs w:val="20"/>
        </w:rPr>
      </w:pPr>
      <w:r w:rsidRPr="00D52B2D">
        <w:rPr>
          <w:rFonts w:ascii="Verdana" w:hAnsi="Verdana"/>
          <w:i/>
          <w:iCs/>
          <w:sz w:val="20"/>
          <w:szCs w:val="20"/>
        </w:rPr>
        <w:t>2. Cuando hay una contradicción entre estudios previos, pliego de condiciones y contrato ¿qué prevalece?</w:t>
      </w:r>
    </w:p>
    <w:p w14:paraId="78646024" w14:textId="77777777" w:rsidR="002326D6" w:rsidRPr="00D52B2D" w:rsidRDefault="002326D6" w:rsidP="002326D6">
      <w:pPr>
        <w:spacing w:after="0" w:line="276" w:lineRule="auto"/>
        <w:ind w:left="709" w:right="709"/>
        <w:jc w:val="both"/>
        <w:rPr>
          <w:rFonts w:ascii="Verdana" w:eastAsia="Century Gothic" w:hAnsi="Verdana" w:cs="Century Gothic"/>
          <w:i/>
          <w:iCs/>
          <w:sz w:val="20"/>
          <w:szCs w:val="20"/>
          <w:lang w:val="es-ES"/>
        </w:rPr>
      </w:pPr>
      <w:r w:rsidRPr="00D52B2D">
        <w:rPr>
          <w:rFonts w:ascii="Verdana" w:hAnsi="Verdana"/>
          <w:i/>
          <w:iCs/>
          <w:sz w:val="20"/>
          <w:szCs w:val="20"/>
        </w:rPr>
        <w:t xml:space="preserve">3. ¿Qué pasa si un requisito de ley como el puntaje de mujer se estableció en el estudio </w:t>
      </w:r>
      <w:proofErr w:type="gramStart"/>
      <w:r w:rsidRPr="00D52B2D">
        <w:rPr>
          <w:rFonts w:ascii="Verdana" w:hAnsi="Verdana"/>
          <w:i/>
          <w:iCs/>
          <w:sz w:val="20"/>
          <w:szCs w:val="20"/>
        </w:rPr>
        <w:t>previo</w:t>
      </w:r>
      <w:proofErr w:type="gramEnd"/>
      <w:r w:rsidRPr="00D52B2D">
        <w:rPr>
          <w:rFonts w:ascii="Verdana" w:hAnsi="Verdana"/>
          <w:i/>
          <w:iCs/>
          <w:sz w:val="20"/>
          <w:szCs w:val="20"/>
        </w:rPr>
        <w:t xml:space="preserve"> pero no en el pliego? ¿Se puede dejar de aplicar el puntaje por no incluirlo en el pliego de condiciones?</w:t>
      </w:r>
      <w:r w:rsidRPr="00D52B2D">
        <w:rPr>
          <w:rFonts w:ascii="Verdana" w:eastAsia="Century Gothic" w:hAnsi="Verdana" w:cs="Century Gothic"/>
          <w:i/>
          <w:iCs/>
          <w:sz w:val="20"/>
          <w:szCs w:val="20"/>
          <w:lang w:val="es-ES"/>
        </w:rPr>
        <w:t>”</w:t>
      </w:r>
      <w:bookmarkEnd w:id="2"/>
      <w:r w:rsidRPr="00D52B2D">
        <w:rPr>
          <w:rFonts w:ascii="Verdana" w:eastAsia="Century Gothic" w:hAnsi="Verdana" w:cs="Century Gothic"/>
          <w:i/>
          <w:iCs/>
          <w:sz w:val="20"/>
          <w:szCs w:val="20"/>
          <w:lang w:val="es-ES"/>
        </w:rPr>
        <w:t>.</w:t>
      </w:r>
    </w:p>
    <w:p w14:paraId="3DC93579" w14:textId="77777777" w:rsidR="002326D6" w:rsidRDefault="002326D6" w:rsidP="00305AB1">
      <w:pPr>
        <w:spacing w:after="0" w:line="276" w:lineRule="auto"/>
        <w:ind w:firstLine="709"/>
        <w:jc w:val="both"/>
        <w:rPr>
          <w:rFonts w:ascii="Verdana" w:eastAsia="Century Gothic" w:hAnsi="Verdana" w:cs="Century Gothic"/>
          <w:sz w:val="20"/>
          <w:szCs w:val="20"/>
          <w:lang w:val="es-ES"/>
        </w:rPr>
      </w:pPr>
    </w:p>
    <w:p w14:paraId="6B15281D" w14:textId="77777777" w:rsidR="002326D6" w:rsidRDefault="002326D6" w:rsidP="002326D6">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593A5F">
        <w:rPr>
          <w:rFonts w:ascii="Verdana" w:eastAsia="Calibri" w:hAnsi="Verdana" w:cs="Arial"/>
          <w:color w:val="000000"/>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25B0D37A" w14:textId="77777777" w:rsidR="002326D6" w:rsidRDefault="002326D6" w:rsidP="002326D6">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 xml:space="preserve">el </w:t>
      </w:r>
      <w:r w:rsidRPr="00295702">
        <w:rPr>
          <w:rFonts w:ascii="Verdana" w:eastAsia="Calibri" w:hAnsi="Verdana" w:cs="Arial"/>
          <w:lang w:val="es-ES" w:eastAsia="es-ES"/>
        </w:rPr>
        <w:t>(los) problema(s) jurídico(s)</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BADBB60" w14:textId="77777777" w:rsidR="002326D6" w:rsidRPr="00593A5F" w:rsidRDefault="002326D6" w:rsidP="002326D6">
      <w:pPr>
        <w:spacing w:after="0" w:line="276" w:lineRule="auto"/>
        <w:ind w:firstLine="709"/>
        <w:jc w:val="both"/>
        <w:rPr>
          <w:rFonts w:ascii="Verdana" w:eastAsia="Calibri" w:hAnsi="Verdana" w:cs="Arial"/>
          <w:color w:val="000000"/>
          <w:lang w:val="es-ES" w:eastAsia="es-ES"/>
        </w:rPr>
      </w:pPr>
    </w:p>
    <w:p w14:paraId="22FA135D" w14:textId="77777777" w:rsidR="002326D6" w:rsidRPr="00593A5F" w:rsidRDefault="002326D6" w:rsidP="002326D6">
      <w:pPr>
        <w:pStyle w:val="Prrafodelista"/>
        <w:numPr>
          <w:ilvl w:val="0"/>
          <w:numId w:val="17"/>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EC5A72E" w14:textId="77777777" w:rsidR="002326D6" w:rsidRPr="00593A5F" w:rsidRDefault="002326D6" w:rsidP="002326D6">
      <w:pPr>
        <w:tabs>
          <w:tab w:val="left" w:pos="426"/>
        </w:tabs>
        <w:spacing w:after="0" w:line="276" w:lineRule="auto"/>
        <w:jc w:val="both"/>
        <w:rPr>
          <w:rFonts w:ascii="Verdana" w:eastAsia="Century Gothic" w:hAnsi="Verdana" w:cs="Century Gothic"/>
          <w:lang w:val="es-ES"/>
        </w:rPr>
      </w:pPr>
    </w:p>
    <w:p w14:paraId="3A9FE0D4" w14:textId="22AB37ED" w:rsidR="002326D6" w:rsidRPr="00D92F59" w:rsidRDefault="002326D6" w:rsidP="002A35B1">
      <w:pPr>
        <w:spacing w:after="0" w:line="276" w:lineRule="auto"/>
        <w:jc w:val="both"/>
        <w:rPr>
          <w:rFonts w:ascii="Verdana" w:eastAsia="Century Gothic" w:hAnsi="Verdana" w:cs="Century Gothic"/>
        </w:rPr>
      </w:pPr>
      <w:r w:rsidRPr="00D92F59">
        <w:rPr>
          <w:rFonts w:ascii="Verdana" w:eastAsia="Century Gothic" w:hAnsi="Verdana" w:cs="Century Gothic"/>
        </w:rPr>
        <w:t xml:space="preserve">De acuerdo con el contenido de su solicitud, esta Agencia resolverá el </w:t>
      </w:r>
      <w:r w:rsidRPr="00D92F59">
        <w:rPr>
          <w:rFonts w:ascii="Verdana" w:eastAsia="Calibri" w:hAnsi="Verdana" w:cs="Arial"/>
        </w:rPr>
        <w:t>siguiente interrogante</w:t>
      </w:r>
      <w:r w:rsidRPr="00D92F59">
        <w:rPr>
          <w:rFonts w:ascii="Verdana" w:eastAsia="Century Gothic" w:hAnsi="Verdana" w:cs="Century Gothic"/>
        </w:rPr>
        <w:t>:</w:t>
      </w:r>
      <w:r w:rsidR="002A35B1" w:rsidRPr="00D92F59">
        <w:rPr>
          <w:rFonts w:ascii="Verdana" w:eastAsia="Century Gothic" w:hAnsi="Verdana" w:cs="Century Gothic"/>
        </w:rPr>
        <w:t xml:space="preserve"> ¿Qué debe pr</w:t>
      </w:r>
      <w:r w:rsidR="00406B4A" w:rsidRPr="00D92F59">
        <w:rPr>
          <w:rFonts w:ascii="Verdana" w:eastAsia="Century Gothic" w:hAnsi="Verdana" w:cs="Century Gothic"/>
        </w:rPr>
        <w:t>evalecer ante las inconsistencias entre el pliego de condiciones y demás documentos contractuales?</w:t>
      </w:r>
    </w:p>
    <w:p w14:paraId="22810AEC" w14:textId="77777777" w:rsidR="002326D6" w:rsidRPr="00305AB1" w:rsidRDefault="002326D6" w:rsidP="002326D6">
      <w:pPr>
        <w:spacing w:after="0" w:line="276" w:lineRule="auto"/>
        <w:jc w:val="both"/>
        <w:rPr>
          <w:rFonts w:ascii="Verdana" w:eastAsia="Calibri" w:hAnsi="Verdana" w:cs="Arial"/>
          <w:lang w:val="es-ES"/>
        </w:rPr>
      </w:pPr>
    </w:p>
    <w:p w14:paraId="4B8CB469" w14:textId="77777777" w:rsidR="002326D6" w:rsidRPr="00D92F59" w:rsidRDefault="002326D6" w:rsidP="002326D6">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92F59">
        <w:rPr>
          <w:rFonts w:ascii="Verdana" w:eastAsia="Century Gothic" w:hAnsi="Verdana" w:cs="Century Gothic"/>
          <w:b/>
          <w:bCs/>
        </w:rPr>
        <w:t>Respuesta:</w:t>
      </w:r>
    </w:p>
    <w:p w14:paraId="6FF1EE38" w14:textId="77777777" w:rsidR="002326D6" w:rsidRPr="00D92F59" w:rsidRDefault="002326D6" w:rsidP="002326D6">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92F59" w:rsidRPr="00D92F59" w14:paraId="1B981E65" w14:textId="77777777" w:rsidTr="00F11EC0">
        <w:tc>
          <w:tcPr>
            <w:tcW w:w="8828" w:type="dxa"/>
            <w:shd w:val="clear" w:color="auto" w:fill="auto"/>
          </w:tcPr>
          <w:p w14:paraId="661DAD8E" w14:textId="3095C34C" w:rsidR="002326D6" w:rsidRPr="00305AB1" w:rsidRDefault="00B438FC" w:rsidP="00305AB1">
            <w:pPr>
              <w:spacing w:after="120" w:line="276" w:lineRule="auto"/>
              <w:jc w:val="both"/>
              <w:rPr>
                <w:rFonts w:ascii="Verdana" w:eastAsia="Times New Roman" w:hAnsi="Verdana" w:cs="Arial"/>
                <w:lang w:val="es-ES" w:eastAsia="es-ES_tradnl"/>
              </w:rPr>
            </w:pPr>
            <w:r w:rsidRPr="00305AB1">
              <w:rPr>
                <w:rFonts w:ascii="Verdana" w:hAnsi="Verdana" w:cs="Calibri"/>
                <w:shd w:val="clear" w:color="auto" w:fill="FFFFFF"/>
              </w:rPr>
              <w:t xml:space="preserve">De acuerdo con lo </w:t>
            </w:r>
            <w:r w:rsidR="00DE2EE6" w:rsidRPr="00305AB1">
              <w:rPr>
                <w:rFonts w:ascii="Verdana" w:hAnsi="Verdana" w:cs="Calibri"/>
                <w:shd w:val="clear" w:color="auto" w:fill="FFFFFF"/>
              </w:rPr>
              <w:t>establecido en la jurisprudencia de la Sección Tercera del Consejo de Estado</w:t>
            </w:r>
            <w:r w:rsidR="006635AC" w:rsidRPr="00305AB1">
              <w:rPr>
                <w:rFonts w:ascii="Verdana" w:hAnsi="Verdana" w:cs="Calibri"/>
                <w:shd w:val="clear" w:color="auto" w:fill="FFFFFF"/>
              </w:rPr>
              <w:t xml:space="preserve"> y la doctrina nacional</w:t>
            </w:r>
            <w:r w:rsidR="00DE2EE6" w:rsidRPr="00305AB1">
              <w:rPr>
                <w:rFonts w:ascii="Verdana" w:hAnsi="Verdana" w:cs="Calibri"/>
                <w:shd w:val="clear" w:color="auto" w:fill="FFFFFF"/>
              </w:rPr>
              <w:t>,</w:t>
            </w:r>
            <w:r w:rsidR="006635AC" w:rsidRPr="00305AB1">
              <w:rPr>
                <w:rFonts w:ascii="Verdana" w:hAnsi="Verdana" w:cs="Calibri"/>
                <w:shd w:val="clear" w:color="auto" w:fill="FFFFFF"/>
              </w:rPr>
              <w:t xml:space="preserve"> el carácter normativo</w:t>
            </w:r>
            <w:r w:rsidR="00B8784E" w:rsidRPr="00305AB1">
              <w:rPr>
                <w:rFonts w:ascii="Verdana" w:hAnsi="Verdana" w:cs="Calibri"/>
                <w:shd w:val="clear" w:color="auto" w:fill="FFFFFF"/>
              </w:rPr>
              <w:t xml:space="preserve"> del</w:t>
            </w:r>
            <w:r w:rsidR="006635AC" w:rsidRPr="00305AB1">
              <w:rPr>
                <w:rFonts w:ascii="Verdana" w:hAnsi="Verdana" w:cs="Calibri"/>
                <w:shd w:val="clear" w:color="auto" w:fill="FFFFFF"/>
              </w:rPr>
              <w:t xml:space="preserve"> </w:t>
            </w:r>
            <w:r w:rsidR="006635AC" w:rsidRPr="00305AB1">
              <w:rPr>
                <w:rFonts w:ascii="Verdana" w:eastAsia="Calibri" w:hAnsi="Verdana"/>
                <w:lang w:val="es-ES"/>
              </w:rPr>
              <w:t xml:space="preserve">pliego de condiciones </w:t>
            </w:r>
            <w:r w:rsidR="00B8784E" w:rsidRPr="00305AB1">
              <w:rPr>
                <w:rFonts w:ascii="Verdana" w:eastAsia="Calibri" w:hAnsi="Verdana"/>
                <w:lang w:val="es-ES"/>
              </w:rPr>
              <w:t xml:space="preserve">dota al mismo de un carácter prevalente </w:t>
            </w:r>
            <w:r w:rsidR="006635AC" w:rsidRPr="00305AB1">
              <w:rPr>
                <w:rFonts w:ascii="Verdana" w:eastAsia="Calibri" w:hAnsi="Verdana"/>
                <w:lang w:val="es-ES"/>
              </w:rPr>
              <w:t>respecto de los demás documentos contractuales, en la medida en que los efectos que devienen de</w:t>
            </w:r>
            <w:r w:rsidR="00B8784E" w:rsidRPr="00305AB1">
              <w:rPr>
                <w:rFonts w:ascii="Verdana" w:eastAsia="Calibri" w:hAnsi="Verdana"/>
                <w:lang w:val="es-ES"/>
              </w:rPr>
              <w:t xml:space="preserve"> él devienen</w:t>
            </w:r>
            <w:r w:rsidR="006635AC" w:rsidRPr="00305AB1">
              <w:rPr>
                <w:rFonts w:ascii="Verdana" w:eastAsia="Calibri" w:hAnsi="Verdana"/>
                <w:lang w:val="es-ES"/>
              </w:rPr>
              <w:t xml:space="preserve"> irradian el desarrollo del proceso de selección, la celebración del contrato y su ejecución. Debido a esto, no resulta posible la Entidad Estatal ejerzan la autonomía de la voluntad contraviniendo en la minuta las reglas o elementos del negocio jurídico que debe consolidarse como resultado del Proceso de Contratación. </w:t>
            </w:r>
            <w:r w:rsidR="00622393" w:rsidRPr="00305AB1">
              <w:rPr>
                <w:rFonts w:ascii="Verdana" w:eastAsia="Calibri" w:hAnsi="Verdana"/>
                <w:lang w:val="es-ES"/>
              </w:rPr>
              <w:t xml:space="preserve"> </w:t>
            </w:r>
            <w:r w:rsidR="003B0316" w:rsidRPr="00305AB1">
              <w:rPr>
                <w:rFonts w:ascii="Verdana" w:eastAsia="Calibri" w:hAnsi="Verdana"/>
                <w:lang w:val="es-ES"/>
              </w:rPr>
              <w:t>Sin embargo, dicho carácter prevalente del pliego de condiciones no puede servir para</w:t>
            </w:r>
            <w:r w:rsidR="00622393" w:rsidRPr="00305AB1">
              <w:rPr>
                <w:rFonts w:ascii="Verdana" w:eastAsia="Calibri" w:hAnsi="Verdana"/>
                <w:lang w:val="es-ES"/>
              </w:rPr>
              <w:t xml:space="preserve"> transgredir el interés general y la selección objetiva, ni para</w:t>
            </w:r>
            <w:r w:rsidR="003B0316" w:rsidRPr="00305AB1">
              <w:rPr>
                <w:rFonts w:ascii="Verdana" w:eastAsia="Calibri" w:hAnsi="Verdana"/>
                <w:lang w:val="es-ES"/>
              </w:rPr>
              <w:t xml:space="preserve"> desconocer las características del negocio jurídico determinadas en el marco de la etapa de planeación, ni requisitos que resultan de obligatoria aplicación en virtud de la ley</w:t>
            </w:r>
            <w:r w:rsidR="00622393" w:rsidRPr="00305AB1">
              <w:rPr>
                <w:rFonts w:ascii="Verdana" w:eastAsia="Calibri" w:hAnsi="Verdana"/>
                <w:lang w:val="es-ES"/>
              </w:rPr>
              <w:t>.</w:t>
            </w:r>
            <w:r w:rsidR="003B0316" w:rsidRPr="00305AB1">
              <w:rPr>
                <w:rFonts w:ascii="Verdana" w:eastAsia="Calibri" w:hAnsi="Verdana"/>
                <w:lang w:val="es-ES"/>
              </w:rPr>
              <w:t xml:space="preserve"> </w:t>
            </w:r>
          </w:p>
        </w:tc>
      </w:tr>
    </w:tbl>
    <w:p w14:paraId="35D2BB32" w14:textId="77777777" w:rsidR="002326D6" w:rsidRPr="00593A5F" w:rsidRDefault="002326D6" w:rsidP="002326D6">
      <w:pPr>
        <w:tabs>
          <w:tab w:val="left" w:pos="142"/>
          <w:tab w:val="left" w:pos="284"/>
        </w:tabs>
        <w:spacing w:after="0" w:line="276" w:lineRule="auto"/>
        <w:jc w:val="both"/>
        <w:rPr>
          <w:rFonts w:ascii="Verdana" w:eastAsia="Century Gothic" w:hAnsi="Verdana" w:cs="Century Gothic"/>
          <w:b/>
          <w:bCs/>
          <w:lang w:val="es-ES"/>
        </w:rPr>
      </w:pPr>
    </w:p>
    <w:p w14:paraId="706430F9" w14:textId="77777777" w:rsidR="002326D6" w:rsidRPr="00593A5F" w:rsidRDefault="002326D6" w:rsidP="002326D6">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EB7A90E" w14:textId="77777777" w:rsidR="002326D6" w:rsidRPr="00593A5F" w:rsidRDefault="002326D6" w:rsidP="002326D6">
      <w:pPr>
        <w:spacing w:after="0" w:line="276" w:lineRule="auto"/>
        <w:jc w:val="both"/>
        <w:rPr>
          <w:rFonts w:ascii="Verdana" w:eastAsia="Calibri" w:hAnsi="Verdana" w:cs="Arial"/>
          <w:color w:val="7030A0"/>
          <w:lang w:val="es-ES"/>
        </w:rPr>
      </w:pPr>
    </w:p>
    <w:p w14:paraId="76DD6DCD" w14:textId="77777777" w:rsidR="002326D6" w:rsidRPr="00B96799" w:rsidRDefault="002326D6" w:rsidP="002326D6">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27CA4B02" w14:textId="77777777" w:rsidR="002326D6" w:rsidRPr="00593A5F" w:rsidRDefault="002326D6" w:rsidP="002326D6">
      <w:pPr>
        <w:spacing w:after="0" w:line="276" w:lineRule="auto"/>
        <w:jc w:val="both"/>
        <w:rPr>
          <w:rFonts w:ascii="Verdana" w:eastAsia="Calibri" w:hAnsi="Verdana" w:cs="Arial"/>
          <w:color w:val="7030A0"/>
          <w:lang w:val="es-ES"/>
        </w:rPr>
      </w:pPr>
    </w:p>
    <w:p w14:paraId="3E577918" w14:textId="77777777" w:rsidR="00230752" w:rsidRPr="00305AB1" w:rsidRDefault="00230752" w:rsidP="00230752">
      <w:pPr>
        <w:spacing w:after="0" w:line="276" w:lineRule="auto"/>
        <w:jc w:val="both"/>
        <w:rPr>
          <w:rFonts w:ascii="Verdana" w:hAnsi="Verdana"/>
          <w:sz w:val="24"/>
          <w:lang w:val="es-MX"/>
        </w:rPr>
      </w:pPr>
      <w:bookmarkStart w:id="3" w:name="_Hlk54011258"/>
      <w:r w:rsidRPr="00305AB1">
        <w:rPr>
          <w:rFonts w:ascii="Verdana" w:eastAsia="Calibri" w:hAnsi="Verdana" w:cs="Arial"/>
          <w:bCs/>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3"/>
      <w:r w:rsidRPr="00305AB1">
        <w:rPr>
          <w:rFonts w:ascii="Verdana" w:eastAsia="Calibri" w:hAnsi="Verdana" w:cs="Arial"/>
          <w:bCs/>
          <w:sz w:val="21"/>
          <w:szCs w:val="21"/>
          <w:lang w:val="es-ES_tradnl"/>
        </w:rPr>
        <w:t>.</w:t>
      </w:r>
    </w:p>
    <w:p w14:paraId="3CCD54FA" w14:textId="77777777" w:rsidR="00230752" w:rsidRPr="00305AB1" w:rsidRDefault="00230752" w:rsidP="00230752">
      <w:pPr>
        <w:spacing w:before="120" w:after="0" w:line="276" w:lineRule="auto"/>
        <w:ind w:firstLine="708"/>
        <w:jc w:val="both"/>
        <w:rPr>
          <w:rFonts w:ascii="Verdana" w:hAnsi="Verdana" w:cs="Arial"/>
          <w:bCs/>
          <w:lang w:val="es-ES"/>
        </w:rPr>
      </w:pPr>
      <w:r w:rsidRPr="00305AB1">
        <w:rPr>
          <w:rFonts w:ascii="Verdana" w:hAnsi="Verdana" w:cs="Arial"/>
          <w:bCs/>
          <w:lang w:val="es-MX"/>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2C41CAB2" w14:textId="77777777" w:rsidR="00230752" w:rsidRPr="00305AB1" w:rsidRDefault="00230752" w:rsidP="00230752">
      <w:pPr>
        <w:spacing w:after="0" w:line="276" w:lineRule="auto"/>
        <w:ind w:firstLine="708"/>
        <w:jc w:val="both"/>
        <w:rPr>
          <w:rFonts w:ascii="Verdana" w:hAnsi="Verdana" w:cs="Arial"/>
          <w:bCs/>
          <w:lang w:val="es-ES"/>
        </w:rPr>
      </w:pPr>
    </w:p>
    <w:p w14:paraId="7309DA44" w14:textId="60910E33" w:rsidR="00230752" w:rsidRPr="00305AB1" w:rsidRDefault="00230752" w:rsidP="00230752">
      <w:pPr>
        <w:spacing w:after="0" w:line="240" w:lineRule="auto"/>
        <w:ind w:left="709" w:right="709"/>
        <w:jc w:val="both"/>
        <w:rPr>
          <w:rFonts w:ascii="Verdana" w:hAnsi="Verdana" w:cs="Arial"/>
          <w:sz w:val="20"/>
          <w:szCs w:val="20"/>
          <w:lang w:val="es-MX"/>
        </w:rPr>
      </w:pPr>
      <w:r w:rsidRPr="00305AB1">
        <w:rPr>
          <w:rFonts w:ascii="Verdana" w:hAnsi="Verdana" w:cs="Arial"/>
          <w:sz w:val="20"/>
          <w:szCs w:val="20"/>
          <w:lang w:val="es-MX"/>
        </w:rPr>
        <w:t>“7o. La conveniencia o inconveniencia del objeto a contratar y las autorizaciones y aprobaciones para ello, se analizarán o impartirán con antelación al inicio del proceso de selección del contratista o al de la firma del contrato, según el caso.</w:t>
      </w:r>
    </w:p>
    <w:p w14:paraId="5C07471B" w14:textId="77777777" w:rsidR="00230752" w:rsidRPr="00305AB1" w:rsidRDefault="00230752" w:rsidP="00230752">
      <w:pPr>
        <w:spacing w:after="120" w:line="240" w:lineRule="auto"/>
        <w:ind w:left="709" w:right="709"/>
        <w:jc w:val="both"/>
        <w:rPr>
          <w:rFonts w:ascii="Verdana" w:hAnsi="Verdana" w:cs="Arial"/>
          <w:sz w:val="20"/>
          <w:szCs w:val="20"/>
          <w:lang w:val="es-MX"/>
        </w:rPr>
      </w:pPr>
      <w:r w:rsidRPr="00305AB1">
        <w:rPr>
          <w:rFonts w:ascii="Verdana" w:hAnsi="Verdana" w:cs="Arial"/>
          <w:sz w:val="20"/>
          <w:szCs w:val="20"/>
          <w:lang w:val="es-MX"/>
        </w:rPr>
        <w:t>[…]</w:t>
      </w:r>
    </w:p>
    <w:p w14:paraId="1E3FBFEF" w14:textId="77777777" w:rsidR="00230752" w:rsidRPr="00305AB1" w:rsidRDefault="00230752" w:rsidP="00230752">
      <w:pPr>
        <w:spacing w:after="120" w:line="240" w:lineRule="auto"/>
        <w:ind w:left="709" w:right="709"/>
        <w:jc w:val="both"/>
        <w:rPr>
          <w:rFonts w:ascii="Verdana" w:hAnsi="Verdana" w:cs="Arial"/>
          <w:sz w:val="20"/>
          <w:szCs w:val="20"/>
          <w:lang w:val="es-MX"/>
        </w:rPr>
      </w:pPr>
      <w:r w:rsidRPr="00305AB1">
        <w:rPr>
          <w:rFonts w:ascii="Verdana" w:hAnsi="Verdana" w:cs="Arial"/>
          <w:sz w:val="20"/>
          <w:szCs w:val="20"/>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0EB30799" w14:textId="77777777" w:rsidR="00230752" w:rsidRPr="00305AB1" w:rsidRDefault="00230752" w:rsidP="00230752">
      <w:pPr>
        <w:spacing w:after="120" w:line="240" w:lineRule="auto"/>
        <w:ind w:left="709" w:right="709"/>
        <w:jc w:val="both"/>
        <w:rPr>
          <w:rFonts w:ascii="Verdana" w:hAnsi="Verdana" w:cs="Arial"/>
          <w:sz w:val="20"/>
          <w:szCs w:val="20"/>
          <w:lang w:val="es-MX"/>
        </w:rPr>
      </w:pPr>
      <w:r w:rsidRPr="00305AB1">
        <w:rPr>
          <w:rFonts w:ascii="Verdana" w:hAnsi="Verdana" w:cs="Arial"/>
          <w:sz w:val="20"/>
          <w:szCs w:val="20"/>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05372EE9" w14:textId="77777777" w:rsidR="00230752" w:rsidRPr="00305AB1" w:rsidRDefault="00230752" w:rsidP="00230752">
      <w:pPr>
        <w:spacing w:after="120" w:line="240" w:lineRule="auto"/>
        <w:ind w:left="709" w:right="709"/>
        <w:jc w:val="both"/>
        <w:rPr>
          <w:rFonts w:ascii="Verdana" w:hAnsi="Verdana" w:cs="Arial"/>
          <w:sz w:val="20"/>
          <w:szCs w:val="20"/>
          <w:lang w:val="es-MX"/>
        </w:rPr>
      </w:pPr>
      <w:r w:rsidRPr="00305AB1">
        <w:rPr>
          <w:rFonts w:ascii="Verdana" w:hAnsi="Verdana" w:cs="Arial"/>
          <w:sz w:val="20"/>
          <w:szCs w:val="20"/>
          <w:lang w:val="es-MX"/>
        </w:rPr>
        <w:lastRenderedPageBreak/>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310F4835" w14:textId="499C93B7" w:rsidR="00230752" w:rsidRPr="00305AB1" w:rsidRDefault="00230752" w:rsidP="00230752">
      <w:pPr>
        <w:spacing w:after="0" w:line="240" w:lineRule="auto"/>
        <w:ind w:left="709" w:right="709"/>
        <w:jc w:val="both"/>
        <w:rPr>
          <w:rFonts w:ascii="Verdana" w:hAnsi="Verdana" w:cs="Arial"/>
          <w:sz w:val="20"/>
          <w:szCs w:val="20"/>
          <w:lang w:val="es-MX"/>
        </w:rPr>
      </w:pPr>
      <w:r w:rsidRPr="00305AB1">
        <w:rPr>
          <w:rFonts w:ascii="Verdana" w:hAnsi="Verdana" w:cs="Arial"/>
          <w:sz w:val="20"/>
          <w:szCs w:val="20"/>
          <w:lang w:val="es-MX"/>
        </w:rPr>
        <w:t xml:space="preserve">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w:t>
      </w:r>
      <w:r w:rsidR="007C553E" w:rsidRPr="00305AB1">
        <w:rPr>
          <w:rFonts w:ascii="Verdana" w:hAnsi="Verdana" w:cs="Arial"/>
          <w:sz w:val="20"/>
          <w:szCs w:val="20"/>
          <w:lang w:val="es-MX"/>
        </w:rPr>
        <w:t>celebrados [</w:t>
      </w:r>
      <w:r w:rsidRPr="00305AB1">
        <w:rPr>
          <w:rFonts w:ascii="Verdana" w:hAnsi="Verdana" w:cs="Arial"/>
          <w:sz w:val="20"/>
          <w:szCs w:val="20"/>
          <w:lang w:val="es-MX"/>
        </w:rPr>
        <w:t>…]”.</w:t>
      </w:r>
    </w:p>
    <w:p w14:paraId="3251EF7F" w14:textId="77777777" w:rsidR="00230752" w:rsidRPr="00305AB1" w:rsidRDefault="00230752" w:rsidP="00230752">
      <w:pPr>
        <w:spacing w:after="0" w:line="276" w:lineRule="auto"/>
        <w:ind w:left="709" w:right="709"/>
        <w:jc w:val="both"/>
        <w:rPr>
          <w:rFonts w:ascii="Verdana" w:hAnsi="Verdana" w:cs="Arial"/>
          <w:lang w:val="es-MX"/>
        </w:rPr>
      </w:pPr>
    </w:p>
    <w:p w14:paraId="0C5DB79A" w14:textId="147CC70B" w:rsidR="00230752" w:rsidRPr="00305AB1" w:rsidRDefault="00230752" w:rsidP="00230752">
      <w:pPr>
        <w:spacing w:after="120" w:line="276" w:lineRule="auto"/>
        <w:ind w:firstLine="709"/>
        <w:jc w:val="both"/>
        <w:rPr>
          <w:rFonts w:ascii="Verdana" w:hAnsi="Verdana" w:cs="Arial"/>
          <w:lang w:val="es-MX"/>
        </w:rPr>
      </w:pPr>
      <w:r w:rsidRPr="00305AB1">
        <w:rPr>
          <w:rFonts w:ascii="Verdana" w:hAnsi="Verdana" w:cs="Arial"/>
          <w:lang w:val="es-MX"/>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w:t>
      </w:r>
      <w:r w:rsidR="006732DD">
        <w:rPr>
          <w:rFonts w:ascii="Verdana" w:hAnsi="Verdana" w:cs="Arial"/>
          <w:lang w:val="es-MX"/>
        </w:rPr>
        <w:t xml:space="preserve">“[...] </w:t>
      </w:r>
      <w:r w:rsidRPr="00305AB1">
        <w:rPr>
          <w:rFonts w:ascii="Verdana" w:hAnsi="Verdana" w:cs="Arial"/>
          <w:lang w:val="es-MX"/>
        </w:rPr>
        <w:t>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006732DD">
        <w:rPr>
          <w:rFonts w:ascii="Verdana" w:hAnsi="Verdana" w:cs="Arial"/>
          <w:lang w:val="es-MX"/>
        </w:rPr>
        <w:t>”</w:t>
      </w:r>
      <w:r w:rsidRPr="00305AB1">
        <w:rPr>
          <w:rFonts w:ascii="Verdana" w:hAnsi="Verdana"/>
          <w:vertAlign w:val="superscript"/>
          <w:lang w:val="es-MX"/>
        </w:rPr>
        <w:footnoteReference w:id="2"/>
      </w:r>
      <w:r w:rsidRPr="00305AB1">
        <w:rPr>
          <w:rFonts w:ascii="Verdana" w:hAnsi="Verdana" w:cs="Arial"/>
          <w:lang w:val="es-MX"/>
        </w:rPr>
        <w:t>.</w:t>
      </w:r>
    </w:p>
    <w:p w14:paraId="025947F8" w14:textId="77777777" w:rsidR="00230752" w:rsidRPr="00305AB1" w:rsidRDefault="00230752" w:rsidP="00230752">
      <w:pPr>
        <w:spacing w:after="0" w:line="276" w:lineRule="auto"/>
        <w:ind w:firstLine="709"/>
        <w:jc w:val="both"/>
        <w:rPr>
          <w:rFonts w:ascii="Verdana" w:hAnsi="Verdana" w:cs="Arial"/>
          <w:lang w:val="es-MX"/>
        </w:rPr>
      </w:pPr>
      <w:r w:rsidRPr="00305AB1">
        <w:rPr>
          <w:rFonts w:ascii="Verdana" w:hAnsi="Verdana" w:cs="Arial"/>
          <w:lang w:val="es-MX"/>
        </w:rPr>
        <w:t>Con base en la norma enunciada de la Ley 80 de 1993, el Decreto Único Reglamentario del Sector Administrativo de Planeación Nacional –Decreto 1082 de 2015–, establece en el artículo 2.2.1.1.2.1.1. el contenido mínimo de los estudios y documentos previos:</w:t>
      </w:r>
    </w:p>
    <w:p w14:paraId="362AB156" w14:textId="77777777" w:rsidR="00230752" w:rsidRPr="00305AB1" w:rsidRDefault="00230752" w:rsidP="00230752">
      <w:pPr>
        <w:widowControl w:val="0"/>
        <w:autoSpaceDE w:val="0"/>
        <w:autoSpaceDN w:val="0"/>
        <w:spacing w:before="3" w:after="0" w:line="240" w:lineRule="auto"/>
        <w:ind w:left="709" w:right="709"/>
        <w:rPr>
          <w:rFonts w:ascii="Verdana" w:eastAsia="Arial" w:hAnsi="Verdana" w:cs="Arial"/>
          <w:lang w:val="es-ES"/>
        </w:rPr>
      </w:pPr>
    </w:p>
    <w:p w14:paraId="1EE20B96" w14:textId="6BEE3FEC" w:rsidR="00230752" w:rsidRPr="00305AB1" w:rsidRDefault="00230752" w:rsidP="00230752">
      <w:pPr>
        <w:spacing w:after="120" w:line="240" w:lineRule="auto"/>
        <w:ind w:left="709" w:right="709"/>
        <w:jc w:val="both"/>
        <w:rPr>
          <w:rFonts w:ascii="Verdana" w:hAnsi="Verdana" w:cs="Arial"/>
          <w:sz w:val="20"/>
          <w:szCs w:val="20"/>
          <w:lang w:val="es-MX"/>
        </w:rPr>
      </w:pPr>
      <w:r w:rsidRPr="00305AB1">
        <w:rPr>
          <w:rFonts w:ascii="Verdana" w:hAnsi="Verdana" w:cs="Arial"/>
          <w:sz w:val="20"/>
          <w:szCs w:val="20"/>
          <w:lang w:val="es-MX"/>
        </w:rPr>
        <w:t>“Artículo 2.2.1.1.2.1.1.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w:t>
      </w:r>
      <w:r w:rsidRPr="00305AB1">
        <w:rPr>
          <w:rFonts w:ascii="Verdana" w:hAnsi="Verdana" w:cs="Arial"/>
          <w:spacing w:val="-15"/>
          <w:sz w:val="20"/>
          <w:szCs w:val="20"/>
          <w:lang w:val="es-MX"/>
        </w:rPr>
        <w:t xml:space="preserve"> </w:t>
      </w:r>
      <w:r w:rsidRPr="00305AB1">
        <w:rPr>
          <w:rFonts w:ascii="Verdana" w:hAnsi="Verdana" w:cs="Arial"/>
          <w:sz w:val="20"/>
          <w:szCs w:val="20"/>
          <w:lang w:val="es-MX"/>
        </w:rPr>
        <w:t>selección:</w:t>
      </w:r>
    </w:p>
    <w:p w14:paraId="60E32DB7" w14:textId="77777777" w:rsidR="00230752" w:rsidRPr="00305AB1" w:rsidRDefault="00230752" w:rsidP="00230752">
      <w:pPr>
        <w:widowControl w:val="0"/>
        <w:tabs>
          <w:tab w:val="left" w:pos="1223"/>
        </w:tabs>
        <w:autoSpaceDE w:val="0"/>
        <w:autoSpaceDN w:val="0"/>
        <w:spacing w:after="120" w:line="240" w:lineRule="auto"/>
        <w:ind w:left="709" w:right="709"/>
        <w:jc w:val="both"/>
        <w:rPr>
          <w:rFonts w:ascii="Verdana" w:hAnsi="Verdana" w:cs="Arial"/>
          <w:sz w:val="20"/>
          <w:szCs w:val="20"/>
          <w:lang w:val="es-MX"/>
        </w:rPr>
      </w:pPr>
      <w:r w:rsidRPr="00305AB1">
        <w:rPr>
          <w:rFonts w:ascii="Verdana" w:hAnsi="Verdana" w:cs="Arial"/>
          <w:sz w:val="20"/>
          <w:szCs w:val="20"/>
          <w:lang w:val="es-MX"/>
        </w:rPr>
        <w:t>1. La descripción de la necesidad que la Entidad Estatal pretende satisfacer con el Proceso de</w:t>
      </w:r>
      <w:r w:rsidRPr="00305AB1">
        <w:rPr>
          <w:rFonts w:ascii="Verdana" w:hAnsi="Verdana" w:cs="Arial"/>
          <w:spacing w:val="-2"/>
          <w:sz w:val="20"/>
          <w:szCs w:val="20"/>
          <w:lang w:val="es-MX"/>
        </w:rPr>
        <w:t xml:space="preserve"> </w:t>
      </w:r>
      <w:r w:rsidRPr="00305AB1">
        <w:rPr>
          <w:rFonts w:ascii="Verdana" w:hAnsi="Verdana" w:cs="Arial"/>
          <w:sz w:val="20"/>
          <w:szCs w:val="20"/>
          <w:lang w:val="es-MX"/>
        </w:rPr>
        <w:t>Contratación.</w:t>
      </w:r>
    </w:p>
    <w:p w14:paraId="065DB67A" w14:textId="77777777" w:rsidR="00230752" w:rsidRPr="00305AB1" w:rsidRDefault="00230752" w:rsidP="00230752">
      <w:pPr>
        <w:widowControl w:val="0"/>
        <w:tabs>
          <w:tab w:val="left" w:pos="1283"/>
        </w:tabs>
        <w:autoSpaceDE w:val="0"/>
        <w:autoSpaceDN w:val="0"/>
        <w:spacing w:after="120" w:line="240" w:lineRule="auto"/>
        <w:ind w:left="709" w:right="709"/>
        <w:jc w:val="both"/>
        <w:rPr>
          <w:rFonts w:ascii="Verdana" w:hAnsi="Verdana" w:cs="Arial"/>
          <w:sz w:val="20"/>
          <w:szCs w:val="20"/>
          <w:lang w:val="es-MX"/>
        </w:rPr>
      </w:pPr>
      <w:r w:rsidRPr="00305AB1">
        <w:rPr>
          <w:rFonts w:ascii="Verdana" w:hAnsi="Verdana" w:cs="Arial"/>
          <w:sz w:val="20"/>
          <w:szCs w:val="20"/>
          <w:lang w:val="es-MX"/>
        </w:rPr>
        <w:t>2. El objeto a contratar, con sus especificaciones, las autorizaciones, permisos y licencias requeridos para su ejecución, y cuando el contrato incluye diseño y construcción, los documentos técnicos para el desarrollo del</w:t>
      </w:r>
      <w:r w:rsidRPr="00305AB1">
        <w:rPr>
          <w:rFonts w:ascii="Verdana" w:hAnsi="Verdana" w:cs="Arial"/>
          <w:spacing w:val="-12"/>
          <w:sz w:val="20"/>
          <w:szCs w:val="20"/>
          <w:lang w:val="es-MX"/>
        </w:rPr>
        <w:t xml:space="preserve"> </w:t>
      </w:r>
      <w:r w:rsidRPr="00305AB1">
        <w:rPr>
          <w:rFonts w:ascii="Verdana" w:hAnsi="Verdana" w:cs="Arial"/>
          <w:sz w:val="20"/>
          <w:szCs w:val="20"/>
          <w:lang w:val="es-MX"/>
        </w:rPr>
        <w:t>proyecto.</w:t>
      </w:r>
    </w:p>
    <w:p w14:paraId="542E1680" w14:textId="77777777" w:rsidR="00230752" w:rsidRPr="00305AB1" w:rsidRDefault="00230752" w:rsidP="00230752">
      <w:pPr>
        <w:widowControl w:val="0"/>
        <w:tabs>
          <w:tab w:val="left" w:pos="1378"/>
        </w:tabs>
        <w:autoSpaceDE w:val="0"/>
        <w:autoSpaceDN w:val="0"/>
        <w:spacing w:after="120" w:line="240" w:lineRule="auto"/>
        <w:ind w:left="709" w:right="709"/>
        <w:jc w:val="both"/>
        <w:rPr>
          <w:rFonts w:ascii="Verdana" w:hAnsi="Verdana" w:cs="Arial"/>
          <w:sz w:val="20"/>
          <w:szCs w:val="20"/>
          <w:lang w:val="es-MX"/>
        </w:rPr>
      </w:pPr>
      <w:r w:rsidRPr="00305AB1">
        <w:rPr>
          <w:rFonts w:ascii="Verdana" w:hAnsi="Verdana"/>
          <w:sz w:val="20"/>
          <w:szCs w:val="20"/>
          <w:lang w:val="es-MX"/>
        </w:rPr>
        <w:lastRenderedPageBreak/>
        <w:t xml:space="preserve">3. </w:t>
      </w:r>
      <w:r w:rsidRPr="00305AB1">
        <w:rPr>
          <w:rFonts w:ascii="Verdana" w:hAnsi="Verdana" w:cs="Arial"/>
          <w:sz w:val="20"/>
          <w:szCs w:val="20"/>
          <w:lang w:val="es-MX"/>
        </w:rPr>
        <w:t>La modalidad de selección del contratista y su justificación, incluyendo los fundamentos jurídicos.</w:t>
      </w:r>
    </w:p>
    <w:p w14:paraId="0721FE7A" w14:textId="77777777" w:rsidR="00230752" w:rsidRPr="00305AB1" w:rsidRDefault="00230752" w:rsidP="00230752">
      <w:pPr>
        <w:widowControl w:val="0"/>
        <w:tabs>
          <w:tab w:val="left" w:pos="1273"/>
        </w:tabs>
        <w:autoSpaceDE w:val="0"/>
        <w:autoSpaceDN w:val="0"/>
        <w:spacing w:after="120" w:line="240" w:lineRule="auto"/>
        <w:ind w:left="709" w:right="709"/>
        <w:jc w:val="both"/>
        <w:rPr>
          <w:rFonts w:ascii="Verdana" w:hAnsi="Verdana" w:cs="Arial"/>
          <w:sz w:val="20"/>
          <w:szCs w:val="20"/>
          <w:lang w:val="es-MX"/>
        </w:rPr>
      </w:pPr>
      <w:r w:rsidRPr="00305AB1">
        <w:rPr>
          <w:rFonts w:ascii="Verdana" w:hAnsi="Verdana" w:cs="Arial"/>
          <w:sz w:val="20"/>
          <w:szCs w:val="20"/>
          <w:lang w:val="es-MX"/>
        </w:rPr>
        <w:t>4. El valor estimado del contrato y la justificación del mismo. Cuando el valor del contrato esté determinado por precios unitarios, la Entidad Estatal debe incluir la forma</w:t>
      </w:r>
      <w:r w:rsidRPr="00305AB1">
        <w:rPr>
          <w:rFonts w:ascii="Verdana" w:hAnsi="Verdana" w:cs="Arial"/>
          <w:spacing w:val="8"/>
          <w:sz w:val="20"/>
          <w:szCs w:val="20"/>
          <w:lang w:val="es-MX"/>
        </w:rPr>
        <w:t xml:space="preserve"> </w:t>
      </w:r>
      <w:r w:rsidRPr="00305AB1">
        <w:rPr>
          <w:rFonts w:ascii="Verdana" w:hAnsi="Verdana" w:cs="Arial"/>
          <w:sz w:val="20"/>
          <w:szCs w:val="20"/>
          <w:lang w:val="es-MX"/>
        </w:rPr>
        <w:t>como</w:t>
      </w:r>
      <w:r w:rsidRPr="00305AB1">
        <w:rPr>
          <w:rFonts w:ascii="Verdana" w:hAnsi="Verdana" w:cs="Arial"/>
          <w:spacing w:val="7"/>
          <w:sz w:val="20"/>
          <w:szCs w:val="20"/>
          <w:lang w:val="es-MX"/>
        </w:rPr>
        <w:t xml:space="preserve"> </w:t>
      </w:r>
      <w:r w:rsidRPr="00305AB1">
        <w:rPr>
          <w:rFonts w:ascii="Verdana" w:hAnsi="Verdana" w:cs="Arial"/>
          <w:sz w:val="20"/>
          <w:szCs w:val="20"/>
          <w:lang w:val="es-MX"/>
        </w:rPr>
        <w:t>los</w:t>
      </w:r>
      <w:r w:rsidRPr="00305AB1">
        <w:rPr>
          <w:rFonts w:ascii="Verdana" w:hAnsi="Verdana" w:cs="Arial"/>
          <w:spacing w:val="9"/>
          <w:sz w:val="20"/>
          <w:szCs w:val="20"/>
          <w:lang w:val="es-MX"/>
        </w:rPr>
        <w:t xml:space="preserve"> </w:t>
      </w:r>
      <w:r w:rsidRPr="00305AB1">
        <w:rPr>
          <w:rFonts w:ascii="Verdana" w:hAnsi="Verdana" w:cs="Arial"/>
          <w:sz w:val="20"/>
          <w:szCs w:val="20"/>
          <w:lang w:val="es-MX"/>
        </w:rPr>
        <w:t>calculó</w:t>
      </w:r>
      <w:r w:rsidRPr="00305AB1">
        <w:rPr>
          <w:rFonts w:ascii="Verdana" w:hAnsi="Verdana" w:cs="Arial"/>
          <w:spacing w:val="14"/>
          <w:sz w:val="20"/>
          <w:szCs w:val="20"/>
          <w:lang w:val="es-MX"/>
        </w:rPr>
        <w:t xml:space="preserve"> </w:t>
      </w:r>
      <w:r w:rsidRPr="00305AB1">
        <w:rPr>
          <w:rFonts w:ascii="Verdana" w:hAnsi="Verdana" w:cs="Arial"/>
          <w:sz w:val="20"/>
          <w:szCs w:val="20"/>
          <w:lang w:val="es-MX"/>
        </w:rPr>
        <w:t>y</w:t>
      </w:r>
      <w:r w:rsidRPr="00305AB1">
        <w:rPr>
          <w:rFonts w:ascii="Verdana" w:hAnsi="Verdana" w:cs="Arial"/>
          <w:spacing w:val="7"/>
          <w:sz w:val="20"/>
          <w:szCs w:val="20"/>
          <w:lang w:val="es-MX"/>
        </w:rPr>
        <w:t xml:space="preserve"> </w:t>
      </w:r>
      <w:r w:rsidRPr="00305AB1">
        <w:rPr>
          <w:rFonts w:ascii="Verdana" w:hAnsi="Verdana" w:cs="Arial"/>
          <w:sz w:val="20"/>
          <w:szCs w:val="20"/>
          <w:lang w:val="es-MX"/>
        </w:rPr>
        <w:t>soportar</w:t>
      </w:r>
      <w:r w:rsidRPr="00305AB1">
        <w:rPr>
          <w:rFonts w:ascii="Verdana" w:hAnsi="Verdana" w:cs="Arial"/>
          <w:spacing w:val="10"/>
          <w:sz w:val="20"/>
          <w:szCs w:val="20"/>
          <w:lang w:val="es-MX"/>
        </w:rPr>
        <w:t xml:space="preserve"> </w:t>
      </w:r>
      <w:r w:rsidRPr="00305AB1">
        <w:rPr>
          <w:rFonts w:ascii="Verdana" w:hAnsi="Verdana" w:cs="Arial"/>
          <w:sz w:val="20"/>
          <w:szCs w:val="20"/>
          <w:lang w:val="es-MX"/>
        </w:rPr>
        <w:t>sus</w:t>
      </w:r>
      <w:r w:rsidRPr="00305AB1">
        <w:rPr>
          <w:rFonts w:ascii="Verdana" w:hAnsi="Verdana" w:cs="Arial"/>
          <w:spacing w:val="9"/>
          <w:sz w:val="20"/>
          <w:szCs w:val="20"/>
          <w:lang w:val="es-MX"/>
        </w:rPr>
        <w:t xml:space="preserve"> </w:t>
      </w:r>
      <w:r w:rsidRPr="00305AB1">
        <w:rPr>
          <w:rFonts w:ascii="Verdana" w:hAnsi="Verdana" w:cs="Arial"/>
          <w:sz w:val="20"/>
          <w:szCs w:val="20"/>
          <w:lang w:val="es-MX"/>
        </w:rPr>
        <w:t>cálculos</w:t>
      </w:r>
      <w:r w:rsidRPr="00305AB1">
        <w:rPr>
          <w:rFonts w:ascii="Verdana" w:hAnsi="Verdana" w:cs="Arial"/>
          <w:spacing w:val="12"/>
          <w:sz w:val="20"/>
          <w:szCs w:val="20"/>
          <w:lang w:val="es-MX"/>
        </w:rPr>
        <w:t xml:space="preserve"> </w:t>
      </w:r>
      <w:r w:rsidRPr="00305AB1">
        <w:rPr>
          <w:rFonts w:ascii="Verdana" w:hAnsi="Verdana" w:cs="Arial"/>
          <w:sz w:val="20"/>
          <w:szCs w:val="20"/>
          <w:lang w:val="es-MX"/>
        </w:rPr>
        <w:t>de</w:t>
      </w:r>
      <w:r w:rsidRPr="00305AB1">
        <w:rPr>
          <w:rFonts w:ascii="Verdana" w:hAnsi="Verdana" w:cs="Arial"/>
          <w:spacing w:val="11"/>
          <w:sz w:val="20"/>
          <w:szCs w:val="20"/>
          <w:lang w:val="es-MX"/>
        </w:rPr>
        <w:t xml:space="preserve"> </w:t>
      </w:r>
      <w:r w:rsidRPr="00305AB1">
        <w:rPr>
          <w:rFonts w:ascii="Verdana" w:hAnsi="Verdana" w:cs="Arial"/>
          <w:sz w:val="20"/>
          <w:szCs w:val="20"/>
          <w:lang w:val="es-MX"/>
        </w:rPr>
        <w:t>presupuesto</w:t>
      </w:r>
      <w:r w:rsidRPr="00305AB1">
        <w:rPr>
          <w:rFonts w:ascii="Verdana" w:hAnsi="Verdana" w:cs="Arial"/>
          <w:spacing w:val="10"/>
          <w:sz w:val="20"/>
          <w:szCs w:val="20"/>
          <w:lang w:val="es-MX"/>
        </w:rPr>
        <w:t xml:space="preserve"> </w:t>
      </w:r>
      <w:r w:rsidRPr="00305AB1">
        <w:rPr>
          <w:rFonts w:ascii="Verdana" w:hAnsi="Verdana" w:cs="Arial"/>
          <w:sz w:val="20"/>
          <w:szCs w:val="20"/>
          <w:lang w:val="es-MX"/>
        </w:rPr>
        <w:t>en</w:t>
      </w:r>
      <w:r w:rsidRPr="00305AB1">
        <w:rPr>
          <w:rFonts w:ascii="Verdana" w:hAnsi="Verdana" w:cs="Arial"/>
          <w:spacing w:val="8"/>
          <w:sz w:val="20"/>
          <w:szCs w:val="20"/>
          <w:lang w:val="es-MX"/>
        </w:rPr>
        <w:t xml:space="preserve"> </w:t>
      </w:r>
      <w:r w:rsidRPr="00305AB1">
        <w:rPr>
          <w:rFonts w:ascii="Verdana" w:hAnsi="Verdana" w:cs="Arial"/>
          <w:sz w:val="20"/>
          <w:szCs w:val="20"/>
          <w:lang w:val="es-MX"/>
        </w:rPr>
        <w:t>la</w:t>
      </w:r>
      <w:r w:rsidRPr="00305AB1">
        <w:rPr>
          <w:rFonts w:ascii="Verdana" w:hAnsi="Verdana" w:cs="Arial"/>
          <w:spacing w:val="11"/>
          <w:sz w:val="20"/>
          <w:szCs w:val="20"/>
          <w:lang w:val="es-MX"/>
        </w:rPr>
        <w:t xml:space="preserve"> </w:t>
      </w:r>
      <w:r w:rsidRPr="00305AB1">
        <w:rPr>
          <w:rFonts w:ascii="Verdana" w:hAnsi="Verdana" w:cs="Arial"/>
          <w:sz w:val="20"/>
          <w:szCs w:val="20"/>
          <w:lang w:val="es-MX"/>
        </w:rPr>
        <w:t>estimación</w:t>
      </w:r>
      <w:r w:rsidRPr="00305AB1">
        <w:rPr>
          <w:rFonts w:ascii="Verdana" w:hAnsi="Verdana" w:cs="Arial"/>
          <w:spacing w:val="11"/>
          <w:sz w:val="20"/>
          <w:szCs w:val="20"/>
          <w:lang w:val="es-MX"/>
        </w:rPr>
        <w:t xml:space="preserve"> </w:t>
      </w:r>
      <w:r w:rsidRPr="00305AB1">
        <w:rPr>
          <w:rFonts w:ascii="Verdana" w:hAnsi="Verdana" w:cs="Arial"/>
          <w:sz w:val="20"/>
          <w:szCs w:val="20"/>
          <w:lang w:val="es-MX"/>
        </w:rPr>
        <w:t>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14:paraId="3E2C36DB" w14:textId="77777777" w:rsidR="00230752" w:rsidRPr="00305AB1" w:rsidRDefault="00230752" w:rsidP="00230752">
      <w:pPr>
        <w:widowControl w:val="0"/>
        <w:tabs>
          <w:tab w:val="left" w:pos="1217"/>
        </w:tabs>
        <w:autoSpaceDE w:val="0"/>
        <w:autoSpaceDN w:val="0"/>
        <w:spacing w:after="120" w:line="240" w:lineRule="auto"/>
        <w:ind w:left="709" w:right="709"/>
        <w:rPr>
          <w:rFonts w:ascii="Verdana" w:hAnsi="Verdana" w:cs="Arial"/>
          <w:sz w:val="20"/>
          <w:szCs w:val="20"/>
          <w:lang w:val="es-MX"/>
        </w:rPr>
      </w:pPr>
      <w:r w:rsidRPr="00305AB1">
        <w:rPr>
          <w:rFonts w:ascii="Verdana" w:hAnsi="Verdana" w:cs="Arial"/>
          <w:sz w:val="20"/>
          <w:szCs w:val="20"/>
          <w:lang w:val="es-MX"/>
        </w:rPr>
        <w:t>5. Los criterios para seleccionar la oferta más</w:t>
      </w:r>
      <w:r w:rsidRPr="00305AB1">
        <w:rPr>
          <w:rFonts w:ascii="Verdana" w:hAnsi="Verdana" w:cs="Arial"/>
          <w:spacing w:val="-7"/>
          <w:sz w:val="20"/>
          <w:szCs w:val="20"/>
          <w:lang w:val="es-MX"/>
        </w:rPr>
        <w:t xml:space="preserve"> </w:t>
      </w:r>
      <w:r w:rsidRPr="00305AB1">
        <w:rPr>
          <w:rFonts w:ascii="Verdana" w:hAnsi="Verdana" w:cs="Arial"/>
          <w:sz w:val="20"/>
          <w:szCs w:val="20"/>
          <w:lang w:val="es-MX"/>
        </w:rPr>
        <w:t>favorable.</w:t>
      </w:r>
    </w:p>
    <w:p w14:paraId="414153AA" w14:textId="77777777" w:rsidR="00230752" w:rsidRPr="00305AB1" w:rsidRDefault="00230752" w:rsidP="00230752">
      <w:pPr>
        <w:widowControl w:val="0"/>
        <w:tabs>
          <w:tab w:val="left" w:pos="1217"/>
        </w:tabs>
        <w:autoSpaceDE w:val="0"/>
        <w:autoSpaceDN w:val="0"/>
        <w:spacing w:after="120" w:line="240" w:lineRule="auto"/>
        <w:ind w:left="709" w:right="709"/>
        <w:rPr>
          <w:rFonts w:ascii="Verdana" w:hAnsi="Verdana" w:cs="Arial"/>
          <w:sz w:val="20"/>
          <w:szCs w:val="20"/>
          <w:lang w:val="es-MX"/>
        </w:rPr>
      </w:pPr>
      <w:r w:rsidRPr="00305AB1">
        <w:rPr>
          <w:rFonts w:ascii="Verdana" w:hAnsi="Verdana" w:cs="Arial"/>
          <w:sz w:val="20"/>
          <w:szCs w:val="20"/>
          <w:lang w:val="es-MX"/>
        </w:rPr>
        <w:t>6. El análisis de Riesgo y la forma de</w:t>
      </w:r>
      <w:r w:rsidRPr="00305AB1">
        <w:rPr>
          <w:rFonts w:ascii="Verdana" w:hAnsi="Verdana" w:cs="Arial"/>
          <w:spacing w:val="-8"/>
          <w:sz w:val="20"/>
          <w:szCs w:val="20"/>
          <w:lang w:val="es-MX"/>
        </w:rPr>
        <w:t xml:space="preserve"> </w:t>
      </w:r>
      <w:r w:rsidRPr="00305AB1">
        <w:rPr>
          <w:rFonts w:ascii="Verdana" w:hAnsi="Verdana" w:cs="Arial"/>
          <w:sz w:val="20"/>
          <w:szCs w:val="20"/>
          <w:lang w:val="es-MX"/>
        </w:rPr>
        <w:t>mitigarlo.</w:t>
      </w:r>
    </w:p>
    <w:p w14:paraId="02336E03" w14:textId="77777777" w:rsidR="00230752" w:rsidRPr="00305AB1" w:rsidRDefault="00230752" w:rsidP="00230752">
      <w:pPr>
        <w:widowControl w:val="0"/>
        <w:tabs>
          <w:tab w:val="left" w:pos="1443"/>
        </w:tabs>
        <w:autoSpaceDE w:val="0"/>
        <w:autoSpaceDN w:val="0"/>
        <w:spacing w:after="120" w:line="240" w:lineRule="auto"/>
        <w:ind w:left="709" w:right="709"/>
        <w:rPr>
          <w:rFonts w:ascii="Verdana" w:hAnsi="Verdana" w:cs="Arial"/>
          <w:sz w:val="20"/>
          <w:szCs w:val="20"/>
          <w:lang w:val="es-MX"/>
        </w:rPr>
      </w:pPr>
      <w:r w:rsidRPr="00305AB1">
        <w:rPr>
          <w:rFonts w:ascii="Verdana" w:hAnsi="Verdana" w:cs="Arial"/>
          <w:sz w:val="20"/>
          <w:szCs w:val="20"/>
          <w:lang w:val="es-MX"/>
        </w:rPr>
        <w:t>7. Las garantías que la Entidad Estatal contempla exigir en el Proceso de Contratación.</w:t>
      </w:r>
    </w:p>
    <w:p w14:paraId="0A1026FC" w14:textId="4E508781" w:rsidR="00230752" w:rsidRPr="00305AB1" w:rsidRDefault="00230752" w:rsidP="00230752">
      <w:pPr>
        <w:widowControl w:val="0"/>
        <w:tabs>
          <w:tab w:val="left" w:pos="1305"/>
        </w:tabs>
        <w:autoSpaceDE w:val="0"/>
        <w:autoSpaceDN w:val="0"/>
        <w:spacing w:after="120" w:line="240" w:lineRule="auto"/>
        <w:ind w:left="709" w:right="709"/>
        <w:rPr>
          <w:rFonts w:ascii="Verdana" w:hAnsi="Verdana" w:cs="Arial"/>
          <w:sz w:val="20"/>
          <w:szCs w:val="20"/>
          <w:lang w:val="es-MX"/>
        </w:rPr>
      </w:pPr>
      <w:r w:rsidRPr="00305AB1">
        <w:rPr>
          <w:rFonts w:ascii="Verdana" w:hAnsi="Verdana" w:cs="Arial"/>
          <w:sz w:val="20"/>
          <w:szCs w:val="20"/>
          <w:lang w:val="es-MX"/>
        </w:rPr>
        <w:t>8. La indicación de si el Proceso de Contratación está cobijado por un Acuerdo Comercial”.</w:t>
      </w:r>
    </w:p>
    <w:p w14:paraId="28B44660" w14:textId="77777777" w:rsidR="00230752" w:rsidRPr="00305AB1" w:rsidRDefault="00230752" w:rsidP="00230752">
      <w:pPr>
        <w:widowControl w:val="0"/>
        <w:tabs>
          <w:tab w:val="left" w:pos="1305"/>
        </w:tabs>
        <w:autoSpaceDE w:val="0"/>
        <w:autoSpaceDN w:val="0"/>
        <w:spacing w:after="0" w:line="240" w:lineRule="auto"/>
        <w:ind w:left="828" w:right="822"/>
        <w:rPr>
          <w:rFonts w:ascii="Verdana" w:hAnsi="Verdana" w:cs="Arial"/>
          <w:sz w:val="21"/>
          <w:szCs w:val="21"/>
          <w:lang w:val="es-MX"/>
        </w:rPr>
      </w:pPr>
    </w:p>
    <w:p w14:paraId="26FC9D85" w14:textId="58CA8A1E" w:rsidR="00230752" w:rsidRPr="00305AB1" w:rsidRDefault="00230752" w:rsidP="00230752">
      <w:pPr>
        <w:spacing w:after="120" w:line="276" w:lineRule="auto"/>
        <w:ind w:firstLine="709"/>
        <w:jc w:val="both"/>
        <w:rPr>
          <w:rFonts w:ascii="Verdana" w:hAnsi="Verdana"/>
          <w:lang w:val="es-MX"/>
        </w:rPr>
      </w:pPr>
      <w:bookmarkStart w:id="4" w:name="_Hlk54011351"/>
      <w:r w:rsidRPr="00305AB1">
        <w:rPr>
          <w:rFonts w:ascii="Verdana" w:hAnsi="Verdana"/>
          <w:lang w:val="es-MX"/>
        </w:rPr>
        <w:t xml:space="preserve">De esta manera, antes de iniciar un procedimiento de selección, la entidad estatal podrá determinar con los estudios previos: i) la verdadera necesidad de la celebración del contrato; </w:t>
      </w:r>
      <w:proofErr w:type="spellStart"/>
      <w:r w:rsidRPr="00305AB1">
        <w:rPr>
          <w:rFonts w:ascii="Verdana" w:hAnsi="Verdana"/>
          <w:lang w:val="es-MX"/>
        </w:rPr>
        <w:t>ii</w:t>
      </w:r>
      <w:proofErr w:type="spellEnd"/>
      <w:r w:rsidRPr="00305AB1">
        <w:rPr>
          <w:rFonts w:ascii="Verdana" w:hAnsi="Verdana"/>
          <w:lang w:val="es-MX"/>
        </w:rPr>
        <w:t xml:space="preserve">) las modalidades existentes para satisfacer esa necesidad y las razones que justifiquen la modalidad o tipo contractual que se escoja; </w:t>
      </w:r>
      <w:proofErr w:type="spellStart"/>
      <w:r w:rsidRPr="00305AB1">
        <w:rPr>
          <w:rFonts w:ascii="Verdana" w:hAnsi="Verdana"/>
          <w:lang w:val="es-MX"/>
        </w:rPr>
        <w:t>iii</w:t>
      </w:r>
      <w:proofErr w:type="spellEnd"/>
      <w:r w:rsidRPr="00305AB1">
        <w:rPr>
          <w:rFonts w:ascii="Verdana" w:hAnsi="Verdana"/>
          <w:lang w:val="es-MX"/>
        </w:rPr>
        <w:t xml:space="preserve">) las calidades, especificaciones, cantidades y demás características que puedan o deban reunir los bienes, las obras, los servicios, etcétera, cuya contratación, se haya determinado necesaria, </w:t>
      </w:r>
      <w:proofErr w:type="spellStart"/>
      <w:r w:rsidRPr="00305AB1">
        <w:rPr>
          <w:rFonts w:ascii="Verdana" w:hAnsi="Verdana"/>
          <w:lang w:val="es-MX"/>
        </w:rPr>
        <w:t>iv</w:t>
      </w:r>
      <w:proofErr w:type="spellEnd"/>
      <w:r w:rsidRPr="00305AB1">
        <w:rPr>
          <w:rFonts w:ascii="Verdana" w:hAnsi="Verdana"/>
          <w:lang w:val="es-MX"/>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305AB1">
        <w:rPr>
          <w:rFonts w:ascii="Verdana" w:hAnsi="Verdana"/>
          <w:lang w:val="es-MX"/>
        </w:rPr>
        <w:t>vii</w:t>
      </w:r>
      <w:proofErr w:type="spellEnd"/>
      <w:r w:rsidRPr="00305AB1">
        <w:rPr>
          <w:rFonts w:ascii="Verdana" w:hAnsi="Verdana"/>
          <w:lang w:val="es-MX"/>
        </w:rPr>
        <w:t>) los procedimientos, trámites y requisitos que deban satisfacerse, reunirse u obtenerse para llevar a cabo la selección del respectivo contratista y la celebración del contrato que se pretenda celebrar.</w:t>
      </w:r>
    </w:p>
    <w:bookmarkEnd w:id="4"/>
    <w:p w14:paraId="4433BAF0" w14:textId="77777777" w:rsidR="00230752" w:rsidRPr="00305AB1" w:rsidRDefault="00230752" w:rsidP="00230752">
      <w:pPr>
        <w:spacing w:after="120" w:line="276" w:lineRule="auto"/>
        <w:ind w:firstLine="709"/>
        <w:jc w:val="both"/>
        <w:rPr>
          <w:rFonts w:ascii="Verdana" w:hAnsi="Verdana"/>
          <w:lang w:val="es-MX"/>
        </w:rPr>
      </w:pPr>
      <w:r w:rsidRPr="00305AB1">
        <w:rPr>
          <w:rFonts w:ascii="Verdana" w:hAnsi="Verdana"/>
          <w:lang w:val="es-MX"/>
        </w:rPr>
        <w:t xml:space="preserve">Cuando las entidades cumplen con los elementos mínimos establecidos en la norma y aquellos adicionales que identifiquen en la etapa de planeación de los </w:t>
      </w:r>
      <w:r w:rsidRPr="00305AB1">
        <w:rPr>
          <w:rFonts w:ascii="Verdana" w:eastAsia="Calibri" w:hAnsi="Verdana"/>
          <w:bCs/>
          <w:lang w:val="es-ES_tradnl"/>
        </w:rPr>
        <w:t xml:space="preserve">procedimientos de contratación, permiten que los contratos resultantes cuenten con el sustento técnico, económico y jurídico que incidirá </w:t>
      </w:r>
      <w:r w:rsidRPr="00305AB1">
        <w:rPr>
          <w:rFonts w:ascii="Verdana" w:hAnsi="Verdana"/>
          <w:lang w:val="es-MX"/>
        </w:rPr>
        <w:t>en una adecuada ejecución.</w:t>
      </w:r>
    </w:p>
    <w:p w14:paraId="0F97738D" w14:textId="0EBCF5D5" w:rsidR="00230752" w:rsidRPr="00305AB1" w:rsidRDefault="00230752" w:rsidP="00305AB1">
      <w:pPr>
        <w:spacing w:after="120" w:line="276" w:lineRule="auto"/>
        <w:ind w:firstLine="709"/>
        <w:jc w:val="both"/>
        <w:rPr>
          <w:rFonts w:ascii="Verdana" w:hAnsi="Verdana"/>
          <w:lang w:val="es-MX"/>
        </w:rPr>
      </w:pPr>
      <w:r w:rsidRPr="00305AB1">
        <w:rPr>
          <w:rFonts w:ascii="Verdana" w:hAnsi="Verdana"/>
          <w:lang w:val="es-MX"/>
        </w:rPr>
        <w:lastRenderedPageBreak/>
        <w:t>Mas allá del cumplimiento de la normativa,</w:t>
      </w:r>
      <w:r w:rsidR="005673E8">
        <w:rPr>
          <w:rFonts w:ascii="Verdana" w:hAnsi="Verdana"/>
          <w:lang w:val="es-MX"/>
        </w:rPr>
        <w:t xml:space="preserve"> </w:t>
      </w:r>
      <w:r w:rsidR="005673E8" w:rsidRPr="00305AB1">
        <w:rPr>
          <w:rFonts w:ascii="Verdana" w:hAnsi="Verdana"/>
          <w:i/>
          <w:iCs/>
          <w:lang w:val="es-MX"/>
        </w:rPr>
        <w:t>“</w:t>
      </w:r>
      <w:r w:rsidRPr="00305AB1">
        <w:rPr>
          <w:rFonts w:ascii="Verdana" w:hAnsi="Verdana"/>
          <w:i/>
          <w:iCs/>
          <w:lang w:val="es-MX"/>
        </w:rPr>
        <w:t>los estudios y documentos previos son el soporte para elaborar el proyecto de pliegos, los pliegos de condiciones, y el contrato</w:t>
      </w:r>
      <w:r w:rsidR="005673E8" w:rsidRPr="00305AB1">
        <w:rPr>
          <w:rFonts w:ascii="Verdana" w:hAnsi="Verdana"/>
          <w:i/>
          <w:iCs/>
          <w:lang w:val="es-MX"/>
        </w:rPr>
        <w:t>”</w:t>
      </w:r>
      <w:r w:rsidRPr="00305AB1">
        <w:rPr>
          <w:rFonts w:ascii="Verdana" w:hAnsi="Verdana"/>
          <w:i/>
          <w:iCs/>
          <w:vertAlign w:val="superscript"/>
          <w:lang w:val="es-MX"/>
        </w:rPr>
        <w:footnoteReference w:id="3"/>
      </w:r>
      <w:r w:rsidRPr="00305AB1">
        <w:rPr>
          <w:rFonts w:ascii="Verdana" w:hAnsi="Verdana"/>
          <w:i/>
          <w:iCs/>
          <w:lang w:val="es-MX"/>
        </w:rPr>
        <w:t>,</w:t>
      </w:r>
      <w:r w:rsidRPr="00305AB1">
        <w:rPr>
          <w:rFonts w:ascii="Verdana" w:hAnsi="Verdana"/>
          <w:lang w:val="es-MX"/>
        </w:rPr>
        <w:t xml:space="preserve">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4038A8A9" w14:textId="77777777" w:rsidR="00230752" w:rsidRPr="00BE4CED" w:rsidRDefault="00230752" w:rsidP="00230752">
      <w:pPr>
        <w:spacing w:after="120" w:line="276" w:lineRule="auto"/>
        <w:ind w:right="105" w:firstLine="709"/>
        <w:jc w:val="both"/>
        <w:rPr>
          <w:rFonts w:ascii="Verdana" w:hAnsi="Verdana"/>
          <w:lang w:val="es-MX"/>
        </w:rPr>
      </w:pPr>
      <w:bookmarkStart w:id="6" w:name="_Hlk54011438"/>
      <w:r w:rsidRPr="00305AB1">
        <w:rPr>
          <w:rFonts w:ascii="Verdana" w:hAnsi="Verdana"/>
          <w:lang w:val="es-MX"/>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6"/>
      <w:r w:rsidRPr="00305AB1">
        <w:rPr>
          <w:rFonts w:ascii="Verdana" w:hAnsi="Verdana"/>
          <w:vertAlign w:val="superscript"/>
          <w:lang w:val="es-MX"/>
        </w:rPr>
        <w:footnoteReference w:id="4"/>
      </w:r>
      <w:r w:rsidRPr="00305AB1">
        <w:rPr>
          <w:rFonts w:ascii="Verdana" w:hAnsi="Verdana"/>
          <w:lang w:val="es-MX"/>
        </w:rPr>
        <w:t>.</w:t>
      </w:r>
    </w:p>
    <w:p w14:paraId="2D1ECE3D" w14:textId="24C21E47" w:rsidR="00CB4DCE" w:rsidRPr="00305AB1" w:rsidRDefault="00BE4CED" w:rsidP="00305AB1">
      <w:pPr>
        <w:pStyle w:val="Textoindependiente"/>
        <w:spacing w:line="276" w:lineRule="auto"/>
        <w:ind w:right="108" w:firstLine="708"/>
        <w:jc w:val="both"/>
        <w:rPr>
          <w:rFonts w:ascii="Verdana" w:hAnsi="Verdana"/>
        </w:rPr>
      </w:pPr>
      <w:r w:rsidRPr="00305AB1">
        <w:rPr>
          <w:rFonts w:ascii="Verdana" w:hAnsi="Verdana"/>
        </w:rPr>
        <w:t>De otra parte, es necesario explicar que, e</w:t>
      </w:r>
      <w:r w:rsidR="00CB4DCE" w:rsidRPr="00305AB1">
        <w:rPr>
          <w:rFonts w:ascii="Verdana" w:hAnsi="Verdana"/>
        </w:rPr>
        <w:t>l pliego de condiciones es la hoja de ruta o plan</w:t>
      </w:r>
      <w:r w:rsidR="00CB4DCE" w:rsidRPr="00305AB1">
        <w:rPr>
          <w:rStyle w:val="Refdenotaalpie"/>
          <w:rFonts w:ascii="Verdana" w:hAnsi="Verdana"/>
        </w:rPr>
        <w:footnoteReference w:id="5"/>
      </w:r>
      <w:r w:rsidR="00CB4DCE" w:rsidRPr="00305AB1">
        <w:rPr>
          <w:rFonts w:ascii="Verdana" w:hAnsi="Verdana"/>
        </w:rPr>
        <w:t xml:space="preserve"> sobre el cual se diseña, estructura y concreta el proceso de selección de contratistas. El mismo ha sido definido como un </w:t>
      </w:r>
      <w:r w:rsidR="00250DC2">
        <w:rPr>
          <w:rFonts w:ascii="Verdana" w:hAnsi="Verdana"/>
        </w:rPr>
        <w:t>“</w:t>
      </w:r>
      <w:r w:rsidR="00CB4DCE" w:rsidRPr="00305AB1">
        <w:rPr>
          <w:rFonts w:ascii="Verdana" w:hAnsi="Verdana"/>
        </w:rPr>
        <w:t>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r w:rsidR="00250DC2">
        <w:rPr>
          <w:rFonts w:ascii="Verdana" w:hAnsi="Verdana"/>
        </w:rPr>
        <w:t>”</w:t>
      </w:r>
      <w:r w:rsidR="00CB4DCE" w:rsidRPr="00305AB1">
        <w:rPr>
          <w:rStyle w:val="Refdenotaalpie"/>
          <w:rFonts w:ascii="Verdana" w:hAnsi="Verdana"/>
        </w:rPr>
        <w:footnoteReference w:id="6"/>
      </w:r>
      <w:r w:rsidR="00CB4DCE" w:rsidRPr="00305AB1">
        <w:rPr>
          <w:rFonts w:ascii="Verdana" w:hAnsi="Verdana"/>
        </w:rPr>
        <w:t>.</w:t>
      </w:r>
    </w:p>
    <w:p w14:paraId="11DAB641" w14:textId="77777777" w:rsidR="00CB4DCE" w:rsidRPr="00305AB1" w:rsidRDefault="00CB4DCE" w:rsidP="00CB4DCE">
      <w:pPr>
        <w:pStyle w:val="Textoindependiente"/>
        <w:spacing w:line="276" w:lineRule="auto"/>
        <w:ind w:right="108" w:firstLine="708"/>
        <w:jc w:val="both"/>
        <w:rPr>
          <w:rFonts w:ascii="Verdana" w:hAnsi="Verdana"/>
        </w:rPr>
      </w:pPr>
      <w:r w:rsidRPr="00305AB1">
        <w:rPr>
          <w:rFonts w:ascii="Verdana" w:hAnsi="Verdana"/>
        </w:rPr>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convierte en una reglamentación de todo el </w:t>
      </w:r>
      <w:proofErr w:type="spellStart"/>
      <w:r w:rsidRPr="00305AB1">
        <w:rPr>
          <w:rFonts w:ascii="Verdana" w:hAnsi="Verdana"/>
          <w:i/>
          <w:iCs/>
        </w:rPr>
        <w:t>iter</w:t>
      </w:r>
      <w:proofErr w:type="spellEnd"/>
      <w:r w:rsidRPr="00305AB1">
        <w:rPr>
          <w:rFonts w:ascii="Verdana" w:hAnsi="Verdana"/>
        </w:rPr>
        <w:t xml:space="preserve"> contractual. Su </w:t>
      </w:r>
      <w:r w:rsidRPr="00305AB1">
        <w:rPr>
          <w:rFonts w:ascii="Verdana" w:hAnsi="Verdana"/>
        </w:rPr>
        <w:lastRenderedPageBreak/>
        <w:t>contenido</w:t>
      </w:r>
      <w:r w:rsidRPr="00305AB1">
        <w:rPr>
          <w:rStyle w:val="Refdenotaalpie"/>
          <w:rFonts w:ascii="Verdana" w:hAnsi="Verdana"/>
        </w:rPr>
        <w:footnoteReference w:id="7"/>
      </w:r>
      <w:r w:rsidRPr="00305AB1">
        <w:rPr>
          <w:rFonts w:ascii="Verdana" w:hAnsi="Verdana"/>
        </w:rPr>
        <w:t xml:space="preserve"> está previsto en el numeral 5 del artículo 24 de la Ley 80 de 1993, que establece algunas directrices que deben tenerse en cuenta en su elaboración:</w:t>
      </w:r>
    </w:p>
    <w:p w14:paraId="11F6CA49" w14:textId="1F47F2F0" w:rsidR="00CB4DCE" w:rsidRPr="00305AB1" w:rsidRDefault="00BE4CED" w:rsidP="00CB4DCE">
      <w:pPr>
        <w:pStyle w:val="Textoindependiente"/>
        <w:ind w:left="709" w:right="709"/>
        <w:rPr>
          <w:rFonts w:ascii="Verdana" w:hAnsi="Verdana"/>
          <w:sz w:val="20"/>
          <w:szCs w:val="20"/>
        </w:rPr>
      </w:pPr>
      <w:r w:rsidRPr="00305AB1">
        <w:rPr>
          <w:rFonts w:ascii="Verdana" w:hAnsi="Verdana"/>
          <w:sz w:val="20"/>
          <w:szCs w:val="20"/>
        </w:rPr>
        <w:t>“</w:t>
      </w:r>
      <w:r w:rsidR="00CB4DCE" w:rsidRPr="00305AB1">
        <w:rPr>
          <w:rFonts w:ascii="Verdana" w:hAnsi="Verdana"/>
          <w:sz w:val="20"/>
          <w:szCs w:val="20"/>
        </w:rPr>
        <w:t>[…] 5o. En los pliegos de condiciones:</w:t>
      </w:r>
    </w:p>
    <w:p w14:paraId="43BAFF1A" w14:textId="77777777" w:rsidR="00CB4DCE" w:rsidRPr="00305AB1" w:rsidRDefault="00CB4DCE" w:rsidP="00CB4DCE">
      <w:pPr>
        <w:pStyle w:val="Prrafodelista"/>
        <w:widowControl w:val="0"/>
        <w:numPr>
          <w:ilvl w:val="2"/>
          <w:numId w:val="18"/>
        </w:numPr>
        <w:tabs>
          <w:tab w:val="left" w:pos="1126"/>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indicarán los requisitos objetivos necesarios para participar en el correspondiente proceso de</w:t>
      </w:r>
      <w:r w:rsidRPr="00305AB1">
        <w:rPr>
          <w:rFonts w:ascii="Verdana" w:hAnsi="Verdana" w:cs="Arial"/>
          <w:spacing w:val="-2"/>
          <w:sz w:val="20"/>
          <w:szCs w:val="20"/>
        </w:rPr>
        <w:t xml:space="preserve"> </w:t>
      </w:r>
      <w:r w:rsidRPr="00305AB1">
        <w:rPr>
          <w:rFonts w:ascii="Verdana" w:hAnsi="Verdana" w:cs="Arial"/>
          <w:sz w:val="20"/>
          <w:szCs w:val="20"/>
        </w:rPr>
        <w:t>selección.</w:t>
      </w:r>
    </w:p>
    <w:p w14:paraId="77D96534" w14:textId="77777777" w:rsidR="00CB4DCE" w:rsidRPr="00305AB1" w:rsidRDefault="00CB4DCE" w:rsidP="00CB4DCE">
      <w:pPr>
        <w:pStyle w:val="Prrafodelista"/>
        <w:widowControl w:val="0"/>
        <w:numPr>
          <w:ilvl w:val="2"/>
          <w:numId w:val="18"/>
        </w:numPr>
        <w:tabs>
          <w:tab w:val="left" w:pos="1088"/>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definirán reglas objetivas, justas, claras y completas que permitan la confección de ofrecimientos de la misma índole, aseguren una escogencia objetiva y eviten las declaratorias de desierta de la</w:t>
      </w:r>
      <w:r w:rsidRPr="00305AB1">
        <w:rPr>
          <w:rFonts w:ascii="Verdana" w:hAnsi="Verdana" w:cs="Arial"/>
          <w:spacing w:val="-16"/>
          <w:sz w:val="20"/>
          <w:szCs w:val="20"/>
        </w:rPr>
        <w:t xml:space="preserve"> </w:t>
      </w:r>
      <w:r w:rsidRPr="00305AB1">
        <w:rPr>
          <w:rFonts w:ascii="Verdana" w:hAnsi="Verdana" w:cs="Arial"/>
          <w:sz w:val="20"/>
          <w:szCs w:val="20"/>
        </w:rPr>
        <w:t>licitación.</w:t>
      </w:r>
    </w:p>
    <w:p w14:paraId="6A0C7725" w14:textId="77777777" w:rsidR="00CB4DCE" w:rsidRPr="00305AB1" w:rsidRDefault="00CB4DCE" w:rsidP="00CB4DCE">
      <w:pPr>
        <w:pStyle w:val="Prrafodelista"/>
        <w:widowControl w:val="0"/>
        <w:numPr>
          <w:ilvl w:val="2"/>
          <w:numId w:val="18"/>
        </w:numPr>
        <w:tabs>
          <w:tab w:val="left" w:pos="1108"/>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definirán con precisión las condiciones de costo y calidad de los bienes, obras o servicios necesarios para la ejecución del objeto del</w:t>
      </w:r>
      <w:r w:rsidRPr="00305AB1">
        <w:rPr>
          <w:rFonts w:ascii="Verdana" w:hAnsi="Verdana" w:cs="Arial"/>
          <w:spacing w:val="-43"/>
          <w:sz w:val="20"/>
          <w:szCs w:val="20"/>
        </w:rPr>
        <w:t xml:space="preserve"> </w:t>
      </w:r>
      <w:r w:rsidRPr="00305AB1">
        <w:rPr>
          <w:rFonts w:ascii="Verdana" w:hAnsi="Verdana" w:cs="Arial"/>
          <w:sz w:val="20"/>
          <w:szCs w:val="20"/>
        </w:rPr>
        <w:t>contrato.</w:t>
      </w:r>
    </w:p>
    <w:p w14:paraId="7B43BEFF" w14:textId="77777777" w:rsidR="00CB4DCE" w:rsidRPr="00305AB1" w:rsidRDefault="00CB4DCE" w:rsidP="00CB4DCE">
      <w:pPr>
        <w:pStyle w:val="Prrafodelista"/>
        <w:widowControl w:val="0"/>
        <w:numPr>
          <w:ilvl w:val="2"/>
          <w:numId w:val="18"/>
        </w:numPr>
        <w:tabs>
          <w:tab w:val="left" w:pos="1108"/>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No se incluirán condiciones y exigencias de imposible cumplimiento, ni exenciones de la responsabilidad derivada de los datos, informes y documentos que se suministren.</w:t>
      </w:r>
    </w:p>
    <w:p w14:paraId="710346CD" w14:textId="77777777" w:rsidR="00CB4DCE" w:rsidRPr="00305AB1" w:rsidRDefault="00CB4DCE" w:rsidP="00CB4DCE">
      <w:pPr>
        <w:pStyle w:val="Prrafodelista"/>
        <w:widowControl w:val="0"/>
        <w:numPr>
          <w:ilvl w:val="2"/>
          <w:numId w:val="18"/>
        </w:numPr>
        <w:tabs>
          <w:tab w:val="left" w:pos="1151"/>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definirán reglas que no induzcan a error a los proponentes y contratistas y que impidan la Formulación de ofrecimientos de extensión ilimitada o que dependan de la voluntad exclusiva de la</w:t>
      </w:r>
      <w:r w:rsidRPr="00305AB1">
        <w:rPr>
          <w:rFonts w:ascii="Verdana" w:hAnsi="Verdana" w:cs="Arial"/>
          <w:spacing w:val="-20"/>
          <w:sz w:val="20"/>
          <w:szCs w:val="20"/>
        </w:rPr>
        <w:t xml:space="preserve"> </w:t>
      </w:r>
      <w:r w:rsidRPr="00305AB1">
        <w:rPr>
          <w:rFonts w:ascii="Verdana" w:hAnsi="Verdana" w:cs="Arial"/>
          <w:sz w:val="20"/>
          <w:szCs w:val="20"/>
        </w:rPr>
        <w:t>entidad.</w:t>
      </w:r>
    </w:p>
    <w:p w14:paraId="25C02494" w14:textId="77777777" w:rsidR="00CB4DCE" w:rsidRPr="00305AB1" w:rsidRDefault="00CB4DCE" w:rsidP="00CB4DCE">
      <w:pPr>
        <w:pStyle w:val="Prrafodelista"/>
        <w:widowControl w:val="0"/>
        <w:numPr>
          <w:ilvl w:val="2"/>
          <w:numId w:val="18"/>
        </w:numPr>
        <w:tabs>
          <w:tab w:val="left" w:pos="1016"/>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definirá el plazo para la liquidación del contrato, cuando a ello hubiere lugar, teniendo en cuenta su objeto, naturaleza y</w:t>
      </w:r>
      <w:r w:rsidRPr="00305AB1">
        <w:rPr>
          <w:rFonts w:ascii="Verdana" w:hAnsi="Verdana" w:cs="Arial"/>
          <w:spacing w:val="-13"/>
          <w:sz w:val="20"/>
          <w:szCs w:val="20"/>
        </w:rPr>
        <w:t xml:space="preserve"> </w:t>
      </w:r>
      <w:r w:rsidRPr="00305AB1">
        <w:rPr>
          <w:rFonts w:ascii="Verdana" w:hAnsi="Verdana" w:cs="Arial"/>
          <w:sz w:val="20"/>
          <w:szCs w:val="20"/>
        </w:rPr>
        <w:t>cuantía.</w:t>
      </w:r>
    </w:p>
    <w:p w14:paraId="57481037" w14:textId="030B47D3" w:rsidR="00CB4DCE" w:rsidRPr="00305AB1" w:rsidRDefault="00CB4DCE" w:rsidP="00CB4DCE">
      <w:pPr>
        <w:pStyle w:val="Textoindependiente"/>
        <w:ind w:left="709" w:right="709"/>
        <w:jc w:val="both"/>
        <w:rPr>
          <w:rFonts w:ascii="Verdana" w:hAnsi="Verdana"/>
          <w:sz w:val="20"/>
          <w:szCs w:val="20"/>
        </w:rPr>
      </w:pPr>
      <w:r w:rsidRPr="00305AB1">
        <w:rPr>
          <w:rFonts w:ascii="Verdana" w:hAnsi="Verdana"/>
          <w:sz w:val="20"/>
          <w:szCs w:val="20"/>
        </w:rPr>
        <w:t>Serán ineficaces de pleno derecho las estipulaciones de los pliegos y de los contratos que contravengan lo dispuesto en este numeral, o dispongan renuncias a reclamaciones por la ocurrencia de los hechos aquí enunciados</w:t>
      </w:r>
      <w:r w:rsidR="00BE4CED" w:rsidRPr="00305AB1">
        <w:rPr>
          <w:rFonts w:ascii="Verdana" w:hAnsi="Verdana"/>
          <w:sz w:val="20"/>
          <w:szCs w:val="20"/>
        </w:rPr>
        <w:t>”</w:t>
      </w:r>
      <w:r w:rsidRPr="00305AB1">
        <w:rPr>
          <w:rFonts w:ascii="Verdana" w:hAnsi="Verdana"/>
          <w:sz w:val="20"/>
          <w:szCs w:val="20"/>
        </w:rPr>
        <w:t>.</w:t>
      </w:r>
    </w:p>
    <w:p w14:paraId="3EBBE6C7" w14:textId="77777777" w:rsidR="00410401" w:rsidRPr="00305AB1" w:rsidRDefault="00410401" w:rsidP="00410401">
      <w:pPr>
        <w:spacing w:line="276" w:lineRule="auto"/>
        <w:ind w:firstLine="708"/>
        <w:jc w:val="both"/>
        <w:rPr>
          <w:rFonts w:ascii="Verdana" w:hAnsi="Verdana" w:cs="Arial"/>
          <w:color w:val="000000" w:themeColor="text1"/>
          <w:sz w:val="20"/>
          <w:szCs w:val="20"/>
        </w:rPr>
      </w:pPr>
      <w:r w:rsidRPr="00305AB1">
        <w:rPr>
          <w:rFonts w:ascii="Verdana" w:eastAsia="Calibri" w:hAnsi="Verdana" w:cs="Arial"/>
          <w:color w:val="000000" w:themeColor="text1"/>
        </w:rPr>
        <w:t>Sumado a lo anterior, la Corte Constitucional ha señalado, frente a la selección objetiva, que la entidad no puede establecer reglas subjetivas, sino que deben ser razonables, de acuerdo con las normas que rigen la actividad contractual</w:t>
      </w:r>
      <w:r w:rsidRPr="00305AB1">
        <w:rPr>
          <w:rStyle w:val="Refdenotaalpie"/>
          <w:rFonts w:ascii="Verdana" w:eastAsia="Calibri" w:hAnsi="Verdana" w:cs="Arial"/>
          <w:color w:val="000000" w:themeColor="text1"/>
        </w:rPr>
        <w:footnoteReference w:id="8"/>
      </w:r>
      <w:r w:rsidRPr="00305AB1">
        <w:rPr>
          <w:rFonts w:ascii="Verdana" w:eastAsia="Calibri" w:hAnsi="Verdana" w:cs="Arial"/>
          <w:color w:val="000000" w:themeColor="text1"/>
        </w:rPr>
        <w:t xml:space="preserve">; y en otro pronunciamiento, el Consejo de Estado consideró que la autonomía que tienen las entidades frente a la configuración de los pliegos de </w:t>
      </w:r>
      <w:r w:rsidRPr="00305AB1">
        <w:rPr>
          <w:rFonts w:ascii="Verdana" w:eastAsia="Calibri" w:hAnsi="Verdana" w:cs="Arial"/>
          <w:color w:val="000000" w:themeColor="text1"/>
        </w:rPr>
        <w:lastRenderedPageBreak/>
        <w:t>condiciones y los criterios de selección de los procedimientos de contratación no es absoluta, y debe tener relación con los fines de la contratación estatal:</w:t>
      </w:r>
      <w:r w:rsidRPr="00305AB1">
        <w:rPr>
          <w:rFonts w:ascii="Verdana" w:hAnsi="Verdana" w:cs="Arial"/>
          <w:color w:val="000000" w:themeColor="text1"/>
          <w:sz w:val="20"/>
          <w:szCs w:val="20"/>
        </w:rPr>
        <w:t xml:space="preserve"> </w:t>
      </w:r>
    </w:p>
    <w:p w14:paraId="6105F7D4" w14:textId="36AA4483" w:rsidR="00410401" w:rsidRPr="00305AB1" w:rsidRDefault="00BE4CED" w:rsidP="00305AB1">
      <w:pPr>
        <w:spacing w:after="0"/>
        <w:ind w:left="709" w:right="709"/>
        <w:jc w:val="both"/>
        <w:rPr>
          <w:rFonts w:ascii="Verdana" w:hAnsi="Verdana" w:cs="Arial"/>
          <w:color w:val="000000" w:themeColor="text1"/>
          <w:sz w:val="20"/>
          <w:szCs w:val="20"/>
        </w:rPr>
      </w:pPr>
      <w:r w:rsidRPr="00305AB1">
        <w:rPr>
          <w:rFonts w:ascii="Verdana" w:hAnsi="Verdana" w:cs="Arial"/>
          <w:color w:val="000000" w:themeColor="text1"/>
          <w:sz w:val="20"/>
          <w:szCs w:val="20"/>
        </w:rPr>
        <w:t>“</w:t>
      </w:r>
      <w:r w:rsidR="00410401" w:rsidRPr="00305AB1">
        <w:rPr>
          <w:rFonts w:ascii="Verdana" w:hAnsi="Verdana" w:cs="Arial"/>
          <w:color w:val="000000" w:themeColor="text1"/>
          <w:sz w:val="20"/>
          <w:szCs w:val="20"/>
        </w:rPr>
        <w:t>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305AB1">
        <w:rPr>
          <w:rFonts w:ascii="Verdana" w:hAnsi="Verdana" w:cs="Arial"/>
          <w:color w:val="000000" w:themeColor="text1"/>
          <w:sz w:val="20"/>
          <w:szCs w:val="20"/>
        </w:rPr>
        <w:t>”</w:t>
      </w:r>
      <w:r w:rsidR="00410401" w:rsidRPr="00305AB1">
        <w:rPr>
          <w:rStyle w:val="Refdenotaalpie"/>
          <w:rFonts w:ascii="Verdana" w:hAnsi="Verdana" w:cs="Arial"/>
          <w:color w:val="000000" w:themeColor="text1"/>
          <w:sz w:val="20"/>
          <w:szCs w:val="20"/>
        </w:rPr>
        <w:footnoteReference w:id="9"/>
      </w:r>
      <w:r w:rsidR="00410401" w:rsidRPr="00305AB1">
        <w:rPr>
          <w:rFonts w:ascii="Verdana" w:hAnsi="Verdana" w:cs="Arial"/>
          <w:color w:val="000000" w:themeColor="text1"/>
          <w:sz w:val="20"/>
          <w:szCs w:val="20"/>
        </w:rPr>
        <w:t>.</w:t>
      </w:r>
    </w:p>
    <w:p w14:paraId="78CDCB6A" w14:textId="77777777" w:rsidR="004412D0" w:rsidRDefault="004412D0" w:rsidP="00305AB1">
      <w:pPr>
        <w:spacing w:after="0" w:line="276" w:lineRule="auto"/>
        <w:ind w:firstLine="708"/>
        <w:jc w:val="both"/>
        <w:rPr>
          <w:rFonts w:ascii="Verdana" w:eastAsia="Calibri" w:hAnsi="Verdana" w:cs="Arial"/>
          <w:color w:val="000000" w:themeColor="text1"/>
        </w:rPr>
      </w:pPr>
    </w:p>
    <w:p w14:paraId="2BFAE97F" w14:textId="48E5A47E" w:rsidR="00C202AA" w:rsidRPr="00E861C6" w:rsidRDefault="002C29AA" w:rsidP="00E861C6">
      <w:pPr>
        <w:spacing w:after="120" w:line="276" w:lineRule="auto"/>
        <w:ind w:firstLine="708"/>
        <w:jc w:val="both"/>
        <w:rPr>
          <w:rFonts w:ascii="Verdana" w:eastAsia="Calibri" w:hAnsi="Verdana" w:cs="Arial"/>
          <w:color w:val="000000" w:themeColor="text1"/>
        </w:rPr>
      </w:pPr>
      <w:r w:rsidRPr="00305AB1">
        <w:rPr>
          <w:rFonts w:ascii="Verdana" w:eastAsia="Calibri" w:hAnsi="Verdana" w:cs="Arial"/>
          <w:color w:val="000000" w:themeColor="text1"/>
        </w:rPr>
        <w:t>También, el Consejo de Estado ha determinado que el pliego de condiciones es ley para las partes, y en él se debe establecer la regulación del procedimiento de contratación, conforme a la ley, garantizando la selección objetiva del contratista</w:t>
      </w:r>
      <w:r w:rsidRPr="00305AB1">
        <w:rPr>
          <w:rStyle w:val="Refdenotaalpie"/>
          <w:rFonts w:ascii="Verdana" w:eastAsia="Calibri" w:hAnsi="Verdana" w:cs="Arial"/>
          <w:color w:val="000000" w:themeColor="text1"/>
        </w:rPr>
        <w:footnoteReference w:id="10"/>
      </w:r>
      <w:r w:rsidRPr="00305AB1">
        <w:rPr>
          <w:rFonts w:ascii="Verdana" w:eastAsia="Calibri" w:hAnsi="Verdana" w:cs="Arial"/>
          <w:color w:val="000000" w:themeColor="text1"/>
        </w:rPr>
        <w:t xml:space="preserve">.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w:t>
      </w:r>
      <w:proofErr w:type="spellStart"/>
      <w:r w:rsidRPr="00305AB1">
        <w:rPr>
          <w:rFonts w:ascii="Verdana" w:eastAsia="Calibri" w:hAnsi="Verdana" w:cs="Arial"/>
          <w:color w:val="000000" w:themeColor="text1"/>
        </w:rPr>
        <w:t>ii</w:t>
      </w:r>
      <w:proofErr w:type="spellEnd"/>
      <w:r w:rsidRPr="00305AB1">
        <w:rPr>
          <w:rFonts w:ascii="Verdana" w:eastAsia="Calibri" w:hAnsi="Verdana" w:cs="Arial"/>
          <w:color w:val="000000" w:themeColor="text1"/>
        </w:rPr>
        <w:t xml:space="preserve">) modalidad y criterios de selección, </w:t>
      </w:r>
      <w:proofErr w:type="spellStart"/>
      <w:r w:rsidRPr="00305AB1">
        <w:rPr>
          <w:rFonts w:ascii="Verdana" w:eastAsia="Calibri" w:hAnsi="Verdana" w:cs="Arial"/>
          <w:color w:val="000000" w:themeColor="text1"/>
        </w:rPr>
        <w:t>iii</w:t>
      </w:r>
      <w:proofErr w:type="spellEnd"/>
      <w:r w:rsidRPr="00305AB1">
        <w:rPr>
          <w:rFonts w:ascii="Verdana" w:eastAsia="Calibri" w:hAnsi="Verdana" w:cs="Arial"/>
          <w:color w:val="000000" w:themeColor="text1"/>
        </w:rPr>
        <w:t xml:space="preserve">) valoración económica del bien, obra o servicio, </w:t>
      </w:r>
      <w:proofErr w:type="spellStart"/>
      <w:r w:rsidRPr="00305AB1">
        <w:rPr>
          <w:rFonts w:ascii="Verdana" w:eastAsia="Calibri" w:hAnsi="Verdana" w:cs="Arial"/>
          <w:color w:val="000000" w:themeColor="text1"/>
        </w:rPr>
        <w:t>iv</w:t>
      </w:r>
      <w:proofErr w:type="spellEnd"/>
      <w:r w:rsidRPr="00305AB1">
        <w:rPr>
          <w:rFonts w:ascii="Verdana" w:eastAsia="Calibri" w:hAnsi="Verdana" w:cs="Arial"/>
          <w:color w:val="000000" w:themeColor="text1"/>
        </w:rPr>
        <w:t>) reglas de la presentación y manejo de las ofertas, v) riesgos y garantías, entre otros aspectos del contrato</w:t>
      </w:r>
      <w:r w:rsidRPr="00305AB1">
        <w:rPr>
          <w:rStyle w:val="Refdenotaalpie"/>
          <w:rFonts w:ascii="Verdana" w:eastAsia="Calibri" w:hAnsi="Verdana" w:cs="Arial"/>
          <w:color w:val="000000" w:themeColor="text1"/>
        </w:rPr>
        <w:footnoteReference w:id="11"/>
      </w:r>
      <w:r w:rsidRPr="00305AB1">
        <w:rPr>
          <w:rFonts w:ascii="Verdana" w:eastAsia="Calibri" w:hAnsi="Verdana" w:cs="Arial"/>
          <w:color w:val="000000" w:themeColor="text1"/>
        </w:rPr>
        <w:t>.</w:t>
      </w:r>
    </w:p>
    <w:p w14:paraId="18A6CBD2" w14:textId="75146F33" w:rsidR="003D7085" w:rsidRDefault="001A0A78" w:rsidP="00230752">
      <w:pPr>
        <w:spacing w:after="120" w:line="276" w:lineRule="auto"/>
        <w:ind w:right="105" w:firstLine="709"/>
        <w:jc w:val="both"/>
        <w:rPr>
          <w:rFonts w:ascii="Verdana" w:hAnsi="Verdana"/>
        </w:rPr>
      </w:pPr>
      <w:r>
        <w:rPr>
          <w:rFonts w:ascii="Verdana" w:hAnsi="Verdana"/>
        </w:rPr>
        <w:lastRenderedPageBreak/>
        <w:t xml:space="preserve">En todo caso, </w:t>
      </w:r>
      <w:r w:rsidR="008C253B">
        <w:rPr>
          <w:rFonts w:ascii="Verdana" w:hAnsi="Verdana"/>
        </w:rPr>
        <w:t xml:space="preserve">sin perjuicio de la discrecionalidad de las Entidades Estatales para determinar las reglas de participación </w:t>
      </w:r>
      <w:r w:rsidR="00C13723">
        <w:rPr>
          <w:rFonts w:ascii="Verdana" w:hAnsi="Verdana"/>
        </w:rPr>
        <w:t>y escogencia que resulten más razonables para el objeto a contratar, estas deben configurar el pliego de condiciones garantizando la selección objetiva, de acuerdo con el artículo 5 de la Ley 1150 de 2007. Esto</w:t>
      </w:r>
      <w:r w:rsidR="00937D66">
        <w:rPr>
          <w:rFonts w:ascii="Verdana" w:hAnsi="Verdana"/>
        </w:rPr>
        <w:t xml:space="preserve"> </w:t>
      </w:r>
      <w:r w:rsidR="00C13723">
        <w:rPr>
          <w:rFonts w:ascii="Verdana" w:hAnsi="Verdana"/>
        </w:rPr>
        <w:t>supone establecer requisitos habilitantes y ponderables</w:t>
      </w:r>
      <w:r w:rsidR="00937D66">
        <w:rPr>
          <w:rFonts w:ascii="Verdana" w:hAnsi="Verdana"/>
        </w:rPr>
        <w:t xml:space="preserve">, adecuados y proporcionales para el objeto del contrato, así como la aplicación de la normativa que resulte relevante </w:t>
      </w:r>
      <w:r w:rsidR="00EF7272">
        <w:rPr>
          <w:rFonts w:ascii="Verdana" w:hAnsi="Verdana"/>
        </w:rPr>
        <w:t xml:space="preserve">para los procesos de contratación, como, por ejemplo, la referente a criterios diferenciales adoptados por la Ley </w:t>
      </w:r>
      <w:r w:rsidR="00426F5A">
        <w:rPr>
          <w:rFonts w:ascii="Verdana" w:hAnsi="Verdana"/>
        </w:rPr>
        <w:t>2069 de 2020 –arts. 31 y 32– o el Decreto 392 de 2018</w:t>
      </w:r>
      <w:r w:rsidR="00344143">
        <w:rPr>
          <w:rFonts w:ascii="Verdana" w:hAnsi="Verdana"/>
        </w:rPr>
        <w:t>, cuestiones que son temas de los estudios previos y el análisis del sector,</w:t>
      </w:r>
      <w:r w:rsidR="003169F7">
        <w:rPr>
          <w:rFonts w:ascii="Verdana" w:hAnsi="Verdana"/>
        </w:rPr>
        <w:t xml:space="preserve"> razón por la cual el pliego de condiciones debe re</w:t>
      </w:r>
      <w:r w:rsidR="003D7085">
        <w:rPr>
          <w:rFonts w:ascii="Verdana" w:hAnsi="Verdana"/>
        </w:rPr>
        <w:t xml:space="preserve">flejar el contenido de dichos documentos precontractuales. </w:t>
      </w:r>
    </w:p>
    <w:p w14:paraId="2484C7A1" w14:textId="77777777" w:rsidR="00CE67FF" w:rsidRDefault="003D7085" w:rsidP="00230752">
      <w:pPr>
        <w:spacing w:after="120" w:line="276" w:lineRule="auto"/>
        <w:ind w:right="105" w:firstLine="709"/>
        <w:jc w:val="both"/>
        <w:rPr>
          <w:rFonts w:ascii="Verdana" w:hAnsi="Verdana"/>
        </w:rPr>
      </w:pPr>
      <w:r>
        <w:rPr>
          <w:rFonts w:ascii="Verdana" w:hAnsi="Verdana"/>
        </w:rPr>
        <w:t>En consideraci</w:t>
      </w:r>
      <w:r w:rsidR="0000610F">
        <w:rPr>
          <w:rFonts w:ascii="Verdana" w:hAnsi="Verdana"/>
        </w:rPr>
        <w:t>ón a esto, el Estatuto General de Contratación de la Administración Pública, fuera de la</w:t>
      </w:r>
      <w:r w:rsidR="004F7D2C">
        <w:rPr>
          <w:rFonts w:ascii="Verdana" w:hAnsi="Verdana"/>
        </w:rPr>
        <w:t xml:space="preserve"> potestad exorbitante de interpretación unilateral</w:t>
      </w:r>
      <w:r w:rsidR="006E3CBD">
        <w:rPr>
          <w:rFonts w:ascii="Verdana" w:hAnsi="Verdana"/>
        </w:rPr>
        <w:t xml:space="preserve"> establecida</w:t>
      </w:r>
      <w:r w:rsidR="00783859">
        <w:rPr>
          <w:rFonts w:ascii="Verdana" w:hAnsi="Verdana"/>
        </w:rPr>
        <w:t xml:space="preserve"> en el artículo 14</w:t>
      </w:r>
      <w:r w:rsidR="00E01883">
        <w:rPr>
          <w:rFonts w:ascii="Verdana" w:hAnsi="Verdana"/>
        </w:rPr>
        <w:t xml:space="preserve">, </w:t>
      </w:r>
      <w:r w:rsidR="00FC01E3">
        <w:rPr>
          <w:rFonts w:ascii="Verdana" w:hAnsi="Verdana"/>
        </w:rPr>
        <w:t>el componente del principio de economía referido por el numeral 2° del artículo 25</w:t>
      </w:r>
      <w:r w:rsidR="00811F68">
        <w:rPr>
          <w:rStyle w:val="Refdenotaalpie"/>
          <w:rFonts w:ascii="Verdana" w:hAnsi="Verdana"/>
        </w:rPr>
        <w:footnoteReference w:id="12"/>
      </w:r>
      <w:r w:rsidR="00783859">
        <w:rPr>
          <w:rFonts w:ascii="Verdana" w:hAnsi="Verdana"/>
        </w:rPr>
        <w:t xml:space="preserve"> y la</w:t>
      </w:r>
      <w:r w:rsidR="004F7D2C">
        <w:rPr>
          <w:rFonts w:ascii="Verdana" w:hAnsi="Verdana"/>
        </w:rPr>
        <w:t xml:space="preserve"> </w:t>
      </w:r>
      <w:r w:rsidR="0000610F">
        <w:rPr>
          <w:rFonts w:ascii="Verdana" w:hAnsi="Verdana"/>
        </w:rPr>
        <w:t xml:space="preserve">regla general de interpretación </w:t>
      </w:r>
      <w:r w:rsidR="00FC01E3">
        <w:rPr>
          <w:rFonts w:ascii="Verdana" w:hAnsi="Verdana"/>
        </w:rPr>
        <w:t>consagrada</w:t>
      </w:r>
      <w:r w:rsidR="0000610F">
        <w:rPr>
          <w:rFonts w:ascii="Verdana" w:hAnsi="Verdana"/>
        </w:rPr>
        <w:t xml:space="preserve"> en el artículo </w:t>
      </w:r>
      <w:r w:rsidR="004F7D2C">
        <w:rPr>
          <w:rFonts w:ascii="Verdana" w:hAnsi="Verdana"/>
        </w:rPr>
        <w:t>28 de la Ley</w:t>
      </w:r>
      <w:r w:rsidR="00426F5A">
        <w:rPr>
          <w:rFonts w:ascii="Verdana" w:hAnsi="Verdana"/>
        </w:rPr>
        <w:t xml:space="preserve"> </w:t>
      </w:r>
      <w:r w:rsidR="00725C02">
        <w:rPr>
          <w:rFonts w:ascii="Verdana" w:hAnsi="Verdana"/>
        </w:rPr>
        <w:t>80 de 1993</w:t>
      </w:r>
      <w:r w:rsidR="00725C02">
        <w:rPr>
          <w:rStyle w:val="Refdenotaalpie"/>
          <w:rFonts w:ascii="Verdana" w:hAnsi="Verdana"/>
        </w:rPr>
        <w:footnoteReference w:id="13"/>
      </w:r>
      <w:r w:rsidR="00783859">
        <w:rPr>
          <w:rFonts w:ascii="Verdana" w:hAnsi="Verdana"/>
        </w:rPr>
        <w:t>, no establece</w:t>
      </w:r>
      <w:r w:rsidR="00BE2CB3">
        <w:rPr>
          <w:rFonts w:ascii="Verdana" w:hAnsi="Verdana"/>
        </w:rPr>
        <w:t xml:space="preserve"> una </w:t>
      </w:r>
      <w:r w:rsidR="00BE2CB3">
        <w:rPr>
          <w:rFonts w:ascii="Verdana" w:hAnsi="Verdana"/>
        </w:rPr>
        <w:lastRenderedPageBreak/>
        <w:t xml:space="preserve">disposición que prevea </w:t>
      </w:r>
      <w:r w:rsidR="00DF2368">
        <w:rPr>
          <w:rFonts w:ascii="Verdana" w:hAnsi="Verdana"/>
        </w:rPr>
        <w:t xml:space="preserve">la posibilidad de interpretar discrepancias entre los documentos precontractuales, el pliego de condiciones y la minuta del contrato documentos precontractuales. </w:t>
      </w:r>
      <w:r w:rsidR="00937D66">
        <w:rPr>
          <w:rFonts w:ascii="Verdana" w:hAnsi="Verdana"/>
        </w:rPr>
        <w:t xml:space="preserve"> </w:t>
      </w:r>
      <w:r w:rsidR="00E94881">
        <w:rPr>
          <w:rFonts w:ascii="Verdana" w:hAnsi="Verdana"/>
        </w:rPr>
        <w:t xml:space="preserve"> </w:t>
      </w:r>
    </w:p>
    <w:p w14:paraId="4A8879FC" w14:textId="65B408F9" w:rsidR="00853033" w:rsidRDefault="00BC2EAC" w:rsidP="00305AB1">
      <w:pPr>
        <w:spacing w:after="0" w:line="276" w:lineRule="auto"/>
        <w:ind w:right="105" w:firstLine="709"/>
        <w:jc w:val="both"/>
        <w:rPr>
          <w:rFonts w:ascii="Verdana" w:hAnsi="Verdana"/>
        </w:rPr>
      </w:pPr>
      <w:r>
        <w:rPr>
          <w:rFonts w:ascii="Verdana" w:hAnsi="Verdana"/>
        </w:rPr>
        <w:t xml:space="preserve">No obstante, la jurisprudencia </w:t>
      </w:r>
      <w:r w:rsidR="00AE3134">
        <w:rPr>
          <w:rFonts w:ascii="Verdana" w:hAnsi="Verdana"/>
        </w:rPr>
        <w:t>contencios</w:t>
      </w:r>
      <w:r w:rsidR="00F34650">
        <w:rPr>
          <w:rFonts w:ascii="Verdana" w:hAnsi="Verdana"/>
        </w:rPr>
        <w:t xml:space="preserve">a </w:t>
      </w:r>
      <w:r w:rsidR="00AE3134">
        <w:rPr>
          <w:rFonts w:ascii="Verdana" w:hAnsi="Verdana"/>
        </w:rPr>
        <w:t>administrativa</w:t>
      </w:r>
      <w:r w:rsidR="00CE67FF">
        <w:rPr>
          <w:rFonts w:ascii="Verdana" w:hAnsi="Verdana"/>
        </w:rPr>
        <w:t xml:space="preserve"> ha sido enfática </w:t>
      </w:r>
      <w:r w:rsidR="00AE3134">
        <w:rPr>
          <w:rFonts w:ascii="Verdana" w:hAnsi="Verdana"/>
        </w:rPr>
        <w:t>en</w:t>
      </w:r>
      <w:r w:rsidR="00CE67FF">
        <w:rPr>
          <w:rFonts w:ascii="Verdana" w:hAnsi="Verdana"/>
        </w:rPr>
        <w:t xml:space="preserve"> reconocer el carácter prevalente del pliego de condiciones</w:t>
      </w:r>
      <w:r w:rsidR="00452F92">
        <w:rPr>
          <w:rFonts w:ascii="Verdana" w:hAnsi="Verdana"/>
        </w:rPr>
        <w:t xml:space="preserve"> respecto </w:t>
      </w:r>
      <w:r w:rsidR="00AE3134">
        <w:rPr>
          <w:rFonts w:ascii="Verdana" w:hAnsi="Verdana"/>
        </w:rPr>
        <w:t>de los demás documentos del contrato</w:t>
      </w:r>
      <w:r w:rsidR="001F6763">
        <w:rPr>
          <w:rFonts w:ascii="Verdana" w:hAnsi="Verdana"/>
        </w:rPr>
        <w:t>. Al respecto</w:t>
      </w:r>
      <w:r w:rsidR="00AE3134">
        <w:rPr>
          <w:rFonts w:ascii="Verdana" w:hAnsi="Verdana"/>
        </w:rPr>
        <w:t xml:space="preserve">, </w:t>
      </w:r>
      <w:r w:rsidR="00F34650">
        <w:rPr>
          <w:rFonts w:ascii="Verdana" w:hAnsi="Verdana"/>
        </w:rPr>
        <w:t xml:space="preserve">en providencia del </w:t>
      </w:r>
      <w:r w:rsidR="00853033">
        <w:rPr>
          <w:rFonts w:ascii="Verdana" w:hAnsi="Verdana"/>
        </w:rPr>
        <w:t>29 de enero de 20</w:t>
      </w:r>
      <w:r w:rsidR="00AB1DB0">
        <w:rPr>
          <w:rFonts w:ascii="Verdana" w:hAnsi="Verdana"/>
        </w:rPr>
        <w:t>0</w:t>
      </w:r>
      <w:r w:rsidR="00853033">
        <w:rPr>
          <w:rFonts w:ascii="Verdana" w:hAnsi="Verdana"/>
        </w:rPr>
        <w:t xml:space="preserve">4 la </w:t>
      </w:r>
      <w:r w:rsidR="00AE3134">
        <w:rPr>
          <w:rFonts w:ascii="Verdana" w:hAnsi="Verdana"/>
        </w:rPr>
        <w:t xml:space="preserve">Sección Tercera del Consejo de Estado </w:t>
      </w:r>
      <w:r w:rsidR="008B7865">
        <w:rPr>
          <w:rFonts w:ascii="Verdana" w:hAnsi="Verdana"/>
        </w:rPr>
        <w:t>indic</w:t>
      </w:r>
      <w:r w:rsidR="00853033">
        <w:rPr>
          <w:rFonts w:ascii="Verdana" w:hAnsi="Verdana"/>
        </w:rPr>
        <w:t>ó lo siguiente</w:t>
      </w:r>
      <w:r w:rsidR="008B7865">
        <w:rPr>
          <w:rFonts w:ascii="Verdana" w:hAnsi="Verdana"/>
        </w:rPr>
        <w:t>:</w:t>
      </w:r>
    </w:p>
    <w:p w14:paraId="20C72BA2" w14:textId="7D6C9B23" w:rsidR="008B7865" w:rsidRDefault="008B7865" w:rsidP="00305AB1">
      <w:pPr>
        <w:spacing w:after="0" w:line="276" w:lineRule="auto"/>
        <w:ind w:right="105" w:firstLine="709"/>
        <w:jc w:val="both"/>
        <w:rPr>
          <w:rFonts w:ascii="Verdana" w:hAnsi="Verdana"/>
        </w:rPr>
      </w:pPr>
      <w:r>
        <w:rPr>
          <w:rFonts w:ascii="Verdana" w:hAnsi="Verdana"/>
        </w:rPr>
        <w:t xml:space="preserve"> </w:t>
      </w:r>
    </w:p>
    <w:p w14:paraId="3247A9CC" w14:textId="6E7800FA" w:rsidR="00151392" w:rsidRPr="00305AB1" w:rsidRDefault="00151392" w:rsidP="00305AB1">
      <w:pPr>
        <w:spacing w:after="0" w:line="240" w:lineRule="auto"/>
        <w:ind w:left="709" w:right="709"/>
        <w:jc w:val="both"/>
        <w:rPr>
          <w:rFonts w:ascii="Verdana" w:hAnsi="Verdana"/>
          <w:iCs/>
          <w:sz w:val="20"/>
          <w:szCs w:val="20"/>
        </w:rPr>
      </w:pPr>
      <w:r w:rsidRPr="00305AB1">
        <w:rPr>
          <w:rFonts w:ascii="Verdana" w:hAnsi="Verdana" w:cs="Arial"/>
          <w:bCs/>
          <w:iCs/>
          <w:sz w:val="20"/>
          <w:szCs w:val="20"/>
          <w:lang w:val="es-ES"/>
        </w:rPr>
        <w:t>“</w:t>
      </w:r>
      <w:r w:rsidR="00853033">
        <w:rPr>
          <w:rFonts w:ascii="Verdana" w:hAnsi="Verdana" w:cs="Arial"/>
          <w:bCs/>
          <w:iCs/>
          <w:sz w:val="20"/>
          <w:szCs w:val="20"/>
          <w:lang w:val="es-ES"/>
        </w:rPr>
        <w:t>[</w:t>
      </w:r>
      <w:r w:rsidRPr="00305AB1">
        <w:rPr>
          <w:rFonts w:ascii="Verdana" w:hAnsi="Verdana" w:cs="Arial"/>
          <w:bCs/>
          <w:iCs/>
          <w:sz w:val="20"/>
          <w:szCs w:val="20"/>
          <w:lang w:val="es-ES"/>
        </w:rPr>
        <w:t>…</w:t>
      </w:r>
      <w:r w:rsidR="00853033">
        <w:rPr>
          <w:rFonts w:ascii="Verdana" w:hAnsi="Verdana" w:cs="Arial"/>
          <w:bCs/>
          <w:iCs/>
          <w:sz w:val="20"/>
          <w:szCs w:val="20"/>
          <w:lang w:val="es-ES"/>
        </w:rPr>
        <w:t xml:space="preserve">] </w:t>
      </w:r>
      <w:r w:rsidRPr="00305AB1">
        <w:rPr>
          <w:rFonts w:ascii="Verdana" w:hAnsi="Verdana" w:cs="Arial"/>
          <w:iCs/>
          <w:sz w:val="20"/>
          <w:szCs w:val="20"/>
        </w:rPr>
        <w:t xml:space="preserve">los pliegos de condiciones forman parte esencial del contrato porque son la fuente principal de los derechos y obligaciones de las partes y son la base para la interpretación e integración del contrato, en la medida que contienen la voluntad de la administración a la que se someten por adhesión los proponentes y el contratista que resulte favorecido. </w:t>
      </w:r>
      <w:r w:rsidRPr="00305AB1">
        <w:rPr>
          <w:rFonts w:ascii="Verdana" w:hAnsi="Verdana" w:cs="Arial"/>
          <w:i/>
          <w:sz w:val="20"/>
          <w:szCs w:val="20"/>
        </w:rPr>
        <w:t>Por tal motivo, las reglas de los pliegos de condiciones deben prevalecer sobre los demás documentos del contrato y en particular sobre la minuta, la cual debe limitarse a formalizar el acuerdo de voluntades y a plasmar en forma fidedigna la regulación del objeto contractual y los derechos y obligaciones a cargo de las partes</w:t>
      </w:r>
      <w:r w:rsidRPr="00305AB1">
        <w:rPr>
          <w:rFonts w:ascii="Verdana" w:hAnsi="Verdana" w:cs="Arial"/>
          <w:iCs/>
          <w:sz w:val="20"/>
          <w:szCs w:val="20"/>
        </w:rPr>
        <w:t>”</w:t>
      </w:r>
      <w:r w:rsidR="00452F92" w:rsidRPr="00305AB1">
        <w:rPr>
          <w:rStyle w:val="Refdenotaalpie"/>
          <w:rFonts w:ascii="Verdana" w:hAnsi="Verdana" w:cs="Arial"/>
          <w:iCs/>
          <w:sz w:val="20"/>
          <w:szCs w:val="20"/>
        </w:rPr>
        <w:footnoteReference w:id="14"/>
      </w:r>
      <w:r w:rsidR="00333DA1">
        <w:rPr>
          <w:rFonts w:ascii="Verdana" w:hAnsi="Verdana" w:cs="Arial"/>
          <w:iCs/>
          <w:sz w:val="20"/>
          <w:szCs w:val="20"/>
        </w:rPr>
        <w:t xml:space="preserve"> </w:t>
      </w:r>
      <w:r w:rsidR="00333DA1" w:rsidRPr="00305AB1">
        <w:rPr>
          <w:rFonts w:ascii="Verdana" w:hAnsi="Verdana" w:cs="Arial"/>
          <w:iCs/>
        </w:rPr>
        <w:t>[Énfasis fuera de texto]</w:t>
      </w:r>
      <w:r w:rsidR="003379E1" w:rsidRPr="00305AB1">
        <w:rPr>
          <w:rFonts w:ascii="Verdana" w:hAnsi="Verdana" w:cs="Arial"/>
          <w:iCs/>
        </w:rPr>
        <w:t>.</w:t>
      </w:r>
    </w:p>
    <w:p w14:paraId="03C0B859" w14:textId="77777777" w:rsidR="00853033" w:rsidRDefault="00853033" w:rsidP="00786C1B">
      <w:pPr>
        <w:spacing w:after="0" w:line="240" w:lineRule="auto"/>
        <w:ind w:left="709" w:right="709"/>
        <w:jc w:val="both"/>
        <w:rPr>
          <w:rFonts w:ascii="Verdana" w:hAnsi="Verdana"/>
        </w:rPr>
      </w:pPr>
    </w:p>
    <w:p w14:paraId="29EF47E2" w14:textId="09AB0022" w:rsidR="00853033" w:rsidRDefault="00C323F0" w:rsidP="00305AB1">
      <w:pPr>
        <w:spacing w:after="0" w:line="276" w:lineRule="auto"/>
        <w:ind w:right="49" w:firstLine="708"/>
        <w:jc w:val="both"/>
        <w:rPr>
          <w:rFonts w:ascii="Verdana" w:hAnsi="Verdana"/>
        </w:rPr>
      </w:pPr>
      <w:r>
        <w:rPr>
          <w:rFonts w:ascii="Verdana" w:hAnsi="Verdana"/>
        </w:rPr>
        <w:t>En el mismo sentido, la referida corpor</w:t>
      </w:r>
      <w:r w:rsidR="00333DA1">
        <w:rPr>
          <w:rFonts w:ascii="Verdana" w:hAnsi="Verdana"/>
        </w:rPr>
        <w:t>ación judicial realizó las siguientes consideraciones en sentencia del 10 de marzo de 2011:</w:t>
      </w:r>
    </w:p>
    <w:p w14:paraId="4849A185" w14:textId="77777777" w:rsidR="00853033" w:rsidRDefault="00853033" w:rsidP="00786C1B">
      <w:pPr>
        <w:spacing w:after="0" w:line="240" w:lineRule="auto"/>
        <w:ind w:left="709" w:right="709"/>
        <w:jc w:val="both"/>
        <w:rPr>
          <w:rFonts w:ascii="Verdana" w:hAnsi="Verdana"/>
        </w:rPr>
      </w:pPr>
    </w:p>
    <w:p w14:paraId="1BB71FE6" w14:textId="37E7C77B" w:rsidR="00CB4DCE" w:rsidRPr="00305AB1" w:rsidRDefault="008B7865" w:rsidP="00305AB1">
      <w:pPr>
        <w:spacing w:after="0" w:line="240" w:lineRule="auto"/>
        <w:ind w:left="709" w:right="709"/>
        <w:jc w:val="both"/>
        <w:rPr>
          <w:rFonts w:ascii="Verdana" w:hAnsi="Verdana"/>
          <w:sz w:val="20"/>
          <w:szCs w:val="20"/>
        </w:rPr>
      </w:pPr>
      <w:r w:rsidRPr="00305AB1">
        <w:rPr>
          <w:rFonts w:ascii="Verdana" w:hAnsi="Verdana"/>
          <w:sz w:val="20"/>
          <w:szCs w:val="20"/>
        </w:rPr>
        <w:t xml:space="preserve">“El contenido del contrato fruto de un proceso licitatorio como el que es objeto de la presente litis, debe coincidir con los términos anunciados en el respectivo pliego de condiciones, el cual constituye no solo la ley del proceso de selección, por establecer todas las normas de participación, evaluación y adjudicación de la respectiva licitación o concurso, sino también la ley del futuro contrato, en la medida en que debe establecer el contenido del negocio jurídico que se celebrará como resultado de la licitación y especificar los derechos y obligaciones que surgirán para las partes del contrato a adjudicar. Así lo ha considerado la jurisprudencia de la corporación, para la </w:t>
      </w:r>
      <w:r w:rsidR="002C5611" w:rsidRPr="00305AB1">
        <w:rPr>
          <w:rFonts w:ascii="Verdana" w:hAnsi="Verdana"/>
          <w:sz w:val="20"/>
          <w:szCs w:val="20"/>
        </w:rPr>
        <w:t>cual,</w:t>
      </w:r>
      <w:r w:rsidRPr="00305AB1">
        <w:rPr>
          <w:rFonts w:ascii="Verdana" w:hAnsi="Verdana"/>
          <w:sz w:val="20"/>
          <w:szCs w:val="20"/>
        </w:rPr>
        <w:t xml:space="preserve"> </w:t>
      </w:r>
      <w:r w:rsidRPr="00305AB1">
        <w:rPr>
          <w:rFonts w:ascii="Verdana" w:hAnsi="Verdana"/>
          <w:i/>
          <w:iCs/>
          <w:sz w:val="20"/>
          <w:szCs w:val="20"/>
        </w:rPr>
        <w:t>una vez suscrito el contrato, las disposiciones del pliego hacen parte integral de su clausulado y se imponen sobre las pactadas en el contrato mismo</w:t>
      </w:r>
      <w:r w:rsidRPr="00305AB1">
        <w:rPr>
          <w:rFonts w:ascii="Verdana" w:hAnsi="Verdana"/>
          <w:sz w:val="20"/>
          <w:szCs w:val="20"/>
        </w:rPr>
        <w:t>”</w:t>
      </w:r>
      <w:r w:rsidRPr="00305AB1">
        <w:rPr>
          <w:rStyle w:val="Refdenotaalpie"/>
          <w:rFonts w:ascii="Verdana" w:hAnsi="Verdana"/>
          <w:sz w:val="20"/>
          <w:szCs w:val="20"/>
        </w:rPr>
        <w:footnoteReference w:id="15"/>
      </w:r>
      <w:r w:rsidR="003379E1">
        <w:rPr>
          <w:rFonts w:ascii="Verdana" w:hAnsi="Verdana"/>
          <w:sz w:val="20"/>
          <w:szCs w:val="20"/>
        </w:rPr>
        <w:t>.</w:t>
      </w:r>
      <w:r w:rsidR="00CE67FF" w:rsidRPr="00305AB1">
        <w:rPr>
          <w:rFonts w:ascii="Verdana" w:hAnsi="Verdana"/>
          <w:sz w:val="20"/>
          <w:szCs w:val="20"/>
        </w:rPr>
        <w:t xml:space="preserve"> </w:t>
      </w:r>
      <w:r w:rsidR="007F5E59" w:rsidRPr="009E161B">
        <w:rPr>
          <w:rFonts w:ascii="Verdana" w:hAnsi="Verdana" w:cs="Arial"/>
          <w:iCs/>
        </w:rPr>
        <w:t>[Énfasis fuera de texto].</w:t>
      </w:r>
    </w:p>
    <w:p w14:paraId="0D79F1B2" w14:textId="77777777" w:rsidR="002326D6" w:rsidRDefault="002326D6" w:rsidP="002326D6">
      <w:pPr>
        <w:spacing w:after="0" w:line="240" w:lineRule="auto"/>
        <w:ind w:left="709"/>
        <w:jc w:val="both"/>
        <w:rPr>
          <w:rFonts w:ascii="Verdana" w:eastAsia="Times New Roman" w:hAnsi="Verdana" w:cs="Arial"/>
          <w:i/>
          <w:iCs/>
          <w:sz w:val="20"/>
          <w:szCs w:val="20"/>
          <w:lang w:eastAsia="es-ES_tradnl"/>
        </w:rPr>
      </w:pPr>
    </w:p>
    <w:p w14:paraId="13E2F080" w14:textId="03A85530" w:rsidR="001F06F4" w:rsidRPr="002C5611" w:rsidRDefault="007F5E59" w:rsidP="00AD4950">
      <w:pPr>
        <w:spacing w:after="0" w:line="276" w:lineRule="auto"/>
        <w:ind w:firstLine="352"/>
        <w:jc w:val="both"/>
        <w:rPr>
          <w:rFonts w:ascii="Verdana" w:eastAsia="Calibri" w:hAnsi="Verdana"/>
          <w:lang w:val="es-ES"/>
        </w:rPr>
      </w:pPr>
      <w:r>
        <w:rPr>
          <w:rFonts w:ascii="Verdana" w:eastAsia="Calibri" w:hAnsi="Verdana"/>
          <w:color w:val="7030A0"/>
          <w:lang w:val="es-ES"/>
        </w:rPr>
        <w:lastRenderedPageBreak/>
        <w:tab/>
      </w:r>
      <w:r w:rsidR="001C6599" w:rsidRPr="002C5611">
        <w:rPr>
          <w:rFonts w:ascii="Verdana" w:eastAsia="Calibri" w:hAnsi="Verdana"/>
          <w:lang w:val="es-ES"/>
        </w:rPr>
        <w:t>T</w:t>
      </w:r>
      <w:r w:rsidR="003C154F" w:rsidRPr="002C5611">
        <w:rPr>
          <w:rFonts w:ascii="Verdana" w:eastAsia="Calibri" w:hAnsi="Verdana"/>
          <w:lang w:val="es-ES"/>
        </w:rPr>
        <w:t xml:space="preserve">al prevalencia </w:t>
      </w:r>
      <w:r w:rsidR="009371D6" w:rsidRPr="002C5611">
        <w:rPr>
          <w:rFonts w:ascii="Verdana" w:eastAsia="Calibri" w:hAnsi="Verdana"/>
          <w:lang w:val="es-ES"/>
        </w:rPr>
        <w:t xml:space="preserve">otorgada al pliego de condiciones respecto de los demás documentos </w:t>
      </w:r>
      <w:r w:rsidR="004E4943" w:rsidRPr="002C5611">
        <w:rPr>
          <w:rFonts w:ascii="Verdana" w:eastAsia="Calibri" w:hAnsi="Verdana"/>
          <w:lang w:val="es-ES"/>
        </w:rPr>
        <w:t>contractuales</w:t>
      </w:r>
      <w:r w:rsidR="009371D6" w:rsidRPr="002C5611">
        <w:rPr>
          <w:rFonts w:ascii="Verdana" w:eastAsia="Calibri" w:hAnsi="Verdana"/>
          <w:lang w:val="es-ES"/>
        </w:rPr>
        <w:t xml:space="preserve"> tiene que ver con</w:t>
      </w:r>
      <w:r w:rsidR="00734540" w:rsidRPr="002C5611">
        <w:rPr>
          <w:rFonts w:ascii="Verdana" w:eastAsia="Calibri" w:hAnsi="Verdana"/>
          <w:lang w:val="es-ES"/>
        </w:rPr>
        <w:t xml:space="preserve"> </w:t>
      </w:r>
      <w:r w:rsidR="001F06F4" w:rsidRPr="002C5611">
        <w:rPr>
          <w:rFonts w:ascii="Verdana" w:eastAsia="Calibri" w:hAnsi="Verdana"/>
          <w:lang w:val="es-ES"/>
        </w:rPr>
        <w:t>el carácter normativo</w:t>
      </w:r>
      <w:r w:rsidR="001C6599" w:rsidRPr="002C5611">
        <w:rPr>
          <w:rFonts w:ascii="Verdana" w:eastAsia="Calibri" w:hAnsi="Verdana"/>
          <w:lang w:val="es-ES"/>
        </w:rPr>
        <w:t xml:space="preserve"> de este acto</w:t>
      </w:r>
      <w:r w:rsidR="00734540" w:rsidRPr="002C5611">
        <w:rPr>
          <w:rFonts w:ascii="Verdana" w:eastAsia="Calibri" w:hAnsi="Verdana"/>
          <w:lang w:val="es-ES"/>
        </w:rPr>
        <w:t xml:space="preserve">, </w:t>
      </w:r>
      <w:r w:rsidR="002001B0" w:rsidRPr="002C5611">
        <w:rPr>
          <w:rFonts w:ascii="Verdana" w:eastAsia="Calibri" w:hAnsi="Verdana"/>
          <w:lang w:val="es-ES"/>
        </w:rPr>
        <w:t xml:space="preserve">el cual condiciona la relación contractual </w:t>
      </w:r>
      <w:r w:rsidR="00465B9F" w:rsidRPr="002C5611">
        <w:rPr>
          <w:rFonts w:ascii="Verdana" w:eastAsia="Calibri" w:hAnsi="Verdana"/>
          <w:lang w:val="es-ES"/>
        </w:rPr>
        <w:t>que surge del</w:t>
      </w:r>
      <w:r w:rsidR="004E137F" w:rsidRPr="002C5611">
        <w:rPr>
          <w:rFonts w:ascii="Verdana" w:eastAsia="Calibri" w:hAnsi="Verdana"/>
          <w:lang w:val="es-ES"/>
        </w:rPr>
        <w:t xml:space="preserve"> proceso de selección que regula. Sobre el particular la doctrina nacional ha señalado: </w:t>
      </w:r>
    </w:p>
    <w:p w14:paraId="4D86C9A5" w14:textId="77777777" w:rsidR="00F30FFC" w:rsidRPr="002C5611" w:rsidRDefault="00F30FFC" w:rsidP="00AD4950">
      <w:pPr>
        <w:spacing w:after="0" w:line="276" w:lineRule="auto"/>
        <w:ind w:firstLine="352"/>
        <w:jc w:val="both"/>
        <w:rPr>
          <w:rFonts w:ascii="Verdana" w:eastAsia="Calibri" w:hAnsi="Verdana"/>
          <w:lang w:val="es-ES"/>
        </w:rPr>
      </w:pPr>
    </w:p>
    <w:p w14:paraId="7AD38DE6" w14:textId="2CC3D016" w:rsidR="004E137F" w:rsidRPr="002C5611" w:rsidRDefault="00F30FFC" w:rsidP="00305AB1">
      <w:pPr>
        <w:spacing w:after="0" w:line="240" w:lineRule="auto"/>
        <w:ind w:left="709" w:right="709"/>
        <w:jc w:val="both"/>
        <w:rPr>
          <w:rFonts w:ascii="Verdana" w:eastAsia="Calibri" w:hAnsi="Verdana"/>
          <w:sz w:val="20"/>
          <w:szCs w:val="20"/>
        </w:rPr>
      </w:pPr>
      <w:r w:rsidRPr="002C5611">
        <w:rPr>
          <w:rFonts w:ascii="Verdana" w:eastAsia="Calibri" w:hAnsi="Verdana"/>
          <w:sz w:val="20"/>
          <w:szCs w:val="20"/>
          <w:lang w:val="es-ES"/>
        </w:rPr>
        <w:t>“</w:t>
      </w:r>
      <w:r w:rsidR="004E137F" w:rsidRPr="002C5611">
        <w:rPr>
          <w:rFonts w:ascii="Verdana" w:eastAsia="Calibri" w:hAnsi="Verdana"/>
          <w:sz w:val="20"/>
          <w:szCs w:val="20"/>
        </w:rPr>
        <w:t>Las sentencias de la Sección Tercera, en múltiples oportunidades ha destacado la característica fundamental del pliego de condiciones, esto es su carácter prevalente</w:t>
      </w:r>
      <w:r w:rsidR="0036002A" w:rsidRPr="002C5611">
        <w:rPr>
          <w:rFonts w:ascii="Verdana" w:eastAsia="Calibri" w:hAnsi="Verdana"/>
          <w:sz w:val="20"/>
          <w:szCs w:val="20"/>
        </w:rPr>
        <w:t xml:space="preserve"> </w:t>
      </w:r>
      <w:r w:rsidR="004E137F" w:rsidRPr="002C5611">
        <w:rPr>
          <w:rFonts w:ascii="Verdana" w:eastAsia="Calibri" w:hAnsi="Verdana"/>
          <w:sz w:val="20"/>
          <w:szCs w:val="20"/>
        </w:rPr>
        <w:t>respecto del mismo contenido contractual.</w:t>
      </w:r>
    </w:p>
    <w:p w14:paraId="4CEAAC92" w14:textId="77777777" w:rsidR="0036002A" w:rsidRPr="002C5611" w:rsidRDefault="0036002A" w:rsidP="00305AB1">
      <w:pPr>
        <w:spacing w:after="0" w:line="240" w:lineRule="auto"/>
        <w:ind w:left="709" w:right="709"/>
        <w:jc w:val="both"/>
        <w:rPr>
          <w:rFonts w:ascii="Verdana" w:eastAsia="Calibri" w:hAnsi="Verdana"/>
          <w:sz w:val="20"/>
          <w:szCs w:val="20"/>
        </w:rPr>
      </w:pPr>
    </w:p>
    <w:p w14:paraId="4D69C9B2" w14:textId="77777777" w:rsidR="0036002A" w:rsidRPr="002C5611" w:rsidRDefault="0036002A" w:rsidP="00305AB1">
      <w:pPr>
        <w:spacing w:after="0" w:line="240" w:lineRule="auto"/>
        <w:ind w:left="709" w:right="709"/>
        <w:jc w:val="both"/>
        <w:rPr>
          <w:rFonts w:ascii="Verdana" w:eastAsia="Calibri" w:hAnsi="Verdana"/>
          <w:sz w:val="20"/>
          <w:szCs w:val="20"/>
        </w:rPr>
      </w:pPr>
      <w:r w:rsidRPr="002C5611">
        <w:rPr>
          <w:rFonts w:ascii="Verdana" w:eastAsia="Calibri" w:hAnsi="Verdana"/>
          <w:sz w:val="20"/>
          <w:szCs w:val="20"/>
        </w:rPr>
        <w:t xml:space="preserve">La razón es evidente: </w:t>
      </w:r>
      <w:r w:rsidR="006E5FA8" w:rsidRPr="002C5611">
        <w:rPr>
          <w:rFonts w:ascii="Verdana" w:eastAsia="Calibri" w:hAnsi="Verdana"/>
          <w:sz w:val="20"/>
          <w:szCs w:val="20"/>
        </w:rPr>
        <w:t>si la mejor oferta para ejecutar el contrato es seleccionada con fundamento en los requisitos ponderables y habilitantes exigidos en el pliego de condiciones, una vez perfeccionado el mismo, las condiciones de su ejecución deben corresponder al cumplimiento de esos requisitos iniciales exigidos en el pliego, tanto sobre las calidades del contratista y de su grupo de trabajo, como las derivadas del objeto y las condiciones de tiempo, lugar y modo para su cumplimiento.</w:t>
      </w:r>
    </w:p>
    <w:p w14:paraId="5A72AD15" w14:textId="77777777" w:rsidR="0036002A" w:rsidRPr="002C5611" w:rsidRDefault="006E5FA8" w:rsidP="00305AB1">
      <w:pPr>
        <w:spacing w:after="0" w:line="240" w:lineRule="auto"/>
        <w:ind w:left="709" w:right="709"/>
        <w:jc w:val="both"/>
        <w:rPr>
          <w:rFonts w:ascii="Verdana" w:eastAsia="Calibri" w:hAnsi="Verdana"/>
          <w:sz w:val="20"/>
          <w:szCs w:val="20"/>
        </w:rPr>
      </w:pPr>
      <w:r w:rsidRPr="002C5611">
        <w:rPr>
          <w:rFonts w:ascii="Verdana" w:eastAsia="Calibri" w:hAnsi="Verdana"/>
          <w:sz w:val="20"/>
          <w:szCs w:val="20"/>
        </w:rPr>
        <w:br/>
        <w:t>Si tales condiciones variaran sin una razón justificable y sobreviniente, dejaría sin razón de ser el pliego y el mismo proceso de selección, pues la ejecución del contrato no correspondería a las reglas sobre las cuales se edificó el procedimiento</w:t>
      </w:r>
      <w:r w:rsidR="0036002A" w:rsidRPr="002C5611">
        <w:rPr>
          <w:rFonts w:ascii="Verdana" w:eastAsia="Calibri" w:hAnsi="Verdana"/>
          <w:sz w:val="20"/>
          <w:szCs w:val="20"/>
        </w:rPr>
        <w:t xml:space="preserve"> </w:t>
      </w:r>
      <w:r w:rsidRPr="002C5611">
        <w:rPr>
          <w:rFonts w:ascii="Verdana" w:eastAsia="Calibri" w:hAnsi="Verdana"/>
          <w:sz w:val="20"/>
          <w:szCs w:val="20"/>
        </w:rPr>
        <w:t>y</w:t>
      </w:r>
      <w:r w:rsidR="0036002A" w:rsidRPr="002C5611">
        <w:rPr>
          <w:rFonts w:ascii="Verdana" w:eastAsia="Calibri" w:hAnsi="Verdana"/>
          <w:sz w:val="20"/>
          <w:szCs w:val="20"/>
        </w:rPr>
        <w:t xml:space="preserve"> </w:t>
      </w:r>
      <w:r w:rsidRPr="002C5611">
        <w:rPr>
          <w:rFonts w:ascii="Verdana" w:eastAsia="Calibri" w:hAnsi="Verdana"/>
          <w:sz w:val="20"/>
          <w:szCs w:val="20"/>
        </w:rPr>
        <w:t>el</w:t>
      </w:r>
      <w:r w:rsidR="0036002A" w:rsidRPr="002C5611">
        <w:rPr>
          <w:rFonts w:ascii="Verdana" w:eastAsia="Calibri" w:hAnsi="Verdana"/>
          <w:sz w:val="20"/>
          <w:szCs w:val="20"/>
        </w:rPr>
        <w:t xml:space="preserve"> </w:t>
      </w:r>
      <w:r w:rsidRPr="002C5611">
        <w:rPr>
          <w:rFonts w:ascii="Verdana" w:eastAsia="Calibri" w:hAnsi="Verdana"/>
          <w:sz w:val="20"/>
          <w:szCs w:val="20"/>
        </w:rPr>
        <w:t>mismo</w:t>
      </w:r>
      <w:r w:rsidR="0036002A" w:rsidRPr="002C5611">
        <w:rPr>
          <w:rFonts w:ascii="Verdana" w:eastAsia="Calibri" w:hAnsi="Verdana"/>
          <w:sz w:val="20"/>
          <w:szCs w:val="20"/>
        </w:rPr>
        <w:t xml:space="preserve"> </w:t>
      </w:r>
      <w:r w:rsidRPr="002C5611">
        <w:rPr>
          <w:rFonts w:ascii="Verdana" w:eastAsia="Calibri" w:hAnsi="Verdana"/>
          <w:sz w:val="20"/>
          <w:szCs w:val="20"/>
        </w:rPr>
        <w:t>pliego.</w:t>
      </w:r>
    </w:p>
    <w:p w14:paraId="667E1939" w14:textId="4059A0D9" w:rsidR="006E5FA8" w:rsidRPr="002C5611" w:rsidRDefault="006E5FA8" w:rsidP="00305AB1">
      <w:pPr>
        <w:spacing w:after="0" w:line="240" w:lineRule="auto"/>
        <w:ind w:left="709" w:right="709"/>
        <w:jc w:val="both"/>
        <w:rPr>
          <w:rFonts w:ascii="Verdana" w:eastAsia="Calibri" w:hAnsi="Verdana"/>
          <w:sz w:val="20"/>
          <w:szCs w:val="20"/>
        </w:rPr>
      </w:pPr>
      <w:r w:rsidRPr="002C5611">
        <w:rPr>
          <w:rFonts w:ascii="Verdana" w:eastAsia="Calibri" w:hAnsi="Verdana"/>
          <w:sz w:val="20"/>
          <w:szCs w:val="20"/>
        </w:rPr>
        <w:br/>
      </w:r>
      <w:r w:rsidRPr="002C5611">
        <w:rPr>
          <w:rFonts w:ascii="Verdana" w:eastAsia="Calibri" w:hAnsi="Verdana"/>
          <w:i/>
          <w:iCs/>
          <w:sz w:val="20"/>
          <w:szCs w:val="20"/>
        </w:rPr>
        <w:t>Cuando se presenten contradicciones entre el pliego de condiciones y el contrato, es necesario afirmar la prevalencia del primero, independiente de las menciones que se hagan en el mismo cuerpo contractual, pues su obligatoriedad y preeminen</w:t>
      </w:r>
      <w:r w:rsidR="0028212F" w:rsidRPr="002C5611">
        <w:rPr>
          <w:rFonts w:ascii="Verdana" w:eastAsia="Calibri" w:hAnsi="Verdana"/>
          <w:i/>
          <w:iCs/>
          <w:sz w:val="20"/>
          <w:szCs w:val="20"/>
        </w:rPr>
        <w:t xml:space="preserve">cia no dependen del acuerdo de voluntades, sino de su carácter normativo que se impone como orientador </w:t>
      </w:r>
      <w:r w:rsidR="00DC2C49" w:rsidRPr="002C5611">
        <w:rPr>
          <w:rFonts w:ascii="Verdana" w:eastAsia="Calibri" w:hAnsi="Verdana"/>
          <w:i/>
          <w:iCs/>
          <w:sz w:val="20"/>
          <w:szCs w:val="20"/>
        </w:rPr>
        <w:t>del acuerdo entre ellas</w:t>
      </w:r>
      <w:r w:rsidR="00DC2C49" w:rsidRPr="002C5611">
        <w:rPr>
          <w:rFonts w:ascii="Verdana" w:eastAsia="Calibri" w:hAnsi="Verdana"/>
          <w:sz w:val="20"/>
          <w:szCs w:val="20"/>
        </w:rPr>
        <w:t>”</w:t>
      </w:r>
      <w:r w:rsidR="006D3E0B" w:rsidRPr="002C5611">
        <w:rPr>
          <w:rStyle w:val="Refdenotaalpie"/>
          <w:rFonts w:ascii="Verdana" w:eastAsia="Calibri" w:hAnsi="Verdana"/>
          <w:sz w:val="20"/>
          <w:szCs w:val="20"/>
        </w:rPr>
        <w:footnoteReference w:id="16"/>
      </w:r>
      <w:r w:rsidR="00DC769F" w:rsidRPr="002C5611">
        <w:rPr>
          <w:rFonts w:ascii="Verdana" w:eastAsia="Calibri" w:hAnsi="Verdana"/>
          <w:sz w:val="20"/>
          <w:szCs w:val="20"/>
        </w:rPr>
        <w:t xml:space="preserve"> </w:t>
      </w:r>
      <w:r w:rsidR="00DC769F" w:rsidRPr="002C5611">
        <w:rPr>
          <w:rFonts w:ascii="Verdana" w:hAnsi="Verdana" w:cs="Arial"/>
          <w:iCs/>
        </w:rPr>
        <w:t>[Énfasis fuera de texto].</w:t>
      </w:r>
    </w:p>
    <w:p w14:paraId="6F5F2812" w14:textId="0E9A8B02" w:rsidR="00F30FFC" w:rsidRPr="002C5611" w:rsidRDefault="00F30FFC" w:rsidP="00F30FFC">
      <w:pPr>
        <w:spacing w:after="0" w:line="276" w:lineRule="auto"/>
        <w:ind w:firstLine="352"/>
        <w:jc w:val="both"/>
        <w:rPr>
          <w:rFonts w:ascii="Verdana" w:eastAsia="Calibri" w:hAnsi="Verdana"/>
          <w:lang w:val="es-ES"/>
        </w:rPr>
      </w:pPr>
    </w:p>
    <w:p w14:paraId="4B9F162D" w14:textId="1BEAE701" w:rsidR="00333DA1" w:rsidRPr="002C5611" w:rsidRDefault="00B037DF" w:rsidP="00305AB1">
      <w:pPr>
        <w:spacing w:after="120" w:line="276" w:lineRule="auto"/>
        <w:jc w:val="both"/>
        <w:rPr>
          <w:rFonts w:ascii="Verdana" w:eastAsia="Calibri" w:hAnsi="Verdana"/>
          <w:lang w:val="es-ES"/>
        </w:rPr>
      </w:pPr>
      <w:r w:rsidRPr="002C5611">
        <w:rPr>
          <w:rFonts w:ascii="Verdana" w:eastAsia="Calibri" w:hAnsi="Verdana"/>
          <w:lang w:val="es-ES"/>
        </w:rPr>
        <w:tab/>
        <w:t xml:space="preserve">Conforme a lo anterior, </w:t>
      </w:r>
      <w:r w:rsidR="00D21725" w:rsidRPr="002C5611">
        <w:rPr>
          <w:rFonts w:ascii="Verdana" w:eastAsia="Calibri" w:hAnsi="Verdana"/>
          <w:lang w:val="es-ES"/>
        </w:rPr>
        <w:t>la jurisprudencia y la doctr</w:t>
      </w:r>
      <w:r w:rsidR="005762B9" w:rsidRPr="002C5611">
        <w:rPr>
          <w:rFonts w:ascii="Verdana" w:eastAsia="Calibri" w:hAnsi="Verdana"/>
          <w:lang w:val="es-ES"/>
        </w:rPr>
        <w:t xml:space="preserve">ina coinciden en señalar la prevalencia del </w:t>
      </w:r>
      <w:r w:rsidR="0021013A" w:rsidRPr="002C5611">
        <w:rPr>
          <w:rFonts w:ascii="Verdana" w:eastAsia="Calibri" w:hAnsi="Verdana"/>
          <w:lang w:val="es-ES"/>
        </w:rPr>
        <w:t xml:space="preserve">pliego de condiciones respecto de los demás documentos contractuales, </w:t>
      </w:r>
      <w:r w:rsidR="00B82EA3" w:rsidRPr="002C5611">
        <w:rPr>
          <w:rFonts w:ascii="Verdana" w:eastAsia="Calibri" w:hAnsi="Verdana"/>
          <w:lang w:val="es-ES"/>
        </w:rPr>
        <w:t xml:space="preserve">en la medida en que </w:t>
      </w:r>
      <w:r w:rsidR="00040F41" w:rsidRPr="002C5611">
        <w:rPr>
          <w:rFonts w:ascii="Verdana" w:eastAsia="Calibri" w:hAnsi="Verdana"/>
          <w:lang w:val="es-ES"/>
        </w:rPr>
        <w:t xml:space="preserve">los efectos que </w:t>
      </w:r>
      <w:r w:rsidR="003B64E9" w:rsidRPr="002C5611">
        <w:rPr>
          <w:rFonts w:ascii="Verdana" w:eastAsia="Calibri" w:hAnsi="Verdana"/>
          <w:lang w:val="es-ES"/>
        </w:rPr>
        <w:t xml:space="preserve">devienen de su naturaleza normativa irradian el desarrollo del proceso de selección, la celebración del contrato </w:t>
      </w:r>
      <w:r w:rsidR="001544D4" w:rsidRPr="002C5611">
        <w:rPr>
          <w:rFonts w:ascii="Verdana" w:eastAsia="Calibri" w:hAnsi="Verdana"/>
          <w:lang w:val="es-ES"/>
        </w:rPr>
        <w:t xml:space="preserve">y su ejecución. </w:t>
      </w:r>
      <w:r w:rsidR="00BD5DBE" w:rsidRPr="002C5611">
        <w:rPr>
          <w:rFonts w:ascii="Verdana" w:eastAsia="Calibri" w:hAnsi="Verdana"/>
          <w:lang w:val="es-ES"/>
        </w:rPr>
        <w:t>Debido a</w:t>
      </w:r>
      <w:r w:rsidR="001544D4" w:rsidRPr="002C5611">
        <w:rPr>
          <w:rFonts w:ascii="Verdana" w:eastAsia="Calibri" w:hAnsi="Verdana"/>
          <w:lang w:val="es-ES"/>
        </w:rPr>
        <w:t xml:space="preserve"> esto, no resulta posible la Entidad Estatal ejerzan la autonomía de la voluntad </w:t>
      </w:r>
      <w:r w:rsidR="008B446E" w:rsidRPr="002C5611">
        <w:rPr>
          <w:rFonts w:ascii="Verdana" w:eastAsia="Calibri" w:hAnsi="Verdana"/>
          <w:lang w:val="es-ES"/>
        </w:rPr>
        <w:t xml:space="preserve">contraviniendo en la minuta las reglas o elementos del negocio jurídico </w:t>
      </w:r>
      <w:r w:rsidR="00BD5DBE" w:rsidRPr="002C5611">
        <w:rPr>
          <w:rFonts w:ascii="Verdana" w:eastAsia="Calibri" w:hAnsi="Verdana"/>
          <w:lang w:val="es-ES"/>
        </w:rPr>
        <w:t xml:space="preserve">que debe consolidarse como resultado del Proceso de Contratación. </w:t>
      </w:r>
      <w:r w:rsidR="008B446E" w:rsidRPr="002C5611">
        <w:rPr>
          <w:rFonts w:ascii="Verdana" w:eastAsia="Calibri" w:hAnsi="Verdana"/>
          <w:lang w:val="es-ES"/>
        </w:rPr>
        <w:t xml:space="preserve"> </w:t>
      </w:r>
      <w:r w:rsidR="00D21725" w:rsidRPr="002C5611">
        <w:rPr>
          <w:rFonts w:ascii="Verdana" w:eastAsia="Calibri" w:hAnsi="Verdana"/>
          <w:lang w:val="es-ES"/>
        </w:rPr>
        <w:t xml:space="preserve"> </w:t>
      </w:r>
    </w:p>
    <w:p w14:paraId="352F900C" w14:textId="4154B255" w:rsidR="0012052F" w:rsidRPr="002C5611" w:rsidRDefault="00BD5DBE" w:rsidP="00305AB1">
      <w:pPr>
        <w:spacing w:after="120" w:line="276" w:lineRule="auto"/>
        <w:ind w:firstLine="709"/>
        <w:jc w:val="both"/>
        <w:rPr>
          <w:rFonts w:ascii="Verdana" w:eastAsia="Calibri" w:hAnsi="Verdana"/>
          <w:lang w:val="es-ES"/>
        </w:rPr>
      </w:pPr>
      <w:r w:rsidRPr="002C5611">
        <w:rPr>
          <w:rFonts w:ascii="Verdana" w:eastAsia="Calibri" w:hAnsi="Verdana"/>
          <w:lang w:val="es-ES"/>
        </w:rPr>
        <w:t>Sin</w:t>
      </w:r>
      <w:r w:rsidR="00D76084" w:rsidRPr="002C5611">
        <w:rPr>
          <w:rFonts w:ascii="Verdana" w:eastAsia="Calibri" w:hAnsi="Verdana"/>
          <w:lang w:val="es-ES"/>
        </w:rPr>
        <w:t xml:space="preserve"> embargo</w:t>
      </w:r>
      <w:r w:rsidRPr="002C5611">
        <w:rPr>
          <w:rFonts w:ascii="Verdana" w:eastAsia="Calibri" w:hAnsi="Verdana"/>
          <w:lang w:val="es-ES"/>
        </w:rPr>
        <w:t>,</w:t>
      </w:r>
      <w:r w:rsidR="00D76084" w:rsidRPr="002C5611">
        <w:rPr>
          <w:rFonts w:ascii="Verdana" w:eastAsia="Calibri" w:hAnsi="Verdana"/>
          <w:lang w:val="es-ES"/>
        </w:rPr>
        <w:t xml:space="preserve"> </w:t>
      </w:r>
      <w:r w:rsidR="000915D3" w:rsidRPr="002C5611">
        <w:rPr>
          <w:rFonts w:ascii="Verdana" w:eastAsia="Calibri" w:hAnsi="Verdana"/>
          <w:lang w:val="es-ES"/>
        </w:rPr>
        <w:t>el carácter prevalente del pliego de condiciones</w:t>
      </w:r>
      <w:r w:rsidR="008F1AE0" w:rsidRPr="002C5611">
        <w:rPr>
          <w:rFonts w:ascii="Verdana" w:eastAsia="Calibri" w:hAnsi="Verdana"/>
          <w:lang w:val="es-ES"/>
        </w:rPr>
        <w:t xml:space="preserve"> no puede </w:t>
      </w:r>
      <w:r w:rsidR="00513310" w:rsidRPr="002C5611">
        <w:rPr>
          <w:rFonts w:ascii="Verdana" w:eastAsia="Calibri" w:hAnsi="Verdana"/>
          <w:lang w:val="es-ES"/>
        </w:rPr>
        <w:t>alegarse</w:t>
      </w:r>
      <w:r w:rsidR="008F1AE0" w:rsidRPr="002C5611">
        <w:rPr>
          <w:rFonts w:ascii="Verdana" w:eastAsia="Calibri" w:hAnsi="Verdana"/>
          <w:lang w:val="es-ES"/>
        </w:rPr>
        <w:t xml:space="preserve"> </w:t>
      </w:r>
      <w:r w:rsidR="00E121FA" w:rsidRPr="002C5611">
        <w:rPr>
          <w:rFonts w:ascii="Verdana" w:eastAsia="Calibri" w:hAnsi="Verdana"/>
          <w:lang w:val="es-ES"/>
        </w:rPr>
        <w:t>con la finalidad de transgredir el interés general</w:t>
      </w:r>
      <w:r w:rsidR="001963DB" w:rsidRPr="002C5611">
        <w:rPr>
          <w:rFonts w:ascii="Verdana" w:eastAsia="Calibri" w:hAnsi="Verdana"/>
          <w:lang w:val="es-ES"/>
        </w:rPr>
        <w:t xml:space="preserve"> o el ordenamiento</w:t>
      </w:r>
      <w:r w:rsidR="00874FB9" w:rsidRPr="002C5611">
        <w:rPr>
          <w:rFonts w:ascii="Verdana" w:eastAsia="Calibri" w:hAnsi="Verdana"/>
          <w:lang w:val="es-ES"/>
        </w:rPr>
        <w:t>.</w:t>
      </w:r>
      <w:r w:rsidR="0012052F" w:rsidRPr="002C5611">
        <w:rPr>
          <w:rFonts w:ascii="Verdana" w:eastAsia="Calibri" w:hAnsi="Verdana"/>
          <w:lang w:val="es-ES"/>
        </w:rPr>
        <w:t xml:space="preserve"> Sobre este punto el Consejo de Estado ha indicado: </w:t>
      </w:r>
    </w:p>
    <w:p w14:paraId="5B4703CF" w14:textId="3A153F7A" w:rsidR="007C17BD" w:rsidRPr="002C5611" w:rsidRDefault="0012052F" w:rsidP="00305AB1">
      <w:pPr>
        <w:spacing w:after="120" w:line="240" w:lineRule="auto"/>
        <w:ind w:left="709" w:right="709"/>
        <w:jc w:val="both"/>
        <w:rPr>
          <w:rFonts w:ascii="Verdana" w:eastAsia="Calibri" w:hAnsi="Verdana"/>
          <w:sz w:val="20"/>
          <w:szCs w:val="20"/>
          <w:lang w:val="es-ES"/>
        </w:rPr>
      </w:pPr>
      <w:r w:rsidRPr="002C5611">
        <w:rPr>
          <w:rFonts w:ascii="Verdana" w:eastAsia="Calibri" w:hAnsi="Verdana"/>
          <w:sz w:val="20"/>
          <w:szCs w:val="20"/>
        </w:rPr>
        <w:lastRenderedPageBreak/>
        <w:t>“Se ha sostenido que, en lo que al contenido respecta, las cláusulas de los pliegos de condiciones admiten una suerte de categorización, en tanto un grupo o categoría de cláusulas cumplen la función práctico-jurídica de determinar las reglas generales con arreglo a las cuales el contrato habrá de ejecutarse, en tanto otro grupo o categoría está orientado a disciplinar el reglamento que habrá de regir el proceso de selección del oferente.</w:t>
      </w:r>
      <w:r w:rsidRPr="002C5611">
        <w:rPr>
          <w:rFonts w:ascii="Verdana" w:eastAsia="Calibri" w:hAnsi="Verdana"/>
          <w:sz w:val="20"/>
          <w:szCs w:val="20"/>
        </w:rPr>
        <w:br/>
      </w:r>
      <w:r w:rsidRPr="002C5611">
        <w:rPr>
          <w:rFonts w:ascii="Verdana" w:eastAsia="Calibri" w:hAnsi="Verdana"/>
          <w:i/>
          <w:iCs/>
          <w:sz w:val="20"/>
          <w:szCs w:val="20"/>
        </w:rPr>
        <w:t>Pues bien, sea que se trate de las cláusulas cuya función es disciplinar el procedimiento de selección exclusivamente, ya se trate de aquellas que se integran al contenido del contrato estatal, es lo cierto que la Administración no puede establecer criterios irrazonables que no consulten el interés general presente tanto en el proceso de selección como en la ejecución del contrato estatal, so pena de ineficacia de dichas cláusulas predispuestas ante casos de violación mayúscula del ordenamiento jurídico -v. gr., contravención de norma de orden público-, o de exponerse a un control riguroso de contenido por parte del juez del contrato</w:t>
      </w:r>
      <w:r w:rsidRPr="002C5611">
        <w:rPr>
          <w:rFonts w:ascii="Verdana" w:eastAsia="Calibri" w:hAnsi="Verdana"/>
          <w:sz w:val="20"/>
          <w:szCs w:val="20"/>
        </w:rPr>
        <w:t>, quien por la vía de la cláusula general de buena fe o, bajo la óptica del principio de objetividad o de igualdad, puede corregir o ajustar el contenido de la cláusula, con el propósito de preservar la eficacia vinculante de la que ha sido predispuesta, garantizando así, en todo caso, la aplicación cabal de los principios informadores de la contratación estatal”</w:t>
      </w:r>
      <w:r w:rsidRPr="002C5611">
        <w:rPr>
          <w:rStyle w:val="Refdenotaalpie"/>
          <w:rFonts w:ascii="Verdana" w:eastAsia="Calibri" w:hAnsi="Verdana"/>
          <w:sz w:val="20"/>
          <w:szCs w:val="20"/>
        </w:rPr>
        <w:footnoteReference w:id="17"/>
      </w:r>
      <w:r w:rsidRPr="002C5611">
        <w:rPr>
          <w:rFonts w:ascii="Verdana" w:eastAsia="Calibri" w:hAnsi="Verdana"/>
          <w:sz w:val="20"/>
          <w:szCs w:val="20"/>
        </w:rPr>
        <w:t>.</w:t>
      </w:r>
      <w:r w:rsidR="00824039" w:rsidRPr="002C5611">
        <w:rPr>
          <w:rFonts w:ascii="Verdana" w:eastAsia="Calibri" w:hAnsi="Verdana"/>
          <w:sz w:val="20"/>
          <w:szCs w:val="20"/>
          <w:lang w:val="es-ES"/>
        </w:rPr>
        <w:t xml:space="preserve"> </w:t>
      </w:r>
      <w:r w:rsidR="00DC2ADF" w:rsidRPr="002C5611">
        <w:rPr>
          <w:rFonts w:ascii="Verdana" w:eastAsia="Calibri" w:hAnsi="Verdana"/>
          <w:sz w:val="20"/>
          <w:szCs w:val="20"/>
          <w:lang w:val="es-ES"/>
        </w:rPr>
        <w:t>[</w:t>
      </w:r>
      <w:r w:rsidR="00DC2ADF" w:rsidRPr="002C5611">
        <w:rPr>
          <w:rFonts w:ascii="Verdana" w:hAnsi="Verdana" w:cs="Arial"/>
          <w:iCs/>
        </w:rPr>
        <w:t>Énfasis fuera de texto].</w:t>
      </w:r>
    </w:p>
    <w:p w14:paraId="3ACE08E0" w14:textId="5D782891" w:rsidR="00215AAE" w:rsidRPr="002C5611" w:rsidRDefault="00530346" w:rsidP="00305AB1">
      <w:pPr>
        <w:spacing w:after="120" w:line="276" w:lineRule="auto"/>
        <w:ind w:firstLine="709"/>
        <w:jc w:val="both"/>
        <w:rPr>
          <w:rFonts w:ascii="Verdana" w:eastAsia="Calibri" w:hAnsi="Verdana"/>
          <w:lang w:val="es-ES"/>
        </w:rPr>
      </w:pPr>
      <w:r w:rsidRPr="002C5611">
        <w:rPr>
          <w:rFonts w:ascii="Verdana" w:eastAsia="Calibri" w:hAnsi="Verdana"/>
          <w:lang w:val="es-ES"/>
        </w:rPr>
        <w:t>De acuerdo con lo anterior,</w:t>
      </w:r>
      <w:r w:rsidR="00513310" w:rsidRPr="002C5611">
        <w:rPr>
          <w:rFonts w:ascii="Verdana" w:eastAsia="Calibri" w:hAnsi="Verdana"/>
          <w:lang w:val="es-ES"/>
        </w:rPr>
        <w:t xml:space="preserve"> es importante tener en cuenta que el pliego de condiciones definitivo es un acto que surge como resultado de una fase previa de planeación en el marco de la cual se establece su contenido. Tal planeación se expresa en el análisis del sector, ejercicio en el marco del cual, de acuerdo el artículo 2.2.1.1.1.6.2 del Decreto 1082 de 2015, se deben determinar los requisitos habilitantes, así como en los estudios y documentos previos, dentro de los cuales se deben establecer </w:t>
      </w:r>
      <w:r w:rsidR="00513310" w:rsidRPr="002C5611">
        <w:rPr>
          <w:rFonts w:ascii="Verdana" w:eastAsia="Calibri" w:hAnsi="Verdana"/>
        </w:rPr>
        <w:t xml:space="preserve">los criterios para seleccionar la oferta más favorable, según lo indicado en el numeral 5 del artículo </w:t>
      </w:r>
      <w:r w:rsidR="00513310" w:rsidRPr="002C5611">
        <w:rPr>
          <w:rFonts w:ascii="Verdana" w:eastAsia="Calibri" w:hAnsi="Verdana"/>
          <w:lang w:val="es-ES"/>
        </w:rPr>
        <w:t>2.2.1.1.2.1.1 del Decreto 1082 de 2015. En ese sentido, sin perjuicio de las modificaciones que puedan realizarse en respuesta a las observaciones al proyecto de pliego de condiciones, es claro que los requisitos de participación y adjudicación que deben expresarse en el mismo deben guardar relación con lo establecido en los documentos precontractuales expedidos el marco de la planeación, garantizando la selección objetiva</w:t>
      </w:r>
      <w:r w:rsidRPr="002C5611">
        <w:rPr>
          <w:rFonts w:ascii="Verdana" w:eastAsia="Calibri" w:hAnsi="Verdana"/>
          <w:lang w:val="es-ES"/>
        </w:rPr>
        <w:t xml:space="preserve">. </w:t>
      </w:r>
    </w:p>
    <w:p w14:paraId="38904A8D" w14:textId="3FBF2D63" w:rsidR="00530346" w:rsidRPr="002C5611" w:rsidRDefault="00530346" w:rsidP="00305AB1">
      <w:pPr>
        <w:spacing w:after="120" w:line="276" w:lineRule="auto"/>
        <w:ind w:firstLine="709"/>
        <w:jc w:val="both"/>
        <w:rPr>
          <w:rFonts w:ascii="Verdana" w:eastAsia="Calibri" w:hAnsi="Verdana"/>
          <w:lang w:val="es-ES"/>
        </w:rPr>
      </w:pPr>
      <w:r w:rsidRPr="002C5611">
        <w:rPr>
          <w:rFonts w:ascii="Verdana" w:eastAsia="Calibri" w:hAnsi="Verdana"/>
          <w:lang w:val="es-ES"/>
        </w:rPr>
        <w:t>E</w:t>
      </w:r>
      <w:r w:rsidR="00041829" w:rsidRPr="002C5611">
        <w:rPr>
          <w:rFonts w:ascii="Verdana" w:eastAsia="Calibri" w:hAnsi="Verdana"/>
          <w:lang w:val="es-ES"/>
        </w:rPr>
        <w:t xml:space="preserve">sto significa que, el carácter prevalente del pliego de condiciones no puede </w:t>
      </w:r>
      <w:r w:rsidR="003A0FA0" w:rsidRPr="002C5611">
        <w:rPr>
          <w:rFonts w:ascii="Verdana" w:eastAsia="Calibri" w:hAnsi="Verdana"/>
          <w:lang w:val="es-ES"/>
        </w:rPr>
        <w:t>servir para desconocer las características del negocio jurídic</w:t>
      </w:r>
      <w:r w:rsidR="00933C2B" w:rsidRPr="002C5611">
        <w:rPr>
          <w:rFonts w:ascii="Verdana" w:eastAsia="Calibri" w:hAnsi="Verdana"/>
          <w:lang w:val="es-ES"/>
        </w:rPr>
        <w:t>o</w:t>
      </w:r>
      <w:r w:rsidR="003A0FA0" w:rsidRPr="002C5611">
        <w:rPr>
          <w:rFonts w:ascii="Verdana" w:eastAsia="Calibri" w:hAnsi="Verdana"/>
          <w:lang w:val="es-ES"/>
        </w:rPr>
        <w:t xml:space="preserve"> determinadas en el marco de la </w:t>
      </w:r>
      <w:r w:rsidR="00933C2B" w:rsidRPr="002C5611">
        <w:rPr>
          <w:rFonts w:ascii="Verdana" w:eastAsia="Calibri" w:hAnsi="Verdana"/>
          <w:lang w:val="es-ES"/>
        </w:rPr>
        <w:t xml:space="preserve">etapa de planeación, </w:t>
      </w:r>
      <w:r w:rsidR="00915BAF" w:rsidRPr="002C5611">
        <w:rPr>
          <w:rFonts w:ascii="Verdana" w:eastAsia="Calibri" w:hAnsi="Verdana"/>
          <w:lang w:val="es-ES"/>
        </w:rPr>
        <w:t>ni requisitos que resulta</w:t>
      </w:r>
      <w:r w:rsidR="002C2C27" w:rsidRPr="002C5611">
        <w:rPr>
          <w:rFonts w:ascii="Verdana" w:eastAsia="Calibri" w:hAnsi="Verdana"/>
          <w:lang w:val="es-ES"/>
        </w:rPr>
        <w:t>n</w:t>
      </w:r>
      <w:r w:rsidR="00915BAF" w:rsidRPr="002C5611">
        <w:rPr>
          <w:rFonts w:ascii="Verdana" w:eastAsia="Calibri" w:hAnsi="Verdana"/>
          <w:lang w:val="es-ES"/>
        </w:rPr>
        <w:t xml:space="preserve"> de obligatoria aplicación en virtud de la ley</w:t>
      </w:r>
      <w:r w:rsidR="002C2C27" w:rsidRPr="002C5611">
        <w:rPr>
          <w:rFonts w:ascii="Verdana" w:eastAsia="Calibri" w:hAnsi="Verdana"/>
          <w:lang w:val="es-ES"/>
        </w:rPr>
        <w:t xml:space="preserve">, como, por ejemplo, los requisitos </w:t>
      </w:r>
      <w:r w:rsidR="002C2C27" w:rsidRPr="002C5611">
        <w:rPr>
          <w:rFonts w:ascii="Verdana" w:eastAsia="Calibri" w:hAnsi="Verdana"/>
          <w:lang w:val="es-ES"/>
        </w:rPr>
        <w:lastRenderedPageBreak/>
        <w:t>habilitantes diferenciales</w:t>
      </w:r>
      <w:r w:rsidR="004B012F" w:rsidRPr="002C5611">
        <w:rPr>
          <w:rFonts w:ascii="Verdana" w:eastAsia="Calibri" w:hAnsi="Verdana"/>
          <w:lang w:val="es-ES"/>
        </w:rPr>
        <w:t xml:space="preserve"> y puntajes adicionales para emprendimientos y empresas de mujeres, regulados en los artículos</w:t>
      </w:r>
      <w:r w:rsidR="00D60C89" w:rsidRPr="002C5611">
        <w:rPr>
          <w:rFonts w:ascii="Verdana" w:eastAsia="Calibri" w:hAnsi="Verdana"/>
          <w:lang w:val="es-ES"/>
        </w:rPr>
        <w:t xml:space="preserve"> 32 de la </w:t>
      </w:r>
      <w:r w:rsidR="00EC52BB" w:rsidRPr="002C5611">
        <w:rPr>
          <w:rFonts w:ascii="Verdana" w:eastAsia="Calibri" w:hAnsi="Verdana"/>
          <w:lang w:val="es-ES"/>
        </w:rPr>
        <w:t xml:space="preserve">Ley 2069 de 2020 y 2.2.1.2.4.2.15 del Decreto 1082 de 2015, los cuales son de obligatoria aplicación en los </w:t>
      </w:r>
      <w:r w:rsidR="00FF6A57" w:rsidRPr="002C5611">
        <w:rPr>
          <w:rFonts w:ascii="Verdana" w:eastAsia="Calibri" w:hAnsi="Verdana"/>
          <w:lang w:val="es-ES"/>
        </w:rPr>
        <w:t>procesos de selección adelantados en las modalidades de licitación pública, selección abreviada de menor cuantía y concurso de méritos.</w:t>
      </w:r>
      <w:r w:rsidR="004B012F" w:rsidRPr="002C5611">
        <w:rPr>
          <w:rFonts w:ascii="Verdana" w:eastAsia="Calibri" w:hAnsi="Verdana"/>
          <w:lang w:val="es-ES"/>
        </w:rPr>
        <w:t xml:space="preserve"> </w:t>
      </w:r>
      <w:r w:rsidR="002C2C27" w:rsidRPr="002C5611">
        <w:rPr>
          <w:rFonts w:ascii="Verdana" w:eastAsia="Calibri" w:hAnsi="Verdana"/>
          <w:lang w:val="es-ES"/>
        </w:rPr>
        <w:t xml:space="preserve"> </w:t>
      </w:r>
      <w:r w:rsidR="00933C2B" w:rsidRPr="002C5611">
        <w:rPr>
          <w:rFonts w:ascii="Verdana" w:eastAsia="Calibri" w:hAnsi="Verdana"/>
          <w:lang w:val="es-ES"/>
        </w:rPr>
        <w:t xml:space="preserve"> </w:t>
      </w:r>
    </w:p>
    <w:p w14:paraId="10A3BA2C" w14:textId="313C365A" w:rsidR="002326D6" w:rsidRPr="00305AB1" w:rsidRDefault="002326D6" w:rsidP="00305AB1">
      <w:pPr>
        <w:spacing w:after="0" w:line="276" w:lineRule="auto"/>
        <w:ind w:firstLine="708"/>
        <w:jc w:val="both"/>
        <w:rPr>
          <w:rFonts w:ascii="Verdana" w:eastAsia="Arial" w:hAnsi="Verdana" w:cs="Arial"/>
        </w:rPr>
      </w:pPr>
      <w:r w:rsidRPr="00305AB1">
        <w:rPr>
          <w:rFonts w:ascii="Verdana" w:eastAsia="Arial" w:hAnsi="Verdana" w:cs="Arial"/>
        </w:rPr>
        <w:t>Con todo, corresponde a las Entidades Estatales</w:t>
      </w:r>
      <w:r w:rsidRPr="00305AB1">
        <w:rPr>
          <w:rFonts w:ascii="Verdana" w:eastAsia="Arial" w:hAnsi="Verdana" w:cs="Arial"/>
          <w:spacing w:val="1"/>
        </w:rPr>
        <w:t xml:space="preserve"> </w:t>
      </w:r>
      <w:r w:rsidRPr="00305AB1">
        <w:rPr>
          <w:rFonts w:ascii="Verdana" w:eastAsia="Arial" w:hAnsi="Verdana" w:cs="Arial"/>
        </w:rPr>
        <w:t xml:space="preserve">contratantes </w:t>
      </w:r>
      <w:r w:rsidR="00A43B44">
        <w:rPr>
          <w:rFonts w:ascii="Verdana" w:eastAsia="Arial" w:hAnsi="Verdana" w:cs="Arial"/>
        </w:rPr>
        <w:t xml:space="preserve">analizar </w:t>
      </w:r>
      <w:r w:rsidRPr="00305AB1">
        <w:rPr>
          <w:rFonts w:ascii="Verdana" w:eastAsia="Arial" w:hAnsi="Verdana" w:cs="Arial"/>
        </w:rPr>
        <w:t>en cada caso concreto</w:t>
      </w:r>
      <w:r w:rsidR="004E3C59">
        <w:rPr>
          <w:rFonts w:ascii="Verdana" w:eastAsia="Arial" w:hAnsi="Verdana" w:cs="Arial"/>
        </w:rPr>
        <w:t xml:space="preserve"> </w:t>
      </w:r>
      <w:r w:rsidR="006979FC">
        <w:rPr>
          <w:rFonts w:ascii="Verdana" w:eastAsia="Arial" w:hAnsi="Verdana" w:cs="Arial"/>
        </w:rPr>
        <w:t xml:space="preserve">si en efecto se presentan </w:t>
      </w:r>
      <w:r w:rsidR="004E3C59">
        <w:rPr>
          <w:rFonts w:ascii="Verdana" w:eastAsia="Arial" w:hAnsi="Verdana" w:cs="Arial"/>
        </w:rPr>
        <w:t xml:space="preserve">contradicciones </w:t>
      </w:r>
      <w:r w:rsidR="00F90C12">
        <w:rPr>
          <w:rFonts w:ascii="Verdana" w:eastAsia="Arial" w:hAnsi="Verdana" w:cs="Arial"/>
        </w:rPr>
        <w:t xml:space="preserve">entre el contenido de los diferentes </w:t>
      </w:r>
      <w:r w:rsidR="004E3C59">
        <w:rPr>
          <w:rFonts w:ascii="Verdana" w:eastAsia="Arial" w:hAnsi="Verdana" w:cs="Arial"/>
        </w:rPr>
        <w:t xml:space="preserve">los Documentos del Proceso, </w:t>
      </w:r>
      <w:r w:rsidR="00E75E18">
        <w:rPr>
          <w:rFonts w:ascii="Verdana" w:eastAsia="Arial" w:hAnsi="Verdana" w:cs="Arial"/>
        </w:rPr>
        <w:t>en aras de determinar el tratamiento interpretativo del que deben ser objeto las mismas</w:t>
      </w:r>
      <w:r w:rsidR="00B42EF0">
        <w:rPr>
          <w:rFonts w:ascii="Verdana" w:eastAsia="Arial" w:hAnsi="Verdana" w:cs="Arial"/>
        </w:rPr>
        <w:t xml:space="preserve"> en aras de preservar la legalidad del Proceso de Contratación. </w:t>
      </w:r>
    </w:p>
    <w:p w14:paraId="7429D61D" w14:textId="77777777" w:rsidR="002326D6" w:rsidRPr="00593A5F" w:rsidRDefault="002326D6" w:rsidP="002326D6">
      <w:pPr>
        <w:widowControl w:val="0"/>
        <w:autoSpaceDE w:val="0"/>
        <w:autoSpaceDN w:val="0"/>
        <w:spacing w:after="0" w:line="276" w:lineRule="auto"/>
        <w:jc w:val="both"/>
        <w:rPr>
          <w:rFonts w:ascii="Verdana" w:hAnsi="Verdana" w:cs="Arial"/>
        </w:rPr>
      </w:pPr>
    </w:p>
    <w:p w14:paraId="04081638" w14:textId="77777777" w:rsidR="002326D6" w:rsidRPr="00593A5F" w:rsidRDefault="002326D6" w:rsidP="002326D6">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549033D" w14:textId="77777777" w:rsidR="002326D6" w:rsidRPr="00593A5F" w:rsidRDefault="002326D6" w:rsidP="002326D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326D6" w:rsidRPr="00593A5F" w14:paraId="43B38352" w14:textId="77777777" w:rsidTr="00F11EC0">
        <w:trPr>
          <w:trHeight w:val="870"/>
        </w:trPr>
        <w:tc>
          <w:tcPr>
            <w:tcW w:w="8647" w:type="dxa"/>
          </w:tcPr>
          <w:p w14:paraId="5BE44BA2" w14:textId="25E1F587" w:rsidR="009B2CAF" w:rsidRDefault="009B2CAF" w:rsidP="00305AB1">
            <w:pPr>
              <w:pStyle w:val="Prrafodelista"/>
              <w:widowControl w:val="0"/>
              <w:numPr>
                <w:ilvl w:val="0"/>
                <w:numId w:val="21"/>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artículos 25</w:t>
            </w:r>
            <w:r w:rsidR="00263A01">
              <w:rPr>
                <w:rFonts w:ascii="Verdana" w:hAnsi="Verdana" w:cs="Arial"/>
              </w:rPr>
              <w:t>, numeral 2.</w:t>
            </w:r>
          </w:p>
          <w:p w14:paraId="3ECA23DF" w14:textId="2A96AEE9" w:rsidR="002326D6" w:rsidRDefault="002326D6" w:rsidP="00305AB1">
            <w:pPr>
              <w:pStyle w:val="Prrafodelista"/>
              <w:widowControl w:val="0"/>
              <w:numPr>
                <w:ilvl w:val="0"/>
                <w:numId w:val="21"/>
              </w:numPr>
              <w:autoSpaceDE w:val="0"/>
              <w:autoSpaceDN w:val="0"/>
              <w:spacing w:after="120" w:line="276" w:lineRule="auto"/>
              <w:ind w:left="714" w:hanging="357"/>
              <w:contextualSpacing w:val="0"/>
              <w:jc w:val="both"/>
              <w:rPr>
                <w:rFonts w:ascii="Verdana" w:hAnsi="Verdana" w:cs="Arial"/>
              </w:rPr>
            </w:pPr>
            <w:r w:rsidRPr="009B3C96">
              <w:rPr>
                <w:rFonts w:ascii="Verdana" w:hAnsi="Verdana" w:cs="Arial"/>
              </w:rPr>
              <w:t>Ley 1150 de 2007</w:t>
            </w:r>
            <w:r w:rsidR="009B2CAF">
              <w:rPr>
                <w:rFonts w:ascii="Verdana" w:hAnsi="Verdana" w:cs="Arial"/>
              </w:rPr>
              <w:t xml:space="preserve">, artículo 5.   </w:t>
            </w:r>
          </w:p>
          <w:p w14:paraId="370C7C2C" w14:textId="77777777" w:rsidR="00CC0AB8" w:rsidRDefault="00CC0AB8" w:rsidP="00305AB1">
            <w:pPr>
              <w:pStyle w:val="Prrafodelista"/>
              <w:widowControl w:val="0"/>
              <w:numPr>
                <w:ilvl w:val="0"/>
                <w:numId w:val="21"/>
              </w:numPr>
              <w:autoSpaceDE w:val="0"/>
              <w:autoSpaceDN w:val="0"/>
              <w:spacing w:after="120" w:line="276" w:lineRule="auto"/>
              <w:ind w:left="714" w:hanging="357"/>
              <w:contextualSpacing w:val="0"/>
              <w:jc w:val="both"/>
              <w:rPr>
                <w:rFonts w:ascii="Verdana" w:hAnsi="Verdana" w:cs="Arial"/>
              </w:rPr>
            </w:pPr>
            <w:r w:rsidRPr="009B3C96">
              <w:rPr>
                <w:rFonts w:ascii="Verdana" w:hAnsi="Verdana" w:cs="Arial"/>
              </w:rPr>
              <w:t>Ley 2069 de 202</w:t>
            </w:r>
            <w:r>
              <w:rPr>
                <w:rFonts w:ascii="Verdana" w:hAnsi="Verdana" w:cs="Arial"/>
              </w:rPr>
              <w:t>0, a</w:t>
            </w:r>
            <w:r w:rsidRPr="009B3C96">
              <w:rPr>
                <w:rFonts w:ascii="Verdana" w:hAnsi="Verdana" w:cs="Arial"/>
              </w:rPr>
              <w:t>rt</w:t>
            </w:r>
            <w:r>
              <w:rPr>
                <w:rFonts w:ascii="Verdana" w:hAnsi="Verdana" w:cs="Arial"/>
              </w:rPr>
              <w:t>í</w:t>
            </w:r>
            <w:r w:rsidRPr="009B3C96">
              <w:rPr>
                <w:rFonts w:ascii="Verdana" w:hAnsi="Verdana" w:cs="Arial"/>
              </w:rPr>
              <w:t>culo 32</w:t>
            </w:r>
            <w:r>
              <w:rPr>
                <w:rFonts w:ascii="Verdana" w:hAnsi="Verdana" w:cs="Arial"/>
              </w:rPr>
              <w:t>.</w:t>
            </w:r>
          </w:p>
          <w:p w14:paraId="0035F9A3" w14:textId="1CD18AB7" w:rsidR="002326D6" w:rsidRDefault="002326D6" w:rsidP="00305AB1">
            <w:pPr>
              <w:pStyle w:val="Prrafodelista"/>
              <w:widowControl w:val="0"/>
              <w:numPr>
                <w:ilvl w:val="0"/>
                <w:numId w:val="21"/>
              </w:numPr>
              <w:autoSpaceDE w:val="0"/>
              <w:autoSpaceDN w:val="0"/>
              <w:spacing w:after="120" w:line="276" w:lineRule="auto"/>
              <w:ind w:left="714" w:hanging="357"/>
              <w:contextualSpacing w:val="0"/>
              <w:jc w:val="both"/>
              <w:rPr>
                <w:rFonts w:ascii="Verdana" w:hAnsi="Verdana" w:cs="Arial"/>
              </w:rPr>
            </w:pPr>
            <w:r w:rsidRPr="009B3C96">
              <w:rPr>
                <w:rFonts w:ascii="Verdana" w:hAnsi="Verdana" w:cs="Arial"/>
              </w:rPr>
              <w:t>Decreto 1082 de 2015</w:t>
            </w:r>
            <w:r w:rsidR="009B2CAF">
              <w:rPr>
                <w:rFonts w:ascii="Verdana" w:hAnsi="Verdana" w:cs="Arial"/>
              </w:rPr>
              <w:t>, a</w:t>
            </w:r>
            <w:r w:rsidRPr="009B3C96">
              <w:rPr>
                <w:rFonts w:ascii="Verdana" w:hAnsi="Verdana" w:cs="Arial"/>
              </w:rPr>
              <w:t xml:space="preserve">rtículos </w:t>
            </w:r>
            <w:r w:rsidR="009B2CAF" w:rsidRPr="006A74CA">
              <w:rPr>
                <w:rFonts w:ascii="Verdana" w:eastAsia="Calibri" w:hAnsi="Verdana"/>
              </w:rPr>
              <w:t xml:space="preserve">2.2.1.1.1.6.2, </w:t>
            </w:r>
            <w:r w:rsidRPr="009B3C96">
              <w:rPr>
                <w:rFonts w:ascii="Verdana" w:hAnsi="Verdana" w:cs="Arial"/>
              </w:rPr>
              <w:t>2.2.1.1.2.1.1</w:t>
            </w:r>
            <w:r w:rsidR="009B2CAF">
              <w:rPr>
                <w:rFonts w:ascii="Verdana" w:hAnsi="Verdana" w:cs="Arial"/>
              </w:rPr>
              <w:t>,</w:t>
            </w:r>
            <w:r>
              <w:rPr>
                <w:rFonts w:ascii="Verdana" w:hAnsi="Verdana" w:cs="Arial"/>
              </w:rPr>
              <w:t xml:space="preserve"> </w:t>
            </w:r>
            <w:r w:rsidRPr="009B3C96">
              <w:rPr>
                <w:rFonts w:ascii="Verdana" w:hAnsi="Verdana" w:cs="Arial"/>
              </w:rPr>
              <w:t xml:space="preserve">2.2.1.1.2.1.3 </w:t>
            </w:r>
            <w:r w:rsidR="009B2CAF">
              <w:rPr>
                <w:rFonts w:ascii="Verdana" w:hAnsi="Verdana" w:cs="Arial"/>
              </w:rPr>
              <w:t>y</w:t>
            </w:r>
            <w:r w:rsidRPr="009B3C96">
              <w:rPr>
                <w:rFonts w:ascii="Verdana" w:hAnsi="Verdana" w:cs="Arial"/>
              </w:rPr>
              <w:t xml:space="preserve"> 2.2.1.2.4.2.15</w:t>
            </w:r>
            <w:r w:rsidR="0088484F">
              <w:rPr>
                <w:rFonts w:ascii="Verdana" w:hAnsi="Verdana" w:cs="Arial"/>
              </w:rPr>
              <w:t>.</w:t>
            </w:r>
          </w:p>
          <w:p w14:paraId="26212DF1" w14:textId="27724407" w:rsidR="00CC0AB8" w:rsidRDefault="00CC0AB8" w:rsidP="00305AB1">
            <w:pPr>
              <w:pStyle w:val="Prrafodelista"/>
              <w:widowControl w:val="0"/>
              <w:numPr>
                <w:ilvl w:val="0"/>
                <w:numId w:val="21"/>
              </w:numPr>
              <w:autoSpaceDE w:val="0"/>
              <w:autoSpaceDN w:val="0"/>
              <w:spacing w:after="120" w:line="276" w:lineRule="auto"/>
              <w:ind w:left="714" w:hanging="357"/>
              <w:contextualSpacing w:val="0"/>
              <w:jc w:val="both"/>
              <w:rPr>
                <w:rFonts w:ascii="Verdana" w:hAnsi="Verdana" w:cs="Arial"/>
              </w:rPr>
            </w:pPr>
            <w:r w:rsidRPr="009B3C96">
              <w:rPr>
                <w:rFonts w:ascii="Verdana" w:hAnsi="Verdana" w:cs="Arial"/>
              </w:rPr>
              <w:t>Decreto 1860 de 2021</w:t>
            </w:r>
            <w:r>
              <w:rPr>
                <w:rFonts w:ascii="Verdana" w:hAnsi="Verdana" w:cs="Arial"/>
              </w:rPr>
              <w:t>, artículo 3</w:t>
            </w:r>
            <w:r w:rsidR="00263A01">
              <w:rPr>
                <w:rFonts w:ascii="Verdana" w:hAnsi="Verdana" w:cs="Arial"/>
              </w:rPr>
              <w:t xml:space="preserve">. </w:t>
            </w:r>
          </w:p>
          <w:p w14:paraId="5B51E456" w14:textId="77777777" w:rsidR="00263A01" w:rsidRPr="00305AB1" w:rsidRDefault="00263A01" w:rsidP="00305AB1">
            <w:pPr>
              <w:pStyle w:val="Textonotapie"/>
              <w:numPr>
                <w:ilvl w:val="0"/>
                <w:numId w:val="21"/>
              </w:numPr>
              <w:jc w:val="both"/>
              <w:rPr>
                <w:rFonts w:ascii="Verdana" w:hAnsi="Verdana" w:cs="Arial"/>
                <w:color w:val="000000" w:themeColor="text1"/>
                <w:sz w:val="22"/>
                <w:szCs w:val="22"/>
              </w:rPr>
            </w:pPr>
            <w:r w:rsidRPr="00305AB1">
              <w:rPr>
                <w:rFonts w:ascii="Verdana" w:hAnsi="Verdana" w:cs="Arial"/>
                <w:color w:val="000000" w:themeColor="text1"/>
                <w:sz w:val="22"/>
                <w:szCs w:val="22"/>
              </w:rPr>
              <w:t>CORTE CONSTITUCIONAL. Sentencia C-128 de 2003. M.P. Álvaro Tafur Galvis.</w:t>
            </w:r>
          </w:p>
          <w:p w14:paraId="6FB192A7" w14:textId="77777777" w:rsidR="00263A01" w:rsidRPr="00305AB1" w:rsidRDefault="00263A01" w:rsidP="00263A01">
            <w:pPr>
              <w:jc w:val="both"/>
              <w:rPr>
                <w:rFonts w:ascii="Verdana" w:hAnsi="Verdana"/>
                <w:lang w:val="es-MX"/>
              </w:rPr>
            </w:pPr>
          </w:p>
          <w:p w14:paraId="0A540197" w14:textId="77777777" w:rsidR="00263A01" w:rsidRPr="00305AB1" w:rsidRDefault="00263A01" w:rsidP="00305AB1">
            <w:pPr>
              <w:pStyle w:val="Prrafodelista"/>
              <w:numPr>
                <w:ilvl w:val="0"/>
                <w:numId w:val="21"/>
              </w:numPr>
              <w:jc w:val="both"/>
              <w:rPr>
                <w:rFonts w:ascii="Verdana" w:hAnsi="Verdana"/>
              </w:rPr>
            </w:pPr>
            <w:r w:rsidRPr="00305AB1">
              <w:rPr>
                <w:rFonts w:ascii="Verdana" w:hAnsi="Verdana"/>
              </w:rPr>
              <w:t xml:space="preserve">CONSEJO DE ESTADO, Sección Tercera, Sentencia del 3 de mayo de 1999, </w:t>
            </w:r>
            <w:proofErr w:type="spellStart"/>
            <w:r w:rsidRPr="00305AB1">
              <w:rPr>
                <w:rFonts w:ascii="Verdana" w:hAnsi="Verdana"/>
              </w:rPr>
              <w:t>Exp</w:t>
            </w:r>
            <w:proofErr w:type="spellEnd"/>
            <w:r w:rsidRPr="00305AB1">
              <w:rPr>
                <w:rFonts w:ascii="Verdana" w:hAnsi="Verdana"/>
              </w:rPr>
              <w:t>. No. 12344, C.P. Daniel Suarez Hernández.</w:t>
            </w:r>
          </w:p>
          <w:p w14:paraId="53CDA724" w14:textId="77777777" w:rsidR="00263A01" w:rsidRPr="00305AB1" w:rsidRDefault="00263A01" w:rsidP="00263A01">
            <w:pPr>
              <w:jc w:val="both"/>
              <w:rPr>
                <w:rFonts w:ascii="Verdana" w:hAnsi="Verdana"/>
              </w:rPr>
            </w:pPr>
          </w:p>
          <w:p w14:paraId="1391ED24" w14:textId="77777777" w:rsidR="00263A01" w:rsidRPr="00305AB1" w:rsidRDefault="00263A01" w:rsidP="00305AB1">
            <w:pPr>
              <w:pStyle w:val="Textonotapie"/>
              <w:numPr>
                <w:ilvl w:val="0"/>
                <w:numId w:val="21"/>
              </w:numPr>
              <w:jc w:val="both"/>
              <w:rPr>
                <w:rFonts w:ascii="Verdana" w:hAnsi="Verdana"/>
                <w:sz w:val="22"/>
                <w:szCs w:val="22"/>
              </w:rPr>
            </w:pPr>
            <w:r w:rsidRPr="00305AB1">
              <w:rPr>
                <w:rFonts w:ascii="Verdana" w:hAnsi="Verdana"/>
                <w:sz w:val="22"/>
                <w:szCs w:val="22"/>
              </w:rPr>
              <w:t xml:space="preserve">CONSEJO DE ESTADO, Sección Tercera, Sentencia del 29 de enero de 2004, C.P. Alier Eduardo Hernández Enríquez, </w:t>
            </w:r>
            <w:proofErr w:type="spellStart"/>
            <w:r w:rsidRPr="00305AB1">
              <w:rPr>
                <w:rFonts w:ascii="Verdana" w:hAnsi="Verdana"/>
                <w:sz w:val="22"/>
                <w:szCs w:val="22"/>
              </w:rPr>
              <w:t>Exp</w:t>
            </w:r>
            <w:proofErr w:type="spellEnd"/>
            <w:r w:rsidRPr="00305AB1">
              <w:rPr>
                <w:rFonts w:ascii="Verdana" w:hAnsi="Verdana"/>
                <w:sz w:val="22"/>
                <w:szCs w:val="22"/>
              </w:rPr>
              <w:t xml:space="preserve">. No. 10.779.  </w:t>
            </w:r>
          </w:p>
          <w:p w14:paraId="6043487B" w14:textId="77777777" w:rsidR="00263A01" w:rsidRPr="00305AB1" w:rsidRDefault="00263A01" w:rsidP="00263A01">
            <w:pPr>
              <w:pStyle w:val="Textonotapie"/>
              <w:jc w:val="both"/>
              <w:rPr>
                <w:rFonts w:ascii="Verdana" w:hAnsi="Verdana" w:cs="Arial"/>
                <w:sz w:val="22"/>
                <w:szCs w:val="22"/>
                <w:lang w:val="es-CO"/>
              </w:rPr>
            </w:pPr>
          </w:p>
          <w:p w14:paraId="10407EB0" w14:textId="77777777" w:rsidR="00263A01" w:rsidRPr="00305AB1" w:rsidRDefault="00263A01" w:rsidP="00305AB1">
            <w:pPr>
              <w:pStyle w:val="Textonotapie"/>
              <w:numPr>
                <w:ilvl w:val="0"/>
                <w:numId w:val="21"/>
              </w:numPr>
              <w:jc w:val="both"/>
              <w:rPr>
                <w:rFonts w:ascii="Verdana" w:hAnsi="Verdana" w:cs="Arial"/>
                <w:sz w:val="22"/>
                <w:szCs w:val="22"/>
              </w:rPr>
            </w:pPr>
            <w:r w:rsidRPr="00305AB1">
              <w:rPr>
                <w:rFonts w:ascii="Verdana" w:hAnsi="Verdana" w:cs="Arial"/>
                <w:sz w:val="22"/>
                <w:szCs w:val="22"/>
              </w:rPr>
              <w:t xml:space="preserve">CONSEJO DE ESTADO. Sección Tercera. Sentencia de 30 de noviembre de 2006. </w:t>
            </w:r>
            <w:proofErr w:type="spellStart"/>
            <w:r w:rsidRPr="00305AB1">
              <w:rPr>
                <w:rFonts w:ascii="Verdana" w:hAnsi="Verdana" w:cs="Arial"/>
                <w:sz w:val="22"/>
                <w:szCs w:val="22"/>
              </w:rPr>
              <w:t>Exp</w:t>
            </w:r>
            <w:proofErr w:type="spellEnd"/>
            <w:r w:rsidRPr="00305AB1">
              <w:rPr>
                <w:rFonts w:ascii="Verdana" w:hAnsi="Verdana" w:cs="Arial"/>
                <w:sz w:val="22"/>
                <w:szCs w:val="22"/>
              </w:rPr>
              <w:t>. 18.059. M.P. Alier Hernández Enríquez.</w:t>
            </w:r>
          </w:p>
          <w:p w14:paraId="1548DDE9" w14:textId="77777777" w:rsidR="00263A01" w:rsidRPr="00305AB1" w:rsidRDefault="00263A01" w:rsidP="00263A01">
            <w:pPr>
              <w:pStyle w:val="Textonotapie"/>
              <w:jc w:val="both"/>
              <w:rPr>
                <w:rFonts w:ascii="Verdana" w:hAnsi="Verdana" w:cs="Arial"/>
                <w:sz w:val="22"/>
                <w:szCs w:val="22"/>
              </w:rPr>
            </w:pPr>
          </w:p>
          <w:p w14:paraId="2776016C" w14:textId="77777777" w:rsidR="00263A01" w:rsidRPr="00305AB1" w:rsidRDefault="00263A01" w:rsidP="00305AB1">
            <w:pPr>
              <w:pStyle w:val="Textonotapie"/>
              <w:numPr>
                <w:ilvl w:val="0"/>
                <w:numId w:val="21"/>
              </w:numPr>
              <w:jc w:val="both"/>
              <w:rPr>
                <w:rFonts w:ascii="Verdana" w:hAnsi="Verdana" w:cs="Arial"/>
                <w:color w:val="000000" w:themeColor="text1"/>
                <w:sz w:val="22"/>
                <w:szCs w:val="22"/>
              </w:rPr>
            </w:pPr>
            <w:r w:rsidRPr="00305AB1">
              <w:rPr>
                <w:rFonts w:ascii="Verdana" w:hAnsi="Verdana" w:cs="Arial"/>
                <w:color w:val="000000" w:themeColor="text1"/>
                <w:sz w:val="22"/>
                <w:szCs w:val="22"/>
              </w:rPr>
              <w:t xml:space="preserve">CONSEJO DE ESTADO. Sección Tercera. Sentencia del 11 de noviembre de 2009. </w:t>
            </w:r>
            <w:proofErr w:type="spellStart"/>
            <w:r w:rsidRPr="00305AB1">
              <w:rPr>
                <w:rFonts w:ascii="Verdana" w:hAnsi="Verdana" w:cs="Arial"/>
                <w:color w:val="000000" w:themeColor="text1"/>
                <w:sz w:val="22"/>
                <w:szCs w:val="22"/>
              </w:rPr>
              <w:t>Exp</w:t>
            </w:r>
            <w:proofErr w:type="spellEnd"/>
            <w:r w:rsidRPr="00305AB1">
              <w:rPr>
                <w:rFonts w:ascii="Verdana" w:hAnsi="Verdana" w:cs="Arial"/>
                <w:color w:val="000000" w:themeColor="text1"/>
                <w:sz w:val="22"/>
                <w:szCs w:val="22"/>
              </w:rPr>
              <w:t>. 17.366. C.P. Mauricio Fajardo Gómez.</w:t>
            </w:r>
          </w:p>
          <w:p w14:paraId="7521548A" w14:textId="77777777" w:rsidR="00263A01" w:rsidRPr="00305AB1" w:rsidRDefault="00263A01" w:rsidP="00263A01">
            <w:pPr>
              <w:pStyle w:val="Textonotapie"/>
              <w:jc w:val="both"/>
              <w:rPr>
                <w:rFonts w:ascii="Verdana" w:hAnsi="Verdana" w:cs="Arial"/>
                <w:color w:val="000000" w:themeColor="text1"/>
                <w:sz w:val="22"/>
                <w:szCs w:val="22"/>
              </w:rPr>
            </w:pPr>
          </w:p>
          <w:p w14:paraId="1AB516D7" w14:textId="77777777" w:rsidR="00263A01" w:rsidRPr="00305AB1" w:rsidRDefault="00263A01" w:rsidP="00305AB1">
            <w:pPr>
              <w:pStyle w:val="Textonotapie"/>
              <w:numPr>
                <w:ilvl w:val="0"/>
                <w:numId w:val="21"/>
              </w:numPr>
              <w:jc w:val="both"/>
              <w:rPr>
                <w:rFonts w:ascii="Verdana" w:hAnsi="Verdana"/>
                <w:sz w:val="22"/>
                <w:szCs w:val="22"/>
              </w:rPr>
            </w:pPr>
            <w:r w:rsidRPr="00305AB1">
              <w:rPr>
                <w:rFonts w:ascii="Verdana" w:hAnsi="Verdana"/>
                <w:sz w:val="22"/>
                <w:szCs w:val="22"/>
              </w:rPr>
              <w:t xml:space="preserve">CONSEJO DE ESTADO, Sección Tercera, Sentencia del 10 de marzo de 2011, C.P. Danilo Rojas </w:t>
            </w:r>
            <w:proofErr w:type="spellStart"/>
            <w:r w:rsidRPr="00305AB1">
              <w:rPr>
                <w:rFonts w:ascii="Verdana" w:hAnsi="Verdana"/>
                <w:sz w:val="22"/>
                <w:szCs w:val="22"/>
              </w:rPr>
              <w:t>Betancourth</w:t>
            </w:r>
            <w:proofErr w:type="spellEnd"/>
            <w:r w:rsidRPr="00305AB1">
              <w:rPr>
                <w:rFonts w:ascii="Verdana" w:hAnsi="Verdana"/>
                <w:sz w:val="22"/>
                <w:szCs w:val="22"/>
              </w:rPr>
              <w:t xml:space="preserve">, </w:t>
            </w:r>
            <w:proofErr w:type="spellStart"/>
            <w:r w:rsidRPr="00305AB1">
              <w:rPr>
                <w:rFonts w:ascii="Verdana" w:hAnsi="Verdana"/>
                <w:sz w:val="22"/>
                <w:szCs w:val="22"/>
              </w:rPr>
              <w:t>Exp</w:t>
            </w:r>
            <w:proofErr w:type="spellEnd"/>
            <w:r w:rsidRPr="00305AB1">
              <w:rPr>
                <w:rFonts w:ascii="Verdana" w:hAnsi="Verdana"/>
                <w:sz w:val="22"/>
                <w:szCs w:val="22"/>
              </w:rPr>
              <w:t xml:space="preserve">. No. 15.666. </w:t>
            </w:r>
          </w:p>
          <w:p w14:paraId="3039EE61" w14:textId="77777777" w:rsidR="00263A01" w:rsidRPr="00305AB1" w:rsidRDefault="00263A01" w:rsidP="00263A01">
            <w:pPr>
              <w:pStyle w:val="Textoindependiente"/>
              <w:spacing w:before="1" w:after="0"/>
              <w:ind w:right="108"/>
              <w:jc w:val="both"/>
              <w:rPr>
                <w:rFonts w:ascii="Verdana" w:hAnsi="Verdana"/>
              </w:rPr>
            </w:pPr>
          </w:p>
          <w:p w14:paraId="397AC286" w14:textId="77777777" w:rsidR="00263A01" w:rsidRPr="00305AB1" w:rsidRDefault="00263A01" w:rsidP="00305AB1">
            <w:pPr>
              <w:pStyle w:val="Textoindependiente"/>
              <w:numPr>
                <w:ilvl w:val="0"/>
                <w:numId w:val="21"/>
              </w:numPr>
              <w:spacing w:before="1" w:after="0"/>
              <w:ind w:right="108"/>
              <w:jc w:val="both"/>
              <w:rPr>
                <w:rFonts w:ascii="Verdana" w:hAnsi="Verdana"/>
              </w:rPr>
            </w:pPr>
            <w:r w:rsidRPr="00305AB1">
              <w:rPr>
                <w:rFonts w:ascii="Verdana" w:hAnsi="Verdana"/>
              </w:rPr>
              <w:lastRenderedPageBreak/>
              <w:t xml:space="preserve">CONSEJO DE ESTADO, Sección Tercera, Sentencia de 31 de agosto de 2011, </w:t>
            </w:r>
            <w:proofErr w:type="spellStart"/>
            <w:r w:rsidRPr="00305AB1">
              <w:rPr>
                <w:rFonts w:ascii="Verdana" w:hAnsi="Verdana"/>
              </w:rPr>
              <w:t>Exp</w:t>
            </w:r>
            <w:proofErr w:type="spellEnd"/>
            <w:r w:rsidRPr="00305AB1">
              <w:rPr>
                <w:rFonts w:ascii="Verdana" w:hAnsi="Verdana"/>
              </w:rPr>
              <w:t xml:space="preserve">. No. 18080, C.P. Ruth Stella Correa Palacio. </w:t>
            </w:r>
          </w:p>
          <w:p w14:paraId="35856CDE" w14:textId="77777777" w:rsidR="00263A01" w:rsidRPr="00305AB1" w:rsidRDefault="00263A01" w:rsidP="00263A01">
            <w:pPr>
              <w:pStyle w:val="Textoindependiente"/>
              <w:spacing w:before="1" w:after="0"/>
              <w:ind w:right="108"/>
              <w:jc w:val="both"/>
              <w:rPr>
                <w:rFonts w:ascii="Verdana" w:hAnsi="Verdana"/>
              </w:rPr>
            </w:pPr>
          </w:p>
          <w:p w14:paraId="5AAE407C" w14:textId="77777777" w:rsidR="00263A01" w:rsidRDefault="00263A01" w:rsidP="00263A01">
            <w:pPr>
              <w:pStyle w:val="Textonotapie"/>
              <w:numPr>
                <w:ilvl w:val="0"/>
                <w:numId w:val="21"/>
              </w:numPr>
              <w:jc w:val="both"/>
              <w:rPr>
                <w:rFonts w:ascii="Verdana" w:hAnsi="Verdana" w:cs="Arial"/>
                <w:color w:val="000000" w:themeColor="text1"/>
                <w:sz w:val="22"/>
                <w:szCs w:val="22"/>
              </w:rPr>
            </w:pPr>
            <w:r w:rsidRPr="00305AB1">
              <w:rPr>
                <w:rFonts w:ascii="Verdana" w:hAnsi="Verdana" w:cs="Arial"/>
                <w:color w:val="000000" w:themeColor="text1"/>
                <w:sz w:val="22"/>
                <w:szCs w:val="22"/>
              </w:rPr>
              <w:t xml:space="preserve">CONSEJO DE ESTADO. Sección Tercera. Sentencia del 24 de julio de 2013. </w:t>
            </w:r>
            <w:proofErr w:type="spellStart"/>
            <w:r w:rsidRPr="00305AB1">
              <w:rPr>
                <w:rFonts w:ascii="Verdana" w:hAnsi="Verdana" w:cs="Arial"/>
                <w:color w:val="000000" w:themeColor="text1"/>
                <w:sz w:val="22"/>
                <w:szCs w:val="22"/>
              </w:rPr>
              <w:t>Exp</w:t>
            </w:r>
            <w:proofErr w:type="spellEnd"/>
            <w:r w:rsidRPr="00305AB1">
              <w:rPr>
                <w:rFonts w:ascii="Verdana" w:hAnsi="Verdana" w:cs="Arial"/>
                <w:color w:val="000000" w:themeColor="text1"/>
                <w:sz w:val="22"/>
                <w:szCs w:val="22"/>
              </w:rPr>
              <w:t xml:space="preserve">. 25.642. C.P. Enrique Gil Botero. </w:t>
            </w:r>
          </w:p>
          <w:p w14:paraId="79AB021D" w14:textId="77777777" w:rsidR="006732DD" w:rsidRDefault="006732DD" w:rsidP="00305AB1">
            <w:pPr>
              <w:pStyle w:val="Prrafodelista"/>
              <w:rPr>
                <w:rFonts w:ascii="Verdana" w:hAnsi="Verdana" w:cs="Arial"/>
                <w:color w:val="000000" w:themeColor="text1"/>
              </w:rPr>
            </w:pPr>
          </w:p>
          <w:p w14:paraId="6525E40F" w14:textId="23F7197F" w:rsidR="006732DD" w:rsidRPr="00305AB1" w:rsidRDefault="006732DD" w:rsidP="00305AB1">
            <w:pPr>
              <w:pStyle w:val="Textonotapie"/>
              <w:numPr>
                <w:ilvl w:val="0"/>
                <w:numId w:val="21"/>
              </w:numPr>
              <w:jc w:val="both"/>
              <w:rPr>
                <w:rFonts w:ascii="Verdana" w:hAnsi="Verdana" w:cs="Arial"/>
                <w:color w:val="000000" w:themeColor="text1"/>
                <w:sz w:val="22"/>
                <w:szCs w:val="22"/>
              </w:rPr>
            </w:pPr>
            <w:r w:rsidRPr="006732DD">
              <w:rPr>
                <w:rFonts w:ascii="Verdana" w:hAnsi="Verdana" w:cs="Arial"/>
                <w:color w:val="000000" w:themeColor="text1"/>
                <w:sz w:val="22"/>
                <w:szCs w:val="22"/>
              </w:rPr>
              <w:t xml:space="preserve">DEIK ACOSTAMADIEDO, Carolina, Guía de Contratación Estatal: Deber de planeación y modalidades de selección, Buenos Aires, </w:t>
            </w:r>
            <w:proofErr w:type="spellStart"/>
            <w:r w:rsidR="00B438FC" w:rsidRPr="00B438FC">
              <w:rPr>
                <w:rFonts w:ascii="Verdana" w:hAnsi="Verdana" w:cs="Arial"/>
                <w:color w:val="000000" w:themeColor="text1"/>
                <w:sz w:val="22"/>
                <w:szCs w:val="22"/>
                <w:lang w:val="es-CO"/>
              </w:rPr>
              <w:t>Juritextos</w:t>
            </w:r>
            <w:proofErr w:type="spellEnd"/>
            <w:r w:rsidR="00B438FC" w:rsidRPr="00B438FC">
              <w:rPr>
                <w:rFonts w:ascii="Verdana" w:hAnsi="Verdana" w:cs="Arial"/>
                <w:color w:val="000000" w:themeColor="text1"/>
                <w:sz w:val="22"/>
                <w:szCs w:val="22"/>
                <w:lang w:val="es-CO"/>
              </w:rPr>
              <w:t xml:space="preserve"> Ediciones</w:t>
            </w:r>
            <w:r w:rsidR="00B438FC">
              <w:rPr>
                <w:rFonts w:ascii="Verdana" w:hAnsi="Verdana" w:cs="Arial"/>
                <w:color w:val="000000" w:themeColor="text1"/>
                <w:sz w:val="22"/>
                <w:szCs w:val="22"/>
                <w:lang w:val="es-CO"/>
              </w:rPr>
              <w:t xml:space="preserve">, </w:t>
            </w:r>
            <w:r w:rsidRPr="006732DD">
              <w:rPr>
                <w:rFonts w:ascii="Verdana" w:hAnsi="Verdana" w:cs="Arial"/>
                <w:color w:val="000000" w:themeColor="text1"/>
                <w:sz w:val="22"/>
                <w:szCs w:val="22"/>
              </w:rPr>
              <w:t>201</w:t>
            </w:r>
            <w:r w:rsidR="00B438FC">
              <w:rPr>
                <w:rFonts w:ascii="Verdana" w:hAnsi="Verdana" w:cs="Arial"/>
                <w:color w:val="000000" w:themeColor="text1"/>
                <w:sz w:val="22"/>
                <w:szCs w:val="22"/>
              </w:rPr>
              <w:t>9</w:t>
            </w:r>
            <w:r>
              <w:rPr>
                <w:rFonts w:ascii="Verdana" w:hAnsi="Verdana" w:cs="Arial"/>
                <w:color w:val="000000" w:themeColor="text1"/>
                <w:sz w:val="22"/>
                <w:szCs w:val="22"/>
              </w:rPr>
              <w:t>.</w:t>
            </w:r>
          </w:p>
          <w:p w14:paraId="69ECCBF5" w14:textId="77777777" w:rsidR="00263A01" w:rsidRPr="00305AB1" w:rsidRDefault="00263A01" w:rsidP="00263A01">
            <w:pPr>
              <w:pStyle w:val="Textonotapie"/>
              <w:jc w:val="both"/>
              <w:rPr>
                <w:rFonts w:ascii="Verdana" w:hAnsi="Verdana" w:cs="Arial"/>
                <w:sz w:val="22"/>
                <w:szCs w:val="22"/>
              </w:rPr>
            </w:pPr>
          </w:p>
          <w:p w14:paraId="3C5959F5" w14:textId="79386A2E" w:rsidR="00263A01" w:rsidRPr="00305AB1" w:rsidRDefault="00263A01" w:rsidP="00305AB1">
            <w:pPr>
              <w:pStyle w:val="Textonotapie"/>
              <w:numPr>
                <w:ilvl w:val="0"/>
                <w:numId w:val="21"/>
              </w:numPr>
              <w:jc w:val="both"/>
              <w:rPr>
                <w:rFonts w:ascii="Verdana" w:hAnsi="Verdana" w:cs="Arial"/>
                <w:sz w:val="22"/>
                <w:szCs w:val="22"/>
              </w:rPr>
            </w:pPr>
            <w:r w:rsidRPr="00305AB1">
              <w:rPr>
                <w:rFonts w:ascii="Verdana" w:hAnsi="Verdana" w:cs="Arial"/>
                <w:sz w:val="22"/>
                <w:szCs w:val="22"/>
              </w:rPr>
              <w:t xml:space="preserve">OSPINA MENA, Jesús Marino. Régimen de la Contratación Estatal. Un salto a la contratación líquida. Bogotá: Ed. 1ª. </w:t>
            </w:r>
            <w:proofErr w:type="spellStart"/>
            <w:r w:rsidRPr="00305AB1">
              <w:rPr>
                <w:rFonts w:ascii="Verdana" w:hAnsi="Verdana" w:cs="Arial"/>
                <w:sz w:val="22"/>
                <w:szCs w:val="22"/>
              </w:rPr>
              <w:t>Diké</w:t>
            </w:r>
            <w:proofErr w:type="spellEnd"/>
            <w:r w:rsidRPr="00305AB1">
              <w:rPr>
                <w:rFonts w:ascii="Verdana" w:hAnsi="Verdana" w:cs="Arial"/>
                <w:sz w:val="22"/>
                <w:szCs w:val="22"/>
              </w:rPr>
              <w:t>, 2020</w:t>
            </w:r>
            <w:r>
              <w:rPr>
                <w:rFonts w:ascii="Verdana" w:hAnsi="Verdana" w:cs="Arial"/>
                <w:sz w:val="22"/>
                <w:szCs w:val="22"/>
              </w:rPr>
              <w:t>.</w:t>
            </w:r>
          </w:p>
          <w:p w14:paraId="4ADCF1AE" w14:textId="77777777" w:rsidR="00263A01" w:rsidRPr="00305AB1" w:rsidRDefault="00263A01" w:rsidP="00263A01">
            <w:pPr>
              <w:pStyle w:val="Textonotapie"/>
              <w:jc w:val="both"/>
              <w:rPr>
                <w:rFonts w:ascii="Verdana" w:hAnsi="Verdana"/>
                <w:sz w:val="22"/>
                <w:szCs w:val="22"/>
              </w:rPr>
            </w:pPr>
          </w:p>
          <w:p w14:paraId="19308CB6" w14:textId="0F6D532B" w:rsidR="00263A01" w:rsidRPr="00305AB1" w:rsidRDefault="00263A01" w:rsidP="00305AB1">
            <w:pPr>
              <w:pStyle w:val="Textonotapie"/>
              <w:numPr>
                <w:ilvl w:val="0"/>
                <w:numId w:val="21"/>
              </w:numPr>
              <w:jc w:val="both"/>
              <w:rPr>
                <w:rFonts w:ascii="Verdana" w:hAnsi="Verdana"/>
                <w:sz w:val="22"/>
                <w:szCs w:val="22"/>
              </w:rPr>
            </w:pPr>
            <w:r w:rsidRPr="00305AB1">
              <w:rPr>
                <w:rFonts w:ascii="Verdana" w:hAnsi="Verdana"/>
                <w:sz w:val="22"/>
                <w:szCs w:val="22"/>
              </w:rPr>
              <w:t>GONZÁLEZ LÓPEZ, Edgar, Los contratos estatales. El proceso de selección y la modificación de los contratos, Bogotá, Universidad Externado de Colombia, Ed. Tirant lo Blanch, 2023</w:t>
            </w:r>
            <w:r>
              <w:rPr>
                <w:rFonts w:ascii="Verdana" w:hAnsi="Verdana"/>
                <w:sz w:val="22"/>
                <w:szCs w:val="22"/>
              </w:rPr>
              <w:t>.</w:t>
            </w:r>
          </w:p>
          <w:p w14:paraId="31B68FB3" w14:textId="27CF5CA6" w:rsidR="002326D6" w:rsidRPr="00784698" w:rsidRDefault="002326D6" w:rsidP="00305AB1">
            <w:pPr>
              <w:pStyle w:val="Prrafodelista"/>
              <w:widowControl w:val="0"/>
              <w:autoSpaceDE w:val="0"/>
              <w:autoSpaceDN w:val="0"/>
              <w:spacing w:after="120" w:line="276" w:lineRule="auto"/>
              <w:jc w:val="both"/>
              <w:rPr>
                <w:rFonts w:ascii="Verdana" w:hAnsi="Verdana" w:cs="Arial"/>
              </w:rPr>
            </w:pPr>
          </w:p>
        </w:tc>
      </w:tr>
    </w:tbl>
    <w:p w14:paraId="4BA780E2" w14:textId="77777777" w:rsidR="002326D6" w:rsidRPr="00593A5F" w:rsidRDefault="002326D6" w:rsidP="002326D6">
      <w:pPr>
        <w:widowControl w:val="0"/>
        <w:autoSpaceDE w:val="0"/>
        <w:autoSpaceDN w:val="0"/>
        <w:spacing w:after="0" w:line="276" w:lineRule="auto"/>
        <w:jc w:val="both"/>
        <w:rPr>
          <w:rFonts w:ascii="Verdana" w:hAnsi="Verdana" w:cs="Arial"/>
        </w:rPr>
      </w:pPr>
    </w:p>
    <w:p w14:paraId="1AE24702" w14:textId="77777777" w:rsidR="002326D6" w:rsidRPr="00593A5F" w:rsidRDefault="002326D6" w:rsidP="002326D6">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75CAD8B0" w14:textId="77777777" w:rsidR="002326D6" w:rsidRPr="00593A5F" w:rsidRDefault="002326D6" w:rsidP="002326D6">
      <w:pPr>
        <w:widowControl w:val="0"/>
        <w:autoSpaceDE w:val="0"/>
        <w:autoSpaceDN w:val="0"/>
        <w:spacing w:after="0" w:line="276" w:lineRule="auto"/>
        <w:jc w:val="both"/>
        <w:rPr>
          <w:rFonts w:ascii="Verdana" w:hAnsi="Verdana" w:cs="Arial"/>
        </w:rPr>
      </w:pPr>
    </w:p>
    <w:p w14:paraId="635ED7BD" w14:textId="3CA3D8DC" w:rsidR="00EE32BF" w:rsidRPr="00E44A2E" w:rsidRDefault="002326D6" w:rsidP="00E44A2E">
      <w:pPr>
        <w:jc w:val="both"/>
        <w:rPr>
          <w:rFonts w:ascii="Verdana" w:hAnsi="Verdana" w:cs="Calibri"/>
          <w:shd w:val="clear" w:color="auto" w:fill="FFFFFF"/>
        </w:rPr>
      </w:pPr>
      <w:r w:rsidRPr="005048BD">
        <w:rPr>
          <w:rStyle w:val="normaltextrun"/>
          <w:rFonts w:ascii="Verdana" w:hAnsi="Verdana" w:cs="Arial"/>
          <w:shd w:val="clear" w:color="auto" w:fill="FFFFFF"/>
          <w:lang w:val="es-ES"/>
        </w:rPr>
        <w:t xml:space="preserve">Sobre </w:t>
      </w:r>
      <w:r w:rsidRPr="005048BD">
        <w:rPr>
          <w:rFonts w:ascii="Verdana" w:eastAsia="Times New Roman" w:hAnsi="Verdana" w:cs="Arial"/>
          <w:bCs/>
          <w:lang w:eastAsia="es-ES_tradnl"/>
        </w:rPr>
        <w:t>los estudios previos, planeación en los procesos de contratación pública</w:t>
      </w:r>
      <w:r w:rsidRPr="005048BD">
        <w:rPr>
          <w:rFonts w:ascii="Verdana" w:eastAsia="Times New Roman" w:hAnsi="Verdana" w:cs="Arial"/>
          <w:bCs/>
          <w:lang w:val="es-ES_tradnl" w:eastAsia="es-ES_tradnl"/>
        </w:rPr>
        <w:t xml:space="preserve">, </w:t>
      </w:r>
      <w:r w:rsidRPr="005048BD">
        <w:rPr>
          <w:rFonts w:ascii="Verdana" w:eastAsia="Calibri" w:hAnsi="Verdana" w:cs="Arial"/>
          <w:bCs/>
          <w:lang w:val="es-ES" w:eastAsia="es-ES"/>
        </w:rPr>
        <w:t>pliego de condiciones, su naturaleza,</w:t>
      </w:r>
      <w:r w:rsidRPr="005048BD">
        <w:rPr>
          <w:rFonts w:ascii="Verdana" w:eastAsia="Arial" w:hAnsi="Verdana" w:cs="Arial"/>
          <w:bCs/>
          <w:lang w:val="es-MX" w:eastAsia="es-ES"/>
        </w:rPr>
        <w:t xml:space="preserve"> claridad y precisión de su contenido</w:t>
      </w:r>
      <w:r w:rsidRPr="005048BD">
        <w:rPr>
          <w:rStyle w:val="normaltextrun"/>
          <w:rFonts w:ascii="Verdana" w:hAnsi="Verdana" w:cs="Arial"/>
          <w:shd w:val="clear" w:color="auto" w:fill="FFFFFF"/>
          <w:lang w:val="es-ES"/>
        </w:rPr>
        <w:t xml:space="preserve"> se pronunció esta Subdirección en los conceptos</w:t>
      </w:r>
      <w:r w:rsidRPr="005048BD">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C-218 de</w:t>
      </w:r>
      <w:r w:rsidR="00E44A2E">
        <w:rPr>
          <w:rStyle w:val="normaltextrun"/>
          <w:rFonts w:ascii="Verdana" w:hAnsi="Verdana" w:cs="Calibri"/>
          <w:shd w:val="clear" w:color="auto" w:fill="FFFFFF"/>
        </w:rPr>
        <w:t xml:space="preserve"> 13</w:t>
      </w:r>
      <w:r w:rsidR="00E44A2E" w:rsidRPr="005048BD">
        <w:rPr>
          <w:rStyle w:val="normaltextrun"/>
          <w:rFonts w:ascii="Verdana" w:hAnsi="Verdana" w:cs="Calibri"/>
          <w:shd w:val="clear" w:color="auto" w:fill="FFFFFF"/>
        </w:rPr>
        <w:t xml:space="preserve"> julio del 2023</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C-274 de</w:t>
      </w:r>
      <w:r w:rsidR="00E44A2E">
        <w:rPr>
          <w:rStyle w:val="normaltextrun"/>
          <w:rFonts w:ascii="Verdana" w:hAnsi="Verdana" w:cs="Calibri"/>
          <w:shd w:val="clear" w:color="auto" w:fill="FFFFFF"/>
        </w:rPr>
        <w:t xml:space="preserve"> 14</w:t>
      </w:r>
      <w:r w:rsidR="00E44A2E" w:rsidRPr="005048BD">
        <w:rPr>
          <w:rStyle w:val="normaltextrun"/>
          <w:rFonts w:ascii="Verdana" w:hAnsi="Verdana" w:cs="Calibri"/>
          <w:shd w:val="clear" w:color="auto" w:fill="FFFFFF"/>
        </w:rPr>
        <w:t xml:space="preserve"> julio </w:t>
      </w:r>
      <w:r w:rsidR="00E44A2E">
        <w:rPr>
          <w:rStyle w:val="normaltextrun"/>
          <w:rFonts w:ascii="Verdana" w:hAnsi="Verdana" w:cs="Calibri"/>
          <w:shd w:val="clear" w:color="auto" w:fill="FFFFFF"/>
        </w:rPr>
        <w:t xml:space="preserve">del </w:t>
      </w:r>
      <w:r w:rsidR="00E44A2E" w:rsidRPr="005048BD">
        <w:rPr>
          <w:rStyle w:val="normaltextrun"/>
          <w:rFonts w:ascii="Verdana" w:hAnsi="Verdana" w:cs="Calibri"/>
          <w:shd w:val="clear" w:color="auto" w:fill="FFFFFF"/>
        </w:rPr>
        <w:t>2023</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C-309 de</w:t>
      </w:r>
      <w:r w:rsidR="00E44A2E">
        <w:rPr>
          <w:rStyle w:val="normaltextrun"/>
          <w:rFonts w:ascii="Verdana" w:hAnsi="Verdana" w:cs="Calibri"/>
          <w:shd w:val="clear" w:color="auto" w:fill="FFFFFF"/>
        </w:rPr>
        <w:t xml:space="preserve"> 28</w:t>
      </w:r>
      <w:r w:rsidR="00E44A2E" w:rsidRPr="005048BD">
        <w:rPr>
          <w:rStyle w:val="normaltextrun"/>
          <w:rFonts w:ascii="Verdana" w:hAnsi="Verdana" w:cs="Calibri"/>
          <w:shd w:val="clear" w:color="auto" w:fill="FFFFFF"/>
        </w:rPr>
        <w:t xml:space="preserve"> julio</w:t>
      </w:r>
      <w:r w:rsidR="00E44A2E">
        <w:rPr>
          <w:rStyle w:val="normaltextrun"/>
          <w:rFonts w:ascii="Verdana" w:hAnsi="Verdana" w:cs="Calibri"/>
          <w:shd w:val="clear" w:color="auto" w:fill="FFFFFF"/>
        </w:rPr>
        <w:t xml:space="preserve"> del</w:t>
      </w:r>
      <w:r w:rsidR="00E44A2E" w:rsidRPr="005048BD">
        <w:rPr>
          <w:rStyle w:val="normaltextrun"/>
          <w:rFonts w:ascii="Verdana" w:hAnsi="Verdana" w:cs="Calibri"/>
          <w:shd w:val="clear" w:color="auto" w:fill="FFFFFF"/>
        </w:rPr>
        <w:t xml:space="preserve"> 2023, C-344 de</w:t>
      </w:r>
      <w:r w:rsidR="00E44A2E">
        <w:rPr>
          <w:rStyle w:val="normaltextrun"/>
          <w:rFonts w:ascii="Verdana" w:hAnsi="Verdana" w:cs="Calibri"/>
          <w:shd w:val="clear" w:color="auto" w:fill="FFFFFF"/>
        </w:rPr>
        <w:t xml:space="preserve"> 18</w:t>
      </w:r>
      <w:r w:rsidR="00E44A2E" w:rsidRPr="005048BD">
        <w:rPr>
          <w:rStyle w:val="normaltextrun"/>
          <w:rFonts w:ascii="Verdana" w:hAnsi="Verdana" w:cs="Calibri"/>
          <w:shd w:val="clear" w:color="auto" w:fill="FFFFFF"/>
        </w:rPr>
        <w:t xml:space="preserve"> agosto</w:t>
      </w:r>
      <w:r w:rsidR="00E44A2E">
        <w:rPr>
          <w:rStyle w:val="normaltextrun"/>
          <w:rFonts w:ascii="Verdana" w:hAnsi="Verdana" w:cs="Calibri"/>
          <w:shd w:val="clear" w:color="auto" w:fill="FFFFFF"/>
        </w:rPr>
        <w:t xml:space="preserve"> del</w:t>
      </w:r>
      <w:r w:rsidR="00E44A2E" w:rsidRPr="005048BD">
        <w:rPr>
          <w:rStyle w:val="normaltextrun"/>
          <w:rFonts w:ascii="Verdana" w:hAnsi="Verdana" w:cs="Calibri"/>
          <w:shd w:val="clear" w:color="auto" w:fill="FFFFFF"/>
        </w:rPr>
        <w:t xml:space="preserve"> 2023</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 xml:space="preserve">C-346 de </w:t>
      </w:r>
      <w:r w:rsidR="00E44A2E">
        <w:rPr>
          <w:rStyle w:val="normaltextrun"/>
          <w:rFonts w:ascii="Verdana" w:hAnsi="Verdana" w:cs="Calibri"/>
          <w:shd w:val="clear" w:color="auto" w:fill="FFFFFF"/>
        </w:rPr>
        <w:t xml:space="preserve">25 </w:t>
      </w:r>
      <w:r w:rsidR="00E44A2E" w:rsidRPr="005048BD">
        <w:rPr>
          <w:rStyle w:val="normaltextrun"/>
          <w:rFonts w:ascii="Verdana" w:hAnsi="Verdana" w:cs="Calibri"/>
          <w:shd w:val="clear" w:color="auto" w:fill="FFFFFF"/>
        </w:rPr>
        <w:t>agosto del 2023</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C-297 de</w:t>
      </w:r>
      <w:r w:rsidR="00E44A2E">
        <w:rPr>
          <w:rStyle w:val="normaltextrun"/>
          <w:rFonts w:ascii="Verdana" w:hAnsi="Verdana" w:cs="Calibri"/>
          <w:shd w:val="clear" w:color="auto" w:fill="FFFFFF"/>
        </w:rPr>
        <w:t xml:space="preserve"> 3</w:t>
      </w:r>
      <w:r w:rsidR="00E44A2E" w:rsidRPr="005048BD">
        <w:rPr>
          <w:rStyle w:val="normaltextrun"/>
          <w:rFonts w:ascii="Verdana" w:hAnsi="Verdana" w:cs="Calibri"/>
          <w:shd w:val="clear" w:color="auto" w:fill="FFFFFF"/>
        </w:rPr>
        <w:t xml:space="preserve"> octubre</w:t>
      </w:r>
      <w:r w:rsidR="00E44A2E">
        <w:rPr>
          <w:rStyle w:val="normaltextrun"/>
          <w:rFonts w:ascii="Verdana" w:hAnsi="Verdana" w:cs="Calibri"/>
          <w:shd w:val="clear" w:color="auto" w:fill="FFFFFF"/>
        </w:rPr>
        <w:t xml:space="preserve"> del</w:t>
      </w:r>
      <w:r w:rsidR="00E44A2E" w:rsidRPr="005048BD">
        <w:rPr>
          <w:rStyle w:val="normaltextrun"/>
          <w:rFonts w:ascii="Verdana" w:hAnsi="Verdana" w:cs="Calibri"/>
          <w:shd w:val="clear" w:color="auto" w:fill="FFFFFF"/>
        </w:rPr>
        <w:t xml:space="preserve"> 2023</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C-201 de</w:t>
      </w:r>
      <w:r w:rsidR="00E44A2E">
        <w:rPr>
          <w:rStyle w:val="normaltextrun"/>
          <w:rFonts w:ascii="Verdana" w:hAnsi="Verdana" w:cs="Calibri"/>
          <w:shd w:val="clear" w:color="auto" w:fill="FFFFFF"/>
        </w:rPr>
        <w:t xml:space="preserve"> 26</w:t>
      </w:r>
      <w:r w:rsidR="00E44A2E" w:rsidRPr="005048BD">
        <w:rPr>
          <w:rStyle w:val="normaltextrun"/>
          <w:rFonts w:ascii="Verdana" w:hAnsi="Verdana" w:cs="Calibri"/>
          <w:shd w:val="clear" w:color="auto" w:fill="FFFFFF"/>
        </w:rPr>
        <w:t xml:space="preserve"> octubre</w:t>
      </w:r>
      <w:r w:rsidR="00E44A2E">
        <w:rPr>
          <w:rStyle w:val="normaltextrun"/>
          <w:rFonts w:ascii="Verdana" w:hAnsi="Verdana" w:cs="Calibri"/>
          <w:shd w:val="clear" w:color="auto" w:fill="FFFFFF"/>
        </w:rPr>
        <w:t xml:space="preserve"> de</w:t>
      </w:r>
      <w:r w:rsidR="00E44A2E" w:rsidRPr="005048BD">
        <w:rPr>
          <w:rStyle w:val="normaltextrun"/>
          <w:rFonts w:ascii="Verdana" w:hAnsi="Verdana" w:cs="Calibri"/>
          <w:shd w:val="clear" w:color="auto" w:fill="FFFFFF"/>
        </w:rPr>
        <w:t xml:space="preserve"> 2023</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C-144 de</w:t>
      </w:r>
      <w:r w:rsidR="00E44A2E">
        <w:rPr>
          <w:rStyle w:val="normaltextrun"/>
          <w:rFonts w:ascii="Verdana" w:hAnsi="Verdana" w:cs="Calibri"/>
          <w:shd w:val="clear" w:color="auto" w:fill="FFFFFF"/>
        </w:rPr>
        <w:t xml:space="preserve"> 6</w:t>
      </w:r>
      <w:r w:rsidR="00E44A2E" w:rsidRPr="005048BD">
        <w:rPr>
          <w:rStyle w:val="normaltextrun"/>
          <w:rFonts w:ascii="Verdana" w:hAnsi="Verdana" w:cs="Calibri"/>
          <w:shd w:val="clear" w:color="auto" w:fill="FFFFFF"/>
        </w:rPr>
        <w:t xml:space="preserve"> diciembre </w:t>
      </w:r>
      <w:r w:rsidR="00E44A2E">
        <w:rPr>
          <w:rStyle w:val="normaltextrun"/>
          <w:rFonts w:ascii="Verdana" w:hAnsi="Verdana" w:cs="Calibri"/>
          <w:shd w:val="clear" w:color="auto" w:fill="FFFFFF"/>
        </w:rPr>
        <w:t xml:space="preserve">del </w:t>
      </w:r>
      <w:r w:rsidR="00E44A2E" w:rsidRPr="005048BD">
        <w:rPr>
          <w:rStyle w:val="normaltextrun"/>
          <w:rFonts w:ascii="Verdana" w:hAnsi="Verdana" w:cs="Calibri"/>
          <w:shd w:val="clear" w:color="auto" w:fill="FFFFFF"/>
        </w:rPr>
        <w:t>2023</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C-440 de</w:t>
      </w:r>
      <w:r w:rsidR="00E44A2E">
        <w:rPr>
          <w:rStyle w:val="normaltextrun"/>
          <w:rFonts w:ascii="Verdana" w:hAnsi="Verdana" w:cs="Calibri"/>
          <w:shd w:val="clear" w:color="auto" w:fill="FFFFFF"/>
        </w:rPr>
        <w:t xml:space="preserve"> 12</w:t>
      </w:r>
      <w:r w:rsidR="00E44A2E" w:rsidRPr="005048BD">
        <w:rPr>
          <w:rStyle w:val="normaltextrun"/>
          <w:rFonts w:ascii="Verdana" w:hAnsi="Verdana" w:cs="Calibri"/>
          <w:shd w:val="clear" w:color="auto" w:fill="FFFFFF"/>
        </w:rPr>
        <w:t xml:space="preserve"> diciembre</w:t>
      </w:r>
      <w:r w:rsidR="00E44A2E">
        <w:rPr>
          <w:rStyle w:val="normaltextrun"/>
          <w:rFonts w:ascii="Verdana" w:hAnsi="Verdana" w:cs="Calibri"/>
          <w:shd w:val="clear" w:color="auto" w:fill="FFFFFF"/>
        </w:rPr>
        <w:t xml:space="preserve"> del </w:t>
      </w:r>
      <w:r w:rsidR="00E44A2E" w:rsidRPr="005048BD">
        <w:rPr>
          <w:rStyle w:val="normaltextrun"/>
          <w:rFonts w:ascii="Verdana" w:hAnsi="Verdana" w:cs="Calibri"/>
          <w:shd w:val="clear" w:color="auto" w:fill="FFFFFF"/>
        </w:rPr>
        <w:t>2023</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C-001 de</w:t>
      </w:r>
      <w:r w:rsidR="00E44A2E">
        <w:rPr>
          <w:rStyle w:val="normaltextrun"/>
          <w:rFonts w:ascii="Verdana" w:hAnsi="Verdana" w:cs="Calibri"/>
          <w:shd w:val="clear" w:color="auto" w:fill="FFFFFF"/>
        </w:rPr>
        <w:t xml:space="preserve"> 25</w:t>
      </w:r>
      <w:r w:rsidR="00E44A2E" w:rsidRPr="005048BD">
        <w:rPr>
          <w:rStyle w:val="normaltextrun"/>
          <w:rFonts w:ascii="Verdana" w:hAnsi="Verdana" w:cs="Calibri"/>
          <w:shd w:val="clear" w:color="auto" w:fill="FFFFFF"/>
        </w:rPr>
        <w:t xml:space="preserve"> enero del 2024</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C-030 de</w:t>
      </w:r>
      <w:r w:rsidR="00E44A2E">
        <w:rPr>
          <w:rStyle w:val="normaltextrun"/>
          <w:rFonts w:ascii="Verdana" w:hAnsi="Verdana" w:cs="Calibri"/>
          <w:shd w:val="clear" w:color="auto" w:fill="FFFFFF"/>
        </w:rPr>
        <w:t xml:space="preserve"> 9</w:t>
      </w:r>
      <w:r w:rsidR="00E44A2E" w:rsidRPr="005048BD">
        <w:rPr>
          <w:rStyle w:val="normaltextrun"/>
          <w:rFonts w:ascii="Verdana" w:hAnsi="Verdana" w:cs="Calibri"/>
          <w:shd w:val="clear" w:color="auto" w:fill="FFFFFF"/>
        </w:rPr>
        <w:t xml:space="preserve"> abril del 2024</w:t>
      </w:r>
      <w:r w:rsidR="00E44A2E">
        <w:rPr>
          <w:rStyle w:val="normaltextrun"/>
          <w:rFonts w:ascii="Verdana" w:hAnsi="Verdana" w:cs="Calibri"/>
          <w:shd w:val="clear" w:color="auto" w:fill="FFFFFF"/>
        </w:rPr>
        <w:t xml:space="preserve">, </w:t>
      </w:r>
      <w:r w:rsidR="00E44A2E" w:rsidRPr="005048BD">
        <w:rPr>
          <w:rStyle w:val="normaltextrun"/>
          <w:rFonts w:ascii="Verdana" w:hAnsi="Verdana" w:cs="Calibri"/>
          <w:shd w:val="clear" w:color="auto" w:fill="FFFFFF"/>
        </w:rPr>
        <w:t>C-053 de</w:t>
      </w:r>
      <w:r w:rsidR="00E44A2E">
        <w:rPr>
          <w:rStyle w:val="normaltextrun"/>
          <w:rFonts w:ascii="Verdana" w:hAnsi="Verdana" w:cs="Calibri"/>
          <w:shd w:val="clear" w:color="auto" w:fill="FFFFFF"/>
        </w:rPr>
        <w:t xml:space="preserve"> 7</w:t>
      </w:r>
      <w:r w:rsidR="00E44A2E" w:rsidRPr="005048BD">
        <w:rPr>
          <w:rStyle w:val="normaltextrun"/>
          <w:rFonts w:ascii="Verdana" w:hAnsi="Verdana" w:cs="Calibri"/>
          <w:shd w:val="clear" w:color="auto" w:fill="FFFFFF"/>
        </w:rPr>
        <w:t xml:space="preserve"> mayo de</w:t>
      </w:r>
      <w:r w:rsidR="00E44A2E">
        <w:rPr>
          <w:rStyle w:val="normaltextrun"/>
          <w:rFonts w:ascii="Verdana" w:hAnsi="Verdana" w:cs="Calibri"/>
          <w:shd w:val="clear" w:color="auto" w:fill="FFFFFF"/>
        </w:rPr>
        <w:t>l</w:t>
      </w:r>
      <w:r w:rsidR="00E44A2E" w:rsidRPr="005048BD">
        <w:rPr>
          <w:rStyle w:val="normaltextrun"/>
          <w:rFonts w:ascii="Verdana" w:hAnsi="Verdana" w:cs="Calibri"/>
          <w:shd w:val="clear" w:color="auto" w:fill="FFFFFF"/>
        </w:rPr>
        <w:t xml:space="preserve"> 2024</w:t>
      </w:r>
      <w:r w:rsidRPr="005048BD">
        <w:rPr>
          <w:rStyle w:val="normaltextrun"/>
          <w:rFonts w:ascii="Verdana" w:hAnsi="Verdana" w:cs="Arial"/>
          <w:shd w:val="clear" w:color="auto" w:fill="FFFFFF"/>
          <w:lang w:val="es-ES"/>
        </w:rPr>
        <w:t xml:space="preserve">. </w:t>
      </w:r>
      <w:r w:rsidR="00EE32BF" w:rsidRPr="005D1F62">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00EE32BF" w:rsidRPr="005D1F62">
          <w:rPr>
            <w:rStyle w:val="Hipervnculo"/>
            <w:rFonts w:ascii="Verdana" w:hAnsi="Verdana" w:cs="Arial"/>
            <w:shd w:val="clear" w:color="auto" w:fill="FFFFFF"/>
          </w:rPr>
          <w:t>https://relatoria.colombiacompra.gov.co/</w:t>
        </w:r>
      </w:hyperlink>
      <w:r w:rsidR="00EE32BF" w:rsidRPr="005D1F62">
        <w:rPr>
          <w:rFonts w:ascii="Verdana" w:hAnsi="Verdana" w:cs="Arial"/>
          <w:shd w:val="clear" w:color="auto" w:fill="FFFFFF"/>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00EE32BF" w:rsidRPr="005D1F62">
          <w:rPr>
            <w:rStyle w:val="Hipervnculo"/>
            <w:rFonts w:ascii="Verdana" w:hAnsi="Verdana" w:cs="Arial"/>
            <w:shd w:val="clear" w:color="auto" w:fill="FFFFFF"/>
          </w:rPr>
          <w:t>https://www.colombiacompra.gov.co/sites/cce_public/files/files_2020/boletin_de_realtoria_iii.pdf</w:t>
        </w:r>
      </w:hyperlink>
      <w:r w:rsidR="00EE32BF" w:rsidRPr="005D1F62">
        <w:rPr>
          <w:rFonts w:ascii="Verdana" w:hAnsi="Verdana" w:cs="Arial"/>
          <w:shd w:val="clear" w:color="auto" w:fill="FFFFFF"/>
        </w:rPr>
        <w:t> ".  </w:t>
      </w:r>
    </w:p>
    <w:p w14:paraId="5EE3672B" w14:textId="77777777" w:rsidR="00971E95" w:rsidRDefault="00971E95" w:rsidP="002326D6">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3B91D801" w14:textId="09F08B22" w:rsidR="00971E95" w:rsidRPr="005D1F62" w:rsidRDefault="00971E95" w:rsidP="00971E95">
      <w:pPr>
        <w:widowControl w:val="0"/>
        <w:autoSpaceDE w:val="0"/>
        <w:autoSpaceDN w:val="0"/>
        <w:spacing w:after="0" w:line="276" w:lineRule="auto"/>
        <w:jc w:val="both"/>
        <w:rPr>
          <w:rFonts w:ascii="Verdana" w:hAnsi="Verdana" w:cs="Arial"/>
          <w:shd w:val="clear" w:color="auto" w:fill="FFFFFF"/>
        </w:rPr>
      </w:pPr>
      <w:r w:rsidRPr="005D1F62">
        <w:rPr>
          <w:rFonts w:ascii="Verdana" w:hAnsi="Verdana" w:cs="Arial"/>
          <w:shd w:val="clear" w:color="auto" w:fill="FFFFFF"/>
        </w:rPr>
        <w:t xml:space="preserve">De otra parte, te informamos que entre el 15 al 29 de agosto de 2024 estará disponible para comentarios la Guía para Promover la Participación de las MIPYMES en los Procesos de Compra y Contratación Pública. Esta nueva versión </w:t>
      </w:r>
      <w:r w:rsidR="006A74CA" w:rsidRPr="005D1F62">
        <w:rPr>
          <w:rFonts w:ascii="Verdana" w:hAnsi="Verdana" w:cs="Arial"/>
          <w:shd w:val="clear" w:color="auto" w:fill="FFFFFF"/>
        </w:rPr>
        <w:lastRenderedPageBreak/>
        <w:t>desarrolla lineamientos</w:t>
      </w:r>
      <w:r w:rsidRPr="005D1F62">
        <w:rPr>
          <w:rFonts w:ascii="Verdana" w:hAnsi="Verdana" w:cs="Arial"/>
          <w:shd w:val="clear" w:color="auto" w:fill="FFFFFF"/>
        </w:rPr>
        <w:t xml:space="preserve"> para la aplicación de los incentivos regulados por normas como la Ley 2069 de 2020 y los decretos 1860 de 2021, 142 de 2023 y el 874 de 2024. Te invitamos a participar dejando tus observaciones en los siguientes enlaces: </w:t>
      </w:r>
      <w:hyperlink r:id="rId15" w:tgtFrame="_blank" w:tooltip="Dirección URL original: https://www.sucop.gov.co/entidades/colombiacompra/Normativa?IDNorma=17363. Haga clic o pulse si confía en este vínculo." w:history="1">
        <w:r w:rsidRPr="005D1F62">
          <w:rPr>
            <w:rStyle w:val="Hipervnculo"/>
            <w:rFonts w:ascii="Verdana" w:hAnsi="Verdana" w:cs="Arial"/>
            <w:shd w:val="clear" w:color="auto" w:fill="FFFFFF"/>
          </w:rPr>
          <w:t>https://www.sucop.gov.co/entidades/colombiacompra/Normativa?IDNorma=17363</w:t>
        </w:r>
      </w:hyperlink>
      <w:r w:rsidRPr="005D1F62">
        <w:rPr>
          <w:rFonts w:ascii="Verdana" w:hAnsi="Verdana" w:cs="Arial"/>
          <w:shd w:val="clear" w:color="auto" w:fill="FFFFFF"/>
        </w:rPr>
        <w:t> y </w:t>
      </w:r>
      <w:hyperlink r:id="rId16" w:tgtFrame="_blank" w:tooltip="Dirección URL original: https://www.colombiacompra.gov.co/content/convocatorias. Haga clic o pulse si confía en este vínculo." w:history="1">
        <w:r w:rsidRPr="005D1F62">
          <w:rPr>
            <w:rStyle w:val="Hipervnculo"/>
            <w:rFonts w:ascii="Verdana" w:hAnsi="Verdana" w:cs="Arial"/>
            <w:shd w:val="clear" w:color="auto" w:fill="FFFFFF"/>
          </w:rPr>
          <w:t>https://www.colombiacompra.gov.co/content/convocatorias</w:t>
        </w:r>
      </w:hyperlink>
      <w:r w:rsidRPr="005D1F62">
        <w:rPr>
          <w:rFonts w:ascii="Verdana" w:hAnsi="Verdana" w:cs="Arial"/>
          <w:shd w:val="clear" w:color="auto" w:fill="FFFFFF"/>
        </w:rPr>
        <w:t> </w:t>
      </w:r>
    </w:p>
    <w:p w14:paraId="48CA795B" w14:textId="77777777" w:rsidR="002326D6" w:rsidRPr="003E2460" w:rsidRDefault="002326D6" w:rsidP="002326D6">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1A9E6802" w14:textId="77777777" w:rsidR="002326D6" w:rsidRPr="003E2460" w:rsidRDefault="002326D6" w:rsidP="002326D6">
      <w:pPr>
        <w:spacing w:after="0" w:line="240" w:lineRule="auto"/>
        <w:jc w:val="both"/>
        <w:rPr>
          <w:rFonts w:ascii="Verdana" w:hAnsi="Verdana"/>
        </w:rPr>
      </w:pPr>
    </w:p>
    <w:p w14:paraId="4A08E74C" w14:textId="77777777" w:rsidR="002326D6" w:rsidRPr="003E2460" w:rsidRDefault="002326D6" w:rsidP="002326D6">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w:t>
      </w:r>
      <w:proofErr w:type="spellStart"/>
      <w:r w:rsidRPr="003E2460">
        <w:rPr>
          <w:rStyle w:val="Hipervnculo"/>
          <w:rFonts w:ascii="Verdana" w:hAnsi="Verdana"/>
          <w:color w:val="4472C4" w:themeColor="accent1"/>
        </w:rPr>
        <w:t>colombiacompra</w:t>
      </w:r>
      <w:proofErr w:type="spellEnd"/>
      <w:r w:rsidRPr="003E2460">
        <w:rPr>
          <w:rFonts w:ascii="Verdana" w:hAnsi="Verdana"/>
          <w:color w:val="4472C4" w:themeColor="accent1"/>
        </w:rPr>
        <w:t xml:space="preserve"> </w:t>
      </w:r>
    </w:p>
    <w:p w14:paraId="529E2EE4" w14:textId="77777777" w:rsidR="002326D6" w:rsidRPr="003E2460" w:rsidRDefault="002326D6" w:rsidP="002326D6">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1979CA54" w14:textId="77777777" w:rsidR="002326D6" w:rsidRPr="003E2460" w:rsidRDefault="002326D6" w:rsidP="002326D6">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w:t>
      </w:r>
      <w:proofErr w:type="spellStart"/>
      <w:r w:rsidRPr="003E2460">
        <w:rPr>
          <w:rStyle w:val="Hipervnculo"/>
          <w:rFonts w:ascii="Verdana" w:hAnsi="Verdana"/>
          <w:color w:val="4472C4" w:themeColor="accent1"/>
        </w:rPr>
        <w:t>colombiacompraeficiente_cce</w:t>
      </w:r>
      <w:proofErr w:type="spellEnd"/>
    </w:p>
    <w:p w14:paraId="7053C8C3" w14:textId="77777777" w:rsidR="002326D6" w:rsidRPr="00593A5F" w:rsidRDefault="002326D6" w:rsidP="002326D6">
      <w:pPr>
        <w:widowControl w:val="0"/>
        <w:autoSpaceDE w:val="0"/>
        <w:autoSpaceDN w:val="0"/>
        <w:spacing w:after="0" w:line="276" w:lineRule="auto"/>
        <w:jc w:val="both"/>
        <w:rPr>
          <w:rFonts w:ascii="Verdana" w:hAnsi="Verdana" w:cs="Arial"/>
        </w:rPr>
      </w:pPr>
    </w:p>
    <w:p w14:paraId="5949CF48" w14:textId="77777777" w:rsidR="002326D6" w:rsidRPr="00593A5F" w:rsidRDefault="002326D6" w:rsidP="002326D6">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FA1F377" w14:textId="77777777" w:rsidR="002326D6" w:rsidRPr="00593A5F" w:rsidRDefault="002326D6" w:rsidP="002326D6">
      <w:pPr>
        <w:widowControl w:val="0"/>
        <w:autoSpaceDE w:val="0"/>
        <w:autoSpaceDN w:val="0"/>
        <w:spacing w:after="0" w:line="276" w:lineRule="auto"/>
        <w:jc w:val="both"/>
        <w:rPr>
          <w:rFonts w:ascii="Verdana" w:hAnsi="Verdana" w:cs="Arial"/>
        </w:rPr>
      </w:pPr>
    </w:p>
    <w:p w14:paraId="0306152B" w14:textId="77777777" w:rsidR="002326D6" w:rsidRPr="00593A5F" w:rsidRDefault="002326D6" w:rsidP="002326D6">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1B66CCB1" w14:textId="7B1DE28B" w:rsidR="002326D6" w:rsidRDefault="000B4BD3" w:rsidP="002326D6">
      <w:pPr>
        <w:spacing w:line="276" w:lineRule="auto"/>
        <w:jc w:val="center"/>
        <w:rPr>
          <w:rFonts w:ascii="Verdana" w:hAnsi="Verdana" w:cs="Arial"/>
          <w:color w:val="000000"/>
          <w:lang w:val="es-ES_tradnl" w:eastAsia="es-CO"/>
        </w:rPr>
      </w:pPr>
      <w:r>
        <w:rPr>
          <w:noProof/>
        </w:rPr>
        <w:drawing>
          <wp:inline distT="0" distB="0" distL="0" distR="0" wp14:anchorId="68C9F926" wp14:editId="2768225D">
            <wp:extent cx="3771429" cy="1400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71429" cy="1400000"/>
                    </a:xfrm>
                    <a:prstGeom prst="rect">
                      <a:avLst/>
                    </a:prstGeom>
                  </pic:spPr>
                </pic:pic>
              </a:graphicData>
            </a:graphic>
          </wp:inline>
        </w:drawing>
      </w:r>
    </w:p>
    <w:p w14:paraId="4488E52F" w14:textId="77777777" w:rsidR="000B4BD3" w:rsidRPr="00593A5F" w:rsidRDefault="000B4BD3" w:rsidP="002326D6">
      <w:pPr>
        <w:spacing w:line="276" w:lineRule="auto"/>
        <w:jc w:val="center"/>
        <w:rPr>
          <w:rFonts w:ascii="Verdana" w:hAnsi="Verdana" w:cs="Arial"/>
          <w:color w:val="000000"/>
          <w:lang w:val="es-ES_tradnl" w:eastAsia="es-CO"/>
        </w:rPr>
      </w:pPr>
    </w:p>
    <w:tbl>
      <w:tblPr>
        <w:tblStyle w:val="Tablaconcuadrcula"/>
        <w:tblW w:w="6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5898"/>
      </w:tblGrid>
      <w:tr w:rsidR="002326D6" w:rsidRPr="00593A5F" w14:paraId="064B1D18" w14:textId="77777777" w:rsidTr="00F11EC0">
        <w:trPr>
          <w:trHeight w:val="332"/>
        </w:trPr>
        <w:tc>
          <w:tcPr>
            <w:tcW w:w="935" w:type="dxa"/>
            <w:vAlign w:val="center"/>
            <w:hideMark/>
          </w:tcPr>
          <w:p w14:paraId="51C77360" w14:textId="77777777" w:rsidR="002326D6" w:rsidRPr="003751C7" w:rsidRDefault="002326D6" w:rsidP="00F11EC0">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898" w:type="dxa"/>
            <w:tcBorders>
              <w:top w:val="nil"/>
              <w:left w:val="nil"/>
              <w:bottom w:val="dotted" w:sz="4" w:space="0" w:color="7F7F7F" w:themeColor="text1" w:themeTint="80"/>
              <w:right w:val="nil"/>
            </w:tcBorders>
            <w:vAlign w:val="center"/>
            <w:hideMark/>
          </w:tcPr>
          <w:p w14:paraId="6BA208E2" w14:textId="77777777" w:rsidR="002326D6" w:rsidRPr="00BF203A" w:rsidRDefault="002326D6" w:rsidP="00F11EC0">
            <w:pPr>
              <w:contextualSpacing/>
              <w:rPr>
                <w:rFonts w:ascii="Verdana" w:eastAsia="Arial" w:hAnsi="Verdana" w:cs="Arial"/>
                <w:sz w:val="16"/>
                <w:szCs w:val="16"/>
              </w:rPr>
            </w:pPr>
            <w:r w:rsidRPr="00BF203A">
              <w:rPr>
                <w:rFonts w:ascii="Verdana" w:eastAsia="Arial" w:hAnsi="Verdana" w:cs="Arial"/>
                <w:sz w:val="16"/>
                <w:szCs w:val="16"/>
              </w:rPr>
              <w:t>Sergio Andrés Rivera Cano</w:t>
            </w:r>
          </w:p>
          <w:p w14:paraId="423BAC3B" w14:textId="77777777" w:rsidR="002326D6" w:rsidRPr="00BF203A" w:rsidRDefault="002326D6" w:rsidP="00F11EC0">
            <w:pPr>
              <w:contextualSpacing/>
              <w:rPr>
                <w:rFonts w:ascii="Verdana" w:eastAsia="Arial" w:hAnsi="Verdana" w:cs="Arial"/>
                <w:sz w:val="16"/>
                <w:szCs w:val="16"/>
              </w:rPr>
            </w:pPr>
            <w:r w:rsidRPr="00BF203A">
              <w:rPr>
                <w:rStyle w:val="normaltextrun"/>
                <w:rFonts w:ascii="Verdana" w:eastAsia="Arial" w:hAnsi="Verdana" w:cs="Arial"/>
                <w:sz w:val="16"/>
                <w:szCs w:val="16"/>
              </w:rPr>
              <w:t>Contratista de la Subdirección de Gestión Contractual</w:t>
            </w:r>
          </w:p>
        </w:tc>
      </w:tr>
      <w:tr w:rsidR="002326D6" w:rsidRPr="00593A5F" w14:paraId="46F5B725" w14:textId="77777777" w:rsidTr="00F11EC0">
        <w:trPr>
          <w:trHeight w:val="347"/>
        </w:trPr>
        <w:tc>
          <w:tcPr>
            <w:tcW w:w="935" w:type="dxa"/>
            <w:vAlign w:val="center"/>
            <w:hideMark/>
          </w:tcPr>
          <w:p w14:paraId="0AA7C40A" w14:textId="77777777" w:rsidR="002326D6" w:rsidRPr="003751C7" w:rsidRDefault="002326D6" w:rsidP="00F11EC0">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898" w:type="dxa"/>
            <w:tcBorders>
              <w:top w:val="dotted" w:sz="4" w:space="0" w:color="7F7F7F" w:themeColor="text1" w:themeTint="80"/>
              <w:left w:val="nil"/>
              <w:bottom w:val="dotted" w:sz="4" w:space="0" w:color="7F7F7F" w:themeColor="text1" w:themeTint="80"/>
              <w:right w:val="nil"/>
            </w:tcBorders>
            <w:vAlign w:val="center"/>
            <w:hideMark/>
          </w:tcPr>
          <w:p w14:paraId="61186E73" w14:textId="77777777" w:rsidR="002326D6" w:rsidRPr="0078388D" w:rsidRDefault="002326D6" w:rsidP="00F11EC0">
            <w:pPr>
              <w:pStyle w:val="paragraph"/>
              <w:spacing w:before="0" w:beforeAutospacing="0" w:after="0" w:afterAutospacing="0"/>
              <w:contextualSpacing/>
              <w:textAlignment w:val="baseline"/>
              <w:rPr>
                <w:rFonts w:ascii="Verdana" w:hAnsi="Verdana" w:cs="Segoe UI"/>
                <w:sz w:val="16"/>
                <w:szCs w:val="16"/>
              </w:rPr>
            </w:pPr>
            <w:r w:rsidRPr="0078388D">
              <w:rPr>
                <w:rFonts w:ascii="Verdana" w:hAnsi="Verdana" w:cs="Segoe UI"/>
                <w:sz w:val="16"/>
                <w:szCs w:val="16"/>
              </w:rPr>
              <w:t>Alejandro Sarmiento Cantillo</w:t>
            </w:r>
          </w:p>
          <w:p w14:paraId="0152222D" w14:textId="42DD77FD" w:rsidR="002326D6" w:rsidRPr="003751C7" w:rsidRDefault="002326D6" w:rsidP="00F11EC0">
            <w:pPr>
              <w:pStyle w:val="paragraph"/>
              <w:spacing w:before="0" w:beforeAutospacing="0" w:after="0" w:afterAutospacing="0"/>
              <w:contextualSpacing/>
              <w:textAlignment w:val="baseline"/>
              <w:rPr>
                <w:rFonts w:ascii="Verdana" w:hAnsi="Verdana" w:cs="Segoe UI"/>
                <w:sz w:val="16"/>
                <w:szCs w:val="16"/>
              </w:rPr>
            </w:pPr>
            <w:r w:rsidRPr="0078388D">
              <w:rPr>
                <w:rStyle w:val="normaltextrun"/>
                <w:rFonts w:ascii="Verdana" w:hAnsi="Verdana" w:cs="Arial"/>
                <w:sz w:val="16"/>
                <w:szCs w:val="16"/>
                <w:lang w:val="es-ES"/>
              </w:rPr>
              <w:t>Gestor T1</w:t>
            </w:r>
            <w:r w:rsidR="004D49C5">
              <w:rPr>
                <w:rStyle w:val="normaltextrun"/>
                <w:rFonts w:ascii="Verdana" w:hAnsi="Verdana" w:cs="Arial"/>
                <w:sz w:val="16"/>
                <w:szCs w:val="16"/>
                <w:lang w:val="es-ES"/>
              </w:rPr>
              <w:t>-</w:t>
            </w:r>
            <w:r w:rsidRPr="0078388D">
              <w:rPr>
                <w:rStyle w:val="normaltextrun"/>
                <w:rFonts w:ascii="Verdana" w:hAnsi="Verdana" w:cs="Arial"/>
                <w:sz w:val="16"/>
                <w:szCs w:val="16"/>
                <w:lang w:val="es-ES"/>
              </w:rPr>
              <w:t>15 de la Subdirección de Gestión Contractual</w:t>
            </w:r>
            <w:r w:rsidRPr="0078388D">
              <w:rPr>
                <w:rStyle w:val="eop"/>
                <w:rFonts w:ascii="Verdana" w:hAnsi="Verdana" w:cs="Arial"/>
                <w:sz w:val="16"/>
                <w:szCs w:val="16"/>
              </w:rPr>
              <w:t> </w:t>
            </w:r>
          </w:p>
        </w:tc>
      </w:tr>
      <w:tr w:rsidR="002326D6" w:rsidRPr="00593A5F" w14:paraId="628EB263" w14:textId="77777777" w:rsidTr="00F11EC0">
        <w:trPr>
          <w:trHeight w:val="316"/>
        </w:trPr>
        <w:tc>
          <w:tcPr>
            <w:tcW w:w="935" w:type="dxa"/>
            <w:vAlign w:val="center"/>
          </w:tcPr>
          <w:p w14:paraId="5B7FD305" w14:textId="77777777" w:rsidR="002326D6" w:rsidRPr="003751C7" w:rsidRDefault="002326D6" w:rsidP="00F11EC0">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898" w:type="dxa"/>
            <w:tcBorders>
              <w:top w:val="dotted" w:sz="4" w:space="0" w:color="7F7F7F" w:themeColor="text1" w:themeTint="80"/>
              <w:left w:val="nil"/>
              <w:bottom w:val="dotted" w:sz="4" w:space="0" w:color="7F7F7F" w:themeColor="text1" w:themeTint="80"/>
              <w:right w:val="nil"/>
            </w:tcBorders>
            <w:vAlign w:val="center"/>
          </w:tcPr>
          <w:p w14:paraId="51CF3E2F" w14:textId="77777777" w:rsidR="002326D6" w:rsidRPr="003751C7" w:rsidRDefault="002326D6" w:rsidP="00F11EC0">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69162F9" w14:textId="77777777" w:rsidR="002326D6" w:rsidRPr="003751C7" w:rsidRDefault="002326D6" w:rsidP="00F11EC0">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w:t>
            </w:r>
            <w:proofErr w:type="spellStart"/>
            <w:r w:rsidRPr="003751C7">
              <w:rPr>
                <w:rFonts w:ascii="Verdana" w:eastAsia="Calibri" w:hAnsi="Verdana" w:cs="Arial"/>
                <w:sz w:val="16"/>
                <w:szCs w:val="16"/>
                <w:lang w:val="pt-BR" w:eastAsia="es-ES"/>
              </w:rPr>
              <w:t>Gestión</w:t>
            </w:r>
            <w:proofErr w:type="spellEnd"/>
            <w:r w:rsidRPr="003751C7">
              <w:rPr>
                <w:rFonts w:ascii="Verdana" w:eastAsia="Calibri" w:hAnsi="Verdana" w:cs="Arial"/>
                <w:sz w:val="16"/>
                <w:szCs w:val="16"/>
                <w:lang w:val="pt-BR" w:eastAsia="es-ES"/>
              </w:rPr>
              <w:t xml:space="preserve">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bookmarkEnd w:id="0"/>
    </w:tbl>
    <w:p w14:paraId="0465BA6D" w14:textId="24A0E4B1" w:rsidR="00E245AB" w:rsidRPr="0044528D" w:rsidRDefault="00E245AB" w:rsidP="00E245AB">
      <w:pPr>
        <w:spacing w:after="0"/>
        <w:rPr>
          <w:rFonts w:ascii="Verdana" w:hAnsi="Verdana"/>
        </w:rPr>
      </w:pPr>
    </w:p>
    <w:sectPr w:rsidR="00E245AB"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DC125" w14:textId="77777777" w:rsidR="00097A4C" w:rsidRDefault="00097A4C" w:rsidP="004A1847">
      <w:pPr>
        <w:spacing w:after="0" w:line="240" w:lineRule="auto"/>
      </w:pPr>
      <w:r>
        <w:separator/>
      </w:r>
    </w:p>
  </w:endnote>
  <w:endnote w:type="continuationSeparator" w:id="0">
    <w:p w14:paraId="2F678928" w14:textId="77777777" w:rsidR="00097A4C" w:rsidRDefault="00097A4C" w:rsidP="004A1847">
      <w:pPr>
        <w:spacing w:after="0" w:line="240" w:lineRule="auto"/>
      </w:pPr>
      <w:r>
        <w:continuationSeparator/>
      </w:r>
    </w:p>
  </w:endnote>
  <w:endnote w:type="continuationNotice" w:id="1">
    <w:p w14:paraId="1959BAE1" w14:textId="77777777" w:rsidR="00097A4C" w:rsidRDefault="00097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151A" w14:textId="77777777" w:rsidR="00097A4C" w:rsidRDefault="00097A4C" w:rsidP="004A1847">
      <w:pPr>
        <w:spacing w:after="0" w:line="240" w:lineRule="auto"/>
      </w:pPr>
      <w:r>
        <w:separator/>
      </w:r>
    </w:p>
  </w:footnote>
  <w:footnote w:type="continuationSeparator" w:id="0">
    <w:p w14:paraId="3E5A4F32" w14:textId="77777777" w:rsidR="00097A4C" w:rsidRDefault="00097A4C" w:rsidP="004A1847">
      <w:pPr>
        <w:spacing w:after="0" w:line="240" w:lineRule="auto"/>
      </w:pPr>
      <w:r>
        <w:continuationSeparator/>
      </w:r>
    </w:p>
  </w:footnote>
  <w:footnote w:type="continuationNotice" w:id="1">
    <w:p w14:paraId="0ADE1E77" w14:textId="77777777" w:rsidR="00097A4C" w:rsidRDefault="00097A4C">
      <w:pPr>
        <w:spacing w:after="0" w:line="240" w:lineRule="auto"/>
      </w:pPr>
    </w:p>
  </w:footnote>
  <w:footnote w:id="2">
    <w:p w14:paraId="58AB3D53" w14:textId="77777777" w:rsidR="00230752" w:rsidRPr="00305AB1" w:rsidRDefault="00230752" w:rsidP="00305AB1">
      <w:pPr>
        <w:spacing w:after="0" w:line="244" w:lineRule="auto"/>
        <w:ind w:left="120" w:firstLine="707"/>
        <w:jc w:val="both"/>
        <w:rPr>
          <w:rFonts w:ascii="Verdana" w:hAnsi="Verdana" w:cs="Arial"/>
          <w:sz w:val="16"/>
          <w:szCs w:val="16"/>
        </w:rPr>
      </w:pPr>
      <w:r w:rsidRPr="00305AB1">
        <w:rPr>
          <w:rStyle w:val="Refdenotaalpie"/>
          <w:rFonts w:ascii="Verdana" w:hAnsi="Verdana" w:cs="Arial"/>
          <w:sz w:val="16"/>
          <w:szCs w:val="16"/>
        </w:rPr>
        <w:footnoteRef/>
      </w:r>
      <w:r w:rsidRPr="00305AB1">
        <w:rPr>
          <w:rFonts w:ascii="Verdana" w:hAnsi="Verdana" w:cs="Arial"/>
          <w:position w:val="6"/>
          <w:sz w:val="16"/>
          <w:szCs w:val="16"/>
        </w:rPr>
        <w:t xml:space="preserve"> </w:t>
      </w:r>
      <w:r w:rsidRPr="00305AB1">
        <w:rPr>
          <w:rFonts w:ascii="Verdana" w:hAnsi="Verdana" w:cs="Arial"/>
          <w:sz w:val="16"/>
          <w:szCs w:val="16"/>
        </w:rPr>
        <w:t>DEIK ACOSTAMADIEDO, Carolina, Guía de Contratación Estatal: Deber de planeación y modalidades de selección, Buenos Aires, 2015, p. 59.</w:t>
      </w:r>
    </w:p>
    <w:p w14:paraId="3C5C8281" w14:textId="77777777" w:rsidR="00230752" w:rsidRPr="00305AB1" w:rsidRDefault="00230752" w:rsidP="00305AB1">
      <w:pPr>
        <w:pStyle w:val="Textonotapie"/>
        <w:jc w:val="both"/>
        <w:rPr>
          <w:rFonts w:ascii="Verdana" w:hAnsi="Verdana"/>
          <w:sz w:val="16"/>
          <w:szCs w:val="16"/>
        </w:rPr>
      </w:pPr>
    </w:p>
  </w:footnote>
  <w:footnote w:id="3">
    <w:p w14:paraId="17E0C489" w14:textId="41010E85" w:rsidR="00230752" w:rsidRPr="00305AB1" w:rsidRDefault="00230752" w:rsidP="00305AB1">
      <w:pPr>
        <w:pStyle w:val="Textoindependiente"/>
        <w:spacing w:after="0"/>
        <w:ind w:right="103" w:firstLine="709"/>
        <w:jc w:val="both"/>
        <w:rPr>
          <w:rFonts w:ascii="Verdana" w:hAnsi="Verdana"/>
          <w:sz w:val="16"/>
          <w:szCs w:val="16"/>
        </w:rPr>
      </w:pPr>
      <w:r w:rsidRPr="00305AB1">
        <w:rPr>
          <w:rStyle w:val="Refdenotaalpie"/>
          <w:rFonts w:ascii="Verdana" w:hAnsi="Verdana"/>
          <w:sz w:val="16"/>
          <w:szCs w:val="16"/>
        </w:rPr>
        <w:footnoteRef/>
      </w:r>
      <w:r w:rsidRPr="00305AB1">
        <w:rPr>
          <w:rFonts w:ascii="Verdana" w:hAnsi="Verdana"/>
          <w:sz w:val="16"/>
          <w:szCs w:val="16"/>
        </w:rPr>
        <w:t xml:space="preserve"> </w:t>
      </w:r>
      <w:r w:rsidRPr="00305AB1">
        <w:rPr>
          <w:rFonts w:ascii="Verdana" w:hAnsi="Verdana"/>
          <w:position w:val="6"/>
          <w:sz w:val="16"/>
          <w:szCs w:val="16"/>
        </w:rPr>
        <w:t xml:space="preserve"> </w:t>
      </w:r>
      <w:r w:rsidR="00CC0AB8">
        <w:rPr>
          <w:rFonts w:ascii="Verdana" w:hAnsi="Verdana"/>
          <w:sz w:val="16"/>
          <w:szCs w:val="16"/>
        </w:rPr>
        <w:t>“</w:t>
      </w:r>
      <w:r w:rsidRPr="00305AB1">
        <w:rPr>
          <w:rFonts w:ascii="Verdana" w:hAnsi="Verdana"/>
          <w:sz w:val="16"/>
          <w:szCs w:val="16"/>
        </w:rPr>
        <w:t xml:space="preserve">Artículo </w:t>
      </w:r>
      <w:bookmarkStart w:id="5" w:name="_Hlk54173885"/>
      <w:r w:rsidRPr="00305AB1">
        <w:rPr>
          <w:rFonts w:ascii="Verdana" w:hAnsi="Verdana"/>
          <w:sz w:val="16"/>
          <w:szCs w:val="16"/>
        </w:rPr>
        <w:t>2.2.1.1.2.1.1</w:t>
      </w:r>
      <w:bookmarkEnd w:id="5"/>
      <w:r w:rsidRPr="00305AB1">
        <w:rPr>
          <w:rFonts w:ascii="Verdana" w:hAnsi="Verdana"/>
          <w:sz w:val="16"/>
          <w:szCs w:val="16"/>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r w:rsidR="00CC0AB8">
        <w:rPr>
          <w:rFonts w:ascii="Verdana" w:hAnsi="Verdana"/>
          <w:sz w:val="16"/>
          <w:szCs w:val="16"/>
        </w:rPr>
        <w:t>”</w:t>
      </w:r>
      <w:r w:rsidRPr="00305AB1">
        <w:rPr>
          <w:rFonts w:ascii="Verdana" w:hAnsi="Verdana"/>
          <w:sz w:val="16"/>
          <w:szCs w:val="16"/>
        </w:rPr>
        <w:t>.</w:t>
      </w:r>
    </w:p>
    <w:p w14:paraId="24E08773" w14:textId="77777777" w:rsidR="00230752" w:rsidRPr="00305AB1" w:rsidRDefault="00230752" w:rsidP="00305AB1">
      <w:pPr>
        <w:pStyle w:val="Textonotapie"/>
        <w:ind w:firstLine="709"/>
        <w:jc w:val="both"/>
        <w:rPr>
          <w:rFonts w:ascii="Verdana" w:hAnsi="Verdana" w:cs="Arial"/>
          <w:sz w:val="16"/>
          <w:szCs w:val="16"/>
        </w:rPr>
      </w:pPr>
    </w:p>
  </w:footnote>
  <w:footnote w:id="4">
    <w:p w14:paraId="54B90BC9" w14:textId="2A4D5D70" w:rsidR="00230752" w:rsidRPr="00305AB1" w:rsidRDefault="00230752" w:rsidP="00305AB1">
      <w:pPr>
        <w:pStyle w:val="Textoindependiente"/>
        <w:spacing w:before="1" w:after="0"/>
        <w:ind w:right="108" w:firstLine="709"/>
        <w:jc w:val="both"/>
        <w:rPr>
          <w:rFonts w:ascii="Verdana" w:hAnsi="Verdana"/>
          <w:sz w:val="16"/>
          <w:szCs w:val="16"/>
        </w:rPr>
      </w:pPr>
      <w:r w:rsidRPr="00305AB1">
        <w:rPr>
          <w:rStyle w:val="Refdenotaalpie"/>
          <w:rFonts w:ascii="Verdana" w:hAnsi="Verdana"/>
          <w:sz w:val="16"/>
          <w:szCs w:val="16"/>
        </w:rPr>
        <w:footnoteRef/>
      </w:r>
      <w:r w:rsidRPr="00305AB1">
        <w:rPr>
          <w:rFonts w:ascii="Verdana" w:hAnsi="Verdana"/>
          <w:sz w:val="16"/>
          <w:szCs w:val="16"/>
        </w:rPr>
        <w:t xml:space="preserve"> Consejo de Estado, Sección Tercera, Subsección B, 31 de agosto de 2011, </w:t>
      </w:r>
      <w:r w:rsidR="00711110">
        <w:rPr>
          <w:rFonts w:ascii="Verdana" w:hAnsi="Verdana"/>
          <w:sz w:val="16"/>
          <w:szCs w:val="16"/>
        </w:rPr>
        <w:t>E</w:t>
      </w:r>
      <w:r w:rsidRPr="00305AB1">
        <w:rPr>
          <w:rFonts w:ascii="Verdana" w:hAnsi="Verdana"/>
          <w:sz w:val="16"/>
          <w:szCs w:val="16"/>
        </w:rPr>
        <w:t>xp.</w:t>
      </w:r>
      <w:r w:rsidR="00711110">
        <w:rPr>
          <w:rFonts w:ascii="Verdana" w:hAnsi="Verdana"/>
          <w:sz w:val="16"/>
          <w:szCs w:val="16"/>
        </w:rPr>
        <w:t xml:space="preserve"> No.</w:t>
      </w:r>
      <w:r w:rsidRPr="00305AB1">
        <w:rPr>
          <w:rFonts w:ascii="Verdana" w:hAnsi="Verdana"/>
          <w:sz w:val="16"/>
          <w:szCs w:val="16"/>
        </w:rPr>
        <w:t xml:space="preserve"> 18080, C.P. Ruth Stella Correa Palacio: </w:t>
      </w:r>
      <w:r w:rsidR="00CC0AB8">
        <w:rPr>
          <w:rFonts w:ascii="Verdana" w:hAnsi="Verdana"/>
          <w:sz w:val="16"/>
          <w:szCs w:val="16"/>
        </w:rPr>
        <w:t>“</w:t>
      </w:r>
      <w:r w:rsidRPr="00305AB1">
        <w:rPr>
          <w:rFonts w:ascii="Verdana" w:hAnsi="Verdana"/>
          <w:sz w:val="16"/>
          <w:szCs w:val="16"/>
        </w:rPr>
        <w:t>(…)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r w:rsidR="00CC0AB8">
        <w:rPr>
          <w:rFonts w:ascii="Verdana" w:hAnsi="Verdana"/>
          <w:sz w:val="16"/>
          <w:szCs w:val="16"/>
        </w:rPr>
        <w:t>”</w:t>
      </w:r>
      <w:r w:rsidRPr="00305AB1">
        <w:rPr>
          <w:rFonts w:ascii="Verdana" w:hAnsi="Verdana"/>
          <w:sz w:val="16"/>
          <w:szCs w:val="16"/>
        </w:rPr>
        <w:t>.</w:t>
      </w:r>
    </w:p>
    <w:p w14:paraId="5A060306" w14:textId="77777777" w:rsidR="00230752" w:rsidRPr="00305AB1" w:rsidRDefault="00230752" w:rsidP="00305AB1">
      <w:pPr>
        <w:pStyle w:val="Textonotapie"/>
        <w:jc w:val="both"/>
        <w:rPr>
          <w:rFonts w:ascii="Verdana" w:hAnsi="Verdana"/>
          <w:sz w:val="16"/>
          <w:szCs w:val="16"/>
          <w:lang w:val="es-CO"/>
        </w:rPr>
      </w:pPr>
    </w:p>
  </w:footnote>
  <w:footnote w:id="5">
    <w:p w14:paraId="3FA9C931" w14:textId="77777777" w:rsidR="00CB4DCE" w:rsidRPr="00305AB1" w:rsidRDefault="00CB4DCE" w:rsidP="00452F92">
      <w:pPr>
        <w:pStyle w:val="Textonotapie"/>
        <w:ind w:firstLine="708"/>
        <w:jc w:val="both"/>
        <w:rPr>
          <w:rFonts w:ascii="Verdana" w:hAnsi="Verdana" w:cs="Arial"/>
          <w:sz w:val="16"/>
          <w:szCs w:val="16"/>
        </w:rPr>
      </w:pPr>
      <w:r w:rsidRPr="00305AB1">
        <w:rPr>
          <w:rStyle w:val="Refdenotaalpie"/>
          <w:rFonts w:ascii="Verdana" w:hAnsi="Verdana" w:cs="Arial"/>
          <w:sz w:val="16"/>
          <w:szCs w:val="16"/>
        </w:rPr>
        <w:footnoteRef/>
      </w:r>
      <w:r w:rsidRPr="00305AB1">
        <w:rPr>
          <w:rFonts w:ascii="Verdana" w:hAnsi="Verdana" w:cs="Arial"/>
          <w:sz w:val="16"/>
          <w:szCs w:val="16"/>
        </w:rPr>
        <w:t xml:space="preserve"> OSPINA MENA, Jesús Marino. Régimen de la Contratación Estatal. Un salto a la contratación líquida. Bogotá: Ed. 1ª. Diké, 2020. p. 383.</w:t>
      </w:r>
    </w:p>
    <w:p w14:paraId="6F983ECF" w14:textId="77777777" w:rsidR="00CB4DCE" w:rsidRPr="00305AB1" w:rsidRDefault="00CB4DCE" w:rsidP="00452F92">
      <w:pPr>
        <w:pStyle w:val="Textonotapie"/>
        <w:ind w:firstLine="708"/>
        <w:jc w:val="both"/>
        <w:rPr>
          <w:rFonts w:ascii="Verdana" w:hAnsi="Verdana" w:cs="Arial"/>
          <w:sz w:val="16"/>
          <w:szCs w:val="16"/>
        </w:rPr>
      </w:pPr>
    </w:p>
  </w:footnote>
  <w:footnote w:id="6">
    <w:p w14:paraId="3EAE6C28" w14:textId="77777777" w:rsidR="00CB4DCE" w:rsidRPr="00305AB1" w:rsidRDefault="00CB4DCE" w:rsidP="00452F92">
      <w:pPr>
        <w:pStyle w:val="Textonotapie"/>
        <w:ind w:firstLine="708"/>
        <w:jc w:val="both"/>
        <w:rPr>
          <w:rFonts w:ascii="Verdana" w:hAnsi="Verdana" w:cs="Arial"/>
          <w:sz w:val="16"/>
          <w:szCs w:val="16"/>
        </w:rPr>
      </w:pPr>
      <w:r w:rsidRPr="00305AB1">
        <w:rPr>
          <w:rStyle w:val="Refdenotaalpie"/>
          <w:rFonts w:ascii="Verdana" w:hAnsi="Verdana" w:cs="Arial"/>
          <w:sz w:val="16"/>
          <w:szCs w:val="16"/>
        </w:rPr>
        <w:footnoteRef/>
      </w:r>
      <w:r w:rsidRPr="00305AB1">
        <w:rPr>
          <w:rFonts w:ascii="Verdana" w:hAnsi="Verdana" w:cs="Arial"/>
          <w:sz w:val="16"/>
          <w:szCs w:val="16"/>
        </w:rPr>
        <w:t xml:space="preserve"> CONSEJO DE ESTADO. Sección Tercera. Sentencia de 30 de noviembre de 2006. Exp. 18.059. M.P. Alier Hernández Enríquez.</w:t>
      </w:r>
    </w:p>
    <w:p w14:paraId="4478162B" w14:textId="77777777" w:rsidR="00CB4DCE" w:rsidRPr="00305AB1" w:rsidRDefault="00CB4DCE" w:rsidP="00452F92">
      <w:pPr>
        <w:pStyle w:val="Textonotapie"/>
        <w:jc w:val="both"/>
        <w:rPr>
          <w:rFonts w:ascii="Verdana" w:hAnsi="Verdana" w:cs="Arial"/>
          <w:sz w:val="16"/>
          <w:szCs w:val="16"/>
        </w:rPr>
      </w:pPr>
    </w:p>
  </w:footnote>
  <w:footnote w:id="7">
    <w:p w14:paraId="4DF74F14" w14:textId="77777777" w:rsidR="00CB4DCE" w:rsidRPr="00305AB1" w:rsidRDefault="00CB4DCE" w:rsidP="00452F92">
      <w:pPr>
        <w:pStyle w:val="Textonotapie"/>
        <w:ind w:firstLine="708"/>
        <w:jc w:val="both"/>
        <w:rPr>
          <w:rFonts w:ascii="Verdana" w:hAnsi="Verdana"/>
          <w:sz w:val="16"/>
          <w:szCs w:val="16"/>
        </w:rPr>
      </w:pPr>
      <w:r w:rsidRPr="00305AB1">
        <w:rPr>
          <w:rStyle w:val="Refdenotaalpie"/>
          <w:rFonts w:ascii="Verdana" w:hAnsi="Verdana" w:cs="Arial"/>
          <w:sz w:val="16"/>
          <w:szCs w:val="16"/>
        </w:rPr>
        <w:footnoteRef/>
      </w:r>
      <w:r w:rsidRPr="00305AB1">
        <w:rPr>
          <w:rFonts w:ascii="Verdana" w:hAnsi="Verdana" w:cs="Arial"/>
          <w:sz w:val="16"/>
          <w:szCs w:val="16"/>
        </w:rPr>
        <w:t xml:space="preserve"> Sin perjuicio de los dispuesto en el artículo 2.2.1.1.2.1.3. del Decreto 1082 de 2015 sobre el contenido del pliego de condiciones, donde se desarrolla de forma más exhaustiva cada uno de sus componentes mínimos.</w:t>
      </w:r>
    </w:p>
  </w:footnote>
  <w:footnote w:id="8">
    <w:p w14:paraId="785C92AB" w14:textId="04F2CC8C" w:rsidR="00410401" w:rsidRPr="00305AB1" w:rsidRDefault="00410401" w:rsidP="00452F92">
      <w:pPr>
        <w:pStyle w:val="Textonotapie"/>
        <w:ind w:firstLine="708"/>
        <w:jc w:val="both"/>
        <w:rPr>
          <w:rFonts w:ascii="Verdana" w:hAnsi="Verdana" w:cs="Arial"/>
          <w:color w:val="000000" w:themeColor="text1"/>
          <w:sz w:val="16"/>
          <w:szCs w:val="16"/>
        </w:rPr>
      </w:pPr>
      <w:r w:rsidRPr="00305AB1">
        <w:rPr>
          <w:rStyle w:val="Refdenotaalpie"/>
          <w:rFonts w:ascii="Verdana" w:hAnsi="Verdana" w:cs="Arial"/>
          <w:color w:val="000000" w:themeColor="text1"/>
          <w:sz w:val="16"/>
          <w:szCs w:val="16"/>
        </w:rPr>
        <w:footnoteRef/>
      </w:r>
      <w:r w:rsidRPr="00305AB1">
        <w:rPr>
          <w:rFonts w:ascii="Verdana" w:hAnsi="Verdana" w:cs="Arial"/>
          <w:color w:val="000000" w:themeColor="text1"/>
          <w:sz w:val="16"/>
          <w:szCs w:val="16"/>
        </w:rPr>
        <w:t xml:space="preserve"> </w:t>
      </w:r>
      <w:r w:rsidR="004D49C5" w:rsidRPr="004D49C5">
        <w:rPr>
          <w:rFonts w:ascii="Verdana" w:hAnsi="Verdana" w:cs="Arial"/>
          <w:color w:val="000000" w:themeColor="text1"/>
          <w:sz w:val="16"/>
          <w:szCs w:val="16"/>
        </w:rPr>
        <w:t xml:space="preserve">CORTE CONSTITUCIONAL. </w:t>
      </w:r>
      <w:r w:rsidRPr="00305AB1">
        <w:rPr>
          <w:rFonts w:ascii="Verdana" w:hAnsi="Verdana" w:cs="Arial"/>
          <w:color w:val="000000" w:themeColor="text1"/>
          <w:sz w:val="16"/>
          <w:szCs w:val="16"/>
        </w:rPr>
        <w:t xml:space="preserve">Sentencia C-128 de 2003. M.P. Álvaro Tafur Galvis: </w:t>
      </w:r>
      <w:r w:rsidR="004D49C5">
        <w:rPr>
          <w:rFonts w:ascii="Verdana" w:hAnsi="Verdana" w:cs="Arial"/>
          <w:color w:val="000000" w:themeColor="text1"/>
          <w:sz w:val="16"/>
          <w:szCs w:val="16"/>
        </w:rPr>
        <w:t>“</w:t>
      </w:r>
      <w:r w:rsidRPr="00305AB1">
        <w:rPr>
          <w:rFonts w:ascii="Verdana" w:hAnsi="Verdana" w:cs="Arial"/>
          <w:color w:val="000000" w:themeColor="text1"/>
          <w:sz w:val="16"/>
          <w:szCs w:val="16"/>
        </w:rPr>
        <w:t>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w:t>
      </w:r>
      <w:r w:rsidR="004D49C5">
        <w:rPr>
          <w:rFonts w:ascii="Verdana" w:hAnsi="Verdana" w:cs="Arial"/>
          <w:color w:val="000000" w:themeColor="text1"/>
          <w:sz w:val="16"/>
          <w:szCs w:val="16"/>
        </w:rPr>
        <w:t>l”</w:t>
      </w:r>
      <w:r w:rsidRPr="00305AB1">
        <w:rPr>
          <w:rFonts w:ascii="Verdana" w:hAnsi="Verdana" w:cs="Arial"/>
          <w:color w:val="000000" w:themeColor="text1"/>
          <w:sz w:val="16"/>
          <w:szCs w:val="16"/>
        </w:rPr>
        <w:t>.</w:t>
      </w:r>
    </w:p>
    <w:p w14:paraId="12739220" w14:textId="77777777" w:rsidR="00410401" w:rsidRPr="00305AB1" w:rsidRDefault="00410401" w:rsidP="00452F92">
      <w:pPr>
        <w:pStyle w:val="Textonotapie"/>
        <w:ind w:firstLine="708"/>
        <w:jc w:val="both"/>
        <w:rPr>
          <w:rFonts w:ascii="Verdana" w:hAnsi="Verdana" w:cs="Arial"/>
          <w:color w:val="000000" w:themeColor="text1"/>
          <w:sz w:val="16"/>
          <w:szCs w:val="16"/>
          <w:lang w:val="es-ES"/>
        </w:rPr>
      </w:pPr>
    </w:p>
  </w:footnote>
  <w:footnote w:id="9">
    <w:p w14:paraId="76B98D98" w14:textId="2F862FDA" w:rsidR="00410401" w:rsidRPr="00305AB1" w:rsidRDefault="00410401" w:rsidP="002A43AB">
      <w:pPr>
        <w:pStyle w:val="Textonotapie"/>
        <w:ind w:firstLine="709"/>
        <w:jc w:val="both"/>
        <w:rPr>
          <w:rFonts w:ascii="Verdana" w:hAnsi="Verdana" w:cs="Arial"/>
          <w:color w:val="000000" w:themeColor="text1"/>
          <w:sz w:val="16"/>
          <w:szCs w:val="16"/>
          <w:lang w:val="es-ES"/>
        </w:rPr>
      </w:pPr>
      <w:r w:rsidRPr="00305AB1">
        <w:rPr>
          <w:rStyle w:val="Refdenotaalpie"/>
          <w:rFonts w:ascii="Verdana" w:hAnsi="Verdana" w:cs="Arial"/>
          <w:color w:val="000000" w:themeColor="text1"/>
          <w:sz w:val="16"/>
          <w:szCs w:val="16"/>
        </w:rPr>
        <w:footnoteRef/>
      </w:r>
      <w:r w:rsidRPr="00305AB1">
        <w:rPr>
          <w:rFonts w:ascii="Verdana" w:hAnsi="Verdana" w:cs="Arial"/>
          <w:color w:val="000000" w:themeColor="text1"/>
          <w:sz w:val="16"/>
          <w:szCs w:val="16"/>
        </w:rPr>
        <w:t xml:space="preserve"> </w:t>
      </w:r>
      <w:r w:rsidR="004D49C5" w:rsidRPr="004D49C5">
        <w:rPr>
          <w:rFonts w:ascii="Verdana" w:hAnsi="Verdana" w:cs="Arial"/>
          <w:color w:val="000000" w:themeColor="text1"/>
          <w:sz w:val="16"/>
          <w:szCs w:val="16"/>
        </w:rPr>
        <w:t>CONSEJO DE ESTADO</w:t>
      </w:r>
      <w:r w:rsidR="004D49C5">
        <w:rPr>
          <w:rFonts w:ascii="Verdana" w:hAnsi="Verdana" w:cs="Arial"/>
          <w:color w:val="000000" w:themeColor="text1"/>
          <w:sz w:val="16"/>
          <w:szCs w:val="16"/>
        </w:rPr>
        <w:t>,</w:t>
      </w:r>
      <w:r w:rsidRPr="00305AB1">
        <w:rPr>
          <w:rFonts w:ascii="Verdana" w:hAnsi="Verdana" w:cs="Arial"/>
          <w:color w:val="000000" w:themeColor="text1"/>
          <w:sz w:val="16"/>
          <w:szCs w:val="16"/>
        </w:rPr>
        <w:t xml:space="preserve"> Sección Tercera. Sentencia del 11 de noviembre de 2009. Exp. 17.366. C.P. Mauricio Fajardo </w:t>
      </w:r>
      <w:r w:rsidR="004D49C5" w:rsidRPr="004D49C5">
        <w:rPr>
          <w:rFonts w:ascii="Verdana" w:hAnsi="Verdana" w:cs="Arial"/>
          <w:color w:val="000000" w:themeColor="text1"/>
          <w:sz w:val="16"/>
          <w:szCs w:val="16"/>
        </w:rPr>
        <w:t>Gómez</w:t>
      </w:r>
      <w:r w:rsidRPr="00305AB1">
        <w:rPr>
          <w:rFonts w:ascii="Verdana" w:hAnsi="Verdana" w:cs="Arial"/>
          <w:color w:val="000000" w:themeColor="text1"/>
          <w:sz w:val="16"/>
          <w:szCs w:val="16"/>
        </w:rPr>
        <w:t>.</w:t>
      </w:r>
    </w:p>
  </w:footnote>
  <w:footnote w:id="10">
    <w:p w14:paraId="03A00538" w14:textId="77777777" w:rsidR="002C29AA" w:rsidRPr="00305AB1" w:rsidRDefault="002C29AA" w:rsidP="002A43AB">
      <w:pPr>
        <w:pStyle w:val="Textonotapie"/>
        <w:ind w:firstLine="709"/>
        <w:jc w:val="both"/>
        <w:rPr>
          <w:rFonts w:ascii="Verdana" w:hAnsi="Verdana" w:cs="Arial"/>
          <w:color w:val="000000" w:themeColor="text1"/>
          <w:sz w:val="16"/>
          <w:szCs w:val="16"/>
        </w:rPr>
      </w:pPr>
    </w:p>
    <w:p w14:paraId="2CF4E094" w14:textId="4C6B241B" w:rsidR="002C29AA" w:rsidRPr="00305AB1" w:rsidRDefault="002C29AA" w:rsidP="002A43AB">
      <w:pPr>
        <w:pStyle w:val="Textonotapie"/>
        <w:ind w:firstLine="709"/>
        <w:jc w:val="both"/>
        <w:rPr>
          <w:rFonts w:ascii="Verdana" w:hAnsi="Verdana" w:cs="Arial"/>
          <w:color w:val="000000" w:themeColor="text1"/>
          <w:sz w:val="16"/>
          <w:szCs w:val="16"/>
        </w:rPr>
      </w:pPr>
      <w:r w:rsidRPr="00305AB1">
        <w:rPr>
          <w:rStyle w:val="Refdenotaalpie"/>
          <w:rFonts w:ascii="Verdana" w:hAnsi="Verdana" w:cs="Arial"/>
          <w:color w:val="000000" w:themeColor="text1"/>
          <w:sz w:val="16"/>
          <w:szCs w:val="16"/>
        </w:rPr>
        <w:footnoteRef/>
      </w:r>
      <w:r w:rsidRPr="00305AB1">
        <w:rPr>
          <w:rFonts w:ascii="Verdana" w:hAnsi="Verdana" w:cs="Arial"/>
          <w:color w:val="000000" w:themeColor="text1"/>
          <w:sz w:val="16"/>
          <w:szCs w:val="16"/>
        </w:rPr>
        <w:t xml:space="preserve"> </w:t>
      </w:r>
      <w:r w:rsidR="004D49C5" w:rsidRPr="004D49C5">
        <w:rPr>
          <w:rFonts w:ascii="Verdana" w:hAnsi="Verdana" w:cs="Arial"/>
          <w:color w:val="000000" w:themeColor="text1"/>
          <w:sz w:val="16"/>
          <w:szCs w:val="16"/>
        </w:rPr>
        <w:t>CONSEJO DE ESTADO</w:t>
      </w:r>
      <w:r w:rsidRPr="00305AB1">
        <w:rPr>
          <w:rFonts w:ascii="Verdana" w:hAnsi="Verdana" w:cs="Arial"/>
          <w:color w:val="000000" w:themeColor="text1"/>
          <w:sz w:val="16"/>
          <w:szCs w:val="16"/>
        </w:rPr>
        <w:t xml:space="preserve">. </w:t>
      </w:r>
      <w:r w:rsidR="004D49C5">
        <w:rPr>
          <w:rFonts w:ascii="Verdana" w:hAnsi="Verdana" w:cs="Arial"/>
          <w:color w:val="000000" w:themeColor="text1"/>
          <w:sz w:val="16"/>
          <w:szCs w:val="16"/>
        </w:rPr>
        <w:t>Sección Tercera,</w:t>
      </w:r>
      <w:r w:rsidRPr="00305AB1">
        <w:rPr>
          <w:rFonts w:ascii="Verdana" w:hAnsi="Verdana" w:cs="Arial"/>
          <w:color w:val="000000" w:themeColor="text1"/>
          <w:sz w:val="16"/>
          <w:szCs w:val="16"/>
        </w:rPr>
        <w:t xml:space="preserve"> Sentencia del 24 de julio de 2013. Exp. 25.642. C.P. Enrique Gil Botero: </w:t>
      </w:r>
      <w:r w:rsidR="004D49C5">
        <w:rPr>
          <w:rFonts w:ascii="Verdana" w:hAnsi="Verdana" w:cs="Arial"/>
          <w:color w:val="000000" w:themeColor="text1"/>
          <w:sz w:val="16"/>
          <w:szCs w:val="16"/>
        </w:rPr>
        <w:t>“</w:t>
      </w:r>
      <w:r w:rsidRPr="00305AB1">
        <w:rPr>
          <w:rFonts w:ascii="Verdana" w:hAnsi="Verdana" w:cs="Arial"/>
          <w:color w:val="000000" w:themeColor="text1"/>
          <w:sz w:val="16"/>
          <w:szCs w:val="16"/>
        </w:rPr>
        <w:t>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r w:rsidR="004D49C5">
        <w:rPr>
          <w:rFonts w:ascii="Verdana" w:hAnsi="Verdana" w:cs="Arial"/>
          <w:color w:val="000000" w:themeColor="text1"/>
          <w:sz w:val="16"/>
          <w:szCs w:val="16"/>
        </w:rPr>
        <w:t>”</w:t>
      </w:r>
      <w:r w:rsidRPr="00305AB1">
        <w:rPr>
          <w:rFonts w:ascii="Verdana" w:hAnsi="Verdana" w:cs="Arial"/>
          <w:color w:val="000000" w:themeColor="text1"/>
          <w:sz w:val="16"/>
          <w:szCs w:val="16"/>
        </w:rPr>
        <w:t>.</w:t>
      </w:r>
    </w:p>
    <w:p w14:paraId="49586030" w14:textId="77777777" w:rsidR="002C29AA" w:rsidRPr="00305AB1" w:rsidRDefault="002C29AA" w:rsidP="002A43AB">
      <w:pPr>
        <w:pStyle w:val="Textonotapie"/>
        <w:ind w:firstLine="709"/>
        <w:jc w:val="both"/>
        <w:rPr>
          <w:rFonts w:ascii="Verdana" w:hAnsi="Verdana" w:cs="Arial"/>
          <w:color w:val="000000" w:themeColor="text1"/>
          <w:sz w:val="16"/>
          <w:szCs w:val="16"/>
          <w:lang w:val="es-ES"/>
        </w:rPr>
      </w:pPr>
    </w:p>
  </w:footnote>
  <w:footnote w:id="11">
    <w:p w14:paraId="5E6EE3C8" w14:textId="5D6D7A81" w:rsidR="002C29AA" w:rsidRPr="00305AB1" w:rsidRDefault="002C29AA" w:rsidP="002A43AB">
      <w:pPr>
        <w:pStyle w:val="Textonotapie"/>
        <w:ind w:firstLine="709"/>
        <w:jc w:val="both"/>
        <w:rPr>
          <w:rFonts w:ascii="Verdana" w:hAnsi="Verdana" w:cs="Arial"/>
          <w:color w:val="000000" w:themeColor="text1"/>
          <w:sz w:val="16"/>
          <w:szCs w:val="16"/>
        </w:rPr>
      </w:pPr>
      <w:r w:rsidRPr="00305AB1">
        <w:rPr>
          <w:rStyle w:val="Refdenotaalpie"/>
          <w:rFonts w:ascii="Verdana" w:hAnsi="Verdana" w:cs="Arial"/>
          <w:color w:val="000000" w:themeColor="text1"/>
          <w:sz w:val="16"/>
          <w:szCs w:val="16"/>
        </w:rPr>
        <w:footnoteRef/>
      </w:r>
      <w:r w:rsidRPr="00305AB1">
        <w:rPr>
          <w:rFonts w:ascii="Verdana" w:hAnsi="Verdana" w:cs="Arial"/>
          <w:color w:val="000000" w:themeColor="text1"/>
          <w:sz w:val="16"/>
          <w:szCs w:val="16"/>
        </w:rPr>
        <w:t xml:space="preserve"> Decreto 1082 de 2015: </w:t>
      </w:r>
      <w:r w:rsidR="00426F5A" w:rsidRPr="00305AB1">
        <w:rPr>
          <w:rFonts w:ascii="Verdana" w:hAnsi="Verdana" w:cs="Arial"/>
          <w:color w:val="000000" w:themeColor="text1"/>
          <w:sz w:val="16"/>
          <w:szCs w:val="16"/>
        </w:rPr>
        <w:t>“</w:t>
      </w:r>
      <w:r w:rsidRPr="00305AB1">
        <w:rPr>
          <w:rFonts w:ascii="Verdana" w:hAnsi="Verdana" w:cs="Arial"/>
          <w:color w:val="000000" w:themeColor="text1"/>
          <w:sz w:val="16"/>
          <w:szCs w:val="16"/>
        </w:rPr>
        <w:t>Artículo 2.2.1.1.2.1.3. Pliegos de condiciones. Los pliegos de condiciones deben contener por lo menos la siguiente información:</w:t>
      </w:r>
    </w:p>
    <w:p w14:paraId="5F256165" w14:textId="0F58C075" w:rsidR="002C29AA" w:rsidRPr="00305AB1" w:rsidRDefault="002C29AA" w:rsidP="002A43AB">
      <w:pPr>
        <w:pStyle w:val="Textonotapie"/>
        <w:ind w:firstLine="709"/>
        <w:jc w:val="both"/>
        <w:rPr>
          <w:rFonts w:ascii="Verdana" w:hAnsi="Verdana" w:cs="Arial"/>
          <w:color w:val="000000" w:themeColor="text1"/>
          <w:sz w:val="16"/>
          <w:szCs w:val="16"/>
        </w:rPr>
      </w:pPr>
      <w:r w:rsidRPr="00305AB1">
        <w:rPr>
          <w:rFonts w:ascii="Verdana" w:hAnsi="Verdana" w:cs="Arial"/>
          <w:color w:val="000000" w:themeColor="text1"/>
          <w:sz w:val="16"/>
          <w:szCs w:val="16"/>
        </w:rPr>
        <w:t>1. La descripción técnica, detallada y completa del bien o servicio objeto del contrato, identificado con el cuarto nivel del Clasificador de Bienes y Servicios, de ser posible o de lo contrario con el tercer nivel del mismo.</w:t>
      </w:r>
    </w:p>
    <w:p w14:paraId="3816558E" w14:textId="60F4CF89" w:rsidR="002C29AA" w:rsidRPr="00305AB1" w:rsidRDefault="002C29AA" w:rsidP="002A43AB">
      <w:pPr>
        <w:pStyle w:val="Textonotapie"/>
        <w:ind w:firstLine="709"/>
        <w:jc w:val="both"/>
        <w:rPr>
          <w:rFonts w:ascii="Verdana" w:hAnsi="Verdana" w:cs="Arial"/>
          <w:color w:val="000000" w:themeColor="text1"/>
          <w:sz w:val="16"/>
          <w:szCs w:val="16"/>
        </w:rPr>
      </w:pPr>
      <w:r w:rsidRPr="00305AB1">
        <w:rPr>
          <w:rFonts w:ascii="Verdana" w:hAnsi="Verdana" w:cs="Arial"/>
          <w:color w:val="000000" w:themeColor="text1"/>
          <w:sz w:val="16"/>
          <w:szCs w:val="16"/>
        </w:rPr>
        <w:t>2. La modalidad del proceso de selección y su justificación.</w:t>
      </w:r>
    </w:p>
    <w:p w14:paraId="4BDCF7B6" w14:textId="38C128FF" w:rsidR="002C29AA" w:rsidRPr="00305AB1" w:rsidRDefault="002C29AA" w:rsidP="002A43AB">
      <w:pPr>
        <w:pStyle w:val="Textonotapie"/>
        <w:ind w:firstLine="709"/>
        <w:jc w:val="both"/>
        <w:rPr>
          <w:rFonts w:ascii="Verdana" w:hAnsi="Verdana" w:cs="Arial"/>
          <w:color w:val="000000" w:themeColor="text1"/>
          <w:sz w:val="16"/>
          <w:szCs w:val="16"/>
        </w:rPr>
      </w:pPr>
      <w:r w:rsidRPr="00305AB1">
        <w:rPr>
          <w:rFonts w:ascii="Verdana" w:hAnsi="Verdana" w:cs="Arial"/>
          <w:color w:val="000000" w:themeColor="text1"/>
          <w:sz w:val="16"/>
          <w:szCs w:val="16"/>
        </w:rPr>
        <w:t>3. Los criterios de selección, incluyendo los factores de desempate y los incentivos cuando a ello haya lugar.</w:t>
      </w:r>
    </w:p>
    <w:p w14:paraId="7717D3C3" w14:textId="5BBEC742"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4. Las condiciones de costo y/o calidad que la Entidad Estatal debe tener en cuenta para la selección objetiva, de acuerdo con la modalidad de selección del contratista.</w:t>
      </w:r>
    </w:p>
    <w:p w14:paraId="6823C717" w14:textId="44749ADE"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5.    Las reglas aplicables a la presentación de las ofertas, su evaluación y a la adjudicación del contrato.</w:t>
      </w:r>
    </w:p>
    <w:p w14:paraId="3F99A2E2" w14:textId="047B6E2D"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6. Las causas que dan lugar a rechazar una oferta.</w:t>
      </w:r>
    </w:p>
    <w:p w14:paraId="040A96AA" w14:textId="57B2DB04"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7. El valor del contrato, el plazo, el cronograma de pagos y la determinación de si debe haber lugar a la entrega de anticipo, y si hubiere, indicar su valor, el cual debe tener en cuenta los rendimientos que este pueda generar.</w:t>
      </w:r>
    </w:p>
    <w:p w14:paraId="2542B414" w14:textId="096E76C3"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8. Los Riesgos asociados al contrato, la forma de mitigarlos y la asignación del Riesgo entre las partes contratantes.</w:t>
      </w:r>
    </w:p>
    <w:p w14:paraId="0B031F36" w14:textId="0FEE0DF9"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9. Las garantías exigidas en el Proceso de Contratación y sus condiciones.</w:t>
      </w:r>
    </w:p>
    <w:p w14:paraId="11D11A16" w14:textId="23B143E6"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10. La mención de si la Entidad Estatal y el contrato objeto de los pliegos de condiciones están cubiertos por un Acuerdo Comercial.</w:t>
      </w:r>
    </w:p>
    <w:p w14:paraId="1DE26BB3" w14:textId="4E279B95"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11. Los términos, condiciones y minuta del contrato.</w:t>
      </w:r>
    </w:p>
    <w:p w14:paraId="124A843A" w14:textId="751B199C"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12. Los términos de la supervisión y/o de la interventoría del contrato.</w:t>
      </w:r>
    </w:p>
    <w:p w14:paraId="4FBF6283" w14:textId="535EFF8B"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13. El plazo dentro del cual la Entidad Estatal puede expedir Adendas.</w:t>
      </w:r>
    </w:p>
    <w:p w14:paraId="7C331354" w14:textId="7D6581BD" w:rsidR="002C29AA" w:rsidRPr="00305AB1" w:rsidRDefault="002C29AA" w:rsidP="00452F92">
      <w:pPr>
        <w:pStyle w:val="Textonotapie"/>
        <w:ind w:firstLine="708"/>
        <w:jc w:val="both"/>
        <w:rPr>
          <w:rFonts w:ascii="Verdana" w:hAnsi="Verdana" w:cs="Arial"/>
          <w:color w:val="000000" w:themeColor="text1"/>
          <w:sz w:val="16"/>
          <w:szCs w:val="16"/>
        </w:rPr>
      </w:pPr>
      <w:r w:rsidRPr="00305AB1">
        <w:rPr>
          <w:rFonts w:ascii="Verdana" w:hAnsi="Verdana" w:cs="Arial"/>
          <w:color w:val="000000" w:themeColor="text1"/>
          <w:sz w:val="16"/>
          <w:szCs w:val="16"/>
        </w:rPr>
        <w:t>14. El Cronograma</w:t>
      </w:r>
      <w:r w:rsidR="00426F5A" w:rsidRPr="00305AB1">
        <w:rPr>
          <w:rFonts w:ascii="Verdana" w:hAnsi="Verdana" w:cs="Arial"/>
          <w:color w:val="000000" w:themeColor="text1"/>
          <w:sz w:val="16"/>
          <w:szCs w:val="16"/>
        </w:rPr>
        <w:t>”</w:t>
      </w:r>
      <w:r w:rsidRPr="00305AB1">
        <w:rPr>
          <w:rFonts w:ascii="Verdana" w:hAnsi="Verdana" w:cs="Arial"/>
          <w:color w:val="000000" w:themeColor="text1"/>
          <w:sz w:val="16"/>
          <w:szCs w:val="16"/>
        </w:rPr>
        <w:t>.</w:t>
      </w:r>
    </w:p>
    <w:p w14:paraId="4E797241" w14:textId="77777777" w:rsidR="002C29AA" w:rsidRPr="00305AB1" w:rsidRDefault="002C29AA" w:rsidP="00452F92">
      <w:pPr>
        <w:pStyle w:val="Textonotapie"/>
        <w:jc w:val="both"/>
        <w:rPr>
          <w:rFonts w:ascii="Verdana" w:hAnsi="Verdana" w:cs="Arial"/>
          <w:color w:val="000000" w:themeColor="text1"/>
          <w:sz w:val="16"/>
          <w:szCs w:val="16"/>
        </w:rPr>
      </w:pPr>
    </w:p>
  </w:footnote>
  <w:footnote w:id="12">
    <w:p w14:paraId="4FFA3257" w14:textId="574E20C0" w:rsidR="00811F68" w:rsidRPr="00305AB1" w:rsidRDefault="00811F68" w:rsidP="00305AB1">
      <w:pPr>
        <w:pStyle w:val="Textonotapie"/>
        <w:ind w:firstLine="708"/>
        <w:jc w:val="both"/>
        <w:rPr>
          <w:rFonts w:ascii="Verdana" w:hAnsi="Verdana"/>
          <w:sz w:val="16"/>
          <w:szCs w:val="16"/>
          <w:lang w:val="es-CO"/>
        </w:rPr>
      </w:pPr>
      <w:r w:rsidRPr="00305AB1">
        <w:rPr>
          <w:rStyle w:val="Refdenotaalpie"/>
          <w:rFonts w:ascii="Verdana" w:hAnsi="Verdana"/>
          <w:sz w:val="16"/>
          <w:szCs w:val="16"/>
        </w:rPr>
        <w:footnoteRef/>
      </w:r>
      <w:r w:rsidRPr="00305AB1">
        <w:rPr>
          <w:rFonts w:ascii="Verdana" w:hAnsi="Verdana"/>
          <w:sz w:val="16"/>
          <w:szCs w:val="16"/>
        </w:rPr>
        <w:t xml:space="preserve"> “</w:t>
      </w:r>
      <w:r w:rsidRPr="00305AB1">
        <w:rPr>
          <w:rFonts w:ascii="Verdana" w:hAnsi="Verdana"/>
          <w:sz w:val="16"/>
          <w:szCs w:val="16"/>
          <w:lang w:val="es-CO"/>
        </w:rPr>
        <w:t>Artículo 25. del Principio de economía. En virtud de este principio: </w:t>
      </w:r>
    </w:p>
    <w:p w14:paraId="223FF075" w14:textId="172037A2" w:rsidR="00811F68" w:rsidRPr="00305AB1" w:rsidRDefault="00811F68" w:rsidP="00305AB1">
      <w:pPr>
        <w:pStyle w:val="Textonotapie"/>
        <w:ind w:firstLine="708"/>
        <w:jc w:val="both"/>
        <w:rPr>
          <w:rFonts w:ascii="Verdana" w:hAnsi="Verdana"/>
          <w:sz w:val="16"/>
          <w:szCs w:val="16"/>
          <w:lang w:val="es-CO"/>
        </w:rPr>
      </w:pPr>
      <w:r w:rsidRPr="00305AB1">
        <w:rPr>
          <w:rFonts w:ascii="Verdana" w:hAnsi="Verdana"/>
          <w:sz w:val="16"/>
          <w:szCs w:val="16"/>
          <w:lang w:val="es-CO"/>
        </w:rPr>
        <w:t>  […]</w:t>
      </w:r>
    </w:p>
    <w:p w14:paraId="2A237DE3" w14:textId="366F1ED8" w:rsidR="00811F68" w:rsidRPr="00305AB1" w:rsidRDefault="00811F68" w:rsidP="00305AB1">
      <w:pPr>
        <w:pStyle w:val="Textonotapie"/>
        <w:ind w:firstLine="708"/>
        <w:jc w:val="both"/>
        <w:rPr>
          <w:rFonts w:ascii="Verdana" w:hAnsi="Verdana"/>
          <w:sz w:val="16"/>
          <w:szCs w:val="16"/>
        </w:rPr>
      </w:pPr>
      <w:r w:rsidRPr="00305AB1">
        <w:rPr>
          <w:rFonts w:ascii="Verdana" w:hAnsi="Verdana"/>
          <w:sz w:val="16"/>
          <w:szCs w:val="16"/>
          <w:lang w:val="es-CO"/>
        </w:rPr>
        <w:t>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 </w:t>
      </w:r>
    </w:p>
  </w:footnote>
  <w:footnote w:id="13">
    <w:p w14:paraId="17D71CE5" w14:textId="77777777" w:rsidR="00811F68" w:rsidRPr="00305AB1" w:rsidRDefault="00811F68" w:rsidP="00305AB1">
      <w:pPr>
        <w:pStyle w:val="Textonotapie"/>
        <w:ind w:firstLine="708"/>
        <w:jc w:val="both"/>
        <w:rPr>
          <w:rFonts w:ascii="Verdana" w:hAnsi="Verdana"/>
          <w:sz w:val="16"/>
          <w:szCs w:val="16"/>
        </w:rPr>
      </w:pPr>
    </w:p>
    <w:p w14:paraId="7B9990BF" w14:textId="7CF0585C" w:rsidR="00725C02" w:rsidRPr="00305AB1" w:rsidRDefault="00725C02" w:rsidP="00305AB1">
      <w:pPr>
        <w:pStyle w:val="Textonotapie"/>
        <w:ind w:firstLine="708"/>
        <w:jc w:val="both"/>
        <w:rPr>
          <w:rFonts w:ascii="Verdana" w:hAnsi="Verdana"/>
          <w:sz w:val="16"/>
          <w:szCs w:val="16"/>
        </w:rPr>
      </w:pPr>
      <w:r w:rsidRPr="00305AB1">
        <w:rPr>
          <w:rStyle w:val="Refdenotaalpie"/>
          <w:rFonts w:ascii="Verdana" w:hAnsi="Verdana"/>
          <w:sz w:val="16"/>
          <w:szCs w:val="16"/>
        </w:rPr>
        <w:footnoteRef/>
      </w:r>
      <w:r w:rsidRPr="00305AB1">
        <w:rPr>
          <w:rFonts w:ascii="Verdana" w:hAnsi="Verdana"/>
          <w:sz w:val="16"/>
          <w:szCs w:val="16"/>
        </w:rPr>
        <w:t xml:space="preserve"> </w:t>
      </w:r>
      <w:r w:rsidR="00811F68" w:rsidRPr="00305AB1">
        <w:rPr>
          <w:rFonts w:ascii="Verdana" w:hAnsi="Verdana"/>
          <w:sz w:val="16"/>
          <w:szCs w:val="16"/>
        </w:rPr>
        <w:t>“</w:t>
      </w:r>
      <w:r w:rsidR="00811F68" w:rsidRPr="00305AB1">
        <w:rPr>
          <w:rFonts w:ascii="Verdana" w:hAnsi="Verdana"/>
          <w:sz w:val="16"/>
          <w:szCs w:val="16"/>
          <w:lang w:val="es-CO"/>
        </w:rPr>
        <w:t>Artículo 28. De la interpretación de las reglas contractuales.</w:t>
      </w:r>
      <w:r w:rsidR="00811F68" w:rsidRPr="00305AB1">
        <w:rPr>
          <w:rFonts w:ascii="Verdana" w:hAnsi="Verdana"/>
          <w:b/>
          <w:bCs/>
          <w:sz w:val="16"/>
          <w:szCs w:val="16"/>
          <w:lang w:val="es-CO"/>
        </w:rPr>
        <w:t> </w:t>
      </w:r>
      <w:r w:rsidR="006F4826" w:rsidRPr="00305AB1">
        <w:rPr>
          <w:rFonts w:ascii="Verdana" w:hAnsi="Verdana"/>
          <w:sz w:val="16"/>
          <w:szCs w:val="16"/>
          <w:lang w:val="es-CO"/>
        </w:rPr>
        <w:t>En la interpretación de las normas sobre contratos estatales, relativas a procedimientos de selección y escogencia de contratistas y en la de las cláusulas y estipulaciones de los contratos, se tendrá en consideración los fines y los principios de que trata esta ley, los mandatos de la buena fe y la igualdad y equilibrio entre prestaciones y derechos que caracteriza a los contratos conmutativos</w:t>
      </w:r>
      <w:r w:rsidR="00811F68" w:rsidRPr="00305AB1">
        <w:rPr>
          <w:rFonts w:ascii="Verdana" w:hAnsi="Verdana"/>
          <w:sz w:val="16"/>
          <w:szCs w:val="16"/>
          <w:lang w:val="es-CO"/>
        </w:rPr>
        <w:t>”</w:t>
      </w:r>
      <w:r w:rsidR="006F4826" w:rsidRPr="00305AB1">
        <w:rPr>
          <w:rFonts w:ascii="Verdana" w:hAnsi="Verdana"/>
          <w:sz w:val="16"/>
          <w:szCs w:val="16"/>
          <w:lang w:val="es-CO"/>
        </w:rPr>
        <w:t>. </w:t>
      </w:r>
    </w:p>
  </w:footnote>
  <w:footnote w:id="14">
    <w:p w14:paraId="45D917E2" w14:textId="77777777" w:rsidR="00452F92" w:rsidRPr="00305AB1" w:rsidRDefault="00452F92" w:rsidP="00305AB1">
      <w:pPr>
        <w:pStyle w:val="Textonotapie"/>
        <w:ind w:firstLine="708"/>
        <w:jc w:val="both"/>
        <w:rPr>
          <w:rFonts w:ascii="Verdana" w:hAnsi="Verdana"/>
          <w:sz w:val="16"/>
          <w:szCs w:val="16"/>
        </w:rPr>
      </w:pPr>
    </w:p>
    <w:p w14:paraId="67B87EA4" w14:textId="66953841" w:rsidR="00452F92" w:rsidRPr="00305AB1" w:rsidRDefault="00452F92" w:rsidP="00305AB1">
      <w:pPr>
        <w:pStyle w:val="Textonotapie"/>
        <w:ind w:firstLine="708"/>
        <w:jc w:val="both"/>
        <w:rPr>
          <w:rFonts w:ascii="Verdana" w:hAnsi="Verdana"/>
          <w:sz w:val="16"/>
          <w:szCs w:val="16"/>
        </w:rPr>
      </w:pPr>
      <w:r w:rsidRPr="00305AB1">
        <w:rPr>
          <w:rStyle w:val="Refdenotaalpie"/>
          <w:rFonts w:ascii="Verdana" w:hAnsi="Verdana"/>
          <w:sz w:val="16"/>
          <w:szCs w:val="16"/>
        </w:rPr>
        <w:footnoteRef/>
      </w:r>
      <w:r w:rsidRPr="00305AB1">
        <w:rPr>
          <w:rFonts w:ascii="Verdana" w:hAnsi="Verdana"/>
          <w:sz w:val="16"/>
          <w:szCs w:val="16"/>
        </w:rPr>
        <w:t xml:space="preserve"> CONSEJO DE ESTADO, Sección Tercera, Sentencia del 29 de enero de 2004, C.P. Alier Eduardo Hernández Enríquez, Exp. No. 10.779.  </w:t>
      </w:r>
    </w:p>
  </w:footnote>
  <w:footnote w:id="15">
    <w:p w14:paraId="53E04B40" w14:textId="662379D0" w:rsidR="008B7865" w:rsidRPr="00BD704E" w:rsidRDefault="008B7865" w:rsidP="00452F92">
      <w:pPr>
        <w:pStyle w:val="Textonotapie"/>
        <w:ind w:firstLine="708"/>
        <w:jc w:val="both"/>
        <w:rPr>
          <w:rFonts w:ascii="Verdana" w:hAnsi="Verdana"/>
          <w:sz w:val="16"/>
          <w:szCs w:val="16"/>
        </w:rPr>
      </w:pPr>
      <w:r w:rsidRPr="00305AB1">
        <w:rPr>
          <w:rStyle w:val="Refdenotaalpie"/>
          <w:rFonts w:ascii="Verdana" w:hAnsi="Verdana"/>
          <w:sz w:val="16"/>
          <w:szCs w:val="16"/>
        </w:rPr>
        <w:footnoteRef/>
      </w:r>
      <w:r w:rsidRPr="00305AB1">
        <w:rPr>
          <w:rFonts w:ascii="Verdana" w:hAnsi="Verdana"/>
          <w:sz w:val="16"/>
          <w:szCs w:val="16"/>
        </w:rPr>
        <w:t xml:space="preserve"> </w:t>
      </w:r>
      <w:r w:rsidR="005A6AE9" w:rsidRPr="00BD704E">
        <w:rPr>
          <w:rFonts w:ascii="Verdana" w:hAnsi="Verdana"/>
          <w:sz w:val="16"/>
          <w:szCs w:val="16"/>
        </w:rPr>
        <w:t>CONSEJO DE ESTADO</w:t>
      </w:r>
      <w:r w:rsidRPr="00305AB1">
        <w:rPr>
          <w:rFonts w:ascii="Verdana" w:hAnsi="Verdana"/>
          <w:sz w:val="16"/>
          <w:szCs w:val="16"/>
        </w:rPr>
        <w:t xml:space="preserve">, Sección Tercera, Sentencia del 10 de marzo de 2011, </w:t>
      </w:r>
      <w:r w:rsidR="00AE3AFA" w:rsidRPr="00305AB1">
        <w:rPr>
          <w:rFonts w:ascii="Verdana" w:hAnsi="Verdana"/>
          <w:sz w:val="16"/>
          <w:szCs w:val="16"/>
        </w:rPr>
        <w:t>C.P. Danilo Rojas Betancourth, Exp. No. 15</w:t>
      </w:r>
      <w:r w:rsidR="00786C1B" w:rsidRPr="00305AB1">
        <w:rPr>
          <w:rFonts w:ascii="Verdana" w:hAnsi="Verdana"/>
          <w:sz w:val="16"/>
          <w:szCs w:val="16"/>
        </w:rPr>
        <w:t>.666.</w:t>
      </w:r>
      <w:r w:rsidRPr="00305AB1">
        <w:rPr>
          <w:rFonts w:ascii="Verdana" w:hAnsi="Verdana"/>
          <w:sz w:val="16"/>
          <w:szCs w:val="16"/>
        </w:rPr>
        <w:t xml:space="preserve"> </w:t>
      </w:r>
    </w:p>
    <w:p w14:paraId="3227B5CF" w14:textId="77777777" w:rsidR="006D3E0B" w:rsidRPr="00305AB1" w:rsidRDefault="006D3E0B" w:rsidP="00305AB1">
      <w:pPr>
        <w:pStyle w:val="Textonotapie"/>
        <w:ind w:firstLine="708"/>
        <w:jc w:val="both"/>
        <w:rPr>
          <w:rFonts w:ascii="Verdana" w:hAnsi="Verdana"/>
          <w:sz w:val="16"/>
          <w:szCs w:val="16"/>
        </w:rPr>
      </w:pPr>
    </w:p>
  </w:footnote>
  <w:footnote w:id="16">
    <w:p w14:paraId="58268862" w14:textId="506AF834" w:rsidR="006D3E0B" w:rsidRPr="00305AB1" w:rsidRDefault="006D3E0B" w:rsidP="00305AB1">
      <w:pPr>
        <w:pStyle w:val="Textonotapie"/>
        <w:ind w:firstLine="709"/>
        <w:jc w:val="both"/>
        <w:rPr>
          <w:rFonts w:ascii="Verdana" w:hAnsi="Verdana"/>
          <w:sz w:val="16"/>
          <w:szCs w:val="16"/>
        </w:rPr>
      </w:pPr>
      <w:r w:rsidRPr="00305AB1">
        <w:rPr>
          <w:rStyle w:val="Refdenotaalpie"/>
          <w:rFonts w:ascii="Verdana" w:hAnsi="Verdana"/>
          <w:sz w:val="16"/>
          <w:szCs w:val="16"/>
        </w:rPr>
        <w:footnoteRef/>
      </w:r>
      <w:r w:rsidRPr="00305AB1">
        <w:rPr>
          <w:rFonts w:ascii="Verdana" w:hAnsi="Verdana"/>
          <w:sz w:val="16"/>
          <w:szCs w:val="16"/>
        </w:rPr>
        <w:t xml:space="preserve"> </w:t>
      </w:r>
      <w:r w:rsidR="004D0C6E" w:rsidRPr="00305AB1">
        <w:rPr>
          <w:rFonts w:ascii="Verdana" w:hAnsi="Verdana"/>
          <w:sz w:val="16"/>
          <w:szCs w:val="16"/>
        </w:rPr>
        <w:t>GONZÁLEZ LÓPEZ, Edgar, Los contratos estatales. El proceso de selec</w:t>
      </w:r>
      <w:r w:rsidR="00DE14E0" w:rsidRPr="00305AB1">
        <w:rPr>
          <w:rFonts w:ascii="Verdana" w:hAnsi="Verdana"/>
          <w:sz w:val="16"/>
          <w:szCs w:val="16"/>
        </w:rPr>
        <w:t>ción y la modificación de los contratos,</w:t>
      </w:r>
      <w:r w:rsidR="0005238C" w:rsidRPr="00305AB1">
        <w:rPr>
          <w:rFonts w:ascii="Verdana" w:hAnsi="Verdana"/>
          <w:sz w:val="16"/>
          <w:szCs w:val="16"/>
        </w:rPr>
        <w:t xml:space="preserve"> Bogotá,</w:t>
      </w:r>
      <w:r w:rsidR="00DE14E0" w:rsidRPr="00305AB1">
        <w:rPr>
          <w:rFonts w:ascii="Verdana" w:hAnsi="Verdana"/>
          <w:sz w:val="16"/>
          <w:szCs w:val="16"/>
        </w:rPr>
        <w:t xml:space="preserve"> </w:t>
      </w:r>
      <w:r w:rsidR="00BA28E5" w:rsidRPr="00305AB1">
        <w:rPr>
          <w:rFonts w:ascii="Verdana" w:hAnsi="Verdana"/>
          <w:sz w:val="16"/>
          <w:szCs w:val="16"/>
        </w:rPr>
        <w:t>Universidad Externado de Colombia, Ed. Tirant l</w:t>
      </w:r>
      <w:r w:rsidR="00B94DE9" w:rsidRPr="00305AB1">
        <w:rPr>
          <w:rFonts w:ascii="Verdana" w:hAnsi="Verdana"/>
          <w:sz w:val="16"/>
          <w:szCs w:val="16"/>
        </w:rPr>
        <w:t>o Blanch</w:t>
      </w:r>
      <w:r w:rsidR="0005238C" w:rsidRPr="00305AB1">
        <w:rPr>
          <w:rFonts w:ascii="Verdana" w:hAnsi="Verdana"/>
          <w:sz w:val="16"/>
          <w:szCs w:val="16"/>
        </w:rPr>
        <w:t>, 2023, pp</w:t>
      </w:r>
      <w:r w:rsidR="00BD704E" w:rsidRPr="00305AB1">
        <w:rPr>
          <w:rFonts w:ascii="Verdana" w:hAnsi="Verdana"/>
          <w:sz w:val="16"/>
          <w:szCs w:val="16"/>
        </w:rPr>
        <w:t>. 813-814.</w:t>
      </w:r>
    </w:p>
  </w:footnote>
  <w:footnote w:id="17">
    <w:p w14:paraId="4B5EA061" w14:textId="745D29C3" w:rsidR="00F74FB8" w:rsidRDefault="0012052F" w:rsidP="00305AB1">
      <w:pPr>
        <w:pStyle w:val="Textonotapie"/>
        <w:ind w:firstLine="708"/>
      </w:pPr>
      <w:r>
        <w:rPr>
          <w:rStyle w:val="Refdenotaalpie"/>
        </w:rPr>
        <w:footnoteRef/>
      </w:r>
      <w:r>
        <w:t xml:space="preserve"> </w:t>
      </w:r>
      <w:r w:rsidR="00F74FB8" w:rsidRPr="00BD704E">
        <w:rPr>
          <w:rFonts w:ascii="Verdana" w:hAnsi="Verdana"/>
          <w:sz w:val="16"/>
          <w:szCs w:val="16"/>
        </w:rPr>
        <w:t>CONSEJO DE ESTADO</w:t>
      </w:r>
      <w:r w:rsidR="00F74FB8">
        <w:rPr>
          <w:rFonts w:ascii="Verdana" w:hAnsi="Verdana"/>
          <w:sz w:val="16"/>
          <w:szCs w:val="16"/>
        </w:rPr>
        <w:t xml:space="preserve">, </w:t>
      </w:r>
      <w:r w:rsidR="00E032F1">
        <w:rPr>
          <w:rFonts w:ascii="Verdana" w:hAnsi="Verdana"/>
          <w:sz w:val="16"/>
          <w:szCs w:val="16"/>
        </w:rPr>
        <w:t>Sección Tercera, Senten</w:t>
      </w:r>
      <w:r w:rsidR="004453A2">
        <w:rPr>
          <w:rFonts w:ascii="Verdana" w:hAnsi="Verdana"/>
          <w:sz w:val="16"/>
          <w:szCs w:val="16"/>
        </w:rPr>
        <w:t>cia del 3 de mayo de 1999, Exp. No. 12344</w:t>
      </w:r>
      <w:r w:rsidR="00591B13">
        <w:rPr>
          <w:rFonts w:ascii="Verdana" w:hAnsi="Verdana"/>
          <w:sz w:val="16"/>
          <w:szCs w:val="16"/>
        </w:rPr>
        <w:t xml:space="preserve">, C.P. Daniel Suarez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9801A1F"/>
    <w:multiLevelType w:val="hybridMultilevel"/>
    <w:tmpl w:val="D9F4F5F8"/>
    <w:lvl w:ilvl="0" w:tplc="64F6D05C">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0BC35ECC"/>
    <w:multiLevelType w:val="hybridMultilevel"/>
    <w:tmpl w:val="B5F2A136"/>
    <w:lvl w:ilvl="0" w:tplc="4C805928">
      <w:start w:val="1"/>
      <w:numFmt w:val="bullet"/>
      <w:lvlText w:val=""/>
      <w:lvlJc w:val="left"/>
      <w:pPr>
        <w:ind w:left="1072" w:hanging="360"/>
      </w:pPr>
      <w:rPr>
        <w:rFonts w:ascii="Symbol" w:hAnsi="Symbol" w:hint="default"/>
        <w:color w:val="auto"/>
      </w:rPr>
    </w:lvl>
    <w:lvl w:ilvl="1" w:tplc="240A0003" w:tentative="1">
      <w:start w:val="1"/>
      <w:numFmt w:val="bullet"/>
      <w:lvlText w:val="o"/>
      <w:lvlJc w:val="left"/>
      <w:pPr>
        <w:ind w:left="1792" w:hanging="360"/>
      </w:pPr>
      <w:rPr>
        <w:rFonts w:ascii="Courier New" w:hAnsi="Courier New" w:cs="Courier New" w:hint="default"/>
      </w:rPr>
    </w:lvl>
    <w:lvl w:ilvl="2" w:tplc="240A0005" w:tentative="1">
      <w:start w:val="1"/>
      <w:numFmt w:val="bullet"/>
      <w:lvlText w:val=""/>
      <w:lvlJc w:val="left"/>
      <w:pPr>
        <w:ind w:left="2512" w:hanging="360"/>
      </w:pPr>
      <w:rPr>
        <w:rFonts w:ascii="Wingdings" w:hAnsi="Wingdings" w:hint="default"/>
      </w:rPr>
    </w:lvl>
    <w:lvl w:ilvl="3" w:tplc="240A0001" w:tentative="1">
      <w:start w:val="1"/>
      <w:numFmt w:val="bullet"/>
      <w:lvlText w:val=""/>
      <w:lvlJc w:val="left"/>
      <w:pPr>
        <w:ind w:left="3232" w:hanging="360"/>
      </w:pPr>
      <w:rPr>
        <w:rFonts w:ascii="Symbol" w:hAnsi="Symbol" w:hint="default"/>
      </w:rPr>
    </w:lvl>
    <w:lvl w:ilvl="4" w:tplc="240A0003" w:tentative="1">
      <w:start w:val="1"/>
      <w:numFmt w:val="bullet"/>
      <w:lvlText w:val="o"/>
      <w:lvlJc w:val="left"/>
      <w:pPr>
        <w:ind w:left="3952" w:hanging="360"/>
      </w:pPr>
      <w:rPr>
        <w:rFonts w:ascii="Courier New" w:hAnsi="Courier New" w:cs="Courier New" w:hint="default"/>
      </w:rPr>
    </w:lvl>
    <w:lvl w:ilvl="5" w:tplc="240A0005" w:tentative="1">
      <w:start w:val="1"/>
      <w:numFmt w:val="bullet"/>
      <w:lvlText w:val=""/>
      <w:lvlJc w:val="left"/>
      <w:pPr>
        <w:ind w:left="4672" w:hanging="360"/>
      </w:pPr>
      <w:rPr>
        <w:rFonts w:ascii="Wingdings" w:hAnsi="Wingdings" w:hint="default"/>
      </w:rPr>
    </w:lvl>
    <w:lvl w:ilvl="6" w:tplc="240A0001" w:tentative="1">
      <w:start w:val="1"/>
      <w:numFmt w:val="bullet"/>
      <w:lvlText w:val=""/>
      <w:lvlJc w:val="left"/>
      <w:pPr>
        <w:ind w:left="5392" w:hanging="360"/>
      </w:pPr>
      <w:rPr>
        <w:rFonts w:ascii="Symbol" w:hAnsi="Symbol" w:hint="default"/>
      </w:rPr>
    </w:lvl>
    <w:lvl w:ilvl="7" w:tplc="240A0003" w:tentative="1">
      <w:start w:val="1"/>
      <w:numFmt w:val="bullet"/>
      <w:lvlText w:val="o"/>
      <w:lvlJc w:val="left"/>
      <w:pPr>
        <w:ind w:left="6112" w:hanging="360"/>
      </w:pPr>
      <w:rPr>
        <w:rFonts w:ascii="Courier New" w:hAnsi="Courier New" w:cs="Courier New" w:hint="default"/>
      </w:rPr>
    </w:lvl>
    <w:lvl w:ilvl="8" w:tplc="240A0005" w:tentative="1">
      <w:start w:val="1"/>
      <w:numFmt w:val="bullet"/>
      <w:lvlText w:val=""/>
      <w:lvlJc w:val="left"/>
      <w:pPr>
        <w:ind w:left="6832" w:hanging="360"/>
      </w:pPr>
      <w:rPr>
        <w:rFonts w:ascii="Wingdings" w:hAnsi="Wingdings" w:hint="default"/>
      </w:rPr>
    </w:lvl>
  </w:abstractNum>
  <w:abstractNum w:abstractNumId="6" w15:restartNumberingAfterBreak="0">
    <w:nsid w:val="0F612765"/>
    <w:multiLevelType w:val="hybridMultilevel"/>
    <w:tmpl w:val="4B067DF2"/>
    <w:lvl w:ilvl="0" w:tplc="64F6D05C">
      <w:start w:val="1"/>
      <w:numFmt w:val="bullet"/>
      <w:lvlText w:val=""/>
      <w:lvlJc w:val="left"/>
      <w:pPr>
        <w:ind w:left="144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830A5"/>
    <w:multiLevelType w:val="hybridMultilevel"/>
    <w:tmpl w:val="29BC7B86"/>
    <w:lvl w:ilvl="0" w:tplc="64F6D05C">
      <w:start w:val="1"/>
      <w:numFmt w:val="bullet"/>
      <w:lvlText w:val=""/>
      <w:lvlJc w:val="left"/>
      <w:pPr>
        <w:ind w:left="144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2E6842"/>
    <w:multiLevelType w:val="hybridMultilevel"/>
    <w:tmpl w:val="CB389A64"/>
    <w:lvl w:ilvl="0" w:tplc="4C805928">
      <w:start w:val="1"/>
      <w:numFmt w:val="bullet"/>
      <w:lvlText w:val=""/>
      <w:lvlJc w:val="left"/>
      <w:pPr>
        <w:ind w:left="1424" w:hanging="360"/>
      </w:pPr>
      <w:rPr>
        <w:rFonts w:ascii="Symbol" w:hAnsi="Symbol" w:hint="default"/>
        <w:color w:val="auto"/>
      </w:rPr>
    </w:lvl>
    <w:lvl w:ilvl="1" w:tplc="240A0003" w:tentative="1">
      <w:start w:val="1"/>
      <w:numFmt w:val="bullet"/>
      <w:lvlText w:val="o"/>
      <w:lvlJc w:val="left"/>
      <w:pPr>
        <w:ind w:left="1792" w:hanging="360"/>
      </w:pPr>
      <w:rPr>
        <w:rFonts w:ascii="Courier New" w:hAnsi="Courier New" w:cs="Courier New" w:hint="default"/>
      </w:rPr>
    </w:lvl>
    <w:lvl w:ilvl="2" w:tplc="240A0005" w:tentative="1">
      <w:start w:val="1"/>
      <w:numFmt w:val="bullet"/>
      <w:lvlText w:val=""/>
      <w:lvlJc w:val="left"/>
      <w:pPr>
        <w:ind w:left="2512" w:hanging="360"/>
      </w:pPr>
      <w:rPr>
        <w:rFonts w:ascii="Wingdings" w:hAnsi="Wingdings" w:hint="default"/>
      </w:rPr>
    </w:lvl>
    <w:lvl w:ilvl="3" w:tplc="240A0001" w:tentative="1">
      <w:start w:val="1"/>
      <w:numFmt w:val="bullet"/>
      <w:lvlText w:val=""/>
      <w:lvlJc w:val="left"/>
      <w:pPr>
        <w:ind w:left="3232" w:hanging="360"/>
      </w:pPr>
      <w:rPr>
        <w:rFonts w:ascii="Symbol" w:hAnsi="Symbol" w:hint="default"/>
      </w:rPr>
    </w:lvl>
    <w:lvl w:ilvl="4" w:tplc="240A0003" w:tentative="1">
      <w:start w:val="1"/>
      <w:numFmt w:val="bullet"/>
      <w:lvlText w:val="o"/>
      <w:lvlJc w:val="left"/>
      <w:pPr>
        <w:ind w:left="3952" w:hanging="360"/>
      </w:pPr>
      <w:rPr>
        <w:rFonts w:ascii="Courier New" w:hAnsi="Courier New" w:cs="Courier New" w:hint="default"/>
      </w:rPr>
    </w:lvl>
    <w:lvl w:ilvl="5" w:tplc="240A0005" w:tentative="1">
      <w:start w:val="1"/>
      <w:numFmt w:val="bullet"/>
      <w:lvlText w:val=""/>
      <w:lvlJc w:val="left"/>
      <w:pPr>
        <w:ind w:left="4672" w:hanging="360"/>
      </w:pPr>
      <w:rPr>
        <w:rFonts w:ascii="Wingdings" w:hAnsi="Wingdings" w:hint="default"/>
      </w:rPr>
    </w:lvl>
    <w:lvl w:ilvl="6" w:tplc="240A0001" w:tentative="1">
      <w:start w:val="1"/>
      <w:numFmt w:val="bullet"/>
      <w:lvlText w:val=""/>
      <w:lvlJc w:val="left"/>
      <w:pPr>
        <w:ind w:left="5392" w:hanging="360"/>
      </w:pPr>
      <w:rPr>
        <w:rFonts w:ascii="Symbol" w:hAnsi="Symbol" w:hint="default"/>
      </w:rPr>
    </w:lvl>
    <w:lvl w:ilvl="7" w:tplc="240A0003" w:tentative="1">
      <w:start w:val="1"/>
      <w:numFmt w:val="bullet"/>
      <w:lvlText w:val="o"/>
      <w:lvlJc w:val="left"/>
      <w:pPr>
        <w:ind w:left="6112" w:hanging="360"/>
      </w:pPr>
      <w:rPr>
        <w:rFonts w:ascii="Courier New" w:hAnsi="Courier New" w:cs="Courier New" w:hint="default"/>
      </w:rPr>
    </w:lvl>
    <w:lvl w:ilvl="8" w:tplc="240A0005" w:tentative="1">
      <w:start w:val="1"/>
      <w:numFmt w:val="bullet"/>
      <w:lvlText w:val=""/>
      <w:lvlJc w:val="left"/>
      <w:pPr>
        <w:ind w:left="6832" w:hanging="360"/>
      </w:pPr>
      <w:rPr>
        <w:rFonts w:ascii="Wingdings" w:hAnsi="Wingdings" w:hint="default"/>
      </w:rPr>
    </w:lvl>
  </w:abstractNum>
  <w:abstractNum w:abstractNumId="1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726F5"/>
    <w:multiLevelType w:val="hybridMultilevel"/>
    <w:tmpl w:val="F04AE9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9" w15:restartNumberingAfterBreak="0">
    <w:nsid w:val="590D2197"/>
    <w:multiLevelType w:val="hybridMultilevel"/>
    <w:tmpl w:val="91FE68FE"/>
    <w:lvl w:ilvl="0" w:tplc="4C805928">
      <w:start w:val="1"/>
      <w:numFmt w:val="bullet"/>
      <w:lvlText w:val=""/>
      <w:lvlJc w:val="left"/>
      <w:pPr>
        <w:ind w:left="2512" w:hanging="360"/>
      </w:pPr>
      <w:rPr>
        <w:rFonts w:ascii="Symbol" w:hAnsi="Symbol" w:hint="default"/>
        <w:color w:val="auto"/>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1" w15:restartNumberingAfterBreak="0">
    <w:nsid w:val="64BA04F6"/>
    <w:multiLevelType w:val="hybridMultilevel"/>
    <w:tmpl w:val="48EE6046"/>
    <w:lvl w:ilvl="0" w:tplc="64F6D05C">
      <w:start w:val="1"/>
      <w:numFmt w:val="bullet"/>
      <w:lvlText w:val=""/>
      <w:lvlJc w:val="left"/>
      <w:pPr>
        <w:ind w:left="144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C10BFB"/>
    <w:multiLevelType w:val="hybridMultilevel"/>
    <w:tmpl w:val="A01CDCA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F51C52"/>
    <w:multiLevelType w:val="hybridMultilevel"/>
    <w:tmpl w:val="7220B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3D3B1E"/>
    <w:multiLevelType w:val="hybridMultilevel"/>
    <w:tmpl w:val="ECB6985A"/>
    <w:lvl w:ilvl="0" w:tplc="64F6D05C">
      <w:start w:val="1"/>
      <w:numFmt w:val="bullet"/>
      <w:lvlText w:val=""/>
      <w:lvlJc w:val="left"/>
      <w:pPr>
        <w:ind w:left="1440" w:hanging="360"/>
      </w:pPr>
      <w:rPr>
        <w:rFonts w:ascii="Symbol" w:hAnsi="Symbol"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7903438C"/>
    <w:multiLevelType w:val="hybridMultilevel"/>
    <w:tmpl w:val="4EF4579C"/>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0" w15:restartNumberingAfterBreak="0">
    <w:nsid w:val="7A3A4E73"/>
    <w:multiLevelType w:val="hybridMultilevel"/>
    <w:tmpl w:val="B57C07DE"/>
    <w:lvl w:ilvl="0" w:tplc="64F6D05C">
      <w:start w:val="1"/>
      <w:numFmt w:val="bullet"/>
      <w:lvlText w:val=""/>
      <w:lvlJc w:val="left"/>
      <w:pPr>
        <w:ind w:left="144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5"/>
  </w:num>
  <w:num w:numId="7">
    <w:abstractNumId w:val="13"/>
  </w:num>
  <w:num w:numId="8">
    <w:abstractNumId w:val="24"/>
  </w:num>
  <w:num w:numId="9">
    <w:abstractNumId w:val="15"/>
  </w:num>
  <w:num w:numId="10">
    <w:abstractNumId w:val="23"/>
  </w:num>
  <w:num w:numId="11">
    <w:abstractNumId w:val="16"/>
  </w:num>
  <w:num w:numId="12">
    <w:abstractNumId w:val="1"/>
  </w:num>
  <w:num w:numId="13">
    <w:abstractNumId w:val="8"/>
  </w:num>
  <w:num w:numId="14">
    <w:abstractNumId w:val="26"/>
  </w:num>
  <w:num w:numId="15">
    <w:abstractNumId w:val="20"/>
  </w:num>
  <w:num w:numId="16">
    <w:abstractNumId w:val="7"/>
  </w:num>
  <w:num w:numId="17">
    <w:abstractNumId w:val="0"/>
  </w:num>
  <w:num w:numId="18">
    <w:abstractNumId w:val="18"/>
  </w:num>
  <w:num w:numId="19">
    <w:abstractNumId w:val="2"/>
  </w:num>
  <w:num w:numId="20">
    <w:abstractNumId w:val="12"/>
  </w:num>
  <w:num w:numId="21">
    <w:abstractNumId w:val="17"/>
  </w:num>
  <w:num w:numId="22">
    <w:abstractNumId w:val="28"/>
  </w:num>
  <w:num w:numId="23">
    <w:abstractNumId w:val="21"/>
  </w:num>
  <w:num w:numId="24">
    <w:abstractNumId w:val="30"/>
  </w:num>
  <w:num w:numId="25">
    <w:abstractNumId w:val="6"/>
  </w:num>
  <w:num w:numId="26">
    <w:abstractNumId w:val="9"/>
  </w:num>
  <w:num w:numId="27">
    <w:abstractNumId w:val="29"/>
  </w:num>
  <w:num w:numId="28">
    <w:abstractNumId w:val="4"/>
  </w:num>
  <w:num w:numId="29">
    <w:abstractNumId w:val="22"/>
  </w:num>
  <w:num w:numId="30">
    <w:abstractNumId w:val="27"/>
  </w:num>
  <w:num w:numId="31">
    <w:abstractNumId w:val="5"/>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10F"/>
    <w:rsid w:val="00040F41"/>
    <w:rsid w:val="00041829"/>
    <w:rsid w:val="00045EFA"/>
    <w:rsid w:val="000471DB"/>
    <w:rsid w:val="0005238C"/>
    <w:rsid w:val="00061B2A"/>
    <w:rsid w:val="00082362"/>
    <w:rsid w:val="000915D3"/>
    <w:rsid w:val="00097A4C"/>
    <w:rsid w:val="000A683E"/>
    <w:rsid w:val="000B19B9"/>
    <w:rsid w:val="000B4BD3"/>
    <w:rsid w:val="000D0334"/>
    <w:rsid w:val="000E57BB"/>
    <w:rsid w:val="000F6486"/>
    <w:rsid w:val="0012052F"/>
    <w:rsid w:val="00125105"/>
    <w:rsid w:val="00127233"/>
    <w:rsid w:val="00151392"/>
    <w:rsid w:val="00153E82"/>
    <w:rsid w:val="001544D4"/>
    <w:rsid w:val="001963DB"/>
    <w:rsid w:val="001A0A78"/>
    <w:rsid w:val="001A1B5F"/>
    <w:rsid w:val="001C6599"/>
    <w:rsid w:val="001D1DD8"/>
    <w:rsid w:val="001E4177"/>
    <w:rsid w:val="001F06F4"/>
    <w:rsid w:val="001F6763"/>
    <w:rsid w:val="001F7DC6"/>
    <w:rsid w:val="002001B0"/>
    <w:rsid w:val="0021013A"/>
    <w:rsid w:val="00215AAE"/>
    <w:rsid w:val="0023006B"/>
    <w:rsid w:val="00230752"/>
    <w:rsid w:val="002326D6"/>
    <w:rsid w:val="0023526F"/>
    <w:rsid w:val="002421BB"/>
    <w:rsid w:val="00250DC2"/>
    <w:rsid w:val="0025796E"/>
    <w:rsid w:val="00263A01"/>
    <w:rsid w:val="002707A2"/>
    <w:rsid w:val="0028212F"/>
    <w:rsid w:val="00287D3D"/>
    <w:rsid w:val="002951A0"/>
    <w:rsid w:val="002962BC"/>
    <w:rsid w:val="002A093D"/>
    <w:rsid w:val="002A0DD0"/>
    <w:rsid w:val="002A35B1"/>
    <w:rsid w:val="002A43AB"/>
    <w:rsid w:val="002A49AC"/>
    <w:rsid w:val="002A64FD"/>
    <w:rsid w:val="002C29AA"/>
    <w:rsid w:val="002C2C27"/>
    <w:rsid w:val="002C5611"/>
    <w:rsid w:val="002C7A84"/>
    <w:rsid w:val="002D4226"/>
    <w:rsid w:val="002E4FD9"/>
    <w:rsid w:val="002F27F3"/>
    <w:rsid w:val="00305AB1"/>
    <w:rsid w:val="00315F3F"/>
    <w:rsid w:val="003169F7"/>
    <w:rsid w:val="00322A85"/>
    <w:rsid w:val="00324168"/>
    <w:rsid w:val="003323E6"/>
    <w:rsid w:val="00333DA1"/>
    <w:rsid w:val="003379E1"/>
    <w:rsid w:val="00344143"/>
    <w:rsid w:val="003448F4"/>
    <w:rsid w:val="0036002A"/>
    <w:rsid w:val="00374F5E"/>
    <w:rsid w:val="00377E3E"/>
    <w:rsid w:val="003A0FA0"/>
    <w:rsid w:val="003A26D1"/>
    <w:rsid w:val="003A779E"/>
    <w:rsid w:val="003B0316"/>
    <w:rsid w:val="003B64E9"/>
    <w:rsid w:val="003C154F"/>
    <w:rsid w:val="003D0F4D"/>
    <w:rsid w:val="003D33C1"/>
    <w:rsid w:val="003D5B0D"/>
    <w:rsid w:val="003D7085"/>
    <w:rsid w:val="003E0499"/>
    <w:rsid w:val="003E3CA5"/>
    <w:rsid w:val="003E7555"/>
    <w:rsid w:val="003F3941"/>
    <w:rsid w:val="003F6928"/>
    <w:rsid w:val="00406575"/>
    <w:rsid w:val="00406B4A"/>
    <w:rsid w:val="00410401"/>
    <w:rsid w:val="00412060"/>
    <w:rsid w:val="00426F5A"/>
    <w:rsid w:val="0042722E"/>
    <w:rsid w:val="004412D0"/>
    <w:rsid w:val="0044528D"/>
    <w:rsid w:val="004453A2"/>
    <w:rsid w:val="00451244"/>
    <w:rsid w:val="00452F92"/>
    <w:rsid w:val="00465B9F"/>
    <w:rsid w:val="00492C3D"/>
    <w:rsid w:val="004A1847"/>
    <w:rsid w:val="004A305D"/>
    <w:rsid w:val="004A53BB"/>
    <w:rsid w:val="004B012F"/>
    <w:rsid w:val="004D0C6E"/>
    <w:rsid w:val="004D49C5"/>
    <w:rsid w:val="004E137F"/>
    <w:rsid w:val="004E3C59"/>
    <w:rsid w:val="004E4943"/>
    <w:rsid w:val="004F21C4"/>
    <w:rsid w:val="004F685F"/>
    <w:rsid w:val="004F7D2C"/>
    <w:rsid w:val="00512D46"/>
    <w:rsid w:val="00513310"/>
    <w:rsid w:val="00524F27"/>
    <w:rsid w:val="00530346"/>
    <w:rsid w:val="005412CA"/>
    <w:rsid w:val="00545BA9"/>
    <w:rsid w:val="005566E8"/>
    <w:rsid w:val="0056492A"/>
    <w:rsid w:val="005673E8"/>
    <w:rsid w:val="00574867"/>
    <w:rsid w:val="005762B9"/>
    <w:rsid w:val="00591460"/>
    <w:rsid w:val="00591B13"/>
    <w:rsid w:val="00592628"/>
    <w:rsid w:val="0059666F"/>
    <w:rsid w:val="005A6AE9"/>
    <w:rsid w:val="005C3777"/>
    <w:rsid w:val="005C5CDC"/>
    <w:rsid w:val="005D476C"/>
    <w:rsid w:val="005E5AA5"/>
    <w:rsid w:val="005F54A1"/>
    <w:rsid w:val="00610812"/>
    <w:rsid w:val="006219F8"/>
    <w:rsid w:val="00622393"/>
    <w:rsid w:val="00632FB6"/>
    <w:rsid w:val="006342A7"/>
    <w:rsid w:val="00650FF7"/>
    <w:rsid w:val="006635AC"/>
    <w:rsid w:val="00665D70"/>
    <w:rsid w:val="00671DAC"/>
    <w:rsid w:val="006732DD"/>
    <w:rsid w:val="00683722"/>
    <w:rsid w:val="00686ACD"/>
    <w:rsid w:val="006900D9"/>
    <w:rsid w:val="00696360"/>
    <w:rsid w:val="006979FC"/>
    <w:rsid w:val="006A33F4"/>
    <w:rsid w:val="006A74CA"/>
    <w:rsid w:val="006D12F8"/>
    <w:rsid w:val="006D3E0B"/>
    <w:rsid w:val="006E3CBD"/>
    <w:rsid w:val="006E5FA8"/>
    <w:rsid w:val="006F4826"/>
    <w:rsid w:val="00700856"/>
    <w:rsid w:val="00706C16"/>
    <w:rsid w:val="00711110"/>
    <w:rsid w:val="00725C02"/>
    <w:rsid w:val="00734540"/>
    <w:rsid w:val="00756841"/>
    <w:rsid w:val="007649AB"/>
    <w:rsid w:val="00771D0C"/>
    <w:rsid w:val="007833AC"/>
    <w:rsid w:val="00783859"/>
    <w:rsid w:val="00786C1B"/>
    <w:rsid w:val="007907E8"/>
    <w:rsid w:val="007B0475"/>
    <w:rsid w:val="007B268C"/>
    <w:rsid w:val="007B3425"/>
    <w:rsid w:val="007B7171"/>
    <w:rsid w:val="007C0C0F"/>
    <w:rsid w:val="007C17BD"/>
    <w:rsid w:val="007C3DC2"/>
    <w:rsid w:val="007C553E"/>
    <w:rsid w:val="007E5497"/>
    <w:rsid w:val="007F48EC"/>
    <w:rsid w:val="007F5E59"/>
    <w:rsid w:val="00806F5F"/>
    <w:rsid w:val="00811F68"/>
    <w:rsid w:val="00820278"/>
    <w:rsid w:val="00824039"/>
    <w:rsid w:val="00836DE3"/>
    <w:rsid w:val="00853033"/>
    <w:rsid w:val="0086389C"/>
    <w:rsid w:val="00874FB9"/>
    <w:rsid w:val="008843B6"/>
    <w:rsid w:val="0088484F"/>
    <w:rsid w:val="00891928"/>
    <w:rsid w:val="008A446D"/>
    <w:rsid w:val="008B26F0"/>
    <w:rsid w:val="008B446E"/>
    <w:rsid w:val="008B7865"/>
    <w:rsid w:val="008C253B"/>
    <w:rsid w:val="008D180B"/>
    <w:rsid w:val="008D61EE"/>
    <w:rsid w:val="008E7CD8"/>
    <w:rsid w:val="008F0EA7"/>
    <w:rsid w:val="008F1AE0"/>
    <w:rsid w:val="009037F0"/>
    <w:rsid w:val="00912399"/>
    <w:rsid w:val="00915BAF"/>
    <w:rsid w:val="00923EEF"/>
    <w:rsid w:val="0092730C"/>
    <w:rsid w:val="00933C2B"/>
    <w:rsid w:val="009371D6"/>
    <w:rsid w:val="00937D66"/>
    <w:rsid w:val="009419F9"/>
    <w:rsid w:val="0095685E"/>
    <w:rsid w:val="00961B09"/>
    <w:rsid w:val="00965334"/>
    <w:rsid w:val="0097093E"/>
    <w:rsid w:val="00971E95"/>
    <w:rsid w:val="00987E58"/>
    <w:rsid w:val="009A0DFA"/>
    <w:rsid w:val="009B2CAF"/>
    <w:rsid w:val="009B2D26"/>
    <w:rsid w:val="009C71FA"/>
    <w:rsid w:val="009C72E7"/>
    <w:rsid w:val="009D3058"/>
    <w:rsid w:val="009D37CD"/>
    <w:rsid w:val="009F3906"/>
    <w:rsid w:val="009F3A13"/>
    <w:rsid w:val="00A122D3"/>
    <w:rsid w:val="00A17F13"/>
    <w:rsid w:val="00A20739"/>
    <w:rsid w:val="00A24DCB"/>
    <w:rsid w:val="00A33C78"/>
    <w:rsid w:val="00A43B44"/>
    <w:rsid w:val="00AA1312"/>
    <w:rsid w:val="00AA1B0D"/>
    <w:rsid w:val="00AB0ADB"/>
    <w:rsid w:val="00AB1DB0"/>
    <w:rsid w:val="00AB22EC"/>
    <w:rsid w:val="00AD17BB"/>
    <w:rsid w:val="00AD4089"/>
    <w:rsid w:val="00AD4950"/>
    <w:rsid w:val="00AE3134"/>
    <w:rsid w:val="00AE3AFA"/>
    <w:rsid w:val="00B01B1A"/>
    <w:rsid w:val="00B037DF"/>
    <w:rsid w:val="00B23917"/>
    <w:rsid w:val="00B42EF0"/>
    <w:rsid w:val="00B438FC"/>
    <w:rsid w:val="00B72CD3"/>
    <w:rsid w:val="00B72FFF"/>
    <w:rsid w:val="00B82EA3"/>
    <w:rsid w:val="00B8784E"/>
    <w:rsid w:val="00B94DE9"/>
    <w:rsid w:val="00B97273"/>
    <w:rsid w:val="00B97580"/>
    <w:rsid w:val="00BA28E5"/>
    <w:rsid w:val="00BC2EAC"/>
    <w:rsid w:val="00BC3D36"/>
    <w:rsid w:val="00BD5DBE"/>
    <w:rsid w:val="00BD704E"/>
    <w:rsid w:val="00BD7F72"/>
    <w:rsid w:val="00BE2CB3"/>
    <w:rsid w:val="00BE4CED"/>
    <w:rsid w:val="00BF2CC4"/>
    <w:rsid w:val="00C03DFE"/>
    <w:rsid w:val="00C04FB3"/>
    <w:rsid w:val="00C13723"/>
    <w:rsid w:val="00C202AA"/>
    <w:rsid w:val="00C2453D"/>
    <w:rsid w:val="00C323F0"/>
    <w:rsid w:val="00C330EB"/>
    <w:rsid w:val="00C65066"/>
    <w:rsid w:val="00C70975"/>
    <w:rsid w:val="00C754BE"/>
    <w:rsid w:val="00C76B1C"/>
    <w:rsid w:val="00CB33C0"/>
    <w:rsid w:val="00CB4DCE"/>
    <w:rsid w:val="00CB6357"/>
    <w:rsid w:val="00CC0AB8"/>
    <w:rsid w:val="00CC1B26"/>
    <w:rsid w:val="00CC7C21"/>
    <w:rsid w:val="00CD1393"/>
    <w:rsid w:val="00CE67FF"/>
    <w:rsid w:val="00D21725"/>
    <w:rsid w:val="00D423A2"/>
    <w:rsid w:val="00D520D8"/>
    <w:rsid w:val="00D60C89"/>
    <w:rsid w:val="00D63AC2"/>
    <w:rsid w:val="00D67131"/>
    <w:rsid w:val="00D7085C"/>
    <w:rsid w:val="00D7383B"/>
    <w:rsid w:val="00D76084"/>
    <w:rsid w:val="00D76B5D"/>
    <w:rsid w:val="00D92F59"/>
    <w:rsid w:val="00DA231B"/>
    <w:rsid w:val="00DA23A0"/>
    <w:rsid w:val="00DB50C0"/>
    <w:rsid w:val="00DC2ADF"/>
    <w:rsid w:val="00DC2C49"/>
    <w:rsid w:val="00DC331D"/>
    <w:rsid w:val="00DC39FC"/>
    <w:rsid w:val="00DC769F"/>
    <w:rsid w:val="00DE14E0"/>
    <w:rsid w:val="00DE2A92"/>
    <w:rsid w:val="00DE2EE6"/>
    <w:rsid w:val="00DF2368"/>
    <w:rsid w:val="00DF5254"/>
    <w:rsid w:val="00E01883"/>
    <w:rsid w:val="00E032F1"/>
    <w:rsid w:val="00E121FA"/>
    <w:rsid w:val="00E16408"/>
    <w:rsid w:val="00E20894"/>
    <w:rsid w:val="00E245AB"/>
    <w:rsid w:val="00E2764C"/>
    <w:rsid w:val="00E27F2E"/>
    <w:rsid w:val="00E37F21"/>
    <w:rsid w:val="00E413EA"/>
    <w:rsid w:val="00E44A2E"/>
    <w:rsid w:val="00E50AFE"/>
    <w:rsid w:val="00E75C92"/>
    <w:rsid w:val="00E75E18"/>
    <w:rsid w:val="00E771DC"/>
    <w:rsid w:val="00E861C6"/>
    <w:rsid w:val="00E8772A"/>
    <w:rsid w:val="00E90F6B"/>
    <w:rsid w:val="00E92C27"/>
    <w:rsid w:val="00E94881"/>
    <w:rsid w:val="00E955C2"/>
    <w:rsid w:val="00E979BD"/>
    <w:rsid w:val="00EA0E3D"/>
    <w:rsid w:val="00EC38A7"/>
    <w:rsid w:val="00EC52BB"/>
    <w:rsid w:val="00EE1AA8"/>
    <w:rsid w:val="00EE32BF"/>
    <w:rsid w:val="00EF7272"/>
    <w:rsid w:val="00F30FFC"/>
    <w:rsid w:val="00F31EDC"/>
    <w:rsid w:val="00F34650"/>
    <w:rsid w:val="00F462B3"/>
    <w:rsid w:val="00F5664F"/>
    <w:rsid w:val="00F666C4"/>
    <w:rsid w:val="00F74FB8"/>
    <w:rsid w:val="00F76AFC"/>
    <w:rsid w:val="00F83926"/>
    <w:rsid w:val="00F90C12"/>
    <w:rsid w:val="00F95EFE"/>
    <w:rsid w:val="00FA47C0"/>
    <w:rsid w:val="00FB5DD1"/>
    <w:rsid w:val="00FC01E3"/>
    <w:rsid w:val="00FC1AAE"/>
    <w:rsid w:val="00FC2B5D"/>
    <w:rsid w:val="00FD004B"/>
    <w:rsid w:val="00FF1449"/>
    <w:rsid w:val="00FF6A57"/>
    <w:rsid w:val="00FF7C0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26F"/>
  </w:style>
  <w:style w:type="paragraph" w:styleId="Ttulo1">
    <w:name w:val="heading 1"/>
    <w:basedOn w:val="Normal"/>
    <w:link w:val="Ttulo1Car"/>
    <w:uiPriority w:val="1"/>
    <w:qFormat/>
    <w:rsid w:val="002326D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Ttulo1Car">
    <w:name w:val="Título 1 Car"/>
    <w:basedOn w:val="Fuentedeprrafopredeter"/>
    <w:link w:val="Ttulo1"/>
    <w:uiPriority w:val="1"/>
    <w:rsid w:val="002326D6"/>
    <w:rPr>
      <w:rFonts w:ascii="Arial" w:eastAsia="Arial" w:hAnsi="Arial" w:cs="Arial"/>
      <w:b/>
      <w:bCs/>
      <w:lang w:val="es-ES"/>
    </w:rPr>
  </w:style>
  <w:style w:type="paragraph" w:customStyle="1" w:styleId="Appelnotedebasde">
    <w:name w:val="Appel note de bas de..."/>
    <w:basedOn w:val="Normal"/>
    <w:link w:val="Refdenotaalpie"/>
    <w:rsid w:val="002326D6"/>
    <w:pPr>
      <w:spacing w:line="240" w:lineRule="exact"/>
    </w:pPr>
    <w:rPr>
      <w:vertAlign w:val="superscript"/>
    </w:rPr>
  </w:style>
  <w:style w:type="character" w:styleId="Refdecomentario">
    <w:name w:val="annotation reference"/>
    <w:basedOn w:val="Fuentedeprrafopredeter"/>
    <w:uiPriority w:val="99"/>
    <w:semiHidden/>
    <w:unhideWhenUsed/>
    <w:rsid w:val="002326D6"/>
    <w:rPr>
      <w:sz w:val="16"/>
      <w:szCs w:val="16"/>
    </w:rPr>
  </w:style>
  <w:style w:type="paragraph" w:styleId="Textocomentario">
    <w:name w:val="annotation text"/>
    <w:basedOn w:val="Normal"/>
    <w:link w:val="TextocomentarioCar"/>
    <w:uiPriority w:val="99"/>
    <w:unhideWhenUsed/>
    <w:rsid w:val="002326D6"/>
    <w:pPr>
      <w:spacing w:line="240" w:lineRule="auto"/>
    </w:pPr>
    <w:rPr>
      <w:sz w:val="20"/>
      <w:szCs w:val="20"/>
    </w:rPr>
  </w:style>
  <w:style w:type="character" w:customStyle="1" w:styleId="TextocomentarioCar">
    <w:name w:val="Texto comentario Car"/>
    <w:basedOn w:val="Fuentedeprrafopredeter"/>
    <w:link w:val="Textocomentario"/>
    <w:uiPriority w:val="99"/>
    <w:rsid w:val="002326D6"/>
    <w:rPr>
      <w:sz w:val="20"/>
      <w:szCs w:val="20"/>
    </w:rPr>
  </w:style>
  <w:style w:type="paragraph" w:styleId="Asuntodelcomentario">
    <w:name w:val="annotation subject"/>
    <w:basedOn w:val="Textocomentario"/>
    <w:next w:val="Textocomentario"/>
    <w:link w:val="AsuntodelcomentarioCar"/>
    <w:uiPriority w:val="99"/>
    <w:semiHidden/>
    <w:unhideWhenUsed/>
    <w:rsid w:val="002326D6"/>
    <w:rPr>
      <w:b/>
      <w:bCs/>
    </w:rPr>
  </w:style>
  <w:style w:type="character" w:customStyle="1" w:styleId="AsuntodelcomentarioCar">
    <w:name w:val="Asunto del comentario Car"/>
    <w:basedOn w:val="TextocomentarioCar"/>
    <w:link w:val="Asuntodelcomentario"/>
    <w:uiPriority w:val="99"/>
    <w:semiHidden/>
    <w:rsid w:val="002326D6"/>
    <w:rPr>
      <w:b/>
      <w:bCs/>
      <w:sz w:val="20"/>
      <w:szCs w:val="20"/>
    </w:rPr>
  </w:style>
  <w:style w:type="paragraph" w:customStyle="1" w:styleId="Normal11pt">
    <w:name w:val="Normal + 11 pt"/>
    <w:aliases w:val="Negro,Justificado,Izquierda:  -0,95 cm,Derecha:  0,04 cm"/>
    <w:basedOn w:val="Normal"/>
    <w:uiPriority w:val="99"/>
    <w:rsid w:val="002326D6"/>
    <w:pPr>
      <w:spacing w:after="0" w:line="240" w:lineRule="auto"/>
      <w:ind w:left="-540"/>
      <w:jc w:val="both"/>
    </w:pPr>
    <w:rPr>
      <w:rFonts w:ascii="Arial" w:eastAsia="Times New Roman" w:hAnsi="Arial" w:cs="Arial"/>
      <w:color w:val="000000"/>
      <w:lang w:val="es-ES_tradnl" w:eastAsia="es-ES"/>
    </w:rPr>
  </w:style>
  <w:style w:type="character" w:customStyle="1" w:styleId="cf01">
    <w:name w:val="cf01"/>
    <w:basedOn w:val="Fuentedeprrafopredeter"/>
    <w:rsid w:val="002326D6"/>
    <w:rPr>
      <w:rFonts w:ascii="Segoe UI" w:hAnsi="Segoe UI" w:cs="Segoe UI" w:hint="default"/>
      <w:i/>
      <w:iCs/>
      <w:sz w:val="18"/>
      <w:szCs w:val="18"/>
    </w:rPr>
  </w:style>
  <w:style w:type="character" w:customStyle="1" w:styleId="Hipervnculo1">
    <w:name w:val="Hipervínculo1"/>
    <w:basedOn w:val="Fuentedeprrafopredeter"/>
    <w:uiPriority w:val="99"/>
    <w:unhideWhenUsed/>
    <w:rsid w:val="002326D6"/>
    <w:rPr>
      <w:color w:val="F2F2F2"/>
      <w:u w:val="single"/>
    </w:rPr>
  </w:style>
  <w:style w:type="character" w:styleId="Textoennegrita">
    <w:name w:val="Strong"/>
    <w:basedOn w:val="Fuentedeprrafopredeter"/>
    <w:uiPriority w:val="22"/>
    <w:qFormat/>
    <w:rsid w:val="002326D6"/>
    <w:rPr>
      <w:b/>
      <w:bCs/>
    </w:rPr>
  </w:style>
  <w:style w:type="character" w:styleId="nfasis">
    <w:name w:val="Emphasis"/>
    <w:basedOn w:val="Fuentedeprrafopredeter"/>
    <w:uiPriority w:val="20"/>
    <w:qFormat/>
    <w:rsid w:val="002326D6"/>
    <w:rPr>
      <w:i/>
      <w:iCs/>
    </w:rPr>
  </w:style>
  <w:style w:type="paragraph" w:styleId="Textoindependiente">
    <w:name w:val="Body Text"/>
    <w:basedOn w:val="Normal"/>
    <w:link w:val="TextoindependienteCar"/>
    <w:uiPriority w:val="1"/>
    <w:unhideWhenUsed/>
    <w:qFormat/>
    <w:rsid w:val="002326D6"/>
    <w:pPr>
      <w:spacing w:after="120"/>
    </w:pPr>
  </w:style>
  <w:style w:type="character" w:customStyle="1" w:styleId="TextoindependienteCar">
    <w:name w:val="Texto independiente Car"/>
    <w:basedOn w:val="Fuentedeprrafopredeter"/>
    <w:link w:val="Textoindependiente"/>
    <w:uiPriority w:val="1"/>
    <w:rsid w:val="002326D6"/>
  </w:style>
  <w:style w:type="paragraph" w:customStyle="1" w:styleId="Car1">
    <w:name w:val="Car1"/>
    <w:basedOn w:val="Normal"/>
    <w:next w:val="Textonotapie"/>
    <w:uiPriority w:val="99"/>
    <w:unhideWhenUsed/>
    <w:qFormat/>
    <w:rsid w:val="002326D6"/>
    <w:pPr>
      <w:spacing w:after="0" w:line="240" w:lineRule="auto"/>
    </w:pPr>
    <w:rPr>
      <w:sz w:val="20"/>
      <w:szCs w:val="20"/>
      <w:lang w:val="es-MX"/>
    </w:rPr>
  </w:style>
  <w:style w:type="paragraph" w:customStyle="1" w:styleId="Cuadrculamedia1-nfasis21">
    <w:name w:val="Cuadrícula media 1 - Énfasis 21"/>
    <w:basedOn w:val="Normal"/>
    <w:uiPriority w:val="34"/>
    <w:qFormat/>
    <w:rsid w:val="002326D6"/>
    <w:pPr>
      <w:ind w:left="720"/>
      <w:contextualSpacing/>
    </w:pPr>
    <w:rPr>
      <w:rFonts w:ascii="Calibri" w:eastAsia="Calibri" w:hAnsi="Calibri" w:cs="Times New Roman"/>
    </w:rPr>
  </w:style>
  <w:style w:type="table" w:customStyle="1" w:styleId="Tablaconcuadrcula1">
    <w:name w:val="Tabla con cuadrícula1"/>
    <w:basedOn w:val="Tablanormal"/>
    <w:next w:val="Tablaconcuadrcula"/>
    <w:uiPriority w:val="59"/>
    <w:qFormat/>
    <w:rsid w:val="0023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326D6"/>
  </w:style>
  <w:style w:type="paragraph" w:customStyle="1" w:styleId="TableParagraph">
    <w:name w:val="Table Paragraph"/>
    <w:basedOn w:val="Normal"/>
    <w:uiPriority w:val="1"/>
    <w:qFormat/>
    <w:rsid w:val="002326D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232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326D6"/>
    <w:rPr>
      <w:rFonts w:ascii="Geomanist Light" w:hAnsi="Geomanist Light"/>
      <w:lang w:val="es-ES"/>
    </w:rPr>
  </w:style>
  <w:style w:type="paragraph" w:styleId="Textodeglobo">
    <w:name w:val="Balloon Text"/>
    <w:basedOn w:val="Normal"/>
    <w:link w:val="TextodegloboCar"/>
    <w:uiPriority w:val="99"/>
    <w:semiHidden/>
    <w:unhideWhenUsed/>
    <w:rsid w:val="002326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26D6"/>
    <w:rPr>
      <w:rFonts w:ascii="Segoe UI" w:hAnsi="Segoe UI" w:cs="Segoe UI"/>
      <w:sz w:val="18"/>
      <w:szCs w:val="18"/>
    </w:rPr>
  </w:style>
  <w:style w:type="paragraph" w:styleId="Textonotaalfinal">
    <w:name w:val="endnote text"/>
    <w:basedOn w:val="Normal"/>
    <w:link w:val="TextonotaalfinalCar"/>
    <w:uiPriority w:val="99"/>
    <w:semiHidden/>
    <w:unhideWhenUsed/>
    <w:rsid w:val="002326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326D6"/>
    <w:rPr>
      <w:sz w:val="20"/>
      <w:szCs w:val="20"/>
    </w:rPr>
  </w:style>
  <w:style w:type="character" w:styleId="Refdenotaalfinal">
    <w:name w:val="endnote reference"/>
    <w:basedOn w:val="Fuentedeprrafopredeter"/>
    <w:uiPriority w:val="99"/>
    <w:semiHidden/>
    <w:unhideWhenUsed/>
    <w:rsid w:val="002326D6"/>
    <w:rPr>
      <w:vertAlign w:val="superscript"/>
    </w:rPr>
  </w:style>
  <w:style w:type="table" w:customStyle="1" w:styleId="TableNormal1">
    <w:name w:val="Table Normal1"/>
    <w:uiPriority w:val="2"/>
    <w:semiHidden/>
    <w:unhideWhenUsed/>
    <w:qFormat/>
    <w:rsid w:val="00903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4859">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8876746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21452811">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71502361">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ejandrarioc0415@gmai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convocatorias&amp;data=05%7C02%7Cjose.garcia%40colombiacompra.gov.co%7C5aad36a736844ec87b2108dcc1fa4639%7C7b09041e245149d08cb179d5e3d8c1be%7C0%7C0%7C638598527919601958%7CUnknown%7CTWFpbGZsb3d8eyJWIjoiMC4wLjAwMDAiLCJQIjoiV2luMzIiLCJBTiI6Ik1haWwiLCJXVCI6Mn0%3D%7C0%7C%7C%7C&amp;sdata=4xNNmjXVrn1b4lp%2FsmoDY7vqjg1pT00Z2lkIbUY6uwE%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sucop.gov.co%2Fentidades%2Fcolombiacompra%2FNormativa%3FIDNorma%3D17363&amp;data=05%7C02%7Cjose.garcia%40colombiacompra.gov.co%7C5aad36a736844ec87b2108dcc1fa4639%7C7b09041e245149d08cb179d5e3d8c1be%7C0%7C0%7C638598527919594874%7CUnknown%7CTWFpbGZsb3d8eyJWIjoiMC4wLjAwMDAiLCJQIjoiV2luMzIiLCJBTiI6Ik1haWwiLCJXVCI6Mn0%3D%7C0%7C%7C%7C&amp;sdata=krqmE8%2FpYqPCPNeHY4Zy3Kwu7RqL9pAwK1dRj5ceqss%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files_2020%2Fboletin_de_realtoria_iii.pdf&amp;data=05%7C02%7Cjose.garcia%40colombiacompra.gov.co%7C5aad36a736844ec87b2108dcc1fa4639%7C7b09041e245149d08cb179d5e3d8c1be%7C0%7C0%7C638598527919586336%7CUnknown%7CTWFpbGZsb3d8eyJWIjoiMC4wLjAwMDAiLCJQIjoiV2luMzIiLCJBTiI6Ik1haWwiLCJXVCI6Mn0%3D%7C0%7C%7C%7C&amp;sdata=3OWqvX2vNeq0sJlIbcVLjxHBJmXZsckuX8h9xNnXvRQ%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78E1F6AF-6F0C-4949-8C87-E36C66730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503BE325-E67F-43F1-B4DB-FF0AE106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5540</Words>
  <Characters>30471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35940</CharactersWithSpaces>
  <SharedDoc>false</SharedDoc>
  <HLinks>
    <vt:vector size="18"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7143497</vt:i4>
      </vt:variant>
      <vt:variant>
        <vt:i4>0</vt:i4>
      </vt:variant>
      <vt:variant>
        <vt:i4>0</vt:i4>
      </vt:variant>
      <vt:variant>
        <vt:i4>5</vt:i4>
      </vt:variant>
      <vt:variant>
        <vt:lpwstr>mailto:alejandrarioc0415@gmail.com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9</cp:revision>
  <cp:lastPrinted>2023-01-10T21:18:00Z</cp:lastPrinted>
  <dcterms:created xsi:type="dcterms:W3CDTF">2024-08-22T20:58:00Z</dcterms:created>
  <dcterms:modified xsi:type="dcterms:W3CDTF">2024-08-27T19:15:00Z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