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9C052" w14:textId="77777777" w:rsidR="00F61F28" w:rsidRDefault="00F61F28" w:rsidP="00F5053E">
      <w:pPr>
        <w:spacing w:after="0" w:line="240" w:lineRule="auto"/>
        <w:rPr>
          <w:rFonts w:ascii="Verdana" w:eastAsia="Geomanist Light" w:hAnsi="Verdana" w:cs="Arial"/>
          <w:color w:val="000000" w:themeColor="text1"/>
          <w:lang w:val="es-MX"/>
        </w:rPr>
      </w:pPr>
      <w:bookmarkStart w:id="0" w:name="_Hlk175055027"/>
    </w:p>
    <w:p w14:paraId="55562F0D" w14:textId="77777777" w:rsidR="00F61F28" w:rsidRDefault="00F61F28" w:rsidP="00F5053E">
      <w:pPr>
        <w:spacing w:after="0" w:line="240" w:lineRule="auto"/>
        <w:rPr>
          <w:rFonts w:ascii="Verdana" w:eastAsia="Geomanist Light" w:hAnsi="Verdana" w:cs="Arial"/>
          <w:color w:val="000000" w:themeColor="text1"/>
          <w:lang w:val="es-MX"/>
        </w:rPr>
      </w:pPr>
    </w:p>
    <w:p w14:paraId="56D1AA55" w14:textId="77777777" w:rsidR="00F61F28" w:rsidRDefault="00F61F28" w:rsidP="00F5053E">
      <w:pPr>
        <w:spacing w:after="0" w:line="240" w:lineRule="auto"/>
        <w:rPr>
          <w:rFonts w:ascii="Verdana" w:eastAsia="Geomanist Light" w:hAnsi="Verdana" w:cs="Arial"/>
          <w:color w:val="000000" w:themeColor="text1"/>
          <w:lang w:val="es-MX"/>
        </w:rPr>
      </w:pPr>
    </w:p>
    <w:p w14:paraId="0DE35979" w14:textId="77777777" w:rsidR="00F61F28" w:rsidRDefault="00F61F28" w:rsidP="00F5053E">
      <w:pPr>
        <w:spacing w:after="0" w:line="240" w:lineRule="auto"/>
        <w:rPr>
          <w:rFonts w:ascii="Verdana" w:eastAsia="Geomanist Light" w:hAnsi="Verdana" w:cs="Arial"/>
          <w:color w:val="000000" w:themeColor="text1"/>
          <w:lang w:val="es-MX"/>
        </w:rPr>
      </w:pPr>
    </w:p>
    <w:p w14:paraId="00E47D96" w14:textId="77777777" w:rsidR="00F61F28" w:rsidRPr="00F61F28" w:rsidRDefault="00F61F28" w:rsidP="00F61F28">
      <w:pPr>
        <w:spacing w:after="0" w:line="240" w:lineRule="auto"/>
        <w:jc w:val="both"/>
        <w:rPr>
          <w:rFonts w:ascii="Verdana" w:eastAsia="Geomanist Light" w:hAnsi="Verdana" w:cs="Arial"/>
          <w:b/>
          <w:bCs/>
          <w:color w:val="000000" w:themeColor="text1"/>
        </w:rPr>
      </w:pPr>
      <w:r w:rsidRPr="00F61F28">
        <w:rPr>
          <w:rFonts w:ascii="Verdana" w:eastAsia="Geomanist Light" w:hAnsi="Verdana" w:cs="Arial"/>
          <w:b/>
          <w:bCs/>
          <w:color w:val="000000" w:themeColor="text1"/>
        </w:rPr>
        <w:t>A</w:t>
      </w:r>
      <w:r w:rsidRPr="00F61F28">
        <w:rPr>
          <w:rFonts w:ascii="Verdana" w:eastAsia="Geomanist Light" w:hAnsi="Verdana" w:cs="Arial"/>
          <w:b/>
          <w:bCs/>
          <w:color w:val="000000" w:themeColor="text1"/>
        </w:rPr>
        <w:t xml:space="preserve">DICIÓN – Concepto – Distintos supuestos – Prohibición – Adición en más del 50% </w:t>
      </w:r>
    </w:p>
    <w:p w14:paraId="558D42D2" w14:textId="77777777" w:rsidR="00F61F28" w:rsidRDefault="00F61F28" w:rsidP="00F61F28">
      <w:pPr>
        <w:spacing w:after="0" w:line="240" w:lineRule="auto"/>
        <w:jc w:val="both"/>
        <w:rPr>
          <w:rFonts w:ascii="Verdana" w:eastAsia="Geomanist Light" w:hAnsi="Verdana" w:cs="Arial"/>
          <w:color w:val="000000" w:themeColor="text1"/>
        </w:rPr>
      </w:pPr>
    </w:p>
    <w:p w14:paraId="2F6F9E25" w14:textId="7FD94750" w:rsidR="00F61F28" w:rsidRDefault="00F61F28" w:rsidP="00F61F28">
      <w:pPr>
        <w:spacing w:after="0" w:line="240" w:lineRule="auto"/>
        <w:jc w:val="both"/>
        <w:rPr>
          <w:rFonts w:ascii="Verdana" w:eastAsia="Geomanist Light" w:hAnsi="Verdana" w:cs="Arial"/>
          <w:color w:val="000000" w:themeColor="text1"/>
          <w:lang w:val="es-MX"/>
        </w:rPr>
      </w:pPr>
      <w:r w:rsidRPr="00F61F28">
        <w:rPr>
          <w:rFonts w:ascii="Verdana" w:eastAsia="Geomanist Light" w:hAnsi="Verdana" w:cs="Arial"/>
          <w:color w:val="000000" w:themeColor="text1"/>
        </w:rPr>
        <w:t xml:space="preserve">La ejecución de los contratos estatales está sujeta a los cambios propios del paso del tiempo. Así, durante la etapa de planeación, las entidades públicas estiman y determinan las prestaciones que demanda la satisfacción de la necesidad de interés colectivo que pretende satisfacer. No obstante, durante la ejecución del contrato, las partes identifican alguna de las siguientes situaciones: i) la necesidad de mayores cantidades de bienes o actividades inicialmente previstos, a lo que se le conoce como </w:t>
      </w:r>
      <w:r>
        <w:rPr>
          <w:rFonts w:ascii="Verdana" w:eastAsia="Geomanist Light" w:hAnsi="Verdana" w:cs="Arial"/>
          <w:color w:val="000000" w:themeColor="text1"/>
        </w:rPr>
        <w:t>“</w:t>
      </w:r>
      <w:r w:rsidRPr="00F61F28">
        <w:rPr>
          <w:rFonts w:ascii="Verdana" w:eastAsia="Geomanist Light" w:hAnsi="Verdana" w:cs="Arial"/>
          <w:color w:val="000000" w:themeColor="text1"/>
        </w:rPr>
        <w:t>mayores cantidades de obra</w:t>
      </w:r>
      <w:r>
        <w:rPr>
          <w:rFonts w:ascii="Verdana" w:eastAsia="Geomanist Light" w:hAnsi="Verdana" w:cs="Arial"/>
          <w:color w:val="000000" w:themeColor="text1"/>
        </w:rPr>
        <w:t>”</w:t>
      </w:r>
      <w:r w:rsidRPr="00F61F28">
        <w:rPr>
          <w:rFonts w:ascii="Verdana" w:eastAsia="Geomanist Light" w:hAnsi="Verdana" w:cs="Arial"/>
          <w:color w:val="000000" w:themeColor="text1"/>
        </w:rPr>
        <w:t xml:space="preserve">, </w:t>
      </w:r>
      <w:r>
        <w:rPr>
          <w:rFonts w:ascii="Verdana" w:eastAsia="Geomanist Light" w:hAnsi="Verdana" w:cs="Arial"/>
          <w:color w:val="000000" w:themeColor="text1"/>
        </w:rPr>
        <w:t>“</w:t>
      </w:r>
      <w:r w:rsidRPr="00F61F28">
        <w:rPr>
          <w:rFonts w:ascii="Verdana" w:eastAsia="Geomanist Light" w:hAnsi="Verdana" w:cs="Arial"/>
          <w:color w:val="000000" w:themeColor="text1"/>
        </w:rPr>
        <w:t>obras adicionales</w:t>
      </w:r>
      <w:r>
        <w:rPr>
          <w:rFonts w:ascii="Verdana" w:eastAsia="Geomanist Light" w:hAnsi="Verdana" w:cs="Arial"/>
          <w:color w:val="000000" w:themeColor="text1"/>
        </w:rPr>
        <w:t>”</w:t>
      </w:r>
      <w:r w:rsidRPr="00F61F28">
        <w:rPr>
          <w:rFonts w:ascii="Verdana" w:eastAsia="Geomanist Light" w:hAnsi="Verdana" w:cs="Arial"/>
          <w:color w:val="000000" w:themeColor="text1"/>
        </w:rPr>
        <w:t xml:space="preserve"> o adición de </w:t>
      </w:r>
      <w:r>
        <w:rPr>
          <w:rFonts w:ascii="Verdana" w:eastAsia="Geomanist Light" w:hAnsi="Verdana" w:cs="Arial"/>
          <w:color w:val="000000" w:themeColor="text1"/>
        </w:rPr>
        <w:t>“</w:t>
      </w:r>
      <w:r w:rsidRPr="00F61F28">
        <w:rPr>
          <w:rFonts w:ascii="Verdana" w:eastAsia="Geomanist Light" w:hAnsi="Verdana" w:cs="Arial"/>
          <w:color w:val="000000" w:themeColor="text1"/>
        </w:rPr>
        <w:t>ítems contractuales</w:t>
      </w:r>
      <w:r>
        <w:rPr>
          <w:rFonts w:ascii="Verdana" w:eastAsia="Geomanist Light" w:hAnsi="Verdana" w:cs="Arial"/>
          <w:color w:val="000000" w:themeColor="text1"/>
        </w:rPr>
        <w:t>”</w:t>
      </w:r>
      <w:r w:rsidRPr="00F61F28">
        <w:rPr>
          <w:rFonts w:ascii="Verdana" w:eastAsia="Geomanist Light" w:hAnsi="Verdana" w:cs="Arial"/>
          <w:color w:val="000000" w:themeColor="text1"/>
        </w:rPr>
        <w:t xml:space="preserve">; y </w:t>
      </w:r>
      <w:proofErr w:type="spellStart"/>
      <w:r w:rsidRPr="00F61F28">
        <w:rPr>
          <w:rFonts w:ascii="Verdana" w:eastAsia="Geomanist Light" w:hAnsi="Verdana" w:cs="Arial"/>
          <w:color w:val="000000" w:themeColor="text1"/>
        </w:rPr>
        <w:t>ii</w:t>
      </w:r>
      <w:proofErr w:type="spellEnd"/>
      <w:r w:rsidRPr="00F61F28">
        <w:rPr>
          <w:rFonts w:ascii="Verdana" w:eastAsia="Geomanist Light" w:hAnsi="Verdana" w:cs="Arial"/>
          <w:color w:val="000000" w:themeColor="text1"/>
        </w:rPr>
        <w:t xml:space="preserve">) la necesidad de ampliar las prestaciones contractuales, mediante la ejecución de nuevos ítems o actividades, no incluidos en el contrato inicial, para lo que en la práctica las entidades ejecutan </w:t>
      </w:r>
      <w:r>
        <w:rPr>
          <w:rFonts w:ascii="Verdana" w:eastAsia="Geomanist Light" w:hAnsi="Verdana" w:cs="Arial"/>
          <w:color w:val="000000" w:themeColor="text1"/>
        </w:rPr>
        <w:t>“</w:t>
      </w:r>
      <w:r w:rsidRPr="00F61F28">
        <w:rPr>
          <w:rFonts w:ascii="Verdana" w:eastAsia="Geomanist Light" w:hAnsi="Verdana" w:cs="Arial"/>
          <w:color w:val="000000" w:themeColor="text1"/>
        </w:rPr>
        <w:t>obras extra</w:t>
      </w:r>
      <w:r>
        <w:rPr>
          <w:rFonts w:ascii="Verdana" w:eastAsia="Geomanist Light" w:hAnsi="Verdana" w:cs="Arial"/>
          <w:color w:val="000000" w:themeColor="text1"/>
        </w:rPr>
        <w:t>”</w:t>
      </w:r>
      <w:r w:rsidRPr="00F61F28">
        <w:rPr>
          <w:rFonts w:ascii="Verdana" w:eastAsia="Geomanist Light" w:hAnsi="Verdana" w:cs="Arial"/>
          <w:color w:val="000000" w:themeColor="text1"/>
        </w:rPr>
        <w:t xml:space="preserve"> o </w:t>
      </w:r>
      <w:r>
        <w:rPr>
          <w:rFonts w:ascii="Verdana" w:eastAsia="Geomanist Light" w:hAnsi="Verdana" w:cs="Arial"/>
          <w:color w:val="000000" w:themeColor="text1"/>
        </w:rPr>
        <w:t>“</w:t>
      </w:r>
      <w:r w:rsidRPr="00F61F28">
        <w:rPr>
          <w:rFonts w:ascii="Verdana" w:eastAsia="Geomanist Light" w:hAnsi="Verdana" w:cs="Arial"/>
          <w:color w:val="000000" w:themeColor="text1"/>
        </w:rPr>
        <w:t xml:space="preserve">amplían el </w:t>
      </w:r>
      <w:r w:rsidRPr="00F61F28">
        <w:rPr>
          <w:rFonts w:ascii="Verdana" w:eastAsia="Geomanist Light" w:hAnsi="Verdana" w:cs="Arial"/>
          <w:color w:val="000000" w:themeColor="text1"/>
        </w:rPr>
        <w:t>alcance</w:t>
      </w:r>
      <w:r>
        <w:rPr>
          <w:rFonts w:ascii="Verdana" w:eastAsia="Geomanist Light" w:hAnsi="Verdana" w:cs="Arial"/>
          <w:color w:val="000000" w:themeColor="text1"/>
        </w:rPr>
        <w:t xml:space="preserve"> </w:t>
      </w:r>
      <w:r w:rsidRPr="00F61F28">
        <w:rPr>
          <w:rFonts w:ascii="Verdana" w:eastAsia="Geomanist Light" w:hAnsi="Verdana" w:cs="Arial"/>
          <w:color w:val="000000" w:themeColor="text1"/>
        </w:rPr>
        <w:t>“del</w:t>
      </w:r>
      <w:r w:rsidRPr="00F61F28">
        <w:rPr>
          <w:rFonts w:ascii="Verdana" w:eastAsia="Geomanist Light" w:hAnsi="Verdana" w:cs="Arial"/>
          <w:color w:val="000000" w:themeColor="text1"/>
        </w:rPr>
        <w:t xml:space="preserve"> contrato mediante la celebración de un </w:t>
      </w:r>
      <w:r>
        <w:rPr>
          <w:rFonts w:ascii="Verdana" w:eastAsia="Geomanist Light" w:hAnsi="Verdana" w:cs="Arial"/>
          <w:color w:val="000000" w:themeColor="text1"/>
        </w:rPr>
        <w:t>“</w:t>
      </w:r>
      <w:r w:rsidRPr="00F61F28">
        <w:rPr>
          <w:rFonts w:ascii="Verdana" w:eastAsia="Geomanist Light" w:hAnsi="Verdana" w:cs="Arial"/>
          <w:color w:val="000000" w:themeColor="text1"/>
        </w:rPr>
        <w:t>contrato adicional</w:t>
      </w:r>
      <w:r>
        <w:rPr>
          <w:rFonts w:ascii="Verdana" w:eastAsia="Geomanist Light" w:hAnsi="Verdana" w:cs="Arial"/>
          <w:color w:val="000000" w:themeColor="text1"/>
        </w:rPr>
        <w:t>”</w:t>
      </w:r>
      <w:r w:rsidRPr="00F61F28">
        <w:rPr>
          <w:rFonts w:ascii="Verdana" w:eastAsia="Geomanist Light" w:hAnsi="Verdana" w:cs="Arial"/>
          <w:color w:val="000000" w:themeColor="text1"/>
        </w:rPr>
        <w:t xml:space="preserve">. […] No obstante, la expresión «contrato adicional» al igual que las otras nociones doctrinarias y jurisprudenciales arriba señaladas entre comillas son de uso común en la práctica contractual por las entidades estatales. Lo importante en relación con las mismas, tal como se ha resaltado por esta Agencia en oportunidades anteriores, es que frente a cualquier incremento del valor inicial del contrato, que implica una adición, por cualquiera de los dos supuestos señalados previamente, e independientemente del nombre que se le dé al acuerdo, aplica el límite previsto en el parágrafo del artículo 40 de la Ley 80 de 1993.: </w:t>
      </w:r>
      <w:r>
        <w:rPr>
          <w:rFonts w:ascii="Verdana" w:eastAsia="Geomanist Light" w:hAnsi="Verdana" w:cs="Arial"/>
          <w:color w:val="000000" w:themeColor="text1"/>
        </w:rPr>
        <w:t>“</w:t>
      </w:r>
      <w:r w:rsidRPr="00F61F28">
        <w:rPr>
          <w:rFonts w:ascii="Verdana" w:eastAsia="Geomanist Light" w:hAnsi="Verdana" w:cs="Arial"/>
          <w:color w:val="000000" w:themeColor="text1"/>
        </w:rPr>
        <w:t>Los contratos no podrán adicionarse en más del cincuenta por ciento (50%) de su valor inicial, expresado éste en salarios mínimos legales mensuale</w:t>
      </w:r>
      <w:r>
        <w:rPr>
          <w:rFonts w:ascii="Verdana" w:eastAsia="Geomanist Light" w:hAnsi="Verdana" w:cs="Arial"/>
          <w:color w:val="000000" w:themeColor="text1"/>
        </w:rPr>
        <w:t>s […]”</w:t>
      </w:r>
    </w:p>
    <w:p w14:paraId="40DDCC77" w14:textId="77777777" w:rsidR="00F61F28" w:rsidRDefault="00F61F28" w:rsidP="00F61F28">
      <w:pPr>
        <w:spacing w:after="0" w:line="240" w:lineRule="auto"/>
        <w:jc w:val="both"/>
        <w:rPr>
          <w:rFonts w:ascii="Verdana" w:eastAsia="Geomanist Light" w:hAnsi="Verdana" w:cs="Arial"/>
          <w:color w:val="000000" w:themeColor="text1"/>
          <w:lang w:val="es-MX"/>
        </w:rPr>
      </w:pPr>
    </w:p>
    <w:p w14:paraId="62C57C2B" w14:textId="77777777" w:rsidR="00F61F28" w:rsidRDefault="00F61F28" w:rsidP="00F61F28">
      <w:pPr>
        <w:spacing w:after="0" w:line="240" w:lineRule="auto"/>
        <w:jc w:val="both"/>
        <w:rPr>
          <w:rFonts w:ascii="Verdana" w:eastAsia="Geomanist Light" w:hAnsi="Verdana" w:cs="Arial"/>
          <w:color w:val="000000" w:themeColor="text1"/>
          <w:lang w:val="es-MX"/>
        </w:rPr>
      </w:pPr>
    </w:p>
    <w:p w14:paraId="3001CBD2" w14:textId="77777777" w:rsidR="00F61F28" w:rsidRDefault="00F61F28" w:rsidP="00F61F28">
      <w:pPr>
        <w:spacing w:after="0" w:line="240" w:lineRule="auto"/>
        <w:jc w:val="both"/>
        <w:rPr>
          <w:rFonts w:ascii="Verdana" w:eastAsia="Geomanist Light" w:hAnsi="Verdana" w:cs="Arial"/>
          <w:color w:val="000000" w:themeColor="text1"/>
          <w:lang w:val="es-MX"/>
        </w:rPr>
      </w:pPr>
    </w:p>
    <w:p w14:paraId="03E1BBBB" w14:textId="77777777" w:rsidR="00F61F28" w:rsidRDefault="00F61F28" w:rsidP="00F61F28">
      <w:pPr>
        <w:spacing w:after="0" w:line="240" w:lineRule="auto"/>
        <w:jc w:val="both"/>
        <w:rPr>
          <w:rFonts w:ascii="Verdana" w:eastAsia="Geomanist Light" w:hAnsi="Verdana" w:cs="Arial"/>
          <w:color w:val="000000" w:themeColor="text1"/>
          <w:lang w:val="es-MX"/>
        </w:rPr>
      </w:pPr>
    </w:p>
    <w:p w14:paraId="3B4705B9" w14:textId="77777777" w:rsidR="00F61F28" w:rsidRDefault="00F61F28" w:rsidP="00F61F28">
      <w:pPr>
        <w:spacing w:after="0" w:line="240" w:lineRule="auto"/>
        <w:jc w:val="both"/>
        <w:rPr>
          <w:rFonts w:ascii="Verdana" w:eastAsia="Geomanist Light" w:hAnsi="Verdana" w:cs="Arial"/>
          <w:color w:val="000000" w:themeColor="text1"/>
          <w:lang w:val="es-MX"/>
        </w:rPr>
      </w:pPr>
    </w:p>
    <w:p w14:paraId="343A04B6" w14:textId="77777777" w:rsidR="00F61F28" w:rsidRDefault="00F61F28" w:rsidP="00F61F28">
      <w:pPr>
        <w:spacing w:after="0" w:line="240" w:lineRule="auto"/>
        <w:jc w:val="both"/>
        <w:rPr>
          <w:rFonts w:ascii="Verdana" w:eastAsia="Geomanist Light" w:hAnsi="Verdana" w:cs="Arial"/>
          <w:color w:val="000000" w:themeColor="text1"/>
          <w:lang w:val="es-MX"/>
        </w:rPr>
      </w:pPr>
    </w:p>
    <w:p w14:paraId="3F6FD4B8" w14:textId="77777777" w:rsidR="00F61F28" w:rsidRDefault="00F61F28" w:rsidP="00F61F28">
      <w:pPr>
        <w:spacing w:after="0" w:line="240" w:lineRule="auto"/>
        <w:jc w:val="both"/>
        <w:rPr>
          <w:rFonts w:ascii="Verdana" w:eastAsia="Geomanist Light" w:hAnsi="Verdana" w:cs="Arial"/>
          <w:color w:val="000000" w:themeColor="text1"/>
          <w:lang w:val="es-MX"/>
        </w:rPr>
      </w:pPr>
    </w:p>
    <w:p w14:paraId="04354F7B" w14:textId="77777777" w:rsidR="00F61F28" w:rsidRDefault="00F61F28" w:rsidP="00F61F28">
      <w:pPr>
        <w:spacing w:after="0" w:line="240" w:lineRule="auto"/>
        <w:jc w:val="both"/>
        <w:rPr>
          <w:rFonts w:ascii="Verdana" w:eastAsia="Geomanist Light" w:hAnsi="Verdana" w:cs="Arial"/>
          <w:color w:val="000000" w:themeColor="text1"/>
          <w:lang w:val="es-MX"/>
        </w:rPr>
      </w:pPr>
    </w:p>
    <w:p w14:paraId="2FD5A979" w14:textId="77777777" w:rsidR="00F61F28" w:rsidRDefault="00F61F28" w:rsidP="00F61F28">
      <w:pPr>
        <w:spacing w:after="0" w:line="240" w:lineRule="auto"/>
        <w:jc w:val="both"/>
        <w:rPr>
          <w:rFonts w:ascii="Verdana" w:eastAsia="Geomanist Light" w:hAnsi="Verdana" w:cs="Arial"/>
          <w:color w:val="000000" w:themeColor="text1"/>
          <w:lang w:val="es-MX"/>
        </w:rPr>
      </w:pPr>
    </w:p>
    <w:p w14:paraId="6E109380" w14:textId="77777777" w:rsidR="00F61F28" w:rsidRDefault="00F61F28" w:rsidP="00F61F28">
      <w:pPr>
        <w:spacing w:after="0" w:line="240" w:lineRule="auto"/>
        <w:jc w:val="both"/>
        <w:rPr>
          <w:rFonts w:ascii="Verdana" w:eastAsia="Geomanist Light" w:hAnsi="Verdana" w:cs="Arial"/>
          <w:color w:val="000000" w:themeColor="text1"/>
          <w:lang w:val="es-MX"/>
        </w:rPr>
      </w:pPr>
    </w:p>
    <w:p w14:paraId="0F11E4C4" w14:textId="77777777" w:rsidR="00F61F28" w:rsidRDefault="00F61F28" w:rsidP="00F61F28">
      <w:pPr>
        <w:spacing w:after="0" w:line="240" w:lineRule="auto"/>
        <w:jc w:val="both"/>
        <w:rPr>
          <w:rFonts w:ascii="Verdana" w:eastAsia="Geomanist Light" w:hAnsi="Verdana" w:cs="Arial"/>
          <w:color w:val="000000" w:themeColor="text1"/>
          <w:lang w:val="es-MX"/>
        </w:rPr>
      </w:pPr>
    </w:p>
    <w:p w14:paraId="6163F163" w14:textId="77777777" w:rsidR="00F61F28" w:rsidRDefault="00F61F28" w:rsidP="00F61F28">
      <w:pPr>
        <w:spacing w:after="0" w:line="240" w:lineRule="auto"/>
        <w:jc w:val="both"/>
        <w:rPr>
          <w:rFonts w:ascii="Verdana" w:eastAsia="Geomanist Light" w:hAnsi="Verdana" w:cs="Arial"/>
          <w:color w:val="000000" w:themeColor="text1"/>
          <w:lang w:val="es-MX"/>
        </w:rPr>
      </w:pPr>
    </w:p>
    <w:p w14:paraId="208DD184" w14:textId="77777777" w:rsidR="00F61F28" w:rsidRDefault="00F61F28" w:rsidP="00F61F28">
      <w:pPr>
        <w:spacing w:after="0" w:line="240" w:lineRule="auto"/>
        <w:jc w:val="both"/>
        <w:rPr>
          <w:rFonts w:ascii="Verdana" w:eastAsia="Geomanist Light" w:hAnsi="Verdana" w:cs="Arial"/>
          <w:color w:val="000000" w:themeColor="text1"/>
          <w:lang w:val="es-MX"/>
        </w:rPr>
      </w:pPr>
    </w:p>
    <w:p w14:paraId="7EBFFCDB" w14:textId="77777777" w:rsidR="00F61F28" w:rsidRDefault="00F61F28" w:rsidP="00F61F28">
      <w:pPr>
        <w:spacing w:after="0" w:line="240" w:lineRule="auto"/>
        <w:jc w:val="both"/>
        <w:rPr>
          <w:rFonts w:ascii="Verdana" w:eastAsia="Geomanist Light" w:hAnsi="Verdana" w:cs="Arial"/>
          <w:color w:val="000000" w:themeColor="text1"/>
          <w:lang w:val="es-MX"/>
        </w:rPr>
      </w:pPr>
    </w:p>
    <w:p w14:paraId="0CA69EB6" w14:textId="77777777" w:rsidR="00F61F28" w:rsidRDefault="00F61F28" w:rsidP="00F61F28">
      <w:pPr>
        <w:spacing w:after="0" w:line="240" w:lineRule="auto"/>
        <w:jc w:val="both"/>
        <w:rPr>
          <w:rFonts w:ascii="Verdana" w:eastAsia="Geomanist Light" w:hAnsi="Verdana" w:cs="Arial"/>
          <w:color w:val="000000" w:themeColor="text1"/>
          <w:lang w:val="es-MX"/>
        </w:rPr>
      </w:pPr>
    </w:p>
    <w:p w14:paraId="3D6FE0DD" w14:textId="77777777" w:rsidR="00F61F28" w:rsidRDefault="00F61F28" w:rsidP="00F61F28">
      <w:pPr>
        <w:spacing w:after="0" w:line="240" w:lineRule="auto"/>
        <w:jc w:val="both"/>
        <w:rPr>
          <w:rFonts w:ascii="Verdana" w:eastAsia="Geomanist Light" w:hAnsi="Verdana" w:cs="Arial"/>
          <w:color w:val="000000" w:themeColor="text1"/>
          <w:lang w:val="es-MX"/>
        </w:rPr>
      </w:pPr>
    </w:p>
    <w:p w14:paraId="402533D1" w14:textId="77777777" w:rsidR="00F61F28" w:rsidRDefault="00F61F28" w:rsidP="00F61F28">
      <w:pPr>
        <w:spacing w:after="0" w:line="240" w:lineRule="auto"/>
        <w:jc w:val="both"/>
        <w:rPr>
          <w:rFonts w:ascii="Verdana" w:eastAsia="Geomanist Light" w:hAnsi="Verdana" w:cs="Arial"/>
          <w:color w:val="000000" w:themeColor="text1"/>
          <w:lang w:val="es-MX"/>
        </w:rPr>
      </w:pPr>
    </w:p>
    <w:p w14:paraId="6B68045F" w14:textId="77777777" w:rsidR="00F61F28" w:rsidRDefault="00F61F28" w:rsidP="00F61F28">
      <w:pPr>
        <w:spacing w:after="0" w:line="240" w:lineRule="auto"/>
        <w:jc w:val="both"/>
        <w:rPr>
          <w:rFonts w:ascii="Verdana" w:eastAsia="Geomanist Light" w:hAnsi="Verdana" w:cs="Arial"/>
          <w:color w:val="000000" w:themeColor="text1"/>
          <w:lang w:val="es-MX"/>
        </w:rPr>
      </w:pPr>
    </w:p>
    <w:p w14:paraId="54E9C0E3" w14:textId="10BFD71D" w:rsidR="00F5053E" w:rsidRDefault="00F5053E" w:rsidP="00F61F28">
      <w:pPr>
        <w:spacing w:after="0" w:line="240" w:lineRule="auto"/>
        <w:jc w:val="both"/>
        <w:rPr>
          <w:rFonts w:ascii="Verdana" w:eastAsia="Geomanist Light" w:hAnsi="Verdana" w:cs="Arial"/>
          <w:color w:val="201F1E"/>
          <w:lang w:val="es-MX"/>
        </w:rPr>
      </w:pPr>
      <w:r>
        <w:rPr>
          <w:rFonts w:ascii="Verdana" w:eastAsia="Geomanist Light" w:hAnsi="Verdana" w:cs="Arial"/>
          <w:color w:val="000000" w:themeColor="text1"/>
          <w:lang w:val="es-MX"/>
        </w:rPr>
        <w:t>B</w:t>
      </w:r>
      <w:r w:rsidRPr="00593A5F">
        <w:rPr>
          <w:rFonts w:ascii="Verdana" w:eastAsia="Geomanist Light" w:hAnsi="Verdana" w:cs="Arial"/>
          <w:color w:val="000000" w:themeColor="text1"/>
          <w:lang w:val="es-MX"/>
        </w:rPr>
        <w:t>ogotá D.C., </w:t>
      </w:r>
      <w:r w:rsidR="00F61F28">
        <w:rPr>
          <w:rFonts w:ascii="Verdana" w:eastAsia="Geomanist Light" w:hAnsi="Verdana" w:cs="Arial"/>
          <w:color w:val="201F1E"/>
          <w:lang w:val="es-MX"/>
        </w:rPr>
        <w:t>23</w:t>
      </w:r>
      <w:r w:rsidRPr="00593A5F">
        <w:rPr>
          <w:rFonts w:ascii="Verdana" w:eastAsia="Geomanist Light" w:hAnsi="Verdana" w:cs="Arial"/>
          <w:color w:val="201F1E"/>
          <w:lang w:val="es-MX"/>
        </w:rPr>
        <w:t xml:space="preserve"> de </w:t>
      </w:r>
      <w:r w:rsidR="00F61F28">
        <w:rPr>
          <w:rFonts w:ascii="Verdana" w:eastAsia="Geomanist Light" w:hAnsi="Verdana" w:cs="Arial"/>
          <w:color w:val="201F1E"/>
          <w:lang w:val="es-MX"/>
        </w:rPr>
        <w:t>agosto</w:t>
      </w:r>
      <w:r w:rsidRPr="00593A5F">
        <w:rPr>
          <w:rFonts w:ascii="Verdana" w:eastAsia="Geomanist Light" w:hAnsi="Verdana" w:cs="Arial"/>
          <w:color w:val="201F1E"/>
          <w:lang w:val="es-MX"/>
        </w:rPr>
        <w:t xml:space="preserve"> de </w:t>
      </w:r>
      <w:r w:rsidR="00F61F28">
        <w:rPr>
          <w:rFonts w:ascii="Verdana" w:eastAsia="Geomanist Light" w:hAnsi="Verdana" w:cs="Arial"/>
          <w:color w:val="201F1E"/>
          <w:lang w:val="es-MX"/>
        </w:rPr>
        <w:t>2023</w:t>
      </w:r>
    </w:p>
    <w:p w14:paraId="2699A9D8" w14:textId="77777777" w:rsidR="00F5053E" w:rsidRPr="00AA1286" w:rsidRDefault="00F5053E" w:rsidP="00F61F28">
      <w:pPr>
        <w:spacing w:after="0" w:line="240" w:lineRule="auto"/>
        <w:jc w:val="both"/>
        <w:rPr>
          <w:rFonts w:ascii="Verdana" w:eastAsia="Geomanist Light" w:hAnsi="Verdana" w:cs="Arial"/>
          <w:color w:val="000000" w:themeColor="text1"/>
          <w:lang w:val="es-MX"/>
        </w:rPr>
      </w:pPr>
    </w:p>
    <w:p w14:paraId="2C1A523A" w14:textId="4E41504E" w:rsidR="00F61F28" w:rsidRDefault="00F61F28" w:rsidP="00F61F28">
      <w:pPr>
        <w:spacing w:after="0" w:line="240" w:lineRule="auto"/>
        <w:jc w:val="right"/>
        <w:rPr>
          <w:rFonts w:ascii="Verdana" w:eastAsia="Calibri" w:hAnsi="Verdana" w:cs="Arial"/>
          <w:lang w:val="en-US" w:eastAsia="es-ES"/>
        </w:rPr>
      </w:pPr>
      <w:r w:rsidRPr="00F61F28">
        <w:rPr>
          <w:rFonts w:ascii="Verdana" w:eastAsia="Calibri" w:hAnsi="Verdana" w:cs="Arial"/>
          <w:lang w:val="en-US" w:eastAsia="es-ES"/>
        </w:rPr>
        <w:drawing>
          <wp:inline distT="0" distB="0" distL="0" distR="0" wp14:anchorId="3AB2ABD9" wp14:editId="60A005E4">
            <wp:extent cx="2695575" cy="1181100"/>
            <wp:effectExtent l="0" t="0" r="9525" b="0"/>
            <wp:docPr id="11419703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970354" name=""/>
                    <pic:cNvPicPr/>
                  </pic:nvPicPr>
                  <pic:blipFill>
                    <a:blip r:embed="rId10"/>
                    <a:stretch>
                      <a:fillRect/>
                    </a:stretch>
                  </pic:blipFill>
                  <pic:spPr>
                    <a:xfrm>
                      <a:off x="0" y="0"/>
                      <a:ext cx="2695954" cy="1181266"/>
                    </a:xfrm>
                    <a:prstGeom prst="rect">
                      <a:avLst/>
                    </a:prstGeom>
                  </pic:spPr>
                </pic:pic>
              </a:graphicData>
            </a:graphic>
          </wp:inline>
        </w:drawing>
      </w:r>
    </w:p>
    <w:p w14:paraId="70159417" w14:textId="286454EA" w:rsidR="00F5053E" w:rsidRPr="00F5053E" w:rsidRDefault="00F5053E" w:rsidP="00F5053E">
      <w:pPr>
        <w:spacing w:after="0" w:line="240" w:lineRule="auto"/>
        <w:jc w:val="both"/>
        <w:rPr>
          <w:rFonts w:ascii="Verdana" w:eastAsia="Calibri" w:hAnsi="Verdana" w:cs="Arial"/>
          <w:lang w:val="en-US" w:eastAsia="es-ES"/>
        </w:rPr>
      </w:pPr>
      <w:proofErr w:type="spellStart"/>
      <w:r w:rsidRPr="00F5053E">
        <w:rPr>
          <w:rFonts w:ascii="Verdana" w:eastAsia="Calibri" w:hAnsi="Verdana" w:cs="Arial"/>
          <w:lang w:val="en-US" w:eastAsia="es-ES"/>
        </w:rPr>
        <w:t>señor</w:t>
      </w:r>
      <w:proofErr w:type="spellEnd"/>
      <w:r w:rsidRPr="00F5053E">
        <w:rPr>
          <w:rFonts w:ascii="Verdana" w:eastAsia="Calibri" w:hAnsi="Verdana" w:cs="Arial"/>
          <w:lang w:val="en-US" w:eastAsia="es-ES"/>
        </w:rPr>
        <w:t>(a)</w:t>
      </w:r>
    </w:p>
    <w:p w14:paraId="06DF2148" w14:textId="77777777" w:rsidR="00F5053E" w:rsidRDefault="00F5053E" w:rsidP="00F5053E">
      <w:pPr>
        <w:spacing w:after="0" w:line="240" w:lineRule="auto"/>
        <w:rPr>
          <w:rFonts w:ascii="Verdana" w:eastAsia="Calibri" w:hAnsi="Verdana" w:cs="Arial"/>
          <w:b/>
          <w:bCs/>
          <w:lang w:val="en-US" w:eastAsia="es-ES"/>
        </w:rPr>
      </w:pPr>
      <w:r w:rsidRPr="004A6514">
        <w:rPr>
          <w:rFonts w:ascii="Verdana" w:eastAsia="Calibri" w:hAnsi="Verdana" w:cs="Arial"/>
          <w:b/>
          <w:bCs/>
          <w:lang w:val="en-US" w:eastAsia="es-ES"/>
        </w:rPr>
        <w:t>MAYERLYN STEFANY MONSALVE RANGEL</w:t>
      </w:r>
    </w:p>
    <w:p w14:paraId="390C826D" w14:textId="77777777" w:rsidR="00F5053E" w:rsidRPr="004A6514" w:rsidRDefault="00F5053E" w:rsidP="00F5053E">
      <w:pPr>
        <w:spacing w:after="0" w:line="240" w:lineRule="auto"/>
        <w:rPr>
          <w:rFonts w:ascii="Verdana" w:eastAsia="Calibri" w:hAnsi="Verdana" w:cs="Arial"/>
          <w:u w:val="single"/>
          <w:lang w:val="en-US" w:eastAsia="es-ES"/>
        </w:rPr>
      </w:pPr>
      <w:r w:rsidRPr="004A6514">
        <w:rPr>
          <w:rFonts w:ascii="Verdana" w:hAnsi="Verdana"/>
          <w:lang w:val="en-US"/>
        </w:rPr>
        <w:t xml:space="preserve">m.monsalve.rangel@gmail.com.  </w:t>
      </w:r>
      <w:r w:rsidRPr="004A6514">
        <w:rPr>
          <w:rFonts w:ascii="Verdana" w:eastAsia="Calibri" w:hAnsi="Verdana" w:cs="Arial"/>
          <w:lang w:val="en-US" w:eastAsia="es-ES"/>
        </w:rPr>
        <w:t xml:space="preserve"> </w:t>
      </w:r>
      <w:r w:rsidRPr="004A6514">
        <w:rPr>
          <w:rFonts w:ascii="Verdana" w:eastAsia="Calibri" w:hAnsi="Verdana" w:cs="Arial"/>
          <w:u w:val="single"/>
          <w:lang w:val="en-US" w:eastAsia="es-ES"/>
        </w:rPr>
        <w:t xml:space="preserve"> </w:t>
      </w:r>
    </w:p>
    <w:p w14:paraId="2FF45D13" w14:textId="77777777" w:rsidR="00F5053E" w:rsidRPr="00593A5F" w:rsidRDefault="00F5053E" w:rsidP="00F5053E">
      <w:pPr>
        <w:spacing w:after="0" w:line="240" w:lineRule="auto"/>
        <w:rPr>
          <w:rFonts w:ascii="Verdana" w:eastAsia="Calibri" w:hAnsi="Verdana" w:cs="Arial"/>
          <w:b/>
          <w:bCs/>
          <w:color w:val="000000"/>
          <w:lang w:val="es-ES_tradnl" w:eastAsia="es-ES_tradnl"/>
        </w:rPr>
      </w:pPr>
      <w:r>
        <w:rPr>
          <w:rFonts w:ascii="Verdana" w:eastAsia="Calibri" w:hAnsi="Verdana" w:cs="Arial"/>
          <w:lang w:val="es-ES" w:eastAsia="es-ES"/>
        </w:rPr>
        <w:t>Bogotá D.C.</w:t>
      </w:r>
    </w:p>
    <w:p w14:paraId="4CA374B3" w14:textId="77777777" w:rsidR="00F5053E" w:rsidRPr="00593A5F" w:rsidRDefault="00F5053E" w:rsidP="00F5053E">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F5053E" w:rsidRPr="00593A5F" w14:paraId="3D9FA340" w14:textId="77777777" w:rsidTr="00A87ED7">
        <w:trPr>
          <w:trHeight w:val="884"/>
        </w:trPr>
        <w:tc>
          <w:tcPr>
            <w:tcW w:w="2689" w:type="dxa"/>
          </w:tcPr>
          <w:p w14:paraId="35C0C5DA" w14:textId="77777777" w:rsidR="00F5053E" w:rsidRPr="005B6F15" w:rsidRDefault="00F5053E" w:rsidP="00A87ED7">
            <w:pPr>
              <w:jc w:val="both"/>
              <w:rPr>
                <w:rFonts w:ascii="Verdana" w:eastAsia="Calibri" w:hAnsi="Verdana" w:cs="Arial"/>
                <w:b/>
                <w:bCs/>
                <w:color w:val="7030A0"/>
                <w:lang w:val="es-ES_tradnl" w:eastAsia="es-ES_tradnl"/>
              </w:rPr>
            </w:pPr>
          </w:p>
        </w:tc>
        <w:tc>
          <w:tcPr>
            <w:tcW w:w="6100" w:type="dxa"/>
          </w:tcPr>
          <w:p w14:paraId="3F731955" w14:textId="77777777" w:rsidR="00F5053E" w:rsidRPr="00B123CD" w:rsidRDefault="00F5053E" w:rsidP="00A87ED7">
            <w:pPr>
              <w:jc w:val="both"/>
              <w:rPr>
                <w:rFonts w:ascii="Verdana" w:eastAsia="Calibri" w:hAnsi="Verdana" w:cs="Arial"/>
                <w:b/>
                <w:bCs/>
                <w:color w:val="7030A0"/>
                <w:lang w:val="es-ES" w:eastAsia="es-ES"/>
              </w:rPr>
            </w:pPr>
            <w:r w:rsidRPr="00B123CD">
              <w:rPr>
                <w:rFonts w:ascii="Verdana" w:eastAsia="Calibri" w:hAnsi="Verdana" w:cs="Arial"/>
                <w:b/>
                <w:bCs/>
                <w:lang w:val="es-ES" w:eastAsia="es-ES"/>
              </w:rPr>
              <w:t>Concepto C- 318</w:t>
            </w:r>
            <w:r w:rsidRPr="00B123CD">
              <w:rPr>
                <w:rFonts w:ascii="Verdana" w:eastAsia="Calibri" w:hAnsi="Verdana" w:cs="Arial"/>
                <w:b/>
                <w:bCs/>
                <w:color w:val="7030A0"/>
                <w:lang w:val="es-ES" w:eastAsia="es-ES"/>
              </w:rPr>
              <w:t xml:space="preserve"> </w:t>
            </w:r>
            <w:r w:rsidRPr="00B123CD">
              <w:rPr>
                <w:rFonts w:ascii="Verdana" w:eastAsia="Calibri" w:hAnsi="Verdana" w:cs="Arial"/>
                <w:b/>
                <w:bCs/>
                <w:lang w:val="es-ES" w:eastAsia="es-ES"/>
              </w:rPr>
              <w:t>de</w:t>
            </w:r>
            <w:r w:rsidRPr="00B123CD">
              <w:rPr>
                <w:rFonts w:ascii="Verdana" w:eastAsia="Calibri" w:hAnsi="Verdana" w:cs="Arial"/>
                <w:b/>
                <w:bCs/>
                <w:color w:val="7030A0"/>
                <w:lang w:val="es-ES" w:eastAsia="es-ES"/>
              </w:rPr>
              <w:t xml:space="preserve"> </w:t>
            </w:r>
            <w:r w:rsidRPr="00B123CD">
              <w:rPr>
                <w:rFonts w:ascii="Verdana" w:eastAsia="Calibri" w:hAnsi="Verdana" w:cs="Arial"/>
                <w:b/>
                <w:bCs/>
                <w:lang w:val="es-ES" w:eastAsia="es-ES"/>
              </w:rPr>
              <w:t>2024</w:t>
            </w:r>
          </w:p>
        </w:tc>
      </w:tr>
      <w:tr w:rsidR="00F5053E" w:rsidRPr="001C58F6" w14:paraId="7C6BEF47" w14:textId="77777777" w:rsidTr="00A87ED7">
        <w:trPr>
          <w:trHeight w:val="884"/>
        </w:trPr>
        <w:tc>
          <w:tcPr>
            <w:tcW w:w="2689" w:type="dxa"/>
          </w:tcPr>
          <w:p w14:paraId="3046B221" w14:textId="77777777" w:rsidR="00F5053E" w:rsidRPr="00593A5F" w:rsidRDefault="00F5053E" w:rsidP="00A87ED7">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232C7AB3" w14:textId="77777777" w:rsidR="00F5053E" w:rsidRPr="00B123CD" w:rsidRDefault="00F5053E" w:rsidP="00A87ED7">
            <w:pPr>
              <w:pStyle w:val="Textoindependiente"/>
              <w:tabs>
                <w:tab w:val="left" w:pos="150"/>
              </w:tabs>
              <w:ind w:left="859" w:right="111"/>
              <w:jc w:val="both"/>
              <w:rPr>
                <w:rFonts w:ascii="Verdana" w:hAnsi="Verdana"/>
              </w:rPr>
            </w:pPr>
            <w:r w:rsidRPr="00B123CD">
              <w:rPr>
                <w:rFonts w:ascii="Verdana" w:hAnsi="Verdana"/>
              </w:rPr>
              <w:t>ADICIÓN – Concepto – Distintos supuestos – Prohibición – Adición en más del 50% / ADICIÓN – Prohibición – Monto – Cálculo – Parágrafo artículo 40 – Ley 80 de 1993</w:t>
            </w:r>
          </w:p>
        </w:tc>
      </w:tr>
      <w:tr w:rsidR="00F5053E" w:rsidRPr="00593A5F" w14:paraId="6E653B80" w14:textId="77777777" w:rsidTr="00A87ED7">
        <w:tc>
          <w:tcPr>
            <w:tcW w:w="2689" w:type="dxa"/>
          </w:tcPr>
          <w:p w14:paraId="53C77738" w14:textId="77777777" w:rsidR="00F5053E" w:rsidRPr="00825AF7" w:rsidRDefault="00F5053E" w:rsidP="00A87ED7">
            <w:pPr>
              <w:jc w:val="both"/>
              <w:rPr>
                <w:rFonts w:ascii="Verdana" w:eastAsia="Calibri" w:hAnsi="Verdana" w:cs="Arial"/>
                <w:b/>
                <w:lang w:val="es-ES_tradnl" w:eastAsia="es-ES_tradnl"/>
              </w:rPr>
            </w:pPr>
            <w:r w:rsidRPr="00825AF7">
              <w:rPr>
                <w:rFonts w:ascii="Verdana" w:eastAsia="Calibri" w:hAnsi="Verdana" w:cs="Arial"/>
                <w:b/>
                <w:lang w:val="es-ES_tradnl" w:eastAsia="es-ES_tradnl"/>
              </w:rPr>
              <w:t>Radicación:</w:t>
            </w:r>
            <w:r w:rsidRPr="00825AF7">
              <w:rPr>
                <w:rFonts w:ascii="Verdana" w:eastAsia="Calibri" w:hAnsi="Verdana" w:cs="Arial"/>
                <w:lang w:val="es-ES_tradnl" w:eastAsia="es-ES_tradnl"/>
              </w:rPr>
              <w:t xml:space="preserve">               </w:t>
            </w:r>
          </w:p>
        </w:tc>
        <w:tc>
          <w:tcPr>
            <w:tcW w:w="6100" w:type="dxa"/>
          </w:tcPr>
          <w:p w14:paraId="26358613" w14:textId="77777777" w:rsidR="00F5053E" w:rsidRPr="00825AF7" w:rsidRDefault="00F5053E" w:rsidP="00A87ED7">
            <w:pPr>
              <w:jc w:val="both"/>
              <w:rPr>
                <w:rFonts w:ascii="Verdana" w:eastAsia="Calibri" w:hAnsi="Verdana" w:cs="Arial"/>
                <w:lang w:val="es-ES_tradnl" w:eastAsia="es-ES_tradnl"/>
              </w:rPr>
            </w:pPr>
            <w:r w:rsidRPr="00825AF7">
              <w:rPr>
                <w:rFonts w:ascii="Verdana" w:eastAsia="Calibri" w:hAnsi="Verdana" w:cs="Arial"/>
                <w:lang w:val="es-ES_tradnl" w:eastAsia="es-ES_tradnl"/>
              </w:rPr>
              <w:t xml:space="preserve">Respuesta a consulta con radicado No. </w:t>
            </w:r>
            <w:r w:rsidRPr="004A6514">
              <w:rPr>
                <w:rFonts w:ascii="Verdana" w:eastAsia="Calibri" w:hAnsi="Verdana" w:cs="Arial"/>
                <w:lang w:val="es-ES_tradnl" w:eastAsia="es-ES_tradnl"/>
              </w:rPr>
              <w:t>P20240710007011</w:t>
            </w:r>
          </w:p>
        </w:tc>
      </w:tr>
    </w:tbl>
    <w:p w14:paraId="3CA88AF9" w14:textId="77777777" w:rsidR="00F5053E" w:rsidRPr="00593A5F" w:rsidRDefault="00F5053E" w:rsidP="00F5053E">
      <w:pPr>
        <w:spacing w:after="0" w:line="240" w:lineRule="auto"/>
        <w:jc w:val="both"/>
        <w:rPr>
          <w:rFonts w:ascii="Verdana" w:eastAsia="Calibri" w:hAnsi="Verdana" w:cs="Arial"/>
          <w:color w:val="000000"/>
          <w:lang w:val="es-ES_tradnl" w:eastAsia="es-ES_tradnl"/>
        </w:rPr>
      </w:pPr>
    </w:p>
    <w:p w14:paraId="28E83478" w14:textId="77777777" w:rsidR="00F5053E" w:rsidRDefault="00F5053E" w:rsidP="00F5053E">
      <w:pPr>
        <w:spacing w:after="0" w:line="276" w:lineRule="auto"/>
        <w:jc w:val="both"/>
        <w:rPr>
          <w:rFonts w:ascii="Verdana" w:eastAsia="Calibri" w:hAnsi="Verdana" w:cs="Arial"/>
          <w:color w:val="000000" w:themeColor="text1"/>
          <w:lang w:val="es-ES" w:eastAsia="es-ES"/>
        </w:rPr>
      </w:pPr>
      <w:r w:rsidRPr="00593A5F">
        <w:rPr>
          <w:rFonts w:ascii="Verdana" w:eastAsia="Calibri" w:hAnsi="Verdana" w:cs="Arial"/>
          <w:color w:val="000000" w:themeColor="text1"/>
          <w:lang w:val="es-ES" w:eastAsia="es-ES"/>
        </w:rPr>
        <w:t>Estimad</w:t>
      </w:r>
      <w:r>
        <w:rPr>
          <w:rFonts w:ascii="Verdana" w:eastAsia="Calibri" w:hAnsi="Verdana" w:cs="Arial"/>
          <w:color w:val="000000" w:themeColor="text1"/>
          <w:lang w:val="es-ES" w:eastAsia="es-ES"/>
        </w:rPr>
        <w:t xml:space="preserve">o señor </w:t>
      </w:r>
      <w:r w:rsidRPr="005651D3">
        <w:rPr>
          <w:rFonts w:ascii="Verdana" w:eastAsia="Calibri" w:hAnsi="Verdana" w:cs="Arial"/>
          <w:lang w:val="es-ES" w:eastAsia="es-ES"/>
        </w:rPr>
        <w:t xml:space="preserve">(a) </w:t>
      </w:r>
      <w:r>
        <w:rPr>
          <w:rFonts w:ascii="Verdana" w:eastAsia="Calibri" w:hAnsi="Verdana" w:cs="Arial"/>
          <w:lang w:val="es-ES" w:eastAsia="es-ES"/>
        </w:rPr>
        <w:t>Monsalve</w:t>
      </w:r>
      <w:r w:rsidRPr="009A14E8">
        <w:rPr>
          <w:rFonts w:ascii="Verdana" w:eastAsia="Calibri" w:hAnsi="Verdana" w:cs="Arial"/>
          <w:lang w:val="es-ES" w:eastAsia="es-ES"/>
        </w:rPr>
        <w:t xml:space="preserve">: </w:t>
      </w:r>
    </w:p>
    <w:p w14:paraId="6F31BA67" w14:textId="77777777" w:rsidR="00F5053E" w:rsidRDefault="00F5053E" w:rsidP="00F5053E">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61C90750" w14:textId="77777777" w:rsidR="00F5053E" w:rsidRDefault="00F5053E" w:rsidP="00F5053E">
      <w:pPr>
        <w:spacing w:after="0" w:line="276" w:lineRule="auto"/>
        <w:jc w:val="both"/>
        <w:rPr>
          <w:rFonts w:ascii="Verdana" w:eastAsia="Calibri" w:hAnsi="Verdana" w:cs="Arial"/>
          <w:i/>
          <w:iCs/>
          <w:sz w:val="20"/>
          <w:szCs w:val="20"/>
          <w:lang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la Agencia Nacional de Contratación Pública – Colombia Compra Eficiente– responde su solicitud de</w:t>
      </w:r>
      <w:r>
        <w:rPr>
          <w:rFonts w:ascii="Verdana" w:eastAsia="Calibri" w:hAnsi="Verdana" w:cs="Arial"/>
          <w:color w:val="000000" w:themeColor="text1"/>
          <w:lang w:val="es-ES" w:eastAsia="es-ES"/>
        </w:rPr>
        <w:t xml:space="preserve"> </w:t>
      </w:r>
      <w:r w:rsidRPr="00D46ED3">
        <w:rPr>
          <w:rFonts w:ascii="Verdana" w:eastAsia="Calibri" w:hAnsi="Verdana" w:cs="Arial"/>
          <w:color w:val="000000" w:themeColor="text1"/>
          <w:lang w:val="es-ES" w:eastAsia="es-ES"/>
        </w:rPr>
        <w:t xml:space="preserve">consulta de </w:t>
      </w:r>
      <w:r w:rsidRPr="00D46ED3">
        <w:rPr>
          <w:rFonts w:ascii="Verdana" w:eastAsia="Calibri" w:hAnsi="Verdana" w:cs="Arial"/>
          <w:lang w:val="es-ES" w:eastAsia="es-ES"/>
        </w:rPr>
        <w:t xml:space="preserve">fecha </w:t>
      </w:r>
      <w:r>
        <w:rPr>
          <w:rFonts w:ascii="Verdana" w:eastAsia="Calibri" w:hAnsi="Verdana" w:cs="Arial"/>
          <w:lang w:val="es-ES" w:eastAsia="es-ES"/>
        </w:rPr>
        <w:t>10</w:t>
      </w:r>
      <w:r w:rsidRPr="00D46ED3">
        <w:rPr>
          <w:rFonts w:ascii="Verdana" w:eastAsia="Calibri" w:hAnsi="Verdana" w:cs="Arial"/>
          <w:lang w:val="es-ES" w:eastAsia="es-ES"/>
        </w:rPr>
        <w:t xml:space="preserve"> de ju</w:t>
      </w:r>
      <w:r>
        <w:rPr>
          <w:rFonts w:ascii="Verdana" w:eastAsia="Calibri" w:hAnsi="Verdana" w:cs="Arial"/>
          <w:lang w:val="es-ES" w:eastAsia="es-ES"/>
        </w:rPr>
        <w:t>l</w:t>
      </w:r>
      <w:r w:rsidRPr="00D46ED3">
        <w:rPr>
          <w:rFonts w:ascii="Verdana" w:eastAsia="Calibri" w:hAnsi="Verdana" w:cs="Arial"/>
          <w:lang w:val="es-ES" w:eastAsia="es-ES"/>
        </w:rPr>
        <w:t>io de 2024, en</w:t>
      </w:r>
      <w:r w:rsidRPr="00AA1286">
        <w:rPr>
          <w:rFonts w:ascii="Verdana" w:eastAsia="Calibri" w:hAnsi="Verdana" w:cs="Arial"/>
          <w:lang w:val="es-ES" w:eastAsia="es-ES"/>
        </w:rPr>
        <w:t xml:space="preserve"> la cual manifiesta lo siguiente: </w:t>
      </w:r>
      <w:r w:rsidRPr="00B123CD">
        <w:rPr>
          <w:rFonts w:ascii="Verdana" w:eastAsia="Calibri" w:hAnsi="Verdana" w:cs="Arial"/>
          <w:i/>
          <w:iCs/>
          <w:sz w:val="21"/>
          <w:szCs w:val="21"/>
          <w:lang w:eastAsia="es-ES"/>
        </w:rPr>
        <w:t xml:space="preserve"> “Quisiera consultarles, si en una Entidad Estatal que celebra Convenios Especiales de Cooperación de Ciencia y Tecnología con particulares, aplica el límite de la adición del 50% de su valor inicial, expresado éste en salarios mínimos legales mensuales.”</w:t>
      </w:r>
    </w:p>
    <w:p w14:paraId="782A78AD" w14:textId="77777777" w:rsidR="00F5053E" w:rsidRPr="004A6514" w:rsidRDefault="00F5053E" w:rsidP="00F5053E">
      <w:pPr>
        <w:spacing w:after="0" w:line="276" w:lineRule="auto"/>
        <w:jc w:val="both"/>
        <w:rPr>
          <w:rFonts w:ascii="Verdana" w:eastAsia="Calibri" w:hAnsi="Verdana" w:cs="Arial"/>
          <w:lang w:val="es-ES" w:eastAsia="es-ES"/>
        </w:rPr>
      </w:pPr>
    </w:p>
    <w:p w14:paraId="10648547" w14:textId="77777777" w:rsidR="00F5053E" w:rsidRDefault="00F5053E" w:rsidP="00F5053E">
      <w:pPr>
        <w:spacing w:after="120" w:line="276" w:lineRule="auto"/>
        <w:ind w:firstLine="709"/>
        <w:jc w:val="both"/>
        <w:rPr>
          <w:rFonts w:ascii="Verdana" w:eastAsia="Calibri" w:hAnsi="Verdana" w:cs="Arial"/>
          <w:color w:val="000000"/>
          <w:szCs w:val="24"/>
          <w:lang w:val="es-ES_tradnl" w:eastAsia="es-ES_tradnl"/>
        </w:rPr>
      </w:pPr>
      <w:r w:rsidRPr="00593A5F">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w:t>
      </w:r>
      <w:r w:rsidRPr="00593A5F">
        <w:rPr>
          <w:rFonts w:ascii="Verdana" w:eastAsia="Calibri" w:hAnsi="Verdana" w:cs="Arial"/>
          <w:color w:val="000000"/>
          <w:lang w:val="es-ES" w:eastAsia="es-ES"/>
        </w:rPr>
        <w:lastRenderedPageBreak/>
        <w:t xml:space="preserve">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7B59B527" w14:textId="77777777" w:rsidR="00F5053E" w:rsidRDefault="00F5053E" w:rsidP="00F5053E">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en su petición, pero haciendo unas consideraciones sobre las normas generales relacionadas con </w:t>
      </w:r>
      <w:r>
        <w:rPr>
          <w:rFonts w:ascii="Verdana" w:eastAsia="Calibri" w:hAnsi="Verdana" w:cs="Arial"/>
          <w:color w:val="000000"/>
          <w:lang w:val="es-ES" w:eastAsia="es-ES"/>
        </w:rPr>
        <w:t>el 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3B879A7F" w14:textId="77777777" w:rsidR="00F5053E" w:rsidRPr="00593A5F" w:rsidRDefault="00F5053E" w:rsidP="00F5053E">
      <w:pPr>
        <w:spacing w:after="0" w:line="276" w:lineRule="auto"/>
        <w:ind w:firstLine="709"/>
        <w:jc w:val="both"/>
        <w:rPr>
          <w:rFonts w:ascii="Verdana" w:eastAsia="Calibri" w:hAnsi="Verdana" w:cs="Arial"/>
          <w:color w:val="000000"/>
          <w:lang w:val="es-ES" w:eastAsia="es-ES"/>
        </w:rPr>
      </w:pPr>
    </w:p>
    <w:p w14:paraId="5C3EC164" w14:textId="77777777" w:rsidR="00F5053E" w:rsidRPr="00593A5F" w:rsidRDefault="00F5053E" w:rsidP="00F5053E">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6E8E0F90" w14:textId="77777777" w:rsidR="00F5053E" w:rsidRPr="00593A5F" w:rsidRDefault="00F5053E" w:rsidP="00F5053E">
      <w:pPr>
        <w:tabs>
          <w:tab w:val="left" w:pos="426"/>
        </w:tabs>
        <w:spacing w:after="0" w:line="276" w:lineRule="auto"/>
        <w:jc w:val="both"/>
        <w:rPr>
          <w:rFonts w:ascii="Verdana" w:eastAsia="Century Gothic" w:hAnsi="Verdana" w:cs="Century Gothic"/>
          <w:lang w:val="es-ES"/>
        </w:rPr>
      </w:pPr>
    </w:p>
    <w:p w14:paraId="5AF7F947" w14:textId="77777777" w:rsidR="00F5053E" w:rsidRDefault="00F5053E" w:rsidP="00F5053E">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su solicitud, esta Agencia resolverá el (los) siguiente(s) problemas jurídicos(s</w:t>
      </w:r>
      <w:r w:rsidRPr="005651D3">
        <w:rPr>
          <w:rFonts w:ascii="Verdana" w:eastAsia="Century Gothic" w:hAnsi="Verdana" w:cs="Century Gothic"/>
        </w:rPr>
        <w:t xml:space="preserve">): </w:t>
      </w:r>
    </w:p>
    <w:p w14:paraId="7622FD45" w14:textId="77777777" w:rsidR="00F5053E" w:rsidRDefault="00F5053E" w:rsidP="00F5053E">
      <w:pPr>
        <w:spacing w:after="0" w:line="276" w:lineRule="auto"/>
        <w:jc w:val="both"/>
        <w:rPr>
          <w:rFonts w:ascii="Verdana" w:eastAsia="Century Gothic" w:hAnsi="Verdana" w:cs="Century Gothic"/>
        </w:rPr>
      </w:pPr>
    </w:p>
    <w:p w14:paraId="375B3029" w14:textId="77777777" w:rsidR="00F5053E" w:rsidRPr="00A4046A" w:rsidRDefault="00F5053E" w:rsidP="00F5053E">
      <w:pPr>
        <w:pStyle w:val="Prrafodelista"/>
        <w:numPr>
          <w:ilvl w:val="0"/>
          <w:numId w:val="19"/>
        </w:numPr>
        <w:spacing w:after="0" w:line="276" w:lineRule="auto"/>
        <w:jc w:val="both"/>
        <w:rPr>
          <w:rFonts w:ascii="Verdana" w:eastAsia="Century Gothic" w:hAnsi="Verdana" w:cs="Century Gothic"/>
          <w:sz w:val="21"/>
          <w:szCs w:val="21"/>
        </w:rPr>
      </w:pPr>
      <w:r w:rsidRPr="00A4046A">
        <w:rPr>
          <w:rFonts w:ascii="Verdana" w:hAnsi="Verdana" w:cs="ArialMT"/>
          <w:sz w:val="21"/>
          <w:szCs w:val="21"/>
        </w:rPr>
        <w:t>¿</w:t>
      </w:r>
      <w:r>
        <w:rPr>
          <w:rFonts w:ascii="Verdana" w:hAnsi="Verdana" w:cs="ArialMT"/>
          <w:sz w:val="21"/>
          <w:szCs w:val="21"/>
        </w:rPr>
        <w:t>Es un convenio interadministrativo Especial de Cooperación de Ciencia y Tecnología susceptible de adición de hasta el 50% del valor inicial</w:t>
      </w:r>
      <w:r w:rsidRPr="00A4046A">
        <w:rPr>
          <w:rFonts w:ascii="Verdana" w:hAnsi="Verdana" w:cs="ArialMT"/>
          <w:sz w:val="21"/>
          <w:szCs w:val="21"/>
        </w:rPr>
        <w:t>?</w:t>
      </w:r>
    </w:p>
    <w:p w14:paraId="4053648B" w14:textId="77777777" w:rsidR="00F5053E" w:rsidRPr="00A4046A" w:rsidRDefault="00F5053E" w:rsidP="00F5053E">
      <w:pPr>
        <w:pStyle w:val="Prrafodelista"/>
        <w:spacing w:after="0" w:line="276" w:lineRule="auto"/>
        <w:jc w:val="both"/>
        <w:rPr>
          <w:rFonts w:ascii="Verdana" w:eastAsia="Century Gothic" w:hAnsi="Verdana" w:cs="Century Gothic"/>
          <w:i/>
          <w:iCs/>
          <w:sz w:val="21"/>
          <w:szCs w:val="21"/>
        </w:rPr>
      </w:pPr>
    </w:p>
    <w:p w14:paraId="5A45058E" w14:textId="77777777" w:rsidR="00F5053E" w:rsidRPr="00593A5F" w:rsidRDefault="00F5053E" w:rsidP="00F5053E">
      <w:pPr>
        <w:spacing w:after="0" w:line="276" w:lineRule="auto"/>
        <w:jc w:val="both"/>
        <w:rPr>
          <w:rFonts w:ascii="Verdana" w:eastAsia="Calibri" w:hAnsi="Verdana" w:cs="Arial"/>
          <w:color w:val="7030A0"/>
          <w:lang w:val="es-ES"/>
        </w:rPr>
      </w:pPr>
    </w:p>
    <w:p w14:paraId="24F3095B" w14:textId="77777777" w:rsidR="00F5053E" w:rsidRPr="00593A5F" w:rsidRDefault="00F5053E" w:rsidP="00F5053E">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1ABAA9B3" w14:textId="77777777" w:rsidR="00F5053E" w:rsidRPr="00593A5F" w:rsidRDefault="00F5053E" w:rsidP="00F5053E">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F5053E" w:rsidRPr="00593A5F" w14:paraId="451F3F44" w14:textId="77777777" w:rsidTr="00A87ED7">
        <w:tc>
          <w:tcPr>
            <w:tcW w:w="8828" w:type="dxa"/>
            <w:shd w:val="clear" w:color="auto" w:fill="auto"/>
          </w:tcPr>
          <w:p w14:paraId="060CF001" w14:textId="77777777" w:rsidR="00F5053E" w:rsidRDefault="00F5053E" w:rsidP="00A87ED7">
            <w:pPr>
              <w:spacing w:after="120" w:line="276" w:lineRule="auto"/>
              <w:jc w:val="both"/>
              <w:rPr>
                <w:rFonts w:ascii="Verdana" w:eastAsia="Calibri" w:hAnsi="Verdana" w:cs="Arial"/>
                <w:bCs/>
                <w:i/>
                <w:iCs/>
              </w:rPr>
            </w:pPr>
            <w:r>
              <w:rPr>
                <w:rFonts w:ascii="Verdana" w:eastAsia="Calibri" w:hAnsi="Verdana" w:cs="Arial"/>
                <w:bCs/>
              </w:rPr>
              <w:t>Como primera medida, es menester mencionar que la ejecución de los contratos y/o convenios estatales están sujetos a los cambios propios del paso del tiempo. Así durante la etapa de planeación</w:t>
            </w:r>
            <w:r w:rsidRPr="007B3F5A">
              <w:rPr>
                <w:rFonts w:ascii="Verdana" w:eastAsia="Calibri" w:hAnsi="Verdana" w:cs="Arial"/>
                <w:bCs/>
              </w:rPr>
              <w:t xml:space="preserve">, las entidades públicas estiman y determinan las prestaciones que demanda la satisfacción de la necesidad de interés colectivo que pretende satisfacer. No obstante, durante la ejecución del contrato, las partes identifican alguna de las siguientes situaciones: i) la necesidad de mayores cantidades de bienes o actividades inicialmente previstos, </w:t>
            </w:r>
            <w:r>
              <w:rPr>
                <w:rFonts w:ascii="Verdana" w:eastAsia="Calibri" w:hAnsi="Verdana" w:cs="Arial"/>
                <w:bCs/>
              </w:rPr>
              <w:t xml:space="preserve">las cuales pueden ser llamadas </w:t>
            </w:r>
            <w:r w:rsidRPr="007B3F5A">
              <w:rPr>
                <w:rFonts w:ascii="Verdana" w:eastAsia="Calibri" w:hAnsi="Verdana" w:cs="Arial"/>
                <w:bCs/>
                <w:i/>
                <w:iCs/>
              </w:rPr>
              <w:t>“obras adicionales”</w:t>
            </w:r>
            <w:r w:rsidRPr="007B3F5A">
              <w:rPr>
                <w:rFonts w:ascii="Verdana" w:eastAsia="Calibri" w:hAnsi="Verdana" w:cs="Arial"/>
                <w:bCs/>
              </w:rPr>
              <w:t xml:space="preserve"> o adición de </w:t>
            </w:r>
            <w:r w:rsidRPr="007B3F5A">
              <w:rPr>
                <w:rFonts w:ascii="Verdana" w:eastAsia="Calibri" w:hAnsi="Verdana" w:cs="Arial"/>
                <w:bCs/>
                <w:i/>
                <w:iCs/>
              </w:rPr>
              <w:t>“ítems contractuales</w:t>
            </w:r>
            <w:r>
              <w:rPr>
                <w:rFonts w:ascii="Verdana" w:eastAsia="Calibri" w:hAnsi="Verdana" w:cs="Arial"/>
                <w:bCs/>
              </w:rPr>
              <w:t>”</w:t>
            </w:r>
            <w:r w:rsidRPr="007B3F5A">
              <w:rPr>
                <w:rFonts w:ascii="Verdana" w:eastAsia="Calibri" w:hAnsi="Verdana" w:cs="Arial"/>
                <w:bCs/>
              </w:rPr>
              <w:t xml:space="preserve">; y </w:t>
            </w:r>
            <w:proofErr w:type="spellStart"/>
            <w:r w:rsidRPr="007B3F5A">
              <w:rPr>
                <w:rFonts w:ascii="Verdana" w:eastAsia="Calibri" w:hAnsi="Verdana" w:cs="Arial"/>
                <w:bCs/>
              </w:rPr>
              <w:t>ii</w:t>
            </w:r>
            <w:proofErr w:type="spellEnd"/>
            <w:r w:rsidRPr="007B3F5A">
              <w:rPr>
                <w:rFonts w:ascii="Verdana" w:eastAsia="Calibri" w:hAnsi="Verdana" w:cs="Arial"/>
                <w:bCs/>
              </w:rPr>
              <w:t xml:space="preserve">) la necesidad de ampliar las prestaciones contractuales, mediante la ejecución de nuevos ítems o actividades, no incluidos en el contrato inicial, para lo que en la práctica las entidades ejecutan </w:t>
            </w:r>
            <w:r w:rsidRPr="007B3F5A">
              <w:rPr>
                <w:rFonts w:ascii="Verdana" w:eastAsia="Calibri" w:hAnsi="Verdana" w:cs="Arial"/>
                <w:bCs/>
                <w:i/>
                <w:iCs/>
              </w:rPr>
              <w:lastRenderedPageBreak/>
              <w:t>“obras extra</w:t>
            </w:r>
            <w:r>
              <w:rPr>
                <w:rFonts w:ascii="Verdana" w:eastAsia="Calibri" w:hAnsi="Verdana" w:cs="Arial"/>
                <w:bCs/>
              </w:rPr>
              <w:t>”</w:t>
            </w:r>
            <w:r w:rsidRPr="007B3F5A">
              <w:rPr>
                <w:rFonts w:ascii="Verdana" w:eastAsia="Calibri" w:hAnsi="Verdana" w:cs="Arial"/>
                <w:bCs/>
              </w:rPr>
              <w:t xml:space="preserve"> o </w:t>
            </w:r>
            <w:r w:rsidRPr="007B3F5A">
              <w:rPr>
                <w:rFonts w:ascii="Verdana" w:eastAsia="Calibri" w:hAnsi="Verdana" w:cs="Arial"/>
                <w:bCs/>
                <w:i/>
                <w:iCs/>
              </w:rPr>
              <w:t>“amplían el alcance</w:t>
            </w:r>
            <w:r>
              <w:rPr>
                <w:rFonts w:ascii="Verdana" w:eastAsia="Calibri" w:hAnsi="Verdana" w:cs="Arial"/>
                <w:bCs/>
              </w:rPr>
              <w:t>”</w:t>
            </w:r>
            <w:r w:rsidRPr="007B3F5A">
              <w:rPr>
                <w:rFonts w:ascii="Verdana" w:eastAsia="Calibri" w:hAnsi="Verdana" w:cs="Arial"/>
                <w:bCs/>
              </w:rPr>
              <w:t xml:space="preserve"> del contrato mediante la celebración de un </w:t>
            </w:r>
            <w:r w:rsidRPr="007B3F5A">
              <w:rPr>
                <w:rFonts w:ascii="Verdana" w:eastAsia="Calibri" w:hAnsi="Verdana" w:cs="Arial"/>
                <w:bCs/>
                <w:i/>
                <w:iCs/>
              </w:rPr>
              <w:t>“contrato adicional”.</w:t>
            </w:r>
          </w:p>
          <w:p w14:paraId="395FFDC7" w14:textId="77777777" w:rsidR="00F5053E" w:rsidRDefault="00F5053E" w:rsidP="00A87ED7">
            <w:pPr>
              <w:spacing w:after="120" w:line="276" w:lineRule="auto"/>
              <w:jc w:val="both"/>
              <w:rPr>
                <w:rFonts w:ascii="Verdana" w:eastAsia="Calibri" w:hAnsi="Verdana" w:cs="Arial"/>
                <w:bCs/>
                <w:i/>
                <w:iCs/>
              </w:rPr>
            </w:pPr>
          </w:p>
          <w:p w14:paraId="3297839A" w14:textId="77777777" w:rsidR="00F5053E" w:rsidRDefault="00F5053E" w:rsidP="00A87ED7">
            <w:pPr>
              <w:spacing w:after="120" w:line="276" w:lineRule="auto"/>
              <w:jc w:val="both"/>
              <w:rPr>
                <w:rFonts w:ascii="Verdana" w:eastAsia="Calibri" w:hAnsi="Verdana" w:cs="Arial"/>
                <w:bCs/>
              </w:rPr>
            </w:pPr>
            <w:r>
              <w:rPr>
                <w:rFonts w:ascii="Verdana" w:eastAsia="Calibri" w:hAnsi="Verdana" w:cs="Arial"/>
                <w:bCs/>
              </w:rPr>
              <w:t>D</w:t>
            </w:r>
            <w:r w:rsidRPr="007B3F5A">
              <w:rPr>
                <w:rFonts w:ascii="Verdana" w:eastAsia="Calibri" w:hAnsi="Verdana" w:cs="Arial"/>
                <w:bCs/>
              </w:rPr>
              <w:t xml:space="preserve">icha figura fue </w:t>
            </w:r>
            <w:r>
              <w:rPr>
                <w:rFonts w:ascii="Verdana" w:eastAsia="Calibri" w:hAnsi="Verdana" w:cs="Arial"/>
                <w:bCs/>
              </w:rPr>
              <w:t>abordada</w:t>
            </w:r>
            <w:r w:rsidRPr="007B3F5A">
              <w:rPr>
                <w:rFonts w:ascii="Verdana" w:eastAsia="Calibri" w:hAnsi="Verdana" w:cs="Arial"/>
                <w:bCs/>
              </w:rPr>
              <w:t xml:space="preserve"> por la Ley 80 de 1993, estatuto que, fuera de lo dispuesto en relación con la potestad de modificación unilateral, solo aludió a la posibilidad de adicionar valor de los contratos estatales dentro de un límite dado por el cincuenta por ciento (50%) de su valor inicial expresado, pero sin establecer una limitación expresa sobre otros elementos sobre los que recae la adición</w:t>
            </w:r>
            <w:r>
              <w:rPr>
                <w:rFonts w:ascii="Verdana" w:eastAsia="Calibri" w:hAnsi="Verdana" w:cs="Arial"/>
                <w:bCs/>
              </w:rPr>
              <w:t>.</w:t>
            </w:r>
          </w:p>
          <w:p w14:paraId="79A06948" w14:textId="77777777" w:rsidR="00F5053E" w:rsidRDefault="00F5053E" w:rsidP="00A87ED7">
            <w:pPr>
              <w:spacing w:after="120" w:line="276" w:lineRule="auto"/>
              <w:jc w:val="both"/>
              <w:rPr>
                <w:rFonts w:ascii="Verdana" w:eastAsia="Calibri" w:hAnsi="Verdana" w:cs="Arial"/>
                <w:bCs/>
              </w:rPr>
            </w:pPr>
            <w:r w:rsidRPr="007B3F5A">
              <w:rPr>
                <w:rFonts w:ascii="Verdana" w:eastAsia="Calibri" w:hAnsi="Verdana" w:cs="Arial"/>
                <w:bCs/>
              </w:rPr>
              <w:t xml:space="preserve">No obstante, la expresión </w:t>
            </w:r>
            <w:r w:rsidRPr="007B3F5A">
              <w:rPr>
                <w:rFonts w:ascii="Verdana" w:eastAsia="Calibri" w:hAnsi="Verdana" w:cs="Arial"/>
                <w:bCs/>
                <w:i/>
                <w:iCs/>
              </w:rPr>
              <w:t>“contrato adicional”</w:t>
            </w:r>
            <w:r w:rsidRPr="007B3F5A">
              <w:rPr>
                <w:rFonts w:ascii="Verdana" w:eastAsia="Calibri" w:hAnsi="Verdana" w:cs="Arial"/>
                <w:bCs/>
              </w:rPr>
              <w:t xml:space="preserve"> al igual que las otras nociones doctrinarias y jurisprudenciales arriba señaladas entre comillas son de uso común en la práctica contractual por las entidades estatales. Lo importante en relación con las mismas, tal como se ha resaltado por esta Agencia en oportunidades anteriores, es que frente a cualquier incremento del valor inicial del contrato, que implica una adición, por cualquiera de los dos supuestos señalados previamente, e independientemente del nombre que se le dé al acuerdo, aplica el límite previsto en el parágrafo del artículo 40 de la Ley 80 de 1993.: «Los contratos no podrán adicionarse en más del cincuenta por ciento (50%) de su valor inicial, expresado éste en salarios mínimos legales mensuales». De manera que, aunque es posible celebrar todos los tipos de acuerdos indicados, siempre se debe observar esta última disposición</w:t>
            </w:r>
            <w:r>
              <w:rPr>
                <w:rFonts w:ascii="Verdana" w:eastAsia="Calibri" w:hAnsi="Verdana" w:cs="Arial"/>
                <w:bCs/>
              </w:rPr>
              <w:t>.</w:t>
            </w:r>
          </w:p>
          <w:p w14:paraId="19F3F428" w14:textId="77777777" w:rsidR="00F5053E" w:rsidRDefault="00F5053E" w:rsidP="00A87ED7">
            <w:pPr>
              <w:spacing w:after="120" w:line="276" w:lineRule="auto"/>
              <w:jc w:val="both"/>
              <w:rPr>
                <w:rFonts w:ascii="Verdana" w:eastAsia="Calibri" w:hAnsi="Verdana" w:cs="Arial"/>
                <w:bCs/>
              </w:rPr>
            </w:pPr>
          </w:p>
          <w:p w14:paraId="3EEA65E4" w14:textId="77777777" w:rsidR="00F5053E" w:rsidRDefault="00F5053E" w:rsidP="00A87ED7">
            <w:pPr>
              <w:spacing w:after="120" w:line="276" w:lineRule="auto"/>
              <w:jc w:val="both"/>
              <w:rPr>
                <w:rFonts w:ascii="Verdana" w:eastAsia="Calibri" w:hAnsi="Verdana" w:cs="Arial"/>
                <w:b/>
              </w:rPr>
            </w:pPr>
            <w:r w:rsidRPr="007B3F5A">
              <w:rPr>
                <w:rFonts w:ascii="Verdana" w:eastAsia="Calibri" w:hAnsi="Verdana" w:cs="Arial"/>
                <w:bCs/>
              </w:rPr>
              <w:t xml:space="preserve">Dicha norma además de consagrar una prohibición trae implícita una autorización, consistente en la posibilidad de adicionar los contratos estatales, siempre que no se supere el tope establecido. </w:t>
            </w:r>
            <w:r w:rsidRPr="007B3F5A">
              <w:rPr>
                <w:rFonts w:ascii="Verdana" w:eastAsia="Calibri" w:hAnsi="Verdana" w:cs="Arial"/>
                <w:b/>
              </w:rPr>
              <w:t>La regla establecida en el parágrafo del artículo 40 de la Ley 80 de 1993 aplica a todos los contratos estatales regidos por el EGCAP, independientemente de la modalidad de selección, de la tipología contractual del negocio jurídico que se considere necesario adicionar o del sistema de precios pactados</w:t>
            </w:r>
            <w:r>
              <w:rPr>
                <w:rFonts w:ascii="Verdana" w:eastAsia="Calibri" w:hAnsi="Verdana" w:cs="Arial"/>
                <w:b/>
              </w:rPr>
              <w:t>.</w:t>
            </w:r>
          </w:p>
          <w:p w14:paraId="4153C0FB" w14:textId="77777777" w:rsidR="00F5053E" w:rsidRPr="005C70F8" w:rsidRDefault="00F5053E" w:rsidP="00A87ED7">
            <w:pPr>
              <w:spacing w:after="120" w:line="276" w:lineRule="auto"/>
              <w:jc w:val="both"/>
              <w:rPr>
                <w:rFonts w:ascii="Verdana" w:eastAsia="Calibri" w:hAnsi="Verdana" w:cs="Arial"/>
                <w:bCs/>
              </w:rPr>
            </w:pPr>
            <w:r w:rsidRPr="005C70F8">
              <w:rPr>
                <w:rFonts w:ascii="Verdana" w:eastAsia="Calibri" w:hAnsi="Verdana" w:cs="Arial"/>
                <w:bCs/>
              </w:rPr>
              <w:t xml:space="preserve">Vale mencionar que, la única excepción prevista partiendo de la modalidad de selección y/o la tipología contractual es cuando se prorroga un contrato de servicio de interventoría </w:t>
            </w:r>
          </w:p>
        </w:tc>
      </w:tr>
    </w:tbl>
    <w:p w14:paraId="5ACAE4A0" w14:textId="77777777" w:rsidR="00F5053E" w:rsidRPr="00593A5F" w:rsidRDefault="00F5053E" w:rsidP="00F5053E">
      <w:pPr>
        <w:tabs>
          <w:tab w:val="left" w:pos="142"/>
          <w:tab w:val="left" w:pos="284"/>
        </w:tabs>
        <w:spacing w:after="0" w:line="276" w:lineRule="auto"/>
        <w:jc w:val="both"/>
        <w:rPr>
          <w:rFonts w:ascii="Verdana" w:eastAsia="Century Gothic" w:hAnsi="Verdana" w:cs="Century Gothic"/>
          <w:b/>
          <w:bCs/>
          <w:lang w:val="es-ES"/>
        </w:rPr>
      </w:pPr>
    </w:p>
    <w:p w14:paraId="34B1AE8F" w14:textId="77777777" w:rsidR="00F5053E" w:rsidRPr="00593A5F" w:rsidRDefault="00F5053E" w:rsidP="00F5053E">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1F827506" w14:textId="77777777" w:rsidR="00F5053E" w:rsidRPr="00593A5F" w:rsidRDefault="00F5053E" w:rsidP="00F5053E">
      <w:pPr>
        <w:spacing w:after="0" w:line="276" w:lineRule="auto"/>
        <w:jc w:val="both"/>
        <w:rPr>
          <w:rFonts w:ascii="Verdana" w:eastAsia="Calibri" w:hAnsi="Verdana" w:cs="Arial"/>
          <w:color w:val="7030A0"/>
          <w:lang w:val="es-ES"/>
        </w:rPr>
      </w:pPr>
    </w:p>
    <w:p w14:paraId="6AD02F2F" w14:textId="77777777" w:rsidR="00F5053E" w:rsidRDefault="00F5053E" w:rsidP="00F5053E">
      <w:pPr>
        <w:spacing w:after="0" w:line="276" w:lineRule="auto"/>
        <w:jc w:val="both"/>
        <w:rPr>
          <w:rFonts w:ascii="Verdana" w:eastAsia="Calibri" w:hAnsi="Verdana" w:cs="Arial"/>
          <w:lang w:val="es-ES"/>
        </w:rPr>
      </w:pPr>
      <w:r w:rsidRPr="00B96799">
        <w:rPr>
          <w:rFonts w:ascii="Verdana" w:eastAsia="Calibri" w:hAnsi="Verdana" w:cs="Arial"/>
          <w:lang w:val="es-ES"/>
        </w:rPr>
        <w:t>Lo anterior se sustenta en las siguientes consideraciones:</w:t>
      </w:r>
    </w:p>
    <w:p w14:paraId="4FAF0D44" w14:textId="77777777" w:rsidR="00F5053E" w:rsidRDefault="00F5053E" w:rsidP="00F5053E">
      <w:pPr>
        <w:spacing w:after="0" w:line="276" w:lineRule="auto"/>
        <w:jc w:val="both"/>
        <w:rPr>
          <w:rFonts w:ascii="Verdana" w:eastAsia="Calibri" w:hAnsi="Verdana" w:cs="Arial"/>
          <w:lang w:val="es-ES"/>
        </w:rPr>
      </w:pPr>
    </w:p>
    <w:p w14:paraId="099CD8D3" w14:textId="77777777" w:rsidR="00F5053E" w:rsidRPr="00AA681A" w:rsidRDefault="00F5053E" w:rsidP="00F5053E">
      <w:pPr>
        <w:pStyle w:val="Prrafodelista"/>
        <w:numPr>
          <w:ilvl w:val="0"/>
          <w:numId w:val="20"/>
        </w:numPr>
        <w:spacing w:after="0" w:line="276" w:lineRule="auto"/>
        <w:jc w:val="both"/>
        <w:rPr>
          <w:rFonts w:ascii="Verdana" w:eastAsia="Calibri" w:hAnsi="Verdana" w:cs="Arial"/>
        </w:rPr>
      </w:pPr>
      <w:r w:rsidRPr="00AA681A">
        <w:rPr>
          <w:rFonts w:ascii="Verdana" w:eastAsia="Calibri" w:hAnsi="Verdana" w:cs="Arial"/>
          <w:lang w:val="es-CO"/>
        </w:rPr>
        <w:t>Como se ha resaltado por esta Agencia en oportunidades anteriores, es que frente a cualquier incremento del valor inicial del contrato, que implica una adición</w:t>
      </w:r>
      <w:r>
        <w:rPr>
          <w:rFonts w:ascii="Verdana" w:eastAsia="Calibri" w:hAnsi="Verdana" w:cs="Arial"/>
          <w:lang w:val="es-CO"/>
        </w:rPr>
        <w:t xml:space="preserve"> que </w:t>
      </w:r>
      <w:r w:rsidRPr="00AA681A">
        <w:rPr>
          <w:rFonts w:ascii="Verdana" w:eastAsia="Calibri" w:hAnsi="Verdana" w:cs="Arial"/>
          <w:lang w:val="es-CO"/>
        </w:rPr>
        <w:t>e independientemente del nombre que se le dé al acuerdo, aplica el límite previsto en el parágrafo del artículo 40 de la Ley 80 de 1993.: “Los contratos no podrán adicionarse en más del cincuenta por ciento (50%) de su valor inicial, expresado éste en salarios mínimos legales mensuales” </w:t>
      </w:r>
    </w:p>
    <w:p w14:paraId="6136D870" w14:textId="77777777" w:rsidR="00F5053E" w:rsidRDefault="00F5053E" w:rsidP="00F5053E">
      <w:pPr>
        <w:pStyle w:val="Prrafodelista"/>
        <w:spacing w:after="0" w:line="276" w:lineRule="auto"/>
        <w:jc w:val="both"/>
        <w:rPr>
          <w:rFonts w:ascii="Verdana" w:eastAsia="Calibri" w:hAnsi="Verdana" w:cs="Arial"/>
        </w:rPr>
      </w:pPr>
    </w:p>
    <w:p w14:paraId="101A2CF6" w14:textId="77777777" w:rsidR="00F5053E" w:rsidRPr="005C70F8" w:rsidRDefault="00F5053E" w:rsidP="00F5053E">
      <w:pPr>
        <w:pStyle w:val="Prrafodelista"/>
        <w:numPr>
          <w:ilvl w:val="0"/>
          <w:numId w:val="20"/>
        </w:numPr>
        <w:spacing w:after="0" w:line="276" w:lineRule="auto"/>
        <w:jc w:val="both"/>
        <w:rPr>
          <w:rFonts w:ascii="Verdana" w:eastAsia="Calibri" w:hAnsi="Verdana" w:cs="Arial"/>
        </w:rPr>
      </w:pPr>
      <w:r>
        <w:rPr>
          <w:rFonts w:ascii="Verdana" w:eastAsia="Calibri" w:hAnsi="Verdana" w:cs="Arial"/>
        </w:rPr>
        <w:t>S</w:t>
      </w:r>
      <w:r w:rsidRPr="005C70F8">
        <w:rPr>
          <w:rFonts w:ascii="Verdana" w:eastAsia="Calibri" w:hAnsi="Verdana" w:cs="Arial"/>
          <w:lang w:val="es-CO"/>
        </w:rPr>
        <w:t>ostiene esta Agencia,</w:t>
      </w:r>
      <w:r>
        <w:rPr>
          <w:rFonts w:ascii="Verdana" w:eastAsia="Calibri" w:hAnsi="Verdana" w:cs="Arial"/>
          <w:lang w:val="es-CO"/>
        </w:rPr>
        <w:t xml:space="preserve"> </w:t>
      </w:r>
      <w:r w:rsidRPr="005C70F8">
        <w:rPr>
          <w:rFonts w:ascii="Verdana" w:eastAsia="Calibri" w:hAnsi="Verdana" w:cs="Arial"/>
          <w:lang w:val="es-CO"/>
        </w:rPr>
        <w:t xml:space="preserve">que cualquier aumento del valor, independientemente de la causa que lo origine, se enmarca dentro del límite del parágrafo del artículo 40, de manera que la norma debe entenderse en el sentido de que cualquier aumento del precio inicial, que implique añadir recursos a los inicialmente previstos, implica la celebración de una adición ―que será un contrato―, independientemente del nombre que se le dé y que necesariamente se someterá a la norma prohibitiva, salvo norma especial que excepcione la regla </w:t>
      </w:r>
      <w:r>
        <w:rPr>
          <w:rFonts w:ascii="Verdana" w:eastAsia="Calibri" w:hAnsi="Verdana" w:cs="Arial"/>
          <w:lang w:val="es-CO"/>
        </w:rPr>
        <w:t>general.</w:t>
      </w:r>
    </w:p>
    <w:p w14:paraId="573B9EE6" w14:textId="77777777" w:rsidR="00F5053E" w:rsidRPr="0073484C" w:rsidRDefault="00F5053E" w:rsidP="00F5053E">
      <w:pPr>
        <w:pStyle w:val="Prrafodelista"/>
        <w:spacing w:after="0" w:line="276" w:lineRule="auto"/>
        <w:jc w:val="both"/>
        <w:rPr>
          <w:rFonts w:ascii="Verdana" w:eastAsia="Calibri" w:hAnsi="Verdana" w:cs="Arial"/>
        </w:rPr>
      </w:pPr>
    </w:p>
    <w:p w14:paraId="254BCCFA" w14:textId="77777777" w:rsidR="00F5053E" w:rsidRDefault="00F5053E" w:rsidP="00F5053E">
      <w:pPr>
        <w:pStyle w:val="Prrafodelista"/>
        <w:numPr>
          <w:ilvl w:val="0"/>
          <w:numId w:val="20"/>
        </w:numPr>
        <w:spacing w:after="0" w:line="276" w:lineRule="auto"/>
        <w:jc w:val="both"/>
        <w:rPr>
          <w:rFonts w:ascii="Verdana" w:eastAsia="Calibri" w:hAnsi="Verdana" w:cs="Arial"/>
          <w:lang w:val="es-CO"/>
        </w:rPr>
      </w:pPr>
      <w:r>
        <w:rPr>
          <w:rFonts w:ascii="Verdana" w:eastAsia="Calibri" w:hAnsi="Verdana" w:cs="Arial"/>
          <w:lang w:val="es-CO"/>
        </w:rPr>
        <w:t>L</w:t>
      </w:r>
      <w:r w:rsidRPr="005C70F8">
        <w:rPr>
          <w:rFonts w:ascii="Verdana" w:eastAsia="Calibri" w:hAnsi="Verdana" w:cs="Arial"/>
          <w:lang w:val="es-CO"/>
        </w:rPr>
        <w:t xml:space="preserve">a Sección Tercera del Consejo de Estado, en el año 2010, se pronunció al respecto al resolver sobre la legalidad del artículo 73 del Decreto 2474 de 2008, que autorizaba la adición de algunos contratos por encima del 50%. </w:t>
      </w:r>
      <w:r>
        <w:rPr>
          <w:rFonts w:ascii="Verdana" w:eastAsia="Calibri" w:hAnsi="Verdana" w:cs="Arial"/>
          <w:lang w:val="es-CO"/>
        </w:rPr>
        <w:t>En la mencionada providencia se</w:t>
      </w:r>
      <w:r w:rsidRPr="005C70F8">
        <w:rPr>
          <w:rFonts w:ascii="Verdana" w:eastAsia="Calibri" w:hAnsi="Verdana" w:cs="Arial"/>
          <w:lang w:val="es-CO"/>
        </w:rPr>
        <w:t xml:space="preserve"> declaró </w:t>
      </w:r>
      <w:r>
        <w:rPr>
          <w:rFonts w:ascii="Verdana" w:eastAsia="Calibri" w:hAnsi="Verdana" w:cs="Arial"/>
          <w:lang w:val="es-CO"/>
        </w:rPr>
        <w:t>la</w:t>
      </w:r>
      <w:r w:rsidRPr="005C70F8">
        <w:rPr>
          <w:rFonts w:ascii="Verdana" w:eastAsia="Calibri" w:hAnsi="Verdana" w:cs="Arial"/>
          <w:lang w:val="es-CO"/>
        </w:rPr>
        <w:t xml:space="preserve"> nulidad de dicha norma, exponiendo los siguientes argumentos:</w:t>
      </w:r>
    </w:p>
    <w:p w14:paraId="68034A1E" w14:textId="77777777" w:rsidR="00F5053E" w:rsidRPr="005C70F8" w:rsidRDefault="00F5053E" w:rsidP="00F5053E">
      <w:pPr>
        <w:pStyle w:val="Prrafodelista"/>
        <w:rPr>
          <w:rFonts w:ascii="Verdana" w:eastAsia="Calibri" w:hAnsi="Verdana" w:cs="Arial"/>
          <w:lang w:val="es-CO"/>
        </w:rPr>
      </w:pPr>
    </w:p>
    <w:p w14:paraId="613F3CAF" w14:textId="77777777" w:rsidR="00F5053E" w:rsidRPr="00AA681A" w:rsidRDefault="00F5053E" w:rsidP="00F5053E">
      <w:pPr>
        <w:pStyle w:val="Prrafodelista"/>
        <w:spacing w:after="0" w:line="276" w:lineRule="auto"/>
        <w:jc w:val="both"/>
        <w:rPr>
          <w:rFonts w:ascii="Verdana" w:eastAsia="Calibri" w:hAnsi="Verdana" w:cs="Arial"/>
          <w:i/>
          <w:iCs/>
          <w:sz w:val="21"/>
          <w:szCs w:val="21"/>
          <w:lang w:val="es-CO"/>
        </w:rPr>
      </w:pPr>
      <w:r w:rsidRPr="00AA681A">
        <w:rPr>
          <w:rFonts w:ascii="Verdana" w:eastAsia="Calibri" w:hAnsi="Verdana" w:cs="Arial"/>
          <w:i/>
          <w:iCs/>
          <w:sz w:val="21"/>
          <w:szCs w:val="21"/>
          <w:lang w:val="es-CO"/>
        </w:rPr>
        <w:t xml:space="preserve">“[…]La Sala acogerá la pretensión formulada en atención a que como ya ha sostenido la jurisprudencia de esta Corporación las expresiones utilizadas por la ley (“adicionar” y “valor inicial”), hacen referencia a la necesidad de operar modificaciones en algunos negocios jurídicos, lo cual implica una variación en el valor pactado. En este evento, se trata de obras nuevas o distintas indispensables para alcanzar la finalidad perseguida con el acuerdo de voluntades. No obstante lo anterior, la legislación vigente contempla una limitante: el valor de lo adicionado no puede sobrepasar la mitad de lo inicialmente pactado, asegurándose su actualización mediante las variaciones que presenta el salario mínimo legal mensual. La prohibición expresada por el legislador en el artículo 40 del Estatuto de contratación estatal, es una medida que no sólo busca que no se burlen los procedimientos de selección, sino que además asegura principios como la transparencia, la selección </w:t>
      </w:r>
      <w:r w:rsidRPr="00AA681A">
        <w:rPr>
          <w:rFonts w:ascii="Verdana" w:eastAsia="Calibri" w:hAnsi="Verdana" w:cs="Arial"/>
          <w:i/>
          <w:iCs/>
          <w:sz w:val="21"/>
          <w:szCs w:val="21"/>
          <w:lang w:val="es-CO"/>
        </w:rPr>
        <w:lastRenderedPageBreak/>
        <w:t>objetiva y la planeación. Llegados a este punto, se encuentra que la norma demandada tiene el alcance que el demandante le endilga, en ella se señala la posibilidad de adicionar el contrato de interventoría sin atender a ningún límite de valor, el único criterio que se tiene presente es la prórroga del contrato sobre el cual se realiza la inspección y vigilancia. En otras palabras, se permite una adición que no tiene en cuenta la prohibición establecida en el artículo 40 de la Ley 80 de 1993 y que podría sobrepasar en más de un 50% el valor de lo inicialmente pactado</w:t>
      </w:r>
      <w:r>
        <w:rPr>
          <w:rStyle w:val="Refdenotaalpie"/>
          <w:rFonts w:ascii="Verdana" w:eastAsia="Calibri" w:hAnsi="Verdana" w:cs="Arial"/>
          <w:i/>
          <w:iCs/>
          <w:sz w:val="21"/>
          <w:szCs w:val="21"/>
          <w:lang w:val="es-CO"/>
        </w:rPr>
        <w:footnoteReference w:id="1"/>
      </w:r>
    </w:p>
    <w:p w14:paraId="5207F2F8" w14:textId="77777777" w:rsidR="00F5053E" w:rsidRPr="0073484C" w:rsidRDefault="00F5053E" w:rsidP="00F5053E">
      <w:pPr>
        <w:pStyle w:val="Prrafodelista"/>
        <w:spacing w:after="0" w:line="276" w:lineRule="auto"/>
        <w:jc w:val="both"/>
        <w:rPr>
          <w:rFonts w:ascii="Verdana" w:eastAsia="Calibri" w:hAnsi="Verdana" w:cs="Arial"/>
          <w:i/>
          <w:iCs/>
        </w:rPr>
      </w:pPr>
    </w:p>
    <w:p w14:paraId="1600F56E" w14:textId="77777777" w:rsidR="00F5053E" w:rsidRDefault="00F5053E" w:rsidP="00F5053E">
      <w:pPr>
        <w:pStyle w:val="Prrafodelista"/>
        <w:numPr>
          <w:ilvl w:val="0"/>
          <w:numId w:val="20"/>
        </w:numPr>
        <w:spacing w:after="0" w:line="276" w:lineRule="auto"/>
        <w:jc w:val="both"/>
        <w:rPr>
          <w:rFonts w:ascii="Verdana" w:eastAsia="Calibri" w:hAnsi="Verdana" w:cs="Arial"/>
        </w:rPr>
      </w:pPr>
      <w:r w:rsidRPr="00B123CD">
        <w:rPr>
          <w:rFonts w:ascii="Verdana" w:eastAsia="Calibri" w:hAnsi="Verdana" w:cs="Arial"/>
          <w:lang w:val="es-CO"/>
        </w:rPr>
        <w:t xml:space="preserve">Ahora bien, para determinar cómo debe hacerse el cálculo de la adición, basta con remitirse a lo dispuesto en el parágrafo del artículo 40 de la Ley 80 de 1993 </w:t>
      </w:r>
      <w:r>
        <w:rPr>
          <w:rFonts w:ascii="Verdana" w:eastAsia="Calibri" w:hAnsi="Verdana" w:cs="Arial"/>
          <w:lang w:val="es-CO"/>
        </w:rPr>
        <w:t>“</w:t>
      </w:r>
      <w:r w:rsidRPr="00B123CD">
        <w:rPr>
          <w:rFonts w:ascii="Verdana" w:eastAsia="Calibri" w:hAnsi="Verdana" w:cs="Arial"/>
          <w:lang w:val="es-CO"/>
        </w:rPr>
        <w:t xml:space="preserve">Los contratos no podrán adicionarse en más del cincuenta por ciento (50%) de su valor inicial, expresado éste en salarios mínimos legales </w:t>
      </w:r>
      <w:proofErr w:type="gramStart"/>
      <w:r w:rsidRPr="00B123CD">
        <w:rPr>
          <w:rFonts w:ascii="Verdana" w:eastAsia="Calibri" w:hAnsi="Verdana" w:cs="Arial"/>
          <w:lang w:val="es-CO"/>
        </w:rPr>
        <w:t>mensuales</w:t>
      </w:r>
      <w:r>
        <w:rPr>
          <w:rFonts w:ascii="Verdana" w:eastAsia="Calibri" w:hAnsi="Verdana" w:cs="Arial"/>
          <w:lang w:val="es-CO"/>
        </w:rPr>
        <w:t>”</w:t>
      </w:r>
      <w:r w:rsidRPr="0073484C">
        <w:rPr>
          <w:rFonts w:ascii="Verdana" w:eastAsia="Calibri" w:hAnsi="Verdana" w:cs="Arial"/>
        </w:rPr>
        <w:t>o</w:t>
      </w:r>
      <w:proofErr w:type="gramEnd"/>
      <w:r w:rsidRPr="0073484C">
        <w:rPr>
          <w:rFonts w:ascii="Verdana" w:eastAsia="Calibri" w:hAnsi="Verdana" w:cs="Arial"/>
        </w:rPr>
        <w:t xml:space="preserve">, </w:t>
      </w:r>
      <w:proofErr w:type="spellStart"/>
      <w:r w:rsidRPr="0073484C">
        <w:rPr>
          <w:rFonts w:ascii="Verdana" w:eastAsia="Calibri" w:hAnsi="Verdana" w:cs="Arial"/>
        </w:rPr>
        <w:t>iii</w:t>
      </w:r>
      <w:proofErr w:type="spellEnd"/>
      <w:r w:rsidRPr="0073484C">
        <w:rPr>
          <w:rFonts w:ascii="Verdana" w:eastAsia="Calibri" w:hAnsi="Verdana" w:cs="Arial"/>
        </w:rPr>
        <w:t>) la fecha del acuerdo que disponga la terminación del contrato.</w:t>
      </w:r>
    </w:p>
    <w:p w14:paraId="3DD42E90" w14:textId="77777777" w:rsidR="00F5053E" w:rsidRPr="0073484C" w:rsidRDefault="00F5053E" w:rsidP="00F5053E">
      <w:pPr>
        <w:pStyle w:val="Prrafodelista"/>
        <w:rPr>
          <w:rFonts w:ascii="Verdana" w:eastAsia="Calibri" w:hAnsi="Verdana" w:cs="Arial"/>
        </w:rPr>
      </w:pPr>
    </w:p>
    <w:p w14:paraId="100B2D99" w14:textId="77777777" w:rsidR="00F5053E" w:rsidRPr="00B123CD" w:rsidRDefault="00F5053E" w:rsidP="00F5053E">
      <w:pPr>
        <w:pStyle w:val="Prrafodelista"/>
        <w:numPr>
          <w:ilvl w:val="0"/>
          <w:numId w:val="20"/>
        </w:numPr>
        <w:spacing w:after="0" w:line="276" w:lineRule="auto"/>
        <w:jc w:val="both"/>
        <w:rPr>
          <w:rFonts w:ascii="Verdana" w:eastAsia="Calibri" w:hAnsi="Verdana" w:cs="Arial"/>
        </w:rPr>
      </w:pPr>
      <w:r w:rsidRPr="00B123CD">
        <w:rPr>
          <w:rFonts w:ascii="Verdana" w:eastAsia="Calibri" w:hAnsi="Verdana" w:cs="Arial"/>
          <w:lang w:val="es-CO"/>
        </w:rPr>
        <w:t>En consecuencia, al momento de adicionar debe tenerse en cuenta que el cálculo del límite debe realizarse en salarios mínimos para efectos de que el cálculo del tope sea preciso. De manera que para adicionar un contrato debe dividirse el valor inicial por el salario mínimo legal mensual vigente –SMLMV– al momento de la suscripción del contrato, y luego dividirlo por dos. El resultado obtenido constituirá el número de SMLMV por los cuales podrá adicionarse el contrato. En este sentido, para evitar equivocaciones, lo ideal es que cada vez que se efectúe una adición, se estime su valor en salarios mínimos, que se calcularán con base en el vigente al momento de la adición, de manera que se descuenten estos de los salarios mínimos que restan por adicionar, pues las modificaciones podrían hacerse en diferentes años, porque si el contrato se ejecuta sin existir variación en el valor del salario mínimo la operación sería la misma si se toma el monto en pesos.</w:t>
      </w:r>
    </w:p>
    <w:p w14:paraId="17E0ED8C" w14:textId="77777777" w:rsidR="00F5053E" w:rsidRPr="00B123CD" w:rsidRDefault="00F5053E" w:rsidP="00F5053E">
      <w:pPr>
        <w:pStyle w:val="Prrafodelista"/>
        <w:rPr>
          <w:rFonts w:ascii="Verdana" w:eastAsia="Calibri" w:hAnsi="Verdana" w:cs="Arial"/>
        </w:rPr>
      </w:pPr>
    </w:p>
    <w:p w14:paraId="2B05D8B8" w14:textId="77777777" w:rsidR="00F5053E" w:rsidRPr="00B123CD" w:rsidRDefault="00F5053E" w:rsidP="00F5053E">
      <w:pPr>
        <w:pStyle w:val="Prrafodelista"/>
        <w:numPr>
          <w:ilvl w:val="0"/>
          <w:numId w:val="20"/>
        </w:numPr>
        <w:spacing w:after="0" w:line="276" w:lineRule="auto"/>
        <w:jc w:val="both"/>
        <w:rPr>
          <w:rFonts w:ascii="Verdana" w:eastAsia="Calibri" w:hAnsi="Verdana" w:cs="Arial"/>
        </w:rPr>
      </w:pPr>
      <w:r w:rsidRPr="00B123CD">
        <w:rPr>
          <w:rFonts w:ascii="Verdana" w:eastAsia="Calibri" w:hAnsi="Verdana" w:cs="Arial"/>
          <w:lang w:val="es-CO"/>
        </w:rPr>
        <w:t xml:space="preserve">El razonamiento anterior se fundamenta en la forma como la Ley 80 de 1993 estableció el tope para las adiciones, acudiendo a una forma de actualización del valor, de acuerdo con los incrementos que tenga el salario mínimo, lo que resulta especialmente relevante en contratos de larga duración. En consecuencia, se considera que debido a que cuando </w:t>
      </w:r>
      <w:r w:rsidRPr="00B123CD">
        <w:rPr>
          <w:rFonts w:ascii="Verdana" w:eastAsia="Calibri" w:hAnsi="Verdana" w:cs="Arial"/>
          <w:lang w:val="es-CO"/>
        </w:rPr>
        <w:lastRenderedPageBreak/>
        <w:t>el legislador fijó ese límite de la adición de los contratos estatales acudiendo al concepto o, si se quiere, a la fórmula de los SMLMV quedó prevista intrínsecamente una actualización del valor del dinero, en aras de corregir su depreciación, para efectos de establecer el tope por el cual se puede incrementar el valor de los contratos estatales.</w:t>
      </w:r>
    </w:p>
    <w:p w14:paraId="1A57E1EA" w14:textId="77777777" w:rsidR="00F5053E" w:rsidRPr="00B123CD" w:rsidRDefault="00F5053E" w:rsidP="00F5053E">
      <w:pPr>
        <w:spacing w:after="0" w:line="276" w:lineRule="auto"/>
        <w:jc w:val="both"/>
        <w:rPr>
          <w:rFonts w:ascii="Verdana" w:eastAsia="Calibri" w:hAnsi="Verdana" w:cs="Arial"/>
        </w:rPr>
      </w:pPr>
    </w:p>
    <w:p w14:paraId="38828408" w14:textId="77777777" w:rsidR="00F5053E" w:rsidRPr="00593A5F" w:rsidRDefault="00F5053E" w:rsidP="00F5053E">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 jurisprudenciales y otras fuentes:</w:t>
      </w:r>
    </w:p>
    <w:p w14:paraId="020FFF53" w14:textId="77777777" w:rsidR="00F5053E" w:rsidRPr="00593A5F" w:rsidRDefault="00F5053E" w:rsidP="00F5053E">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F5053E" w:rsidRPr="00593A5F" w14:paraId="4CB39ED1" w14:textId="77777777" w:rsidTr="00A87ED7">
        <w:trPr>
          <w:trHeight w:val="870"/>
        </w:trPr>
        <w:tc>
          <w:tcPr>
            <w:tcW w:w="8647" w:type="dxa"/>
          </w:tcPr>
          <w:p w14:paraId="3AC2D384" w14:textId="77777777" w:rsidR="00F5053E" w:rsidRPr="00B123CD" w:rsidRDefault="00F5053E" w:rsidP="00A87ED7">
            <w:pPr>
              <w:pStyle w:val="Prrafodelista"/>
              <w:numPr>
                <w:ilvl w:val="0"/>
                <w:numId w:val="18"/>
              </w:numPr>
              <w:jc w:val="both"/>
              <w:rPr>
                <w:rFonts w:ascii="Verdana" w:eastAsia="Calibri" w:hAnsi="Verdana" w:cs="Arial"/>
                <w:bCs/>
                <w:color w:val="000000"/>
                <w:sz w:val="21"/>
                <w:szCs w:val="21"/>
                <w:lang w:eastAsia="es-ES_tradnl"/>
              </w:rPr>
            </w:pPr>
            <w:r w:rsidRPr="00B123CD">
              <w:rPr>
                <w:rFonts w:ascii="Verdana" w:eastAsia="Calibri" w:hAnsi="Verdana" w:cs="Arial"/>
                <w:bCs/>
              </w:rPr>
              <w:t>Artículo 40 de la Ley 80 de 1993.</w:t>
            </w:r>
          </w:p>
          <w:p w14:paraId="5F3949EB" w14:textId="77777777" w:rsidR="00F5053E" w:rsidRPr="00B123CD" w:rsidRDefault="00F5053E" w:rsidP="00A87ED7">
            <w:pPr>
              <w:pStyle w:val="Textonotapie"/>
              <w:numPr>
                <w:ilvl w:val="0"/>
                <w:numId w:val="18"/>
              </w:numPr>
              <w:rPr>
                <w:lang w:val="es-CO"/>
              </w:rPr>
            </w:pPr>
            <w:r w:rsidRPr="00B123CD">
              <w:rPr>
                <w:rFonts w:ascii="Verdana" w:hAnsi="Verdana"/>
                <w:sz w:val="22"/>
                <w:szCs w:val="22"/>
                <w:lang w:val="es-CO"/>
              </w:rPr>
              <w:t xml:space="preserve">Consejo de Estado. Sección Tercera. Sentencia del 14 de abril de 2010. </w:t>
            </w:r>
            <w:proofErr w:type="spellStart"/>
            <w:r w:rsidRPr="00B123CD">
              <w:rPr>
                <w:rFonts w:ascii="Verdana" w:hAnsi="Verdana"/>
                <w:sz w:val="22"/>
                <w:szCs w:val="22"/>
                <w:lang w:val="es-CO"/>
              </w:rPr>
              <w:t>Exp</w:t>
            </w:r>
            <w:proofErr w:type="spellEnd"/>
            <w:r w:rsidRPr="00B123CD">
              <w:rPr>
                <w:rFonts w:ascii="Verdana" w:hAnsi="Verdana"/>
                <w:sz w:val="22"/>
                <w:szCs w:val="22"/>
                <w:lang w:val="es-CO"/>
              </w:rPr>
              <w:t>. 36.054. C.P.: Enrique Gil Botero</w:t>
            </w:r>
            <w:r w:rsidRPr="00B123CD">
              <w:rPr>
                <w:lang w:val="es-CO"/>
              </w:rPr>
              <w:t>.</w:t>
            </w:r>
          </w:p>
          <w:p w14:paraId="33D59A7B" w14:textId="77777777" w:rsidR="00F5053E" w:rsidRPr="00B123CD" w:rsidRDefault="00F5053E" w:rsidP="00A87ED7">
            <w:pPr>
              <w:pStyle w:val="Prrafodelista"/>
              <w:widowControl w:val="0"/>
              <w:numPr>
                <w:ilvl w:val="0"/>
                <w:numId w:val="17"/>
              </w:numPr>
              <w:autoSpaceDE w:val="0"/>
              <w:autoSpaceDN w:val="0"/>
              <w:spacing w:after="120" w:line="276" w:lineRule="auto"/>
              <w:contextualSpacing w:val="0"/>
              <w:jc w:val="both"/>
              <w:rPr>
                <w:rFonts w:ascii="Verdana" w:hAnsi="Verdana" w:cs="Arial"/>
                <w:sz w:val="21"/>
                <w:szCs w:val="21"/>
              </w:rPr>
            </w:pPr>
            <w:r>
              <w:rPr>
                <w:rFonts w:ascii="Verdana" w:eastAsia="Calibri" w:hAnsi="Verdana" w:cs="Arial"/>
                <w:lang w:val="es-CO"/>
              </w:rPr>
              <w:t>A</w:t>
            </w:r>
            <w:r w:rsidRPr="005C70F8">
              <w:rPr>
                <w:rFonts w:ascii="Verdana" w:eastAsia="Calibri" w:hAnsi="Verdana" w:cs="Arial"/>
                <w:lang w:val="es-CO"/>
              </w:rPr>
              <w:t>rtículo 73 del Decreto 2474 de 2008</w:t>
            </w:r>
          </w:p>
          <w:p w14:paraId="24943FEB" w14:textId="77777777" w:rsidR="00F5053E" w:rsidRPr="00A4046A" w:rsidRDefault="00F5053E" w:rsidP="00A87ED7">
            <w:pPr>
              <w:pStyle w:val="Prrafodelista"/>
              <w:widowControl w:val="0"/>
              <w:numPr>
                <w:ilvl w:val="0"/>
                <w:numId w:val="17"/>
              </w:numPr>
              <w:autoSpaceDE w:val="0"/>
              <w:autoSpaceDN w:val="0"/>
              <w:spacing w:after="120" w:line="276" w:lineRule="auto"/>
              <w:contextualSpacing w:val="0"/>
              <w:jc w:val="both"/>
              <w:rPr>
                <w:rFonts w:ascii="Verdana" w:hAnsi="Verdana" w:cs="Arial"/>
                <w:sz w:val="21"/>
                <w:szCs w:val="21"/>
              </w:rPr>
            </w:pPr>
            <w:r w:rsidRPr="00A4046A">
              <w:rPr>
                <w:rFonts w:ascii="Verdana" w:hAnsi="Verdana" w:cs="Arial"/>
                <w:sz w:val="21"/>
                <w:szCs w:val="21"/>
              </w:rPr>
              <w:t xml:space="preserve">Jurisprudencia del Consejo de Estado. Disponible en: </w:t>
            </w:r>
            <w:hyperlink r:id="rId11" w:history="1">
              <w:r w:rsidRPr="0066366A">
                <w:rPr>
                  <w:rStyle w:val="Hipervnculo"/>
                  <w:rFonts w:ascii="Verdana" w:hAnsi="Verdana" w:cs="Arial"/>
                  <w:sz w:val="21"/>
                  <w:szCs w:val="21"/>
                </w:rPr>
                <w:t>https://relatoria.colombiacompra.gov.co/providencias-consejo-de-estado/</w:t>
              </w:r>
            </w:hyperlink>
            <w:r w:rsidRPr="00A4046A">
              <w:rPr>
                <w:rFonts w:ascii="Verdana" w:hAnsi="Verdana" w:cs="Arial"/>
                <w:sz w:val="21"/>
                <w:szCs w:val="21"/>
              </w:rPr>
              <w:t xml:space="preserve"> </w:t>
            </w:r>
          </w:p>
          <w:p w14:paraId="6664EF0A" w14:textId="77777777" w:rsidR="00F5053E" w:rsidRPr="00A4046A" w:rsidRDefault="00F5053E" w:rsidP="00A87ED7">
            <w:pPr>
              <w:pStyle w:val="Prrafodelista"/>
              <w:widowControl w:val="0"/>
              <w:numPr>
                <w:ilvl w:val="0"/>
                <w:numId w:val="17"/>
              </w:numPr>
              <w:autoSpaceDE w:val="0"/>
              <w:autoSpaceDN w:val="0"/>
              <w:spacing w:after="120" w:line="276" w:lineRule="auto"/>
              <w:contextualSpacing w:val="0"/>
              <w:jc w:val="both"/>
              <w:rPr>
                <w:rFonts w:ascii="Verdana" w:hAnsi="Verdana" w:cs="Arial"/>
                <w:sz w:val="21"/>
                <w:szCs w:val="21"/>
              </w:rPr>
            </w:pPr>
            <w:r w:rsidRPr="00A4046A">
              <w:rPr>
                <w:rFonts w:ascii="Verdana" w:hAnsi="Verdana" w:cs="Arial"/>
                <w:sz w:val="21"/>
                <w:szCs w:val="21"/>
              </w:rPr>
              <w:t>Guías y manuales expedidos por la ANCP-CCE. Disponible en:</w:t>
            </w:r>
            <w:r w:rsidRPr="00A4046A">
              <w:rPr>
                <w:sz w:val="21"/>
                <w:szCs w:val="21"/>
              </w:rPr>
              <w:t xml:space="preserve"> </w:t>
            </w:r>
            <w:hyperlink r:id="rId12" w:history="1">
              <w:r w:rsidRPr="00A4046A">
                <w:rPr>
                  <w:rStyle w:val="Hipervnculo"/>
                  <w:rFonts w:ascii="Verdana" w:hAnsi="Verdana" w:cs="Arial"/>
                  <w:sz w:val="21"/>
                  <w:szCs w:val="21"/>
                </w:rPr>
                <w:t>https://www.colombiacompra.gov.co/manuales-guias-y-pliegos-tipo/manuales-y-guias</w:t>
              </w:r>
            </w:hyperlink>
            <w:r w:rsidRPr="00A4046A">
              <w:rPr>
                <w:rFonts w:ascii="Verdana" w:hAnsi="Verdana" w:cs="Arial"/>
                <w:sz w:val="21"/>
                <w:szCs w:val="21"/>
              </w:rPr>
              <w:t xml:space="preserve"> </w:t>
            </w:r>
          </w:p>
          <w:p w14:paraId="49333636" w14:textId="77777777" w:rsidR="00F5053E" w:rsidRPr="00AC742F" w:rsidRDefault="00F5053E" w:rsidP="00A87ED7">
            <w:pPr>
              <w:widowControl w:val="0"/>
              <w:autoSpaceDE w:val="0"/>
              <w:autoSpaceDN w:val="0"/>
              <w:spacing w:after="120" w:line="276" w:lineRule="auto"/>
              <w:ind w:left="360"/>
              <w:jc w:val="both"/>
              <w:rPr>
                <w:rFonts w:ascii="Verdana" w:hAnsi="Verdana" w:cs="Arial"/>
              </w:rPr>
            </w:pPr>
          </w:p>
        </w:tc>
      </w:tr>
    </w:tbl>
    <w:p w14:paraId="21E092AB" w14:textId="77777777" w:rsidR="00F5053E" w:rsidRPr="00593A5F" w:rsidRDefault="00F5053E" w:rsidP="00F5053E">
      <w:pPr>
        <w:widowControl w:val="0"/>
        <w:autoSpaceDE w:val="0"/>
        <w:autoSpaceDN w:val="0"/>
        <w:spacing w:after="0" w:line="276" w:lineRule="auto"/>
        <w:jc w:val="both"/>
        <w:rPr>
          <w:rFonts w:ascii="Verdana" w:hAnsi="Verdana" w:cs="Arial"/>
        </w:rPr>
      </w:pPr>
    </w:p>
    <w:p w14:paraId="3F675C53" w14:textId="77777777" w:rsidR="00F5053E" w:rsidRPr="00593A5F" w:rsidRDefault="00F5053E" w:rsidP="00F5053E">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7B4DAA73" w14:textId="77777777" w:rsidR="00F5053E" w:rsidRPr="00593A5F" w:rsidRDefault="00F5053E" w:rsidP="00F5053E">
      <w:pPr>
        <w:widowControl w:val="0"/>
        <w:autoSpaceDE w:val="0"/>
        <w:autoSpaceDN w:val="0"/>
        <w:spacing w:after="0" w:line="276" w:lineRule="auto"/>
        <w:jc w:val="both"/>
        <w:rPr>
          <w:rFonts w:ascii="Verdana" w:hAnsi="Verdana" w:cs="Arial"/>
        </w:rPr>
      </w:pPr>
    </w:p>
    <w:p w14:paraId="6D90F6DC" w14:textId="77777777" w:rsidR="00F5053E" w:rsidRPr="005B6F15" w:rsidRDefault="00F5053E" w:rsidP="00F5053E">
      <w:pPr>
        <w:spacing w:after="120" w:line="276" w:lineRule="auto"/>
        <w:ind w:firstLine="708"/>
        <w:jc w:val="both"/>
        <w:rPr>
          <w:rStyle w:val="normaltextrun"/>
          <w:rFonts w:ascii="Verdana" w:eastAsia="Calibri" w:hAnsi="Verdana" w:cs="Arial"/>
          <w:bCs/>
          <w:color w:val="000000"/>
          <w:lang w:eastAsia="es-ES_tradnl"/>
        </w:rPr>
      </w:pPr>
      <w:r w:rsidRPr="00B123CD">
        <w:rPr>
          <w:rFonts w:ascii="Verdana" w:eastAsia="Calibri" w:hAnsi="Verdana" w:cs="Arial"/>
          <w:lang w:eastAsia="es-ES"/>
        </w:rPr>
        <w:t>La Agencia Nacional de Contratación Pública ― Colombia Compra Eficiente, en los conceptos con radicado Nos. 4201912000007298 de 23 de octubre de 2019, 4201913000006294 del 16 de septiembre de 2019, así como en los conceptos C-062 del 25 de marzo de 2020, C-100 del 27 de marzo de 2020, C-318 del 28 de mayo de 2020, C– 452 del 28 de julio de 2020, C-560 del 24 de agosto de 2020, C-628 del 23 de septiembre del 2020, C-750 del 21 de diciembre de 2020, C-073 de 16 de marzo de 2021, C-277 de 21 de junio de 2021, C-644 de 18 de noviembre de 2021, C-755 de 21 de enero de 2022, C-152 de 1 de abril de 2022, C-267 de 5 de mayo de 2022 y C-432 de 13 de julio de 2022 y C-630 del 29 de septiembre de 2022, estudió asuntos relacionados con la adición de los contratos estatales</w:t>
      </w:r>
      <w:r w:rsidRPr="00A81558">
        <w:rPr>
          <w:rFonts w:ascii="Verdana" w:eastAsia="Calibri" w:hAnsi="Verdana" w:cs="Arial"/>
          <w:lang w:eastAsia="es-ES"/>
        </w:rPr>
        <w:t>. Las tesis expuestas en dichas oportunidades se reiteran a continuación y se complementan en lo pertinente.</w:t>
      </w:r>
      <w:r>
        <w:rPr>
          <w:rFonts w:ascii="Verdana" w:eastAsia="Calibri" w:hAnsi="Verdana" w:cs="Arial"/>
          <w:bCs/>
          <w:color w:val="000000"/>
          <w:lang w:eastAsia="es-ES_tradnl"/>
        </w:rPr>
        <w:t xml:space="preserve"> </w:t>
      </w:r>
      <w:r w:rsidRPr="005B6F15">
        <w:rPr>
          <w:rFonts w:ascii="Verdana" w:eastAsia="Calibri" w:hAnsi="Verdana" w:cs="Arial"/>
          <w:bCs/>
          <w:color w:val="000000"/>
          <w:lang w:eastAsia="es-ES_tradnl"/>
        </w:rPr>
        <w:t xml:space="preserve">Estos y otros conceptos se encuentran disponibles para consulta en el Sistema de Relatoría de la Agencia, en el cual también podrás encontrar jurisprudencia del Consejo de Estado, laudos arbitrales y la normativa de la contratación </w:t>
      </w:r>
      <w:r w:rsidRPr="005B6F15">
        <w:rPr>
          <w:rFonts w:ascii="Verdana" w:eastAsia="Calibri" w:hAnsi="Verdana" w:cs="Arial"/>
          <w:bCs/>
          <w:color w:val="000000"/>
          <w:lang w:eastAsia="es-ES_tradnl"/>
        </w:rPr>
        <w:lastRenderedPageBreak/>
        <w:t>concordada con la doctrina de la Subdirección de Gestión Contractual. Accede a través del siguiente enlace: </w:t>
      </w:r>
      <w:hyperlink r:id="rId13" w:tgtFrame="_blank" w:tooltip="Dirección URL original: https://relatoria.colombiacompra.gov.co/. Haga clic o pulse si confía en este vínculo." w:history="1">
        <w:r w:rsidRPr="005B6F15">
          <w:rPr>
            <w:rStyle w:val="Hipervnculo"/>
            <w:rFonts w:ascii="Verdana" w:eastAsia="Calibri" w:hAnsi="Verdana" w:cs="Arial"/>
            <w:bCs/>
            <w:lang w:eastAsia="es-ES_tradnl"/>
          </w:rPr>
          <w:t>https://relatoria.colombiacompra.gov.co/</w:t>
        </w:r>
      </w:hyperlink>
      <w:r w:rsidRPr="005B6F15">
        <w:rPr>
          <w:rFonts w:ascii="Verdana" w:eastAsia="Calibri" w:hAnsi="Verdana" w:cs="Arial"/>
          <w:bCs/>
          <w:color w:val="000000"/>
          <w:lang w:eastAsia="es-ES_tradnl"/>
        </w:rPr>
        <w:t> . Te invitamos también a revisar la tercera edición del  Boletín de Relatoría de 2024 en el cual podrás consultar en detalle el marco normativo de documentos tipo: </w:t>
      </w:r>
      <w:hyperlink r:id="rId14" w:tgtFrame="_blank" w:tooltip="Dirección URL original: https://www.colombiacompra.gov.co/sites/cce_public/files/files_2020/boletin_de_realtoria_iii.pdf. Haga clic o pulse si confía en este vínculo." w:history="1">
        <w:r w:rsidRPr="005B6F15">
          <w:rPr>
            <w:rStyle w:val="Hipervnculo"/>
            <w:rFonts w:ascii="Verdana" w:eastAsia="Calibri" w:hAnsi="Verdana" w:cs="Arial"/>
            <w:bCs/>
            <w:lang w:eastAsia="es-ES_tradnl"/>
          </w:rPr>
          <w:t>https://www.colombiacompra.gov.co/sites/cce_public/files/files_2020/boletin_de_realtoria_iii.pdf</w:t>
        </w:r>
      </w:hyperlink>
      <w:r w:rsidRPr="005B6F15">
        <w:rPr>
          <w:rFonts w:ascii="Verdana" w:eastAsia="Calibri" w:hAnsi="Verdana" w:cs="Arial"/>
          <w:bCs/>
          <w:color w:val="000000"/>
          <w:lang w:eastAsia="es-ES_tradnl"/>
        </w:rPr>
        <w:t> ".  </w:t>
      </w:r>
    </w:p>
    <w:p w14:paraId="6D5B4424" w14:textId="77777777" w:rsidR="00F5053E" w:rsidRPr="005B6F15" w:rsidRDefault="00F5053E" w:rsidP="00F5053E">
      <w:pPr>
        <w:spacing w:after="120" w:line="276" w:lineRule="auto"/>
        <w:jc w:val="both"/>
        <w:rPr>
          <w:rFonts w:ascii="Verdana" w:eastAsia="Calibri" w:hAnsi="Verdana" w:cs="Arial"/>
          <w:lang w:eastAsia="es-ES"/>
        </w:rPr>
      </w:pPr>
      <w:r w:rsidRPr="005B6F15">
        <w:rPr>
          <w:rFonts w:ascii="Verdana" w:eastAsia="Calibri" w:hAnsi="Verdana" w:cs="Arial"/>
          <w:lang w:eastAsia="es-ES"/>
        </w:rPr>
        <w:t>De otra parte, te informamos que entre el 15 al 29 de agosto de 2024 estará disponible para comentarios la Guía para Promover la Participación de las MIPYMES en los Procesos de Compra y Contratación Pública. Esta nueva versión desarrolla lineamientos para la aplicación de los incentivos regulados por normas como la Ley 2069 de 2020 y los decretos 1860 de 2021, 142 de 2023 y el 874 de 2024. Te invitamos a participar dejando tus observaciones en los siguientes enlaces: </w:t>
      </w:r>
      <w:hyperlink r:id="rId15" w:tgtFrame="_blank" w:tooltip="Dirección URL original: https://www.sucop.gov.co/entidades/colombiacompra/Normativa?IDNorma=17363. Haga clic o pulse si confía en este vínculo." w:history="1">
        <w:r w:rsidRPr="005B6F15">
          <w:rPr>
            <w:rStyle w:val="Hipervnculo"/>
            <w:rFonts w:ascii="Verdana" w:eastAsia="Calibri" w:hAnsi="Verdana" w:cs="Arial"/>
            <w:lang w:eastAsia="es-ES"/>
          </w:rPr>
          <w:t>https://www.sucop.gov.co/entidades/colombiacompra/Normativa?IDNorma=17363</w:t>
        </w:r>
      </w:hyperlink>
      <w:r w:rsidRPr="005B6F15">
        <w:rPr>
          <w:rFonts w:ascii="Verdana" w:eastAsia="Calibri" w:hAnsi="Verdana" w:cs="Arial"/>
          <w:lang w:eastAsia="es-ES"/>
        </w:rPr>
        <w:t> y </w:t>
      </w:r>
      <w:hyperlink r:id="rId16" w:tgtFrame="_blank" w:tooltip="Dirección URL original: https://www.colombiacompra.gov.co/content/convocatorias. Haga clic o pulse si confía en este vínculo." w:history="1">
        <w:r w:rsidRPr="005B6F15">
          <w:rPr>
            <w:rStyle w:val="Hipervnculo"/>
            <w:rFonts w:ascii="Verdana" w:eastAsia="Calibri" w:hAnsi="Verdana" w:cs="Arial"/>
            <w:lang w:eastAsia="es-ES"/>
          </w:rPr>
          <w:t>https://www.colombiacompra.gov.co/content/convocatorias</w:t>
        </w:r>
      </w:hyperlink>
      <w:r w:rsidRPr="005B6F15">
        <w:rPr>
          <w:rFonts w:ascii="Verdana" w:eastAsia="Calibri" w:hAnsi="Verdana" w:cs="Arial"/>
          <w:lang w:eastAsia="es-ES"/>
        </w:rPr>
        <w:t> ". </w:t>
      </w:r>
    </w:p>
    <w:p w14:paraId="6151FA69" w14:textId="77777777" w:rsidR="00F5053E" w:rsidRDefault="00F5053E" w:rsidP="00F5053E">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21006630" w14:textId="77777777" w:rsidR="00F5053E" w:rsidRPr="003E2460" w:rsidRDefault="00F5053E" w:rsidP="00F5053E">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14:paraId="275D0353" w14:textId="77777777" w:rsidR="00F5053E" w:rsidRPr="003E2460" w:rsidRDefault="00F5053E" w:rsidP="00F5053E">
      <w:pPr>
        <w:spacing w:after="0" w:line="240" w:lineRule="auto"/>
        <w:jc w:val="both"/>
        <w:rPr>
          <w:rFonts w:ascii="Verdana" w:hAnsi="Verdana"/>
        </w:rPr>
      </w:pPr>
    </w:p>
    <w:p w14:paraId="3655505C" w14:textId="77777777" w:rsidR="00F5053E" w:rsidRPr="003E2460" w:rsidRDefault="00F5053E" w:rsidP="00F5053E">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01F89EA9" w14:textId="77777777" w:rsidR="00F5053E" w:rsidRPr="003E2460" w:rsidRDefault="00F5053E" w:rsidP="00F5053E">
      <w:pPr>
        <w:spacing w:after="0" w:line="240" w:lineRule="auto"/>
        <w:jc w:val="both"/>
        <w:rPr>
          <w:rFonts w:ascii="Verdana" w:hAnsi="Verdana"/>
        </w:rPr>
      </w:pPr>
      <w:r w:rsidRPr="003E2460">
        <w:rPr>
          <w:rFonts w:ascii="Verdana" w:hAnsi="Verdana"/>
        </w:rPr>
        <w:t xml:space="preserve">Facebook: </w:t>
      </w:r>
      <w:proofErr w:type="spellStart"/>
      <w:r w:rsidRPr="003E2460">
        <w:rPr>
          <w:rStyle w:val="Hipervnculo"/>
          <w:rFonts w:ascii="Verdana" w:hAnsi="Verdana"/>
          <w:color w:val="4472C4" w:themeColor="accent1"/>
        </w:rPr>
        <w:t>ColombiaCompraEficiente</w:t>
      </w:r>
      <w:proofErr w:type="spellEnd"/>
    </w:p>
    <w:p w14:paraId="39EB6694" w14:textId="77777777" w:rsidR="00F5053E" w:rsidRPr="003E2460" w:rsidRDefault="00F5053E" w:rsidP="00F5053E">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16CB038D" w14:textId="77777777" w:rsidR="00F5053E" w:rsidRPr="00593A5F" w:rsidRDefault="00F5053E" w:rsidP="00F5053E">
      <w:pPr>
        <w:widowControl w:val="0"/>
        <w:autoSpaceDE w:val="0"/>
        <w:autoSpaceDN w:val="0"/>
        <w:spacing w:after="0" w:line="276" w:lineRule="auto"/>
        <w:jc w:val="both"/>
        <w:rPr>
          <w:rFonts w:ascii="Verdana" w:hAnsi="Verdana" w:cs="Arial"/>
        </w:rPr>
      </w:pPr>
    </w:p>
    <w:p w14:paraId="05540328" w14:textId="77777777" w:rsidR="00F5053E" w:rsidRDefault="00F5053E" w:rsidP="00F5053E">
      <w:pPr>
        <w:pStyle w:val="Textoindependiente"/>
        <w:spacing w:line="276" w:lineRule="auto"/>
        <w:ind w:right="533"/>
        <w:jc w:val="both"/>
        <w:rPr>
          <w:rFonts w:ascii="Verdana" w:eastAsia="Calibri" w:hAnsi="Verdana" w:cs="Arial"/>
          <w:bCs/>
          <w:color w:val="000000"/>
          <w:kern w:val="2"/>
          <w14:ligatures w14:val="standardContextual"/>
        </w:rPr>
      </w:pPr>
      <w:r>
        <w:rPr>
          <w:rFonts w:ascii="Verdana" w:eastAsia="Calibri" w:hAnsi="Verdana" w:cs="Arial"/>
          <w:bCs/>
          <w:color w:val="000000"/>
          <w:kern w:val="2"/>
          <w14:ligatures w14:val="standardContextual"/>
        </w:rPr>
        <w:t>E</w:t>
      </w:r>
      <w:r w:rsidRPr="005B6F15">
        <w:rPr>
          <w:rFonts w:ascii="Verdana" w:eastAsia="Calibri" w:hAnsi="Verdana" w:cs="Arial"/>
          <w:bCs/>
          <w:color w:val="000000"/>
          <w:kern w:val="2"/>
          <w14:ligatures w14:val="standardContextual"/>
        </w:rPr>
        <w:t xml:space="preserv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 </w:t>
      </w:r>
    </w:p>
    <w:p w14:paraId="0309BB39" w14:textId="77777777" w:rsidR="00F5053E" w:rsidRPr="00593A5F" w:rsidRDefault="00F5053E" w:rsidP="00F5053E">
      <w:pPr>
        <w:pStyle w:val="Textoindependiente"/>
        <w:spacing w:line="276" w:lineRule="auto"/>
        <w:ind w:right="533"/>
        <w:jc w:val="both"/>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27603B32" w14:textId="3D335E07" w:rsidR="00F5053E" w:rsidRPr="00593A5F" w:rsidRDefault="00F61F28" w:rsidP="00F5053E">
      <w:pPr>
        <w:spacing w:line="276" w:lineRule="auto"/>
        <w:jc w:val="center"/>
        <w:rPr>
          <w:rFonts w:ascii="Verdana" w:hAnsi="Verdana" w:cs="Arial"/>
          <w:color w:val="000000"/>
          <w:lang w:val="es-ES_tradnl" w:eastAsia="es-CO"/>
        </w:rPr>
      </w:pPr>
      <w:r w:rsidRPr="002C3AD6">
        <w:rPr>
          <w:rFonts w:ascii="Century Gothic" w:hAnsi="Century Gothic"/>
          <w:noProof/>
        </w:rPr>
        <w:drawing>
          <wp:inline distT="0" distB="0" distL="0" distR="0" wp14:anchorId="76AAFD78" wp14:editId="18CAD703">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7"/>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F5053E" w:rsidRPr="004B2B8D" w14:paraId="335569A8" w14:textId="77777777" w:rsidTr="00A87ED7">
        <w:trPr>
          <w:trHeight w:val="315"/>
        </w:trPr>
        <w:tc>
          <w:tcPr>
            <w:tcW w:w="893" w:type="dxa"/>
            <w:vAlign w:val="center"/>
            <w:hideMark/>
          </w:tcPr>
          <w:p w14:paraId="31CBBD91" w14:textId="77777777" w:rsidR="00F5053E" w:rsidRPr="004B2B8D" w:rsidRDefault="00F5053E" w:rsidP="00A87ED7">
            <w:pPr>
              <w:contextualSpacing/>
              <w:rPr>
                <w:rFonts w:ascii="Verdana" w:hAnsi="Verdana" w:cs="Arial"/>
                <w:sz w:val="16"/>
                <w:szCs w:val="16"/>
                <w:lang w:val="es-ES" w:eastAsia="es-ES"/>
              </w:rPr>
            </w:pPr>
            <w:r w:rsidRPr="004B2B8D">
              <w:rPr>
                <w:rFonts w:ascii="Verdana" w:hAnsi="Verdana" w:cs="Arial"/>
                <w:sz w:val="16"/>
                <w:szCs w:val="16"/>
                <w:lang w:val="es-ES" w:eastAsia="es-ES"/>
              </w:rPr>
              <w:lastRenderedPageBreak/>
              <w:t>Elaboró:</w:t>
            </w:r>
          </w:p>
        </w:tc>
        <w:tc>
          <w:tcPr>
            <w:tcW w:w="5628" w:type="dxa"/>
            <w:tcBorders>
              <w:top w:val="nil"/>
              <w:left w:val="nil"/>
              <w:bottom w:val="dotted" w:sz="4" w:space="0" w:color="7F7F7F" w:themeColor="text1" w:themeTint="80"/>
              <w:right w:val="nil"/>
            </w:tcBorders>
            <w:vAlign w:val="center"/>
            <w:hideMark/>
          </w:tcPr>
          <w:p w14:paraId="70342A55" w14:textId="77777777" w:rsidR="00F5053E" w:rsidRPr="004B2B8D" w:rsidRDefault="00F5053E" w:rsidP="00A87ED7">
            <w:pPr>
              <w:contextualSpacing/>
              <w:rPr>
                <w:rFonts w:ascii="Verdana" w:eastAsia="Arial" w:hAnsi="Verdana" w:cs="Arial"/>
                <w:sz w:val="16"/>
                <w:szCs w:val="16"/>
              </w:rPr>
            </w:pPr>
            <w:r w:rsidRPr="004B2B8D">
              <w:rPr>
                <w:rFonts w:ascii="Verdana" w:eastAsia="Arial" w:hAnsi="Verdana" w:cs="Arial"/>
                <w:sz w:val="16"/>
                <w:szCs w:val="16"/>
              </w:rPr>
              <w:t>Richard Andrés Montenegro Siefken</w:t>
            </w:r>
          </w:p>
          <w:p w14:paraId="1C48E3BC" w14:textId="77777777" w:rsidR="00F5053E" w:rsidRPr="004B2B8D" w:rsidRDefault="00F5053E" w:rsidP="00A87ED7">
            <w:pPr>
              <w:contextualSpacing/>
              <w:rPr>
                <w:rFonts w:ascii="Verdana" w:eastAsia="Arial" w:hAnsi="Verdana" w:cs="Arial"/>
                <w:sz w:val="16"/>
                <w:szCs w:val="16"/>
              </w:rPr>
            </w:pPr>
            <w:r w:rsidRPr="004B2B8D">
              <w:rPr>
                <w:rStyle w:val="normaltextrun"/>
                <w:rFonts w:ascii="Verdana" w:eastAsia="Arial" w:hAnsi="Verdana" w:cs="Arial"/>
                <w:sz w:val="16"/>
                <w:szCs w:val="16"/>
              </w:rPr>
              <w:t>Contratista de la Subdirección de Gestión Contractual</w:t>
            </w:r>
          </w:p>
        </w:tc>
      </w:tr>
      <w:tr w:rsidR="00F5053E" w:rsidRPr="004B2B8D" w14:paraId="3100B134" w14:textId="77777777" w:rsidTr="00A87ED7">
        <w:trPr>
          <w:trHeight w:val="330"/>
        </w:trPr>
        <w:tc>
          <w:tcPr>
            <w:tcW w:w="893" w:type="dxa"/>
            <w:vAlign w:val="center"/>
            <w:hideMark/>
          </w:tcPr>
          <w:p w14:paraId="6EC31B02" w14:textId="77777777" w:rsidR="00F5053E" w:rsidRPr="004B2B8D" w:rsidRDefault="00F5053E" w:rsidP="00A87ED7">
            <w:pPr>
              <w:contextualSpacing/>
              <w:rPr>
                <w:rFonts w:ascii="Verdana" w:hAnsi="Verdana" w:cs="Arial"/>
                <w:sz w:val="16"/>
                <w:szCs w:val="16"/>
                <w:lang w:val="es-ES" w:eastAsia="es-ES"/>
              </w:rPr>
            </w:pPr>
            <w:r w:rsidRPr="004B2B8D">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4DF018C8" w14:textId="77777777" w:rsidR="00F5053E" w:rsidRPr="0079283E" w:rsidRDefault="00F5053E" w:rsidP="00A87ED7">
            <w:pPr>
              <w:pStyle w:val="paragraph"/>
              <w:spacing w:before="0" w:beforeAutospacing="0" w:after="0" w:afterAutospacing="0"/>
              <w:contextualSpacing/>
              <w:textAlignment w:val="baseline"/>
              <w:rPr>
                <w:rFonts w:ascii="Verdana" w:hAnsi="Verdana" w:cs="Segoe UI"/>
                <w:sz w:val="16"/>
                <w:szCs w:val="16"/>
              </w:rPr>
            </w:pPr>
            <w:r>
              <w:rPr>
                <w:rFonts w:ascii="Verdana" w:hAnsi="Verdana" w:cs="Segoe UI"/>
                <w:sz w:val="16"/>
                <w:szCs w:val="16"/>
              </w:rPr>
              <w:t>Juan David Cárdenas Cabezas</w:t>
            </w:r>
          </w:p>
          <w:p w14:paraId="0EF390A5" w14:textId="77777777" w:rsidR="00F5053E" w:rsidRPr="004B2B8D" w:rsidRDefault="00F5053E" w:rsidP="00A87ED7">
            <w:pPr>
              <w:pStyle w:val="paragraph"/>
              <w:spacing w:before="0" w:beforeAutospacing="0" w:after="0" w:afterAutospacing="0"/>
              <w:contextualSpacing/>
              <w:textAlignment w:val="baseline"/>
              <w:rPr>
                <w:rFonts w:ascii="Verdana" w:hAnsi="Verdana" w:cs="Segoe UI"/>
                <w:sz w:val="16"/>
                <w:szCs w:val="16"/>
              </w:rPr>
            </w:pPr>
            <w:r w:rsidRPr="005B6F15">
              <w:rPr>
                <w:rStyle w:val="normaltextrun"/>
                <w:rFonts w:ascii="Verdana" w:hAnsi="Verdana" w:cs="Arial"/>
                <w:sz w:val="16"/>
                <w:szCs w:val="16"/>
                <w:lang w:val="es-ES"/>
              </w:rPr>
              <w:t>C</w:t>
            </w:r>
            <w:r w:rsidRPr="005B6F15">
              <w:rPr>
                <w:rStyle w:val="normaltextrun"/>
                <w:rFonts w:ascii="Verdana" w:hAnsi="Verdana"/>
                <w:sz w:val="16"/>
                <w:szCs w:val="16"/>
                <w:lang w:val="es-ES"/>
              </w:rPr>
              <w:t>ontratista</w:t>
            </w:r>
            <w:r w:rsidRPr="005B6F15">
              <w:rPr>
                <w:rStyle w:val="normaltextrun"/>
                <w:rFonts w:ascii="Verdana" w:hAnsi="Verdana" w:cs="Arial"/>
                <w:sz w:val="16"/>
                <w:szCs w:val="16"/>
                <w:lang w:val="es-ES"/>
              </w:rPr>
              <w:t xml:space="preserve"> de</w:t>
            </w:r>
            <w:r w:rsidRPr="004B2B8D">
              <w:rPr>
                <w:rStyle w:val="normaltextrun"/>
                <w:rFonts w:ascii="Verdana" w:hAnsi="Verdana" w:cs="Arial"/>
                <w:sz w:val="16"/>
                <w:szCs w:val="16"/>
                <w:lang w:val="es-ES"/>
              </w:rPr>
              <w:t xml:space="preserve"> la Subdirección de Gestión Contractual</w:t>
            </w:r>
            <w:r w:rsidRPr="004B2B8D">
              <w:rPr>
                <w:rStyle w:val="eop"/>
                <w:rFonts w:ascii="Verdana" w:hAnsi="Verdana" w:cs="Arial"/>
                <w:sz w:val="16"/>
                <w:szCs w:val="16"/>
              </w:rPr>
              <w:t> </w:t>
            </w:r>
          </w:p>
        </w:tc>
      </w:tr>
      <w:tr w:rsidR="00F5053E" w:rsidRPr="004B2B8D" w14:paraId="209BF5EA" w14:textId="77777777" w:rsidTr="00A87ED7">
        <w:trPr>
          <w:trHeight w:val="300"/>
        </w:trPr>
        <w:tc>
          <w:tcPr>
            <w:tcW w:w="893" w:type="dxa"/>
            <w:vAlign w:val="center"/>
          </w:tcPr>
          <w:p w14:paraId="029AF8A1" w14:textId="77777777" w:rsidR="00F5053E" w:rsidRPr="004B2B8D" w:rsidRDefault="00F5053E" w:rsidP="00A87ED7">
            <w:pPr>
              <w:contextualSpacing/>
              <w:rPr>
                <w:rFonts w:ascii="Verdana" w:hAnsi="Verdana" w:cs="Arial"/>
                <w:sz w:val="16"/>
                <w:szCs w:val="16"/>
                <w:lang w:val="es-ES" w:eastAsia="es-ES"/>
              </w:rPr>
            </w:pPr>
            <w:r w:rsidRPr="004B2B8D">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0E40D8B6" w14:textId="77777777" w:rsidR="00F5053E" w:rsidRPr="004B2B8D" w:rsidRDefault="00F5053E" w:rsidP="00A87ED7">
            <w:pPr>
              <w:contextualSpacing/>
              <w:rPr>
                <w:rFonts w:ascii="Verdana" w:eastAsia="Calibri" w:hAnsi="Verdana" w:cs="Arial"/>
                <w:sz w:val="16"/>
                <w:szCs w:val="16"/>
                <w:lang w:val="pt-BR" w:eastAsia="es-ES"/>
              </w:rPr>
            </w:pPr>
            <w:r w:rsidRPr="004B2B8D">
              <w:rPr>
                <w:rFonts w:ascii="Verdana" w:eastAsia="Calibri" w:hAnsi="Verdana" w:cs="Arial"/>
                <w:sz w:val="16"/>
                <w:szCs w:val="16"/>
                <w:lang w:val="pt-BR" w:eastAsia="es-ES"/>
              </w:rPr>
              <w:t xml:space="preserve">Carolina Quintero </w:t>
            </w:r>
            <w:proofErr w:type="spellStart"/>
            <w:r w:rsidRPr="004B2B8D">
              <w:rPr>
                <w:rFonts w:ascii="Verdana" w:eastAsia="Calibri" w:hAnsi="Verdana" w:cs="Arial"/>
                <w:sz w:val="16"/>
                <w:szCs w:val="16"/>
                <w:lang w:val="pt-BR" w:eastAsia="es-ES"/>
              </w:rPr>
              <w:t>Gacharná</w:t>
            </w:r>
            <w:proofErr w:type="spellEnd"/>
          </w:p>
          <w:p w14:paraId="68C675A4" w14:textId="77777777" w:rsidR="00F5053E" w:rsidRPr="004B2B8D" w:rsidRDefault="00F5053E" w:rsidP="00A87ED7">
            <w:pPr>
              <w:contextualSpacing/>
              <w:rPr>
                <w:rFonts w:ascii="Verdana" w:eastAsia="Calibri" w:hAnsi="Verdana" w:cs="Arial"/>
                <w:sz w:val="16"/>
                <w:szCs w:val="16"/>
                <w:lang w:val="pt-BR" w:eastAsia="es-ES"/>
              </w:rPr>
            </w:pPr>
            <w:r w:rsidRPr="004B2B8D">
              <w:rPr>
                <w:rFonts w:ascii="Verdana" w:eastAsia="Calibri" w:hAnsi="Verdana" w:cs="Arial"/>
                <w:sz w:val="16"/>
                <w:szCs w:val="16"/>
                <w:lang w:eastAsia="es-ES"/>
              </w:rPr>
              <w:t>Subdirectora</w:t>
            </w:r>
            <w:r w:rsidRPr="004B2B8D">
              <w:rPr>
                <w:rFonts w:ascii="Verdana" w:eastAsia="Calibri" w:hAnsi="Verdana" w:cs="Arial"/>
                <w:sz w:val="16"/>
                <w:szCs w:val="16"/>
                <w:lang w:val="pt-BR" w:eastAsia="es-ES"/>
              </w:rPr>
              <w:t xml:space="preserve"> de Gestión Contratual ANCP – CCE</w:t>
            </w:r>
          </w:p>
        </w:tc>
      </w:tr>
      <w:bookmarkEnd w:id="0"/>
    </w:tbl>
    <w:p w14:paraId="0F293BF4" w14:textId="7BBFAB11" w:rsidR="00127233" w:rsidRPr="004B2562" w:rsidRDefault="00127233" w:rsidP="00F61F28"/>
    <w:sectPr w:rsidR="00127233" w:rsidRPr="004B2562" w:rsidSect="007C0C0F">
      <w:headerReference w:type="default" r:id="rId18"/>
      <w:footerReference w:type="default" r:id="rId1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2FF59" w14:textId="77777777" w:rsidR="00012CCC" w:rsidRDefault="00012CCC" w:rsidP="004A1847">
      <w:pPr>
        <w:spacing w:after="0" w:line="240" w:lineRule="auto"/>
      </w:pPr>
      <w:r>
        <w:separator/>
      </w:r>
    </w:p>
  </w:endnote>
  <w:endnote w:type="continuationSeparator" w:id="0">
    <w:p w14:paraId="05B1712E" w14:textId="77777777" w:rsidR="00012CCC" w:rsidRDefault="00012CCC"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rialMT">
    <w:altName w:val="Klee One"/>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9A184" w14:textId="77777777" w:rsidR="00012CCC" w:rsidRDefault="00012CCC" w:rsidP="004A1847">
      <w:pPr>
        <w:spacing w:after="0" w:line="240" w:lineRule="auto"/>
      </w:pPr>
      <w:r>
        <w:separator/>
      </w:r>
    </w:p>
  </w:footnote>
  <w:footnote w:type="continuationSeparator" w:id="0">
    <w:p w14:paraId="13C8078D" w14:textId="77777777" w:rsidR="00012CCC" w:rsidRDefault="00012CCC" w:rsidP="004A1847">
      <w:pPr>
        <w:spacing w:after="0" w:line="240" w:lineRule="auto"/>
      </w:pPr>
      <w:r>
        <w:continuationSeparator/>
      </w:r>
    </w:p>
  </w:footnote>
  <w:footnote w:id="1">
    <w:p w14:paraId="42765024" w14:textId="77777777" w:rsidR="00F5053E" w:rsidRPr="00AA681A" w:rsidRDefault="00F5053E" w:rsidP="00F5053E">
      <w:pPr>
        <w:pStyle w:val="Textonotapie"/>
        <w:rPr>
          <w:lang w:val="es-CO"/>
        </w:rPr>
      </w:pPr>
      <w:r>
        <w:rPr>
          <w:rStyle w:val="Refdenotaalpie"/>
        </w:rPr>
        <w:footnoteRef/>
      </w:r>
      <w:r>
        <w:t xml:space="preserve"> </w:t>
      </w:r>
      <w:r w:rsidRPr="00AA681A">
        <w:rPr>
          <w:lang w:val="es-CO"/>
        </w:rPr>
        <w:t>Consejo de Estado. Sección Tercera. Sentencia del 14 de abril de 2010. Exp. 36.054. C.P.: Enrique Gil Botero.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57D2324"/>
    <w:multiLevelType w:val="hybridMultilevel"/>
    <w:tmpl w:val="055018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FDA18DB"/>
    <w:multiLevelType w:val="hybridMultilevel"/>
    <w:tmpl w:val="DE120B10"/>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4F3C75A8"/>
    <w:multiLevelType w:val="hybridMultilevel"/>
    <w:tmpl w:val="CC9642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8"/>
  </w:num>
  <w:num w:numId="2" w16cid:durableId="19822139">
    <w:abstractNumId w:val="2"/>
  </w:num>
  <w:num w:numId="3" w16cid:durableId="876742304">
    <w:abstractNumId w:val="6"/>
  </w:num>
  <w:num w:numId="4" w16cid:durableId="245186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6"/>
  </w:num>
  <w:num w:numId="7" w16cid:durableId="1946422806">
    <w:abstractNumId w:val="7"/>
  </w:num>
  <w:num w:numId="8" w16cid:durableId="152644682">
    <w:abstractNumId w:val="15"/>
  </w:num>
  <w:num w:numId="9" w16cid:durableId="1317221377">
    <w:abstractNumId w:val="9"/>
  </w:num>
  <w:num w:numId="10" w16cid:durableId="1471245386">
    <w:abstractNumId w:val="14"/>
  </w:num>
  <w:num w:numId="11" w16cid:durableId="289172385">
    <w:abstractNumId w:val="10"/>
  </w:num>
  <w:num w:numId="12" w16cid:durableId="1470781324">
    <w:abstractNumId w:val="1"/>
  </w:num>
  <w:num w:numId="13" w16cid:durableId="1512908409">
    <w:abstractNumId w:val="5"/>
  </w:num>
  <w:num w:numId="14" w16cid:durableId="895897244">
    <w:abstractNumId w:val="17"/>
  </w:num>
  <w:num w:numId="15" w16cid:durableId="390349800">
    <w:abstractNumId w:val="13"/>
  </w:num>
  <w:num w:numId="16" w16cid:durableId="341274352">
    <w:abstractNumId w:val="0"/>
  </w:num>
  <w:num w:numId="17" w16cid:durableId="679089576">
    <w:abstractNumId w:val="11"/>
  </w:num>
  <w:num w:numId="18" w16cid:durableId="820266944">
    <w:abstractNumId w:val="12"/>
  </w:num>
  <w:num w:numId="19" w16cid:durableId="1073892189">
    <w:abstractNumId w:val="4"/>
  </w:num>
  <w:num w:numId="20" w16cid:durableId="14125052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2CCC"/>
    <w:rsid w:val="00061B2A"/>
    <w:rsid w:val="00082362"/>
    <w:rsid w:val="000A683E"/>
    <w:rsid w:val="000B19B9"/>
    <w:rsid w:val="000D0334"/>
    <w:rsid w:val="000F6486"/>
    <w:rsid w:val="00125105"/>
    <w:rsid w:val="00127233"/>
    <w:rsid w:val="001403A8"/>
    <w:rsid w:val="001E4177"/>
    <w:rsid w:val="001F7DC6"/>
    <w:rsid w:val="002421BB"/>
    <w:rsid w:val="0025796E"/>
    <w:rsid w:val="002707A2"/>
    <w:rsid w:val="002951A0"/>
    <w:rsid w:val="002962BC"/>
    <w:rsid w:val="002A093D"/>
    <w:rsid w:val="002A0DD0"/>
    <w:rsid w:val="002A49AC"/>
    <w:rsid w:val="002A64FD"/>
    <w:rsid w:val="002C7A84"/>
    <w:rsid w:val="002D00FC"/>
    <w:rsid w:val="002E4FD9"/>
    <w:rsid w:val="00322A85"/>
    <w:rsid w:val="00324168"/>
    <w:rsid w:val="003448F4"/>
    <w:rsid w:val="00374F5E"/>
    <w:rsid w:val="00377E3E"/>
    <w:rsid w:val="003A26D1"/>
    <w:rsid w:val="003A779E"/>
    <w:rsid w:val="003D0F4D"/>
    <w:rsid w:val="003D5B0D"/>
    <w:rsid w:val="003E0499"/>
    <w:rsid w:val="003F3941"/>
    <w:rsid w:val="00406575"/>
    <w:rsid w:val="0042722E"/>
    <w:rsid w:val="0044528D"/>
    <w:rsid w:val="004A1847"/>
    <w:rsid w:val="004A305D"/>
    <w:rsid w:val="004B2562"/>
    <w:rsid w:val="004F21C4"/>
    <w:rsid w:val="004F685F"/>
    <w:rsid w:val="005566E8"/>
    <w:rsid w:val="00574867"/>
    <w:rsid w:val="00591460"/>
    <w:rsid w:val="00592628"/>
    <w:rsid w:val="005C3777"/>
    <w:rsid w:val="005C5CDC"/>
    <w:rsid w:val="005D476C"/>
    <w:rsid w:val="00610812"/>
    <w:rsid w:val="006219F8"/>
    <w:rsid w:val="00650FF7"/>
    <w:rsid w:val="00665D70"/>
    <w:rsid w:val="00671DAC"/>
    <w:rsid w:val="006900D9"/>
    <w:rsid w:val="006970E4"/>
    <w:rsid w:val="006D12F8"/>
    <w:rsid w:val="006E02BF"/>
    <w:rsid w:val="00706C16"/>
    <w:rsid w:val="00756841"/>
    <w:rsid w:val="007649AB"/>
    <w:rsid w:val="00771D0C"/>
    <w:rsid w:val="007833AC"/>
    <w:rsid w:val="007B268C"/>
    <w:rsid w:val="007B7171"/>
    <w:rsid w:val="007C0C0F"/>
    <w:rsid w:val="007C3DC2"/>
    <w:rsid w:val="007E5497"/>
    <w:rsid w:val="00806F5F"/>
    <w:rsid w:val="00820278"/>
    <w:rsid w:val="008843B6"/>
    <w:rsid w:val="00891928"/>
    <w:rsid w:val="008A446D"/>
    <w:rsid w:val="008D180B"/>
    <w:rsid w:val="008F0EA7"/>
    <w:rsid w:val="00923EEF"/>
    <w:rsid w:val="009419F9"/>
    <w:rsid w:val="0095685E"/>
    <w:rsid w:val="00961B09"/>
    <w:rsid w:val="00965334"/>
    <w:rsid w:val="0097093E"/>
    <w:rsid w:val="009A0DFA"/>
    <w:rsid w:val="009B2D26"/>
    <w:rsid w:val="009C71FA"/>
    <w:rsid w:val="009C72E7"/>
    <w:rsid w:val="009D3058"/>
    <w:rsid w:val="009F3A13"/>
    <w:rsid w:val="00A122D3"/>
    <w:rsid w:val="00A17F13"/>
    <w:rsid w:val="00A20739"/>
    <w:rsid w:val="00A33C78"/>
    <w:rsid w:val="00A621D3"/>
    <w:rsid w:val="00AB0ADB"/>
    <w:rsid w:val="00B01B1A"/>
    <w:rsid w:val="00B72CD3"/>
    <w:rsid w:val="00B72FFF"/>
    <w:rsid w:val="00BC3D36"/>
    <w:rsid w:val="00BD7F72"/>
    <w:rsid w:val="00C04FB3"/>
    <w:rsid w:val="00C330EB"/>
    <w:rsid w:val="00C754BE"/>
    <w:rsid w:val="00C76B1C"/>
    <w:rsid w:val="00CB6357"/>
    <w:rsid w:val="00CC1B26"/>
    <w:rsid w:val="00D423A2"/>
    <w:rsid w:val="00D520D8"/>
    <w:rsid w:val="00D63AC2"/>
    <w:rsid w:val="00D7383B"/>
    <w:rsid w:val="00DA231B"/>
    <w:rsid w:val="00DA23A0"/>
    <w:rsid w:val="00DC39FC"/>
    <w:rsid w:val="00DF5254"/>
    <w:rsid w:val="00E16408"/>
    <w:rsid w:val="00E20894"/>
    <w:rsid w:val="00E245AB"/>
    <w:rsid w:val="00E2764C"/>
    <w:rsid w:val="00E27F2E"/>
    <w:rsid w:val="00E413EA"/>
    <w:rsid w:val="00E50AFE"/>
    <w:rsid w:val="00E75C92"/>
    <w:rsid w:val="00E771DC"/>
    <w:rsid w:val="00E8772A"/>
    <w:rsid w:val="00E90F6B"/>
    <w:rsid w:val="00E92C27"/>
    <w:rsid w:val="00EA0E3D"/>
    <w:rsid w:val="00EC38A7"/>
    <w:rsid w:val="00EE1AA8"/>
    <w:rsid w:val="00F31EDC"/>
    <w:rsid w:val="00F462B3"/>
    <w:rsid w:val="00F5053E"/>
    <w:rsid w:val="00F5664F"/>
    <w:rsid w:val="00F61F28"/>
    <w:rsid w:val="00F666C4"/>
    <w:rsid w:val="00F76AFC"/>
    <w:rsid w:val="00F9163D"/>
    <w:rsid w:val="00FA47C0"/>
    <w:rsid w:val="00FB5DD1"/>
    <w:rsid w:val="00FC2B5D"/>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styleId="Textoindependiente">
    <w:name w:val="Body Text"/>
    <w:basedOn w:val="Normal"/>
    <w:link w:val="TextoindependienteCar"/>
    <w:uiPriority w:val="1"/>
    <w:unhideWhenUsed/>
    <w:qFormat/>
    <w:rsid w:val="00F5053E"/>
    <w:pPr>
      <w:spacing w:after="120"/>
    </w:pPr>
  </w:style>
  <w:style w:type="character" w:customStyle="1" w:styleId="TextoindependienteCar">
    <w:name w:val="Texto independiente Car"/>
    <w:basedOn w:val="Fuentedeprrafopredeter"/>
    <w:link w:val="Textoindependiente"/>
    <w:uiPriority w:val="1"/>
    <w:rsid w:val="00F5053E"/>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F5053E"/>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relatoria.colombiacompra.gov.co%2F&amp;data=05%7C02%7Crichard.montenegro%40colombiacompra.gov.co%7C5aad36a736844ec87b2108dcc1fa4639%7C7b09041e245149d08cb179d5e3d8c1be%7C0%7C0%7C638598527918211370%7CUnknown%7CTWFpbGZsb3d8eyJWIjoiMC4wLjAwMDAiLCJQIjoiV2luMzIiLCJBTiI6Ik1haWwiLCJXVCI6Mn0%3D%7C0%7C%7C%7C&amp;sdata=3iCzGCukUgod7aJkgVrKz6drnkiXLwIfrm11kr1fcQo%3D&amp;reserved=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content%2Fconvocatorias&amp;data=05%7C02%7Crichard.montenegro%40colombiacompra.gov.co%7C5aad36a736844ec87b2108dcc1fa4639%7C7b09041e245149d08cb179d5e3d8c1be%7C0%7C0%7C638598527918250586%7CUnknown%7CTWFpbGZsb3d8eyJWIjoiMC4wLjAwMDAiLCJQIjoiV2luMzIiLCJBTiI6Ik1haWwiLCJXVCI6Mn0%3D%7C0%7C%7C%7C&amp;sdata=k3pda2AULwR%2B12b%2FK3mHNf8xGyxM5Bsrfg4wQ2rMlWQ%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latoria.colombiacompra.gov.co/providencias-consejo-de-estado/" TargetMode="External"/><Relationship Id="rId5" Type="http://schemas.openxmlformats.org/officeDocument/2006/relationships/styles" Target="styles.xml"/><Relationship Id="rId15" Type="http://schemas.openxmlformats.org/officeDocument/2006/relationships/hyperlink" Target="https://nam02.safelinks.protection.outlook.com/?url=https%3A%2F%2Fwww.sucop.gov.co%2Fentidades%2Fcolombiacompra%2FNormativa%3FIDNorma%3D17363&amp;data=05%7C02%7Crichard.montenegro%40colombiacompra.gov.co%7C5aad36a736844ec87b2108dcc1fa4639%7C7b09041e245149d08cb179d5e3d8c1be%7C0%7C0%7C638598527918240808%7CUnknown%7CTWFpbGZsb3d8eyJWIjoiMC4wLjAwMDAiLCJQIjoiV2luMzIiLCJBTiI6Ik1haWwiLCJXVCI6Mn0%3D%7C0%7C%7C%7C&amp;sdata=6VyTfolbU%2BsFv%2Fa%2FruTe%2F06L09sMVet3fo0lJN%2FyDFY%3D&amp;reserved=0"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colombiacompra.gov.co%2Fsites%2Fcce_public%2Ffiles%2Ffiles_2020%2Fboletin_de_realtoria_iii.pdf&amp;data=05%7C02%7Crichard.montenegro%40colombiacompra.gov.co%7C5aad36a736844ec87b2108dcc1fa4639%7C7b09041e245149d08cb179d5e3d8c1be%7C0%7C0%7C638598527918225556%7CUnknown%7CTWFpbGZsb3d8eyJWIjoiMC4wLjAwMDAiLCJQIjoiV2luMzIiLCJBTiI6Ik1haWwiLCJXVCI6Mn0%3D%7C0%7C%7C%7C&amp;sdata=mu%2BnrVEo026I3cRSCjkQuazmGBY%2B8xZloaKT7UkXyPo%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70F0EF8C-E5A3-41EA-B64C-C95EBE56A84E}"/>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2866</Words>
  <Characters>15766</Characters>
  <Application>Microsoft Office Word</Application>
  <DocSecurity>0</DocSecurity>
  <Lines>131</Lines>
  <Paragraphs>37</Paragraphs>
  <ScaleCrop>false</ScaleCrop>
  <Company/>
  <LinksUpToDate>false</LinksUpToDate>
  <CharactersWithSpaces>18595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Richard Andrés Montenegro Siefken</cp:lastModifiedBy>
  <cp:revision>2</cp:revision>
  <cp:lastPrinted>2023-01-10T21:18:00Z</cp:lastPrinted>
  <dcterms:created xsi:type="dcterms:W3CDTF">2024-08-25T21:46:00Z</dcterms:created>
  <dcterms:modified xsi:type="dcterms:W3CDTF">2024-08-25T21:46:00Z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