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DE0B5" w14:textId="77777777" w:rsidR="00A60B61" w:rsidRPr="00AB5E37" w:rsidRDefault="00A60B61" w:rsidP="00A60B61">
      <w:pPr>
        <w:spacing w:after="0" w:line="240" w:lineRule="auto"/>
        <w:jc w:val="both"/>
        <w:rPr>
          <w:rFonts w:ascii="Verdana" w:eastAsia="Calibri" w:hAnsi="Verdana" w:cs="Arial"/>
          <w:b/>
          <w:bCs/>
          <w:color w:val="000000" w:themeColor="text1"/>
          <w:sz w:val="20"/>
          <w:szCs w:val="20"/>
          <w:lang w:val="es-ES"/>
        </w:rPr>
      </w:pPr>
      <w:bookmarkStart w:id="0" w:name="_Hlk143780582"/>
    </w:p>
    <w:p w14:paraId="4FC5C473" w14:textId="7B610783" w:rsidR="00A60B61" w:rsidRPr="00AB5E37" w:rsidRDefault="00A60B61" w:rsidP="00A60B61">
      <w:pPr>
        <w:spacing w:after="0" w:line="240" w:lineRule="auto"/>
        <w:jc w:val="both"/>
        <w:rPr>
          <w:rFonts w:ascii="Verdana" w:eastAsia="Calibri" w:hAnsi="Verdana" w:cs="Arial"/>
          <w:b/>
          <w:bCs/>
          <w:color w:val="000000" w:themeColor="text1"/>
          <w:sz w:val="20"/>
          <w:szCs w:val="20"/>
          <w:lang w:val="es-ES"/>
        </w:rPr>
      </w:pPr>
      <w:r w:rsidRPr="00AB5E37">
        <w:rPr>
          <w:rFonts w:ascii="Verdana" w:eastAsia="Calibri" w:hAnsi="Verdana" w:cs="Arial"/>
          <w:b/>
          <w:bCs/>
          <w:color w:val="000000" w:themeColor="text1"/>
          <w:sz w:val="20"/>
          <w:szCs w:val="20"/>
          <w:lang w:val="es-ES"/>
        </w:rPr>
        <w:t>SELECCIÓN ABREVIADA – Modalidad de selección – Naturaleza</w:t>
      </w:r>
    </w:p>
    <w:p w14:paraId="54F375BD" w14:textId="77777777" w:rsidR="000A45E5" w:rsidRPr="00AB5E37" w:rsidRDefault="000A45E5" w:rsidP="00A60B61">
      <w:pPr>
        <w:spacing w:after="0" w:line="240" w:lineRule="auto"/>
        <w:jc w:val="both"/>
        <w:rPr>
          <w:rFonts w:ascii="Verdana" w:eastAsia="Calibri" w:hAnsi="Verdana" w:cs="Arial"/>
          <w:b/>
          <w:bCs/>
          <w:color w:val="000000" w:themeColor="text1"/>
          <w:sz w:val="20"/>
          <w:szCs w:val="20"/>
          <w:lang w:val="es-ES"/>
        </w:rPr>
      </w:pPr>
    </w:p>
    <w:p w14:paraId="68056756" w14:textId="70D00843" w:rsidR="000A45E5" w:rsidRPr="00AB5E37" w:rsidRDefault="000A45E5" w:rsidP="000A45E5">
      <w:pPr>
        <w:spacing w:after="0" w:line="240" w:lineRule="auto"/>
        <w:jc w:val="both"/>
        <w:rPr>
          <w:rFonts w:ascii="Verdana" w:eastAsia="Calibri" w:hAnsi="Verdana" w:cs="Arial"/>
          <w:color w:val="000000" w:themeColor="text1"/>
          <w:sz w:val="20"/>
          <w:szCs w:val="20"/>
        </w:rPr>
      </w:pPr>
      <w:r w:rsidRPr="00AB5E37">
        <w:rPr>
          <w:rFonts w:ascii="Verdana" w:eastAsia="Calibri" w:hAnsi="Verdana" w:cs="Arial"/>
          <w:color w:val="000000" w:themeColor="text1"/>
          <w:sz w:val="20"/>
          <w:szCs w:val="20"/>
        </w:rPr>
        <w:t xml:space="preserve">[…] Nótese que, de la transcripción literal de la norma, el legislador divide de forma disyuntiva los supuestos bajo los cuales se configura la eventual utilización de esta modalidad de selección, bien sea por las características del objeto a contratar, las circunstancias de la contratación o la cuantía o destinación del bien, obra o servicio. En ese orden de ideas, esta modalidad de selección procede por las causales previstas en la ley, las cuales determinan, entre otras cosas, los criterios a tener en cuenta para la escogencia del contratista que proveerá el bien o servicio, además de sus respectivas reglas para llevar a cabo el proceso de selección bajo la modalidad estudiada, siendo una de ellas, pero no la única, el valor presupuestado como precio del contrato. </w:t>
      </w:r>
    </w:p>
    <w:p w14:paraId="325A430E" w14:textId="77777777" w:rsidR="000A45E5" w:rsidRPr="00AB5E37" w:rsidRDefault="000A45E5" w:rsidP="000A45E5">
      <w:pPr>
        <w:spacing w:after="0" w:line="240" w:lineRule="auto"/>
        <w:jc w:val="both"/>
        <w:rPr>
          <w:rFonts w:ascii="Verdana" w:eastAsia="Calibri" w:hAnsi="Verdana" w:cs="Arial"/>
          <w:color w:val="000000" w:themeColor="text1"/>
          <w:sz w:val="20"/>
          <w:szCs w:val="20"/>
        </w:rPr>
      </w:pPr>
    </w:p>
    <w:p w14:paraId="5310630E" w14:textId="0516F269" w:rsidR="000A45E5" w:rsidRPr="00AB5E37" w:rsidRDefault="000A45E5" w:rsidP="000A45E5">
      <w:pPr>
        <w:spacing w:after="0" w:line="240" w:lineRule="auto"/>
        <w:jc w:val="both"/>
        <w:rPr>
          <w:rFonts w:ascii="Verdana" w:eastAsia="Calibri" w:hAnsi="Verdana" w:cs="Arial"/>
          <w:color w:val="000000" w:themeColor="text1"/>
          <w:sz w:val="20"/>
          <w:szCs w:val="20"/>
        </w:rPr>
      </w:pPr>
      <w:r w:rsidRPr="00AB5E37">
        <w:rPr>
          <w:rFonts w:ascii="Verdana" w:eastAsia="Calibri" w:hAnsi="Verdana" w:cs="Arial"/>
          <w:color w:val="000000" w:themeColor="text1"/>
          <w:sz w:val="20"/>
          <w:szCs w:val="20"/>
        </w:rPr>
        <w:t>A su turno, el Decreto 1082 de 2015 reglamenta las causales para acudir al procedimiento de selección abreviada establecidas en el numeral 2 del artículo 2 de la Ley 1150 de 2007, y regula el procedimiento, detallando el contenido del pliego de condiciones, las etapas, entre otros. Dentro de dichas causales se desataca la contratación de menor cuantía y la subasta inversa. […]</w:t>
      </w:r>
    </w:p>
    <w:p w14:paraId="06EC4904" w14:textId="77777777" w:rsidR="00A60B61" w:rsidRPr="00AB5E37" w:rsidRDefault="00A60B61" w:rsidP="00A60B61">
      <w:pPr>
        <w:spacing w:after="0" w:line="240" w:lineRule="auto"/>
        <w:jc w:val="both"/>
        <w:rPr>
          <w:rFonts w:ascii="Verdana" w:eastAsia="Calibri" w:hAnsi="Verdana" w:cs="Arial"/>
          <w:b/>
          <w:bCs/>
          <w:color w:val="000000" w:themeColor="text1"/>
          <w:sz w:val="20"/>
          <w:szCs w:val="20"/>
          <w:lang w:val="es-ES"/>
        </w:rPr>
      </w:pPr>
    </w:p>
    <w:p w14:paraId="32FC5873" w14:textId="24C25F11" w:rsidR="00A60B61" w:rsidRPr="00AB5E37" w:rsidRDefault="00A60B61" w:rsidP="00A60B61">
      <w:pPr>
        <w:spacing w:after="0" w:line="240" w:lineRule="auto"/>
        <w:jc w:val="both"/>
        <w:rPr>
          <w:rFonts w:ascii="Verdana" w:eastAsia="Calibri" w:hAnsi="Verdana" w:cs="Arial"/>
          <w:b/>
          <w:bCs/>
          <w:color w:val="000000" w:themeColor="text1"/>
          <w:sz w:val="20"/>
          <w:szCs w:val="20"/>
          <w:lang w:val="es-ES"/>
        </w:rPr>
      </w:pPr>
      <w:r w:rsidRPr="00AB5E37">
        <w:rPr>
          <w:rFonts w:ascii="Verdana" w:eastAsia="Calibri" w:hAnsi="Verdana" w:cs="Arial"/>
          <w:b/>
          <w:bCs/>
          <w:color w:val="000000" w:themeColor="text1"/>
          <w:sz w:val="20"/>
          <w:szCs w:val="20"/>
          <w:lang w:val="es-ES"/>
        </w:rPr>
        <w:t xml:space="preserve">SELECCIÓN ABREVIADA MENOR CUANTÍA - Procedencia - Procesos de Contratación – Apertura de sobres </w:t>
      </w:r>
    </w:p>
    <w:p w14:paraId="1EA6101C" w14:textId="77777777" w:rsidR="00244CF9" w:rsidRPr="00AB5E37" w:rsidRDefault="00244CF9" w:rsidP="00A60B61">
      <w:pPr>
        <w:spacing w:after="0" w:line="240" w:lineRule="auto"/>
        <w:jc w:val="both"/>
        <w:rPr>
          <w:rFonts w:ascii="Verdana" w:eastAsia="Calibri" w:hAnsi="Verdana" w:cs="Arial"/>
          <w:b/>
          <w:bCs/>
          <w:color w:val="000000" w:themeColor="text1"/>
          <w:sz w:val="20"/>
          <w:szCs w:val="20"/>
          <w:lang w:val="es-ES"/>
        </w:rPr>
      </w:pPr>
    </w:p>
    <w:p w14:paraId="0CBE6FE0" w14:textId="5414CB9A" w:rsidR="00244CF9" w:rsidRPr="00AB5E37" w:rsidRDefault="00244CF9" w:rsidP="00A60B61">
      <w:pPr>
        <w:spacing w:after="0" w:line="240" w:lineRule="auto"/>
        <w:jc w:val="both"/>
        <w:rPr>
          <w:rFonts w:ascii="Verdana" w:eastAsia="Calibri" w:hAnsi="Verdana" w:cs="Arial"/>
          <w:color w:val="000000" w:themeColor="text1"/>
          <w:sz w:val="20"/>
          <w:szCs w:val="20"/>
        </w:rPr>
      </w:pPr>
      <w:r w:rsidRPr="00AB5E37">
        <w:rPr>
          <w:rFonts w:ascii="Verdana" w:eastAsia="Calibri" w:hAnsi="Verdana" w:cs="Arial"/>
          <w:color w:val="000000" w:themeColor="text1"/>
          <w:sz w:val="20"/>
          <w:szCs w:val="20"/>
        </w:rPr>
        <w:t xml:space="preserve">[…] De este modo, se evidencia que la procedencia de la causal de selección abreviada de menor cuantía se encuentra directamente vinculada con el presupuesto anual de cada Entidad Estatal, de manera que los procedimientos de selección cuyo presupuesto oficial no superen el tope de la menor cuantía, se adelantarán bajo la modalidad de selección abreviada, ya que si se supera este tope corresponderá adelantar una licitación pública, siempre y cuando el único factor que pueda o deba tenerse en consideración es el valor estimado del contrato, esto es, sin considerar factores tales como la naturaleza de los productos, su destinación o características, por lo que  en cada contrato en específico se debe analizar la procedencia la causal o las causales, independientemente de que, en algunos casos, cualquiera de ellas remita al mismo procedimiento de selección. </w:t>
      </w:r>
    </w:p>
    <w:p w14:paraId="544B864A" w14:textId="77777777" w:rsidR="00B36D39" w:rsidRPr="00AB5E37" w:rsidRDefault="00B36D39" w:rsidP="00A60B61">
      <w:pPr>
        <w:spacing w:after="0" w:line="240" w:lineRule="auto"/>
        <w:jc w:val="both"/>
        <w:rPr>
          <w:rFonts w:ascii="Verdana" w:eastAsia="Calibri" w:hAnsi="Verdana" w:cs="Arial"/>
          <w:color w:val="000000" w:themeColor="text1"/>
          <w:sz w:val="20"/>
          <w:szCs w:val="20"/>
        </w:rPr>
      </w:pPr>
    </w:p>
    <w:p w14:paraId="6F7DB0C2" w14:textId="06BFEF5D" w:rsidR="00B36D39" w:rsidRPr="00AB5E37" w:rsidRDefault="00B36D39" w:rsidP="00A60B61">
      <w:pPr>
        <w:spacing w:after="0" w:line="240" w:lineRule="auto"/>
        <w:jc w:val="both"/>
        <w:rPr>
          <w:rFonts w:ascii="Verdana" w:eastAsia="Calibri" w:hAnsi="Verdana" w:cs="Arial"/>
          <w:color w:val="000000" w:themeColor="text1"/>
          <w:sz w:val="20"/>
          <w:szCs w:val="20"/>
        </w:rPr>
      </w:pPr>
      <w:r w:rsidRPr="40D4CEEB">
        <w:rPr>
          <w:rFonts w:ascii="Verdana" w:eastAsia="Calibri" w:hAnsi="Verdana" w:cs="Arial"/>
          <w:color w:val="000000" w:themeColor="text1"/>
          <w:sz w:val="20"/>
          <w:szCs w:val="20"/>
        </w:rPr>
        <w:t>Aunque la normativa vigente no determina de manera expresa que se deba adelantar una audiencia para la apertura de sobres dentro de los procesos objeto de consulta, la Circular Externa Única proferida por la Agencia Nacional de Contratación Pública – Colombia Compra Eficiente ha fijado un criterio para determinar la necesidad de dicha etapa o actuación, en el marco de los diferentes mecanismos previstos para garantizar el principio de publicidad. […]</w:t>
      </w:r>
    </w:p>
    <w:p w14:paraId="6815A5E8" w14:textId="77777777" w:rsidR="00A60B61" w:rsidRPr="00AB5E37" w:rsidRDefault="00A60B61" w:rsidP="00A60B61">
      <w:pPr>
        <w:spacing w:after="0" w:line="240" w:lineRule="auto"/>
        <w:jc w:val="both"/>
        <w:rPr>
          <w:rFonts w:ascii="Verdana" w:eastAsia="Calibri" w:hAnsi="Verdana" w:cs="Arial"/>
          <w:b/>
          <w:bCs/>
          <w:color w:val="000000" w:themeColor="text1"/>
          <w:sz w:val="20"/>
          <w:szCs w:val="20"/>
          <w:lang w:val="es-ES"/>
        </w:rPr>
      </w:pPr>
    </w:p>
    <w:p w14:paraId="70DC23B8" w14:textId="15DA059A" w:rsidR="00062DDC" w:rsidRPr="00AB5E37" w:rsidRDefault="00D0744D" w:rsidP="00A60B61">
      <w:pPr>
        <w:spacing w:after="0" w:line="240" w:lineRule="auto"/>
        <w:jc w:val="both"/>
        <w:rPr>
          <w:rFonts w:ascii="Verdana" w:eastAsia="Calibri" w:hAnsi="Verdana" w:cs="Arial"/>
          <w:b/>
          <w:bCs/>
          <w:color w:val="000000" w:themeColor="text1"/>
          <w:sz w:val="20"/>
          <w:szCs w:val="20"/>
          <w:lang w:val="es-ES"/>
        </w:rPr>
      </w:pPr>
      <w:r w:rsidRPr="00AB5E37">
        <w:rPr>
          <w:rFonts w:ascii="Verdana" w:eastAsia="Calibri" w:hAnsi="Verdana" w:cs="Arial"/>
          <w:b/>
          <w:bCs/>
          <w:color w:val="000000" w:themeColor="text1"/>
          <w:sz w:val="20"/>
          <w:szCs w:val="20"/>
          <w:lang w:val="es-ES"/>
        </w:rPr>
        <w:t>SECOP I y II – Principio de Publicidad y Transparencia</w:t>
      </w:r>
    </w:p>
    <w:p w14:paraId="6D56DD60" w14:textId="77777777" w:rsidR="000672A1" w:rsidRPr="00AB5E37" w:rsidRDefault="000672A1" w:rsidP="008938C3">
      <w:pPr>
        <w:spacing w:after="0" w:line="240" w:lineRule="auto"/>
        <w:rPr>
          <w:rFonts w:ascii="Verdana" w:eastAsia="Calibri" w:hAnsi="Verdana" w:cs="Arial"/>
          <w:color w:val="000000" w:themeColor="text1"/>
          <w:sz w:val="20"/>
          <w:szCs w:val="20"/>
          <w:lang w:val="es-ES"/>
        </w:rPr>
      </w:pPr>
    </w:p>
    <w:p w14:paraId="58563AA9" w14:textId="51675706" w:rsidR="000672A1" w:rsidRPr="000672A1" w:rsidRDefault="000A45E5" w:rsidP="008938C3">
      <w:pPr>
        <w:spacing w:after="0" w:line="240" w:lineRule="auto"/>
        <w:jc w:val="both"/>
        <w:rPr>
          <w:rFonts w:ascii="Verdana" w:hAnsi="Verdana"/>
          <w:sz w:val="20"/>
          <w:szCs w:val="20"/>
          <w:lang w:val="es-ES"/>
        </w:rPr>
      </w:pPr>
      <w:r w:rsidRPr="00AB5E37">
        <w:rPr>
          <w:rFonts w:ascii="Verdana" w:eastAsia="Calibri" w:hAnsi="Verdana" w:cs="Arial"/>
          <w:color w:val="000000" w:themeColor="text1"/>
          <w:sz w:val="20"/>
          <w:szCs w:val="20"/>
        </w:rPr>
        <w:t xml:space="preserve">[…] </w:t>
      </w:r>
      <w:r w:rsidR="000672A1" w:rsidRPr="000672A1">
        <w:rPr>
          <w:rFonts w:ascii="Verdana" w:hAnsi="Verdana"/>
          <w:sz w:val="20"/>
          <w:szCs w:val="20"/>
          <w:lang w:val="es-ES"/>
        </w:rPr>
        <w:t xml:space="preserve">Aunque no existe norma expresa que indique la necesidad de adelantar una audiencia pública para la apertura de sobres dentro del proceso de selección </w:t>
      </w:r>
      <w:r w:rsidR="000672A1" w:rsidRPr="00AB5E37">
        <w:rPr>
          <w:rFonts w:ascii="Verdana" w:hAnsi="Verdana"/>
          <w:sz w:val="20"/>
          <w:szCs w:val="20"/>
          <w:lang w:val="es-ES"/>
        </w:rPr>
        <w:t>abreviada de mínima cuantía</w:t>
      </w:r>
      <w:r w:rsidR="000672A1" w:rsidRPr="000672A1">
        <w:rPr>
          <w:rFonts w:ascii="Verdana" w:hAnsi="Verdana"/>
          <w:sz w:val="20"/>
          <w:szCs w:val="20"/>
          <w:lang w:val="es-ES"/>
        </w:rPr>
        <w:t xml:space="preserve">, debe cumplirse la Circular Externa Única proferida por la Agencia Nacional de Contratación Pública – Colombia Compra Eficiente. Esta indica que aquellos procesos que se adelanten mediante publicación en SECOP I requieren que la apertura de ofertas se realice en presencia de proponentes o veedores y la elaboración de un acta de cierre, mientras que los procesos adelantados en el SECOP II no requieren de dicha asistencia, pues la publicación de la lista de oferentes hace las veces de acta de cierre. Así mismo debe tenerse en cuenta que en la actualidad, por regla general, los procesos contractuales deben adelantarse en el SECOP II y, al tramitarse por esta plataforma, se podrá prescindir de la audiencia pública de selección. </w:t>
      </w:r>
      <w:r w:rsidRPr="00AB5E37">
        <w:rPr>
          <w:rFonts w:ascii="Verdana" w:eastAsia="Calibri" w:hAnsi="Verdana" w:cs="Arial"/>
          <w:color w:val="000000" w:themeColor="text1"/>
          <w:sz w:val="20"/>
          <w:szCs w:val="20"/>
        </w:rPr>
        <w:t>[…]</w:t>
      </w:r>
    </w:p>
    <w:p w14:paraId="62422ABD" w14:textId="77777777" w:rsidR="000672A1" w:rsidRPr="00AB5E37" w:rsidRDefault="000672A1" w:rsidP="00E245AB">
      <w:pPr>
        <w:spacing w:after="0"/>
        <w:rPr>
          <w:rFonts w:ascii="Verdana" w:hAnsi="Verdana"/>
          <w:sz w:val="20"/>
          <w:szCs w:val="20"/>
          <w:lang w:val="es-ES"/>
        </w:rPr>
      </w:pPr>
    </w:p>
    <w:p w14:paraId="3EAE3BB6" w14:textId="77777777" w:rsidR="00062DDC" w:rsidRPr="00AB5E37" w:rsidRDefault="00062DDC" w:rsidP="00E245AB">
      <w:pPr>
        <w:spacing w:after="0"/>
        <w:rPr>
          <w:rFonts w:ascii="Verdana" w:hAnsi="Verdana"/>
          <w:sz w:val="20"/>
          <w:szCs w:val="20"/>
        </w:rPr>
      </w:pPr>
    </w:p>
    <w:p w14:paraId="33ED89AD" w14:textId="77777777" w:rsidR="008938C3" w:rsidRPr="00AB5E37" w:rsidRDefault="008938C3" w:rsidP="00E245AB">
      <w:pPr>
        <w:spacing w:after="0"/>
        <w:rPr>
          <w:rFonts w:ascii="Verdana" w:hAnsi="Verdana"/>
          <w:sz w:val="20"/>
          <w:szCs w:val="20"/>
        </w:rPr>
      </w:pPr>
    </w:p>
    <w:p w14:paraId="11A8EEBF" w14:textId="77777777" w:rsidR="008938C3" w:rsidRPr="00AB5E37" w:rsidRDefault="008938C3" w:rsidP="00E245AB">
      <w:pPr>
        <w:spacing w:after="0"/>
        <w:rPr>
          <w:rFonts w:ascii="Verdana" w:hAnsi="Verdana"/>
          <w:sz w:val="20"/>
          <w:szCs w:val="20"/>
        </w:rPr>
      </w:pPr>
    </w:p>
    <w:p w14:paraId="42CF76CB" w14:textId="77777777" w:rsidR="008938C3" w:rsidRDefault="008938C3" w:rsidP="00E245AB">
      <w:pPr>
        <w:spacing w:after="0"/>
        <w:rPr>
          <w:rFonts w:ascii="Verdana" w:hAnsi="Verdana"/>
        </w:rPr>
      </w:pPr>
    </w:p>
    <w:p w14:paraId="0F3AA1BF" w14:textId="77777777" w:rsidR="008938C3" w:rsidRDefault="008938C3" w:rsidP="00E245AB">
      <w:pPr>
        <w:spacing w:after="0"/>
        <w:rPr>
          <w:rFonts w:ascii="Verdana" w:hAnsi="Verdana"/>
        </w:rPr>
      </w:pPr>
    </w:p>
    <w:p w14:paraId="77258FC2" w14:textId="77777777" w:rsidR="008938C3" w:rsidRDefault="008938C3" w:rsidP="00E245AB">
      <w:pPr>
        <w:spacing w:after="0"/>
        <w:rPr>
          <w:rFonts w:ascii="Verdana" w:hAnsi="Verdana"/>
        </w:rPr>
      </w:pPr>
    </w:p>
    <w:p w14:paraId="2E00EEFE" w14:textId="77777777" w:rsidR="008938C3" w:rsidRDefault="008938C3" w:rsidP="00E245AB">
      <w:pPr>
        <w:spacing w:after="0"/>
        <w:rPr>
          <w:rFonts w:ascii="Verdana" w:hAnsi="Verdana"/>
        </w:rPr>
      </w:pPr>
    </w:p>
    <w:p w14:paraId="6C3B8484" w14:textId="77777777" w:rsidR="008938C3" w:rsidRDefault="008938C3" w:rsidP="00E245AB">
      <w:pPr>
        <w:spacing w:after="0"/>
        <w:rPr>
          <w:rFonts w:ascii="Verdana" w:hAnsi="Verdana"/>
        </w:rPr>
      </w:pPr>
    </w:p>
    <w:p w14:paraId="36A14CE8" w14:textId="77777777" w:rsidR="008938C3" w:rsidRDefault="008938C3" w:rsidP="00E245AB">
      <w:pPr>
        <w:spacing w:after="0"/>
        <w:rPr>
          <w:rFonts w:ascii="Verdana" w:hAnsi="Verdana"/>
        </w:rPr>
      </w:pPr>
    </w:p>
    <w:p w14:paraId="380BC608" w14:textId="77777777" w:rsidR="008938C3" w:rsidRDefault="008938C3" w:rsidP="00E245AB">
      <w:pPr>
        <w:spacing w:after="0"/>
        <w:rPr>
          <w:rFonts w:ascii="Verdana" w:hAnsi="Verdana"/>
        </w:rPr>
      </w:pPr>
    </w:p>
    <w:p w14:paraId="72611895" w14:textId="77777777" w:rsidR="008938C3" w:rsidRDefault="008938C3" w:rsidP="00E245AB">
      <w:pPr>
        <w:spacing w:after="0"/>
        <w:rPr>
          <w:rFonts w:ascii="Verdana" w:hAnsi="Verdana"/>
        </w:rPr>
      </w:pPr>
    </w:p>
    <w:p w14:paraId="1641B9E8" w14:textId="77777777" w:rsidR="008938C3" w:rsidRDefault="008938C3" w:rsidP="00E245AB">
      <w:pPr>
        <w:spacing w:after="0"/>
        <w:rPr>
          <w:rFonts w:ascii="Verdana" w:hAnsi="Verdana"/>
        </w:rPr>
      </w:pPr>
    </w:p>
    <w:p w14:paraId="107A5B09" w14:textId="77777777" w:rsidR="008938C3" w:rsidRDefault="008938C3" w:rsidP="00E245AB">
      <w:pPr>
        <w:spacing w:after="0"/>
        <w:rPr>
          <w:rFonts w:ascii="Verdana" w:hAnsi="Verdana"/>
        </w:rPr>
      </w:pPr>
    </w:p>
    <w:p w14:paraId="3037F575" w14:textId="77777777" w:rsidR="008938C3" w:rsidRDefault="008938C3" w:rsidP="00E245AB">
      <w:pPr>
        <w:spacing w:after="0"/>
        <w:rPr>
          <w:rFonts w:ascii="Verdana" w:hAnsi="Verdana"/>
        </w:rPr>
      </w:pPr>
    </w:p>
    <w:p w14:paraId="69C8AEF5" w14:textId="77777777" w:rsidR="008938C3" w:rsidRDefault="008938C3" w:rsidP="00E245AB">
      <w:pPr>
        <w:spacing w:after="0"/>
        <w:rPr>
          <w:rFonts w:ascii="Verdana" w:hAnsi="Verdana"/>
        </w:rPr>
      </w:pPr>
    </w:p>
    <w:p w14:paraId="613616E6" w14:textId="77777777" w:rsidR="008938C3" w:rsidRDefault="008938C3" w:rsidP="00E245AB">
      <w:pPr>
        <w:spacing w:after="0"/>
        <w:rPr>
          <w:rFonts w:ascii="Verdana" w:hAnsi="Verdana"/>
        </w:rPr>
      </w:pPr>
    </w:p>
    <w:p w14:paraId="2CDF692D" w14:textId="77777777" w:rsidR="008938C3" w:rsidRDefault="008938C3" w:rsidP="00E245AB">
      <w:pPr>
        <w:spacing w:after="0"/>
        <w:rPr>
          <w:rFonts w:ascii="Verdana" w:hAnsi="Verdana"/>
        </w:rPr>
      </w:pPr>
    </w:p>
    <w:p w14:paraId="59C54DBC" w14:textId="77777777" w:rsidR="008938C3" w:rsidRDefault="008938C3" w:rsidP="00E245AB">
      <w:pPr>
        <w:spacing w:after="0"/>
        <w:rPr>
          <w:rFonts w:ascii="Verdana" w:hAnsi="Verdana"/>
        </w:rPr>
      </w:pPr>
    </w:p>
    <w:p w14:paraId="2826F8D2" w14:textId="77777777" w:rsidR="008938C3" w:rsidRDefault="008938C3" w:rsidP="00E245AB">
      <w:pPr>
        <w:spacing w:after="0"/>
        <w:rPr>
          <w:rFonts w:ascii="Verdana" w:hAnsi="Verdana"/>
        </w:rPr>
      </w:pPr>
    </w:p>
    <w:p w14:paraId="5F287244" w14:textId="77777777" w:rsidR="008938C3" w:rsidRDefault="008938C3" w:rsidP="00E245AB">
      <w:pPr>
        <w:spacing w:after="0"/>
        <w:rPr>
          <w:rFonts w:ascii="Verdana" w:hAnsi="Verdana"/>
        </w:rPr>
      </w:pPr>
    </w:p>
    <w:p w14:paraId="03E9D07E" w14:textId="77777777" w:rsidR="008938C3" w:rsidRDefault="008938C3" w:rsidP="00E245AB">
      <w:pPr>
        <w:spacing w:after="0"/>
        <w:rPr>
          <w:rFonts w:ascii="Verdana" w:hAnsi="Verdana"/>
        </w:rPr>
      </w:pPr>
    </w:p>
    <w:p w14:paraId="0744D4C1" w14:textId="77777777" w:rsidR="008938C3" w:rsidRDefault="008938C3" w:rsidP="00E245AB">
      <w:pPr>
        <w:spacing w:after="0"/>
        <w:rPr>
          <w:rFonts w:ascii="Verdana" w:hAnsi="Verdana"/>
        </w:rPr>
      </w:pPr>
    </w:p>
    <w:p w14:paraId="56A47DF6" w14:textId="77777777" w:rsidR="008938C3" w:rsidRDefault="008938C3" w:rsidP="00E245AB">
      <w:pPr>
        <w:spacing w:after="0"/>
        <w:rPr>
          <w:rFonts w:ascii="Verdana" w:hAnsi="Verdana"/>
        </w:rPr>
      </w:pPr>
    </w:p>
    <w:p w14:paraId="1783E584" w14:textId="77777777" w:rsidR="008938C3" w:rsidRDefault="008938C3" w:rsidP="00E245AB">
      <w:pPr>
        <w:spacing w:after="0"/>
        <w:rPr>
          <w:rFonts w:ascii="Verdana" w:hAnsi="Verdana"/>
        </w:rPr>
      </w:pPr>
    </w:p>
    <w:p w14:paraId="7A9AC051" w14:textId="77777777" w:rsidR="008938C3" w:rsidRDefault="008938C3" w:rsidP="00E245AB">
      <w:pPr>
        <w:spacing w:after="0"/>
        <w:rPr>
          <w:rFonts w:ascii="Verdana" w:hAnsi="Verdana"/>
        </w:rPr>
      </w:pPr>
    </w:p>
    <w:p w14:paraId="732F186B" w14:textId="77777777" w:rsidR="008938C3" w:rsidRDefault="008938C3" w:rsidP="00E245AB">
      <w:pPr>
        <w:spacing w:after="0"/>
        <w:rPr>
          <w:rFonts w:ascii="Verdana" w:hAnsi="Verdana"/>
        </w:rPr>
      </w:pPr>
    </w:p>
    <w:p w14:paraId="61D199FE" w14:textId="77777777" w:rsidR="008938C3" w:rsidRDefault="008938C3" w:rsidP="00E245AB">
      <w:pPr>
        <w:spacing w:after="0"/>
        <w:rPr>
          <w:rFonts w:ascii="Verdana" w:hAnsi="Verdana"/>
        </w:rPr>
      </w:pPr>
    </w:p>
    <w:p w14:paraId="41E89E22" w14:textId="77777777" w:rsidR="008938C3" w:rsidRDefault="008938C3" w:rsidP="00E245AB">
      <w:pPr>
        <w:spacing w:after="0"/>
        <w:rPr>
          <w:rFonts w:ascii="Verdana" w:hAnsi="Verdana"/>
        </w:rPr>
      </w:pPr>
    </w:p>
    <w:p w14:paraId="782868F8" w14:textId="77777777" w:rsidR="008938C3" w:rsidRDefault="008938C3" w:rsidP="00E245AB">
      <w:pPr>
        <w:spacing w:after="0"/>
        <w:rPr>
          <w:rFonts w:ascii="Verdana" w:hAnsi="Verdana"/>
        </w:rPr>
      </w:pPr>
    </w:p>
    <w:p w14:paraId="62DA54F4" w14:textId="77777777" w:rsidR="00AB5E37" w:rsidRDefault="00AB5E37" w:rsidP="00E245AB">
      <w:pPr>
        <w:spacing w:after="0"/>
        <w:rPr>
          <w:rFonts w:ascii="Verdana" w:hAnsi="Verdana"/>
        </w:rPr>
      </w:pPr>
    </w:p>
    <w:p w14:paraId="4E667204" w14:textId="77777777" w:rsidR="00AB5E37" w:rsidRDefault="00AB5E37" w:rsidP="00E245AB">
      <w:pPr>
        <w:spacing w:after="0"/>
        <w:rPr>
          <w:rFonts w:ascii="Verdana" w:hAnsi="Verdana"/>
        </w:rPr>
      </w:pPr>
    </w:p>
    <w:p w14:paraId="2B86E4DA" w14:textId="77777777" w:rsidR="00AB5E37" w:rsidRDefault="00AB5E37" w:rsidP="00E245AB">
      <w:pPr>
        <w:spacing w:after="0"/>
        <w:rPr>
          <w:rFonts w:ascii="Verdana" w:hAnsi="Verdana"/>
        </w:rPr>
      </w:pPr>
    </w:p>
    <w:p w14:paraId="1A05D1CA" w14:textId="77777777" w:rsidR="00AB5E37" w:rsidRDefault="00AB5E37" w:rsidP="00E245AB">
      <w:pPr>
        <w:spacing w:after="0"/>
        <w:rPr>
          <w:rFonts w:ascii="Verdana" w:hAnsi="Verdana"/>
        </w:rPr>
      </w:pPr>
    </w:p>
    <w:p w14:paraId="0823C4CC" w14:textId="77777777" w:rsidR="00AB5E37" w:rsidRDefault="00AB5E37" w:rsidP="00E245AB">
      <w:pPr>
        <w:spacing w:after="0"/>
        <w:rPr>
          <w:rFonts w:ascii="Verdana" w:hAnsi="Verdana"/>
        </w:rPr>
      </w:pPr>
    </w:p>
    <w:p w14:paraId="345110DF" w14:textId="77777777" w:rsidR="008938C3" w:rsidRDefault="008938C3" w:rsidP="00E245AB">
      <w:pPr>
        <w:spacing w:after="0"/>
        <w:rPr>
          <w:rFonts w:ascii="Verdana" w:hAnsi="Verdana"/>
        </w:rPr>
      </w:pPr>
    </w:p>
    <w:p w14:paraId="3655D7B0" w14:textId="77777777" w:rsidR="008938C3" w:rsidRDefault="008938C3" w:rsidP="00E245AB">
      <w:pPr>
        <w:spacing w:after="0"/>
        <w:rPr>
          <w:rFonts w:ascii="Verdana" w:hAnsi="Verdana"/>
        </w:rPr>
      </w:pPr>
    </w:p>
    <w:p w14:paraId="39553241" w14:textId="77777777" w:rsidR="008938C3" w:rsidRPr="009428DD" w:rsidRDefault="008938C3" w:rsidP="00E245AB">
      <w:pPr>
        <w:spacing w:after="0"/>
        <w:rPr>
          <w:rFonts w:ascii="Verdana" w:hAnsi="Verdana"/>
        </w:rPr>
      </w:pPr>
    </w:p>
    <w:p w14:paraId="3FE2184B" w14:textId="15642228" w:rsidR="00E245AB" w:rsidRPr="009428DD" w:rsidRDefault="00E245AB" w:rsidP="00E245AB">
      <w:pPr>
        <w:spacing w:after="0"/>
        <w:rPr>
          <w:rFonts w:ascii="Verdana" w:hAnsi="Verdana"/>
        </w:rPr>
      </w:pPr>
      <w:r w:rsidRPr="009428DD">
        <w:rPr>
          <w:rFonts w:ascii="Verdana" w:hAnsi="Verdana"/>
        </w:rPr>
        <w:t xml:space="preserve">Bogotá D.C., </w:t>
      </w:r>
      <w:r w:rsidR="00416EAD">
        <w:rPr>
          <w:rFonts w:ascii="Verdana" w:hAnsi="Verdana"/>
        </w:rPr>
        <w:t>20 de agosto del 2024</w:t>
      </w:r>
      <w:r w:rsidR="00891928" w:rsidRPr="009428DD">
        <w:rPr>
          <w:rFonts w:ascii="Verdana" w:hAnsi="Verdana"/>
        </w:rPr>
        <w:tab/>
      </w:r>
    </w:p>
    <w:p w14:paraId="5FCADBF9" w14:textId="77777777" w:rsidR="00E245AB" w:rsidRPr="009428DD" w:rsidRDefault="00E245AB" w:rsidP="00E245AB">
      <w:pPr>
        <w:spacing w:after="0"/>
        <w:rPr>
          <w:rFonts w:ascii="Verdana" w:hAnsi="Verdana"/>
        </w:rPr>
      </w:pPr>
    </w:p>
    <w:p w14:paraId="0465BA6D" w14:textId="7B4D233E" w:rsidR="00E245AB" w:rsidRPr="009428DD" w:rsidRDefault="00CE62E0" w:rsidP="00CE62E0">
      <w:pPr>
        <w:spacing w:after="0"/>
        <w:jc w:val="right"/>
        <w:rPr>
          <w:rFonts w:ascii="Verdana" w:hAnsi="Verdana"/>
        </w:rPr>
      </w:pPr>
      <w:r w:rsidRPr="00CE62E0">
        <w:rPr>
          <w:rFonts w:ascii="Verdana" w:hAnsi="Verdana"/>
          <w:noProof/>
        </w:rPr>
        <w:drawing>
          <wp:inline distT="0" distB="0" distL="0" distR="0" wp14:anchorId="594DFF2D" wp14:editId="38F725AD">
            <wp:extent cx="3028803" cy="819150"/>
            <wp:effectExtent l="0" t="0" r="635" b="0"/>
            <wp:docPr id="19125194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71240" name=""/>
                    <pic:cNvPicPr/>
                  </pic:nvPicPr>
                  <pic:blipFill>
                    <a:blip r:embed="rId11"/>
                    <a:stretch>
                      <a:fillRect/>
                    </a:stretch>
                  </pic:blipFill>
                  <pic:spPr>
                    <a:xfrm>
                      <a:off x="0" y="0"/>
                      <a:ext cx="3035736" cy="821025"/>
                    </a:xfrm>
                    <a:prstGeom prst="rect">
                      <a:avLst/>
                    </a:prstGeom>
                  </pic:spPr>
                </pic:pic>
              </a:graphicData>
            </a:graphic>
          </wp:inline>
        </w:drawing>
      </w:r>
    </w:p>
    <w:bookmarkEnd w:id="0"/>
    <w:p w14:paraId="2755D863" w14:textId="7E295299" w:rsidR="0040685B" w:rsidRPr="009428DD" w:rsidRDefault="0040685B" w:rsidP="0040685B">
      <w:pPr>
        <w:spacing w:after="0" w:line="240" w:lineRule="auto"/>
        <w:jc w:val="both"/>
        <w:rPr>
          <w:rFonts w:ascii="Verdana" w:eastAsia="Calibri" w:hAnsi="Verdana" w:cs="Arial"/>
          <w:lang w:val="es-ES" w:eastAsia="es-ES"/>
        </w:rPr>
      </w:pPr>
      <w:r w:rsidRPr="009428DD">
        <w:rPr>
          <w:rFonts w:ascii="Verdana" w:eastAsia="Calibri" w:hAnsi="Verdana" w:cs="Arial"/>
          <w:lang w:val="es-ES" w:eastAsia="es-ES"/>
        </w:rPr>
        <w:t>Señor</w:t>
      </w:r>
    </w:p>
    <w:p w14:paraId="235B1693" w14:textId="4966DA22" w:rsidR="0040685B" w:rsidRPr="009428DD" w:rsidRDefault="00056085" w:rsidP="0040685B">
      <w:pPr>
        <w:spacing w:after="0" w:line="240" w:lineRule="auto"/>
        <w:rPr>
          <w:rFonts w:ascii="Verdana" w:eastAsia="Calibri" w:hAnsi="Verdana" w:cs="Arial"/>
          <w:b/>
          <w:lang w:val="es-ES" w:eastAsia="es-ES"/>
        </w:rPr>
      </w:pPr>
      <w:r w:rsidRPr="009428DD">
        <w:rPr>
          <w:rFonts w:ascii="Verdana" w:eastAsia="Calibri" w:hAnsi="Verdana" w:cs="Arial"/>
          <w:b/>
          <w:lang w:val="es-ES" w:eastAsia="es-ES"/>
        </w:rPr>
        <w:t>Jorge Iván Atuesta Cort</w:t>
      </w:r>
      <w:r w:rsidR="00AB78B0">
        <w:rPr>
          <w:rFonts w:ascii="Verdana" w:eastAsia="Calibri" w:hAnsi="Verdana" w:cs="Arial"/>
          <w:b/>
          <w:lang w:val="es-ES" w:eastAsia="es-ES"/>
        </w:rPr>
        <w:t>é</w:t>
      </w:r>
      <w:r w:rsidRPr="009428DD">
        <w:rPr>
          <w:rFonts w:ascii="Verdana" w:eastAsia="Calibri" w:hAnsi="Verdana" w:cs="Arial"/>
          <w:b/>
          <w:lang w:val="es-ES" w:eastAsia="es-ES"/>
        </w:rPr>
        <w:t>s</w:t>
      </w:r>
    </w:p>
    <w:p w14:paraId="2DFEA813" w14:textId="77777777" w:rsidR="00825C8B" w:rsidRPr="009428DD" w:rsidRDefault="00DC0330" w:rsidP="0040685B">
      <w:pPr>
        <w:spacing w:after="0" w:line="240" w:lineRule="auto"/>
        <w:rPr>
          <w:rFonts w:ascii="Verdana" w:eastAsia="Calibri" w:hAnsi="Verdana" w:cs="Arial"/>
          <w:u w:val="single"/>
          <w:lang w:val="es-ES" w:eastAsia="es-ES"/>
        </w:rPr>
      </w:pPr>
      <w:hyperlink r:id="rId12" w:history="1">
        <w:r w:rsidR="00056085" w:rsidRPr="009428DD">
          <w:rPr>
            <w:rStyle w:val="Hyperlink"/>
            <w:rFonts w:ascii="Verdana" w:eastAsia="Calibri" w:hAnsi="Verdana" w:cs="Arial"/>
            <w:lang w:val="es-ES" w:eastAsia="es-ES"/>
          </w:rPr>
          <w:t>personeria@puertoparra-santander.gov.co</w:t>
        </w:r>
      </w:hyperlink>
    </w:p>
    <w:p w14:paraId="0A38C0C4" w14:textId="34BF67D2" w:rsidR="0040685B" w:rsidRPr="009428DD" w:rsidRDefault="007253A4" w:rsidP="0040685B">
      <w:pPr>
        <w:spacing w:after="0" w:line="240" w:lineRule="auto"/>
        <w:rPr>
          <w:rFonts w:ascii="Verdana" w:eastAsia="Calibri" w:hAnsi="Verdana" w:cs="Arial"/>
          <w:u w:val="single"/>
          <w:lang w:val="es-ES" w:eastAsia="es-ES"/>
        </w:rPr>
      </w:pPr>
      <w:r w:rsidRPr="009428DD">
        <w:rPr>
          <w:rFonts w:ascii="Verdana" w:eastAsia="Calibri" w:hAnsi="Verdana" w:cs="Arial"/>
          <w:lang w:val="es-ES" w:eastAsia="es-ES"/>
        </w:rPr>
        <w:t>Puerto Parra, Santander</w:t>
      </w:r>
    </w:p>
    <w:p w14:paraId="3E47E410" w14:textId="77777777" w:rsidR="0040685B" w:rsidRPr="009428DD" w:rsidRDefault="0040685B" w:rsidP="0040685B">
      <w:pPr>
        <w:spacing w:after="0" w:line="240" w:lineRule="auto"/>
        <w:rPr>
          <w:rFonts w:ascii="Verdana" w:eastAsia="Calibri" w:hAnsi="Verdana" w:cs="Arial"/>
          <w:b/>
          <w:bCs/>
          <w:lang w:val="es-ES_tradnl" w:eastAsia="es-ES_tradnl"/>
        </w:rPr>
      </w:pPr>
    </w:p>
    <w:p w14:paraId="670510E1" w14:textId="77777777" w:rsidR="0040685B" w:rsidRPr="009428DD" w:rsidRDefault="0040685B" w:rsidP="0040685B">
      <w:pPr>
        <w:spacing w:after="0" w:line="240" w:lineRule="auto"/>
        <w:rPr>
          <w:rFonts w:ascii="Verdana" w:eastAsia="Calibri" w:hAnsi="Verdana" w:cs="Arial"/>
          <w:b/>
          <w:bCs/>
          <w:lang w:val="es-ES_tradnl" w:eastAsia="es-ES_tradnl"/>
        </w:rPr>
      </w:pPr>
    </w:p>
    <w:p w14:paraId="05272575" w14:textId="77777777" w:rsidR="003152A7" w:rsidRPr="009428DD" w:rsidRDefault="003152A7" w:rsidP="0040685B">
      <w:pPr>
        <w:spacing w:after="0" w:line="240" w:lineRule="auto"/>
        <w:rPr>
          <w:rFonts w:ascii="Verdana" w:eastAsia="Calibri" w:hAnsi="Verdana" w:cs="Arial"/>
          <w:b/>
          <w:bCs/>
          <w:lang w:val="es-ES_tradnl"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521"/>
      </w:tblGrid>
      <w:tr w:rsidR="0040685B" w:rsidRPr="009428DD" w14:paraId="5D3E7E5C" w14:textId="77777777" w:rsidTr="00961D4A">
        <w:trPr>
          <w:trHeight w:val="884"/>
        </w:trPr>
        <w:tc>
          <w:tcPr>
            <w:tcW w:w="2268" w:type="dxa"/>
          </w:tcPr>
          <w:p w14:paraId="48656420" w14:textId="77777777" w:rsidR="0040685B" w:rsidRPr="009428DD" w:rsidRDefault="0040685B" w:rsidP="00DC0330">
            <w:pPr>
              <w:jc w:val="both"/>
              <w:rPr>
                <w:rFonts w:ascii="Verdana" w:eastAsia="Calibri" w:hAnsi="Verdana" w:cs="Arial"/>
                <w:b/>
                <w:bCs/>
                <w:lang w:val="es-ES_tradnl" w:eastAsia="es-ES_tradnl"/>
              </w:rPr>
            </w:pPr>
          </w:p>
        </w:tc>
        <w:tc>
          <w:tcPr>
            <w:tcW w:w="6521" w:type="dxa"/>
          </w:tcPr>
          <w:p w14:paraId="74BEF80A" w14:textId="3B3CC4FB" w:rsidR="0040685B" w:rsidRPr="009428DD" w:rsidRDefault="0040685B" w:rsidP="00DC0330">
            <w:pPr>
              <w:jc w:val="both"/>
              <w:rPr>
                <w:rFonts w:ascii="Verdana" w:eastAsia="Calibri" w:hAnsi="Verdana" w:cs="Arial"/>
                <w:b/>
                <w:bCs/>
                <w:lang w:val="es-ES" w:eastAsia="es-ES"/>
              </w:rPr>
            </w:pPr>
            <w:r w:rsidRPr="009428DD">
              <w:rPr>
                <w:rFonts w:ascii="Verdana" w:eastAsia="Calibri" w:hAnsi="Verdana" w:cs="Arial"/>
                <w:b/>
                <w:bCs/>
                <w:lang w:val="es-ES" w:eastAsia="es-ES"/>
              </w:rPr>
              <w:t xml:space="preserve">Concepto C- </w:t>
            </w:r>
            <w:r w:rsidR="00C0673F" w:rsidRPr="009428DD">
              <w:rPr>
                <w:rFonts w:ascii="Verdana" w:eastAsia="Calibri" w:hAnsi="Verdana" w:cs="Arial"/>
                <w:b/>
                <w:bCs/>
                <w:lang w:val="es-ES" w:eastAsia="es-ES"/>
              </w:rPr>
              <w:t>324</w:t>
            </w:r>
            <w:r w:rsidRPr="009428DD">
              <w:rPr>
                <w:rFonts w:ascii="Verdana" w:eastAsia="Calibri" w:hAnsi="Verdana" w:cs="Arial"/>
                <w:b/>
                <w:bCs/>
                <w:lang w:val="es-ES" w:eastAsia="es-ES"/>
              </w:rPr>
              <w:t xml:space="preserve"> de 2024</w:t>
            </w:r>
          </w:p>
        </w:tc>
      </w:tr>
      <w:tr w:rsidR="0040685B" w:rsidRPr="009428DD" w14:paraId="1AF3A528" w14:textId="77777777" w:rsidTr="00961D4A">
        <w:trPr>
          <w:trHeight w:val="884"/>
        </w:trPr>
        <w:tc>
          <w:tcPr>
            <w:tcW w:w="2268" w:type="dxa"/>
          </w:tcPr>
          <w:p w14:paraId="41826A76" w14:textId="77777777" w:rsidR="0040685B" w:rsidRPr="009428DD" w:rsidRDefault="0040685B" w:rsidP="00DC0330">
            <w:pPr>
              <w:jc w:val="both"/>
              <w:rPr>
                <w:rFonts w:ascii="Verdana" w:eastAsia="Calibri" w:hAnsi="Verdana" w:cs="Arial"/>
                <w:lang w:val="es-ES_tradnl" w:eastAsia="es-ES_tradnl"/>
              </w:rPr>
            </w:pPr>
            <w:r w:rsidRPr="009428DD">
              <w:rPr>
                <w:rFonts w:ascii="Verdana" w:eastAsia="Calibri" w:hAnsi="Verdana" w:cs="Arial"/>
                <w:b/>
                <w:lang w:val="es-ES_tradnl" w:eastAsia="es-ES_tradnl"/>
              </w:rPr>
              <w:t>Temas:</w:t>
            </w:r>
            <w:r w:rsidRPr="009428DD">
              <w:rPr>
                <w:rFonts w:ascii="Verdana" w:eastAsia="Calibri" w:hAnsi="Verdana" w:cs="Arial"/>
                <w:lang w:val="es-ES_tradnl" w:eastAsia="es-ES_tradnl"/>
              </w:rPr>
              <w:t xml:space="preserve">                   </w:t>
            </w:r>
          </w:p>
        </w:tc>
        <w:tc>
          <w:tcPr>
            <w:tcW w:w="6521" w:type="dxa"/>
          </w:tcPr>
          <w:p w14:paraId="365D694E" w14:textId="57CCDED8" w:rsidR="004B424D" w:rsidRPr="004B424D" w:rsidRDefault="004B424D" w:rsidP="004B424D">
            <w:pPr>
              <w:spacing w:line="276" w:lineRule="auto"/>
              <w:jc w:val="both"/>
              <w:rPr>
                <w:rFonts w:ascii="Verdana" w:eastAsia="Calibri" w:hAnsi="Verdana" w:cs="Arial"/>
                <w:bCs/>
                <w:lang w:val="es-MX" w:eastAsia="es-ES"/>
              </w:rPr>
            </w:pPr>
            <w:r w:rsidRPr="004B424D">
              <w:rPr>
                <w:rFonts w:ascii="Verdana" w:eastAsia="Calibri" w:hAnsi="Verdana" w:cs="Arial"/>
                <w:lang w:val="es-MX" w:eastAsia="es-ES"/>
              </w:rPr>
              <w:t>SELECCIÓN ABREVIADA – Modalidad de selección – Naturaleza </w:t>
            </w:r>
            <w:r w:rsidRPr="004B424D">
              <w:rPr>
                <w:rFonts w:ascii="Verdana" w:eastAsia="Calibri" w:hAnsi="Verdana" w:cs="Arial"/>
                <w:lang w:eastAsia="es-ES"/>
              </w:rPr>
              <w:t xml:space="preserve">/ </w:t>
            </w:r>
            <w:r w:rsidRPr="004B424D">
              <w:rPr>
                <w:rFonts w:ascii="Verdana" w:eastAsia="Calibri" w:hAnsi="Verdana" w:cs="Arial"/>
                <w:lang w:val="es-MX" w:eastAsia="es-ES"/>
              </w:rPr>
              <w:t>SELECCIÓN ABREVIADA MENOR CUANTÍA</w:t>
            </w:r>
            <w:r w:rsidR="00E52858" w:rsidRPr="009428DD">
              <w:rPr>
                <w:rFonts w:ascii="Verdana" w:eastAsia="Calibri" w:hAnsi="Verdana" w:cs="Arial"/>
                <w:lang w:val="es-MX" w:eastAsia="es-ES"/>
              </w:rPr>
              <w:t xml:space="preserve"> - </w:t>
            </w:r>
            <w:r w:rsidRPr="004B424D">
              <w:rPr>
                <w:rFonts w:ascii="Verdana" w:eastAsia="Calibri" w:hAnsi="Verdana" w:cs="Arial"/>
                <w:lang w:val="es-MX" w:eastAsia="es-ES"/>
              </w:rPr>
              <w:t>Procedencia</w:t>
            </w:r>
            <w:r w:rsidRPr="004B424D">
              <w:rPr>
                <w:rFonts w:ascii="Verdana" w:eastAsia="Calibri" w:hAnsi="Verdana" w:cs="Arial"/>
                <w:bCs/>
                <w:lang w:val="es-MX" w:eastAsia="es-ES"/>
              </w:rPr>
              <w:t xml:space="preserve"> </w:t>
            </w:r>
            <w:r w:rsidR="0040666F" w:rsidRPr="009428DD">
              <w:rPr>
                <w:rFonts w:ascii="Verdana" w:eastAsia="Calibri" w:hAnsi="Verdana" w:cs="Arial"/>
                <w:bCs/>
                <w:lang w:val="es-MX" w:eastAsia="es-ES"/>
              </w:rPr>
              <w:t>-</w:t>
            </w:r>
            <w:r w:rsidRPr="004B424D">
              <w:rPr>
                <w:rFonts w:ascii="Verdana" w:eastAsia="Calibri" w:hAnsi="Verdana" w:cs="Arial"/>
                <w:bCs/>
                <w:lang w:val="es-MX" w:eastAsia="es-ES"/>
              </w:rPr>
              <w:t xml:space="preserve"> Procesos de Contratación </w:t>
            </w:r>
            <w:r w:rsidR="00C82CA5" w:rsidRPr="009428DD">
              <w:rPr>
                <w:rFonts w:ascii="Verdana" w:eastAsia="Calibri" w:hAnsi="Verdana" w:cs="Arial"/>
                <w:bCs/>
                <w:lang w:val="es-MX" w:eastAsia="es-ES"/>
              </w:rPr>
              <w:t>– Apertura de sobres</w:t>
            </w:r>
            <w:r w:rsidR="00692DD3" w:rsidRPr="009428DD">
              <w:rPr>
                <w:rFonts w:ascii="Verdana" w:eastAsia="Calibri" w:hAnsi="Verdana" w:cs="Arial"/>
                <w:bCs/>
                <w:lang w:val="es-MX" w:eastAsia="es-ES"/>
              </w:rPr>
              <w:t xml:space="preserve"> / </w:t>
            </w:r>
            <w:r w:rsidR="00692DD3" w:rsidRPr="009428DD">
              <w:rPr>
                <w:rFonts w:ascii="Verdana" w:eastAsia="Calibri" w:hAnsi="Verdana" w:cs="Arial"/>
                <w:color w:val="000000" w:themeColor="text1"/>
                <w:lang w:val="es-ES"/>
              </w:rPr>
              <w:t>SECOP I y II – Principio de Publicidad y Transparencia</w:t>
            </w:r>
          </w:p>
          <w:p w14:paraId="495347BB" w14:textId="77777777" w:rsidR="0040685B" w:rsidRPr="009428DD" w:rsidRDefault="0040685B" w:rsidP="00DC0330">
            <w:pPr>
              <w:spacing w:line="276" w:lineRule="auto"/>
              <w:jc w:val="both"/>
              <w:rPr>
                <w:rFonts w:ascii="Verdana" w:eastAsia="Calibri" w:hAnsi="Verdana" w:cs="Arial"/>
                <w:lang w:val="es-MX" w:eastAsia="es-ES"/>
              </w:rPr>
            </w:pPr>
          </w:p>
        </w:tc>
      </w:tr>
      <w:tr w:rsidR="0040685B" w:rsidRPr="009428DD" w14:paraId="4C30C242" w14:textId="77777777" w:rsidTr="00961D4A">
        <w:tc>
          <w:tcPr>
            <w:tcW w:w="2268" w:type="dxa"/>
          </w:tcPr>
          <w:p w14:paraId="1013A94E" w14:textId="77777777" w:rsidR="0040685B" w:rsidRPr="009428DD" w:rsidRDefault="0040685B" w:rsidP="00DC0330">
            <w:pPr>
              <w:jc w:val="both"/>
              <w:rPr>
                <w:rFonts w:ascii="Verdana" w:eastAsia="Calibri" w:hAnsi="Verdana" w:cs="Arial"/>
                <w:b/>
                <w:lang w:val="es-ES_tradnl" w:eastAsia="es-ES_tradnl"/>
              </w:rPr>
            </w:pPr>
            <w:r w:rsidRPr="009428DD">
              <w:rPr>
                <w:rFonts w:ascii="Verdana" w:eastAsia="Calibri" w:hAnsi="Verdana" w:cs="Arial"/>
                <w:b/>
                <w:lang w:val="es-ES_tradnl" w:eastAsia="es-ES_tradnl"/>
              </w:rPr>
              <w:t>Radicación:</w:t>
            </w:r>
            <w:r w:rsidRPr="009428DD">
              <w:rPr>
                <w:rFonts w:ascii="Verdana" w:eastAsia="Calibri" w:hAnsi="Verdana" w:cs="Arial"/>
                <w:lang w:val="es-ES_tradnl" w:eastAsia="es-ES_tradnl"/>
              </w:rPr>
              <w:t xml:space="preserve">               </w:t>
            </w:r>
          </w:p>
        </w:tc>
        <w:tc>
          <w:tcPr>
            <w:tcW w:w="6521" w:type="dxa"/>
          </w:tcPr>
          <w:p w14:paraId="20FF019B" w14:textId="2C913CBC" w:rsidR="00544CBA" w:rsidRPr="009428DD" w:rsidRDefault="0040685B" w:rsidP="00544CBA">
            <w:pPr>
              <w:jc w:val="both"/>
              <w:rPr>
                <w:rFonts w:ascii="Verdana" w:eastAsia="Calibri" w:hAnsi="Verdana" w:cs="Arial"/>
                <w:lang w:val="es-ES_tradnl" w:eastAsia="es-ES_tradnl"/>
              </w:rPr>
            </w:pPr>
            <w:r w:rsidRPr="009428DD">
              <w:rPr>
                <w:rFonts w:ascii="Verdana" w:eastAsia="Calibri" w:hAnsi="Verdana" w:cs="Arial"/>
                <w:lang w:val="es-ES_tradnl" w:eastAsia="es-ES_tradnl"/>
              </w:rPr>
              <w:t xml:space="preserve">Respuesta a consulta con radicado No. </w:t>
            </w:r>
            <w:r w:rsidR="00544CBA" w:rsidRPr="009428DD">
              <w:rPr>
                <w:rFonts w:ascii="Verdana" w:eastAsia="Calibri" w:hAnsi="Verdana" w:cs="Arial"/>
                <w:lang w:eastAsia="es-ES_tradnl"/>
              </w:rPr>
              <w:t>P20240710007040</w:t>
            </w:r>
          </w:p>
          <w:p w14:paraId="5D52CA89" w14:textId="3B304810" w:rsidR="0040685B" w:rsidRPr="009428DD" w:rsidRDefault="0040685B" w:rsidP="00DC0330">
            <w:pPr>
              <w:jc w:val="both"/>
              <w:rPr>
                <w:rFonts w:ascii="Verdana" w:eastAsia="Calibri" w:hAnsi="Verdana" w:cs="Arial"/>
                <w:lang w:val="es-ES_tradnl" w:eastAsia="es-ES_tradnl"/>
              </w:rPr>
            </w:pPr>
          </w:p>
        </w:tc>
      </w:tr>
    </w:tbl>
    <w:p w14:paraId="64F8DC53" w14:textId="77777777" w:rsidR="0040685B" w:rsidRPr="009428DD" w:rsidRDefault="0040685B" w:rsidP="0040685B">
      <w:pPr>
        <w:spacing w:after="0" w:line="240" w:lineRule="auto"/>
        <w:jc w:val="both"/>
        <w:rPr>
          <w:rFonts w:ascii="Verdana" w:eastAsia="Calibri" w:hAnsi="Verdana" w:cs="Arial"/>
          <w:lang w:val="es-ES_tradnl" w:eastAsia="es-ES_tradnl"/>
        </w:rPr>
      </w:pPr>
    </w:p>
    <w:p w14:paraId="3A2949FF" w14:textId="09CB2219" w:rsidR="0040685B" w:rsidRPr="009428DD" w:rsidRDefault="0040685B" w:rsidP="0040685B">
      <w:pPr>
        <w:spacing w:after="0" w:line="276" w:lineRule="auto"/>
        <w:jc w:val="both"/>
        <w:rPr>
          <w:rFonts w:ascii="Verdana" w:eastAsia="Calibri" w:hAnsi="Verdana" w:cs="Arial"/>
          <w:lang w:val="es-ES" w:eastAsia="es-ES"/>
        </w:rPr>
      </w:pPr>
      <w:r w:rsidRPr="009428DD">
        <w:rPr>
          <w:rFonts w:ascii="Verdana" w:eastAsia="Calibri" w:hAnsi="Verdana" w:cs="Arial"/>
          <w:lang w:val="es-ES" w:eastAsia="es-ES"/>
        </w:rPr>
        <w:t>Estimado señor</w:t>
      </w:r>
      <w:r w:rsidR="00825C8B" w:rsidRPr="009428DD">
        <w:rPr>
          <w:rFonts w:ascii="Verdana" w:eastAsia="Calibri" w:hAnsi="Verdana" w:cs="Arial"/>
          <w:lang w:val="es-ES" w:eastAsia="es-ES"/>
        </w:rPr>
        <w:t xml:space="preserve"> </w:t>
      </w:r>
      <w:r w:rsidR="00825C8B" w:rsidRPr="009428DD">
        <w:rPr>
          <w:rFonts w:ascii="Verdana" w:eastAsia="Calibri" w:hAnsi="Verdana" w:cs="Arial"/>
          <w:lang w:val="es-ES_tradnl" w:eastAsia="es-ES"/>
        </w:rPr>
        <w:t>Atuesta</w:t>
      </w:r>
      <w:r w:rsidRPr="009428DD">
        <w:rPr>
          <w:rFonts w:ascii="Verdana" w:eastAsia="Calibri" w:hAnsi="Verdana" w:cs="Arial"/>
          <w:lang w:val="es-ES" w:eastAsia="es-ES"/>
        </w:rPr>
        <w:t xml:space="preserve">: </w:t>
      </w:r>
    </w:p>
    <w:p w14:paraId="5D08A06A" w14:textId="77777777" w:rsidR="0040685B" w:rsidRPr="009428DD" w:rsidRDefault="0040685B" w:rsidP="0040685B">
      <w:pPr>
        <w:tabs>
          <w:tab w:val="left" w:pos="3768"/>
        </w:tabs>
        <w:spacing w:after="0" w:line="276" w:lineRule="auto"/>
        <w:jc w:val="both"/>
        <w:rPr>
          <w:rFonts w:ascii="Verdana" w:eastAsia="Calibri" w:hAnsi="Verdana" w:cs="Arial"/>
          <w:lang w:val="es-ES" w:eastAsia="es-ES"/>
        </w:rPr>
      </w:pPr>
      <w:r w:rsidRPr="009428DD">
        <w:rPr>
          <w:rFonts w:ascii="Verdana" w:eastAsia="Calibri" w:hAnsi="Verdana" w:cs="Arial"/>
          <w:lang w:val="es-ES" w:eastAsia="es-ES"/>
        </w:rPr>
        <w:tab/>
      </w:r>
    </w:p>
    <w:p w14:paraId="2EFEE81D" w14:textId="68C0475B" w:rsidR="0040685B" w:rsidRPr="009428DD" w:rsidRDefault="0040685B" w:rsidP="0040685B">
      <w:pPr>
        <w:spacing w:after="0" w:line="276" w:lineRule="auto"/>
        <w:jc w:val="both"/>
        <w:rPr>
          <w:rFonts w:ascii="Verdana" w:eastAsia="Calibri" w:hAnsi="Verdana" w:cs="Arial"/>
          <w:lang w:val="es-ES" w:eastAsia="es-ES"/>
        </w:rPr>
      </w:pPr>
      <w:r w:rsidRPr="009428DD">
        <w:rPr>
          <w:rFonts w:ascii="Verdana" w:eastAsia="Calibri" w:hAnsi="Verdana" w:cs="Arial"/>
          <w:lang w:val="es-ES" w:eastAsia="es-ES"/>
        </w:rPr>
        <w:t>En ejercicio de la competencia otorgada por los artículos 3, numeral 5º, y 11, numeral 8º, del Decreto Ley 4170 de 2011,</w:t>
      </w:r>
      <w:r w:rsidRPr="009428DD">
        <w:rPr>
          <w:rFonts w:ascii="Verdana" w:eastAsia="Arial MT" w:hAnsi="Verdana" w:cs="Arial MT"/>
          <w:lang w:val="es-ES" w:eastAsia="es-ES"/>
        </w:rPr>
        <w:t xml:space="preserve"> </w:t>
      </w:r>
      <w:r w:rsidRPr="009428DD">
        <w:rPr>
          <w:rFonts w:ascii="Verdana" w:hAnsi="Verdana" w:cs="Arial"/>
        </w:rPr>
        <w:t xml:space="preserve">así como lo establecido en el artículo 4 de la Resolución 1707 de 2018 expedida por esta Entidad, </w:t>
      </w:r>
      <w:r w:rsidRPr="009428DD">
        <w:rPr>
          <w:rFonts w:ascii="Verdana" w:eastAsia="Calibri" w:hAnsi="Verdana" w:cs="Arial"/>
          <w:lang w:val="es-ES" w:eastAsia="es-ES"/>
        </w:rPr>
        <w:t xml:space="preserve">la Agencia Nacional de Contratación Pública – Colombia Compra Eficiente– responde su solicitud de consulta de fecha </w:t>
      </w:r>
      <w:r w:rsidR="00476967" w:rsidRPr="009428DD">
        <w:rPr>
          <w:rFonts w:ascii="Verdana" w:eastAsia="Calibri" w:hAnsi="Verdana" w:cs="Arial"/>
          <w:lang w:val="es-ES" w:eastAsia="es-ES"/>
        </w:rPr>
        <w:t>10 de julio del 2024</w:t>
      </w:r>
      <w:r w:rsidRPr="009428DD">
        <w:rPr>
          <w:rFonts w:ascii="Verdana" w:eastAsia="Calibri" w:hAnsi="Verdana" w:cs="Arial"/>
          <w:lang w:val="es-ES" w:eastAsia="es-ES"/>
        </w:rPr>
        <w:t xml:space="preserve">, en la cual manifiesta lo siguiente: </w:t>
      </w:r>
    </w:p>
    <w:p w14:paraId="0F293BF4" w14:textId="7BBFAB11" w:rsidR="00127233" w:rsidRPr="009428DD" w:rsidRDefault="00127233" w:rsidP="00665D70">
      <w:pPr>
        <w:spacing w:after="0"/>
        <w:jc w:val="both"/>
        <w:rPr>
          <w:rFonts w:ascii="Verdana" w:hAnsi="Verdana"/>
          <w:lang w:val="es-ES"/>
        </w:rPr>
      </w:pPr>
    </w:p>
    <w:p w14:paraId="4EEBC450" w14:textId="7512405E" w:rsidR="003953B6" w:rsidRPr="009428DD" w:rsidRDefault="003953B6" w:rsidP="003953B6">
      <w:pPr>
        <w:spacing w:after="0" w:line="240" w:lineRule="auto"/>
        <w:ind w:left="709" w:right="709"/>
        <w:jc w:val="both"/>
        <w:rPr>
          <w:rFonts w:ascii="Verdana" w:eastAsia="Century Gothic" w:hAnsi="Verdana" w:cs="Century Gothic"/>
          <w:sz w:val="20"/>
          <w:szCs w:val="20"/>
          <w:lang w:val="es-ES"/>
        </w:rPr>
      </w:pPr>
      <w:bookmarkStart w:id="1" w:name="_Hlk95313578"/>
      <w:r w:rsidRPr="009428DD">
        <w:rPr>
          <w:rFonts w:ascii="Verdana" w:eastAsia="Century Gothic" w:hAnsi="Verdana" w:cs="Century Gothic"/>
          <w:sz w:val="20"/>
          <w:szCs w:val="20"/>
          <w:lang w:val="es-ES"/>
        </w:rPr>
        <w:t>“</w:t>
      </w:r>
      <w:r w:rsidR="0032726F" w:rsidRPr="009428DD">
        <w:rPr>
          <w:rStyle w:val="normaltextrun"/>
          <w:rFonts w:ascii="Verdana" w:hAnsi="Verdana" w:cs="Arial"/>
          <w:sz w:val="20"/>
          <w:szCs w:val="20"/>
          <w:shd w:val="clear" w:color="auto" w:fill="FFFFFF"/>
          <w:lang w:val="es-ES"/>
        </w:rPr>
        <w:t xml:space="preserve">Solicitar concepto a COLOMBIA COMPRA EFICIENTE, con la finalidad de que se aclare si un contrato de selección abreviada por menor cuantía, procede la apertura de los sobre para conocer la oferta económica y documentos del proponente, contemplado </w:t>
      </w:r>
      <w:r w:rsidR="005474EA" w:rsidRPr="009428DD">
        <w:rPr>
          <w:rStyle w:val="normaltextrun"/>
          <w:rFonts w:ascii="Verdana" w:hAnsi="Verdana" w:cs="Arial"/>
          <w:sz w:val="20"/>
          <w:szCs w:val="20"/>
          <w:shd w:val="clear" w:color="auto" w:fill="FFFFFF"/>
          <w:lang w:val="es-ES"/>
        </w:rPr>
        <w:t>el artículo 24 de la ley 80 de 1992, ley 712 de 2014, concepto de Colombia Co</w:t>
      </w:r>
      <w:r w:rsidR="00C46FEB" w:rsidRPr="009428DD">
        <w:rPr>
          <w:rStyle w:val="normaltextrun"/>
          <w:rFonts w:ascii="Verdana" w:hAnsi="Verdana" w:cs="Arial"/>
          <w:sz w:val="20"/>
          <w:szCs w:val="20"/>
          <w:shd w:val="clear" w:color="auto" w:fill="FFFFFF"/>
          <w:lang w:val="es-ES"/>
        </w:rPr>
        <w:t xml:space="preserve">mpra Eficiente y la Jurisprudencia Colombiana que habla sobre la </w:t>
      </w:r>
      <w:r w:rsidR="00F24250" w:rsidRPr="009428DD">
        <w:rPr>
          <w:rStyle w:val="normaltextrun"/>
          <w:rFonts w:ascii="Verdana" w:hAnsi="Verdana" w:cs="Arial"/>
          <w:sz w:val="20"/>
          <w:szCs w:val="20"/>
          <w:shd w:val="clear" w:color="auto" w:fill="FFFFFF"/>
          <w:lang w:val="es-ES"/>
        </w:rPr>
        <w:t>obligación</w:t>
      </w:r>
      <w:r w:rsidR="00C46FEB" w:rsidRPr="009428DD">
        <w:rPr>
          <w:rStyle w:val="normaltextrun"/>
          <w:rFonts w:ascii="Verdana" w:hAnsi="Verdana" w:cs="Arial"/>
          <w:sz w:val="20"/>
          <w:szCs w:val="20"/>
          <w:shd w:val="clear" w:color="auto" w:fill="FFFFFF"/>
          <w:lang w:val="es-ES"/>
        </w:rPr>
        <w:t xml:space="preserve"> de publicar y dar a conocer los documentos que contienen las ofertas, en un contrato de selección abreviada </w:t>
      </w:r>
      <w:r w:rsidR="00F24250" w:rsidRPr="009428DD">
        <w:rPr>
          <w:rStyle w:val="normaltextrun"/>
          <w:rFonts w:ascii="Verdana" w:hAnsi="Verdana" w:cs="Arial"/>
          <w:sz w:val="20"/>
          <w:szCs w:val="20"/>
          <w:shd w:val="clear" w:color="auto" w:fill="FFFFFF"/>
          <w:lang w:val="es-ES"/>
        </w:rPr>
        <w:t>por menor cuantía.</w:t>
      </w:r>
      <w:r w:rsidRPr="009428DD">
        <w:rPr>
          <w:rFonts w:ascii="Verdana" w:eastAsia="Century Gothic" w:hAnsi="Verdana" w:cs="Century Gothic"/>
          <w:sz w:val="20"/>
          <w:szCs w:val="20"/>
          <w:lang w:val="es-ES"/>
        </w:rPr>
        <w:t>”</w:t>
      </w:r>
      <w:bookmarkEnd w:id="1"/>
      <w:r w:rsidRPr="009428DD">
        <w:rPr>
          <w:rFonts w:ascii="Verdana" w:eastAsia="Century Gothic" w:hAnsi="Verdana" w:cs="Century Gothic"/>
          <w:sz w:val="20"/>
          <w:szCs w:val="20"/>
          <w:lang w:val="es-ES"/>
        </w:rPr>
        <w:t>.</w:t>
      </w:r>
    </w:p>
    <w:p w14:paraId="55E8615B" w14:textId="77777777" w:rsidR="003953B6" w:rsidRPr="009428DD" w:rsidRDefault="003953B6" w:rsidP="00665D70">
      <w:pPr>
        <w:spacing w:after="0"/>
        <w:jc w:val="both"/>
        <w:rPr>
          <w:rFonts w:ascii="Verdana" w:hAnsi="Verdana"/>
          <w:lang w:val="es-ES"/>
        </w:rPr>
      </w:pPr>
    </w:p>
    <w:p w14:paraId="15C1DA80" w14:textId="77777777" w:rsidR="00E21CB5" w:rsidRPr="009428DD" w:rsidRDefault="00E21CB5" w:rsidP="00E21CB5">
      <w:pPr>
        <w:spacing w:after="120" w:line="276" w:lineRule="auto"/>
        <w:ind w:firstLine="709"/>
        <w:jc w:val="both"/>
        <w:rPr>
          <w:rFonts w:ascii="Verdana" w:eastAsia="Calibri" w:hAnsi="Verdana" w:cs="Arial"/>
          <w:color w:val="000000"/>
          <w:szCs w:val="24"/>
          <w:lang w:val="es-ES_tradnl" w:eastAsia="es-ES_tradnl"/>
        </w:rPr>
      </w:pPr>
      <w:r w:rsidRPr="009428DD">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428DD">
        <w:rPr>
          <w:rFonts w:ascii="Verdana" w:eastAsia="Calibri" w:hAnsi="Verdana" w:cs="Arial"/>
          <w:color w:val="000000"/>
          <w:szCs w:val="24"/>
          <w:lang w:val="es-ES_tradnl" w:eastAsia="es-ES_tradnl"/>
        </w:rPr>
        <w:tab/>
      </w:r>
    </w:p>
    <w:p w14:paraId="48E825E2" w14:textId="577C286B" w:rsidR="00E21CB5" w:rsidRPr="009428DD" w:rsidRDefault="00E21CB5" w:rsidP="00E21CB5">
      <w:pPr>
        <w:spacing w:after="0" w:line="276" w:lineRule="auto"/>
        <w:ind w:firstLine="709"/>
        <w:jc w:val="both"/>
        <w:rPr>
          <w:rFonts w:ascii="Verdana" w:eastAsia="Calibri" w:hAnsi="Verdana" w:cs="Arial"/>
          <w:color w:val="000000"/>
          <w:lang w:val="es-ES" w:eastAsia="es-ES"/>
        </w:rPr>
      </w:pPr>
      <w:r w:rsidRPr="009428DD">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9428DD">
        <w:rPr>
          <w:rFonts w:ascii="Verdana" w:eastAsia="Calibri" w:hAnsi="Verdana" w:cs="Arial"/>
          <w:color w:val="7030A0"/>
          <w:lang w:val="es-ES" w:eastAsia="es-ES"/>
        </w:rPr>
        <w:t xml:space="preserve"> </w:t>
      </w:r>
      <w:r w:rsidRPr="009428DD">
        <w:rPr>
          <w:rFonts w:ascii="Verdana" w:eastAsia="Calibri" w:hAnsi="Verdana" w:cs="Arial"/>
          <w:color w:val="000000"/>
          <w:lang w:val="es-ES" w:eastAsia="es-ES"/>
        </w:rPr>
        <w:t>jurídico</w:t>
      </w:r>
      <w:r w:rsidRPr="009428DD">
        <w:rPr>
          <w:rFonts w:ascii="Verdana" w:eastAsia="Calibri" w:hAnsi="Verdana" w:cs="Arial"/>
          <w:color w:val="7030A0"/>
          <w:lang w:val="es-ES" w:eastAsia="es-ES"/>
        </w:rPr>
        <w:t xml:space="preserve"> </w:t>
      </w:r>
      <w:r w:rsidRPr="009428DD">
        <w:rPr>
          <w:rFonts w:ascii="Verdana" w:eastAsia="Calibri" w:hAnsi="Verdana" w:cs="Arial"/>
          <w:color w:val="000000"/>
          <w:lang w:val="es-ES" w:eastAsia="es-ES"/>
        </w:rPr>
        <w:t xml:space="preserve">de su consulta. </w:t>
      </w:r>
    </w:p>
    <w:p w14:paraId="0D023096" w14:textId="77777777" w:rsidR="00E21CB5" w:rsidRPr="009428DD" w:rsidRDefault="00E21CB5" w:rsidP="00E21CB5">
      <w:pPr>
        <w:spacing w:after="0" w:line="276" w:lineRule="auto"/>
        <w:ind w:firstLine="709"/>
        <w:jc w:val="both"/>
        <w:rPr>
          <w:rFonts w:ascii="Verdana" w:eastAsia="Calibri" w:hAnsi="Verdana" w:cs="Arial"/>
          <w:color w:val="000000"/>
          <w:lang w:val="es-ES" w:eastAsia="es-ES"/>
        </w:rPr>
      </w:pPr>
    </w:p>
    <w:p w14:paraId="3991CBBD" w14:textId="77777777" w:rsidR="00CF58BC" w:rsidRPr="009428DD" w:rsidRDefault="00CF58BC" w:rsidP="00CF58BC">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9428DD">
        <w:rPr>
          <w:rFonts w:ascii="Verdana" w:eastAsia="Century Gothic" w:hAnsi="Verdana" w:cs="Century Gothic"/>
          <w:b/>
          <w:bCs/>
        </w:rPr>
        <w:t>Problema planteado:</w:t>
      </w:r>
    </w:p>
    <w:p w14:paraId="2941E1AF" w14:textId="77777777" w:rsidR="00CF58BC" w:rsidRPr="009428DD" w:rsidRDefault="00CF58BC" w:rsidP="00CF58BC">
      <w:pPr>
        <w:tabs>
          <w:tab w:val="left" w:pos="426"/>
        </w:tabs>
        <w:spacing w:after="0" w:line="276" w:lineRule="auto"/>
        <w:jc w:val="both"/>
        <w:rPr>
          <w:rFonts w:ascii="Verdana" w:eastAsia="Century Gothic" w:hAnsi="Verdana" w:cs="Century Gothic"/>
          <w:lang w:val="es-ES"/>
        </w:rPr>
      </w:pPr>
    </w:p>
    <w:p w14:paraId="5F7BD01D" w14:textId="5E91D88F" w:rsidR="00CF58BC" w:rsidRPr="009428DD" w:rsidRDefault="00CF58BC" w:rsidP="00CF58BC">
      <w:pPr>
        <w:spacing w:after="0" w:line="276" w:lineRule="auto"/>
        <w:jc w:val="both"/>
        <w:rPr>
          <w:rFonts w:ascii="Verdana" w:eastAsia="Century Gothic" w:hAnsi="Verdana" w:cs="Century Gothic"/>
        </w:rPr>
      </w:pPr>
      <w:r w:rsidRPr="40D4CEEB">
        <w:rPr>
          <w:rFonts w:ascii="Verdana" w:eastAsia="Century Gothic" w:hAnsi="Verdana" w:cs="Century Gothic"/>
        </w:rPr>
        <w:t>De acuerdo con el contenido de su solicitud, esta Agencia resolverá el</w:t>
      </w:r>
      <w:r w:rsidR="003E3C86" w:rsidRPr="40D4CEEB">
        <w:rPr>
          <w:rFonts w:ascii="Verdana" w:eastAsia="Century Gothic" w:hAnsi="Verdana" w:cs="Century Gothic"/>
        </w:rPr>
        <w:t xml:space="preserve"> </w:t>
      </w:r>
      <w:r w:rsidRPr="40D4CEEB">
        <w:rPr>
          <w:rFonts w:ascii="Verdana" w:eastAsia="Century Gothic" w:hAnsi="Verdana" w:cs="Century Gothic"/>
        </w:rPr>
        <w:t>siguiente</w:t>
      </w:r>
      <w:r w:rsidR="003E3C86" w:rsidRPr="40D4CEEB">
        <w:rPr>
          <w:rFonts w:ascii="Verdana" w:eastAsia="Century Gothic" w:hAnsi="Verdana" w:cs="Century Gothic"/>
        </w:rPr>
        <w:t xml:space="preserve"> </w:t>
      </w:r>
      <w:r w:rsidRPr="40D4CEEB">
        <w:rPr>
          <w:rFonts w:ascii="Verdana" w:eastAsia="Century Gothic" w:hAnsi="Verdana" w:cs="Century Gothic"/>
        </w:rPr>
        <w:t>problema</w:t>
      </w:r>
      <w:r w:rsidR="1AF4DBDD" w:rsidRPr="40D4CEEB">
        <w:rPr>
          <w:rFonts w:ascii="Verdana" w:eastAsia="Century Gothic" w:hAnsi="Verdana" w:cs="Century Gothic"/>
        </w:rPr>
        <w:t xml:space="preserve"> </w:t>
      </w:r>
      <w:r w:rsidRPr="40D4CEEB">
        <w:rPr>
          <w:rFonts w:ascii="Verdana" w:eastAsia="Century Gothic" w:hAnsi="Verdana" w:cs="Century Gothic"/>
        </w:rPr>
        <w:t>jurídico</w:t>
      </w:r>
      <w:r w:rsidR="00F77910" w:rsidRPr="40D4CEEB">
        <w:rPr>
          <w:rFonts w:ascii="Verdana" w:eastAsia="Century Gothic" w:hAnsi="Verdana" w:cs="Century Gothic"/>
        </w:rPr>
        <w:t>: ¿</w:t>
      </w:r>
      <w:r w:rsidR="006C2E0E" w:rsidRPr="40D4CEEB">
        <w:rPr>
          <w:rFonts w:ascii="Verdana" w:eastAsia="Century Gothic" w:hAnsi="Verdana" w:cs="Century Gothic"/>
        </w:rPr>
        <w:t>Se debe realizar la apertura e</w:t>
      </w:r>
      <w:r w:rsidR="00661D14" w:rsidRPr="40D4CEEB">
        <w:rPr>
          <w:rFonts w:ascii="Verdana" w:eastAsia="Century Gothic" w:hAnsi="Verdana" w:cs="Century Gothic"/>
        </w:rPr>
        <w:t>n</w:t>
      </w:r>
      <w:r w:rsidR="006C2E0E" w:rsidRPr="40D4CEEB">
        <w:rPr>
          <w:rFonts w:ascii="Verdana" w:eastAsia="Century Gothic" w:hAnsi="Verdana" w:cs="Century Gothic"/>
        </w:rPr>
        <w:t xml:space="preserve"> público de las ofertas o sobres que contienen las propuestas en un proceso de selección abreviada de menor cuantía</w:t>
      </w:r>
      <w:r w:rsidR="00977243" w:rsidRPr="40D4CEEB">
        <w:rPr>
          <w:rFonts w:ascii="Verdana" w:eastAsia="Century Gothic" w:hAnsi="Verdana" w:cs="Century Gothic"/>
          <w:color w:val="7030A0"/>
        </w:rPr>
        <w:t>?</w:t>
      </w:r>
    </w:p>
    <w:p w14:paraId="219A5A95" w14:textId="77777777" w:rsidR="00CF58BC" w:rsidRPr="009428DD" w:rsidRDefault="00CF58BC" w:rsidP="00E21CB5">
      <w:pPr>
        <w:spacing w:after="0" w:line="276" w:lineRule="auto"/>
        <w:ind w:firstLine="709"/>
        <w:jc w:val="both"/>
        <w:rPr>
          <w:rFonts w:ascii="Verdana" w:eastAsia="Calibri" w:hAnsi="Verdana" w:cs="Arial"/>
          <w:color w:val="000000"/>
          <w:lang w:eastAsia="es-ES"/>
        </w:rPr>
      </w:pPr>
    </w:p>
    <w:p w14:paraId="32C6F18A" w14:textId="77777777" w:rsidR="00685C95" w:rsidRPr="009428DD" w:rsidRDefault="00685C95" w:rsidP="00685C95">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428DD">
        <w:rPr>
          <w:rFonts w:ascii="Verdana" w:eastAsia="Century Gothic" w:hAnsi="Verdana" w:cs="Century Gothic"/>
          <w:b/>
          <w:bCs/>
        </w:rPr>
        <w:t>Respuesta:</w:t>
      </w:r>
    </w:p>
    <w:p w14:paraId="152D065D" w14:textId="77777777" w:rsidR="00685C95" w:rsidRPr="009428DD" w:rsidRDefault="00685C95" w:rsidP="00685C95">
      <w:pPr>
        <w:tabs>
          <w:tab w:val="left" w:pos="142"/>
          <w:tab w:val="left" w:pos="284"/>
        </w:tabs>
        <w:spacing w:after="0" w:line="276" w:lineRule="auto"/>
        <w:jc w:val="both"/>
        <w:rPr>
          <w:rFonts w:ascii="Verdana" w:eastAsia="Century Gothic" w:hAnsi="Verdana" w:cs="Century Gothic"/>
          <w:b/>
          <w:bCs/>
          <w:lang w:val="es-E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85C95" w:rsidRPr="009428DD" w14:paraId="41DA30B3" w14:textId="77777777" w:rsidTr="00DC0330">
        <w:tc>
          <w:tcPr>
            <w:tcW w:w="8828" w:type="dxa"/>
            <w:shd w:val="clear" w:color="auto" w:fill="auto"/>
          </w:tcPr>
          <w:p w14:paraId="7B59DF58" w14:textId="6F196F95" w:rsidR="00685C95" w:rsidRPr="00954ECA" w:rsidRDefault="00F809D4" w:rsidP="00DC0330">
            <w:pPr>
              <w:spacing w:line="276" w:lineRule="auto"/>
              <w:jc w:val="both"/>
              <w:rPr>
                <w:rFonts w:ascii="Verdana" w:eastAsia="Calibri" w:hAnsi="Verdana" w:cs="Arial"/>
                <w:color w:val="000000" w:themeColor="text1"/>
                <w:lang w:val="es-ES"/>
              </w:rPr>
            </w:pPr>
            <w:r w:rsidRPr="002A0F36">
              <w:rPr>
                <w:rFonts w:ascii="Verdana" w:eastAsia="Calibri" w:hAnsi="Verdana" w:cs="Arial"/>
                <w:color w:val="000000" w:themeColor="text1"/>
                <w:lang w:val="es-ES"/>
              </w:rPr>
              <w:t xml:space="preserve">La </w:t>
            </w:r>
            <w:r w:rsidR="00F74A70" w:rsidRPr="002A0F36">
              <w:rPr>
                <w:rFonts w:ascii="Verdana" w:eastAsia="Calibri" w:hAnsi="Verdana" w:cs="Arial"/>
                <w:color w:val="000000" w:themeColor="text1"/>
                <w:lang w:val="es-ES"/>
              </w:rPr>
              <w:t>forma</w:t>
            </w:r>
            <w:r w:rsidRPr="002A0F36">
              <w:rPr>
                <w:rFonts w:ascii="Verdana" w:eastAsia="Calibri" w:hAnsi="Verdana" w:cs="Arial"/>
                <w:color w:val="000000" w:themeColor="text1"/>
                <w:lang w:val="es-ES"/>
              </w:rPr>
              <w:t xml:space="preserve"> de adelantar </w:t>
            </w:r>
            <w:r w:rsidR="008D632E" w:rsidRPr="002A0F36">
              <w:rPr>
                <w:rFonts w:ascii="Verdana" w:eastAsia="Calibri" w:hAnsi="Verdana" w:cs="Arial"/>
                <w:color w:val="000000" w:themeColor="text1"/>
                <w:lang w:val="es-ES"/>
              </w:rPr>
              <w:t xml:space="preserve">la </w:t>
            </w:r>
            <w:r w:rsidRPr="002A0F36">
              <w:rPr>
                <w:rFonts w:ascii="Verdana" w:eastAsia="Calibri" w:hAnsi="Verdana" w:cs="Arial"/>
                <w:color w:val="000000" w:themeColor="text1"/>
                <w:lang w:val="es-ES"/>
              </w:rPr>
              <w:t>apertura en público de las ofertas presentadas dependerá de la plataforma</w:t>
            </w:r>
            <w:r w:rsidR="0022018F" w:rsidRPr="002A0F36">
              <w:rPr>
                <w:rFonts w:ascii="Verdana" w:eastAsia="Calibri" w:hAnsi="Verdana" w:cs="Arial"/>
                <w:color w:val="000000" w:themeColor="text1"/>
                <w:lang w:val="es-ES"/>
              </w:rPr>
              <w:t xml:space="preserve"> </w:t>
            </w:r>
            <w:r w:rsidR="00B7651A" w:rsidRPr="002A0F36">
              <w:rPr>
                <w:rFonts w:ascii="Verdana" w:eastAsia="Calibri" w:hAnsi="Verdana" w:cs="Arial"/>
                <w:color w:val="000000" w:themeColor="text1"/>
                <w:lang w:val="es-ES"/>
              </w:rPr>
              <w:t>en la que se adelant</w:t>
            </w:r>
            <w:r w:rsidR="001B1A06" w:rsidRPr="002A0F36">
              <w:rPr>
                <w:rFonts w:ascii="Verdana" w:eastAsia="Calibri" w:hAnsi="Verdana" w:cs="Arial"/>
                <w:color w:val="000000" w:themeColor="text1"/>
                <w:lang w:val="es-ES"/>
              </w:rPr>
              <w:t>e</w:t>
            </w:r>
            <w:r w:rsidR="00201731" w:rsidRPr="002A0F36">
              <w:rPr>
                <w:rFonts w:ascii="Verdana" w:eastAsia="Calibri" w:hAnsi="Verdana" w:cs="Arial"/>
                <w:color w:val="000000" w:themeColor="text1"/>
                <w:lang w:val="es-ES"/>
              </w:rPr>
              <w:t xml:space="preserve"> el proceso de contratació</w:t>
            </w:r>
            <w:r w:rsidR="001B1A06" w:rsidRPr="002A0F36">
              <w:rPr>
                <w:rFonts w:ascii="Verdana" w:eastAsia="Calibri" w:hAnsi="Verdana" w:cs="Arial"/>
                <w:color w:val="000000" w:themeColor="text1"/>
                <w:lang w:val="es-ES"/>
              </w:rPr>
              <w:t xml:space="preserve">n. Así, </w:t>
            </w:r>
            <w:r w:rsidRPr="002A0F36">
              <w:rPr>
                <w:rFonts w:ascii="Verdana" w:eastAsia="Calibri" w:hAnsi="Verdana" w:cs="Arial"/>
                <w:color w:val="000000" w:themeColor="text1"/>
                <w:lang w:val="es-ES"/>
              </w:rPr>
              <w:t>en</w:t>
            </w:r>
            <w:r w:rsidR="001B1A06" w:rsidRPr="002A0F36">
              <w:rPr>
                <w:rFonts w:ascii="Verdana" w:eastAsia="Calibri" w:hAnsi="Verdana" w:cs="Arial"/>
                <w:color w:val="000000" w:themeColor="text1"/>
                <w:lang w:val="es-ES"/>
              </w:rPr>
              <w:t xml:space="preserve"> el</w:t>
            </w:r>
            <w:r w:rsidRPr="002A0F36">
              <w:rPr>
                <w:rFonts w:ascii="Verdana" w:eastAsia="Calibri" w:hAnsi="Verdana" w:cs="Arial"/>
                <w:color w:val="000000" w:themeColor="text1"/>
                <w:lang w:val="es-ES"/>
              </w:rPr>
              <w:t xml:space="preserve"> </w:t>
            </w:r>
            <w:r w:rsidR="001B1A06" w:rsidRPr="002A0F36">
              <w:rPr>
                <w:rFonts w:ascii="Verdana" w:eastAsia="Calibri" w:hAnsi="Verdana" w:cs="Arial"/>
                <w:color w:val="000000" w:themeColor="text1"/>
                <w:lang w:val="es-ES"/>
              </w:rPr>
              <w:t>evento</w:t>
            </w:r>
            <w:r w:rsidRPr="002A0F36">
              <w:rPr>
                <w:rFonts w:ascii="Verdana" w:eastAsia="Calibri" w:hAnsi="Verdana" w:cs="Arial"/>
                <w:color w:val="000000" w:themeColor="text1"/>
                <w:lang w:val="es-ES"/>
              </w:rPr>
              <w:t xml:space="preserve"> </w:t>
            </w:r>
            <w:r w:rsidR="004001FA">
              <w:rPr>
                <w:rFonts w:ascii="Verdana" w:eastAsia="Calibri" w:hAnsi="Verdana" w:cs="Arial"/>
                <w:color w:val="000000" w:themeColor="text1"/>
                <w:lang w:val="es-ES"/>
              </w:rPr>
              <w:t xml:space="preserve">en el </w:t>
            </w:r>
            <w:r w:rsidR="001B1A06" w:rsidRPr="002A0F36">
              <w:rPr>
                <w:rFonts w:ascii="Verdana" w:eastAsia="Calibri" w:hAnsi="Verdana" w:cs="Arial"/>
                <w:color w:val="000000" w:themeColor="text1"/>
                <w:lang w:val="es-ES"/>
              </w:rPr>
              <w:t xml:space="preserve">que el proceso se </w:t>
            </w:r>
            <w:r w:rsidR="004001FA">
              <w:rPr>
                <w:rFonts w:ascii="Verdana" w:eastAsia="Calibri" w:hAnsi="Verdana" w:cs="Arial"/>
                <w:color w:val="000000" w:themeColor="text1"/>
                <w:lang w:val="es-ES"/>
              </w:rPr>
              <w:t xml:space="preserve">deba </w:t>
            </w:r>
            <w:r w:rsidR="001B1A06" w:rsidRPr="002A0F36">
              <w:rPr>
                <w:rFonts w:ascii="Verdana" w:eastAsia="Calibri" w:hAnsi="Verdana" w:cs="Arial"/>
                <w:color w:val="000000" w:themeColor="text1"/>
                <w:lang w:val="es-ES"/>
              </w:rPr>
              <w:t>trami</w:t>
            </w:r>
            <w:r w:rsidR="004001FA">
              <w:rPr>
                <w:rFonts w:ascii="Verdana" w:eastAsia="Calibri" w:hAnsi="Verdana" w:cs="Arial"/>
                <w:color w:val="000000" w:themeColor="text1"/>
                <w:lang w:val="es-ES"/>
              </w:rPr>
              <w:t>tar</w:t>
            </w:r>
            <w:r w:rsidR="001B1A06" w:rsidRPr="002A0F36">
              <w:rPr>
                <w:rFonts w:ascii="Verdana" w:eastAsia="Calibri" w:hAnsi="Verdana" w:cs="Arial"/>
                <w:color w:val="000000" w:themeColor="text1"/>
                <w:lang w:val="es-ES"/>
              </w:rPr>
              <w:t xml:space="preserve"> en SECOP I, es necesario </w:t>
            </w:r>
            <w:r w:rsidRPr="002A0F36">
              <w:rPr>
                <w:rFonts w:ascii="Verdana" w:eastAsia="Calibri" w:hAnsi="Verdana" w:cs="Arial"/>
                <w:color w:val="000000" w:themeColor="text1"/>
                <w:lang w:val="es-ES"/>
              </w:rPr>
              <w:t>realizar la apertura pública de sobres</w:t>
            </w:r>
            <w:r w:rsidR="00B37AFA" w:rsidRPr="002A0F36">
              <w:rPr>
                <w:rFonts w:ascii="Verdana" w:eastAsia="Calibri" w:hAnsi="Verdana" w:cs="Arial"/>
                <w:color w:val="000000" w:themeColor="text1"/>
                <w:lang w:val="es-ES"/>
              </w:rPr>
              <w:t xml:space="preserve">, esto es, </w:t>
            </w:r>
            <w:r w:rsidR="0022018F" w:rsidRPr="002A0F36">
              <w:rPr>
                <w:rFonts w:ascii="Verdana" w:eastAsia="Calibri" w:hAnsi="Verdana" w:cs="Arial"/>
                <w:color w:val="000000" w:themeColor="text1"/>
                <w:lang w:val="es-ES"/>
              </w:rPr>
              <w:t>en presencia de los proponentes o veedores que deseen asistir</w:t>
            </w:r>
            <w:r w:rsidR="004C2446" w:rsidRPr="002A0F36">
              <w:rPr>
                <w:rFonts w:ascii="Verdana" w:eastAsia="Calibri" w:hAnsi="Verdana" w:cs="Arial"/>
                <w:color w:val="000000" w:themeColor="text1"/>
                <w:lang w:val="es-ES"/>
              </w:rPr>
              <w:t xml:space="preserve">. Ahora, </w:t>
            </w:r>
            <w:r w:rsidR="002A0F36" w:rsidRPr="002A0F36">
              <w:rPr>
                <w:rFonts w:ascii="Verdana" w:eastAsia="Calibri" w:hAnsi="Verdana" w:cs="Arial"/>
                <w:color w:val="000000" w:themeColor="text1"/>
                <w:lang w:val="es-ES"/>
              </w:rPr>
              <w:t>para</w:t>
            </w:r>
            <w:r w:rsidR="004C2446" w:rsidRPr="002A0F36">
              <w:rPr>
                <w:rFonts w:ascii="Verdana" w:eastAsia="Calibri" w:hAnsi="Verdana" w:cs="Arial"/>
                <w:color w:val="000000" w:themeColor="text1"/>
                <w:lang w:val="es-ES"/>
              </w:rPr>
              <w:t xml:space="preserve"> </w:t>
            </w:r>
            <w:r w:rsidRPr="002A0F36">
              <w:rPr>
                <w:rFonts w:ascii="Verdana" w:eastAsia="Calibri" w:hAnsi="Verdana" w:cs="Arial"/>
                <w:color w:val="000000" w:themeColor="text1"/>
                <w:lang w:val="es-ES"/>
              </w:rPr>
              <w:t xml:space="preserve">aquellos procesos tramitados </w:t>
            </w:r>
            <w:r w:rsidR="004001FA">
              <w:rPr>
                <w:rFonts w:ascii="Verdana" w:eastAsia="Calibri" w:hAnsi="Verdana" w:cs="Arial"/>
                <w:color w:val="000000" w:themeColor="text1"/>
                <w:lang w:val="es-ES"/>
              </w:rPr>
              <w:t xml:space="preserve">en </w:t>
            </w:r>
            <w:r w:rsidRPr="002A0F36">
              <w:rPr>
                <w:rFonts w:ascii="Verdana" w:eastAsia="Calibri" w:hAnsi="Verdana" w:cs="Arial"/>
                <w:color w:val="000000" w:themeColor="text1"/>
                <w:lang w:val="es-ES"/>
              </w:rPr>
              <w:t>SECOP II,</w:t>
            </w:r>
            <w:r w:rsidR="00F87A94" w:rsidRPr="002A0F36">
              <w:rPr>
                <w:rFonts w:ascii="Verdana" w:eastAsia="Calibri" w:hAnsi="Verdana" w:cs="Arial"/>
                <w:color w:val="000000" w:themeColor="text1"/>
                <w:lang w:val="es-ES"/>
              </w:rPr>
              <w:t xml:space="preserve"> </w:t>
            </w:r>
            <w:r w:rsidR="0030712B">
              <w:rPr>
                <w:rFonts w:ascii="Verdana" w:eastAsia="Calibri" w:hAnsi="Verdana" w:cs="Arial"/>
                <w:color w:val="000000" w:themeColor="text1"/>
                <w:lang w:val="es-ES"/>
              </w:rPr>
              <w:t>resulta pertinente precisar</w:t>
            </w:r>
            <w:r w:rsidR="00DC6856">
              <w:rPr>
                <w:rFonts w:ascii="Verdana" w:eastAsia="Calibri" w:hAnsi="Verdana" w:cs="Arial"/>
                <w:color w:val="000000" w:themeColor="text1"/>
                <w:lang w:val="es-ES"/>
              </w:rPr>
              <w:t xml:space="preserve">, </w:t>
            </w:r>
            <w:r w:rsidR="0030712B">
              <w:rPr>
                <w:rFonts w:ascii="Verdana" w:eastAsia="Calibri" w:hAnsi="Verdana" w:cs="Arial"/>
                <w:color w:val="000000" w:themeColor="text1"/>
                <w:lang w:val="es-ES"/>
              </w:rPr>
              <w:t xml:space="preserve">que </w:t>
            </w:r>
            <w:r w:rsidR="00F87A94" w:rsidRPr="002A0F36">
              <w:rPr>
                <w:rFonts w:ascii="Verdana" w:hAnsi="Verdana"/>
                <w:lang w:val="es-ES"/>
              </w:rPr>
              <w:t xml:space="preserve">la plataforma genera y publica automáticamente la lista de oferentes, la cual hace las veces de acta de cierre, por lo que no se requiere de la presencia de los proponentes. </w:t>
            </w:r>
            <w:r w:rsidRPr="002A0F36">
              <w:rPr>
                <w:rFonts w:ascii="Verdana" w:eastAsia="Calibri" w:hAnsi="Verdana" w:cs="Arial"/>
                <w:color w:val="000000" w:themeColor="text1"/>
                <w:lang w:val="es-ES"/>
              </w:rPr>
              <w:t>En ambos casos, se garantiza el principio de publicidad, el cual puede materializarse mediante la implementación de distintos mecanismos, sin que tenga una única forma de concreción.</w:t>
            </w:r>
          </w:p>
        </w:tc>
      </w:tr>
    </w:tbl>
    <w:p w14:paraId="6A8B14EC" w14:textId="77777777" w:rsidR="00685C95" w:rsidRPr="009428DD" w:rsidRDefault="00685C95" w:rsidP="00685C95">
      <w:pPr>
        <w:tabs>
          <w:tab w:val="left" w:pos="142"/>
          <w:tab w:val="left" w:pos="284"/>
        </w:tabs>
        <w:spacing w:after="0" w:line="276" w:lineRule="auto"/>
        <w:jc w:val="both"/>
        <w:rPr>
          <w:rFonts w:ascii="Verdana" w:eastAsia="Century Gothic" w:hAnsi="Verdana" w:cs="Century Gothic"/>
          <w:b/>
          <w:bCs/>
          <w:lang w:val="es-ES"/>
        </w:rPr>
      </w:pPr>
    </w:p>
    <w:p w14:paraId="74AE9007" w14:textId="77777777" w:rsidR="00685C95" w:rsidRPr="009428DD" w:rsidRDefault="00685C95" w:rsidP="00685C95">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428DD">
        <w:rPr>
          <w:rFonts w:ascii="Verdana" w:eastAsia="Century Gothic" w:hAnsi="Verdana" w:cs="Century Gothic"/>
          <w:b/>
          <w:bCs/>
        </w:rPr>
        <w:t>Razones de la respuesta:</w:t>
      </w:r>
    </w:p>
    <w:p w14:paraId="67D844C4" w14:textId="77777777" w:rsidR="00685C95" w:rsidRPr="009428DD" w:rsidRDefault="00685C95" w:rsidP="00685C95">
      <w:pPr>
        <w:spacing w:after="0" w:line="276" w:lineRule="auto"/>
        <w:jc w:val="both"/>
        <w:rPr>
          <w:rFonts w:ascii="Verdana" w:eastAsia="Calibri" w:hAnsi="Verdana" w:cs="Arial"/>
          <w:color w:val="7030A0"/>
          <w:lang w:val="es-ES"/>
        </w:rPr>
      </w:pPr>
    </w:p>
    <w:p w14:paraId="6ED30684" w14:textId="49BF3E63" w:rsidR="00685C95" w:rsidRPr="009428DD" w:rsidRDefault="00685C95" w:rsidP="00685C95">
      <w:pPr>
        <w:spacing w:after="0" w:line="276" w:lineRule="auto"/>
        <w:jc w:val="both"/>
        <w:rPr>
          <w:rFonts w:ascii="Verdana" w:eastAsia="Calibri" w:hAnsi="Verdana" w:cs="Arial"/>
          <w:lang w:val="es-ES"/>
        </w:rPr>
      </w:pPr>
      <w:r w:rsidRPr="009428DD">
        <w:rPr>
          <w:rFonts w:ascii="Verdana" w:eastAsia="Calibri" w:hAnsi="Verdana" w:cs="Arial"/>
          <w:lang w:val="es-ES"/>
        </w:rPr>
        <w:t>L</w:t>
      </w:r>
      <w:r w:rsidR="00727F3A" w:rsidRPr="009428DD">
        <w:rPr>
          <w:rFonts w:ascii="Verdana" w:eastAsia="Calibri" w:hAnsi="Verdana" w:cs="Arial"/>
          <w:lang w:val="es-ES"/>
        </w:rPr>
        <w:t>a respuesta</w:t>
      </w:r>
      <w:r w:rsidRPr="009428DD">
        <w:rPr>
          <w:rFonts w:ascii="Verdana" w:eastAsia="Calibri" w:hAnsi="Verdana" w:cs="Arial"/>
          <w:lang w:val="es-ES"/>
        </w:rPr>
        <w:t xml:space="preserve"> anterior se sustenta en las siguientes consideraciones: </w:t>
      </w:r>
    </w:p>
    <w:p w14:paraId="09762DA5" w14:textId="77777777" w:rsidR="00E21CB5" w:rsidRPr="009428DD" w:rsidRDefault="00E21CB5" w:rsidP="00665D70">
      <w:pPr>
        <w:spacing w:after="0"/>
        <w:jc w:val="both"/>
        <w:rPr>
          <w:rFonts w:ascii="Verdana" w:hAnsi="Verdana"/>
          <w:lang w:val="es-ES"/>
        </w:rPr>
      </w:pPr>
    </w:p>
    <w:p w14:paraId="5460A000" w14:textId="7BC5426C" w:rsidR="008E32C4" w:rsidRPr="009428DD" w:rsidRDefault="00B1611F" w:rsidP="00665D70">
      <w:pPr>
        <w:pStyle w:val="ListParagraph"/>
        <w:numPr>
          <w:ilvl w:val="0"/>
          <w:numId w:val="18"/>
        </w:numPr>
        <w:spacing w:after="0"/>
        <w:jc w:val="both"/>
        <w:rPr>
          <w:rFonts w:ascii="Verdana" w:eastAsia="Calibri" w:hAnsi="Verdana" w:cs="Arial"/>
          <w:lang w:val="es-CO"/>
        </w:rPr>
      </w:pPr>
      <w:r w:rsidRPr="009428DD">
        <w:rPr>
          <w:rFonts w:ascii="Verdana" w:eastAsia="Calibri" w:hAnsi="Verdana" w:cs="Arial"/>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estructuran procedimientos de contratación previamente definidos por la ley, consultando las normas que los rigen para determinar la forma que el ordenamiento prevé para adelantarlos. En esta medida, conforme al artículo 29 de la Constitución Política, los procedimientos de selección son una manifestación de la legalidad de las formas de cada proceso en sede administrativa</w:t>
      </w:r>
      <w:r w:rsidR="00442490">
        <w:rPr>
          <w:rFonts w:ascii="Verdana" w:eastAsia="Calibri" w:hAnsi="Verdana" w:cs="Arial"/>
        </w:rPr>
        <w:t>.</w:t>
      </w:r>
      <w:r w:rsidRPr="009428DD">
        <w:rPr>
          <w:rFonts w:ascii="Verdana" w:hAnsi="Verdana"/>
          <w:vertAlign w:val="superscript"/>
        </w:rPr>
        <w:footnoteReference w:id="2"/>
      </w:r>
    </w:p>
    <w:p w14:paraId="4CFFFF4B" w14:textId="77777777" w:rsidR="008E32C4" w:rsidRPr="009428DD" w:rsidRDefault="008E32C4" w:rsidP="008E32C4">
      <w:pPr>
        <w:pStyle w:val="ListParagraph"/>
        <w:spacing w:after="0"/>
        <w:jc w:val="both"/>
        <w:rPr>
          <w:rFonts w:ascii="Verdana" w:eastAsia="Calibri" w:hAnsi="Verdana" w:cs="Arial"/>
          <w:lang w:val="es-CO"/>
        </w:rPr>
      </w:pPr>
    </w:p>
    <w:p w14:paraId="2CCCC2EA" w14:textId="77777777" w:rsidR="0064393E" w:rsidRPr="009428DD" w:rsidRDefault="008E32C4" w:rsidP="0064393E">
      <w:pPr>
        <w:pStyle w:val="ListParagraph"/>
        <w:numPr>
          <w:ilvl w:val="0"/>
          <w:numId w:val="18"/>
        </w:numPr>
        <w:spacing w:after="0"/>
        <w:jc w:val="both"/>
        <w:rPr>
          <w:rFonts w:ascii="Verdana" w:eastAsia="Calibri" w:hAnsi="Verdana" w:cs="Arial"/>
          <w:lang w:val="es-CO"/>
        </w:rPr>
      </w:pPr>
      <w:r w:rsidRPr="009428DD">
        <w:rPr>
          <w:rFonts w:ascii="Verdana" w:eastAsia="Times New Roman" w:hAnsi="Verdana" w:cs="Arial"/>
          <w:lang w:eastAsia="es-CO"/>
        </w:rPr>
        <w:t>Respecto de la selección abreviada,</w:t>
      </w:r>
      <w:r w:rsidR="00577106" w:rsidRPr="009428DD">
        <w:rPr>
          <w:rFonts w:ascii="Verdana" w:eastAsia="Times New Roman" w:hAnsi="Verdana" w:cs="Arial"/>
          <w:lang w:eastAsia="es-CO"/>
        </w:rPr>
        <w:t xml:space="preserve"> este proceso de selección encuentra sustento legal en el </w:t>
      </w:r>
      <w:r w:rsidR="00420DA3" w:rsidRPr="009428DD">
        <w:rPr>
          <w:rFonts w:ascii="Verdana" w:eastAsia="Times New Roman" w:hAnsi="Verdana" w:cs="Arial"/>
          <w:lang w:eastAsia="es-CO"/>
        </w:rPr>
        <w:t>numeral 20 de la Ley 1150 de 2007, esta norma contempla una modalidad de selección que se caracteriza por tener etapas simplificadas y términos más cortos que la licitación pública</w:t>
      </w:r>
      <w:r w:rsidR="0059080F" w:rsidRPr="009428DD">
        <w:rPr>
          <w:rFonts w:ascii="Verdana" w:eastAsia="Times New Roman" w:hAnsi="Verdana" w:cs="Arial"/>
          <w:lang w:eastAsia="es-CO"/>
        </w:rPr>
        <w:t xml:space="preserve">. </w:t>
      </w:r>
      <w:r w:rsidR="00D06CD8" w:rsidRPr="009428DD">
        <w:rPr>
          <w:rFonts w:ascii="Verdana" w:eastAsia="Times New Roman" w:hAnsi="Verdana" w:cs="Arial"/>
          <w:lang w:val="es-CO" w:eastAsia="es-CO"/>
        </w:rPr>
        <w:t>lo cual se justifica por la complejidad de los asuntos que se contratan a través de esta modalidad, que requieren de procedimientos ágiles y eficientes.</w:t>
      </w:r>
    </w:p>
    <w:p w14:paraId="465E5749" w14:textId="77777777" w:rsidR="0064393E" w:rsidRPr="009428DD" w:rsidRDefault="0064393E" w:rsidP="0064393E">
      <w:pPr>
        <w:pStyle w:val="ListParagraph"/>
        <w:rPr>
          <w:rFonts w:ascii="Verdana" w:eastAsia="Times New Roman" w:hAnsi="Verdana" w:cs="Arial"/>
          <w:shd w:val="clear" w:color="auto" w:fill="FFFFFF"/>
          <w:lang w:eastAsia="es-CO"/>
        </w:rPr>
      </w:pPr>
    </w:p>
    <w:p w14:paraId="199769D6" w14:textId="77777777" w:rsidR="002A3D13" w:rsidRPr="009428DD" w:rsidRDefault="0064393E" w:rsidP="002A3D13">
      <w:pPr>
        <w:pStyle w:val="ListParagraph"/>
        <w:numPr>
          <w:ilvl w:val="0"/>
          <w:numId w:val="18"/>
        </w:numPr>
        <w:spacing w:after="0"/>
        <w:jc w:val="both"/>
        <w:rPr>
          <w:rFonts w:ascii="Verdana" w:eastAsia="Calibri" w:hAnsi="Verdana" w:cs="Arial"/>
          <w:lang w:val="es-CO"/>
        </w:rPr>
      </w:pPr>
      <w:r w:rsidRPr="009428DD">
        <w:rPr>
          <w:rFonts w:ascii="Verdana" w:eastAsia="Times New Roman" w:hAnsi="Verdana" w:cs="Arial"/>
          <w:shd w:val="clear" w:color="auto" w:fill="FFFFFF"/>
          <w:lang w:eastAsia="es-CO"/>
        </w:rPr>
        <w:t xml:space="preserve">Nótese que, de la transcripción literal de la norma, el legislador divide de forma disyuntiva los supuestos bajo los cuales se configura la eventual utilización de esta modalidad de selección, bien sea </w:t>
      </w:r>
      <w:r w:rsidRPr="009428DD">
        <w:rPr>
          <w:rFonts w:ascii="Verdana" w:eastAsia="Times New Roman" w:hAnsi="Verdana" w:cs="Arial"/>
          <w:lang w:eastAsia="es-CO"/>
        </w:rPr>
        <w:t>por las características del objeto a contratar, las circunstancias de la contratación o la cuantía o destinación del bien, obra o servicio.</w:t>
      </w:r>
      <w:r w:rsidRPr="009428DD">
        <w:rPr>
          <w:rFonts w:ascii="Verdana" w:eastAsia="Times New Roman" w:hAnsi="Verdana" w:cs="Arial"/>
          <w:shd w:val="clear" w:color="auto" w:fill="FFFFFF"/>
          <w:lang w:eastAsia="es-CO"/>
        </w:rPr>
        <w:t xml:space="preserve"> En ese orden de ideas, esta modalidad de selección procede por las causales previstas en la ley</w:t>
      </w:r>
      <w:r w:rsidRPr="009428DD">
        <w:rPr>
          <w:rFonts w:ascii="Verdana" w:hAnsi="Verdana"/>
          <w:shd w:val="clear" w:color="auto" w:fill="FFFFFF"/>
          <w:vertAlign w:val="superscript"/>
          <w:lang w:eastAsia="es-CO"/>
        </w:rPr>
        <w:footnoteReference w:id="3"/>
      </w:r>
      <w:r w:rsidRPr="009428DD">
        <w:rPr>
          <w:rFonts w:ascii="Verdana" w:eastAsia="Times New Roman" w:hAnsi="Verdana" w:cs="Arial"/>
          <w:shd w:val="clear" w:color="auto" w:fill="FFFFFF"/>
          <w:lang w:eastAsia="es-CO"/>
        </w:rPr>
        <w:t xml:space="preserve">, las cuales determinan, entre otras cosas, los criterios para tener en cuenta para la escogencia del contratista que proveerá el bien o servicio, además de sus respectivas reglas para llevar a cabo el proceso de selección bajo la modalidad estudiada, siendo una de ellas, pero no la única, el valor presupuestado como precio del contrato. </w:t>
      </w:r>
    </w:p>
    <w:p w14:paraId="60C3E6FF" w14:textId="77777777" w:rsidR="002A3D13" w:rsidRPr="009428DD" w:rsidRDefault="002A3D13" w:rsidP="002A3D13">
      <w:pPr>
        <w:pStyle w:val="ListParagraph"/>
        <w:rPr>
          <w:rFonts w:ascii="Verdana" w:eastAsia="Calibri" w:hAnsi="Verdana" w:cs="Arial"/>
          <w:lang w:eastAsia="es-ES_tradnl"/>
        </w:rPr>
      </w:pPr>
    </w:p>
    <w:p w14:paraId="6BE7D638" w14:textId="77777777" w:rsidR="00E90720" w:rsidRPr="009428DD" w:rsidRDefault="002A3D13" w:rsidP="00E90720">
      <w:pPr>
        <w:pStyle w:val="ListParagraph"/>
        <w:numPr>
          <w:ilvl w:val="0"/>
          <w:numId w:val="18"/>
        </w:numPr>
        <w:spacing w:after="0"/>
        <w:jc w:val="both"/>
        <w:rPr>
          <w:rFonts w:ascii="Verdana" w:eastAsia="Calibri" w:hAnsi="Verdana" w:cs="Arial"/>
          <w:lang w:val="es-CO"/>
        </w:rPr>
      </w:pPr>
      <w:r w:rsidRPr="009428DD">
        <w:rPr>
          <w:rFonts w:ascii="Verdana" w:eastAsia="Calibri" w:hAnsi="Verdana" w:cs="Arial"/>
          <w:lang w:eastAsia="es-ES_tradnl"/>
        </w:rPr>
        <w:t>A su turno, el Decreto 1082 de 2015 reglamenta las causales para acudir al procedimiento de selección abreviada establecidas en el numeral 2 del artículo 2 de la Ley 1150 de 2007, y regula el procedimiento, detallando el contenido del Pliego de Condiciones, las etapas, entre otros. Dentro de dichas causales se desataca la contratación de menor cuantía</w:t>
      </w:r>
      <w:r w:rsidR="00492405" w:rsidRPr="009428DD">
        <w:rPr>
          <w:rFonts w:ascii="Verdana" w:eastAsia="Calibri" w:hAnsi="Verdana" w:cs="Arial"/>
          <w:lang w:eastAsia="es-ES_tradnl"/>
        </w:rPr>
        <w:t xml:space="preserve">. </w:t>
      </w:r>
    </w:p>
    <w:p w14:paraId="381218CE" w14:textId="77777777" w:rsidR="00E90720" w:rsidRPr="009428DD" w:rsidRDefault="00E90720" w:rsidP="00E90720">
      <w:pPr>
        <w:pStyle w:val="ListParagraph"/>
        <w:rPr>
          <w:rFonts w:ascii="Verdana" w:eastAsia="Calibri" w:hAnsi="Verdana" w:cs="Arial"/>
          <w:shd w:val="clear" w:color="auto" w:fill="FFFFFF"/>
          <w:lang w:eastAsia="es-ES_tradnl"/>
        </w:rPr>
      </w:pPr>
    </w:p>
    <w:p w14:paraId="5462D06E" w14:textId="77777777" w:rsidR="00CA3222" w:rsidRPr="009428DD" w:rsidRDefault="00E90720" w:rsidP="00CA3222">
      <w:pPr>
        <w:pStyle w:val="ListParagraph"/>
        <w:numPr>
          <w:ilvl w:val="0"/>
          <w:numId w:val="18"/>
        </w:numPr>
        <w:spacing w:after="0"/>
        <w:jc w:val="both"/>
        <w:rPr>
          <w:rFonts w:ascii="Verdana" w:eastAsia="Calibri" w:hAnsi="Verdana" w:cs="Arial"/>
          <w:lang w:val="es-CO"/>
        </w:rPr>
      </w:pPr>
      <w:r w:rsidRPr="009428DD">
        <w:rPr>
          <w:rFonts w:ascii="Verdana" w:eastAsia="Calibri" w:hAnsi="Verdana" w:cs="Arial"/>
          <w:shd w:val="clear" w:color="auto" w:fill="FFFFFF"/>
          <w:lang w:eastAsia="es-ES_tradnl"/>
        </w:rPr>
        <w:t xml:space="preserve">La procedencia de la causal de selección abreviada de menor cuantía se encuentra directamente vinculada con el presupuesto anual de cada Entidad Estatal, de manera que los procedimientos de selección cuyo presupuesto oficial no superen el tope de la menor cuantía, se adelantarán bajo la modalidad de selección abreviada, ya que si se supera este tope corresponderá adelantar una licitación pública, siempre y cuando el único factor que pueda o deba tenerse en consideración es el valor estimado del contrato, esto es, sin considerar factores tales como la naturaleza de los productos, su destinación o características, por lo que en cada contrato en específico se debe analizar la procedencia de la causal o las causales, independientemente de que, en algunos casos, cualquiera de ellas remita al mismo procedimiento de selección. </w:t>
      </w:r>
    </w:p>
    <w:p w14:paraId="6DE2E054" w14:textId="77777777" w:rsidR="00CA3222" w:rsidRPr="009428DD" w:rsidRDefault="00CA3222" w:rsidP="00CA3222">
      <w:pPr>
        <w:pStyle w:val="ListParagraph"/>
        <w:rPr>
          <w:rFonts w:ascii="Verdana" w:eastAsia="Calibri" w:hAnsi="Verdana" w:cs="Arial"/>
          <w:lang w:val="es-CO"/>
        </w:rPr>
      </w:pPr>
    </w:p>
    <w:p w14:paraId="3C5BA08A" w14:textId="77777777" w:rsidR="00AC7241" w:rsidRPr="009428DD" w:rsidRDefault="005E156B" w:rsidP="00AC7241">
      <w:pPr>
        <w:pStyle w:val="ListParagraph"/>
        <w:numPr>
          <w:ilvl w:val="0"/>
          <w:numId w:val="18"/>
        </w:numPr>
        <w:spacing w:after="0"/>
        <w:jc w:val="both"/>
        <w:rPr>
          <w:rFonts w:ascii="Verdana" w:eastAsia="Calibri" w:hAnsi="Verdana" w:cs="Arial"/>
          <w:lang w:val="es-CO"/>
        </w:rPr>
      </w:pPr>
      <w:r w:rsidRPr="009428DD">
        <w:rPr>
          <w:rFonts w:ascii="Verdana" w:eastAsia="Calibri" w:hAnsi="Verdana" w:cs="Arial"/>
          <w:lang w:val="es-CO"/>
        </w:rPr>
        <w:t>Ahora bien, en lo que respecta a los principios de publicidad y transparencia en los procesos de contratación pública</w:t>
      </w:r>
      <w:r w:rsidR="00A865B7" w:rsidRPr="009428DD">
        <w:rPr>
          <w:rFonts w:ascii="Verdana" w:eastAsia="Calibri" w:hAnsi="Verdana" w:cs="Arial"/>
          <w:lang w:val="es-CO"/>
        </w:rPr>
        <w:t>,</w:t>
      </w:r>
      <w:r w:rsidR="00107F28" w:rsidRPr="009428DD">
        <w:rPr>
          <w:rFonts w:ascii="Verdana" w:eastAsia="Calibri" w:hAnsi="Verdana" w:cs="Arial"/>
          <w:lang w:val="es-CO"/>
        </w:rPr>
        <w:t xml:space="preserve"> </w:t>
      </w:r>
      <w:r w:rsidR="00107F28" w:rsidRPr="009428DD">
        <w:rPr>
          <w:rFonts w:ascii="Verdana" w:eastAsia="Calibri" w:hAnsi="Verdana" w:cs="Arial"/>
          <w:color w:val="000000" w:themeColor="text1"/>
        </w:rPr>
        <w:t>la Agencia Nacional de Contratación Pública – Colombia Compra Eficiente ha indicado que estos principios se encuentran unidos desde el propio Estatuto</w:t>
      </w:r>
      <w:r w:rsidR="00CA3222" w:rsidRPr="009428DD">
        <w:rPr>
          <w:rFonts w:ascii="Verdana" w:eastAsia="Calibri" w:hAnsi="Verdana" w:cs="Arial"/>
          <w:color w:val="000000" w:themeColor="text1"/>
        </w:rPr>
        <w:t xml:space="preserve"> General de Contratación Pública, de manera que, en virtud del principio de transparencia, las actuaciones desplegadas durante el proceso de selección de contratistas serán públicas. Con todo, el principio de transparencia guarda estrecha relación con otros principios que orientan la contratación pública, como el de igualdad, imparcialidad y selección objetiva</w:t>
      </w:r>
      <w:r w:rsidR="00CA3222" w:rsidRPr="009428DD">
        <w:rPr>
          <w:rFonts w:ascii="Verdana" w:hAnsi="Verdana"/>
          <w:vertAlign w:val="superscript"/>
        </w:rPr>
        <w:footnoteReference w:id="4"/>
      </w:r>
      <w:r w:rsidR="00CA3222" w:rsidRPr="009428DD">
        <w:rPr>
          <w:rFonts w:ascii="Verdana" w:eastAsia="Calibri" w:hAnsi="Verdana" w:cs="Arial"/>
          <w:color w:val="000000" w:themeColor="text1"/>
        </w:rPr>
        <w:t>.  </w:t>
      </w:r>
    </w:p>
    <w:p w14:paraId="222A98FD" w14:textId="77777777" w:rsidR="00AC7241" w:rsidRPr="009428DD" w:rsidRDefault="00AC7241" w:rsidP="00AC7241">
      <w:pPr>
        <w:pStyle w:val="ListParagraph"/>
        <w:rPr>
          <w:rFonts w:ascii="Verdana" w:eastAsia="Calibri" w:hAnsi="Verdana" w:cs="Arial"/>
          <w:color w:val="000000" w:themeColor="text1"/>
        </w:rPr>
      </w:pPr>
    </w:p>
    <w:p w14:paraId="02754F26" w14:textId="77777777" w:rsidR="00AE4586" w:rsidRPr="009428DD" w:rsidRDefault="00AC7241" w:rsidP="00AE4586">
      <w:pPr>
        <w:pStyle w:val="ListParagraph"/>
        <w:numPr>
          <w:ilvl w:val="0"/>
          <w:numId w:val="18"/>
        </w:numPr>
        <w:spacing w:after="0"/>
        <w:jc w:val="both"/>
        <w:rPr>
          <w:rFonts w:ascii="Verdana" w:eastAsia="Calibri" w:hAnsi="Verdana" w:cs="Arial"/>
          <w:lang w:val="es-CO"/>
        </w:rPr>
      </w:pPr>
      <w:r w:rsidRPr="009428DD">
        <w:rPr>
          <w:rFonts w:ascii="Verdana" w:eastAsia="Calibri" w:hAnsi="Verdana" w:cs="Arial"/>
          <w:color w:val="000000" w:themeColor="text1"/>
        </w:rPr>
        <w:t>A su vez, se ha señalado</w:t>
      </w:r>
      <w:r w:rsidRPr="009428DD">
        <w:rPr>
          <w:rStyle w:val="FootnoteReference"/>
          <w:rFonts w:ascii="Verdana" w:eastAsia="Calibri" w:hAnsi="Verdana" w:cs="Arial"/>
          <w:color w:val="000000" w:themeColor="text1"/>
        </w:rPr>
        <w:footnoteReference w:id="5"/>
      </w:r>
      <w:r w:rsidRPr="009428DD">
        <w:rPr>
          <w:rFonts w:ascii="Verdana" w:eastAsia="Calibri" w:hAnsi="Verdana" w:cs="Arial"/>
          <w:color w:val="000000" w:themeColor="text1"/>
        </w:rPr>
        <w:t xml:space="preserve"> que el desarrollo del principio de publicidad admite diversas formas de realización; cuestión que debe ser determinada por la autoridad legislativa. En esta medida y en relación con la consulta concreta, es posible observar que, aunque la norma no determina expresamente la celebración de una audiencia para la apertura de sobres, este mecanismo no es el único mediante el cual puede garantizarse el principio de transparencia dentro de un proceso de selección</w:t>
      </w:r>
      <w:r w:rsidR="004D63A4" w:rsidRPr="009428DD">
        <w:rPr>
          <w:rFonts w:ascii="Verdana" w:eastAsia="Calibri" w:hAnsi="Verdana" w:cs="Arial"/>
          <w:color w:val="000000" w:themeColor="text1"/>
        </w:rPr>
        <w:t xml:space="preserve">. </w:t>
      </w:r>
    </w:p>
    <w:p w14:paraId="696A2949" w14:textId="77777777" w:rsidR="00AE4586" w:rsidRPr="009428DD" w:rsidRDefault="00AE4586" w:rsidP="00AE4586">
      <w:pPr>
        <w:pStyle w:val="ListParagraph"/>
        <w:rPr>
          <w:rFonts w:ascii="Verdana" w:eastAsia="Calibri" w:hAnsi="Verdana" w:cs="Arial"/>
          <w:color w:val="000000" w:themeColor="text1"/>
        </w:rPr>
      </w:pPr>
    </w:p>
    <w:p w14:paraId="157C04BE" w14:textId="79B01168" w:rsidR="00806374" w:rsidRPr="009428DD" w:rsidRDefault="00AE4586" w:rsidP="00806374">
      <w:pPr>
        <w:pStyle w:val="ListParagraph"/>
        <w:numPr>
          <w:ilvl w:val="0"/>
          <w:numId w:val="18"/>
        </w:numPr>
        <w:spacing w:after="0"/>
        <w:jc w:val="both"/>
        <w:rPr>
          <w:rFonts w:ascii="Verdana" w:eastAsia="Calibri" w:hAnsi="Verdana" w:cs="Arial"/>
          <w:lang w:val="es-CO"/>
        </w:rPr>
      </w:pPr>
      <w:r w:rsidRPr="40D4CEEB">
        <w:rPr>
          <w:rFonts w:ascii="Verdana" w:eastAsia="Calibri" w:hAnsi="Verdana" w:cs="Arial"/>
          <w:color w:val="000000" w:themeColor="text1"/>
        </w:rPr>
        <w:t xml:space="preserve">Aunque la normativa vigente no determina de manera expresa que se deba adelantar una audiencia para la apertura de sobres dentro de los procesos </w:t>
      </w:r>
      <w:r w:rsidR="007D2276" w:rsidRPr="40D4CEEB">
        <w:rPr>
          <w:rFonts w:ascii="Verdana" w:eastAsia="Calibri" w:hAnsi="Verdana" w:cs="Arial"/>
          <w:color w:val="000000" w:themeColor="text1"/>
        </w:rPr>
        <w:t>objeto de consulta</w:t>
      </w:r>
      <w:r w:rsidRPr="40D4CEEB">
        <w:rPr>
          <w:rFonts w:ascii="Verdana" w:eastAsia="Calibri" w:hAnsi="Verdana" w:cs="Arial"/>
          <w:color w:val="000000" w:themeColor="text1"/>
        </w:rPr>
        <w:t>, la Circular Externa Única proferida por la Agencia Nacional de Contratación Pública – Colombia Compra Eficiente ha fijado un criterio para determinar la necesidad de dicha etapa o actuación, en el marco de los diferentes mecanismos previstos</w:t>
      </w:r>
      <w:r w:rsidR="3A17609D" w:rsidRPr="40D4CEEB">
        <w:rPr>
          <w:rFonts w:ascii="Verdana" w:eastAsia="Calibri" w:hAnsi="Verdana" w:cs="Arial"/>
          <w:color w:val="000000" w:themeColor="text1"/>
        </w:rPr>
        <w:t xml:space="preserve"> </w:t>
      </w:r>
      <w:r w:rsidRPr="40D4CEEB">
        <w:rPr>
          <w:rFonts w:ascii="Verdana" w:eastAsia="Calibri" w:hAnsi="Verdana" w:cs="Arial"/>
          <w:color w:val="000000" w:themeColor="text1"/>
        </w:rPr>
        <w:t xml:space="preserve">para garantizar el principio de publicidad. La referida circular indica que </w:t>
      </w:r>
      <w:r w:rsidR="00FF4F4C" w:rsidRPr="40D4CEEB">
        <w:rPr>
          <w:rFonts w:ascii="Verdana" w:eastAsia="Calibri" w:hAnsi="Verdana" w:cs="Arial"/>
          <w:color w:val="000000" w:themeColor="text1"/>
        </w:rPr>
        <w:t>cuando el proceso de contratación se publique en SECOP I , vencido el termino para presentar ofertas, la Entidad Estatal</w:t>
      </w:r>
      <w:r w:rsidR="007212CC" w:rsidRPr="40D4CEEB">
        <w:rPr>
          <w:rFonts w:ascii="Verdana" w:eastAsia="Calibri" w:hAnsi="Verdana" w:cs="Arial"/>
          <w:color w:val="000000" w:themeColor="text1"/>
        </w:rPr>
        <w:t xml:space="preserve"> </w:t>
      </w:r>
      <w:r w:rsidR="00B25380" w:rsidRPr="40D4CEEB">
        <w:rPr>
          <w:rFonts w:ascii="Verdana" w:eastAsia="Calibri" w:hAnsi="Verdana" w:cs="Arial"/>
          <w:color w:val="000000" w:themeColor="text1"/>
        </w:rPr>
        <w:t>-</w:t>
      </w:r>
      <w:r w:rsidR="007212CC" w:rsidRPr="40D4CEEB">
        <w:rPr>
          <w:rFonts w:ascii="Verdana" w:eastAsia="Calibri" w:hAnsi="Verdana" w:cs="Arial"/>
          <w:color w:val="000000" w:themeColor="text1"/>
        </w:rPr>
        <w:t xml:space="preserve"> sin perjuicio de lo dispuesto en el artículo </w:t>
      </w:r>
      <w:r w:rsidR="007212CC" w:rsidRPr="40D4CEEB">
        <w:rPr>
          <w:rFonts w:ascii="Verdana" w:hAnsi="Verdana"/>
        </w:rPr>
        <w:t>2.2.1.1.2.2.5 del Decreto 1082 de 2015</w:t>
      </w:r>
      <w:r w:rsidR="00B25380" w:rsidRPr="40D4CEEB">
        <w:rPr>
          <w:rFonts w:ascii="Verdana" w:hAnsi="Verdana"/>
        </w:rPr>
        <w:t xml:space="preserve"> – puede realizar la apertura de las propuestas en presencia de los proponentes o </w:t>
      </w:r>
      <w:r w:rsidR="00026638" w:rsidRPr="40D4CEEB">
        <w:rPr>
          <w:rFonts w:ascii="Verdana" w:hAnsi="Verdana"/>
        </w:rPr>
        <w:t xml:space="preserve">veedores que deseen asistir, y elaborar un acta de cierre en la cual </w:t>
      </w:r>
      <w:r w:rsidR="004268D7" w:rsidRPr="40D4CEEB">
        <w:rPr>
          <w:rFonts w:ascii="Verdana" w:hAnsi="Verdana"/>
        </w:rPr>
        <w:t xml:space="preserve">conste la fecha y hora de recibo de las ofertas, indicando nombre o razón social de los oferentes y sus representantes legales. </w:t>
      </w:r>
      <w:r w:rsidR="00A9192A" w:rsidRPr="40D4CEEB">
        <w:rPr>
          <w:rFonts w:ascii="Verdana" w:hAnsi="Verdana"/>
          <w:lang w:val="es-CO"/>
        </w:rPr>
        <w:t>Además, el acta de cierre puede incluir datos generales de las propuestas, como, por ejemplo, la presentación o no de la garantía de seriedad de la oferta, en caso de que se haya requerido, o el valor ofertado, salvo en aquellos casos en que se presente sobre económico que deba permanecer cerrado. Elaborada el acta de cierre deberá publicarse en SECOP I en el término correspondiente.</w:t>
      </w:r>
    </w:p>
    <w:p w14:paraId="59572872" w14:textId="77777777" w:rsidR="00806374" w:rsidRPr="009428DD" w:rsidRDefault="00806374" w:rsidP="00806374">
      <w:pPr>
        <w:pStyle w:val="ListParagraph"/>
        <w:spacing w:after="0"/>
        <w:jc w:val="both"/>
        <w:rPr>
          <w:rFonts w:ascii="Verdana" w:eastAsia="Calibri" w:hAnsi="Verdana" w:cs="Arial"/>
          <w:lang w:val="es-CO"/>
        </w:rPr>
      </w:pPr>
    </w:p>
    <w:p w14:paraId="74C222F3" w14:textId="77777777" w:rsidR="00543BDD" w:rsidRPr="009428DD" w:rsidRDefault="00806374" w:rsidP="00543BDD">
      <w:pPr>
        <w:pStyle w:val="ListParagraph"/>
        <w:numPr>
          <w:ilvl w:val="0"/>
          <w:numId w:val="18"/>
        </w:numPr>
        <w:spacing w:after="0"/>
        <w:jc w:val="both"/>
        <w:rPr>
          <w:rFonts w:ascii="Verdana" w:eastAsia="Calibri" w:hAnsi="Verdana" w:cs="Arial"/>
          <w:lang w:val="es-CO"/>
        </w:rPr>
      </w:pPr>
      <w:r w:rsidRPr="009428DD">
        <w:rPr>
          <w:rFonts w:ascii="Verdana" w:hAnsi="Verdana"/>
        </w:rPr>
        <w:t xml:space="preserve">En los procesos realizados en SECOP II la apertura de ofertas se habilita una vez se cumple la fecha de cierre dispuesta en el cronograma, momento a partir del cual la plataforma permite abrir las ofertas. Para realizar la apertura se debe ingresar a la sección “lista de ofertas” del área de trabajo del proceso, donde aparece el botón “Apertura de ofertas”. La plataforma muestra un panel con las ofertas presentadas, en cual se debe hacer clic en </w:t>
      </w:r>
      <w:r w:rsidR="008700F8" w:rsidRPr="009428DD">
        <w:rPr>
          <w:rFonts w:ascii="Verdana" w:hAnsi="Verdana"/>
        </w:rPr>
        <w:t>“</w:t>
      </w:r>
      <w:r w:rsidRPr="009428DD">
        <w:rPr>
          <w:rFonts w:ascii="Verdana" w:hAnsi="Verdana"/>
        </w:rPr>
        <w:t>Iniciar</w:t>
      </w:r>
      <w:r w:rsidR="008700F8" w:rsidRPr="009428DD">
        <w:rPr>
          <w:rFonts w:ascii="Verdana" w:hAnsi="Verdana"/>
        </w:rPr>
        <w:t>”</w:t>
      </w:r>
      <w:r w:rsidRPr="009428DD">
        <w:rPr>
          <w:rFonts w:ascii="Verdana" w:hAnsi="Verdana"/>
        </w:rPr>
        <w:t xml:space="preserve"> y luego en “Abrir sobres”, para que la plataforma desencripte las ofertas. Luego de abrir los sobres la entidad debe publicar el acta de cierre, para lo que se debe hacer clic en </w:t>
      </w:r>
      <w:r w:rsidR="008700F8" w:rsidRPr="009428DD">
        <w:rPr>
          <w:rFonts w:ascii="Verdana" w:hAnsi="Verdana"/>
        </w:rPr>
        <w:t>“</w:t>
      </w:r>
      <w:r w:rsidRPr="009428DD">
        <w:rPr>
          <w:rFonts w:ascii="Verdana" w:hAnsi="Verdana"/>
        </w:rPr>
        <w:t>Publicar/Actualizar lista de oferentes</w:t>
      </w:r>
      <w:r w:rsidR="008700F8" w:rsidRPr="009428DD">
        <w:rPr>
          <w:rFonts w:ascii="Verdana" w:hAnsi="Verdana"/>
        </w:rPr>
        <w:t>”</w:t>
      </w:r>
      <w:r w:rsidRPr="009428DD">
        <w:rPr>
          <w:rFonts w:ascii="Verdana" w:hAnsi="Verdana"/>
        </w:rPr>
        <w:t xml:space="preserve">, abriéndose una ventana emergente con la lista de proveedores que presentaron oferta en el procedimiento, la fecha y hora de llegada de cada oferta. Al hacer clic en el botón </w:t>
      </w:r>
      <w:r w:rsidR="008700F8" w:rsidRPr="009428DD">
        <w:rPr>
          <w:rFonts w:ascii="Verdana" w:hAnsi="Verdana"/>
        </w:rPr>
        <w:t>“</w:t>
      </w:r>
      <w:r w:rsidRPr="009428DD">
        <w:rPr>
          <w:rFonts w:ascii="Verdana" w:hAnsi="Verdana"/>
        </w:rPr>
        <w:t>Publicar/Actualizar lista de oferentes</w:t>
      </w:r>
      <w:r w:rsidR="008700F8" w:rsidRPr="009428DD">
        <w:rPr>
          <w:rFonts w:ascii="Verdana" w:hAnsi="Verdana"/>
        </w:rPr>
        <w:t>”</w:t>
      </w:r>
      <w:r w:rsidRPr="009428DD">
        <w:rPr>
          <w:rFonts w:ascii="Verdana" w:hAnsi="Verdana"/>
        </w:rPr>
        <w:t xml:space="preserve"> la plataforma genera y publica automáticamente la lista de oferentes, la cual hace las veces de acta de cierre, por lo que no se requiere de la presencia de los proponentes.</w:t>
      </w:r>
    </w:p>
    <w:p w14:paraId="56C3C8AD" w14:textId="77777777" w:rsidR="00543BDD" w:rsidRPr="009428DD" w:rsidRDefault="00543BDD" w:rsidP="00543BDD">
      <w:pPr>
        <w:pStyle w:val="ListParagraph"/>
        <w:rPr>
          <w:rFonts w:ascii="Verdana" w:eastAsia="Calibri" w:hAnsi="Verdana" w:cs="Arial"/>
          <w:color w:val="000000" w:themeColor="text1"/>
        </w:rPr>
      </w:pPr>
    </w:p>
    <w:p w14:paraId="3FD7C5BD" w14:textId="77777777" w:rsidR="001F738E" w:rsidRPr="009428DD" w:rsidRDefault="00543BDD" w:rsidP="001F738E">
      <w:pPr>
        <w:pStyle w:val="ListParagraph"/>
        <w:numPr>
          <w:ilvl w:val="0"/>
          <w:numId w:val="18"/>
        </w:numPr>
        <w:spacing w:after="0"/>
        <w:jc w:val="both"/>
        <w:rPr>
          <w:rFonts w:ascii="Verdana" w:eastAsia="Calibri" w:hAnsi="Verdana" w:cs="Arial"/>
          <w:lang w:val="es-CO"/>
        </w:rPr>
      </w:pPr>
      <w:r w:rsidRPr="009428DD">
        <w:rPr>
          <w:rFonts w:ascii="Verdana" w:eastAsia="Calibri" w:hAnsi="Verdana" w:cs="Arial"/>
          <w:color w:val="000000" w:themeColor="text1"/>
        </w:rPr>
        <w:t>Lo anterior tiene que ver con la naturaleza de uno y otro módulo</w:t>
      </w:r>
      <w:r w:rsidRPr="009428DD">
        <w:rPr>
          <w:rStyle w:val="FootnoteReference"/>
          <w:rFonts w:ascii="Verdana" w:eastAsia="Calibri" w:hAnsi="Verdana" w:cs="Arial"/>
          <w:color w:val="000000" w:themeColor="text1"/>
        </w:rPr>
        <w:footnoteReference w:id="6"/>
      </w:r>
      <w:r w:rsidRPr="009428DD">
        <w:rPr>
          <w:rFonts w:ascii="Verdana" w:eastAsia="Calibri" w:hAnsi="Verdana" w:cs="Arial"/>
          <w:color w:val="000000" w:themeColor="text1"/>
        </w:rPr>
        <w:t xml:space="preserve">, pues el SECOP I es una plataforma meramente informativa, es decir que el proceso de contratación tiene lugar fuera de ella. En cambio, el SECOP II es una plataforma transaccional por medio de la cual se surte, en su totalidad, el proceso contractual, cumpliendo así con la publicidad que rige la actuación administrativa y la contratación estatal. </w:t>
      </w:r>
    </w:p>
    <w:p w14:paraId="53C9C7EA" w14:textId="77777777" w:rsidR="001F738E" w:rsidRPr="009428DD" w:rsidRDefault="001F738E" w:rsidP="001F738E">
      <w:pPr>
        <w:pStyle w:val="ListParagraph"/>
        <w:rPr>
          <w:rFonts w:ascii="Verdana" w:eastAsia="Calibri" w:hAnsi="Verdana" w:cs="Arial"/>
          <w:lang w:val="es-CO"/>
        </w:rPr>
      </w:pPr>
    </w:p>
    <w:p w14:paraId="5521D267" w14:textId="75F793D4" w:rsidR="001F738E" w:rsidRPr="009428DD" w:rsidRDefault="001F738E" w:rsidP="001F738E">
      <w:pPr>
        <w:pStyle w:val="ListParagraph"/>
        <w:numPr>
          <w:ilvl w:val="0"/>
          <w:numId w:val="18"/>
        </w:numPr>
        <w:spacing w:after="0"/>
        <w:jc w:val="both"/>
        <w:rPr>
          <w:rFonts w:ascii="Verdana" w:eastAsia="Calibri" w:hAnsi="Verdana" w:cs="Arial"/>
          <w:lang w:val="es-CO"/>
        </w:rPr>
      </w:pPr>
      <w:r w:rsidRPr="009428DD">
        <w:rPr>
          <w:rFonts w:ascii="Verdana" w:eastAsia="Calibri" w:hAnsi="Verdana" w:cs="Arial"/>
          <w:lang w:val="es-CO"/>
        </w:rPr>
        <w:t xml:space="preserve">De lo expuesto, se concluye que </w:t>
      </w:r>
      <w:r w:rsidRPr="009428DD">
        <w:rPr>
          <w:rFonts w:ascii="Verdana" w:eastAsia="Calibri" w:hAnsi="Verdana" w:cs="Arial"/>
          <w:color w:val="000000" w:themeColor="text1"/>
        </w:rPr>
        <w:t xml:space="preserve">la necesidad de adelantar </w:t>
      </w:r>
      <w:r w:rsidR="008D632E" w:rsidRPr="009428DD">
        <w:rPr>
          <w:rFonts w:ascii="Verdana" w:eastAsia="Calibri" w:hAnsi="Verdana" w:cs="Arial"/>
          <w:color w:val="000000" w:themeColor="text1"/>
        </w:rPr>
        <w:t xml:space="preserve">la </w:t>
      </w:r>
      <w:r w:rsidRPr="009428DD">
        <w:rPr>
          <w:rFonts w:ascii="Verdana" w:eastAsia="Calibri" w:hAnsi="Verdana" w:cs="Arial"/>
          <w:color w:val="000000" w:themeColor="text1"/>
        </w:rPr>
        <w:t>apertura en público de las ofertas presentadas en el marco de</w:t>
      </w:r>
      <w:r w:rsidR="004C143B" w:rsidRPr="009428DD">
        <w:rPr>
          <w:rFonts w:ascii="Verdana" w:eastAsia="Calibri" w:hAnsi="Verdana" w:cs="Arial"/>
          <w:color w:val="000000" w:themeColor="text1"/>
        </w:rPr>
        <w:t xml:space="preserve"> un</w:t>
      </w:r>
      <w:r w:rsidRPr="009428DD">
        <w:rPr>
          <w:rFonts w:ascii="Verdana" w:eastAsia="Calibri" w:hAnsi="Verdana" w:cs="Arial"/>
          <w:color w:val="000000" w:themeColor="text1"/>
        </w:rPr>
        <w:t xml:space="preserve"> proceso</w:t>
      </w:r>
      <w:r w:rsidR="00B16874" w:rsidRPr="009428DD">
        <w:rPr>
          <w:rFonts w:ascii="Verdana" w:eastAsia="Calibri" w:hAnsi="Verdana" w:cs="Arial"/>
          <w:color w:val="000000" w:themeColor="text1"/>
        </w:rPr>
        <w:t xml:space="preserve"> de contratación</w:t>
      </w:r>
      <w:r w:rsidRPr="009428DD">
        <w:rPr>
          <w:rFonts w:ascii="Verdana" w:eastAsia="Calibri" w:hAnsi="Verdana" w:cs="Arial"/>
          <w:color w:val="000000" w:themeColor="text1"/>
        </w:rPr>
        <w:t xml:space="preserve"> dependerá de la plataforma que deba surtirse para adelantar el respectivo trámite contractual. Así, en caso de que este deba tramitarse en el SECOP I, es necesario realizar la apertura pública de sobres, mientras que para aquellos procesos tramitados dentro del SECOP II, </w:t>
      </w:r>
      <w:r w:rsidRPr="009428DD">
        <w:rPr>
          <w:rFonts w:ascii="Verdana" w:hAnsi="Verdana"/>
        </w:rPr>
        <w:t xml:space="preserve">la plataforma genera y publica automáticamente la lista de oferentes, la cual hace las veces de acta de cierre, por lo que no se requiere de la presencia de los proponentes. </w:t>
      </w:r>
      <w:r w:rsidRPr="009428DD">
        <w:rPr>
          <w:rFonts w:ascii="Verdana" w:eastAsia="Calibri" w:hAnsi="Verdana" w:cs="Arial"/>
          <w:color w:val="000000" w:themeColor="text1"/>
        </w:rPr>
        <w:t>En ambos casos, se garantiza el principio de publicidad, el cual puede materializarse mediante la implementación de distintos mecanismos, sin que tenga una única forma de concreción.</w:t>
      </w:r>
    </w:p>
    <w:p w14:paraId="444558BA" w14:textId="0D91AEAF" w:rsidR="001F738E" w:rsidRPr="009428DD" w:rsidRDefault="001F738E" w:rsidP="004C143B">
      <w:pPr>
        <w:spacing w:after="0"/>
        <w:ind w:left="360"/>
        <w:jc w:val="both"/>
        <w:rPr>
          <w:rFonts w:ascii="Verdana" w:eastAsia="Calibri" w:hAnsi="Verdana" w:cs="Arial"/>
        </w:rPr>
      </w:pPr>
    </w:p>
    <w:p w14:paraId="69C344B7" w14:textId="0356A22B" w:rsidR="00543BDD" w:rsidRPr="009428DD" w:rsidRDefault="00F670A6" w:rsidP="00232251">
      <w:pPr>
        <w:pStyle w:val="ListParagraph"/>
        <w:numPr>
          <w:ilvl w:val="0"/>
          <w:numId w:val="17"/>
        </w:numPr>
        <w:spacing w:after="0" w:line="276" w:lineRule="auto"/>
        <w:jc w:val="both"/>
        <w:rPr>
          <w:rFonts w:ascii="Verdana" w:eastAsia="Calibri" w:hAnsi="Verdana" w:cs="Arial"/>
        </w:rPr>
      </w:pPr>
      <w:r w:rsidRPr="009428DD">
        <w:rPr>
          <w:rFonts w:ascii="Verdana" w:eastAsia="Times New Roman" w:hAnsi="Verdana" w:cs="Arial"/>
          <w:lang w:eastAsia="es-ES"/>
        </w:rPr>
        <w:t xml:space="preserve">Sin perjuicio de lo anterior debe advertirse que lo explicado en el presente concepto no puede ser interpretado como un pronunciamiento respecto del </w:t>
      </w:r>
      <w:r w:rsidR="00861750" w:rsidRPr="009428DD">
        <w:rPr>
          <w:rFonts w:ascii="Verdana" w:eastAsia="Times New Roman" w:hAnsi="Verdana" w:cs="Arial"/>
          <w:lang w:eastAsia="es-ES"/>
        </w:rPr>
        <w:t xml:space="preserve">proceso contractual </w:t>
      </w:r>
      <w:r w:rsidRPr="009428DD">
        <w:rPr>
          <w:rFonts w:ascii="Verdana" w:eastAsia="Times New Roman" w:hAnsi="Verdana" w:cs="Arial"/>
          <w:lang w:eastAsia="es-ES"/>
        </w:rPr>
        <w:t xml:space="preserve">aludido en la petición, ni las afirmaciones aquí realizadas pueden ser interpretadas como juicios de valor sobre circunstancias relacionadas con los hechos que motivan la petición. </w:t>
      </w:r>
    </w:p>
    <w:p w14:paraId="61F25682" w14:textId="77777777" w:rsidR="00232251" w:rsidRPr="009428DD" w:rsidRDefault="00232251" w:rsidP="00232251">
      <w:pPr>
        <w:widowControl w:val="0"/>
        <w:autoSpaceDE w:val="0"/>
        <w:autoSpaceDN w:val="0"/>
        <w:spacing w:after="0" w:line="276" w:lineRule="auto"/>
        <w:jc w:val="both"/>
        <w:rPr>
          <w:rFonts w:ascii="Verdana" w:hAnsi="Verdana" w:cs="Arial"/>
        </w:rPr>
      </w:pPr>
    </w:p>
    <w:p w14:paraId="28ED9A8F" w14:textId="77777777" w:rsidR="00232251" w:rsidRPr="009428DD" w:rsidRDefault="00232251" w:rsidP="00232251">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428DD">
        <w:rPr>
          <w:rFonts w:ascii="Verdana" w:eastAsia="Century Gothic" w:hAnsi="Verdana" w:cs="Century Gothic"/>
          <w:b/>
          <w:bCs/>
        </w:rPr>
        <w:t>Referencias normativas, jurisprudenciales y otras fuentes:</w:t>
      </w:r>
    </w:p>
    <w:p w14:paraId="3E4F37EA" w14:textId="77777777" w:rsidR="00232251" w:rsidRPr="009428DD" w:rsidRDefault="00232251" w:rsidP="00232251">
      <w:pPr>
        <w:widowControl w:val="0"/>
        <w:autoSpaceDE w:val="0"/>
        <w:autoSpaceDN w:val="0"/>
        <w:spacing w:after="0" w:line="276" w:lineRule="auto"/>
        <w:jc w:val="both"/>
        <w:rPr>
          <w:rFonts w:ascii="Verdana" w:hAnsi="Verdana" w:cs="Arial"/>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32251" w:rsidRPr="009428DD" w14:paraId="4958E95E" w14:textId="77777777" w:rsidTr="00DC0330">
        <w:trPr>
          <w:trHeight w:val="870"/>
        </w:trPr>
        <w:tc>
          <w:tcPr>
            <w:tcW w:w="8647" w:type="dxa"/>
          </w:tcPr>
          <w:p w14:paraId="37501F50" w14:textId="5F9C9A1C" w:rsidR="00012105" w:rsidRPr="009428DD" w:rsidRDefault="00012105" w:rsidP="00232251">
            <w:pPr>
              <w:pStyle w:val="ListParagraph"/>
              <w:widowControl w:val="0"/>
              <w:numPr>
                <w:ilvl w:val="0"/>
                <w:numId w:val="20"/>
              </w:numPr>
              <w:autoSpaceDE w:val="0"/>
              <w:autoSpaceDN w:val="0"/>
              <w:spacing w:after="120" w:line="276" w:lineRule="auto"/>
              <w:contextualSpacing w:val="0"/>
              <w:jc w:val="both"/>
              <w:rPr>
                <w:rFonts w:ascii="Verdana" w:hAnsi="Verdana" w:cs="Arial"/>
              </w:rPr>
            </w:pPr>
            <w:r w:rsidRPr="009428DD">
              <w:rPr>
                <w:rFonts w:ascii="Verdana" w:hAnsi="Verdana" w:cs="Arial"/>
                <w:lang w:val="es-ES_tradnl"/>
              </w:rPr>
              <w:t>Ley 1150 de 2007</w:t>
            </w:r>
            <w:r w:rsidRPr="009428DD">
              <w:rPr>
                <w:rFonts w:ascii="Verdana" w:hAnsi="Verdana" w:cs="Arial"/>
                <w:lang w:val="es-CO"/>
              </w:rPr>
              <w:t>, numeral 2º del artículo 2</w:t>
            </w:r>
            <w:r w:rsidR="002139FA">
              <w:rPr>
                <w:rFonts w:ascii="Verdana" w:hAnsi="Verdana" w:cs="Arial"/>
                <w:lang w:val="es-CO"/>
              </w:rPr>
              <w:t>.</w:t>
            </w:r>
          </w:p>
          <w:p w14:paraId="5FB2B533" w14:textId="12A0327D" w:rsidR="00A81AE3" w:rsidRPr="009428DD" w:rsidRDefault="00A81AE3" w:rsidP="00232251">
            <w:pPr>
              <w:pStyle w:val="ListParagraph"/>
              <w:widowControl w:val="0"/>
              <w:numPr>
                <w:ilvl w:val="0"/>
                <w:numId w:val="20"/>
              </w:numPr>
              <w:tabs>
                <w:tab w:val="left" w:pos="8419"/>
              </w:tabs>
              <w:autoSpaceDE w:val="0"/>
              <w:autoSpaceDN w:val="0"/>
              <w:spacing w:after="120" w:line="276" w:lineRule="auto"/>
              <w:contextualSpacing w:val="0"/>
              <w:jc w:val="both"/>
              <w:rPr>
                <w:rFonts w:ascii="Verdana" w:hAnsi="Verdana" w:cs="Arial"/>
              </w:rPr>
            </w:pPr>
            <w:r w:rsidRPr="009428DD">
              <w:rPr>
                <w:rFonts w:ascii="Verdana" w:hAnsi="Verdana" w:cs="Arial"/>
                <w:lang w:val="es-CO"/>
              </w:rPr>
              <w:t>Decreto 1082 de 2015</w:t>
            </w:r>
            <w:r w:rsidR="004B3318" w:rsidRPr="009428DD">
              <w:rPr>
                <w:rFonts w:ascii="Verdana" w:hAnsi="Verdana" w:cs="Arial"/>
                <w:lang w:val="es-CO"/>
              </w:rPr>
              <w:t xml:space="preserve">, </w:t>
            </w:r>
            <w:r w:rsidR="004B3318" w:rsidRPr="009428DD">
              <w:rPr>
                <w:rFonts w:ascii="Verdana" w:eastAsia="Calibri" w:hAnsi="Verdana" w:cs="Arial"/>
              </w:rPr>
              <w:t xml:space="preserve">artículo </w:t>
            </w:r>
            <w:r w:rsidR="004B3318" w:rsidRPr="009428DD">
              <w:rPr>
                <w:rFonts w:ascii="Verdana" w:hAnsi="Verdana"/>
              </w:rPr>
              <w:t>2.2.1.1.2.2.5</w:t>
            </w:r>
            <w:r w:rsidR="002139FA">
              <w:rPr>
                <w:rFonts w:ascii="Verdana" w:hAnsi="Verdana"/>
              </w:rPr>
              <w:t>.</w:t>
            </w:r>
          </w:p>
          <w:p w14:paraId="39E9577A" w14:textId="68D21D16" w:rsidR="00232251" w:rsidRPr="009428DD" w:rsidRDefault="00232251" w:rsidP="00232251">
            <w:pPr>
              <w:pStyle w:val="ListParagraph"/>
              <w:widowControl w:val="0"/>
              <w:numPr>
                <w:ilvl w:val="0"/>
                <w:numId w:val="20"/>
              </w:numPr>
              <w:tabs>
                <w:tab w:val="left" w:pos="8419"/>
              </w:tabs>
              <w:autoSpaceDE w:val="0"/>
              <w:autoSpaceDN w:val="0"/>
              <w:spacing w:after="120" w:line="276" w:lineRule="auto"/>
              <w:contextualSpacing w:val="0"/>
              <w:jc w:val="both"/>
              <w:rPr>
                <w:rFonts w:ascii="Verdana" w:hAnsi="Verdana" w:cs="Arial"/>
                <w:color w:val="7030A0"/>
              </w:rPr>
            </w:pPr>
            <w:r w:rsidRPr="009428DD">
              <w:rPr>
                <w:rFonts w:ascii="Verdana" w:hAnsi="Verdana" w:cs="Arial"/>
              </w:rPr>
              <w:t xml:space="preserve">Circular Externa Única del 27 de diciembre de 2023. Disponible en: </w:t>
            </w:r>
            <w:hyperlink r:id="rId13" w:history="1">
              <w:r w:rsidRPr="009428DD">
                <w:rPr>
                  <w:rStyle w:val="Hyperlink"/>
                  <w:rFonts w:ascii="Verdana" w:hAnsi="Verdana" w:cs="Arial"/>
                </w:rPr>
                <w:t>https://www.colombiacompra.gov.co/sites/cce_public/files/cce_circulares/circular_externa_unica_version_3_vf49.pdf</w:t>
              </w:r>
            </w:hyperlink>
            <w:r w:rsidRPr="009428DD">
              <w:rPr>
                <w:rFonts w:ascii="Verdana" w:hAnsi="Verdana" w:cs="Arial"/>
                <w:color w:val="7030A0"/>
              </w:rPr>
              <w:t xml:space="preserve"> </w:t>
            </w:r>
          </w:p>
          <w:p w14:paraId="3C9BCF82" w14:textId="77777777" w:rsidR="00232251" w:rsidRPr="009428DD" w:rsidRDefault="00232251" w:rsidP="00232251">
            <w:pPr>
              <w:pStyle w:val="ListParagraph"/>
              <w:widowControl w:val="0"/>
              <w:numPr>
                <w:ilvl w:val="0"/>
                <w:numId w:val="20"/>
              </w:numPr>
              <w:autoSpaceDE w:val="0"/>
              <w:autoSpaceDN w:val="0"/>
              <w:spacing w:after="120" w:line="276" w:lineRule="auto"/>
              <w:contextualSpacing w:val="0"/>
              <w:jc w:val="both"/>
              <w:rPr>
                <w:rFonts w:ascii="Verdana" w:hAnsi="Verdana" w:cs="Arial"/>
              </w:rPr>
            </w:pPr>
            <w:r w:rsidRPr="009428DD">
              <w:rPr>
                <w:rFonts w:ascii="Verdana" w:hAnsi="Verdana" w:cs="Arial"/>
              </w:rPr>
              <w:t xml:space="preserve">Jurisprudencia del Consejo de Estado. Disponible en: </w:t>
            </w:r>
            <w:hyperlink r:id="rId14" w:history="1">
              <w:r w:rsidRPr="009428DD">
                <w:rPr>
                  <w:rStyle w:val="Hyperlink"/>
                  <w:rFonts w:ascii="Verdana" w:hAnsi="Verdana" w:cs="Arial"/>
                </w:rPr>
                <w:t>https://relatoria.colombiacompra.gov.co/providencias-consejo-de-estado/</w:t>
              </w:r>
            </w:hyperlink>
            <w:r w:rsidRPr="009428DD">
              <w:rPr>
                <w:rFonts w:ascii="Verdana" w:hAnsi="Verdana" w:cs="Arial"/>
              </w:rPr>
              <w:t xml:space="preserve"> </w:t>
            </w:r>
          </w:p>
          <w:p w14:paraId="53359318" w14:textId="35F2378F" w:rsidR="00232251" w:rsidRPr="009428DD" w:rsidRDefault="00232251" w:rsidP="00012105">
            <w:pPr>
              <w:pStyle w:val="ListParagraph"/>
              <w:widowControl w:val="0"/>
              <w:numPr>
                <w:ilvl w:val="0"/>
                <w:numId w:val="20"/>
              </w:numPr>
              <w:autoSpaceDE w:val="0"/>
              <w:autoSpaceDN w:val="0"/>
              <w:spacing w:after="120" w:line="276" w:lineRule="auto"/>
              <w:contextualSpacing w:val="0"/>
              <w:jc w:val="both"/>
              <w:rPr>
                <w:rFonts w:ascii="Verdana" w:hAnsi="Verdana" w:cs="Arial"/>
              </w:rPr>
            </w:pPr>
            <w:r w:rsidRPr="009428DD">
              <w:rPr>
                <w:rFonts w:ascii="Verdana" w:hAnsi="Verdana" w:cs="Arial"/>
              </w:rPr>
              <w:t>Guías y manuales expedidos por la ANCP-CCE. Disponible en:</w:t>
            </w:r>
            <w:r w:rsidRPr="009428DD">
              <w:rPr>
                <w:rFonts w:ascii="Verdana" w:hAnsi="Verdana"/>
              </w:rPr>
              <w:t xml:space="preserve"> </w:t>
            </w:r>
            <w:hyperlink r:id="rId15" w:history="1">
              <w:r w:rsidRPr="009428DD">
                <w:rPr>
                  <w:rStyle w:val="Hyperlink"/>
                  <w:rFonts w:ascii="Verdana" w:hAnsi="Verdana" w:cs="Arial"/>
                </w:rPr>
                <w:t>https://www.colombiacompra.gov.co/manuales-guias-y-pliegos-tipo/manuales-y-guias</w:t>
              </w:r>
            </w:hyperlink>
            <w:r w:rsidRPr="009428DD">
              <w:rPr>
                <w:rFonts w:ascii="Verdana" w:hAnsi="Verdana" w:cs="Arial"/>
              </w:rPr>
              <w:t xml:space="preserve"> </w:t>
            </w:r>
          </w:p>
        </w:tc>
      </w:tr>
    </w:tbl>
    <w:p w14:paraId="72FD9955" w14:textId="77777777" w:rsidR="00232251" w:rsidRPr="009428DD" w:rsidRDefault="00232251" w:rsidP="00232251">
      <w:pPr>
        <w:widowControl w:val="0"/>
        <w:autoSpaceDE w:val="0"/>
        <w:autoSpaceDN w:val="0"/>
        <w:spacing w:after="0" w:line="276" w:lineRule="auto"/>
        <w:jc w:val="both"/>
        <w:rPr>
          <w:rFonts w:ascii="Verdana" w:hAnsi="Verdana" w:cs="Arial"/>
        </w:rPr>
      </w:pPr>
    </w:p>
    <w:p w14:paraId="05F03816" w14:textId="77777777" w:rsidR="00232251" w:rsidRPr="009428DD" w:rsidRDefault="00232251" w:rsidP="00232251">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428DD">
        <w:rPr>
          <w:rFonts w:ascii="Verdana" w:eastAsia="Century Gothic" w:hAnsi="Verdana" w:cs="Century Gothic"/>
          <w:b/>
          <w:bCs/>
        </w:rPr>
        <w:t>Doctrina de la Agencia Nacional de Contratación Pública:</w:t>
      </w:r>
    </w:p>
    <w:p w14:paraId="6BA44E2D" w14:textId="77777777" w:rsidR="00232251" w:rsidRPr="009428DD" w:rsidRDefault="00232251" w:rsidP="00232251">
      <w:pPr>
        <w:widowControl w:val="0"/>
        <w:autoSpaceDE w:val="0"/>
        <w:autoSpaceDN w:val="0"/>
        <w:spacing w:after="0" w:line="276" w:lineRule="auto"/>
        <w:jc w:val="both"/>
        <w:rPr>
          <w:rFonts w:ascii="Verdana" w:hAnsi="Verdana" w:cs="Arial"/>
        </w:rPr>
      </w:pPr>
    </w:p>
    <w:p w14:paraId="1957F84E" w14:textId="04D18A39" w:rsidR="00232251" w:rsidRPr="009428DD" w:rsidRDefault="00232251" w:rsidP="00232251">
      <w:pPr>
        <w:widowControl w:val="0"/>
        <w:autoSpaceDE w:val="0"/>
        <w:autoSpaceDN w:val="0"/>
        <w:spacing w:after="0" w:line="276" w:lineRule="auto"/>
        <w:jc w:val="both"/>
        <w:rPr>
          <w:rStyle w:val="normaltextrun"/>
          <w:rFonts w:ascii="Verdana" w:hAnsi="Verdana" w:cs="Arial"/>
          <w:shd w:val="clear" w:color="auto" w:fill="FFFFFF"/>
          <w:lang w:val="es-ES"/>
        </w:rPr>
      </w:pPr>
      <w:r w:rsidRPr="009428DD">
        <w:rPr>
          <w:rStyle w:val="normaltextrun"/>
          <w:rFonts w:ascii="Verdana" w:hAnsi="Verdana" w:cs="Arial"/>
          <w:shd w:val="clear" w:color="auto" w:fill="FFFFFF"/>
          <w:lang w:val="es-ES"/>
        </w:rPr>
        <w:t xml:space="preserve">Sobre </w:t>
      </w:r>
      <w:r w:rsidR="00513054" w:rsidRPr="009428DD">
        <w:rPr>
          <w:rStyle w:val="normaltextrun"/>
          <w:rFonts w:ascii="Verdana" w:hAnsi="Verdana" w:cs="Arial"/>
          <w:shd w:val="clear" w:color="auto" w:fill="FFFFFF"/>
          <w:lang w:val="es-ES"/>
        </w:rPr>
        <w:t xml:space="preserve">el análisis de </w:t>
      </w:r>
      <w:r w:rsidR="00344DB4" w:rsidRPr="009428DD">
        <w:rPr>
          <w:rStyle w:val="normaltextrun"/>
          <w:rFonts w:ascii="Verdana" w:hAnsi="Verdana" w:cs="Arial"/>
          <w:shd w:val="clear" w:color="auto" w:fill="FFFFFF"/>
          <w:lang w:val="es-ES"/>
        </w:rPr>
        <w:t xml:space="preserve">la modalidad de selección abreviada de menor cuantía, </w:t>
      </w:r>
      <w:r w:rsidRPr="009428DD">
        <w:rPr>
          <w:rStyle w:val="normaltextrun"/>
          <w:rFonts w:ascii="Verdana" w:hAnsi="Verdana" w:cs="Arial"/>
          <w:shd w:val="clear" w:color="auto" w:fill="FFFFFF"/>
          <w:lang w:val="es-ES"/>
        </w:rPr>
        <w:t>esta Subdirección</w:t>
      </w:r>
      <w:r w:rsidR="00513054" w:rsidRPr="009428DD">
        <w:rPr>
          <w:rStyle w:val="normaltextrun"/>
          <w:rFonts w:ascii="Verdana" w:hAnsi="Verdana" w:cs="Arial"/>
          <w:shd w:val="clear" w:color="auto" w:fill="FFFFFF"/>
          <w:lang w:val="es-ES"/>
        </w:rPr>
        <w:t xml:space="preserve">, se ha pronunciado en los siguientes conceptos </w:t>
      </w:r>
      <w:r w:rsidR="00F25CE3" w:rsidRPr="009428DD">
        <w:rPr>
          <w:rFonts w:ascii="Verdana" w:hAnsi="Verdana" w:cs="Arial"/>
          <w:shd w:val="clear" w:color="auto" w:fill="FFFFFF"/>
        </w:rPr>
        <w:t>C-139 del 31 de febrero de 2020, C-080 del 5 de marzo de 2020, C-002 del 5 de mayo de 2020, C-093 del 22 de marzo de 2022, C-261 del 20 de mayo de 2022, C-905 del 28 de diciembre de 2022</w:t>
      </w:r>
      <w:r w:rsidR="00DA34CC" w:rsidRPr="009428DD">
        <w:rPr>
          <w:rFonts w:ascii="Verdana" w:hAnsi="Verdana" w:cs="Arial"/>
          <w:shd w:val="clear" w:color="auto" w:fill="FFFFFF"/>
        </w:rPr>
        <w:t xml:space="preserve">, C-313 del 31 de julio del 2023. </w:t>
      </w:r>
      <w:r w:rsidRPr="009428DD">
        <w:rPr>
          <w:rStyle w:val="normaltextrun"/>
          <w:rFonts w:ascii="Verdana" w:hAnsi="Verdana" w:cs="Arial"/>
          <w:shd w:val="clear" w:color="auto" w:fill="FFFFFF"/>
          <w:lang w:val="es-ES"/>
        </w:rPr>
        <w:t>Es</w:t>
      </w:r>
      <w:r w:rsidRPr="009428DD">
        <w:rPr>
          <w:rFonts w:ascii="Verdana" w:hAnsi="Verdana"/>
        </w:rPr>
        <w:t>tos y otros conceptos se encuentran disponibles para consulta en el Sistema de relatoría de la Agencia, al cual se puede acceder a través del siguiente enlace:</w:t>
      </w:r>
      <w:r w:rsidRPr="009428DD">
        <w:rPr>
          <w:rStyle w:val="normaltextrun"/>
          <w:rFonts w:ascii="Verdana" w:hAnsi="Verdana" w:cs="Arial"/>
          <w:shd w:val="clear" w:color="auto" w:fill="FFFFFF"/>
          <w:lang w:val="es-ES"/>
        </w:rPr>
        <w:t xml:space="preserve"> </w:t>
      </w:r>
      <w:hyperlink r:id="rId16" w:history="1">
        <w:r w:rsidRPr="009428DD">
          <w:rPr>
            <w:rStyle w:val="Hyperlink"/>
            <w:rFonts w:ascii="Verdana" w:hAnsi="Verdana" w:cs="Arial"/>
            <w:shd w:val="clear" w:color="auto" w:fill="FFFFFF"/>
            <w:lang w:val="es-ES"/>
          </w:rPr>
          <w:t>https://relatoria.colombiacompra.gov.co/busqueda/conceptos</w:t>
        </w:r>
      </w:hyperlink>
      <w:r w:rsidRPr="009428DD">
        <w:rPr>
          <w:rStyle w:val="normaltextrun"/>
          <w:rFonts w:ascii="Verdana" w:hAnsi="Verdana" w:cs="Arial"/>
          <w:color w:val="FF0000"/>
          <w:shd w:val="clear" w:color="auto" w:fill="FFFFFF"/>
          <w:lang w:val="es-ES"/>
        </w:rPr>
        <w:t xml:space="preserve">. </w:t>
      </w:r>
    </w:p>
    <w:p w14:paraId="5EDD87A6" w14:textId="77777777" w:rsidR="00232251" w:rsidRPr="009428DD" w:rsidRDefault="00232251" w:rsidP="00232251">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3A9D7CC" w14:textId="77777777" w:rsidR="00232251" w:rsidRPr="009428DD" w:rsidRDefault="00232251" w:rsidP="00232251">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428DD">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9428DD">
        <w:rPr>
          <w:rStyle w:val="normaltextrun"/>
          <w:rFonts w:ascii="Verdana" w:hAnsi="Verdana" w:cs="Arial"/>
          <w:color w:val="FF0000"/>
          <w:shd w:val="clear" w:color="auto" w:fill="FFFFFF"/>
          <w:lang w:val="es-ES"/>
        </w:rPr>
        <w:t xml:space="preserve"> </w:t>
      </w:r>
      <w:hyperlink r:id="rId17" w:history="1">
        <w:r w:rsidRPr="009428DD">
          <w:rPr>
            <w:rStyle w:val="Hyperlink"/>
            <w:rFonts w:ascii="Verdana" w:hAnsi="Verdana" w:cs="Arial"/>
            <w:shd w:val="clear" w:color="auto" w:fill="FFFFFF"/>
            <w:lang w:val="es-ES"/>
          </w:rPr>
          <w:t>https://www.colombiacompra.gov.co/sala-de-prensa/boletin-digital</w:t>
        </w:r>
      </w:hyperlink>
      <w:r w:rsidRPr="009428DD">
        <w:rPr>
          <w:rStyle w:val="normaltextrun"/>
          <w:rFonts w:ascii="Verdana" w:hAnsi="Verdana" w:cs="Arial"/>
          <w:color w:val="FF0000"/>
          <w:shd w:val="clear" w:color="auto" w:fill="FFFFFF"/>
          <w:lang w:val="es-ES"/>
        </w:rPr>
        <w:t xml:space="preserve">      </w:t>
      </w:r>
    </w:p>
    <w:p w14:paraId="55C8ADE9" w14:textId="77777777" w:rsidR="00232251" w:rsidRPr="009428DD" w:rsidRDefault="00232251" w:rsidP="00232251">
      <w:pPr>
        <w:spacing w:after="0" w:line="240" w:lineRule="auto"/>
        <w:jc w:val="both"/>
        <w:rPr>
          <w:rFonts w:ascii="Verdana" w:hAnsi="Verdana"/>
        </w:rPr>
      </w:pPr>
      <w:r w:rsidRPr="009428DD">
        <w:rPr>
          <w:rFonts w:ascii="Verdana" w:hAnsi="Verdana"/>
        </w:rPr>
        <w:t xml:space="preserve">Por último, lo invitamos a seguirnos en las redes sociales en las cuales se difunde información institucional: </w:t>
      </w:r>
    </w:p>
    <w:p w14:paraId="0EC4A6C7" w14:textId="77777777" w:rsidR="00232251" w:rsidRPr="009428DD" w:rsidRDefault="00232251" w:rsidP="00232251">
      <w:pPr>
        <w:spacing w:after="0" w:line="240" w:lineRule="auto"/>
        <w:jc w:val="both"/>
        <w:rPr>
          <w:rFonts w:ascii="Verdana" w:hAnsi="Verdana"/>
        </w:rPr>
      </w:pPr>
    </w:p>
    <w:p w14:paraId="293EDFAF" w14:textId="77777777" w:rsidR="00232251" w:rsidRPr="009428DD" w:rsidRDefault="00232251" w:rsidP="00232251">
      <w:pPr>
        <w:spacing w:after="0" w:line="240" w:lineRule="auto"/>
        <w:jc w:val="both"/>
        <w:rPr>
          <w:rFonts w:ascii="Verdana" w:hAnsi="Verdana"/>
        </w:rPr>
      </w:pPr>
      <w:r w:rsidRPr="009428DD">
        <w:rPr>
          <w:rFonts w:ascii="Verdana" w:hAnsi="Verdana"/>
        </w:rPr>
        <w:t xml:space="preserve">Twitter: </w:t>
      </w:r>
      <w:r w:rsidRPr="009428DD">
        <w:rPr>
          <w:rStyle w:val="Hyperlink"/>
          <w:rFonts w:ascii="Verdana" w:hAnsi="Verdana"/>
          <w:color w:val="4472C4" w:themeColor="accent1"/>
        </w:rPr>
        <w:t>@colombiacompra</w:t>
      </w:r>
      <w:r w:rsidRPr="009428DD">
        <w:rPr>
          <w:rFonts w:ascii="Verdana" w:hAnsi="Verdana"/>
          <w:color w:val="4472C4" w:themeColor="accent1"/>
        </w:rPr>
        <w:t xml:space="preserve"> </w:t>
      </w:r>
    </w:p>
    <w:p w14:paraId="6C1809AC" w14:textId="77777777" w:rsidR="00232251" w:rsidRPr="009428DD" w:rsidRDefault="00232251" w:rsidP="00232251">
      <w:pPr>
        <w:spacing w:after="0" w:line="240" w:lineRule="auto"/>
        <w:jc w:val="both"/>
        <w:rPr>
          <w:rFonts w:ascii="Verdana" w:hAnsi="Verdana"/>
        </w:rPr>
      </w:pPr>
      <w:r w:rsidRPr="009428DD">
        <w:rPr>
          <w:rFonts w:ascii="Verdana" w:hAnsi="Verdana"/>
        </w:rPr>
        <w:t xml:space="preserve">Facebook: </w:t>
      </w:r>
      <w:r w:rsidRPr="009428DD">
        <w:rPr>
          <w:rStyle w:val="Hyperlink"/>
          <w:rFonts w:ascii="Verdana" w:hAnsi="Verdana"/>
          <w:color w:val="4472C4" w:themeColor="accent1"/>
        </w:rPr>
        <w:t>ColombiaCompraEficiente</w:t>
      </w:r>
    </w:p>
    <w:p w14:paraId="7138082A" w14:textId="77777777" w:rsidR="00232251" w:rsidRPr="009428DD" w:rsidRDefault="00232251" w:rsidP="00232251">
      <w:pPr>
        <w:spacing w:after="0" w:line="240" w:lineRule="auto"/>
        <w:jc w:val="both"/>
        <w:rPr>
          <w:rFonts w:ascii="Verdana" w:hAnsi="Verdana"/>
        </w:rPr>
      </w:pPr>
      <w:r w:rsidRPr="009428DD">
        <w:rPr>
          <w:rFonts w:ascii="Verdana" w:hAnsi="Verdana"/>
        </w:rPr>
        <w:t xml:space="preserve">LinkedIn: </w:t>
      </w:r>
      <w:r w:rsidRPr="009428DD">
        <w:rPr>
          <w:rStyle w:val="Hyperlink"/>
          <w:rFonts w:ascii="Verdana" w:hAnsi="Verdana"/>
          <w:color w:val="4472C4" w:themeColor="accent1"/>
        </w:rPr>
        <w:t>Agencia Nacional de Contratación Pública - Colombia Compra Eficiente</w:t>
      </w:r>
      <w:r w:rsidRPr="009428DD">
        <w:rPr>
          <w:rFonts w:ascii="Verdana" w:hAnsi="Verdana"/>
          <w:color w:val="4472C4" w:themeColor="accent1"/>
        </w:rPr>
        <w:t xml:space="preserve"> </w:t>
      </w:r>
      <w:r w:rsidRPr="009428DD">
        <w:rPr>
          <w:rFonts w:ascii="Verdana" w:hAnsi="Verdana"/>
        </w:rPr>
        <w:t xml:space="preserve">Instagram: </w:t>
      </w:r>
      <w:r w:rsidRPr="009428DD">
        <w:rPr>
          <w:rStyle w:val="Hyperlink"/>
          <w:rFonts w:ascii="Verdana" w:hAnsi="Verdana"/>
          <w:color w:val="4472C4" w:themeColor="accent1"/>
        </w:rPr>
        <w:t>@colombiacompraeficiente_cce</w:t>
      </w:r>
    </w:p>
    <w:p w14:paraId="0D9E16B1" w14:textId="77777777" w:rsidR="00232251" w:rsidRPr="009428DD" w:rsidRDefault="00232251" w:rsidP="00232251">
      <w:pPr>
        <w:widowControl w:val="0"/>
        <w:autoSpaceDE w:val="0"/>
        <w:autoSpaceDN w:val="0"/>
        <w:spacing w:after="0" w:line="276" w:lineRule="auto"/>
        <w:jc w:val="both"/>
        <w:rPr>
          <w:rFonts w:ascii="Verdana" w:hAnsi="Verdana" w:cs="Arial"/>
        </w:rPr>
      </w:pPr>
    </w:p>
    <w:p w14:paraId="04D93947" w14:textId="77777777" w:rsidR="00232251" w:rsidRPr="009428DD" w:rsidRDefault="00232251" w:rsidP="00232251">
      <w:pPr>
        <w:widowControl w:val="0"/>
        <w:autoSpaceDE w:val="0"/>
        <w:autoSpaceDN w:val="0"/>
        <w:spacing w:after="0" w:line="276" w:lineRule="auto"/>
        <w:jc w:val="both"/>
        <w:rPr>
          <w:rFonts w:ascii="Verdana" w:hAnsi="Verdana" w:cs="Arial"/>
          <w:lang w:val="es-ES_tradnl"/>
        </w:rPr>
      </w:pPr>
      <w:r w:rsidRPr="009428DD">
        <w:rPr>
          <w:rFonts w:ascii="Verdana" w:hAnsi="Verdana" w:cs="Arial"/>
        </w:rPr>
        <w:t xml:space="preserve">Este concepto tiene el alcance previsto en el artículo 28 del Código de Procedimiento Administrativo y de lo Contencioso Administrativo </w:t>
      </w:r>
      <w:r w:rsidRPr="009428DD">
        <w:rPr>
          <w:rFonts w:ascii="Verdana" w:hAnsi="Verdana" w:cs="Arial"/>
          <w:lang w:val="es-ES_tradnl"/>
        </w:rPr>
        <w:t>y las expresiones aquí utilizadas con mayúscula inicial deben ser entendidas con el significado que les otorga el artículo 2.2.1.1.1.3.1. del Decreto 1082 de 2015.</w:t>
      </w:r>
    </w:p>
    <w:p w14:paraId="1C771C61" w14:textId="77777777" w:rsidR="00232251" w:rsidRPr="009428DD" w:rsidRDefault="00232251" w:rsidP="00232251">
      <w:pPr>
        <w:widowControl w:val="0"/>
        <w:autoSpaceDE w:val="0"/>
        <w:autoSpaceDN w:val="0"/>
        <w:spacing w:after="0" w:line="276" w:lineRule="auto"/>
        <w:jc w:val="both"/>
        <w:rPr>
          <w:rFonts w:ascii="Verdana" w:hAnsi="Verdana" w:cs="Arial"/>
        </w:rPr>
      </w:pPr>
    </w:p>
    <w:p w14:paraId="208888EF" w14:textId="77777777" w:rsidR="00232251" w:rsidRPr="009428DD" w:rsidRDefault="00232251" w:rsidP="00232251">
      <w:pPr>
        <w:spacing w:after="0" w:line="240" w:lineRule="auto"/>
        <w:rPr>
          <w:rFonts w:ascii="Verdana" w:hAnsi="Verdana" w:cs="Arial"/>
          <w:lang w:eastAsia="es-CO"/>
        </w:rPr>
      </w:pPr>
      <w:r w:rsidRPr="009428DD">
        <w:rPr>
          <w:rFonts w:ascii="Verdana" w:eastAsia="Times New Roman" w:hAnsi="Verdana" w:cs="Arial"/>
          <w:lang w:eastAsia="es-CO"/>
        </w:rPr>
        <w:t>Atentamente,</w:t>
      </w:r>
      <w:r w:rsidRPr="009428DD">
        <w:rPr>
          <w:rFonts w:ascii="Verdana" w:hAnsi="Verdana" w:cs="Arial"/>
          <w:lang w:eastAsia="es-CO"/>
        </w:rPr>
        <w:t xml:space="preserve"> </w:t>
      </w:r>
    </w:p>
    <w:p w14:paraId="30FA0E8B" w14:textId="2DDB10C1" w:rsidR="00232251" w:rsidRPr="009428DD" w:rsidRDefault="006729E0" w:rsidP="00232251">
      <w:pPr>
        <w:spacing w:line="276" w:lineRule="auto"/>
        <w:jc w:val="center"/>
        <w:rPr>
          <w:rFonts w:ascii="Verdana" w:hAnsi="Verdana" w:cs="Arial"/>
          <w:color w:val="000000"/>
          <w:lang w:val="es-ES_tradnl" w:eastAsia="es-CO"/>
        </w:rPr>
      </w:pPr>
      <w:r>
        <w:rPr>
          <w:noProof/>
        </w:rPr>
        <w:drawing>
          <wp:inline distT="0" distB="0" distL="0" distR="0" wp14:anchorId="481E8624" wp14:editId="560CFE99">
            <wp:extent cx="3705225" cy="1590675"/>
            <wp:effectExtent l="0" t="0" r="9525" b="9525"/>
            <wp:docPr id="173958558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18"/>
                    <a:stretch>
                      <a:fillRect/>
                    </a:stretch>
                  </pic:blipFill>
                  <pic:spPr>
                    <a:xfrm>
                      <a:off x="0" y="0"/>
                      <a:ext cx="3705225" cy="1590675"/>
                    </a:xfrm>
                    <a:prstGeom prst="rect">
                      <a:avLst/>
                    </a:prstGeom>
                  </pic:spPr>
                </pic:pic>
              </a:graphicData>
            </a:graphic>
          </wp:inline>
        </w:drawing>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83379" w:rsidRPr="009428DD" w14:paraId="67B1AC44" w14:textId="77777777" w:rsidTr="00DC0330">
        <w:trPr>
          <w:trHeight w:val="315"/>
        </w:trPr>
        <w:tc>
          <w:tcPr>
            <w:tcW w:w="893" w:type="dxa"/>
            <w:vAlign w:val="center"/>
            <w:hideMark/>
          </w:tcPr>
          <w:p w14:paraId="040CBC8C" w14:textId="77777777" w:rsidR="00232251" w:rsidRPr="009428DD" w:rsidRDefault="00232251" w:rsidP="00DC0330">
            <w:pPr>
              <w:contextualSpacing/>
              <w:rPr>
                <w:rFonts w:ascii="Verdana" w:hAnsi="Verdana" w:cs="Arial"/>
                <w:sz w:val="16"/>
                <w:szCs w:val="16"/>
                <w:lang w:val="es-ES" w:eastAsia="es-ES"/>
              </w:rPr>
            </w:pPr>
            <w:r w:rsidRPr="009428D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7A9F65C" w14:textId="4B99CCB7" w:rsidR="00232251" w:rsidRPr="009428DD" w:rsidRDefault="00483379" w:rsidP="00DC0330">
            <w:pPr>
              <w:contextualSpacing/>
              <w:rPr>
                <w:rFonts w:ascii="Verdana" w:eastAsia="Arial" w:hAnsi="Verdana" w:cs="Arial"/>
                <w:sz w:val="16"/>
                <w:szCs w:val="16"/>
              </w:rPr>
            </w:pPr>
            <w:r w:rsidRPr="009428DD">
              <w:rPr>
                <w:rFonts w:ascii="Verdana" w:eastAsia="Arial" w:hAnsi="Verdana" w:cs="Arial"/>
                <w:sz w:val="16"/>
                <w:szCs w:val="16"/>
              </w:rPr>
              <w:t>Ana María Ortiz Ballesteros</w:t>
            </w:r>
          </w:p>
          <w:p w14:paraId="4E5D2DC5" w14:textId="361A0120" w:rsidR="00232251" w:rsidRPr="009428DD" w:rsidRDefault="00483379" w:rsidP="00DC0330">
            <w:pPr>
              <w:contextualSpacing/>
              <w:rPr>
                <w:rFonts w:ascii="Verdana" w:eastAsia="Arial" w:hAnsi="Verdana" w:cs="Arial"/>
                <w:sz w:val="16"/>
                <w:szCs w:val="16"/>
              </w:rPr>
            </w:pPr>
            <w:r w:rsidRPr="009428DD">
              <w:rPr>
                <w:rStyle w:val="normaltextrun"/>
                <w:rFonts w:ascii="Verdana" w:eastAsia="Arial" w:hAnsi="Verdana" w:cs="Arial"/>
                <w:sz w:val="16"/>
                <w:szCs w:val="16"/>
              </w:rPr>
              <w:t>C</w:t>
            </w:r>
            <w:r w:rsidRPr="009428DD">
              <w:rPr>
                <w:rStyle w:val="normaltextrun"/>
                <w:rFonts w:ascii="Verdana" w:hAnsi="Verdana"/>
                <w:sz w:val="16"/>
                <w:szCs w:val="16"/>
              </w:rPr>
              <w:t>ontratista</w:t>
            </w:r>
            <w:r w:rsidR="00232251" w:rsidRPr="009428DD">
              <w:rPr>
                <w:rStyle w:val="normaltextrun"/>
                <w:rFonts w:ascii="Verdana" w:eastAsia="Arial" w:hAnsi="Verdana" w:cs="Arial"/>
                <w:sz w:val="16"/>
                <w:szCs w:val="16"/>
              </w:rPr>
              <w:t xml:space="preserve"> de la Subdirección de Gestión Contractual</w:t>
            </w:r>
          </w:p>
        </w:tc>
      </w:tr>
      <w:tr w:rsidR="00483379" w:rsidRPr="009428DD" w14:paraId="18D569D4" w14:textId="77777777" w:rsidTr="00DC0330">
        <w:trPr>
          <w:trHeight w:val="330"/>
        </w:trPr>
        <w:tc>
          <w:tcPr>
            <w:tcW w:w="893" w:type="dxa"/>
            <w:vAlign w:val="center"/>
            <w:hideMark/>
          </w:tcPr>
          <w:p w14:paraId="262A9468" w14:textId="77777777" w:rsidR="00232251" w:rsidRPr="009428DD" w:rsidRDefault="00232251" w:rsidP="00DC0330">
            <w:pPr>
              <w:contextualSpacing/>
              <w:rPr>
                <w:rFonts w:ascii="Verdana" w:hAnsi="Verdana" w:cs="Arial"/>
                <w:sz w:val="16"/>
                <w:szCs w:val="16"/>
                <w:lang w:val="es-ES" w:eastAsia="es-ES"/>
              </w:rPr>
            </w:pPr>
            <w:r w:rsidRPr="009428D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7AD2441" w14:textId="77777777" w:rsidR="007E25EF" w:rsidRPr="007E25EF" w:rsidRDefault="007E25EF" w:rsidP="007E25EF">
            <w:pPr>
              <w:pStyle w:val="paragraph"/>
              <w:spacing w:after="0"/>
              <w:contextualSpacing/>
              <w:textAlignment w:val="baseline"/>
              <w:rPr>
                <w:rFonts w:ascii="Verdana" w:hAnsi="Verdana" w:cs="Arial"/>
                <w:sz w:val="16"/>
                <w:szCs w:val="16"/>
              </w:rPr>
            </w:pPr>
            <w:r w:rsidRPr="007E25EF">
              <w:rPr>
                <w:rFonts w:ascii="Verdana" w:hAnsi="Verdana" w:cs="Arial"/>
                <w:sz w:val="16"/>
                <w:szCs w:val="16"/>
              </w:rPr>
              <w:t>Libardo Alberto Verjel De Filippis</w:t>
            </w:r>
          </w:p>
          <w:p w14:paraId="7C2454C8" w14:textId="286339E6" w:rsidR="00232251" w:rsidRPr="009428DD" w:rsidRDefault="00BA3C3F" w:rsidP="00DC0330">
            <w:pPr>
              <w:pStyle w:val="paragraph"/>
              <w:spacing w:before="0" w:beforeAutospacing="0" w:after="0" w:afterAutospacing="0"/>
              <w:contextualSpacing/>
              <w:textAlignment w:val="baseline"/>
              <w:rPr>
                <w:rFonts w:ascii="Verdana" w:hAnsi="Verdana" w:cs="Segoe UI"/>
                <w:sz w:val="16"/>
                <w:szCs w:val="16"/>
              </w:rPr>
            </w:pPr>
            <w:r w:rsidRPr="009428DD">
              <w:rPr>
                <w:rFonts w:ascii="Verdana" w:hAnsi="Verdana" w:cs="Arial"/>
                <w:sz w:val="16"/>
                <w:szCs w:val="16"/>
              </w:rPr>
              <w:t xml:space="preserve">Experto G3- 08 </w:t>
            </w:r>
            <w:r w:rsidR="00232251" w:rsidRPr="009428DD">
              <w:rPr>
                <w:rStyle w:val="normaltextrun"/>
                <w:rFonts w:ascii="Verdana" w:hAnsi="Verdana" w:cs="Arial"/>
                <w:sz w:val="16"/>
                <w:szCs w:val="16"/>
                <w:lang w:val="es-ES"/>
              </w:rPr>
              <w:t>de la Subdirección de Gestión Contractual</w:t>
            </w:r>
            <w:r w:rsidR="00232251" w:rsidRPr="009428DD">
              <w:rPr>
                <w:rStyle w:val="eop"/>
                <w:rFonts w:ascii="Verdana" w:hAnsi="Verdana" w:cs="Arial"/>
                <w:sz w:val="16"/>
                <w:szCs w:val="16"/>
              </w:rPr>
              <w:t> </w:t>
            </w:r>
          </w:p>
        </w:tc>
      </w:tr>
      <w:tr w:rsidR="00483379" w:rsidRPr="009428DD" w14:paraId="651262DC" w14:textId="77777777" w:rsidTr="00DC0330">
        <w:trPr>
          <w:trHeight w:val="300"/>
        </w:trPr>
        <w:tc>
          <w:tcPr>
            <w:tcW w:w="893" w:type="dxa"/>
            <w:vAlign w:val="center"/>
          </w:tcPr>
          <w:p w14:paraId="4E49B684" w14:textId="77777777" w:rsidR="00232251" w:rsidRPr="009428DD" w:rsidRDefault="00232251" w:rsidP="00DC0330">
            <w:pPr>
              <w:contextualSpacing/>
              <w:rPr>
                <w:rFonts w:ascii="Verdana" w:hAnsi="Verdana" w:cs="Arial"/>
                <w:sz w:val="16"/>
                <w:szCs w:val="16"/>
                <w:lang w:val="es-ES" w:eastAsia="es-ES"/>
              </w:rPr>
            </w:pPr>
            <w:r w:rsidRPr="009428D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CEBD13F" w14:textId="77777777" w:rsidR="00232251" w:rsidRPr="009428DD" w:rsidRDefault="00232251" w:rsidP="00DC0330">
            <w:pPr>
              <w:contextualSpacing/>
              <w:rPr>
                <w:rFonts w:ascii="Verdana" w:eastAsia="Calibri" w:hAnsi="Verdana" w:cs="Arial"/>
                <w:sz w:val="16"/>
                <w:szCs w:val="16"/>
                <w:lang w:val="pt-BR" w:eastAsia="es-ES"/>
              </w:rPr>
            </w:pPr>
            <w:r w:rsidRPr="009428DD">
              <w:rPr>
                <w:rFonts w:ascii="Verdana" w:eastAsia="Calibri" w:hAnsi="Verdana" w:cs="Arial"/>
                <w:sz w:val="16"/>
                <w:szCs w:val="16"/>
                <w:lang w:val="pt-BR" w:eastAsia="es-ES"/>
              </w:rPr>
              <w:t>Carolina Quintero Gacharná</w:t>
            </w:r>
          </w:p>
          <w:p w14:paraId="7DC76248" w14:textId="77777777" w:rsidR="00232251" w:rsidRPr="009428DD" w:rsidRDefault="00232251" w:rsidP="00DC0330">
            <w:pPr>
              <w:contextualSpacing/>
              <w:rPr>
                <w:rFonts w:ascii="Verdana" w:eastAsia="Calibri" w:hAnsi="Verdana" w:cs="Arial"/>
                <w:sz w:val="16"/>
                <w:szCs w:val="16"/>
                <w:lang w:val="pt-BR" w:eastAsia="es-ES"/>
              </w:rPr>
            </w:pPr>
            <w:r w:rsidRPr="009428DD">
              <w:rPr>
                <w:rFonts w:ascii="Verdana" w:eastAsia="Calibri" w:hAnsi="Verdana" w:cs="Arial"/>
                <w:sz w:val="16"/>
                <w:szCs w:val="16"/>
                <w:lang w:eastAsia="es-ES"/>
              </w:rPr>
              <w:t>Subdirectora</w:t>
            </w:r>
            <w:r w:rsidRPr="009428DD">
              <w:rPr>
                <w:rFonts w:ascii="Verdana" w:eastAsia="Calibri" w:hAnsi="Verdana" w:cs="Arial"/>
                <w:sz w:val="16"/>
                <w:szCs w:val="16"/>
                <w:lang w:val="pt-BR" w:eastAsia="es-ES"/>
              </w:rPr>
              <w:t xml:space="preserve"> de Gestión Contractual ANCP – CCE</w:t>
            </w:r>
          </w:p>
        </w:tc>
      </w:tr>
    </w:tbl>
    <w:p w14:paraId="654664C9" w14:textId="77777777" w:rsidR="002A3D13" w:rsidRPr="00B0438A" w:rsidRDefault="002A3D13" w:rsidP="002A3D13">
      <w:pPr>
        <w:pStyle w:val="ListParagraph"/>
        <w:spacing w:after="0"/>
        <w:jc w:val="both"/>
        <w:rPr>
          <w:rFonts w:ascii="Verdana" w:eastAsia="Calibri" w:hAnsi="Verdana" w:cs="Arial"/>
          <w:lang w:val="es-CO"/>
        </w:rPr>
      </w:pPr>
    </w:p>
    <w:sectPr w:rsidR="002A3D13" w:rsidRPr="00B0438A"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C309F" w14:textId="77777777" w:rsidR="00660132" w:rsidRDefault="00660132" w:rsidP="004A1847">
      <w:pPr>
        <w:spacing w:after="0" w:line="240" w:lineRule="auto"/>
      </w:pPr>
      <w:r>
        <w:separator/>
      </w:r>
    </w:p>
  </w:endnote>
  <w:endnote w:type="continuationSeparator" w:id="0">
    <w:p w14:paraId="2148C7B5" w14:textId="77777777" w:rsidR="00660132" w:rsidRDefault="00660132" w:rsidP="004A1847">
      <w:pPr>
        <w:spacing w:after="0" w:line="240" w:lineRule="auto"/>
      </w:pPr>
      <w:r>
        <w:continuationSeparator/>
      </w:r>
    </w:p>
  </w:endnote>
  <w:endnote w:type="continuationNotice" w:id="1">
    <w:p w14:paraId="3CB15846" w14:textId="77777777" w:rsidR="00660132" w:rsidRDefault="00660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altName w:val="游明朝"/>
    <w:panose1 w:val="00000000000000000000"/>
    <w:charset w:val="80"/>
    <w:family w:val="roman"/>
    <w:notTrueType/>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14FB4" w14:textId="77777777" w:rsidR="00660132" w:rsidRDefault="00660132" w:rsidP="004A1847">
      <w:pPr>
        <w:spacing w:after="0" w:line="240" w:lineRule="auto"/>
      </w:pPr>
      <w:r>
        <w:separator/>
      </w:r>
    </w:p>
  </w:footnote>
  <w:footnote w:type="continuationSeparator" w:id="0">
    <w:p w14:paraId="17BD5B3F" w14:textId="77777777" w:rsidR="00660132" w:rsidRDefault="00660132" w:rsidP="004A1847">
      <w:pPr>
        <w:spacing w:after="0" w:line="240" w:lineRule="auto"/>
      </w:pPr>
      <w:r>
        <w:continuationSeparator/>
      </w:r>
    </w:p>
  </w:footnote>
  <w:footnote w:type="continuationNotice" w:id="1">
    <w:p w14:paraId="12CBEC44" w14:textId="77777777" w:rsidR="00660132" w:rsidRDefault="00660132">
      <w:pPr>
        <w:spacing w:after="0" w:line="240" w:lineRule="auto"/>
      </w:pPr>
    </w:p>
  </w:footnote>
  <w:footnote w:id="2">
    <w:p w14:paraId="5B6CC07A" w14:textId="77777777" w:rsidR="00B1611F" w:rsidRPr="000E1BF3" w:rsidRDefault="00B1611F" w:rsidP="00B1611F">
      <w:pPr>
        <w:ind w:firstLine="708"/>
        <w:contextualSpacing/>
        <w:jc w:val="both"/>
        <w:rPr>
          <w:rFonts w:ascii="Verdana" w:hAnsi="Verdana" w:cs="Arial"/>
          <w:sz w:val="18"/>
          <w:szCs w:val="18"/>
        </w:rPr>
      </w:pPr>
      <w:r w:rsidRPr="000E1BF3">
        <w:rPr>
          <w:rStyle w:val="FootnoteReference"/>
          <w:rFonts w:ascii="Verdana" w:hAnsi="Verdana" w:cs="Arial"/>
          <w:sz w:val="18"/>
          <w:szCs w:val="18"/>
        </w:rPr>
        <w:footnoteRef/>
      </w:r>
      <w:r w:rsidRPr="000E1BF3">
        <w:rPr>
          <w:rFonts w:ascii="Verdana" w:hAnsi="Verdana" w:cs="Arial"/>
          <w:sz w:val="18"/>
          <w:szCs w:val="18"/>
        </w:rPr>
        <w:t xml:space="preserve"> </w:t>
      </w:r>
      <w:r w:rsidRPr="000E1BF3">
        <w:rPr>
          <w:rStyle w:val="normaltextrun"/>
          <w:rFonts w:ascii="Verdana" w:hAnsi="Verdana" w:cs="Arial"/>
          <w:color w:val="000000"/>
          <w:sz w:val="18"/>
          <w:szCs w:val="18"/>
          <w:shd w:val="clear" w:color="auto" w:fill="FFFFFF"/>
        </w:rPr>
        <w:t>Al respecto, la jurisprudencia explica que la garantía del debido proceso “[…]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(CONSEJO DE ESTADO. Sección Tercera. Sentencia del 23 de junio de 2010. Rad. 16.367. C.P. Enrique Gil Botero). </w:t>
      </w:r>
      <w:r w:rsidRPr="000E1BF3">
        <w:rPr>
          <w:rFonts w:ascii="Verdana" w:hAnsi="Verdana" w:cs="Arial"/>
          <w:color w:val="000000"/>
          <w:sz w:val="18"/>
          <w:szCs w:val="18"/>
          <w:shd w:val="clear" w:color="auto" w:fill="FFFFFF"/>
        </w:rPr>
        <w:t> </w:t>
      </w:r>
    </w:p>
  </w:footnote>
  <w:footnote w:id="3">
    <w:p w14:paraId="2A2582FE"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FootnoteReference"/>
          <w:rFonts w:ascii="Verdana" w:hAnsi="Verdana" w:cs="Arial"/>
          <w:sz w:val="18"/>
          <w:szCs w:val="18"/>
        </w:rPr>
        <w:footnoteRef/>
      </w:r>
      <w:r w:rsidRPr="000E1BF3">
        <w:rPr>
          <w:rFonts w:ascii="Verdana" w:hAnsi="Verdana" w:cs="Arial"/>
          <w:sz w:val="18"/>
          <w:szCs w:val="18"/>
        </w:rPr>
        <w:t xml:space="preserve"> </w:t>
      </w:r>
      <w:r w:rsidRPr="000E1BF3">
        <w:rPr>
          <w:rStyle w:val="normaltextrun"/>
          <w:rFonts w:ascii="Verdana" w:hAnsi="Verdana" w:cs="Arial"/>
          <w:color w:val="000000"/>
          <w:sz w:val="18"/>
          <w:szCs w:val="18"/>
          <w:lang w:val="es-MX"/>
        </w:rPr>
        <w:t>El numeral 2 del artículo 2 de la Ley 1150 de 2007 prescribe: “[…] Serán causales de selección abreviada las siguientes:</w:t>
      </w:r>
      <w:r w:rsidRPr="000E1BF3">
        <w:rPr>
          <w:rStyle w:val="eop"/>
          <w:rFonts w:ascii="Verdana" w:hAnsi="Verdana" w:cs="Arial"/>
          <w:color w:val="000000"/>
          <w:sz w:val="18"/>
          <w:szCs w:val="18"/>
        </w:rPr>
        <w:t> </w:t>
      </w:r>
    </w:p>
    <w:p w14:paraId="7C1F0CE2"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Pr="000E1BF3">
        <w:rPr>
          <w:rStyle w:val="eop"/>
          <w:rFonts w:ascii="Verdana" w:hAnsi="Verdana" w:cs="Arial"/>
          <w:color w:val="000000"/>
          <w:sz w:val="18"/>
          <w:szCs w:val="18"/>
        </w:rPr>
        <w:t> </w:t>
      </w:r>
    </w:p>
    <w:p w14:paraId="4E3E264C"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r w:rsidRPr="000E1BF3">
        <w:rPr>
          <w:rStyle w:val="eop"/>
          <w:rFonts w:ascii="Verdana" w:hAnsi="Verdana" w:cs="Arial"/>
          <w:color w:val="000000"/>
          <w:sz w:val="18"/>
          <w:szCs w:val="18"/>
        </w:rPr>
        <w:t> </w:t>
      </w:r>
    </w:p>
    <w:p w14:paraId="4150168A"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“b) La contratación de menor cuantía. Se entenderá por menor cuantía los valores que a continuación se relacionan, determinados en función de los presupuestos anuales de las entidades públicas expresados en salarios mínimos legales mensuales.</w:t>
      </w:r>
      <w:r w:rsidRPr="000E1BF3">
        <w:rPr>
          <w:rStyle w:val="eop"/>
          <w:rFonts w:ascii="Verdana" w:hAnsi="Verdana" w:cs="Arial"/>
          <w:color w:val="000000"/>
          <w:sz w:val="18"/>
          <w:szCs w:val="18"/>
        </w:rPr>
        <w:t> </w:t>
      </w:r>
    </w:p>
    <w:p w14:paraId="387D794F"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w:t>
      </w:r>
      <w:r w:rsidRPr="000E1BF3">
        <w:rPr>
          <w:rStyle w:val="eop"/>
          <w:rFonts w:ascii="Verdana" w:hAnsi="Verdana" w:cs="Arial"/>
          <w:color w:val="000000"/>
          <w:sz w:val="18"/>
          <w:szCs w:val="18"/>
        </w:rPr>
        <w:t> </w:t>
      </w:r>
    </w:p>
    <w:p w14:paraId="40A3A8FC"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r w:rsidRPr="000E1BF3">
        <w:rPr>
          <w:rStyle w:val="eop"/>
          <w:rFonts w:ascii="Verdana" w:hAnsi="Verdana" w:cs="Arial"/>
          <w:color w:val="000000"/>
          <w:sz w:val="18"/>
          <w:szCs w:val="18"/>
        </w:rPr>
        <w:t> </w:t>
      </w:r>
    </w:p>
    <w:p w14:paraId="6196AADB"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“d) La contratación cuyo proceso de licitación pública haya sido declarado desierto; en cuyo caso la entidad deberá iniciar la selección abreviada dentro de los cuatro meses siguientes a la declaración de desierta del proceso inicial;</w:t>
      </w:r>
      <w:r w:rsidRPr="000E1BF3">
        <w:rPr>
          <w:rStyle w:val="eop"/>
          <w:rFonts w:ascii="Verdana" w:hAnsi="Verdana" w:cs="Arial"/>
          <w:color w:val="000000"/>
          <w:sz w:val="18"/>
          <w:szCs w:val="18"/>
        </w:rPr>
        <w:t> </w:t>
      </w:r>
    </w:p>
    <w:p w14:paraId="6C256F32"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“e) La enajenación de bienes del Estado, con excepción de aquellos a que se refiere la Ley 226 de 1995.</w:t>
      </w:r>
      <w:r w:rsidRPr="000E1BF3">
        <w:rPr>
          <w:rStyle w:val="eop"/>
          <w:rFonts w:ascii="Verdana" w:hAnsi="Verdana" w:cs="Arial"/>
          <w:color w:val="000000"/>
          <w:sz w:val="18"/>
          <w:szCs w:val="18"/>
        </w:rPr>
        <w:t> </w:t>
      </w:r>
    </w:p>
    <w:p w14:paraId="7327B09F"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 </w:t>
      </w:r>
      <w:r w:rsidRPr="000E1BF3">
        <w:rPr>
          <w:rStyle w:val="eop"/>
          <w:rFonts w:ascii="Verdana" w:hAnsi="Verdana" w:cs="Arial"/>
          <w:color w:val="000000"/>
          <w:sz w:val="18"/>
          <w:szCs w:val="18"/>
        </w:rPr>
        <w:t> </w:t>
      </w:r>
    </w:p>
    <w:p w14:paraId="54AFAD56"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“f) Productos de origen o destinación agropecuarios que se ofrezcan en las bolsas de productos legalmente constituidas; </w:t>
      </w:r>
      <w:r w:rsidRPr="000E1BF3">
        <w:rPr>
          <w:rStyle w:val="eop"/>
          <w:rFonts w:ascii="Verdana" w:hAnsi="Verdana" w:cs="Arial"/>
          <w:color w:val="000000"/>
          <w:sz w:val="18"/>
          <w:szCs w:val="18"/>
        </w:rPr>
        <w:t> </w:t>
      </w:r>
    </w:p>
    <w:p w14:paraId="72999388"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r w:rsidRPr="000E1BF3">
        <w:rPr>
          <w:rStyle w:val="eop"/>
          <w:rFonts w:ascii="Verdana" w:hAnsi="Verdana" w:cs="Arial"/>
          <w:color w:val="000000"/>
          <w:sz w:val="18"/>
          <w:szCs w:val="18"/>
        </w:rPr>
        <w:t> </w:t>
      </w:r>
    </w:p>
    <w:p w14:paraId="08BDB9B4" w14:textId="77777777" w:rsidR="0064393E" w:rsidRPr="000E1BF3" w:rsidRDefault="0064393E" w:rsidP="0064393E">
      <w:pPr>
        <w:pStyle w:val="paragraph"/>
        <w:spacing w:before="0" w:beforeAutospacing="0" w:after="0" w:afterAutospacing="0"/>
        <w:ind w:firstLine="705"/>
        <w:contextualSpacing/>
        <w:jc w:val="both"/>
        <w:textAlignment w:val="baseline"/>
        <w:rPr>
          <w:rFonts w:ascii="Verdana" w:hAnsi="Verdana" w:cs="Arial"/>
          <w:sz w:val="18"/>
          <w:szCs w:val="18"/>
        </w:rPr>
      </w:pPr>
      <w:r w:rsidRPr="000E1BF3">
        <w:rPr>
          <w:rStyle w:val="normaltextrun"/>
          <w:rFonts w:ascii="Verdana" w:hAnsi="Verdana" w:cs="Arial"/>
          <w:color w:val="000000"/>
          <w:sz w:val="18"/>
          <w:szCs w:val="18"/>
          <w:lang w:val="es-MX"/>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r w:rsidRPr="000E1BF3">
        <w:rPr>
          <w:rStyle w:val="eop"/>
          <w:rFonts w:ascii="Verdana" w:hAnsi="Verdana" w:cs="Arial"/>
          <w:color w:val="000000"/>
          <w:sz w:val="18"/>
          <w:szCs w:val="18"/>
        </w:rPr>
        <w:t> </w:t>
      </w:r>
    </w:p>
    <w:p w14:paraId="79746FA0" w14:textId="563D233C" w:rsidR="0064393E" w:rsidRPr="000E1BF3" w:rsidRDefault="0064393E" w:rsidP="00932771">
      <w:pPr>
        <w:pStyle w:val="paragraph"/>
        <w:spacing w:before="0" w:beforeAutospacing="0" w:after="0" w:afterAutospacing="0"/>
        <w:ind w:firstLine="705"/>
        <w:contextualSpacing/>
        <w:jc w:val="both"/>
        <w:textAlignment w:val="baseline"/>
        <w:rPr>
          <w:rFonts w:ascii="Verdana" w:hAnsi="Verdana" w:cs="Arial"/>
          <w:color w:val="000000"/>
          <w:sz w:val="18"/>
          <w:szCs w:val="18"/>
        </w:rPr>
      </w:pPr>
      <w:r w:rsidRPr="000E1BF3">
        <w:rPr>
          <w:rStyle w:val="normaltextrun"/>
          <w:rFonts w:ascii="Verdana" w:hAnsi="Verdana" w:cs="Arial"/>
          <w:color w:val="000000"/>
          <w:sz w:val="18"/>
          <w:szCs w:val="18"/>
          <w:lang w:val="es-MX"/>
        </w:rPr>
        <w:t>“i) La contratación de bienes y servicios que se requieran para la defensa y seguridad nacional”.</w:t>
      </w:r>
      <w:r w:rsidRPr="000E1BF3">
        <w:rPr>
          <w:rStyle w:val="eop"/>
          <w:rFonts w:ascii="Verdana" w:hAnsi="Verdana" w:cs="Arial"/>
          <w:color w:val="000000"/>
          <w:sz w:val="18"/>
          <w:szCs w:val="18"/>
        </w:rPr>
        <w:t> </w:t>
      </w:r>
    </w:p>
  </w:footnote>
  <w:footnote w:id="4">
    <w:p w14:paraId="01C2D0BF" w14:textId="77777777" w:rsidR="00CA3222" w:rsidRPr="000E1BF3" w:rsidRDefault="00CA3222" w:rsidP="00CA3222">
      <w:pPr>
        <w:pStyle w:val="FootnoteText"/>
        <w:ind w:firstLine="708"/>
        <w:jc w:val="both"/>
        <w:rPr>
          <w:rFonts w:ascii="Verdana" w:hAnsi="Verdana" w:cs="Arial"/>
          <w:color w:val="000000" w:themeColor="text1"/>
          <w:sz w:val="18"/>
          <w:szCs w:val="18"/>
          <w:lang w:val="es-CO"/>
        </w:rPr>
      </w:pPr>
      <w:r w:rsidRPr="000E1BF3">
        <w:rPr>
          <w:rStyle w:val="FootnoteReference"/>
          <w:rFonts w:ascii="Verdana" w:hAnsi="Verdana" w:cs="Arial"/>
          <w:color w:val="000000" w:themeColor="text1"/>
          <w:sz w:val="18"/>
          <w:szCs w:val="18"/>
        </w:rPr>
        <w:footnoteRef/>
      </w:r>
      <w:r w:rsidRPr="000E1BF3">
        <w:rPr>
          <w:rFonts w:ascii="Verdana" w:hAnsi="Verdana" w:cs="Arial"/>
          <w:color w:val="000000" w:themeColor="text1"/>
          <w:sz w:val="18"/>
          <w:szCs w:val="18"/>
        </w:rPr>
        <w:t xml:space="preserve"> Agencia Nacional de Contratación Pública - Colombia Compra Eficiente</w:t>
      </w:r>
      <w:r w:rsidRPr="000E1BF3">
        <w:rPr>
          <w:rFonts w:ascii="Verdana" w:hAnsi="Verdana" w:cs="Arial"/>
          <w:color w:val="000000" w:themeColor="text1"/>
          <w:sz w:val="18"/>
          <w:szCs w:val="18"/>
          <w:lang w:val="es-CO"/>
        </w:rPr>
        <w:t>, Concepto 4201912000005935 del 25 de noviembre de 2019.</w:t>
      </w:r>
    </w:p>
    <w:p w14:paraId="55C5A2B3" w14:textId="77777777" w:rsidR="002F66D3" w:rsidRPr="000E1BF3" w:rsidRDefault="002F66D3" w:rsidP="00CA3222">
      <w:pPr>
        <w:pStyle w:val="FootnoteText"/>
        <w:ind w:firstLine="708"/>
        <w:jc w:val="both"/>
        <w:rPr>
          <w:rFonts w:ascii="Verdana" w:hAnsi="Verdana" w:cs="Arial"/>
          <w:color w:val="000000" w:themeColor="text1"/>
          <w:sz w:val="18"/>
          <w:szCs w:val="18"/>
          <w:lang w:val="es-CO"/>
        </w:rPr>
      </w:pPr>
    </w:p>
  </w:footnote>
  <w:footnote w:id="5">
    <w:p w14:paraId="782587DD" w14:textId="32693D88" w:rsidR="00AC7241" w:rsidRPr="000E1BF3" w:rsidRDefault="00AC7241" w:rsidP="00AC7241">
      <w:pPr>
        <w:pStyle w:val="FootnoteText"/>
        <w:ind w:firstLine="708"/>
        <w:jc w:val="both"/>
        <w:rPr>
          <w:rFonts w:ascii="Verdana" w:hAnsi="Verdana" w:cs="Arial"/>
          <w:sz w:val="18"/>
          <w:szCs w:val="18"/>
          <w:lang w:val="es-ES"/>
        </w:rPr>
      </w:pPr>
      <w:r w:rsidRPr="000E1BF3">
        <w:rPr>
          <w:rStyle w:val="FootnoteReference"/>
          <w:rFonts w:ascii="Verdana" w:hAnsi="Verdana" w:cs="Arial"/>
          <w:sz w:val="18"/>
          <w:szCs w:val="18"/>
        </w:rPr>
        <w:footnoteRef/>
      </w:r>
      <w:r w:rsidRPr="000E1BF3">
        <w:rPr>
          <w:rFonts w:ascii="Verdana" w:hAnsi="Verdana" w:cs="Arial"/>
          <w:sz w:val="18"/>
          <w:szCs w:val="18"/>
        </w:rPr>
        <w:t xml:space="preserve"> </w:t>
      </w:r>
      <w:r w:rsidR="00DE3224" w:rsidRPr="000E1BF3">
        <w:rPr>
          <w:rFonts w:ascii="Verdana" w:hAnsi="Verdana" w:cs="Arial"/>
          <w:sz w:val="18"/>
          <w:szCs w:val="18"/>
          <w:lang w:val="es-ES"/>
        </w:rPr>
        <w:t>Ibidem</w:t>
      </w:r>
      <w:r w:rsidRPr="000E1BF3">
        <w:rPr>
          <w:rFonts w:ascii="Verdana" w:hAnsi="Verdana" w:cs="Arial"/>
          <w:sz w:val="18"/>
          <w:szCs w:val="18"/>
          <w:lang w:val="es-ES"/>
        </w:rPr>
        <w:t>.</w:t>
      </w:r>
    </w:p>
  </w:footnote>
  <w:footnote w:id="6">
    <w:p w14:paraId="653AEF96" w14:textId="77777777" w:rsidR="00543BDD" w:rsidRPr="00993F61" w:rsidRDefault="00543BDD" w:rsidP="00543BDD">
      <w:pPr>
        <w:pStyle w:val="FootnoteText"/>
        <w:ind w:firstLine="708"/>
        <w:jc w:val="both"/>
        <w:rPr>
          <w:rFonts w:ascii="Arial" w:hAnsi="Arial" w:cs="Arial"/>
          <w:sz w:val="16"/>
          <w:szCs w:val="16"/>
          <w:lang w:val="es-ES"/>
        </w:rPr>
      </w:pPr>
      <w:r w:rsidRPr="000E1BF3">
        <w:rPr>
          <w:rStyle w:val="FootnoteReference"/>
          <w:rFonts w:ascii="Verdana" w:hAnsi="Verdana" w:cs="Arial"/>
          <w:sz w:val="18"/>
          <w:szCs w:val="18"/>
        </w:rPr>
        <w:footnoteRef/>
      </w:r>
      <w:r w:rsidRPr="000E1BF3">
        <w:rPr>
          <w:rFonts w:ascii="Verdana" w:hAnsi="Verdana" w:cs="Arial"/>
          <w:sz w:val="18"/>
          <w:szCs w:val="18"/>
        </w:rPr>
        <w:t xml:space="preserve"> </w:t>
      </w:r>
      <w:r w:rsidRPr="000E1BF3">
        <w:rPr>
          <w:rFonts w:ascii="Verdana" w:hAnsi="Verdana" w:cs="Arial"/>
          <w:color w:val="000000" w:themeColor="text1"/>
          <w:sz w:val="18"/>
          <w:szCs w:val="18"/>
        </w:rPr>
        <w:t>Agencia Nacional de Contratación Pública - Colombia Compra Eficiente</w:t>
      </w:r>
      <w:r w:rsidRPr="000E1BF3">
        <w:rPr>
          <w:rFonts w:ascii="Verdana" w:hAnsi="Verdana" w:cs="Arial"/>
          <w:color w:val="000000" w:themeColor="text1"/>
          <w:sz w:val="18"/>
          <w:szCs w:val="18"/>
          <w:lang w:val="es-CO"/>
        </w:rPr>
        <w:t>, Concepto C – 575 de 2020.</w:t>
      </w:r>
      <w:r w:rsidRPr="00993F61">
        <w:rPr>
          <w:rFonts w:ascii="Arial" w:hAnsi="Arial" w:cs="Arial"/>
          <w:color w:val="000000" w:themeColor="text1"/>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B58C33DA"/>
    <w:lvl w:ilvl="0" w:tplc="BFD005D8">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26B6B69"/>
    <w:multiLevelType w:val="hybridMultilevel"/>
    <w:tmpl w:val="F26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3C265E2"/>
    <w:multiLevelType w:val="hybridMultilevel"/>
    <w:tmpl w:val="DAEA067E"/>
    <w:lvl w:ilvl="0" w:tplc="E536E82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3"/>
  </w:num>
  <w:num w:numId="14" w16cid:durableId="895897244">
    <w:abstractNumId w:val="17"/>
  </w:num>
  <w:num w:numId="15" w16cid:durableId="390349800">
    <w:abstractNumId w:val="12"/>
  </w:num>
  <w:num w:numId="16" w16cid:durableId="341274352">
    <w:abstractNumId w:val="0"/>
  </w:num>
  <w:num w:numId="17" w16cid:durableId="1492209491">
    <w:abstractNumId w:val="5"/>
  </w:num>
  <w:num w:numId="18" w16cid:durableId="298727126">
    <w:abstractNumId w:val="11"/>
  </w:num>
  <w:num w:numId="19" w16cid:durableId="629017032">
    <w:abstractNumId w:val="13"/>
  </w:num>
  <w:num w:numId="20"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8EE"/>
    <w:rsid w:val="00012105"/>
    <w:rsid w:val="00026638"/>
    <w:rsid w:val="00056085"/>
    <w:rsid w:val="00061B2A"/>
    <w:rsid w:val="00062DDC"/>
    <w:rsid w:val="000672A1"/>
    <w:rsid w:val="0007390C"/>
    <w:rsid w:val="00082362"/>
    <w:rsid w:val="00086796"/>
    <w:rsid w:val="0009560A"/>
    <w:rsid w:val="000A45E5"/>
    <w:rsid w:val="000A683E"/>
    <w:rsid w:val="000B19B9"/>
    <w:rsid w:val="000D0334"/>
    <w:rsid w:val="000D1BD3"/>
    <w:rsid w:val="000E1BF3"/>
    <w:rsid w:val="000F6486"/>
    <w:rsid w:val="001071EA"/>
    <w:rsid w:val="00107F28"/>
    <w:rsid w:val="00125105"/>
    <w:rsid w:val="00127233"/>
    <w:rsid w:val="001456B4"/>
    <w:rsid w:val="001779D6"/>
    <w:rsid w:val="001B1A06"/>
    <w:rsid w:val="001D2EE8"/>
    <w:rsid w:val="001E358B"/>
    <w:rsid w:val="001E4177"/>
    <w:rsid w:val="001F0291"/>
    <w:rsid w:val="001F738E"/>
    <w:rsid w:val="001F7DC6"/>
    <w:rsid w:val="00201731"/>
    <w:rsid w:val="002139FA"/>
    <w:rsid w:val="0022018F"/>
    <w:rsid w:val="00223A89"/>
    <w:rsid w:val="00232251"/>
    <w:rsid w:val="002421BB"/>
    <w:rsid w:val="00244CF9"/>
    <w:rsid w:val="0025758B"/>
    <w:rsid w:val="0025796E"/>
    <w:rsid w:val="002707A2"/>
    <w:rsid w:val="002951A0"/>
    <w:rsid w:val="002962BC"/>
    <w:rsid w:val="002A093D"/>
    <w:rsid w:val="002A0DD0"/>
    <w:rsid w:val="002A0F36"/>
    <w:rsid w:val="002A3D13"/>
    <w:rsid w:val="002A49AC"/>
    <w:rsid w:val="002A64FD"/>
    <w:rsid w:val="002B6988"/>
    <w:rsid w:val="002C0A3A"/>
    <w:rsid w:val="002C7A84"/>
    <w:rsid w:val="002E0E4C"/>
    <w:rsid w:val="002E4FD9"/>
    <w:rsid w:val="002F2349"/>
    <w:rsid w:val="002F66D3"/>
    <w:rsid w:val="00304153"/>
    <w:rsid w:val="0030712B"/>
    <w:rsid w:val="003152A7"/>
    <w:rsid w:val="00322A85"/>
    <w:rsid w:val="00324168"/>
    <w:rsid w:val="0032726F"/>
    <w:rsid w:val="00341050"/>
    <w:rsid w:val="003448F4"/>
    <w:rsid w:val="00344DB4"/>
    <w:rsid w:val="00374F5E"/>
    <w:rsid w:val="00377E3E"/>
    <w:rsid w:val="00381C10"/>
    <w:rsid w:val="003953B6"/>
    <w:rsid w:val="003A26D1"/>
    <w:rsid w:val="003A3710"/>
    <w:rsid w:val="003A779E"/>
    <w:rsid w:val="003D0F4D"/>
    <w:rsid w:val="003D5B0D"/>
    <w:rsid w:val="003E0499"/>
    <w:rsid w:val="003E3C86"/>
    <w:rsid w:val="003F0C6A"/>
    <w:rsid w:val="003F3941"/>
    <w:rsid w:val="003F63E0"/>
    <w:rsid w:val="004001FA"/>
    <w:rsid w:val="00406575"/>
    <w:rsid w:val="0040666F"/>
    <w:rsid w:val="0040685B"/>
    <w:rsid w:val="00416EAD"/>
    <w:rsid w:val="00420DA3"/>
    <w:rsid w:val="004268D7"/>
    <w:rsid w:val="00426B2F"/>
    <w:rsid w:val="0042722E"/>
    <w:rsid w:val="0044183C"/>
    <w:rsid w:val="00442490"/>
    <w:rsid w:val="0044528D"/>
    <w:rsid w:val="00476967"/>
    <w:rsid w:val="00483379"/>
    <w:rsid w:val="00492405"/>
    <w:rsid w:val="004A1847"/>
    <w:rsid w:val="004A305D"/>
    <w:rsid w:val="004A3720"/>
    <w:rsid w:val="004B22B1"/>
    <w:rsid w:val="004B3318"/>
    <w:rsid w:val="004B424D"/>
    <w:rsid w:val="004C143B"/>
    <w:rsid w:val="004C2446"/>
    <w:rsid w:val="004D63A4"/>
    <w:rsid w:val="004F21C4"/>
    <w:rsid w:val="004F685F"/>
    <w:rsid w:val="00513054"/>
    <w:rsid w:val="0051439C"/>
    <w:rsid w:val="00525CD8"/>
    <w:rsid w:val="00543BDD"/>
    <w:rsid w:val="00544CBA"/>
    <w:rsid w:val="005474EA"/>
    <w:rsid w:val="00552A00"/>
    <w:rsid w:val="005566E8"/>
    <w:rsid w:val="0057036D"/>
    <w:rsid w:val="00574867"/>
    <w:rsid w:val="00577106"/>
    <w:rsid w:val="00587CAB"/>
    <w:rsid w:val="0059080F"/>
    <w:rsid w:val="00591460"/>
    <w:rsid w:val="00592628"/>
    <w:rsid w:val="005C3777"/>
    <w:rsid w:val="005C5CDC"/>
    <w:rsid w:val="005D476C"/>
    <w:rsid w:val="005E156B"/>
    <w:rsid w:val="005E278C"/>
    <w:rsid w:val="005E4235"/>
    <w:rsid w:val="00610812"/>
    <w:rsid w:val="006138A6"/>
    <w:rsid w:val="00617913"/>
    <w:rsid w:val="006219F8"/>
    <w:rsid w:val="006253E2"/>
    <w:rsid w:val="0064393E"/>
    <w:rsid w:val="00650FF7"/>
    <w:rsid w:val="00660132"/>
    <w:rsid w:val="00661D14"/>
    <w:rsid w:val="00665D70"/>
    <w:rsid w:val="00671DAC"/>
    <w:rsid w:val="006729E0"/>
    <w:rsid w:val="00685C95"/>
    <w:rsid w:val="006900D9"/>
    <w:rsid w:val="00692DD3"/>
    <w:rsid w:val="006C19B9"/>
    <w:rsid w:val="006C2AA1"/>
    <w:rsid w:val="006C2E0E"/>
    <w:rsid w:val="006C673A"/>
    <w:rsid w:val="006D12F8"/>
    <w:rsid w:val="006D3224"/>
    <w:rsid w:val="006F6056"/>
    <w:rsid w:val="00706C16"/>
    <w:rsid w:val="007169B6"/>
    <w:rsid w:val="007212CC"/>
    <w:rsid w:val="007253A4"/>
    <w:rsid w:val="007278E8"/>
    <w:rsid w:val="00727F3A"/>
    <w:rsid w:val="00730BB5"/>
    <w:rsid w:val="00732D25"/>
    <w:rsid w:val="00744A0B"/>
    <w:rsid w:val="00756841"/>
    <w:rsid w:val="007648F2"/>
    <w:rsid w:val="007649AB"/>
    <w:rsid w:val="00771D0C"/>
    <w:rsid w:val="0077515D"/>
    <w:rsid w:val="007833AC"/>
    <w:rsid w:val="007B268C"/>
    <w:rsid w:val="007B7171"/>
    <w:rsid w:val="007C0C0F"/>
    <w:rsid w:val="007C3DC2"/>
    <w:rsid w:val="007D2276"/>
    <w:rsid w:val="007E25EF"/>
    <w:rsid w:val="007E5497"/>
    <w:rsid w:val="00806374"/>
    <w:rsid w:val="00806F5F"/>
    <w:rsid w:val="00820278"/>
    <w:rsid w:val="00825C8B"/>
    <w:rsid w:val="00861750"/>
    <w:rsid w:val="008700F8"/>
    <w:rsid w:val="008843B6"/>
    <w:rsid w:val="00891928"/>
    <w:rsid w:val="008938C3"/>
    <w:rsid w:val="008A446D"/>
    <w:rsid w:val="008B6543"/>
    <w:rsid w:val="008D180B"/>
    <w:rsid w:val="008D486C"/>
    <w:rsid w:val="008D632E"/>
    <w:rsid w:val="008E32C4"/>
    <w:rsid w:val="008E4EF5"/>
    <w:rsid w:val="008F0EA7"/>
    <w:rsid w:val="00923EEF"/>
    <w:rsid w:val="00932502"/>
    <w:rsid w:val="00932771"/>
    <w:rsid w:val="009419F9"/>
    <w:rsid w:val="009428DD"/>
    <w:rsid w:val="00945479"/>
    <w:rsid w:val="00945FE9"/>
    <w:rsid w:val="00946498"/>
    <w:rsid w:val="0094698C"/>
    <w:rsid w:val="00954ECA"/>
    <w:rsid w:val="0095685E"/>
    <w:rsid w:val="00961B09"/>
    <w:rsid w:val="00961D4A"/>
    <w:rsid w:val="00965334"/>
    <w:rsid w:val="0097093E"/>
    <w:rsid w:val="00977243"/>
    <w:rsid w:val="00993F61"/>
    <w:rsid w:val="009A0DFA"/>
    <w:rsid w:val="009B2D26"/>
    <w:rsid w:val="009C71FA"/>
    <w:rsid w:val="009C72E7"/>
    <w:rsid w:val="009D3058"/>
    <w:rsid w:val="009E4557"/>
    <w:rsid w:val="009F3A13"/>
    <w:rsid w:val="00A10840"/>
    <w:rsid w:val="00A122D3"/>
    <w:rsid w:val="00A17F13"/>
    <w:rsid w:val="00A20739"/>
    <w:rsid w:val="00A33C78"/>
    <w:rsid w:val="00A37063"/>
    <w:rsid w:val="00A4298C"/>
    <w:rsid w:val="00A60B61"/>
    <w:rsid w:val="00A81AE3"/>
    <w:rsid w:val="00A865B7"/>
    <w:rsid w:val="00A9192A"/>
    <w:rsid w:val="00AA3EF1"/>
    <w:rsid w:val="00AA75AC"/>
    <w:rsid w:val="00AB0ADB"/>
    <w:rsid w:val="00AB5E37"/>
    <w:rsid w:val="00AB69F5"/>
    <w:rsid w:val="00AB78B0"/>
    <w:rsid w:val="00AC2759"/>
    <w:rsid w:val="00AC7241"/>
    <w:rsid w:val="00AE4586"/>
    <w:rsid w:val="00B01B1A"/>
    <w:rsid w:val="00B0438A"/>
    <w:rsid w:val="00B1611F"/>
    <w:rsid w:val="00B16874"/>
    <w:rsid w:val="00B25380"/>
    <w:rsid w:val="00B36D39"/>
    <w:rsid w:val="00B37AFA"/>
    <w:rsid w:val="00B519FC"/>
    <w:rsid w:val="00B55FCB"/>
    <w:rsid w:val="00B63C25"/>
    <w:rsid w:val="00B72CD3"/>
    <w:rsid w:val="00B72FFF"/>
    <w:rsid w:val="00B7651A"/>
    <w:rsid w:val="00BA3C3F"/>
    <w:rsid w:val="00BC3D36"/>
    <w:rsid w:val="00BD7F72"/>
    <w:rsid w:val="00BE02AB"/>
    <w:rsid w:val="00BE0EEE"/>
    <w:rsid w:val="00C0000E"/>
    <w:rsid w:val="00C04FB3"/>
    <w:rsid w:val="00C05A20"/>
    <w:rsid w:val="00C0673F"/>
    <w:rsid w:val="00C24B7C"/>
    <w:rsid w:val="00C330EB"/>
    <w:rsid w:val="00C46FEB"/>
    <w:rsid w:val="00C754BE"/>
    <w:rsid w:val="00C76B1C"/>
    <w:rsid w:val="00C77285"/>
    <w:rsid w:val="00C82801"/>
    <w:rsid w:val="00C82CA5"/>
    <w:rsid w:val="00CA3222"/>
    <w:rsid w:val="00CB6357"/>
    <w:rsid w:val="00CC1B26"/>
    <w:rsid w:val="00CE62E0"/>
    <w:rsid w:val="00CF58BC"/>
    <w:rsid w:val="00D031D6"/>
    <w:rsid w:val="00D06CD8"/>
    <w:rsid w:val="00D0744D"/>
    <w:rsid w:val="00D3370A"/>
    <w:rsid w:val="00D34525"/>
    <w:rsid w:val="00D40240"/>
    <w:rsid w:val="00D423A2"/>
    <w:rsid w:val="00D520D8"/>
    <w:rsid w:val="00D63AC2"/>
    <w:rsid w:val="00D7383B"/>
    <w:rsid w:val="00D82761"/>
    <w:rsid w:val="00DA231B"/>
    <w:rsid w:val="00DA23A0"/>
    <w:rsid w:val="00DA34CC"/>
    <w:rsid w:val="00DB03BE"/>
    <w:rsid w:val="00DC0330"/>
    <w:rsid w:val="00DC39FC"/>
    <w:rsid w:val="00DC6856"/>
    <w:rsid w:val="00DE3224"/>
    <w:rsid w:val="00DF3951"/>
    <w:rsid w:val="00DF5254"/>
    <w:rsid w:val="00E16408"/>
    <w:rsid w:val="00E20894"/>
    <w:rsid w:val="00E21CB5"/>
    <w:rsid w:val="00E245AB"/>
    <w:rsid w:val="00E2764C"/>
    <w:rsid w:val="00E27F2E"/>
    <w:rsid w:val="00E302C8"/>
    <w:rsid w:val="00E413EA"/>
    <w:rsid w:val="00E41972"/>
    <w:rsid w:val="00E50AFE"/>
    <w:rsid w:val="00E52858"/>
    <w:rsid w:val="00E67426"/>
    <w:rsid w:val="00E72865"/>
    <w:rsid w:val="00E75C92"/>
    <w:rsid w:val="00E771DC"/>
    <w:rsid w:val="00E8402D"/>
    <w:rsid w:val="00E8772A"/>
    <w:rsid w:val="00E90720"/>
    <w:rsid w:val="00E90F6B"/>
    <w:rsid w:val="00E92C27"/>
    <w:rsid w:val="00EA0E3D"/>
    <w:rsid w:val="00EC38A7"/>
    <w:rsid w:val="00EE1AA8"/>
    <w:rsid w:val="00EE4F63"/>
    <w:rsid w:val="00EE76AE"/>
    <w:rsid w:val="00EF0012"/>
    <w:rsid w:val="00F24250"/>
    <w:rsid w:val="00F25CE3"/>
    <w:rsid w:val="00F31EDC"/>
    <w:rsid w:val="00F462B3"/>
    <w:rsid w:val="00F474BD"/>
    <w:rsid w:val="00F5664F"/>
    <w:rsid w:val="00F6537F"/>
    <w:rsid w:val="00F666C4"/>
    <w:rsid w:val="00F670A6"/>
    <w:rsid w:val="00F73918"/>
    <w:rsid w:val="00F746B3"/>
    <w:rsid w:val="00F74A70"/>
    <w:rsid w:val="00F76AFC"/>
    <w:rsid w:val="00F77910"/>
    <w:rsid w:val="00F809D4"/>
    <w:rsid w:val="00F81F28"/>
    <w:rsid w:val="00F87A94"/>
    <w:rsid w:val="00FA267F"/>
    <w:rsid w:val="00FA38D7"/>
    <w:rsid w:val="00FA47C0"/>
    <w:rsid w:val="00FB4DC4"/>
    <w:rsid w:val="00FB5DD1"/>
    <w:rsid w:val="00FC2B5D"/>
    <w:rsid w:val="00FD49F1"/>
    <w:rsid w:val="00FD5B28"/>
    <w:rsid w:val="00FF1449"/>
    <w:rsid w:val="00FF4F4C"/>
    <w:rsid w:val="0A7FDC89"/>
    <w:rsid w:val="1AF4DBDD"/>
    <w:rsid w:val="20D8F5C3"/>
    <w:rsid w:val="35DEEDE8"/>
    <w:rsid w:val="3A17609D"/>
    <w:rsid w:val="40D4CEEB"/>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829059A3-D668-4023-8D88-38A2AA18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character" w:styleId="CommentReference">
    <w:name w:val="annotation reference"/>
    <w:basedOn w:val="DefaultParagraphFont"/>
    <w:uiPriority w:val="99"/>
    <w:semiHidden/>
    <w:unhideWhenUsed/>
    <w:rsid w:val="0040685B"/>
    <w:rPr>
      <w:sz w:val="16"/>
      <w:szCs w:val="16"/>
    </w:rPr>
  </w:style>
  <w:style w:type="paragraph" w:styleId="CommentText">
    <w:name w:val="annotation text"/>
    <w:basedOn w:val="Normal"/>
    <w:link w:val="CommentTextChar"/>
    <w:uiPriority w:val="99"/>
    <w:unhideWhenUsed/>
    <w:rsid w:val="0040685B"/>
    <w:pPr>
      <w:spacing w:line="240" w:lineRule="auto"/>
    </w:pPr>
    <w:rPr>
      <w:sz w:val="20"/>
      <w:szCs w:val="20"/>
    </w:rPr>
  </w:style>
  <w:style w:type="character" w:customStyle="1" w:styleId="CommentTextChar">
    <w:name w:val="Comment Text Char"/>
    <w:basedOn w:val="DefaultParagraphFont"/>
    <w:link w:val="CommentText"/>
    <w:uiPriority w:val="99"/>
    <w:rsid w:val="0040685B"/>
    <w:rPr>
      <w:sz w:val="20"/>
      <w:szCs w:val="20"/>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CF58BC"/>
    <w:rPr>
      <w:rFonts w:ascii="Geomanist Light" w:hAnsi="Geomanist Light"/>
      <w:lang w:val="es-ES"/>
    </w:rPr>
  </w:style>
  <w:style w:type="paragraph" w:customStyle="1" w:styleId="Appelnotedebasde">
    <w:name w:val="Appel note de bas de..."/>
    <w:basedOn w:val="Normal"/>
    <w:link w:val="FootnoteReference"/>
    <w:uiPriority w:val="99"/>
    <w:rsid w:val="0064393E"/>
    <w:pPr>
      <w:spacing w:line="240" w:lineRule="exact"/>
    </w:pPr>
    <w:rPr>
      <w:vertAlign w:val="superscript"/>
    </w:rPr>
  </w:style>
  <w:style w:type="paragraph" w:customStyle="1" w:styleId="fn1">
    <w:name w:val="fn1"/>
    <w:basedOn w:val="Normal"/>
    <w:next w:val="FootnoteText"/>
    <w:uiPriority w:val="99"/>
    <w:unhideWhenUsed/>
    <w:qFormat/>
    <w:rsid w:val="0064393E"/>
    <w:pPr>
      <w:spacing w:after="0" w:line="240" w:lineRule="auto"/>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9449">
      <w:bodyDiv w:val="1"/>
      <w:marLeft w:val="0"/>
      <w:marRight w:val="0"/>
      <w:marTop w:val="0"/>
      <w:marBottom w:val="0"/>
      <w:divBdr>
        <w:top w:val="none" w:sz="0" w:space="0" w:color="auto"/>
        <w:left w:val="none" w:sz="0" w:space="0" w:color="auto"/>
        <w:bottom w:val="none" w:sz="0" w:space="0" w:color="auto"/>
        <w:right w:val="none" w:sz="0" w:space="0" w:color="auto"/>
      </w:divBdr>
      <w:divsChild>
        <w:div w:id="196041527">
          <w:marLeft w:val="0"/>
          <w:marRight w:val="0"/>
          <w:marTop w:val="0"/>
          <w:marBottom w:val="0"/>
          <w:divBdr>
            <w:top w:val="none" w:sz="0" w:space="0" w:color="auto"/>
            <w:left w:val="none" w:sz="0" w:space="0" w:color="auto"/>
            <w:bottom w:val="none" w:sz="0" w:space="0" w:color="auto"/>
            <w:right w:val="none" w:sz="0" w:space="0" w:color="auto"/>
          </w:divBdr>
          <w:divsChild>
            <w:div w:id="15307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83358842">
      <w:bodyDiv w:val="1"/>
      <w:marLeft w:val="0"/>
      <w:marRight w:val="0"/>
      <w:marTop w:val="0"/>
      <w:marBottom w:val="0"/>
      <w:divBdr>
        <w:top w:val="none" w:sz="0" w:space="0" w:color="auto"/>
        <w:left w:val="none" w:sz="0" w:space="0" w:color="auto"/>
        <w:bottom w:val="none" w:sz="0" w:space="0" w:color="auto"/>
        <w:right w:val="none" w:sz="0" w:space="0" w:color="auto"/>
      </w:divBdr>
    </w:div>
    <w:div w:id="505023956">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30840039">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46658310">
      <w:bodyDiv w:val="1"/>
      <w:marLeft w:val="0"/>
      <w:marRight w:val="0"/>
      <w:marTop w:val="0"/>
      <w:marBottom w:val="0"/>
      <w:divBdr>
        <w:top w:val="none" w:sz="0" w:space="0" w:color="auto"/>
        <w:left w:val="none" w:sz="0" w:space="0" w:color="auto"/>
        <w:bottom w:val="none" w:sz="0" w:space="0" w:color="auto"/>
        <w:right w:val="none" w:sz="0" w:space="0" w:color="auto"/>
      </w:divBdr>
    </w:div>
    <w:div w:id="1788502826">
      <w:bodyDiv w:val="1"/>
      <w:marLeft w:val="0"/>
      <w:marRight w:val="0"/>
      <w:marTop w:val="0"/>
      <w:marBottom w:val="0"/>
      <w:divBdr>
        <w:top w:val="none" w:sz="0" w:space="0" w:color="auto"/>
        <w:left w:val="none" w:sz="0" w:space="0" w:color="auto"/>
        <w:bottom w:val="none" w:sz="0" w:space="0" w:color="auto"/>
        <w:right w:val="none" w:sz="0" w:space="0" w:color="auto"/>
      </w:divBdr>
      <w:divsChild>
        <w:div w:id="2038775405">
          <w:marLeft w:val="0"/>
          <w:marRight w:val="0"/>
          <w:marTop w:val="0"/>
          <w:marBottom w:val="0"/>
          <w:divBdr>
            <w:top w:val="none" w:sz="0" w:space="0" w:color="auto"/>
            <w:left w:val="none" w:sz="0" w:space="0" w:color="auto"/>
            <w:bottom w:val="none" w:sz="0" w:space="0" w:color="auto"/>
            <w:right w:val="none" w:sz="0" w:space="0" w:color="auto"/>
          </w:divBdr>
          <w:divsChild>
            <w:div w:id="6394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circulares/circular_externa_unica_version_3_vf49.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ersoneria@puertoparra-santander.gov.co"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manuales-guias-y-pliegos-tipo/manuales-y-guia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7A6F54A-54ED-49D0-ABDE-414D50CD8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purl.org/dc/terms/"/>
    <ds:schemaRef ds:uri="a6cb9e4b-f1d1-4245-83ec-6cad768d538a"/>
    <ds:schemaRef ds:uri="http://schemas.microsoft.com/office/2006/documentManagement/types"/>
    <ds:schemaRef ds:uri="http://purl.org/dc/dcmitype/"/>
    <ds:schemaRef ds:uri="http://www.w3.org/XML/1998/namespace"/>
    <ds:schemaRef ds:uri="9d85dbaf-23eb-4e57-a637-93dcacc8b1a1"/>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9E316BF-8D3F-8C47-8FCF-EBE0EB33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15985</Characters>
  <Application>Microsoft Office Word</Application>
  <DocSecurity>4</DocSecurity>
  <Lines>133</Lines>
  <Paragraphs>37</Paragraphs>
  <ScaleCrop>false</ScaleCrop>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29</cp:revision>
  <cp:lastPrinted>2023-01-10T21:18:00Z</cp:lastPrinted>
  <dcterms:created xsi:type="dcterms:W3CDTF">2024-08-20T18:10:00Z</dcterms:created>
  <dcterms:modified xsi:type="dcterms:W3CDTF">2024-08-20T20:40:00Z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