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43D69" w14:textId="77777777" w:rsidR="00194D57" w:rsidRPr="00194D57" w:rsidRDefault="00194D57" w:rsidP="00194D57">
      <w:pPr>
        <w:spacing w:after="0" w:line="240" w:lineRule="auto"/>
        <w:contextualSpacing/>
        <w:jc w:val="both"/>
        <w:rPr>
          <w:rFonts w:ascii="Verdana" w:eastAsia="Yu Gothic UI Semibold" w:hAnsi="Verdana" w:cs="Arial"/>
          <w:b/>
          <w:bCs/>
          <w:color w:val="000000" w:themeColor="text1"/>
          <w:sz w:val="20"/>
          <w:szCs w:val="20"/>
          <w:lang w:val="es-MX"/>
        </w:rPr>
      </w:pPr>
      <w:r w:rsidRPr="00194D57">
        <w:rPr>
          <w:rFonts w:ascii="Verdana" w:eastAsia="Yu Gothic UI Semibold" w:hAnsi="Verdana" w:cs="Arial"/>
          <w:b/>
          <w:bCs/>
          <w:color w:val="000000" w:themeColor="text1"/>
          <w:sz w:val="20"/>
          <w:szCs w:val="20"/>
          <w:lang w:val="es-MX"/>
        </w:rPr>
        <w:t xml:space="preserve">CONTRATOS DE PRESTACIÓN DE SERVICIOS </w:t>
      </w:r>
      <w:bookmarkStart w:id="0" w:name="_Hlk134189711"/>
      <w:r w:rsidRPr="00194D57">
        <w:rPr>
          <w:rFonts w:ascii="Verdana" w:eastAsia="Yu Gothic UI Semibold" w:hAnsi="Verdana" w:cs="Arial"/>
          <w:b/>
          <w:bCs/>
          <w:color w:val="000000" w:themeColor="text1"/>
          <w:sz w:val="20"/>
          <w:szCs w:val="20"/>
          <w:lang w:val="es-MX"/>
        </w:rPr>
        <w:t>–</w:t>
      </w:r>
      <w:bookmarkEnd w:id="0"/>
      <w:r w:rsidRPr="00194D57">
        <w:rPr>
          <w:rFonts w:ascii="Verdana" w:eastAsia="Yu Gothic UI Semibold" w:hAnsi="Verdana" w:cs="Arial"/>
          <w:b/>
          <w:bCs/>
          <w:color w:val="000000" w:themeColor="text1"/>
          <w:sz w:val="20"/>
          <w:szCs w:val="20"/>
          <w:lang w:val="es-MX"/>
        </w:rPr>
        <w:t xml:space="preserve"> Generalidades – Requisitos y límites para su celebración</w:t>
      </w:r>
    </w:p>
    <w:p w14:paraId="7A54BBC2" w14:textId="77777777" w:rsidR="00194D57" w:rsidRPr="00194D57" w:rsidRDefault="00194D57" w:rsidP="00194D57">
      <w:pPr>
        <w:spacing w:after="0" w:line="240" w:lineRule="auto"/>
        <w:jc w:val="both"/>
        <w:rPr>
          <w:rFonts w:ascii="Verdana" w:eastAsia="Times New Roman" w:hAnsi="Verdana" w:cs="Arial"/>
          <w:bCs/>
          <w:sz w:val="20"/>
          <w:szCs w:val="20"/>
          <w:lang w:val="es-MX" w:eastAsia="es-ES_tradnl"/>
        </w:rPr>
      </w:pPr>
    </w:p>
    <w:p w14:paraId="1FB400C8" w14:textId="77777777" w:rsidR="00194D57" w:rsidRPr="00194D57" w:rsidRDefault="00194D57" w:rsidP="00194D57">
      <w:pPr>
        <w:spacing w:after="0" w:line="240" w:lineRule="auto"/>
        <w:jc w:val="both"/>
        <w:rPr>
          <w:rFonts w:ascii="Verdana" w:eastAsia="Times New Roman" w:hAnsi="Verdana" w:cs="Arial"/>
          <w:bCs/>
          <w:sz w:val="20"/>
          <w:szCs w:val="20"/>
          <w:lang w:eastAsia="es-ES_tradnl"/>
        </w:rPr>
      </w:pPr>
      <w:r w:rsidRPr="00194D57">
        <w:rPr>
          <w:rFonts w:ascii="Verdana" w:eastAsia="Times New Roman" w:hAnsi="Verdana" w:cs="Arial"/>
          <w:color w:val="000000" w:themeColor="text1"/>
          <w:sz w:val="20"/>
          <w:szCs w:val="20"/>
          <w:lang w:val="es-MX" w:eastAsia="es-CO"/>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194D57">
        <w:rPr>
          <w:rFonts w:ascii="Verdana" w:eastAsia="Calibri" w:hAnsi="Verdana" w:cs="Arial"/>
          <w:color w:val="000000" w:themeColor="text1"/>
          <w:sz w:val="20"/>
          <w:szCs w:val="20"/>
          <w:lang w:val="es-ES_tradnl" w:eastAsia="es-CO"/>
        </w:rPr>
        <w:t xml:space="preserve"> La celebración de dicho contrato debe efectuarse a través de la modalidad de contratación directa.</w:t>
      </w:r>
    </w:p>
    <w:p w14:paraId="578EC382" w14:textId="77777777" w:rsidR="00194D57" w:rsidRPr="00194D57" w:rsidRDefault="00194D57" w:rsidP="00194D57">
      <w:pPr>
        <w:spacing w:after="0" w:line="240" w:lineRule="auto"/>
        <w:jc w:val="both"/>
        <w:rPr>
          <w:rFonts w:ascii="Verdana" w:eastAsia="Times New Roman" w:hAnsi="Verdana" w:cs="Arial"/>
          <w:sz w:val="20"/>
          <w:szCs w:val="20"/>
          <w:highlight w:val="yellow"/>
          <w:lang w:val="es-ES_tradnl" w:eastAsia="es-ES_tradnl"/>
        </w:rPr>
      </w:pPr>
      <w:bookmarkStart w:id="1" w:name="_Hlk134190527"/>
    </w:p>
    <w:p w14:paraId="1AEF3DAD" w14:textId="2B5263A8" w:rsidR="00194D57" w:rsidRPr="00194D57" w:rsidRDefault="00194D57" w:rsidP="00194D57">
      <w:pPr>
        <w:spacing w:after="0" w:line="240" w:lineRule="auto"/>
        <w:jc w:val="both"/>
        <w:rPr>
          <w:rFonts w:ascii="Verdana" w:eastAsia="Times New Roman" w:hAnsi="Verdana" w:cs="Arial"/>
          <w:b/>
          <w:bCs/>
          <w:color w:val="000000"/>
          <w:sz w:val="20"/>
          <w:szCs w:val="20"/>
          <w:lang w:val="es-ES_tradnl" w:eastAsia="es-ES_tradnl"/>
        </w:rPr>
      </w:pPr>
      <w:r w:rsidRPr="00194D57">
        <w:rPr>
          <w:rFonts w:ascii="Verdana" w:eastAsia="Times New Roman" w:hAnsi="Verdana" w:cs="Arial"/>
          <w:b/>
          <w:bCs/>
          <w:sz w:val="20"/>
          <w:szCs w:val="20"/>
          <w:lang w:val="es-ES_tradnl" w:eastAsia="es-ES_tradnl"/>
        </w:rPr>
        <w:t xml:space="preserve">CONTRATOS DE PRESTACIÓN DE SERVICIOS PROFESIONALES Y DE APOYO A LA GESTIÓN </w:t>
      </w:r>
      <w:r w:rsidRPr="00194D57">
        <w:rPr>
          <w:rFonts w:ascii="Verdana" w:eastAsia="Yu Gothic UI Semibold" w:hAnsi="Verdana" w:cs="Arial"/>
          <w:b/>
          <w:bCs/>
          <w:color w:val="000000" w:themeColor="text1"/>
          <w:sz w:val="20"/>
          <w:szCs w:val="20"/>
          <w:lang w:val="es-MX"/>
        </w:rPr>
        <w:t xml:space="preserve">– </w:t>
      </w:r>
      <w:r w:rsidRPr="00194D57">
        <w:rPr>
          <w:rFonts w:ascii="Verdana" w:eastAsia="Times New Roman" w:hAnsi="Verdana" w:cs="Arial"/>
          <w:b/>
          <w:bCs/>
          <w:color w:val="000000"/>
          <w:sz w:val="20"/>
          <w:szCs w:val="20"/>
          <w:lang w:val="es-ES_tradnl" w:eastAsia="es-ES_tradnl"/>
        </w:rPr>
        <w:t>Posibilidad de celebrar varios contratos con la misma entidad estatal de forma simultánea</w:t>
      </w:r>
    </w:p>
    <w:bookmarkEnd w:id="1"/>
    <w:p w14:paraId="671DDB74" w14:textId="77777777" w:rsidR="00194D57" w:rsidRPr="00194D57" w:rsidRDefault="00194D57" w:rsidP="00194D57">
      <w:pPr>
        <w:spacing w:after="0" w:line="240" w:lineRule="auto"/>
        <w:jc w:val="both"/>
        <w:rPr>
          <w:rFonts w:ascii="Verdana" w:eastAsia="Times New Roman" w:hAnsi="Verdana" w:cs="Arial"/>
          <w:sz w:val="20"/>
          <w:szCs w:val="20"/>
          <w:lang w:val="es-ES_tradnl" w:eastAsia="es-ES_tradnl"/>
        </w:rPr>
      </w:pPr>
    </w:p>
    <w:p w14:paraId="7F78E786" w14:textId="77777777" w:rsidR="00194D57" w:rsidRPr="00194D57" w:rsidRDefault="00194D57" w:rsidP="00194D57">
      <w:pPr>
        <w:spacing w:after="0" w:line="240" w:lineRule="auto"/>
        <w:contextualSpacing/>
        <w:jc w:val="both"/>
        <w:rPr>
          <w:rFonts w:ascii="Verdana" w:eastAsia="Times New Roman" w:hAnsi="Verdana" w:cs="Arial"/>
          <w:sz w:val="20"/>
          <w:szCs w:val="20"/>
          <w:lang w:eastAsia="es-CO"/>
        </w:rPr>
      </w:pPr>
      <w:r w:rsidRPr="00194D57">
        <w:rPr>
          <w:rFonts w:ascii="Verdana" w:eastAsia="Times New Roman" w:hAnsi="Verdana" w:cs="Arial"/>
          <w:sz w:val="20"/>
          <w:szCs w:val="20"/>
          <w:lang w:eastAsia="es-CO"/>
        </w:rPr>
        <w:t>(…) no existe inhabilidad, incompatibilidad o prohibición alguna de otra naturaleza para que una entidad estatal celebre dos o más contratos de prestación de servicios profesionales con una misma persona, así dichos contratos coexistan en el tiempo. Ello, por cuanto, como ya se señaló, las inhabilidades e incompatibilidades, al ser limitaciones a la capacidad contractual que afectan derechos como la libre concurrencia o la libertad de ejercicio de la profesión u oficio, es decir, al ser enunciados normativos gravosos, deben interpretarse de forma restrictiva. Esto supone que su aplicación no admite una interpretación amplia, extensiva o analógica.</w:t>
      </w:r>
    </w:p>
    <w:p w14:paraId="5C56FF95" w14:textId="77777777" w:rsidR="00194D57" w:rsidRPr="00194D57" w:rsidRDefault="00194D57" w:rsidP="00194D57">
      <w:pPr>
        <w:spacing w:after="0" w:line="240" w:lineRule="auto"/>
        <w:contextualSpacing/>
        <w:jc w:val="both"/>
        <w:rPr>
          <w:rFonts w:ascii="Verdana" w:eastAsia="Times New Roman" w:hAnsi="Verdana" w:cs="Arial"/>
          <w:sz w:val="20"/>
          <w:szCs w:val="20"/>
          <w:lang w:eastAsia="es-CO"/>
        </w:rPr>
      </w:pPr>
    </w:p>
    <w:p w14:paraId="1097D35E" w14:textId="77777777" w:rsidR="00194D57" w:rsidRPr="00194D57" w:rsidRDefault="00194D57" w:rsidP="00194D57">
      <w:pPr>
        <w:spacing w:after="0" w:line="240" w:lineRule="auto"/>
        <w:contextualSpacing/>
        <w:jc w:val="both"/>
        <w:rPr>
          <w:rFonts w:ascii="Verdana" w:eastAsia="Times New Roman" w:hAnsi="Verdana" w:cs="Arial"/>
          <w:sz w:val="20"/>
          <w:szCs w:val="20"/>
          <w:lang w:eastAsia="es-CO"/>
        </w:rPr>
      </w:pPr>
      <w:r w:rsidRPr="00194D57">
        <w:rPr>
          <w:rFonts w:ascii="Verdana" w:eastAsia="Times New Roman" w:hAnsi="Verdana" w:cs="Arial"/>
          <w:sz w:val="20"/>
          <w:szCs w:val="20"/>
          <w:lang w:eastAsia="es-CO"/>
        </w:rPr>
        <w:t>(…)</w:t>
      </w:r>
    </w:p>
    <w:p w14:paraId="2B9487A1" w14:textId="77777777" w:rsidR="00194D57" w:rsidRPr="00194D57" w:rsidRDefault="00194D57" w:rsidP="00194D57">
      <w:pPr>
        <w:spacing w:after="0" w:line="240" w:lineRule="auto"/>
        <w:contextualSpacing/>
        <w:jc w:val="both"/>
        <w:rPr>
          <w:rFonts w:ascii="Verdana" w:eastAsia="Times New Roman" w:hAnsi="Verdana" w:cs="Arial"/>
          <w:sz w:val="20"/>
          <w:szCs w:val="20"/>
          <w:lang w:eastAsia="es-CO"/>
        </w:rPr>
      </w:pPr>
    </w:p>
    <w:p w14:paraId="7C23F417" w14:textId="22E63E2E" w:rsidR="00194D57" w:rsidRDefault="00194D57" w:rsidP="00194D57">
      <w:pPr>
        <w:spacing w:after="0" w:line="240" w:lineRule="auto"/>
        <w:contextualSpacing/>
        <w:jc w:val="both"/>
        <w:rPr>
          <w:rFonts w:ascii="Verdana" w:eastAsia="Times New Roman" w:hAnsi="Verdana" w:cs="Arial"/>
          <w:sz w:val="20"/>
          <w:szCs w:val="20"/>
          <w:lang w:eastAsia="es-CO"/>
        </w:rPr>
      </w:pPr>
      <w:r w:rsidRPr="00194D57">
        <w:rPr>
          <w:rFonts w:ascii="Verdana" w:eastAsia="Times New Roman" w:hAnsi="Verdana" w:cs="Arial"/>
          <w:sz w:val="20"/>
          <w:szCs w:val="20"/>
          <w:lang w:eastAsia="es-CO"/>
        </w:rPr>
        <w:t>Tratándose de contratos de prestación de servicios de apoyo a la gestión, debe tomarse en consideración que la Directiva Presidencial No. 2 del 30 de marzo de 2023 dispuso dejar sin efectos las medidas establecidas, entre otras, en la Directiva Presidencial No. 08 del 17 de septiembre de 2022, hasta tanto el Gobierno Nacional expida nuevas directrices en materia de gasto, austeridad y eficiencia del Estado conforme a la reglamentación recientemente expedida para la vigencia 2023. (…) Al haberse dejado sin efectos la disposición anteriormente citada, en la actualidad no se encuentra vigente la restricción consistente en la celebración de más de un contrato de prestación de servicios de apoyo a la gestión allí contenida, la cual, en todo caso, había sido objeto de una medida cautelar de suspensión provisional decretada por parte del Consejo de Estado -Sala de lo Contencioso Administrativo, Sección Tercera, Subsección A- en providencia del 22 de febrero de 2023</w:t>
      </w:r>
    </w:p>
    <w:p w14:paraId="75EC2441" w14:textId="7F37BEA1" w:rsidR="002D648D" w:rsidRDefault="002D648D" w:rsidP="00194D57">
      <w:pPr>
        <w:spacing w:after="0" w:line="240" w:lineRule="auto"/>
        <w:contextualSpacing/>
        <w:jc w:val="both"/>
        <w:rPr>
          <w:rFonts w:ascii="Verdana" w:eastAsia="Times New Roman" w:hAnsi="Verdana" w:cs="Arial"/>
          <w:sz w:val="20"/>
          <w:szCs w:val="20"/>
          <w:lang w:eastAsia="es-CO"/>
        </w:rPr>
      </w:pPr>
    </w:p>
    <w:p w14:paraId="509562A2" w14:textId="77777777" w:rsidR="002D648D" w:rsidRDefault="002D648D" w:rsidP="002D648D">
      <w:pPr>
        <w:tabs>
          <w:tab w:val="left" w:pos="0"/>
        </w:tabs>
        <w:spacing w:line="276" w:lineRule="auto"/>
        <w:jc w:val="both"/>
        <w:rPr>
          <w:rFonts w:ascii="Verdana" w:hAnsi="Verdana" w:cs="Arial"/>
          <w:b/>
          <w:sz w:val="20"/>
          <w:szCs w:val="20"/>
          <w:lang w:val="es-ES" w:eastAsia="es-ES"/>
        </w:rPr>
      </w:pPr>
    </w:p>
    <w:p w14:paraId="481792E8" w14:textId="33189192" w:rsidR="002D648D" w:rsidRPr="00164D3B" w:rsidRDefault="002D648D" w:rsidP="002D648D">
      <w:pPr>
        <w:tabs>
          <w:tab w:val="left" w:pos="0"/>
        </w:tabs>
        <w:spacing w:line="276" w:lineRule="auto"/>
        <w:jc w:val="both"/>
        <w:rPr>
          <w:rFonts w:ascii="Verdana" w:eastAsia="Calibri" w:hAnsi="Verdana" w:cs="Arial"/>
          <w:b/>
          <w:sz w:val="20"/>
          <w:szCs w:val="20"/>
          <w:lang w:val="es-ES"/>
        </w:rPr>
      </w:pPr>
      <w:r w:rsidRPr="00164D3B">
        <w:rPr>
          <w:rFonts w:ascii="Verdana" w:hAnsi="Verdana" w:cs="Arial"/>
          <w:b/>
          <w:sz w:val="20"/>
          <w:szCs w:val="20"/>
          <w:lang w:val="es-ES" w:eastAsia="es-ES"/>
        </w:rPr>
        <w:lastRenderedPageBreak/>
        <w:t>CONTRATOS DE PRESTACIÓN DE SERVICIOS – Simultáneos</w:t>
      </w:r>
    </w:p>
    <w:p w14:paraId="7DAD0CF4" w14:textId="77777777" w:rsidR="002D648D" w:rsidRPr="00164D3B" w:rsidRDefault="002D648D" w:rsidP="002D648D">
      <w:pPr>
        <w:pStyle w:val="Textoindependiente"/>
        <w:jc w:val="both"/>
        <w:rPr>
          <w:rFonts w:ascii="Verdana" w:eastAsia="Calibri" w:hAnsi="Verdana"/>
          <w:bCs/>
          <w:sz w:val="20"/>
          <w:szCs w:val="20"/>
        </w:rPr>
      </w:pPr>
      <w:r w:rsidRPr="00164D3B">
        <w:rPr>
          <w:rFonts w:ascii="Verdana" w:eastAsia="Calibri" w:hAnsi="Verdana"/>
          <w:bCs/>
          <w:sz w:val="20"/>
          <w:szCs w:val="20"/>
        </w:rPr>
        <w:t xml:space="preserve">[…] </w:t>
      </w:r>
      <w:r w:rsidRPr="00164D3B">
        <w:rPr>
          <w:rFonts w:ascii="Verdana" w:hAnsi="Verdana"/>
          <w:bCs/>
          <w:color w:val="000000" w:themeColor="text1"/>
          <w:sz w:val="20"/>
          <w:szCs w:val="20"/>
        </w:rPr>
        <w:t xml:space="preserve">los contratistas de prestación de servicios se encuentran por fuera del ámbito de aplicación el artículo 128 de la Constitución, al no ser titulares de un empleo público, lo que supone que es perfectamente válido que una persona suscriba varios contratos de prestación de servicios con el Estado, no existiendo una disposición que así lo prohíba.  </w:t>
      </w:r>
      <w:r w:rsidRPr="00164D3B">
        <w:rPr>
          <w:rFonts w:ascii="Verdana" w:eastAsia="Calibri" w:hAnsi="Verdana"/>
          <w:bCs/>
          <w:sz w:val="20"/>
          <w:szCs w:val="20"/>
        </w:rPr>
        <w:t>Esto por supuesto dependerá de que, el contratista no se encuentre incurso en alguna otra causal de inhabilidad o incompatibilidad con las entidades públicas, en las condiciones explicadas.</w:t>
      </w:r>
    </w:p>
    <w:p w14:paraId="72D6EF03" w14:textId="77777777" w:rsidR="002D648D" w:rsidRPr="00EF19AD" w:rsidRDefault="002D648D" w:rsidP="002D648D">
      <w:pPr>
        <w:spacing w:after="120"/>
        <w:jc w:val="both"/>
        <w:rPr>
          <w:rFonts w:ascii="Arial" w:eastAsia="Calibri" w:hAnsi="Arial" w:cs="Arial"/>
          <w:bCs/>
          <w:sz w:val="20"/>
          <w:szCs w:val="20"/>
        </w:rPr>
      </w:pPr>
      <w:r w:rsidRPr="00164D3B">
        <w:rPr>
          <w:rFonts w:ascii="Verdana" w:eastAsia="Calibri" w:hAnsi="Verdana" w:cs="Arial"/>
          <w:bCs/>
          <w:sz w:val="20"/>
          <w:szCs w:val="20"/>
        </w:rPr>
        <w:t>Sin perjuicio de lo anterior, en eventos como que es materia de consulta, es necesario tener en cuenta, dos aspectos adicionales. Por un lado, en el marco de un contrato de prestación de servicios con una entidad estatal podría pactarse una cláusula de exclusividad. Si bien este compromiso vendría a ser un elemento accidental del contrato, en virtud de este acuerdo, una de las partes de un contrato se obliga respecto a la otra a realizar, de manera exclusiva, las prestaciones objeto de este.  En este sentido, si, por ejemplo, en un contrato de prestación de servicios se pacta una cláusula de exclusividad a favor de la entidad contratante, el contratista se estaría obligando, so pena de incumplimiento, a no celebrar contratos de la misma naturaleza con otras personas de derecho público o privado, dependiendo del alcance la cláusula.</w:t>
      </w:r>
    </w:p>
    <w:p w14:paraId="189931C8" w14:textId="77777777" w:rsidR="002D648D" w:rsidRPr="00194D57" w:rsidRDefault="002D648D" w:rsidP="00194D57">
      <w:pPr>
        <w:spacing w:after="0" w:line="240" w:lineRule="auto"/>
        <w:contextualSpacing/>
        <w:jc w:val="both"/>
        <w:rPr>
          <w:rFonts w:ascii="Verdana" w:eastAsia="Times New Roman" w:hAnsi="Verdana" w:cs="Arial"/>
          <w:sz w:val="20"/>
          <w:szCs w:val="20"/>
          <w:lang w:eastAsia="es-CO"/>
        </w:rPr>
      </w:pPr>
    </w:p>
    <w:p w14:paraId="484FD23C" w14:textId="43797257" w:rsidR="00871B59" w:rsidRPr="00194D57" w:rsidRDefault="00871B59" w:rsidP="00194D57">
      <w:pPr>
        <w:spacing w:after="0" w:line="240" w:lineRule="auto"/>
        <w:jc w:val="both"/>
        <w:rPr>
          <w:rFonts w:ascii="Verdana" w:eastAsia="Geomanist Light" w:hAnsi="Verdana" w:cs="Arial"/>
          <w:b/>
          <w:bCs/>
          <w:color w:val="000000" w:themeColor="text1"/>
          <w:sz w:val="20"/>
          <w:szCs w:val="20"/>
          <w:lang w:val="es-ES"/>
        </w:rPr>
      </w:pPr>
    </w:p>
    <w:p w14:paraId="3941137A" w14:textId="77777777" w:rsidR="00871B59" w:rsidRPr="00194D57" w:rsidRDefault="00871B59" w:rsidP="00194D57">
      <w:pPr>
        <w:spacing w:after="0" w:line="240" w:lineRule="auto"/>
        <w:rPr>
          <w:rFonts w:ascii="Verdana" w:eastAsia="Geomanist Light" w:hAnsi="Verdana" w:cs="Arial"/>
          <w:color w:val="000000" w:themeColor="text1"/>
          <w:sz w:val="20"/>
          <w:szCs w:val="20"/>
          <w:lang w:val="es-MX"/>
        </w:rPr>
      </w:pPr>
    </w:p>
    <w:p w14:paraId="50DFC33A" w14:textId="77777777" w:rsidR="00194D57" w:rsidRDefault="00194D57" w:rsidP="00194D57">
      <w:pPr>
        <w:spacing w:after="0" w:line="240" w:lineRule="auto"/>
        <w:rPr>
          <w:rFonts w:ascii="Verdana" w:eastAsia="Geomanist Light" w:hAnsi="Verdana" w:cs="Arial"/>
          <w:color w:val="000000" w:themeColor="text1"/>
          <w:sz w:val="20"/>
          <w:szCs w:val="20"/>
          <w:lang w:val="es-MX"/>
        </w:rPr>
      </w:pPr>
    </w:p>
    <w:p w14:paraId="27724530" w14:textId="77777777" w:rsidR="002D648D" w:rsidRDefault="002D648D" w:rsidP="00194D57">
      <w:pPr>
        <w:spacing w:after="0" w:line="240" w:lineRule="auto"/>
        <w:rPr>
          <w:rFonts w:ascii="Verdana" w:eastAsia="Geomanist Light" w:hAnsi="Verdana" w:cs="Arial"/>
          <w:color w:val="000000" w:themeColor="text1"/>
          <w:lang w:val="es-MX"/>
        </w:rPr>
      </w:pPr>
    </w:p>
    <w:p w14:paraId="3BBEC08F" w14:textId="77777777" w:rsidR="002D648D" w:rsidRDefault="002D648D" w:rsidP="00194D57">
      <w:pPr>
        <w:spacing w:after="0" w:line="240" w:lineRule="auto"/>
        <w:rPr>
          <w:rFonts w:ascii="Verdana" w:eastAsia="Geomanist Light" w:hAnsi="Verdana" w:cs="Arial"/>
          <w:color w:val="000000" w:themeColor="text1"/>
          <w:lang w:val="es-MX"/>
        </w:rPr>
      </w:pPr>
    </w:p>
    <w:p w14:paraId="0B097269" w14:textId="77777777" w:rsidR="002D648D" w:rsidRDefault="002D648D" w:rsidP="00194D57">
      <w:pPr>
        <w:spacing w:after="0" w:line="240" w:lineRule="auto"/>
        <w:rPr>
          <w:rFonts w:ascii="Verdana" w:eastAsia="Geomanist Light" w:hAnsi="Verdana" w:cs="Arial"/>
          <w:color w:val="000000" w:themeColor="text1"/>
          <w:lang w:val="es-MX"/>
        </w:rPr>
      </w:pPr>
    </w:p>
    <w:p w14:paraId="5E791B14" w14:textId="77777777" w:rsidR="002D648D" w:rsidRDefault="002D648D" w:rsidP="00194D57">
      <w:pPr>
        <w:spacing w:after="0" w:line="240" w:lineRule="auto"/>
        <w:rPr>
          <w:rFonts w:ascii="Verdana" w:eastAsia="Geomanist Light" w:hAnsi="Verdana" w:cs="Arial"/>
          <w:color w:val="000000" w:themeColor="text1"/>
          <w:lang w:val="es-MX"/>
        </w:rPr>
      </w:pPr>
    </w:p>
    <w:p w14:paraId="081322B2" w14:textId="77777777" w:rsidR="002D648D" w:rsidRDefault="002D648D" w:rsidP="00194D57">
      <w:pPr>
        <w:spacing w:after="0" w:line="240" w:lineRule="auto"/>
        <w:rPr>
          <w:rFonts w:ascii="Verdana" w:eastAsia="Geomanist Light" w:hAnsi="Verdana" w:cs="Arial"/>
          <w:color w:val="000000" w:themeColor="text1"/>
          <w:lang w:val="es-MX"/>
        </w:rPr>
      </w:pPr>
    </w:p>
    <w:p w14:paraId="2646E2AC" w14:textId="77777777" w:rsidR="002D648D" w:rsidRDefault="002D648D" w:rsidP="00194D57">
      <w:pPr>
        <w:spacing w:after="0" w:line="240" w:lineRule="auto"/>
        <w:rPr>
          <w:rFonts w:ascii="Verdana" w:eastAsia="Geomanist Light" w:hAnsi="Verdana" w:cs="Arial"/>
          <w:color w:val="000000" w:themeColor="text1"/>
          <w:lang w:val="es-MX"/>
        </w:rPr>
      </w:pPr>
    </w:p>
    <w:p w14:paraId="3409B7D6" w14:textId="77777777" w:rsidR="002D648D" w:rsidRDefault="002D648D" w:rsidP="00194D57">
      <w:pPr>
        <w:spacing w:after="0" w:line="240" w:lineRule="auto"/>
        <w:rPr>
          <w:rFonts w:ascii="Verdana" w:eastAsia="Geomanist Light" w:hAnsi="Verdana" w:cs="Arial"/>
          <w:color w:val="000000" w:themeColor="text1"/>
          <w:lang w:val="es-MX"/>
        </w:rPr>
      </w:pPr>
    </w:p>
    <w:p w14:paraId="322700F0" w14:textId="77777777" w:rsidR="002D648D" w:rsidRDefault="002D648D" w:rsidP="00194D57">
      <w:pPr>
        <w:spacing w:after="0" w:line="240" w:lineRule="auto"/>
        <w:rPr>
          <w:rFonts w:ascii="Verdana" w:eastAsia="Geomanist Light" w:hAnsi="Verdana" w:cs="Arial"/>
          <w:color w:val="000000" w:themeColor="text1"/>
          <w:lang w:val="es-MX"/>
        </w:rPr>
      </w:pPr>
    </w:p>
    <w:p w14:paraId="63722D9D" w14:textId="77777777" w:rsidR="002D648D" w:rsidRDefault="002D648D" w:rsidP="00194D57">
      <w:pPr>
        <w:spacing w:after="0" w:line="240" w:lineRule="auto"/>
        <w:rPr>
          <w:rFonts w:ascii="Verdana" w:eastAsia="Geomanist Light" w:hAnsi="Verdana" w:cs="Arial"/>
          <w:color w:val="000000" w:themeColor="text1"/>
          <w:lang w:val="es-MX"/>
        </w:rPr>
      </w:pPr>
    </w:p>
    <w:p w14:paraId="53BF72CD" w14:textId="77777777" w:rsidR="002D648D" w:rsidRDefault="002D648D" w:rsidP="00194D57">
      <w:pPr>
        <w:spacing w:after="0" w:line="240" w:lineRule="auto"/>
        <w:rPr>
          <w:rFonts w:ascii="Verdana" w:eastAsia="Geomanist Light" w:hAnsi="Verdana" w:cs="Arial"/>
          <w:color w:val="000000" w:themeColor="text1"/>
          <w:lang w:val="es-MX"/>
        </w:rPr>
      </w:pPr>
    </w:p>
    <w:p w14:paraId="185E1760" w14:textId="77777777" w:rsidR="002D648D" w:rsidRDefault="002D648D" w:rsidP="00194D57">
      <w:pPr>
        <w:spacing w:after="0" w:line="240" w:lineRule="auto"/>
        <w:rPr>
          <w:rFonts w:ascii="Verdana" w:eastAsia="Geomanist Light" w:hAnsi="Verdana" w:cs="Arial"/>
          <w:color w:val="000000" w:themeColor="text1"/>
          <w:lang w:val="es-MX"/>
        </w:rPr>
      </w:pPr>
    </w:p>
    <w:p w14:paraId="3C2FCE6F" w14:textId="77777777" w:rsidR="002D648D" w:rsidRDefault="002D648D" w:rsidP="00194D57">
      <w:pPr>
        <w:spacing w:after="0" w:line="240" w:lineRule="auto"/>
        <w:rPr>
          <w:rFonts w:ascii="Verdana" w:eastAsia="Geomanist Light" w:hAnsi="Verdana" w:cs="Arial"/>
          <w:color w:val="000000" w:themeColor="text1"/>
          <w:lang w:val="es-MX"/>
        </w:rPr>
      </w:pPr>
    </w:p>
    <w:p w14:paraId="153FD661" w14:textId="77777777" w:rsidR="002D648D" w:rsidRDefault="002D648D" w:rsidP="00194D57">
      <w:pPr>
        <w:spacing w:after="0" w:line="240" w:lineRule="auto"/>
        <w:rPr>
          <w:rFonts w:ascii="Verdana" w:eastAsia="Geomanist Light" w:hAnsi="Verdana" w:cs="Arial"/>
          <w:color w:val="000000" w:themeColor="text1"/>
          <w:lang w:val="es-MX"/>
        </w:rPr>
      </w:pPr>
    </w:p>
    <w:p w14:paraId="7A70C05F" w14:textId="77777777" w:rsidR="002D648D" w:rsidRDefault="002D648D" w:rsidP="00194D57">
      <w:pPr>
        <w:spacing w:after="0" w:line="240" w:lineRule="auto"/>
        <w:rPr>
          <w:rFonts w:ascii="Verdana" w:eastAsia="Geomanist Light" w:hAnsi="Verdana" w:cs="Arial"/>
          <w:color w:val="000000" w:themeColor="text1"/>
          <w:lang w:val="es-MX"/>
        </w:rPr>
      </w:pPr>
    </w:p>
    <w:p w14:paraId="1E8F51FD" w14:textId="77777777" w:rsidR="002D648D" w:rsidRDefault="002D648D" w:rsidP="00194D57">
      <w:pPr>
        <w:spacing w:after="0" w:line="240" w:lineRule="auto"/>
        <w:rPr>
          <w:rFonts w:ascii="Verdana" w:eastAsia="Geomanist Light" w:hAnsi="Verdana" w:cs="Arial"/>
          <w:color w:val="000000" w:themeColor="text1"/>
          <w:lang w:val="es-MX"/>
        </w:rPr>
      </w:pPr>
    </w:p>
    <w:p w14:paraId="3FA9C0E6" w14:textId="77777777" w:rsidR="002D648D" w:rsidRDefault="002D648D" w:rsidP="00194D57">
      <w:pPr>
        <w:spacing w:after="0" w:line="240" w:lineRule="auto"/>
        <w:rPr>
          <w:rFonts w:ascii="Verdana" w:eastAsia="Geomanist Light" w:hAnsi="Verdana" w:cs="Arial"/>
          <w:color w:val="000000" w:themeColor="text1"/>
          <w:lang w:val="es-MX"/>
        </w:rPr>
      </w:pPr>
    </w:p>
    <w:p w14:paraId="6700D6DA" w14:textId="711F0B97" w:rsidR="00871B59" w:rsidRPr="005917AA" w:rsidRDefault="00871B59" w:rsidP="00194D57">
      <w:pPr>
        <w:spacing w:after="0" w:line="240" w:lineRule="auto"/>
        <w:rPr>
          <w:rFonts w:ascii="Verdana" w:eastAsia="Geomanist Light" w:hAnsi="Verdana" w:cs="Arial"/>
          <w:color w:val="201F1E"/>
          <w:lang w:val="es-MX"/>
        </w:rPr>
      </w:pPr>
      <w:r w:rsidRPr="005917AA">
        <w:rPr>
          <w:rFonts w:ascii="Verdana" w:eastAsia="Geomanist Light" w:hAnsi="Verdana" w:cs="Arial"/>
          <w:color w:val="000000" w:themeColor="text1"/>
          <w:lang w:val="es-MX"/>
        </w:rPr>
        <w:lastRenderedPageBreak/>
        <w:t>Bogotá D.C., </w:t>
      </w:r>
      <w:r w:rsidRPr="005917AA">
        <w:rPr>
          <w:rFonts w:ascii="Verdana" w:eastAsia="Geomanist Light" w:hAnsi="Verdana" w:cs="Arial"/>
          <w:color w:val="201F1E"/>
          <w:lang w:val="es-MX"/>
        </w:rPr>
        <w:t>[Día] de [</w:t>
      </w:r>
      <w:proofErr w:type="spellStart"/>
      <w:r w:rsidRPr="005917AA">
        <w:rPr>
          <w:rFonts w:ascii="Verdana" w:eastAsia="Geomanist Light" w:hAnsi="Verdana" w:cs="Arial"/>
          <w:color w:val="201F1E"/>
          <w:lang w:val="es-MX"/>
        </w:rPr>
        <w:t>Mes.NombreCapitalizado</w:t>
      </w:r>
      <w:proofErr w:type="spellEnd"/>
      <w:r w:rsidRPr="005917AA">
        <w:rPr>
          <w:rFonts w:ascii="Verdana" w:eastAsia="Geomanist Light" w:hAnsi="Verdana" w:cs="Arial"/>
          <w:color w:val="201F1E"/>
          <w:lang w:val="es-MX"/>
        </w:rPr>
        <w:t>] de [Año]</w:t>
      </w:r>
    </w:p>
    <w:p w14:paraId="263F56BE" w14:textId="561E551A" w:rsidR="00871B59" w:rsidRPr="005917AA" w:rsidRDefault="00871B59" w:rsidP="00194D57">
      <w:pPr>
        <w:spacing w:after="0" w:line="240" w:lineRule="auto"/>
        <w:jc w:val="both"/>
        <w:rPr>
          <w:rFonts w:ascii="Verdana" w:eastAsia="Calibri" w:hAnsi="Verdana" w:cs="Arial"/>
          <w:color w:val="000000"/>
          <w:lang w:val="es-ES"/>
        </w:rPr>
      </w:pPr>
    </w:p>
    <w:p w14:paraId="66EF7FED" w14:textId="64B3AD18" w:rsidR="00871B59" w:rsidRPr="005917AA" w:rsidRDefault="000F7942" w:rsidP="00194D57">
      <w:pPr>
        <w:spacing w:after="0" w:line="240" w:lineRule="auto"/>
        <w:jc w:val="both"/>
        <w:rPr>
          <w:rFonts w:ascii="Verdana" w:eastAsia="Calibri" w:hAnsi="Verdana" w:cs="Arial"/>
          <w:lang w:val="es-ES" w:eastAsia="es-ES"/>
        </w:rPr>
      </w:pPr>
      <w:r w:rsidRPr="000F7942">
        <w:rPr>
          <w:rFonts w:ascii="Verdana" w:eastAsia="Calibri" w:hAnsi="Verdana" w:cs="Arial"/>
          <w:b/>
          <w:lang w:val="es-ES_tradnl" w:eastAsia="es-ES_tradnl"/>
        </w:rPr>
        <w:drawing>
          <wp:anchor distT="0" distB="0" distL="114300" distR="114300" simplePos="0" relativeHeight="251658240" behindDoc="0" locked="0" layoutInCell="1" allowOverlap="1" wp14:anchorId="6EF7959B" wp14:editId="5C046C13">
            <wp:simplePos x="0" y="0"/>
            <wp:positionH relativeFrom="margin">
              <wp:align>right</wp:align>
            </wp:positionH>
            <wp:positionV relativeFrom="paragraph">
              <wp:posOffset>6985</wp:posOffset>
            </wp:positionV>
            <wp:extent cx="2838450" cy="9220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38450" cy="922020"/>
                    </a:xfrm>
                    <a:prstGeom prst="rect">
                      <a:avLst/>
                    </a:prstGeom>
                  </pic:spPr>
                </pic:pic>
              </a:graphicData>
            </a:graphic>
            <wp14:sizeRelH relativeFrom="margin">
              <wp14:pctWidth>0</wp14:pctWidth>
            </wp14:sizeRelH>
            <wp14:sizeRelV relativeFrom="margin">
              <wp14:pctHeight>0</wp14:pctHeight>
            </wp14:sizeRelV>
          </wp:anchor>
        </w:drawing>
      </w:r>
      <w:r w:rsidR="00871B59" w:rsidRPr="005917AA">
        <w:rPr>
          <w:rFonts w:ascii="Verdana" w:eastAsia="Calibri" w:hAnsi="Verdana" w:cs="Arial"/>
          <w:lang w:val="es-ES" w:eastAsia="es-ES"/>
        </w:rPr>
        <w:t>Señor(a)</w:t>
      </w:r>
    </w:p>
    <w:p w14:paraId="0D0B9D30" w14:textId="02FAFF7C" w:rsidR="00871B59" w:rsidRPr="005917AA" w:rsidRDefault="00161392" w:rsidP="00194D57">
      <w:pPr>
        <w:spacing w:after="0" w:line="240" w:lineRule="auto"/>
        <w:rPr>
          <w:rFonts w:ascii="Verdana" w:eastAsia="Calibri" w:hAnsi="Verdana" w:cs="Arial"/>
          <w:b/>
          <w:lang w:val="es-ES_tradnl" w:eastAsia="es-ES_tradnl"/>
        </w:rPr>
      </w:pPr>
      <w:r w:rsidRPr="005917AA">
        <w:rPr>
          <w:rFonts w:ascii="Verdana" w:eastAsia="Calibri" w:hAnsi="Verdana" w:cs="Arial"/>
          <w:b/>
          <w:lang w:val="es-ES_tradnl" w:eastAsia="es-ES_tradnl"/>
        </w:rPr>
        <w:t>David de Jesús Vergara Garmendiz</w:t>
      </w:r>
      <w:r w:rsidR="000F7942">
        <w:rPr>
          <w:rFonts w:ascii="Verdana" w:eastAsia="Calibri" w:hAnsi="Verdana" w:cs="Arial"/>
          <w:b/>
          <w:lang w:val="es-ES_tradnl" w:eastAsia="es-ES_tradnl"/>
        </w:rPr>
        <w:t xml:space="preserve">  </w:t>
      </w:r>
    </w:p>
    <w:p w14:paraId="1199F81B" w14:textId="51CF0EAF" w:rsidR="00871B59" w:rsidRPr="005917AA" w:rsidRDefault="00161392" w:rsidP="00194D57">
      <w:pPr>
        <w:spacing w:after="0" w:line="240" w:lineRule="auto"/>
        <w:rPr>
          <w:rFonts w:ascii="Verdana" w:eastAsia="Calibri" w:hAnsi="Verdana" w:cs="Arial"/>
          <w:u w:val="single"/>
          <w:lang w:val="es-ES" w:eastAsia="es-ES"/>
        </w:rPr>
      </w:pPr>
      <w:r w:rsidRPr="005917AA">
        <w:rPr>
          <w:rFonts w:ascii="Verdana" w:eastAsia="Calibri" w:hAnsi="Verdana" w:cs="Arial"/>
          <w:u w:val="single"/>
          <w:lang w:val="es-ES" w:eastAsia="es-ES"/>
        </w:rPr>
        <w:t>vergaradavid1610@gmail.com</w:t>
      </w:r>
    </w:p>
    <w:p w14:paraId="5ACFEA17" w14:textId="7F397AAE" w:rsidR="00871B59" w:rsidRPr="005917AA" w:rsidRDefault="00161392" w:rsidP="00194D57">
      <w:pPr>
        <w:spacing w:after="0" w:line="240" w:lineRule="auto"/>
        <w:rPr>
          <w:rFonts w:ascii="Verdana" w:eastAsia="Calibri" w:hAnsi="Verdana" w:cs="Arial"/>
          <w:b/>
          <w:bCs/>
          <w:lang w:val="es-ES" w:eastAsia="es-ES"/>
        </w:rPr>
      </w:pPr>
      <w:r w:rsidRPr="005917AA">
        <w:rPr>
          <w:rFonts w:ascii="Verdana" w:eastAsia="Calibri" w:hAnsi="Verdana" w:cs="Arial"/>
          <w:lang w:val="es-ES" w:eastAsia="es-ES"/>
        </w:rPr>
        <w:t>Santa Marta</w:t>
      </w:r>
      <w:r w:rsidR="00871B59" w:rsidRPr="005917AA">
        <w:rPr>
          <w:rFonts w:ascii="Verdana" w:eastAsia="Calibri" w:hAnsi="Verdana" w:cs="Arial"/>
          <w:lang w:val="es-ES" w:eastAsia="es-ES"/>
        </w:rPr>
        <w:t xml:space="preserve">, </w:t>
      </w:r>
      <w:r w:rsidRPr="005917AA">
        <w:rPr>
          <w:rFonts w:ascii="Verdana" w:eastAsia="Calibri" w:hAnsi="Verdana" w:cs="Arial"/>
          <w:lang w:val="es-ES" w:eastAsia="es-ES"/>
        </w:rPr>
        <w:t>Magdalena</w:t>
      </w:r>
    </w:p>
    <w:p w14:paraId="75545CBA" w14:textId="77777777" w:rsidR="00871B59" w:rsidRPr="005917AA" w:rsidRDefault="00871B59" w:rsidP="00194D57">
      <w:pPr>
        <w:spacing w:after="0" w:line="240" w:lineRule="auto"/>
        <w:rPr>
          <w:rFonts w:ascii="Verdana" w:eastAsia="Calibri" w:hAnsi="Verdana" w:cs="Arial"/>
          <w:b/>
          <w:bCs/>
          <w:color w:val="000000"/>
          <w:lang w:val="es-ES_tradnl" w:eastAsia="es-ES_tradnl"/>
        </w:rPr>
      </w:pPr>
    </w:p>
    <w:p w14:paraId="40764CBF" w14:textId="7F5B32AC" w:rsidR="00871B59" w:rsidRDefault="00871B59" w:rsidP="00194D57">
      <w:pPr>
        <w:spacing w:after="0" w:line="240" w:lineRule="auto"/>
        <w:rPr>
          <w:rFonts w:ascii="Verdana" w:eastAsia="Calibri" w:hAnsi="Verdana" w:cs="Arial"/>
          <w:b/>
          <w:bCs/>
          <w:color w:val="000000"/>
          <w:lang w:val="es-ES_tradnl" w:eastAsia="es-ES_tradnl"/>
        </w:rPr>
      </w:pPr>
    </w:p>
    <w:p w14:paraId="68B3E359" w14:textId="56892EE8" w:rsidR="000F7942" w:rsidRDefault="000F7942" w:rsidP="00194D57">
      <w:pPr>
        <w:spacing w:after="0" w:line="240" w:lineRule="auto"/>
        <w:rPr>
          <w:rFonts w:ascii="Verdana" w:eastAsia="Calibri" w:hAnsi="Verdana" w:cs="Arial"/>
          <w:b/>
          <w:bCs/>
          <w:color w:val="000000"/>
          <w:lang w:val="es-ES_tradnl" w:eastAsia="es-ES_tradnl"/>
        </w:rPr>
      </w:pPr>
    </w:p>
    <w:p w14:paraId="67D959F6" w14:textId="77777777" w:rsidR="000F7942" w:rsidRPr="005917AA" w:rsidRDefault="000F7942" w:rsidP="00194D57">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71B59" w:rsidRPr="005917AA" w14:paraId="6AC1791A" w14:textId="77777777">
        <w:trPr>
          <w:trHeight w:val="884"/>
        </w:trPr>
        <w:tc>
          <w:tcPr>
            <w:tcW w:w="2689" w:type="dxa"/>
          </w:tcPr>
          <w:p w14:paraId="156B1AEC" w14:textId="77777777" w:rsidR="00871B59" w:rsidRPr="005917AA" w:rsidRDefault="00871B59" w:rsidP="00194D57">
            <w:pPr>
              <w:jc w:val="both"/>
              <w:rPr>
                <w:rFonts w:ascii="Verdana" w:eastAsia="Calibri" w:hAnsi="Verdana" w:cs="Arial"/>
                <w:b/>
                <w:bCs/>
                <w:color w:val="7030A0"/>
                <w:lang w:val="es-ES_tradnl" w:eastAsia="es-ES_tradnl"/>
              </w:rPr>
            </w:pPr>
          </w:p>
        </w:tc>
        <w:tc>
          <w:tcPr>
            <w:tcW w:w="6100" w:type="dxa"/>
          </w:tcPr>
          <w:p w14:paraId="48F499EA" w14:textId="16B69FD2" w:rsidR="00871B59" w:rsidRPr="005917AA" w:rsidRDefault="00871B59" w:rsidP="00194D57">
            <w:pPr>
              <w:jc w:val="both"/>
              <w:rPr>
                <w:rFonts w:ascii="Verdana" w:eastAsia="Calibri" w:hAnsi="Verdana" w:cs="Arial"/>
                <w:b/>
                <w:bCs/>
                <w:color w:val="7030A0"/>
                <w:lang w:val="es-ES" w:eastAsia="es-ES"/>
              </w:rPr>
            </w:pPr>
            <w:r w:rsidRPr="005917AA">
              <w:rPr>
                <w:rFonts w:ascii="Verdana" w:eastAsia="Calibri" w:hAnsi="Verdana" w:cs="Arial"/>
                <w:b/>
                <w:bCs/>
                <w:lang w:val="es-ES" w:eastAsia="es-ES"/>
              </w:rPr>
              <w:t xml:space="preserve">Concepto C- </w:t>
            </w:r>
            <w:r w:rsidR="00155A4A">
              <w:rPr>
                <w:rFonts w:ascii="Verdana" w:eastAsia="Calibri" w:hAnsi="Verdana" w:cs="Arial"/>
                <w:b/>
                <w:bCs/>
                <w:lang w:val="es-ES" w:eastAsia="es-ES"/>
              </w:rPr>
              <w:t>327</w:t>
            </w:r>
            <w:r w:rsidRPr="005917AA">
              <w:rPr>
                <w:rFonts w:ascii="Verdana" w:eastAsia="Calibri" w:hAnsi="Verdana" w:cs="Arial"/>
                <w:b/>
                <w:bCs/>
                <w:color w:val="7030A0"/>
                <w:lang w:val="es-ES" w:eastAsia="es-ES"/>
              </w:rPr>
              <w:t xml:space="preserve"> </w:t>
            </w:r>
            <w:r w:rsidRPr="005917AA">
              <w:rPr>
                <w:rFonts w:ascii="Verdana" w:eastAsia="Calibri" w:hAnsi="Verdana" w:cs="Arial"/>
                <w:b/>
                <w:bCs/>
                <w:lang w:val="es-ES" w:eastAsia="es-ES"/>
              </w:rPr>
              <w:t>de</w:t>
            </w:r>
            <w:r w:rsidRPr="005917AA">
              <w:rPr>
                <w:rFonts w:ascii="Verdana" w:eastAsia="Calibri" w:hAnsi="Verdana" w:cs="Arial"/>
                <w:b/>
                <w:bCs/>
                <w:color w:val="7030A0"/>
                <w:lang w:val="es-ES" w:eastAsia="es-ES"/>
              </w:rPr>
              <w:t xml:space="preserve"> </w:t>
            </w:r>
            <w:r w:rsidR="00155A4A" w:rsidRPr="00155A4A">
              <w:rPr>
                <w:rFonts w:ascii="Verdana" w:eastAsia="Calibri" w:hAnsi="Verdana" w:cs="Arial"/>
                <w:b/>
                <w:bCs/>
                <w:lang w:val="es-ES" w:eastAsia="es-ES"/>
              </w:rPr>
              <w:t>2024</w:t>
            </w:r>
          </w:p>
        </w:tc>
      </w:tr>
      <w:tr w:rsidR="00871B59" w:rsidRPr="005917AA" w14:paraId="0DD246A7" w14:textId="77777777">
        <w:trPr>
          <w:trHeight w:val="884"/>
        </w:trPr>
        <w:tc>
          <w:tcPr>
            <w:tcW w:w="2689" w:type="dxa"/>
          </w:tcPr>
          <w:p w14:paraId="1B4FC525" w14:textId="77777777" w:rsidR="00871B59" w:rsidRPr="005917AA" w:rsidRDefault="00871B59" w:rsidP="00194D57">
            <w:pPr>
              <w:jc w:val="both"/>
              <w:rPr>
                <w:rFonts w:ascii="Verdana" w:eastAsia="Calibri" w:hAnsi="Verdana" w:cs="Arial"/>
                <w:color w:val="000000"/>
                <w:lang w:val="es-ES_tradnl" w:eastAsia="es-ES_tradnl"/>
              </w:rPr>
            </w:pPr>
            <w:r w:rsidRPr="005917AA">
              <w:rPr>
                <w:rFonts w:ascii="Verdana" w:eastAsia="Calibri" w:hAnsi="Verdana" w:cs="Arial"/>
                <w:b/>
                <w:color w:val="000000"/>
                <w:lang w:val="es-ES_tradnl" w:eastAsia="es-ES_tradnl"/>
              </w:rPr>
              <w:t>Temas:</w:t>
            </w:r>
            <w:r w:rsidRPr="005917AA">
              <w:rPr>
                <w:rFonts w:ascii="Verdana" w:eastAsia="Calibri" w:hAnsi="Verdana" w:cs="Arial"/>
                <w:color w:val="000000"/>
                <w:lang w:val="es-ES_tradnl" w:eastAsia="es-ES_tradnl"/>
              </w:rPr>
              <w:t xml:space="preserve">                   </w:t>
            </w:r>
          </w:p>
        </w:tc>
        <w:tc>
          <w:tcPr>
            <w:tcW w:w="6100" w:type="dxa"/>
          </w:tcPr>
          <w:p w14:paraId="7ADD1096" w14:textId="42AEEF92" w:rsidR="00871B59" w:rsidRPr="00F649A2" w:rsidRDefault="00F649A2" w:rsidP="00194D57">
            <w:pPr>
              <w:contextualSpacing/>
              <w:jc w:val="both"/>
              <w:rPr>
                <w:rFonts w:ascii="Verdana" w:eastAsia="Yu Gothic UI Semibold" w:hAnsi="Verdana" w:cs="Arial"/>
                <w:color w:val="000000" w:themeColor="text1"/>
                <w:lang w:val="es-MX"/>
              </w:rPr>
            </w:pPr>
            <w:r w:rsidRPr="00F649A2">
              <w:rPr>
                <w:rFonts w:ascii="Verdana" w:eastAsia="Yu Gothic UI Semibold" w:hAnsi="Verdana" w:cs="Arial"/>
                <w:color w:val="000000" w:themeColor="text1"/>
                <w:lang w:val="es-MX"/>
              </w:rPr>
              <w:t xml:space="preserve">CONTRATOS DE PRESTACIÓN DE SERVICIOS – Generalidades – Requisitos y límites para su celebración / </w:t>
            </w:r>
            <w:r w:rsidRPr="00F649A2">
              <w:rPr>
                <w:rFonts w:ascii="Verdana" w:eastAsia="Times New Roman" w:hAnsi="Verdana" w:cs="Arial"/>
                <w:lang w:val="es-ES_tradnl" w:eastAsia="es-ES_tradnl"/>
              </w:rPr>
              <w:t xml:space="preserve">CONTRATOS DE PRESTACIÓN DE SERVICIOS PROFESIONALES Y DE APOYO A LA GESTIÓN </w:t>
            </w:r>
            <w:r w:rsidRPr="00F649A2">
              <w:rPr>
                <w:rFonts w:ascii="Verdana" w:eastAsia="Yu Gothic UI Semibold" w:hAnsi="Verdana" w:cs="Arial"/>
                <w:color w:val="000000" w:themeColor="text1"/>
                <w:lang w:val="es-MX"/>
              </w:rPr>
              <w:t xml:space="preserve">– </w:t>
            </w:r>
            <w:r w:rsidRPr="00F649A2">
              <w:rPr>
                <w:rFonts w:ascii="Verdana" w:eastAsia="Times New Roman" w:hAnsi="Verdana" w:cs="Arial"/>
                <w:color w:val="000000"/>
                <w:lang w:val="es-ES_tradnl" w:eastAsia="es-ES_tradnl"/>
              </w:rPr>
              <w:t xml:space="preserve">Posibilidad de celebrar varios contratos con la misma entidad estatal de forma simultánea / </w:t>
            </w:r>
            <w:r w:rsidR="002D648D" w:rsidRPr="00F649A2">
              <w:rPr>
                <w:rFonts w:ascii="Verdana" w:hAnsi="Verdana" w:cs="Arial"/>
                <w:lang w:val="es-ES" w:eastAsia="es-ES"/>
              </w:rPr>
              <w:t>CONTRATOS DE PRESTACIÓN DE SERVICIOS – Simultáneos</w:t>
            </w:r>
          </w:p>
        </w:tc>
      </w:tr>
      <w:tr w:rsidR="00871B59" w:rsidRPr="005917AA" w14:paraId="0A874006" w14:textId="77777777">
        <w:tc>
          <w:tcPr>
            <w:tcW w:w="2689" w:type="dxa"/>
          </w:tcPr>
          <w:p w14:paraId="56ED2765" w14:textId="77777777" w:rsidR="00871B59" w:rsidRPr="005917AA" w:rsidRDefault="00871B59" w:rsidP="00194D57">
            <w:pPr>
              <w:jc w:val="both"/>
              <w:rPr>
                <w:rFonts w:ascii="Verdana" w:eastAsia="Calibri" w:hAnsi="Verdana" w:cs="Arial"/>
                <w:b/>
                <w:lang w:val="es-ES_tradnl" w:eastAsia="es-ES_tradnl"/>
              </w:rPr>
            </w:pPr>
            <w:r w:rsidRPr="005917AA">
              <w:rPr>
                <w:rFonts w:ascii="Verdana" w:eastAsia="Calibri" w:hAnsi="Verdana" w:cs="Arial"/>
                <w:b/>
                <w:lang w:val="es-ES_tradnl" w:eastAsia="es-ES_tradnl"/>
              </w:rPr>
              <w:t>Radicación:</w:t>
            </w:r>
            <w:r w:rsidRPr="005917AA">
              <w:rPr>
                <w:rFonts w:ascii="Verdana" w:eastAsia="Calibri" w:hAnsi="Verdana" w:cs="Arial"/>
                <w:lang w:val="es-ES_tradnl" w:eastAsia="es-ES_tradnl"/>
              </w:rPr>
              <w:t xml:space="preserve">               </w:t>
            </w:r>
          </w:p>
        </w:tc>
        <w:tc>
          <w:tcPr>
            <w:tcW w:w="6100" w:type="dxa"/>
          </w:tcPr>
          <w:p w14:paraId="630D2668" w14:textId="3564047C" w:rsidR="00871B59" w:rsidRPr="005917AA" w:rsidRDefault="00871B59" w:rsidP="00194D57">
            <w:pPr>
              <w:jc w:val="both"/>
              <w:rPr>
                <w:rFonts w:ascii="Verdana" w:eastAsia="Calibri" w:hAnsi="Verdana" w:cs="Arial"/>
                <w:lang w:val="es-ES_tradnl" w:eastAsia="es-ES_tradnl"/>
              </w:rPr>
            </w:pPr>
            <w:r w:rsidRPr="005917AA">
              <w:rPr>
                <w:rFonts w:ascii="Verdana" w:eastAsia="Calibri" w:hAnsi="Verdana" w:cs="Arial"/>
                <w:lang w:val="es-ES_tradnl" w:eastAsia="es-ES_tradnl"/>
              </w:rPr>
              <w:t xml:space="preserve">Respuesta a consulta con radicado No. </w:t>
            </w:r>
            <w:r w:rsidR="00161392" w:rsidRPr="005917AA">
              <w:rPr>
                <w:rFonts w:ascii="Verdana" w:eastAsia="Calibri" w:hAnsi="Verdana" w:cs="Arial"/>
                <w:lang w:val="es-ES_tradnl" w:eastAsia="es-ES_tradnl"/>
              </w:rPr>
              <w:t>P20240711007092</w:t>
            </w:r>
          </w:p>
        </w:tc>
      </w:tr>
    </w:tbl>
    <w:p w14:paraId="01AFCA4D" w14:textId="77777777" w:rsidR="00871B59" w:rsidRPr="005917AA" w:rsidRDefault="00871B59" w:rsidP="00194D57">
      <w:pPr>
        <w:spacing w:after="0" w:line="240" w:lineRule="auto"/>
        <w:jc w:val="both"/>
        <w:rPr>
          <w:rFonts w:ascii="Verdana" w:eastAsia="Calibri" w:hAnsi="Verdana" w:cs="Arial"/>
          <w:color w:val="000000"/>
          <w:lang w:val="es-ES_tradnl" w:eastAsia="es-ES_tradnl"/>
        </w:rPr>
      </w:pPr>
    </w:p>
    <w:p w14:paraId="4FF08E37" w14:textId="77777777" w:rsidR="00871B59" w:rsidRPr="005917AA" w:rsidRDefault="00871B59" w:rsidP="00194D57">
      <w:pPr>
        <w:spacing w:after="0" w:line="240" w:lineRule="auto"/>
        <w:jc w:val="both"/>
        <w:rPr>
          <w:rFonts w:ascii="Verdana" w:eastAsia="Calibri" w:hAnsi="Verdana" w:cs="Arial"/>
          <w:color w:val="000000"/>
          <w:lang w:val="es-ES_tradnl" w:eastAsia="es-ES_tradnl"/>
        </w:rPr>
      </w:pPr>
    </w:p>
    <w:p w14:paraId="5A8CAE32" w14:textId="5CF96577" w:rsidR="00871B59" w:rsidRPr="005917AA" w:rsidRDefault="00871B59" w:rsidP="00194D57">
      <w:pPr>
        <w:spacing w:after="0" w:line="240" w:lineRule="auto"/>
        <w:jc w:val="both"/>
        <w:rPr>
          <w:rFonts w:ascii="Verdana" w:eastAsia="Calibri" w:hAnsi="Verdana" w:cs="Arial"/>
          <w:lang w:val="es-ES" w:eastAsia="es-ES"/>
        </w:rPr>
      </w:pPr>
      <w:r w:rsidRPr="005917AA">
        <w:rPr>
          <w:rFonts w:ascii="Verdana" w:eastAsia="Calibri" w:hAnsi="Verdana" w:cs="Arial"/>
          <w:lang w:val="es-ES" w:eastAsia="es-ES"/>
        </w:rPr>
        <w:t xml:space="preserve">Estimado señor(a) </w:t>
      </w:r>
      <w:r w:rsidR="00161392" w:rsidRPr="005917AA">
        <w:rPr>
          <w:rFonts w:ascii="Verdana" w:eastAsia="Calibri" w:hAnsi="Verdana" w:cs="Arial"/>
          <w:lang w:val="es-ES" w:eastAsia="es-ES"/>
        </w:rPr>
        <w:t>Vergara</w:t>
      </w:r>
      <w:r w:rsidRPr="005917AA">
        <w:rPr>
          <w:rFonts w:ascii="Verdana" w:eastAsia="Calibri" w:hAnsi="Verdana" w:cs="Arial"/>
          <w:lang w:val="es-ES" w:eastAsia="es-ES"/>
        </w:rPr>
        <w:t xml:space="preserve">: </w:t>
      </w:r>
    </w:p>
    <w:p w14:paraId="62039951" w14:textId="77777777" w:rsidR="00871B59" w:rsidRPr="005917AA" w:rsidRDefault="00871B59" w:rsidP="00194D57">
      <w:pPr>
        <w:tabs>
          <w:tab w:val="left" w:pos="3768"/>
        </w:tabs>
        <w:spacing w:after="0" w:line="240" w:lineRule="auto"/>
        <w:jc w:val="both"/>
        <w:rPr>
          <w:rFonts w:ascii="Verdana" w:eastAsia="Calibri" w:hAnsi="Verdana" w:cs="Arial"/>
          <w:lang w:val="es-ES" w:eastAsia="es-ES"/>
        </w:rPr>
      </w:pPr>
      <w:r w:rsidRPr="005917AA">
        <w:rPr>
          <w:rFonts w:ascii="Verdana" w:eastAsia="Calibri" w:hAnsi="Verdana" w:cs="Arial"/>
          <w:lang w:val="es-ES" w:eastAsia="es-ES"/>
        </w:rPr>
        <w:tab/>
      </w:r>
    </w:p>
    <w:p w14:paraId="3F1D9A82" w14:textId="6D01A8F8" w:rsidR="00871B59" w:rsidRPr="005917AA" w:rsidRDefault="00871B59" w:rsidP="00194D57">
      <w:pPr>
        <w:spacing w:after="0" w:line="240" w:lineRule="auto"/>
        <w:jc w:val="both"/>
        <w:rPr>
          <w:rFonts w:ascii="Verdana" w:eastAsia="Calibri" w:hAnsi="Verdana" w:cs="Arial"/>
          <w:lang w:val="es-ES" w:eastAsia="es-ES"/>
        </w:rPr>
      </w:pPr>
      <w:r w:rsidRPr="005917AA">
        <w:rPr>
          <w:rFonts w:ascii="Verdana" w:eastAsia="Calibri" w:hAnsi="Verdana" w:cs="Arial"/>
          <w:lang w:val="es-ES" w:eastAsia="es-ES"/>
        </w:rPr>
        <w:t>En ejercicio de la competencia otorgada por los artículos 3, numeral 5º, y 11, numeral 8º, del Decreto Ley 4170 de 2011,</w:t>
      </w:r>
      <w:r w:rsidRPr="005917AA">
        <w:rPr>
          <w:rFonts w:ascii="Verdana" w:eastAsia="Arial MT" w:hAnsi="Verdana" w:cs="Arial MT"/>
          <w:lang w:val="es-ES" w:eastAsia="es-ES"/>
        </w:rPr>
        <w:t xml:space="preserve"> </w:t>
      </w:r>
      <w:r w:rsidRPr="005917AA">
        <w:rPr>
          <w:rFonts w:ascii="Verdana" w:hAnsi="Verdana" w:cs="Arial"/>
        </w:rPr>
        <w:t xml:space="preserve">así como lo establecido en el artículo 4 de la Resolución 1707 de 2018 expedida por esta Entidad, </w:t>
      </w:r>
      <w:r w:rsidRPr="005917AA">
        <w:rPr>
          <w:rFonts w:ascii="Verdana" w:eastAsia="Calibri" w:hAnsi="Verdana" w:cs="Arial"/>
          <w:lang w:val="es-ES" w:eastAsia="es-ES"/>
        </w:rPr>
        <w:t xml:space="preserve">la Agencia Nacional de Contratación Pública – Colombia Compra Eficiente– responde su solicitud de consulta de </w:t>
      </w:r>
      <w:r w:rsidR="00303EFF">
        <w:rPr>
          <w:rFonts w:ascii="Verdana" w:eastAsia="Calibri" w:hAnsi="Verdana" w:cs="Arial"/>
          <w:lang w:val="es-ES" w:eastAsia="es-ES"/>
        </w:rPr>
        <w:t xml:space="preserve">11 de julio de 2024 en la </w:t>
      </w:r>
      <w:r w:rsidRPr="005917AA">
        <w:rPr>
          <w:rFonts w:ascii="Verdana" w:eastAsia="Calibri" w:hAnsi="Verdana" w:cs="Arial"/>
          <w:lang w:val="es-ES" w:eastAsia="es-ES"/>
        </w:rPr>
        <w:t xml:space="preserve">cual manifiesta lo siguiente: </w:t>
      </w:r>
    </w:p>
    <w:p w14:paraId="6DBD3E26" w14:textId="77777777" w:rsidR="00871B59" w:rsidRPr="005917AA" w:rsidRDefault="00871B59" w:rsidP="00194D57">
      <w:pPr>
        <w:pStyle w:val="Prrafodelista"/>
        <w:tabs>
          <w:tab w:val="left" w:pos="142"/>
          <w:tab w:val="left" w:pos="284"/>
        </w:tabs>
        <w:spacing w:line="240" w:lineRule="auto"/>
        <w:ind w:left="0"/>
        <w:jc w:val="both"/>
        <w:rPr>
          <w:rFonts w:ascii="Verdana" w:eastAsia="Century Gothic" w:hAnsi="Verdana" w:cs="Century Gothic"/>
          <w:b/>
          <w:bCs/>
          <w:lang w:val="es-ES"/>
        </w:rPr>
      </w:pPr>
    </w:p>
    <w:p w14:paraId="1006183E" w14:textId="32EF6A0C" w:rsidR="00871B59" w:rsidRPr="00883436" w:rsidRDefault="00871B59" w:rsidP="00194D57">
      <w:pPr>
        <w:spacing w:after="0" w:line="240" w:lineRule="auto"/>
        <w:ind w:left="709" w:right="709"/>
        <w:jc w:val="both"/>
        <w:rPr>
          <w:rFonts w:ascii="Verdana" w:eastAsia="Century Gothic" w:hAnsi="Verdana" w:cs="Century Gothic"/>
          <w:i/>
          <w:iCs/>
          <w:sz w:val="20"/>
          <w:szCs w:val="20"/>
          <w:lang w:val="es-ES"/>
        </w:rPr>
      </w:pPr>
      <w:bookmarkStart w:id="2" w:name="_Hlk95313578"/>
      <w:r w:rsidRPr="00883436">
        <w:rPr>
          <w:rFonts w:ascii="Verdana" w:eastAsia="Century Gothic" w:hAnsi="Verdana" w:cs="Century Gothic"/>
          <w:i/>
          <w:iCs/>
          <w:sz w:val="20"/>
          <w:szCs w:val="20"/>
          <w:lang w:val="es-ES"/>
        </w:rPr>
        <w:t>“</w:t>
      </w:r>
      <w:r w:rsidR="00161392" w:rsidRPr="00883436">
        <w:rPr>
          <w:rFonts w:ascii="Verdana" w:hAnsi="Verdana"/>
          <w:i/>
          <w:iCs/>
          <w:sz w:val="20"/>
          <w:szCs w:val="20"/>
        </w:rPr>
        <w:t>¿puede una persona natural tener dos contratos de prestación de servicios al mismo tiempo en la misma entidad del estado con el mismo supervisor? ¿puede una persona natural tener un contrato de prestación de servicio sin haber finalizado en una entidad estatal y firmar otro contrato con el mismo objeto contractual y el mismo supervisor</w:t>
      </w:r>
      <w:r w:rsidR="00883436" w:rsidRPr="00883436">
        <w:rPr>
          <w:rStyle w:val="normaltextrun"/>
          <w:rFonts w:ascii="Verdana" w:hAnsi="Verdana" w:cs="Arial"/>
          <w:i/>
          <w:iCs/>
          <w:sz w:val="20"/>
          <w:szCs w:val="20"/>
          <w:shd w:val="clear" w:color="auto" w:fill="FFFFFF"/>
          <w:lang w:val="es-ES"/>
        </w:rPr>
        <w:t>?</w:t>
      </w:r>
      <w:r w:rsidRPr="00883436">
        <w:rPr>
          <w:rFonts w:ascii="Verdana" w:eastAsia="Century Gothic" w:hAnsi="Verdana" w:cs="Century Gothic"/>
          <w:i/>
          <w:iCs/>
          <w:sz w:val="20"/>
          <w:szCs w:val="20"/>
          <w:lang w:val="es-ES"/>
        </w:rPr>
        <w:t>”</w:t>
      </w:r>
      <w:bookmarkEnd w:id="2"/>
      <w:r w:rsidRPr="00883436">
        <w:rPr>
          <w:rFonts w:ascii="Verdana" w:eastAsia="Century Gothic" w:hAnsi="Verdana" w:cs="Century Gothic"/>
          <w:i/>
          <w:iCs/>
          <w:sz w:val="20"/>
          <w:szCs w:val="20"/>
          <w:lang w:val="es-ES"/>
        </w:rPr>
        <w:t>.</w:t>
      </w:r>
    </w:p>
    <w:p w14:paraId="54DCAD4E" w14:textId="77777777" w:rsidR="00871B59" w:rsidRPr="005917AA" w:rsidRDefault="00871B59" w:rsidP="00194D57">
      <w:pPr>
        <w:pStyle w:val="Prrafodelista"/>
        <w:tabs>
          <w:tab w:val="left" w:pos="142"/>
          <w:tab w:val="left" w:pos="284"/>
        </w:tabs>
        <w:spacing w:line="240" w:lineRule="auto"/>
        <w:ind w:left="0"/>
        <w:jc w:val="both"/>
        <w:rPr>
          <w:rFonts w:ascii="Verdana" w:eastAsia="Century Gothic" w:hAnsi="Verdana" w:cs="Century Gothic"/>
          <w:b/>
          <w:bCs/>
          <w:lang w:val="es-ES"/>
        </w:rPr>
      </w:pPr>
    </w:p>
    <w:p w14:paraId="30F17EAD" w14:textId="77777777" w:rsidR="00871B59" w:rsidRPr="005917AA" w:rsidRDefault="00871B59" w:rsidP="00194D57">
      <w:pPr>
        <w:spacing w:after="120" w:line="240" w:lineRule="auto"/>
        <w:ind w:firstLine="709"/>
        <w:jc w:val="both"/>
        <w:rPr>
          <w:rFonts w:ascii="Verdana" w:eastAsia="Calibri" w:hAnsi="Verdana" w:cs="Arial"/>
          <w:color w:val="000000"/>
          <w:lang w:val="es-ES_tradnl" w:eastAsia="es-ES_tradnl"/>
        </w:rPr>
      </w:pPr>
      <w:r w:rsidRPr="005917AA">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17AA">
        <w:rPr>
          <w:rFonts w:ascii="Verdana" w:eastAsia="Calibri" w:hAnsi="Verdana" w:cs="Arial"/>
          <w:color w:val="000000"/>
          <w:lang w:val="es-ES_tradnl" w:eastAsia="es-ES_tradnl"/>
        </w:rPr>
        <w:tab/>
      </w:r>
    </w:p>
    <w:p w14:paraId="3B95778F" w14:textId="77777777" w:rsidR="00871B59" w:rsidRPr="005917AA" w:rsidRDefault="00871B59" w:rsidP="00194D57">
      <w:pPr>
        <w:spacing w:after="0" w:line="240" w:lineRule="auto"/>
        <w:ind w:firstLine="709"/>
        <w:jc w:val="both"/>
        <w:rPr>
          <w:rFonts w:ascii="Verdana" w:eastAsia="Calibri" w:hAnsi="Verdana" w:cs="Arial"/>
          <w:color w:val="000000"/>
          <w:lang w:val="es-ES" w:eastAsia="es-ES"/>
        </w:rPr>
      </w:pPr>
      <w:r w:rsidRPr="005917AA">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w:t>
      </w:r>
      <w:r w:rsidRPr="005917AA">
        <w:rPr>
          <w:rFonts w:ascii="Verdana" w:eastAsia="Calibri" w:hAnsi="Verdana" w:cs="Arial"/>
          <w:lang w:val="es-ES" w:eastAsia="es-ES"/>
        </w:rPr>
        <w:t xml:space="preserve">ionadas con el (los) problema(s) jurídico(s) de su consulta. </w:t>
      </w:r>
    </w:p>
    <w:p w14:paraId="70187214" w14:textId="77777777" w:rsidR="00871B59" w:rsidRPr="00194D57" w:rsidRDefault="00871B59" w:rsidP="00194D57">
      <w:pPr>
        <w:spacing w:after="0" w:line="240" w:lineRule="auto"/>
        <w:ind w:firstLine="709"/>
        <w:jc w:val="both"/>
        <w:rPr>
          <w:rFonts w:ascii="Verdana" w:eastAsia="Calibri" w:hAnsi="Verdana" w:cs="Arial"/>
          <w:color w:val="000000"/>
          <w:sz w:val="20"/>
          <w:szCs w:val="20"/>
          <w:lang w:val="es-ES" w:eastAsia="es-ES"/>
        </w:rPr>
      </w:pPr>
    </w:p>
    <w:p w14:paraId="74DD4DE4" w14:textId="77777777" w:rsidR="00871B59" w:rsidRPr="002D648D" w:rsidRDefault="00871B59" w:rsidP="00194D57">
      <w:pPr>
        <w:pStyle w:val="Prrafodelista"/>
        <w:numPr>
          <w:ilvl w:val="0"/>
          <w:numId w:val="4"/>
        </w:numPr>
        <w:tabs>
          <w:tab w:val="left" w:pos="142"/>
          <w:tab w:val="left" w:pos="284"/>
        </w:tabs>
        <w:spacing w:after="0" w:line="240" w:lineRule="auto"/>
        <w:ind w:left="0" w:firstLine="0"/>
        <w:jc w:val="both"/>
        <w:rPr>
          <w:rFonts w:ascii="Verdana" w:eastAsia="Century Gothic" w:hAnsi="Verdana" w:cs="Century Gothic"/>
          <w:b/>
          <w:bCs/>
          <w:lang w:val="es-ES"/>
        </w:rPr>
      </w:pPr>
      <w:r w:rsidRPr="002D648D">
        <w:rPr>
          <w:rFonts w:ascii="Verdana" w:eastAsia="Century Gothic" w:hAnsi="Verdana" w:cs="Century Gothic"/>
          <w:b/>
          <w:bCs/>
          <w:lang w:val="es-ES"/>
        </w:rPr>
        <w:t>Problema planteado:</w:t>
      </w:r>
    </w:p>
    <w:p w14:paraId="690221EE" w14:textId="77777777" w:rsidR="00871B59" w:rsidRPr="002D648D" w:rsidRDefault="00871B59" w:rsidP="00194D57">
      <w:pPr>
        <w:tabs>
          <w:tab w:val="left" w:pos="426"/>
        </w:tabs>
        <w:spacing w:after="0" w:line="240" w:lineRule="auto"/>
        <w:jc w:val="both"/>
        <w:rPr>
          <w:rFonts w:ascii="Verdana" w:eastAsia="Century Gothic" w:hAnsi="Verdana" w:cs="Century Gothic"/>
          <w:lang w:val="es-ES"/>
        </w:rPr>
      </w:pPr>
    </w:p>
    <w:p w14:paraId="291990BE" w14:textId="4BB3AF47" w:rsidR="009060B6" w:rsidRPr="002D648D" w:rsidRDefault="00871B59" w:rsidP="00194D57">
      <w:pPr>
        <w:spacing w:after="0" w:line="240" w:lineRule="auto"/>
        <w:jc w:val="both"/>
        <w:rPr>
          <w:rFonts w:ascii="Verdana" w:eastAsia="Century Gothic" w:hAnsi="Verdana" w:cs="Century Gothic"/>
        </w:rPr>
      </w:pPr>
      <w:r w:rsidRPr="002D648D">
        <w:rPr>
          <w:rFonts w:ascii="Verdana" w:eastAsia="Century Gothic" w:hAnsi="Verdana" w:cs="Century Gothic"/>
        </w:rPr>
        <w:t xml:space="preserve">De acuerdo con el contenido de su solicitud, esta Agencia resolverá el (los) siguiente(s) </w:t>
      </w:r>
      <w:r w:rsidR="00883436" w:rsidRPr="002D648D">
        <w:rPr>
          <w:rFonts w:ascii="Verdana" w:eastAsia="Century Gothic" w:hAnsi="Verdana" w:cs="Century Gothic"/>
        </w:rPr>
        <w:t>problemas jurídicos</w:t>
      </w:r>
      <w:r w:rsidRPr="002D648D">
        <w:rPr>
          <w:rFonts w:ascii="Verdana" w:eastAsia="Century Gothic" w:hAnsi="Verdana" w:cs="Century Gothic"/>
        </w:rPr>
        <w:t xml:space="preserve">: </w:t>
      </w:r>
      <w:r w:rsidR="00A46404">
        <w:rPr>
          <w:rFonts w:ascii="Verdana" w:eastAsia="Century Gothic" w:hAnsi="Verdana" w:cs="Century Gothic"/>
        </w:rPr>
        <w:t>¿</w:t>
      </w:r>
      <w:r w:rsidR="00B14A36">
        <w:rPr>
          <w:rFonts w:ascii="Verdana" w:eastAsia="Century Gothic" w:hAnsi="Verdana" w:cs="Century Gothic"/>
        </w:rPr>
        <w:t>Las personas naturales pueden</w:t>
      </w:r>
      <w:r w:rsidR="00A46404">
        <w:rPr>
          <w:rFonts w:ascii="Verdana" w:eastAsia="Century Gothic" w:hAnsi="Verdana" w:cs="Century Gothic"/>
        </w:rPr>
        <w:t xml:space="preserve"> </w:t>
      </w:r>
      <w:r w:rsidR="00B14A36">
        <w:rPr>
          <w:rFonts w:ascii="Verdana" w:eastAsia="Century Gothic" w:hAnsi="Verdana" w:cs="Century Gothic"/>
        </w:rPr>
        <w:t>celebrar</w:t>
      </w:r>
      <w:r w:rsidR="00A46404">
        <w:rPr>
          <w:rFonts w:ascii="Verdana" w:eastAsia="Century Gothic" w:hAnsi="Verdana" w:cs="Century Gothic"/>
        </w:rPr>
        <w:t xml:space="preserve"> simultáneamente</w:t>
      </w:r>
      <w:r w:rsidR="00982E66">
        <w:rPr>
          <w:rFonts w:ascii="Verdana" w:eastAsia="Century Gothic" w:hAnsi="Verdana" w:cs="Century Gothic"/>
        </w:rPr>
        <w:t xml:space="preserve"> varios contratos de prestación de servicios con </w:t>
      </w:r>
      <w:r w:rsidR="00B14A36">
        <w:rPr>
          <w:rFonts w:ascii="Verdana" w:eastAsia="Century Gothic" w:hAnsi="Verdana" w:cs="Century Gothic"/>
        </w:rPr>
        <w:t>la</w:t>
      </w:r>
      <w:r w:rsidR="00982E66">
        <w:rPr>
          <w:rFonts w:ascii="Verdana" w:eastAsia="Century Gothic" w:hAnsi="Verdana" w:cs="Century Gothic"/>
        </w:rPr>
        <w:t xml:space="preserve"> misma entidad </w:t>
      </w:r>
      <w:r w:rsidR="009060B6">
        <w:rPr>
          <w:rFonts w:ascii="Verdana" w:eastAsia="Century Gothic" w:hAnsi="Verdana" w:cs="Century Gothic"/>
        </w:rPr>
        <w:t>pública</w:t>
      </w:r>
      <w:r w:rsidR="00B14A36">
        <w:rPr>
          <w:rFonts w:ascii="Verdana" w:eastAsia="Century Gothic" w:hAnsi="Verdana" w:cs="Century Gothic"/>
        </w:rPr>
        <w:t>;</w:t>
      </w:r>
      <w:r w:rsidR="009060B6">
        <w:rPr>
          <w:rFonts w:ascii="Verdana" w:eastAsia="Century Gothic" w:hAnsi="Verdana" w:cs="Century Gothic"/>
        </w:rPr>
        <w:t xml:space="preserve"> aunque</w:t>
      </w:r>
      <w:r w:rsidR="00982E66">
        <w:rPr>
          <w:rFonts w:ascii="Verdana" w:eastAsia="Century Gothic" w:hAnsi="Verdana" w:cs="Century Gothic"/>
        </w:rPr>
        <w:t xml:space="preserve"> tengan el mismo objeto contractual?</w:t>
      </w:r>
    </w:p>
    <w:p w14:paraId="57640A16" w14:textId="77777777" w:rsidR="00871B59" w:rsidRPr="00194D57" w:rsidRDefault="00871B59" w:rsidP="00194D57">
      <w:pPr>
        <w:spacing w:after="0" w:line="240" w:lineRule="auto"/>
        <w:jc w:val="both"/>
        <w:rPr>
          <w:rFonts w:ascii="Verdana" w:eastAsia="Calibri" w:hAnsi="Verdana" w:cs="Arial"/>
          <w:color w:val="7030A0"/>
          <w:sz w:val="20"/>
          <w:szCs w:val="20"/>
          <w:lang w:val="es-ES"/>
        </w:rPr>
      </w:pPr>
    </w:p>
    <w:p w14:paraId="33E3D3F8" w14:textId="77777777" w:rsidR="00871B59" w:rsidRPr="00B14A36" w:rsidRDefault="00871B59" w:rsidP="00194D57">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lang w:val="es-ES"/>
        </w:rPr>
      </w:pPr>
      <w:r w:rsidRPr="00B14A36">
        <w:rPr>
          <w:rFonts w:ascii="Verdana" w:eastAsia="Century Gothic" w:hAnsi="Verdana" w:cs="Century Gothic"/>
          <w:b/>
          <w:bCs/>
          <w:lang w:val="es-ES"/>
        </w:rPr>
        <w:t>Respuesta:</w:t>
      </w:r>
    </w:p>
    <w:p w14:paraId="4647B31A" w14:textId="77777777" w:rsidR="00871B59" w:rsidRPr="00194D57" w:rsidRDefault="00871B59" w:rsidP="00194D57">
      <w:pPr>
        <w:tabs>
          <w:tab w:val="left" w:pos="142"/>
          <w:tab w:val="left" w:pos="284"/>
        </w:tabs>
        <w:spacing w:after="0" w:line="240" w:lineRule="auto"/>
        <w:jc w:val="both"/>
        <w:rPr>
          <w:rFonts w:ascii="Verdana" w:eastAsia="Century Gothic" w:hAnsi="Verdana" w:cs="Century Gothic"/>
          <w:b/>
          <w:bCs/>
          <w:sz w:val="20"/>
          <w:szCs w:val="20"/>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194D57" w14:paraId="14984B9D" w14:textId="77777777">
        <w:tc>
          <w:tcPr>
            <w:tcW w:w="8828" w:type="dxa"/>
            <w:shd w:val="clear" w:color="auto" w:fill="auto"/>
          </w:tcPr>
          <w:p w14:paraId="62BADBED" w14:textId="5F736C8B" w:rsidR="0010022C" w:rsidRPr="00250FB3" w:rsidRDefault="00761F08" w:rsidP="00194D57">
            <w:pPr>
              <w:jc w:val="both"/>
              <w:rPr>
                <w:rFonts w:ascii="Verdana" w:hAnsi="Verdana" w:cs="Arial"/>
              </w:rPr>
            </w:pPr>
            <w:r w:rsidRPr="00094ACE">
              <w:rPr>
                <w:rFonts w:ascii="Verdana" w:eastAsia="Calibri" w:hAnsi="Verdana" w:cs="Arial"/>
                <w:lang w:val="es-ES"/>
              </w:rPr>
              <w:t xml:space="preserve">Es viable </w:t>
            </w:r>
            <w:r w:rsidR="0010022C" w:rsidRPr="00250FB3">
              <w:rPr>
                <w:rFonts w:ascii="Verdana" w:eastAsia="Calibri" w:hAnsi="Verdana" w:cs="Arial"/>
                <w:lang w:val="es-ES"/>
              </w:rPr>
              <w:t xml:space="preserve">afirmar </w:t>
            </w:r>
            <w:r w:rsidR="0010022C" w:rsidRPr="00250FB3">
              <w:rPr>
                <w:rFonts w:ascii="Verdana" w:hAnsi="Verdana" w:cs="Arial"/>
              </w:rPr>
              <w:t>que no existe prohibición legal o constitucional que limite el número de contratos de prestación de servicios que una persona puede celebrar o ejecutar de manera simultánea. En ese sentido, no existiendo ninguna limitación al respecto, una persona puede celebrar y ejecutar tantos contratos de prestación de servicios como le sea posible ejecutar y cumplir a cabalidad</w:t>
            </w:r>
            <w:r w:rsidR="009060B6" w:rsidRPr="00250FB3">
              <w:rPr>
                <w:rFonts w:ascii="Verdana" w:hAnsi="Verdana" w:cs="Arial"/>
              </w:rPr>
              <w:t>.</w:t>
            </w:r>
          </w:p>
          <w:p w14:paraId="0DF8ACF4" w14:textId="180FBA0D" w:rsidR="00761F08" w:rsidRPr="00250FB3" w:rsidRDefault="00761F08" w:rsidP="00194D57">
            <w:pPr>
              <w:jc w:val="both"/>
              <w:rPr>
                <w:rFonts w:ascii="Verdana" w:hAnsi="Verdana" w:cs="Arial"/>
              </w:rPr>
            </w:pPr>
          </w:p>
          <w:p w14:paraId="2E613B0C" w14:textId="751F40D0" w:rsidR="00761F08" w:rsidRPr="00094ACE" w:rsidRDefault="00761F08" w:rsidP="00194D57">
            <w:pPr>
              <w:jc w:val="both"/>
              <w:rPr>
                <w:rFonts w:ascii="Verdana" w:hAnsi="Verdana" w:cs="Arial"/>
              </w:rPr>
            </w:pPr>
            <w:r w:rsidRPr="00B14A36">
              <w:rPr>
                <w:rFonts w:ascii="Verdana" w:hAnsi="Verdana" w:cs="Arial"/>
                <w:shd w:val="clear" w:color="auto" w:fill="FFFFFF"/>
              </w:rPr>
              <w:lastRenderedPageBreak/>
              <w:t>Es decir, que no existe inhabilidad alguna para que quien ha suscrito un contrato de prestación de servicios, pueda simultáneamente suscribir otro contrato estatal con la misma u otra entidad pública.</w:t>
            </w:r>
          </w:p>
          <w:p w14:paraId="47AEB666" w14:textId="2825F4F4" w:rsidR="00871B59" w:rsidRPr="00883436" w:rsidRDefault="00883436" w:rsidP="00B14A36">
            <w:pPr>
              <w:spacing w:line="276" w:lineRule="auto"/>
              <w:jc w:val="both"/>
              <w:rPr>
                <w:rFonts w:ascii="Verdana" w:hAnsi="Verdana" w:cs="Arial"/>
                <w:shd w:val="clear" w:color="auto" w:fill="FFFFFF"/>
              </w:rPr>
            </w:pPr>
            <w:r>
              <w:rPr>
                <w:rFonts w:ascii="Verdana" w:hAnsi="Verdana" w:cs="Arial"/>
              </w:rPr>
              <w:t>Sin perjuicio de lo anterior</w:t>
            </w:r>
            <w:r w:rsidR="0010022C" w:rsidRPr="00250FB3">
              <w:rPr>
                <w:rFonts w:ascii="Verdana" w:hAnsi="Verdana" w:cs="Arial"/>
              </w:rPr>
              <w:t xml:space="preserve">, </w:t>
            </w:r>
            <w:r w:rsidR="00B616FA" w:rsidRPr="00250FB3">
              <w:rPr>
                <w:rFonts w:ascii="Verdana" w:hAnsi="Verdana" w:cs="Arial"/>
              </w:rPr>
              <w:t xml:space="preserve">el </w:t>
            </w:r>
            <w:r w:rsidRPr="00250FB3">
              <w:rPr>
                <w:rFonts w:ascii="Verdana" w:hAnsi="Verdana" w:cs="Arial"/>
              </w:rPr>
              <w:t>Decreto 1068 de 2015</w:t>
            </w:r>
            <w:r>
              <w:rPr>
                <w:rFonts w:ascii="Verdana" w:hAnsi="Verdana" w:cs="Arial"/>
              </w:rPr>
              <w:t xml:space="preserve"> en su </w:t>
            </w:r>
            <w:r w:rsidR="003A59C1">
              <w:rPr>
                <w:rFonts w:ascii="Verdana" w:hAnsi="Verdana" w:cs="Arial"/>
              </w:rPr>
              <w:t xml:space="preserve">último </w:t>
            </w:r>
            <w:r w:rsidR="00B616FA" w:rsidRPr="00250FB3">
              <w:rPr>
                <w:rFonts w:ascii="Verdana" w:hAnsi="Verdana" w:cs="Arial"/>
              </w:rPr>
              <w:t>inciso</w:t>
            </w:r>
            <w:r w:rsidR="00250FB3" w:rsidRPr="00250FB3">
              <w:rPr>
                <w:rFonts w:ascii="Verdana" w:hAnsi="Verdana" w:cs="Arial"/>
              </w:rPr>
              <w:t xml:space="preserve"> </w:t>
            </w:r>
            <w:r>
              <w:rPr>
                <w:rFonts w:ascii="Verdana" w:hAnsi="Verdana" w:cs="Arial"/>
              </w:rPr>
              <w:t>en su</w:t>
            </w:r>
            <w:r w:rsidR="00B616FA" w:rsidRPr="00250FB3">
              <w:rPr>
                <w:rFonts w:ascii="Verdana" w:hAnsi="Verdana" w:cs="Arial"/>
              </w:rPr>
              <w:t xml:space="preserve"> artículo 2.8.4.4.5</w:t>
            </w:r>
            <w:r>
              <w:rPr>
                <w:rFonts w:ascii="Verdana" w:hAnsi="Verdana" w:cs="Arial"/>
              </w:rPr>
              <w:t xml:space="preserve"> </w:t>
            </w:r>
            <w:r w:rsidR="00B616FA" w:rsidRPr="00250FB3">
              <w:rPr>
                <w:rFonts w:ascii="Verdana" w:hAnsi="Verdana" w:cs="Arial"/>
              </w:rPr>
              <w:t xml:space="preserve">dispone que no </w:t>
            </w:r>
            <w:r w:rsidR="00250FB3" w:rsidRPr="00B14A36">
              <w:rPr>
                <w:rFonts w:ascii="Verdana" w:hAnsi="Verdana" w:cs="Arial"/>
              </w:rPr>
              <w:t>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tc>
      </w:tr>
    </w:tbl>
    <w:p w14:paraId="3199705F" w14:textId="77777777" w:rsidR="00871B59" w:rsidRPr="00194D57" w:rsidRDefault="00871B59" w:rsidP="00194D57">
      <w:pPr>
        <w:tabs>
          <w:tab w:val="left" w:pos="142"/>
          <w:tab w:val="left" w:pos="284"/>
        </w:tabs>
        <w:spacing w:after="0" w:line="240" w:lineRule="auto"/>
        <w:jc w:val="both"/>
        <w:rPr>
          <w:rFonts w:ascii="Verdana" w:eastAsia="Century Gothic" w:hAnsi="Verdana" w:cs="Century Gothic"/>
          <w:b/>
          <w:bCs/>
          <w:sz w:val="20"/>
          <w:szCs w:val="20"/>
          <w:lang w:val="es-ES"/>
        </w:rPr>
      </w:pPr>
    </w:p>
    <w:p w14:paraId="6678B80A" w14:textId="77777777" w:rsidR="00871B59" w:rsidRPr="00264C5B" w:rsidRDefault="00871B59" w:rsidP="00194D57">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lang w:val="es-ES"/>
        </w:rPr>
      </w:pPr>
      <w:r w:rsidRPr="00264C5B">
        <w:rPr>
          <w:rFonts w:ascii="Verdana" w:eastAsia="Century Gothic" w:hAnsi="Verdana" w:cs="Century Gothic"/>
          <w:b/>
          <w:bCs/>
          <w:lang w:val="es-ES"/>
        </w:rPr>
        <w:t>Razones de la respuesta:</w:t>
      </w:r>
    </w:p>
    <w:p w14:paraId="40393512" w14:textId="77777777" w:rsidR="00871B59" w:rsidRPr="00264C5B" w:rsidRDefault="00871B59" w:rsidP="00194D57">
      <w:pPr>
        <w:spacing w:after="0" w:line="240" w:lineRule="auto"/>
        <w:jc w:val="both"/>
        <w:rPr>
          <w:rFonts w:ascii="Verdana" w:eastAsia="Calibri" w:hAnsi="Verdana" w:cs="Arial"/>
          <w:color w:val="7030A0"/>
          <w:lang w:val="es-ES"/>
        </w:rPr>
      </w:pPr>
    </w:p>
    <w:p w14:paraId="6DB5BA6B" w14:textId="77777777" w:rsidR="00871B59" w:rsidRPr="00264C5B" w:rsidRDefault="00871B59" w:rsidP="00194D57">
      <w:pPr>
        <w:spacing w:after="0" w:line="240" w:lineRule="auto"/>
        <w:jc w:val="both"/>
        <w:rPr>
          <w:rFonts w:ascii="Verdana" w:eastAsia="Calibri" w:hAnsi="Verdana" w:cs="Arial"/>
          <w:lang w:val="es-ES"/>
        </w:rPr>
      </w:pPr>
      <w:r w:rsidRPr="00264C5B">
        <w:rPr>
          <w:rFonts w:ascii="Verdana" w:eastAsia="Calibri" w:hAnsi="Verdana" w:cs="Arial"/>
          <w:lang w:val="es-ES"/>
        </w:rPr>
        <w:t xml:space="preserve">Lo anterior se sustenta en las siguientes consideraciones: </w:t>
      </w:r>
    </w:p>
    <w:p w14:paraId="6FBD94A1" w14:textId="77777777" w:rsidR="00871B59" w:rsidRPr="00194D57" w:rsidRDefault="00871B59" w:rsidP="00194D57">
      <w:pPr>
        <w:spacing w:after="0" w:line="240" w:lineRule="auto"/>
        <w:jc w:val="both"/>
        <w:rPr>
          <w:rFonts w:ascii="Verdana" w:eastAsia="Calibri" w:hAnsi="Verdana" w:cs="Arial"/>
          <w:color w:val="7030A0"/>
          <w:sz w:val="20"/>
          <w:szCs w:val="20"/>
          <w:lang w:val="es-ES"/>
        </w:rPr>
      </w:pPr>
    </w:p>
    <w:p w14:paraId="732DAB0C" w14:textId="14980DA4" w:rsidR="00A43EEE" w:rsidRDefault="00A43EEE" w:rsidP="00A871DB">
      <w:pPr>
        <w:pStyle w:val="Prrafodelista"/>
        <w:numPr>
          <w:ilvl w:val="0"/>
          <w:numId w:val="12"/>
        </w:numPr>
        <w:spacing w:after="0" w:line="276" w:lineRule="auto"/>
        <w:ind w:left="709" w:hanging="357"/>
        <w:jc w:val="both"/>
        <w:rPr>
          <w:rFonts w:ascii="Verdana" w:hAnsi="Verdana" w:cs="Arial"/>
          <w:color w:val="000000" w:themeColor="text1"/>
          <w:lang w:val="es-ES_tradnl"/>
        </w:rPr>
      </w:pPr>
      <w:r w:rsidRPr="00A871DB">
        <w:rPr>
          <w:rFonts w:ascii="Verdana" w:hAnsi="Verdana" w:cs="Arial"/>
          <w:color w:val="000000" w:themeColor="text1"/>
          <w:lang w:val="es-ES_tradnl"/>
        </w:rPr>
        <w:t>El contrato de prestación de servicios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28500141" w14:textId="77777777" w:rsidR="00A871DB" w:rsidRPr="00A871DB" w:rsidRDefault="00A871DB" w:rsidP="00A871DB">
      <w:pPr>
        <w:pStyle w:val="Prrafodelista"/>
        <w:spacing w:after="0" w:line="276" w:lineRule="auto"/>
        <w:ind w:left="709"/>
        <w:jc w:val="both"/>
        <w:rPr>
          <w:rFonts w:ascii="Verdana" w:hAnsi="Verdana" w:cs="Arial"/>
          <w:color w:val="000000" w:themeColor="text1"/>
          <w:lang w:val="es-ES_tradnl"/>
        </w:rPr>
      </w:pPr>
    </w:p>
    <w:p w14:paraId="59C5A903" w14:textId="178F3E3B" w:rsidR="00A43EEE" w:rsidRPr="00A871DB" w:rsidRDefault="00A871DB" w:rsidP="00A871DB">
      <w:pPr>
        <w:spacing w:after="0" w:line="240" w:lineRule="auto"/>
        <w:ind w:left="709"/>
        <w:jc w:val="both"/>
        <w:rPr>
          <w:rFonts w:ascii="Verdana" w:eastAsia="Calibri" w:hAnsi="Verdana" w:cs="Arial"/>
          <w:i/>
          <w:iCs/>
          <w:color w:val="000000" w:themeColor="text1"/>
          <w:sz w:val="20"/>
          <w:szCs w:val="20"/>
          <w:lang w:val="es-ES_tradnl"/>
        </w:rPr>
      </w:pPr>
      <w:r w:rsidRPr="00A871DB">
        <w:rPr>
          <w:rFonts w:ascii="Verdana" w:eastAsia="Calibri" w:hAnsi="Verdana" w:cs="Arial"/>
          <w:i/>
          <w:iCs/>
          <w:color w:val="000000" w:themeColor="text1"/>
          <w:sz w:val="20"/>
          <w:szCs w:val="20"/>
          <w:lang w:val="es-ES_tradnl"/>
        </w:rPr>
        <w:t>“</w:t>
      </w:r>
      <w:r w:rsidR="00A43EEE" w:rsidRPr="00A871DB">
        <w:rPr>
          <w:rFonts w:ascii="Verdana" w:eastAsia="Calibri" w:hAnsi="Verdana" w:cs="Arial"/>
          <w:i/>
          <w:iCs/>
          <w:color w:val="000000" w:themeColor="text1"/>
          <w:sz w:val="20"/>
          <w:szCs w:val="20"/>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6974A6EF" w14:textId="7918C745" w:rsidR="00A43EEE" w:rsidRPr="002A41F1" w:rsidRDefault="00A43EEE" w:rsidP="00A871DB">
      <w:pPr>
        <w:spacing w:after="0" w:line="240" w:lineRule="auto"/>
        <w:ind w:left="709"/>
        <w:jc w:val="both"/>
        <w:rPr>
          <w:rFonts w:ascii="Verdana" w:eastAsia="Calibri" w:hAnsi="Verdana" w:cs="Arial"/>
          <w:color w:val="000000" w:themeColor="text1"/>
          <w:sz w:val="20"/>
          <w:szCs w:val="20"/>
          <w:lang w:val="es-ES_tradnl"/>
        </w:rPr>
      </w:pPr>
      <w:r w:rsidRPr="00A871DB">
        <w:rPr>
          <w:rFonts w:ascii="Verdana" w:eastAsia="Calibri" w:hAnsi="Verdana" w:cs="Arial"/>
          <w:i/>
          <w:iCs/>
          <w:color w:val="000000" w:themeColor="text1"/>
          <w:sz w:val="20"/>
          <w:szCs w:val="20"/>
          <w:lang w:val="es-ES_tradnl"/>
        </w:rPr>
        <w:t>En ningún caso estos contratos generan relación laboral ni prestaciones sociales y se celebrarán por el término estrictamente indispensable.</w:t>
      </w:r>
      <w:r w:rsidR="00A871DB" w:rsidRPr="00A871DB">
        <w:rPr>
          <w:rFonts w:ascii="Verdana" w:eastAsia="Calibri" w:hAnsi="Verdana" w:cs="Arial"/>
          <w:i/>
          <w:iCs/>
          <w:color w:val="000000" w:themeColor="text1"/>
          <w:sz w:val="20"/>
          <w:szCs w:val="20"/>
          <w:lang w:val="es-ES_tradnl"/>
        </w:rPr>
        <w:t>”</w:t>
      </w:r>
    </w:p>
    <w:p w14:paraId="227C5DDC" w14:textId="77777777" w:rsidR="00D71830" w:rsidRPr="00303EFF" w:rsidRDefault="00D71830" w:rsidP="00303EFF">
      <w:pPr>
        <w:spacing w:after="0" w:line="240" w:lineRule="auto"/>
        <w:ind w:left="709" w:right="709"/>
        <w:jc w:val="both"/>
        <w:rPr>
          <w:rFonts w:ascii="Verdana" w:eastAsia="Calibri" w:hAnsi="Verdana" w:cs="Arial"/>
          <w:color w:val="000000" w:themeColor="text1"/>
          <w:sz w:val="20"/>
          <w:szCs w:val="20"/>
          <w:lang w:val="es-ES_tradnl"/>
        </w:rPr>
      </w:pPr>
    </w:p>
    <w:p w14:paraId="7B22F8B1" w14:textId="5E553C95" w:rsidR="00A43EEE" w:rsidRPr="003B5A77" w:rsidRDefault="00A43EEE" w:rsidP="003B5A77">
      <w:pPr>
        <w:pStyle w:val="Prrafodelista"/>
        <w:numPr>
          <w:ilvl w:val="0"/>
          <w:numId w:val="12"/>
        </w:numPr>
        <w:spacing w:after="0" w:line="240" w:lineRule="auto"/>
        <w:jc w:val="both"/>
        <w:rPr>
          <w:rFonts w:ascii="Verdana" w:hAnsi="Verdana" w:cs="Arial"/>
          <w:color w:val="000000" w:themeColor="text1"/>
          <w:lang w:val="es-ES_tradnl"/>
        </w:rPr>
      </w:pPr>
      <w:r w:rsidRPr="003B5A77">
        <w:rPr>
          <w:rFonts w:ascii="Verdana" w:hAnsi="Verdana" w:cs="Arial"/>
          <w:color w:val="000000" w:themeColor="text1"/>
          <w:lang w:val="es-ES_tradnl"/>
        </w:rPr>
        <w:t>De otro lado, la celebración de dicho contrato se debe efectuar a través de la modalidad de la contratación directa. Así lo prevé el artículo 2, numeral 4º, literal h) de la Ley 1150 de 2007, que dispone:</w:t>
      </w:r>
    </w:p>
    <w:p w14:paraId="07021A7E" w14:textId="77777777" w:rsidR="003B5A77" w:rsidRPr="00B67542" w:rsidRDefault="003B5A77" w:rsidP="003B5A77">
      <w:pPr>
        <w:spacing w:after="0" w:line="240" w:lineRule="auto"/>
        <w:ind w:left="352"/>
        <w:jc w:val="both"/>
        <w:rPr>
          <w:rFonts w:ascii="Verdana" w:hAnsi="Verdana" w:cs="Arial"/>
          <w:color w:val="000000" w:themeColor="text1"/>
          <w:lang w:val="es-ES_tradnl"/>
        </w:rPr>
      </w:pPr>
    </w:p>
    <w:p w14:paraId="0E15BDAC" w14:textId="3B3D9F2A" w:rsidR="00A43EEE" w:rsidRDefault="00A871DB" w:rsidP="003B5A77">
      <w:pPr>
        <w:spacing w:after="0" w:line="240" w:lineRule="auto"/>
        <w:ind w:left="709"/>
        <w:jc w:val="both"/>
        <w:rPr>
          <w:rFonts w:ascii="Verdana" w:eastAsia="Calibri" w:hAnsi="Verdana" w:cs="Arial"/>
          <w:i/>
          <w:iCs/>
          <w:color w:val="000000" w:themeColor="text1"/>
          <w:sz w:val="20"/>
          <w:szCs w:val="20"/>
          <w:lang w:val="es-ES_tradnl"/>
        </w:rPr>
      </w:pPr>
      <w:r w:rsidRPr="003B5A77">
        <w:rPr>
          <w:rFonts w:ascii="Verdana" w:eastAsia="Calibri" w:hAnsi="Verdana" w:cs="Arial"/>
          <w:i/>
          <w:iCs/>
          <w:color w:val="000000" w:themeColor="text1"/>
          <w:sz w:val="20"/>
          <w:szCs w:val="20"/>
          <w:lang w:val="es-ES_tradnl"/>
        </w:rPr>
        <w:t>“</w:t>
      </w:r>
      <w:r w:rsidR="00A43EEE" w:rsidRPr="003B5A77">
        <w:rPr>
          <w:rFonts w:ascii="Verdana" w:eastAsia="Calibri" w:hAnsi="Verdana" w:cs="Arial"/>
          <w:i/>
          <w:iCs/>
          <w:color w:val="000000" w:themeColor="text1"/>
          <w:sz w:val="20"/>
          <w:szCs w:val="20"/>
          <w:lang w:val="es-ES_tradnl"/>
        </w:rPr>
        <w:t>Contratación directa. La modalidad de selección de contratación directa, solamente procederá en los siguientes casos:</w:t>
      </w:r>
    </w:p>
    <w:p w14:paraId="460FDD02" w14:textId="77777777" w:rsidR="003B5A77" w:rsidRPr="003B5A77" w:rsidRDefault="003B5A77" w:rsidP="003B5A77">
      <w:pPr>
        <w:spacing w:after="0" w:line="240" w:lineRule="auto"/>
        <w:ind w:left="709"/>
        <w:jc w:val="both"/>
        <w:rPr>
          <w:rFonts w:ascii="Verdana" w:eastAsia="Calibri" w:hAnsi="Verdana" w:cs="Arial"/>
          <w:i/>
          <w:iCs/>
          <w:color w:val="000000" w:themeColor="text1"/>
          <w:sz w:val="20"/>
          <w:szCs w:val="20"/>
          <w:lang w:val="es-ES_tradnl"/>
        </w:rPr>
      </w:pPr>
    </w:p>
    <w:p w14:paraId="4B63188F" w14:textId="699E6BE4" w:rsidR="00A43EEE" w:rsidRDefault="00A43EEE" w:rsidP="003B5A77">
      <w:pPr>
        <w:spacing w:after="0" w:line="240" w:lineRule="auto"/>
        <w:ind w:left="709"/>
        <w:jc w:val="both"/>
        <w:rPr>
          <w:rFonts w:ascii="Verdana" w:eastAsia="Calibri" w:hAnsi="Verdana" w:cs="Arial"/>
          <w:i/>
          <w:iCs/>
          <w:color w:val="000000" w:themeColor="text1"/>
          <w:sz w:val="20"/>
          <w:szCs w:val="20"/>
          <w:lang w:val="es-ES_tradnl"/>
        </w:rPr>
      </w:pPr>
      <w:r w:rsidRPr="003B5A77">
        <w:rPr>
          <w:rFonts w:ascii="Verdana" w:eastAsia="Calibri" w:hAnsi="Verdana" w:cs="Arial"/>
          <w:i/>
          <w:iCs/>
          <w:color w:val="000000" w:themeColor="text1"/>
          <w:sz w:val="20"/>
          <w:szCs w:val="20"/>
          <w:lang w:val="es-ES_tradnl"/>
        </w:rPr>
        <w:lastRenderedPageBreak/>
        <w:t>h) Para la prestación de servicios profesionales y de apoyo a la gestión, o para la ejecución de trabajos artísticos que sólo puedan encomendarse a determinadas personas naturales;</w:t>
      </w:r>
      <w:r w:rsidR="00A871DB" w:rsidRPr="003B5A77">
        <w:rPr>
          <w:rFonts w:ascii="Verdana" w:eastAsia="Calibri" w:hAnsi="Verdana" w:cs="Arial"/>
          <w:i/>
          <w:iCs/>
          <w:color w:val="000000" w:themeColor="text1"/>
          <w:sz w:val="20"/>
          <w:szCs w:val="20"/>
          <w:lang w:val="es-ES_tradnl"/>
        </w:rPr>
        <w:t>”</w:t>
      </w:r>
    </w:p>
    <w:p w14:paraId="7D9E05AE" w14:textId="77777777" w:rsidR="003B5A77" w:rsidRPr="00B67542" w:rsidRDefault="003B5A77" w:rsidP="003B5A77">
      <w:pPr>
        <w:spacing w:after="0" w:line="240" w:lineRule="auto"/>
        <w:ind w:left="709"/>
        <w:jc w:val="both"/>
        <w:rPr>
          <w:rFonts w:ascii="Verdana" w:eastAsia="Calibri" w:hAnsi="Verdana" w:cs="Arial"/>
          <w:color w:val="000000" w:themeColor="text1"/>
          <w:lang w:val="es-ES_tradnl"/>
        </w:rPr>
      </w:pPr>
    </w:p>
    <w:p w14:paraId="33B1FB4B" w14:textId="50F69484" w:rsidR="00A43EEE" w:rsidRDefault="00A43EEE" w:rsidP="003B5A77">
      <w:pPr>
        <w:pStyle w:val="Prrafodelista"/>
        <w:numPr>
          <w:ilvl w:val="0"/>
          <w:numId w:val="12"/>
        </w:numPr>
        <w:spacing w:after="0" w:line="240" w:lineRule="auto"/>
        <w:jc w:val="both"/>
        <w:rPr>
          <w:rFonts w:ascii="Verdana" w:hAnsi="Verdana" w:cs="Arial"/>
          <w:color w:val="000000" w:themeColor="text1"/>
          <w:lang w:val="es-ES_tradnl"/>
        </w:rPr>
      </w:pPr>
      <w:r w:rsidRPr="003B5A77">
        <w:rPr>
          <w:rFonts w:ascii="Verdana" w:hAnsi="Verdana" w:cs="Arial"/>
          <w:color w:val="000000" w:themeColor="text1"/>
          <w:lang w:val="es-ES_tradnl"/>
        </w:rPr>
        <w:t>A partir de estos enunciados normativos de carácter legal y reglamentario, que complementan su regulación, y de los pronunciamientos judiciales más destacados sobre el tema, es posible señalar las siguientes características del contrato de prestación de servicios profesionales:</w:t>
      </w:r>
    </w:p>
    <w:p w14:paraId="1EAC6E30" w14:textId="77777777" w:rsidR="003B5A77" w:rsidRPr="003B5A77" w:rsidRDefault="003B5A77" w:rsidP="003B5A77">
      <w:pPr>
        <w:pStyle w:val="Prrafodelista"/>
        <w:spacing w:after="0" w:line="240" w:lineRule="auto"/>
        <w:jc w:val="both"/>
        <w:rPr>
          <w:rFonts w:ascii="Verdana" w:hAnsi="Verdana" w:cs="Arial"/>
          <w:color w:val="000000" w:themeColor="text1"/>
          <w:lang w:val="es-ES_tradnl"/>
        </w:rPr>
      </w:pPr>
    </w:p>
    <w:p w14:paraId="4E0241D0" w14:textId="580BDFEF" w:rsidR="00A43EEE" w:rsidRPr="00D01138" w:rsidRDefault="003B5A77" w:rsidP="003B5A77">
      <w:pPr>
        <w:spacing w:after="0" w:line="240" w:lineRule="auto"/>
        <w:ind w:left="352"/>
        <w:jc w:val="both"/>
        <w:rPr>
          <w:rFonts w:ascii="Verdana" w:hAnsi="Verdana" w:cs="Arial"/>
          <w:color w:val="000000" w:themeColor="text1"/>
          <w:lang w:val="es-ES_tradnl"/>
        </w:rPr>
      </w:pPr>
      <w:r w:rsidRPr="00D01138">
        <w:rPr>
          <w:rFonts w:ascii="Verdana" w:hAnsi="Verdana" w:cs="Arial"/>
          <w:color w:val="000000" w:themeColor="text1"/>
          <w:lang w:val="es-ES_tradnl"/>
        </w:rPr>
        <w:t>I</w:t>
      </w:r>
      <w:r w:rsidR="00A43EEE" w:rsidRPr="00D01138">
        <w:rPr>
          <w:rFonts w:ascii="Verdana" w:hAnsi="Verdana" w:cs="Arial"/>
          <w:color w:val="000000" w:themeColor="text1"/>
          <w:lang w:val="es-ES_tradnl"/>
        </w:rPr>
        <w:t xml:space="preserve">) Solo puede celebrarse para realizar </w:t>
      </w:r>
      <w:r w:rsidRPr="00D01138">
        <w:rPr>
          <w:rFonts w:ascii="Verdana" w:hAnsi="Verdana" w:cs="Arial"/>
          <w:color w:val="000000" w:themeColor="text1"/>
          <w:lang w:val="es-ES_tradnl"/>
        </w:rPr>
        <w:t>“</w:t>
      </w:r>
      <w:r w:rsidR="00A43EEE" w:rsidRPr="00D01138">
        <w:rPr>
          <w:rFonts w:ascii="Verdana" w:hAnsi="Verdana" w:cs="Arial"/>
          <w:color w:val="000000" w:themeColor="text1"/>
          <w:lang w:val="es-ES_tradnl"/>
        </w:rPr>
        <w:t>actividades relacionadas con la administración o funcionamiento de la entidad</w:t>
      </w:r>
      <w:r w:rsidRPr="00D01138">
        <w:rPr>
          <w:rFonts w:ascii="Verdana" w:hAnsi="Verdana" w:cs="Arial"/>
          <w:color w:val="000000" w:themeColor="text1"/>
          <w:lang w:val="es-ES_tradnl"/>
        </w:rPr>
        <w:t>”</w:t>
      </w:r>
      <w:r w:rsidR="00A43EEE" w:rsidRPr="00D01138">
        <w:rPr>
          <w:rFonts w:ascii="Verdana" w:hAnsi="Verdana" w:cs="Arial"/>
          <w:color w:val="000000" w:themeColor="text1"/>
          <w:lang w:val="es-ES_tradnl"/>
        </w:rPr>
        <w:t>, es decir, que hagan parte de su giro ordinario o quehacer cotidiano.</w:t>
      </w:r>
    </w:p>
    <w:p w14:paraId="5A9AAC03" w14:textId="77777777" w:rsidR="003B5A77" w:rsidRPr="00D01138" w:rsidRDefault="003B5A77" w:rsidP="003B5A77">
      <w:pPr>
        <w:spacing w:after="0" w:line="240" w:lineRule="auto"/>
        <w:ind w:left="352"/>
        <w:jc w:val="both"/>
        <w:rPr>
          <w:rFonts w:ascii="Verdana" w:hAnsi="Verdana" w:cs="Arial"/>
          <w:color w:val="000000" w:themeColor="text1"/>
          <w:lang w:val="es-ES_tradnl"/>
        </w:rPr>
      </w:pPr>
    </w:p>
    <w:p w14:paraId="47A3B309" w14:textId="7AC5E746" w:rsidR="00A43EEE" w:rsidRPr="00D01138" w:rsidRDefault="003B5A77" w:rsidP="003B5A77">
      <w:pPr>
        <w:spacing w:after="0" w:line="240" w:lineRule="auto"/>
        <w:ind w:left="352"/>
        <w:jc w:val="both"/>
        <w:rPr>
          <w:rFonts w:ascii="Verdana" w:hAnsi="Verdana" w:cs="Arial"/>
          <w:color w:val="000000" w:themeColor="text1"/>
          <w:lang w:val="es-ES_tradnl"/>
        </w:rPr>
      </w:pPr>
      <w:r w:rsidRPr="00D01138">
        <w:rPr>
          <w:rFonts w:ascii="Verdana" w:hAnsi="Verdana" w:cs="Arial"/>
          <w:color w:val="000000" w:themeColor="text1"/>
          <w:lang w:val="es-ES_tradnl"/>
        </w:rPr>
        <w:t>II</w:t>
      </w:r>
      <w:r w:rsidR="00A43EEE" w:rsidRPr="00D01138">
        <w:rPr>
          <w:rFonts w:ascii="Verdana" w:hAnsi="Verdana" w:cs="Arial"/>
          <w:color w:val="000000" w:themeColor="text1"/>
          <w:lang w:val="es-ES_tradnl"/>
        </w:rPr>
        <w:t>)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15464FC2" w14:textId="77777777" w:rsidR="003B5A77" w:rsidRPr="00D01138" w:rsidRDefault="003B5A77" w:rsidP="003B5A77">
      <w:pPr>
        <w:spacing w:after="0" w:line="240" w:lineRule="auto"/>
        <w:ind w:left="352"/>
        <w:jc w:val="both"/>
        <w:rPr>
          <w:rFonts w:ascii="Verdana" w:hAnsi="Verdana" w:cs="Arial"/>
          <w:color w:val="000000" w:themeColor="text1"/>
          <w:lang w:val="es-ES_tradnl"/>
        </w:rPr>
      </w:pPr>
    </w:p>
    <w:p w14:paraId="6E183E61" w14:textId="016553BE" w:rsidR="00A43EEE" w:rsidRPr="00D01138" w:rsidRDefault="003B5A77" w:rsidP="003B5A77">
      <w:pPr>
        <w:spacing w:after="0" w:line="240" w:lineRule="auto"/>
        <w:ind w:left="352"/>
        <w:jc w:val="both"/>
        <w:rPr>
          <w:rFonts w:ascii="Verdana" w:hAnsi="Verdana" w:cs="Arial"/>
          <w:color w:val="000000" w:themeColor="text1"/>
          <w:lang w:val="es-ES_tradnl"/>
        </w:rPr>
      </w:pPr>
      <w:r w:rsidRPr="00D01138">
        <w:rPr>
          <w:rFonts w:ascii="Verdana" w:hAnsi="Verdana" w:cs="Arial"/>
          <w:color w:val="000000" w:themeColor="text1"/>
          <w:lang w:val="es-ES_tradnl"/>
        </w:rPr>
        <w:t>III</w:t>
      </w:r>
      <w:r w:rsidR="00A43EEE" w:rsidRPr="00D01138">
        <w:rPr>
          <w:rFonts w:ascii="Verdana" w:hAnsi="Verdana" w:cs="Arial"/>
          <w:color w:val="000000" w:themeColor="text1"/>
          <w:lang w:val="es-ES_tradnl"/>
        </w:rPr>
        <w:t>) Si bien se celebran para obtener la prestación personal de un servicio, se diferencian del contrato de trabajo</w:t>
      </w:r>
      <w:r w:rsidR="00A43EEE" w:rsidRPr="00D01138">
        <w:rPr>
          <w:rStyle w:val="Refdenotaalpie"/>
          <w:rFonts w:ascii="Verdana" w:hAnsi="Verdana" w:cs="Arial"/>
          <w:color w:val="000000" w:themeColor="text1"/>
          <w:lang w:val="es-ES_tradnl"/>
        </w:rPr>
        <w:footnoteReference w:id="2"/>
      </w:r>
      <w:r w:rsidR="00A43EEE" w:rsidRPr="00D01138">
        <w:rPr>
          <w:rFonts w:ascii="Verdana" w:hAnsi="Verdana" w:cs="Arial"/>
          <w:color w:val="000000" w:themeColor="text1"/>
          <w:lang w:val="es-ES_tradnl"/>
        </w:rPr>
        <w:t xml:space="preserve"> en que quien celebra el contrato de prestación de servicios profesionales debe mantener autonomía e independencia en la ejecución de la labor, lo que significa que no puede existir la subordinación y dependencia,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w:t>
      </w:r>
      <w:r w:rsidR="00A43EEE" w:rsidRPr="00D01138">
        <w:rPr>
          <w:rFonts w:ascii="Verdana" w:hAnsi="Verdana" w:cs="Arial"/>
          <w:color w:val="000000" w:themeColor="text1"/>
          <w:lang w:val="es-ES_tradnl"/>
        </w:rPr>
        <w:lastRenderedPageBreak/>
        <w:t>contratos de prestación de servicios profesionales no pueden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w:t>
      </w:r>
      <w:r w:rsidRPr="00D01138">
        <w:rPr>
          <w:rFonts w:ascii="Verdana" w:hAnsi="Verdana" w:cs="Arial"/>
          <w:color w:val="000000" w:themeColor="text1"/>
          <w:lang w:val="es-ES_tradnl"/>
        </w:rPr>
        <w:t xml:space="preserve"> </w:t>
      </w:r>
      <w:r w:rsidR="00A43EEE" w:rsidRPr="00D01138">
        <w:rPr>
          <w:rFonts w:ascii="Verdana" w:hAnsi="Verdana" w:cs="Arial"/>
          <w:color w:val="000000" w:themeColor="text1"/>
          <w:lang w:val="es-ES_tradnl"/>
        </w:rPr>
        <w:t>cotizar por su cuenta y riesgo al Sistema de Seguridad Social Integral</w:t>
      </w:r>
      <w:r w:rsidR="00A43EEE" w:rsidRPr="00D01138">
        <w:rPr>
          <w:rStyle w:val="Refdenotaalpie"/>
          <w:rFonts w:ascii="Verdana" w:hAnsi="Verdana" w:cs="Arial"/>
          <w:color w:val="000000" w:themeColor="text1"/>
          <w:lang w:val="es-ES_tradnl"/>
        </w:rPr>
        <w:footnoteReference w:id="3"/>
      </w:r>
      <w:r w:rsidR="00A43EEE" w:rsidRPr="00D01138">
        <w:rPr>
          <w:rFonts w:ascii="Verdana" w:hAnsi="Verdana" w:cs="Arial"/>
          <w:color w:val="000000" w:themeColor="text1"/>
          <w:lang w:val="es-ES_tradnl"/>
        </w:rPr>
        <w:t>. Pero es posible que, a pesar de este mandato deontológico, en la práctica surja la relación laboral, pues, como se sabe, el contrato de trabajo es un contrato realidad,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00A43EEE" w:rsidRPr="00D01138">
        <w:rPr>
          <w:rStyle w:val="Refdenotaalpie"/>
          <w:rFonts w:ascii="Verdana" w:hAnsi="Verdana" w:cs="Arial"/>
          <w:color w:val="000000" w:themeColor="text1"/>
          <w:lang w:val="es-ES_tradnl"/>
        </w:rPr>
        <w:footnoteReference w:id="4"/>
      </w:r>
      <w:r w:rsidR="00A43EEE" w:rsidRPr="00D01138">
        <w:rPr>
          <w:rFonts w:ascii="Verdana" w:hAnsi="Verdana" w:cs="Arial"/>
          <w:color w:val="000000" w:themeColor="text1"/>
          <w:lang w:val="es-ES_tradnl"/>
        </w:rPr>
        <w:t>.</w:t>
      </w:r>
    </w:p>
    <w:p w14:paraId="274A59B8" w14:textId="77777777" w:rsidR="003B5A77" w:rsidRPr="00810952" w:rsidRDefault="003B5A77" w:rsidP="003B5A77">
      <w:pPr>
        <w:spacing w:after="0" w:line="240" w:lineRule="auto"/>
        <w:ind w:left="352"/>
        <w:jc w:val="both"/>
        <w:rPr>
          <w:rFonts w:ascii="Arial" w:hAnsi="Arial" w:cs="Arial"/>
          <w:color w:val="000000" w:themeColor="text1"/>
          <w:lang w:val="es-ES_tradnl"/>
        </w:rPr>
      </w:pPr>
    </w:p>
    <w:p w14:paraId="1E526CB4" w14:textId="4EFE617B" w:rsidR="00A43EEE" w:rsidRPr="008017F9" w:rsidRDefault="003B5A77" w:rsidP="00D01138">
      <w:pPr>
        <w:spacing w:line="240" w:lineRule="auto"/>
        <w:ind w:left="352"/>
        <w:jc w:val="both"/>
        <w:rPr>
          <w:rFonts w:ascii="Verdana" w:hAnsi="Verdana" w:cs="Arial"/>
          <w:color w:val="000000" w:themeColor="text1"/>
          <w:lang w:val="es-ES_tradnl"/>
        </w:rPr>
      </w:pPr>
      <w:r>
        <w:rPr>
          <w:rFonts w:ascii="Verdana" w:hAnsi="Verdana" w:cs="Arial"/>
          <w:color w:val="000000" w:themeColor="text1"/>
          <w:lang w:val="es-ES_tradnl"/>
        </w:rPr>
        <w:t>IV</w:t>
      </w:r>
      <w:r w:rsidR="00A43EEE" w:rsidRPr="008017F9">
        <w:rPr>
          <w:rFonts w:ascii="Verdana" w:hAnsi="Verdana" w:cs="Arial"/>
          <w:color w:val="000000" w:themeColor="text1"/>
          <w:lang w:val="es-ES_tradnl"/>
        </w:rPr>
        <w:t>) Deben ser temporales. Así lo señaló la Corte Constitucional en la misma providencia a la que se aludió previamente, expresando que:</w:t>
      </w:r>
    </w:p>
    <w:p w14:paraId="1B13617C" w14:textId="7FF67672" w:rsidR="00A43EEE" w:rsidRPr="00D01138" w:rsidRDefault="00A43EEE" w:rsidP="00D01138">
      <w:pPr>
        <w:spacing w:after="0" w:line="240" w:lineRule="auto"/>
        <w:ind w:left="352" w:right="709"/>
        <w:jc w:val="both"/>
        <w:rPr>
          <w:rFonts w:ascii="Verdana" w:eastAsia="Calibri" w:hAnsi="Verdana" w:cs="Arial"/>
          <w:i/>
          <w:iCs/>
          <w:color w:val="000000" w:themeColor="text1"/>
          <w:sz w:val="20"/>
          <w:szCs w:val="20"/>
          <w:lang w:val="es-ES_tradnl"/>
        </w:rPr>
      </w:pPr>
      <w:r w:rsidRPr="00D01138">
        <w:rPr>
          <w:rFonts w:ascii="Verdana" w:eastAsia="Calibri" w:hAnsi="Verdana" w:cs="Arial"/>
          <w:i/>
          <w:iCs/>
          <w:color w:val="000000" w:themeColor="text1"/>
          <w:sz w:val="20"/>
          <w:szCs w:val="20"/>
          <w:lang w:val="es-ES_tradnl"/>
        </w:rPr>
        <w:t>«</w:t>
      </w:r>
      <w:r w:rsidRPr="00D01138">
        <w:rPr>
          <w:rFonts w:ascii="Verdana" w:hAnsi="Verdana" w:cs="Arial"/>
          <w:i/>
          <w:iCs/>
          <w:color w:val="000000" w:themeColor="text1"/>
          <w:sz w:val="20"/>
          <w:szCs w:val="2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D01138">
        <w:rPr>
          <w:rFonts w:ascii="Verdana" w:eastAsia="Calibri" w:hAnsi="Verdana" w:cs="Arial"/>
          <w:i/>
          <w:iCs/>
          <w:color w:val="000000" w:themeColor="text1"/>
          <w:sz w:val="20"/>
          <w:szCs w:val="20"/>
          <w:lang w:val="es-ES_tradnl"/>
        </w:rPr>
        <w:t>»</w:t>
      </w:r>
      <w:r w:rsidRPr="00D01138">
        <w:rPr>
          <w:rStyle w:val="Refdenotaalpie"/>
          <w:rFonts w:ascii="Verdana" w:hAnsi="Verdana" w:cs="Arial"/>
          <w:i/>
          <w:iCs/>
          <w:color w:val="000000" w:themeColor="text1"/>
          <w:sz w:val="20"/>
          <w:szCs w:val="20"/>
          <w:lang w:val="es-ES_tradnl"/>
        </w:rPr>
        <w:footnoteReference w:id="5"/>
      </w:r>
    </w:p>
    <w:p w14:paraId="2D2AF44B" w14:textId="77777777" w:rsidR="00094ACE" w:rsidRPr="00B14A36" w:rsidRDefault="00094ACE" w:rsidP="00B14A36">
      <w:pPr>
        <w:spacing w:after="0" w:line="240" w:lineRule="auto"/>
        <w:ind w:left="709" w:right="709"/>
        <w:jc w:val="both"/>
        <w:rPr>
          <w:rFonts w:ascii="Verdana" w:hAnsi="Verdana" w:cs="Arial"/>
          <w:color w:val="000000" w:themeColor="text1"/>
          <w:sz w:val="20"/>
          <w:szCs w:val="20"/>
          <w:lang w:val="es-ES_tradnl"/>
        </w:rPr>
      </w:pPr>
    </w:p>
    <w:p w14:paraId="7C151CF7" w14:textId="765933A8" w:rsidR="008E4F91" w:rsidRPr="00B14A36" w:rsidRDefault="00A43EEE" w:rsidP="00D01138">
      <w:pPr>
        <w:spacing w:line="240" w:lineRule="auto"/>
        <w:ind w:left="352"/>
        <w:jc w:val="both"/>
        <w:rPr>
          <w:rFonts w:ascii="Verdana" w:eastAsia="Calibri" w:hAnsi="Verdana" w:cs="Arial"/>
          <w:color w:val="000000" w:themeColor="text1"/>
          <w:sz w:val="20"/>
          <w:szCs w:val="20"/>
          <w:lang w:val="es-ES_tradnl"/>
        </w:rPr>
      </w:pPr>
      <w:r w:rsidRPr="008017F9">
        <w:rPr>
          <w:rFonts w:ascii="Verdana" w:hAnsi="Verdana" w:cs="Arial"/>
          <w:color w:val="000000" w:themeColor="text1"/>
          <w:lang w:val="es-ES_tradnl"/>
        </w:rPr>
        <w:lastRenderedPageBreak/>
        <w:t xml:space="preserve">v) Los contratos de prestación de servicios profesionales hacen parte del género denominado </w:t>
      </w:r>
      <w:r w:rsidRPr="008017F9">
        <w:rPr>
          <w:rFonts w:ascii="Verdana" w:hAnsi="Verdana" w:cs="Arial"/>
          <w:i/>
          <w:color w:val="000000" w:themeColor="text1"/>
          <w:lang w:val="es-ES_tradnl"/>
        </w:rPr>
        <w:t>contratos de prestación de servicios</w:t>
      </w:r>
      <w:r w:rsidRPr="008017F9">
        <w:rPr>
          <w:rFonts w:ascii="Verdana" w:hAnsi="Verdana" w:cs="Arial"/>
          <w:color w:val="000000" w:themeColor="text1"/>
          <w:lang w:val="es-ES_tradnl"/>
        </w:rPr>
        <w:t>, dentro del cual también se ubican, como especies, los contratos de prestación de servicios de apoyo a la gestión y los contratos de prestación de servicios artísticos que solo pueden encomendarse a determinadas personas naturales</w:t>
      </w:r>
      <w:r w:rsidRPr="008017F9">
        <w:rPr>
          <w:rStyle w:val="Refdenotaalpie"/>
          <w:rFonts w:ascii="Verdana" w:hAnsi="Verdana" w:cs="Arial"/>
          <w:color w:val="000000" w:themeColor="text1"/>
          <w:lang w:val="es-ES_tradnl"/>
        </w:rPr>
        <w:footnoteReference w:id="6"/>
      </w:r>
      <w:r w:rsidRPr="008017F9">
        <w:rPr>
          <w:rFonts w:ascii="Verdana" w:hAnsi="Verdana" w:cs="Arial"/>
          <w:color w:val="000000" w:themeColor="text1"/>
          <w:lang w:val="es-ES_tradnl"/>
        </w:rPr>
        <w:t>.</w:t>
      </w:r>
    </w:p>
    <w:p w14:paraId="383829E7" w14:textId="77E00B85" w:rsidR="00A43EEE" w:rsidRPr="008017F9" w:rsidRDefault="00D01138" w:rsidP="00D01138">
      <w:pPr>
        <w:spacing w:line="240" w:lineRule="auto"/>
        <w:ind w:left="352"/>
        <w:jc w:val="both"/>
        <w:rPr>
          <w:rFonts w:ascii="Verdana" w:hAnsi="Verdana" w:cs="Arial"/>
          <w:color w:val="000000" w:themeColor="text1"/>
          <w:lang w:val="es-ES_tradnl"/>
        </w:rPr>
      </w:pPr>
      <w:r>
        <w:rPr>
          <w:rFonts w:ascii="Verdana" w:hAnsi="Verdana" w:cs="Arial"/>
          <w:color w:val="000000" w:themeColor="text1"/>
          <w:lang w:val="es-ES_tradnl"/>
        </w:rPr>
        <w:t>VI</w:t>
      </w:r>
      <w:r w:rsidR="00A43EEE" w:rsidRPr="008017F9">
        <w:rPr>
          <w:rFonts w:ascii="Verdana" w:hAnsi="Verdana" w:cs="Arial"/>
          <w:color w:val="000000" w:themeColor="text1"/>
          <w:lang w:val="es-ES_tradnl"/>
        </w:rPr>
        <w:t>) Su celebración debe realizarse a través de la modalidad de contratación directa, independientemente de la cuantía y del tipo de servicio profesional</w:t>
      </w:r>
      <w:r w:rsidR="008E4F91">
        <w:rPr>
          <w:rFonts w:ascii="Verdana" w:hAnsi="Verdana" w:cs="Arial"/>
          <w:color w:val="000000" w:themeColor="text1"/>
          <w:lang w:val="es-ES_tradnl"/>
        </w:rPr>
        <w:t>.</w:t>
      </w:r>
    </w:p>
    <w:p w14:paraId="5DAC581C" w14:textId="6D394180" w:rsidR="00A43EEE" w:rsidRPr="008017F9" w:rsidRDefault="00D01138" w:rsidP="00D01138">
      <w:pPr>
        <w:spacing w:before="120" w:after="120" w:line="240" w:lineRule="auto"/>
        <w:ind w:left="352"/>
        <w:jc w:val="both"/>
        <w:rPr>
          <w:rFonts w:ascii="Verdana" w:hAnsi="Verdana" w:cs="Arial"/>
          <w:color w:val="000000" w:themeColor="text1"/>
          <w:lang w:val="es-ES_tradnl"/>
        </w:rPr>
      </w:pPr>
      <w:r>
        <w:rPr>
          <w:rFonts w:ascii="Verdana" w:hAnsi="Verdana" w:cs="Arial"/>
          <w:color w:val="000000" w:themeColor="text1"/>
          <w:lang w:val="es-ES_tradnl"/>
        </w:rPr>
        <w:t>VII</w:t>
      </w:r>
      <w:r w:rsidR="00A43EEE" w:rsidRPr="008017F9">
        <w:rPr>
          <w:rFonts w:ascii="Verdana" w:hAnsi="Verdana" w:cs="Arial"/>
          <w:color w:val="000000" w:themeColor="text1"/>
          <w:lang w:val="es-ES_tradnl"/>
        </w:rPr>
        <w:t>) Para su celebración no se requiere la expedición del acto administrativo de justificación de la contratación directa</w:t>
      </w:r>
      <w:r w:rsidR="00A43EEE" w:rsidRPr="008017F9">
        <w:rPr>
          <w:rStyle w:val="Refdenotaalpie"/>
          <w:rFonts w:ascii="Verdana" w:hAnsi="Verdana" w:cs="Arial"/>
          <w:color w:val="000000" w:themeColor="text1"/>
          <w:lang w:val="es-ES_tradnl"/>
        </w:rPr>
        <w:footnoteReference w:id="7"/>
      </w:r>
      <w:r w:rsidR="00A43EEE" w:rsidRPr="008017F9">
        <w:rPr>
          <w:rFonts w:ascii="Verdana" w:hAnsi="Verdana" w:cs="Arial"/>
          <w:color w:val="000000" w:themeColor="text1"/>
          <w:lang w:val="es-ES_tradnl"/>
        </w:rPr>
        <w:t xml:space="preserve">. </w:t>
      </w:r>
    </w:p>
    <w:p w14:paraId="37BD182B" w14:textId="675750B4" w:rsidR="00A43EEE" w:rsidRPr="008017F9" w:rsidRDefault="00D01138" w:rsidP="00D01138">
      <w:pPr>
        <w:spacing w:before="120" w:after="120" w:line="240" w:lineRule="auto"/>
        <w:ind w:left="352"/>
        <w:jc w:val="both"/>
        <w:rPr>
          <w:rFonts w:ascii="Verdana" w:hAnsi="Verdana" w:cs="Arial"/>
          <w:color w:val="000000" w:themeColor="text1"/>
          <w:lang w:val="es-ES_tradnl"/>
        </w:rPr>
      </w:pPr>
      <w:r>
        <w:rPr>
          <w:rFonts w:ascii="Verdana" w:hAnsi="Verdana" w:cs="Arial"/>
          <w:color w:val="000000" w:themeColor="text1"/>
          <w:lang w:val="es-ES_tradnl"/>
        </w:rPr>
        <w:t>VIII</w:t>
      </w:r>
      <w:r w:rsidR="00A43EEE" w:rsidRPr="008017F9">
        <w:rPr>
          <w:rFonts w:ascii="Verdana" w:hAnsi="Verdana" w:cs="Arial"/>
          <w:color w:val="000000" w:themeColor="text1"/>
          <w:lang w:val="es-ES_tradnl"/>
        </w:rPr>
        <w:t>) Admiten el pacto de cláusulas excepcionales. Es decir, en los contratos de prestación de servicios profesionales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00A43EEE" w:rsidRPr="008017F9">
        <w:rPr>
          <w:rStyle w:val="Refdenotaalpie"/>
          <w:rFonts w:ascii="Verdana" w:hAnsi="Verdana" w:cs="Arial"/>
          <w:color w:val="000000" w:themeColor="text1"/>
          <w:lang w:val="es-ES_tradnl"/>
        </w:rPr>
        <w:footnoteReference w:id="8"/>
      </w:r>
      <w:r w:rsidR="00A43EEE" w:rsidRPr="008017F9">
        <w:rPr>
          <w:rFonts w:ascii="Verdana" w:hAnsi="Verdana" w:cs="Arial"/>
          <w:color w:val="000000" w:themeColor="text1"/>
          <w:lang w:val="es-ES_tradnl"/>
        </w:rPr>
        <w:t>.</w:t>
      </w:r>
    </w:p>
    <w:p w14:paraId="7A8F523B" w14:textId="77777777" w:rsidR="00D01138" w:rsidRDefault="00D01138" w:rsidP="00D01138">
      <w:pPr>
        <w:spacing w:before="120" w:after="120" w:line="240" w:lineRule="auto"/>
        <w:ind w:left="352"/>
        <w:jc w:val="both"/>
        <w:rPr>
          <w:rFonts w:ascii="Verdana" w:hAnsi="Verdana" w:cs="Arial"/>
          <w:color w:val="000000" w:themeColor="text1"/>
          <w:lang w:val="es-ES_tradnl"/>
        </w:rPr>
      </w:pPr>
      <w:r>
        <w:rPr>
          <w:rFonts w:ascii="Verdana" w:hAnsi="Verdana" w:cs="Arial"/>
          <w:color w:val="000000" w:themeColor="text1"/>
          <w:lang w:val="es-ES_tradnl"/>
        </w:rPr>
        <w:t>IX</w:t>
      </w:r>
      <w:r w:rsidR="00A43EEE" w:rsidRPr="008017F9">
        <w:rPr>
          <w:rFonts w:ascii="Verdana" w:hAnsi="Verdana" w:cs="Arial"/>
          <w:color w:val="000000" w:themeColor="text1"/>
          <w:lang w:val="es-ES_tradnl"/>
        </w:rPr>
        <w:t>) En ellos no es obligatoria la liquidación, pues así lo estableció el artículo 217 del Decreto 019 de 2012, que modificó el artículo 60 de la Ley 80 de 1993</w:t>
      </w:r>
      <w:r w:rsidR="00A43EEE" w:rsidRPr="008017F9">
        <w:rPr>
          <w:rStyle w:val="Refdenotaalpie"/>
          <w:rFonts w:ascii="Verdana" w:hAnsi="Verdana" w:cs="Arial"/>
          <w:color w:val="000000" w:themeColor="text1"/>
          <w:lang w:val="es-ES_tradnl"/>
        </w:rPr>
        <w:footnoteReference w:id="9"/>
      </w:r>
      <w:r w:rsidR="00A43EEE" w:rsidRPr="008017F9">
        <w:rPr>
          <w:rFonts w:ascii="Verdana" w:hAnsi="Verdana" w:cs="Arial"/>
          <w:color w:val="000000" w:themeColor="text1"/>
          <w:lang w:val="es-ES_tradnl"/>
        </w:rPr>
        <w:t>.</w:t>
      </w:r>
    </w:p>
    <w:p w14:paraId="126D2ED2" w14:textId="6128F015" w:rsidR="00A43EEE" w:rsidRPr="008017F9" w:rsidRDefault="00D01138" w:rsidP="00D01138">
      <w:pPr>
        <w:spacing w:before="120" w:after="120" w:line="240" w:lineRule="auto"/>
        <w:ind w:left="352"/>
        <w:jc w:val="both"/>
        <w:rPr>
          <w:rFonts w:ascii="Verdana" w:hAnsi="Verdana" w:cs="Arial"/>
          <w:color w:val="000000" w:themeColor="text1"/>
          <w:lang w:val="es-ES_tradnl"/>
        </w:rPr>
      </w:pPr>
      <w:r>
        <w:rPr>
          <w:rFonts w:ascii="Verdana" w:hAnsi="Verdana" w:cs="Arial"/>
          <w:color w:val="000000" w:themeColor="text1"/>
          <w:lang w:val="es-ES_tradnl"/>
        </w:rPr>
        <w:lastRenderedPageBreak/>
        <w:t>X</w:t>
      </w:r>
      <w:r w:rsidR="00A43EEE" w:rsidRPr="008017F9">
        <w:rPr>
          <w:rFonts w:ascii="Verdana" w:hAnsi="Verdana" w:cs="Arial"/>
          <w:color w:val="000000" w:themeColor="text1"/>
          <w:lang w:val="es-ES_tradnl"/>
        </w:rPr>
        <w:t>) Para su celebración no se requiere inscripción en el Registro Único de Proponentes (RUP), según lo prevé el artículo 6 de la Ley 1150 de 2007</w:t>
      </w:r>
      <w:r w:rsidR="00A43EEE" w:rsidRPr="008017F9">
        <w:rPr>
          <w:rStyle w:val="Refdenotaalpie"/>
          <w:rFonts w:ascii="Verdana" w:hAnsi="Verdana" w:cs="Arial"/>
          <w:color w:val="000000" w:themeColor="text1"/>
          <w:lang w:val="es-ES_tradnl"/>
        </w:rPr>
        <w:footnoteReference w:id="10"/>
      </w:r>
      <w:r w:rsidR="00A43EEE" w:rsidRPr="008017F9">
        <w:rPr>
          <w:rFonts w:ascii="Verdana" w:hAnsi="Verdana" w:cs="Arial"/>
          <w:color w:val="000000" w:themeColor="text1"/>
          <w:lang w:val="es-ES_tradnl"/>
        </w:rPr>
        <w:t>.</w:t>
      </w:r>
    </w:p>
    <w:p w14:paraId="113D588E" w14:textId="34A9B205" w:rsidR="008A323A" w:rsidRDefault="00D01138" w:rsidP="00D01138">
      <w:pPr>
        <w:pStyle w:val="Prrafodelista"/>
        <w:spacing w:line="240" w:lineRule="auto"/>
        <w:ind w:left="352"/>
        <w:jc w:val="both"/>
        <w:rPr>
          <w:rFonts w:ascii="Verdana" w:hAnsi="Verdana" w:cs="Arial"/>
          <w:color w:val="000000" w:themeColor="text1"/>
          <w:lang w:val="es-ES_tradnl"/>
        </w:rPr>
      </w:pPr>
      <w:r>
        <w:rPr>
          <w:rFonts w:ascii="Verdana" w:hAnsi="Verdana" w:cs="Arial"/>
          <w:color w:val="000000" w:themeColor="text1"/>
          <w:lang w:val="es-ES_tradnl"/>
        </w:rPr>
        <w:t>XI</w:t>
      </w:r>
      <w:r w:rsidR="00A43EEE" w:rsidRPr="008017F9">
        <w:rPr>
          <w:rFonts w:ascii="Verdana" w:hAnsi="Verdana" w:cs="Arial"/>
          <w:color w:val="000000" w:themeColor="text1"/>
          <w:lang w:val="es-ES_tradnl"/>
        </w:rPr>
        <w:t>) En ellos no son necesarias las garantías</w:t>
      </w:r>
      <w:r w:rsidR="00A43EEE" w:rsidRPr="008017F9">
        <w:rPr>
          <w:rStyle w:val="Refdenotaalpie"/>
          <w:rFonts w:ascii="Verdana" w:hAnsi="Verdana" w:cs="Arial"/>
          <w:color w:val="000000" w:themeColor="text1"/>
          <w:lang w:val="es-ES_tradnl"/>
        </w:rPr>
        <w:footnoteReference w:id="11"/>
      </w:r>
      <w:r w:rsidR="00A43EEE" w:rsidRPr="008017F9">
        <w:rPr>
          <w:rFonts w:ascii="Verdana" w:hAnsi="Verdana" w:cs="Arial"/>
          <w:color w:val="000000" w:themeColor="text1"/>
          <w:lang w:val="es-ES_tradnl"/>
        </w:rPr>
        <w:t>.</w:t>
      </w:r>
    </w:p>
    <w:p w14:paraId="7E3E4DCC" w14:textId="77777777" w:rsidR="008A323A" w:rsidRDefault="008A323A" w:rsidP="008A323A">
      <w:pPr>
        <w:pStyle w:val="Prrafodelista"/>
        <w:spacing w:line="240" w:lineRule="auto"/>
        <w:jc w:val="both"/>
        <w:rPr>
          <w:rFonts w:ascii="Verdana" w:hAnsi="Verdana" w:cs="Arial"/>
          <w:color w:val="000000" w:themeColor="text1"/>
          <w:lang w:val="es-ES_tradnl"/>
        </w:rPr>
      </w:pPr>
    </w:p>
    <w:p w14:paraId="5F37808A" w14:textId="2192FE40" w:rsidR="00E320D3" w:rsidRPr="00616D4E" w:rsidRDefault="006506C0" w:rsidP="00616D4E">
      <w:pPr>
        <w:pStyle w:val="Prrafodelista"/>
        <w:numPr>
          <w:ilvl w:val="0"/>
          <w:numId w:val="12"/>
        </w:numPr>
        <w:spacing w:after="0" w:line="240" w:lineRule="auto"/>
        <w:ind w:left="714" w:hanging="357"/>
        <w:jc w:val="both"/>
        <w:rPr>
          <w:rFonts w:ascii="Verdana" w:hAnsi="Verdana" w:cs="Arial"/>
          <w:color w:val="000000" w:themeColor="text1"/>
          <w:lang w:val="es-ES_tradnl"/>
        </w:rPr>
      </w:pPr>
      <w:r w:rsidRPr="00616D4E">
        <w:rPr>
          <w:rFonts w:ascii="Verdana" w:eastAsia="Yu Gothic UI Semibold" w:hAnsi="Verdana" w:cs="Arial"/>
          <w:color w:val="000000"/>
          <w:lang w:val="es-ES_tradnl"/>
        </w:rPr>
        <w:t xml:space="preserve">En este punto, </w:t>
      </w:r>
      <w:r w:rsidR="00354FFB" w:rsidRPr="00616D4E">
        <w:rPr>
          <w:rStyle w:val="normaltextrun"/>
          <w:rFonts w:ascii="Verdana" w:hAnsi="Verdana" w:cs="Arial"/>
          <w:color w:val="000000"/>
        </w:rPr>
        <w:t>analizados los requisitos y límites de los contratos de prestación de servicios profesionales, se concluye que es posible celebrar dos o más contratos de prestación de servicios profesionales con el mismo objeto por parte de una entidad. Pero, para que ello sea viable deben cumplirse los requisitos mencionados anteriormente, pues se recuerda que la celebración del contrato de prestación de servicios profesionales con una persona natural es </w:t>
      </w:r>
      <w:r w:rsidR="00354FFB" w:rsidRPr="00616D4E">
        <w:rPr>
          <w:rStyle w:val="normaltextrun"/>
          <w:rFonts w:ascii="Verdana" w:hAnsi="Verdana" w:cs="Arial"/>
          <w:i/>
          <w:iCs/>
          <w:color w:val="000000"/>
        </w:rPr>
        <w:t>excepcional</w:t>
      </w:r>
      <w:r w:rsidR="00354FFB" w:rsidRPr="00616D4E">
        <w:rPr>
          <w:rStyle w:val="normaltextrun"/>
          <w:rFonts w:ascii="Verdana" w:hAnsi="Verdana" w:cs="Arial"/>
          <w:color w:val="000000"/>
        </w:rPr>
        <w:t>, ya que solo es admisible cuando las «actividades no puedan realizarse con personal de planta o requieran conocimientos especializados», lo cual debe justificarse satisfactoriamente en los estudios previos. Además, dicho contrato debe ser </w:t>
      </w:r>
      <w:r w:rsidR="00354FFB" w:rsidRPr="00616D4E">
        <w:rPr>
          <w:rStyle w:val="normaltextrun"/>
          <w:rFonts w:ascii="Verdana" w:hAnsi="Verdana" w:cs="Arial"/>
          <w:i/>
          <w:iCs/>
          <w:color w:val="000000"/>
        </w:rPr>
        <w:t>temporal</w:t>
      </w:r>
      <w:r w:rsidR="00354FFB" w:rsidRPr="00616D4E">
        <w:rPr>
          <w:rStyle w:val="normaltextrun"/>
          <w:rFonts w:ascii="Verdana" w:hAnsi="Verdana" w:cs="Arial"/>
          <w:color w:val="000000"/>
        </w:rPr>
        <w:t> y no puede servir para la creación de nóminas paralelas</w:t>
      </w:r>
      <w:r w:rsidR="00354FFB" w:rsidRPr="00616D4E">
        <w:rPr>
          <w:rStyle w:val="superscript"/>
          <w:rFonts w:ascii="Verdana" w:hAnsi="Verdana" w:cs="Arial"/>
          <w:color w:val="000000"/>
          <w:vertAlign w:val="superscript"/>
        </w:rPr>
        <w:t>13</w:t>
      </w:r>
      <w:r w:rsidR="00354FFB" w:rsidRPr="00616D4E">
        <w:rPr>
          <w:rStyle w:val="normaltextrun"/>
          <w:rFonts w:ascii="Verdana" w:hAnsi="Verdana" w:cs="Arial"/>
          <w:color w:val="000000"/>
        </w:rPr>
        <w:t>.</w:t>
      </w:r>
    </w:p>
    <w:p w14:paraId="2DCCB511" w14:textId="30C1196F" w:rsidR="00354FFB" w:rsidRDefault="00354FFB" w:rsidP="00E320D3">
      <w:pPr>
        <w:pStyle w:val="Prrafodelista"/>
        <w:spacing w:line="276" w:lineRule="auto"/>
        <w:jc w:val="both"/>
        <w:rPr>
          <w:rFonts w:ascii="Verdana" w:hAnsi="Verdana" w:cs="Arial"/>
          <w:color w:val="000000" w:themeColor="text1"/>
          <w:lang w:val="es-ES_tradnl"/>
        </w:rPr>
      </w:pPr>
    </w:p>
    <w:p w14:paraId="48B3C2BE" w14:textId="77777777" w:rsidR="00616D4E" w:rsidRDefault="00E320D3" w:rsidP="00616D4E">
      <w:pPr>
        <w:pStyle w:val="Prrafodelista"/>
        <w:numPr>
          <w:ilvl w:val="0"/>
          <w:numId w:val="12"/>
        </w:numPr>
        <w:spacing w:after="120" w:line="276" w:lineRule="auto"/>
        <w:jc w:val="both"/>
        <w:rPr>
          <w:rFonts w:ascii="Verdana" w:eastAsia="Calibri" w:hAnsi="Verdana" w:cs="Arial"/>
        </w:rPr>
      </w:pPr>
      <w:bookmarkStart w:id="3" w:name="_Hlk69116337"/>
      <w:r w:rsidRPr="00B14A36">
        <w:rPr>
          <w:rFonts w:ascii="Verdana" w:eastAsia="Calibri" w:hAnsi="Verdana" w:cs="Arial"/>
        </w:rPr>
        <w:t>El último inciso del artículo 2.8.4.4.5 del Decreto 1068 de 2015 establece una prohibición general, de conformidad con la cual no es posible que se celebren contratos de prestación de servicios con objeto similar a otros que se encuentren vigentes. La excepción a esta prohibición general está condicionada a la existencia de una autorización expresa por parte del «jefe del respectivo órgano, ente o entidad contratante».</w:t>
      </w:r>
      <w:bookmarkEnd w:id="3"/>
    </w:p>
    <w:p w14:paraId="3342DCAC" w14:textId="77777777" w:rsidR="00616D4E" w:rsidRPr="00616D4E" w:rsidRDefault="00616D4E" w:rsidP="00616D4E">
      <w:pPr>
        <w:pStyle w:val="Prrafodelista"/>
        <w:rPr>
          <w:rFonts w:ascii="Verdana" w:eastAsia="Calibri" w:hAnsi="Verdana" w:cs="Arial"/>
        </w:rPr>
      </w:pPr>
    </w:p>
    <w:p w14:paraId="34862167" w14:textId="77777777" w:rsidR="00616D4E" w:rsidRPr="00616D4E" w:rsidRDefault="00E320D3" w:rsidP="00616D4E">
      <w:pPr>
        <w:pStyle w:val="Prrafodelista"/>
        <w:numPr>
          <w:ilvl w:val="0"/>
          <w:numId w:val="12"/>
        </w:numPr>
        <w:spacing w:after="120" w:line="276" w:lineRule="auto"/>
        <w:jc w:val="both"/>
        <w:rPr>
          <w:rFonts w:ascii="Verdana" w:eastAsia="Calibri" w:hAnsi="Verdana" w:cs="Arial"/>
        </w:rPr>
      </w:pPr>
      <w:r w:rsidRPr="00616D4E">
        <w:rPr>
          <w:rFonts w:ascii="Verdana" w:eastAsia="Calibri" w:hAnsi="Verdana" w:cs="Arial"/>
        </w:rPr>
        <w:t xml:space="preserve">Ahora bien, cuando la norma se refiere al jefe del respectivo órgano, ente o entidad, alude al representante legal de la misma. Es decir, alude a quien detenta el más alto cargo de dirección en la respectiva entidad, por ejemplo, el gobernador, el alcalde, el director de departamento administrativo, el superintendente y, por supuesto, el ministro, en el caso </w:t>
      </w:r>
      <w:r w:rsidRPr="00616D4E">
        <w:rPr>
          <w:rFonts w:ascii="Verdana" w:eastAsia="Calibri" w:hAnsi="Verdana" w:cs="Arial"/>
        </w:rPr>
        <w:lastRenderedPageBreak/>
        <w:t>puntual de los ministerios, de conformidad con los literales a), b) y c) del numeral 3 del artículo 11 de la Ley 80 de 1993</w:t>
      </w:r>
      <w:r w:rsidR="00D92B0C" w:rsidRPr="00616D4E">
        <w:rPr>
          <w:rFonts w:ascii="Verdana" w:hAnsi="Verdana"/>
        </w:rPr>
        <w:t>.</w:t>
      </w:r>
    </w:p>
    <w:p w14:paraId="18BC2C98" w14:textId="77777777" w:rsidR="00616D4E" w:rsidRPr="00616D4E" w:rsidRDefault="00616D4E" w:rsidP="00616D4E">
      <w:pPr>
        <w:pStyle w:val="Prrafodelista"/>
        <w:rPr>
          <w:rFonts w:ascii="Verdana" w:eastAsia="Calibri" w:hAnsi="Verdana" w:cs="Arial"/>
        </w:rPr>
      </w:pPr>
    </w:p>
    <w:p w14:paraId="1CD7E1A1" w14:textId="0101938C" w:rsidR="00D64F1F" w:rsidRPr="00616D4E" w:rsidRDefault="00D92B0C" w:rsidP="00616D4E">
      <w:pPr>
        <w:pStyle w:val="Prrafodelista"/>
        <w:numPr>
          <w:ilvl w:val="0"/>
          <w:numId w:val="12"/>
        </w:numPr>
        <w:spacing w:after="120" w:line="276" w:lineRule="auto"/>
        <w:jc w:val="both"/>
        <w:rPr>
          <w:rFonts w:ascii="Verdana" w:eastAsia="Calibri" w:hAnsi="Verdana" w:cs="Arial"/>
        </w:rPr>
      </w:pPr>
      <w:r w:rsidRPr="00616D4E">
        <w:rPr>
          <w:rFonts w:ascii="Verdana" w:eastAsia="Calibri" w:hAnsi="Verdana" w:cs="Arial"/>
        </w:rPr>
        <w:t>De manera que cuando el artículo 2.8.4.4.5 del Decreto 1068 de 2015 establece que no se podrán suscribir contratos de prestación de servicios con el mismo objeto de otros que se encuentren vigentes en la misma entidad, salvo autorización expresa del jefe de la entidad, se refiere al representante legal de la misma.</w:t>
      </w:r>
    </w:p>
    <w:p w14:paraId="49CB2C87" w14:textId="77777777" w:rsidR="00BD2A02" w:rsidRPr="00BD2A02" w:rsidRDefault="00BD2A02" w:rsidP="00BD2A02">
      <w:pPr>
        <w:widowControl w:val="0"/>
        <w:autoSpaceDE w:val="0"/>
        <w:autoSpaceDN w:val="0"/>
        <w:spacing w:after="0" w:line="240" w:lineRule="auto"/>
        <w:jc w:val="both"/>
        <w:rPr>
          <w:rFonts w:ascii="Verdana" w:hAnsi="Verdana" w:cs="Arial"/>
        </w:rPr>
      </w:pPr>
      <w:bookmarkStart w:id="4" w:name="OLE_LINK103"/>
      <w:bookmarkStart w:id="5" w:name="OLE_LINK104"/>
      <w:bookmarkEnd w:id="4"/>
      <w:bookmarkEnd w:id="5"/>
    </w:p>
    <w:p w14:paraId="41271E61" w14:textId="77777777" w:rsidR="003E630F" w:rsidRPr="00194D57" w:rsidRDefault="003E630F" w:rsidP="00194D57">
      <w:pPr>
        <w:widowControl w:val="0"/>
        <w:autoSpaceDE w:val="0"/>
        <w:autoSpaceDN w:val="0"/>
        <w:spacing w:after="0" w:line="240" w:lineRule="auto"/>
        <w:jc w:val="both"/>
        <w:rPr>
          <w:rFonts w:ascii="Verdana" w:hAnsi="Verdana" w:cs="Arial"/>
          <w:sz w:val="20"/>
          <w:szCs w:val="20"/>
        </w:rPr>
      </w:pPr>
    </w:p>
    <w:p w14:paraId="53133908" w14:textId="77777777" w:rsidR="00871B59" w:rsidRPr="00194D57" w:rsidRDefault="00871B59" w:rsidP="00194D57">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sz w:val="20"/>
          <w:szCs w:val="20"/>
          <w:lang w:val="es-ES"/>
        </w:rPr>
      </w:pPr>
      <w:r w:rsidRPr="00194D57">
        <w:rPr>
          <w:rFonts w:ascii="Verdana" w:eastAsia="Century Gothic" w:hAnsi="Verdana" w:cs="Century Gothic"/>
          <w:b/>
          <w:bCs/>
          <w:sz w:val="20"/>
          <w:szCs w:val="20"/>
          <w:lang w:val="es-ES"/>
        </w:rPr>
        <w:t>Referencias normativas, jurisprudenciales y otras fuentes:</w:t>
      </w:r>
    </w:p>
    <w:p w14:paraId="237FD993" w14:textId="77777777" w:rsidR="00871B59" w:rsidRPr="00194D57" w:rsidRDefault="00871B59" w:rsidP="00194D57">
      <w:pPr>
        <w:widowControl w:val="0"/>
        <w:autoSpaceDE w:val="0"/>
        <w:autoSpaceDN w:val="0"/>
        <w:spacing w:after="0" w:line="240" w:lineRule="auto"/>
        <w:jc w:val="both"/>
        <w:rPr>
          <w:rFonts w:ascii="Verdana" w:hAnsi="Verdana" w:cs="Arial"/>
          <w:sz w:val="20"/>
          <w:szCs w:val="20"/>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194D57" w14:paraId="150F7C2A" w14:textId="77777777">
        <w:trPr>
          <w:trHeight w:val="870"/>
        </w:trPr>
        <w:tc>
          <w:tcPr>
            <w:tcW w:w="8647" w:type="dxa"/>
          </w:tcPr>
          <w:p w14:paraId="34E0E11F" w14:textId="379BC414" w:rsidR="000E7D53" w:rsidRPr="000E7D53" w:rsidRDefault="000E7D53" w:rsidP="000E7D53">
            <w:pPr>
              <w:pStyle w:val="Prrafodelista"/>
              <w:widowControl w:val="0"/>
              <w:numPr>
                <w:ilvl w:val="0"/>
                <w:numId w:val="8"/>
              </w:numPr>
              <w:tabs>
                <w:tab w:val="left" w:pos="8419"/>
              </w:tabs>
              <w:autoSpaceDE w:val="0"/>
              <w:autoSpaceDN w:val="0"/>
              <w:spacing w:after="120"/>
              <w:jc w:val="both"/>
              <w:rPr>
                <w:rFonts w:ascii="Verdana" w:hAnsi="Verdana" w:cs="Arial"/>
                <w:sz w:val="20"/>
                <w:szCs w:val="20"/>
              </w:rPr>
            </w:pPr>
            <w:r w:rsidRPr="00224760">
              <w:rPr>
                <w:rFonts w:ascii="Verdana" w:hAnsi="Verdana" w:cs="Arial"/>
                <w:sz w:val="20"/>
                <w:szCs w:val="20"/>
              </w:rPr>
              <w:t>Ley 78 de 1931</w:t>
            </w:r>
            <w:r w:rsidR="00C45D30">
              <w:rPr>
                <w:rFonts w:ascii="Verdana" w:hAnsi="Verdana" w:cs="Arial"/>
                <w:sz w:val="20"/>
                <w:szCs w:val="20"/>
              </w:rPr>
              <w:t>.</w:t>
            </w:r>
          </w:p>
          <w:p w14:paraId="36A811BB" w14:textId="6DBDF859" w:rsidR="00886BD6" w:rsidRDefault="00886BD6" w:rsidP="00886BD6">
            <w:pPr>
              <w:pStyle w:val="Prrafodelista"/>
              <w:widowControl w:val="0"/>
              <w:numPr>
                <w:ilvl w:val="0"/>
                <w:numId w:val="8"/>
              </w:numPr>
              <w:tabs>
                <w:tab w:val="left" w:pos="8419"/>
              </w:tabs>
              <w:autoSpaceDE w:val="0"/>
              <w:autoSpaceDN w:val="0"/>
              <w:spacing w:after="120"/>
              <w:jc w:val="both"/>
              <w:rPr>
                <w:rFonts w:ascii="Verdana" w:hAnsi="Verdana" w:cs="Arial"/>
                <w:sz w:val="20"/>
                <w:szCs w:val="20"/>
              </w:rPr>
            </w:pPr>
            <w:r w:rsidRPr="00224760">
              <w:rPr>
                <w:rFonts w:ascii="Verdana" w:hAnsi="Verdana" w:cs="Arial"/>
                <w:sz w:val="20"/>
                <w:szCs w:val="20"/>
              </w:rPr>
              <w:t>Ley 80 de 1993</w:t>
            </w:r>
            <w:r w:rsidR="00C45D30">
              <w:rPr>
                <w:rFonts w:ascii="Verdana" w:hAnsi="Verdana" w:cs="Arial"/>
                <w:sz w:val="20"/>
                <w:szCs w:val="20"/>
              </w:rPr>
              <w:t>.</w:t>
            </w:r>
          </w:p>
          <w:p w14:paraId="68BD0760" w14:textId="2BED5A4E" w:rsidR="00886BD6" w:rsidRDefault="00886BD6" w:rsidP="00886BD6">
            <w:pPr>
              <w:pStyle w:val="Prrafodelista"/>
              <w:widowControl w:val="0"/>
              <w:numPr>
                <w:ilvl w:val="0"/>
                <w:numId w:val="8"/>
              </w:numPr>
              <w:tabs>
                <w:tab w:val="left" w:pos="8419"/>
              </w:tabs>
              <w:autoSpaceDE w:val="0"/>
              <w:autoSpaceDN w:val="0"/>
              <w:spacing w:after="120"/>
              <w:jc w:val="both"/>
              <w:rPr>
                <w:rFonts w:ascii="Verdana" w:hAnsi="Verdana" w:cs="Arial"/>
                <w:sz w:val="20"/>
                <w:szCs w:val="20"/>
              </w:rPr>
            </w:pPr>
            <w:r w:rsidRPr="00224760">
              <w:rPr>
                <w:rFonts w:ascii="Verdana" w:hAnsi="Verdana" w:cs="Arial"/>
                <w:sz w:val="20"/>
                <w:szCs w:val="20"/>
              </w:rPr>
              <w:t>Ley 1150 de 2007</w:t>
            </w:r>
            <w:r w:rsidR="00C45D30">
              <w:rPr>
                <w:rFonts w:ascii="Verdana" w:hAnsi="Verdana" w:cs="Arial"/>
                <w:sz w:val="20"/>
                <w:szCs w:val="20"/>
              </w:rPr>
              <w:t>.</w:t>
            </w:r>
          </w:p>
          <w:p w14:paraId="6F0777BF" w14:textId="4BAE326F" w:rsidR="000E7D53" w:rsidRDefault="000E7D53" w:rsidP="000E7D53">
            <w:pPr>
              <w:pStyle w:val="Prrafodelista"/>
              <w:widowControl w:val="0"/>
              <w:numPr>
                <w:ilvl w:val="0"/>
                <w:numId w:val="8"/>
              </w:numPr>
              <w:tabs>
                <w:tab w:val="left" w:pos="8419"/>
              </w:tabs>
              <w:autoSpaceDE w:val="0"/>
              <w:autoSpaceDN w:val="0"/>
              <w:spacing w:after="120"/>
              <w:jc w:val="both"/>
              <w:rPr>
                <w:rFonts w:ascii="Verdana" w:hAnsi="Verdana" w:cs="Arial"/>
                <w:sz w:val="20"/>
                <w:szCs w:val="20"/>
              </w:rPr>
            </w:pPr>
            <w:r w:rsidRPr="00224760">
              <w:rPr>
                <w:rFonts w:ascii="Verdana" w:hAnsi="Verdana" w:cs="Arial"/>
                <w:sz w:val="20"/>
                <w:szCs w:val="20"/>
              </w:rPr>
              <w:t>Decreto 1068 de 2015</w:t>
            </w:r>
            <w:r w:rsidR="00C45D30">
              <w:rPr>
                <w:rFonts w:ascii="Verdana" w:hAnsi="Verdana" w:cs="Arial"/>
                <w:sz w:val="20"/>
                <w:szCs w:val="20"/>
              </w:rPr>
              <w:t>.</w:t>
            </w:r>
          </w:p>
          <w:p w14:paraId="66D0B047" w14:textId="74D1ACD4" w:rsidR="000E7D53" w:rsidRPr="000E7D53" w:rsidRDefault="000E7D53" w:rsidP="000E7D53">
            <w:pPr>
              <w:pStyle w:val="Prrafodelista"/>
              <w:widowControl w:val="0"/>
              <w:numPr>
                <w:ilvl w:val="0"/>
                <w:numId w:val="8"/>
              </w:numPr>
              <w:tabs>
                <w:tab w:val="left" w:pos="8419"/>
              </w:tabs>
              <w:autoSpaceDE w:val="0"/>
              <w:autoSpaceDN w:val="0"/>
              <w:spacing w:after="120"/>
              <w:jc w:val="both"/>
              <w:rPr>
                <w:rFonts w:ascii="Verdana" w:hAnsi="Verdana" w:cs="Arial"/>
                <w:sz w:val="20"/>
                <w:szCs w:val="20"/>
              </w:rPr>
            </w:pPr>
            <w:r w:rsidRPr="00224760">
              <w:rPr>
                <w:rFonts w:ascii="Verdana" w:hAnsi="Verdana" w:cs="Arial"/>
                <w:sz w:val="20"/>
                <w:szCs w:val="20"/>
              </w:rPr>
              <w:t>Decreto 1082 de 2015</w:t>
            </w:r>
            <w:r w:rsidR="00C45D30">
              <w:rPr>
                <w:rFonts w:ascii="Verdana" w:hAnsi="Verdana" w:cs="Arial"/>
                <w:sz w:val="20"/>
                <w:szCs w:val="20"/>
              </w:rPr>
              <w:t>.</w:t>
            </w:r>
          </w:p>
          <w:p w14:paraId="36D0E2EA" w14:textId="2AE03F6C" w:rsidR="00886BD6" w:rsidRPr="00224760" w:rsidRDefault="00886BD6" w:rsidP="00886BD6">
            <w:pPr>
              <w:pStyle w:val="Prrafodelista"/>
              <w:widowControl w:val="0"/>
              <w:numPr>
                <w:ilvl w:val="0"/>
                <w:numId w:val="8"/>
              </w:numPr>
              <w:tabs>
                <w:tab w:val="left" w:pos="8419"/>
              </w:tabs>
              <w:autoSpaceDE w:val="0"/>
              <w:autoSpaceDN w:val="0"/>
              <w:spacing w:after="120"/>
              <w:jc w:val="both"/>
              <w:rPr>
                <w:rFonts w:ascii="Verdana" w:hAnsi="Verdana" w:cs="Arial"/>
                <w:sz w:val="20"/>
                <w:szCs w:val="20"/>
              </w:rPr>
            </w:pPr>
            <w:r w:rsidRPr="00224760">
              <w:rPr>
                <w:rFonts w:ascii="Verdana" w:hAnsi="Verdana" w:cs="Arial"/>
                <w:sz w:val="20"/>
                <w:szCs w:val="20"/>
              </w:rPr>
              <w:t>Código Sustantivo del Trabajo</w:t>
            </w:r>
            <w:r w:rsidR="00C45D30">
              <w:rPr>
                <w:rFonts w:ascii="Verdana" w:hAnsi="Verdana" w:cs="Arial"/>
                <w:sz w:val="20"/>
                <w:szCs w:val="20"/>
              </w:rPr>
              <w:t>.</w:t>
            </w:r>
          </w:p>
          <w:p w14:paraId="069DFA36" w14:textId="77EDD631" w:rsidR="00886BD6" w:rsidRPr="00224760" w:rsidRDefault="00886BD6" w:rsidP="00886BD6">
            <w:pPr>
              <w:pStyle w:val="Prrafodelista"/>
              <w:widowControl w:val="0"/>
              <w:numPr>
                <w:ilvl w:val="0"/>
                <w:numId w:val="8"/>
              </w:numPr>
              <w:tabs>
                <w:tab w:val="left" w:pos="8419"/>
              </w:tabs>
              <w:autoSpaceDE w:val="0"/>
              <w:autoSpaceDN w:val="0"/>
              <w:spacing w:after="120"/>
              <w:jc w:val="both"/>
              <w:rPr>
                <w:rFonts w:ascii="Verdana" w:hAnsi="Verdana" w:cs="Arial"/>
                <w:sz w:val="20"/>
                <w:szCs w:val="20"/>
              </w:rPr>
            </w:pPr>
            <w:r w:rsidRPr="00224760">
              <w:rPr>
                <w:rFonts w:ascii="Verdana" w:hAnsi="Verdana" w:cs="Arial"/>
                <w:sz w:val="20"/>
                <w:szCs w:val="20"/>
              </w:rPr>
              <w:t>Constitución Política de Colombia</w:t>
            </w:r>
            <w:r w:rsidR="00C45D30">
              <w:rPr>
                <w:rFonts w:ascii="Verdana" w:hAnsi="Verdana" w:cs="Arial"/>
                <w:sz w:val="20"/>
                <w:szCs w:val="20"/>
              </w:rPr>
              <w:t>.</w:t>
            </w:r>
          </w:p>
          <w:p w14:paraId="6152D3C7" w14:textId="7A3F0C56" w:rsidR="00886BD6" w:rsidRPr="000E7D53" w:rsidRDefault="00886BD6" w:rsidP="000E7D53">
            <w:pPr>
              <w:pStyle w:val="Prrafodelista"/>
              <w:widowControl w:val="0"/>
              <w:numPr>
                <w:ilvl w:val="0"/>
                <w:numId w:val="8"/>
              </w:numPr>
              <w:tabs>
                <w:tab w:val="left" w:pos="8419"/>
              </w:tabs>
              <w:autoSpaceDE w:val="0"/>
              <w:autoSpaceDN w:val="0"/>
              <w:spacing w:after="120"/>
              <w:jc w:val="both"/>
              <w:rPr>
                <w:rFonts w:ascii="Verdana" w:hAnsi="Verdana" w:cs="Arial"/>
                <w:sz w:val="20"/>
                <w:szCs w:val="20"/>
              </w:rPr>
            </w:pPr>
            <w:r w:rsidRPr="00224760">
              <w:rPr>
                <w:rFonts w:ascii="Verdana" w:hAnsi="Verdana" w:cs="Arial"/>
                <w:sz w:val="20"/>
                <w:szCs w:val="20"/>
              </w:rPr>
              <w:t>Corte Constitucional - Sentencia C-154 de 1997</w:t>
            </w:r>
            <w:r w:rsidR="00C45D30">
              <w:rPr>
                <w:rFonts w:ascii="Verdana" w:hAnsi="Verdana" w:cs="Arial"/>
                <w:sz w:val="20"/>
                <w:szCs w:val="20"/>
              </w:rPr>
              <w:t>.</w:t>
            </w:r>
          </w:p>
          <w:p w14:paraId="41935F1F" w14:textId="45E39D3B" w:rsidR="00886BD6" w:rsidRPr="00224760" w:rsidRDefault="00886BD6" w:rsidP="00886BD6">
            <w:pPr>
              <w:pStyle w:val="Prrafodelista"/>
              <w:widowControl w:val="0"/>
              <w:numPr>
                <w:ilvl w:val="0"/>
                <w:numId w:val="8"/>
              </w:numPr>
              <w:tabs>
                <w:tab w:val="left" w:pos="8419"/>
              </w:tabs>
              <w:autoSpaceDE w:val="0"/>
              <w:autoSpaceDN w:val="0"/>
              <w:spacing w:after="120"/>
              <w:jc w:val="both"/>
              <w:rPr>
                <w:rFonts w:ascii="Verdana" w:hAnsi="Verdana" w:cs="Arial"/>
                <w:sz w:val="20"/>
                <w:szCs w:val="20"/>
              </w:rPr>
            </w:pPr>
            <w:r w:rsidRPr="00224760">
              <w:rPr>
                <w:rFonts w:ascii="Verdana" w:hAnsi="Verdana" w:cs="Arial"/>
                <w:sz w:val="20"/>
                <w:szCs w:val="20"/>
              </w:rPr>
              <w:t>Consejo de Estado. Sección Tercera. Subsección C. Sentencia del 2 de diciembre de 2013</w:t>
            </w:r>
            <w:r w:rsidR="00C45D30">
              <w:rPr>
                <w:rFonts w:ascii="Verdana" w:hAnsi="Verdana" w:cs="Arial"/>
                <w:sz w:val="20"/>
                <w:szCs w:val="20"/>
              </w:rPr>
              <w:t>.</w:t>
            </w:r>
          </w:p>
          <w:p w14:paraId="16073EE9" w14:textId="4813B88D" w:rsidR="00886BD6" w:rsidRPr="00224760" w:rsidRDefault="00886BD6" w:rsidP="00886BD6">
            <w:pPr>
              <w:pStyle w:val="Prrafodelista"/>
              <w:widowControl w:val="0"/>
              <w:numPr>
                <w:ilvl w:val="0"/>
                <w:numId w:val="8"/>
              </w:numPr>
              <w:tabs>
                <w:tab w:val="left" w:pos="8419"/>
              </w:tabs>
              <w:autoSpaceDE w:val="0"/>
              <w:autoSpaceDN w:val="0"/>
              <w:spacing w:after="120"/>
              <w:contextualSpacing w:val="0"/>
              <w:jc w:val="both"/>
              <w:rPr>
                <w:rFonts w:ascii="Verdana" w:hAnsi="Verdana" w:cs="Arial"/>
                <w:sz w:val="20"/>
                <w:szCs w:val="20"/>
              </w:rPr>
            </w:pPr>
            <w:r w:rsidRPr="00224760">
              <w:rPr>
                <w:rFonts w:ascii="Verdana" w:hAnsi="Verdana" w:cs="Arial"/>
                <w:sz w:val="20"/>
                <w:szCs w:val="20"/>
              </w:rPr>
              <w:t>Sala de Consulta y Servicio Civil del Consejo de Estado - Concepto No 1.344</w:t>
            </w:r>
            <w:r w:rsidR="00C45D30">
              <w:rPr>
                <w:rFonts w:ascii="Verdana" w:hAnsi="Verdana" w:cs="Arial"/>
                <w:sz w:val="20"/>
                <w:szCs w:val="20"/>
              </w:rPr>
              <w:t>.</w:t>
            </w:r>
          </w:p>
          <w:p w14:paraId="03C3A0E2" w14:textId="2AF77A97" w:rsidR="00224760" w:rsidRPr="00224760" w:rsidRDefault="00224760" w:rsidP="00194D57">
            <w:pPr>
              <w:pStyle w:val="Prrafodelista"/>
              <w:widowControl w:val="0"/>
              <w:numPr>
                <w:ilvl w:val="0"/>
                <w:numId w:val="8"/>
              </w:numPr>
              <w:autoSpaceDE w:val="0"/>
              <w:autoSpaceDN w:val="0"/>
              <w:spacing w:after="120"/>
              <w:contextualSpacing w:val="0"/>
              <w:jc w:val="both"/>
              <w:rPr>
                <w:rFonts w:ascii="Verdana" w:hAnsi="Verdana" w:cs="Arial"/>
                <w:sz w:val="20"/>
                <w:szCs w:val="20"/>
              </w:rPr>
            </w:pPr>
            <w:r w:rsidRPr="00224760">
              <w:rPr>
                <w:rFonts w:ascii="Verdana" w:hAnsi="Verdana" w:cs="Arial"/>
                <w:sz w:val="20"/>
                <w:szCs w:val="20"/>
              </w:rPr>
              <w:t>Guía para la contratación de prestación de servicios expedido por la ANCP-CCE. Disponible en:</w:t>
            </w:r>
          </w:p>
          <w:p w14:paraId="7326CC51" w14:textId="1A0EDF02" w:rsidR="00224760" w:rsidRPr="00194D57" w:rsidRDefault="00976D5C" w:rsidP="00224760">
            <w:pPr>
              <w:pStyle w:val="Prrafodelista"/>
              <w:widowControl w:val="0"/>
              <w:autoSpaceDE w:val="0"/>
              <w:autoSpaceDN w:val="0"/>
              <w:spacing w:after="120"/>
              <w:contextualSpacing w:val="0"/>
              <w:jc w:val="both"/>
              <w:rPr>
                <w:rFonts w:ascii="Verdana" w:hAnsi="Verdana" w:cs="Arial"/>
                <w:sz w:val="20"/>
                <w:szCs w:val="20"/>
              </w:rPr>
            </w:pPr>
            <w:hyperlink r:id="rId12" w:history="1">
              <w:r w:rsidR="00224760" w:rsidRPr="00224760">
                <w:rPr>
                  <w:rStyle w:val="Hipervnculo"/>
                  <w:rFonts w:ascii="Verdana" w:hAnsi="Verdana" w:cs="Arial"/>
                  <w:sz w:val="20"/>
                  <w:szCs w:val="20"/>
                </w:rPr>
                <w:t>https://www.colombiacompra.gov.co/sites/cce_public/files/files_2020/cce-eicp-gi-21_guia_contratacion_prestacion_de_servicios_v1_03-03-2023_1.pdf</w:t>
              </w:r>
            </w:hyperlink>
          </w:p>
          <w:p w14:paraId="6ACEA7FD" w14:textId="77777777" w:rsidR="00871B59" w:rsidRPr="00194D57" w:rsidRDefault="00871B59" w:rsidP="00194D57">
            <w:pPr>
              <w:widowControl w:val="0"/>
              <w:autoSpaceDE w:val="0"/>
              <w:autoSpaceDN w:val="0"/>
              <w:spacing w:after="120"/>
              <w:ind w:left="360"/>
              <w:jc w:val="both"/>
              <w:rPr>
                <w:rFonts w:ascii="Verdana" w:hAnsi="Verdana" w:cs="Arial"/>
                <w:sz w:val="20"/>
                <w:szCs w:val="20"/>
              </w:rPr>
            </w:pPr>
          </w:p>
        </w:tc>
      </w:tr>
    </w:tbl>
    <w:p w14:paraId="0E1B166D" w14:textId="77777777" w:rsidR="00871B59" w:rsidRPr="00194D57" w:rsidRDefault="00871B59" w:rsidP="00194D57">
      <w:pPr>
        <w:widowControl w:val="0"/>
        <w:autoSpaceDE w:val="0"/>
        <w:autoSpaceDN w:val="0"/>
        <w:spacing w:after="0" w:line="240" w:lineRule="auto"/>
        <w:jc w:val="both"/>
        <w:rPr>
          <w:rFonts w:ascii="Verdana" w:hAnsi="Verdana" w:cs="Arial"/>
          <w:sz w:val="20"/>
          <w:szCs w:val="20"/>
        </w:rPr>
      </w:pPr>
    </w:p>
    <w:p w14:paraId="40380BCB" w14:textId="77777777" w:rsidR="00871B59" w:rsidRPr="00194D57" w:rsidRDefault="00871B59" w:rsidP="00194D57">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sz w:val="20"/>
          <w:szCs w:val="20"/>
          <w:lang w:val="es-ES"/>
        </w:rPr>
      </w:pPr>
      <w:r w:rsidRPr="00194D57">
        <w:rPr>
          <w:rFonts w:ascii="Verdana" w:eastAsia="Century Gothic" w:hAnsi="Verdana" w:cs="Century Gothic"/>
          <w:b/>
          <w:bCs/>
          <w:sz w:val="20"/>
          <w:szCs w:val="20"/>
          <w:lang w:val="es-ES"/>
        </w:rPr>
        <w:t>Doctrina de la Agencia Nacional de Contratación Pública:</w:t>
      </w:r>
    </w:p>
    <w:p w14:paraId="41294D6D" w14:textId="77777777" w:rsidR="00871B59" w:rsidRPr="00194D57" w:rsidRDefault="00871B59" w:rsidP="00194D57">
      <w:pPr>
        <w:widowControl w:val="0"/>
        <w:autoSpaceDE w:val="0"/>
        <w:autoSpaceDN w:val="0"/>
        <w:spacing w:after="0" w:line="240" w:lineRule="auto"/>
        <w:jc w:val="both"/>
        <w:rPr>
          <w:rFonts w:ascii="Verdana" w:hAnsi="Verdana" w:cs="Arial"/>
          <w:sz w:val="20"/>
          <w:szCs w:val="20"/>
        </w:rPr>
      </w:pPr>
    </w:p>
    <w:p w14:paraId="688C30E7" w14:textId="5005FB01" w:rsidR="00871B59" w:rsidRPr="00194D57" w:rsidRDefault="00871B59" w:rsidP="00194D57">
      <w:pPr>
        <w:widowControl w:val="0"/>
        <w:autoSpaceDE w:val="0"/>
        <w:autoSpaceDN w:val="0"/>
        <w:spacing w:after="0" w:line="240" w:lineRule="auto"/>
        <w:jc w:val="both"/>
        <w:rPr>
          <w:rStyle w:val="normaltextrun"/>
          <w:rFonts w:ascii="Verdana" w:hAnsi="Verdana" w:cs="Arial"/>
          <w:color w:val="FF0000"/>
          <w:sz w:val="20"/>
          <w:szCs w:val="20"/>
          <w:shd w:val="clear" w:color="auto" w:fill="FFFFFF"/>
          <w:lang w:val="es-ES"/>
        </w:rPr>
      </w:pPr>
      <w:r w:rsidRPr="007D0CCF">
        <w:rPr>
          <w:rFonts w:ascii="Verdana" w:hAnsi="Verdana"/>
          <w:sz w:val="20"/>
          <w:szCs w:val="20"/>
        </w:rPr>
        <w:t xml:space="preserve">Sobre </w:t>
      </w:r>
      <w:r w:rsidR="007C3ECE" w:rsidRPr="007D0CCF">
        <w:rPr>
          <w:rFonts w:ascii="Verdana" w:hAnsi="Verdana"/>
          <w:sz w:val="20"/>
          <w:szCs w:val="20"/>
        </w:rPr>
        <w:t>la simultaneidad del contrato de prestación de servicios</w:t>
      </w:r>
      <w:r w:rsidRPr="007D0CCF">
        <w:rPr>
          <w:rFonts w:ascii="Verdana" w:hAnsi="Verdana"/>
          <w:sz w:val="20"/>
          <w:szCs w:val="20"/>
        </w:rPr>
        <w:t xml:space="preserve"> esta Subdirección en los conceptos</w:t>
      </w:r>
      <w:r w:rsidR="007D0CCF">
        <w:rPr>
          <w:rFonts w:ascii="Verdana" w:hAnsi="Verdana"/>
          <w:sz w:val="20"/>
          <w:szCs w:val="20"/>
        </w:rPr>
        <w:t xml:space="preserve"> </w:t>
      </w:r>
      <w:r w:rsidR="007D0CCF" w:rsidRPr="007D0CCF">
        <w:rPr>
          <w:rFonts w:ascii="Verdana" w:hAnsi="Verdana"/>
          <w:sz w:val="20"/>
          <w:szCs w:val="20"/>
        </w:rPr>
        <w:t xml:space="preserve">C-024 de 2022, C-103 de 2023, C-286 de 2023 </w:t>
      </w:r>
      <w:r w:rsidRPr="007D0CCF">
        <w:rPr>
          <w:rFonts w:ascii="Verdana" w:hAnsi="Verdana"/>
          <w:sz w:val="20"/>
          <w:szCs w:val="20"/>
        </w:rPr>
        <w:t>se estudió</w:t>
      </w:r>
      <w:r w:rsidR="007D0CCF" w:rsidRPr="007D0CCF">
        <w:rPr>
          <w:rFonts w:ascii="Verdana" w:hAnsi="Verdana"/>
          <w:sz w:val="20"/>
          <w:szCs w:val="20"/>
        </w:rPr>
        <w:t xml:space="preserve"> el </w:t>
      </w:r>
      <w:r w:rsidR="00C45D30">
        <w:rPr>
          <w:rFonts w:ascii="Verdana" w:hAnsi="Verdana"/>
          <w:sz w:val="20"/>
          <w:szCs w:val="20"/>
        </w:rPr>
        <w:t>c</w:t>
      </w:r>
      <w:r w:rsidR="007D0CCF" w:rsidRPr="007D0CCF">
        <w:rPr>
          <w:rFonts w:ascii="Verdana" w:hAnsi="Verdana"/>
          <w:sz w:val="20"/>
          <w:szCs w:val="20"/>
        </w:rPr>
        <w:t>ontrato de prestación de servicios, requisitos, límites para su celebración y</w:t>
      </w:r>
      <w:r w:rsidRPr="007D0CCF">
        <w:rPr>
          <w:rFonts w:ascii="Verdana" w:hAnsi="Verdana"/>
          <w:sz w:val="20"/>
          <w:szCs w:val="20"/>
        </w:rPr>
        <w:t xml:space="preserve"> la </w:t>
      </w:r>
      <w:r w:rsidR="007D0CCF" w:rsidRPr="007D0CCF">
        <w:rPr>
          <w:rFonts w:ascii="Verdana" w:hAnsi="Verdana"/>
          <w:sz w:val="20"/>
          <w:szCs w:val="20"/>
        </w:rPr>
        <w:t xml:space="preserve">posibilidad de </w:t>
      </w:r>
      <w:r w:rsidR="00215347" w:rsidRPr="007D0CCF">
        <w:rPr>
          <w:rFonts w:ascii="Verdana" w:hAnsi="Verdana"/>
          <w:sz w:val="20"/>
          <w:szCs w:val="20"/>
        </w:rPr>
        <w:t>suscribir contratos</w:t>
      </w:r>
      <w:r w:rsidR="007D0CCF" w:rsidRPr="007D0CCF">
        <w:rPr>
          <w:rFonts w:ascii="Verdana" w:hAnsi="Verdana"/>
          <w:sz w:val="20"/>
          <w:szCs w:val="20"/>
        </w:rPr>
        <w:t xml:space="preserve"> de prestación de servicios</w:t>
      </w:r>
      <w:r w:rsidR="00C45D30">
        <w:rPr>
          <w:rFonts w:ascii="Verdana" w:hAnsi="Verdana"/>
          <w:sz w:val="20"/>
          <w:szCs w:val="20"/>
        </w:rPr>
        <w:t xml:space="preserve"> simultáneos</w:t>
      </w:r>
      <w:r w:rsidR="007D0CCF" w:rsidRPr="007D0CCF">
        <w:rPr>
          <w:rFonts w:ascii="Verdana" w:hAnsi="Verdana"/>
          <w:sz w:val="20"/>
          <w:szCs w:val="20"/>
        </w:rPr>
        <w:t xml:space="preserve"> con entidades estatales.</w:t>
      </w:r>
      <w:r w:rsidRPr="007D0CCF">
        <w:rPr>
          <w:rFonts w:ascii="Verdana" w:hAnsi="Verdana"/>
          <w:sz w:val="20"/>
          <w:szCs w:val="20"/>
        </w:rPr>
        <w:t xml:space="preserve"> Estos y otros conceptos se encuentran disponibles para consulta en el Sistema de relatoría de la Agencia, al cual se puede acceder a través del siguiente enlace: </w:t>
      </w:r>
      <w:hyperlink r:id="rId13" w:history="1">
        <w:r w:rsidRPr="00194D57">
          <w:rPr>
            <w:rStyle w:val="Hipervnculo"/>
            <w:rFonts w:ascii="Verdana" w:hAnsi="Verdana" w:cs="Arial"/>
            <w:sz w:val="20"/>
            <w:szCs w:val="20"/>
            <w:shd w:val="clear" w:color="auto" w:fill="FFFFFF"/>
            <w:lang w:val="es-ES"/>
          </w:rPr>
          <w:t>https://relatoria.colombiacompra.gov.co/busqueda/conceptos</w:t>
        </w:r>
      </w:hyperlink>
      <w:r w:rsidRPr="00194D57">
        <w:rPr>
          <w:rStyle w:val="normaltextrun"/>
          <w:rFonts w:ascii="Verdana" w:hAnsi="Verdana" w:cs="Arial"/>
          <w:color w:val="FF0000"/>
          <w:sz w:val="20"/>
          <w:szCs w:val="20"/>
          <w:shd w:val="clear" w:color="auto" w:fill="FFFFFF"/>
          <w:lang w:val="es-ES"/>
        </w:rPr>
        <w:t xml:space="preserve">. </w:t>
      </w:r>
    </w:p>
    <w:p w14:paraId="653CF3BE" w14:textId="77777777" w:rsidR="00871B59" w:rsidRPr="00194D57" w:rsidRDefault="00871B59" w:rsidP="00194D57">
      <w:pPr>
        <w:widowControl w:val="0"/>
        <w:autoSpaceDE w:val="0"/>
        <w:autoSpaceDN w:val="0"/>
        <w:spacing w:after="0" w:line="240" w:lineRule="auto"/>
        <w:jc w:val="both"/>
        <w:rPr>
          <w:rStyle w:val="normaltextrun"/>
          <w:rFonts w:ascii="Verdana" w:hAnsi="Verdana" w:cs="Arial"/>
          <w:color w:val="FF0000"/>
          <w:sz w:val="20"/>
          <w:szCs w:val="20"/>
          <w:shd w:val="clear" w:color="auto" w:fill="FFFFFF"/>
          <w:lang w:val="es-ES"/>
        </w:rPr>
      </w:pPr>
    </w:p>
    <w:p w14:paraId="6E5FBA74" w14:textId="77777777" w:rsidR="00871B59" w:rsidRPr="00194D57" w:rsidRDefault="00871B59" w:rsidP="00194D57">
      <w:pPr>
        <w:widowControl w:val="0"/>
        <w:autoSpaceDE w:val="0"/>
        <w:autoSpaceDN w:val="0"/>
        <w:spacing w:after="0" w:line="240" w:lineRule="auto"/>
        <w:jc w:val="both"/>
        <w:rPr>
          <w:rStyle w:val="normaltextrun"/>
          <w:rFonts w:ascii="Verdana" w:hAnsi="Verdana" w:cs="Arial"/>
          <w:color w:val="FF0000"/>
          <w:sz w:val="20"/>
          <w:szCs w:val="20"/>
          <w:shd w:val="clear" w:color="auto" w:fill="FFFFFF"/>
          <w:lang w:val="es-ES"/>
        </w:rPr>
      </w:pPr>
      <w:r w:rsidRPr="00194D57">
        <w:rPr>
          <w:rStyle w:val="normaltextrun"/>
          <w:rFonts w:ascii="Verdana" w:hAnsi="Verdana" w:cs="Arial"/>
          <w:color w:val="000000" w:themeColor="text1"/>
          <w:sz w:val="20"/>
          <w:szCs w:val="20"/>
          <w:shd w:val="clear" w:color="auto" w:fill="FFFFFF"/>
          <w:lang w:val="es-ES"/>
        </w:rPr>
        <w:t>También le invitamos a consultar las versiones I y II de 2024 del Boletín de Relatoría de la Subdirección de Gestión Contractual, las cuales puede descargar en la página web de la Agencia:</w:t>
      </w:r>
      <w:r w:rsidRPr="00194D57">
        <w:rPr>
          <w:rStyle w:val="normaltextrun"/>
          <w:rFonts w:ascii="Verdana" w:hAnsi="Verdana" w:cs="Arial"/>
          <w:color w:val="FF0000"/>
          <w:sz w:val="20"/>
          <w:szCs w:val="20"/>
          <w:shd w:val="clear" w:color="auto" w:fill="FFFFFF"/>
          <w:lang w:val="es-ES"/>
        </w:rPr>
        <w:t xml:space="preserve"> </w:t>
      </w:r>
      <w:hyperlink r:id="rId14" w:history="1">
        <w:r w:rsidRPr="00194D57">
          <w:rPr>
            <w:rStyle w:val="Hipervnculo"/>
            <w:rFonts w:ascii="Verdana" w:hAnsi="Verdana" w:cs="Arial"/>
            <w:sz w:val="20"/>
            <w:szCs w:val="20"/>
            <w:shd w:val="clear" w:color="auto" w:fill="FFFFFF"/>
            <w:lang w:val="es-ES"/>
          </w:rPr>
          <w:t>https://www.colombiacompra.gov.co/sala-de-prensa/boletin-digital</w:t>
        </w:r>
      </w:hyperlink>
      <w:r w:rsidRPr="00194D57">
        <w:rPr>
          <w:rStyle w:val="normaltextrun"/>
          <w:rFonts w:ascii="Verdana" w:hAnsi="Verdana" w:cs="Arial"/>
          <w:color w:val="FF0000"/>
          <w:sz w:val="20"/>
          <w:szCs w:val="20"/>
          <w:shd w:val="clear" w:color="auto" w:fill="FFFFFF"/>
          <w:lang w:val="es-ES"/>
        </w:rPr>
        <w:t xml:space="preserve">      </w:t>
      </w:r>
    </w:p>
    <w:p w14:paraId="1570ED43" w14:textId="77777777" w:rsidR="008815E5" w:rsidRPr="00194D57" w:rsidRDefault="008815E5" w:rsidP="00194D57">
      <w:pPr>
        <w:spacing w:after="0" w:line="240" w:lineRule="auto"/>
        <w:jc w:val="both"/>
        <w:rPr>
          <w:rFonts w:ascii="Verdana" w:hAnsi="Verdana"/>
          <w:sz w:val="20"/>
          <w:szCs w:val="20"/>
        </w:rPr>
      </w:pPr>
      <w:r w:rsidRPr="00194D57">
        <w:rPr>
          <w:rFonts w:ascii="Verdana" w:hAnsi="Verdana"/>
          <w:sz w:val="20"/>
          <w:szCs w:val="20"/>
        </w:rPr>
        <w:t xml:space="preserve">Por último, lo invitamos a seguirnos en las redes sociales en las cuales se difunde información institucional: </w:t>
      </w:r>
    </w:p>
    <w:p w14:paraId="284AF384" w14:textId="77777777" w:rsidR="008815E5" w:rsidRPr="00194D57" w:rsidRDefault="008815E5" w:rsidP="00194D57">
      <w:pPr>
        <w:spacing w:after="0" w:line="240" w:lineRule="auto"/>
        <w:jc w:val="both"/>
        <w:rPr>
          <w:rFonts w:ascii="Verdana" w:hAnsi="Verdana"/>
          <w:sz w:val="20"/>
          <w:szCs w:val="20"/>
        </w:rPr>
      </w:pPr>
    </w:p>
    <w:p w14:paraId="5E6CD010" w14:textId="77777777" w:rsidR="008815E5" w:rsidRPr="00194D57" w:rsidRDefault="008815E5" w:rsidP="00194D57">
      <w:pPr>
        <w:spacing w:after="0" w:line="240" w:lineRule="auto"/>
        <w:jc w:val="both"/>
        <w:rPr>
          <w:rFonts w:ascii="Verdana" w:hAnsi="Verdana"/>
          <w:sz w:val="20"/>
          <w:szCs w:val="20"/>
        </w:rPr>
      </w:pPr>
      <w:r w:rsidRPr="00194D57">
        <w:rPr>
          <w:rFonts w:ascii="Verdana" w:hAnsi="Verdana"/>
          <w:sz w:val="20"/>
          <w:szCs w:val="20"/>
        </w:rPr>
        <w:t xml:space="preserve">Twitter: </w:t>
      </w:r>
      <w:r w:rsidRPr="00194D57">
        <w:rPr>
          <w:rStyle w:val="Hipervnculo"/>
          <w:rFonts w:ascii="Verdana" w:hAnsi="Verdana"/>
          <w:color w:val="4472C4" w:themeColor="accent1"/>
          <w:sz w:val="20"/>
          <w:szCs w:val="20"/>
        </w:rPr>
        <w:t>@colombiacompra</w:t>
      </w:r>
      <w:r w:rsidRPr="00194D57">
        <w:rPr>
          <w:rFonts w:ascii="Verdana" w:hAnsi="Verdana"/>
          <w:color w:val="4472C4" w:themeColor="accent1"/>
          <w:sz w:val="20"/>
          <w:szCs w:val="20"/>
        </w:rPr>
        <w:t xml:space="preserve"> </w:t>
      </w:r>
    </w:p>
    <w:p w14:paraId="0F76F019" w14:textId="77777777" w:rsidR="008815E5" w:rsidRPr="00194D57" w:rsidRDefault="008815E5" w:rsidP="00194D57">
      <w:pPr>
        <w:spacing w:after="0" w:line="240" w:lineRule="auto"/>
        <w:jc w:val="both"/>
        <w:rPr>
          <w:rFonts w:ascii="Verdana" w:hAnsi="Verdana"/>
          <w:sz w:val="20"/>
          <w:szCs w:val="20"/>
        </w:rPr>
      </w:pPr>
      <w:r w:rsidRPr="00194D57">
        <w:rPr>
          <w:rFonts w:ascii="Verdana" w:hAnsi="Verdana"/>
          <w:sz w:val="20"/>
          <w:szCs w:val="20"/>
        </w:rPr>
        <w:t xml:space="preserve">Facebook: </w:t>
      </w:r>
      <w:r w:rsidRPr="00194D57">
        <w:rPr>
          <w:rStyle w:val="Hipervnculo"/>
          <w:rFonts w:ascii="Verdana" w:hAnsi="Verdana"/>
          <w:color w:val="4472C4" w:themeColor="accent1"/>
          <w:sz w:val="20"/>
          <w:szCs w:val="20"/>
        </w:rPr>
        <w:t>ColombiaCompraEficiente</w:t>
      </w:r>
    </w:p>
    <w:p w14:paraId="60E5B357" w14:textId="77777777" w:rsidR="008815E5" w:rsidRPr="00194D57" w:rsidRDefault="008815E5" w:rsidP="00194D57">
      <w:pPr>
        <w:spacing w:after="0" w:line="240" w:lineRule="auto"/>
        <w:jc w:val="both"/>
        <w:rPr>
          <w:rFonts w:ascii="Verdana" w:hAnsi="Verdana"/>
          <w:sz w:val="20"/>
          <w:szCs w:val="20"/>
        </w:rPr>
      </w:pPr>
      <w:r w:rsidRPr="00194D57">
        <w:rPr>
          <w:rFonts w:ascii="Verdana" w:hAnsi="Verdana"/>
          <w:sz w:val="20"/>
          <w:szCs w:val="20"/>
        </w:rPr>
        <w:t xml:space="preserve">LinkedIn: </w:t>
      </w:r>
      <w:r w:rsidRPr="00194D57">
        <w:rPr>
          <w:rStyle w:val="Hipervnculo"/>
          <w:rFonts w:ascii="Verdana" w:hAnsi="Verdana"/>
          <w:color w:val="4472C4" w:themeColor="accent1"/>
          <w:sz w:val="20"/>
          <w:szCs w:val="20"/>
        </w:rPr>
        <w:t>Agencia Nacional de Contratación Pública - Colombia Compra Eficiente</w:t>
      </w:r>
      <w:r w:rsidRPr="00194D57">
        <w:rPr>
          <w:rFonts w:ascii="Verdana" w:hAnsi="Verdana"/>
          <w:color w:val="4472C4" w:themeColor="accent1"/>
          <w:sz w:val="20"/>
          <w:szCs w:val="20"/>
        </w:rPr>
        <w:t xml:space="preserve"> </w:t>
      </w:r>
      <w:r w:rsidRPr="00194D57">
        <w:rPr>
          <w:rFonts w:ascii="Verdana" w:hAnsi="Verdana"/>
          <w:sz w:val="20"/>
          <w:szCs w:val="20"/>
        </w:rPr>
        <w:t xml:space="preserve">Instagram: </w:t>
      </w:r>
      <w:r w:rsidRPr="00194D57">
        <w:rPr>
          <w:rStyle w:val="Hipervnculo"/>
          <w:rFonts w:ascii="Verdana" w:hAnsi="Verdana"/>
          <w:color w:val="4472C4" w:themeColor="accent1"/>
          <w:sz w:val="20"/>
          <w:szCs w:val="20"/>
        </w:rPr>
        <w:t>@colombiacompraeficiente_cce</w:t>
      </w:r>
    </w:p>
    <w:p w14:paraId="6980ECB3" w14:textId="77777777" w:rsidR="00871B59" w:rsidRPr="00194D57" w:rsidRDefault="00871B59" w:rsidP="00194D57">
      <w:pPr>
        <w:widowControl w:val="0"/>
        <w:autoSpaceDE w:val="0"/>
        <w:autoSpaceDN w:val="0"/>
        <w:spacing w:after="0" w:line="240" w:lineRule="auto"/>
        <w:jc w:val="both"/>
        <w:rPr>
          <w:rFonts w:ascii="Verdana" w:hAnsi="Verdana" w:cs="Arial"/>
          <w:sz w:val="20"/>
          <w:szCs w:val="20"/>
        </w:rPr>
      </w:pPr>
    </w:p>
    <w:p w14:paraId="120572E9" w14:textId="77777777" w:rsidR="00871B59" w:rsidRPr="00194D57" w:rsidRDefault="00871B59" w:rsidP="00194D57">
      <w:pPr>
        <w:widowControl w:val="0"/>
        <w:autoSpaceDE w:val="0"/>
        <w:autoSpaceDN w:val="0"/>
        <w:spacing w:after="0" w:line="240" w:lineRule="auto"/>
        <w:jc w:val="both"/>
        <w:rPr>
          <w:rFonts w:ascii="Verdana" w:hAnsi="Verdana" w:cs="Arial"/>
          <w:sz w:val="20"/>
          <w:szCs w:val="20"/>
          <w:lang w:val="es-ES_tradnl"/>
        </w:rPr>
      </w:pPr>
      <w:r w:rsidRPr="00194D57">
        <w:rPr>
          <w:rFonts w:ascii="Verdana" w:hAnsi="Verdana" w:cs="Arial"/>
          <w:sz w:val="20"/>
          <w:szCs w:val="20"/>
        </w:rPr>
        <w:t xml:space="preserve">Este concepto tiene el alcance previsto en el artículo 28 del Código de Procedimiento Administrativo y de lo Contencioso Administrativo </w:t>
      </w:r>
      <w:r w:rsidRPr="00194D57">
        <w:rPr>
          <w:rFonts w:ascii="Verdana" w:hAnsi="Verdana" w:cs="Arial"/>
          <w:sz w:val="20"/>
          <w:szCs w:val="20"/>
          <w:lang w:val="es-ES_tradnl"/>
        </w:rPr>
        <w:t>y las expresiones aquí utilizadas con mayúscula inicial deben ser entendidas con el significado que les otorga el artículo 2.2.1.1.1.3.1. del Decreto 1082 de 2015.</w:t>
      </w:r>
    </w:p>
    <w:p w14:paraId="76160CFD" w14:textId="77777777" w:rsidR="00871B59" w:rsidRPr="00194D57" w:rsidRDefault="00871B59" w:rsidP="00194D57">
      <w:pPr>
        <w:widowControl w:val="0"/>
        <w:autoSpaceDE w:val="0"/>
        <w:autoSpaceDN w:val="0"/>
        <w:spacing w:after="0" w:line="240" w:lineRule="auto"/>
        <w:jc w:val="both"/>
        <w:rPr>
          <w:rFonts w:ascii="Verdana" w:hAnsi="Verdana" w:cs="Arial"/>
          <w:sz w:val="20"/>
          <w:szCs w:val="20"/>
        </w:rPr>
      </w:pPr>
    </w:p>
    <w:p w14:paraId="46FD3687" w14:textId="38AEF950" w:rsidR="00871B59" w:rsidRPr="00194D57" w:rsidRDefault="00871B59" w:rsidP="00194D57">
      <w:pPr>
        <w:spacing w:after="0" w:line="240" w:lineRule="auto"/>
        <w:rPr>
          <w:rFonts w:ascii="Verdana" w:hAnsi="Verdana" w:cs="Arial"/>
          <w:sz w:val="20"/>
          <w:szCs w:val="20"/>
          <w:lang w:eastAsia="es-CO"/>
        </w:rPr>
      </w:pPr>
      <w:r w:rsidRPr="00194D57">
        <w:rPr>
          <w:rFonts w:ascii="Verdana" w:eastAsia="Times New Roman" w:hAnsi="Verdana" w:cs="Arial"/>
          <w:sz w:val="20"/>
          <w:szCs w:val="20"/>
          <w:lang w:eastAsia="es-CO"/>
        </w:rPr>
        <w:t>Atentamente,</w:t>
      </w:r>
      <w:r w:rsidRPr="00194D57">
        <w:rPr>
          <w:rFonts w:ascii="Verdana" w:hAnsi="Verdana" w:cs="Arial"/>
          <w:sz w:val="20"/>
          <w:szCs w:val="20"/>
          <w:lang w:eastAsia="es-CO"/>
        </w:rPr>
        <w:t xml:space="preserve"> </w:t>
      </w:r>
    </w:p>
    <w:p w14:paraId="5CDF8393" w14:textId="0B801469" w:rsidR="00472C00" w:rsidRDefault="00472C00" w:rsidP="00194D57">
      <w:pPr>
        <w:spacing w:line="240" w:lineRule="auto"/>
        <w:jc w:val="center"/>
        <w:rPr>
          <w:rFonts w:ascii="Verdana" w:hAnsi="Verdana" w:cs="Arial"/>
          <w:color w:val="000000"/>
          <w:sz w:val="20"/>
          <w:szCs w:val="20"/>
          <w:lang w:val="es-ES_tradnl" w:eastAsia="es-CO"/>
        </w:rPr>
      </w:pPr>
      <w:r>
        <w:rPr>
          <w:noProof/>
        </w:rPr>
        <w:drawing>
          <wp:anchor distT="0" distB="0" distL="114300" distR="114300" simplePos="0" relativeHeight="251659264" behindDoc="0" locked="0" layoutInCell="1" allowOverlap="1" wp14:anchorId="3913EA28" wp14:editId="4B9BA4A2">
            <wp:simplePos x="0" y="0"/>
            <wp:positionH relativeFrom="margin">
              <wp:align>center</wp:align>
            </wp:positionH>
            <wp:positionV relativeFrom="paragraph">
              <wp:posOffset>143455</wp:posOffset>
            </wp:positionV>
            <wp:extent cx="3771265" cy="139954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71265" cy="1399540"/>
                    </a:xfrm>
                    <a:prstGeom prst="rect">
                      <a:avLst/>
                    </a:prstGeom>
                  </pic:spPr>
                </pic:pic>
              </a:graphicData>
            </a:graphic>
            <wp14:sizeRelH relativeFrom="margin">
              <wp14:pctWidth>0</wp14:pctWidth>
            </wp14:sizeRelH>
            <wp14:sizeRelV relativeFrom="margin">
              <wp14:pctHeight>0</wp14:pctHeight>
            </wp14:sizeRelV>
          </wp:anchor>
        </w:drawing>
      </w:r>
    </w:p>
    <w:p w14:paraId="7B21B32E" w14:textId="7714D308" w:rsidR="00871B59" w:rsidRDefault="00871B59" w:rsidP="00194D57">
      <w:pPr>
        <w:spacing w:line="240" w:lineRule="auto"/>
        <w:jc w:val="center"/>
        <w:rPr>
          <w:rFonts w:ascii="Verdana" w:hAnsi="Verdana" w:cs="Arial"/>
          <w:color w:val="000000"/>
          <w:sz w:val="20"/>
          <w:szCs w:val="20"/>
          <w:lang w:val="es-ES_tradnl" w:eastAsia="es-CO"/>
        </w:rPr>
      </w:pPr>
    </w:p>
    <w:p w14:paraId="424EBEFC" w14:textId="62019BAB" w:rsidR="00472C00" w:rsidRDefault="00472C00" w:rsidP="00194D57">
      <w:pPr>
        <w:spacing w:line="240" w:lineRule="auto"/>
        <w:jc w:val="center"/>
        <w:rPr>
          <w:rFonts w:ascii="Verdana" w:hAnsi="Verdana" w:cs="Arial"/>
          <w:color w:val="000000"/>
          <w:sz w:val="20"/>
          <w:szCs w:val="20"/>
          <w:lang w:val="es-ES_tradnl" w:eastAsia="es-CO"/>
        </w:rPr>
      </w:pPr>
    </w:p>
    <w:p w14:paraId="72BDCBF4" w14:textId="0564A55B" w:rsidR="00472C00" w:rsidRDefault="00472C00" w:rsidP="00194D57">
      <w:pPr>
        <w:spacing w:line="240" w:lineRule="auto"/>
        <w:jc w:val="center"/>
        <w:rPr>
          <w:rFonts w:ascii="Verdana" w:hAnsi="Verdana" w:cs="Arial"/>
          <w:color w:val="000000"/>
          <w:sz w:val="20"/>
          <w:szCs w:val="20"/>
          <w:lang w:val="es-ES_tradnl" w:eastAsia="es-CO"/>
        </w:rPr>
      </w:pPr>
    </w:p>
    <w:p w14:paraId="02BF7FCD" w14:textId="0796A056" w:rsidR="00472C00" w:rsidRDefault="00472C00" w:rsidP="00194D57">
      <w:pPr>
        <w:spacing w:line="240" w:lineRule="auto"/>
        <w:jc w:val="center"/>
        <w:rPr>
          <w:rFonts w:ascii="Verdana" w:hAnsi="Verdana" w:cs="Arial"/>
          <w:color w:val="000000"/>
          <w:sz w:val="20"/>
          <w:szCs w:val="20"/>
          <w:lang w:val="es-ES_tradnl" w:eastAsia="es-CO"/>
        </w:rPr>
      </w:pPr>
    </w:p>
    <w:p w14:paraId="3891B3F3" w14:textId="48B13E4B" w:rsidR="00472C00" w:rsidRDefault="00472C00" w:rsidP="00194D57">
      <w:pPr>
        <w:spacing w:line="240" w:lineRule="auto"/>
        <w:jc w:val="center"/>
        <w:rPr>
          <w:rFonts w:ascii="Verdana" w:hAnsi="Verdana" w:cs="Arial"/>
          <w:color w:val="000000"/>
          <w:sz w:val="20"/>
          <w:szCs w:val="20"/>
          <w:lang w:val="es-ES_tradnl" w:eastAsia="es-CO"/>
        </w:rPr>
      </w:pPr>
    </w:p>
    <w:p w14:paraId="52AFA9AC" w14:textId="77777777" w:rsidR="00472C00" w:rsidRPr="00194D57" w:rsidRDefault="00472C00" w:rsidP="00194D57">
      <w:pPr>
        <w:spacing w:line="240" w:lineRule="auto"/>
        <w:jc w:val="center"/>
        <w:rPr>
          <w:rFonts w:ascii="Verdana" w:hAnsi="Verdana" w:cs="Arial"/>
          <w:color w:val="000000"/>
          <w:sz w:val="20"/>
          <w:szCs w:val="20"/>
          <w:lang w:val="es-ES_tradnl" w:eastAsia="es-CO"/>
        </w:rPr>
      </w:pPr>
      <w:bookmarkStart w:id="6" w:name="_GoBack"/>
      <w:bookmarkEnd w:id="6"/>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71B59" w:rsidRPr="00194D57" w14:paraId="2A20789D" w14:textId="77777777">
        <w:trPr>
          <w:trHeight w:val="315"/>
        </w:trPr>
        <w:tc>
          <w:tcPr>
            <w:tcW w:w="893" w:type="dxa"/>
            <w:vAlign w:val="center"/>
            <w:hideMark/>
          </w:tcPr>
          <w:p w14:paraId="56E3D941" w14:textId="77777777" w:rsidR="00871B59" w:rsidRPr="00F72F81" w:rsidRDefault="00871B59" w:rsidP="00194D57">
            <w:pPr>
              <w:contextualSpacing/>
              <w:rPr>
                <w:rFonts w:ascii="Verdana" w:hAnsi="Verdana" w:cs="Arial"/>
                <w:sz w:val="16"/>
                <w:szCs w:val="16"/>
                <w:lang w:val="es-ES" w:eastAsia="es-ES"/>
              </w:rPr>
            </w:pPr>
            <w:r w:rsidRPr="00F72F81">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E128207" w14:textId="14F51FE3" w:rsidR="00871B59" w:rsidRPr="00F72F81" w:rsidRDefault="00F72F81" w:rsidP="00194D57">
            <w:pPr>
              <w:contextualSpacing/>
              <w:rPr>
                <w:rFonts w:ascii="Verdana" w:eastAsia="Arial" w:hAnsi="Verdana" w:cs="Arial"/>
                <w:color w:val="7030A0"/>
                <w:sz w:val="16"/>
                <w:szCs w:val="16"/>
              </w:rPr>
            </w:pPr>
            <w:r w:rsidRPr="00F72F81">
              <w:rPr>
                <w:rStyle w:val="normaltextrun"/>
                <w:rFonts w:ascii="Verdana" w:hAnsi="Verdana"/>
                <w:sz w:val="16"/>
                <w:szCs w:val="16"/>
              </w:rPr>
              <w:t>Sergio Andrés Rivera Cano</w:t>
            </w:r>
          </w:p>
          <w:p w14:paraId="27134A92" w14:textId="159073BF" w:rsidR="00871B59" w:rsidRPr="00F72F81" w:rsidRDefault="00F72F81" w:rsidP="00194D57">
            <w:pPr>
              <w:contextualSpacing/>
              <w:rPr>
                <w:rFonts w:ascii="Verdana" w:eastAsia="Arial" w:hAnsi="Verdana" w:cs="Arial"/>
                <w:sz w:val="16"/>
                <w:szCs w:val="16"/>
              </w:rPr>
            </w:pPr>
            <w:r w:rsidRPr="00B14A36">
              <w:rPr>
                <w:rStyle w:val="normaltextrun"/>
                <w:rFonts w:ascii="Verdana" w:eastAsia="Arial" w:hAnsi="Verdana" w:cs="Arial"/>
                <w:sz w:val="16"/>
                <w:szCs w:val="16"/>
              </w:rPr>
              <w:t>C</w:t>
            </w:r>
            <w:r w:rsidRPr="000A61CC">
              <w:rPr>
                <w:rStyle w:val="normaltextrun"/>
                <w:rFonts w:ascii="Verdana" w:eastAsia="Arial" w:hAnsi="Verdana"/>
                <w:sz w:val="16"/>
                <w:szCs w:val="16"/>
              </w:rPr>
              <w:t>ontratista</w:t>
            </w:r>
            <w:r w:rsidR="00871B59" w:rsidRPr="00B14A36">
              <w:rPr>
                <w:rStyle w:val="normaltextrun"/>
                <w:rFonts w:ascii="Verdana" w:eastAsia="Arial" w:hAnsi="Verdana" w:cs="Arial"/>
                <w:sz w:val="16"/>
                <w:szCs w:val="16"/>
              </w:rPr>
              <w:t xml:space="preserve"> </w:t>
            </w:r>
            <w:r w:rsidR="00871B59" w:rsidRPr="000A61CC">
              <w:rPr>
                <w:rStyle w:val="normaltextrun"/>
                <w:rFonts w:ascii="Verdana" w:eastAsia="Arial" w:hAnsi="Verdana" w:cs="Arial"/>
                <w:sz w:val="16"/>
                <w:szCs w:val="16"/>
              </w:rPr>
              <w:t>de la Subdirección de Gestión Contractual</w:t>
            </w:r>
          </w:p>
        </w:tc>
      </w:tr>
      <w:tr w:rsidR="00871B59" w:rsidRPr="00194D57" w14:paraId="409BBACC" w14:textId="77777777">
        <w:trPr>
          <w:trHeight w:val="330"/>
        </w:trPr>
        <w:tc>
          <w:tcPr>
            <w:tcW w:w="893" w:type="dxa"/>
            <w:vAlign w:val="center"/>
            <w:hideMark/>
          </w:tcPr>
          <w:p w14:paraId="3ABFF401" w14:textId="77777777" w:rsidR="00871B59" w:rsidRPr="00F72F81" w:rsidRDefault="00871B59" w:rsidP="00194D57">
            <w:pPr>
              <w:contextualSpacing/>
              <w:rPr>
                <w:rFonts w:ascii="Verdana" w:hAnsi="Verdana" w:cs="Arial"/>
                <w:sz w:val="16"/>
                <w:szCs w:val="16"/>
                <w:lang w:val="es-ES" w:eastAsia="es-ES"/>
              </w:rPr>
            </w:pPr>
            <w:r w:rsidRPr="00F72F81">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C8CF687" w14:textId="249CA50A" w:rsidR="00695511" w:rsidRPr="00695511" w:rsidRDefault="00695511" w:rsidP="00194D57">
            <w:pPr>
              <w:pStyle w:val="paragraph"/>
              <w:spacing w:before="0" w:beforeAutospacing="0" w:after="0" w:afterAutospacing="0"/>
              <w:contextualSpacing/>
              <w:textAlignment w:val="baseline"/>
              <w:rPr>
                <w:rStyle w:val="normaltextrun"/>
                <w:rFonts w:ascii="Verdana" w:hAnsi="Verdana" w:cs="Arial"/>
                <w:sz w:val="16"/>
                <w:szCs w:val="16"/>
                <w:lang w:val="es-ES"/>
              </w:rPr>
            </w:pPr>
            <w:r w:rsidRPr="00695511">
              <w:rPr>
                <w:rStyle w:val="normaltextrun"/>
                <w:rFonts w:ascii="Verdana" w:hAnsi="Verdana" w:cs="Arial"/>
                <w:sz w:val="16"/>
                <w:szCs w:val="16"/>
                <w:lang w:val="es-ES"/>
              </w:rPr>
              <w:t>A</w:t>
            </w:r>
            <w:r w:rsidRPr="00695511">
              <w:rPr>
                <w:rStyle w:val="normaltextrun"/>
                <w:rFonts w:ascii="Verdana" w:hAnsi="Verdana"/>
                <w:sz w:val="16"/>
                <w:szCs w:val="16"/>
                <w:lang w:val="es-ES"/>
              </w:rPr>
              <w:t xml:space="preserve">driana López Rodríguez </w:t>
            </w:r>
          </w:p>
          <w:p w14:paraId="408B71DB" w14:textId="335CCD7C" w:rsidR="00871B59" w:rsidRPr="00F72F81" w:rsidRDefault="00695511" w:rsidP="00194D57">
            <w:pPr>
              <w:pStyle w:val="paragraph"/>
              <w:spacing w:before="0" w:beforeAutospacing="0" w:after="0" w:afterAutospacing="0"/>
              <w:contextualSpacing/>
              <w:textAlignment w:val="baseline"/>
              <w:rPr>
                <w:rFonts w:ascii="Verdana" w:hAnsi="Verdana" w:cs="Segoe UI"/>
                <w:sz w:val="16"/>
                <w:szCs w:val="16"/>
              </w:rPr>
            </w:pPr>
            <w:r>
              <w:rPr>
                <w:rStyle w:val="normaltextrun"/>
                <w:rFonts w:ascii="Verdana" w:hAnsi="Verdana" w:cs="Arial"/>
                <w:sz w:val="16"/>
                <w:szCs w:val="16"/>
                <w:lang w:val="es-ES"/>
              </w:rPr>
              <w:t>Contratista</w:t>
            </w:r>
            <w:r w:rsidR="00871B59" w:rsidRPr="00695511">
              <w:rPr>
                <w:rStyle w:val="normaltextrun"/>
                <w:rFonts w:ascii="Verdana" w:hAnsi="Verdana" w:cs="Arial"/>
                <w:sz w:val="16"/>
                <w:szCs w:val="16"/>
                <w:lang w:val="es-ES"/>
              </w:rPr>
              <w:t xml:space="preserve"> de la Subdirección de Gestión Contractual</w:t>
            </w:r>
            <w:r w:rsidR="00871B59" w:rsidRPr="00695511">
              <w:rPr>
                <w:rStyle w:val="eop"/>
                <w:rFonts w:ascii="Verdana" w:hAnsi="Verdana" w:cs="Arial"/>
                <w:sz w:val="16"/>
                <w:szCs w:val="16"/>
              </w:rPr>
              <w:t> </w:t>
            </w:r>
          </w:p>
        </w:tc>
      </w:tr>
      <w:tr w:rsidR="00871B59" w:rsidRPr="00194D57" w14:paraId="2A81CFC8" w14:textId="77777777">
        <w:trPr>
          <w:trHeight w:val="300"/>
        </w:trPr>
        <w:tc>
          <w:tcPr>
            <w:tcW w:w="893" w:type="dxa"/>
            <w:vAlign w:val="center"/>
          </w:tcPr>
          <w:p w14:paraId="3159EE97" w14:textId="77777777" w:rsidR="00871B59" w:rsidRPr="00F72F81" w:rsidRDefault="00871B59" w:rsidP="00194D57">
            <w:pPr>
              <w:contextualSpacing/>
              <w:rPr>
                <w:rFonts w:ascii="Verdana" w:hAnsi="Verdana" w:cs="Arial"/>
                <w:sz w:val="16"/>
                <w:szCs w:val="16"/>
                <w:lang w:val="es-ES" w:eastAsia="es-ES"/>
              </w:rPr>
            </w:pPr>
            <w:r w:rsidRPr="00F72F81">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22DF76" w14:textId="7134A3E2" w:rsidR="00871B59" w:rsidRPr="00F72F81" w:rsidRDefault="00871B59" w:rsidP="00194D57">
            <w:pPr>
              <w:contextualSpacing/>
              <w:rPr>
                <w:rFonts w:ascii="Verdana" w:eastAsia="Calibri" w:hAnsi="Verdana" w:cs="Arial"/>
                <w:sz w:val="16"/>
                <w:szCs w:val="16"/>
                <w:lang w:val="pt-BR" w:eastAsia="es-ES"/>
              </w:rPr>
            </w:pPr>
            <w:r w:rsidRPr="00F72F81">
              <w:rPr>
                <w:rFonts w:ascii="Verdana" w:eastAsia="Calibri" w:hAnsi="Verdana" w:cs="Arial"/>
                <w:sz w:val="16"/>
                <w:szCs w:val="16"/>
                <w:lang w:val="pt-BR" w:eastAsia="es-ES"/>
              </w:rPr>
              <w:t xml:space="preserve">Carolina Quintero </w:t>
            </w:r>
            <w:proofErr w:type="spellStart"/>
            <w:r w:rsidRPr="00F72F81">
              <w:rPr>
                <w:rFonts w:ascii="Verdana" w:eastAsia="Calibri" w:hAnsi="Verdana" w:cs="Arial"/>
                <w:sz w:val="16"/>
                <w:szCs w:val="16"/>
                <w:lang w:val="pt-BR" w:eastAsia="es-ES"/>
              </w:rPr>
              <w:t>Gacharná</w:t>
            </w:r>
            <w:proofErr w:type="spellEnd"/>
          </w:p>
          <w:p w14:paraId="6EE38C14" w14:textId="77777777" w:rsidR="00871B59" w:rsidRPr="00F72F81" w:rsidRDefault="00871B59" w:rsidP="00194D57">
            <w:pPr>
              <w:contextualSpacing/>
              <w:rPr>
                <w:rFonts w:ascii="Verdana" w:eastAsia="Calibri" w:hAnsi="Verdana" w:cs="Arial"/>
                <w:sz w:val="16"/>
                <w:szCs w:val="16"/>
                <w:lang w:val="pt-BR" w:eastAsia="es-ES"/>
              </w:rPr>
            </w:pPr>
            <w:r w:rsidRPr="00F72F81">
              <w:rPr>
                <w:rFonts w:ascii="Verdana" w:eastAsia="Calibri" w:hAnsi="Verdana" w:cs="Arial"/>
                <w:sz w:val="16"/>
                <w:szCs w:val="16"/>
                <w:lang w:eastAsia="es-ES"/>
              </w:rPr>
              <w:t>Subdirectora</w:t>
            </w:r>
            <w:r w:rsidRPr="00F72F81">
              <w:rPr>
                <w:rFonts w:ascii="Verdana" w:eastAsia="Calibri" w:hAnsi="Verdana" w:cs="Arial"/>
                <w:sz w:val="16"/>
                <w:szCs w:val="16"/>
                <w:lang w:val="pt-BR" w:eastAsia="es-ES"/>
              </w:rPr>
              <w:t xml:space="preserve"> de Gestión Contractual ANCP – CCE</w:t>
            </w:r>
          </w:p>
        </w:tc>
      </w:tr>
    </w:tbl>
    <w:p w14:paraId="510CF084" w14:textId="77777777" w:rsidR="00871B59" w:rsidRPr="00194D57" w:rsidRDefault="00871B59" w:rsidP="00194D57">
      <w:pPr>
        <w:spacing w:after="0" w:line="240" w:lineRule="auto"/>
        <w:rPr>
          <w:rFonts w:ascii="Verdana" w:eastAsia="Times New Roman" w:hAnsi="Verdana" w:cs="Arial"/>
          <w:sz w:val="20"/>
          <w:szCs w:val="20"/>
          <w:lang w:eastAsia="es-ES"/>
        </w:rPr>
      </w:pPr>
    </w:p>
    <w:p w14:paraId="0083C991" w14:textId="5C765C2F" w:rsidR="5D8505AD" w:rsidRPr="00194D57" w:rsidRDefault="5D8505AD" w:rsidP="00194D57">
      <w:pPr>
        <w:spacing w:line="240" w:lineRule="auto"/>
        <w:rPr>
          <w:rFonts w:ascii="Verdana" w:hAnsi="Verdana"/>
          <w:sz w:val="20"/>
          <w:szCs w:val="20"/>
        </w:rPr>
      </w:pPr>
    </w:p>
    <w:sectPr w:rsidR="5D8505AD" w:rsidRPr="00194D57" w:rsidSect="00E45F4B">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3B269" w14:textId="77777777" w:rsidR="00976D5C" w:rsidRDefault="00976D5C" w:rsidP="00B30448">
      <w:pPr>
        <w:spacing w:after="0" w:line="240" w:lineRule="auto"/>
      </w:pPr>
      <w:r>
        <w:separator/>
      </w:r>
    </w:p>
  </w:endnote>
  <w:endnote w:type="continuationSeparator" w:id="0">
    <w:p w14:paraId="0A3F3E2C" w14:textId="77777777" w:rsidR="00976D5C" w:rsidRDefault="00976D5C" w:rsidP="00B30448">
      <w:pPr>
        <w:spacing w:after="0" w:line="240" w:lineRule="auto"/>
      </w:pPr>
      <w:r>
        <w:continuationSeparator/>
      </w:r>
    </w:p>
  </w:endnote>
  <w:endnote w:type="continuationNotice" w:id="1">
    <w:p w14:paraId="4C48F232" w14:textId="77777777" w:rsidR="00976D5C" w:rsidRDefault="00976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Geomanist Light">
    <w:altName w:val="Calibri"/>
    <w:charset w:val="00"/>
    <w:family w:val="auto"/>
    <w:pitch w:val="variable"/>
    <w:sig w:usb0="A000002F" w:usb1="1000004A" w:usb2="00000000" w:usb3="00000000" w:csb0="00000193"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AA192" w14:textId="77777777" w:rsidR="00976D5C" w:rsidRDefault="00976D5C" w:rsidP="00B30448">
      <w:pPr>
        <w:spacing w:after="0" w:line="240" w:lineRule="auto"/>
      </w:pPr>
      <w:r>
        <w:separator/>
      </w:r>
    </w:p>
  </w:footnote>
  <w:footnote w:type="continuationSeparator" w:id="0">
    <w:p w14:paraId="64C71260" w14:textId="77777777" w:rsidR="00976D5C" w:rsidRDefault="00976D5C" w:rsidP="00B30448">
      <w:pPr>
        <w:spacing w:after="0" w:line="240" w:lineRule="auto"/>
      </w:pPr>
      <w:r>
        <w:continuationSeparator/>
      </w:r>
    </w:p>
  </w:footnote>
  <w:footnote w:type="continuationNotice" w:id="1">
    <w:p w14:paraId="08F04519" w14:textId="77777777" w:rsidR="00976D5C" w:rsidRDefault="00976D5C">
      <w:pPr>
        <w:spacing w:after="0" w:line="240" w:lineRule="auto"/>
      </w:pPr>
    </w:p>
  </w:footnote>
  <w:footnote w:id="2">
    <w:p w14:paraId="6F29D825" w14:textId="77777777" w:rsidR="00A43EEE" w:rsidRPr="003B5A77" w:rsidRDefault="00A43EEE" w:rsidP="00A43EEE">
      <w:pPr>
        <w:pStyle w:val="Textonotapie"/>
        <w:ind w:firstLine="709"/>
        <w:jc w:val="both"/>
        <w:rPr>
          <w:rFonts w:ascii="Verdana" w:hAnsi="Verdana" w:cs="Arial"/>
          <w:color w:val="000000" w:themeColor="text1"/>
          <w:sz w:val="11"/>
          <w:szCs w:val="11"/>
          <w:lang w:val="es-ES"/>
        </w:rPr>
      </w:pPr>
      <w:r w:rsidRPr="003B5A77">
        <w:rPr>
          <w:rStyle w:val="Refdenotaalpie"/>
          <w:rFonts w:ascii="Verdana" w:hAnsi="Verdana" w:cs="Arial"/>
          <w:color w:val="000000" w:themeColor="text1"/>
          <w:sz w:val="11"/>
          <w:szCs w:val="11"/>
        </w:rPr>
        <w:footnoteRef/>
      </w:r>
      <w:r w:rsidRPr="003B5A77">
        <w:rPr>
          <w:rFonts w:ascii="Verdana" w:hAnsi="Verdana" w:cs="Arial"/>
          <w:color w:val="000000" w:themeColor="text1"/>
          <w:sz w:val="11"/>
          <w:szCs w:val="11"/>
        </w:rPr>
        <w:t xml:space="preserve"> </w:t>
      </w:r>
      <w:r w:rsidRPr="003B5A77">
        <w:rPr>
          <w:rFonts w:ascii="Verdana" w:hAnsi="Verdana" w:cs="Arial"/>
          <w:color w:val="000000" w:themeColor="text1"/>
          <w:sz w:val="11"/>
          <w:szCs w:val="11"/>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33560166" w14:textId="77777777" w:rsidR="00A43EEE" w:rsidRPr="003B5A77" w:rsidRDefault="00A43EEE" w:rsidP="00A43EEE">
      <w:pPr>
        <w:pStyle w:val="Textonotapie"/>
        <w:ind w:firstLine="709"/>
        <w:jc w:val="both"/>
        <w:rPr>
          <w:rFonts w:ascii="Verdana" w:hAnsi="Verdana" w:cs="Arial"/>
          <w:color w:val="000000" w:themeColor="text1"/>
          <w:sz w:val="11"/>
          <w:szCs w:val="11"/>
          <w:lang w:val="es-ES"/>
        </w:rPr>
      </w:pPr>
      <w:r w:rsidRPr="003B5A77">
        <w:rPr>
          <w:rFonts w:ascii="Verdana" w:hAnsi="Verdana" w:cs="Arial"/>
          <w:color w:val="000000" w:themeColor="text1"/>
          <w:sz w:val="11"/>
          <w:szCs w:val="11"/>
          <w:lang w:val="es-ES"/>
        </w:rPr>
        <w:t>»2. Quien presta el servicio se denomina trabajador, quien lo recibe y remunera, empleador, y la remuneración, cualquiera que sea su forma, salario».</w:t>
      </w:r>
    </w:p>
    <w:p w14:paraId="0580721C" w14:textId="77777777" w:rsidR="00A43EEE" w:rsidRPr="004C4C02" w:rsidRDefault="00A43EEE" w:rsidP="00A43EEE">
      <w:pPr>
        <w:pStyle w:val="Textonotapie"/>
        <w:ind w:firstLine="709"/>
        <w:jc w:val="both"/>
        <w:rPr>
          <w:rFonts w:ascii="Arial" w:hAnsi="Arial" w:cs="Arial"/>
          <w:color w:val="000000" w:themeColor="text1"/>
          <w:sz w:val="19"/>
          <w:szCs w:val="19"/>
          <w:lang w:val="es-ES"/>
        </w:rPr>
      </w:pPr>
    </w:p>
  </w:footnote>
  <w:footnote w:id="3">
    <w:p w14:paraId="2BA65DA9"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Style w:val="Refdenotaalpie"/>
          <w:rFonts w:ascii="Verdana" w:hAnsi="Verdana" w:cs="Arial"/>
          <w:color w:val="000000" w:themeColor="text1"/>
          <w:sz w:val="11"/>
          <w:szCs w:val="11"/>
        </w:rPr>
        <w:footnoteRef/>
      </w:r>
      <w:r w:rsidRPr="00D01138">
        <w:rPr>
          <w:rFonts w:ascii="Verdana" w:hAnsi="Verdana" w:cs="Arial"/>
          <w:color w:val="000000" w:themeColor="text1"/>
          <w:sz w:val="11"/>
          <w:szCs w:val="11"/>
        </w:rPr>
        <w:t xml:space="preserve"> </w:t>
      </w:r>
      <w:r w:rsidRPr="00D01138">
        <w:rPr>
          <w:rFonts w:ascii="Verdana" w:hAnsi="Verdana" w:cs="Arial"/>
          <w:color w:val="000000" w:themeColor="text1"/>
          <w:sz w:val="11"/>
          <w:szCs w:val="11"/>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2863ECCB"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proofErr w:type="gramStart"/>
      <w:r w:rsidRPr="00D01138">
        <w:rPr>
          <w:rFonts w:ascii="Verdana" w:hAnsi="Verdana" w:cs="Arial"/>
          <w:color w:val="000000" w:themeColor="text1"/>
          <w:sz w:val="11"/>
          <w:szCs w:val="11"/>
          <w:lang w:val="es-ES"/>
        </w:rPr>
        <w:t>»Los</w:t>
      </w:r>
      <w:proofErr w:type="gramEnd"/>
      <w:r w:rsidRPr="00D01138">
        <w:rPr>
          <w:rFonts w:ascii="Verdana" w:hAnsi="Verdana" w:cs="Arial"/>
          <w:color w:val="000000" w:themeColor="text1"/>
          <w:sz w:val="11"/>
          <w:szCs w:val="11"/>
          <w:lang w:val="es-ES"/>
        </w:rPr>
        <w:t xml:space="preserve">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1C7FFDC4"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proofErr w:type="gramStart"/>
      <w:r w:rsidRPr="00D01138">
        <w:rPr>
          <w:rFonts w:ascii="Verdana" w:hAnsi="Verdana" w:cs="Arial"/>
          <w:color w:val="000000" w:themeColor="text1"/>
          <w:sz w:val="11"/>
          <w:szCs w:val="11"/>
          <w:lang w:val="es-ES"/>
        </w:rPr>
        <w:t>»El</w:t>
      </w:r>
      <w:proofErr w:type="gramEnd"/>
      <w:r w:rsidRPr="00D01138">
        <w:rPr>
          <w:rFonts w:ascii="Verdana" w:hAnsi="Verdana" w:cs="Arial"/>
          <w:color w:val="000000" w:themeColor="text1"/>
          <w:sz w:val="11"/>
          <w:szCs w:val="11"/>
          <w:lang w:val="es-ES"/>
        </w:rPr>
        <w:t xml:space="preserve"> Gobierno nacional reglamentará el mecanismo para realizar la mensualización de que trata el presente artículo.[…]».</w:t>
      </w:r>
    </w:p>
  </w:footnote>
  <w:footnote w:id="4">
    <w:p w14:paraId="75370FC2"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Style w:val="Refdenotaalpie"/>
          <w:rFonts w:ascii="Verdana" w:hAnsi="Verdana" w:cs="Arial"/>
          <w:color w:val="000000" w:themeColor="text1"/>
          <w:sz w:val="11"/>
          <w:szCs w:val="11"/>
        </w:rPr>
        <w:footnoteRef/>
      </w:r>
      <w:r w:rsidRPr="00D01138">
        <w:rPr>
          <w:rFonts w:ascii="Verdana" w:hAnsi="Verdana" w:cs="Arial"/>
          <w:color w:val="000000" w:themeColor="text1"/>
          <w:sz w:val="11"/>
          <w:szCs w:val="11"/>
        </w:rPr>
        <w:t xml:space="preserve"> </w:t>
      </w:r>
      <w:r w:rsidRPr="00D01138">
        <w:rPr>
          <w:rFonts w:ascii="Verdana" w:hAnsi="Verdana" w:cs="Arial"/>
          <w:color w:val="000000" w:themeColor="text1"/>
          <w:sz w:val="11"/>
          <w:szCs w:val="11"/>
          <w:lang w:val="es-ES"/>
        </w:rPr>
        <w:t>Corte Constitucional. Sentencia C-154 de 1997. Magistrado Ponente: Hernando Herrera Vergara.</w:t>
      </w:r>
    </w:p>
    <w:p w14:paraId="5C647139" w14:textId="77777777" w:rsidR="00A43EEE" w:rsidRPr="004C4C02" w:rsidRDefault="00A43EEE" w:rsidP="00A43EEE">
      <w:pPr>
        <w:pStyle w:val="Textonotapie"/>
        <w:ind w:firstLine="709"/>
        <w:jc w:val="both"/>
        <w:rPr>
          <w:rFonts w:ascii="Arial" w:hAnsi="Arial" w:cs="Arial"/>
          <w:color w:val="000000" w:themeColor="text1"/>
          <w:sz w:val="19"/>
          <w:szCs w:val="19"/>
          <w:lang w:val="es-ES"/>
        </w:rPr>
      </w:pPr>
    </w:p>
  </w:footnote>
  <w:footnote w:id="5">
    <w:p w14:paraId="14587957" w14:textId="77777777" w:rsidR="00A43EEE" w:rsidRPr="004C4C02" w:rsidRDefault="00A43EEE" w:rsidP="00A43EE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Ibíd.</w:t>
      </w:r>
    </w:p>
    <w:p w14:paraId="2133CC15" w14:textId="77777777" w:rsidR="00A43EEE" w:rsidRPr="004C4C02" w:rsidRDefault="00A43EEE" w:rsidP="00A43EEE">
      <w:pPr>
        <w:pStyle w:val="Textonotapie"/>
        <w:ind w:firstLine="709"/>
        <w:jc w:val="both"/>
        <w:rPr>
          <w:rFonts w:ascii="Arial" w:hAnsi="Arial" w:cs="Arial"/>
          <w:color w:val="000000" w:themeColor="text1"/>
          <w:sz w:val="19"/>
          <w:szCs w:val="19"/>
          <w:lang w:val="es-ES"/>
        </w:rPr>
      </w:pPr>
    </w:p>
  </w:footnote>
  <w:footnote w:id="6">
    <w:p w14:paraId="5B29146C"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Style w:val="Refdenotaalpie"/>
          <w:rFonts w:ascii="Verdana" w:hAnsi="Verdana" w:cs="Arial"/>
          <w:color w:val="000000" w:themeColor="text1"/>
          <w:sz w:val="11"/>
          <w:szCs w:val="11"/>
        </w:rPr>
        <w:footnoteRef/>
      </w:r>
      <w:r w:rsidRPr="00D01138">
        <w:rPr>
          <w:rFonts w:ascii="Verdana" w:hAnsi="Verdana" w:cs="Arial"/>
          <w:color w:val="000000" w:themeColor="text1"/>
          <w:sz w:val="11"/>
          <w:szCs w:val="11"/>
        </w:rPr>
        <w:t xml:space="preserve"> </w:t>
      </w:r>
      <w:r w:rsidRPr="00D01138">
        <w:rPr>
          <w:rFonts w:ascii="Verdana" w:hAnsi="Verdana" w:cs="Arial"/>
          <w:color w:val="000000" w:themeColor="text1"/>
          <w:sz w:val="11"/>
          <w:szCs w:val="11"/>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5201686C"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p>
    <w:p w14:paraId="1B0FD45F"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proofErr w:type="gramStart"/>
      <w:r w:rsidRPr="00D01138">
        <w:rPr>
          <w:rFonts w:ascii="Verdana" w:hAnsi="Verdana" w:cs="Arial"/>
          <w:color w:val="000000" w:themeColor="text1"/>
          <w:sz w:val="11"/>
          <w:szCs w:val="11"/>
          <w:lang w:val="es-ES"/>
        </w:rPr>
        <w:t>»Los</w:t>
      </w:r>
      <w:proofErr w:type="gramEnd"/>
      <w:r w:rsidRPr="00D01138">
        <w:rPr>
          <w:rFonts w:ascii="Verdana" w:hAnsi="Verdana" w:cs="Arial"/>
          <w:color w:val="000000" w:themeColor="text1"/>
          <w:sz w:val="11"/>
          <w:szCs w:val="11"/>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495311E2"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proofErr w:type="gramStart"/>
      <w:r w:rsidRPr="00D01138">
        <w:rPr>
          <w:rFonts w:ascii="Verdana" w:hAnsi="Verdana" w:cs="Arial"/>
          <w:color w:val="000000" w:themeColor="text1"/>
          <w:sz w:val="11"/>
          <w:szCs w:val="11"/>
          <w:lang w:val="es-ES"/>
        </w:rPr>
        <w:t>»La</w:t>
      </w:r>
      <w:proofErr w:type="gramEnd"/>
      <w:r w:rsidRPr="00D01138">
        <w:rPr>
          <w:rFonts w:ascii="Verdana" w:hAnsi="Verdana" w:cs="Arial"/>
          <w:color w:val="000000" w:themeColor="text1"/>
          <w:sz w:val="11"/>
          <w:szCs w:val="11"/>
          <w:lang w:val="es-ES"/>
        </w:rPr>
        <w:t xml:space="preserve"> Entidad Estatal, para la contratación de trabajos artísticos que solamente puedan en­comendarse a determinadas personas naturales, debe justificar esta situación en los estudios y documentos previos».</w:t>
      </w:r>
    </w:p>
  </w:footnote>
  <w:footnote w:id="7">
    <w:p w14:paraId="29CA8C04"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Style w:val="Refdenotaalpie"/>
          <w:rFonts w:ascii="Verdana" w:hAnsi="Verdana" w:cs="Arial"/>
          <w:color w:val="000000" w:themeColor="text1"/>
          <w:sz w:val="11"/>
          <w:szCs w:val="11"/>
        </w:rPr>
        <w:footnoteRef/>
      </w:r>
      <w:r w:rsidRPr="00D01138">
        <w:rPr>
          <w:rFonts w:ascii="Verdana" w:hAnsi="Verdana" w:cs="Arial"/>
          <w:color w:val="000000" w:themeColor="text1"/>
          <w:sz w:val="11"/>
          <w:szCs w:val="11"/>
        </w:rPr>
        <w:t xml:space="preserve"> </w:t>
      </w:r>
      <w:r w:rsidRPr="00D01138">
        <w:rPr>
          <w:rFonts w:ascii="Verdana" w:hAnsi="Verdana" w:cs="Arial"/>
          <w:color w:val="000000" w:themeColor="text1"/>
          <w:sz w:val="11"/>
          <w:szCs w:val="11"/>
          <w:lang w:val="es-ES"/>
        </w:rPr>
        <w:t>Así lo prevé el artículo 2.2.1.2.1.4.1. del Decreto 1082 de 2015: «La Entidad Estatal debe señalar en un acto administrativo la justificación para contratar bajo la modalidad de contratación directa, el cual debe contener:</w:t>
      </w:r>
    </w:p>
    <w:p w14:paraId="5A6A31C5"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Fonts w:ascii="Verdana" w:hAnsi="Verdana" w:cs="Arial"/>
          <w:color w:val="000000" w:themeColor="text1"/>
          <w:sz w:val="11"/>
          <w:szCs w:val="11"/>
          <w:lang w:val="es-ES"/>
        </w:rPr>
        <w:t>»1. La causal que invoca para contratar directamente.</w:t>
      </w:r>
    </w:p>
    <w:p w14:paraId="370434E0"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Fonts w:ascii="Verdana" w:hAnsi="Verdana" w:cs="Arial"/>
          <w:color w:val="000000" w:themeColor="text1"/>
          <w:sz w:val="11"/>
          <w:szCs w:val="11"/>
          <w:lang w:val="es-ES"/>
        </w:rPr>
        <w:t>»2. El objeto del contrato.</w:t>
      </w:r>
    </w:p>
    <w:p w14:paraId="376D34D7"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Fonts w:ascii="Verdana" w:hAnsi="Verdana" w:cs="Arial"/>
          <w:color w:val="000000" w:themeColor="text1"/>
          <w:sz w:val="11"/>
          <w:szCs w:val="11"/>
          <w:lang w:val="es-ES"/>
        </w:rPr>
        <w:t>»3. El presupuesto para la contratación y las condiciones que exigirá al contratista.</w:t>
      </w:r>
    </w:p>
    <w:p w14:paraId="7390F02C"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Fonts w:ascii="Verdana" w:hAnsi="Verdana" w:cs="Arial"/>
          <w:color w:val="000000" w:themeColor="text1"/>
          <w:sz w:val="11"/>
          <w:szCs w:val="11"/>
          <w:lang w:val="es-ES"/>
        </w:rPr>
        <w:t>»4. El lugar en el cual los interesados pueden consultar los estudios y documentos previos.</w:t>
      </w:r>
    </w:p>
    <w:p w14:paraId="1A5AC08C"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proofErr w:type="gramStart"/>
      <w:r w:rsidRPr="00D01138">
        <w:rPr>
          <w:rFonts w:ascii="Verdana" w:hAnsi="Verdana" w:cs="Arial"/>
          <w:color w:val="000000" w:themeColor="text1"/>
          <w:sz w:val="11"/>
          <w:szCs w:val="11"/>
          <w:lang w:val="es-ES"/>
        </w:rPr>
        <w:t>»Este</w:t>
      </w:r>
      <w:proofErr w:type="gramEnd"/>
      <w:r w:rsidRPr="00D01138">
        <w:rPr>
          <w:rFonts w:ascii="Verdana" w:hAnsi="Verdana" w:cs="Arial"/>
          <w:color w:val="000000" w:themeColor="text1"/>
          <w:sz w:val="11"/>
          <w:szCs w:val="11"/>
          <w:lang w:val="es-ES"/>
        </w:rPr>
        <w:t xml:space="preserve"> acto administrativo no es necesario cuando el contrato a celebrar es de prestación de servicios profesionales y de apoyo a la gestión, y para los contratos de que tratan los literales (a) y (b) del artículo 2.2.1.2.1.4.3 del presente decreto».</w:t>
      </w:r>
    </w:p>
    <w:p w14:paraId="26997861" w14:textId="77777777" w:rsidR="00A43EEE" w:rsidRPr="004C4C02" w:rsidRDefault="00A43EEE" w:rsidP="00A43EEE">
      <w:pPr>
        <w:pStyle w:val="Textonotapie"/>
        <w:ind w:firstLine="709"/>
        <w:jc w:val="both"/>
        <w:rPr>
          <w:rFonts w:ascii="Arial" w:hAnsi="Arial" w:cs="Arial"/>
          <w:color w:val="000000" w:themeColor="text1"/>
          <w:sz w:val="19"/>
          <w:szCs w:val="19"/>
          <w:lang w:val="es-ES"/>
        </w:rPr>
      </w:pPr>
    </w:p>
  </w:footnote>
  <w:footnote w:id="8">
    <w:p w14:paraId="68ABD995"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Style w:val="Refdenotaalpie"/>
          <w:rFonts w:ascii="Verdana" w:hAnsi="Verdana" w:cs="Arial"/>
          <w:color w:val="000000" w:themeColor="text1"/>
          <w:sz w:val="11"/>
          <w:szCs w:val="11"/>
        </w:rPr>
        <w:footnoteRef/>
      </w:r>
      <w:r w:rsidRPr="00D01138">
        <w:rPr>
          <w:rFonts w:ascii="Verdana" w:hAnsi="Verdana" w:cs="Arial"/>
          <w:color w:val="000000" w:themeColor="text1"/>
          <w:sz w:val="11"/>
          <w:szCs w:val="11"/>
        </w:rPr>
        <w:t xml:space="preserve"> </w:t>
      </w:r>
      <w:r w:rsidRPr="00D01138">
        <w:rPr>
          <w:rFonts w:ascii="Verdana" w:hAnsi="Verdana" w:cs="Arial"/>
          <w:color w:val="000000" w:themeColor="text1"/>
          <w:sz w:val="11"/>
          <w:szCs w:val="11"/>
          <w:lang w:val="es-ES"/>
        </w:rPr>
        <w:t>Esta norma expresa: «</w:t>
      </w:r>
      <w:r w:rsidRPr="00D01138">
        <w:rPr>
          <w:rFonts w:ascii="Verdana" w:hAnsi="Verdana" w:cs="Arial"/>
          <w:color w:val="000000" w:themeColor="text1"/>
          <w:sz w:val="11"/>
          <w:szCs w:val="11"/>
        </w:rPr>
        <w:t>P</w:t>
      </w:r>
      <w:r w:rsidRPr="00D01138">
        <w:rPr>
          <w:rFonts w:ascii="Verdana" w:hAnsi="Verdana" w:cs="Arial"/>
          <w:color w:val="000000" w:themeColor="text1"/>
          <w:sz w:val="11"/>
          <w:szCs w:val="11"/>
          <w:lang w:val="es-ES"/>
        </w:rPr>
        <w:t>ara el cumplimiento de los fines de la contratación, las entidades estatales al celebrar un contrato:</w:t>
      </w:r>
    </w:p>
    <w:p w14:paraId="23C719C0"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Fonts w:ascii="Verdana" w:hAnsi="Verdana" w:cs="Arial"/>
          <w:color w:val="000000" w:themeColor="text1"/>
          <w:sz w:val="11"/>
          <w:szCs w:val="11"/>
          <w:lang w:val="es-ES"/>
        </w:rPr>
        <w:t>[…]</w:t>
      </w:r>
    </w:p>
    <w:p w14:paraId="28338E74"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proofErr w:type="gramStart"/>
      <w:r w:rsidRPr="00D01138">
        <w:rPr>
          <w:rFonts w:ascii="Verdana" w:hAnsi="Verdana" w:cs="Arial"/>
          <w:color w:val="000000" w:themeColor="text1"/>
          <w:sz w:val="11"/>
          <w:szCs w:val="11"/>
          <w:lang w:val="es-ES"/>
        </w:rPr>
        <w:t>»2o.</w:t>
      </w:r>
      <w:proofErr w:type="gramEnd"/>
      <w:r w:rsidRPr="00D01138">
        <w:rPr>
          <w:rFonts w:ascii="Verdana" w:hAnsi="Verdana" w:cs="Arial"/>
          <w:color w:val="000000" w:themeColor="text1"/>
          <w:sz w:val="11"/>
          <w:szCs w:val="11"/>
          <w:lang w:val="es-ES"/>
        </w:rPr>
        <w:t xml:space="preserve">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5CECB85A"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proofErr w:type="gramStart"/>
      <w:r w:rsidRPr="00D01138">
        <w:rPr>
          <w:rFonts w:ascii="Verdana" w:hAnsi="Verdana" w:cs="Arial"/>
          <w:color w:val="000000" w:themeColor="text1"/>
          <w:sz w:val="11"/>
          <w:szCs w:val="11"/>
          <w:lang w:val="es-ES"/>
        </w:rPr>
        <w:t>»Las</w:t>
      </w:r>
      <w:proofErr w:type="gramEnd"/>
      <w:r w:rsidRPr="00D01138">
        <w:rPr>
          <w:rFonts w:ascii="Verdana" w:hAnsi="Verdana" w:cs="Arial"/>
          <w:color w:val="000000" w:themeColor="text1"/>
          <w:sz w:val="11"/>
          <w:szCs w:val="11"/>
          <w:lang w:val="es-ES"/>
        </w:rPr>
        <w:t xml:space="preserve"> entidades estatales podrán pactar estas cláusulas en los contratos de suministro y de prestación de servicios.[…]».</w:t>
      </w:r>
    </w:p>
    <w:p w14:paraId="00694817"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p>
  </w:footnote>
  <w:footnote w:id="9">
    <w:p w14:paraId="61FF4357" w14:textId="77777777" w:rsidR="00A43EEE" w:rsidRPr="00D01138" w:rsidRDefault="00A43EEE" w:rsidP="00A43EEE">
      <w:pPr>
        <w:pStyle w:val="Textonotapie"/>
        <w:ind w:firstLine="709"/>
        <w:jc w:val="both"/>
        <w:rPr>
          <w:rFonts w:ascii="Verdana" w:hAnsi="Verdana" w:cs="Arial"/>
          <w:color w:val="000000" w:themeColor="text1"/>
          <w:sz w:val="11"/>
          <w:szCs w:val="11"/>
          <w:lang w:val="es-ES"/>
        </w:rPr>
      </w:pPr>
      <w:r w:rsidRPr="00D01138">
        <w:rPr>
          <w:rStyle w:val="Refdenotaalpie"/>
          <w:rFonts w:ascii="Verdana" w:hAnsi="Verdana" w:cs="Arial"/>
          <w:color w:val="000000" w:themeColor="text1"/>
          <w:sz w:val="11"/>
          <w:szCs w:val="11"/>
        </w:rPr>
        <w:footnoteRef/>
      </w:r>
      <w:r w:rsidRPr="00D01138">
        <w:rPr>
          <w:rFonts w:ascii="Verdana" w:hAnsi="Verdana" w:cs="Arial"/>
          <w:color w:val="000000" w:themeColor="text1"/>
          <w:sz w:val="11"/>
          <w:szCs w:val="11"/>
        </w:rPr>
        <w:t xml:space="preserve"> </w:t>
      </w:r>
      <w:r w:rsidRPr="00D01138">
        <w:rPr>
          <w:rFonts w:ascii="Verdana" w:hAnsi="Verdana" w:cs="Arial"/>
          <w:color w:val="000000" w:themeColor="text1"/>
          <w:sz w:val="11"/>
          <w:szCs w:val="11"/>
          <w:lang w:val="es-ES"/>
        </w:rPr>
        <w:t>La norma dispone: «La liquidación a que se refiere el presente artículo no será obligatoria en los contratos de prestación de servicios profesionales y de apoyo a la gestión».</w:t>
      </w:r>
    </w:p>
    <w:p w14:paraId="18C74829" w14:textId="77777777" w:rsidR="00A43EEE" w:rsidRPr="004C4C02" w:rsidRDefault="00A43EEE" w:rsidP="00A43EEE">
      <w:pPr>
        <w:pStyle w:val="Textonotapie"/>
        <w:ind w:firstLine="709"/>
        <w:jc w:val="both"/>
        <w:rPr>
          <w:rFonts w:ascii="Arial" w:hAnsi="Arial" w:cs="Arial"/>
          <w:color w:val="000000" w:themeColor="text1"/>
          <w:sz w:val="19"/>
          <w:szCs w:val="19"/>
          <w:lang w:val="es-ES"/>
        </w:rPr>
      </w:pPr>
    </w:p>
  </w:footnote>
  <w:footnote w:id="10">
    <w:p w14:paraId="30280FCF" w14:textId="77777777" w:rsidR="00A43EEE" w:rsidRPr="00616D4E" w:rsidRDefault="00A43EEE" w:rsidP="00A43EEE">
      <w:pPr>
        <w:pStyle w:val="Textonotapie"/>
        <w:ind w:firstLine="709"/>
        <w:jc w:val="both"/>
        <w:rPr>
          <w:rFonts w:ascii="Verdana" w:hAnsi="Verdana" w:cs="Arial"/>
          <w:color w:val="000000" w:themeColor="text1"/>
          <w:sz w:val="11"/>
          <w:szCs w:val="11"/>
        </w:rPr>
      </w:pPr>
      <w:r w:rsidRPr="00616D4E">
        <w:rPr>
          <w:rStyle w:val="Refdenotaalpie"/>
          <w:rFonts w:ascii="Verdana" w:hAnsi="Verdana" w:cs="Arial"/>
          <w:color w:val="000000" w:themeColor="text1"/>
          <w:sz w:val="11"/>
          <w:szCs w:val="11"/>
        </w:rPr>
        <w:footnoteRef/>
      </w:r>
      <w:r w:rsidRPr="00616D4E">
        <w:rPr>
          <w:rFonts w:ascii="Verdana" w:hAnsi="Verdana" w:cs="Arial"/>
          <w:color w:val="000000" w:themeColor="text1"/>
          <w:sz w:val="11"/>
          <w:szCs w:val="11"/>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BF3338C" w14:textId="77777777" w:rsidR="00A43EEE" w:rsidRPr="00616D4E" w:rsidRDefault="00A43EEE" w:rsidP="00A43EEE">
      <w:pPr>
        <w:pStyle w:val="Textonotapie"/>
        <w:ind w:firstLine="709"/>
        <w:jc w:val="both"/>
        <w:rPr>
          <w:rFonts w:ascii="Verdana" w:hAnsi="Verdana" w:cs="Arial"/>
          <w:color w:val="000000" w:themeColor="text1"/>
          <w:sz w:val="11"/>
          <w:szCs w:val="11"/>
        </w:rPr>
      </w:pPr>
      <w:r w:rsidRPr="00616D4E">
        <w:rPr>
          <w:rFonts w:ascii="Verdana" w:hAnsi="Verdana" w:cs="Arial"/>
          <w:color w:val="000000" w:themeColor="text1"/>
          <w:sz w:val="11"/>
          <w:szCs w:val="11"/>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C0D2FF2" w14:textId="77777777" w:rsidR="00A43EEE" w:rsidRPr="00616D4E" w:rsidRDefault="00A43EEE" w:rsidP="00A43EEE">
      <w:pPr>
        <w:pStyle w:val="Textonotapie"/>
        <w:ind w:firstLine="709"/>
        <w:jc w:val="both"/>
        <w:rPr>
          <w:rFonts w:ascii="Verdana" w:hAnsi="Verdana" w:cs="Arial"/>
          <w:color w:val="000000" w:themeColor="text1"/>
          <w:sz w:val="11"/>
          <w:szCs w:val="11"/>
        </w:rPr>
      </w:pPr>
      <w:r w:rsidRPr="00616D4E">
        <w:rPr>
          <w:rFonts w:ascii="Verdana" w:hAnsi="Verdana" w:cs="Arial"/>
          <w:color w:val="000000" w:themeColor="text1"/>
          <w:sz w:val="11"/>
          <w:szCs w:val="11"/>
        </w:rPr>
        <w:t>[…]».</w:t>
      </w:r>
    </w:p>
    <w:p w14:paraId="70F4FF39" w14:textId="77777777" w:rsidR="00A43EEE" w:rsidRPr="00616D4E" w:rsidRDefault="00A43EEE" w:rsidP="00A43EEE">
      <w:pPr>
        <w:pStyle w:val="Textonotapie"/>
        <w:ind w:firstLine="709"/>
        <w:jc w:val="both"/>
        <w:rPr>
          <w:rFonts w:ascii="Verdana" w:hAnsi="Verdana" w:cs="Arial"/>
          <w:color w:val="000000" w:themeColor="text1"/>
          <w:sz w:val="11"/>
          <w:szCs w:val="11"/>
          <w:lang w:val="es-ES"/>
        </w:rPr>
      </w:pPr>
    </w:p>
  </w:footnote>
  <w:footnote w:id="11">
    <w:p w14:paraId="01F02346" w14:textId="77777777" w:rsidR="00A43EEE" w:rsidRPr="00616D4E" w:rsidRDefault="00A43EEE" w:rsidP="00A43EEE">
      <w:pPr>
        <w:pStyle w:val="Textonotapie"/>
        <w:ind w:firstLine="709"/>
        <w:jc w:val="both"/>
        <w:rPr>
          <w:rFonts w:ascii="Verdana" w:hAnsi="Verdana" w:cs="Arial"/>
          <w:color w:val="000000" w:themeColor="text1"/>
          <w:sz w:val="11"/>
          <w:szCs w:val="11"/>
          <w:lang w:val="es-ES"/>
        </w:rPr>
      </w:pPr>
      <w:r w:rsidRPr="00616D4E">
        <w:rPr>
          <w:rStyle w:val="Refdenotaalpie"/>
          <w:rFonts w:ascii="Verdana" w:hAnsi="Verdana" w:cs="Arial"/>
          <w:color w:val="000000" w:themeColor="text1"/>
          <w:sz w:val="11"/>
          <w:szCs w:val="11"/>
        </w:rPr>
        <w:footnoteRef/>
      </w:r>
      <w:r w:rsidRPr="00616D4E">
        <w:rPr>
          <w:rFonts w:ascii="Verdana" w:hAnsi="Verdana" w:cs="Arial"/>
          <w:color w:val="000000" w:themeColor="text1"/>
          <w:sz w:val="11"/>
          <w:szCs w:val="11"/>
        </w:rPr>
        <w:t xml:space="preserve"> </w:t>
      </w:r>
      <w:r w:rsidRPr="00616D4E">
        <w:rPr>
          <w:rFonts w:ascii="Verdana" w:hAnsi="Verdana" w:cs="Arial"/>
          <w:color w:val="000000" w:themeColor="text1"/>
          <w:sz w:val="11"/>
          <w:szCs w:val="11"/>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7485E7C1" w14:textId="77777777" w:rsidR="00A43EEE" w:rsidRPr="004C4C02" w:rsidRDefault="00A43EEE" w:rsidP="00A43EEE">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564715"/>
    <w:multiLevelType w:val="hybridMultilevel"/>
    <w:tmpl w:val="7D92C8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B511B4"/>
    <w:multiLevelType w:val="hybridMultilevel"/>
    <w:tmpl w:val="9A8EC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B555FD3"/>
    <w:multiLevelType w:val="hybridMultilevel"/>
    <w:tmpl w:val="FD925FC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1" w15:restartNumberingAfterBreak="0">
    <w:nsid w:val="6663276E"/>
    <w:multiLevelType w:val="hybridMultilevel"/>
    <w:tmpl w:val="4C78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0"/>
  </w:num>
  <w:num w:numId="6">
    <w:abstractNumId w:val="2"/>
  </w:num>
  <w:num w:numId="7">
    <w:abstractNumId w:val="6"/>
  </w:num>
  <w:num w:numId="8">
    <w:abstractNumId w:val="8"/>
  </w:num>
  <w:num w:numId="9">
    <w:abstractNumId w:val="5"/>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2B9E"/>
    <w:rsid w:val="00082E4C"/>
    <w:rsid w:val="000849D5"/>
    <w:rsid w:val="0008528F"/>
    <w:rsid w:val="00094ACE"/>
    <w:rsid w:val="000A140B"/>
    <w:rsid w:val="000A61CC"/>
    <w:rsid w:val="000A6E0C"/>
    <w:rsid w:val="000A7A56"/>
    <w:rsid w:val="000B1FF7"/>
    <w:rsid w:val="000B2513"/>
    <w:rsid w:val="000B4024"/>
    <w:rsid w:val="000C3C51"/>
    <w:rsid w:val="000C7262"/>
    <w:rsid w:val="000D2A7F"/>
    <w:rsid w:val="000D4FCE"/>
    <w:rsid w:val="000E0913"/>
    <w:rsid w:val="000E7D53"/>
    <w:rsid w:val="000F7942"/>
    <w:rsid w:val="0010022C"/>
    <w:rsid w:val="0011037E"/>
    <w:rsid w:val="0011522E"/>
    <w:rsid w:val="001363C7"/>
    <w:rsid w:val="00141AC5"/>
    <w:rsid w:val="00141C27"/>
    <w:rsid w:val="00146B11"/>
    <w:rsid w:val="00147A04"/>
    <w:rsid w:val="0015476D"/>
    <w:rsid w:val="00155A4A"/>
    <w:rsid w:val="00161392"/>
    <w:rsid w:val="00161E13"/>
    <w:rsid w:val="00164AE0"/>
    <w:rsid w:val="00165E83"/>
    <w:rsid w:val="00166CD7"/>
    <w:rsid w:val="0017120C"/>
    <w:rsid w:val="00172F3A"/>
    <w:rsid w:val="00194D57"/>
    <w:rsid w:val="0019532A"/>
    <w:rsid w:val="0019670E"/>
    <w:rsid w:val="00197205"/>
    <w:rsid w:val="001A5DD4"/>
    <w:rsid w:val="001A63A5"/>
    <w:rsid w:val="001A67E9"/>
    <w:rsid w:val="001B143B"/>
    <w:rsid w:val="001B21CA"/>
    <w:rsid w:val="001C04FC"/>
    <w:rsid w:val="001C25A3"/>
    <w:rsid w:val="001C5D03"/>
    <w:rsid w:val="001C7771"/>
    <w:rsid w:val="001D62FF"/>
    <w:rsid w:val="001E34F3"/>
    <w:rsid w:val="001F3F48"/>
    <w:rsid w:val="002000AA"/>
    <w:rsid w:val="00204109"/>
    <w:rsid w:val="00211E6E"/>
    <w:rsid w:val="00212A46"/>
    <w:rsid w:val="0021401D"/>
    <w:rsid w:val="002146B8"/>
    <w:rsid w:val="00215347"/>
    <w:rsid w:val="00215516"/>
    <w:rsid w:val="00216D99"/>
    <w:rsid w:val="00223424"/>
    <w:rsid w:val="00224760"/>
    <w:rsid w:val="00240196"/>
    <w:rsid w:val="00250FB3"/>
    <w:rsid w:val="002520CB"/>
    <w:rsid w:val="002527C2"/>
    <w:rsid w:val="00264C5B"/>
    <w:rsid w:val="00270443"/>
    <w:rsid w:val="00270EE2"/>
    <w:rsid w:val="00272972"/>
    <w:rsid w:val="00286491"/>
    <w:rsid w:val="002A0F8D"/>
    <w:rsid w:val="002A41F1"/>
    <w:rsid w:val="002B6E44"/>
    <w:rsid w:val="002D4C48"/>
    <w:rsid w:val="002D648D"/>
    <w:rsid w:val="002E1DB5"/>
    <w:rsid w:val="002F6CCB"/>
    <w:rsid w:val="00303EFF"/>
    <w:rsid w:val="0030461E"/>
    <w:rsid w:val="0032714F"/>
    <w:rsid w:val="0032756A"/>
    <w:rsid w:val="00334EF8"/>
    <w:rsid w:val="00336408"/>
    <w:rsid w:val="00340DFB"/>
    <w:rsid w:val="0034404F"/>
    <w:rsid w:val="00354FFB"/>
    <w:rsid w:val="00356980"/>
    <w:rsid w:val="00367462"/>
    <w:rsid w:val="00371ECA"/>
    <w:rsid w:val="00372748"/>
    <w:rsid w:val="0037332A"/>
    <w:rsid w:val="0038151A"/>
    <w:rsid w:val="0039082A"/>
    <w:rsid w:val="00390C21"/>
    <w:rsid w:val="003A37BD"/>
    <w:rsid w:val="003A59C1"/>
    <w:rsid w:val="003B5A77"/>
    <w:rsid w:val="003B6D94"/>
    <w:rsid w:val="003C4C96"/>
    <w:rsid w:val="003C55E0"/>
    <w:rsid w:val="003E630F"/>
    <w:rsid w:val="003F519B"/>
    <w:rsid w:val="0040544F"/>
    <w:rsid w:val="00406A19"/>
    <w:rsid w:val="0041222D"/>
    <w:rsid w:val="0041483E"/>
    <w:rsid w:val="00415369"/>
    <w:rsid w:val="00430492"/>
    <w:rsid w:val="00450BE7"/>
    <w:rsid w:val="00461BA8"/>
    <w:rsid w:val="0046741E"/>
    <w:rsid w:val="00472C00"/>
    <w:rsid w:val="00472CC6"/>
    <w:rsid w:val="0048026E"/>
    <w:rsid w:val="004807A9"/>
    <w:rsid w:val="004813EE"/>
    <w:rsid w:val="00493278"/>
    <w:rsid w:val="004943D9"/>
    <w:rsid w:val="004A0E7B"/>
    <w:rsid w:val="004A0EB1"/>
    <w:rsid w:val="004A3498"/>
    <w:rsid w:val="004B0C45"/>
    <w:rsid w:val="004B6BDC"/>
    <w:rsid w:val="004B7807"/>
    <w:rsid w:val="004C0AB2"/>
    <w:rsid w:val="004C1619"/>
    <w:rsid w:val="004C1A26"/>
    <w:rsid w:val="004C1CC9"/>
    <w:rsid w:val="004C3755"/>
    <w:rsid w:val="004C4485"/>
    <w:rsid w:val="004D11AF"/>
    <w:rsid w:val="00500DFA"/>
    <w:rsid w:val="005019AA"/>
    <w:rsid w:val="005021BB"/>
    <w:rsid w:val="005139E7"/>
    <w:rsid w:val="005147DA"/>
    <w:rsid w:val="00515FB5"/>
    <w:rsid w:val="0052365C"/>
    <w:rsid w:val="005271EB"/>
    <w:rsid w:val="005426DB"/>
    <w:rsid w:val="00546D45"/>
    <w:rsid w:val="0055082B"/>
    <w:rsid w:val="00552503"/>
    <w:rsid w:val="00552B57"/>
    <w:rsid w:val="005545B3"/>
    <w:rsid w:val="00557DA1"/>
    <w:rsid w:val="0056322C"/>
    <w:rsid w:val="0058743A"/>
    <w:rsid w:val="005917AA"/>
    <w:rsid w:val="00591E09"/>
    <w:rsid w:val="00595E36"/>
    <w:rsid w:val="005A327D"/>
    <w:rsid w:val="005A4DB0"/>
    <w:rsid w:val="005A7B8E"/>
    <w:rsid w:val="005B012B"/>
    <w:rsid w:val="005B0C87"/>
    <w:rsid w:val="005D23F6"/>
    <w:rsid w:val="005D2FA8"/>
    <w:rsid w:val="005E029C"/>
    <w:rsid w:val="005E2281"/>
    <w:rsid w:val="005E667C"/>
    <w:rsid w:val="005F077C"/>
    <w:rsid w:val="005F63D0"/>
    <w:rsid w:val="005F7973"/>
    <w:rsid w:val="0061690E"/>
    <w:rsid w:val="00616D4E"/>
    <w:rsid w:val="00627361"/>
    <w:rsid w:val="0063017E"/>
    <w:rsid w:val="00631B28"/>
    <w:rsid w:val="00645B90"/>
    <w:rsid w:val="006506C0"/>
    <w:rsid w:val="00650991"/>
    <w:rsid w:val="006511D7"/>
    <w:rsid w:val="00657E01"/>
    <w:rsid w:val="00660122"/>
    <w:rsid w:val="00663D75"/>
    <w:rsid w:val="00670AEF"/>
    <w:rsid w:val="00675678"/>
    <w:rsid w:val="00677012"/>
    <w:rsid w:val="006825B4"/>
    <w:rsid w:val="00682AF2"/>
    <w:rsid w:val="006864DF"/>
    <w:rsid w:val="00695511"/>
    <w:rsid w:val="006A37F7"/>
    <w:rsid w:val="006A3C8A"/>
    <w:rsid w:val="006A704D"/>
    <w:rsid w:val="006A7552"/>
    <w:rsid w:val="006B5953"/>
    <w:rsid w:val="006B7A81"/>
    <w:rsid w:val="006C4BAC"/>
    <w:rsid w:val="006C52F3"/>
    <w:rsid w:val="006C7FF1"/>
    <w:rsid w:val="006E7F37"/>
    <w:rsid w:val="006F3B81"/>
    <w:rsid w:val="006F4F79"/>
    <w:rsid w:val="00705B37"/>
    <w:rsid w:val="00711FD9"/>
    <w:rsid w:val="00735062"/>
    <w:rsid w:val="00746BA5"/>
    <w:rsid w:val="00751D23"/>
    <w:rsid w:val="00761F08"/>
    <w:rsid w:val="00770577"/>
    <w:rsid w:val="00777666"/>
    <w:rsid w:val="0078159B"/>
    <w:rsid w:val="00782E10"/>
    <w:rsid w:val="0078706B"/>
    <w:rsid w:val="00790836"/>
    <w:rsid w:val="00797131"/>
    <w:rsid w:val="007A3C1D"/>
    <w:rsid w:val="007B285D"/>
    <w:rsid w:val="007C3ECE"/>
    <w:rsid w:val="007C6BC6"/>
    <w:rsid w:val="007D0CCF"/>
    <w:rsid w:val="008017F9"/>
    <w:rsid w:val="00807D79"/>
    <w:rsid w:val="00813634"/>
    <w:rsid w:val="00822821"/>
    <w:rsid w:val="00831C29"/>
    <w:rsid w:val="008431EF"/>
    <w:rsid w:val="008468E0"/>
    <w:rsid w:val="0086531C"/>
    <w:rsid w:val="00871B59"/>
    <w:rsid w:val="00877D03"/>
    <w:rsid w:val="00877E96"/>
    <w:rsid w:val="008806CA"/>
    <w:rsid w:val="008815E5"/>
    <w:rsid w:val="00883436"/>
    <w:rsid w:val="00886BD6"/>
    <w:rsid w:val="00887B37"/>
    <w:rsid w:val="008909B9"/>
    <w:rsid w:val="00891DFC"/>
    <w:rsid w:val="00894CEF"/>
    <w:rsid w:val="00895BEE"/>
    <w:rsid w:val="008A323A"/>
    <w:rsid w:val="008B12B4"/>
    <w:rsid w:val="008B49BF"/>
    <w:rsid w:val="008B7914"/>
    <w:rsid w:val="008C5D2A"/>
    <w:rsid w:val="008C7AF4"/>
    <w:rsid w:val="008D529F"/>
    <w:rsid w:val="008E4F91"/>
    <w:rsid w:val="008F25C9"/>
    <w:rsid w:val="008F5CC8"/>
    <w:rsid w:val="009060B6"/>
    <w:rsid w:val="009061B8"/>
    <w:rsid w:val="0091008B"/>
    <w:rsid w:val="00911EA2"/>
    <w:rsid w:val="009142FB"/>
    <w:rsid w:val="00916C7D"/>
    <w:rsid w:val="0092575D"/>
    <w:rsid w:val="009341DA"/>
    <w:rsid w:val="009430F9"/>
    <w:rsid w:val="009442E8"/>
    <w:rsid w:val="00946BD0"/>
    <w:rsid w:val="0095426C"/>
    <w:rsid w:val="00967D7D"/>
    <w:rsid w:val="00970087"/>
    <w:rsid w:val="00971074"/>
    <w:rsid w:val="00976D4D"/>
    <w:rsid w:val="00976D5C"/>
    <w:rsid w:val="00982E66"/>
    <w:rsid w:val="00995D86"/>
    <w:rsid w:val="009A5453"/>
    <w:rsid w:val="009B4D94"/>
    <w:rsid w:val="009C2871"/>
    <w:rsid w:val="009D3C33"/>
    <w:rsid w:val="009D7F3A"/>
    <w:rsid w:val="009E4885"/>
    <w:rsid w:val="00A07DB6"/>
    <w:rsid w:val="00A10A73"/>
    <w:rsid w:val="00A170B3"/>
    <w:rsid w:val="00A223D5"/>
    <w:rsid w:val="00A37D1C"/>
    <w:rsid w:val="00A43EEE"/>
    <w:rsid w:val="00A46404"/>
    <w:rsid w:val="00A5453E"/>
    <w:rsid w:val="00A56F6C"/>
    <w:rsid w:val="00A76C8C"/>
    <w:rsid w:val="00A85F30"/>
    <w:rsid w:val="00A871DB"/>
    <w:rsid w:val="00A9099E"/>
    <w:rsid w:val="00A91FB7"/>
    <w:rsid w:val="00A9298F"/>
    <w:rsid w:val="00AA0351"/>
    <w:rsid w:val="00AA5F4A"/>
    <w:rsid w:val="00AB1984"/>
    <w:rsid w:val="00AB52B1"/>
    <w:rsid w:val="00AC4CB3"/>
    <w:rsid w:val="00AC780D"/>
    <w:rsid w:val="00AD036B"/>
    <w:rsid w:val="00AD1996"/>
    <w:rsid w:val="00AD4099"/>
    <w:rsid w:val="00AD4901"/>
    <w:rsid w:val="00B02FE0"/>
    <w:rsid w:val="00B057B6"/>
    <w:rsid w:val="00B14A36"/>
    <w:rsid w:val="00B30448"/>
    <w:rsid w:val="00B34786"/>
    <w:rsid w:val="00B400EC"/>
    <w:rsid w:val="00B40162"/>
    <w:rsid w:val="00B41ACE"/>
    <w:rsid w:val="00B50156"/>
    <w:rsid w:val="00B518AD"/>
    <w:rsid w:val="00B60A96"/>
    <w:rsid w:val="00B616FA"/>
    <w:rsid w:val="00B67542"/>
    <w:rsid w:val="00B678EC"/>
    <w:rsid w:val="00B76C94"/>
    <w:rsid w:val="00B772D0"/>
    <w:rsid w:val="00B836EA"/>
    <w:rsid w:val="00B84C05"/>
    <w:rsid w:val="00B91B81"/>
    <w:rsid w:val="00B97135"/>
    <w:rsid w:val="00BB3072"/>
    <w:rsid w:val="00BC7632"/>
    <w:rsid w:val="00BD2A02"/>
    <w:rsid w:val="00BD48A9"/>
    <w:rsid w:val="00BD630F"/>
    <w:rsid w:val="00BD7EC6"/>
    <w:rsid w:val="00BE73FA"/>
    <w:rsid w:val="00BF6B4B"/>
    <w:rsid w:val="00C0511C"/>
    <w:rsid w:val="00C20ACF"/>
    <w:rsid w:val="00C22307"/>
    <w:rsid w:val="00C23469"/>
    <w:rsid w:val="00C25AE2"/>
    <w:rsid w:val="00C30C62"/>
    <w:rsid w:val="00C3401F"/>
    <w:rsid w:val="00C371DF"/>
    <w:rsid w:val="00C42055"/>
    <w:rsid w:val="00C44B4C"/>
    <w:rsid w:val="00C45D30"/>
    <w:rsid w:val="00C46734"/>
    <w:rsid w:val="00C47A86"/>
    <w:rsid w:val="00C53220"/>
    <w:rsid w:val="00C57303"/>
    <w:rsid w:val="00C72ADA"/>
    <w:rsid w:val="00CA3347"/>
    <w:rsid w:val="00CB537F"/>
    <w:rsid w:val="00CB6893"/>
    <w:rsid w:val="00CC299A"/>
    <w:rsid w:val="00CD03E3"/>
    <w:rsid w:val="00CD44AF"/>
    <w:rsid w:val="00CE0499"/>
    <w:rsid w:val="00CE6BDA"/>
    <w:rsid w:val="00CF437C"/>
    <w:rsid w:val="00D01138"/>
    <w:rsid w:val="00D0149F"/>
    <w:rsid w:val="00D03DBE"/>
    <w:rsid w:val="00D072C0"/>
    <w:rsid w:val="00D17A5A"/>
    <w:rsid w:val="00D33EF8"/>
    <w:rsid w:val="00D34C82"/>
    <w:rsid w:val="00D3757A"/>
    <w:rsid w:val="00D504A9"/>
    <w:rsid w:val="00D50C19"/>
    <w:rsid w:val="00D5206D"/>
    <w:rsid w:val="00D64F1F"/>
    <w:rsid w:val="00D7177D"/>
    <w:rsid w:val="00D71830"/>
    <w:rsid w:val="00D81311"/>
    <w:rsid w:val="00D92B0C"/>
    <w:rsid w:val="00D93F64"/>
    <w:rsid w:val="00D9620C"/>
    <w:rsid w:val="00D979C3"/>
    <w:rsid w:val="00DB201E"/>
    <w:rsid w:val="00DC0E68"/>
    <w:rsid w:val="00DC1EBF"/>
    <w:rsid w:val="00DD25ED"/>
    <w:rsid w:val="00DE0D6E"/>
    <w:rsid w:val="00E11AEA"/>
    <w:rsid w:val="00E1610C"/>
    <w:rsid w:val="00E16D73"/>
    <w:rsid w:val="00E23E9E"/>
    <w:rsid w:val="00E25722"/>
    <w:rsid w:val="00E27F0A"/>
    <w:rsid w:val="00E320D3"/>
    <w:rsid w:val="00E4031E"/>
    <w:rsid w:val="00E4231E"/>
    <w:rsid w:val="00E4302C"/>
    <w:rsid w:val="00E44AC7"/>
    <w:rsid w:val="00E45F4B"/>
    <w:rsid w:val="00E60A16"/>
    <w:rsid w:val="00E82B6E"/>
    <w:rsid w:val="00E94258"/>
    <w:rsid w:val="00E96C18"/>
    <w:rsid w:val="00EA2E61"/>
    <w:rsid w:val="00EA7D7F"/>
    <w:rsid w:val="00EB02F4"/>
    <w:rsid w:val="00EB2FA2"/>
    <w:rsid w:val="00EB769A"/>
    <w:rsid w:val="00EC3A35"/>
    <w:rsid w:val="00EE17F2"/>
    <w:rsid w:val="00EE2072"/>
    <w:rsid w:val="00EE3138"/>
    <w:rsid w:val="00EF207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53BE2"/>
    <w:rsid w:val="00F55684"/>
    <w:rsid w:val="00F649A2"/>
    <w:rsid w:val="00F64D5A"/>
    <w:rsid w:val="00F709CD"/>
    <w:rsid w:val="00F72F81"/>
    <w:rsid w:val="00F906F4"/>
    <w:rsid w:val="00F94C69"/>
    <w:rsid w:val="00FA0716"/>
    <w:rsid w:val="00FB4629"/>
    <w:rsid w:val="00FB6FB1"/>
    <w:rsid w:val="00FB7063"/>
    <w:rsid w:val="00FC7056"/>
    <w:rsid w:val="00FD3730"/>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27A6B"/>
  <w15:docId w15:val="{82CFCC17-64C9-4ABA-8E37-0D93C52B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link w:val="NormalWebCar"/>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5021BB"/>
  </w:style>
  <w:style w:type="paragraph" w:styleId="Textodeglobo">
    <w:name w:val="Balloon Text"/>
    <w:basedOn w:val="Normal"/>
    <w:link w:val="TextodegloboCar"/>
    <w:uiPriority w:val="99"/>
    <w:semiHidden/>
    <w:unhideWhenUsed/>
    <w:rsid w:val="001613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392"/>
    <w:rPr>
      <w:rFonts w:ascii="Segoe UI" w:hAnsi="Segoe UI" w:cs="Segoe UI"/>
      <w:sz w:val="18"/>
      <w:szCs w:val="18"/>
    </w:rPr>
  </w:style>
  <w:style w:type="character" w:customStyle="1" w:styleId="superscript">
    <w:name w:val="superscript"/>
    <w:basedOn w:val="Fuentedeprrafopredeter"/>
    <w:rsid w:val="00354FFB"/>
  </w:style>
  <w:style w:type="character" w:customStyle="1" w:styleId="NormalWebCar">
    <w:name w:val="Normal (Web) Car"/>
    <w:link w:val="NormalWeb"/>
    <w:uiPriority w:val="99"/>
    <w:locked/>
    <w:rsid w:val="00E320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25601851">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15584039">
      <w:bodyDiv w:val="1"/>
      <w:marLeft w:val="0"/>
      <w:marRight w:val="0"/>
      <w:marTop w:val="0"/>
      <w:marBottom w:val="0"/>
      <w:divBdr>
        <w:top w:val="none" w:sz="0" w:space="0" w:color="auto"/>
        <w:left w:val="none" w:sz="0" w:space="0" w:color="auto"/>
        <w:bottom w:val="none" w:sz="0" w:space="0" w:color="auto"/>
        <w:right w:val="none" w:sz="0" w:space="0" w:color="auto"/>
      </w:divBdr>
    </w:div>
    <w:div w:id="154574843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8779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ites/cce_public/files/files_2020/cce-eicp-gi-21_guia_contratacion_prestacion_de_servicios_v1_03-03-2023_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123D2-5861-4904-8E85-E518DD96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3060</Words>
  <Characters>16835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4</cp:revision>
  <dcterms:created xsi:type="dcterms:W3CDTF">2024-08-16T19:36:00Z</dcterms:created>
  <dcterms:modified xsi:type="dcterms:W3CDTF">2024-08-27T14:01:00Z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