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1D5B3" w14:textId="0C581C1E" w:rsidR="00536F5E" w:rsidRPr="002A3798" w:rsidRDefault="00536F5E" w:rsidP="00536F5E">
      <w:pPr>
        <w:spacing w:after="0" w:line="240" w:lineRule="auto"/>
        <w:jc w:val="both"/>
        <w:rPr>
          <w:rFonts w:ascii="Verdana" w:eastAsia="Calibri" w:hAnsi="Verdana" w:cs="Arial"/>
          <w:b/>
          <w:bCs/>
          <w:lang w:eastAsia="es-ES_tradnl"/>
        </w:rPr>
      </w:pPr>
      <w:bookmarkStart w:id="0" w:name="_Hlk143780582"/>
      <w:r w:rsidRPr="002A3798">
        <w:rPr>
          <w:rFonts w:ascii="Verdana" w:eastAsia="Calibri" w:hAnsi="Verdana" w:cs="Arial"/>
          <w:b/>
          <w:bCs/>
          <w:lang w:eastAsia="es-ES_tradnl"/>
        </w:rPr>
        <w:t xml:space="preserve">LEY DE EMPRENDIMIENTO – Ley 2069 de 2020 – Artículo 32 – Criterios diferenciales – Emprendimientos de mujeres – Empresas de mujeres </w:t>
      </w:r>
    </w:p>
    <w:p w14:paraId="4820056F" w14:textId="77777777" w:rsidR="00536F5E" w:rsidRPr="002A3798" w:rsidRDefault="00536F5E" w:rsidP="00536F5E">
      <w:pPr>
        <w:spacing w:after="0" w:line="240" w:lineRule="auto"/>
        <w:jc w:val="both"/>
        <w:rPr>
          <w:rFonts w:ascii="Verdana" w:eastAsia="Calibri" w:hAnsi="Verdana" w:cs="Arial"/>
          <w:sz w:val="20"/>
          <w:szCs w:val="20"/>
          <w:lang w:eastAsia="es-ES_tradnl"/>
        </w:rPr>
      </w:pPr>
    </w:p>
    <w:p w14:paraId="0F7D3FE7" w14:textId="77777777" w:rsidR="00536F5E" w:rsidRPr="002A3798" w:rsidRDefault="00536F5E" w:rsidP="00536F5E">
      <w:pPr>
        <w:spacing w:after="0" w:line="240" w:lineRule="auto"/>
        <w:jc w:val="both"/>
        <w:rPr>
          <w:rFonts w:ascii="Verdana" w:eastAsia="Calibri" w:hAnsi="Verdana" w:cs="Arial"/>
          <w:sz w:val="20"/>
          <w:szCs w:val="20"/>
          <w:lang w:eastAsia="es-ES_tradnl"/>
        </w:rPr>
      </w:pPr>
      <w:r w:rsidRPr="002A3798">
        <w:rPr>
          <w:rFonts w:ascii="Verdana" w:eastAsia="Calibri" w:hAnsi="Verdana" w:cs="Arial"/>
          <w:sz w:val="20"/>
          <w:szCs w:val="20"/>
          <w:lang w:eastAsia="es-ES_tradnl"/>
        </w:rPr>
        <w:t xml:space="preserve">[…] Particularmente, el artículo 32 </w:t>
      </w:r>
      <w:r w:rsidRPr="002A3798">
        <w:rPr>
          <w:rFonts w:ascii="Verdana" w:eastAsia="Calibri" w:hAnsi="Verdana" w:cs="Arial"/>
          <w:i/>
          <w:sz w:val="20"/>
          <w:szCs w:val="20"/>
          <w:lang w:eastAsia="es-ES_tradnl"/>
        </w:rPr>
        <w:t>ibidem</w:t>
      </w:r>
      <w:r w:rsidRPr="002A3798">
        <w:rPr>
          <w:rFonts w:ascii="Verdana" w:eastAsia="Calibri" w:hAnsi="Verdana" w:cs="Arial"/>
          <w:sz w:val="20"/>
          <w:szCs w:val="20"/>
          <w:lang w:eastAsia="es-ES_tradnl"/>
        </w:rPr>
        <w:t xml:space="preserve"> regula criterios diferenciales y puntajes adicionales para los “emprendimientos y empresas de mujeres” en el sistema de compras y contratación pública.</w:t>
      </w:r>
    </w:p>
    <w:p w14:paraId="53094CD2" w14:textId="77777777" w:rsidR="00536F5E" w:rsidRDefault="00536F5E" w:rsidP="00536F5E">
      <w:pPr>
        <w:spacing w:after="0" w:line="240" w:lineRule="auto"/>
        <w:jc w:val="both"/>
        <w:rPr>
          <w:rFonts w:ascii="Verdana" w:eastAsia="Calibri" w:hAnsi="Verdana" w:cs="Arial"/>
          <w:sz w:val="20"/>
          <w:szCs w:val="20"/>
          <w:lang w:eastAsia="es-ES_tradnl"/>
        </w:rPr>
      </w:pPr>
    </w:p>
    <w:p w14:paraId="26D4EE34" w14:textId="77777777" w:rsidR="00536F5E" w:rsidRDefault="00536F5E" w:rsidP="00536F5E">
      <w:pPr>
        <w:spacing w:after="0" w:line="240" w:lineRule="auto"/>
        <w:jc w:val="both"/>
        <w:rPr>
          <w:rFonts w:ascii="Verdana" w:eastAsia="Calibri" w:hAnsi="Verdana" w:cs="Arial"/>
          <w:sz w:val="20"/>
          <w:szCs w:val="20"/>
          <w:lang w:eastAsia="es-ES_tradnl"/>
        </w:rPr>
      </w:pPr>
      <w:r w:rsidRPr="002A3798">
        <w:rPr>
          <w:rFonts w:ascii="Verdana" w:eastAsia="Calibri" w:hAnsi="Verdana" w:cs="Arial"/>
          <w:sz w:val="20"/>
          <w:szCs w:val="20"/>
          <w:lang w:eastAsia="es-ES_tradnl"/>
        </w:rPr>
        <w:t>[…]</w:t>
      </w:r>
    </w:p>
    <w:p w14:paraId="51C31988" w14:textId="77777777" w:rsidR="00536F5E" w:rsidRPr="002A3798" w:rsidRDefault="00536F5E" w:rsidP="00536F5E">
      <w:pPr>
        <w:spacing w:after="0" w:line="240" w:lineRule="auto"/>
        <w:jc w:val="both"/>
        <w:rPr>
          <w:rFonts w:ascii="Verdana" w:eastAsia="Calibri" w:hAnsi="Verdana" w:cs="Arial"/>
          <w:sz w:val="20"/>
          <w:szCs w:val="20"/>
          <w:lang w:eastAsia="es-ES_tradnl"/>
        </w:rPr>
      </w:pPr>
    </w:p>
    <w:p w14:paraId="44B74BAD" w14:textId="77777777" w:rsidR="00536F5E" w:rsidRPr="002A3798" w:rsidRDefault="00536F5E" w:rsidP="00536F5E">
      <w:pPr>
        <w:spacing w:after="0" w:line="240" w:lineRule="auto"/>
        <w:jc w:val="both"/>
        <w:rPr>
          <w:rFonts w:ascii="Verdana" w:eastAsia="Calibri" w:hAnsi="Verdana" w:cs="Arial"/>
          <w:sz w:val="20"/>
          <w:szCs w:val="20"/>
          <w:lang w:val="es-ES_tradnl" w:eastAsia="es-ES_tradnl"/>
        </w:rPr>
      </w:pPr>
      <w:r w:rsidRPr="002A3798">
        <w:rPr>
          <w:rFonts w:ascii="Verdana" w:eastAsia="Calibri" w:hAnsi="Verdana" w:cs="Arial"/>
          <w:sz w:val="20"/>
          <w:szCs w:val="20"/>
          <w:lang w:val="es-ES_tradnl" w:eastAsia="es-ES_tradnl"/>
        </w:rPr>
        <w:t xml:space="preserve">De esta manera, los denominados “criterios diferenciales” del artículo señalado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46DEFA73" w14:textId="77777777" w:rsidR="00536F5E" w:rsidRPr="002A3798" w:rsidRDefault="00536F5E" w:rsidP="00536F5E">
      <w:pPr>
        <w:spacing w:after="0" w:line="240" w:lineRule="auto"/>
        <w:jc w:val="both"/>
        <w:rPr>
          <w:rFonts w:ascii="Verdana" w:eastAsia="Calibri" w:hAnsi="Verdana" w:cs="Arial"/>
          <w:sz w:val="20"/>
          <w:szCs w:val="20"/>
          <w:lang w:val="es-ES_tradnl" w:eastAsia="es-ES_tradnl"/>
        </w:rPr>
      </w:pPr>
    </w:p>
    <w:p w14:paraId="733AD601" w14:textId="77777777" w:rsidR="00536F5E" w:rsidRPr="002A3798" w:rsidRDefault="00536F5E" w:rsidP="00536F5E">
      <w:pPr>
        <w:spacing w:after="0" w:line="240" w:lineRule="auto"/>
        <w:jc w:val="both"/>
        <w:rPr>
          <w:rFonts w:ascii="Verdana" w:eastAsia="Calibri" w:hAnsi="Verdana" w:cs="Arial"/>
          <w:b/>
          <w:bCs/>
          <w:lang w:eastAsia="es-ES_tradnl"/>
        </w:rPr>
      </w:pPr>
      <w:r w:rsidRPr="002A3798">
        <w:rPr>
          <w:rFonts w:ascii="Verdana" w:eastAsia="Calibri" w:hAnsi="Verdana" w:cs="Arial"/>
          <w:b/>
          <w:bCs/>
          <w:lang w:eastAsia="es-ES_tradnl"/>
        </w:rPr>
        <w:t xml:space="preserve">DECRETO 1860 DE 2021 – Vigencia </w:t>
      </w:r>
    </w:p>
    <w:p w14:paraId="3330E877" w14:textId="77777777" w:rsidR="00536F5E" w:rsidRDefault="00536F5E" w:rsidP="00536F5E">
      <w:pPr>
        <w:spacing w:after="0" w:line="240" w:lineRule="auto"/>
        <w:jc w:val="both"/>
        <w:rPr>
          <w:rFonts w:ascii="Verdana" w:eastAsia="Calibri" w:hAnsi="Verdana" w:cs="Arial"/>
          <w:sz w:val="20"/>
          <w:szCs w:val="20"/>
          <w:lang w:val="es-ES_tradnl" w:eastAsia="es-ES_tradnl"/>
        </w:rPr>
      </w:pPr>
    </w:p>
    <w:p w14:paraId="7652D9B2" w14:textId="77777777" w:rsidR="00536F5E" w:rsidRPr="002A3798" w:rsidRDefault="00536F5E" w:rsidP="00536F5E">
      <w:pPr>
        <w:spacing w:after="0" w:line="240" w:lineRule="auto"/>
        <w:jc w:val="both"/>
        <w:rPr>
          <w:rFonts w:ascii="Verdana" w:eastAsia="Calibri" w:hAnsi="Verdana" w:cs="Arial"/>
          <w:sz w:val="20"/>
          <w:szCs w:val="20"/>
          <w:lang w:val="es-ES_tradnl" w:eastAsia="es-ES_tradnl"/>
        </w:rPr>
      </w:pPr>
      <w:r w:rsidRPr="002A3798">
        <w:rPr>
          <w:rFonts w:ascii="Verdana" w:eastAsia="Calibri" w:hAnsi="Verdana" w:cs="Arial"/>
          <w:sz w:val="20"/>
          <w:szCs w:val="20"/>
          <w:lang w:val="es-ES_tradnl" w:eastAsia="es-ES_tradnl"/>
        </w:rPr>
        <w:t xml:space="preserve">No obstante, el artículo 32 de la Ley 2069 de 2020 alude a la necesidad del desarrollo normativo posterior. Al respecto, el parágrafo dispone que “La definición de emprendimientos y empresas de mujeres se reglamentará por el gobierno nacional”. En ese sentido, la aplicación de criterios diferenciales en favor de emprendimientos y empresas de mujeres estaba condicionada por el ejercicio de la potestad reglamentaria, en orden de establecer la regulación en marco de la cual las Entidades Estatales deben aplicar los criterios diferenciales establecidos en el artículo 32 de la Ley 2069 de 2020. </w:t>
      </w:r>
    </w:p>
    <w:p w14:paraId="637671E8" w14:textId="77777777" w:rsidR="00536F5E" w:rsidRDefault="00536F5E" w:rsidP="00536F5E">
      <w:pPr>
        <w:spacing w:after="0" w:line="240" w:lineRule="auto"/>
        <w:jc w:val="both"/>
        <w:rPr>
          <w:rFonts w:ascii="Verdana" w:eastAsia="Calibri" w:hAnsi="Verdana" w:cs="Arial"/>
          <w:sz w:val="20"/>
          <w:szCs w:val="20"/>
          <w:lang w:val="es-ES_tradnl" w:eastAsia="es-ES_tradnl"/>
        </w:rPr>
      </w:pPr>
    </w:p>
    <w:p w14:paraId="51FCAF04" w14:textId="77777777" w:rsidR="00536F5E" w:rsidRPr="002A3798" w:rsidRDefault="00536F5E" w:rsidP="00536F5E">
      <w:pPr>
        <w:spacing w:after="0" w:line="240" w:lineRule="auto"/>
        <w:jc w:val="both"/>
        <w:rPr>
          <w:rFonts w:ascii="Verdana" w:eastAsia="Calibri" w:hAnsi="Verdana" w:cs="Arial"/>
          <w:sz w:val="20"/>
          <w:szCs w:val="20"/>
          <w:lang w:val="es-ES_tradnl" w:eastAsia="es-ES_tradnl"/>
        </w:rPr>
      </w:pPr>
      <w:r w:rsidRPr="002A3798">
        <w:rPr>
          <w:rFonts w:ascii="Verdana" w:eastAsia="Calibri" w:hAnsi="Verdana" w:cs="Arial"/>
          <w:sz w:val="20"/>
          <w:szCs w:val="20"/>
          <w:lang w:val="es-ES_tradnl" w:eastAsia="es-ES_tradnl"/>
        </w:rPr>
        <w:t xml:space="preserve">En este contexto,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incluyendo los puntajes adicionales y regula su aplicación. </w:t>
      </w:r>
    </w:p>
    <w:p w14:paraId="65D30F35" w14:textId="77777777" w:rsidR="00536F5E" w:rsidRPr="002A3798" w:rsidRDefault="00536F5E" w:rsidP="00536F5E">
      <w:pPr>
        <w:spacing w:after="0" w:line="240" w:lineRule="auto"/>
        <w:jc w:val="both"/>
        <w:rPr>
          <w:rFonts w:ascii="Verdana" w:eastAsia="Calibri" w:hAnsi="Verdana" w:cs="Arial"/>
          <w:sz w:val="20"/>
          <w:szCs w:val="20"/>
          <w:lang w:val="es-ES_tradnl" w:eastAsia="es-ES_tradnl"/>
        </w:rPr>
      </w:pPr>
    </w:p>
    <w:p w14:paraId="6CFB4D87" w14:textId="77777777" w:rsidR="00536F5E" w:rsidRPr="002A3798" w:rsidRDefault="00536F5E" w:rsidP="00536F5E">
      <w:pPr>
        <w:spacing w:after="0" w:line="240" w:lineRule="auto"/>
        <w:jc w:val="both"/>
        <w:rPr>
          <w:rFonts w:ascii="Verdana" w:eastAsia="Calibri" w:hAnsi="Verdana" w:cs="Arial"/>
          <w:b/>
          <w:bCs/>
          <w:lang w:val="es-ES_tradnl" w:eastAsia="es-ES_tradnl"/>
        </w:rPr>
      </w:pPr>
      <w:r w:rsidRPr="002A3798">
        <w:rPr>
          <w:rFonts w:ascii="Verdana" w:eastAsia="Calibri" w:hAnsi="Verdana" w:cs="Arial"/>
          <w:b/>
          <w:bCs/>
          <w:lang w:eastAsia="es-ES_tradnl"/>
        </w:rPr>
        <w:t xml:space="preserve">DECRETO 1860 DE 2021 – Emprendimientos y empresas de mujeres – Definición – Artículo 2.2.1.2.4.2.14 – Numeral 1 – </w:t>
      </w:r>
      <w:r w:rsidRPr="002A3798">
        <w:rPr>
          <w:rFonts w:ascii="Verdana" w:eastAsia="Calibri" w:hAnsi="Verdana" w:cs="Arial"/>
          <w:b/>
          <w:bCs/>
          <w:lang w:val="es-ES_tradnl" w:eastAsia="es-ES_tradnl"/>
        </w:rPr>
        <w:t>Acreditación</w:t>
      </w:r>
    </w:p>
    <w:p w14:paraId="7FDA15BF" w14:textId="77777777" w:rsidR="00536F5E" w:rsidRDefault="00536F5E" w:rsidP="00536F5E">
      <w:pPr>
        <w:spacing w:after="0" w:line="240" w:lineRule="auto"/>
        <w:jc w:val="both"/>
        <w:rPr>
          <w:rFonts w:ascii="Verdana" w:eastAsia="Calibri" w:hAnsi="Verdana" w:cs="Arial"/>
          <w:sz w:val="20"/>
          <w:szCs w:val="20"/>
          <w:lang w:eastAsia="es-ES_tradnl"/>
        </w:rPr>
      </w:pPr>
    </w:p>
    <w:p w14:paraId="6C813B31" w14:textId="77777777" w:rsidR="00536F5E" w:rsidRPr="002A3798" w:rsidRDefault="00536F5E" w:rsidP="00536F5E">
      <w:pPr>
        <w:spacing w:after="0" w:line="240" w:lineRule="auto"/>
        <w:jc w:val="both"/>
        <w:rPr>
          <w:rFonts w:ascii="Verdana" w:eastAsia="Calibri" w:hAnsi="Verdana" w:cs="Arial"/>
          <w:sz w:val="20"/>
          <w:szCs w:val="20"/>
          <w:lang w:val="es-ES_tradnl" w:eastAsia="es-ES_tradnl"/>
        </w:rPr>
      </w:pPr>
      <w:r w:rsidRPr="002A3798">
        <w:rPr>
          <w:rFonts w:ascii="Verdana" w:eastAsia="Calibri" w:hAnsi="Verdana" w:cs="Arial"/>
          <w:sz w:val="20"/>
          <w:szCs w:val="20"/>
          <w:lang w:eastAsia="es-ES_tradnl"/>
        </w:rPr>
        <w:t xml:space="preserve">El </w:t>
      </w:r>
      <w:r w:rsidRPr="002A3798">
        <w:rPr>
          <w:rFonts w:ascii="Verdana" w:eastAsia="Times New Roman" w:hAnsi="Verdana" w:cs="Arial"/>
          <w:sz w:val="20"/>
          <w:szCs w:val="20"/>
          <w:lang w:val="es-ES_tradnl" w:eastAsia="es-ES"/>
        </w:rPr>
        <w:t xml:space="preserve">numeral primero establece que </w:t>
      </w:r>
      <w:r w:rsidRPr="002A3798">
        <w:rPr>
          <w:rFonts w:ascii="Verdana" w:eastAsia="Calibri" w:hAnsi="Verdana" w:cs="Arial"/>
          <w:sz w:val="20"/>
          <w:szCs w:val="20"/>
          <w:lang w:val="es-ES_tradnl"/>
        </w:rPr>
        <w:t xml:space="preserve">una sociedad podrá ser considerada como un emprendimiento o empresa de mujeres cuando más del cincuenta por ciento (50%) de sus acciones, partes de interés o cuotas de participación, pertenezcan a mujeres. Sin embargo, el supuesto de hecho de la norma transcrita, adicionalmente, exige que la titularidad de tal participación haya pertenecido a mujeres, por lo menos, durante el año anterior a la fecha de cierre del proceso de selección. </w:t>
      </w:r>
    </w:p>
    <w:p w14:paraId="34C8BBEA" w14:textId="77777777" w:rsidR="00536F5E" w:rsidRDefault="00536F5E" w:rsidP="00536F5E">
      <w:pPr>
        <w:spacing w:after="0" w:line="240" w:lineRule="auto"/>
        <w:jc w:val="both"/>
        <w:rPr>
          <w:rFonts w:ascii="Verdana" w:eastAsia="Calibri" w:hAnsi="Verdana" w:cs="Arial"/>
          <w:sz w:val="20"/>
          <w:szCs w:val="20"/>
          <w:lang w:val="es-ES"/>
        </w:rPr>
      </w:pPr>
    </w:p>
    <w:p w14:paraId="13DDD641" w14:textId="77777777" w:rsidR="00536F5E" w:rsidRPr="002A3798" w:rsidRDefault="00536F5E" w:rsidP="00536F5E">
      <w:pPr>
        <w:spacing w:after="0" w:line="240" w:lineRule="auto"/>
        <w:jc w:val="both"/>
        <w:rPr>
          <w:rFonts w:ascii="Verdana" w:eastAsia="Calibri" w:hAnsi="Verdana" w:cs="Arial"/>
          <w:sz w:val="20"/>
          <w:szCs w:val="20"/>
          <w:lang w:eastAsia="es-ES"/>
        </w:rPr>
      </w:pPr>
      <w:r w:rsidRPr="002A3798">
        <w:rPr>
          <w:rFonts w:ascii="Verdana" w:eastAsia="Calibri" w:hAnsi="Verdana" w:cs="Arial"/>
          <w:sz w:val="20"/>
          <w:szCs w:val="20"/>
          <w:lang w:val="es-ES"/>
        </w:rPr>
        <w:lastRenderedPageBreak/>
        <w:t>Esto quiere decir que, no basta con que la participación en una sociedad sea mayoritariamente de mujeres para que sea considerada como un emprendimiento o empresa a los que se refiere la norma, sino que además es necesario que dicha participación mayoritaria se haya mantenido como mínimo durante el periodo de un (1)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(1) año.</w:t>
      </w:r>
    </w:p>
    <w:p w14:paraId="2A58FF06" w14:textId="2423E850" w:rsidR="00536F5E" w:rsidRDefault="00536F5E">
      <w:pPr>
        <w:rPr>
          <w:rFonts w:ascii="Verdana" w:hAnsi="Verdana"/>
        </w:rPr>
      </w:pPr>
      <w:r>
        <w:rPr>
          <w:rFonts w:ascii="Verdana" w:hAnsi="Verdana"/>
        </w:rPr>
        <w:br w:type="page"/>
      </w:r>
    </w:p>
    <w:p w14:paraId="3FE2184B" w14:textId="205737F1" w:rsidR="00E245AB" w:rsidRPr="0044528D" w:rsidRDefault="00AC0CA2" w:rsidP="00E245AB">
      <w:pPr>
        <w:spacing w:after="0"/>
        <w:rPr>
          <w:rFonts w:ascii="Verdana" w:hAnsi="Verdana"/>
        </w:rPr>
      </w:pPr>
      <w:r w:rsidRPr="00722C90">
        <w:rPr>
          <w:rFonts w:ascii="Verdana" w:eastAsia="Calibri" w:hAnsi="Verdana" w:cs="Arial"/>
          <w:noProof/>
          <w:lang w:val="es-ES"/>
        </w:rPr>
        <w:lastRenderedPageBreak/>
        <w:drawing>
          <wp:anchor distT="0" distB="0" distL="114300" distR="114300" simplePos="0" relativeHeight="251658240" behindDoc="0" locked="0" layoutInCell="1" allowOverlap="1" wp14:anchorId="2E97F1B8" wp14:editId="756CBC9B">
            <wp:simplePos x="0" y="0"/>
            <wp:positionH relativeFrom="margin">
              <wp:align>right</wp:align>
            </wp:positionH>
            <wp:positionV relativeFrom="paragraph">
              <wp:posOffset>182879</wp:posOffset>
            </wp:positionV>
            <wp:extent cx="3004820" cy="928455"/>
            <wp:effectExtent l="0" t="0" r="5080" b="5080"/>
            <wp:wrapNone/>
            <wp:docPr id="16667551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55140"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004820" cy="928455"/>
                    </a:xfrm>
                    <a:prstGeom prst="rect">
                      <a:avLst/>
                    </a:prstGeom>
                  </pic:spPr>
                </pic:pic>
              </a:graphicData>
            </a:graphic>
            <wp14:sizeRelH relativeFrom="margin">
              <wp14:pctWidth>0</wp14:pctWidth>
            </wp14:sizeRelH>
            <wp14:sizeRelV relativeFrom="margin">
              <wp14:pctHeight>0</wp14:pctHeight>
            </wp14:sizeRelV>
          </wp:anchor>
        </w:drawing>
      </w:r>
      <w:r w:rsidR="00CD14D0">
        <w:rPr>
          <w:rFonts w:ascii="Verdana" w:eastAsia="Calibri" w:hAnsi="Verdana" w:cs="Arial"/>
          <w:noProof/>
          <w:lang w:val="es-ES"/>
        </w:rPr>
        <w:t>L</w:t>
      </w:r>
      <w:r w:rsidR="00722C90" w:rsidRPr="0044528D">
        <w:rPr>
          <w:rFonts w:ascii="Verdana" w:hAnsi="Verdana"/>
        </w:rPr>
        <w:t>Bogotá D.C.,</w:t>
      </w:r>
      <w:r w:rsidR="00722C90">
        <w:rPr>
          <w:rFonts w:ascii="Verdana" w:hAnsi="Verdana"/>
        </w:rPr>
        <w:t xml:space="preserve"> 26 de agosto de 2024.</w:t>
      </w:r>
      <w:r w:rsidR="00891928" w:rsidRPr="0044528D">
        <w:rPr>
          <w:rFonts w:ascii="Verdana" w:hAnsi="Verdana"/>
        </w:rPr>
        <w:tab/>
      </w:r>
    </w:p>
    <w:p w14:paraId="3A656106" w14:textId="7996E05E" w:rsidR="004C0691" w:rsidRPr="00676B96" w:rsidRDefault="004C0691" w:rsidP="00722C90">
      <w:pPr>
        <w:spacing w:after="0" w:line="240" w:lineRule="auto"/>
        <w:jc w:val="right"/>
        <w:rPr>
          <w:rFonts w:ascii="Verdana" w:eastAsia="Calibri" w:hAnsi="Verdana" w:cs="Arial"/>
          <w:lang w:val="es-ES"/>
        </w:rPr>
      </w:pPr>
    </w:p>
    <w:p w14:paraId="5E4807E2" w14:textId="77777777" w:rsidR="004C0691" w:rsidRPr="00676B96" w:rsidRDefault="004C0691" w:rsidP="004C0691">
      <w:pPr>
        <w:spacing w:after="0" w:line="240" w:lineRule="auto"/>
        <w:jc w:val="both"/>
        <w:rPr>
          <w:rFonts w:ascii="Verdana" w:eastAsia="Calibri" w:hAnsi="Verdana" w:cs="Arial"/>
          <w:lang w:val="es-ES" w:eastAsia="es-ES"/>
        </w:rPr>
      </w:pPr>
      <w:r w:rsidRPr="00676B96">
        <w:rPr>
          <w:rFonts w:ascii="Verdana" w:eastAsia="Calibri" w:hAnsi="Verdana" w:cs="Arial"/>
          <w:lang w:val="es-ES" w:eastAsia="es-ES"/>
        </w:rPr>
        <w:t>Señor</w:t>
      </w:r>
    </w:p>
    <w:p w14:paraId="0C6347BD" w14:textId="77777777" w:rsidR="004C0691" w:rsidRPr="00676B96" w:rsidRDefault="004C0691" w:rsidP="004C0691">
      <w:pPr>
        <w:spacing w:after="0" w:line="240" w:lineRule="auto"/>
        <w:rPr>
          <w:rFonts w:ascii="Verdana" w:eastAsia="Calibri" w:hAnsi="Verdana" w:cs="Arial"/>
          <w:b/>
          <w:u w:val="single"/>
          <w:lang w:val="es-ES" w:eastAsia="es-ES_tradnl"/>
        </w:rPr>
      </w:pPr>
      <w:r w:rsidRPr="00676B96">
        <w:rPr>
          <w:rFonts w:ascii="Verdana" w:eastAsia="Calibri" w:hAnsi="Verdana" w:cs="Arial"/>
          <w:b/>
          <w:lang w:eastAsia="es-ES_tradnl"/>
        </w:rPr>
        <w:t>José Alejandro Martínez Novoa</w:t>
      </w:r>
      <w:r w:rsidRPr="00676B96">
        <w:rPr>
          <w:rFonts w:ascii="Verdana" w:eastAsia="Calibri" w:hAnsi="Verdana" w:cs="Arial"/>
          <w:b/>
          <w:u w:val="single"/>
          <w:lang w:val="es-ES" w:eastAsia="es-ES_tradnl"/>
        </w:rPr>
        <w:t xml:space="preserve"> </w:t>
      </w:r>
    </w:p>
    <w:p w14:paraId="57C3E0F2" w14:textId="77777777" w:rsidR="004C0691" w:rsidRPr="00676B96" w:rsidRDefault="004C0691" w:rsidP="004C0691">
      <w:pPr>
        <w:spacing w:after="0" w:line="240" w:lineRule="auto"/>
        <w:rPr>
          <w:rFonts w:ascii="Verdana" w:eastAsia="Calibri" w:hAnsi="Verdana" w:cs="Arial"/>
          <w:lang w:val="es-ES" w:eastAsia="es-ES"/>
        </w:rPr>
      </w:pPr>
      <w:r w:rsidRPr="00676B96">
        <w:rPr>
          <w:rFonts w:ascii="Verdana" w:eastAsia="Calibri" w:hAnsi="Verdana" w:cs="Arial"/>
          <w:lang w:eastAsia="es-ES"/>
        </w:rPr>
        <w:t>SEÑALES LTDA.</w:t>
      </w:r>
      <w:r w:rsidRPr="00676B96">
        <w:rPr>
          <w:rFonts w:ascii="Verdana" w:eastAsia="Calibri" w:hAnsi="Verdana" w:cs="Arial"/>
          <w:lang w:val="es-ES" w:eastAsia="es-ES"/>
        </w:rPr>
        <w:t xml:space="preserve"> </w:t>
      </w:r>
    </w:p>
    <w:p w14:paraId="1099821A" w14:textId="77777777" w:rsidR="004C0691" w:rsidRPr="00676B96" w:rsidRDefault="004C0691" w:rsidP="004C0691">
      <w:pPr>
        <w:spacing w:after="0" w:line="240" w:lineRule="auto"/>
        <w:rPr>
          <w:rFonts w:ascii="Verdana" w:eastAsia="Calibri" w:hAnsi="Verdana" w:cs="Arial"/>
          <w:b/>
          <w:bCs/>
          <w:lang w:val="es-ES" w:eastAsia="es-ES"/>
        </w:rPr>
      </w:pPr>
      <w:r w:rsidRPr="00676B96">
        <w:rPr>
          <w:rFonts w:ascii="Verdana" w:eastAsia="Calibri" w:hAnsi="Verdana" w:cs="Arial"/>
          <w:lang w:val="es-ES" w:eastAsia="es-ES"/>
        </w:rPr>
        <w:t>Ciudad</w:t>
      </w:r>
    </w:p>
    <w:p w14:paraId="6C20DF48" w14:textId="77777777" w:rsidR="004C0691" w:rsidRPr="00676B96" w:rsidRDefault="004C0691" w:rsidP="004C0691">
      <w:pPr>
        <w:spacing w:after="0" w:line="240" w:lineRule="auto"/>
        <w:rPr>
          <w:rFonts w:ascii="Verdana" w:eastAsia="Calibri" w:hAnsi="Verdana" w:cs="Arial"/>
          <w:b/>
          <w:bCs/>
          <w:lang w:val="es-ES_tradnl" w:eastAsia="es-ES_tradnl"/>
        </w:rPr>
      </w:pPr>
    </w:p>
    <w:p w14:paraId="4422C411" w14:textId="77777777" w:rsidR="004C0691" w:rsidRPr="00676B96" w:rsidRDefault="004C0691" w:rsidP="004C0691">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C0691" w:rsidRPr="00676B96" w14:paraId="0841F942" w14:textId="77777777" w:rsidTr="002D7ACD">
        <w:trPr>
          <w:trHeight w:val="369"/>
        </w:trPr>
        <w:tc>
          <w:tcPr>
            <w:tcW w:w="2689" w:type="dxa"/>
          </w:tcPr>
          <w:p w14:paraId="04C8A436" w14:textId="77777777" w:rsidR="004C0691" w:rsidRPr="00676B96" w:rsidRDefault="004C0691" w:rsidP="002D7ACD">
            <w:pPr>
              <w:jc w:val="both"/>
              <w:rPr>
                <w:rFonts w:ascii="Verdana" w:eastAsia="Calibri" w:hAnsi="Verdana" w:cs="Arial"/>
                <w:b/>
                <w:bCs/>
                <w:lang w:val="es-ES_tradnl" w:eastAsia="es-ES_tradnl"/>
              </w:rPr>
            </w:pPr>
          </w:p>
        </w:tc>
        <w:tc>
          <w:tcPr>
            <w:tcW w:w="6100" w:type="dxa"/>
          </w:tcPr>
          <w:p w14:paraId="20504B8A" w14:textId="77777777" w:rsidR="004C0691" w:rsidRPr="00676B96" w:rsidRDefault="004C0691" w:rsidP="002D7ACD">
            <w:pPr>
              <w:jc w:val="both"/>
              <w:rPr>
                <w:rFonts w:ascii="Verdana" w:eastAsia="Calibri" w:hAnsi="Verdana" w:cs="Arial"/>
                <w:b/>
                <w:bCs/>
                <w:lang w:val="es-ES" w:eastAsia="es-ES"/>
              </w:rPr>
            </w:pPr>
            <w:r w:rsidRPr="00676B96">
              <w:rPr>
                <w:rFonts w:ascii="Verdana" w:eastAsia="Calibri" w:hAnsi="Verdana" w:cs="Arial"/>
                <w:b/>
                <w:bCs/>
                <w:lang w:val="es-ES" w:eastAsia="es-ES"/>
              </w:rPr>
              <w:t>Concepto C- 328 de 2024</w:t>
            </w:r>
          </w:p>
          <w:p w14:paraId="436EAF25" w14:textId="77777777" w:rsidR="004C0691" w:rsidRPr="00676B96" w:rsidRDefault="004C0691" w:rsidP="002D7ACD">
            <w:pPr>
              <w:jc w:val="both"/>
              <w:rPr>
                <w:rFonts w:ascii="Verdana" w:eastAsia="Calibri" w:hAnsi="Verdana" w:cs="Arial"/>
                <w:b/>
                <w:bCs/>
                <w:lang w:val="es-ES" w:eastAsia="es-ES"/>
              </w:rPr>
            </w:pPr>
          </w:p>
        </w:tc>
      </w:tr>
      <w:tr w:rsidR="004C0691" w:rsidRPr="00676B96" w14:paraId="2C3FE947" w14:textId="77777777" w:rsidTr="002D7ACD">
        <w:trPr>
          <w:trHeight w:val="884"/>
        </w:trPr>
        <w:tc>
          <w:tcPr>
            <w:tcW w:w="2689" w:type="dxa"/>
          </w:tcPr>
          <w:p w14:paraId="66041225" w14:textId="77777777" w:rsidR="004C0691" w:rsidRPr="00676B96" w:rsidRDefault="004C0691" w:rsidP="002D7ACD">
            <w:pPr>
              <w:jc w:val="both"/>
              <w:rPr>
                <w:rFonts w:ascii="Verdana" w:eastAsia="Calibri" w:hAnsi="Verdana" w:cs="Arial"/>
                <w:lang w:val="es-ES_tradnl" w:eastAsia="es-ES_tradnl"/>
              </w:rPr>
            </w:pPr>
            <w:r w:rsidRPr="00676B96">
              <w:rPr>
                <w:rFonts w:ascii="Verdana" w:eastAsia="Calibri" w:hAnsi="Verdana" w:cs="Arial"/>
                <w:b/>
                <w:lang w:val="es-ES_tradnl" w:eastAsia="es-ES_tradnl"/>
              </w:rPr>
              <w:t>Temas:</w:t>
            </w:r>
            <w:r w:rsidRPr="00676B96">
              <w:rPr>
                <w:rFonts w:ascii="Verdana" w:eastAsia="Calibri" w:hAnsi="Verdana" w:cs="Arial"/>
                <w:lang w:val="es-ES_tradnl" w:eastAsia="es-ES_tradnl"/>
              </w:rPr>
              <w:t xml:space="preserve">                   </w:t>
            </w:r>
          </w:p>
        </w:tc>
        <w:tc>
          <w:tcPr>
            <w:tcW w:w="6100" w:type="dxa"/>
          </w:tcPr>
          <w:p w14:paraId="453905FC" w14:textId="77777777" w:rsidR="004C0691" w:rsidRPr="00676B96" w:rsidRDefault="004C0691" w:rsidP="002D7ACD">
            <w:pPr>
              <w:jc w:val="both"/>
              <w:rPr>
                <w:rFonts w:ascii="Verdana" w:eastAsia="Calibri" w:hAnsi="Verdana" w:cs="Arial"/>
                <w:lang w:val="es-ES_tradnl" w:eastAsia="es-ES_tradnl"/>
              </w:rPr>
            </w:pPr>
            <w:r w:rsidRPr="00676B96">
              <w:rPr>
                <w:rFonts w:ascii="Verdana" w:eastAsia="Calibri" w:hAnsi="Verdana" w:cs="Arial"/>
                <w:lang w:eastAsia="es-ES_tradnl"/>
              </w:rPr>
              <w:t xml:space="preserve">LEY DE EMPRENDIMIENTO – Ley 2069 de 2020 – Artículo 32 – Criterios diferenciales – Emprendimientos de mujeres – Empresas de mujeres / DECRETO 1860 DE 2021 – Vigencia / DECRETO 1860 DE 2021 – Emprendimientos y empresas de mujeres – Definición – Artículo 2.2.1.2.4.2.14 – Numeral 1 – </w:t>
            </w:r>
            <w:r w:rsidRPr="00676B96">
              <w:rPr>
                <w:rFonts w:ascii="Verdana" w:eastAsia="Calibri" w:hAnsi="Verdana" w:cs="Arial"/>
                <w:lang w:val="es-ES_tradnl" w:eastAsia="es-ES_tradnl"/>
              </w:rPr>
              <w:t>Acreditación</w:t>
            </w:r>
          </w:p>
          <w:p w14:paraId="37A767A5" w14:textId="77777777" w:rsidR="004C0691" w:rsidRPr="00676B96" w:rsidRDefault="004C0691" w:rsidP="002D7ACD">
            <w:pPr>
              <w:jc w:val="both"/>
              <w:rPr>
                <w:rFonts w:ascii="Verdana" w:eastAsia="Calibri" w:hAnsi="Verdana" w:cs="Arial"/>
                <w:lang w:val="es-ES_tradnl" w:eastAsia="es-ES"/>
              </w:rPr>
            </w:pPr>
          </w:p>
        </w:tc>
      </w:tr>
      <w:tr w:rsidR="004C0691" w:rsidRPr="00676B96" w14:paraId="5EC38B50" w14:textId="77777777" w:rsidTr="002D7ACD">
        <w:tc>
          <w:tcPr>
            <w:tcW w:w="2689" w:type="dxa"/>
          </w:tcPr>
          <w:p w14:paraId="2AE51572" w14:textId="77777777" w:rsidR="004C0691" w:rsidRPr="00676B96" w:rsidRDefault="004C0691" w:rsidP="002D7ACD">
            <w:pPr>
              <w:jc w:val="both"/>
              <w:rPr>
                <w:rFonts w:ascii="Verdana" w:eastAsia="Calibri" w:hAnsi="Verdana" w:cs="Arial"/>
                <w:b/>
                <w:lang w:val="es-ES_tradnl" w:eastAsia="es-ES_tradnl"/>
              </w:rPr>
            </w:pPr>
            <w:r w:rsidRPr="00676B96">
              <w:rPr>
                <w:rFonts w:ascii="Verdana" w:eastAsia="Calibri" w:hAnsi="Verdana" w:cs="Arial"/>
                <w:b/>
                <w:lang w:val="es-ES_tradnl" w:eastAsia="es-ES_tradnl"/>
              </w:rPr>
              <w:t>Radicación:</w:t>
            </w:r>
            <w:r w:rsidRPr="00676B96">
              <w:rPr>
                <w:rFonts w:ascii="Verdana" w:eastAsia="Calibri" w:hAnsi="Verdana" w:cs="Arial"/>
                <w:lang w:val="es-ES_tradnl" w:eastAsia="es-ES_tradnl"/>
              </w:rPr>
              <w:t xml:space="preserve">               </w:t>
            </w:r>
          </w:p>
        </w:tc>
        <w:tc>
          <w:tcPr>
            <w:tcW w:w="6100" w:type="dxa"/>
          </w:tcPr>
          <w:p w14:paraId="31748949" w14:textId="77777777" w:rsidR="004C0691" w:rsidRPr="00676B96" w:rsidRDefault="004C0691" w:rsidP="002D7ACD">
            <w:pPr>
              <w:jc w:val="both"/>
              <w:rPr>
                <w:rFonts w:ascii="Verdana" w:eastAsia="Calibri" w:hAnsi="Verdana" w:cs="Arial"/>
                <w:lang w:val="es-ES_tradnl" w:eastAsia="es-ES_tradnl"/>
              </w:rPr>
            </w:pPr>
            <w:r w:rsidRPr="00676B96">
              <w:rPr>
                <w:rFonts w:ascii="Verdana" w:eastAsia="Calibri" w:hAnsi="Verdana" w:cs="Arial"/>
                <w:lang w:val="es-ES_tradnl" w:eastAsia="es-ES_tradnl"/>
              </w:rPr>
              <w:t>Respuesta a consulta con radicado No. P20240711007100</w:t>
            </w:r>
          </w:p>
        </w:tc>
      </w:tr>
    </w:tbl>
    <w:p w14:paraId="0EC45515" w14:textId="77777777" w:rsidR="004C0691" w:rsidRPr="00676B96" w:rsidRDefault="004C0691" w:rsidP="004C0691">
      <w:pPr>
        <w:spacing w:after="0" w:line="276" w:lineRule="auto"/>
        <w:jc w:val="both"/>
        <w:rPr>
          <w:rFonts w:ascii="Verdana" w:eastAsia="Calibri" w:hAnsi="Verdana" w:cs="Arial"/>
          <w:lang w:val="es-ES_tradnl" w:eastAsia="es-ES_tradnl"/>
        </w:rPr>
      </w:pPr>
    </w:p>
    <w:p w14:paraId="1D00B204" w14:textId="77777777" w:rsidR="004C0691" w:rsidRPr="00676B96" w:rsidRDefault="004C0691" w:rsidP="004C0691">
      <w:pPr>
        <w:spacing w:after="0" w:line="276" w:lineRule="auto"/>
        <w:jc w:val="both"/>
        <w:rPr>
          <w:rFonts w:ascii="Verdana" w:eastAsia="Calibri" w:hAnsi="Verdana" w:cs="Arial"/>
          <w:lang w:val="es-ES_tradnl" w:eastAsia="es-ES_tradnl"/>
        </w:rPr>
      </w:pPr>
    </w:p>
    <w:p w14:paraId="3EB9FD73" w14:textId="77777777" w:rsidR="004C0691" w:rsidRPr="00676B96" w:rsidRDefault="004C0691" w:rsidP="004C0691">
      <w:pPr>
        <w:spacing w:after="0" w:line="276" w:lineRule="auto"/>
        <w:jc w:val="both"/>
        <w:rPr>
          <w:rFonts w:ascii="Verdana" w:eastAsia="Calibri" w:hAnsi="Verdana" w:cs="Arial"/>
          <w:lang w:val="es-ES" w:eastAsia="es-ES"/>
        </w:rPr>
      </w:pPr>
      <w:r w:rsidRPr="00676B96">
        <w:rPr>
          <w:rFonts w:ascii="Verdana" w:eastAsia="Calibri" w:hAnsi="Verdana" w:cs="Arial"/>
          <w:lang w:val="es-ES" w:eastAsia="es-ES"/>
        </w:rPr>
        <w:t xml:space="preserve">Estimado señor Martinez Novoa: </w:t>
      </w:r>
    </w:p>
    <w:p w14:paraId="003CEEE3" w14:textId="77777777" w:rsidR="004C0691" w:rsidRPr="00676B96" w:rsidRDefault="004C0691" w:rsidP="004C0691">
      <w:pPr>
        <w:tabs>
          <w:tab w:val="left" w:pos="3768"/>
        </w:tabs>
        <w:spacing w:after="0" w:line="276" w:lineRule="auto"/>
        <w:jc w:val="both"/>
        <w:rPr>
          <w:rFonts w:ascii="Verdana" w:eastAsia="Calibri" w:hAnsi="Verdana" w:cs="Arial"/>
          <w:lang w:val="es-ES" w:eastAsia="es-ES"/>
        </w:rPr>
      </w:pPr>
      <w:r w:rsidRPr="00676B96">
        <w:rPr>
          <w:rFonts w:ascii="Verdana" w:eastAsia="Calibri" w:hAnsi="Verdana" w:cs="Arial"/>
          <w:lang w:val="es-ES" w:eastAsia="es-ES"/>
        </w:rPr>
        <w:tab/>
      </w:r>
    </w:p>
    <w:p w14:paraId="3CA5203B" w14:textId="77777777" w:rsidR="004C0691" w:rsidRPr="00676B96" w:rsidRDefault="004C0691" w:rsidP="004C0691">
      <w:pPr>
        <w:spacing w:after="0" w:line="276" w:lineRule="auto"/>
        <w:jc w:val="both"/>
        <w:rPr>
          <w:rFonts w:ascii="Verdana" w:eastAsia="Calibri" w:hAnsi="Verdana" w:cs="Arial"/>
          <w:lang w:val="es-ES" w:eastAsia="es-ES"/>
        </w:rPr>
      </w:pPr>
      <w:r w:rsidRPr="00676B96">
        <w:rPr>
          <w:rFonts w:ascii="Verdana" w:eastAsia="Calibri" w:hAnsi="Verdana" w:cs="Arial"/>
          <w:lang w:val="es-ES" w:eastAsia="es-ES"/>
        </w:rPr>
        <w:t>En ejercicio de la competencia otorgada por los artículos 3, numeral 5º, y 11, numeral 8º, del Decreto Ley 4170 de 2011,</w:t>
      </w:r>
      <w:r w:rsidRPr="00676B96">
        <w:rPr>
          <w:rFonts w:ascii="Verdana" w:eastAsia="Arial MT" w:hAnsi="Verdana" w:cs="Arial MT"/>
          <w:lang w:val="es-ES" w:eastAsia="es-ES"/>
        </w:rPr>
        <w:t xml:space="preserve"> </w:t>
      </w:r>
      <w:r w:rsidRPr="00676B96">
        <w:rPr>
          <w:rFonts w:ascii="Verdana" w:hAnsi="Verdana" w:cs="Arial"/>
        </w:rPr>
        <w:t xml:space="preserve">así como lo establecido en el artículo 4 de la Resolución 1707 de 2018 expedida por esta Entidad, </w:t>
      </w:r>
      <w:r w:rsidRPr="00676B96">
        <w:rPr>
          <w:rFonts w:ascii="Verdana" w:eastAsia="Calibri" w:hAnsi="Verdana" w:cs="Arial"/>
          <w:lang w:val="es-ES" w:eastAsia="es-ES"/>
        </w:rPr>
        <w:t xml:space="preserve">la Agencia Nacional de Contratación Pública – Colombia Compra Eficiente – responde su solicitud de consulta, remitida por las Superintendencia de Sociedades, el 11 de julio de 2024, en la cual manifiesta lo siguiente: </w:t>
      </w:r>
    </w:p>
    <w:p w14:paraId="25D23FE5" w14:textId="77777777" w:rsidR="004C0691" w:rsidRPr="00676B96" w:rsidRDefault="004C0691" w:rsidP="004C0691">
      <w:pPr>
        <w:pStyle w:val="Prrafodelista"/>
        <w:tabs>
          <w:tab w:val="left" w:pos="142"/>
          <w:tab w:val="left" w:pos="284"/>
        </w:tabs>
        <w:spacing w:line="276" w:lineRule="auto"/>
        <w:ind w:left="0"/>
        <w:contextualSpacing w:val="0"/>
        <w:jc w:val="both"/>
        <w:rPr>
          <w:rFonts w:ascii="Verdana" w:eastAsia="Century Gothic" w:hAnsi="Verdana" w:cs="Century Gothic"/>
          <w:b/>
          <w:bCs/>
        </w:rPr>
      </w:pPr>
    </w:p>
    <w:p w14:paraId="5F203DEE" w14:textId="55FA92D8" w:rsidR="004C0691" w:rsidRPr="00676B96" w:rsidRDefault="004C0691" w:rsidP="004C0691">
      <w:pPr>
        <w:spacing w:after="0" w:line="240" w:lineRule="auto"/>
        <w:ind w:left="709" w:right="709"/>
        <w:jc w:val="both"/>
        <w:rPr>
          <w:rFonts w:ascii="Verdana" w:hAnsi="Verdana" w:cs="Arial"/>
          <w:sz w:val="20"/>
          <w:szCs w:val="20"/>
          <w:shd w:val="clear" w:color="auto" w:fill="FFFFFF"/>
        </w:rPr>
      </w:pPr>
      <w:bookmarkStart w:id="1" w:name="_Hlk95313578"/>
      <w:r w:rsidRPr="00676B96">
        <w:rPr>
          <w:rFonts w:ascii="Verdana" w:eastAsia="Century Gothic" w:hAnsi="Verdana" w:cs="Century Gothic"/>
          <w:sz w:val="20"/>
          <w:szCs w:val="20"/>
          <w:lang w:val="es-ES"/>
        </w:rPr>
        <w:t>“[…]</w:t>
      </w:r>
      <w:r w:rsidR="003202B0">
        <w:rPr>
          <w:rFonts w:ascii="Verdana" w:eastAsia="Century Gothic" w:hAnsi="Verdana" w:cs="Century Gothic"/>
          <w:sz w:val="20"/>
          <w:szCs w:val="20"/>
          <w:lang w:val="es-ES"/>
        </w:rPr>
        <w:t xml:space="preserve"> </w:t>
      </w:r>
      <w:r w:rsidRPr="00676B96">
        <w:rPr>
          <w:rFonts w:ascii="Verdana" w:hAnsi="Verdana" w:cs="Arial"/>
          <w:sz w:val="20"/>
          <w:szCs w:val="20"/>
          <w:shd w:val="clear" w:color="auto" w:fill="FFFFFF"/>
        </w:rPr>
        <w:t xml:space="preserve">• Dentro del marco de los principios de transparencia, celeridad, eficiencia y economía, </w:t>
      </w:r>
      <w:bookmarkStart w:id="2" w:name="_Hlk175578799"/>
      <w:r w:rsidRPr="00676B96">
        <w:rPr>
          <w:rFonts w:ascii="Verdana" w:hAnsi="Verdana" w:cs="Arial"/>
          <w:sz w:val="20"/>
          <w:szCs w:val="20"/>
          <w:shd w:val="clear" w:color="auto" w:fill="FFFFFF"/>
        </w:rPr>
        <w:t xml:space="preserve">¿las entidades encargadas de cumplir los fines del Estado a través de la contratación pública están obligadas a verificar el registro de control de aquellas empresas en las que una única mujer posea más del 50% de las acciones? </w:t>
      </w:r>
      <w:bookmarkEnd w:id="2"/>
    </w:p>
    <w:p w14:paraId="72F4CC2B" w14:textId="77777777" w:rsidR="004C0691" w:rsidRPr="00676B96" w:rsidRDefault="004C0691" w:rsidP="004C0691">
      <w:pPr>
        <w:spacing w:after="0" w:line="240" w:lineRule="auto"/>
        <w:ind w:left="709" w:right="709"/>
        <w:jc w:val="both"/>
        <w:rPr>
          <w:rFonts w:ascii="Verdana" w:hAnsi="Verdana" w:cs="Arial"/>
          <w:sz w:val="20"/>
          <w:szCs w:val="20"/>
          <w:shd w:val="clear" w:color="auto" w:fill="FFFFFF"/>
        </w:rPr>
      </w:pPr>
    </w:p>
    <w:p w14:paraId="34497F5D" w14:textId="77777777" w:rsidR="004C0691" w:rsidRPr="00676B96" w:rsidRDefault="004C0691" w:rsidP="004C0691">
      <w:pPr>
        <w:spacing w:after="0" w:line="240" w:lineRule="auto"/>
        <w:ind w:left="709" w:right="709"/>
        <w:jc w:val="both"/>
        <w:rPr>
          <w:rFonts w:ascii="Verdana" w:hAnsi="Verdana" w:cs="Arial"/>
          <w:sz w:val="20"/>
          <w:szCs w:val="20"/>
          <w:shd w:val="clear" w:color="auto" w:fill="FFFFFF"/>
        </w:rPr>
      </w:pPr>
      <w:r w:rsidRPr="00676B96">
        <w:rPr>
          <w:rFonts w:ascii="Verdana" w:hAnsi="Verdana" w:cs="Arial"/>
          <w:sz w:val="20"/>
          <w:szCs w:val="20"/>
          <w:shd w:val="clear" w:color="auto" w:fill="FFFFFF"/>
        </w:rPr>
        <w:t xml:space="preserve">• ¿Cuál es el procedimiento que debe seguir una entidad pública al detectar una situación de control no declarada durante un proceso de contratación, considerando su responsabilidad de resguardar el patrimonio público y mantener la transparencia en dichos procesos? </w:t>
      </w:r>
      <w:r w:rsidRPr="00676B96">
        <w:rPr>
          <w:rStyle w:val="normaltextrun"/>
          <w:rFonts w:ascii="Verdana" w:hAnsi="Verdana" w:cs="Arial"/>
          <w:sz w:val="20"/>
          <w:szCs w:val="20"/>
          <w:shd w:val="clear" w:color="auto" w:fill="FFFFFF"/>
          <w:lang w:val="es-ES"/>
        </w:rPr>
        <w:t>[…]</w:t>
      </w:r>
      <w:r w:rsidRPr="00676B96">
        <w:rPr>
          <w:rFonts w:ascii="Verdana" w:eastAsia="Century Gothic" w:hAnsi="Verdana" w:cs="Century Gothic"/>
          <w:sz w:val="20"/>
          <w:szCs w:val="20"/>
          <w:lang w:val="es-ES"/>
        </w:rPr>
        <w:t>”</w:t>
      </w:r>
      <w:bookmarkEnd w:id="1"/>
      <w:r w:rsidRPr="00676B96">
        <w:rPr>
          <w:rFonts w:ascii="Verdana" w:eastAsia="Century Gothic" w:hAnsi="Verdana" w:cs="Century Gothic"/>
          <w:sz w:val="20"/>
          <w:szCs w:val="20"/>
          <w:lang w:val="es-ES"/>
        </w:rPr>
        <w:t>.</w:t>
      </w:r>
    </w:p>
    <w:p w14:paraId="02A7E270" w14:textId="77777777" w:rsidR="004C0691" w:rsidRPr="00676B96" w:rsidRDefault="004C0691" w:rsidP="004C0691">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7DA69962" w14:textId="77777777" w:rsidR="00B2670E" w:rsidRDefault="004C0691" w:rsidP="00BC3155">
      <w:pPr>
        <w:spacing w:after="120" w:line="276" w:lineRule="auto"/>
        <w:jc w:val="both"/>
        <w:rPr>
          <w:rFonts w:ascii="Verdana" w:eastAsia="Calibri" w:hAnsi="Verdana" w:cs="Arial"/>
          <w:lang w:val="es-ES_tradnl" w:eastAsia="es-ES_tradnl"/>
        </w:rPr>
      </w:pPr>
      <w:r w:rsidRPr="00676B96">
        <w:rPr>
          <w:rFonts w:ascii="Verdana" w:eastAsia="Calibri" w:hAnsi="Verdana" w:cs="Arial"/>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76B96">
        <w:rPr>
          <w:rFonts w:ascii="Verdana" w:eastAsia="Calibri" w:hAnsi="Verdana" w:cs="Arial"/>
          <w:lang w:val="es-ES_tradnl" w:eastAsia="es-ES_tradnl"/>
        </w:rPr>
        <w:tab/>
      </w:r>
    </w:p>
    <w:p w14:paraId="5BA75627" w14:textId="77777777" w:rsidR="004C0691" w:rsidRPr="00B2670E" w:rsidRDefault="004C0691" w:rsidP="00B2670E">
      <w:pPr>
        <w:spacing w:after="0" w:line="276" w:lineRule="auto"/>
        <w:ind w:firstLine="708"/>
        <w:jc w:val="both"/>
        <w:rPr>
          <w:rFonts w:ascii="Verdana" w:eastAsia="Calibri" w:hAnsi="Verdana" w:cs="Arial"/>
          <w:lang w:val="es-ES_tradnl" w:eastAsia="es-ES_tradnl"/>
        </w:rPr>
      </w:pPr>
      <w:r w:rsidRPr="00676B9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3DA0EB83" w14:textId="77777777" w:rsidR="004C0691" w:rsidRPr="00C02094" w:rsidRDefault="004C0691" w:rsidP="004C0691">
      <w:pPr>
        <w:spacing w:after="0" w:line="276" w:lineRule="auto"/>
        <w:ind w:firstLine="709"/>
        <w:jc w:val="both"/>
        <w:rPr>
          <w:rFonts w:ascii="Verdana" w:eastAsia="Calibri" w:hAnsi="Verdana" w:cs="Arial"/>
          <w:lang w:val="es-ES" w:eastAsia="es-ES"/>
        </w:rPr>
      </w:pPr>
    </w:p>
    <w:p w14:paraId="6177D628" w14:textId="77777777" w:rsidR="004C0691" w:rsidRPr="00C02094"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2094">
        <w:rPr>
          <w:rFonts w:ascii="Verdana" w:eastAsia="Century Gothic" w:hAnsi="Verdana" w:cs="Century Gothic"/>
          <w:b/>
          <w:bCs/>
        </w:rPr>
        <w:t>Problema planteado:</w:t>
      </w:r>
    </w:p>
    <w:p w14:paraId="4D5FA701" w14:textId="77777777" w:rsidR="004C0691" w:rsidRPr="00C02094" w:rsidRDefault="004C0691" w:rsidP="004C0691">
      <w:pPr>
        <w:tabs>
          <w:tab w:val="left" w:pos="426"/>
        </w:tabs>
        <w:spacing w:after="0" w:line="276" w:lineRule="auto"/>
        <w:jc w:val="both"/>
        <w:rPr>
          <w:rFonts w:ascii="Verdana" w:eastAsia="Century Gothic" w:hAnsi="Verdana" w:cs="Century Gothic"/>
          <w:lang w:val="es-ES"/>
        </w:rPr>
      </w:pPr>
    </w:p>
    <w:p w14:paraId="6996AF79" w14:textId="24B3BAC0" w:rsidR="004C0691" w:rsidRPr="00C02094" w:rsidRDefault="004C0691" w:rsidP="004C0691">
      <w:pPr>
        <w:spacing w:after="0" w:line="276" w:lineRule="auto"/>
        <w:jc w:val="both"/>
        <w:rPr>
          <w:rFonts w:ascii="Verdana" w:hAnsi="Verdana" w:cs="Arial"/>
          <w:shd w:val="clear" w:color="auto" w:fill="FFFFFF"/>
        </w:rPr>
      </w:pPr>
      <w:r w:rsidRPr="00C02094">
        <w:rPr>
          <w:rFonts w:ascii="Verdana" w:eastAsia="Century Gothic" w:hAnsi="Verdana" w:cs="Century Gothic"/>
        </w:rPr>
        <w:t xml:space="preserve">De acuerdo con el contenido de su solicitud, esta Agencia resolverá los siguientes problemas jurídicos: </w:t>
      </w:r>
      <w:r w:rsidRPr="00C02094">
        <w:rPr>
          <w:rFonts w:ascii="Verdana" w:hAnsi="Verdana" w:cs="Arial"/>
          <w:shd w:val="clear" w:color="auto" w:fill="FFFFFF"/>
        </w:rPr>
        <w:t xml:space="preserve">i) ¿Con el fin de aplicar los criterios diferenciales establecidos a favor de los emprendimientos y empresas de mujeres, resulta relevante si la persona </w:t>
      </w:r>
      <w:r w:rsidR="003202B0" w:rsidRPr="00C02094">
        <w:rPr>
          <w:rFonts w:ascii="Verdana" w:hAnsi="Verdana" w:cs="Arial"/>
          <w:shd w:val="clear" w:color="auto" w:fill="FFFFFF"/>
        </w:rPr>
        <w:t>jurídica</w:t>
      </w:r>
      <w:r w:rsidRPr="00C02094">
        <w:rPr>
          <w:rFonts w:ascii="Verdana" w:hAnsi="Verdana" w:cs="Arial"/>
          <w:shd w:val="clear" w:color="auto" w:fill="FFFFFF"/>
        </w:rPr>
        <w:t xml:space="preserve"> tiene como accionista una sola mujer que posee más del cincuenta por ciento (50%) de las acciones?; ii) ¿La Entidad Estatal que adelanta el Proceso de Contratación está en la obligación verificar el registro de control de aquellas empresas en las que una única mujer posea más del cincuenta por ciento (50%) de las acciones?</w:t>
      </w:r>
    </w:p>
    <w:p w14:paraId="54D69431" w14:textId="77777777" w:rsidR="004C0691" w:rsidRPr="00C02094" w:rsidRDefault="004C0691" w:rsidP="004C0691">
      <w:pPr>
        <w:spacing w:after="0" w:line="276" w:lineRule="auto"/>
        <w:jc w:val="both"/>
        <w:rPr>
          <w:rFonts w:ascii="Verdana" w:eastAsia="Calibri" w:hAnsi="Verdana" w:cs="Arial"/>
          <w:lang w:val="es-ES"/>
        </w:rPr>
      </w:pPr>
    </w:p>
    <w:p w14:paraId="46FFF078" w14:textId="77777777" w:rsidR="004C0691" w:rsidRPr="00C02094"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2094">
        <w:rPr>
          <w:rFonts w:ascii="Verdana" w:eastAsia="Century Gothic" w:hAnsi="Verdana" w:cs="Century Gothic"/>
          <w:b/>
          <w:bCs/>
        </w:rPr>
        <w:t>Respuesta:</w:t>
      </w:r>
    </w:p>
    <w:p w14:paraId="63B90F2C" w14:textId="77777777" w:rsidR="004C0691" w:rsidRPr="00C02094" w:rsidRDefault="004C0691" w:rsidP="004C0691">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C0691" w:rsidRPr="00C02094" w14:paraId="54D39579" w14:textId="77777777" w:rsidTr="002D7ACD">
        <w:tc>
          <w:tcPr>
            <w:tcW w:w="8828" w:type="dxa"/>
            <w:shd w:val="clear" w:color="auto" w:fill="auto"/>
          </w:tcPr>
          <w:p w14:paraId="3046C921" w14:textId="4F6B8344" w:rsidR="004C0691" w:rsidRPr="00B2670E" w:rsidRDefault="004C0691" w:rsidP="00B2670E">
            <w:pPr>
              <w:spacing w:after="120" w:line="276" w:lineRule="auto"/>
              <w:jc w:val="both"/>
              <w:rPr>
                <w:rFonts w:ascii="Verdana" w:eastAsia="Calibri" w:hAnsi="Verdana" w:cs="Arial"/>
                <w:lang w:eastAsia="es-ES"/>
              </w:rPr>
            </w:pPr>
            <w:r w:rsidRPr="00A97925">
              <w:rPr>
                <w:rFonts w:ascii="Verdana" w:eastAsia="Calibri" w:hAnsi="Verdana" w:cs="Arial"/>
                <w:lang w:val="es-ES_tradnl" w:eastAsia="es-ES_tradnl"/>
              </w:rPr>
              <w:t xml:space="preserve">Una </w:t>
            </w:r>
            <w:r w:rsidRPr="00A97925">
              <w:rPr>
                <w:rFonts w:ascii="Verdana" w:eastAsia="Calibri" w:hAnsi="Verdana" w:cs="Arial"/>
                <w:lang w:val="es-ES_tradnl"/>
              </w:rPr>
              <w:t xml:space="preserve">sociedad podrá ser considerada como un emprendimiento o empresa de mujeres cuando más del cincuenta por ciento (50%) de sus acciones, partes de interés o cuotas de participación, pertenezcan a mujeres. </w:t>
            </w:r>
            <w:r w:rsidRPr="00A97925">
              <w:rPr>
                <w:rFonts w:ascii="Verdana" w:eastAsia="Calibri" w:hAnsi="Verdana" w:cs="Arial"/>
                <w:lang w:val="es-ES_tradnl" w:eastAsia="es-ES_tradnl"/>
              </w:rPr>
              <w:t xml:space="preserve">Así las cosas, una interpretación exegética del numeral primero del artículo </w:t>
            </w:r>
            <w:r w:rsidRPr="00A97925">
              <w:rPr>
                <w:rFonts w:ascii="Verdana" w:eastAsia="Calibri" w:hAnsi="Verdana" w:cs="Arial"/>
                <w:lang w:eastAsia="es-ES_tradnl"/>
              </w:rPr>
              <w:t xml:space="preserve">2.2.1.2.4.2.14 al Decreto 1082 de 2015 permite concluir </w:t>
            </w:r>
            <w:r w:rsidRPr="00A97925">
              <w:rPr>
                <w:rFonts w:ascii="Verdana" w:eastAsia="Calibri" w:hAnsi="Verdana" w:cs="Arial"/>
                <w:lang w:val="es-ES_tradnl" w:eastAsia="es-ES_tradnl"/>
              </w:rPr>
              <w:t xml:space="preserve">que la aplicación de los criterios diferenciales a favor de los emprendimientos y empresas de mujeres se </w:t>
            </w:r>
            <w:r w:rsidRPr="00A97925">
              <w:rPr>
                <w:rFonts w:ascii="Verdana" w:eastAsia="Calibri" w:hAnsi="Verdana" w:cs="Arial"/>
                <w:lang w:val="es-ES_tradnl" w:eastAsia="es-ES_tradnl"/>
              </w:rPr>
              <w:lastRenderedPageBreak/>
              <w:t xml:space="preserve">extiende frente a aquellas personas jurídicas </w:t>
            </w:r>
            <w:r w:rsidRPr="00A97925">
              <w:rPr>
                <w:rFonts w:ascii="Verdana" w:eastAsia="Calibri" w:hAnsi="Verdana" w:cs="Arial"/>
                <w:lang w:val="es-ES_tradnl"/>
              </w:rPr>
              <w:t xml:space="preserve">cuando más del cincuenta por ciento (50%) de sus acciones, partes de interés o cuotas de participación pertenezcan a mujeres, independientemente que se trate de una sola, y que esta se ejerza una situación de control. </w:t>
            </w:r>
            <w:r w:rsidRPr="00B2670E">
              <w:rPr>
                <w:rFonts w:ascii="Verdana" w:eastAsia="Calibri" w:hAnsi="Verdana" w:cs="Arial"/>
                <w:lang w:val="es-ES"/>
              </w:rPr>
              <w:t xml:space="preserve">Sin embargo, el supuesto de hecho de la norma citada, adicionalmente, exige que la titularidad de tal participación haya pertenecido a mujeres, por lo menos, durante el año anterior a la fecha de cierre del proceso de selección. </w:t>
            </w:r>
          </w:p>
          <w:p w14:paraId="34093A59" w14:textId="77777777" w:rsidR="004C0691" w:rsidRPr="00A97925" w:rsidRDefault="004C0691" w:rsidP="00B2670E">
            <w:pPr>
              <w:spacing w:after="120" w:line="276" w:lineRule="auto"/>
              <w:ind w:firstLine="709"/>
              <w:jc w:val="both"/>
              <w:rPr>
                <w:rFonts w:ascii="Verdana" w:eastAsia="Calibri" w:hAnsi="Verdana" w:cs="Arial"/>
                <w:color w:val="000000" w:themeColor="text1"/>
              </w:rPr>
            </w:pPr>
            <w:r w:rsidRPr="00A97925">
              <w:rPr>
                <w:rFonts w:ascii="Verdana" w:eastAsia="Calibri" w:hAnsi="Verdana" w:cs="Arial"/>
                <w:color w:val="000000" w:themeColor="text1"/>
              </w:rPr>
              <w:t>El artículo 30 de la Ley 222 de 1995, señala la obligatoriedad de inscripción en el Registro Mercantil de las situaciones de control o de los grupos empresariales. Esta se obtiene mediante un documento privado suscrito por la persona o personas controlantes, que debe contener la información relativa al nombre, domicilio, nacionalidad y actividad de los vinculados, así como el presupuesto que da lugar a la situación de control. El documento debe presentarse para su inscripción en el Registro Mercantil correspondiente a la circunscripción de cada uno de los vinculados, dentro de los treinta (30) días siguientes a la configuración de la situación de control o del grupo empresarial</w:t>
            </w:r>
          </w:p>
          <w:p w14:paraId="43D950EC" w14:textId="77777777" w:rsidR="004C0691" w:rsidRPr="00C02094" w:rsidRDefault="004C0691" w:rsidP="00B2670E">
            <w:pPr>
              <w:pStyle w:val="Prrafodelista"/>
              <w:spacing w:after="120" w:line="276" w:lineRule="auto"/>
              <w:ind w:left="0" w:firstLine="709"/>
              <w:contextualSpacing w:val="0"/>
              <w:jc w:val="both"/>
              <w:rPr>
                <w:rFonts w:ascii="Verdana" w:eastAsia="Calibri" w:hAnsi="Verdana" w:cs="Arial"/>
                <w:lang w:val="es-ES_tradnl" w:eastAsia="es-ES_tradnl"/>
              </w:rPr>
            </w:pPr>
            <w:r w:rsidRPr="00C02094">
              <w:rPr>
                <w:rFonts w:ascii="Verdana" w:eastAsia="Calibri" w:hAnsi="Verdana" w:cs="Arial"/>
                <w:color w:val="000000" w:themeColor="text1"/>
              </w:rPr>
              <w:t xml:space="preserve">La norma faculta a la Superintendencia Financiera para que de oficio o a solicitud de cualquier interesado, declare la situación de vinculación y ordene la inscripción en el Registro Mercantil, sin perjuicio de la imposición de multas a que haya lugar por dicha omisión. Así las cosas, es claro que es competencia de esta entidad la declaratoria de la situación, no a cada una de las Entidades Estatales que adelanten el proceso de contratación, quienes para efecto de aplicar los criterios diferenciales de que trata el artículo 32 de la Ley 2069 de 2021 y el Decreto 1860 de 2021 deberán verificar el cumplimiento de los requisitos de que trata el </w:t>
            </w:r>
            <w:r w:rsidRPr="00C02094">
              <w:rPr>
                <w:rFonts w:ascii="Verdana" w:eastAsia="Calibri" w:hAnsi="Verdana" w:cs="Arial"/>
                <w:lang w:val="es-ES_tradnl" w:eastAsia="es-ES_tradnl"/>
              </w:rPr>
              <w:t xml:space="preserve">Artículo 2.2.1.2.4.2.14. – adicionado por el artículo 3 del Decreto 1860 de 2021. </w:t>
            </w:r>
          </w:p>
          <w:p w14:paraId="071F3F7F" w14:textId="77777777" w:rsidR="004C0691" w:rsidRPr="00C02094" w:rsidRDefault="004C0691" w:rsidP="00B2670E">
            <w:pPr>
              <w:pStyle w:val="Prrafodelista"/>
              <w:spacing w:line="276" w:lineRule="auto"/>
              <w:ind w:left="0" w:firstLine="709"/>
              <w:contextualSpacing w:val="0"/>
              <w:jc w:val="both"/>
              <w:rPr>
                <w:rFonts w:ascii="Verdana" w:eastAsia="Calibri" w:hAnsi="Verdana" w:cs="Arial"/>
                <w:color w:val="000000" w:themeColor="text1"/>
                <w:lang w:val="es-MX"/>
              </w:rPr>
            </w:pPr>
            <w:r w:rsidRPr="00C02094">
              <w:rPr>
                <w:rFonts w:ascii="Verdana" w:hAnsi="Verdana" w:cs="Arial"/>
              </w:rPr>
              <w:t>Lo anterior, sin perjuicio de que, si no se efectúa la inscripción dentro del plazo indicado, la Superintendencia de Sociedades, o en su caso la Financiera, de oficio o a solicitud de cualquier interesado, declarará la situación de vinculación y ordenará la inscripción en el Registro Mercantil, sin perjuicio de la imposición de multas a que haya lugar.</w:t>
            </w:r>
          </w:p>
        </w:tc>
      </w:tr>
    </w:tbl>
    <w:p w14:paraId="541A257A" w14:textId="77777777" w:rsidR="004C0691" w:rsidRPr="00C02094" w:rsidRDefault="004C0691" w:rsidP="004C0691">
      <w:pPr>
        <w:tabs>
          <w:tab w:val="left" w:pos="142"/>
          <w:tab w:val="left" w:pos="284"/>
        </w:tabs>
        <w:spacing w:after="0" w:line="276" w:lineRule="auto"/>
        <w:jc w:val="both"/>
        <w:rPr>
          <w:rFonts w:ascii="Verdana" w:eastAsia="Century Gothic" w:hAnsi="Verdana" w:cs="Century Gothic"/>
          <w:b/>
          <w:bCs/>
          <w:lang w:val="es-ES"/>
        </w:rPr>
      </w:pPr>
    </w:p>
    <w:p w14:paraId="0A1CA4C5" w14:textId="77777777" w:rsidR="004C0691" w:rsidRPr="00C02094"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2094">
        <w:rPr>
          <w:rFonts w:ascii="Verdana" w:eastAsia="Century Gothic" w:hAnsi="Verdana" w:cs="Century Gothic"/>
          <w:b/>
          <w:bCs/>
        </w:rPr>
        <w:t>Razones de la respuesta:</w:t>
      </w:r>
    </w:p>
    <w:p w14:paraId="07E9DF2E" w14:textId="77777777" w:rsidR="004C0691" w:rsidRPr="00C02094" w:rsidRDefault="004C0691" w:rsidP="004C0691">
      <w:pPr>
        <w:spacing w:after="0" w:line="276" w:lineRule="auto"/>
        <w:jc w:val="both"/>
        <w:rPr>
          <w:rFonts w:ascii="Verdana" w:eastAsia="Calibri" w:hAnsi="Verdana" w:cs="Arial"/>
          <w:color w:val="7030A0"/>
          <w:lang w:val="es-ES"/>
        </w:rPr>
      </w:pPr>
    </w:p>
    <w:p w14:paraId="3223915F" w14:textId="77777777" w:rsidR="004C0691" w:rsidRPr="00C02094" w:rsidRDefault="004C0691" w:rsidP="004C0691">
      <w:pPr>
        <w:spacing w:after="0" w:line="276" w:lineRule="auto"/>
        <w:jc w:val="both"/>
        <w:rPr>
          <w:rFonts w:ascii="Verdana" w:eastAsia="Calibri" w:hAnsi="Verdana" w:cs="Arial"/>
          <w:lang w:val="es-ES"/>
        </w:rPr>
      </w:pPr>
      <w:r w:rsidRPr="00C02094">
        <w:rPr>
          <w:rFonts w:ascii="Verdana" w:eastAsia="Calibri" w:hAnsi="Verdana" w:cs="Arial"/>
          <w:lang w:val="es-ES"/>
        </w:rPr>
        <w:t xml:space="preserve">Lo anterior se sustenta en las siguientes consideraciones: </w:t>
      </w:r>
    </w:p>
    <w:p w14:paraId="198CC30E" w14:textId="77777777" w:rsidR="004C0691" w:rsidRPr="00C02094" w:rsidRDefault="004C0691" w:rsidP="004C0691">
      <w:pPr>
        <w:spacing w:after="0" w:line="276" w:lineRule="auto"/>
        <w:jc w:val="both"/>
        <w:rPr>
          <w:rFonts w:ascii="Verdana" w:eastAsia="Calibri" w:hAnsi="Verdana" w:cs="Arial"/>
          <w:color w:val="7030A0"/>
          <w:lang w:val="es-ES"/>
        </w:rPr>
      </w:pPr>
    </w:p>
    <w:p w14:paraId="4823A5E2" w14:textId="77777777" w:rsidR="004C0691" w:rsidRPr="00A97925" w:rsidRDefault="004C0691" w:rsidP="00BC3155">
      <w:pPr>
        <w:spacing w:after="120" w:line="276" w:lineRule="auto"/>
        <w:jc w:val="both"/>
        <w:rPr>
          <w:rFonts w:ascii="Verdana" w:eastAsia="Calibri" w:hAnsi="Verdana" w:cs="Arial"/>
          <w:lang w:val="es-ES_tradnl" w:eastAsia="es-ES_tradnl"/>
        </w:rPr>
      </w:pPr>
      <w:r w:rsidRPr="00A97925">
        <w:rPr>
          <w:rFonts w:ascii="Verdana" w:eastAsia="Calibri" w:hAnsi="Verdana" w:cs="Arial"/>
        </w:rPr>
        <w:lastRenderedPageBreak/>
        <w:t xml:space="preserve">En primer lugar, respecto del objeto de su consulta debe advertirse que, </w:t>
      </w:r>
      <w:r w:rsidRPr="00A97925">
        <w:rPr>
          <w:rFonts w:ascii="Verdana" w:eastAsia="Calibri" w:hAnsi="Verdana" w:cs="Arial"/>
          <w:lang w:val="es-ES_tradnl" w:eastAsia="es-ES_tradnl"/>
        </w:rPr>
        <w:t>el 31 de diciembre de 2020 se promulgó la Ley 2069, “Por medio de la cual se impulsa el emprendimiento en Colombia”. Como dispone el artículo 1°, aquella “tiene por objeto establecer un marco regulatorio que propicie el emprendimiento y el crecimiento, consolidación y sostenibilidad de las empresas, con el fin de aumentar el bienestar social y generar equidad”</w:t>
      </w:r>
      <w:r w:rsidRPr="001A3CD7">
        <w:rPr>
          <w:vertAlign w:val="superscript"/>
          <w:lang w:eastAsia="es-ES_tradnl"/>
        </w:rPr>
        <w:footnoteReference w:id="2"/>
      </w:r>
      <w:r w:rsidRPr="00A97925">
        <w:rPr>
          <w:rFonts w:ascii="Verdana" w:eastAsia="Calibri" w:hAnsi="Verdana" w:cs="Arial"/>
          <w:lang w:val="es-ES_tradnl" w:eastAsia="es-ES_tradnl"/>
        </w:rPr>
        <w:t xml:space="preserve">. Esto, a partir de “[…] un enfoque regionalizado de acuerdo con las realidades socioeconómicas de cada región”. </w:t>
      </w:r>
    </w:p>
    <w:p w14:paraId="7C881B8B" w14:textId="77777777" w:rsidR="004C0691" w:rsidRPr="00A97925" w:rsidRDefault="004C0691" w:rsidP="00BC3155">
      <w:pPr>
        <w:spacing w:after="120" w:line="276" w:lineRule="auto"/>
        <w:ind w:firstLine="708"/>
        <w:jc w:val="both"/>
        <w:rPr>
          <w:rFonts w:ascii="Verdana" w:eastAsia="Calibri" w:hAnsi="Verdana" w:cs="Arial"/>
          <w:lang w:val="es-ES_tradnl" w:eastAsia="es-ES_tradnl"/>
        </w:rPr>
      </w:pPr>
      <w:r w:rsidRPr="00A97925">
        <w:rPr>
          <w:rFonts w:ascii="Verdana" w:eastAsia="Calibri" w:hAnsi="Verdana" w:cs="Arial"/>
          <w:lang w:val="es-ES_tradnl" w:eastAsia="es-ES_tradnl"/>
        </w:rPr>
        <w:t>En desarrollo de esta finalidad, se establecen medidas de apoyo para las micro, pequeñas y medianas empresas –Mipymes–, mediante la racionalización y simplificación de los trámites y tarifas</w:t>
      </w:r>
      <w:r w:rsidRPr="001A3CD7">
        <w:rPr>
          <w:vertAlign w:val="superscript"/>
          <w:lang w:eastAsia="es-ES_tradnl"/>
        </w:rPr>
        <w:footnoteReference w:id="3"/>
      </w:r>
      <w:r w:rsidRPr="00A97925">
        <w:rPr>
          <w:rFonts w:ascii="Verdana" w:eastAsia="Calibri" w:hAnsi="Verdana" w:cs="Arial"/>
          <w:lang w:val="es-ES_tradnl" w:eastAsia="es-ES_tradnl"/>
        </w:rPr>
        <w:t>, así como incentivos a favor de aquellas dentro del sistema de compras y contratación pública</w:t>
      </w:r>
      <w:r w:rsidRPr="001A3CD7">
        <w:rPr>
          <w:vertAlign w:val="superscript"/>
          <w:lang w:eastAsia="es-ES_tradnl"/>
        </w:rPr>
        <w:footnoteReference w:id="4"/>
      </w:r>
      <w:r w:rsidRPr="00A97925">
        <w:rPr>
          <w:rFonts w:ascii="Verdana" w:eastAsia="Calibri" w:hAnsi="Verdana" w:cs="Arial"/>
          <w:lang w:val="es-ES_tradnl" w:eastAsia="es-ES_tradnl"/>
        </w:rPr>
        <w:t>. También se consagran mecanismos de acceso al financiamiento</w:t>
      </w:r>
      <w:r w:rsidRPr="001A3CD7">
        <w:rPr>
          <w:vertAlign w:val="superscript"/>
          <w:lang w:eastAsia="es-ES_tradnl"/>
        </w:rPr>
        <w:footnoteReference w:id="5"/>
      </w:r>
      <w:r w:rsidRPr="00A97925">
        <w:rPr>
          <w:rFonts w:ascii="Verdana" w:eastAsia="Calibri" w:hAnsi="Verdana" w:cs="Arial"/>
          <w:lang w:val="es-ES_tradnl" w:eastAsia="es-ES_tradnl"/>
        </w:rPr>
        <w:t>, se unifican las fuentes de emprendimiento y de desarrollo empresarial, para fortalecer y promover los distintos sectores de la economía</w:t>
      </w:r>
      <w:r w:rsidRPr="001A3CD7">
        <w:rPr>
          <w:vertAlign w:val="superscript"/>
          <w:lang w:eastAsia="es-ES_tradnl"/>
        </w:rPr>
        <w:footnoteReference w:id="6"/>
      </w:r>
      <w:r w:rsidRPr="00A97925">
        <w:rPr>
          <w:rFonts w:ascii="Verdana" w:eastAsia="Calibri" w:hAnsi="Verdana" w:cs="Arial"/>
          <w:lang w:val="es-ES_tradnl" w:eastAsia="es-ES_tradnl"/>
        </w:rPr>
        <w:t xml:space="preserve"> y se prevén medidas de educación para el emprendimiento y la innovación</w:t>
      </w:r>
      <w:r w:rsidRPr="001A3CD7">
        <w:rPr>
          <w:vertAlign w:val="superscript"/>
          <w:lang w:eastAsia="es-ES_tradnl"/>
        </w:rPr>
        <w:footnoteReference w:id="7"/>
      </w:r>
      <w:r w:rsidRPr="00A97925">
        <w:rPr>
          <w:rFonts w:ascii="Verdana" w:eastAsia="Calibri" w:hAnsi="Verdana" w:cs="Arial"/>
          <w:lang w:val="es-ES_tradnl" w:eastAsia="es-ES_tradnl"/>
        </w:rPr>
        <w:t>.</w:t>
      </w:r>
    </w:p>
    <w:p w14:paraId="63B5DBC6" w14:textId="77777777" w:rsidR="004C0691" w:rsidRPr="00A97925" w:rsidRDefault="004C0691" w:rsidP="00B2670E">
      <w:pPr>
        <w:spacing w:after="0" w:line="276" w:lineRule="auto"/>
        <w:ind w:firstLine="708"/>
        <w:jc w:val="both"/>
        <w:rPr>
          <w:rFonts w:ascii="Verdana" w:eastAsia="Calibri" w:hAnsi="Verdana" w:cs="Arial"/>
          <w:lang w:val="es-ES_tradnl" w:eastAsia="es-ES_tradnl"/>
        </w:rPr>
      </w:pPr>
      <w:r w:rsidRPr="00A97925">
        <w:rPr>
          <w:rFonts w:ascii="Verdana" w:eastAsia="Calibri" w:hAnsi="Verdana" w:cs="Arial"/>
          <w:lang w:val="es-ES_tradnl" w:eastAsia="es-ES_tradnl"/>
        </w:rPr>
        <w:t xml:space="preserve">Como se indicó, parte de la </w:t>
      </w:r>
      <w:bookmarkStart w:id="3" w:name="_Hlk175579524"/>
      <w:r w:rsidRPr="00A97925">
        <w:rPr>
          <w:rFonts w:ascii="Verdana" w:eastAsia="Calibri" w:hAnsi="Verdana" w:cs="Arial"/>
          <w:lang w:val="es-ES_tradnl" w:eastAsia="es-ES_tradnl"/>
        </w:rPr>
        <w:t xml:space="preserve">Ley 2069 </w:t>
      </w:r>
      <w:bookmarkEnd w:id="3"/>
      <w:r w:rsidRPr="00A97925">
        <w:rPr>
          <w:rFonts w:ascii="Verdana" w:eastAsia="Calibri" w:hAnsi="Verdana" w:cs="Arial"/>
          <w:lang w:val="es-ES_tradnl" w:eastAsia="es-ES_tradnl"/>
        </w:rPr>
        <w:t xml:space="preserve">contiene normas que modifican algunos aspectos de la contratación estatal para promover el emprendimiento. </w:t>
      </w:r>
      <w:r w:rsidRPr="00A97925">
        <w:rPr>
          <w:rFonts w:ascii="Verdana" w:eastAsia="Calibri" w:hAnsi="Verdana" w:cs="Arial"/>
          <w:lang w:eastAsia="es-ES_tradnl"/>
        </w:rPr>
        <w:t xml:space="preserve">Particularmente, el </w:t>
      </w:r>
      <w:bookmarkStart w:id="4" w:name="_Hlk175579539"/>
      <w:r w:rsidRPr="00A97925">
        <w:rPr>
          <w:rFonts w:ascii="Verdana" w:eastAsia="Calibri" w:hAnsi="Verdana" w:cs="Arial"/>
          <w:lang w:eastAsia="es-ES_tradnl"/>
        </w:rPr>
        <w:t xml:space="preserve">artículo 32 </w:t>
      </w:r>
      <w:bookmarkEnd w:id="4"/>
      <w:r w:rsidRPr="00A97925">
        <w:rPr>
          <w:rFonts w:ascii="Verdana" w:eastAsia="Calibri" w:hAnsi="Verdana" w:cs="Arial"/>
          <w:i/>
          <w:lang w:eastAsia="es-ES_tradnl"/>
        </w:rPr>
        <w:t>ibidem</w:t>
      </w:r>
      <w:r w:rsidRPr="001A3CD7">
        <w:rPr>
          <w:vertAlign w:val="superscript"/>
          <w:lang w:eastAsia="es-ES_tradnl"/>
        </w:rPr>
        <w:footnoteReference w:id="8"/>
      </w:r>
      <w:r w:rsidRPr="00A97925">
        <w:rPr>
          <w:rFonts w:ascii="Verdana" w:eastAsia="Calibri" w:hAnsi="Verdana" w:cs="Arial"/>
          <w:lang w:eastAsia="es-ES_tradnl"/>
        </w:rPr>
        <w:t xml:space="preserve"> regula criterios diferenciales y puntajes adicionales para los “emprendimientos y empresas de mujeres” en el sistema de </w:t>
      </w:r>
      <w:r w:rsidRPr="00A97925">
        <w:rPr>
          <w:rFonts w:ascii="Verdana" w:eastAsia="Calibri" w:hAnsi="Verdana" w:cs="Arial"/>
          <w:lang w:eastAsia="es-ES_tradnl"/>
        </w:rPr>
        <w:lastRenderedPageBreak/>
        <w:t xml:space="preserve">compras y contratación pública. En relación con este aspecto, el inciso primero de la norma citada prescribe: </w:t>
      </w:r>
    </w:p>
    <w:p w14:paraId="52BD1B49" w14:textId="77777777" w:rsidR="004C0691" w:rsidRPr="001A3CD7" w:rsidRDefault="004C0691" w:rsidP="004C0691">
      <w:pPr>
        <w:tabs>
          <w:tab w:val="left" w:pos="709"/>
        </w:tabs>
        <w:spacing w:after="0" w:line="276" w:lineRule="auto"/>
        <w:ind w:left="709" w:right="709"/>
        <w:jc w:val="both"/>
        <w:rPr>
          <w:rFonts w:ascii="Verdana" w:eastAsia="Calibri" w:hAnsi="Verdana" w:cs="Arial"/>
          <w:bCs/>
          <w:lang w:eastAsia="es-ES_tradnl"/>
        </w:rPr>
      </w:pPr>
    </w:p>
    <w:p w14:paraId="3BCCAFFD" w14:textId="77777777" w:rsidR="004C0691" w:rsidRPr="001A3CD7" w:rsidRDefault="004C0691" w:rsidP="004C0691">
      <w:pPr>
        <w:tabs>
          <w:tab w:val="left" w:pos="709"/>
        </w:tabs>
        <w:spacing w:after="0" w:line="240" w:lineRule="auto"/>
        <w:ind w:left="709" w:right="709"/>
        <w:contextualSpacing/>
        <w:jc w:val="both"/>
        <w:rPr>
          <w:rFonts w:ascii="Verdana" w:eastAsia="Calibri" w:hAnsi="Verdana" w:cs="Arial"/>
          <w:bCs/>
          <w:sz w:val="20"/>
          <w:szCs w:val="20"/>
          <w:lang w:eastAsia="es-ES_tradnl"/>
        </w:rPr>
      </w:pPr>
      <w:r w:rsidRPr="001A3CD7">
        <w:rPr>
          <w:rFonts w:ascii="Verdana" w:eastAsia="Calibri" w:hAnsi="Verdana" w:cs="Arial"/>
          <w:bCs/>
          <w:sz w:val="20"/>
          <w:szCs w:val="20"/>
          <w:lang w:eastAsia="es-ES_tradnl"/>
        </w:rPr>
        <w:t xml:space="preserve">De acuerdo con el resultado del análisis del sector, las entidades estatales incluirán requisitos diferenciales y puntajes adicionales en los procesos de </w:t>
      </w:r>
      <w:bookmarkStart w:id="5" w:name="_Hlk63770487"/>
      <w:r w:rsidRPr="001A3CD7">
        <w:rPr>
          <w:rFonts w:ascii="Verdana" w:eastAsia="Calibri" w:hAnsi="Verdana" w:cs="Arial"/>
          <w:bCs/>
          <w:sz w:val="20"/>
          <w:szCs w:val="20"/>
          <w:lang w:eastAsia="es-ES_tradnl"/>
        </w:rPr>
        <w:t>licitación pública, selección abreviada de menor cuantía y concurso de méritos</w:t>
      </w:r>
      <w:bookmarkEnd w:id="5"/>
      <w:r w:rsidRPr="001A3CD7">
        <w:rPr>
          <w:rFonts w:ascii="Verdana" w:eastAsia="Calibri" w:hAnsi="Verdana" w:cs="Arial"/>
          <w:bCs/>
          <w:sz w:val="20"/>
          <w:szCs w:val="20"/>
          <w:lang w:eastAsia="es-ES_tradnl"/>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3688490A" w14:textId="77777777" w:rsidR="004C0691" w:rsidRPr="001A3CD7" w:rsidRDefault="004C0691" w:rsidP="004C0691">
      <w:pPr>
        <w:tabs>
          <w:tab w:val="left" w:pos="709"/>
        </w:tabs>
        <w:spacing w:after="0" w:line="276" w:lineRule="auto"/>
        <w:ind w:left="709" w:right="709"/>
        <w:jc w:val="both"/>
        <w:rPr>
          <w:rFonts w:ascii="Verdana" w:eastAsia="Calibri" w:hAnsi="Verdana" w:cs="Arial"/>
          <w:bCs/>
          <w:lang w:eastAsia="es-ES_tradnl"/>
        </w:rPr>
      </w:pPr>
    </w:p>
    <w:p w14:paraId="2566CD17" w14:textId="77777777" w:rsidR="004C0691" w:rsidRPr="00A97925" w:rsidRDefault="004C0691" w:rsidP="00BC3155">
      <w:pPr>
        <w:spacing w:after="120" w:line="276" w:lineRule="auto"/>
        <w:ind w:firstLine="708"/>
        <w:jc w:val="both"/>
        <w:rPr>
          <w:rFonts w:ascii="Verdana" w:eastAsia="Calibri" w:hAnsi="Verdana" w:cs="Arial"/>
          <w:lang w:val="es-ES_tradnl" w:eastAsia="es-ES_tradnl"/>
        </w:rPr>
      </w:pPr>
      <w:r w:rsidRPr="00A97925">
        <w:rPr>
          <w:rFonts w:ascii="Verdana" w:eastAsia="Calibri" w:hAnsi="Verdana" w:cs="Arial"/>
          <w:lang w:val="es-ES_tradnl" w:eastAsia="es-ES_tradnl"/>
        </w:rPr>
        <w:t xml:space="preserve">De esta manera, los denominados “criterios diferenciales” del artículo señalado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0F4F983F" w14:textId="77777777" w:rsidR="004C0691" w:rsidRPr="00A97925" w:rsidRDefault="004C0691" w:rsidP="00BC3155">
      <w:pPr>
        <w:spacing w:after="120" w:line="276" w:lineRule="auto"/>
        <w:ind w:firstLine="709"/>
        <w:jc w:val="both"/>
        <w:rPr>
          <w:rFonts w:ascii="Verdana" w:eastAsia="Calibri" w:hAnsi="Verdana" w:cs="Arial"/>
          <w:lang w:val="es-ES_tradnl" w:eastAsia="es-ES_tradnl"/>
        </w:rPr>
      </w:pPr>
      <w:r w:rsidRPr="00A97925">
        <w:rPr>
          <w:rFonts w:ascii="Verdana" w:eastAsia="Calibri" w:hAnsi="Verdana" w:cs="Arial"/>
          <w:lang w:val="es-ES_tradnl" w:eastAsia="es-ES_tradnl"/>
        </w:rPr>
        <w:t xml:space="preserve">No obstante, el artículo 32 de la Ley 2069 de 2020 alude a la necesidad del desarrollo normativo posterior. Al respecto, el parágrafo dispone que “La definición de emprendimientos y empresas de mujeres se reglamentará por el gobierno nacional”. En ese sentido, la aplicación de criterios diferenciales en favor de emprendimientos y empresas de mujeres estaba condicionada por el ejercicio de la potestad reglamentaria, en orden de establecer la regulación en marco de la cual las Entidades Estatales deben aplicar los criterios diferenciales establecidos en el artículo 32 de la Ley 2069 de 2020. </w:t>
      </w:r>
    </w:p>
    <w:p w14:paraId="6EB250BE" w14:textId="77777777" w:rsidR="004C0691" w:rsidRPr="00A97925" w:rsidRDefault="004C0691" w:rsidP="00BC3155">
      <w:pPr>
        <w:spacing w:after="120" w:line="276" w:lineRule="auto"/>
        <w:ind w:firstLine="709"/>
        <w:jc w:val="both"/>
        <w:rPr>
          <w:rFonts w:ascii="Verdana" w:eastAsia="Calibri" w:hAnsi="Verdana" w:cs="Arial"/>
          <w:lang w:val="es-ES_tradnl" w:eastAsia="es-ES_tradnl"/>
        </w:rPr>
      </w:pPr>
      <w:r w:rsidRPr="00A97925">
        <w:rPr>
          <w:rFonts w:ascii="Verdana" w:eastAsia="Calibri" w:hAnsi="Verdana" w:cs="Arial"/>
          <w:lang w:val="es-ES_tradnl" w:eastAsia="es-ES_tradnl"/>
        </w:rPr>
        <w:t xml:space="preserve">En este contexto,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En lo relativo al artículo 32 de la Ley 2069 de 2020, el </w:t>
      </w:r>
      <w:bookmarkStart w:id="6" w:name="_Hlk175579606"/>
      <w:r w:rsidRPr="00A97925">
        <w:rPr>
          <w:rFonts w:ascii="Verdana" w:eastAsia="Calibri" w:hAnsi="Verdana" w:cs="Arial"/>
          <w:lang w:val="es-ES_tradnl" w:eastAsia="es-ES_tradnl"/>
        </w:rPr>
        <w:t>artículo 3 del Decreto 1860 de 2021 adiciona los artículos 2.2.1.2.4.2.14 y 2.2.1.2.4.2.15 a la Subsección 2 de la Sección 4 del Capítulo 2 del Título 1 de la Parte 2 del Libro 2 del Decreto 1082 de 2015</w:t>
      </w:r>
      <w:bookmarkEnd w:id="6"/>
      <w:r w:rsidRPr="00A97925">
        <w:rPr>
          <w:rFonts w:ascii="Verdana" w:eastAsia="Calibri" w:hAnsi="Verdana" w:cs="Arial"/>
          <w:lang w:val="es-ES_tradnl" w:eastAsia="es-ES_tradnl"/>
        </w:rPr>
        <w:t xml:space="preserve">. La primera de las normas adicionadas consagra la definición de emprendimientos y </w:t>
      </w:r>
      <w:r w:rsidRPr="00A97925">
        <w:rPr>
          <w:rFonts w:ascii="Verdana" w:eastAsia="Calibri" w:hAnsi="Verdana" w:cs="Arial"/>
          <w:lang w:val="es-ES_tradnl" w:eastAsia="es-ES_tradnl"/>
        </w:rPr>
        <w:lastRenderedPageBreak/>
        <w:t xml:space="preserve">empresas de mujeres, mientras que la segunda establece los criterios diferenciales incluyendo los puntajes adicionales y regula su aplicación. </w:t>
      </w:r>
    </w:p>
    <w:p w14:paraId="60FC3E81" w14:textId="77777777" w:rsidR="004C0691" w:rsidRPr="00A97925" w:rsidRDefault="004C0691" w:rsidP="00B2670E">
      <w:pPr>
        <w:spacing w:after="0" w:line="276" w:lineRule="auto"/>
        <w:ind w:firstLine="708"/>
        <w:jc w:val="both"/>
        <w:rPr>
          <w:rFonts w:ascii="Verdana" w:eastAsia="Calibri" w:hAnsi="Verdana" w:cs="Arial"/>
          <w:lang w:val="es-ES_tradnl" w:eastAsia="es-ES_tradnl"/>
        </w:rPr>
      </w:pPr>
      <w:r w:rsidRPr="00A97925">
        <w:rPr>
          <w:rFonts w:ascii="Verdana" w:eastAsia="Calibri" w:hAnsi="Verdana" w:cs="Arial"/>
          <w:lang w:val="es-ES_tradnl" w:eastAsia="es-ES_tradnl"/>
        </w:rPr>
        <w:t xml:space="preserve">Así las cosas, el </w:t>
      </w:r>
      <w:bookmarkStart w:id="7" w:name="_Hlk175579627"/>
      <w:r w:rsidRPr="00A97925">
        <w:rPr>
          <w:rFonts w:ascii="Verdana" w:eastAsia="Calibri" w:hAnsi="Verdana" w:cs="Arial"/>
          <w:lang w:val="es-ES_tradnl" w:eastAsia="es-ES_tradnl"/>
        </w:rPr>
        <w:t xml:space="preserve">artículo 2.2.1.2.4.2.14 del Decreto 1082 de 2015 </w:t>
      </w:r>
      <w:bookmarkEnd w:id="7"/>
      <w:r w:rsidRPr="00A97925">
        <w:rPr>
          <w:rFonts w:ascii="Verdana" w:eastAsia="Calibri" w:hAnsi="Verdana" w:cs="Arial"/>
          <w:lang w:val="es-ES_tradnl" w:eastAsia="es-ES_tradnl"/>
        </w:rPr>
        <w:t xml:space="preserve">establece las condiciones y requisitos en atención a los cuales se definen los emprendimientos y empresas de mujeres, a las que les aplican los criterios diferenciales. Para estos efectos, cada uno de los cuatro (4) numerales de la norma establecen unas condiciones alternativas que definen los emprendimientos y empresas de mujeres, en los siguientes términos:   </w:t>
      </w:r>
    </w:p>
    <w:p w14:paraId="47F6C569" w14:textId="77777777" w:rsidR="004C0691" w:rsidRPr="001A3CD7" w:rsidRDefault="004C0691" w:rsidP="004C0691">
      <w:pPr>
        <w:pStyle w:val="Prrafodelista"/>
        <w:spacing w:after="0" w:line="276" w:lineRule="auto"/>
        <w:ind w:left="360"/>
        <w:contextualSpacing w:val="0"/>
        <w:jc w:val="both"/>
        <w:rPr>
          <w:rFonts w:ascii="Verdana" w:eastAsia="Calibri" w:hAnsi="Verdana" w:cs="Arial"/>
          <w:lang w:val="es-ES_tradnl" w:eastAsia="es-ES_tradnl"/>
        </w:rPr>
      </w:pPr>
    </w:p>
    <w:p w14:paraId="61003239" w14:textId="471F3099" w:rsidR="004C0691" w:rsidRPr="001A3CD7" w:rsidRDefault="00265FF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Pr>
          <w:rFonts w:ascii="Verdana" w:eastAsia="Times New Roman" w:hAnsi="Verdana" w:cs="Arial"/>
          <w:sz w:val="20"/>
          <w:szCs w:val="20"/>
          <w:lang w:eastAsia="es-CO"/>
        </w:rPr>
        <w:t>“</w:t>
      </w:r>
      <w:r w:rsidR="004C0691" w:rsidRPr="001A3CD7">
        <w:rPr>
          <w:rFonts w:ascii="Verdana" w:eastAsia="Times New Roman" w:hAnsi="Verdana" w:cs="Arial"/>
          <w:sz w:val="20"/>
          <w:szCs w:val="20"/>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5F938FD1"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  </w:t>
      </w:r>
    </w:p>
    <w:p w14:paraId="3B014055"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3A0DDCF0"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40E1B7C8"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2E545045"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73982E05"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302A768B"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68128EBB"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2AFA8CC7"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p>
    <w:p w14:paraId="68F776E5"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i/>
          <w:iCs/>
          <w:sz w:val="20"/>
          <w:szCs w:val="20"/>
          <w:lang w:eastAsia="es-CO"/>
        </w:rPr>
      </w:pPr>
      <w:r w:rsidRPr="001A3CD7">
        <w:rPr>
          <w:rFonts w:ascii="Verdana" w:eastAsia="Times New Roman" w:hAnsi="Verdana" w:cs="Arial"/>
          <w:i/>
          <w:iCs/>
          <w:sz w:val="20"/>
          <w:szCs w:val="20"/>
          <w:lang w:eastAsia="es-CO"/>
        </w:rPr>
        <w:lastRenderedPageBreak/>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78992FC4"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27CA66B8"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1AD365B5"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3AF18175"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5E0041E4"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p>
    <w:p w14:paraId="4AECA03E" w14:textId="77777777" w:rsidR="004C0691" w:rsidRPr="001A3CD7" w:rsidRDefault="004C0691" w:rsidP="004C0691">
      <w:pPr>
        <w:shd w:val="clear" w:color="auto" w:fill="FFFFFF"/>
        <w:spacing w:after="0" w:line="240" w:lineRule="auto"/>
        <w:ind w:left="709" w:right="709"/>
        <w:contextualSpacing/>
        <w:jc w:val="both"/>
        <w:textAlignment w:val="baseline"/>
        <w:rPr>
          <w:rFonts w:ascii="Verdana" w:eastAsia="Times New Roman" w:hAnsi="Verdana" w:cs="Arial"/>
          <w:sz w:val="20"/>
          <w:szCs w:val="20"/>
          <w:lang w:eastAsia="es-CO"/>
        </w:rPr>
      </w:pPr>
      <w:r w:rsidRPr="001A3CD7">
        <w:rPr>
          <w:rFonts w:ascii="Verdana" w:eastAsia="Times New Roman" w:hAnsi="Verdana" w:cs="Arial"/>
          <w:sz w:val="20"/>
          <w:szCs w:val="20"/>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 [Énfasis fuera de texto].</w:t>
      </w:r>
    </w:p>
    <w:p w14:paraId="72CC513F" w14:textId="77777777" w:rsidR="004C0691" w:rsidRPr="00C02094" w:rsidRDefault="004C0691" w:rsidP="004C0691">
      <w:pPr>
        <w:spacing w:after="0" w:line="276" w:lineRule="auto"/>
        <w:ind w:firstLine="709"/>
        <w:jc w:val="both"/>
        <w:rPr>
          <w:rFonts w:ascii="Verdana" w:eastAsia="Calibri" w:hAnsi="Verdana" w:cs="Arial"/>
          <w:lang w:val="es-ES_tradnl" w:eastAsia="es-ES_tradnl"/>
        </w:rPr>
      </w:pPr>
    </w:p>
    <w:p w14:paraId="2355DF37" w14:textId="77777777" w:rsidR="004C0691" w:rsidRPr="00B2670E" w:rsidRDefault="004C0691" w:rsidP="00B2670E">
      <w:pPr>
        <w:spacing w:after="120" w:line="276" w:lineRule="auto"/>
        <w:ind w:firstLine="708"/>
        <w:jc w:val="both"/>
        <w:rPr>
          <w:rFonts w:ascii="Verdana" w:eastAsia="Calibri" w:hAnsi="Verdana" w:cs="Arial"/>
          <w:lang w:eastAsia="es-ES"/>
        </w:rPr>
      </w:pPr>
      <w:r w:rsidRPr="00B2670E">
        <w:rPr>
          <w:rFonts w:ascii="Verdana" w:eastAsia="Calibri" w:hAnsi="Verdana" w:cs="Arial"/>
          <w:lang w:val="es-ES" w:eastAsia="es-ES"/>
        </w:rPr>
        <w:t xml:space="preserve">De acuerdo con lo establecido en este artículo, para efectos de la aplicación de los criterios diferenciales en el sistema de compras públicas, en los términos del artículo 32 de la Ley 2069 de 2020, son considerados emprendimientos y empresas de mujeres aquellas personas jurídicas o naturales que cumplan con alguno de los cuatro (4) supuestos de hecho previstos en la norma citada y acrediten estos supuestos con los documentos previstos para ello. Teniendo en cuenta el objeto de la consulta, resulta relevante el análisis del criterio definido en el numeral primero del artículo precitado, dado que consagra una de las condiciones aplicables a las personas jurídicas. </w:t>
      </w:r>
    </w:p>
    <w:p w14:paraId="1585DC09" w14:textId="77777777" w:rsidR="004C0691" w:rsidRPr="00A97925" w:rsidRDefault="004C0691" w:rsidP="00B2670E">
      <w:pPr>
        <w:spacing w:after="120" w:line="276" w:lineRule="auto"/>
        <w:ind w:firstLine="708"/>
        <w:jc w:val="both"/>
        <w:rPr>
          <w:rFonts w:ascii="Verdana" w:eastAsia="Calibri" w:hAnsi="Verdana" w:cs="Arial"/>
          <w:lang w:val="es-ES_tradnl" w:eastAsia="es-ES_tradnl"/>
        </w:rPr>
      </w:pPr>
      <w:r w:rsidRPr="00A97925">
        <w:rPr>
          <w:rFonts w:ascii="Verdana" w:eastAsia="Calibri" w:hAnsi="Verdana" w:cs="Arial"/>
          <w:lang w:eastAsia="es-ES_tradnl"/>
        </w:rPr>
        <w:t xml:space="preserve">El </w:t>
      </w:r>
      <w:r w:rsidRPr="00A97925">
        <w:rPr>
          <w:rFonts w:ascii="Verdana" w:eastAsia="Times New Roman" w:hAnsi="Verdana" w:cs="Arial"/>
          <w:lang w:val="es-ES_tradnl" w:eastAsia="es-ES"/>
        </w:rPr>
        <w:t xml:space="preserve">numeral primero establece que </w:t>
      </w:r>
      <w:r w:rsidRPr="00A97925">
        <w:rPr>
          <w:rFonts w:ascii="Verdana" w:eastAsia="Calibri" w:hAnsi="Verdana" w:cs="Arial"/>
          <w:lang w:val="es-ES_tradnl"/>
        </w:rPr>
        <w:t xml:space="preserve">una sociedad podrá ser considerada como un emprendimiento o empresa de mujeres cuando más del cincuenta por ciento (50%) de sus acciones, partes de interés o cuotas de participación, pertenezcan a mujeres. </w:t>
      </w:r>
      <w:bookmarkStart w:id="8" w:name="_Hlk175580519"/>
      <w:r w:rsidRPr="00A97925">
        <w:rPr>
          <w:rFonts w:ascii="Verdana" w:eastAsia="Calibri" w:hAnsi="Verdana" w:cs="Arial"/>
          <w:lang w:val="es-ES_tradnl"/>
        </w:rPr>
        <w:t xml:space="preserve">Sin embargo, el supuesto de hecho de la norma transcrita, adicionalmente, exige que la titularidad de tal participación haya pertenecido a mujeres, por lo menos, durante el año anterior a la fecha de cierre del proceso de selección. </w:t>
      </w:r>
    </w:p>
    <w:bookmarkEnd w:id="8"/>
    <w:p w14:paraId="662F1F6A" w14:textId="77777777" w:rsidR="004C0691" w:rsidRPr="00B2670E" w:rsidRDefault="004C0691" w:rsidP="00B2670E">
      <w:pPr>
        <w:spacing w:after="120" w:line="276" w:lineRule="auto"/>
        <w:ind w:firstLine="708"/>
        <w:jc w:val="both"/>
        <w:rPr>
          <w:rFonts w:ascii="Verdana" w:eastAsia="Calibri" w:hAnsi="Verdana" w:cs="Arial"/>
          <w:lang w:eastAsia="es-ES"/>
        </w:rPr>
      </w:pPr>
      <w:r w:rsidRPr="00B2670E">
        <w:rPr>
          <w:rFonts w:ascii="Verdana" w:eastAsia="Calibri" w:hAnsi="Verdana" w:cs="Arial"/>
          <w:lang w:val="es-ES"/>
        </w:rPr>
        <w:lastRenderedPageBreak/>
        <w:t>Esto quiere decir que, no basta con que la participación en una sociedad sea mayoritariamente de mujeres para que sea considerada como un emprendimiento o empresa a los que se refiere la norma, sino que además es necesario que dicha participación mayoritaria se haya mantenido como mínimo durante el periodo de un (1) año, contado a partir de la fecha de cierre del proceso de selección. De esta manera, el primer criterio establecido en la norma para definir los emprendimientos y empresas de mujeres deja por fuera de dicha categoría a aquellas sociedades que, a pesar de contar con la participación mayoritaria de mujeres, no cuenten con el requerimiento del tiempo mínimo de un (1) año.</w:t>
      </w:r>
    </w:p>
    <w:p w14:paraId="609F309F" w14:textId="77777777" w:rsidR="004C0691" w:rsidRPr="00A97925" w:rsidRDefault="004C0691" w:rsidP="00B2670E">
      <w:pPr>
        <w:spacing w:after="120" w:line="276" w:lineRule="auto"/>
        <w:ind w:firstLine="708"/>
        <w:jc w:val="both"/>
        <w:rPr>
          <w:rFonts w:ascii="Verdana" w:eastAsia="Calibri" w:hAnsi="Verdana" w:cs="Arial"/>
          <w:lang w:val="es-ES_tradnl" w:eastAsia="es-ES_tradnl"/>
        </w:rPr>
      </w:pPr>
      <w:r w:rsidRPr="00A97925">
        <w:rPr>
          <w:rFonts w:ascii="Verdana" w:eastAsia="Calibri" w:hAnsi="Verdana" w:cs="Arial"/>
          <w:lang w:val="es-ES_tradnl"/>
        </w:rPr>
        <w:t xml:space="preserve">Así mismo, debe precisarse que la participación mayoritaria de mujeres </w:t>
      </w:r>
      <w:r w:rsidRPr="00A97925">
        <w:rPr>
          <w:rFonts w:ascii="Verdana" w:hAnsi="Verdana" w:cs="Arial"/>
        </w:rPr>
        <w:t xml:space="preserve">puede ser ejercida por diferentes personas durante el último año, siempre que durante dicho periodo la participación </w:t>
      </w:r>
      <w:r w:rsidRPr="00A97925">
        <w:rPr>
          <w:rFonts w:ascii="Verdana" w:hAnsi="Verdana" w:cs="Arial"/>
          <w:i/>
        </w:rPr>
        <w:t>mayoritaria</w:t>
      </w:r>
      <w:r w:rsidRPr="00A97925">
        <w:rPr>
          <w:rFonts w:ascii="Verdana" w:hAnsi="Verdana" w:cs="Arial"/>
        </w:rPr>
        <w:t xml:space="preserve"> de mujeres se haya mantenido, aunque se trate de mujeres distintas. En tal sentido, se cumple con la norma, toda vez que la finalidad y alcance es que la titularidad mayoritaria por un (1) año sea ejercida por mujeres, a pesar de que cambien las propietarias de las partes de interés o cuotas de participación. </w:t>
      </w:r>
    </w:p>
    <w:p w14:paraId="1CFEA9B5" w14:textId="77777777" w:rsidR="004C0691" w:rsidRPr="00A97925" w:rsidRDefault="004C0691" w:rsidP="00B2670E">
      <w:pPr>
        <w:spacing w:after="120" w:line="276" w:lineRule="auto"/>
        <w:ind w:firstLine="708"/>
        <w:jc w:val="both"/>
        <w:rPr>
          <w:rFonts w:ascii="Verdana" w:eastAsia="Calibri" w:hAnsi="Verdana" w:cs="Arial"/>
          <w:lang w:val="es-ES_tradnl" w:eastAsia="es-ES_tradnl"/>
        </w:rPr>
      </w:pPr>
      <w:r w:rsidRPr="00A97925">
        <w:rPr>
          <w:rFonts w:ascii="Verdana" w:hAnsi="Verdana" w:cs="Arial"/>
        </w:rPr>
        <w:t xml:space="preserve">Como medio para la acreditación de este criterio, señala la normativa referida que: </w:t>
      </w:r>
      <w:r w:rsidRPr="00A97925">
        <w:rPr>
          <w:rFonts w:ascii="Verdana" w:eastAsia="Times New Roman" w:hAnsi="Verdana" w:cs="Arial"/>
          <w:i/>
          <w:lang w:val="es-ES_tradnl" w:eastAsia="es-ES"/>
        </w:rPr>
        <w:t>“</w:t>
      </w:r>
      <w:r w:rsidRPr="00A97925">
        <w:rPr>
          <w:rFonts w:ascii="Verdana" w:hAnsi="Verdana" w:cs="Arial"/>
          <w:i/>
        </w:rPr>
        <w:t>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r w:rsidRPr="00A97925">
        <w:rPr>
          <w:rFonts w:ascii="Verdana" w:eastAsia="Times New Roman" w:hAnsi="Verdana" w:cs="Arial"/>
          <w:i/>
          <w:lang w:val="es-ES_tradnl" w:eastAsia="es-ES"/>
        </w:rPr>
        <w:t>”</w:t>
      </w:r>
      <w:r w:rsidRPr="00A97925">
        <w:rPr>
          <w:rFonts w:ascii="Verdana" w:hAnsi="Verdana" w:cs="Arial"/>
        </w:rPr>
        <w:t>.</w:t>
      </w:r>
    </w:p>
    <w:p w14:paraId="3F0D0750" w14:textId="77777777" w:rsidR="004C0691" w:rsidRPr="00B2670E" w:rsidRDefault="004C0691" w:rsidP="00B2670E">
      <w:pPr>
        <w:spacing w:after="120" w:line="276" w:lineRule="auto"/>
        <w:ind w:firstLine="708"/>
        <w:jc w:val="both"/>
        <w:rPr>
          <w:rFonts w:ascii="Verdana" w:eastAsia="Calibri" w:hAnsi="Verdana" w:cs="Arial"/>
          <w:lang w:eastAsia="es-ES"/>
        </w:rPr>
      </w:pPr>
      <w:r w:rsidRPr="00B2670E">
        <w:rPr>
          <w:rFonts w:ascii="Verdana" w:eastAsia="Calibri" w:hAnsi="Verdana" w:cs="Arial"/>
          <w:lang w:val="es-ES" w:eastAsia="es-ES"/>
        </w:rPr>
        <w:t xml:space="preserve">Así pues, de acuerdo con la revisión de todos los numerales del artículo 2.2.1.2.4.2.14 es posible advertir que para cada uno de estos fueron expresamente establecidos los documentos que sirven como medio para su acreditación. De este modo dichos documentos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 definición establecida en el numeral </w:t>
      </w:r>
      <w:r w:rsidRPr="00B2670E">
        <w:rPr>
          <w:rFonts w:ascii="Verdana" w:eastAsia="Calibri" w:hAnsi="Verdana" w:cs="Arial"/>
          <w:i/>
          <w:lang w:val="es-ES" w:eastAsia="es-ES"/>
        </w:rPr>
        <w:t>primero</w:t>
      </w:r>
      <w:r w:rsidRPr="00B2670E">
        <w:rPr>
          <w:rFonts w:ascii="Verdana" w:eastAsia="Calibri" w:hAnsi="Verdana" w:cs="Arial"/>
          <w:lang w:val="es-ES" w:eastAsia="es-ES"/>
        </w:rPr>
        <w:t xml:space="preserve"> del artículo 2.2.1.2.4.2.14, les corresponde presentar la mencionada certificación con sus respectivos soportes.</w:t>
      </w:r>
    </w:p>
    <w:p w14:paraId="7C3922C2" w14:textId="77777777" w:rsidR="004C0691" w:rsidRPr="00A97925" w:rsidRDefault="004C0691" w:rsidP="00B2670E">
      <w:pPr>
        <w:spacing w:after="120" w:line="276" w:lineRule="auto"/>
        <w:ind w:firstLine="708"/>
        <w:jc w:val="both"/>
        <w:rPr>
          <w:rFonts w:ascii="Verdana" w:eastAsia="Calibri" w:hAnsi="Verdana" w:cs="Arial"/>
          <w:color w:val="000000" w:themeColor="text1"/>
        </w:rPr>
      </w:pPr>
      <w:r w:rsidRPr="00A97925">
        <w:rPr>
          <w:rFonts w:ascii="Verdana" w:eastAsia="Calibri" w:hAnsi="Verdana" w:cs="Arial"/>
          <w:lang w:val="es-ES_tradnl" w:eastAsia="es-ES_tradnl"/>
        </w:rPr>
        <w:t xml:space="preserve">En atención a la pregunta planteada, debe señalarse conforme lo analizado en el presente escrito, una </w:t>
      </w:r>
      <w:r w:rsidRPr="00A97925">
        <w:rPr>
          <w:rFonts w:ascii="Verdana" w:eastAsia="Calibri" w:hAnsi="Verdana" w:cs="Arial"/>
          <w:lang w:val="es-ES_tradnl"/>
        </w:rPr>
        <w:t xml:space="preserve">sociedad podrá ser considerada como un emprendimiento o empresa de mujeres cuando más del cincuenta por ciento </w:t>
      </w:r>
      <w:r w:rsidRPr="00A97925">
        <w:rPr>
          <w:rFonts w:ascii="Verdana" w:eastAsia="Calibri" w:hAnsi="Verdana" w:cs="Arial"/>
          <w:lang w:val="es-ES_tradnl"/>
        </w:rPr>
        <w:lastRenderedPageBreak/>
        <w:t xml:space="preserve">(50%) de sus acciones, partes de interés o cuotas de participación, pertenezcan a mujeres. </w:t>
      </w:r>
      <w:r w:rsidRPr="00A97925">
        <w:rPr>
          <w:rFonts w:ascii="Verdana" w:eastAsia="Calibri" w:hAnsi="Verdana" w:cs="Arial"/>
          <w:lang w:val="es-ES_tradnl" w:eastAsia="es-ES_tradnl"/>
        </w:rPr>
        <w:t xml:space="preserve">Así las cosas, una interpretación exegética del numeral primero del artículo </w:t>
      </w:r>
      <w:r w:rsidRPr="00A97925">
        <w:rPr>
          <w:rFonts w:ascii="Verdana" w:eastAsia="Calibri" w:hAnsi="Verdana" w:cs="Arial"/>
          <w:lang w:eastAsia="es-ES_tradnl"/>
        </w:rPr>
        <w:t xml:space="preserve">2.2.1.2.4.2.14 al Decreto 1082 de 2015 permite concluir </w:t>
      </w:r>
      <w:r w:rsidRPr="00A97925">
        <w:rPr>
          <w:rFonts w:ascii="Verdana" w:eastAsia="Calibri" w:hAnsi="Verdana" w:cs="Arial"/>
          <w:lang w:val="es-ES_tradnl" w:eastAsia="es-ES_tradnl"/>
        </w:rPr>
        <w:t xml:space="preserve">que la aplicación de los criterios diferenciales a favor de los emprendimientos y empresas de mujeres se extiende frente a aquellas personas jurídicas </w:t>
      </w:r>
      <w:r w:rsidRPr="00A97925">
        <w:rPr>
          <w:rFonts w:ascii="Verdana" w:eastAsia="Calibri" w:hAnsi="Verdana" w:cs="Arial"/>
          <w:lang w:val="es-ES_tradnl"/>
        </w:rPr>
        <w:t xml:space="preserve">cuando más del cincuenta por ciento (50%) de sus acciones, partes de interés o cuotas de participación pertenezcan a mujeres, independientemente que se trate de una sola y que esta se ejerza una situación de control.. </w:t>
      </w:r>
    </w:p>
    <w:p w14:paraId="4C142C57" w14:textId="77777777" w:rsidR="004C0691" w:rsidRPr="00A97925" w:rsidRDefault="004C0691" w:rsidP="00B2670E">
      <w:pPr>
        <w:spacing w:after="120" w:line="276" w:lineRule="auto"/>
        <w:ind w:firstLine="708"/>
        <w:jc w:val="both"/>
        <w:rPr>
          <w:rFonts w:ascii="Verdana" w:eastAsia="Calibri" w:hAnsi="Verdana" w:cs="Arial"/>
          <w:color w:val="000000" w:themeColor="text1"/>
        </w:rPr>
      </w:pPr>
      <w:r w:rsidRPr="00A97925">
        <w:rPr>
          <w:rFonts w:ascii="Verdana" w:eastAsia="Calibri" w:hAnsi="Verdana" w:cs="Arial"/>
          <w:color w:val="000000" w:themeColor="text1"/>
        </w:rPr>
        <w:t>Ahora bien, l</w:t>
      </w:r>
      <w:r w:rsidRPr="00C02094">
        <w:rPr>
          <w:rFonts w:ascii="Verdana" w:eastAsia="Calibri" w:hAnsi="Verdana" w:cs="Arial"/>
          <w:color w:val="000000" w:themeColor="text1"/>
        </w:rPr>
        <w:t>as normas de la Ley 222 de 1995 y la Ley 1116 de 2006 definen los conceptos de situación de control y de grupo empresarial y los correspondientes efectos, tales como la inscripción en el Registro Mercantil, la consolidación de estados financieros, la posibilidad de hacer efectiva la responsabilidad subsidiaria de la matriz o controlante en casos de liquidación de las subordinadas, la prohibición de imbricación y la facultad de los organismos de inspección, vigilancia y control para comprobar la realidad de las operaciones, imponer multas y ordenar la suspensión de tales operaciones. Estas disposiciones definen la posibilidad del control de hecho sobre las sociedades, sin que se excluyan otros mecanismos de control formal o contractual. El control puede ser ejercido en Colombia o desde Colombia por personas naturales o jurídicas nacionales o extranjeras</w:t>
      </w:r>
      <w:r w:rsidRPr="00C02094">
        <w:rPr>
          <w:rStyle w:val="Refdenotaalpie"/>
          <w:rFonts w:ascii="Verdana" w:eastAsia="Calibri" w:hAnsi="Verdana" w:cs="Arial"/>
          <w:color w:val="000000" w:themeColor="text1"/>
        </w:rPr>
        <w:footnoteReference w:id="9"/>
      </w:r>
      <w:r w:rsidRPr="00C02094">
        <w:rPr>
          <w:rFonts w:ascii="Verdana" w:eastAsia="Calibri" w:hAnsi="Verdana" w:cs="Arial"/>
          <w:color w:val="000000" w:themeColor="text1"/>
        </w:rPr>
        <w:t>.</w:t>
      </w:r>
    </w:p>
    <w:p w14:paraId="3D5F230C" w14:textId="77777777" w:rsidR="004C0691" w:rsidRPr="00A97925" w:rsidRDefault="004C0691" w:rsidP="00B2670E">
      <w:pPr>
        <w:spacing w:after="120" w:line="276" w:lineRule="auto"/>
        <w:ind w:firstLine="708"/>
        <w:jc w:val="both"/>
        <w:rPr>
          <w:rFonts w:ascii="Verdana" w:eastAsia="Calibri" w:hAnsi="Verdana" w:cs="Arial"/>
          <w:color w:val="000000" w:themeColor="text1"/>
          <w:lang w:val="es-MX"/>
        </w:rPr>
      </w:pPr>
      <w:r w:rsidRPr="00A97925">
        <w:rPr>
          <w:rFonts w:ascii="Verdana" w:eastAsia="Calibri" w:hAnsi="Verdana" w:cs="Arial"/>
          <w:color w:val="000000" w:themeColor="text1"/>
        </w:rPr>
        <w:t xml:space="preserve">Respecto a las modalidades de control, el </w:t>
      </w:r>
      <w:bookmarkStart w:id="9" w:name="_Hlk175579998"/>
      <w:r w:rsidRPr="00A97925">
        <w:rPr>
          <w:rFonts w:ascii="Verdana" w:eastAsia="Calibri" w:hAnsi="Verdana" w:cs="Arial"/>
          <w:color w:val="000000" w:themeColor="text1"/>
        </w:rPr>
        <w:t>Código de Comercio, en el artículo 261 – al cual se refiere en su consulta –, subrogado por el artículo 27 de la Ley 222 de 1995</w:t>
      </w:r>
      <w:bookmarkEnd w:id="9"/>
      <w:r w:rsidRPr="00A97925">
        <w:rPr>
          <w:rFonts w:ascii="Verdana" w:eastAsia="Calibri" w:hAnsi="Verdana" w:cs="Arial"/>
          <w:color w:val="000000" w:themeColor="text1"/>
        </w:rPr>
        <w:t xml:space="preserve">, </w:t>
      </w:r>
      <w:r w:rsidRPr="00C02094">
        <w:rPr>
          <w:rFonts w:ascii="Verdana" w:eastAsia="Calibri" w:hAnsi="Verdana" w:cs="Arial"/>
          <w:color w:val="000000" w:themeColor="text1"/>
        </w:rPr>
        <w:t xml:space="preserve">aclara y especifica los supuestos de subordinación para el control societario. Una de las modalidades se refiere al control interno por participación, el cual se verifica cuando se posea más del cincuenta por ciento (50%) del capital en la subordinada, sea directamente o por intermedio o con el concurso de las subordinadas, o las subordinadas de estas- </w:t>
      </w:r>
    </w:p>
    <w:p w14:paraId="23F931B2" w14:textId="77777777" w:rsidR="004C0691" w:rsidRPr="00A97925" w:rsidRDefault="004C0691" w:rsidP="00B2670E">
      <w:pPr>
        <w:spacing w:after="120" w:line="276" w:lineRule="auto"/>
        <w:ind w:firstLine="708"/>
        <w:jc w:val="both"/>
        <w:rPr>
          <w:rFonts w:ascii="Verdana" w:eastAsia="Calibri" w:hAnsi="Verdana" w:cs="Arial"/>
          <w:color w:val="000000" w:themeColor="text1"/>
        </w:rPr>
      </w:pPr>
      <w:bookmarkStart w:id="10" w:name="_Hlk175580433"/>
      <w:r w:rsidRPr="00A97925">
        <w:rPr>
          <w:rFonts w:ascii="Verdana" w:eastAsia="Calibri" w:hAnsi="Verdana" w:cs="Arial"/>
          <w:color w:val="000000" w:themeColor="text1"/>
        </w:rPr>
        <w:t xml:space="preserve">El artículo 30 de la Ley 222 de 1995, señala la obligatoriedad de inscripción en el Registro Mercantil de las situaciones de control o de los grupos empresariales. Esta se obtiene mediante un documento privado suscrito por la persona o personas controlantes, que debe contener la información relativa al nombre, domicilio, nacionalidad y actividad de los vinculados, así como el presupuesto que da lugar a la situación de control. El documento debe </w:t>
      </w:r>
      <w:r w:rsidRPr="00A97925">
        <w:rPr>
          <w:rFonts w:ascii="Verdana" w:eastAsia="Calibri" w:hAnsi="Verdana" w:cs="Arial"/>
          <w:color w:val="000000" w:themeColor="text1"/>
        </w:rPr>
        <w:lastRenderedPageBreak/>
        <w:t>presentarse para su inscripción en el Registro Mercantil correspondiente a la circunscripción de cada uno de los vinculados, dentro de los treinta (30) días siguientes a la configuración de la situación de control o del grupo empresarial</w:t>
      </w:r>
      <w:bookmarkEnd w:id="10"/>
      <w:r w:rsidRPr="00C02094">
        <w:rPr>
          <w:rStyle w:val="Refdenotaalpie"/>
          <w:rFonts w:ascii="Verdana" w:eastAsia="Calibri" w:hAnsi="Verdana" w:cs="Arial"/>
          <w:color w:val="000000" w:themeColor="text1"/>
        </w:rPr>
        <w:footnoteReference w:id="10"/>
      </w:r>
      <w:r w:rsidRPr="00A97925">
        <w:rPr>
          <w:rFonts w:ascii="Verdana" w:eastAsia="Calibri" w:hAnsi="Verdana" w:cs="Arial"/>
          <w:color w:val="000000" w:themeColor="text1"/>
        </w:rPr>
        <w:t>.</w:t>
      </w:r>
    </w:p>
    <w:p w14:paraId="1977189A" w14:textId="77777777" w:rsidR="004C0691" w:rsidRPr="00A97925" w:rsidRDefault="004C0691" w:rsidP="00B2670E">
      <w:pPr>
        <w:spacing w:after="120" w:line="276" w:lineRule="auto"/>
        <w:ind w:firstLine="708"/>
        <w:jc w:val="both"/>
        <w:rPr>
          <w:rFonts w:ascii="Verdana" w:eastAsia="Calibri" w:hAnsi="Verdana" w:cs="Arial"/>
          <w:color w:val="000000" w:themeColor="text1"/>
          <w:lang w:val="es-MX"/>
        </w:rPr>
      </w:pPr>
      <w:r w:rsidRPr="00A97925">
        <w:rPr>
          <w:rFonts w:ascii="Verdana" w:eastAsia="Calibri" w:hAnsi="Verdana" w:cs="Arial"/>
          <w:color w:val="000000" w:themeColor="text1"/>
        </w:rPr>
        <w:t>El parágrafo 1º del artículo 27 de dicha ley señala: “Igualmente habrá subordinación, para todos los efectos legales, cuando el control conforme a los supuestos previstos en el presente artículo, sea ejercido por una o varias personas naturales o jurídicas de naturaleza no societaria, bien sea directamente o por intermedio o con el concurso de entidades en las cuales estas poseen más del cincuenta por ciento del capital o configure la mayoría mínima para la toma de decisiones o ejerzan influencia dominante en la dirección o toma de la entidad”. Es así que la obligación establecida en el citado artículo 30 es uno de los efectos del control; luego, las personas controlantes que no sean sociedades también se encuentran cobijadas por dicha norma.</w:t>
      </w:r>
    </w:p>
    <w:p w14:paraId="1E3E519A" w14:textId="77777777" w:rsidR="004C0691" w:rsidRPr="00A97925" w:rsidRDefault="004C0691" w:rsidP="00B2670E">
      <w:pPr>
        <w:spacing w:after="120" w:line="276" w:lineRule="auto"/>
        <w:ind w:firstLine="708"/>
        <w:jc w:val="both"/>
        <w:rPr>
          <w:rFonts w:ascii="Verdana" w:eastAsia="Calibri" w:hAnsi="Verdana" w:cs="Arial"/>
          <w:color w:val="000000" w:themeColor="text1"/>
          <w:lang w:val="es-MX"/>
        </w:rPr>
      </w:pPr>
      <w:bookmarkStart w:id="11" w:name="_Hlk175580469"/>
      <w:r w:rsidRPr="00A97925">
        <w:rPr>
          <w:rFonts w:ascii="Verdana" w:eastAsia="Calibri" w:hAnsi="Verdana" w:cs="Arial"/>
          <w:color w:val="000000" w:themeColor="text1"/>
        </w:rPr>
        <w:t xml:space="preserve">La norma faculta a la Superintendencia Financiera para que de oficio o a solicitud de cualquier interesado, declare la situación de vinculación y ordene la inscripción en el Registro Mercantil, sin perjuicio de la imposición de multas a que haya lugar por dicha omisión. Así las cosas, es claro que es competencia de esta entidad la declaratoria de la situación, no a cada una de las Entidades Estatales que adelanten el proceso de contratación, quienes para efecto de aplicar los criterios diferenciales de que trata el artículo 32 de la Ley 2069 de 2021 y el Decreto 1860 de 2021 deberán verificar el cumplimiento de los requisitos de que trata el </w:t>
      </w:r>
      <w:r w:rsidRPr="00A97925">
        <w:rPr>
          <w:rFonts w:ascii="Verdana" w:eastAsia="Calibri" w:hAnsi="Verdana" w:cs="Arial"/>
          <w:lang w:val="es-ES_tradnl" w:eastAsia="es-ES_tradnl"/>
        </w:rPr>
        <w:t xml:space="preserve">Artículo 2.2.1.2.4.2.14. – adicionado por el artículo 3 del Decreto 1860 de 2021. </w:t>
      </w:r>
    </w:p>
    <w:p w14:paraId="7788F795" w14:textId="77777777" w:rsidR="004C0691" w:rsidRPr="00A97925" w:rsidRDefault="004C0691" w:rsidP="00B2670E">
      <w:pPr>
        <w:spacing w:after="0" w:line="276" w:lineRule="auto"/>
        <w:ind w:firstLine="708"/>
        <w:jc w:val="both"/>
        <w:rPr>
          <w:rFonts w:ascii="Verdana" w:eastAsia="Calibri" w:hAnsi="Verdana" w:cs="Arial"/>
          <w:color w:val="000000" w:themeColor="text1"/>
        </w:rPr>
      </w:pPr>
      <w:r w:rsidRPr="00A97925">
        <w:rPr>
          <w:rFonts w:ascii="Verdana" w:hAnsi="Verdana" w:cs="Arial"/>
        </w:rPr>
        <w:t>Lo anterior, sin perjuicio de que, si no se efectúa la inscripción dentro del plazo indicado, la Superintendencia de Sociedades, o en su caso la Financiera, de oficio o a solicitud de cualquier interesado, declarará la situación de vinculación y ordenará la inscripción en el Registro Mercantil, sin perjuicio de la imposición de multas a que haya lugar.</w:t>
      </w:r>
      <w:bookmarkEnd w:id="11"/>
    </w:p>
    <w:p w14:paraId="5C8F0C68" w14:textId="77777777" w:rsidR="004C0691" w:rsidRPr="00C02094" w:rsidRDefault="004C0691" w:rsidP="004C0691">
      <w:pPr>
        <w:widowControl w:val="0"/>
        <w:autoSpaceDE w:val="0"/>
        <w:autoSpaceDN w:val="0"/>
        <w:spacing w:after="0" w:line="276" w:lineRule="auto"/>
        <w:jc w:val="both"/>
        <w:rPr>
          <w:rFonts w:ascii="Verdana" w:hAnsi="Verdana" w:cs="Arial"/>
        </w:rPr>
      </w:pPr>
    </w:p>
    <w:p w14:paraId="76DBE697" w14:textId="77777777" w:rsidR="004C0691" w:rsidRPr="00C02094"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02094">
        <w:rPr>
          <w:rFonts w:ascii="Verdana" w:eastAsia="Century Gothic" w:hAnsi="Verdana" w:cs="Century Gothic"/>
          <w:b/>
          <w:bCs/>
        </w:rPr>
        <w:t>Referencias normativas, jurisprudenciales y otras fuentes:</w:t>
      </w:r>
    </w:p>
    <w:p w14:paraId="6D2A35E0" w14:textId="77777777" w:rsidR="004C0691" w:rsidRPr="00C02094" w:rsidRDefault="004C0691" w:rsidP="004C0691">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C0691" w:rsidRPr="00C02094" w14:paraId="18042C4E" w14:textId="77777777" w:rsidTr="002D7ACD">
        <w:trPr>
          <w:trHeight w:val="870"/>
        </w:trPr>
        <w:tc>
          <w:tcPr>
            <w:tcW w:w="8647" w:type="dxa"/>
          </w:tcPr>
          <w:p w14:paraId="0761B882" w14:textId="77777777" w:rsidR="004C0691" w:rsidRPr="00C02094" w:rsidRDefault="004C0691" w:rsidP="004C0691">
            <w:pPr>
              <w:pStyle w:val="Prrafodelista"/>
              <w:numPr>
                <w:ilvl w:val="0"/>
                <w:numId w:val="19"/>
              </w:numPr>
              <w:jc w:val="both"/>
              <w:rPr>
                <w:rFonts w:ascii="Verdana" w:eastAsia="Calibri" w:hAnsi="Verdana" w:cs="Arial"/>
                <w:bCs/>
                <w:lang w:eastAsia="es-ES_tradnl"/>
              </w:rPr>
            </w:pPr>
            <w:r w:rsidRPr="00C02094">
              <w:rPr>
                <w:rFonts w:ascii="Verdana" w:eastAsia="Calibri" w:hAnsi="Verdana" w:cs="Arial"/>
                <w:lang w:val="es-ES_tradnl" w:eastAsia="es-ES_tradnl"/>
              </w:rPr>
              <w:t xml:space="preserve">Ley 2069 de 2020: </w:t>
            </w:r>
            <w:r w:rsidRPr="00C02094">
              <w:rPr>
                <w:rFonts w:ascii="Verdana" w:eastAsia="Calibri" w:hAnsi="Verdana" w:cs="Arial"/>
                <w:bCs/>
                <w:lang w:eastAsia="es-ES_tradnl"/>
              </w:rPr>
              <w:t xml:space="preserve">Artículo 32. </w:t>
            </w:r>
          </w:p>
          <w:p w14:paraId="4AEFF684" w14:textId="77777777" w:rsidR="004C0691" w:rsidRPr="00C02094" w:rsidRDefault="004C0691" w:rsidP="002D7ACD">
            <w:pPr>
              <w:pStyle w:val="Prrafodelista"/>
              <w:ind w:left="360"/>
              <w:jc w:val="both"/>
              <w:rPr>
                <w:rFonts w:ascii="Verdana" w:eastAsia="Calibri" w:hAnsi="Verdana" w:cs="Arial"/>
                <w:bCs/>
                <w:lang w:eastAsia="es-ES_tradnl"/>
              </w:rPr>
            </w:pPr>
          </w:p>
          <w:p w14:paraId="72D114FE" w14:textId="77777777" w:rsidR="004C0691" w:rsidRPr="00C02094" w:rsidRDefault="004C0691" w:rsidP="004C0691">
            <w:pPr>
              <w:pStyle w:val="Prrafodelista"/>
              <w:numPr>
                <w:ilvl w:val="0"/>
                <w:numId w:val="19"/>
              </w:numPr>
              <w:jc w:val="both"/>
              <w:rPr>
                <w:rFonts w:ascii="Verdana" w:eastAsia="Calibri" w:hAnsi="Verdana" w:cs="Arial"/>
                <w:lang w:val="es-ES_tradnl" w:eastAsia="es-ES_tradnl"/>
              </w:rPr>
            </w:pPr>
            <w:r w:rsidRPr="00C02094">
              <w:rPr>
                <w:rFonts w:ascii="Verdana" w:eastAsia="Calibri" w:hAnsi="Verdana" w:cs="Arial"/>
                <w:lang w:val="es-ES_tradnl" w:eastAsia="es-ES_tradnl"/>
              </w:rPr>
              <w:t xml:space="preserve">Decreto 1082 de 2015: Artículo 2.2.1.2.4.2.14. – adicionado por el artículo 3 del Decreto 1860 de 2021. </w:t>
            </w:r>
          </w:p>
          <w:p w14:paraId="5A1F5BD1" w14:textId="77777777" w:rsidR="004C0691" w:rsidRPr="00C02094" w:rsidRDefault="004C0691" w:rsidP="002D7ACD">
            <w:pPr>
              <w:pStyle w:val="Prrafodelista"/>
              <w:ind w:left="360"/>
              <w:jc w:val="both"/>
              <w:rPr>
                <w:rFonts w:asciiTheme="minorHAnsi" w:hAnsiTheme="minorHAnsi"/>
              </w:rPr>
            </w:pPr>
          </w:p>
          <w:p w14:paraId="00125166" w14:textId="77777777" w:rsidR="004C0691" w:rsidRPr="00C02094" w:rsidRDefault="004C0691" w:rsidP="004C0691">
            <w:pPr>
              <w:pStyle w:val="Prrafodelista"/>
              <w:numPr>
                <w:ilvl w:val="0"/>
                <w:numId w:val="19"/>
              </w:numPr>
              <w:jc w:val="both"/>
              <w:rPr>
                <w:rFonts w:asciiTheme="minorHAnsi" w:hAnsiTheme="minorHAnsi"/>
              </w:rPr>
            </w:pPr>
            <w:r w:rsidRPr="00C02094">
              <w:rPr>
                <w:rFonts w:ascii="Verdana" w:eastAsia="Calibri" w:hAnsi="Verdana" w:cs="Arial"/>
                <w:color w:val="000000" w:themeColor="text1"/>
              </w:rPr>
              <w:lastRenderedPageBreak/>
              <w:t xml:space="preserve">Ley 222 de 1995: Artículo 27 y 30. </w:t>
            </w:r>
          </w:p>
          <w:p w14:paraId="59C95BD1" w14:textId="77777777" w:rsidR="004C0691" w:rsidRPr="00C02094" w:rsidRDefault="004C0691" w:rsidP="002D7ACD">
            <w:pPr>
              <w:pStyle w:val="Prrafodelista"/>
              <w:jc w:val="both"/>
            </w:pPr>
          </w:p>
          <w:p w14:paraId="1CD44FC0" w14:textId="77777777" w:rsidR="004C0691" w:rsidRPr="00C02094" w:rsidRDefault="004C0691" w:rsidP="004C0691">
            <w:pPr>
              <w:pStyle w:val="Prrafodelista"/>
              <w:numPr>
                <w:ilvl w:val="0"/>
                <w:numId w:val="19"/>
              </w:numPr>
              <w:jc w:val="both"/>
              <w:rPr>
                <w:rFonts w:ascii="Verdana" w:hAnsi="Verdana" w:cs="Arial"/>
              </w:rPr>
            </w:pPr>
            <w:r w:rsidRPr="00C02094">
              <w:rPr>
                <w:rFonts w:ascii="Verdana" w:hAnsi="Verdana"/>
              </w:rPr>
              <w:t xml:space="preserve">Superintendencia de Sociedades. </w:t>
            </w:r>
            <w:r w:rsidRPr="00C02094">
              <w:rPr>
                <w:rFonts w:ascii="Verdana" w:hAnsi="Verdana"/>
                <w:lang w:val="es-CO"/>
              </w:rPr>
              <w:t>Guía Práctica Régimen de Matrices y Subordinadas.</w:t>
            </w:r>
          </w:p>
        </w:tc>
      </w:tr>
    </w:tbl>
    <w:p w14:paraId="73245E9C" w14:textId="77777777" w:rsidR="004C0691" w:rsidRPr="002D7ACD" w:rsidRDefault="004C0691" w:rsidP="004C0691">
      <w:pPr>
        <w:widowControl w:val="0"/>
        <w:autoSpaceDE w:val="0"/>
        <w:autoSpaceDN w:val="0"/>
        <w:spacing w:after="0" w:line="276" w:lineRule="auto"/>
        <w:jc w:val="both"/>
        <w:rPr>
          <w:rFonts w:ascii="Verdana" w:hAnsi="Verdana" w:cs="Arial"/>
        </w:rPr>
      </w:pPr>
    </w:p>
    <w:p w14:paraId="554E824D" w14:textId="77777777" w:rsidR="004C0691" w:rsidRPr="002D7ACD" w:rsidRDefault="004C0691" w:rsidP="004C069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D7ACD">
        <w:rPr>
          <w:rFonts w:ascii="Verdana" w:eastAsia="Century Gothic" w:hAnsi="Verdana" w:cs="Century Gothic"/>
          <w:b/>
          <w:bCs/>
        </w:rPr>
        <w:t>Doctrina de la Agencia Nacional de Contratación Pública:</w:t>
      </w:r>
    </w:p>
    <w:p w14:paraId="3FE9B916" w14:textId="77777777" w:rsidR="004C0691" w:rsidRPr="002D7ACD" w:rsidRDefault="004C0691" w:rsidP="004C0691">
      <w:pPr>
        <w:widowControl w:val="0"/>
        <w:autoSpaceDE w:val="0"/>
        <w:autoSpaceDN w:val="0"/>
        <w:spacing w:after="0" w:line="276" w:lineRule="auto"/>
        <w:jc w:val="both"/>
        <w:rPr>
          <w:rFonts w:ascii="Verdana" w:hAnsi="Verdana" w:cs="Arial"/>
        </w:rPr>
      </w:pPr>
    </w:p>
    <w:p w14:paraId="046E572A" w14:textId="77777777" w:rsidR="004C0691" w:rsidRDefault="004C0691" w:rsidP="004C0691">
      <w:pPr>
        <w:widowControl w:val="0"/>
        <w:autoSpaceDE w:val="0"/>
        <w:autoSpaceDN w:val="0"/>
        <w:spacing w:after="0" w:line="276" w:lineRule="auto"/>
        <w:jc w:val="both"/>
        <w:rPr>
          <w:rFonts w:ascii="Verdana" w:hAnsi="Verdana" w:cs="Arial"/>
          <w:shd w:val="clear" w:color="auto" w:fill="FFFFFF"/>
        </w:rPr>
      </w:pPr>
      <w:r w:rsidRPr="002D7ACD">
        <w:rPr>
          <w:rStyle w:val="normaltextrun"/>
          <w:rFonts w:ascii="Verdana" w:hAnsi="Verdana" w:cs="Arial"/>
          <w:shd w:val="clear" w:color="auto" w:fill="FFFFFF"/>
          <w:lang w:val="es-ES"/>
        </w:rPr>
        <w:t xml:space="preserve">Sobre </w:t>
      </w:r>
      <w:r w:rsidRPr="002D7ACD">
        <w:rPr>
          <w:rFonts w:ascii="Verdana" w:eastAsia="Calibri" w:hAnsi="Verdana" w:cs="Arial"/>
          <w:lang w:val="es-ES" w:eastAsia="es-ES"/>
        </w:rPr>
        <w:t xml:space="preserve">la </w:t>
      </w:r>
      <w:r w:rsidRPr="002D7ACD">
        <w:rPr>
          <w:rFonts w:ascii="Verdana" w:eastAsia="Calibri" w:hAnsi="Verdana" w:cs="Arial"/>
          <w:lang w:val="es-ES" w:eastAsia="es-ES_tradnl"/>
        </w:rPr>
        <w:t xml:space="preserve">definición </w:t>
      </w:r>
      <w:r w:rsidRPr="00C02094">
        <w:rPr>
          <w:rFonts w:ascii="Verdana" w:eastAsia="Calibri" w:hAnsi="Verdana" w:cs="Arial"/>
          <w:lang w:val="es-ES" w:eastAsia="es-ES_tradnl"/>
        </w:rPr>
        <w:t>de emprendimientos y empresas de mujeres en el Decreto 1860 de 2021</w:t>
      </w:r>
      <w:r w:rsidRPr="00C02094">
        <w:rPr>
          <w:rFonts w:ascii="Verdana" w:eastAsia="Calibri" w:hAnsi="Verdana" w:cs="Arial"/>
          <w:lang w:val="es-ES" w:eastAsia="es-ES"/>
        </w:rPr>
        <w:t>, esta Subdirección se ha pronunciado en los conceptos</w:t>
      </w:r>
      <w:r w:rsidRPr="00C02094">
        <w:rPr>
          <w:rFonts w:ascii="Verdana" w:hAnsi="Verdana" w:cs="Arial"/>
        </w:rPr>
        <w:t xml:space="preserve"> </w:t>
      </w:r>
      <w:r w:rsidRPr="00C02094">
        <w:rPr>
          <w:rFonts w:ascii="Verdana" w:eastAsia="Times New Roman" w:hAnsi="Verdana" w:cs="Arial"/>
          <w:shd w:val="clear" w:color="auto" w:fill="FFFFFF"/>
          <w:lang w:eastAsia="es-ES_tradnl"/>
        </w:rPr>
        <w:t>C-029 de 21 de febrero de 2021, C-037 del 26 de febrero de 2021, C-141 del 8 de abril de 2021, C-114 del 13 de abril de 2021 y C-031 del 1 de marzo de 2022, 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 C-642 del 11 de octubre de 2022, C-696 de 26 de octubre de 2022 y C-781 de 25 de noviembre de 2022, entre otros</w:t>
      </w:r>
      <w:r w:rsidRPr="001A3CD7">
        <w:rPr>
          <w:rStyle w:val="normaltextrun"/>
          <w:rFonts w:ascii="Verdana" w:hAnsi="Verdana" w:cs="Arial"/>
          <w:color w:val="7030A0"/>
          <w:shd w:val="clear" w:color="auto" w:fill="FFFFFF"/>
          <w:lang w:val="es-ES"/>
        </w:rPr>
        <w:t xml:space="preserve">. </w:t>
      </w:r>
      <w:r w:rsidRPr="00C02094">
        <w:rPr>
          <w:rFonts w:ascii="Verdana" w:hAnsi="Verdana" w:cs="Arial"/>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1" w:tooltip="Dirección URL original: https://relatoria.colombiacompra.gov.co/. Haga clic o pulse si confía en este vínculo." w:history="1">
        <w:r w:rsidRPr="00C02094">
          <w:rPr>
            <w:rStyle w:val="Hipervnculo"/>
            <w:rFonts w:ascii="Verdana" w:hAnsi="Verdana" w:cs="Arial"/>
            <w:shd w:val="clear" w:color="auto" w:fill="FFFFFF"/>
          </w:rPr>
          <w:t>https://relatoria.colombiacompra.gov.co/</w:t>
        </w:r>
      </w:hyperlink>
      <w:r w:rsidRPr="00C02094">
        <w:rPr>
          <w:rFonts w:ascii="Verdana" w:hAnsi="Verdana" w:cs="Arial"/>
          <w:shd w:val="clear" w:color="auto" w:fill="FFFFFF"/>
        </w:rPr>
        <w:t xml:space="preserve">  </w:t>
      </w:r>
    </w:p>
    <w:p w14:paraId="18129564" w14:textId="77777777" w:rsidR="004C0691" w:rsidRDefault="004C0691" w:rsidP="004C0691">
      <w:pPr>
        <w:widowControl w:val="0"/>
        <w:autoSpaceDE w:val="0"/>
        <w:autoSpaceDN w:val="0"/>
        <w:spacing w:after="0" w:line="276" w:lineRule="auto"/>
        <w:jc w:val="both"/>
        <w:rPr>
          <w:rFonts w:ascii="Verdana" w:hAnsi="Verdana" w:cs="Arial"/>
          <w:shd w:val="clear" w:color="auto" w:fill="FFFFFF"/>
        </w:rPr>
      </w:pPr>
    </w:p>
    <w:p w14:paraId="1BF9DA79" w14:textId="77777777" w:rsidR="004C0691" w:rsidRPr="00C02094" w:rsidRDefault="004C0691" w:rsidP="004C0691">
      <w:pPr>
        <w:widowControl w:val="0"/>
        <w:autoSpaceDE w:val="0"/>
        <w:autoSpaceDN w:val="0"/>
        <w:spacing w:after="0" w:line="276" w:lineRule="auto"/>
        <w:jc w:val="both"/>
        <w:rPr>
          <w:rFonts w:ascii="Verdana" w:hAnsi="Verdana" w:cs="Arial"/>
          <w:shd w:val="clear" w:color="auto" w:fill="FFFFFF"/>
        </w:rPr>
      </w:pPr>
      <w:r w:rsidRPr="00C02094">
        <w:rPr>
          <w:rFonts w:ascii="Verdana" w:hAnsi="Verdana" w:cs="Arial"/>
          <w:shd w:val="clear" w:color="auto" w:fill="FFFFFF"/>
        </w:rPr>
        <w:t xml:space="preserve">Te invitamos también a revisar la tercera edición del  Boletín de Relatoría de 2024 en el cual podrás consultar en detalle el marco normativo de documentos tipo: </w:t>
      </w:r>
      <w:hyperlink r:id="rId12" w:tooltip="Dirección URL original: https://www.colombiacompra.gov.co/sites/cce_public/files/files_2020/boletin_de_realtoria_iii.pdf. Haga clic o pulse si confía en este vínculo." w:history="1">
        <w:r w:rsidRPr="00C02094">
          <w:rPr>
            <w:rStyle w:val="Hipervnculo"/>
            <w:rFonts w:ascii="Verdana" w:hAnsi="Verdana" w:cs="Arial"/>
            <w:shd w:val="clear" w:color="auto" w:fill="FFFFFF"/>
          </w:rPr>
          <w:t>https://www.colombiacompra.gov.co/sites/cce_public/files/files_2020/boletin_de_realtoria_iii.pdf</w:t>
        </w:r>
      </w:hyperlink>
      <w:r w:rsidRPr="00C02094">
        <w:rPr>
          <w:rFonts w:ascii="Verdana" w:hAnsi="Verdana" w:cs="Arial"/>
          <w:shd w:val="clear" w:color="auto" w:fill="FFFFFF"/>
        </w:rPr>
        <w:t> ".  </w:t>
      </w:r>
    </w:p>
    <w:p w14:paraId="5B3F0FD3" w14:textId="77777777" w:rsidR="004C0691" w:rsidRPr="00C02094" w:rsidRDefault="004C0691" w:rsidP="004C0691">
      <w:pPr>
        <w:widowControl w:val="0"/>
        <w:autoSpaceDE w:val="0"/>
        <w:autoSpaceDN w:val="0"/>
        <w:spacing w:after="0" w:line="276" w:lineRule="auto"/>
        <w:jc w:val="both"/>
        <w:rPr>
          <w:rFonts w:ascii="Verdana" w:hAnsi="Verdana" w:cs="Arial"/>
          <w:shd w:val="clear" w:color="auto" w:fill="FFFFFF"/>
        </w:rPr>
      </w:pPr>
    </w:p>
    <w:p w14:paraId="1D4EF084" w14:textId="77777777" w:rsidR="004C0691" w:rsidRPr="00C02094" w:rsidRDefault="004C0691" w:rsidP="004C0691">
      <w:pPr>
        <w:widowControl w:val="0"/>
        <w:autoSpaceDE w:val="0"/>
        <w:autoSpaceDN w:val="0"/>
        <w:spacing w:after="0" w:line="276" w:lineRule="auto"/>
        <w:jc w:val="both"/>
        <w:rPr>
          <w:rFonts w:ascii="Verdana" w:hAnsi="Verdana" w:cs="Arial"/>
          <w:shd w:val="clear" w:color="auto" w:fill="FFFFFF"/>
        </w:rPr>
      </w:pPr>
      <w:r w:rsidRPr="00C02094">
        <w:rPr>
          <w:rFonts w:ascii="Verdana" w:hAnsi="Verdana" w:cs="Arial"/>
          <w:shd w:val="clear" w:color="auto" w:fill="FFFFFF"/>
        </w:rPr>
        <w:t xml:space="preserve">"De otra parte, te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 enlaces: </w:t>
      </w:r>
      <w:hyperlink r:id="rId13" w:tooltip="Dirección URL original: https://www.sucop.gov.co/entidades/colombiacompra/Normativa?IDNorma=17363. Haga clic o pulse si confía en este vínculo." w:history="1">
        <w:r w:rsidRPr="00C02094">
          <w:rPr>
            <w:rStyle w:val="Hipervnculo"/>
            <w:rFonts w:ascii="Verdana" w:hAnsi="Verdana" w:cs="Arial"/>
            <w:shd w:val="clear" w:color="auto" w:fill="FFFFFF"/>
          </w:rPr>
          <w:t>https://www.sucop.gov.co/entidades/colombiacompra/Normativa?IDNorma=1</w:t>
        </w:r>
        <w:r w:rsidRPr="00C02094">
          <w:rPr>
            <w:rStyle w:val="Hipervnculo"/>
            <w:rFonts w:ascii="Verdana" w:hAnsi="Verdana" w:cs="Arial"/>
            <w:shd w:val="clear" w:color="auto" w:fill="FFFFFF"/>
          </w:rPr>
          <w:lastRenderedPageBreak/>
          <w:t>7363</w:t>
        </w:r>
      </w:hyperlink>
      <w:r w:rsidRPr="00C02094">
        <w:rPr>
          <w:rFonts w:ascii="Verdana" w:hAnsi="Verdana" w:cs="Arial"/>
          <w:shd w:val="clear" w:color="auto" w:fill="FFFFFF"/>
        </w:rPr>
        <w:t xml:space="preserve"> y </w:t>
      </w:r>
      <w:hyperlink r:id="rId14" w:tooltip="Dirección URL original: https://www.colombiacompra.gov.co/content/convocatorias. Haga clic o pulse si confía en este vínculo." w:history="1">
        <w:r w:rsidRPr="00C02094">
          <w:rPr>
            <w:rStyle w:val="Hipervnculo"/>
            <w:rFonts w:ascii="Verdana" w:hAnsi="Verdana" w:cs="Arial"/>
            <w:shd w:val="clear" w:color="auto" w:fill="FFFFFF"/>
          </w:rPr>
          <w:t>https://www.colombiacompra.gov.co/content/convocatorias</w:t>
        </w:r>
      </w:hyperlink>
      <w:r w:rsidRPr="00C02094">
        <w:rPr>
          <w:rFonts w:ascii="Verdana" w:hAnsi="Verdana" w:cs="Arial"/>
          <w:shd w:val="clear" w:color="auto" w:fill="FFFFFF"/>
        </w:rPr>
        <w:t> ". </w:t>
      </w:r>
    </w:p>
    <w:p w14:paraId="786DA9C7" w14:textId="77777777" w:rsidR="004C0691" w:rsidRPr="001A3CD7" w:rsidRDefault="004C0691" w:rsidP="004C0691">
      <w:pPr>
        <w:widowControl w:val="0"/>
        <w:autoSpaceDE w:val="0"/>
        <w:autoSpaceDN w:val="0"/>
        <w:spacing w:after="0" w:line="276" w:lineRule="auto"/>
        <w:jc w:val="both"/>
        <w:rPr>
          <w:rFonts w:ascii="Verdana" w:hAnsi="Verdana" w:cs="Arial"/>
        </w:rPr>
      </w:pPr>
    </w:p>
    <w:p w14:paraId="22172F7B" w14:textId="77777777" w:rsidR="004C0691" w:rsidRPr="001A3CD7" w:rsidRDefault="004C0691" w:rsidP="004C0691">
      <w:pPr>
        <w:widowControl w:val="0"/>
        <w:autoSpaceDE w:val="0"/>
        <w:autoSpaceDN w:val="0"/>
        <w:spacing w:after="0" w:line="276" w:lineRule="auto"/>
        <w:jc w:val="both"/>
        <w:rPr>
          <w:rFonts w:ascii="Verdana" w:hAnsi="Verdana" w:cs="Arial"/>
          <w:lang w:val="es-ES_tradnl"/>
        </w:rPr>
      </w:pPr>
      <w:r w:rsidRPr="001A3CD7">
        <w:rPr>
          <w:rFonts w:ascii="Verdana" w:hAnsi="Verdana" w:cs="Arial"/>
        </w:rPr>
        <w:t xml:space="preserve">Este concepto tiene el alcance previsto en el artículo 28 del Código de Procedimiento Administrativo y de lo Contencioso Administrativo </w:t>
      </w:r>
      <w:r w:rsidRPr="001A3CD7">
        <w:rPr>
          <w:rFonts w:ascii="Verdana" w:hAnsi="Verdana" w:cs="Arial"/>
          <w:lang w:val="es-ES_tradnl"/>
        </w:rPr>
        <w:t>y las expresiones aquí utilizadas con mayúscula inicial deben ser entendidas con el significado que les otorga el artículo 2.2.1.1.1.3.1. del Decreto 1082 de 2015.</w:t>
      </w:r>
    </w:p>
    <w:p w14:paraId="6E8542A5" w14:textId="77777777" w:rsidR="004C0691" w:rsidRPr="001A3CD7" w:rsidRDefault="004C0691" w:rsidP="004C0691">
      <w:pPr>
        <w:widowControl w:val="0"/>
        <w:autoSpaceDE w:val="0"/>
        <w:autoSpaceDN w:val="0"/>
        <w:spacing w:after="0" w:line="276" w:lineRule="auto"/>
        <w:jc w:val="both"/>
        <w:rPr>
          <w:rFonts w:ascii="Verdana" w:hAnsi="Verdana" w:cs="Arial"/>
        </w:rPr>
      </w:pPr>
    </w:p>
    <w:p w14:paraId="095AA04B" w14:textId="77777777" w:rsidR="004C0691" w:rsidRPr="001A3CD7" w:rsidRDefault="004C0691" w:rsidP="004C0691">
      <w:pPr>
        <w:spacing w:after="0" w:line="276" w:lineRule="auto"/>
        <w:rPr>
          <w:rFonts w:ascii="Verdana" w:hAnsi="Verdana" w:cs="Arial"/>
          <w:lang w:eastAsia="es-CO"/>
        </w:rPr>
      </w:pPr>
      <w:r w:rsidRPr="001A3CD7">
        <w:rPr>
          <w:rFonts w:ascii="Verdana" w:eastAsia="Times New Roman" w:hAnsi="Verdana" w:cs="Arial"/>
          <w:lang w:eastAsia="es-CO"/>
        </w:rPr>
        <w:t>Atentamente,</w:t>
      </w:r>
      <w:r w:rsidRPr="001A3CD7">
        <w:rPr>
          <w:rFonts w:ascii="Verdana" w:hAnsi="Verdana" w:cs="Arial"/>
          <w:lang w:eastAsia="es-CO"/>
        </w:rPr>
        <w:t xml:space="preserve"> </w:t>
      </w:r>
    </w:p>
    <w:p w14:paraId="74C40388" w14:textId="0079FD74" w:rsidR="004C0691" w:rsidRDefault="00473468" w:rsidP="004C0691">
      <w:pPr>
        <w:spacing w:line="276" w:lineRule="auto"/>
        <w:jc w:val="center"/>
        <w:rPr>
          <w:rFonts w:ascii="Verdana" w:eastAsia="Times New Roman" w:hAnsi="Verdana" w:cs="Arial"/>
          <w:sz w:val="24"/>
          <w:szCs w:val="24"/>
          <w:lang w:eastAsia="es-ES"/>
        </w:rPr>
      </w:pPr>
      <w:r w:rsidRPr="002C3AD6">
        <w:rPr>
          <w:rFonts w:ascii="Century Gothic" w:hAnsi="Century Gothic"/>
          <w:noProof/>
        </w:rPr>
        <w:drawing>
          <wp:inline distT="0" distB="0" distL="0" distR="0" wp14:anchorId="62FD03C9" wp14:editId="1F871C26">
            <wp:extent cx="3623168" cy="1162050"/>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rotWithShape="1">
                    <a:blip r:embed="rId15"/>
                    <a:srcRect t="13600"/>
                    <a:stretch/>
                  </pic:blipFill>
                  <pic:spPr bwMode="auto">
                    <a:xfrm>
                      <a:off x="0" y="0"/>
                      <a:ext cx="3655221" cy="117233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C0691" w14:paraId="70B92792" w14:textId="77777777" w:rsidTr="002D7ACD">
        <w:trPr>
          <w:trHeight w:val="315"/>
        </w:trPr>
        <w:tc>
          <w:tcPr>
            <w:tcW w:w="893" w:type="dxa"/>
            <w:vAlign w:val="center"/>
            <w:hideMark/>
          </w:tcPr>
          <w:p w14:paraId="1EC871A5" w14:textId="77777777" w:rsidR="004C0691" w:rsidRDefault="004C0691" w:rsidP="002D7ACD">
            <w:pPr>
              <w:spacing w:after="255"/>
              <w:contextualSpacing/>
              <w:rPr>
                <w:rFonts w:ascii="Verdana" w:hAnsi="Verdana" w:cs="Arial"/>
                <w:sz w:val="16"/>
                <w:szCs w:val="16"/>
                <w:lang w:val="es-ES" w:eastAsia="es-ES"/>
              </w:rPr>
            </w:pPr>
            <w:r>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ABC7686" w14:textId="77777777" w:rsidR="004C0691" w:rsidRDefault="004C0691" w:rsidP="002D7ACD">
            <w:pPr>
              <w:rPr>
                <w:rFonts w:ascii="Verdana" w:eastAsia="Arial" w:hAnsi="Verdana" w:cs="Arial"/>
                <w:sz w:val="16"/>
                <w:szCs w:val="16"/>
              </w:rPr>
            </w:pPr>
            <w:r>
              <w:rPr>
                <w:rFonts w:ascii="Verdana" w:eastAsia="Arial" w:hAnsi="Verdana" w:cs="Arial"/>
                <w:sz w:val="16"/>
                <w:szCs w:val="16"/>
              </w:rPr>
              <w:t>Diana Lucia Saavedra Castañeda</w:t>
            </w:r>
          </w:p>
          <w:p w14:paraId="7B1BB344" w14:textId="77777777" w:rsidR="004C0691" w:rsidRDefault="004C0691" w:rsidP="002D7ACD">
            <w:pPr>
              <w:spacing w:after="255"/>
              <w:contextualSpacing/>
              <w:rPr>
                <w:rFonts w:ascii="Verdana" w:eastAsia="Arial" w:hAnsi="Verdana" w:cs="Arial"/>
                <w:sz w:val="16"/>
                <w:szCs w:val="16"/>
              </w:rPr>
            </w:pPr>
            <w:r>
              <w:rPr>
                <w:rFonts w:ascii="Verdana" w:eastAsia="Arial" w:hAnsi="Verdana" w:cs="Arial"/>
                <w:sz w:val="16"/>
                <w:szCs w:val="16"/>
              </w:rPr>
              <w:t>Contratista de la Subdirección de Gestión Contractual</w:t>
            </w:r>
          </w:p>
        </w:tc>
      </w:tr>
      <w:tr w:rsidR="004C0691" w14:paraId="2AA49EC2" w14:textId="77777777" w:rsidTr="002D7ACD">
        <w:trPr>
          <w:trHeight w:val="330"/>
        </w:trPr>
        <w:tc>
          <w:tcPr>
            <w:tcW w:w="893" w:type="dxa"/>
            <w:vAlign w:val="center"/>
            <w:hideMark/>
          </w:tcPr>
          <w:p w14:paraId="0A2FED3A" w14:textId="77777777" w:rsidR="004C0691" w:rsidRDefault="004C0691" w:rsidP="002D7ACD">
            <w:pPr>
              <w:spacing w:after="255"/>
              <w:contextualSpacing/>
              <w:rPr>
                <w:rFonts w:ascii="Verdana" w:hAnsi="Verdana" w:cs="Arial"/>
                <w:sz w:val="16"/>
                <w:szCs w:val="16"/>
                <w:lang w:val="es-ES" w:eastAsia="es-ES"/>
              </w:rPr>
            </w:pPr>
            <w:r>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BAC6DCF" w14:textId="77777777" w:rsidR="004C0691" w:rsidRDefault="004C0691" w:rsidP="002D7ACD">
            <w:pPr>
              <w:pStyle w:val="paragraph"/>
              <w:spacing w:before="0" w:beforeAutospacing="0" w:after="0" w:afterAutospacing="0"/>
              <w:contextualSpacing/>
              <w:textAlignment w:val="baseline"/>
              <w:rPr>
                <w:rFonts w:ascii="Verdana" w:hAnsi="Verdana" w:cs="Segoe UI"/>
                <w:sz w:val="16"/>
                <w:szCs w:val="16"/>
                <w:lang w:eastAsia="en-US"/>
              </w:rPr>
            </w:pPr>
            <w:r>
              <w:rPr>
                <w:rFonts w:ascii="Verdana" w:hAnsi="Verdana" w:cs="Segoe UI"/>
                <w:sz w:val="16"/>
                <w:szCs w:val="16"/>
                <w:lang w:eastAsia="en-US"/>
              </w:rPr>
              <w:t xml:space="preserve">Alejandro Raúl Sarmiento Cantillo </w:t>
            </w:r>
          </w:p>
          <w:p w14:paraId="50FD90B0" w14:textId="77777777" w:rsidR="004C0691" w:rsidRDefault="004C0691" w:rsidP="002D7ACD">
            <w:pPr>
              <w:pStyle w:val="paragraph"/>
              <w:spacing w:before="0" w:beforeAutospacing="0" w:after="0" w:afterAutospacing="0"/>
              <w:contextualSpacing/>
              <w:textAlignment w:val="baseline"/>
              <w:rPr>
                <w:rFonts w:ascii="Verdana" w:hAnsi="Verdana" w:cs="Segoe UI"/>
                <w:sz w:val="16"/>
                <w:szCs w:val="16"/>
                <w:lang w:eastAsia="en-US"/>
              </w:rPr>
            </w:pPr>
            <w:r>
              <w:rPr>
                <w:rFonts w:ascii="Verdana" w:hAnsi="Verdana" w:cs="Segoe UI"/>
                <w:sz w:val="16"/>
                <w:szCs w:val="16"/>
                <w:lang w:eastAsia="en-US"/>
              </w:rPr>
              <w:t xml:space="preserve">Gestor T1-15 </w:t>
            </w:r>
            <w:r>
              <w:rPr>
                <w:rFonts w:ascii="Verdana" w:eastAsia="Arial" w:hAnsi="Verdana" w:cs="Arial"/>
                <w:sz w:val="16"/>
                <w:szCs w:val="16"/>
                <w:lang w:eastAsia="en-US"/>
              </w:rPr>
              <w:t>de la Subdirección de Gestión Contractual</w:t>
            </w:r>
          </w:p>
        </w:tc>
      </w:tr>
      <w:tr w:rsidR="004C0691" w14:paraId="28636A7C" w14:textId="77777777" w:rsidTr="002D7ACD">
        <w:trPr>
          <w:trHeight w:val="300"/>
        </w:trPr>
        <w:tc>
          <w:tcPr>
            <w:tcW w:w="893" w:type="dxa"/>
            <w:vAlign w:val="center"/>
            <w:hideMark/>
          </w:tcPr>
          <w:p w14:paraId="086B44C2" w14:textId="77777777" w:rsidR="004C0691" w:rsidRDefault="004C0691" w:rsidP="002D7ACD">
            <w:pPr>
              <w:spacing w:after="255"/>
              <w:contextualSpacing/>
              <w:rPr>
                <w:rFonts w:ascii="Verdana" w:hAnsi="Verdana" w:cs="Arial"/>
                <w:sz w:val="16"/>
                <w:szCs w:val="16"/>
                <w:lang w:val="es-ES" w:eastAsia="es-ES"/>
              </w:rPr>
            </w:pPr>
            <w:r>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6397682" w14:textId="77777777" w:rsidR="004C0691" w:rsidRDefault="004C0691" w:rsidP="002D7ACD">
            <w:pPr>
              <w:spacing w:after="255"/>
              <w:contextualSpacing/>
              <w:rPr>
                <w:rFonts w:ascii="Verdana" w:eastAsia="Calibri" w:hAnsi="Verdana" w:cs="Arial"/>
                <w:sz w:val="16"/>
                <w:szCs w:val="16"/>
                <w:lang w:val="pt-BR" w:eastAsia="es-ES"/>
              </w:rPr>
            </w:pPr>
            <w:r>
              <w:rPr>
                <w:rFonts w:ascii="Verdana" w:eastAsia="Calibri" w:hAnsi="Verdana" w:cs="Arial"/>
                <w:sz w:val="16"/>
                <w:szCs w:val="16"/>
                <w:lang w:val="pt-BR" w:eastAsia="es-ES"/>
              </w:rPr>
              <w:t>Carolina Quintero Gacharná</w:t>
            </w:r>
          </w:p>
          <w:p w14:paraId="35841D43" w14:textId="77777777" w:rsidR="004C0691" w:rsidRDefault="004C0691" w:rsidP="002D7ACD">
            <w:pPr>
              <w:spacing w:after="255"/>
              <w:contextualSpacing/>
              <w:rPr>
                <w:rFonts w:ascii="Verdana" w:eastAsia="Calibri" w:hAnsi="Verdana" w:cs="Arial"/>
                <w:sz w:val="16"/>
                <w:szCs w:val="16"/>
                <w:lang w:val="pt-BR" w:eastAsia="es-ES"/>
              </w:rPr>
            </w:pPr>
            <w:r>
              <w:rPr>
                <w:rFonts w:ascii="Verdana" w:eastAsia="Calibri" w:hAnsi="Verdana" w:cs="Arial"/>
                <w:sz w:val="16"/>
                <w:szCs w:val="16"/>
                <w:lang w:eastAsia="es-ES"/>
              </w:rPr>
              <w:t>Subdirectora</w:t>
            </w:r>
            <w:r>
              <w:rPr>
                <w:rFonts w:ascii="Verdana" w:eastAsia="Calibri" w:hAnsi="Verdana" w:cs="Arial"/>
                <w:sz w:val="16"/>
                <w:szCs w:val="16"/>
                <w:lang w:val="pt-BR" w:eastAsia="es-ES"/>
              </w:rPr>
              <w:t xml:space="preserve"> de Gestión Contractual ANCP – CCE</w:t>
            </w:r>
          </w:p>
        </w:tc>
      </w:tr>
      <w:bookmarkEnd w:id="0"/>
    </w:tbl>
    <w:p w14:paraId="5FCADBF9" w14:textId="5D3296D3" w:rsidR="00E245AB" w:rsidRPr="0044528D" w:rsidRDefault="00E245AB" w:rsidP="00E245AB">
      <w:pPr>
        <w:spacing w:after="0"/>
        <w:rPr>
          <w:rFonts w:ascii="Verdana" w:hAnsi="Verdana"/>
        </w:rPr>
      </w:pPr>
    </w:p>
    <w:sectPr w:rsidR="00E245AB" w:rsidRPr="0044528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C8401" w14:textId="77777777" w:rsidR="00CE2E2F" w:rsidRDefault="00CE2E2F" w:rsidP="004A1847">
      <w:pPr>
        <w:spacing w:after="0" w:line="240" w:lineRule="auto"/>
      </w:pPr>
      <w:r>
        <w:separator/>
      </w:r>
    </w:p>
  </w:endnote>
  <w:endnote w:type="continuationSeparator" w:id="0">
    <w:p w14:paraId="1CE866E7" w14:textId="77777777" w:rsidR="00CE2E2F" w:rsidRDefault="00CE2E2F" w:rsidP="004A1847">
      <w:pPr>
        <w:spacing w:after="0" w:line="240" w:lineRule="auto"/>
      </w:pPr>
      <w:r>
        <w:continuationSeparator/>
      </w:r>
    </w:p>
  </w:endnote>
  <w:endnote w:type="continuationNotice" w:id="1">
    <w:p w14:paraId="628B46AE" w14:textId="77777777" w:rsidR="00CE2E2F" w:rsidRDefault="00CE2E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FC373" w14:textId="77777777" w:rsidR="00CE2E2F" w:rsidRDefault="00CE2E2F" w:rsidP="004A1847">
      <w:pPr>
        <w:spacing w:after="0" w:line="240" w:lineRule="auto"/>
      </w:pPr>
      <w:r>
        <w:separator/>
      </w:r>
    </w:p>
  </w:footnote>
  <w:footnote w:type="continuationSeparator" w:id="0">
    <w:p w14:paraId="7F7E9FDB" w14:textId="77777777" w:rsidR="00CE2E2F" w:rsidRDefault="00CE2E2F" w:rsidP="004A1847">
      <w:pPr>
        <w:spacing w:after="0" w:line="240" w:lineRule="auto"/>
      </w:pPr>
      <w:r>
        <w:continuationSeparator/>
      </w:r>
    </w:p>
  </w:footnote>
  <w:footnote w:type="continuationNotice" w:id="1">
    <w:p w14:paraId="7EE4EBAF" w14:textId="77777777" w:rsidR="00CE2E2F" w:rsidRDefault="00CE2E2F">
      <w:pPr>
        <w:spacing w:after="0" w:line="240" w:lineRule="auto"/>
      </w:pPr>
    </w:p>
  </w:footnote>
  <w:footnote w:id="2">
    <w:p w14:paraId="388FA9F8" w14:textId="77777777" w:rsidR="004C0691" w:rsidRDefault="004C0691" w:rsidP="004C0691">
      <w:pPr>
        <w:pStyle w:val="Textonotapie"/>
        <w:ind w:firstLine="708"/>
        <w:contextualSpacing/>
        <w:jc w:val="both"/>
        <w:rPr>
          <w:rStyle w:val="Hipervnculo1"/>
          <w:rFonts w:ascii="Verdana" w:hAnsi="Verdana" w:cs="Arial"/>
          <w:color w:val="000000" w:themeColor="text1"/>
          <w:sz w:val="16"/>
          <w:szCs w:val="16"/>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Texto del Proyecto de Ley 122 de 2020 Cámara. Exposición de motivos. Consultado el 29 de diciembre de 2021 en la página web: </w:t>
      </w:r>
      <w:hyperlink r:id="rId1" w:history="1">
        <w:r w:rsidRPr="00C02094">
          <w:rPr>
            <w:rStyle w:val="Hipervnculo"/>
            <w:rFonts w:ascii="Verdana" w:hAnsi="Verdana" w:cs="Arial"/>
            <w:sz w:val="16"/>
            <w:szCs w:val="16"/>
          </w:rPr>
          <w:t>http://leyes.senado.gov.co/proyectos/index.php/textos-radicados-senado/p-ley-2020-2021/1957-proyecto-de-ley-161-de-2020</w:t>
        </w:r>
      </w:hyperlink>
      <w:r w:rsidRPr="00C02094">
        <w:rPr>
          <w:rStyle w:val="Hipervnculo1"/>
          <w:rFonts w:ascii="Verdana" w:hAnsi="Verdana" w:cs="Arial"/>
          <w:color w:val="000000" w:themeColor="text1"/>
          <w:sz w:val="16"/>
          <w:szCs w:val="16"/>
        </w:rPr>
        <w:t xml:space="preserve"> </w:t>
      </w:r>
    </w:p>
    <w:p w14:paraId="6839B583" w14:textId="77777777" w:rsidR="000C2D8B" w:rsidRPr="00C02094" w:rsidRDefault="000C2D8B" w:rsidP="004C0691">
      <w:pPr>
        <w:pStyle w:val="Textonotapie"/>
        <w:ind w:firstLine="708"/>
        <w:contextualSpacing/>
        <w:jc w:val="both"/>
        <w:rPr>
          <w:rFonts w:ascii="Verdana" w:hAnsi="Verdana" w:cs="Arial"/>
          <w:color w:val="000000" w:themeColor="text1"/>
          <w:sz w:val="16"/>
          <w:szCs w:val="16"/>
          <w:u w:val="single"/>
        </w:rPr>
      </w:pPr>
    </w:p>
  </w:footnote>
  <w:footnote w:id="3">
    <w:p w14:paraId="7A786808" w14:textId="77777777" w:rsidR="004C0691" w:rsidRDefault="004C0691" w:rsidP="004C0691">
      <w:pPr>
        <w:pStyle w:val="Textonotapie"/>
        <w:ind w:firstLine="709"/>
        <w:contextualSpacing/>
        <w:jc w:val="both"/>
        <w:rPr>
          <w:rFonts w:ascii="Verdana" w:hAnsi="Verdana" w:cs="Arial"/>
          <w:color w:val="000000" w:themeColor="text1"/>
          <w:sz w:val="16"/>
          <w:szCs w:val="16"/>
          <w:lang w:val="es-ES"/>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w:t>
      </w:r>
      <w:r w:rsidRPr="00C02094">
        <w:rPr>
          <w:rFonts w:ascii="Verdana" w:hAnsi="Verdana" w:cs="Arial"/>
          <w:color w:val="000000" w:themeColor="text1"/>
          <w:sz w:val="16"/>
          <w:szCs w:val="16"/>
          <w:lang w:val="es-ES"/>
        </w:rPr>
        <w:t>Artículos 2 al 29.</w:t>
      </w:r>
    </w:p>
    <w:p w14:paraId="45E4F98F" w14:textId="77777777" w:rsidR="000C2D8B" w:rsidRPr="00C02094" w:rsidRDefault="000C2D8B" w:rsidP="004C0691">
      <w:pPr>
        <w:pStyle w:val="Textonotapie"/>
        <w:ind w:firstLine="709"/>
        <w:contextualSpacing/>
        <w:jc w:val="both"/>
        <w:rPr>
          <w:rFonts w:ascii="Verdana" w:hAnsi="Verdana" w:cs="Arial"/>
          <w:color w:val="000000" w:themeColor="text1"/>
          <w:sz w:val="16"/>
          <w:szCs w:val="16"/>
          <w:lang w:val="es-ES"/>
        </w:rPr>
      </w:pPr>
    </w:p>
  </w:footnote>
  <w:footnote w:id="4">
    <w:p w14:paraId="783BEC0B" w14:textId="77777777" w:rsidR="004C0691" w:rsidRDefault="004C0691" w:rsidP="004C0691">
      <w:pPr>
        <w:pStyle w:val="Textonotapie"/>
        <w:ind w:firstLine="709"/>
        <w:contextualSpacing/>
        <w:jc w:val="both"/>
        <w:rPr>
          <w:rFonts w:ascii="Verdana" w:hAnsi="Verdana" w:cs="Arial"/>
          <w:color w:val="000000" w:themeColor="text1"/>
          <w:sz w:val="16"/>
          <w:szCs w:val="16"/>
          <w:lang w:val="es-ES"/>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w:t>
      </w:r>
      <w:r w:rsidRPr="00C02094">
        <w:rPr>
          <w:rFonts w:ascii="Verdana" w:hAnsi="Verdana" w:cs="Arial"/>
          <w:color w:val="000000" w:themeColor="text1"/>
          <w:sz w:val="16"/>
          <w:szCs w:val="16"/>
          <w:lang w:val="es-ES"/>
        </w:rPr>
        <w:t>Artículos 30 al 36.</w:t>
      </w:r>
    </w:p>
    <w:p w14:paraId="42C50C09" w14:textId="77777777" w:rsidR="000C2D8B" w:rsidRPr="00C02094" w:rsidRDefault="000C2D8B" w:rsidP="004C0691">
      <w:pPr>
        <w:pStyle w:val="Textonotapie"/>
        <w:ind w:firstLine="709"/>
        <w:contextualSpacing/>
        <w:jc w:val="both"/>
        <w:rPr>
          <w:rFonts w:ascii="Verdana" w:hAnsi="Verdana" w:cs="Arial"/>
          <w:color w:val="000000" w:themeColor="text1"/>
          <w:sz w:val="16"/>
          <w:szCs w:val="16"/>
          <w:lang w:val="es-ES"/>
        </w:rPr>
      </w:pPr>
    </w:p>
  </w:footnote>
  <w:footnote w:id="5">
    <w:p w14:paraId="2DDB6CFD" w14:textId="77777777" w:rsidR="004C0691" w:rsidRDefault="004C0691" w:rsidP="004C0691">
      <w:pPr>
        <w:pStyle w:val="Textonotapie"/>
        <w:ind w:firstLine="709"/>
        <w:contextualSpacing/>
        <w:jc w:val="both"/>
        <w:rPr>
          <w:rFonts w:ascii="Verdana" w:hAnsi="Verdana" w:cs="Arial"/>
          <w:color w:val="000000" w:themeColor="text1"/>
          <w:sz w:val="16"/>
          <w:szCs w:val="16"/>
          <w:lang w:val="es-ES"/>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w:t>
      </w:r>
      <w:r w:rsidRPr="00C02094">
        <w:rPr>
          <w:rFonts w:ascii="Verdana" w:hAnsi="Verdana" w:cs="Arial"/>
          <w:color w:val="000000" w:themeColor="text1"/>
          <w:sz w:val="16"/>
          <w:szCs w:val="16"/>
          <w:lang w:val="es-ES"/>
        </w:rPr>
        <w:t>Artículos 37 al 45.</w:t>
      </w:r>
    </w:p>
    <w:p w14:paraId="649A7FA3" w14:textId="77777777" w:rsidR="000C2D8B" w:rsidRPr="00C02094" w:rsidRDefault="000C2D8B" w:rsidP="004C0691">
      <w:pPr>
        <w:pStyle w:val="Textonotapie"/>
        <w:ind w:firstLine="709"/>
        <w:contextualSpacing/>
        <w:jc w:val="both"/>
        <w:rPr>
          <w:rFonts w:ascii="Verdana" w:hAnsi="Verdana" w:cs="Arial"/>
          <w:color w:val="000000" w:themeColor="text1"/>
          <w:sz w:val="16"/>
          <w:szCs w:val="16"/>
          <w:lang w:val="es-ES"/>
        </w:rPr>
      </w:pPr>
    </w:p>
  </w:footnote>
  <w:footnote w:id="6">
    <w:p w14:paraId="55F0FDA6" w14:textId="77777777" w:rsidR="004C0691" w:rsidRDefault="004C0691" w:rsidP="004C0691">
      <w:pPr>
        <w:pStyle w:val="Textonotapie"/>
        <w:ind w:firstLine="709"/>
        <w:contextualSpacing/>
        <w:jc w:val="both"/>
        <w:rPr>
          <w:rFonts w:ascii="Verdana" w:hAnsi="Verdana" w:cs="Arial"/>
          <w:color w:val="000000" w:themeColor="text1"/>
          <w:sz w:val="16"/>
          <w:szCs w:val="16"/>
          <w:lang w:val="es-ES"/>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w:t>
      </w:r>
      <w:r w:rsidRPr="00C02094">
        <w:rPr>
          <w:rFonts w:ascii="Verdana" w:hAnsi="Verdana" w:cs="Arial"/>
          <w:color w:val="000000" w:themeColor="text1"/>
          <w:sz w:val="16"/>
          <w:szCs w:val="16"/>
          <w:lang w:val="es-ES"/>
        </w:rPr>
        <w:t>Artículos 46 al 73.</w:t>
      </w:r>
    </w:p>
    <w:p w14:paraId="4FE3995C" w14:textId="77777777" w:rsidR="000C2D8B" w:rsidRPr="00C02094" w:rsidRDefault="000C2D8B" w:rsidP="004C0691">
      <w:pPr>
        <w:pStyle w:val="Textonotapie"/>
        <w:ind w:firstLine="709"/>
        <w:contextualSpacing/>
        <w:jc w:val="both"/>
        <w:rPr>
          <w:rFonts w:ascii="Verdana" w:hAnsi="Verdana" w:cs="Arial"/>
          <w:color w:val="000000" w:themeColor="text1"/>
          <w:sz w:val="16"/>
          <w:szCs w:val="16"/>
          <w:lang w:val="es-ES"/>
        </w:rPr>
      </w:pPr>
    </w:p>
  </w:footnote>
  <w:footnote w:id="7">
    <w:p w14:paraId="193FBE0C" w14:textId="77777777" w:rsidR="004C0691" w:rsidRDefault="004C0691" w:rsidP="004C0691">
      <w:pPr>
        <w:pStyle w:val="Textonotapie"/>
        <w:ind w:firstLine="709"/>
        <w:contextualSpacing/>
        <w:jc w:val="both"/>
        <w:rPr>
          <w:rFonts w:ascii="Verdana" w:hAnsi="Verdana" w:cs="Arial"/>
          <w:color w:val="000000" w:themeColor="text1"/>
          <w:sz w:val="16"/>
          <w:szCs w:val="16"/>
          <w:lang w:val="es-ES"/>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w:t>
      </w:r>
      <w:r w:rsidRPr="00C02094">
        <w:rPr>
          <w:rFonts w:ascii="Verdana" w:hAnsi="Verdana" w:cs="Arial"/>
          <w:color w:val="000000" w:themeColor="text1"/>
          <w:sz w:val="16"/>
          <w:szCs w:val="16"/>
          <w:lang w:val="es-ES"/>
        </w:rPr>
        <w:t>Artículos 74 al 83.</w:t>
      </w:r>
    </w:p>
    <w:p w14:paraId="4FE63C4A" w14:textId="77777777" w:rsidR="000C2D8B" w:rsidRPr="00C02094" w:rsidRDefault="000C2D8B" w:rsidP="004C0691">
      <w:pPr>
        <w:pStyle w:val="Textonotapie"/>
        <w:ind w:firstLine="709"/>
        <w:contextualSpacing/>
        <w:jc w:val="both"/>
        <w:rPr>
          <w:rFonts w:ascii="Verdana" w:hAnsi="Verdana" w:cs="Arial"/>
          <w:color w:val="000000" w:themeColor="text1"/>
          <w:sz w:val="16"/>
          <w:szCs w:val="16"/>
          <w:lang w:val="es-ES"/>
        </w:rPr>
      </w:pPr>
    </w:p>
  </w:footnote>
  <w:footnote w:id="8">
    <w:p w14:paraId="3D6A85B0" w14:textId="77777777" w:rsidR="004C0691" w:rsidRDefault="004C0691" w:rsidP="004C0691">
      <w:pPr>
        <w:pStyle w:val="Textonotapie"/>
        <w:ind w:firstLine="709"/>
        <w:contextualSpacing/>
        <w:jc w:val="both"/>
        <w:rPr>
          <w:rFonts w:ascii="Verdana" w:hAnsi="Verdana" w:cs="Arial"/>
          <w:color w:val="000000" w:themeColor="text1"/>
          <w:sz w:val="16"/>
          <w:szCs w:val="16"/>
        </w:rPr>
      </w:pPr>
      <w:r w:rsidRPr="00C02094">
        <w:rPr>
          <w:rStyle w:val="Refdenotaalpie"/>
          <w:rFonts w:ascii="Verdana" w:hAnsi="Verdana" w:cs="Arial"/>
          <w:color w:val="000000" w:themeColor="text1"/>
          <w:sz w:val="16"/>
          <w:szCs w:val="16"/>
        </w:rPr>
        <w:footnoteRef/>
      </w:r>
      <w:r w:rsidRPr="00C02094">
        <w:rPr>
          <w:rFonts w:ascii="Verdana" w:hAnsi="Verdana" w:cs="Arial"/>
          <w:color w:val="000000" w:themeColor="text1"/>
          <w:sz w:val="16"/>
          <w:szCs w:val="16"/>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Parágrafo primero. La definición de emprendimientos y empresas de mujeres se reglamentará por el gobierno nacional”.</w:t>
      </w:r>
    </w:p>
    <w:p w14:paraId="79C29FEE" w14:textId="77777777" w:rsidR="000C2D8B" w:rsidRPr="00C02094" w:rsidRDefault="000C2D8B" w:rsidP="004C0691">
      <w:pPr>
        <w:pStyle w:val="Textonotapie"/>
        <w:ind w:firstLine="709"/>
        <w:contextualSpacing/>
        <w:jc w:val="both"/>
        <w:rPr>
          <w:rFonts w:ascii="Verdana" w:hAnsi="Verdana" w:cs="Arial"/>
          <w:color w:val="000000" w:themeColor="text1"/>
          <w:sz w:val="16"/>
          <w:szCs w:val="16"/>
        </w:rPr>
      </w:pPr>
    </w:p>
  </w:footnote>
  <w:footnote w:id="9">
    <w:p w14:paraId="3A9774AC" w14:textId="77777777" w:rsidR="004C0691" w:rsidRDefault="004C0691" w:rsidP="004C0691">
      <w:pPr>
        <w:pStyle w:val="Textonotapie"/>
        <w:ind w:firstLine="708"/>
        <w:contextualSpacing/>
        <w:rPr>
          <w:rFonts w:ascii="Verdana" w:hAnsi="Verdana"/>
          <w:sz w:val="16"/>
          <w:szCs w:val="16"/>
          <w:lang w:val="es-CO"/>
        </w:rPr>
      </w:pPr>
      <w:r w:rsidRPr="00C02094">
        <w:rPr>
          <w:rStyle w:val="Refdenotaalpie"/>
          <w:rFonts w:ascii="Verdana" w:hAnsi="Verdana"/>
          <w:sz w:val="16"/>
          <w:szCs w:val="16"/>
        </w:rPr>
        <w:footnoteRef/>
      </w:r>
      <w:r w:rsidRPr="00C02094">
        <w:rPr>
          <w:rFonts w:ascii="Verdana" w:hAnsi="Verdana"/>
          <w:sz w:val="16"/>
          <w:szCs w:val="16"/>
        </w:rPr>
        <w:t xml:space="preserve"> Superintendencia de Sociedades. </w:t>
      </w:r>
      <w:r w:rsidRPr="00C02094">
        <w:rPr>
          <w:rFonts w:ascii="Verdana" w:hAnsi="Verdana"/>
          <w:sz w:val="16"/>
          <w:szCs w:val="16"/>
          <w:lang w:val="es-CO"/>
        </w:rPr>
        <w:t xml:space="preserve">Guía Práctica Régimen de Matrices y Subordinadas. Disponible en: </w:t>
      </w:r>
      <w:hyperlink r:id="rId2" w:history="1">
        <w:r w:rsidRPr="00C02094">
          <w:rPr>
            <w:rStyle w:val="Hipervnculo"/>
            <w:rFonts w:ascii="Verdana" w:hAnsi="Verdana"/>
            <w:sz w:val="16"/>
            <w:szCs w:val="16"/>
            <w:lang w:val="es-CO"/>
          </w:rPr>
          <w:t>https://www.supersociedades.gov.co/documents/20122/1229078/Guia-Practica-Regimen-Matrices-y-Subordinadas.pdf/6c4a9d36-224c-e72e-8bb5-eec20d380f4a?t=1654295200749</w:t>
        </w:r>
      </w:hyperlink>
      <w:r w:rsidRPr="00C02094">
        <w:rPr>
          <w:rFonts w:ascii="Verdana" w:hAnsi="Verdana"/>
          <w:sz w:val="16"/>
          <w:szCs w:val="16"/>
          <w:lang w:val="es-CO"/>
        </w:rPr>
        <w:t xml:space="preserve"> </w:t>
      </w:r>
    </w:p>
    <w:p w14:paraId="1C6D8519" w14:textId="77777777" w:rsidR="000C2D8B" w:rsidRPr="00C02094" w:rsidRDefault="000C2D8B" w:rsidP="004C0691">
      <w:pPr>
        <w:pStyle w:val="Textonotapie"/>
        <w:ind w:firstLine="708"/>
        <w:contextualSpacing/>
        <w:rPr>
          <w:rFonts w:ascii="Verdana" w:hAnsi="Verdana"/>
          <w:sz w:val="16"/>
          <w:szCs w:val="16"/>
        </w:rPr>
      </w:pPr>
    </w:p>
  </w:footnote>
  <w:footnote w:id="10">
    <w:p w14:paraId="5F63CC1D" w14:textId="77777777" w:rsidR="004C0691" w:rsidRPr="00C02094" w:rsidRDefault="004C0691" w:rsidP="004C0691">
      <w:pPr>
        <w:pStyle w:val="Textonotapie"/>
        <w:ind w:firstLine="708"/>
        <w:contextualSpacing/>
        <w:rPr>
          <w:rFonts w:ascii="Verdana" w:hAnsi="Verdana"/>
          <w:sz w:val="16"/>
          <w:szCs w:val="16"/>
        </w:rPr>
      </w:pPr>
      <w:r w:rsidRPr="00C02094">
        <w:rPr>
          <w:rStyle w:val="Refdenotaalpie"/>
          <w:rFonts w:ascii="Verdana" w:hAnsi="Verdana"/>
          <w:sz w:val="16"/>
          <w:szCs w:val="16"/>
        </w:rPr>
        <w:footnoteRef/>
      </w:r>
      <w:r w:rsidRPr="00C02094">
        <w:rPr>
          <w:rFonts w:ascii="Verdana" w:hAnsi="Verdana"/>
          <w:sz w:val="16"/>
          <w:szCs w:val="16"/>
        </w:rPr>
        <w:t xml:space="preserve">Ibidem.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25pt;height:11.25pt" o:bullet="t">
        <v:imagedata r:id="rId1" o:title="mso1B13"/>
      </v:shape>
    </w:pict>
  </w:numPicBullet>
  <w:abstractNum w:abstractNumId="0" w15:restartNumberingAfterBreak="0">
    <w:nsid w:val="01C06310"/>
    <w:multiLevelType w:val="multilevel"/>
    <w:tmpl w:val="F48E76D0"/>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CF64647"/>
    <w:multiLevelType w:val="hybridMultilevel"/>
    <w:tmpl w:val="A08208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2362711"/>
    <w:multiLevelType w:val="hybridMultilevel"/>
    <w:tmpl w:val="ECE6E2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6076C83"/>
    <w:multiLevelType w:val="hybridMultilevel"/>
    <w:tmpl w:val="6C6A9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7"/>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1"/>
  </w:num>
  <w:num w:numId="13" w16cid:durableId="1512908409">
    <w:abstractNumId w:val="5"/>
  </w:num>
  <w:num w:numId="14" w16cid:durableId="895897244">
    <w:abstractNumId w:val="16"/>
  </w:num>
  <w:num w:numId="15" w16cid:durableId="390349800">
    <w:abstractNumId w:val="11"/>
  </w:num>
  <w:num w:numId="16" w16cid:durableId="1330140246">
    <w:abstractNumId w:val="0"/>
  </w:num>
  <w:num w:numId="17" w16cid:durableId="66273114">
    <w:abstractNumId w:val="4"/>
  </w:num>
  <w:num w:numId="18" w16cid:durableId="258559934">
    <w:abstractNumId w:val="12"/>
  </w:num>
  <w:num w:numId="19" w16cid:durableId="2139764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C2D8B"/>
    <w:rsid w:val="000D0334"/>
    <w:rsid w:val="000F6486"/>
    <w:rsid w:val="001062C7"/>
    <w:rsid w:val="00125105"/>
    <w:rsid w:val="00127233"/>
    <w:rsid w:val="0015686B"/>
    <w:rsid w:val="001B5D67"/>
    <w:rsid w:val="001E4177"/>
    <w:rsid w:val="001F7DC6"/>
    <w:rsid w:val="002229FD"/>
    <w:rsid w:val="002421BB"/>
    <w:rsid w:val="002512E6"/>
    <w:rsid w:val="0025796E"/>
    <w:rsid w:val="00265FF1"/>
    <w:rsid w:val="002707A2"/>
    <w:rsid w:val="00270F25"/>
    <w:rsid w:val="002915F7"/>
    <w:rsid w:val="002951A0"/>
    <w:rsid w:val="002962BC"/>
    <w:rsid w:val="002A093D"/>
    <w:rsid w:val="002A0DD0"/>
    <w:rsid w:val="002A49AC"/>
    <w:rsid w:val="002A64FD"/>
    <w:rsid w:val="002C7A84"/>
    <w:rsid w:val="002D7ACD"/>
    <w:rsid w:val="002E4FD9"/>
    <w:rsid w:val="00301B02"/>
    <w:rsid w:val="003202B0"/>
    <w:rsid w:val="00322A85"/>
    <w:rsid w:val="00324168"/>
    <w:rsid w:val="003448F4"/>
    <w:rsid w:val="00354270"/>
    <w:rsid w:val="003549C7"/>
    <w:rsid w:val="003604CA"/>
    <w:rsid w:val="00374F5E"/>
    <w:rsid w:val="00377E3E"/>
    <w:rsid w:val="003A26D1"/>
    <w:rsid w:val="003A779E"/>
    <w:rsid w:val="003D0F4D"/>
    <w:rsid w:val="003D5B0D"/>
    <w:rsid w:val="003E0499"/>
    <w:rsid w:val="003E0D5B"/>
    <w:rsid w:val="003F3941"/>
    <w:rsid w:val="00406575"/>
    <w:rsid w:val="00423F75"/>
    <w:rsid w:val="0042722E"/>
    <w:rsid w:val="0044528D"/>
    <w:rsid w:val="00473468"/>
    <w:rsid w:val="00474475"/>
    <w:rsid w:val="004A1847"/>
    <w:rsid w:val="004A305D"/>
    <w:rsid w:val="004C0691"/>
    <w:rsid w:val="004C1444"/>
    <w:rsid w:val="004F21C4"/>
    <w:rsid w:val="004F685F"/>
    <w:rsid w:val="005025B5"/>
    <w:rsid w:val="00536F5E"/>
    <w:rsid w:val="005566E8"/>
    <w:rsid w:val="00574867"/>
    <w:rsid w:val="00591460"/>
    <w:rsid w:val="00592628"/>
    <w:rsid w:val="005C3777"/>
    <w:rsid w:val="005C5CDC"/>
    <w:rsid w:val="005D476C"/>
    <w:rsid w:val="00610812"/>
    <w:rsid w:val="006219F8"/>
    <w:rsid w:val="00643635"/>
    <w:rsid w:val="00650FF7"/>
    <w:rsid w:val="00665D70"/>
    <w:rsid w:val="00671DAC"/>
    <w:rsid w:val="00677740"/>
    <w:rsid w:val="006900D9"/>
    <w:rsid w:val="006C452C"/>
    <w:rsid w:val="006D12F8"/>
    <w:rsid w:val="006E2954"/>
    <w:rsid w:val="006F40EE"/>
    <w:rsid w:val="00706C16"/>
    <w:rsid w:val="0071428C"/>
    <w:rsid w:val="00722C90"/>
    <w:rsid w:val="00756841"/>
    <w:rsid w:val="007649AB"/>
    <w:rsid w:val="00771D0C"/>
    <w:rsid w:val="00775DA5"/>
    <w:rsid w:val="007833AC"/>
    <w:rsid w:val="007923A5"/>
    <w:rsid w:val="00795C9F"/>
    <w:rsid w:val="007B268C"/>
    <w:rsid w:val="007B7171"/>
    <w:rsid w:val="007C0C0F"/>
    <w:rsid w:val="007C3DC2"/>
    <w:rsid w:val="007D038D"/>
    <w:rsid w:val="007E5497"/>
    <w:rsid w:val="00806F5F"/>
    <w:rsid w:val="00811C35"/>
    <w:rsid w:val="00820278"/>
    <w:rsid w:val="008843B6"/>
    <w:rsid w:val="00891928"/>
    <w:rsid w:val="008A446D"/>
    <w:rsid w:val="008D180B"/>
    <w:rsid w:val="008F0EA7"/>
    <w:rsid w:val="00923EEF"/>
    <w:rsid w:val="009419F9"/>
    <w:rsid w:val="0095685E"/>
    <w:rsid w:val="00961B09"/>
    <w:rsid w:val="00965334"/>
    <w:rsid w:val="0097093E"/>
    <w:rsid w:val="009A0DFA"/>
    <w:rsid w:val="009A7D9F"/>
    <w:rsid w:val="009B2D26"/>
    <w:rsid w:val="009C19C8"/>
    <w:rsid w:val="009C71FA"/>
    <w:rsid w:val="009C72E7"/>
    <w:rsid w:val="009D3058"/>
    <w:rsid w:val="009F3A13"/>
    <w:rsid w:val="00A122D3"/>
    <w:rsid w:val="00A17F13"/>
    <w:rsid w:val="00A20739"/>
    <w:rsid w:val="00A24957"/>
    <w:rsid w:val="00A33C78"/>
    <w:rsid w:val="00A4771A"/>
    <w:rsid w:val="00A6168A"/>
    <w:rsid w:val="00A97925"/>
    <w:rsid w:val="00AB0ADB"/>
    <w:rsid w:val="00AC0CA2"/>
    <w:rsid w:val="00B01B1A"/>
    <w:rsid w:val="00B2670E"/>
    <w:rsid w:val="00B41186"/>
    <w:rsid w:val="00B72CD3"/>
    <w:rsid w:val="00B72FFF"/>
    <w:rsid w:val="00B9402C"/>
    <w:rsid w:val="00BC3155"/>
    <w:rsid w:val="00BC3D36"/>
    <w:rsid w:val="00BC56AD"/>
    <w:rsid w:val="00BD7F72"/>
    <w:rsid w:val="00C04FB3"/>
    <w:rsid w:val="00C330EB"/>
    <w:rsid w:val="00C37A4F"/>
    <w:rsid w:val="00C47B6C"/>
    <w:rsid w:val="00C538A4"/>
    <w:rsid w:val="00C754BE"/>
    <w:rsid w:val="00C76B1C"/>
    <w:rsid w:val="00CB6357"/>
    <w:rsid w:val="00CC1B26"/>
    <w:rsid w:val="00CD14D0"/>
    <w:rsid w:val="00CD5441"/>
    <w:rsid w:val="00CE2E2F"/>
    <w:rsid w:val="00D423A2"/>
    <w:rsid w:val="00D46D35"/>
    <w:rsid w:val="00D520D8"/>
    <w:rsid w:val="00D63AC2"/>
    <w:rsid w:val="00D7383B"/>
    <w:rsid w:val="00DA231B"/>
    <w:rsid w:val="00DA23A0"/>
    <w:rsid w:val="00DC39FC"/>
    <w:rsid w:val="00DF5254"/>
    <w:rsid w:val="00E10985"/>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664F"/>
    <w:rsid w:val="00F666C4"/>
    <w:rsid w:val="00F76AFC"/>
    <w:rsid w:val="00FA07B5"/>
    <w:rsid w:val="00FA47C0"/>
    <w:rsid w:val="00FB5DD1"/>
    <w:rsid w:val="00FC2B5D"/>
    <w:rsid w:val="00FF1449"/>
    <w:rsid w:val="5CEADB7B"/>
    <w:rsid w:val="78528F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F4E8639C-433A-4CAD-907B-C4B82BB1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4C0691"/>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C0691"/>
    <w:rPr>
      <w:rFonts w:ascii="Geomanist Light" w:hAnsi="Geomanist Light"/>
      <w:lang w:val="es-ES"/>
    </w:rPr>
  </w:style>
  <w:style w:type="character" w:customStyle="1" w:styleId="Hipervnculo1">
    <w:name w:val="Hipervínculo1"/>
    <w:basedOn w:val="Fuentedeprrafopredeter"/>
    <w:uiPriority w:val="99"/>
    <w:unhideWhenUsed/>
    <w:rsid w:val="004C0691"/>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sucop.gov.co%2Fentidades%2Fcolombiacompra%2FNormativa%3FIDNorma%3D17363&amp;data=05%7C02%7Cdiana.saavedra%40colombiacompra.gov.co%7C5aad36a736844ec87b2108dcc1fa4639%7C7b09041e245149d08cb179d5e3d8c1be%7C0%7C0%7C638598527919420052%7CUnknown%7CTWFpbGZsb3d8eyJWIjoiMC4wLjAwMDAiLCJQIjoiV2luMzIiLCJBTiI6Ik1haWwiLCJXVCI6Mn0%3D%7C0%7C%7C%7C&amp;sdata=lT1BXAfzktrCvXgnEvwjkmKzSdEPzZQPVjh76XtinQw%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ites%2Fcce_public%2Ffiles%2Ffiles_2020%2Fboletin_de_realtoria_iii.pdf&amp;data=05%7C02%7Cdiana.saavedra%40colombiacompra.gov.co%7C5aad36a736844ec87b2108dcc1fa4639%7C7b09041e245149d08cb179d5e3d8c1be%7C0%7C0%7C638598527919402581%7CUnknown%7CTWFpbGZsb3d8eyJWIjoiMC4wLjAwMDAiLCJQIjoiV2luMzIiLCJBTiI6Ik1haWwiLCJXVCI6Mn0%3D%7C0%7C%7C%7C&amp;sdata=BZILiaeV6pxeIU4Au6MiDpHHdo%2F8ahiTHLAWqSylEg8%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relatoria.colombiacompra.gov.co%2F&amp;data=05%7C02%7Cdiana.saavedra%40colombiacompra.gov.co%7C5aad36a736844ec87b2108dcc1fa4639%7C7b09041e245149d08cb179d5e3d8c1be%7C0%7C0%7C638598527919381538%7CUnknown%7CTWFpbGZsb3d8eyJWIjoiMC4wLjAwMDAiLCJQIjoiV2luMzIiLCJBTiI6Ik1haWwiLCJXVCI6Mn0%3D%7C0%7C%7C%7C&amp;sdata=SERqhYSkJwg8ErCStGLk4AEF5F37T6rV9QxmABE7T84%3D&amp;reserved=0"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convocatorias&amp;data=05%7C02%7Cdiana.saavedra%40colombiacompra.gov.co%7C5aad36a736844ec87b2108dcc1fa4639%7C7b09041e245149d08cb179d5e3d8c1be%7C0%7C0%7C638598527919437775%7CUnknown%7CTWFpbGZsb3d8eyJWIjoiMC4wLjAwMDAiLCJQIjoiV2luMzIiLCJBTiI6Ik1haWwiLCJXVCI6Mn0%3D%7C0%7C%7C%7C&amp;sdata=5F4DKBMEurgclHpynNYDpoZPUmSTEZqPsTnUZQrdqTc%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upersociedades.gov.co/documents/20122/1229078/Guia-Practica-Regimen-Matrices-y-Subordinadas.pdf/6c4a9d36-224c-e72e-8bb5-eec20d380f4a?t=1654295200749" TargetMode="External"/><Relationship Id="rId1" Type="http://schemas.openxmlformats.org/officeDocument/2006/relationships/hyperlink" Target="http://leyes.senado.gov.co/proyectos/index.php/textos-radicados-senado/p-ley-2020-2021/1957-proyecto-de-ley-161-de-20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22473E04-F91F-4AB8-9E4E-0CEF1A36E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4931</Words>
  <Characters>27126</Characters>
  <Application>Microsoft Office Word</Application>
  <DocSecurity>0</DocSecurity>
  <Lines>226</Lines>
  <Paragraphs>63</Paragraphs>
  <ScaleCrop>false</ScaleCrop>
  <Company/>
  <LinksUpToDate>false</LinksUpToDate>
  <CharactersWithSpaces>31994</CharactersWithSpaces>
  <SharedDoc>false</SharedDoc>
  <HLinks>
    <vt:vector size="36" baseType="variant">
      <vt:variant>
        <vt:i4>3407924</vt:i4>
      </vt:variant>
      <vt:variant>
        <vt:i4>9</vt:i4>
      </vt:variant>
      <vt:variant>
        <vt:i4>0</vt:i4>
      </vt:variant>
      <vt:variant>
        <vt:i4>5</vt:i4>
      </vt:variant>
      <vt:variant>
        <vt:lpwstr>https://nam02.safelinks.protection.outlook.com/?url=https%3A%2F%2Fwww.colombiacompra.gov.co%2Fcontent%2Fconvocatorias&amp;data=05%7C02%7Cdiana.saavedra%40colombiacompra.gov.co%7C5aad36a736844ec87b2108dcc1fa4639%7C7b09041e245149d08cb179d5e3d8c1be%7C0%7C0%7C638598527919437775%7CUnknown%7CTWFpbGZsb3d8eyJWIjoiMC4wLjAwMDAiLCJQIjoiV2luMzIiLCJBTiI6Ik1haWwiLCJXVCI6Mn0%3D%7C0%7C%7C%7C&amp;sdata=5F4DKBMEurgclHpynNYDpoZPUmSTEZqPsTnUZQrdqTc%3D&amp;reserved=0</vt:lpwstr>
      </vt:variant>
      <vt:variant>
        <vt:lpwstr/>
      </vt:variant>
      <vt:variant>
        <vt:i4>7012469</vt:i4>
      </vt:variant>
      <vt:variant>
        <vt:i4>6</vt:i4>
      </vt:variant>
      <vt:variant>
        <vt:i4>0</vt:i4>
      </vt:variant>
      <vt:variant>
        <vt:i4>5</vt:i4>
      </vt:variant>
      <vt:variant>
        <vt:lpwstr>https://nam02.safelinks.protection.outlook.com/?url=https%3A%2F%2Fwww.sucop.gov.co%2Fentidades%2Fcolombiacompra%2FNormativa%3FIDNorma%3D17363&amp;data=05%7C02%7Cdiana.saavedra%40colombiacompra.gov.co%7C5aad36a736844ec87b2108dcc1fa4639%7C7b09041e245149d08cb179d5e3d8c1be%7C0%7C0%7C638598527919420052%7CUnknown%7CTWFpbGZsb3d8eyJWIjoiMC4wLjAwMDAiLCJQIjoiV2luMzIiLCJBTiI6Ik1haWwiLCJXVCI6Mn0%3D%7C0%7C%7C%7C&amp;sdata=lT1BXAfzktrCvXgnEvwjkmKzSdEPzZQPVjh76XtinQw%3D&amp;reserved=0</vt:lpwstr>
      </vt:variant>
      <vt:variant>
        <vt:lpwstr/>
      </vt:variant>
      <vt:variant>
        <vt:i4>2752605</vt:i4>
      </vt:variant>
      <vt:variant>
        <vt:i4>3</vt:i4>
      </vt:variant>
      <vt:variant>
        <vt:i4>0</vt:i4>
      </vt:variant>
      <vt:variant>
        <vt:i4>5</vt:i4>
      </vt:variant>
      <vt:variant>
        <vt:lpwstr>https://nam02.safelinks.protection.outlook.com/?url=https%3A%2F%2Fwww.colombiacompra.gov.co%2Fsites%2Fcce_public%2Ffiles%2Ffiles_2020%2Fboletin_de_realtoria_iii.pdf&amp;data=05%7C02%7Cdiana.saavedra%40colombiacompra.gov.co%7C5aad36a736844ec87b2108dcc1fa4639%7C7b09041e245149d08cb179d5e3d8c1be%7C0%7C0%7C638598527919402581%7CUnknown%7CTWFpbGZsb3d8eyJWIjoiMC4wLjAwMDAiLCJQIjoiV2luMzIiLCJBTiI6Ik1haWwiLCJXVCI6Mn0%3D%7C0%7C%7C%7C&amp;sdata=BZILiaeV6pxeIU4Au6MiDpHHdo%2F8ahiTHLAWqSylEg8%3D&amp;reserved=0</vt:lpwstr>
      </vt:variant>
      <vt:variant>
        <vt:lpwstr/>
      </vt:variant>
      <vt:variant>
        <vt:i4>7143486</vt:i4>
      </vt:variant>
      <vt:variant>
        <vt:i4>0</vt:i4>
      </vt:variant>
      <vt:variant>
        <vt:i4>0</vt:i4>
      </vt:variant>
      <vt:variant>
        <vt:i4>5</vt:i4>
      </vt:variant>
      <vt:variant>
        <vt:lpwstr>https://nam02.safelinks.protection.outlook.com/?url=https%3A%2F%2Frelatoria.colombiacompra.gov.co%2F&amp;data=05%7C02%7Cdiana.saavedra%40colombiacompra.gov.co%7C5aad36a736844ec87b2108dcc1fa4639%7C7b09041e245149d08cb179d5e3d8c1be%7C0%7C0%7C638598527919381538%7CUnknown%7CTWFpbGZsb3d8eyJWIjoiMC4wLjAwMDAiLCJQIjoiV2luMzIiLCJBTiI6Ik1haWwiLCJXVCI6Mn0%3D%7C0%7C%7C%7C&amp;sdata=SERqhYSkJwg8ErCStGLk4AEF5F37T6rV9QxmABE7T84%3D&amp;reserved=0</vt:lpwstr>
      </vt:variant>
      <vt:variant>
        <vt:lpwstr/>
      </vt:variant>
      <vt:variant>
        <vt:i4>1769551</vt:i4>
      </vt:variant>
      <vt:variant>
        <vt:i4>3</vt:i4>
      </vt:variant>
      <vt:variant>
        <vt:i4>0</vt:i4>
      </vt:variant>
      <vt:variant>
        <vt:i4>5</vt:i4>
      </vt:variant>
      <vt:variant>
        <vt:lpwstr>https://www.supersociedades.gov.co/documents/20122/1229078/Guia-Practica-Regimen-Matrices-y-Subordinadas.pdf/6c4a9d36-224c-e72e-8bb5-eec20d380f4a?t=1654295200749</vt:lpwstr>
      </vt:variant>
      <vt:variant>
        <vt:lpwstr/>
      </vt:variant>
      <vt:variant>
        <vt:i4>2752611</vt:i4>
      </vt:variant>
      <vt:variant>
        <vt:i4>0</vt:i4>
      </vt:variant>
      <vt:variant>
        <vt:i4>0</vt:i4>
      </vt:variant>
      <vt:variant>
        <vt:i4>5</vt:i4>
      </vt:variant>
      <vt:variant>
        <vt:lpwstr>http://leyes.senado.gov.co/proyectos/index.php/textos-radicados-senado/p-ley-2020-2021/1957-proyecto-de-ley-161-de-2020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4</cp:revision>
  <cp:lastPrinted>2023-01-11T00:18:00Z</cp:lastPrinted>
  <dcterms:created xsi:type="dcterms:W3CDTF">2024-08-26T23:17:00Z</dcterms:created>
  <dcterms:modified xsi:type="dcterms:W3CDTF">2024-08-29T16:24:00Z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