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E08A" w14:textId="5CAD81B8" w:rsidR="00DE161F" w:rsidRPr="00B35714" w:rsidRDefault="00DE161F" w:rsidP="1747814D">
      <w:pPr>
        <w:spacing w:after="0" w:line="276" w:lineRule="auto"/>
        <w:contextualSpacing/>
        <w:rPr>
          <w:rFonts w:ascii="Verdana" w:eastAsia="Century Gothic" w:hAnsi="Verdana" w:cs="Century Gothic"/>
          <w:b/>
          <w:bCs/>
          <w:sz w:val="21"/>
          <w:szCs w:val="21"/>
        </w:rPr>
      </w:pPr>
      <w:bookmarkStart w:id="0" w:name="_Hlk172124853"/>
      <w:r w:rsidRPr="1747814D">
        <w:rPr>
          <w:rFonts w:ascii="Verdana" w:eastAsia="Century Gothic" w:hAnsi="Verdana" w:cs="Century Gothic"/>
          <w:b/>
          <w:bCs/>
          <w:sz w:val="21"/>
          <w:szCs w:val="21"/>
        </w:rPr>
        <w:t>REQUISITOS HABILITANTES – Noción</w:t>
      </w:r>
    </w:p>
    <w:p w14:paraId="1043CE93" w14:textId="77777777" w:rsidR="00DE161F" w:rsidRPr="00B35714" w:rsidRDefault="00DE161F" w:rsidP="00DE161F">
      <w:pPr>
        <w:spacing w:after="0" w:line="276" w:lineRule="auto"/>
        <w:contextualSpacing/>
        <w:rPr>
          <w:rFonts w:ascii="Verdana" w:eastAsia="Century Gothic" w:hAnsi="Verdana" w:cs="Century Gothic"/>
          <w:sz w:val="21"/>
          <w:szCs w:val="21"/>
        </w:rPr>
      </w:pPr>
      <w:r w:rsidRPr="00B35714">
        <w:rPr>
          <w:rFonts w:ascii="Verdana" w:eastAsia="Century Gothic" w:hAnsi="Verdana" w:cs="Century Gothic"/>
          <w:sz w:val="21"/>
          <w:szCs w:val="21"/>
        </w:rPr>
        <w:t xml:space="preserve"> </w:t>
      </w:r>
    </w:p>
    <w:p w14:paraId="145898F9" w14:textId="77777777" w:rsidR="00DE161F" w:rsidRPr="00B35714" w:rsidRDefault="00DE161F" w:rsidP="00DE161F">
      <w:pPr>
        <w:spacing w:after="0" w:line="276" w:lineRule="auto"/>
        <w:contextualSpacing/>
        <w:jc w:val="both"/>
        <w:rPr>
          <w:rFonts w:ascii="Verdana" w:eastAsia="Century Gothic" w:hAnsi="Verdana" w:cs="Century Gothic"/>
          <w:sz w:val="21"/>
          <w:szCs w:val="21"/>
          <w:lang w:val="es"/>
        </w:rPr>
      </w:pPr>
      <w:r w:rsidRPr="00B35714">
        <w:rPr>
          <w:rFonts w:ascii="Verdana" w:eastAsia="Century Gothic" w:hAnsi="Verdana" w:cs="Century Gothic"/>
          <w:sz w:val="21"/>
          <w:szCs w:val="21"/>
          <w:lang w:val="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25F14B72" w14:textId="77777777" w:rsidR="00DE161F" w:rsidRPr="00B35714" w:rsidRDefault="00DE161F" w:rsidP="00DE161F">
      <w:pPr>
        <w:spacing w:after="0" w:line="276" w:lineRule="auto"/>
        <w:contextualSpacing/>
        <w:jc w:val="both"/>
        <w:rPr>
          <w:rFonts w:ascii="Verdana" w:eastAsia="Century Gothic" w:hAnsi="Verdana" w:cs="Century Gothic"/>
          <w:sz w:val="21"/>
          <w:szCs w:val="21"/>
          <w:lang w:val="es"/>
        </w:rPr>
      </w:pPr>
      <w:r w:rsidRPr="00B35714">
        <w:rPr>
          <w:rFonts w:ascii="Verdana" w:eastAsia="Century Gothic" w:hAnsi="Verdana" w:cs="Century Gothic"/>
          <w:sz w:val="21"/>
          <w:szCs w:val="21"/>
          <w:lang w:val="es"/>
        </w:rPr>
        <w:t xml:space="preserve"> </w:t>
      </w:r>
    </w:p>
    <w:p w14:paraId="34E816BA" w14:textId="77777777" w:rsidR="00DE161F" w:rsidRPr="00B35714" w:rsidRDefault="00DE161F" w:rsidP="1747814D">
      <w:pPr>
        <w:spacing w:after="0" w:line="276" w:lineRule="auto"/>
        <w:contextualSpacing/>
        <w:jc w:val="both"/>
        <w:rPr>
          <w:rFonts w:ascii="Verdana" w:eastAsia="Century Gothic" w:hAnsi="Verdana" w:cs="Century Gothic"/>
          <w:sz w:val="21"/>
          <w:szCs w:val="21"/>
          <w:lang w:val="es-ES"/>
        </w:rPr>
      </w:pPr>
      <w:r w:rsidRPr="1747814D">
        <w:rPr>
          <w:rFonts w:ascii="Verdana" w:eastAsia="Century Gothic" w:hAnsi="Verdana" w:cs="Century Gothic"/>
          <w:sz w:val="21"/>
          <w:szCs w:val="21"/>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46BCADE5" w14:textId="77777777" w:rsidR="00DE161F" w:rsidRPr="00B35714" w:rsidRDefault="00DE161F" w:rsidP="00DE161F">
      <w:pPr>
        <w:spacing w:after="0" w:line="276" w:lineRule="auto"/>
        <w:contextualSpacing/>
        <w:jc w:val="both"/>
        <w:rPr>
          <w:rFonts w:ascii="Verdana" w:eastAsia="Century Gothic" w:hAnsi="Verdana" w:cs="Century Gothic"/>
          <w:b/>
          <w:bCs/>
          <w:sz w:val="21"/>
          <w:szCs w:val="21"/>
        </w:rPr>
      </w:pPr>
      <w:r w:rsidRPr="00B35714">
        <w:rPr>
          <w:rFonts w:ascii="Verdana" w:eastAsia="Century Gothic" w:hAnsi="Verdana" w:cs="Century Gothic"/>
          <w:b/>
          <w:bCs/>
          <w:sz w:val="21"/>
          <w:szCs w:val="21"/>
        </w:rPr>
        <w:t xml:space="preserve"> </w:t>
      </w:r>
    </w:p>
    <w:p w14:paraId="4F67F93D" w14:textId="77777777" w:rsidR="00DE161F" w:rsidRPr="00B35714" w:rsidRDefault="00DE161F" w:rsidP="00DE161F">
      <w:pPr>
        <w:spacing w:after="0" w:line="276" w:lineRule="auto"/>
        <w:contextualSpacing/>
        <w:jc w:val="both"/>
        <w:rPr>
          <w:rFonts w:ascii="Verdana" w:eastAsia="Century Gothic" w:hAnsi="Verdana" w:cs="Century Gothic"/>
          <w:b/>
          <w:bCs/>
          <w:sz w:val="21"/>
          <w:szCs w:val="21"/>
        </w:rPr>
      </w:pPr>
      <w:r w:rsidRPr="00B35714">
        <w:rPr>
          <w:rFonts w:ascii="Verdana" w:eastAsia="Century Gothic" w:hAnsi="Verdana" w:cs="Century Gothic"/>
          <w:b/>
          <w:bCs/>
          <w:sz w:val="21"/>
          <w:szCs w:val="21"/>
        </w:rPr>
        <w:t>REQUISITOS HABILITANTES – Autonomía</w:t>
      </w:r>
    </w:p>
    <w:p w14:paraId="62D18B33" w14:textId="77777777" w:rsidR="00DE161F" w:rsidRPr="00B35714" w:rsidRDefault="00DE161F" w:rsidP="00DE161F">
      <w:pPr>
        <w:spacing w:after="0" w:line="276" w:lineRule="auto"/>
        <w:contextualSpacing/>
        <w:jc w:val="both"/>
        <w:rPr>
          <w:rFonts w:ascii="Verdana" w:eastAsia="Century Gothic" w:hAnsi="Verdana" w:cs="Century Gothic"/>
          <w:b/>
          <w:bCs/>
          <w:sz w:val="21"/>
          <w:szCs w:val="21"/>
        </w:rPr>
      </w:pPr>
      <w:r w:rsidRPr="00B35714">
        <w:rPr>
          <w:rFonts w:ascii="Verdana" w:eastAsia="Century Gothic" w:hAnsi="Verdana" w:cs="Century Gothic"/>
          <w:b/>
          <w:bCs/>
          <w:sz w:val="21"/>
          <w:szCs w:val="21"/>
        </w:rPr>
        <w:t xml:space="preserve"> </w:t>
      </w:r>
    </w:p>
    <w:p w14:paraId="1BD60EE7" w14:textId="77777777" w:rsidR="00DE161F" w:rsidRPr="00B35714" w:rsidRDefault="00DE161F" w:rsidP="00DE161F">
      <w:pPr>
        <w:spacing w:after="0" w:line="276" w:lineRule="auto"/>
        <w:contextualSpacing/>
        <w:jc w:val="both"/>
        <w:rPr>
          <w:rFonts w:ascii="Verdana" w:eastAsia="Century Gothic" w:hAnsi="Verdana" w:cs="Century Gothic"/>
          <w:sz w:val="21"/>
          <w:szCs w:val="21"/>
        </w:rPr>
      </w:pPr>
      <w:r w:rsidRPr="00B35714">
        <w:rPr>
          <w:rFonts w:ascii="Verdana" w:eastAsia="Century Gothic" w:hAnsi="Verdana" w:cs="Century Gothic"/>
          <w:sz w:val="21"/>
          <w:szCs w:val="21"/>
        </w:rPr>
        <w:t xml:space="preserve">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 </w:t>
      </w:r>
    </w:p>
    <w:p w14:paraId="7E06728E" w14:textId="77777777" w:rsidR="00DE161F" w:rsidRPr="00B35714" w:rsidRDefault="00DE161F" w:rsidP="00DE161F">
      <w:pPr>
        <w:spacing w:after="0" w:line="276" w:lineRule="auto"/>
        <w:contextualSpacing/>
        <w:jc w:val="both"/>
        <w:rPr>
          <w:rFonts w:ascii="Verdana" w:eastAsia="Century Gothic" w:hAnsi="Verdana" w:cs="Century Gothic"/>
          <w:sz w:val="21"/>
          <w:szCs w:val="21"/>
        </w:rPr>
      </w:pPr>
      <w:r w:rsidRPr="00B35714">
        <w:rPr>
          <w:rFonts w:ascii="Verdana" w:eastAsia="Century Gothic" w:hAnsi="Verdana" w:cs="Century Gothic"/>
          <w:sz w:val="21"/>
          <w:szCs w:val="21"/>
        </w:rPr>
        <w:t xml:space="preserve"> </w:t>
      </w:r>
    </w:p>
    <w:p w14:paraId="5865AC18" w14:textId="77777777" w:rsidR="00DE161F" w:rsidRPr="00B35714" w:rsidRDefault="00DE161F" w:rsidP="00DE161F">
      <w:pPr>
        <w:spacing w:after="0" w:line="276" w:lineRule="auto"/>
        <w:contextualSpacing/>
        <w:jc w:val="both"/>
        <w:rPr>
          <w:rFonts w:ascii="Verdana" w:eastAsia="Century Gothic" w:hAnsi="Verdana" w:cs="Century Gothic"/>
          <w:sz w:val="21"/>
          <w:szCs w:val="21"/>
        </w:rPr>
      </w:pPr>
      <w:r w:rsidRPr="00B35714">
        <w:rPr>
          <w:rFonts w:ascii="Verdana" w:eastAsia="Century Gothic" w:hAnsi="Verdana" w:cs="Century Gothic"/>
          <w:sz w:val="21"/>
          <w:szCs w:val="21"/>
        </w:rPr>
        <w:t xml:space="preserve">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w:t>
      </w:r>
      <w:r w:rsidRPr="00B35714">
        <w:rPr>
          <w:rFonts w:ascii="Verdana" w:eastAsia="Century Gothic" w:hAnsi="Verdana" w:cs="Century Gothic"/>
          <w:sz w:val="21"/>
          <w:szCs w:val="21"/>
        </w:rPr>
        <w:lastRenderedPageBreak/>
        <w:t>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w:t>
      </w:r>
    </w:p>
    <w:p w14:paraId="4F87EDF5" w14:textId="77777777" w:rsidR="00DE161F" w:rsidRPr="00B35714" w:rsidRDefault="00DE161F" w:rsidP="00DE161F">
      <w:pPr>
        <w:spacing w:after="0" w:line="276" w:lineRule="auto"/>
        <w:contextualSpacing/>
        <w:jc w:val="both"/>
        <w:rPr>
          <w:rFonts w:ascii="Verdana" w:eastAsia="Century Gothic" w:hAnsi="Verdana" w:cs="Century Gothic"/>
          <w:sz w:val="21"/>
          <w:szCs w:val="21"/>
        </w:rPr>
      </w:pPr>
    </w:p>
    <w:p w14:paraId="2CC0B6A8" w14:textId="77777777" w:rsidR="00DE161F" w:rsidRPr="00B35714" w:rsidRDefault="00DE161F" w:rsidP="00DE161F">
      <w:pPr>
        <w:spacing w:after="0" w:line="276" w:lineRule="auto"/>
        <w:contextualSpacing/>
        <w:rPr>
          <w:rFonts w:ascii="Verdana" w:eastAsia="Century Gothic" w:hAnsi="Verdana" w:cs="Century Gothic"/>
          <w:b/>
          <w:bCs/>
        </w:rPr>
      </w:pPr>
    </w:p>
    <w:p w14:paraId="782C1F06" w14:textId="77777777" w:rsidR="00DE161F" w:rsidRPr="00B35714" w:rsidRDefault="00DE161F" w:rsidP="00DE161F">
      <w:pPr>
        <w:spacing w:after="0" w:line="276" w:lineRule="auto"/>
        <w:contextualSpacing/>
        <w:rPr>
          <w:rFonts w:ascii="Verdana" w:eastAsia="Century Gothic" w:hAnsi="Verdana" w:cs="Century Gothic"/>
          <w:b/>
          <w:bCs/>
        </w:rPr>
      </w:pPr>
    </w:p>
    <w:p w14:paraId="4FAF1AC5" w14:textId="77777777" w:rsidR="00DE161F" w:rsidRPr="00B35714" w:rsidRDefault="00DE161F" w:rsidP="00DE161F">
      <w:pPr>
        <w:spacing w:after="0" w:line="276" w:lineRule="auto"/>
        <w:contextualSpacing/>
        <w:rPr>
          <w:rFonts w:ascii="Verdana" w:eastAsia="Century Gothic" w:hAnsi="Verdana" w:cs="Century Gothic"/>
          <w:b/>
          <w:bCs/>
        </w:rPr>
      </w:pPr>
    </w:p>
    <w:p w14:paraId="0BA2DF7F" w14:textId="77777777" w:rsidR="00DE161F" w:rsidRPr="00B35714" w:rsidRDefault="00DE161F" w:rsidP="00DE161F">
      <w:pPr>
        <w:spacing w:after="0" w:line="276" w:lineRule="auto"/>
        <w:contextualSpacing/>
        <w:rPr>
          <w:rFonts w:ascii="Verdana" w:eastAsia="Century Gothic" w:hAnsi="Verdana" w:cs="Century Gothic"/>
          <w:b/>
          <w:bCs/>
        </w:rPr>
      </w:pPr>
    </w:p>
    <w:p w14:paraId="0264BC25" w14:textId="77777777" w:rsidR="00DE161F" w:rsidRPr="00B35714" w:rsidRDefault="00DE161F" w:rsidP="00DE161F">
      <w:pPr>
        <w:spacing w:after="0" w:line="276" w:lineRule="auto"/>
        <w:contextualSpacing/>
        <w:rPr>
          <w:rFonts w:ascii="Verdana" w:eastAsia="Century Gothic" w:hAnsi="Verdana" w:cs="Century Gothic"/>
          <w:b/>
          <w:bCs/>
        </w:rPr>
      </w:pPr>
    </w:p>
    <w:p w14:paraId="6D9282F9" w14:textId="77777777" w:rsidR="00DE161F" w:rsidRPr="00B35714" w:rsidRDefault="00DE161F" w:rsidP="00DE161F">
      <w:pPr>
        <w:spacing w:after="0" w:line="276" w:lineRule="auto"/>
        <w:contextualSpacing/>
        <w:rPr>
          <w:rFonts w:ascii="Verdana" w:eastAsia="Century Gothic" w:hAnsi="Verdana" w:cs="Century Gothic"/>
          <w:b/>
          <w:bCs/>
        </w:rPr>
      </w:pPr>
    </w:p>
    <w:p w14:paraId="28B778C1" w14:textId="77777777" w:rsidR="00DE161F" w:rsidRPr="00B35714" w:rsidRDefault="00DE161F" w:rsidP="00DE161F">
      <w:pPr>
        <w:spacing w:after="0" w:line="276" w:lineRule="auto"/>
        <w:contextualSpacing/>
        <w:rPr>
          <w:rFonts w:ascii="Verdana" w:eastAsia="Century Gothic" w:hAnsi="Verdana" w:cs="Century Gothic"/>
          <w:b/>
          <w:bCs/>
        </w:rPr>
      </w:pPr>
    </w:p>
    <w:p w14:paraId="21A05D0E" w14:textId="77777777" w:rsidR="00DE161F" w:rsidRPr="00B35714" w:rsidRDefault="00DE161F" w:rsidP="00DE161F">
      <w:pPr>
        <w:spacing w:after="0" w:line="276" w:lineRule="auto"/>
        <w:contextualSpacing/>
        <w:rPr>
          <w:rFonts w:ascii="Verdana" w:eastAsia="Century Gothic" w:hAnsi="Verdana" w:cs="Century Gothic"/>
          <w:b/>
          <w:bCs/>
        </w:rPr>
      </w:pPr>
    </w:p>
    <w:p w14:paraId="201EACDE" w14:textId="77777777" w:rsidR="00DE161F" w:rsidRPr="00B35714" w:rsidRDefault="00DE161F" w:rsidP="00DE161F">
      <w:pPr>
        <w:spacing w:after="0" w:line="276" w:lineRule="auto"/>
        <w:contextualSpacing/>
        <w:rPr>
          <w:rFonts w:ascii="Verdana" w:eastAsia="Century Gothic" w:hAnsi="Verdana" w:cs="Century Gothic"/>
          <w:b/>
          <w:bCs/>
        </w:rPr>
      </w:pPr>
    </w:p>
    <w:p w14:paraId="53DA7EC3" w14:textId="77777777" w:rsidR="00DE161F" w:rsidRPr="00B35714" w:rsidRDefault="00DE161F" w:rsidP="00DE161F">
      <w:pPr>
        <w:spacing w:after="0" w:line="276" w:lineRule="auto"/>
        <w:contextualSpacing/>
        <w:rPr>
          <w:rFonts w:ascii="Verdana" w:eastAsia="Century Gothic" w:hAnsi="Verdana" w:cs="Century Gothic"/>
          <w:b/>
          <w:bCs/>
        </w:rPr>
      </w:pPr>
    </w:p>
    <w:p w14:paraId="003DEEF0" w14:textId="77777777" w:rsidR="00DE161F" w:rsidRPr="00B35714" w:rsidRDefault="00DE161F" w:rsidP="00DE161F">
      <w:pPr>
        <w:spacing w:after="0" w:line="276" w:lineRule="auto"/>
        <w:contextualSpacing/>
        <w:rPr>
          <w:rFonts w:ascii="Verdana" w:eastAsia="Century Gothic" w:hAnsi="Verdana" w:cs="Century Gothic"/>
          <w:b/>
          <w:bCs/>
        </w:rPr>
      </w:pPr>
    </w:p>
    <w:p w14:paraId="63041679" w14:textId="77777777" w:rsidR="00DE161F" w:rsidRPr="00B35714" w:rsidRDefault="00DE161F" w:rsidP="00DE161F">
      <w:pPr>
        <w:spacing w:after="0" w:line="276" w:lineRule="auto"/>
        <w:contextualSpacing/>
        <w:rPr>
          <w:rFonts w:ascii="Verdana" w:eastAsia="Century Gothic" w:hAnsi="Verdana" w:cs="Century Gothic"/>
          <w:b/>
          <w:bCs/>
        </w:rPr>
      </w:pPr>
    </w:p>
    <w:p w14:paraId="2EDEFD05" w14:textId="77777777" w:rsidR="00DE161F" w:rsidRPr="00B35714" w:rsidRDefault="00DE161F" w:rsidP="00DE161F">
      <w:pPr>
        <w:spacing w:after="0" w:line="276" w:lineRule="auto"/>
        <w:contextualSpacing/>
        <w:rPr>
          <w:rFonts w:ascii="Verdana" w:eastAsia="Century Gothic" w:hAnsi="Verdana" w:cs="Century Gothic"/>
          <w:b/>
          <w:bCs/>
        </w:rPr>
      </w:pPr>
    </w:p>
    <w:p w14:paraId="3B9D819B" w14:textId="77777777" w:rsidR="00DE161F" w:rsidRPr="00B35714" w:rsidRDefault="00DE161F" w:rsidP="00DE161F">
      <w:pPr>
        <w:spacing w:after="0" w:line="276" w:lineRule="auto"/>
        <w:contextualSpacing/>
        <w:rPr>
          <w:rFonts w:ascii="Verdana" w:eastAsia="Century Gothic" w:hAnsi="Verdana" w:cs="Century Gothic"/>
          <w:b/>
          <w:bCs/>
        </w:rPr>
      </w:pPr>
    </w:p>
    <w:p w14:paraId="2481FA84" w14:textId="77777777" w:rsidR="00DE161F" w:rsidRPr="00B35714" w:rsidRDefault="00DE161F" w:rsidP="00DE161F">
      <w:pPr>
        <w:spacing w:after="0" w:line="276" w:lineRule="auto"/>
        <w:contextualSpacing/>
        <w:rPr>
          <w:rFonts w:ascii="Verdana" w:eastAsia="Century Gothic" w:hAnsi="Verdana" w:cs="Century Gothic"/>
          <w:b/>
          <w:bCs/>
        </w:rPr>
      </w:pPr>
    </w:p>
    <w:p w14:paraId="29746050" w14:textId="77777777" w:rsidR="00DE161F" w:rsidRPr="00B35714" w:rsidRDefault="00DE161F" w:rsidP="00DE161F">
      <w:pPr>
        <w:spacing w:after="0" w:line="276" w:lineRule="auto"/>
        <w:contextualSpacing/>
        <w:rPr>
          <w:rFonts w:ascii="Verdana" w:eastAsia="Century Gothic" w:hAnsi="Verdana" w:cs="Century Gothic"/>
          <w:b/>
          <w:bCs/>
        </w:rPr>
      </w:pPr>
    </w:p>
    <w:p w14:paraId="709FA60A" w14:textId="77777777" w:rsidR="00DE161F" w:rsidRPr="00B35714" w:rsidRDefault="00DE161F" w:rsidP="00DE161F">
      <w:pPr>
        <w:spacing w:after="0" w:line="276" w:lineRule="auto"/>
        <w:contextualSpacing/>
        <w:rPr>
          <w:rFonts w:ascii="Verdana" w:eastAsia="Century Gothic" w:hAnsi="Verdana" w:cs="Century Gothic"/>
          <w:b/>
          <w:bCs/>
        </w:rPr>
      </w:pPr>
    </w:p>
    <w:p w14:paraId="37B1CAB0" w14:textId="77777777" w:rsidR="00DE161F" w:rsidRPr="00B35714" w:rsidRDefault="00DE161F" w:rsidP="00DE161F">
      <w:pPr>
        <w:spacing w:after="0" w:line="276" w:lineRule="auto"/>
        <w:contextualSpacing/>
        <w:rPr>
          <w:rFonts w:ascii="Verdana" w:eastAsia="Century Gothic" w:hAnsi="Verdana" w:cs="Century Gothic"/>
          <w:b/>
          <w:bCs/>
        </w:rPr>
      </w:pPr>
    </w:p>
    <w:p w14:paraId="3AB9A1EC" w14:textId="77777777" w:rsidR="00DE161F" w:rsidRPr="00B35714" w:rsidRDefault="00DE161F" w:rsidP="00DE161F">
      <w:pPr>
        <w:spacing w:after="0" w:line="276" w:lineRule="auto"/>
        <w:contextualSpacing/>
        <w:rPr>
          <w:rFonts w:ascii="Verdana" w:eastAsia="Century Gothic" w:hAnsi="Verdana" w:cs="Century Gothic"/>
          <w:b/>
          <w:bCs/>
        </w:rPr>
      </w:pPr>
    </w:p>
    <w:p w14:paraId="7E85A85B" w14:textId="77777777" w:rsidR="00DE161F" w:rsidRPr="00B35714" w:rsidRDefault="00DE161F" w:rsidP="00DE161F">
      <w:pPr>
        <w:spacing w:after="0" w:line="276" w:lineRule="auto"/>
        <w:contextualSpacing/>
        <w:rPr>
          <w:rFonts w:ascii="Verdana" w:eastAsia="Century Gothic" w:hAnsi="Verdana" w:cs="Century Gothic"/>
          <w:b/>
          <w:bCs/>
        </w:rPr>
      </w:pPr>
    </w:p>
    <w:p w14:paraId="6898B227" w14:textId="77777777" w:rsidR="00DE161F" w:rsidRPr="00B35714" w:rsidRDefault="00DE161F" w:rsidP="00DE161F">
      <w:pPr>
        <w:spacing w:after="0" w:line="276" w:lineRule="auto"/>
        <w:contextualSpacing/>
        <w:rPr>
          <w:rFonts w:ascii="Verdana" w:eastAsia="Century Gothic" w:hAnsi="Verdana" w:cs="Century Gothic"/>
          <w:b/>
          <w:bCs/>
        </w:rPr>
      </w:pPr>
    </w:p>
    <w:p w14:paraId="44F76F30" w14:textId="77777777" w:rsidR="00DE161F" w:rsidRPr="00B35714" w:rsidRDefault="00DE161F" w:rsidP="00DE161F">
      <w:pPr>
        <w:spacing w:after="0" w:line="276" w:lineRule="auto"/>
        <w:contextualSpacing/>
        <w:rPr>
          <w:rFonts w:ascii="Verdana" w:eastAsia="Century Gothic" w:hAnsi="Verdana" w:cs="Century Gothic"/>
          <w:b/>
          <w:bCs/>
        </w:rPr>
      </w:pPr>
    </w:p>
    <w:p w14:paraId="6371694A" w14:textId="77777777" w:rsidR="00DE161F" w:rsidRPr="00B35714" w:rsidRDefault="00DE161F" w:rsidP="00DE161F">
      <w:pPr>
        <w:spacing w:after="0" w:line="276" w:lineRule="auto"/>
        <w:contextualSpacing/>
        <w:rPr>
          <w:rFonts w:ascii="Verdana" w:eastAsia="Century Gothic" w:hAnsi="Verdana" w:cs="Century Gothic"/>
          <w:b/>
          <w:bCs/>
        </w:rPr>
      </w:pPr>
    </w:p>
    <w:p w14:paraId="10E12875" w14:textId="77777777" w:rsidR="00DE161F" w:rsidRPr="00B35714" w:rsidRDefault="00DE161F" w:rsidP="00DE161F">
      <w:pPr>
        <w:spacing w:after="0" w:line="276" w:lineRule="auto"/>
        <w:contextualSpacing/>
        <w:rPr>
          <w:rFonts w:ascii="Verdana" w:eastAsia="Century Gothic" w:hAnsi="Verdana" w:cs="Century Gothic"/>
          <w:b/>
          <w:bCs/>
        </w:rPr>
      </w:pPr>
    </w:p>
    <w:p w14:paraId="7CE9EB5B" w14:textId="77777777" w:rsidR="00DE161F" w:rsidRDefault="00DE161F" w:rsidP="00DE161F">
      <w:pPr>
        <w:spacing w:after="0" w:line="276" w:lineRule="auto"/>
        <w:jc w:val="both"/>
        <w:rPr>
          <w:rFonts w:ascii="Verdana" w:hAnsi="Verdana"/>
        </w:rPr>
      </w:pPr>
    </w:p>
    <w:p w14:paraId="34F6EF3B" w14:textId="77777777" w:rsidR="00DE161F" w:rsidRDefault="00DE161F" w:rsidP="00DE161F">
      <w:pPr>
        <w:spacing w:after="0" w:line="276" w:lineRule="auto"/>
        <w:jc w:val="both"/>
        <w:rPr>
          <w:rFonts w:ascii="Verdana" w:hAnsi="Verdana"/>
        </w:rPr>
      </w:pPr>
    </w:p>
    <w:p w14:paraId="3589A532" w14:textId="77777777" w:rsidR="00AA2FAC" w:rsidRDefault="00AA2FAC" w:rsidP="00DE161F">
      <w:pPr>
        <w:spacing w:after="0" w:line="276" w:lineRule="auto"/>
        <w:jc w:val="both"/>
        <w:rPr>
          <w:rFonts w:ascii="Verdana" w:hAnsi="Verdana"/>
        </w:rPr>
      </w:pPr>
    </w:p>
    <w:p w14:paraId="004476F1" w14:textId="1A010E2D" w:rsidR="00DE161F" w:rsidRDefault="00DE161F" w:rsidP="00DE161F">
      <w:pPr>
        <w:spacing w:after="0" w:line="276" w:lineRule="auto"/>
        <w:jc w:val="both"/>
        <w:rPr>
          <w:rFonts w:ascii="Verdana" w:hAnsi="Verdana"/>
        </w:rPr>
      </w:pPr>
      <w:bookmarkStart w:id="1" w:name="_GoBack"/>
      <w:bookmarkEnd w:id="1"/>
      <w:r w:rsidRPr="00B35714">
        <w:rPr>
          <w:rFonts w:ascii="Verdana" w:hAnsi="Verdana"/>
        </w:rPr>
        <w:lastRenderedPageBreak/>
        <w:t xml:space="preserve">Bogotá D.C., </w:t>
      </w:r>
      <w:r>
        <w:rPr>
          <w:rFonts w:ascii="Verdana" w:hAnsi="Verdana"/>
        </w:rPr>
        <w:t xml:space="preserve">27 de agosto de 2024 </w:t>
      </w:r>
    </w:p>
    <w:p w14:paraId="011CDAEA" w14:textId="77777777" w:rsidR="00946506" w:rsidRDefault="00946506" w:rsidP="00DE161F">
      <w:pPr>
        <w:spacing w:after="0" w:line="276" w:lineRule="auto"/>
        <w:jc w:val="both"/>
        <w:rPr>
          <w:rFonts w:ascii="Verdana" w:hAnsi="Verdana"/>
        </w:rPr>
      </w:pPr>
    </w:p>
    <w:p w14:paraId="1D9EE3BB" w14:textId="75925D21" w:rsidR="00946506" w:rsidRPr="00B35714" w:rsidRDefault="00847ECA" w:rsidP="00847ECA">
      <w:pPr>
        <w:spacing w:after="0" w:line="276" w:lineRule="auto"/>
        <w:jc w:val="right"/>
        <w:rPr>
          <w:rFonts w:ascii="Verdana" w:eastAsia="Calibri" w:hAnsi="Verdana" w:cs="Arial"/>
          <w:lang w:eastAsia="es-ES"/>
        </w:rPr>
      </w:pPr>
      <w:r w:rsidRPr="00847ECA">
        <w:rPr>
          <w:rFonts w:ascii="Verdana" w:eastAsia="Calibri" w:hAnsi="Verdana" w:cs="Arial"/>
          <w:noProof/>
          <w:lang w:eastAsia="es-ES"/>
        </w:rPr>
        <w:drawing>
          <wp:inline distT="0" distB="0" distL="0" distR="0" wp14:anchorId="0B0BB593" wp14:editId="7B2BAD8B">
            <wp:extent cx="3772426" cy="1095528"/>
            <wp:effectExtent l="0" t="0" r="0" b="9525"/>
            <wp:docPr id="16150137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3732" name="Imagen 1" descr="Texto&#10;&#10;Descripción generada automáticamente"/>
                    <pic:cNvPicPr/>
                  </pic:nvPicPr>
                  <pic:blipFill>
                    <a:blip r:embed="rId11"/>
                    <a:stretch>
                      <a:fillRect/>
                    </a:stretch>
                  </pic:blipFill>
                  <pic:spPr>
                    <a:xfrm>
                      <a:off x="0" y="0"/>
                      <a:ext cx="3772426" cy="1095528"/>
                    </a:xfrm>
                    <a:prstGeom prst="rect">
                      <a:avLst/>
                    </a:prstGeom>
                  </pic:spPr>
                </pic:pic>
              </a:graphicData>
            </a:graphic>
          </wp:inline>
        </w:drawing>
      </w:r>
    </w:p>
    <w:p w14:paraId="5D939A1F" w14:textId="77777777" w:rsidR="00DE161F" w:rsidRPr="00B35714" w:rsidRDefault="00DE161F" w:rsidP="00DE161F">
      <w:pPr>
        <w:spacing w:after="0" w:line="276" w:lineRule="auto"/>
        <w:jc w:val="both"/>
        <w:rPr>
          <w:rFonts w:ascii="Verdana" w:eastAsia="Calibri" w:hAnsi="Verdana" w:cs="Arial"/>
          <w:lang w:val="es-ES" w:eastAsia="es-ES"/>
        </w:rPr>
      </w:pPr>
    </w:p>
    <w:p w14:paraId="028C754D" w14:textId="77777777" w:rsidR="00DE161F" w:rsidRPr="00B35714" w:rsidRDefault="00DE161F" w:rsidP="00DE161F">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Señor</w:t>
      </w:r>
    </w:p>
    <w:p w14:paraId="617CCB42" w14:textId="77777777" w:rsidR="00DE161F" w:rsidRPr="00B35714" w:rsidRDefault="00DE161F" w:rsidP="00DE161F">
      <w:pPr>
        <w:spacing w:after="0" w:line="276" w:lineRule="auto"/>
        <w:jc w:val="both"/>
        <w:rPr>
          <w:rFonts w:ascii="Verdana" w:eastAsia="Calibri" w:hAnsi="Verdana" w:cs="Arial"/>
          <w:b/>
          <w:bCs/>
          <w:lang w:val="es-ES" w:eastAsia="es-ES"/>
        </w:rPr>
      </w:pPr>
      <w:r w:rsidRPr="00B35714">
        <w:rPr>
          <w:rFonts w:ascii="Verdana" w:eastAsia="Calibri" w:hAnsi="Verdana" w:cs="Arial"/>
          <w:b/>
          <w:bCs/>
          <w:lang w:val="es-ES" w:eastAsia="es-ES"/>
        </w:rPr>
        <w:t>JULIAN ESTEBAN PEREZ GARICA</w:t>
      </w:r>
    </w:p>
    <w:p w14:paraId="0B8E9D57" w14:textId="77777777" w:rsidR="00DE161F" w:rsidRPr="00B35714" w:rsidRDefault="00B4544D" w:rsidP="00DE161F">
      <w:pPr>
        <w:spacing w:after="0" w:line="276" w:lineRule="auto"/>
        <w:jc w:val="both"/>
        <w:rPr>
          <w:rFonts w:ascii="Verdana" w:eastAsia="Calibri" w:hAnsi="Verdana" w:cs="Arial"/>
          <w:lang w:val="es-ES" w:eastAsia="es-ES"/>
        </w:rPr>
      </w:pPr>
      <w:hyperlink r:id="rId12" w:history="1">
        <w:r w:rsidR="00DE161F" w:rsidRPr="00B35714">
          <w:rPr>
            <w:lang w:val="es-ES" w:eastAsia="es-ES"/>
          </w:rPr>
          <w:t>jepg103@gmail.com</w:t>
        </w:r>
      </w:hyperlink>
    </w:p>
    <w:p w14:paraId="7936CE78" w14:textId="77777777" w:rsidR="00DE161F" w:rsidRPr="00B35714" w:rsidRDefault="00DE161F" w:rsidP="00DE161F">
      <w:pPr>
        <w:spacing w:after="0" w:line="276" w:lineRule="auto"/>
        <w:jc w:val="both"/>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E161F" w:rsidRPr="00B35714" w14:paraId="2FB75876" w14:textId="77777777" w:rsidTr="006D3D5F">
        <w:trPr>
          <w:trHeight w:val="884"/>
        </w:trPr>
        <w:tc>
          <w:tcPr>
            <w:tcW w:w="2689" w:type="dxa"/>
          </w:tcPr>
          <w:p w14:paraId="469BD6D1" w14:textId="77777777" w:rsidR="00DE161F" w:rsidRPr="00B35714" w:rsidRDefault="00DE161F" w:rsidP="006D3D5F">
            <w:pPr>
              <w:spacing w:line="276" w:lineRule="auto"/>
              <w:jc w:val="both"/>
              <w:rPr>
                <w:rFonts w:ascii="Verdana" w:eastAsia="Calibri" w:hAnsi="Verdana" w:cs="Arial"/>
                <w:b/>
                <w:bCs/>
                <w:lang w:val="es-ES_tradnl" w:eastAsia="es-ES_tradnl"/>
              </w:rPr>
            </w:pPr>
          </w:p>
        </w:tc>
        <w:tc>
          <w:tcPr>
            <w:tcW w:w="6100" w:type="dxa"/>
          </w:tcPr>
          <w:p w14:paraId="638CE844" w14:textId="77777777" w:rsidR="00DE161F" w:rsidRPr="00B35714" w:rsidRDefault="00DE161F" w:rsidP="006D3D5F">
            <w:pPr>
              <w:spacing w:line="276" w:lineRule="auto"/>
              <w:jc w:val="both"/>
              <w:rPr>
                <w:rFonts w:ascii="Verdana" w:eastAsia="Calibri" w:hAnsi="Verdana" w:cs="Arial"/>
                <w:b/>
                <w:bCs/>
                <w:lang w:val="es-ES" w:eastAsia="es-ES"/>
              </w:rPr>
            </w:pPr>
            <w:r w:rsidRPr="00B35714">
              <w:rPr>
                <w:rFonts w:ascii="Verdana" w:eastAsia="Calibri" w:hAnsi="Verdana" w:cs="Arial"/>
                <w:b/>
                <w:bCs/>
                <w:lang w:val="es-ES" w:eastAsia="es-ES"/>
              </w:rPr>
              <w:t>Concepto C- 331 de 2024</w:t>
            </w:r>
          </w:p>
        </w:tc>
      </w:tr>
      <w:tr w:rsidR="00DE161F" w:rsidRPr="00B35714" w14:paraId="0E5C3056" w14:textId="77777777" w:rsidTr="006D3D5F">
        <w:trPr>
          <w:trHeight w:val="884"/>
        </w:trPr>
        <w:tc>
          <w:tcPr>
            <w:tcW w:w="2689" w:type="dxa"/>
          </w:tcPr>
          <w:p w14:paraId="27C985F4" w14:textId="77777777" w:rsidR="00DE161F" w:rsidRPr="00B35714" w:rsidRDefault="00DE161F" w:rsidP="006D3D5F">
            <w:pPr>
              <w:spacing w:line="276" w:lineRule="auto"/>
              <w:jc w:val="both"/>
              <w:rPr>
                <w:rFonts w:ascii="Verdana" w:eastAsia="Calibri" w:hAnsi="Verdana" w:cs="Arial"/>
                <w:lang w:val="es-ES_tradnl" w:eastAsia="es-ES_tradnl"/>
              </w:rPr>
            </w:pPr>
            <w:r w:rsidRPr="00B35714">
              <w:rPr>
                <w:rFonts w:ascii="Verdana" w:eastAsia="Calibri" w:hAnsi="Verdana" w:cs="Arial"/>
                <w:b/>
                <w:lang w:val="es-ES_tradnl" w:eastAsia="es-ES_tradnl"/>
              </w:rPr>
              <w:t>Temas:</w:t>
            </w:r>
            <w:r w:rsidRPr="00B35714">
              <w:rPr>
                <w:rFonts w:ascii="Verdana" w:eastAsia="Calibri" w:hAnsi="Verdana" w:cs="Arial"/>
                <w:lang w:val="es-ES_tradnl" w:eastAsia="es-ES_tradnl"/>
              </w:rPr>
              <w:t xml:space="preserve">                   </w:t>
            </w:r>
          </w:p>
        </w:tc>
        <w:tc>
          <w:tcPr>
            <w:tcW w:w="6100" w:type="dxa"/>
          </w:tcPr>
          <w:p w14:paraId="7924A85F" w14:textId="77777777" w:rsidR="00DE161F" w:rsidRPr="00B35714" w:rsidRDefault="00DE161F" w:rsidP="006D3D5F">
            <w:pPr>
              <w:pStyle w:val="paragraph"/>
              <w:shd w:val="clear" w:color="auto" w:fill="FFFFFF" w:themeFill="background1"/>
              <w:spacing w:after="120" w:line="276" w:lineRule="auto"/>
              <w:jc w:val="both"/>
              <w:textAlignment w:val="baseline"/>
              <w:rPr>
                <w:rFonts w:ascii="Verdana" w:eastAsiaTheme="minorHAnsi" w:hAnsi="Verdana" w:cs="Arial"/>
                <w:b/>
                <w:bCs/>
                <w:color w:val="000000" w:themeColor="text1"/>
                <w:sz w:val="22"/>
                <w:szCs w:val="22"/>
                <w:lang w:val="es-ES_tradnl" w:eastAsia="en-US"/>
              </w:rPr>
            </w:pPr>
            <w:r w:rsidRPr="00B35714">
              <w:rPr>
                <w:rFonts w:ascii="Verdana" w:eastAsiaTheme="minorHAnsi" w:hAnsi="Verdana" w:cs="Arial"/>
                <w:b/>
                <w:bCs/>
                <w:color w:val="000000" w:themeColor="text1"/>
                <w:sz w:val="22"/>
                <w:szCs w:val="22"/>
                <w:lang w:val="es-ES_tradnl" w:eastAsia="en-US"/>
              </w:rPr>
              <w:t xml:space="preserve">REQUISITOS HABILITANTES – Noción / REQUISITOS HABILITANTES – Autonomía </w:t>
            </w:r>
          </w:p>
        </w:tc>
      </w:tr>
      <w:tr w:rsidR="00DE161F" w:rsidRPr="00B35714" w14:paraId="57AFBDEA" w14:textId="77777777" w:rsidTr="006D3D5F">
        <w:tc>
          <w:tcPr>
            <w:tcW w:w="2689" w:type="dxa"/>
          </w:tcPr>
          <w:p w14:paraId="01B71568" w14:textId="77777777" w:rsidR="00DE161F" w:rsidRPr="00B35714" w:rsidRDefault="00DE161F" w:rsidP="006D3D5F">
            <w:pPr>
              <w:spacing w:line="276" w:lineRule="auto"/>
              <w:jc w:val="both"/>
              <w:rPr>
                <w:rFonts w:ascii="Verdana" w:eastAsia="Calibri" w:hAnsi="Verdana" w:cs="Arial"/>
                <w:b/>
                <w:lang w:val="es-ES_tradnl" w:eastAsia="es-ES_tradnl"/>
              </w:rPr>
            </w:pPr>
            <w:r w:rsidRPr="00B35714">
              <w:rPr>
                <w:rFonts w:ascii="Verdana" w:eastAsia="Calibri" w:hAnsi="Verdana" w:cs="Arial"/>
                <w:b/>
                <w:lang w:val="es-ES_tradnl" w:eastAsia="es-ES_tradnl"/>
              </w:rPr>
              <w:t>Radicación:</w:t>
            </w:r>
            <w:r w:rsidRPr="00B35714">
              <w:rPr>
                <w:rFonts w:ascii="Verdana" w:eastAsia="Calibri" w:hAnsi="Verdana" w:cs="Arial"/>
                <w:lang w:val="es-ES_tradnl" w:eastAsia="es-ES_tradnl"/>
              </w:rPr>
              <w:t xml:space="preserve">               </w:t>
            </w:r>
          </w:p>
        </w:tc>
        <w:tc>
          <w:tcPr>
            <w:tcW w:w="6100" w:type="dxa"/>
          </w:tcPr>
          <w:p w14:paraId="67BCF92A" w14:textId="77777777" w:rsidR="00DE161F" w:rsidRPr="00B35714" w:rsidRDefault="00DE161F" w:rsidP="006D3D5F">
            <w:pPr>
              <w:spacing w:line="276" w:lineRule="auto"/>
              <w:jc w:val="both"/>
              <w:rPr>
                <w:rFonts w:ascii="Verdana" w:hAnsi="Verdana" w:cs="Arial"/>
              </w:rPr>
            </w:pPr>
            <w:r w:rsidRPr="00B35714">
              <w:rPr>
                <w:rFonts w:ascii="Verdana" w:hAnsi="Verdana" w:cs="Arial"/>
              </w:rPr>
              <w:t>Respuesta a consulta con radicado No. P20240712007132</w:t>
            </w:r>
          </w:p>
        </w:tc>
      </w:tr>
    </w:tbl>
    <w:p w14:paraId="0C159BF1" w14:textId="77777777" w:rsidR="00DE161F" w:rsidRPr="00B35714" w:rsidRDefault="00DE161F" w:rsidP="00DE161F">
      <w:pPr>
        <w:spacing w:after="0" w:line="276" w:lineRule="auto"/>
        <w:jc w:val="both"/>
        <w:rPr>
          <w:rFonts w:ascii="Verdana" w:eastAsia="Calibri" w:hAnsi="Verdana" w:cs="Arial"/>
          <w:lang w:val="es-ES_tradnl" w:eastAsia="es-ES_tradnl"/>
        </w:rPr>
      </w:pPr>
    </w:p>
    <w:p w14:paraId="340C2F8A" w14:textId="77777777" w:rsidR="00DE161F" w:rsidRPr="00B35714" w:rsidRDefault="00DE161F" w:rsidP="00DE161F">
      <w:pPr>
        <w:spacing w:after="0" w:line="276" w:lineRule="auto"/>
        <w:jc w:val="both"/>
        <w:rPr>
          <w:rFonts w:ascii="Verdana" w:eastAsia="Calibri" w:hAnsi="Verdana" w:cs="Arial"/>
          <w:lang w:val="es-ES_tradnl" w:eastAsia="es-ES_tradnl"/>
        </w:rPr>
      </w:pPr>
    </w:p>
    <w:p w14:paraId="52888372" w14:textId="77777777" w:rsidR="00DE161F" w:rsidRPr="00B35714" w:rsidRDefault="00DE161F" w:rsidP="00DE161F">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 xml:space="preserve">Estimado señor Perez: </w:t>
      </w:r>
    </w:p>
    <w:p w14:paraId="5A277CBC" w14:textId="77777777" w:rsidR="00DE161F" w:rsidRPr="00B35714" w:rsidRDefault="00DE161F" w:rsidP="00DE161F">
      <w:pPr>
        <w:tabs>
          <w:tab w:val="left" w:pos="3768"/>
        </w:tabs>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ab/>
      </w:r>
    </w:p>
    <w:p w14:paraId="37E92DB6" w14:textId="77777777" w:rsidR="00DE161F" w:rsidRPr="00B35714" w:rsidRDefault="00DE161F" w:rsidP="00DE161F">
      <w:pPr>
        <w:spacing w:after="0" w:line="276" w:lineRule="auto"/>
        <w:jc w:val="both"/>
        <w:rPr>
          <w:rFonts w:ascii="Verdana" w:eastAsia="Calibri" w:hAnsi="Verdana" w:cs="Arial"/>
          <w:lang w:val="es-ES" w:eastAsia="es-ES"/>
        </w:rPr>
      </w:pPr>
      <w:r w:rsidRPr="00B35714">
        <w:rPr>
          <w:rFonts w:ascii="Verdana" w:eastAsia="Calibri" w:hAnsi="Verdana" w:cs="Arial"/>
          <w:lang w:val="es-ES" w:eastAsia="es-ES"/>
        </w:rPr>
        <w:t>En ejercicio de la competencia otorgada por los artículos 3, numeral 5º, y 11, numeral 8º, del Decreto Ley 4170 de 2011,</w:t>
      </w:r>
      <w:r w:rsidRPr="00B35714">
        <w:rPr>
          <w:rFonts w:ascii="Verdana" w:eastAsia="Arial MT" w:hAnsi="Verdana" w:cs="Arial MT"/>
          <w:lang w:val="es-ES" w:eastAsia="es-ES"/>
        </w:rPr>
        <w:t xml:space="preserve"> </w:t>
      </w:r>
      <w:r w:rsidRPr="00B35714">
        <w:rPr>
          <w:rFonts w:ascii="Verdana" w:hAnsi="Verdana" w:cs="Arial"/>
        </w:rPr>
        <w:t xml:space="preserve">así como lo establecido en el artículo 4 de la Resolución 1707 de 2018 expedida por esta Entidad, </w:t>
      </w:r>
      <w:r w:rsidRPr="00B35714">
        <w:rPr>
          <w:rFonts w:ascii="Verdana" w:eastAsia="Calibri" w:hAnsi="Verdana" w:cs="Arial"/>
          <w:lang w:val="es-ES" w:eastAsia="es-ES"/>
        </w:rPr>
        <w:t xml:space="preserve">la Agencia Nacional de Contratación Pública – Colombia Compra Eficiente– responde su solicitud de consulta de fecha 12 de julio de 2024, en la cual manifiesta lo siguiente: </w:t>
      </w:r>
    </w:p>
    <w:p w14:paraId="078B6ACC" w14:textId="77777777" w:rsidR="00DE161F" w:rsidRPr="00B35714" w:rsidRDefault="00DE161F" w:rsidP="00DE161F">
      <w:pPr>
        <w:pStyle w:val="Prrafodelista"/>
        <w:tabs>
          <w:tab w:val="left" w:pos="142"/>
          <w:tab w:val="left" w:pos="284"/>
        </w:tabs>
        <w:spacing w:line="276" w:lineRule="auto"/>
        <w:ind w:left="0"/>
        <w:jc w:val="both"/>
        <w:rPr>
          <w:rFonts w:ascii="Verdana" w:hAnsi="Verdana" w:cs="Arial"/>
        </w:rPr>
      </w:pPr>
    </w:p>
    <w:p w14:paraId="0A8CD91F" w14:textId="77777777" w:rsidR="00DE161F" w:rsidRPr="00B35714" w:rsidRDefault="00DE161F" w:rsidP="00DE161F">
      <w:pPr>
        <w:autoSpaceDE w:val="0"/>
        <w:autoSpaceDN w:val="0"/>
        <w:adjustRightInd w:val="0"/>
        <w:spacing w:after="0" w:line="276" w:lineRule="auto"/>
        <w:ind w:left="709" w:right="709"/>
        <w:jc w:val="both"/>
        <w:rPr>
          <w:rFonts w:ascii="Verdana" w:hAnsi="Verdana" w:cs="Arial"/>
        </w:rPr>
      </w:pPr>
      <w:bookmarkStart w:id="2" w:name="_Hlk95313578"/>
      <w:r w:rsidRPr="00B35714">
        <w:rPr>
          <w:rFonts w:ascii="Verdana" w:hAnsi="Verdana" w:cs="Arial"/>
        </w:rPr>
        <w:t>“</w:t>
      </w:r>
      <w:bookmarkEnd w:id="2"/>
      <w:proofErr w:type="gramStart"/>
      <w:r w:rsidRPr="00B35714">
        <w:rPr>
          <w:rFonts w:ascii="Verdana" w:hAnsi="Verdana" w:cs="Arial"/>
        </w:rPr>
        <w:t xml:space="preserve">En un proceso de licitación pública que NO es de pliego </w:t>
      </w:r>
      <w:proofErr w:type="spellStart"/>
      <w:r w:rsidRPr="00B35714">
        <w:rPr>
          <w:rFonts w:ascii="Verdana" w:hAnsi="Verdana" w:cs="Arial"/>
        </w:rPr>
        <w:t>tipó</w:t>
      </w:r>
      <w:proofErr w:type="spellEnd"/>
      <w:r w:rsidRPr="00B35714">
        <w:rPr>
          <w:rFonts w:ascii="Verdana" w:hAnsi="Verdana" w:cs="Arial"/>
        </w:rPr>
        <w:t xml:space="preserve">, donde solicitan un equipo de trabajo y donde ese equipo de trabajo esta como requisito habilitante y en donde en los criterios de evaluación </w:t>
      </w:r>
      <w:r w:rsidRPr="00B35714">
        <w:rPr>
          <w:rFonts w:ascii="Verdana" w:hAnsi="Verdana" w:cs="Arial"/>
        </w:rPr>
        <w:lastRenderedPageBreak/>
        <w:t xml:space="preserve">se </w:t>
      </w:r>
      <w:proofErr w:type="spellStart"/>
      <w:r w:rsidRPr="00B35714">
        <w:rPr>
          <w:rFonts w:ascii="Verdana" w:hAnsi="Verdana" w:cs="Arial"/>
        </w:rPr>
        <w:t>esta</w:t>
      </w:r>
      <w:proofErr w:type="spellEnd"/>
      <w:r w:rsidRPr="00B35714">
        <w:rPr>
          <w:rFonts w:ascii="Verdana" w:hAnsi="Verdana" w:cs="Arial"/>
        </w:rPr>
        <w:t xml:space="preserve"> asignando puntaje por experiencia adicional de ese equipo de trabajo, es necesario presentar las hojas de vida con los soportes que avalen esas exigencias, o por el contrario es suficiente con que la entidad pida un certificado que avale ese equipo de trabajo (SIC)?</w:t>
      </w:r>
      <w:proofErr w:type="gramEnd"/>
      <w:r w:rsidRPr="00B35714">
        <w:rPr>
          <w:rFonts w:ascii="Verdana" w:hAnsi="Verdana" w:cs="Arial"/>
        </w:rPr>
        <w:t>:</w:t>
      </w:r>
    </w:p>
    <w:p w14:paraId="587238E7" w14:textId="77777777" w:rsidR="00DE161F" w:rsidRPr="00B35714" w:rsidRDefault="00DE161F" w:rsidP="00DE161F">
      <w:pPr>
        <w:pStyle w:val="Prrafodelista"/>
        <w:tabs>
          <w:tab w:val="left" w:pos="142"/>
          <w:tab w:val="left" w:pos="284"/>
        </w:tabs>
        <w:spacing w:line="276" w:lineRule="auto"/>
        <w:ind w:left="0"/>
        <w:jc w:val="both"/>
        <w:rPr>
          <w:rFonts w:ascii="Verdana" w:eastAsia="Century Gothic" w:hAnsi="Verdana" w:cs="Century Gothic"/>
          <w:b/>
          <w:bCs/>
        </w:rPr>
      </w:pPr>
    </w:p>
    <w:p w14:paraId="30FDCA10" w14:textId="77777777" w:rsidR="00DE161F" w:rsidRPr="00B35714" w:rsidRDefault="00DE161F" w:rsidP="00DE161F">
      <w:pPr>
        <w:spacing w:after="120" w:line="276" w:lineRule="auto"/>
        <w:ind w:firstLine="709"/>
        <w:jc w:val="both"/>
        <w:rPr>
          <w:rFonts w:ascii="Verdana" w:eastAsia="Calibri" w:hAnsi="Verdana" w:cs="Arial"/>
          <w:lang w:val="es-ES_tradnl" w:eastAsia="es-ES_tradnl"/>
        </w:rPr>
      </w:pPr>
      <w:r w:rsidRPr="00B3571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35714">
        <w:rPr>
          <w:rFonts w:ascii="Verdana" w:eastAsia="Calibri" w:hAnsi="Verdana" w:cs="Arial"/>
          <w:lang w:val="es-ES_tradnl" w:eastAsia="es-ES_tradnl"/>
        </w:rPr>
        <w:tab/>
      </w:r>
    </w:p>
    <w:p w14:paraId="133DA0FB" w14:textId="77777777" w:rsidR="00DE161F" w:rsidRPr="00B35714" w:rsidRDefault="00DE161F" w:rsidP="00DE161F">
      <w:pPr>
        <w:spacing w:after="0" w:line="276" w:lineRule="auto"/>
        <w:ind w:firstLine="709"/>
        <w:jc w:val="both"/>
        <w:rPr>
          <w:rFonts w:ascii="Verdana" w:eastAsia="Calibri" w:hAnsi="Verdana" w:cs="Arial"/>
          <w:lang w:val="es-ES" w:eastAsia="es-ES"/>
        </w:rPr>
      </w:pPr>
      <w:r w:rsidRPr="00B3571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3E557681" w14:textId="77777777" w:rsidR="00DE161F" w:rsidRPr="00B35714" w:rsidRDefault="00DE161F" w:rsidP="00DE161F">
      <w:pPr>
        <w:spacing w:after="0" w:line="276" w:lineRule="auto"/>
        <w:ind w:firstLine="709"/>
        <w:jc w:val="both"/>
        <w:rPr>
          <w:rFonts w:ascii="Verdana" w:eastAsia="Calibri" w:hAnsi="Verdana" w:cs="Arial"/>
          <w:lang w:val="es-ES" w:eastAsia="es-ES"/>
        </w:rPr>
      </w:pPr>
    </w:p>
    <w:p w14:paraId="6FB00AFA" w14:textId="77777777" w:rsidR="00DE161F" w:rsidRPr="00B35714" w:rsidRDefault="00DE161F" w:rsidP="00DE161F">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B35714">
        <w:rPr>
          <w:rFonts w:ascii="Verdana" w:eastAsia="Century Gothic" w:hAnsi="Verdana" w:cs="Century Gothic"/>
          <w:b/>
          <w:bCs/>
        </w:rPr>
        <w:t>Problema planteado:</w:t>
      </w:r>
    </w:p>
    <w:p w14:paraId="4FA20A09" w14:textId="77777777" w:rsidR="00DE161F" w:rsidRPr="00B35714" w:rsidRDefault="00DE161F" w:rsidP="00DE161F">
      <w:pPr>
        <w:tabs>
          <w:tab w:val="left" w:pos="426"/>
        </w:tabs>
        <w:spacing w:after="0" w:line="276" w:lineRule="auto"/>
        <w:jc w:val="both"/>
        <w:rPr>
          <w:rFonts w:ascii="Verdana" w:eastAsia="Century Gothic" w:hAnsi="Verdana" w:cs="Century Gothic"/>
          <w:lang w:val="es-ES"/>
        </w:rPr>
      </w:pPr>
    </w:p>
    <w:p w14:paraId="1667E6CB" w14:textId="77777777" w:rsidR="00DE161F" w:rsidRPr="00B35714" w:rsidRDefault="00DE161F" w:rsidP="00DE161F">
      <w:pPr>
        <w:spacing w:after="0" w:line="276" w:lineRule="auto"/>
        <w:jc w:val="both"/>
        <w:rPr>
          <w:rFonts w:ascii="Verdana" w:hAnsi="Verdana" w:cs="Arial"/>
        </w:rPr>
      </w:pPr>
      <w:r w:rsidRPr="00B35714">
        <w:rPr>
          <w:rFonts w:ascii="Verdana" w:eastAsia="Century Gothic" w:hAnsi="Verdana" w:cs="Century Gothic"/>
        </w:rPr>
        <w:t>De acuerdo con el contenido de su solicitud, esta Agencia resolverá el siguiente problema jurídico: ¿Cómo determinar las condiciones para acreditar la experiencia en un proceso contractual</w:t>
      </w:r>
      <w:r w:rsidRPr="00B35714">
        <w:rPr>
          <w:rFonts w:ascii="Verdana" w:hAnsi="Verdana" w:cs="Arial"/>
        </w:rPr>
        <w:t>?</w:t>
      </w:r>
    </w:p>
    <w:p w14:paraId="2B0DC653" w14:textId="77777777" w:rsidR="00DE161F" w:rsidRPr="00B35714" w:rsidRDefault="00DE161F" w:rsidP="00DE161F">
      <w:pPr>
        <w:spacing w:after="0" w:line="276" w:lineRule="auto"/>
        <w:jc w:val="both"/>
        <w:rPr>
          <w:rFonts w:ascii="Verdana" w:hAnsi="Verdana" w:cs="Arial"/>
        </w:rPr>
      </w:pPr>
    </w:p>
    <w:p w14:paraId="4A7E2A0E" w14:textId="77777777" w:rsidR="00DE161F" w:rsidRPr="00B35714" w:rsidRDefault="00DE161F" w:rsidP="00DE161F">
      <w:pPr>
        <w:spacing w:after="0" w:line="276" w:lineRule="auto"/>
        <w:jc w:val="both"/>
        <w:rPr>
          <w:rFonts w:ascii="Verdana" w:hAnsi="Verdana" w:cs="Arial"/>
        </w:rPr>
      </w:pPr>
      <w:proofErr w:type="spellStart"/>
      <w:r w:rsidRPr="00B35714">
        <w:rPr>
          <w:rFonts w:ascii="Verdana" w:hAnsi="Verdana" w:cs="Arial"/>
        </w:rPr>
        <w:t>Cuales</w:t>
      </w:r>
      <w:proofErr w:type="spellEnd"/>
      <w:r w:rsidRPr="00B35714">
        <w:rPr>
          <w:rFonts w:ascii="Verdana" w:hAnsi="Verdana" w:cs="Arial"/>
        </w:rPr>
        <w:t xml:space="preserve"> son los criterios mínimos para establecer los requisitos habilitantes y criterios evaluables en un proceso de contratación. </w:t>
      </w:r>
    </w:p>
    <w:p w14:paraId="652034FF" w14:textId="77777777" w:rsidR="00DE161F" w:rsidRPr="00B35714" w:rsidRDefault="00DE161F" w:rsidP="00DE161F">
      <w:pPr>
        <w:spacing w:after="0" w:line="276" w:lineRule="auto"/>
        <w:jc w:val="both"/>
        <w:rPr>
          <w:rFonts w:ascii="Verdana" w:hAnsi="Verdana" w:cs="Arial"/>
        </w:rPr>
      </w:pPr>
    </w:p>
    <w:p w14:paraId="1F9E19A4" w14:textId="77777777" w:rsidR="00DE161F" w:rsidRPr="00B35714" w:rsidRDefault="00DE161F" w:rsidP="00DE16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lastRenderedPageBreak/>
        <w:t>Respuesta:</w:t>
      </w:r>
    </w:p>
    <w:p w14:paraId="0F4A7DDA" w14:textId="77777777" w:rsidR="00DE161F" w:rsidRPr="00B35714" w:rsidRDefault="00DE161F" w:rsidP="00DE161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E161F" w:rsidRPr="00B35714" w14:paraId="53FC552A" w14:textId="77777777" w:rsidTr="006D3D5F">
        <w:trPr>
          <w:trHeight w:val="1217"/>
        </w:trPr>
        <w:tc>
          <w:tcPr>
            <w:tcW w:w="8828" w:type="dxa"/>
            <w:shd w:val="clear" w:color="auto" w:fill="auto"/>
          </w:tcPr>
          <w:p w14:paraId="37CABC6F" w14:textId="77777777" w:rsidR="00DE161F" w:rsidRPr="00B35714" w:rsidRDefault="00DE161F" w:rsidP="006D3D5F">
            <w:pPr>
              <w:spacing w:after="120"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En principio se debe señalar que en nuestro ordenamiento jurídico no existe una configuración taxativa de los requisitos habilitantes en cada proceso contractual. Por el contrario, las entidades estatales, en ejercicio de su autonomía de la voluntad, deben decidir el contenido de los requisitos habilitantes que en cada caso o proceso de selección permitirán comprobar que los eventuales oferentes puedan estar habilitados para participar. En ese sentido, las entidades estatales podrán optar por aplicar los requisitos habilitantes señalados en el artículo 6 de la Ley 1150 de 2007, o si opta por aplicar requisitos adicionales a estos. En este último caso, la entidad deberá realizar directamente la verificación de la información relativa a la acreditación del correspondiente requisito adicional.</w:t>
            </w:r>
          </w:p>
          <w:p w14:paraId="77ABB68D" w14:textId="77777777" w:rsidR="00DE161F" w:rsidRPr="00B35714" w:rsidRDefault="00DE161F" w:rsidP="006D3D5F">
            <w:pPr>
              <w:spacing w:line="276" w:lineRule="auto"/>
              <w:ind w:firstLine="709"/>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Así, considerando la discrecionalidad para establecer requisitos habilitantes con la que cuentan las entidades estatales,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Para efectos de establecer requisitos habilitantes, entonces, le asiste a la Entidad Estatal la carga justificativa de su adopción en los estudios y documentos previos del proceso de selección.</w:t>
            </w:r>
          </w:p>
          <w:p w14:paraId="11874353" w14:textId="77777777" w:rsidR="00DE161F" w:rsidRPr="00B35714" w:rsidRDefault="00DE161F" w:rsidP="006D3D5F">
            <w:pPr>
              <w:spacing w:line="276" w:lineRule="auto"/>
              <w:ind w:firstLine="709"/>
              <w:jc w:val="both"/>
              <w:rPr>
                <w:rFonts w:ascii="Verdana" w:eastAsia="Century Gothic" w:hAnsi="Verdana" w:cs="Century Gothic"/>
                <w:color w:val="000000" w:themeColor="text1"/>
              </w:rPr>
            </w:pPr>
          </w:p>
          <w:p w14:paraId="0D2E839F" w14:textId="77777777" w:rsidR="00DE161F" w:rsidRPr="00B35714" w:rsidRDefault="00DE161F" w:rsidP="006D3D5F">
            <w:pPr>
              <w:spacing w:line="276" w:lineRule="auto"/>
              <w:jc w:val="both"/>
              <w:rPr>
                <w:rFonts w:ascii="Verdana" w:hAnsi="Verdana"/>
              </w:rPr>
            </w:pPr>
            <w:r w:rsidRPr="00B35714">
              <w:rPr>
                <w:rFonts w:ascii="Verdana" w:eastAsia="Century Gothic" w:hAnsi="Verdana" w:cs="Century Gothic"/>
                <w:color w:val="000000" w:themeColor="text1"/>
              </w:rPr>
              <w:t>En Conclusión, las entidades estatales en los documentos precontractuales definirán las condiciones de las certificaciones que deberán aportar los interesados en el proceso de contratación indicando los datos que requiere para validar la experiencia solicitada, por lo cual le corresponde a la Entidad contratante establecer las condiciones relacionadas con la acreditación de la experiencia a fin de poder cumplir con lo señalado en el pliego de condiciones</w:t>
            </w:r>
            <w:r w:rsidRPr="00B35714">
              <w:rPr>
                <w:rFonts w:ascii="Verdana" w:hAnsi="Verdana"/>
              </w:rPr>
              <w:t>.</w:t>
            </w:r>
          </w:p>
          <w:p w14:paraId="4C7C34A4" w14:textId="77777777" w:rsidR="00DE161F" w:rsidRPr="00B35714" w:rsidRDefault="00DE161F" w:rsidP="006D3D5F">
            <w:pPr>
              <w:spacing w:line="276" w:lineRule="auto"/>
              <w:contextualSpacing/>
              <w:jc w:val="both"/>
              <w:rPr>
                <w:rFonts w:ascii="Verdana" w:eastAsia="Century Gothic" w:hAnsi="Verdana" w:cs="Century Gothic"/>
              </w:rPr>
            </w:pPr>
          </w:p>
        </w:tc>
      </w:tr>
    </w:tbl>
    <w:p w14:paraId="125C0114" w14:textId="77777777" w:rsidR="00DE161F" w:rsidRPr="00B35714" w:rsidRDefault="00DE161F" w:rsidP="00DE161F">
      <w:pPr>
        <w:tabs>
          <w:tab w:val="left" w:pos="142"/>
          <w:tab w:val="left" w:pos="284"/>
        </w:tabs>
        <w:spacing w:after="0" w:line="276" w:lineRule="auto"/>
        <w:jc w:val="both"/>
        <w:rPr>
          <w:rFonts w:ascii="Verdana" w:eastAsia="Century Gothic" w:hAnsi="Verdana" w:cs="Century Gothic"/>
          <w:b/>
          <w:bCs/>
          <w:lang w:val="es-ES"/>
        </w:rPr>
      </w:pPr>
    </w:p>
    <w:p w14:paraId="6EA2276B" w14:textId="77777777" w:rsidR="00DE161F" w:rsidRPr="00B35714" w:rsidRDefault="00DE161F" w:rsidP="00DE161F">
      <w:pPr>
        <w:spacing w:after="120" w:line="276" w:lineRule="auto"/>
        <w:ind w:firstLine="708"/>
        <w:jc w:val="both"/>
        <w:rPr>
          <w:rFonts w:ascii="Verdana" w:hAnsi="Verdana" w:cs="Arial"/>
          <w:color w:val="000000" w:themeColor="text1"/>
        </w:rPr>
      </w:pPr>
      <w:r w:rsidRPr="00B35714">
        <w:rPr>
          <w:rFonts w:ascii="Verdana" w:eastAsia="Century Gothic" w:hAnsi="Verdana" w:cs="Century Gothic"/>
          <w:b/>
          <w:bCs/>
        </w:rPr>
        <w:t>Razones de la respuesta:</w:t>
      </w:r>
      <w:r w:rsidRPr="00B35714">
        <w:rPr>
          <w:rFonts w:ascii="Verdana" w:hAnsi="Verdana" w:cs="Arial"/>
          <w:color w:val="000000" w:themeColor="text1"/>
        </w:rPr>
        <w:t xml:space="preserve"> </w:t>
      </w:r>
    </w:p>
    <w:p w14:paraId="5DCF14D4" w14:textId="77777777" w:rsidR="00DE161F" w:rsidRPr="00B35714" w:rsidRDefault="00DE161F" w:rsidP="00DE161F">
      <w:pPr>
        <w:spacing w:after="120" w:line="276" w:lineRule="auto"/>
        <w:ind w:firstLine="708"/>
        <w:jc w:val="both"/>
        <w:rPr>
          <w:rFonts w:ascii="Verdana" w:eastAsia="Calibri" w:hAnsi="Verdana" w:cs="Arial"/>
          <w:lang w:val="es-ES"/>
        </w:rPr>
      </w:pPr>
      <w:r w:rsidRPr="00B35714">
        <w:rPr>
          <w:rFonts w:ascii="Verdana" w:eastAsia="Calibri" w:hAnsi="Verdana" w:cs="Arial"/>
          <w:lang w:val="es-ES"/>
        </w:rPr>
        <w:lastRenderedPageBreak/>
        <w:t>Lo anterior se sustenta en las siguientes consideraciones:</w:t>
      </w:r>
    </w:p>
    <w:p w14:paraId="6C5EE4A7" w14:textId="77777777" w:rsidR="00DE161F" w:rsidRPr="00B35714" w:rsidRDefault="00DE161F" w:rsidP="00DE161F">
      <w:pPr>
        <w:spacing w:after="120" w:line="276" w:lineRule="auto"/>
        <w:ind w:firstLine="708"/>
        <w:jc w:val="both"/>
        <w:rPr>
          <w:rFonts w:ascii="Verdana" w:eastAsia="Calibri" w:hAnsi="Verdana" w:cs="Arial"/>
          <w:lang w:val="es-ES"/>
        </w:rPr>
      </w:pPr>
    </w:p>
    <w:p w14:paraId="0F76BA21"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 xml:space="preserve">Los </w:t>
      </w:r>
      <w:r w:rsidRPr="00B35714">
        <w:rPr>
          <w:rFonts w:ascii="Verdana" w:eastAsia="Century Gothic" w:hAnsi="Verdana" w:cs="Century Gothic"/>
          <w:i/>
          <w:iCs/>
          <w:color w:val="000000" w:themeColor="text1"/>
        </w:rPr>
        <w:t>requisitos habilitantes</w:t>
      </w:r>
      <w:r w:rsidRPr="00B35714">
        <w:rPr>
          <w:rFonts w:ascii="Verdana" w:eastAsia="Century Gothic" w:hAnsi="Verdana" w:cs="Century Gothic"/>
          <w:color w:val="000000" w:themeColor="text1"/>
        </w:rPr>
        <w:t xml:space="preserve"> se </w:t>
      </w:r>
      <w:r w:rsidRPr="00B35714">
        <w:rPr>
          <w:rFonts w:ascii="Century Gothic" w:eastAsia="Times New Roman" w:hAnsi="Century Gothic" w:cs="Arial"/>
          <w:color w:val="000000"/>
          <w:bdr w:val="none" w:sz="0" w:space="0" w:color="auto" w:frame="1"/>
          <w:lang w:eastAsia="es-MX"/>
        </w:rPr>
        <w:t>definen</w:t>
      </w:r>
      <w:r w:rsidRPr="00B35714">
        <w:rPr>
          <w:rFonts w:ascii="Verdana" w:eastAsia="Century Gothic" w:hAnsi="Verdana" w:cs="Century Gothic"/>
          <w:color w:val="000000" w:themeColor="text1"/>
        </w:rPr>
        <w:t xml:space="preserve">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w:t>
      </w:r>
      <w:r w:rsidRPr="00B35714">
        <w:rPr>
          <w:rFonts w:ascii="Verdana" w:eastAsia="Century Gothic" w:hAnsi="Verdana" w:cs="Century Gothic"/>
          <w:i/>
          <w:iCs/>
          <w:color w:val="000000" w:themeColor="text1"/>
        </w:rPr>
        <w:t>criterios de evaluación</w:t>
      </w:r>
      <w:r w:rsidRPr="00B35714">
        <w:rPr>
          <w:rFonts w:ascii="Verdana" w:eastAsia="Century Gothic" w:hAnsi="Verdana" w:cs="Century Gothic"/>
          <w:color w:val="000000" w:themeColor="text1"/>
        </w:rPr>
        <w:t xml:space="preserve"> –también conocidos como </w:t>
      </w:r>
      <w:r w:rsidRPr="00B35714">
        <w:rPr>
          <w:rFonts w:ascii="Verdana" w:eastAsia="Century Gothic" w:hAnsi="Verdana" w:cs="Century Gothic"/>
          <w:i/>
          <w:iCs/>
          <w:color w:val="000000" w:themeColor="text1"/>
        </w:rPr>
        <w:t>criterios de calificación</w:t>
      </w:r>
      <w:r w:rsidRPr="00B35714">
        <w:rPr>
          <w:rFonts w:ascii="Verdana" w:eastAsia="Century Gothic" w:hAnsi="Verdana" w:cs="Century Gothic"/>
          <w:color w:val="000000" w:themeColor="text1"/>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58CF4759"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22F1067D" w14:textId="77777777" w:rsidR="00DE161F" w:rsidRPr="00B35714" w:rsidRDefault="00DE161F" w:rsidP="00DE161F">
      <w:pPr>
        <w:pStyle w:val="Prrafodelista"/>
        <w:numPr>
          <w:ilvl w:val="0"/>
          <w:numId w:val="20"/>
        </w:numPr>
        <w:spacing w:after="120"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w:t>
      </w:r>
      <w:r w:rsidRPr="00B35714">
        <w:rPr>
          <w:rFonts w:ascii="Verdana" w:eastAsia="Century Gothic" w:hAnsi="Verdana" w:cs="Century Gothic"/>
          <w:i/>
          <w:iCs/>
          <w:color w:val="000000" w:themeColor="text1"/>
        </w:rPr>
        <w:t>.</w:t>
      </w:r>
      <w:r w:rsidRPr="00B35714">
        <w:rPr>
          <w:rFonts w:ascii="Verdana" w:eastAsia="Century Gothic" w:hAnsi="Verdana" w:cs="Century Gothic"/>
          <w:color w:val="000000" w:themeColor="text1"/>
        </w:rPr>
        <w:t xml:space="preserve">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w:t>
      </w:r>
      <w:r w:rsidRPr="00B35714">
        <w:rPr>
          <w:rFonts w:ascii="Verdana" w:eastAsia="Century Gothic" w:hAnsi="Verdana" w:cs="Century Gothic"/>
          <w:i/>
          <w:iCs/>
          <w:color w:val="000000" w:themeColor="text1"/>
        </w:rPr>
        <w:t>entre otros</w:t>
      </w:r>
      <w:r w:rsidRPr="00B35714">
        <w:rPr>
          <w:rFonts w:ascii="Verdana" w:eastAsia="Century Gothic" w:hAnsi="Verdana" w:cs="Century Gothic"/>
          <w:color w:val="000000" w:themeColor="text1"/>
        </w:rPr>
        <w:t xml:space="preserve">, los siguientes: </w:t>
      </w:r>
      <w:r w:rsidRPr="00B35714">
        <w:rPr>
          <w:rFonts w:ascii="Verdana" w:eastAsia="Century Gothic" w:hAnsi="Verdana" w:cs="Century Gothic"/>
          <w:color w:val="000000" w:themeColor="text1"/>
        </w:rPr>
        <w:lastRenderedPageBreak/>
        <w:t xml:space="preserve">i) la capacidad jurídica; </w:t>
      </w:r>
      <w:proofErr w:type="spellStart"/>
      <w:r w:rsidRPr="00B35714">
        <w:rPr>
          <w:rFonts w:ascii="Verdana" w:eastAsia="Century Gothic" w:hAnsi="Verdana" w:cs="Century Gothic"/>
          <w:color w:val="000000" w:themeColor="text1"/>
        </w:rPr>
        <w:t>ii</w:t>
      </w:r>
      <w:proofErr w:type="spellEnd"/>
      <w:r w:rsidRPr="00B35714">
        <w:rPr>
          <w:rFonts w:ascii="Verdana" w:eastAsia="Century Gothic" w:hAnsi="Verdana" w:cs="Century Gothic"/>
          <w:color w:val="000000" w:themeColor="text1"/>
        </w:rPr>
        <w:t xml:space="preserve">) la experiencia; </w:t>
      </w:r>
      <w:proofErr w:type="spellStart"/>
      <w:r w:rsidRPr="00B35714">
        <w:rPr>
          <w:rFonts w:ascii="Verdana" w:eastAsia="Century Gothic" w:hAnsi="Verdana" w:cs="Century Gothic"/>
          <w:color w:val="000000" w:themeColor="text1"/>
        </w:rPr>
        <w:t>iii</w:t>
      </w:r>
      <w:proofErr w:type="spellEnd"/>
      <w:r w:rsidRPr="00B35714">
        <w:rPr>
          <w:rFonts w:ascii="Verdana" w:eastAsia="Century Gothic" w:hAnsi="Verdana" w:cs="Century Gothic"/>
          <w:color w:val="000000" w:themeColor="text1"/>
        </w:rPr>
        <w:t xml:space="preserve">) la capacidad financiera y </w:t>
      </w:r>
      <w:proofErr w:type="spellStart"/>
      <w:r w:rsidRPr="00B35714">
        <w:rPr>
          <w:rFonts w:ascii="Verdana" w:eastAsia="Century Gothic" w:hAnsi="Verdana" w:cs="Century Gothic"/>
          <w:color w:val="000000" w:themeColor="text1"/>
        </w:rPr>
        <w:t>iv</w:t>
      </w:r>
      <w:proofErr w:type="spellEnd"/>
      <w:r w:rsidRPr="00B35714">
        <w:rPr>
          <w:rFonts w:ascii="Verdana" w:eastAsia="Century Gothic" w:hAnsi="Verdana" w:cs="Century Gothic"/>
          <w:color w:val="000000" w:themeColor="text1"/>
        </w:rPr>
        <w:t>) la capacidad de organización.</w:t>
      </w:r>
    </w:p>
    <w:p w14:paraId="1392A522"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 xml:space="preserve">Esta Agencia puso a disposición de los interesados el </w:t>
      </w:r>
      <w:r w:rsidRPr="00B35714">
        <w:rPr>
          <w:rFonts w:ascii="Verdana" w:eastAsia="Century Gothic" w:hAnsi="Verdana" w:cs="Century Gothic"/>
          <w:i/>
          <w:iCs/>
          <w:color w:val="000000" w:themeColor="text1"/>
        </w:rPr>
        <w:t>“Manual para determinar y verificar los requisitos habilitantes en los procesos de contratación”.</w:t>
      </w:r>
      <w:r w:rsidRPr="00B35714">
        <w:rPr>
          <w:rFonts w:ascii="Verdana" w:eastAsia="Century Gothic" w:hAnsi="Verdana" w:cs="Century Gothic"/>
          <w:color w:val="000000" w:themeColor="text1"/>
        </w:rPr>
        <w:t xml:space="preserve">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w:t>
      </w:r>
    </w:p>
    <w:p w14:paraId="7BD5B3E8"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 xml:space="preserve">Considerando la discrecionalidad para establecer los requisitos habilitantes, es necesario tener en cuenta que </w:t>
      </w:r>
      <w:r w:rsidRPr="00B35714">
        <w:rPr>
          <w:rFonts w:ascii="Verdana" w:eastAsia="Century Gothic" w:hAnsi="Verdana" w:cs="Century Gothic"/>
        </w:rPr>
        <w:t>el artículo 44 de la Ley 1437 de 2011 –aplicable en los procedimientos contractuales en virtud del artículo 77 de la Ley 80 de 1993– dispone que “</w:t>
      </w:r>
      <w:r w:rsidRPr="00B35714">
        <w:rPr>
          <w:rFonts w:ascii="Verdana" w:eastAsia="Century Gothic" w:hAnsi="Verdana" w:cs="Century Gothic"/>
          <w:i/>
          <w:iCs/>
        </w:rPr>
        <w:t>En la medida en que el contenido de una decisión de carácter general o particular sea discrecional, debe ser adecuada a los fines de la norma que la autoriza, y proporcional a los hechos que le sirven de causa”.</w:t>
      </w:r>
      <w:r w:rsidRPr="00B35714">
        <w:rPr>
          <w:rFonts w:ascii="Verdana" w:eastAsia="Century Gothic" w:hAnsi="Verdana" w:cs="Century Gothic"/>
        </w:rPr>
        <w:t xml:space="preserve"> En consecuencia, para efectos de los escenarios descritos en el párrafo precedente, la inclusión o exclusión de </w:t>
      </w:r>
      <w:r w:rsidRPr="00B35714">
        <w:rPr>
          <w:rFonts w:ascii="Verdana" w:eastAsia="Century Gothic" w:hAnsi="Verdana" w:cs="Century Gothic"/>
          <w:color w:val="000000" w:themeColor="text1"/>
        </w:rPr>
        <w:t>los indicadores previstos en el artículo 2.2.1.1.1.5.3 del Decreto 1082 de 2015</w:t>
      </w:r>
      <w:r w:rsidRPr="00B35714">
        <w:rPr>
          <w:rFonts w:ascii="Verdana" w:eastAsia="Century Gothic" w:hAnsi="Verdana" w:cs="Century Gothic"/>
        </w:rPr>
        <w:t xml:space="preserve"> está unida a la carga justificativa de la Entidad Estatal en los estudios y documentos previos del proceso de selección.</w:t>
      </w:r>
      <w:r w:rsidRPr="00B35714">
        <w:rPr>
          <w:rFonts w:ascii="Verdana" w:eastAsia="Century Gothic" w:hAnsi="Verdana" w:cs="Century Gothic"/>
          <w:color w:val="000000" w:themeColor="text1"/>
        </w:rPr>
        <w:t xml:space="preserve">   </w:t>
      </w:r>
    </w:p>
    <w:p w14:paraId="5063D214"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Al respecto, es importante señalar que para que la Entidad Estatal defina ciertos indicadores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contractual</w:t>
      </w:r>
      <w:hyperlink r:id="rId13" w:anchor="_ftn7" w:history="1">
        <w:r w:rsidRPr="00B35714">
          <w:rPr>
            <w:rStyle w:val="Hipervnculo"/>
            <w:rFonts w:ascii="Verdana" w:eastAsia="Calibri" w:hAnsi="Verdana" w:cs="Calibri"/>
            <w:vertAlign w:val="superscript"/>
          </w:rPr>
          <w:t>[7]</w:t>
        </w:r>
      </w:hyperlink>
      <w:r w:rsidRPr="00B35714">
        <w:rPr>
          <w:rFonts w:ascii="Verdana" w:eastAsia="Century Gothic" w:hAnsi="Verdana" w:cs="Century Gothic"/>
          <w:color w:val="000000" w:themeColor="text1"/>
        </w:rPr>
        <w:t>. Sus resultados deben interpretarse observando el riesgo que un indicador alto o bajo representa para el procedimiento. Por ende, la Entidad Estatal debe establecer unos límites dentro de los cuales se garantice que el proponente pueda cumplir el contrato en caso de celebrarlo</w:t>
      </w:r>
      <w:hyperlink r:id="rId14" w:anchor="_ftn8" w:history="1">
        <w:r w:rsidRPr="00B35714">
          <w:rPr>
            <w:rStyle w:val="Hipervnculo"/>
            <w:rFonts w:ascii="Verdana" w:eastAsia="Calibri" w:hAnsi="Verdana" w:cs="Calibri"/>
            <w:vertAlign w:val="superscript"/>
          </w:rPr>
          <w:t>[8]</w:t>
        </w:r>
      </w:hyperlink>
      <w:r w:rsidRPr="00B35714">
        <w:rPr>
          <w:rFonts w:ascii="Verdana" w:eastAsia="Century Gothic" w:hAnsi="Verdana" w:cs="Century Gothic"/>
          <w:color w:val="000000" w:themeColor="text1"/>
        </w:rPr>
        <w:t xml:space="preserve">. </w:t>
      </w:r>
    </w:p>
    <w:p w14:paraId="207F1A6A" w14:textId="77777777" w:rsidR="00DE161F" w:rsidRPr="00B35714" w:rsidRDefault="00DE161F" w:rsidP="00DE161F">
      <w:pPr>
        <w:pStyle w:val="Prrafodelista"/>
        <w:numPr>
          <w:ilvl w:val="0"/>
          <w:numId w:val="20"/>
        </w:numPr>
        <w:spacing w:line="276" w:lineRule="auto"/>
        <w:jc w:val="both"/>
        <w:rPr>
          <w:rFonts w:ascii="Verdana" w:eastAsia="Century Gothic" w:hAnsi="Verdana" w:cs="Century Gothic"/>
          <w:color w:val="000000" w:themeColor="text1"/>
        </w:rPr>
      </w:pPr>
      <w:r w:rsidRPr="00B35714">
        <w:rPr>
          <w:rFonts w:ascii="Verdana" w:eastAsia="Century Gothic" w:hAnsi="Verdana" w:cs="Century Gothic"/>
          <w:color w:val="000000" w:themeColor="text1"/>
        </w:rPr>
        <w:t xml:space="preserve">Corresponde a las entidades estatales, durante la etapa de planeación del contrato estatal, estudiar y determinar los requisitos habilitantes que </w:t>
      </w:r>
      <w:r w:rsidRPr="00B35714">
        <w:rPr>
          <w:rFonts w:ascii="Verdana" w:eastAsia="Century Gothic" w:hAnsi="Verdana" w:cs="Century Gothic"/>
          <w:color w:val="000000" w:themeColor="text1"/>
        </w:rPr>
        <w:lastRenderedPageBreak/>
        <w:t>establecerán en los pliegos de condiciones, los cuales deben fijarse de forma adecuada y proporcional. Esto último, según se deriva de la lectura del artículo 2.2.1.1.1.6.2 del Decreto 1082 de 2015, debe hacerse de acuerdo con la naturaleza, el valor del contrato, la forma de pago, los riesgos asociados al contrato, el plazo y la complejidad de ejecución del objeto. Todo porque la facultad de establecer los requisitos habilitantes no puede ejercerse de forma arbitraria, caprichosa y, mucho menos, con el ánimo de direccionar el proceso de contratación o favorecer a alguno de los proponentes, así como tampoco puede ejercerse desconociendo límites legales, como, por ejemplo, el que establece el artículo 5, parágrafo 2, de la Ley 1150 de 2007, relacionado con la prohibición de exigir certificaciones de sistemas de gestión de calidad como requisito habilitante.</w:t>
      </w:r>
    </w:p>
    <w:p w14:paraId="4725237B" w14:textId="77777777" w:rsidR="00DE161F" w:rsidRPr="00B35714" w:rsidRDefault="00DE161F" w:rsidP="00DE161F">
      <w:pPr>
        <w:widowControl w:val="0"/>
        <w:autoSpaceDE w:val="0"/>
        <w:autoSpaceDN w:val="0"/>
        <w:spacing w:after="0" w:line="276" w:lineRule="auto"/>
        <w:jc w:val="both"/>
        <w:rPr>
          <w:rFonts w:ascii="Verdana" w:hAnsi="Verdana" w:cs="Arial"/>
        </w:rPr>
      </w:pPr>
    </w:p>
    <w:p w14:paraId="76CF10C1" w14:textId="77777777" w:rsidR="00DE161F" w:rsidRPr="00B35714" w:rsidRDefault="00DE161F" w:rsidP="00DE16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Referencias normativas, jurisprudenciales y otras fuentes:</w:t>
      </w:r>
    </w:p>
    <w:p w14:paraId="00C2AB9C" w14:textId="77777777" w:rsidR="00DE161F" w:rsidRPr="00B35714" w:rsidRDefault="00DE161F" w:rsidP="00DE161F">
      <w:pPr>
        <w:widowControl w:val="0"/>
        <w:autoSpaceDE w:val="0"/>
        <w:autoSpaceDN w:val="0"/>
        <w:spacing w:after="0" w:line="276" w:lineRule="auto"/>
        <w:jc w:val="both"/>
        <w:rPr>
          <w:rFonts w:ascii="Verdana" w:hAnsi="Verdana" w:cs="Arial"/>
        </w:rPr>
      </w:pPr>
    </w:p>
    <w:tbl>
      <w:tblPr>
        <w:tblStyle w:val="Tablaconcuadrcula"/>
        <w:tblW w:w="864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E161F" w:rsidRPr="00B35714" w14:paraId="1F50D4C2" w14:textId="77777777" w:rsidTr="006D3D5F">
        <w:trPr>
          <w:trHeight w:val="2945"/>
        </w:trPr>
        <w:tc>
          <w:tcPr>
            <w:tcW w:w="8647" w:type="dxa"/>
          </w:tcPr>
          <w:p w14:paraId="473E3DF0" w14:textId="77777777" w:rsidR="00DE161F" w:rsidRPr="00B35714" w:rsidRDefault="00DE161F" w:rsidP="00DE161F">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eastAsia="Century Gothic" w:hAnsi="Verdana" w:cs="Century Gothic"/>
                <w:sz w:val="21"/>
                <w:szCs w:val="21"/>
                <w:lang w:val="es"/>
              </w:rPr>
              <w:t>Ley 1150 de 2007 artículo 5,</w:t>
            </w:r>
            <w:r w:rsidRPr="00B35714">
              <w:rPr>
                <w:rFonts w:ascii="Verdana" w:hAnsi="Verdana" w:cs="Arial"/>
                <w:sz w:val="21"/>
                <w:szCs w:val="21"/>
              </w:rPr>
              <w:t xml:space="preserve"> artículo</w:t>
            </w:r>
            <w:r w:rsidRPr="00B35714">
              <w:rPr>
                <w:rFonts w:ascii="Verdana" w:hAnsi="Verdana" w:cs="Arial"/>
                <w:spacing w:val="-9"/>
                <w:sz w:val="21"/>
                <w:szCs w:val="21"/>
              </w:rPr>
              <w:t xml:space="preserve"> </w:t>
            </w:r>
            <w:r w:rsidRPr="00B35714">
              <w:rPr>
                <w:rFonts w:ascii="Verdana" w:hAnsi="Verdana" w:cs="Arial"/>
                <w:sz w:val="21"/>
                <w:szCs w:val="21"/>
              </w:rPr>
              <w:t>6.1, artículo</w:t>
            </w:r>
            <w:r w:rsidRPr="00B35714">
              <w:rPr>
                <w:rFonts w:ascii="Verdana" w:hAnsi="Verdana" w:cs="Arial"/>
                <w:spacing w:val="-9"/>
                <w:sz w:val="21"/>
                <w:szCs w:val="21"/>
              </w:rPr>
              <w:t xml:space="preserve"> </w:t>
            </w:r>
            <w:r w:rsidRPr="00B35714">
              <w:rPr>
                <w:rFonts w:ascii="Verdana" w:hAnsi="Verdana" w:cs="Arial"/>
                <w:sz w:val="21"/>
                <w:szCs w:val="21"/>
              </w:rPr>
              <w:t>6.2, artículo</w:t>
            </w:r>
            <w:r w:rsidRPr="00B35714">
              <w:rPr>
                <w:rFonts w:ascii="Verdana" w:hAnsi="Verdana" w:cs="Arial"/>
                <w:spacing w:val="-9"/>
                <w:sz w:val="21"/>
                <w:szCs w:val="21"/>
              </w:rPr>
              <w:t xml:space="preserve"> </w:t>
            </w:r>
            <w:r w:rsidRPr="00B35714">
              <w:rPr>
                <w:rFonts w:ascii="Verdana" w:hAnsi="Verdana" w:cs="Arial"/>
                <w:sz w:val="21"/>
                <w:szCs w:val="21"/>
              </w:rPr>
              <w:t>6.3</w:t>
            </w:r>
            <w:r w:rsidRPr="00B35714">
              <w:rPr>
                <w:rFonts w:ascii="Verdana" w:eastAsia="Century Gothic" w:hAnsi="Verdana" w:cs="Century Gothic"/>
                <w:sz w:val="21"/>
                <w:szCs w:val="21"/>
                <w:lang w:val="es"/>
              </w:rPr>
              <w:t xml:space="preserve">, </w:t>
            </w:r>
            <w:r w:rsidRPr="00B35714">
              <w:rPr>
                <w:rFonts w:ascii="Verdana" w:eastAsia="Century Gothic" w:hAnsi="Verdana" w:cs="Century Gothic"/>
                <w:sz w:val="21"/>
                <w:szCs w:val="21"/>
              </w:rPr>
              <w:t>Ley 1437 de 2011</w:t>
            </w:r>
            <w:r w:rsidRPr="00B35714">
              <w:rPr>
                <w:rFonts w:ascii="Verdana" w:eastAsia="Century Gothic" w:hAnsi="Verdana" w:cs="Century Gothic"/>
                <w:sz w:val="21"/>
                <w:szCs w:val="21"/>
                <w:lang w:val="es"/>
              </w:rPr>
              <w:t xml:space="preserve"> </w:t>
            </w:r>
            <w:r w:rsidRPr="00B35714">
              <w:rPr>
                <w:rFonts w:ascii="Verdana" w:eastAsia="Century Gothic" w:hAnsi="Verdana" w:cs="Century Gothic"/>
                <w:sz w:val="21"/>
                <w:szCs w:val="21"/>
              </w:rPr>
              <w:t>artículo 44, Ley 80 de 1993 artículo 77, Decreto 1082 de 2015 artículo 2.2.1.1.1.5.3,</w:t>
            </w:r>
            <w:r w:rsidRPr="00B35714">
              <w:rPr>
                <w:rFonts w:ascii="Verdana" w:eastAsia="Century Gothic" w:hAnsi="Verdana" w:cs="Century Gothic"/>
              </w:rPr>
              <w:t xml:space="preserve"> </w:t>
            </w:r>
            <w:proofErr w:type="gramStart"/>
            <w:r w:rsidRPr="00B35714">
              <w:rPr>
                <w:rFonts w:ascii="Verdana" w:eastAsia="Century Gothic" w:hAnsi="Verdana" w:cs="Century Gothic"/>
              </w:rPr>
              <w:t xml:space="preserve">2.2.1.1.1.5.1 </w:t>
            </w:r>
            <w:r w:rsidRPr="00B35714">
              <w:rPr>
                <w:rFonts w:ascii="Verdana" w:eastAsia="Century Gothic" w:hAnsi="Verdana" w:cs="Century Gothic"/>
                <w:sz w:val="21"/>
                <w:szCs w:val="21"/>
              </w:rPr>
              <w:t xml:space="preserve"> </w:t>
            </w:r>
            <w:r>
              <w:rPr>
                <w:rFonts w:ascii="Verdana" w:eastAsia="Century Gothic" w:hAnsi="Verdana" w:cs="Century Gothic"/>
                <w:sz w:val="21"/>
                <w:szCs w:val="21"/>
              </w:rPr>
              <w:t>.</w:t>
            </w:r>
            <w:proofErr w:type="gramEnd"/>
          </w:p>
          <w:p w14:paraId="39DAF7DB" w14:textId="77777777" w:rsidR="00DE161F" w:rsidRPr="00B35714" w:rsidRDefault="00DE161F" w:rsidP="00DE161F">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B35714">
              <w:rPr>
                <w:rFonts w:ascii="Verdana" w:eastAsia="Century Gothic" w:hAnsi="Verdana" w:cs="Century Gothic"/>
              </w:rPr>
              <w:t xml:space="preserve"> </w:t>
            </w:r>
            <w:r w:rsidRPr="00B35714">
              <w:rPr>
                <w:rFonts w:ascii="Verdana" w:hAnsi="Verdana" w:cs="Arial"/>
              </w:rPr>
              <w:t xml:space="preserve">Jurisprudencia del Consejo de Estado. Disponible en: </w:t>
            </w:r>
            <w:hyperlink r:id="rId15" w:history="1">
              <w:r w:rsidRPr="00B35714">
                <w:rPr>
                  <w:rStyle w:val="Hipervnculo"/>
                  <w:rFonts w:ascii="Verdana" w:hAnsi="Verdana" w:cs="Arial"/>
                </w:rPr>
                <w:t>https://relatoria.colombiacompra.gov.co/providencias-consejo-de-estado/</w:t>
              </w:r>
            </w:hyperlink>
            <w:r w:rsidRPr="00B35714">
              <w:rPr>
                <w:rFonts w:ascii="Verdana" w:hAnsi="Verdana" w:cs="Arial"/>
              </w:rPr>
              <w:t xml:space="preserve"> </w:t>
            </w:r>
          </w:p>
          <w:p w14:paraId="20635F6E" w14:textId="77777777" w:rsidR="00DE161F" w:rsidRPr="00160EDB" w:rsidRDefault="00DE161F" w:rsidP="00DE161F">
            <w:pPr>
              <w:pStyle w:val="Prrafodelista"/>
              <w:widowControl w:val="0"/>
              <w:numPr>
                <w:ilvl w:val="0"/>
                <w:numId w:val="8"/>
              </w:numPr>
              <w:autoSpaceDE w:val="0"/>
              <w:autoSpaceDN w:val="0"/>
              <w:spacing w:after="120" w:line="276" w:lineRule="auto"/>
              <w:contextualSpacing w:val="0"/>
              <w:jc w:val="both"/>
              <w:rPr>
                <w:rFonts w:ascii="Verdana" w:hAnsi="Verdana" w:cs="Arial"/>
                <w:lang w:val="es-ES"/>
              </w:rPr>
            </w:pPr>
            <w:r w:rsidRPr="00B35714">
              <w:rPr>
                <w:rFonts w:ascii="Verdana" w:hAnsi="Verdana" w:cs="Arial"/>
              </w:rPr>
              <w:t>Guías y manuales expedidos por la ANCP-CCE. Disponible en:</w:t>
            </w:r>
            <w:r w:rsidRPr="00B35714">
              <w:rPr>
                <w:rFonts w:ascii="Verdana" w:hAnsi="Verdana"/>
              </w:rPr>
              <w:t xml:space="preserve"> </w:t>
            </w:r>
            <w:hyperlink r:id="rId16" w:history="1">
              <w:r w:rsidRPr="00B35714">
                <w:rPr>
                  <w:rStyle w:val="Hipervnculo"/>
                  <w:rFonts w:ascii="Verdana" w:hAnsi="Verdana" w:cs="Arial"/>
                </w:rPr>
                <w:t>https://www.colombiacompra.gov.co/manuales-guias-y-pliegos-tipo/manuales-y-guias</w:t>
              </w:r>
            </w:hyperlink>
          </w:p>
        </w:tc>
      </w:tr>
    </w:tbl>
    <w:p w14:paraId="7AFEC920" w14:textId="77777777" w:rsidR="00DE161F" w:rsidRPr="00B35714" w:rsidRDefault="00DE161F" w:rsidP="00DE161F">
      <w:pPr>
        <w:widowControl w:val="0"/>
        <w:autoSpaceDE w:val="0"/>
        <w:autoSpaceDN w:val="0"/>
        <w:spacing w:after="0" w:line="276" w:lineRule="auto"/>
        <w:jc w:val="both"/>
        <w:rPr>
          <w:rFonts w:ascii="Verdana" w:hAnsi="Verdana" w:cs="Arial"/>
        </w:rPr>
      </w:pPr>
    </w:p>
    <w:p w14:paraId="1B76C8BD" w14:textId="77777777" w:rsidR="00DE161F" w:rsidRPr="00B35714" w:rsidRDefault="00DE161F" w:rsidP="00DE161F">
      <w:pPr>
        <w:widowControl w:val="0"/>
        <w:autoSpaceDE w:val="0"/>
        <w:autoSpaceDN w:val="0"/>
        <w:spacing w:after="0" w:line="276" w:lineRule="auto"/>
        <w:jc w:val="both"/>
        <w:rPr>
          <w:rFonts w:ascii="Verdana" w:hAnsi="Verdana" w:cs="Arial"/>
        </w:rPr>
      </w:pPr>
    </w:p>
    <w:p w14:paraId="36FFB4BB" w14:textId="77777777" w:rsidR="00DE161F" w:rsidRPr="00B35714" w:rsidRDefault="00DE161F" w:rsidP="00DE161F">
      <w:pPr>
        <w:widowControl w:val="0"/>
        <w:autoSpaceDE w:val="0"/>
        <w:autoSpaceDN w:val="0"/>
        <w:spacing w:after="0" w:line="276" w:lineRule="auto"/>
        <w:jc w:val="both"/>
        <w:rPr>
          <w:rFonts w:ascii="Verdana" w:hAnsi="Verdana" w:cs="Arial"/>
        </w:rPr>
      </w:pPr>
    </w:p>
    <w:p w14:paraId="0AC53B02" w14:textId="77777777" w:rsidR="00DE161F" w:rsidRPr="00B35714" w:rsidRDefault="00DE161F" w:rsidP="00DE161F">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35714">
        <w:rPr>
          <w:rFonts w:ascii="Verdana" w:eastAsia="Century Gothic" w:hAnsi="Verdana" w:cs="Century Gothic"/>
          <w:b/>
          <w:bCs/>
        </w:rPr>
        <w:t>Doctrina de la Agencia Nacional de Contratación Pública:</w:t>
      </w:r>
    </w:p>
    <w:p w14:paraId="4B7583BB" w14:textId="77777777" w:rsidR="00DE161F" w:rsidRPr="00B35714" w:rsidRDefault="00DE161F" w:rsidP="00DE161F">
      <w:pPr>
        <w:widowControl w:val="0"/>
        <w:autoSpaceDE w:val="0"/>
        <w:autoSpaceDN w:val="0"/>
        <w:spacing w:after="0" w:line="276" w:lineRule="auto"/>
        <w:jc w:val="both"/>
        <w:rPr>
          <w:rFonts w:ascii="Verdana" w:hAnsi="Verdana" w:cs="Arial"/>
        </w:rPr>
      </w:pPr>
    </w:p>
    <w:p w14:paraId="764B8C20" w14:textId="77777777" w:rsidR="00DE161F" w:rsidRPr="00B35714" w:rsidRDefault="00DE161F" w:rsidP="00DE161F">
      <w:pPr>
        <w:widowControl w:val="0"/>
        <w:autoSpaceDE w:val="0"/>
        <w:autoSpaceDN w:val="0"/>
        <w:spacing w:after="0" w:line="276" w:lineRule="auto"/>
        <w:jc w:val="both"/>
        <w:rPr>
          <w:rFonts w:ascii="Verdana" w:eastAsia="Century Gothic" w:hAnsi="Verdana" w:cs="Century Gothic"/>
          <w:color w:val="000000" w:themeColor="text1"/>
        </w:rPr>
      </w:pPr>
      <w:r w:rsidRPr="00B35714">
        <w:rPr>
          <w:rFonts w:ascii="Verdana" w:hAnsi="Verdana" w:cs="Arial"/>
        </w:rPr>
        <w:t xml:space="preserve">La Agencia Nacional de Contratación Pública – Colombia Compra Eficiente, se ha pronunciado </w:t>
      </w:r>
      <w:r w:rsidRPr="00B35714">
        <w:rPr>
          <w:rFonts w:ascii="Verdana" w:eastAsia="Century Gothic" w:hAnsi="Verdana" w:cs="Century Gothic"/>
          <w:color w:val="000000" w:themeColor="text1"/>
        </w:rPr>
        <w:t xml:space="preserve">sobre los requisitos habilitantes en los conceptos del 15 de </w:t>
      </w:r>
      <w:r w:rsidRPr="00B35714">
        <w:rPr>
          <w:rFonts w:ascii="Verdana" w:eastAsia="Century Gothic" w:hAnsi="Verdana" w:cs="Century Gothic"/>
          <w:color w:val="000000" w:themeColor="text1"/>
        </w:rPr>
        <w:lastRenderedPageBreak/>
        <w:t xml:space="preserve">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 C-387 de 3 de agosto de 2021, C-669 de 3 de diciembre de 2021, C-573 de 13 de septiembre de 2022, C- 831 de 28 de noviembre de 2022 y C-868 del 19 de diciembre de 2022, C-432 de 2023  del 23 de octubre , C – 026 de 2024 C-349 de 2024 del 15 de agosto de 2024 , entre otros. Estos y otros conceptos se encuentran disponibles para consulta en el Sistema de relatoría de la Agencia, al cual se puede acceder a través del siguiente enlace: </w:t>
      </w:r>
    </w:p>
    <w:p w14:paraId="4B4B96BE" w14:textId="77777777" w:rsidR="00DE161F" w:rsidRPr="00B35714" w:rsidRDefault="00DE161F" w:rsidP="00DE161F">
      <w:pPr>
        <w:widowControl w:val="0"/>
        <w:autoSpaceDE w:val="0"/>
        <w:autoSpaceDN w:val="0"/>
        <w:spacing w:after="0" w:line="276" w:lineRule="auto"/>
        <w:jc w:val="both"/>
        <w:rPr>
          <w:rFonts w:ascii="Verdana" w:eastAsia="Century Gothic" w:hAnsi="Verdana" w:cs="Century Gothic"/>
          <w:color w:val="000000" w:themeColor="text1"/>
        </w:rPr>
      </w:pPr>
    </w:p>
    <w:p w14:paraId="2DE2DF40" w14:textId="77777777" w:rsidR="00DE161F" w:rsidRPr="00B35714" w:rsidRDefault="00B4544D" w:rsidP="00DE161F">
      <w:pPr>
        <w:widowControl w:val="0"/>
        <w:autoSpaceDE w:val="0"/>
        <w:autoSpaceDN w:val="0"/>
        <w:spacing w:after="0" w:line="276" w:lineRule="auto"/>
        <w:jc w:val="both"/>
        <w:rPr>
          <w:rFonts w:ascii="Verdana" w:eastAsia="Calibri" w:hAnsi="Verdana"/>
          <w:lang w:val="es-ES_tradnl"/>
        </w:rPr>
      </w:pPr>
      <w:hyperlink r:id="rId17" w:history="1">
        <w:r w:rsidR="00DE161F" w:rsidRPr="00B35714">
          <w:rPr>
            <w:rStyle w:val="Hipervnculo"/>
            <w:rFonts w:ascii="Verdana" w:eastAsia="Calibri" w:hAnsi="Verdana"/>
            <w:lang w:val="es-ES_tradnl"/>
          </w:rPr>
          <w:t>https://relatoria.colombiacompra.gov.co/busqueda/conceptos</w:t>
        </w:r>
      </w:hyperlink>
      <w:r w:rsidR="00DE161F" w:rsidRPr="00B35714">
        <w:rPr>
          <w:rFonts w:ascii="Verdana" w:eastAsia="Calibri" w:hAnsi="Verdana"/>
          <w:lang w:val="es-ES_tradnl"/>
        </w:rPr>
        <w:t xml:space="preserve">. </w:t>
      </w:r>
    </w:p>
    <w:p w14:paraId="739B6720" w14:textId="77777777" w:rsidR="00DE161F" w:rsidRPr="00B35714" w:rsidRDefault="00DE161F" w:rsidP="00DE161F">
      <w:pPr>
        <w:widowControl w:val="0"/>
        <w:autoSpaceDE w:val="0"/>
        <w:autoSpaceDN w:val="0"/>
        <w:spacing w:after="0" w:line="276" w:lineRule="auto"/>
        <w:jc w:val="both"/>
        <w:rPr>
          <w:rFonts w:ascii="Verdana" w:eastAsia="Calibri" w:hAnsi="Verdana"/>
          <w:lang w:val="es-ES_tradnl"/>
        </w:rPr>
      </w:pPr>
    </w:p>
    <w:p w14:paraId="2BD01E67" w14:textId="77777777" w:rsidR="00DE161F" w:rsidRPr="00B35714" w:rsidRDefault="00DE161F" w:rsidP="00DE161F">
      <w:pPr>
        <w:widowControl w:val="0"/>
        <w:autoSpaceDE w:val="0"/>
        <w:autoSpaceDN w:val="0"/>
        <w:spacing w:after="0" w:line="276" w:lineRule="auto"/>
        <w:jc w:val="both"/>
        <w:rPr>
          <w:rFonts w:ascii="Verdana" w:eastAsia="Calibri" w:hAnsi="Verdana" w:cs="Arial"/>
          <w:lang w:val="es-ES_tradnl"/>
        </w:rPr>
      </w:pPr>
    </w:p>
    <w:p w14:paraId="6A2B1EEC" w14:textId="77777777" w:rsidR="00DE161F" w:rsidRPr="00B35714" w:rsidRDefault="00DE161F" w:rsidP="00DE161F">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Por último, lo invitamos a seguirnos en las redes sociales en las cuales se difunde información institucional: </w:t>
      </w:r>
    </w:p>
    <w:p w14:paraId="134E24D8" w14:textId="77777777" w:rsidR="00DE161F" w:rsidRPr="00B35714" w:rsidRDefault="00DE161F" w:rsidP="00DE161F">
      <w:pPr>
        <w:spacing w:after="0" w:line="276" w:lineRule="auto"/>
        <w:jc w:val="both"/>
        <w:rPr>
          <w:rFonts w:ascii="Verdana" w:eastAsia="Calibri" w:hAnsi="Verdana" w:cs="Arial"/>
          <w:lang w:val="es-ES_tradnl"/>
        </w:rPr>
      </w:pPr>
    </w:p>
    <w:p w14:paraId="37E83588" w14:textId="77777777" w:rsidR="00DE161F" w:rsidRPr="00B35714" w:rsidRDefault="00DE161F" w:rsidP="00DE161F">
      <w:pPr>
        <w:spacing w:after="0" w:line="276" w:lineRule="auto"/>
        <w:jc w:val="both"/>
        <w:rPr>
          <w:rFonts w:ascii="Verdana" w:eastAsia="Calibri" w:hAnsi="Verdana" w:cs="Arial"/>
          <w:lang w:val="es-ES_tradnl"/>
        </w:rPr>
      </w:pPr>
      <w:r w:rsidRPr="00B35714">
        <w:rPr>
          <w:rFonts w:ascii="Verdana" w:eastAsia="Calibri" w:hAnsi="Verdana" w:cs="Arial"/>
          <w:lang w:val="es-ES_tradnl"/>
        </w:rPr>
        <w:t xml:space="preserve">Twitter: @colombiacompra </w:t>
      </w:r>
    </w:p>
    <w:p w14:paraId="625A6BAF" w14:textId="77777777" w:rsidR="00DE161F" w:rsidRPr="00B35714" w:rsidRDefault="00DE161F" w:rsidP="1747814D">
      <w:pPr>
        <w:spacing w:after="0" w:line="276" w:lineRule="auto"/>
        <w:jc w:val="both"/>
        <w:rPr>
          <w:rFonts w:ascii="Verdana" w:eastAsia="Calibri" w:hAnsi="Verdana" w:cs="Arial"/>
          <w:lang w:val="es-ES"/>
        </w:rPr>
      </w:pPr>
      <w:r w:rsidRPr="1747814D">
        <w:rPr>
          <w:rFonts w:ascii="Verdana" w:eastAsia="Calibri" w:hAnsi="Verdana" w:cs="Arial"/>
          <w:lang w:val="es-ES"/>
        </w:rPr>
        <w:t xml:space="preserve">Facebook: </w:t>
      </w:r>
      <w:proofErr w:type="spellStart"/>
      <w:r w:rsidRPr="1747814D">
        <w:rPr>
          <w:rFonts w:ascii="Verdana" w:eastAsia="Calibri" w:hAnsi="Verdana" w:cs="Arial"/>
          <w:lang w:val="es-ES"/>
        </w:rPr>
        <w:t>ColombiaCompraEficiente</w:t>
      </w:r>
      <w:proofErr w:type="spellEnd"/>
    </w:p>
    <w:p w14:paraId="41E20B24" w14:textId="77777777" w:rsidR="00DE161F" w:rsidRPr="00B35714" w:rsidRDefault="00DE161F" w:rsidP="00DE161F">
      <w:pPr>
        <w:spacing w:after="0" w:line="276" w:lineRule="auto"/>
        <w:jc w:val="both"/>
        <w:rPr>
          <w:rFonts w:ascii="Verdana" w:eastAsia="Calibri" w:hAnsi="Verdana" w:cs="Arial"/>
          <w:lang w:val="es-ES_tradnl"/>
        </w:rPr>
      </w:pPr>
      <w:r w:rsidRPr="00B35714">
        <w:rPr>
          <w:rFonts w:ascii="Verdana" w:eastAsia="Calibri" w:hAnsi="Verdana" w:cs="Arial"/>
          <w:lang w:val="es-ES_tradnl"/>
        </w:rPr>
        <w:t>LinkedIn: Agencia Nacional de Contratación Pública - Colombia Compra Eficiente Instagram: @colombiacompraeficiente_cce</w:t>
      </w:r>
    </w:p>
    <w:p w14:paraId="17D23381" w14:textId="77777777" w:rsidR="00DE161F" w:rsidRPr="00B35714" w:rsidRDefault="00DE161F" w:rsidP="00DE161F">
      <w:pPr>
        <w:widowControl w:val="0"/>
        <w:autoSpaceDE w:val="0"/>
        <w:autoSpaceDN w:val="0"/>
        <w:spacing w:after="0" w:line="276" w:lineRule="auto"/>
        <w:jc w:val="both"/>
        <w:rPr>
          <w:rFonts w:ascii="Verdana" w:eastAsia="Calibri" w:hAnsi="Verdana" w:cs="Arial"/>
          <w:lang w:val="es-ES_tradnl"/>
        </w:rPr>
      </w:pPr>
    </w:p>
    <w:p w14:paraId="0D478482"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73161BC0"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7B9C17C9"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551080CC"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68610C00"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6AD648D2"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5CE90849"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70976538"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26BE2724"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0BF6FB3D"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30E7F082"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74B1EF1A"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41997C9A" w14:textId="77777777" w:rsidR="006D3D5F" w:rsidRDefault="006D3D5F" w:rsidP="00DE161F">
      <w:pPr>
        <w:widowControl w:val="0"/>
        <w:autoSpaceDE w:val="0"/>
        <w:autoSpaceDN w:val="0"/>
        <w:spacing w:after="0" w:line="276" w:lineRule="auto"/>
        <w:jc w:val="both"/>
        <w:rPr>
          <w:rFonts w:ascii="Verdana" w:eastAsia="Calibri" w:hAnsi="Verdana" w:cs="Arial"/>
          <w:lang w:val="es-ES_tradnl"/>
        </w:rPr>
      </w:pPr>
    </w:p>
    <w:p w14:paraId="760EA404" w14:textId="77777777" w:rsidR="00DE161F" w:rsidRPr="00B35714" w:rsidRDefault="00DE161F" w:rsidP="00DE161F">
      <w:pPr>
        <w:widowControl w:val="0"/>
        <w:autoSpaceDE w:val="0"/>
        <w:autoSpaceDN w:val="0"/>
        <w:spacing w:after="0" w:line="276" w:lineRule="auto"/>
        <w:jc w:val="both"/>
        <w:rPr>
          <w:rFonts w:ascii="Verdana" w:hAnsi="Verdana" w:cs="Arial"/>
          <w:lang w:val="es-ES_tradnl"/>
        </w:rPr>
      </w:pPr>
      <w:r w:rsidRPr="00B35714">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B35714">
        <w:rPr>
          <w:rFonts w:ascii="Verdana" w:hAnsi="Verdana" w:cs="Arial"/>
          <w:lang w:val="es-ES_tradnl"/>
        </w:rPr>
        <w:t>2 de 2015.</w:t>
      </w:r>
    </w:p>
    <w:p w14:paraId="2AB72A96" w14:textId="77777777" w:rsidR="00DE161F" w:rsidRPr="00B35714" w:rsidRDefault="00DE161F" w:rsidP="00DE161F">
      <w:pPr>
        <w:widowControl w:val="0"/>
        <w:autoSpaceDE w:val="0"/>
        <w:autoSpaceDN w:val="0"/>
        <w:spacing w:after="0" w:line="276" w:lineRule="auto"/>
        <w:jc w:val="both"/>
        <w:rPr>
          <w:rFonts w:ascii="Verdana" w:hAnsi="Verdana" w:cs="Arial"/>
        </w:rPr>
      </w:pPr>
    </w:p>
    <w:p w14:paraId="4FE97D28" w14:textId="77777777" w:rsidR="00DE161F" w:rsidRPr="00B35714" w:rsidRDefault="00DE161F" w:rsidP="00DE161F">
      <w:pPr>
        <w:spacing w:after="0" w:line="276" w:lineRule="auto"/>
        <w:jc w:val="both"/>
        <w:rPr>
          <w:rFonts w:ascii="Verdana" w:hAnsi="Verdana" w:cs="Arial"/>
          <w:lang w:eastAsia="es-CO"/>
        </w:rPr>
      </w:pPr>
      <w:r w:rsidRPr="00B35714">
        <w:rPr>
          <w:rFonts w:ascii="Verdana" w:eastAsia="Times New Roman" w:hAnsi="Verdana" w:cs="Arial"/>
          <w:lang w:eastAsia="es-CO"/>
        </w:rPr>
        <w:t>Atentamente,</w:t>
      </w:r>
      <w:r w:rsidRPr="00B35714">
        <w:rPr>
          <w:rFonts w:ascii="Verdana" w:hAnsi="Verdana" w:cs="Arial"/>
          <w:lang w:eastAsia="es-CO"/>
        </w:rPr>
        <w:t xml:space="preserve"> </w:t>
      </w:r>
    </w:p>
    <w:p w14:paraId="4B733801" w14:textId="77777777" w:rsidR="00DE161F" w:rsidRPr="00B35714" w:rsidRDefault="00DE161F" w:rsidP="00DE161F">
      <w:pPr>
        <w:spacing w:line="276" w:lineRule="auto"/>
        <w:jc w:val="both"/>
        <w:rPr>
          <w:rFonts w:ascii="Verdana" w:hAnsi="Verdana"/>
          <w:noProof/>
          <w:lang w:val="es-ES_tradnl" w:eastAsia="es-CO"/>
        </w:rPr>
      </w:pPr>
    </w:p>
    <w:p w14:paraId="1E385B5A" w14:textId="007C554A" w:rsidR="00DE161F" w:rsidRPr="00B35714" w:rsidRDefault="00846179" w:rsidP="00DE161F">
      <w:pPr>
        <w:spacing w:line="276" w:lineRule="auto"/>
        <w:jc w:val="center"/>
        <w:rPr>
          <w:rFonts w:ascii="Verdana" w:hAnsi="Verdana" w:cs="Arial"/>
          <w:lang w:val="es-ES_tradnl" w:eastAsia="es-CO"/>
        </w:rPr>
      </w:pPr>
      <w:r w:rsidRPr="0065791A">
        <w:rPr>
          <w:rFonts w:ascii="Century Gothic" w:hAnsi="Century Gothic"/>
          <w:noProof/>
        </w:rPr>
        <w:drawing>
          <wp:inline distT="0" distB="0" distL="0" distR="0" wp14:anchorId="3CE09987" wp14:editId="0F6E98E1">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8"/>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E161F" w:rsidRPr="00B35714" w14:paraId="0EB77286" w14:textId="77777777" w:rsidTr="5055AB60">
        <w:trPr>
          <w:trHeight w:val="315"/>
        </w:trPr>
        <w:tc>
          <w:tcPr>
            <w:tcW w:w="893" w:type="dxa"/>
            <w:vAlign w:val="center"/>
            <w:hideMark/>
          </w:tcPr>
          <w:p w14:paraId="73154F21" w14:textId="77777777" w:rsidR="00DE161F" w:rsidRPr="00B35714"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1389911D" w14:textId="77777777" w:rsidR="00DE161F" w:rsidRPr="00B35714"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 xml:space="preserve">María Valeska Medellín Mora </w:t>
            </w:r>
          </w:p>
          <w:p w14:paraId="1F90BD36" w14:textId="77777777" w:rsidR="00DE161F" w:rsidRPr="00B35714"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Gestor T1-15</w:t>
            </w:r>
            <w:r w:rsidRPr="00B35714">
              <w:rPr>
                <w:rFonts w:ascii="Verdana" w:eastAsia="Calibri" w:hAnsi="Verdana"/>
                <w:sz w:val="16"/>
                <w:szCs w:val="16"/>
                <w:lang w:val="es-ES_tradnl"/>
              </w:rPr>
              <w:t xml:space="preserve"> de la Subdirección de Gestión Contractual</w:t>
            </w:r>
          </w:p>
        </w:tc>
      </w:tr>
      <w:tr w:rsidR="00DE161F" w:rsidRPr="00B35714" w14:paraId="379E138B" w14:textId="77777777" w:rsidTr="5055AB60">
        <w:trPr>
          <w:trHeight w:val="330"/>
        </w:trPr>
        <w:tc>
          <w:tcPr>
            <w:tcW w:w="893" w:type="dxa"/>
            <w:vAlign w:val="center"/>
            <w:hideMark/>
          </w:tcPr>
          <w:p w14:paraId="2EB1311C" w14:textId="77777777" w:rsidR="00DE161F" w:rsidRPr="00B35714"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EB5BC03" w14:textId="77777777" w:rsidR="00DE161F" w:rsidRPr="00B35714" w:rsidRDefault="00DE161F" w:rsidP="5055AB60">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 w:eastAsia="en-US"/>
              </w:rPr>
            </w:pPr>
            <w:r w:rsidRPr="5055AB60">
              <w:rPr>
                <w:rFonts w:ascii="Verdana" w:eastAsia="Calibri" w:hAnsi="Verdana" w:cs="Arial"/>
                <w:sz w:val="16"/>
                <w:szCs w:val="16"/>
                <w:lang w:val="es-ES" w:eastAsia="en-US"/>
              </w:rPr>
              <w:t>Adriana Katerine Lopez Rodriguez</w:t>
            </w:r>
          </w:p>
          <w:p w14:paraId="7CFAABCF" w14:textId="77777777" w:rsidR="00DE161F" w:rsidRPr="00B35714" w:rsidRDefault="00DE161F" w:rsidP="006D3D5F">
            <w:pPr>
              <w:pStyle w:val="paragraph"/>
              <w:spacing w:before="0" w:beforeAutospacing="0" w:after="0" w:afterAutospacing="0" w:line="276" w:lineRule="auto"/>
              <w:contextualSpacing/>
              <w:jc w:val="both"/>
              <w:textAlignment w:val="baseline"/>
              <w:rPr>
                <w:rFonts w:ascii="Verdana" w:eastAsia="Calibri" w:hAnsi="Verdana" w:cs="Arial"/>
                <w:sz w:val="16"/>
                <w:szCs w:val="16"/>
                <w:lang w:val="es-ES_tradnl" w:eastAsia="en-US"/>
              </w:rPr>
            </w:pPr>
            <w:r w:rsidRPr="00B35714">
              <w:rPr>
                <w:rFonts w:ascii="Verdana" w:eastAsia="Calibri" w:hAnsi="Verdana"/>
                <w:sz w:val="16"/>
                <w:szCs w:val="16"/>
                <w:lang w:val="es-ES_tradnl" w:eastAsia="en-US"/>
              </w:rPr>
              <w:t>Contratista de la Subdirección de Gestión Contractual </w:t>
            </w:r>
          </w:p>
        </w:tc>
      </w:tr>
      <w:tr w:rsidR="00DE161F" w:rsidRPr="0028717F" w14:paraId="44B0CE2C" w14:textId="77777777" w:rsidTr="5055AB60">
        <w:trPr>
          <w:trHeight w:val="300"/>
        </w:trPr>
        <w:tc>
          <w:tcPr>
            <w:tcW w:w="893" w:type="dxa"/>
            <w:vAlign w:val="center"/>
          </w:tcPr>
          <w:p w14:paraId="46609257" w14:textId="77777777" w:rsidR="00DE161F" w:rsidRPr="00B35714"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1DADB17" w14:textId="77777777" w:rsidR="00DE161F" w:rsidRPr="00B35714" w:rsidRDefault="00DE161F" w:rsidP="5055AB60">
            <w:pPr>
              <w:spacing w:line="276" w:lineRule="auto"/>
              <w:contextualSpacing/>
              <w:jc w:val="both"/>
              <w:rPr>
                <w:rFonts w:ascii="Verdana" w:eastAsia="Calibri" w:hAnsi="Verdana" w:cs="Arial"/>
                <w:sz w:val="16"/>
                <w:szCs w:val="16"/>
                <w:lang w:val="es-ES"/>
              </w:rPr>
            </w:pPr>
            <w:r w:rsidRPr="5055AB60">
              <w:rPr>
                <w:rFonts w:ascii="Verdana" w:eastAsia="Calibri" w:hAnsi="Verdana" w:cs="Arial"/>
                <w:sz w:val="16"/>
                <w:szCs w:val="16"/>
                <w:lang w:val="es-ES"/>
              </w:rPr>
              <w:t>Carolina Quintero Gacharná</w:t>
            </w:r>
          </w:p>
          <w:p w14:paraId="4413BFC5" w14:textId="77777777" w:rsidR="00DE161F" w:rsidRPr="0028717F" w:rsidRDefault="00DE161F" w:rsidP="006D3D5F">
            <w:pPr>
              <w:spacing w:line="276" w:lineRule="auto"/>
              <w:contextualSpacing/>
              <w:jc w:val="both"/>
              <w:rPr>
                <w:rFonts w:ascii="Verdana" w:eastAsia="Calibri" w:hAnsi="Verdana" w:cs="Arial"/>
                <w:sz w:val="16"/>
                <w:szCs w:val="16"/>
                <w:lang w:val="es-ES_tradnl"/>
              </w:rPr>
            </w:pPr>
            <w:r w:rsidRPr="00B35714">
              <w:rPr>
                <w:rFonts w:ascii="Verdana" w:eastAsia="Calibri" w:hAnsi="Verdana" w:cs="Arial"/>
                <w:sz w:val="16"/>
                <w:szCs w:val="16"/>
                <w:lang w:val="es-ES_tradnl"/>
              </w:rPr>
              <w:t>Subdirectora de Gestión Contractual ANCP – CCE</w:t>
            </w:r>
          </w:p>
        </w:tc>
      </w:tr>
    </w:tbl>
    <w:p w14:paraId="4DE24427" w14:textId="77777777" w:rsidR="00DE161F" w:rsidRPr="00186FA9" w:rsidRDefault="00DE161F" w:rsidP="00DE161F">
      <w:pPr>
        <w:spacing w:after="0" w:line="276" w:lineRule="auto"/>
        <w:jc w:val="both"/>
        <w:rPr>
          <w:rFonts w:ascii="Verdana" w:eastAsia="Times New Roman" w:hAnsi="Verdana" w:cs="Arial"/>
          <w:lang w:eastAsia="es-ES"/>
        </w:rPr>
      </w:pPr>
    </w:p>
    <w:p w14:paraId="7C5D61A8" w14:textId="77777777" w:rsidR="00DE161F" w:rsidRPr="00186FA9" w:rsidRDefault="00DE161F" w:rsidP="00DE161F">
      <w:pPr>
        <w:spacing w:line="276" w:lineRule="auto"/>
        <w:jc w:val="both"/>
        <w:rPr>
          <w:rFonts w:ascii="Verdana" w:hAnsi="Verdana"/>
        </w:rPr>
      </w:pPr>
    </w:p>
    <w:p w14:paraId="257873E7" w14:textId="77777777" w:rsidR="00DE161F" w:rsidRPr="00186FA9" w:rsidRDefault="00DE161F" w:rsidP="00DE161F">
      <w:pPr>
        <w:spacing w:after="0" w:line="276" w:lineRule="auto"/>
        <w:jc w:val="both"/>
        <w:rPr>
          <w:rFonts w:ascii="Verdana" w:hAnsi="Verdana"/>
        </w:rPr>
      </w:pPr>
    </w:p>
    <w:bookmarkEnd w:id="0"/>
    <w:p w14:paraId="190320CA" w14:textId="77777777" w:rsidR="00DE161F" w:rsidRPr="00186FA9" w:rsidRDefault="00DE161F" w:rsidP="00DE161F">
      <w:pPr>
        <w:spacing w:line="276" w:lineRule="auto"/>
        <w:jc w:val="both"/>
        <w:rPr>
          <w:rFonts w:ascii="Verdana" w:hAnsi="Verdana"/>
        </w:rPr>
      </w:pPr>
    </w:p>
    <w:p w14:paraId="280D9DE1" w14:textId="77777777" w:rsidR="00DE161F" w:rsidRPr="0044528D" w:rsidRDefault="00DE161F" w:rsidP="00DE161F">
      <w:pPr>
        <w:spacing w:after="0" w:line="240" w:lineRule="auto"/>
        <w:textAlignment w:val="baseline"/>
        <w:rPr>
          <w:rFonts w:ascii="Verdana" w:eastAsia="Times New Roman" w:hAnsi="Verdana" w:cs="Segoe UI"/>
          <w:sz w:val="18"/>
          <w:szCs w:val="18"/>
          <w:lang w:eastAsia="es-CO"/>
        </w:rPr>
      </w:pPr>
      <w:r w:rsidRPr="0044528D">
        <w:rPr>
          <w:rFonts w:ascii="Verdana" w:eastAsia="Times New Roman" w:hAnsi="Verdana" w:cs="Segoe UI"/>
          <w:color w:val="404040"/>
          <w:lang w:eastAsia="es-CO"/>
        </w:rPr>
        <w:t> </w:t>
      </w:r>
    </w:p>
    <w:p w14:paraId="2D6E98EE" w14:textId="77777777" w:rsidR="00DE161F" w:rsidRPr="0044528D" w:rsidRDefault="00DE161F" w:rsidP="00DE161F">
      <w:pPr>
        <w:spacing w:after="0" w:line="240" w:lineRule="auto"/>
        <w:ind w:firstLine="2850"/>
        <w:jc w:val="both"/>
        <w:textAlignment w:val="baseline"/>
        <w:rPr>
          <w:rFonts w:ascii="Verdana" w:eastAsia="Times New Roman" w:hAnsi="Verdana" w:cs="Segoe UI"/>
          <w:color w:val="000000"/>
          <w:sz w:val="18"/>
          <w:szCs w:val="18"/>
          <w:lang w:eastAsia="es-CO"/>
        </w:rPr>
      </w:pPr>
      <w:r w:rsidRPr="0044528D">
        <w:rPr>
          <w:rFonts w:ascii="Verdana" w:eastAsia="Times New Roman" w:hAnsi="Verdana" w:cs="Segoe UI"/>
          <w:color w:val="000000"/>
          <w:lang w:eastAsia="es-CO"/>
        </w:rPr>
        <w:t> </w:t>
      </w:r>
    </w:p>
    <w:p w14:paraId="06EDB449" w14:textId="77777777" w:rsidR="00DE161F" w:rsidRPr="0044528D" w:rsidRDefault="00DE161F" w:rsidP="00DE161F">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682A157B" w14:textId="77777777" w:rsidR="00DE161F" w:rsidRPr="0044528D" w:rsidRDefault="00DE161F" w:rsidP="00DE161F">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3186FC08" w14:textId="77777777" w:rsidR="00DE161F" w:rsidRPr="0044528D" w:rsidRDefault="00DE161F" w:rsidP="00DE161F">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t> </w:t>
      </w:r>
    </w:p>
    <w:p w14:paraId="227F8B69" w14:textId="77777777" w:rsidR="00DE161F" w:rsidRPr="0044528D" w:rsidRDefault="00DE161F" w:rsidP="00DE161F">
      <w:pPr>
        <w:spacing w:after="0" w:line="240" w:lineRule="auto"/>
        <w:jc w:val="both"/>
        <w:textAlignment w:val="baseline"/>
        <w:rPr>
          <w:rFonts w:ascii="Verdana" w:eastAsia="Times New Roman" w:hAnsi="Verdana" w:cs="Segoe UI"/>
          <w:sz w:val="18"/>
          <w:szCs w:val="18"/>
          <w:lang w:eastAsia="es-CO"/>
        </w:rPr>
      </w:pPr>
      <w:r w:rsidRPr="0044528D">
        <w:rPr>
          <w:rFonts w:ascii="Verdana" w:eastAsia="Times New Roman" w:hAnsi="Verdana" w:cs="Segoe UI"/>
          <w:lang w:eastAsia="es-CO"/>
        </w:rPr>
        <w:lastRenderedPageBreak/>
        <w:t>  </w:t>
      </w:r>
    </w:p>
    <w:p w14:paraId="12140015" w14:textId="77777777" w:rsidR="00DE161F" w:rsidRPr="0044528D" w:rsidRDefault="00DE161F" w:rsidP="00DE161F">
      <w:pPr>
        <w:spacing w:after="0"/>
        <w:jc w:val="both"/>
        <w:rPr>
          <w:rFonts w:ascii="Verdana" w:hAnsi="Verdana"/>
        </w:rPr>
      </w:pPr>
    </w:p>
    <w:p w14:paraId="0083C991" w14:textId="5C765C2F" w:rsidR="5D8505AD" w:rsidRPr="00DE161F" w:rsidRDefault="5D8505AD" w:rsidP="00DE161F"/>
    <w:sectPr w:rsidR="5D8505AD" w:rsidRPr="00DE161F" w:rsidSect="00E45F4B">
      <w:headerReference w:type="default" r:id="rId19"/>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699D4" w14:textId="77777777" w:rsidR="00B4544D" w:rsidRDefault="00B4544D" w:rsidP="00B30448">
      <w:pPr>
        <w:spacing w:after="0" w:line="240" w:lineRule="auto"/>
      </w:pPr>
      <w:r>
        <w:separator/>
      </w:r>
    </w:p>
  </w:endnote>
  <w:endnote w:type="continuationSeparator" w:id="0">
    <w:p w14:paraId="34F341F9" w14:textId="77777777" w:rsidR="00B4544D" w:rsidRDefault="00B4544D" w:rsidP="00B30448">
      <w:pPr>
        <w:spacing w:after="0" w:line="240" w:lineRule="auto"/>
      </w:pPr>
      <w:r>
        <w:continuationSeparator/>
      </w:r>
    </w:p>
  </w:endnote>
  <w:endnote w:type="continuationNotice" w:id="1">
    <w:p w14:paraId="136F4F7D" w14:textId="77777777" w:rsidR="00B4544D" w:rsidRDefault="00B45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6EFCF" w14:textId="77777777" w:rsidR="00B4544D" w:rsidRDefault="00B4544D" w:rsidP="00B30448">
      <w:pPr>
        <w:spacing w:after="0" w:line="240" w:lineRule="auto"/>
      </w:pPr>
      <w:r>
        <w:separator/>
      </w:r>
    </w:p>
  </w:footnote>
  <w:footnote w:type="continuationSeparator" w:id="0">
    <w:p w14:paraId="112E196D" w14:textId="77777777" w:rsidR="00B4544D" w:rsidRDefault="00B4544D" w:rsidP="00B30448">
      <w:pPr>
        <w:spacing w:after="0" w:line="240" w:lineRule="auto"/>
      </w:pPr>
      <w:r>
        <w:continuationSeparator/>
      </w:r>
    </w:p>
  </w:footnote>
  <w:footnote w:type="continuationNotice" w:id="1">
    <w:p w14:paraId="6FB29AEB" w14:textId="77777777" w:rsidR="00B4544D" w:rsidRDefault="00B45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58240"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5FF446B"/>
    <w:multiLevelType w:val="hybridMultilevel"/>
    <w:tmpl w:val="DE341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7732AA"/>
    <w:multiLevelType w:val="hybridMultilevel"/>
    <w:tmpl w:val="C35C2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4"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8672F19"/>
    <w:multiLevelType w:val="hybridMultilevel"/>
    <w:tmpl w:val="B79EA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13"/>
  </w:num>
  <w:num w:numId="6">
    <w:abstractNumId w:val="2"/>
  </w:num>
  <w:num w:numId="7">
    <w:abstractNumId w:val="9"/>
  </w:num>
  <w:num w:numId="8">
    <w:abstractNumId w:val="12"/>
  </w:num>
  <w:num w:numId="9">
    <w:abstractNumId w:val="17"/>
  </w:num>
  <w:num w:numId="10">
    <w:abstractNumId w:val="15"/>
  </w:num>
  <w:num w:numId="11">
    <w:abstractNumId w:val="18"/>
  </w:num>
  <w:num w:numId="12">
    <w:abstractNumId w:val="20"/>
  </w:num>
  <w:num w:numId="13">
    <w:abstractNumId w:val="19"/>
  </w:num>
  <w:num w:numId="14">
    <w:abstractNumId w:val="0"/>
  </w:num>
  <w:num w:numId="15">
    <w:abstractNumId w:val="7"/>
  </w:num>
  <w:num w:numId="16">
    <w:abstractNumId w:val="8"/>
  </w:num>
  <w:num w:numId="17">
    <w:abstractNumId w:val="11"/>
  </w:num>
  <w:num w:numId="18">
    <w:abstractNumId w:val="14"/>
  </w:num>
  <w:num w:numId="19">
    <w:abstractNumId w:val="21"/>
  </w:num>
  <w:num w:numId="20">
    <w:abstractNumId w:val="16"/>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2199"/>
    <w:rsid w:val="000037AE"/>
    <w:rsid w:val="00003F8F"/>
    <w:rsid w:val="00004A4E"/>
    <w:rsid w:val="00005BB0"/>
    <w:rsid w:val="000072F3"/>
    <w:rsid w:val="0001025F"/>
    <w:rsid w:val="00011A77"/>
    <w:rsid w:val="0001222D"/>
    <w:rsid w:val="000135EB"/>
    <w:rsid w:val="00015D2B"/>
    <w:rsid w:val="00023823"/>
    <w:rsid w:val="0002558A"/>
    <w:rsid w:val="00031584"/>
    <w:rsid w:val="00032A0E"/>
    <w:rsid w:val="00037347"/>
    <w:rsid w:val="00040A35"/>
    <w:rsid w:val="000442CC"/>
    <w:rsid w:val="00045B79"/>
    <w:rsid w:val="00047A3C"/>
    <w:rsid w:val="000556D4"/>
    <w:rsid w:val="00064025"/>
    <w:rsid w:val="00071213"/>
    <w:rsid w:val="000716AB"/>
    <w:rsid w:val="00082E4C"/>
    <w:rsid w:val="00083C11"/>
    <w:rsid w:val="000849D5"/>
    <w:rsid w:val="0008528F"/>
    <w:rsid w:val="00086165"/>
    <w:rsid w:val="000869B3"/>
    <w:rsid w:val="00090E20"/>
    <w:rsid w:val="000A2797"/>
    <w:rsid w:val="000A6E0C"/>
    <w:rsid w:val="000A70FA"/>
    <w:rsid w:val="000A7A56"/>
    <w:rsid w:val="000B1FF7"/>
    <w:rsid w:val="000B2513"/>
    <w:rsid w:val="000B4024"/>
    <w:rsid w:val="000B5FFE"/>
    <w:rsid w:val="000C3C51"/>
    <w:rsid w:val="000C7262"/>
    <w:rsid w:val="000D2A7F"/>
    <w:rsid w:val="000D49FB"/>
    <w:rsid w:val="000D4FCE"/>
    <w:rsid w:val="000D5B22"/>
    <w:rsid w:val="000E306B"/>
    <w:rsid w:val="000E5B76"/>
    <w:rsid w:val="000E670C"/>
    <w:rsid w:val="000F2DCB"/>
    <w:rsid w:val="00105D89"/>
    <w:rsid w:val="001079A9"/>
    <w:rsid w:val="0011037E"/>
    <w:rsid w:val="00124D0E"/>
    <w:rsid w:val="00126FA8"/>
    <w:rsid w:val="00127A6D"/>
    <w:rsid w:val="00127ADC"/>
    <w:rsid w:val="001363C7"/>
    <w:rsid w:val="00141AC5"/>
    <w:rsid w:val="00143440"/>
    <w:rsid w:val="00143CF3"/>
    <w:rsid w:val="00145C94"/>
    <w:rsid w:val="00146B11"/>
    <w:rsid w:val="00147A04"/>
    <w:rsid w:val="0015476D"/>
    <w:rsid w:val="0015576F"/>
    <w:rsid w:val="00161E13"/>
    <w:rsid w:val="00164AE0"/>
    <w:rsid w:val="00165E83"/>
    <w:rsid w:val="00166CD7"/>
    <w:rsid w:val="001706BC"/>
    <w:rsid w:val="0017120C"/>
    <w:rsid w:val="00172F3A"/>
    <w:rsid w:val="00186FA9"/>
    <w:rsid w:val="00190E55"/>
    <w:rsid w:val="0019532A"/>
    <w:rsid w:val="0019670E"/>
    <w:rsid w:val="00197205"/>
    <w:rsid w:val="00197C18"/>
    <w:rsid w:val="001A5DD4"/>
    <w:rsid w:val="001A67E9"/>
    <w:rsid w:val="001B0DE5"/>
    <w:rsid w:val="001B143B"/>
    <w:rsid w:val="001B21CA"/>
    <w:rsid w:val="001B5566"/>
    <w:rsid w:val="001C04FC"/>
    <w:rsid w:val="001C25A3"/>
    <w:rsid w:val="001C5D03"/>
    <w:rsid w:val="001C7771"/>
    <w:rsid w:val="001D62FF"/>
    <w:rsid w:val="001E2B8E"/>
    <w:rsid w:val="001E5CC4"/>
    <w:rsid w:val="001F3F48"/>
    <w:rsid w:val="001F51B2"/>
    <w:rsid w:val="002000AA"/>
    <w:rsid w:val="00203EBB"/>
    <w:rsid w:val="00204109"/>
    <w:rsid w:val="0021026D"/>
    <w:rsid w:val="00211E6E"/>
    <w:rsid w:val="00212A46"/>
    <w:rsid w:val="0021401D"/>
    <w:rsid w:val="002146B8"/>
    <w:rsid w:val="00214AB9"/>
    <w:rsid w:val="00215516"/>
    <w:rsid w:val="00223573"/>
    <w:rsid w:val="00235798"/>
    <w:rsid w:val="00237E9F"/>
    <w:rsid w:val="00244C79"/>
    <w:rsid w:val="002527C2"/>
    <w:rsid w:val="002536F1"/>
    <w:rsid w:val="0026152A"/>
    <w:rsid w:val="00262F1D"/>
    <w:rsid w:val="00270443"/>
    <w:rsid w:val="00270EE2"/>
    <w:rsid w:val="00272972"/>
    <w:rsid w:val="00281609"/>
    <w:rsid w:val="0028252D"/>
    <w:rsid w:val="00285F49"/>
    <w:rsid w:val="00286491"/>
    <w:rsid w:val="0028717F"/>
    <w:rsid w:val="00291A05"/>
    <w:rsid w:val="002A097D"/>
    <w:rsid w:val="002A0F8D"/>
    <w:rsid w:val="002A65BB"/>
    <w:rsid w:val="002B25A7"/>
    <w:rsid w:val="002B61CA"/>
    <w:rsid w:val="002B6E44"/>
    <w:rsid w:val="002C267C"/>
    <w:rsid w:val="002D5318"/>
    <w:rsid w:val="002D580F"/>
    <w:rsid w:val="002E1DB5"/>
    <w:rsid w:val="002E411A"/>
    <w:rsid w:val="002F2A1B"/>
    <w:rsid w:val="002F3468"/>
    <w:rsid w:val="002F6CCB"/>
    <w:rsid w:val="00300925"/>
    <w:rsid w:val="0030359C"/>
    <w:rsid w:val="00304090"/>
    <w:rsid w:val="0030461E"/>
    <w:rsid w:val="00323CB9"/>
    <w:rsid w:val="0032756A"/>
    <w:rsid w:val="003304E0"/>
    <w:rsid w:val="00334EF8"/>
    <w:rsid w:val="00336408"/>
    <w:rsid w:val="00340DFB"/>
    <w:rsid w:val="0034404F"/>
    <w:rsid w:val="003471E6"/>
    <w:rsid w:val="00356980"/>
    <w:rsid w:val="00356C80"/>
    <w:rsid w:val="00362845"/>
    <w:rsid w:val="003639DA"/>
    <w:rsid w:val="00367462"/>
    <w:rsid w:val="00371ECA"/>
    <w:rsid w:val="00372748"/>
    <w:rsid w:val="0037332A"/>
    <w:rsid w:val="0037524E"/>
    <w:rsid w:val="0038151A"/>
    <w:rsid w:val="0039082A"/>
    <w:rsid w:val="00390C21"/>
    <w:rsid w:val="003A37BD"/>
    <w:rsid w:val="003B6D94"/>
    <w:rsid w:val="003C0DF9"/>
    <w:rsid w:val="003C4C96"/>
    <w:rsid w:val="003C55E0"/>
    <w:rsid w:val="003D0EA8"/>
    <w:rsid w:val="003D10C1"/>
    <w:rsid w:val="003D5BCE"/>
    <w:rsid w:val="003E36FF"/>
    <w:rsid w:val="003F519B"/>
    <w:rsid w:val="003F6FB5"/>
    <w:rsid w:val="00404EAA"/>
    <w:rsid w:val="0040544F"/>
    <w:rsid w:val="00406A19"/>
    <w:rsid w:val="0041222D"/>
    <w:rsid w:val="0041293B"/>
    <w:rsid w:val="0041483E"/>
    <w:rsid w:val="00415369"/>
    <w:rsid w:val="004221C8"/>
    <w:rsid w:val="00430492"/>
    <w:rsid w:val="00432FFE"/>
    <w:rsid w:val="00437D03"/>
    <w:rsid w:val="004431F4"/>
    <w:rsid w:val="0044773D"/>
    <w:rsid w:val="00450BE7"/>
    <w:rsid w:val="00462D21"/>
    <w:rsid w:val="0046741E"/>
    <w:rsid w:val="00472CC6"/>
    <w:rsid w:val="004754FB"/>
    <w:rsid w:val="0048026E"/>
    <w:rsid w:val="004807A9"/>
    <w:rsid w:val="004813EE"/>
    <w:rsid w:val="00484FBA"/>
    <w:rsid w:val="004863A4"/>
    <w:rsid w:val="00490C3E"/>
    <w:rsid w:val="00493278"/>
    <w:rsid w:val="004943D9"/>
    <w:rsid w:val="004A0E7B"/>
    <w:rsid w:val="004A2F28"/>
    <w:rsid w:val="004A3498"/>
    <w:rsid w:val="004A4E52"/>
    <w:rsid w:val="004B0C45"/>
    <w:rsid w:val="004C092E"/>
    <w:rsid w:val="004C0AB2"/>
    <w:rsid w:val="004C1619"/>
    <w:rsid w:val="004C1A26"/>
    <w:rsid w:val="004C1CC9"/>
    <w:rsid w:val="004C3755"/>
    <w:rsid w:val="004C3EA4"/>
    <w:rsid w:val="004C4485"/>
    <w:rsid w:val="004D11AF"/>
    <w:rsid w:val="004D70E1"/>
    <w:rsid w:val="004F668D"/>
    <w:rsid w:val="00500DFA"/>
    <w:rsid w:val="005019AA"/>
    <w:rsid w:val="005021BB"/>
    <w:rsid w:val="00506C18"/>
    <w:rsid w:val="005139E7"/>
    <w:rsid w:val="005147DA"/>
    <w:rsid w:val="00515FB5"/>
    <w:rsid w:val="005207F7"/>
    <w:rsid w:val="0052365C"/>
    <w:rsid w:val="005271EB"/>
    <w:rsid w:val="005316B7"/>
    <w:rsid w:val="005426DB"/>
    <w:rsid w:val="0055082B"/>
    <w:rsid w:val="00552503"/>
    <w:rsid w:val="00552B57"/>
    <w:rsid w:val="005552FD"/>
    <w:rsid w:val="00557DA1"/>
    <w:rsid w:val="0056322C"/>
    <w:rsid w:val="00586562"/>
    <w:rsid w:val="00586BF2"/>
    <w:rsid w:val="0058743A"/>
    <w:rsid w:val="005A4DB0"/>
    <w:rsid w:val="005A7B8E"/>
    <w:rsid w:val="005B012B"/>
    <w:rsid w:val="005B0C87"/>
    <w:rsid w:val="005B1E0D"/>
    <w:rsid w:val="005B2643"/>
    <w:rsid w:val="005B3F16"/>
    <w:rsid w:val="005B56F6"/>
    <w:rsid w:val="005C273B"/>
    <w:rsid w:val="005C4978"/>
    <w:rsid w:val="005D23F6"/>
    <w:rsid w:val="005D2E4E"/>
    <w:rsid w:val="005D2FA8"/>
    <w:rsid w:val="005E2281"/>
    <w:rsid w:val="005E667C"/>
    <w:rsid w:val="005E6DB2"/>
    <w:rsid w:val="005F077C"/>
    <w:rsid w:val="005F50D7"/>
    <w:rsid w:val="005F5F33"/>
    <w:rsid w:val="005F63D0"/>
    <w:rsid w:val="005F7973"/>
    <w:rsid w:val="006048B6"/>
    <w:rsid w:val="00606D1F"/>
    <w:rsid w:val="00611211"/>
    <w:rsid w:val="0061690E"/>
    <w:rsid w:val="00620B41"/>
    <w:rsid w:val="006266E3"/>
    <w:rsid w:val="00627361"/>
    <w:rsid w:val="0063017E"/>
    <w:rsid w:val="00631B28"/>
    <w:rsid w:val="006450EE"/>
    <w:rsid w:val="00645B90"/>
    <w:rsid w:val="00650991"/>
    <w:rsid w:val="006511D7"/>
    <w:rsid w:val="006528D6"/>
    <w:rsid w:val="00652C73"/>
    <w:rsid w:val="00653E3C"/>
    <w:rsid w:val="00663D75"/>
    <w:rsid w:val="00663D95"/>
    <w:rsid w:val="0066531E"/>
    <w:rsid w:val="00670AEF"/>
    <w:rsid w:val="00673FF4"/>
    <w:rsid w:val="00675678"/>
    <w:rsid w:val="00676A8B"/>
    <w:rsid w:val="00677012"/>
    <w:rsid w:val="006825B4"/>
    <w:rsid w:val="00682AF2"/>
    <w:rsid w:val="006864DF"/>
    <w:rsid w:val="006A1D37"/>
    <w:rsid w:val="006A3C8A"/>
    <w:rsid w:val="006A4F48"/>
    <w:rsid w:val="006A7552"/>
    <w:rsid w:val="006B5953"/>
    <w:rsid w:val="006B7A81"/>
    <w:rsid w:val="006C0EDB"/>
    <w:rsid w:val="006C4BAC"/>
    <w:rsid w:val="006C52F3"/>
    <w:rsid w:val="006D3D5F"/>
    <w:rsid w:val="006D570B"/>
    <w:rsid w:val="006D702C"/>
    <w:rsid w:val="006E1F18"/>
    <w:rsid w:val="006E7F37"/>
    <w:rsid w:val="006F3B81"/>
    <w:rsid w:val="006F4F79"/>
    <w:rsid w:val="00705B37"/>
    <w:rsid w:val="00711FD9"/>
    <w:rsid w:val="0071484C"/>
    <w:rsid w:val="00724487"/>
    <w:rsid w:val="00735062"/>
    <w:rsid w:val="00745400"/>
    <w:rsid w:val="00746BA5"/>
    <w:rsid w:val="00750D05"/>
    <w:rsid w:val="00751D23"/>
    <w:rsid w:val="007534D1"/>
    <w:rsid w:val="00766FCB"/>
    <w:rsid w:val="00770577"/>
    <w:rsid w:val="00777666"/>
    <w:rsid w:val="0078159B"/>
    <w:rsid w:val="0078296B"/>
    <w:rsid w:val="00782E10"/>
    <w:rsid w:val="0078706B"/>
    <w:rsid w:val="00787F76"/>
    <w:rsid w:val="00790836"/>
    <w:rsid w:val="00796F7F"/>
    <w:rsid w:val="00797131"/>
    <w:rsid w:val="007A3C1D"/>
    <w:rsid w:val="007A4193"/>
    <w:rsid w:val="007A4D72"/>
    <w:rsid w:val="007A7935"/>
    <w:rsid w:val="007B285D"/>
    <w:rsid w:val="007C6BC6"/>
    <w:rsid w:val="00807D79"/>
    <w:rsid w:val="00813634"/>
    <w:rsid w:val="00822821"/>
    <w:rsid w:val="00831C29"/>
    <w:rsid w:val="008430A8"/>
    <w:rsid w:val="008431EA"/>
    <w:rsid w:val="008431EF"/>
    <w:rsid w:val="00846179"/>
    <w:rsid w:val="008468E0"/>
    <w:rsid w:val="00847ECA"/>
    <w:rsid w:val="00865FBA"/>
    <w:rsid w:val="00871B59"/>
    <w:rsid w:val="00874A72"/>
    <w:rsid w:val="00875457"/>
    <w:rsid w:val="00876251"/>
    <w:rsid w:val="00877D03"/>
    <w:rsid w:val="00877E96"/>
    <w:rsid w:val="008806CA"/>
    <w:rsid w:val="008815E5"/>
    <w:rsid w:val="00881D8B"/>
    <w:rsid w:val="00887B37"/>
    <w:rsid w:val="008909B9"/>
    <w:rsid w:val="00891DFC"/>
    <w:rsid w:val="00894226"/>
    <w:rsid w:val="00895737"/>
    <w:rsid w:val="008A49EE"/>
    <w:rsid w:val="008B12B4"/>
    <w:rsid w:val="008B7914"/>
    <w:rsid w:val="008C5D2A"/>
    <w:rsid w:val="008C7AF4"/>
    <w:rsid w:val="008D1EB8"/>
    <w:rsid w:val="008D40C5"/>
    <w:rsid w:val="008D41AF"/>
    <w:rsid w:val="008D529F"/>
    <w:rsid w:val="008D7EDD"/>
    <w:rsid w:val="008E6AE3"/>
    <w:rsid w:val="008F02FB"/>
    <w:rsid w:val="008F5CC8"/>
    <w:rsid w:val="009061B8"/>
    <w:rsid w:val="00906A90"/>
    <w:rsid w:val="0091008B"/>
    <w:rsid w:val="00911EA2"/>
    <w:rsid w:val="009155E1"/>
    <w:rsid w:val="00916C7D"/>
    <w:rsid w:val="00923D6E"/>
    <w:rsid w:val="0092575D"/>
    <w:rsid w:val="009341DA"/>
    <w:rsid w:val="00937816"/>
    <w:rsid w:val="00940E6E"/>
    <w:rsid w:val="00941257"/>
    <w:rsid w:val="009430F9"/>
    <w:rsid w:val="009442E8"/>
    <w:rsid w:val="009457B6"/>
    <w:rsid w:val="00946506"/>
    <w:rsid w:val="009466BA"/>
    <w:rsid w:val="00946BD0"/>
    <w:rsid w:val="00947BF4"/>
    <w:rsid w:val="00951593"/>
    <w:rsid w:val="009521FF"/>
    <w:rsid w:val="00952B88"/>
    <w:rsid w:val="00953F42"/>
    <w:rsid w:val="0095426C"/>
    <w:rsid w:val="00962196"/>
    <w:rsid w:val="00970087"/>
    <w:rsid w:val="00971074"/>
    <w:rsid w:val="0097374B"/>
    <w:rsid w:val="009802EE"/>
    <w:rsid w:val="0098266D"/>
    <w:rsid w:val="0098348A"/>
    <w:rsid w:val="00985BF7"/>
    <w:rsid w:val="00987B8D"/>
    <w:rsid w:val="00993749"/>
    <w:rsid w:val="00995D86"/>
    <w:rsid w:val="009A5453"/>
    <w:rsid w:val="009B1186"/>
    <w:rsid w:val="009B4D94"/>
    <w:rsid w:val="009C2871"/>
    <w:rsid w:val="009C7CB5"/>
    <w:rsid w:val="009D2600"/>
    <w:rsid w:val="009D3C33"/>
    <w:rsid w:val="009D7F3A"/>
    <w:rsid w:val="009E4885"/>
    <w:rsid w:val="009E4CE8"/>
    <w:rsid w:val="009F5A6D"/>
    <w:rsid w:val="00A03E81"/>
    <w:rsid w:val="00A07DB6"/>
    <w:rsid w:val="00A10A73"/>
    <w:rsid w:val="00A115F6"/>
    <w:rsid w:val="00A1656A"/>
    <w:rsid w:val="00A170B3"/>
    <w:rsid w:val="00A223D5"/>
    <w:rsid w:val="00A33464"/>
    <w:rsid w:val="00A34059"/>
    <w:rsid w:val="00A37D1C"/>
    <w:rsid w:val="00A47318"/>
    <w:rsid w:val="00A5453E"/>
    <w:rsid w:val="00A55848"/>
    <w:rsid w:val="00A558E2"/>
    <w:rsid w:val="00A56F6C"/>
    <w:rsid w:val="00A679CB"/>
    <w:rsid w:val="00A76C8C"/>
    <w:rsid w:val="00A85F30"/>
    <w:rsid w:val="00A9099E"/>
    <w:rsid w:val="00A91FB7"/>
    <w:rsid w:val="00A9298F"/>
    <w:rsid w:val="00AA0351"/>
    <w:rsid w:val="00AA0DA9"/>
    <w:rsid w:val="00AA132B"/>
    <w:rsid w:val="00AA2FAC"/>
    <w:rsid w:val="00AA5F4A"/>
    <w:rsid w:val="00AB1984"/>
    <w:rsid w:val="00AB52B1"/>
    <w:rsid w:val="00AC1CAB"/>
    <w:rsid w:val="00AC4CB3"/>
    <w:rsid w:val="00AC780D"/>
    <w:rsid w:val="00AD036B"/>
    <w:rsid w:val="00AD150D"/>
    <w:rsid w:val="00AD1996"/>
    <w:rsid w:val="00AD4099"/>
    <w:rsid w:val="00AD4901"/>
    <w:rsid w:val="00AE3817"/>
    <w:rsid w:val="00AE5EC3"/>
    <w:rsid w:val="00AE6A98"/>
    <w:rsid w:val="00B02FE0"/>
    <w:rsid w:val="00B057B6"/>
    <w:rsid w:val="00B118C5"/>
    <w:rsid w:val="00B1783F"/>
    <w:rsid w:val="00B30448"/>
    <w:rsid w:val="00B34786"/>
    <w:rsid w:val="00B35714"/>
    <w:rsid w:val="00B400EC"/>
    <w:rsid w:val="00B40162"/>
    <w:rsid w:val="00B41ACE"/>
    <w:rsid w:val="00B4544D"/>
    <w:rsid w:val="00B50156"/>
    <w:rsid w:val="00B518AD"/>
    <w:rsid w:val="00B5597D"/>
    <w:rsid w:val="00B60A96"/>
    <w:rsid w:val="00B6465E"/>
    <w:rsid w:val="00B678EC"/>
    <w:rsid w:val="00B67B55"/>
    <w:rsid w:val="00B73DDD"/>
    <w:rsid w:val="00B75AC0"/>
    <w:rsid w:val="00B76C94"/>
    <w:rsid w:val="00B772D0"/>
    <w:rsid w:val="00B77582"/>
    <w:rsid w:val="00B836EA"/>
    <w:rsid w:val="00B83F20"/>
    <w:rsid w:val="00B84C05"/>
    <w:rsid w:val="00B8722C"/>
    <w:rsid w:val="00B90AB7"/>
    <w:rsid w:val="00B91B81"/>
    <w:rsid w:val="00B95F3F"/>
    <w:rsid w:val="00B97135"/>
    <w:rsid w:val="00BB3072"/>
    <w:rsid w:val="00BC4065"/>
    <w:rsid w:val="00BC7632"/>
    <w:rsid w:val="00BD48A9"/>
    <w:rsid w:val="00BD630F"/>
    <w:rsid w:val="00BD7EC6"/>
    <w:rsid w:val="00BE3E91"/>
    <w:rsid w:val="00BE45FE"/>
    <w:rsid w:val="00BE50C7"/>
    <w:rsid w:val="00BE73FA"/>
    <w:rsid w:val="00BF5218"/>
    <w:rsid w:val="00BF5C2A"/>
    <w:rsid w:val="00BF6B4B"/>
    <w:rsid w:val="00BF6E77"/>
    <w:rsid w:val="00C04F07"/>
    <w:rsid w:val="00C0511C"/>
    <w:rsid w:val="00C05DED"/>
    <w:rsid w:val="00C20ACF"/>
    <w:rsid w:val="00C22307"/>
    <w:rsid w:val="00C2270F"/>
    <w:rsid w:val="00C230AA"/>
    <w:rsid w:val="00C23469"/>
    <w:rsid w:val="00C30C62"/>
    <w:rsid w:val="00C315BE"/>
    <w:rsid w:val="00C371DF"/>
    <w:rsid w:val="00C42055"/>
    <w:rsid w:val="00C44B4C"/>
    <w:rsid w:val="00C45DDA"/>
    <w:rsid w:val="00C46734"/>
    <w:rsid w:val="00C47A86"/>
    <w:rsid w:val="00C53220"/>
    <w:rsid w:val="00C613D3"/>
    <w:rsid w:val="00C64542"/>
    <w:rsid w:val="00C65562"/>
    <w:rsid w:val="00CA1758"/>
    <w:rsid w:val="00CA3347"/>
    <w:rsid w:val="00CA41EF"/>
    <w:rsid w:val="00CA4AB4"/>
    <w:rsid w:val="00CA4C80"/>
    <w:rsid w:val="00CB28AD"/>
    <w:rsid w:val="00CB2DC8"/>
    <w:rsid w:val="00CB365F"/>
    <w:rsid w:val="00CC15C9"/>
    <w:rsid w:val="00CC299A"/>
    <w:rsid w:val="00CC6702"/>
    <w:rsid w:val="00CD03E3"/>
    <w:rsid w:val="00CD3DF5"/>
    <w:rsid w:val="00CD4B04"/>
    <w:rsid w:val="00CD738B"/>
    <w:rsid w:val="00CE221E"/>
    <w:rsid w:val="00CE617B"/>
    <w:rsid w:val="00CE6BDA"/>
    <w:rsid w:val="00CF1ABF"/>
    <w:rsid w:val="00CF26FF"/>
    <w:rsid w:val="00D030C6"/>
    <w:rsid w:val="00D03DBE"/>
    <w:rsid w:val="00D072C0"/>
    <w:rsid w:val="00D131D2"/>
    <w:rsid w:val="00D33A2B"/>
    <w:rsid w:val="00D34C82"/>
    <w:rsid w:val="00D3515F"/>
    <w:rsid w:val="00D35995"/>
    <w:rsid w:val="00D3757A"/>
    <w:rsid w:val="00D42144"/>
    <w:rsid w:val="00D504A9"/>
    <w:rsid w:val="00D5206D"/>
    <w:rsid w:val="00D53CEB"/>
    <w:rsid w:val="00D60078"/>
    <w:rsid w:val="00D65A05"/>
    <w:rsid w:val="00D7177D"/>
    <w:rsid w:val="00D763B9"/>
    <w:rsid w:val="00D770FB"/>
    <w:rsid w:val="00D81311"/>
    <w:rsid w:val="00D9095F"/>
    <w:rsid w:val="00D93CA6"/>
    <w:rsid w:val="00DA3EF7"/>
    <w:rsid w:val="00DA5FB3"/>
    <w:rsid w:val="00DB1F59"/>
    <w:rsid w:val="00DB201E"/>
    <w:rsid w:val="00DB5D94"/>
    <w:rsid w:val="00DC075F"/>
    <w:rsid w:val="00DC0E68"/>
    <w:rsid w:val="00DC2EF6"/>
    <w:rsid w:val="00DC5D8C"/>
    <w:rsid w:val="00DC744B"/>
    <w:rsid w:val="00DD25ED"/>
    <w:rsid w:val="00DD68B2"/>
    <w:rsid w:val="00DE0D6E"/>
    <w:rsid w:val="00DE161F"/>
    <w:rsid w:val="00DE2EF9"/>
    <w:rsid w:val="00DE3E5A"/>
    <w:rsid w:val="00DE70B4"/>
    <w:rsid w:val="00DF284D"/>
    <w:rsid w:val="00DF6F0B"/>
    <w:rsid w:val="00E15AB6"/>
    <w:rsid w:val="00E1610C"/>
    <w:rsid w:val="00E16D73"/>
    <w:rsid w:val="00E23E9E"/>
    <w:rsid w:val="00E25722"/>
    <w:rsid w:val="00E272D0"/>
    <w:rsid w:val="00E27851"/>
    <w:rsid w:val="00E27F0A"/>
    <w:rsid w:val="00E4231E"/>
    <w:rsid w:val="00E4302C"/>
    <w:rsid w:val="00E44AC7"/>
    <w:rsid w:val="00E45F4B"/>
    <w:rsid w:val="00E46341"/>
    <w:rsid w:val="00E50E08"/>
    <w:rsid w:val="00E60A16"/>
    <w:rsid w:val="00E63247"/>
    <w:rsid w:val="00E82B6E"/>
    <w:rsid w:val="00E83657"/>
    <w:rsid w:val="00E92110"/>
    <w:rsid w:val="00E94258"/>
    <w:rsid w:val="00E947BD"/>
    <w:rsid w:val="00E96C18"/>
    <w:rsid w:val="00EA0B9C"/>
    <w:rsid w:val="00EA1DF7"/>
    <w:rsid w:val="00EA2E61"/>
    <w:rsid w:val="00EA7D7F"/>
    <w:rsid w:val="00EB01B5"/>
    <w:rsid w:val="00EB02F4"/>
    <w:rsid w:val="00EB2FA2"/>
    <w:rsid w:val="00EB769A"/>
    <w:rsid w:val="00EC0944"/>
    <w:rsid w:val="00EC3A35"/>
    <w:rsid w:val="00ED2BF0"/>
    <w:rsid w:val="00EE17F2"/>
    <w:rsid w:val="00EE22BE"/>
    <w:rsid w:val="00EE3138"/>
    <w:rsid w:val="00EF20DA"/>
    <w:rsid w:val="00EF2AC7"/>
    <w:rsid w:val="00EF400A"/>
    <w:rsid w:val="00EF6BE4"/>
    <w:rsid w:val="00EF6E5D"/>
    <w:rsid w:val="00F02B61"/>
    <w:rsid w:val="00F07764"/>
    <w:rsid w:val="00F12517"/>
    <w:rsid w:val="00F131DD"/>
    <w:rsid w:val="00F16BA1"/>
    <w:rsid w:val="00F24435"/>
    <w:rsid w:val="00F30C0F"/>
    <w:rsid w:val="00F314E8"/>
    <w:rsid w:val="00F323A2"/>
    <w:rsid w:val="00F33B57"/>
    <w:rsid w:val="00F33D5C"/>
    <w:rsid w:val="00F345B7"/>
    <w:rsid w:val="00F34E90"/>
    <w:rsid w:val="00F356D6"/>
    <w:rsid w:val="00F4062F"/>
    <w:rsid w:val="00F47695"/>
    <w:rsid w:val="00F53BE2"/>
    <w:rsid w:val="00F55684"/>
    <w:rsid w:val="00F62120"/>
    <w:rsid w:val="00F64D5A"/>
    <w:rsid w:val="00F67458"/>
    <w:rsid w:val="00F675FB"/>
    <w:rsid w:val="00F709CD"/>
    <w:rsid w:val="00F818E9"/>
    <w:rsid w:val="00F906F4"/>
    <w:rsid w:val="00FA0716"/>
    <w:rsid w:val="00FA57A0"/>
    <w:rsid w:val="00FB4629"/>
    <w:rsid w:val="00FB6FB1"/>
    <w:rsid w:val="00FB7063"/>
    <w:rsid w:val="00FC302F"/>
    <w:rsid w:val="00FC3C8D"/>
    <w:rsid w:val="00FC5FA1"/>
    <w:rsid w:val="00FC7056"/>
    <w:rsid w:val="00FD2730"/>
    <w:rsid w:val="00FE1A00"/>
    <w:rsid w:val="024D7E2C"/>
    <w:rsid w:val="0D2EB883"/>
    <w:rsid w:val="0D8163B6"/>
    <w:rsid w:val="13A69650"/>
    <w:rsid w:val="1747814D"/>
    <w:rsid w:val="1BB32F19"/>
    <w:rsid w:val="1F2C3AF5"/>
    <w:rsid w:val="1FF4886A"/>
    <w:rsid w:val="22D2584A"/>
    <w:rsid w:val="28751A95"/>
    <w:rsid w:val="29FA8189"/>
    <w:rsid w:val="2C00A012"/>
    <w:rsid w:val="389994B3"/>
    <w:rsid w:val="3B30A011"/>
    <w:rsid w:val="3B93C128"/>
    <w:rsid w:val="3CFBE104"/>
    <w:rsid w:val="5055AB60"/>
    <w:rsid w:val="510454D8"/>
    <w:rsid w:val="521E120A"/>
    <w:rsid w:val="5D8505AD"/>
    <w:rsid w:val="653B8651"/>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27A6B"/>
  <w15:docId w15:val="{AD021A1D-D36D-46B1-BDDA-35210E8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table" w:customStyle="1" w:styleId="TableNormal1">
    <w:name w:val="Table Normal1"/>
    <w:uiPriority w:val="2"/>
    <w:semiHidden/>
    <w:unhideWhenUsed/>
    <w:qFormat/>
    <w:rsid w:val="00B775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epg103@g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F90D4723-67AE-439F-8ED4-C700D26B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2676</Words>
  <Characters>14721</Characters>
  <Application>Microsoft Office Word</Application>
  <DocSecurity>0</DocSecurity>
  <Lines>122</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3</cp:revision>
  <dcterms:created xsi:type="dcterms:W3CDTF">2024-08-28T15:15:00Z</dcterms:created>
  <dcterms:modified xsi:type="dcterms:W3CDTF">2024-08-28T15:15:00Z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