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B942C" w14:textId="77777777" w:rsidR="0007342E" w:rsidRPr="00EA1905" w:rsidRDefault="0007342E" w:rsidP="0007342E">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bookmarkStart w:id="0" w:name="_GoBack"/>
      <w:bookmarkEnd w:id="0"/>
      <w:r w:rsidRPr="00EA1905">
        <w:rPr>
          <w:rFonts w:ascii="Verdana" w:eastAsia="Calibri" w:hAnsi="Verdana" w:cs="Arial"/>
          <w:b/>
          <w:kern w:val="2"/>
          <w:lang w:val="es-MX" w:eastAsia="es-ES_tradnl"/>
          <w14:ligatures w14:val="standardContextual"/>
        </w:rPr>
        <w:t xml:space="preserve">LEY 2166 DE 2021 – Organismos de Acción Comunal – Artículo 95 – Convenios solidarios – Contratación directa – Contratos de obra – Menor cuantía </w:t>
      </w:r>
    </w:p>
    <w:p w14:paraId="13D03F44" w14:textId="77777777" w:rsidR="0007342E" w:rsidRPr="00EA1905" w:rsidRDefault="0007342E" w:rsidP="0007342E">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3717E108" w14:textId="77777777" w:rsidR="0007342E" w:rsidRPr="00EA1905" w:rsidRDefault="0007342E" w:rsidP="0007342E">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EA1905">
        <w:rPr>
          <w:rFonts w:ascii="Verdana" w:eastAsia="Calibri" w:hAnsi="Verdana" w:cs="Arial"/>
          <w:kern w:val="2"/>
          <w:sz w:val="20"/>
          <w:szCs w:val="20"/>
          <w:lang w:val="es-ES"/>
          <w14:ligatures w14:val="standardContextual"/>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p>
    <w:p w14:paraId="2A20B4C4" w14:textId="77777777" w:rsidR="0007342E" w:rsidRPr="00EA1905" w:rsidRDefault="0007342E" w:rsidP="0007342E">
      <w:pPr>
        <w:spacing w:after="0" w:line="240" w:lineRule="auto"/>
        <w:jc w:val="both"/>
        <w:rPr>
          <w:rFonts w:ascii="Verdana" w:eastAsia="Geomanist Light" w:hAnsi="Verdana" w:cs="Arial"/>
          <w:b/>
          <w:bCs/>
          <w:lang w:val="es-MX"/>
        </w:rPr>
      </w:pPr>
    </w:p>
    <w:p w14:paraId="43C39A45" w14:textId="77777777" w:rsidR="0007342E" w:rsidRPr="00EA1905" w:rsidRDefault="0007342E" w:rsidP="0007342E">
      <w:pPr>
        <w:spacing w:after="0" w:line="240" w:lineRule="auto"/>
        <w:jc w:val="both"/>
        <w:rPr>
          <w:rFonts w:ascii="Verdana" w:eastAsia="Geomanist Light" w:hAnsi="Verdana" w:cs="Arial"/>
          <w:b/>
          <w:bCs/>
          <w:lang w:val="es-MX"/>
        </w:rPr>
      </w:pPr>
      <w:r w:rsidRPr="00EA1905">
        <w:rPr>
          <w:rFonts w:ascii="Verdana" w:eastAsia="Geomanist Light" w:hAnsi="Verdana" w:cs="Arial"/>
          <w:b/>
          <w:bCs/>
          <w:lang w:val="es-MX"/>
        </w:rPr>
        <w:t>CONVENIOS DE ASOCIACIÓN – Improcedencia de anticipo – Improcedencia de pago anticipado – Carácter no conmutativo</w:t>
      </w:r>
    </w:p>
    <w:p w14:paraId="42022574" w14:textId="77777777" w:rsidR="0007342E" w:rsidRPr="00EA1905" w:rsidRDefault="0007342E" w:rsidP="0007342E">
      <w:pPr>
        <w:spacing w:after="0" w:line="240" w:lineRule="auto"/>
        <w:jc w:val="both"/>
        <w:rPr>
          <w:rFonts w:ascii="Verdana" w:eastAsia="Geomanist Light" w:hAnsi="Verdana" w:cs="Arial"/>
          <w:lang w:val="es-MX"/>
        </w:rPr>
      </w:pPr>
    </w:p>
    <w:p w14:paraId="6763AB8E" w14:textId="77777777" w:rsidR="0007342E" w:rsidRPr="00EA1905" w:rsidRDefault="0007342E" w:rsidP="0007342E">
      <w:pPr>
        <w:spacing w:after="0" w:line="240" w:lineRule="auto"/>
        <w:jc w:val="both"/>
        <w:rPr>
          <w:rFonts w:ascii="Verdana" w:eastAsia="Geomanist Light" w:hAnsi="Verdana" w:cs="Arial"/>
          <w:sz w:val="20"/>
          <w:szCs w:val="20"/>
          <w:lang w:val="es-MX"/>
        </w:rPr>
      </w:pPr>
      <w:r w:rsidRPr="00EA1905">
        <w:rPr>
          <w:rFonts w:ascii="Verdana" w:eastAsia="Geomanist Light" w:hAnsi="Verdana" w:cs="Arial"/>
          <w:sz w:val="20"/>
          <w:szCs w:val="20"/>
          <w:lang w:val="es-MX"/>
        </w:rPr>
        <w:t xml:space="preserve">[…] en los convenios solidarios no es posible pactar anticipos o pagos anticipados, pues pese a que el parágrafo del artículo 40 de la Ley 80 de 1993, permite que “[e]n los contratos que celebren las entidades estatales se podrá pactar el pago de anticipo y la entrega de anticipos […]” [Énfasis fuera de texto], dicha norma no extendió esta prerrogativa a los convenios que suscriben las entidades públicas. Lo anterior, guarda su fundamento en que, si bien tanto los contratos como los convenios comparten características comunes, difieren en cuanto a aspectos esenciales. Así, mientras que el contrato se caracteriza por su naturaleza onerosa, patrimonial y se conforma por intereses básicamente contrapuestos, los convenios por su parte, tienen una finalidad asociativa perseguida por las partes suscriptoras, cuyos intereses se encaminan en la misma dirección y persiguen los mismos objetivos, por lo que carecen de la calidad conmutativa, que sí es propia de los primeros. </w:t>
      </w:r>
    </w:p>
    <w:p w14:paraId="75B94D4F" w14:textId="77777777" w:rsidR="0007342E" w:rsidRPr="00EA1905" w:rsidRDefault="0007342E" w:rsidP="0007342E">
      <w:pPr>
        <w:spacing w:after="0" w:line="240" w:lineRule="auto"/>
        <w:rPr>
          <w:rFonts w:ascii="Verdana" w:eastAsia="Geomanist Light" w:hAnsi="Verdana" w:cs="Arial"/>
          <w:sz w:val="20"/>
          <w:szCs w:val="20"/>
          <w:lang w:val="es-MX"/>
        </w:rPr>
      </w:pPr>
    </w:p>
    <w:p w14:paraId="60D7D106" w14:textId="77777777" w:rsidR="0007342E" w:rsidRPr="00EA1905" w:rsidRDefault="0007342E" w:rsidP="0007342E">
      <w:pPr>
        <w:spacing w:after="0" w:line="240" w:lineRule="auto"/>
        <w:rPr>
          <w:rFonts w:ascii="Verdana" w:eastAsia="Geomanist Light" w:hAnsi="Verdana" w:cs="Arial"/>
          <w:sz w:val="20"/>
          <w:szCs w:val="20"/>
          <w:lang w:val="es-MX"/>
        </w:rPr>
      </w:pPr>
    </w:p>
    <w:p w14:paraId="527AC0CD" w14:textId="77777777" w:rsidR="0007342E" w:rsidRPr="00EA1905" w:rsidRDefault="0007342E" w:rsidP="0007342E">
      <w:pPr>
        <w:spacing w:after="0" w:line="240" w:lineRule="auto"/>
        <w:rPr>
          <w:rFonts w:ascii="Verdana" w:eastAsia="Geomanist Light" w:hAnsi="Verdana" w:cs="Arial"/>
          <w:sz w:val="20"/>
          <w:szCs w:val="20"/>
          <w:lang w:val="es-MX"/>
        </w:rPr>
      </w:pPr>
    </w:p>
    <w:p w14:paraId="4A434859" w14:textId="77777777" w:rsidR="0007342E" w:rsidRPr="00EA1905" w:rsidRDefault="0007342E" w:rsidP="0007342E">
      <w:pPr>
        <w:spacing w:after="0" w:line="240" w:lineRule="auto"/>
        <w:rPr>
          <w:rFonts w:ascii="Verdana" w:eastAsia="Geomanist Light" w:hAnsi="Verdana" w:cs="Arial"/>
          <w:sz w:val="20"/>
          <w:szCs w:val="20"/>
          <w:lang w:val="es-MX"/>
        </w:rPr>
      </w:pPr>
    </w:p>
    <w:p w14:paraId="123B49F0" w14:textId="77777777" w:rsidR="0007342E" w:rsidRPr="00EA1905" w:rsidRDefault="0007342E" w:rsidP="0007342E">
      <w:pPr>
        <w:spacing w:after="0" w:line="240" w:lineRule="auto"/>
        <w:rPr>
          <w:rFonts w:ascii="Verdana" w:eastAsia="Geomanist Light" w:hAnsi="Verdana" w:cs="Arial"/>
          <w:sz w:val="20"/>
          <w:szCs w:val="20"/>
          <w:lang w:val="es-MX"/>
        </w:rPr>
      </w:pPr>
    </w:p>
    <w:p w14:paraId="07903A3B" w14:textId="77777777" w:rsidR="0007342E" w:rsidRDefault="0007342E" w:rsidP="0007342E">
      <w:pPr>
        <w:spacing w:after="0" w:line="240" w:lineRule="auto"/>
        <w:rPr>
          <w:rFonts w:ascii="Verdana" w:eastAsia="Geomanist Light" w:hAnsi="Verdana" w:cs="Arial"/>
          <w:sz w:val="20"/>
          <w:szCs w:val="20"/>
          <w:lang w:val="es-MX"/>
        </w:rPr>
      </w:pPr>
    </w:p>
    <w:p w14:paraId="4316AC32" w14:textId="77777777" w:rsidR="0007342E" w:rsidRDefault="0007342E" w:rsidP="0007342E">
      <w:pPr>
        <w:spacing w:after="0" w:line="240" w:lineRule="auto"/>
        <w:rPr>
          <w:rFonts w:ascii="Verdana" w:eastAsia="Geomanist Light" w:hAnsi="Verdana" w:cs="Arial"/>
          <w:sz w:val="20"/>
          <w:szCs w:val="20"/>
          <w:lang w:val="es-MX"/>
        </w:rPr>
      </w:pPr>
    </w:p>
    <w:p w14:paraId="57D8CDEF" w14:textId="77777777" w:rsidR="0007342E" w:rsidRDefault="0007342E" w:rsidP="0007342E">
      <w:pPr>
        <w:spacing w:after="0" w:line="240" w:lineRule="auto"/>
        <w:rPr>
          <w:rFonts w:ascii="Verdana" w:eastAsia="Geomanist Light" w:hAnsi="Verdana" w:cs="Arial"/>
          <w:sz w:val="20"/>
          <w:szCs w:val="20"/>
          <w:lang w:val="es-MX"/>
        </w:rPr>
      </w:pPr>
    </w:p>
    <w:p w14:paraId="33612683" w14:textId="77777777" w:rsidR="0007342E" w:rsidRDefault="0007342E" w:rsidP="0007342E">
      <w:pPr>
        <w:spacing w:after="0" w:line="240" w:lineRule="auto"/>
        <w:rPr>
          <w:rFonts w:ascii="Verdana" w:eastAsia="Geomanist Light" w:hAnsi="Verdana" w:cs="Arial"/>
          <w:sz w:val="20"/>
          <w:szCs w:val="20"/>
          <w:lang w:val="es-MX"/>
        </w:rPr>
      </w:pPr>
    </w:p>
    <w:p w14:paraId="310F3D84" w14:textId="77777777" w:rsidR="0007342E" w:rsidRDefault="0007342E" w:rsidP="0007342E">
      <w:pPr>
        <w:spacing w:after="0" w:line="240" w:lineRule="auto"/>
        <w:rPr>
          <w:rFonts w:ascii="Verdana" w:eastAsia="Geomanist Light" w:hAnsi="Verdana" w:cs="Arial"/>
          <w:sz w:val="20"/>
          <w:szCs w:val="20"/>
          <w:lang w:val="es-MX"/>
        </w:rPr>
      </w:pPr>
    </w:p>
    <w:p w14:paraId="30B7C732" w14:textId="77777777" w:rsidR="0007342E" w:rsidRDefault="0007342E" w:rsidP="0007342E">
      <w:pPr>
        <w:spacing w:after="0" w:line="240" w:lineRule="auto"/>
        <w:rPr>
          <w:rFonts w:ascii="Verdana" w:eastAsia="Geomanist Light" w:hAnsi="Verdana" w:cs="Arial"/>
          <w:sz w:val="20"/>
          <w:szCs w:val="20"/>
          <w:lang w:val="es-MX"/>
        </w:rPr>
      </w:pPr>
    </w:p>
    <w:p w14:paraId="1561A5A1" w14:textId="77777777" w:rsidR="0007342E" w:rsidRPr="00EA1905" w:rsidRDefault="0007342E" w:rsidP="0007342E">
      <w:pPr>
        <w:spacing w:after="0" w:line="240" w:lineRule="auto"/>
        <w:rPr>
          <w:rFonts w:ascii="Verdana" w:eastAsia="Geomanist Light" w:hAnsi="Verdana" w:cs="Arial"/>
          <w:sz w:val="20"/>
          <w:szCs w:val="20"/>
          <w:lang w:val="es-MX"/>
        </w:rPr>
      </w:pPr>
    </w:p>
    <w:p w14:paraId="5E1BCA82" w14:textId="77777777" w:rsidR="0007342E" w:rsidRPr="00EA1905" w:rsidRDefault="0007342E" w:rsidP="0007342E">
      <w:pPr>
        <w:spacing w:after="0" w:line="240" w:lineRule="auto"/>
        <w:rPr>
          <w:rFonts w:ascii="Verdana" w:eastAsia="Geomanist Light" w:hAnsi="Verdana" w:cs="Arial"/>
          <w:sz w:val="20"/>
          <w:szCs w:val="20"/>
          <w:lang w:val="es-MX"/>
        </w:rPr>
      </w:pPr>
    </w:p>
    <w:p w14:paraId="6B34BFD4" w14:textId="77777777" w:rsidR="0007342E" w:rsidRPr="00EA1905" w:rsidRDefault="0007342E" w:rsidP="0007342E">
      <w:pPr>
        <w:spacing w:after="0" w:line="240" w:lineRule="auto"/>
        <w:rPr>
          <w:rFonts w:ascii="Verdana" w:eastAsia="Geomanist Light" w:hAnsi="Verdana" w:cs="Arial"/>
          <w:sz w:val="20"/>
          <w:szCs w:val="20"/>
          <w:lang w:val="es-MX"/>
        </w:rPr>
      </w:pPr>
    </w:p>
    <w:p w14:paraId="61B029B7" w14:textId="77777777" w:rsidR="0007342E" w:rsidRPr="00EA1905" w:rsidRDefault="0007342E" w:rsidP="0007342E">
      <w:pPr>
        <w:spacing w:after="0" w:line="240" w:lineRule="auto"/>
        <w:rPr>
          <w:rFonts w:ascii="Verdana" w:eastAsia="Geomanist Light" w:hAnsi="Verdana" w:cs="Arial"/>
          <w:sz w:val="20"/>
          <w:szCs w:val="20"/>
          <w:lang w:val="es-MX"/>
        </w:rPr>
      </w:pPr>
    </w:p>
    <w:p w14:paraId="3E3D3B81" w14:textId="77777777" w:rsidR="0007342E" w:rsidRPr="00EA1905" w:rsidRDefault="0007342E" w:rsidP="0007342E">
      <w:pPr>
        <w:spacing w:after="0" w:line="240" w:lineRule="auto"/>
        <w:rPr>
          <w:rFonts w:ascii="Verdana" w:eastAsia="Geomanist Light" w:hAnsi="Verdana" w:cs="Arial"/>
          <w:sz w:val="20"/>
          <w:szCs w:val="20"/>
          <w:lang w:val="es-MX"/>
        </w:rPr>
      </w:pPr>
    </w:p>
    <w:p w14:paraId="4E209E87" w14:textId="77777777" w:rsidR="0007342E" w:rsidRPr="00EA1905" w:rsidRDefault="0007342E" w:rsidP="0007342E">
      <w:pPr>
        <w:spacing w:after="0" w:line="240" w:lineRule="auto"/>
        <w:rPr>
          <w:rFonts w:ascii="Verdana" w:eastAsia="Geomanist Light" w:hAnsi="Verdana" w:cs="Arial"/>
          <w:sz w:val="20"/>
          <w:szCs w:val="20"/>
          <w:lang w:val="es-MX"/>
        </w:rPr>
      </w:pPr>
    </w:p>
    <w:p w14:paraId="546E72A4" w14:textId="77777777" w:rsidR="0007342E" w:rsidRPr="00EA1905" w:rsidRDefault="0007342E" w:rsidP="0007342E">
      <w:pPr>
        <w:spacing w:after="0" w:line="240" w:lineRule="auto"/>
        <w:rPr>
          <w:rFonts w:ascii="Verdana" w:eastAsia="Geomanist Light" w:hAnsi="Verdana" w:cs="Arial"/>
          <w:sz w:val="20"/>
          <w:szCs w:val="20"/>
          <w:lang w:val="es-MX"/>
        </w:rPr>
      </w:pPr>
    </w:p>
    <w:p w14:paraId="2C30D000" w14:textId="77777777" w:rsidR="0007342E" w:rsidRPr="00EA1905" w:rsidRDefault="0007342E" w:rsidP="0007342E">
      <w:pPr>
        <w:spacing w:after="0" w:line="240" w:lineRule="auto"/>
        <w:rPr>
          <w:rFonts w:ascii="Verdana" w:eastAsia="Geomanist Light" w:hAnsi="Verdana" w:cs="Arial"/>
          <w:sz w:val="20"/>
          <w:szCs w:val="20"/>
          <w:lang w:val="es-MX"/>
        </w:rPr>
      </w:pPr>
    </w:p>
    <w:p w14:paraId="67A86258" w14:textId="77777777" w:rsidR="0007342E" w:rsidRPr="00EA1905" w:rsidRDefault="0007342E" w:rsidP="0007342E">
      <w:pPr>
        <w:spacing w:after="0" w:line="240" w:lineRule="auto"/>
        <w:rPr>
          <w:rFonts w:ascii="Verdana" w:eastAsia="Geomanist Light" w:hAnsi="Verdana" w:cs="Arial"/>
          <w:lang w:val="es-MX"/>
        </w:rPr>
      </w:pPr>
      <w:r w:rsidRPr="00EA1905">
        <w:rPr>
          <w:rFonts w:ascii="Verdana" w:eastAsia="Geomanist Light" w:hAnsi="Verdana" w:cs="Arial"/>
          <w:lang w:val="es-MX"/>
        </w:rPr>
        <w:t>Bogotá D.C., [Día] de [</w:t>
      </w:r>
      <w:proofErr w:type="spellStart"/>
      <w:r w:rsidRPr="00EA1905">
        <w:rPr>
          <w:rFonts w:ascii="Verdana" w:eastAsia="Geomanist Light" w:hAnsi="Verdana" w:cs="Arial"/>
          <w:lang w:val="es-MX"/>
        </w:rPr>
        <w:t>Mes.NombreCapitalizado</w:t>
      </w:r>
      <w:proofErr w:type="spellEnd"/>
      <w:r w:rsidRPr="00EA1905">
        <w:rPr>
          <w:rFonts w:ascii="Verdana" w:eastAsia="Geomanist Light" w:hAnsi="Verdana" w:cs="Arial"/>
          <w:lang w:val="es-MX"/>
        </w:rPr>
        <w:t>] de [Año]</w:t>
      </w:r>
    </w:p>
    <w:p w14:paraId="41D1BBB6" w14:textId="77777777" w:rsidR="0007342E" w:rsidRDefault="0007342E" w:rsidP="0007342E">
      <w:pPr>
        <w:spacing w:after="0" w:line="240" w:lineRule="auto"/>
        <w:jc w:val="both"/>
        <w:rPr>
          <w:rFonts w:ascii="Verdana" w:eastAsia="Calibri" w:hAnsi="Verdana" w:cs="Arial"/>
          <w:lang w:val="es-ES"/>
        </w:rPr>
      </w:pPr>
    </w:p>
    <w:p w14:paraId="734BA4C3" w14:textId="35ED8B7B" w:rsidR="00892F01" w:rsidRDefault="00FE5C8C" w:rsidP="00892F01">
      <w:pPr>
        <w:spacing w:after="0" w:line="240" w:lineRule="auto"/>
        <w:jc w:val="right"/>
        <w:rPr>
          <w:rFonts w:ascii="Verdana" w:eastAsia="Calibri" w:hAnsi="Verdana" w:cs="Arial"/>
          <w:lang w:val="es-ES"/>
        </w:rPr>
      </w:pPr>
      <w:r w:rsidRPr="00FE5C8C">
        <w:rPr>
          <w:rFonts w:ascii="Verdana" w:eastAsia="Calibri" w:hAnsi="Verdana" w:cs="Arial"/>
          <w:noProof/>
          <w:lang w:val="es-ES"/>
        </w:rPr>
        <w:drawing>
          <wp:inline distT="0" distB="0" distL="0" distR="0" wp14:anchorId="750CB1A4" wp14:editId="5ED45B29">
            <wp:extent cx="3286584" cy="943107"/>
            <wp:effectExtent l="0" t="0" r="0" b="9525"/>
            <wp:docPr id="70070708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07087" name="Imagen 1" descr="Texto&#10;&#10;Descripción generada automáticamente"/>
                    <pic:cNvPicPr/>
                  </pic:nvPicPr>
                  <pic:blipFill>
                    <a:blip r:embed="rId10"/>
                    <a:stretch>
                      <a:fillRect/>
                    </a:stretch>
                  </pic:blipFill>
                  <pic:spPr>
                    <a:xfrm>
                      <a:off x="0" y="0"/>
                      <a:ext cx="3286584" cy="943107"/>
                    </a:xfrm>
                    <a:prstGeom prst="rect">
                      <a:avLst/>
                    </a:prstGeom>
                  </pic:spPr>
                </pic:pic>
              </a:graphicData>
            </a:graphic>
          </wp:inline>
        </w:drawing>
      </w:r>
    </w:p>
    <w:p w14:paraId="77DA362C" w14:textId="77777777" w:rsidR="00892F01" w:rsidRPr="00EA1905" w:rsidRDefault="00892F01" w:rsidP="0007342E">
      <w:pPr>
        <w:spacing w:after="0" w:line="240" w:lineRule="auto"/>
        <w:jc w:val="both"/>
        <w:rPr>
          <w:rFonts w:ascii="Verdana" w:eastAsia="Calibri" w:hAnsi="Verdana" w:cs="Arial"/>
          <w:lang w:val="es-ES"/>
        </w:rPr>
      </w:pPr>
    </w:p>
    <w:p w14:paraId="261B049E" w14:textId="77777777" w:rsidR="0007342E" w:rsidRPr="00EA1905" w:rsidRDefault="0007342E" w:rsidP="0007342E">
      <w:pPr>
        <w:spacing w:after="0" w:line="240" w:lineRule="auto"/>
        <w:jc w:val="both"/>
        <w:rPr>
          <w:rFonts w:ascii="Verdana" w:eastAsia="Calibri" w:hAnsi="Verdana" w:cs="Arial"/>
          <w:lang w:val="es-ES" w:eastAsia="es-ES"/>
        </w:rPr>
      </w:pPr>
      <w:r w:rsidRPr="00EA1905">
        <w:rPr>
          <w:rFonts w:ascii="Verdana" w:eastAsia="Calibri" w:hAnsi="Verdana" w:cs="Arial"/>
          <w:lang w:val="es-ES" w:eastAsia="es-ES"/>
        </w:rPr>
        <w:t>Señora</w:t>
      </w:r>
    </w:p>
    <w:p w14:paraId="758CF085" w14:textId="77777777" w:rsidR="0007342E" w:rsidRPr="00EA1905" w:rsidRDefault="0007342E" w:rsidP="0007342E">
      <w:pPr>
        <w:spacing w:after="0" w:line="240" w:lineRule="auto"/>
        <w:rPr>
          <w:rFonts w:ascii="Verdana" w:eastAsia="Calibri" w:hAnsi="Verdana" w:cs="Arial"/>
          <w:b/>
          <w:lang w:val="es-ES" w:eastAsia="es-ES"/>
        </w:rPr>
      </w:pPr>
      <w:proofErr w:type="spellStart"/>
      <w:r w:rsidRPr="1AF15BBB">
        <w:rPr>
          <w:rFonts w:ascii="Verdana" w:eastAsia="Calibri" w:hAnsi="Verdana" w:cs="Arial"/>
          <w:b/>
          <w:lang w:val="es-ES" w:eastAsia="es-ES"/>
        </w:rPr>
        <w:t>Karol</w:t>
      </w:r>
      <w:proofErr w:type="spellEnd"/>
      <w:r w:rsidRPr="1AF15BBB">
        <w:rPr>
          <w:rFonts w:ascii="Verdana" w:eastAsia="Calibri" w:hAnsi="Verdana" w:cs="Arial"/>
          <w:b/>
          <w:lang w:val="es-ES" w:eastAsia="es-ES"/>
        </w:rPr>
        <w:t xml:space="preserve"> Daniela Castillo Vallejo</w:t>
      </w:r>
    </w:p>
    <w:p w14:paraId="3AF41754" w14:textId="77777777" w:rsidR="0007342E" w:rsidRPr="00EA1905" w:rsidRDefault="00EA73F6" w:rsidP="0007342E">
      <w:pPr>
        <w:spacing w:after="0" w:line="240" w:lineRule="auto"/>
        <w:rPr>
          <w:rFonts w:ascii="Verdana" w:hAnsi="Verdana"/>
        </w:rPr>
      </w:pPr>
      <w:hyperlink r:id="rId11" w:history="1">
        <w:r w:rsidR="0007342E" w:rsidRPr="00EA1905">
          <w:rPr>
            <w:rFonts w:ascii="Verdana" w:hAnsi="Verdana"/>
            <w:color w:val="467886" w:themeColor="hyperlink"/>
            <w:u w:val="single"/>
          </w:rPr>
          <w:t>asoamazorinoquia@gmail.com</w:t>
        </w:r>
      </w:hyperlink>
      <w:r w:rsidR="0007342E" w:rsidRPr="00EA1905">
        <w:rPr>
          <w:rFonts w:ascii="Verdana" w:hAnsi="Verdana"/>
        </w:rPr>
        <w:t xml:space="preserve"> </w:t>
      </w:r>
    </w:p>
    <w:p w14:paraId="412FB27B" w14:textId="77777777" w:rsidR="0007342E" w:rsidRPr="00EA1905" w:rsidRDefault="0007342E" w:rsidP="0007342E">
      <w:pPr>
        <w:spacing w:after="0" w:line="240" w:lineRule="auto"/>
        <w:rPr>
          <w:rFonts w:ascii="Verdana" w:eastAsia="Calibri" w:hAnsi="Verdana" w:cs="Arial"/>
          <w:b/>
          <w:bCs/>
          <w:lang w:val="es-ES" w:eastAsia="es-ES"/>
        </w:rPr>
      </w:pPr>
      <w:r w:rsidRPr="00EA1905">
        <w:rPr>
          <w:rFonts w:ascii="Verdana" w:eastAsia="Calibri" w:hAnsi="Verdana" w:cs="Arial"/>
          <w:lang w:val="es-ES" w:eastAsia="es-ES"/>
        </w:rPr>
        <w:t>Villavicencio, Meta</w:t>
      </w:r>
    </w:p>
    <w:p w14:paraId="5DDEDEAA" w14:textId="77777777" w:rsidR="0007342E" w:rsidRPr="00EA1905" w:rsidRDefault="0007342E" w:rsidP="0007342E">
      <w:pPr>
        <w:spacing w:after="0" w:line="240" w:lineRule="auto"/>
        <w:rPr>
          <w:rFonts w:ascii="Verdana" w:eastAsia="Calibri" w:hAnsi="Verdana" w:cs="Arial"/>
          <w:b/>
          <w:bCs/>
          <w:lang w:val="es-ES_tradnl" w:eastAsia="es-ES_tradnl"/>
        </w:rPr>
      </w:pPr>
    </w:p>
    <w:p w14:paraId="4A11129F" w14:textId="77777777" w:rsidR="0007342E" w:rsidRPr="00EA1905" w:rsidRDefault="0007342E" w:rsidP="0007342E">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7342E" w:rsidRPr="00EA1905" w14:paraId="3E2D4750" w14:textId="77777777" w:rsidTr="00094090">
        <w:trPr>
          <w:trHeight w:val="884"/>
        </w:trPr>
        <w:tc>
          <w:tcPr>
            <w:tcW w:w="2689" w:type="dxa"/>
          </w:tcPr>
          <w:p w14:paraId="0C044910" w14:textId="77777777" w:rsidR="0007342E" w:rsidRPr="00EA1905" w:rsidRDefault="0007342E" w:rsidP="00094090">
            <w:pPr>
              <w:jc w:val="both"/>
              <w:rPr>
                <w:rFonts w:ascii="Verdana" w:eastAsia="Calibri" w:hAnsi="Verdana" w:cs="Arial"/>
                <w:b/>
                <w:bCs/>
                <w:lang w:val="es-ES_tradnl" w:eastAsia="es-ES_tradnl"/>
              </w:rPr>
            </w:pPr>
          </w:p>
        </w:tc>
        <w:tc>
          <w:tcPr>
            <w:tcW w:w="6100" w:type="dxa"/>
          </w:tcPr>
          <w:p w14:paraId="1B73A27D" w14:textId="77777777" w:rsidR="0007342E" w:rsidRPr="00EA1905" w:rsidRDefault="0007342E" w:rsidP="00094090">
            <w:pPr>
              <w:jc w:val="both"/>
              <w:rPr>
                <w:rFonts w:ascii="Verdana" w:eastAsia="Calibri" w:hAnsi="Verdana" w:cs="Arial"/>
                <w:b/>
                <w:bCs/>
                <w:lang w:val="es-ES" w:eastAsia="es-ES"/>
              </w:rPr>
            </w:pPr>
            <w:r w:rsidRPr="00EA1905">
              <w:rPr>
                <w:rFonts w:ascii="Verdana" w:eastAsia="Calibri" w:hAnsi="Verdana" w:cs="Arial"/>
                <w:b/>
                <w:bCs/>
                <w:lang w:val="es-ES" w:eastAsia="es-ES"/>
              </w:rPr>
              <w:t>Concepto C- 341 de 2024</w:t>
            </w:r>
          </w:p>
        </w:tc>
      </w:tr>
      <w:tr w:rsidR="0007342E" w:rsidRPr="00EA1905" w14:paraId="664E7A45" w14:textId="77777777" w:rsidTr="00094090">
        <w:trPr>
          <w:trHeight w:val="884"/>
        </w:trPr>
        <w:tc>
          <w:tcPr>
            <w:tcW w:w="2689" w:type="dxa"/>
          </w:tcPr>
          <w:p w14:paraId="6A15A0DA" w14:textId="77777777" w:rsidR="0007342E" w:rsidRPr="00EA1905" w:rsidRDefault="0007342E" w:rsidP="00094090">
            <w:pPr>
              <w:jc w:val="both"/>
              <w:rPr>
                <w:rFonts w:ascii="Verdana" w:eastAsia="Calibri" w:hAnsi="Verdana" w:cs="Arial"/>
                <w:highlight w:val="yellow"/>
                <w:lang w:val="es-ES_tradnl" w:eastAsia="es-ES_tradnl"/>
              </w:rPr>
            </w:pPr>
            <w:r w:rsidRPr="00EA1905">
              <w:rPr>
                <w:rFonts w:ascii="Verdana" w:eastAsia="Calibri" w:hAnsi="Verdana" w:cs="Arial"/>
                <w:b/>
                <w:lang w:val="es-ES_tradnl" w:eastAsia="es-ES_tradnl"/>
              </w:rPr>
              <w:t>Temas:</w:t>
            </w:r>
            <w:r w:rsidRPr="00EA1905">
              <w:rPr>
                <w:rFonts w:ascii="Verdana" w:eastAsia="Calibri" w:hAnsi="Verdana" w:cs="Arial"/>
                <w:lang w:val="es-ES_tradnl" w:eastAsia="es-ES_tradnl"/>
              </w:rPr>
              <w:t xml:space="preserve">                   </w:t>
            </w:r>
          </w:p>
        </w:tc>
        <w:tc>
          <w:tcPr>
            <w:tcW w:w="6100" w:type="dxa"/>
          </w:tcPr>
          <w:p w14:paraId="5AC8AE66" w14:textId="77777777" w:rsidR="0007342E" w:rsidRPr="00EA1905" w:rsidRDefault="0007342E" w:rsidP="00094090">
            <w:pPr>
              <w:spacing w:line="276" w:lineRule="auto"/>
              <w:jc w:val="both"/>
              <w:rPr>
                <w:rFonts w:ascii="Verdana" w:eastAsia="Calibri" w:hAnsi="Verdana" w:cs="Arial"/>
                <w:lang w:val="es-ES" w:eastAsia="es-ES"/>
              </w:rPr>
            </w:pPr>
            <w:r w:rsidRPr="00EA1905">
              <w:rPr>
                <w:rFonts w:ascii="Verdana" w:eastAsia="Calibri" w:hAnsi="Verdana" w:cs="Arial"/>
                <w:lang w:val="es-ES" w:eastAsia="es-ES"/>
              </w:rPr>
              <w:t>LEY 2166 DE 2021 – Organismos de Acción Comunal – Artículo 95 – Convenios solidarios – Contratación directa – Contratos de obra – Menor cuantía / CONVENIOS DE ASOCIACIÓN – Improcedencia de anticipo – Improcedencia de pago anticipado – Carácter no conmutativo</w:t>
            </w:r>
          </w:p>
          <w:p w14:paraId="5FD76BC6" w14:textId="77777777" w:rsidR="0007342E" w:rsidRPr="00EA1905" w:rsidRDefault="0007342E" w:rsidP="00094090">
            <w:pPr>
              <w:spacing w:line="276" w:lineRule="auto"/>
              <w:jc w:val="both"/>
              <w:rPr>
                <w:rFonts w:ascii="Verdana" w:eastAsia="Calibri" w:hAnsi="Verdana" w:cs="Arial"/>
                <w:highlight w:val="yellow"/>
                <w:lang w:val="es-ES" w:eastAsia="es-ES"/>
              </w:rPr>
            </w:pPr>
          </w:p>
        </w:tc>
      </w:tr>
      <w:tr w:rsidR="0007342E" w:rsidRPr="00EA1905" w14:paraId="115C05A5" w14:textId="77777777" w:rsidTr="00094090">
        <w:tc>
          <w:tcPr>
            <w:tcW w:w="2689" w:type="dxa"/>
          </w:tcPr>
          <w:p w14:paraId="6BB5A61F" w14:textId="77777777" w:rsidR="0007342E" w:rsidRPr="00EA1905" w:rsidRDefault="0007342E" w:rsidP="00094090">
            <w:pPr>
              <w:jc w:val="both"/>
              <w:rPr>
                <w:rFonts w:ascii="Verdana" w:eastAsia="Calibri" w:hAnsi="Verdana" w:cs="Arial"/>
                <w:b/>
                <w:lang w:val="es-ES_tradnl" w:eastAsia="es-ES_tradnl"/>
              </w:rPr>
            </w:pPr>
            <w:r w:rsidRPr="00EA1905">
              <w:rPr>
                <w:rFonts w:ascii="Verdana" w:eastAsia="Calibri" w:hAnsi="Verdana" w:cs="Arial"/>
                <w:b/>
                <w:lang w:val="es-ES_tradnl" w:eastAsia="es-ES_tradnl"/>
              </w:rPr>
              <w:t>Radicación:</w:t>
            </w:r>
            <w:r w:rsidRPr="00EA1905">
              <w:rPr>
                <w:rFonts w:ascii="Verdana" w:eastAsia="Calibri" w:hAnsi="Verdana" w:cs="Arial"/>
                <w:lang w:val="es-ES_tradnl" w:eastAsia="es-ES_tradnl"/>
              </w:rPr>
              <w:t xml:space="preserve">               </w:t>
            </w:r>
          </w:p>
        </w:tc>
        <w:tc>
          <w:tcPr>
            <w:tcW w:w="6100" w:type="dxa"/>
          </w:tcPr>
          <w:p w14:paraId="32B2D32C" w14:textId="77777777" w:rsidR="0007342E" w:rsidRPr="00EA1905" w:rsidRDefault="0007342E" w:rsidP="00094090">
            <w:pPr>
              <w:jc w:val="both"/>
              <w:rPr>
                <w:rFonts w:ascii="Verdana" w:eastAsia="Calibri" w:hAnsi="Verdana" w:cs="Arial"/>
                <w:lang w:val="es-ES_tradnl" w:eastAsia="es-ES_tradnl"/>
              </w:rPr>
            </w:pPr>
            <w:r w:rsidRPr="00EA1905">
              <w:rPr>
                <w:rFonts w:ascii="Verdana" w:eastAsia="Calibri" w:hAnsi="Verdana" w:cs="Arial"/>
                <w:lang w:val="es-ES_tradnl" w:eastAsia="es-ES_tradnl"/>
              </w:rPr>
              <w:t>Respuesta a consulta con radicado No. P20240716007192</w:t>
            </w:r>
            <w:r w:rsidRPr="00EA1905">
              <w:rPr>
                <w:rFonts w:ascii="Verdana" w:eastAsia="Calibri" w:hAnsi="Verdana" w:cs="Arial"/>
                <w:lang w:val="es-ES_tradnl" w:eastAsia="es-ES_tradnl"/>
              </w:rPr>
              <w:tab/>
            </w:r>
            <w:r w:rsidRPr="00EA1905">
              <w:rPr>
                <w:rFonts w:ascii="Verdana" w:eastAsia="Calibri" w:hAnsi="Verdana" w:cs="Arial"/>
                <w:lang w:val="es-ES_tradnl" w:eastAsia="es-ES_tradnl"/>
              </w:rPr>
              <w:tab/>
            </w:r>
          </w:p>
        </w:tc>
      </w:tr>
    </w:tbl>
    <w:p w14:paraId="1251496F" w14:textId="77777777" w:rsidR="0007342E" w:rsidRPr="00EA1905" w:rsidRDefault="0007342E" w:rsidP="0007342E">
      <w:pPr>
        <w:spacing w:after="0" w:line="240" w:lineRule="auto"/>
        <w:jc w:val="both"/>
        <w:rPr>
          <w:rFonts w:ascii="Verdana" w:eastAsia="Calibri" w:hAnsi="Verdana" w:cs="Arial"/>
          <w:lang w:val="es-ES_tradnl" w:eastAsia="es-ES_tradnl"/>
        </w:rPr>
      </w:pPr>
    </w:p>
    <w:p w14:paraId="537AED88" w14:textId="77777777" w:rsidR="0007342E" w:rsidRPr="00EA1905" w:rsidRDefault="0007342E" w:rsidP="0007342E">
      <w:pPr>
        <w:spacing w:after="0" w:line="240" w:lineRule="auto"/>
        <w:jc w:val="both"/>
        <w:rPr>
          <w:rFonts w:ascii="Verdana" w:eastAsia="Calibri" w:hAnsi="Verdana" w:cs="Arial"/>
          <w:lang w:val="es-ES_tradnl" w:eastAsia="es-ES_tradnl"/>
        </w:rPr>
      </w:pPr>
    </w:p>
    <w:p w14:paraId="2DF75BD1" w14:textId="77777777" w:rsidR="0007342E" w:rsidRPr="00EA1905" w:rsidRDefault="0007342E" w:rsidP="0007342E">
      <w:pPr>
        <w:spacing w:after="0" w:line="276" w:lineRule="auto"/>
        <w:jc w:val="both"/>
        <w:rPr>
          <w:rFonts w:ascii="Verdana" w:eastAsia="Calibri" w:hAnsi="Verdana" w:cs="Arial"/>
          <w:lang w:val="es-ES" w:eastAsia="es-ES"/>
        </w:rPr>
      </w:pPr>
      <w:r w:rsidRPr="00EA1905">
        <w:rPr>
          <w:rFonts w:ascii="Verdana" w:eastAsia="Calibri" w:hAnsi="Verdana" w:cs="Arial"/>
          <w:lang w:val="es-ES" w:eastAsia="es-ES"/>
        </w:rPr>
        <w:t>Estimada señora Castillo:</w:t>
      </w:r>
    </w:p>
    <w:p w14:paraId="058A1980" w14:textId="77777777" w:rsidR="0007342E" w:rsidRPr="00EA1905" w:rsidRDefault="0007342E" w:rsidP="0007342E">
      <w:pPr>
        <w:tabs>
          <w:tab w:val="left" w:pos="3768"/>
        </w:tabs>
        <w:spacing w:after="0" w:line="276" w:lineRule="auto"/>
        <w:jc w:val="both"/>
        <w:rPr>
          <w:rFonts w:ascii="Verdana" w:eastAsia="Calibri" w:hAnsi="Verdana" w:cs="Arial"/>
          <w:lang w:val="es-ES" w:eastAsia="es-ES"/>
        </w:rPr>
      </w:pPr>
      <w:r w:rsidRPr="00EA1905">
        <w:rPr>
          <w:rFonts w:ascii="Verdana" w:eastAsia="Calibri" w:hAnsi="Verdana" w:cs="Arial"/>
          <w:lang w:val="es-ES" w:eastAsia="es-ES"/>
        </w:rPr>
        <w:tab/>
      </w:r>
    </w:p>
    <w:p w14:paraId="1E00FC4C" w14:textId="77777777" w:rsidR="0007342E" w:rsidRPr="00EA1905" w:rsidRDefault="0007342E" w:rsidP="0007342E">
      <w:pPr>
        <w:spacing w:after="0" w:line="276" w:lineRule="auto"/>
        <w:jc w:val="both"/>
        <w:rPr>
          <w:rFonts w:ascii="Verdana" w:eastAsia="Calibri" w:hAnsi="Verdana" w:cs="Arial"/>
          <w:lang w:val="es-ES" w:eastAsia="es-ES"/>
        </w:rPr>
      </w:pPr>
      <w:r w:rsidRPr="00EA1905">
        <w:rPr>
          <w:rFonts w:ascii="Verdana" w:eastAsia="Calibri" w:hAnsi="Verdana" w:cs="Arial"/>
          <w:lang w:val="es-ES" w:eastAsia="es-ES"/>
        </w:rPr>
        <w:t>En ejercicio de la competencia otorgada por los artículos 3, numeral 5º, y 11, numeral 8º, del Decreto Ley 4170 de 2011,</w:t>
      </w:r>
      <w:r w:rsidRPr="00EA1905">
        <w:rPr>
          <w:rFonts w:ascii="Verdana" w:eastAsia="Arial MT" w:hAnsi="Verdana" w:cs="Arial MT"/>
          <w:lang w:val="es-ES" w:eastAsia="es-ES"/>
        </w:rPr>
        <w:t xml:space="preserve"> </w:t>
      </w:r>
      <w:r w:rsidRPr="00EA1905">
        <w:rPr>
          <w:rFonts w:ascii="Verdana" w:hAnsi="Verdana" w:cs="Arial"/>
        </w:rPr>
        <w:t xml:space="preserve">así como lo establecido en el artículo 4 de la Resolución 1707 de 2018 expedida por esta Entidad, </w:t>
      </w:r>
      <w:r w:rsidRPr="00EA1905">
        <w:rPr>
          <w:rFonts w:ascii="Verdana" w:eastAsia="Calibri" w:hAnsi="Verdana" w:cs="Arial"/>
          <w:lang w:val="es-ES" w:eastAsia="es-ES"/>
        </w:rPr>
        <w:t xml:space="preserve">la Agencia Nacional de Contratación Pública – Colombia Compra Eficiente– responde su solicitud de consulta de fecha del 15 de julio de 2024, en la que realiza la siguiente consulta: </w:t>
      </w:r>
    </w:p>
    <w:p w14:paraId="26DBBD50" w14:textId="77777777" w:rsidR="0007342E" w:rsidRPr="00EA1905" w:rsidRDefault="0007342E" w:rsidP="0007342E">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56FA6766" w14:textId="77777777" w:rsidR="0007342E" w:rsidRPr="00EA1905" w:rsidRDefault="0007342E" w:rsidP="0007342E">
      <w:pPr>
        <w:tabs>
          <w:tab w:val="left" w:pos="709"/>
        </w:tabs>
        <w:spacing w:after="0" w:line="240" w:lineRule="auto"/>
        <w:ind w:left="709" w:right="709"/>
        <w:jc w:val="both"/>
        <w:rPr>
          <w:rFonts w:ascii="Verdana" w:eastAsia="Calibri" w:hAnsi="Verdana" w:cs="Arial"/>
          <w:sz w:val="20"/>
          <w:szCs w:val="20"/>
          <w:lang w:val="es-MX"/>
        </w:rPr>
      </w:pPr>
      <w:r w:rsidRPr="00EA1905">
        <w:rPr>
          <w:rFonts w:ascii="Verdana" w:eastAsia="Calibri" w:hAnsi="Verdana" w:cs="Arial"/>
          <w:sz w:val="20"/>
          <w:szCs w:val="20"/>
          <w:lang w:val="es-MX"/>
        </w:rPr>
        <w:t xml:space="preserve">“[…] me permito solicitar claridad respecto a lo referente de si se pueden o no pactar </w:t>
      </w:r>
      <w:r w:rsidRPr="00EA1905">
        <w:rPr>
          <w:rFonts w:ascii="Verdana" w:eastAsia="Calibri" w:hAnsi="Verdana" w:cs="Arial"/>
          <w:i/>
          <w:iCs/>
          <w:sz w:val="20"/>
          <w:szCs w:val="20"/>
          <w:lang w:val="es-MX"/>
        </w:rPr>
        <w:t xml:space="preserve">Anticipo o pago anticipado </w:t>
      </w:r>
      <w:r w:rsidRPr="00EA1905">
        <w:rPr>
          <w:rFonts w:ascii="Verdana" w:eastAsia="Calibri" w:hAnsi="Verdana" w:cs="Arial"/>
          <w:sz w:val="20"/>
          <w:szCs w:val="20"/>
          <w:lang w:val="es-MX"/>
        </w:rPr>
        <w:t>en los Convenios solidarios qué celebran las Entidades estatales y las Juntas de acción comunal, así como su alcance conceptual.</w:t>
      </w:r>
    </w:p>
    <w:p w14:paraId="5F5D9CE1" w14:textId="77777777" w:rsidR="0007342E" w:rsidRPr="00EA1905" w:rsidRDefault="0007342E" w:rsidP="0007342E">
      <w:pPr>
        <w:tabs>
          <w:tab w:val="left" w:pos="709"/>
        </w:tabs>
        <w:spacing w:before="120" w:after="0" w:line="240" w:lineRule="auto"/>
        <w:ind w:left="709" w:right="709"/>
        <w:jc w:val="both"/>
        <w:rPr>
          <w:rFonts w:ascii="Verdana" w:eastAsia="Calibri" w:hAnsi="Verdana" w:cs="Arial"/>
          <w:sz w:val="20"/>
          <w:szCs w:val="20"/>
          <w:lang w:val="es-MX"/>
        </w:rPr>
      </w:pPr>
      <w:r w:rsidRPr="00EA1905">
        <w:rPr>
          <w:rFonts w:ascii="Verdana" w:eastAsia="Calibri" w:hAnsi="Verdana" w:cs="Arial"/>
          <w:sz w:val="20"/>
          <w:szCs w:val="20"/>
          <w:lang w:val="es-MX"/>
        </w:rPr>
        <w:lastRenderedPageBreak/>
        <w:t>Por consiguiente, solicitamos respetuosamente conceptuar si en el entendido de que se habla de giro de recursos, si es posible pactar dentro de la minuta tipo, giro de recursos para el inicio de actividades ejemplo sobre el 50%, y posteriormente giros parciales por actividades ejecutadas. […]” [sic] [Énfasis propio]</w:t>
      </w:r>
    </w:p>
    <w:p w14:paraId="25584200" w14:textId="77777777" w:rsidR="0007342E" w:rsidRPr="00EA1905" w:rsidRDefault="0007342E" w:rsidP="0007342E">
      <w:pPr>
        <w:tabs>
          <w:tab w:val="left" w:pos="142"/>
          <w:tab w:val="left" w:pos="284"/>
        </w:tabs>
        <w:spacing w:line="276" w:lineRule="auto"/>
        <w:contextualSpacing/>
        <w:jc w:val="both"/>
        <w:rPr>
          <w:rFonts w:ascii="Verdana" w:eastAsia="Century Gothic" w:hAnsi="Verdana" w:cs="Century Gothic"/>
          <w:b/>
          <w:bCs/>
          <w:lang w:val="es-ES"/>
        </w:rPr>
      </w:pPr>
    </w:p>
    <w:p w14:paraId="45E8C0CF" w14:textId="77777777" w:rsidR="0007342E" w:rsidRPr="00EA1905" w:rsidRDefault="0007342E" w:rsidP="0007342E">
      <w:pPr>
        <w:spacing w:after="120" w:line="276" w:lineRule="auto"/>
        <w:ind w:firstLine="709"/>
        <w:jc w:val="both"/>
        <w:rPr>
          <w:rFonts w:ascii="Verdana" w:eastAsia="Calibri" w:hAnsi="Verdana" w:cs="Arial"/>
          <w:szCs w:val="24"/>
          <w:lang w:val="es-ES_tradnl" w:eastAsia="es-ES_tradnl"/>
        </w:rPr>
      </w:pPr>
      <w:r w:rsidRPr="00EA1905">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A1905">
        <w:rPr>
          <w:rFonts w:ascii="Verdana" w:eastAsia="Calibri" w:hAnsi="Verdana" w:cs="Arial"/>
          <w:szCs w:val="24"/>
          <w:lang w:val="es-ES_tradnl" w:eastAsia="es-ES_tradnl"/>
        </w:rPr>
        <w:tab/>
      </w:r>
    </w:p>
    <w:p w14:paraId="0D3991A1" w14:textId="77777777" w:rsidR="0007342E" w:rsidRPr="00EA1905" w:rsidRDefault="0007342E" w:rsidP="0007342E">
      <w:pPr>
        <w:spacing w:after="0" w:line="276" w:lineRule="auto"/>
        <w:ind w:firstLine="709"/>
        <w:jc w:val="both"/>
        <w:rPr>
          <w:rFonts w:ascii="Verdana" w:eastAsia="Calibri" w:hAnsi="Verdana" w:cs="Arial"/>
          <w:lang w:val="es-ES" w:eastAsia="es-ES"/>
        </w:rPr>
      </w:pPr>
      <w:r w:rsidRPr="00EA190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74948B73" w14:textId="77777777" w:rsidR="0007342E" w:rsidRPr="00EA1905" w:rsidRDefault="0007342E" w:rsidP="0007342E">
      <w:pPr>
        <w:spacing w:after="0" w:line="276" w:lineRule="auto"/>
        <w:ind w:firstLine="709"/>
        <w:jc w:val="both"/>
        <w:rPr>
          <w:rFonts w:ascii="Verdana" w:eastAsia="Calibri" w:hAnsi="Verdana" w:cs="Arial"/>
          <w:lang w:val="es-ES" w:eastAsia="es-ES"/>
        </w:rPr>
      </w:pPr>
    </w:p>
    <w:p w14:paraId="01B6C34D" w14:textId="77777777" w:rsidR="0007342E" w:rsidRPr="00EA1905" w:rsidRDefault="0007342E" w:rsidP="0007342E">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EA1905">
        <w:rPr>
          <w:rFonts w:ascii="Verdana" w:eastAsia="Arial" w:hAnsi="Verdana" w:cs="Arial"/>
          <w:b/>
          <w:bCs/>
          <w:lang w:val="es-ES"/>
        </w:rPr>
        <w:t>1. Problema planteado:</w:t>
      </w:r>
    </w:p>
    <w:p w14:paraId="5B6F12A6" w14:textId="77777777" w:rsidR="0007342E" w:rsidRPr="00EA1905" w:rsidRDefault="0007342E" w:rsidP="0007342E">
      <w:pPr>
        <w:tabs>
          <w:tab w:val="left" w:pos="426"/>
        </w:tabs>
        <w:spacing w:after="0" w:line="276" w:lineRule="auto"/>
        <w:jc w:val="both"/>
        <w:rPr>
          <w:rFonts w:ascii="Verdana" w:eastAsia="Century Gothic" w:hAnsi="Verdana" w:cs="Century Gothic"/>
          <w:lang w:val="es-ES"/>
        </w:rPr>
      </w:pPr>
    </w:p>
    <w:p w14:paraId="4F2B548E" w14:textId="77777777" w:rsidR="0007342E" w:rsidRPr="00EA1905" w:rsidRDefault="0007342E" w:rsidP="0007342E">
      <w:pPr>
        <w:spacing w:after="0" w:line="276" w:lineRule="auto"/>
        <w:jc w:val="both"/>
        <w:rPr>
          <w:rFonts w:ascii="Verdana" w:eastAsia="Century Gothic" w:hAnsi="Verdana" w:cs="Century Gothic"/>
        </w:rPr>
      </w:pPr>
      <w:r w:rsidRPr="00EA1905">
        <w:rPr>
          <w:rFonts w:ascii="Verdana" w:eastAsia="Century Gothic" w:hAnsi="Verdana" w:cs="Century Gothic"/>
        </w:rPr>
        <w:t>De acuerdo con el contenido de su solicitud, se evidencia que la misma está relacionada con el límite temporal para el ejercicio de las potestades sancionatorias de las entidades sometidas al Estatuto General de Contratación de la Administración Pública, en adelante EGCAP, en particular, frente a la imposición de multas. Por lo que, se resolverá su consulta desde los siguientes problemas jurídicos: i)</w:t>
      </w:r>
      <w:bookmarkStart w:id="1" w:name="_Hlk171070029"/>
      <w:r w:rsidRPr="00EA1905">
        <w:rPr>
          <w:rFonts w:ascii="Verdana" w:eastAsia="Century Gothic" w:hAnsi="Verdana" w:cs="Century Gothic"/>
        </w:rPr>
        <w:t xml:space="preserve"> ¿puede pactarse anticipo o pago anticipado en los convenios solidarios que celebran las Entidades Estatales y las Juntas de Acción Comunal?, y </w:t>
      </w:r>
      <w:proofErr w:type="spellStart"/>
      <w:r w:rsidRPr="00EA1905">
        <w:rPr>
          <w:rFonts w:ascii="Verdana" w:eastAsia="Century Gothic" w:hAnsi="Verdana" w:cs="Century Gothic"/>
        </w:rPr>
        <w:t>ii</w:t>
      </w:r>
      <w:proofErr w:type="spellEnd"/>
      <w:r w:rsidRPr="00EA1905">
        <w:rPr>
          <w:rFonts w:ascii="Verdana" w:eastAsia="Century Gothic" w:hAnsi="Verdana" w:cs="Century Gothic"/>
        </w:rPr>
        <w:t xml:space="preserve">) </w:t>
      </w:r>
      <w:bookmarkStart w:id="2" w:name="_Hlk174601003"/>
      <w:r w:rsidRPr="00EA1905">
        <w:rPr>
          <w:rFonts w:ascii="Verdana" w:eastAsia="Century Gothic" w:hAnsi="Verdana" w:cs="Century Gothic"/>
        </w:rPr>
        <w:t>en el entendido de que se hable de giro de recursos, ¿es posible pactar dentro de la minuta tipo, giro de recursos para el inicio de actividades ejemplo sobre el 50%, y posteriormente giros parciales por actividades ejecutadas?</w:t>
      </w:r>
    </w:p>
    <w:bookmarkEnd w:id="2"/>
    <w:p w14:paraId="4C57ABCB" w14:textId="77777777" w:rsidR="0007342E" w:rsidRPr="00EA1905" w:rsidRDefault="0007342E" w:rsidP="0007342E">
      <w:pPr>
        <w:spacing w:after="0" w:line="276" w:lineRule="auto"/>
        <w:jc w:val="both"/>
        <w:rPr>
          <w:rFonts w:ascii="Verdana" w:eastAsia="Calibri" w:hAnsi="Verdana" w:cs="Arial"/>
          <w:lang w:val="es-ES"/>
        </w:rPr>
      </w:pPr>
    </w:p>
    <w:bookmarkEnd w:id="1"/>
    <w:p w14:paraId="5A666D47" w14:textId="77777777" w:rsidR="0007342E" w:rsidRPr="00EA1905" w:rsidRDefault="0007342E" w:rsidP="0007342E">
      <w:pPr>
        <w:widowControl w:val="0"/>
        <w:autoSpaceDE w:val="0"/>
        <w:autoSpaceDN w:val="0"/>
        <w:spacing w:before="1" w:after="0" w:line="240" w:lineRule="auto"/>
        <w:jc w:val="both"/>
        <w:outlineLvl w:val="0"/>
        <w:rPr>
          <w:rFonts w:ascii="Verdana" w:eastAsia="Arial" w:hAnsi="Verdana" w:cs="Arial"/>
          <w:b/>
          <w:bCs/>
          <w:lang w:val="es-ES"/>
        </w:rPr>
      </w:pPr>
      <w:r w:rsidRPr="00EA1905">
        <w:rPr>
          <w:rFonts w:ascii="Verdana" w:eastAsia="Arial" w:hAnsi="Verdana" w:cs="Arial"/>
          <w:b/>
          <w:bCs/>
          <w:lang w:val="es-ES"/>
        </w:rPr>
        <w:lastRenderedPageBreak/>
        <w:t>2. Respuestas:</w:t>
      </w:r>
    </w:p>
    <w:p w14:paraId="267B112A" w14:textId="77777777" w:rsidR="0007342E" w:rsidRPr="00EA1905" w:rsidRDefault="0007342E" w:rsidP="0007342E">
      <w:pPr>
        <w:spacing w:after="0"/>
        <w:rPr>
          <w:rFonts w:ascii="Verdana" w:hAnsi="Verdana"/>
        </w:rPr>
      </w:pPr>
    </w:p>
    <w:p w14:paraId="5A4E3FF7" w14:textId="77777777" w:rsidR="0007342E" w:rsidRPr="00EA1905" w:rsidRDefault="0007342E" w:rsidP="0007342E">
      <w:pPr>
        <w:spacing w:after="0"/>
        <w:jc w:val="both"/>
        <w:rPr>
          <w:rFonts w:ascii="Verdana" w:hAnsi="Verdana"/>
          <w:b/>
          <w:bCs/>
        </w:rPr>
      </w:pPr>
      <w:r w:rsidRPr="00EA1905">
        <w:rPr>
          <w:rFonts w:ascii="Verdana" w:hAnsi="Verdana"/>
          <w:b/>
          <w:bCs/>
        </w:rPr>
        <w:t>2.1. ¿puede pactarse anticipo o pago anticipado en los convenios solidarios que celebran las Entidades Estatales y las Juntas de Acción Comunal?</w:t>
      </w:r>
    </w:p>
    <w:p w14:paraId="06F8BA0E" w14:textId="77777777" w:rsidR="0007342E" w:rsidRPr="00EA1905" w:rsidRDefault="0007342E" w:rsidP="0007342E">
      <w:pPr>
        <w:spacing w:after="0"/>
        <w:rPr>
          <w:rFonts w:ascii="Verdana" w:hAnsi="Verdana"/>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7342E" w:rsidRPr="00EA1905" w14:paraId="024F8D06" w14:textId="77777777" w:rsidTr="00094090">
        <w:tc>
          <w:tcPr>
            <w:tcW w:w="8828" w:type="dxa"/>
            <w:shd w:val="clear" w:color="auto" w:fill="auto"/>
          </w:tcPr>
          <w:p w14:paraId="0F065DF7" w14:textId="77777777" w:rsidR="0007342E" w:rsidRPr="00EA1905" w:rsidRDefault="0007342E" w:rsidP="00094090">
            <w:pPr>
              <w:spacing w:line="276" w:lineRule="auto"/>
              <w:jc w:val="both"/>
              <w:rPr>
                <w:rFonts w:ascii="Verdana" w:eastAsia="Calibri" w:hAnsi="Verdana" w:cs="Arial"/>
                <w:lang w:val="es-ES"/>
              </w:rPr>
            </w:pPr>
            <w:bookmarkStart w:id="3" w:name="_Hlk171067516"/>
            <w:r w:rsidRPr="00EA1905">
              <w:rPr>
                <w:rFonts w:ascii="Verdana" w:eastAsia="Calibri" w:hAnsi="Verdana" w:cs="Arial"/>
                <w:lang w:val="es-ES"/>
              </w:rPr>
              <w:t xml:space="preserve">En los convenios solidarios no es posible pactar anticipos o pagos anticipados, pues pese a que el parágrafo del artículo 40 de la Ley 80 de 1993, permite que “[e]n los </w:t>
            </w:r>
            <w:r w:rsidRPr="00EA1905">
              <w:rPr>
                <w:rFonts w:ascii="Verdana" w:eastAsia="Calibri" w:hAnsi="Verdana" w:cs="Arial"/>
                <w:i/>
                <w:iCs/>
                <w:u w:val="single"/>
                <w:lang w:val="es-ES"/>
              </w:rPr>
              <w:t>contratos</w:t>
            </w:r>
            <w:r w:rsidRPr="00EA1905">
              <w:rPr>
                <w:rFonts w:ascii="Verdana" w:eastAsia="Calibri" w:hAnsi="Verdana" w:cs="Arial"/>
                <w:lang w:val="es-ES"/>
              </w:rPr>
              <w:t xml:space="preserve"> que celebren las entidades estatales se podrá pactar el pago de anticipo y la entrega de anticipos […]” [Énfasis fuera de texto], dicha norma no extendió esta prerrogativa a los convenios que suscriben las entidades públicas. Lo anterior, guarda su fundamento en que, si bien tanto los contratos como los convenios comparten características comunes, difieren en cuanto a aspectos esenciales. Así, mientras que el contrato se caracteriza por su naturaleza onerosa, patrimonial y se conforma por intereses básicamente contrapuestos, los convenios por su parte, tienen una finalidad asociativa perseguida por las partes suscriptoras, cuyos intereses se encaminan en la misma dirección y persiguen los mismos objetivos, por lo que carecen de la calidad conmutativa, que sí es propia de los primeros.</w:t>
            </w:r>
          </w:p>
        </w:tc>
      </w:tr>
      <w:bookmarkEnd w:id="3"/>
    </w:tbl>
    <w:p w14:paraId="40E1CCD0" w14:textId="77777777" w:rsidR="0007342E" w:rsidRPr="00EA1905" w:rsidRDefault="0007342E" w:rsidP="0007342E">
      <w:pPr>
        <w:tabs>
          <w:tab w:val="left" w:pos="142"/>
          <w:tab w:val="left" w:pos="284"/>
        </w:tabs>
        <w:spacing w:after="0" w:line="276" w:lineRule="auto"/>
        <w:jc w:val="both"/>
        <w:rPr>
          <w:rFonts w:ascii="Verdana" w:eastAsia="Century Gothic" w:hAnsi="Verdana" w:cs="Century Gothic"/>
          <w:b/>
          <w:bCs/>
          <w:lang w:val="es-ES"/>
        </w:rPr>
      </w:pPr>
    </w:p>
    <w:p w14:paraId="317B12CB" w14:textId="77777777" w:rsidR="0007342E" w:rsidRPr="00EA1905" w:rsidRDefault="0007342E" w:rsidP="0007342E">
      <w:pPr>
        <w:tabs>
          <w:tab w:val="left" w:pos="142"/>
          <w:tab w:val="left" w:pos="284"/>
        </w:tabs>
        <w:spacing w:after="0" w:line="276" w:lineRule="auto"/>
        <w:jc w:val="both"/>
        <w:rPr>
          <w:rFonts w:ascii="Verdana" w:eastAsia="Century Gothic" w:hAnsi="Verdana" w:cs="Century Gothic"/>
          <w:b/>
          <w:bCs/>
          <w:lang w:val="es-ES"/>
        </w:rPr>
      </w:pPr>
      <w:r w:rsidRPr="00EA1905">
        <w:rPr>
          <w:rFonts w:ascii="Verdana" w:eastAsia="Century Gothic" w:hAnsi="Verdana" w:cs="Century Gothic"/>
          <w:b/>
          <w:bCs/>
          <w:lang w:val="es-ES"/>
        </w:rPr>
        <w:t>2.2. En el entendido de que se hable de giro de recursos, ¿es posible pactar dentro de la minuta tipo, giro de recursos para el inicio de actividades ejemplo sobre el 50%, y posteriormente giros parciales por actividades ejecutadas?</w:t>
      </w:r>
    </w:p>
    <w:p w14:paraId="598CCE4F" w14:textId="77777777" w:rsidR="0007342E" w:rsidRPr="00EA1905" w:rsidRDefault="0007342E" w:rsidP="0007342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7342E" w:rsidRPr="00EA1905" w14:paraId="16E23F82" w14:textId="77777777" w:rsidTr="00094090">
        <w:tc>
          <w:tcPr>
            <w:tcW w:w="8828" w:type="dxa"/>
            <w:shd w:val="clear" w:color="auto" w:fill="auto"/>
          </w:tcPr>
          <w:p w14:paraId="09D3A15E" w14:textId="77777777" w:rsidR="0007342E" w:rsidRPr="00EA1905" w:rsidRDefault="0007342E" w:rsidP="00094090">
            <w:pPr>
              <w:spacing w:line="276" w:lineRule="auto"/>
              <w:jc w:val="both"/>
              <w:rPr>
                <w:rFonts w:ascii="Verdana" w:eastAsia="Calibri" w:hAnsi="Verdana" w:cs="Arial"/>
                <w:lang w:val="es-ES"/>
              </w:rPr>
            </w:pPr>
            <w:r w:rsidRPr="00EA1905">
              <w:rPr>
                <w:rFonts w:ascii="Verdana" w:eastAsia="Calibri" w:hAnsi="Verdana" w:cs="Arial"/>
                <w:lang w:val="es-ES"/>
              </w:rPr>
              <w:t>De acuerdo con la “CLÁUSULA 7. GIRO DE LOS RECURSOS” de la Minuta Tipo de los Documentos Tipo para la contratación directa de convenios solidarios para la ejecución de obras hasta la menor cuantía con organismos de acción comunal, las Entidades Estatales podrán indicar el número de desembolsos que realizarán a la cuenta que se constituya a nombre del convenio o al Patrimonio Autónomo, sin que la sumatoria de estos supere el cien por ciento (100%) de la respectiva vigencia fiscal, así como los momentos en los que efectuarán cada giro y las condiciones que deberán cumplirse para ello.</w:t>
            </w:r>
          </w:p>
        </w:tc>
      </w:tr>
    </w:tbl>
    <w:p w14:paraId="00AB2616" w14:textId="77777777" w:rsidR="0007342E" w:rsidRPr="00EA1905" w:rsidRDefault="0007342E" w:rsidP="0007342E">
      <w:pPr>
        <w:tabs>
          <w:tab w:val="left" w:pos="142"/>
          <w:tab w:val="left" w:pos="284"/>
        </w:tabs>
        <w:spacing w:after="0" w:line="276" w:lineRule="auto"/>
        <w:jc w:val="both"/>
        <w:rPr>
          <w:rFonts w:ascii="Verdana" w:eastAsia="Century Gothic" w:hAnsi="Verdana" w:cs="Century Gothic"/>
          <w:b/>
          <w:bCs/>
          <w:lang w:val="es-ES"/>
        </w:rPr>
      </w:pPr>
    </w:p>
    <w:p w14:paraId="40E0D4E3" w14:textId="77777777" w:rsidR="0007342E" w:rsidRPr="00EA1905" w:rsidRDefault="0007342E" w:rsidP="0007342E">
      <w:pPr>
        <w:widowControl w:val="0"/>
        <w:autoSpaceDE w:val="0"/>
        <w:autoSpaceDN w:val="0"/>
        <w:spacing w:before="1" w:after="0" w:line="240" w:lineRule="auto"/>
        <w:ind w:left="360" w:hanging="360"/>
        <w:outlineLvl w:val="0"/>
        <w:rPr>
          <w:rFonts w:ascii="Verdana" w:eastAsia="Arial" w:hAnsi="Verdana" w:cs="Arial"/>
          <w:b/>
          <w:bCs/>
          <w:lang w:val="es-ES"/>
        </w:rPr>
      </w:pPr>
      <w:r w:rsidRPr="00EA1905">
        <w:rPr>
          <w:rFonts w:ascii="Verdana" w:eastAsia="Arial" w:hAnsi="Verdana" w:cs="Arial"/>
          <w:b/>
          <w:bCs/>
          <w:lang w:val="es-ES"/>
        </w:rPr>
        <w:t>3. Razones de las respuestas</w:t>
      </w:r>
    </w:p>
    <w:p w14:paraId="0C53D978" w14:textId="77777777" w:rsidR="0007342E" w:rsidRPr="00EA1905" w:rsidRDefault="0007342E" w:rsidP="0007342E">
      <w:pPr>
        <w:spacing w:after="0" w:line="276" w:lineRule="auto"/>
        <w:jc w:val="both"/>
        <w:rPr>
          <w:rFonts w:ascii="Verdana" w:eastAsia="Calibri" w:hAnsi="Verdana" w:cs="Arial"/>
          <w:lang w:val="es-ES"/>
        </w:rPr>
      </w:pPr>
    </w:p>
    <w:p w14:paraId="07CA76BC" w14:textId="77777777" w:rsidR="0007342E" w:rsidRPr="00EA1905" w:rsidRDefault="0007342E" w:rsidP="0007342E">
      <w:pPr>
        <w:spacing w:after="0" w:line="276" w:lineRule="auto"/>
        <w:jc w:val="both"/>
        <w:rPr>
          <w:rFonts w:ascii="Verdana" w:eastAsia="Calibri" w:hAnsi="Verdana" w:cs="Arial"/>
          <w:lang w:val="es-ES"/>
        </w:rPr>
      </w:pPr>
      <w:r w:rsidRPr="00EA1905">
        <w:rPr>
          <w:rFonts w:ascii="Verdana" w:eastAsia="Calibri" w:hAnsi="Verdana" w:cs="Arial"/>
          <w:lang w:val="es-ES"/>
        </w:rPr>
        <w:t xml:space="preserve">La respuesta anterior se sustenta en las siguientes consideraciones: </w:t>
      </w:r>
    </w:p>
    <w:p w14:paraId="7D39CF3A" w14:textId="77777777" w:rsidR="0007342E" w:rsidRPr="00EA1905" w:rsidRDefault="0007342E" w:rsidP="0007342E">
      <w:pPr>
        <w:spacing w:after="0" w:line="276" w:lineRule="auto"/>
        <w:jc w:val="both"/>
        <w:rPr>
          <w:rFonts w:ascii="Verdana" w:eastAsia="Calibri" w:hAnsi="Verdana" w:cs="Arial"/>
          <w:lang w:val="es-ES"/>
        </w:rPr>
      </w:pPr>
    </w:p>
    <w:p w14:paraId="2DCFE878" w14:textId="77777777" w:rsidR="0007342E" w:rsidRPr="00EA1905" w:rsidRDefault="0007342E" w:rsidP="0007342E">
      <w:pPr>
        <w:numPr>
          <w:ilvl w:val="0"/>
          <w:numId w:val="3"/>
        </w:numPr>
        <w:spacing w:after="0" w:line="276" w:lineRule="auto"/>
        <w:contextualSpacing/>
        <w:jc w:val="both"/>
        <w:rPr>
          <w:rFonts w:ascii="Verdana" w:eastAsia="Calibri" w:hAnsi="Verdana" w:cs="Arial"/>
          <w:color w:val="000000"/>
          <w:lang w:val="es-ES"/>
        </w:rPr>
      </w:pPr>
      <w:r w:rsidRPr="00EA1905">
        <w:rPr>
          <w:rFonts w:ascii="Verdana" w:eastAsia="Aptos" w:hAnsi="Verdana" w:cs="Arial"/>
          <w:bCs/>
          <w:color w:val="000000"/>
          <w:lang w:eastAsia="es-MX"/>
        </w:rPr>
        <w:lastRenderedPageBreak/>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EA1905">
        <w:rPr>
          <w:rFonts w:ascii="Verdana" w:eastAsia="Calibri" w:hAnsi="Verdana" w:cs="Arial"/>
          <w:color w:val="000000"/>
          <w:lang w:val="es-ES_tradnl"/>
        </w:rPr>
        <w:t>“</w:t>
      </w:r>
      <w:r w:rsidRPr="00EA1905">
        <w:rPr>
          <w:rFonts w:ascii="Verdana" w:eastAsia="Aptos"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EA1905">
        <w:rPr>
          <w:rFonts w:ascii="Verdana" w:eastAsia="Calibri" w:hAnsi="Verdana" w:cs="Arial"/>
          <w:color w:val="000000"/>
          <w:lang w:val="es-ES_tradnl"/>
        </w:rPr>
        <w:t>”</w:t>
      </w:r>
      <w:r w:rsidRPr="00EA1905">
        <w:rPr>
          <w:rFonts w:ascii="Verdana" w:eastAsia="Aptos" w:hAnsi="Verdana" w:cs="Arial"/>
          <w:bCs/>
          <w:color w:val="000000"/>
          <w:lang w:eastAsia="es-MX"/>
        </w:rPr>
        <w:t>.</w:t>
      </w:r>
    </w:p>
    <w:p w14:paraId="1C161BF0" w14:textId="77777777" w:rsidR="0007342E" w:rsidRPr="00EA1905" w:rsidRDefault="0007342E" w:rsidP="0007342E">
      <w:pPr>
        <w:spacing w:after="0" w:line="276" w:lineRule="auto"/>
        <w:ind w:left="720"/>
        <w:contextualSpacing/>
        <w:rPr>
          <w:rFonts w:ascii="Verdana" w:eastAsia="Aptos" w:hAnsi="Verdana" w:cs="Arial"/>
          <w:bCs/>
          <w:color w:val="000000"/>
          <w:lang w:eastAsia="es-MX"/>
        </w:rPr>
      </w:pPr>
    </w:p>
    <w:p w14:paraId="173A7F96" w14:textId="77777777" w:rsidR="0007342E" w:rsidRPr="00EA1905" w:rsidRDefault="0007342E" w:rsidP="0007342E">
      <w:pPr>
        <w:numPr>
          <w:ilvl w:val="0"/>
          <w:numId w:val="3"/>
        </w:numPr>
        <w:spacing w:after="0" w:line="276" w:lineRule="auto"/>
        <w:contextualSpacing/>
        <w:jc w:val="both"/>
        <w:rPr>
          <w:rFonts w:ascii="Verdana" w:eastAsia="Calibri" w:hAnsi="Verdana" w:cs="Arial"/>
          <w:color w:val="000000"/>
          <w:lang w:val="es-ES"/>
        </w:rPr>
      </w:pPr>
      <w:r w:rsidRPr="00EA1905">
        <w:rPr>
          <w:rFonts w:ascii="Verdana" w:eastAsia="Aptos" w:hAnsi="Verdana" w:cs="Arial"/>
          <w:bCs/>
          <w:color w:val="000000"/>
          <w:lang w:eastAsia="es-MX"/>
        </w:rPr>
        <w:t xml:space="preserve">En desarrollo de lo anterior, el artículo 95 de dicha ley contempla la celebración directa de convenios solidarios entre organismos de acción comunal y “los entes del orden Nacional, Departamental, Distrital y municipal”, prescribiendo lo siguiente: </w:t>
      </w:r>
    </w:p>
    <w:p w14:paraId="3A3D5637" w14:textId="77777777" w:rsidR="0007342E" w:rsidRPr="00EA1905" w:rsidRDefault="0007342E" w:rsidP="0007342E">
      <w:pPr>
        <w:shd w:val="clear" w:color="auto" w:fill="FFFFFF"/>
        <w:spacing w:after="0" w:line="276" w:lineRule="auto"/>
        <w:ind w:firstLine="709"/>
        <w:jc w:val="both"/>
        <w:rPr>
          <w:rFonts w:ascii="Verdana" w:eastAsia="Aptos" w:hAnsi="Verdana" w:cs="Arial"/>
          <w:bCs/>
          <w:color w:val="000000"/>
          <w:lang w:eastAsia="es-MX"/>
        </w:rPr>
      </w:pPr>
    </w:p>
    <w:p w14:paraId="5E2142B6" w14:textId="77777777" w:rsidR="0007342E" w:rsidRPr="00EA1905" w:rsidRDefault="0007342E" w:rsidP="0007342E">
      <w:pPr>
        <w:shd w:val="clear" w:color="auto" w:fill="FFFFFF"/>
        <w:spacing w:after="0" w:line="240" w:lineRule="auto"/>
        <w:ind w:left="1416" w:right="709"/>
        <w:jc w:val="both"/>
        <w:rPr>
          <w:rFonts w:ascii="Verdana" w:eastAsia="Aptos" w:hAnsi="Verdana" w:cs="Arial"/>
          <w:color w:val="000000"/>
          <w:sz w:val="21"/>
          <w:szCs w:val="21"/>
        </w:rPr>
      </w:pPr>
      <w:r w:rsidRPr="00EA1905">
        <w:rPr>
          <w:rFonts w:ascii="Verdana" w:eastAsia="Aptos" w:hAnsi="Verdana" w:cs="Arial"/>
          <w:color w:val="000000"/>
          <w:sz w:val="21"/>
          <w:szCs w:val="21"/>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D092BF1" w14:textId="77777777" w:rsidR="0007342E" w:rsidRPr="00EA1905" w:rsidRDefault="0007342E" w:rsidP="0007342E">
      <w:pPr>
        <w:shd w:val="clear" w:color="auto" w:fill="FFFFFF"/>
        <w:spacing w:after="0" w:line="240" w:lineRule="auto"/>
        <w:ind w:left="1416" w:right="709"/>
        <w:jc w:val="both"/>
        <w:rPr>
          <w:rFonts w:ascii="Verdana" w:eastAsia="Aptos" w:hAnsi="Verdana" w:cs="Arial"/>
          <w:color w:val="000000"/>
          <w:sz w:val="21"/>
          <w:szCs w:val="21"/>
        </w:rPr>
      </w:pPr>
    </w:p>
    <w:p w14:paraId="23E77EA4" w14:textId="77777777" w:rsidR="0007342E" w:rsidRPr="00EA1905" w:rsidRDefault="0007342E" w:rsidP="0007342E">
      <w:pPr>
        <w:shd w:val="clear" w:color="auto" w:fill="FFFFFF"/>
        <w:spacing w:after="0" w:line="240" w:lineRule="auto"/>
        <w:ind w:left="1416" w:right="709"/>
        <w:jc w:val="both"/>
        <w:rPr>
          <w:rFonts w:ascii="Verdana" w:eastAsia="Aptos" w:hAnsi="Verdana" w:cs="Arial"/>
          <w:color w:val="000000"/>
          <w:sz w:val="21"/>
          <w:szCs w:val="21"/>
        </w:rPr>
      </w:pPr>
      <w:r w:rsidRPr="00EA1905">
        <w:rPr>
          <w:rFonts w:ascii="Verdana" w:eastAsia="Aptos" w:hAnsi="Verdana" w:cs="Arial"/>
          <w:color w:val="000000"/>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02F21500" w14:textId="77777777" w:rsidR="0007342E" w:rsidRPr="00EA1905" w:rsidRDefault="0007342E" w:rsidP="0007342E">
      <w:pPr>
        <w:shd w:val="clear" w:color="auto" w:fill="FFFFFF"/>
        <w:spacing w:after="0" w:line="240" w:lineRule="auto"/>
        <w:ind w:left="1416" w:right="709"/>
        <w:jc w:val="both"/>
        <w:rPr>
          <w:rFonts w:ascii="Verdana" w:eastAsia="Aptos" w:hAnsi="Verdana" w:cs="Arial"/>
          <w:color w:val="000000"/>
          <w:sz w:val="21"/>
          <w:szCs w:val="21"/>
        </w:rPr>
      </w:pPr>
    </w:p>
    <w:p w14:paraId="1C1C560D" w14:textId="77777777" w:rsidR="0007342E" w:rsidRPr="00EA1905" w:rsidRDefault="0007342E" w:rsidP="0007342E">
      <w:pPr>
        <w:shd w:val="clear" w:color="auto" w:fill="FFFFFF"/>
        <w:spacing w:after="0" w:line="240" w:lineRule="auto"/>
        <w:ind w:left="1416" w:right="709"/>
        <w:jc w:val="both"/>
        <w:rPr>
          <w:rFonts w:ascii="Verdana" w:eastAsia="Aptos" w:hAnsi="Verdana" w:cs="Arial"/>
          <w:color w:val="000000"/>
          <w:sz w:val="21"/>
          <w:szCs w:val="21"/>
        </w:rPr>
      </w:pPr>
      <w:r w:rsidRPr="00EA1905">
        <w:rPr>
          <w:rFonts w:ascii="Verdana" w:eastAsia="Aptos" w:hAnsi="Verdana" w:cs="Arial"/>
          <w:color w:val="000000"/>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EA1905">
        <w:rPr>
          <w:rFonts w:ascii="Verdana" w:eastAsia="Aptos" w:hAnsi="Verdana" w:cs="Arial"/>
          <w:color w:val="000000"/>
          <w:sz w:val="21"/>
          <w:szCs w:val="21"/>
          <w:vertAlign w:val="superscript"/>
        </w:rPr>
        <w:footnoteReference w:id="1"/>
      </w:r>
      <w:r w:rsidRPr="00EA1905">
        <w:rPr>
          <w:rFonts w:ascii="Verdana" w:eastAsia="Aptos" w:hAnsi="Verdana" w:cs="Arial"/>
          <w:color w:val="000000"/>
          <w:sz w:val="21"/>
          <w:szCs w:val="21"/>
        </w:rPr>
        <w:t>.</w:t>
      </w:r>
    </w:p>
    <w:p w14:paraId="061DFB48" w14:textId="77777777" w:rsidR="0007342E" w:rsidRPr="00EA1905" w:rsidRDefault="0007342E" w:rsidP="0007342E">
      <w:pPr>
        <w:shd w:val="clear" w:color="auto" w:fill="FFFFFF"/>
        <w:spacing w:after="0" w:line="276" w:lineRule="auto"/>
        <w:ind w:left="709" w:right="709"/>
        <w:jc w:val="both"/>
        <w:rPr>
          <w:rFonts w:ascii="Verdana" w:eastAsia="Aptos" w:hAnsi="Verdana" w:cs="Arial"/>
          <w:color w:val="000000"/>
        </w:rPr>
      </w:pPr>
    </w:p>
    <w:p w14:paraId="473DB95F" w14:textId="77777777" w:rsidR="0007342E" w:rsidRPr="00EA1905" w:rsidRDefault="0007342E" w:rsidP="0007342E">
      <w:pPr>
        <w:numPr>
          <w:ilvl w:val="0"/>
          <w:numId w:val="4"/>
        </w:numPr>
        <w:shd w:val="clear" w:color="auto" w:fill="FFFFFF"/>
        <w:spacing w:after="0" w:line="276" w:lineRule="auto"/>
        <w:contextualSpacing/>
        <w:jc w:val="both"/>
        <w:rPr>
          <w:rFonts w:ascii="Verdana" w:eastAsia="Calibri" w:hAnsi="Verdana" w:cs="Arial"/>
          <w:color w:val="000000"/>
          <w:lang w:val="es-ES_tradnl"/>
        </w:rPr>
      </w:pPr>
      <w:r w:rsidRPr="00EA1905">
        <w:rPr>
          <w:rFonts w:ascii="Verdana" w:eastAsia="Aptos" w:hAnsi="Verdana" w:cs="Arial"/>
          <w:bCs/>
          <w:color w:val="000000"/>
          <w:lang w:eastAsia="es-MX"/>
        </w:rPr>
        <w:t xml:space="preserve">Según se evidencia, esta norma desarrolla las siguientes reglas: i) las </w:t>
      </w:r>
      <w:r w:rsidRPr="00EA1905">
        <w:rPr>
          <w:rFonts w:ascii="Verdana" w:eastAsia="Calibri" w:hAnsi="Verdana" w:cs="Arial"/>
          <w:color w:val="000000"/>
          <w:lang w:val="es-ES_tradnl"/>
        </w:rPr>
        <w:t>“</w:t>
      </w:r>
      <w:r w:rsidRPr="00EA1905">
        <w:rPr>
          <w:rFonts w:ascii="Verdana" w:eastAsia="Aptos" w:hAnsi="Verdana" w:cs="Arial"/>
          <w:bCs/>
          <w:color w:val="000000"/>
          <w:lang w:eastAsia="es-MX"/>
        </w:rPr>
        <w:t>entidades del</w:t>
      </w:r>
      <w:r w:rsidRPr="00EA1905">
        <w:rPr>
          <w:rFonts w:ascii="Verdana" w:eastAsia="Calibri" w:hAnsi="Verdana" w:cs="Arial"/>
          <w:color w:val="000000"/>
          <w:lang w:val="es-ES_tradnl"/>
        </w:rPr>
        <w:t xml:space="preserve"> </w:t>
      </w:r>
      <w:r w:rsidRPr="00EA1905">
        <w:rPr>
          <w:rFonts w:ascii="Verdana" w:eastAsia="Aptos" w:hAnsi="Verdana" w:cs="Arial"/>
          <w:color w:val="000000"/>
        </w:rPr>
        <w:t>orden Nacional, Departamental, Distrital y municipal</w:t>
      </w:r>
      <w:r w:rsidRPr="00EA1905">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w:t>
      </w:r>
      <w:r w:rsidRPr="00EA1905">
        <w:rPr>
          <w:rFonts w:ascii="Verdana" w:eastAsia="Calibri" w:hAnsi="Verdana" w:cs="Arial"/>
          <w:color w:val="000000"/>
          <w:lang w:val="es-ES_tradnl"/>
        </w:rPr>
        <w:lastRenderedPageBreak/>
        <w:t xml:space="preserve">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EA1905">
        <w:rPr>
          <w:rFonts w:ascii="Verdana" w:eastAsia="Calibri" w:hAnsi="Verdana" w:cs="Arial"/>
          <w:i/>
          <w:iCs/>
          <w:color w:val="000000"/>
          <w:lang w:val="es-ES_tradnl"/>
        </w:rPr>
        <w:t>organismos de acción comunal</w:t>
      </w:r>
      <w:r w:rsidRPr="00EA1905">
        <w:rPr>
          <w:rFonts w:ascii="Verdana" w:eastAsia="Calibri" w:hAnsi="Verdana" w:cs="Times New Roman"/>
          <w:kern w:val="2"/>
          <w:vertAlign w:val="superscript"/>
          <w:lang w:val="es-ES_tradnl"/>
          <w14:ligatures w14:val="standardContextual"/>
        </w:rPr>
        <w:footnoteReference w:id="2"/>
      </w:r>
      <w:r w:rsidRPr="00EA1905">
        <w:rPr>
          <w:rFonts w:ascii="Verdana" w:eastAsia="Calibri" w:hAnsi="Verdana" w:cs="Arial"/>
          <w:color w:val="000000"/>
          <w:lang w:val="es-ES_tradnl"/>
        </w:rPr>
        <w:t xml:space="preserve">. </w:t>
      </w:r>
      <w:proofErr w:type="spellStart"/>
      <w:r w:rsidRPr="00EA1905">
        <w:rPr>
          <w:rFonts w:ascii="Verdana" w:eastAsia="Calibri" w:hAnsi="Verdana" w:cs="Arial"/>
          <w:color w:val="000000"/>
          <w:lang w:val="es-ES_tradnl"/>
        </w:rPr>
        <w:t>ii</w:t>
      </w:r>
      <w:proofErr w:type="spellEnd"/>
      <w:r w:rsidRPr="00EA1905">
        <w:rPr>
          <w:rFonts w:ascii="Verdana" w:eastAsia="Calibri" w:hAnsi="Verdana" w:cs="Arial"/>
          <w:color w:val="000000"/>
          <w:lang w:val="es-ES_tradnl"/>
        </w:rPr>
        <w:t xml:space="preserve">) Estos convenios solidarios deben tener por objeto únicamente la ejecución de obras. Esto significa que no pueden desarrollarse otros objetos distintos a la obra con fundamento en este artículo. </w:t>
      </w:r>
      <w:proofErr w:type="spellStart"/>
      <w:r w:rsidRPr="00EA1905">
        <w:rPr>
          <w:rFonts w:ascii="Verdana" w:eastAsia="Calibri" w:hAnsi="Verdana" w:cs="Arial"/>
          <w:color w:val="000000"/>
          <w:lang w:val="es-ES_tradnl"/>
        </w:rPr>
        <w:t>iii</w:t>
      </w:r>
      <w:proofErr w:type="spellEnd"/>
      <w:r w:rsidRPr="00EA1905">
        <w:rPr>
          <w:rFonts w:ascii="Verdana" w:eastAsia="Calibri" w:hAnsi="Verdana" w:cs="Arial"/>
          <w:color w:val="000000"/>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Pr="00EA1905">
        <w:rPr>
          <w:rFonts w:ascii="Verdana" w:eastAsia="Calibri" w:hAnsi="Verdana" w:cs="Arial"/>
          <w:color w:val="000000"/>
          <w:lang w:val="es-ES_tradnl"/>
        </w:rPr>
        <w:t>iv</w:t>
      </w:r>
      <w:proofErr w:type="spellEnd"/>
      <w:r w:rsidRPr="00EA1905">
        <w:rPr>
          <w:rFonts w:ascii="Verdana" w:eastAsia="Calibri" w:hAnsi="Verdana" w:cs="Arial"/>
          <w:color w:val="000000"/>
          <w:lang w:val="es-ES_tradnl"/>
        </w:rPr>
        <w:t xml:space="preserve">) Para la ejecución de las obras se establece el deber de contratar con los habitantes de la comunidad. v) En el valor total del convenio la entidad podrá incluir los costos directos, los costos administrativos y el subsidio al dignatario representante legal para transportes de que trata el literal c) </w:t>
      </w:r>
      <w:r w:rsidRPr="00EA1905">
        <w:rPr>
          <w:rFonts w:ascii="Verdana" w:eastAsia="Calibri" w:hAnsi="Verdana" w:cs="Arial"/>
          <w:color w:val="000000"/>
          <w:lang w:val="es-ES_tradnl"/>
        </w:rPr>
        <w:lastRenderedPageBreak/>
        <w:t>del artículo 38 de la Ley 2166 de 2021.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25FD3E8A" w14:textId="77777777" w:rsidR="0007342E" w:rsidRPr="00EA1905" w:rsidRDefault="0007342E" w:rsidP="0007342E">
      <w:pPr>
        <w:ind w:left="720"/>
        <w:contextualSpacing/>
        <w:jc w:val="both"/>
        <w:rPr>
          <w:rFonts w:ascii="Verdana" w:eastAsia="Calibri" w:hAnsi="Verdana" w:cs="Arial"/>
          <w:lang w:val="es-ES"/>
        </w:rPr>
      </w:pPr>
    </w:p>
    <w:p w14:paraId="7F55037A" w14:textId="77777777" w:rsidR="0007342E" w:rsidRPr="00EA1905" w:rsidRDefault="0007342E" w:rsidP="0007342E">
      <w:pPr>
        <w:numPr>
          <w:ilvl w:val="0"/>
          <w:numId w:val="1"/>
        </w:numPr>
        <w:spacing w:line="276" w:lineRule="auto"/>
        <w:contextualSpacing/>
        <w:jc w:val="both"/>
        <w:rPr>
          <w:rFonts w:ascii="Verdana" w:eastAsia="Calibri" w:hAnsi="Verdana" w:cs="Arial"/>
          <w:lang w:val="es-ES"/>
        </w:rPr>
      </w:pPr>
      <w:r w:rsidRPr="00EA1905">
        <w:rPr>
          <w:rFonts w:ascii="Verdana" w:eastAsia="Calibri" w:hAnsi="Verdana" w:cs="Arial"/>
          <w:lang w:val="es-ES"/>
        </w:rPr>
        <w:t xml:space="preserve">Sin embargo, es preciso aclarar que en los convenios solidarios no es posible pactar anticipos o pagos anticipados, pues pese a que el parágrafo del artículo 40 de la Ley 80 de 1993, permite que “[e]n los </w:t>
      </w:r>
      <w:r w:rsidRPr="00EA1905">
        <w:rPr>
          <w:rFonts w:ascii="Verdana" w:eastAsia="Calibri" w:hAnsi="Verdana" w:cs="Arial"/>
          <w:i/>
          <w:iCs/>
          <w:u w:val="single"/>
          <w:lang w:val="es-ES"/>
        </w:rPr>
        <w:t>contratos</w:t>
      </w:r>
      <w:r w:rsidRPr="00EA1905">
        <w:rPr>
          <w:rFonts w:ascii="Verdana" w:eastAsia="Calibri" w:hAnsi="Verdana" w:cs="Arial"/>
          <w:lang w:val="es-ES"/>
        </w:rPr>
        <w:t xml:space="preserve"> que celebren las entidades estatales se podrá pactar el pago de anticipo y la entrega de anticipos […]” [Énfasis fuera de texto], dicha norma no extendió esta prerrogativa a los convenios que suscriben las entidades públicas. Lo anterior, guarda su fundamento en que, si bien tanto los contratos como los convenios comparten características comunes, difieren en cuanto a aspectos esenciales. Así, mientras que el contrato se caracteriza por su naturaleza onerosa, patrimonial y se conforma por intereses básicamente contrapuestos, los convenios por su parte, tienen una finalidad asociativa perseguida por las partes suscriptoras, cuyos intereses se encaminan en la misma dirección y persiguen los mismos objetivos, por lo que carecen de la calidad conmutativa, que sí es propia de los primeros.</w:t>
      </w:r>
      <w:r w:rsidRPr="00EA1905">
        <w:t xml:space="preserve"> </w:t>
      </w:r>
    </w:p>
    <w:p w14:paraId="7B736D3B" w14:textId="77777777" w:rsidR="0007342E" w:rsidRPr="00EA1905" w:rsidRDefault="0007342E" w:rsidP="0007342E">
      <w:pPr>
        <w:spacing w:line="276" w:lineRule="auto"/>
        <w:ind w:left="720"/>
        <w:contextualSpacing/>
        <w:jc w:val="both"/>
        <w:rPr>
          <w:rFonts w:ascii="Verdana" w:eastAsia="Calibri" w:hAnsi="Verdana" w:cs="Arial"/>
          <w:lang w:val="es-ES"/>
        </w:rPr>
      </w:pPr>
    </w:p>
    <w:p w14:paraId="163271D6" w14:textId="77777777" w:rsidR="0007342E" w:rsidRPr="00EA1905" w:rsidRDefault="0007342E" w:rsidP="0007342E">
      <w:pPr>
        <w:numPr>
          <w:ilvl w:val="0"/>
          <w:numId w:val="1"/>
        </w:numPr>
        <w:spacing w:line="276" w:lineRule="auto"/>
        <w:ind w:left="714" w:hanging="357"/>
        <w:contextualSpacing/>
        <w:jc w:val="both"/>
        <w:rPr>
          <w:rFonts w:ascii="Verdana" w:eastAsia="Calibri" w:hAnsi="Verdana" w:cs="Arial"/>
          <w:lang w:val="es-ES"/>
        </w:rPr>
      </w:pPr>
      <w:r w:rsidRPr="00EA1905">
        <w:rPr>
          <w:rFonts w:ascii="Verdana" w:eastAsia="Calibri" w:hAnsi="Verdana" w:cs="Arial"/>
          <w:lang w:val="es-ES"/>
        </w:rPr>
        <w:t>Ahora bien, debe precisarse que el 30 de junio de 2023, esta Agencia con fundamento en lo establecido en el artículo 1 de la Ley 2022 de 2020, adoptó mediante la Resolución 358 de 2023, los Documentos Tipo para la contratación directa de convenios solidarios para la ejecución de obras hasta la menor cuantía con organismos de acción comunal</w:t>
      </w:r>
      <w:r w:rsidRPr="00EA1905">
        <w:rPr>
          <w:rFonts w:ascii="Verdana" w:eastAsia="Calibri" w:hAnsi="Verdana" w:cs="Arial"/>
          <w:vertAlign w:val="superscript"/>
          <w:lang w:val="es-ES"/>
        </w:rPr>
        <w:footnoteReference w:id="3"/>
      </w:r>
      <w:r w:rsidRPr="00EA1905">
        <w:rPr>
          <w:rFonts w:ascii="Verdana" w:eastAsia="Calibri" w:hAnsi="Verdana" w:cs="Arial"/>
          <w:lang w:val="es-ES"/>
        </w:rPr>
        <w:t xml:space="preserve">. Documentos, en los que se establecen las reglas que deberán aplicar las Entidades Estatales que pretendan la suscripción de convenios con organismos de acción comunal con el fin de ejecutar obras hasta por la menor cuantía. En ese sentido, y teniendo en cuenta que en los convenios de asociación no es posible realizar el pago de contraprestaciones debido a que estos </w:t>
      </w:r>
      <w:r w:rsidRPr="00EA1905">
        <w:rPr>
          <w:rFonts w:ascii="Verdana" w:eastAsia="Calibri" w:hAnsi="Verdana" w:cs="Arial"/>
          <w:lang w:val="es-ES"/>
        </w:rPr>
        <w:lastRenderedPageBreak/>
        <w:t xml:space="preserve">no son conmutativos, se estableció en la “CLÁUSULA 7. GIROS DE LOS RECURSOS” de la Minuta Tipo de dichos Documentos Tipo, lo siguiente: </w:t>
      </w:r>
    </w:p>
    <w:p w14:paraId="2845ECE5" w14:textId="77777777" w:rsidR="0007342E" w:rsidRPr="00EA1905" w:rsidRDefault="0007342E" w:rsidP="0007342E">
      <w:pPr>
        <w:ind w:left="720"/>
        <w:contextualSpacing/>
        <w:rPr>
          <w:rFonts w:ascii="Verdana" w:eastAsia="Calibri" w:hAnsi="Verdana" w:cs="Arial"/>
          <w:lang w:val="es-ES"/>
        </w:rPr>
      </w:pPr>
    </w:p>
    <w:p w14:paraId="1D9DD1FA" w14:textId="77777777" w:rsidR="0007342E" w:rsidRPr="00EA1905" w:rsidRDefault="0007342E" w:rsidP="0007342E">
      <w:pPr>
        <w:shd w:val="clear" w:color="auto" w:fill="FFFFFF" w:themeFill="background1"/>
        <w:spacing w:after="0" w:line="240" w:lineRule="auto"/>
        <w:ind w:left="1416" w:right="709"/>
        <w:jc w:val="both"/>
        <w:rPr>
          <w:rFonts w:ascii="Verdana" w:eastAsia="Calibri" w:hAnsi="Verdana" w:cs="Arial"/>
          <w:sz w:val="21"/>
          <w:szCs w:val="21"/>
        </w:rPr>
      </w:pPr>
      <w:r w:rsidRPr="75837925">
        <w:rPr>
          <w:rFonts w:ascii="Verdana" w:eastAsia="Calibri" w:hAnsi="Verdana" w:cs="Arial"/>
          <w:sz w:val="21"/>
          <w:szCs w:val="21"/>
        </w:rPr>
        <w:t xml:space="preserve">“La Entidad Estatal girará a la cuenta que se constituya a nombre del convenio o al Patrimonio Autónomo, según corresponda, el valor a su cargo en ______ </w:t>
      </w:r>
      <w:r w:rsidRPr="75837925">
        <w:rPr>
          <w:rFonts w:ascii="Verdana" w:eastAsia="Calibri" w:hAnsi="Verdana" w:cs="Arial"/>
          <w:sz w:val="21"/>
          <w:szCs w:val="21"/>
          <w:highlight w:val="lightGray"/>
        </w:rPr>
        <w:t>[indicar el número de desembolsos]</w:t>
      </w:r>
      <w:r w:rsidRPr="75837925">
        <w:rPr>
          <w:rFonts w:ascii="Verdana" w:eastAsia="Calibri" w:hAnsi="Verdana" w:cs="Arial"/>
          <w:sz w:val="21"/>
          <w:szCs w:val="21"/>
        </w:rPr>
        <w:t xml:space="preserve"> equivalentes a ______ [</w:t>
      </w:r>
      <w:r w:rsidRPr="75837925">
        <w:rPr>
          <w:rFonts w:ascii="Verdana" w:eastAsia="Calibri" w:hAnsi="Verdana" w:cs="Arial"/>
          <w:sz w:val="21"/>
          <w:szCs w:val="21"/>
          <w:highlight w:val="lightGray"/>
        </w:rPr>
        <w:t>indicar el porcentaje de cada desembolso, sin que la sumatoria de estos supere el 100%]</w:t>
      </w:r>
      <w:r w:rsidRPr="75837925">
        <w:rPr>
          <w:rFonts w:ascii="Verdana" w:eastAsia="Calibri" w:hAnsi="Verdana" w:cs="Arial"/>
          <w:sz w:val="21"/>
          <w:szCs w:val="21"/>
        </w:rPr>
        <w:t xml:space="preserve"> correspondientes a la vigencia fiscal </w:t>
      </w:r>
      <w:r w:rsidRPr="75837925">
        <w:rPr>
          <w:rFonts w:ascii="Verdana" w:eastAsia="Calibri" w:hAnsi="Verdana" w:cs="Arial"/>
          <w:sz w:val="21"/>
          <w:szCs w:val="21"/>
          <w:highlight w:val="lightGray"/>
        </w:rPr>
        <w:t>_______[indicar el año de vigencia]</w:t>
      </w:r>
      <w:r w:rsidRPr="75837925">
        <w:rPr>
          <w:rFonts w:ascii="Verdana" w:eastAsia="Calibri" w:hAnsi="Verdana" w:cs="Arial"/>
          <w:sz w:val="21"/>
          <w:szCs w:val="21"/>
        </w:rPr>
        <w:t xml:space="preserve">, cuando </w:t>
      </w:r>
      <w:r w:rsidRPr="75837925">
        <w:rPr>
          <w:rFonts w:ascii="Verdana" w:eastAsia="Calibri" w:hAnsi="Verdana" w:cs="Arial"/>
          <w:sz w:val="21"/>
          <w:szCs w:val="21"/>
          <w:highlight w:val="lightGray"/>
        </w:rPr>
        <w:t>[indicar el momento en que se realizará cada giro y las condiciones que se deban cumplir para ello].</w:t>
      </w:r>
    </w:p>
    <w:p w14:paraId="4A8D33EB"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r w:rsidRPr="00EA1905">
        <w:rPr>
          <w:rFonts w:ascii="Verdana" w:eastAsia="Calibri" w:hAnsi="Verdana" w:cs="Arial"/>
          <w:sz w:val="21"/>
          <w:szCs w:val="21"/>
          <w:lang w:val="es-ES"/>
        </w:rPr>
        <w:t>[…]”</w:t>
      </w:r>
    </w:p>
    <w:p w14:paraId="260D9EE1" w14:textId="77777777" w:rsidR="0007342E" w:rsidRPr="00EA1905" w:rsidRDefault="0007342E" w:rsidP="0007342E">
      <w:pPr>
        <w:ind w:left="720"/>
        <w:contextualSpacing/>
        <w:rPr>
          <w:rFonts w:ascii="Verdana" w:eastAsia="Calibri" w:hAnsi="Verdana" w:cs="Arial"/>
          <w:lang w:val="es-ES"/>
        </w:rPr>
      </w:pPr>
    </w:p>
    <w:p w14:paraId="7394F5C7" w14:textId="77777777" w:rsidR="0007342E" w:rsidRPr="00EA1905" w:rsidRDefault="0007342E" w:rsidP="0007342E">
      <w:pPr>
        <w:numPr>
          <w:ilvl w:val="0"/>
          <w:numId w:val="1"/>
        </w:numPr>
        <w:contextualSpacing/>
        <w:jc w:val="both"/>
        <w:rPr>
          <w:rFonts w:ascii="Verdana" w:eastAsia="Calibri" w:hAnsi="Verdana" w:cs="Arial"/>
          <w:lang w:val="es-ES"/>
        </w:rPr>
      </w:pPr>
      <w:r w:rsidRPr="00EA1905">
        <w:rPr>
          <w:rFonts w:ascii="Verdana" w:eastAsia="Calibri" w:hAnsi="Verdana" w:cs="Arial"/>
          <w:lang w:val="es-ES"/>
        </w:rPr>
        <w:t xml:space="preserve">Adicionalmente, en dicha cláusula se establecieron tres (3) opciones para la realización del giro de los recursos, con el fin de que la Entidad Estatal que adelanta el proceso de contratación de acuerdo con las necesidades y características propias de cada convenio solidario, elija la que estime más conveniente. Estas opciones son las siguientes: </w:t>
      </w:r>
    </w:p>
    <w:p w14:paraId="34A5BD8B" w14:textId="77777777" w:rsidR="0007342E" w:rsidRPr="00EA1905" w:rsidRDefault="0007342E" w:rsidP="0007342E">
      <w:pPr>
        <w:ind w:left="720"/>
        <w:contextualSpacing/>
        <w:jc w:val="both"/>
        <w:rPr>
          <w:rFonts w:ascii="Verdana" w:eastAsia="Calibri" w:hAnsi="Verdana" w:cs="Arial"/>
          <w:lang w:val="es-ES"/>
        </w:rPr>
      </w:pPr>
    </w:p>
    <w:p w14:paraId="556546DA"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r w:rsidRPr="00EA1905">
        <w:rPr>
          <w:rFonts w:ascii="Verdana" w:eastAsia="Calibri" w:hAnsi="Verdana" w:cs="Arial"/>
          <w:sz w:val="21"/>
          <w:szCs w:val="21"/>
          <w:lang w:val="es-ES"/>
        </w:rPr>
        <w:t>“[…]</w:t>
      </w:r>
    </w:p>
    <w:p w14:paraId="295BEC5E"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r w:rsidRPr="00EA1905">
        <w:rPr>
          <w:rFonts w:ascii="Verdana" w:eastAsia="Calibri" w:hAnsi="Verdana" w:cs="Arial"/>
          <w:b/>
          <w:bCs/>
          <w:sz w:val="21"/>
          <w:szCs w:val="21"/>
          <w:lang w:val="es-ES"/>
        </w:rPr>
        <w:t>Opción 1</w:t>
      </w:r>
    </w:p>
    <w:p w14:paraId="46879D74"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highlight w:val="lightGray"/>
          <w:lang w:val="es-ES"/>
        </w:rPr>
      </w:pPr>
    </w:p>
    <w:p w14:paraId="5BB033AB"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r w:rsidRPr="00EA1905">
        <w:rPr>
          <w:rFonts w:ascii="Verdana" w:eastAsia="Calibri" w:hAnsi="Verdana" w:cs="Arial"/>
          <w:sz w:val="21"/>
          <w:szCs w:val="21"/>
          <w:highlight w:val="lightGray"/>
          <w:lang w:val="es-ES"/>
        </w:rPr>
        <w:t>[Los giros de los recursos que realice la Entidad Estatal deberán realizarse a cuenta de manejo conjunto a nombre del convenio que genere rendimientos financieros y sin posibilidad de sobregiro, en la que no se podrá disponer de los recursos de manera electrónica por el OAC y que requiere para la disposición de los recursos allí depositados de la autorización del Representante Legal del OAC y del Interventor y/o Supervisor de la Entidad Estatal]</w:t>
      </w:r>
    </w:p>
    <w:p w14:paraId="11BB20BC"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p>
    <w:p w14:paraId="52E37834"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r w:rsidRPr="00EA1905">
        <w:rPr>
          <w:rFonts w:ascii="Verdana" w:eastAsia="Calibri" w:hAnsi="Verdana" w:cs="Arial"/>
          <w:sz w:val="21"/>
          <w:szCs w:val="21"/>
          <w:highlight w:val="lightGray"/>
          <w:lang w:val="es-ES"/>
        </w:rPr>
        <w:t>[La Entidad Estatal puede indicar condiciones propias de los giros respecto de la disponibilidad de PAC o Soportes que se requieran de la OAC para efectuar el giro de los recursos.]</w:t>
      </w:r>
    </w:p>
    <w:p w14:paraId="7B874DA9"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p>
    <w:p w14:paraId="10BB4662" w14:textId="77777777" w:rsidR="0007342E" w:rsidRPr="00EA1905" w:rsidRDefault="0007342E" w:rsidP="0007342E">
      <w:pPr>
        <w:shd w:val="clear" w:color="auto" w:fill="FFFFFF"/>
        <w:spacing w:after="0" w:line="240" w:lineRule="auto"/>
        <w:ind w:left="1416" w:right="709"/>
        <w:jc w:val="both"/>
        <w:rPr>
          <w:rFonts w:ascii="Verdana" w:eastAsia="Calibri" w:hAnsi="Verdana" w:cs="Arial"/>
          <w:b/>
          <w:bCs/>
          <w:sz w:val="21"/>
          <w:szCs w:val="21"/>
          <w:lang w:val="es-ES"/>
        </w:rPr>
      </w:pPr>
      <w:r w:rsidRPr="00EA1905">
        <w:rPr>
          <w:rFonts w:ascii="Verdana" w:eastAsia="Calibri" w:hAnsi="Verdana" w:cs="Arial"/>
          <w:b/>
          <w:bCs/>
          <w:sz w:val="21"/>
          <w:szCs w:val="21"/>
          <w:lang w:val="es-ES"/>
        </w:rPr>
        <w:t>Opción 2</w:t>
      </w:r>
    </w:p>
    <w:p w14:paraId="7B87C5FC"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p>
    <w:p w14:paraId="22C35114"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r w:rsidRPr="00EA1905">
        <w:rPr>
          <w:rFonts w:ascii="Verdana" w:eastAsia="Calibri" w:hAnsi="Verdana" w:cs="Arial"/>
          <w:sz w:val="21"/>
          <w:szCs w:val="21"/>
          <w:highlight w:val="lightGray"/>
          <w:lang w:val="es-ES"/>
        </w:rPr>
        <w:t xml:space="preserve">[Para el giro de los recursos que la entidad destine como aporte, el OAC constituirá un patrimonio autónomo irrevocable a nombre del convenio, cuyo beneficiario sea [Nombre de la entidad], el cual será vigilado por el Interventor y/o Supervisor del contrato. Por consiguiente, ningún pago o gravamen que afecte el aporte realizado por la entidad podrá ser efectuado sin </w:t>
      </w:r>
      <w:r w:rsidRPr="00EA1905">
        <w:rPr>
          <w:rFonts w:ascii="Verdana" w:eastAsia="Calibri" w:hAnsi="Verdana" w:cs="Arial"/>
          <w:sz w:val="21"/>
          <w:szCs w:val="21"/>
          <w:highlight w:val="lightGray"/>
          <w:lang w:val="es-ES"/>
        </w:rPr>
        <w:lastRenderedPageBreak/>
        <w:t>la autorización expresa y escrita del Interventor y/o Supervisor, quien velará así porque todo desembolso del aporte corresponda a gastos del convenio y que estén de acuerdo con el plan de ejecución aprobado por el Interventor y/o Supervisor. El costo de la comisión fiduciaria es asumido dentro de los costos administrativos del convenio. El OAC presentará la respectiva minuta del contrato de fiducia para aprobación previa del Interventor y/o Supervisor.]</w:t>
      </w:r>
    </w:p>
    <w:p w14:paraId="3A0A41E9"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p>
    <w:p w14:paraId="368F52B9"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r w:rsidRPr="00EA1905">
        <w:rPr>
          <w:rFonts w:ascii="Verdana" w:eastAsia="Calibri" w:hAnsi="Verdana" w:cs="Arial"/>
          <w:sz w:val="21"/>
          <w:szCs w:val="21"/>
          <w:highlight w:val="lightGray"/>
          <w:lang w:val="es-ES"/>
        </w:rPr>
        <w:t>[La Entidad Estatal puede indicar condiciones propias de los giros respecto de la disponibilidad de PAC o Soportes que se requieran de la OAC para efectuar el giro de los recursos]</w:t>
      </w:r>
    </w:p>
    <w:p w14:paraId="33655D32"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p>
    <w:p w14:paraId="52B526C6" w14:textId="77777777" w:rsidR="0007342E" w:rsidRPr="00EA1905" w:rsidRDefault="0007342E" w:rsidP="0007342E">
      <w:pPr>
        <w:shd w:val="clear" w:color="auto" w:fill="FFFFFF"/>
        <w:spacing w:after="0" w:line="240" w:lineRule="auto"/>
        <w:ind w:left="1416" w:right="709"/>
        <w:jc w:val="both"/>
        <w:rPr>
          <w:rFonts w:ascii="Verdana" w:eastAsia="Calibri" w:hAnsi="Verdana" w:cs="Arial"/>
          <w:b/>
          <w:bCs/>
          <w:sz w:val="21"/>
          <w:szCs w:val="21"/>
          <w:lang w:val="es-ES"/>
        </w:rPr>
      </w:pPr>
      <w:r w:rsidRPr="00EA1905">
        <w:rPr>
          <w:rFonts w:ascii="Verdana" w:eastAsia="Calibri" w:hAnsi="Verdana" w:cs="Arial"/>
          <w:b/>
          <w:bCs/>
          <w:sz w:val="21"/>
          <w:szCs w:val="21"/>
          <w:lang w:val="es-ES"/>
        </w:rPr>
        <w:t>Opción 3</w:t>
      </w:r>
    </w:p>
    <w:p w14:paraId="0A9D4B15"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p>
    <w:p w14:paraId="4F560D3D"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r w:rsidRPr="00EA1905">
        <w:rPr>
          <w:rFonts w:ascii="Verdana" w:eastAsia="Calibri" w:hAnsi="Verdana" w:cs="Arial"/>
          <w:sz w:val="21"/>
          <w:szCs w:val="21"/>
          <w:highlight w:val="lightGray"/>
          <w:lang w:val="es-ES"/>
        </w:rPr>
        <w:t>[Los giros de los recursos que realice la Entidad Estatal deberán realizarse a cuenta bancaria a nombre del convenio que genere rendimientos financieros y sin posibilidad de sobregiro, en la que se dispondrá de los recursos únicamente de manera electrónica, por lo cual esta cuenta deberá contar con un mecanismo de autenticación dual, en el cual, el usuario preparador será asignado al OAC y el usuario aprobador será asignado al Interventor y/o Supervisor de la Entidad Estatal], por lo cual para cualquier disposición que se realice de los recursos se deberá contar siempre con la aprobación dual.</w:t>
      </w:r>
    </w:p>
    <w:p w14:paraId="3346C83C"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p>
    <w:p w14:paraId="3D7C6EED" w14:textId="77777777" w:rsidR="0007342E" w:rsidRPr="00EA1905" w:rsidRDefault="0007342E" w:rsidP="0007342E">
      <w:pPr>
        <w:shd w:val="clear" w:color="auto" w:fill="FFFFFF"/>
        <w:spacing w:after="0" w:line="240" w:lineRule="auto"/>
        <w:ind w:left="1416" w:right="709"/>
        <w:jc w:val="both"/>
        <w:rPr>
          <w:rFonts w:ascii="Verdana" w:eastAsia="Calibri" w:hAnsi="Verdana" w:cs="Arial"/>
          <w:sz w:val="21"/>
          <w:szCs w:val="21"/>
          <w:lang w:val="es-ES"/>
        </w:rPr>
      </w:pPr>
      <w:r w:rsidRPr="00EA1905">
        <w:rPr>
          <w:rFonts w:ascii="Verdana" w:eastAsia="Calibri" w:hAnsi="Verdana" w:cs="Arial"/>
          <w:sz w:val="21"/>
          <w:szCs w:val="21"/>
          <w:highlight w:val="lightGray"/>
          <w:lang w:val="es-ES"/>
        </w:rPr>
        <w:t>[La Entidad Estatal puede indicar condiciones propias de los giros respecto de la disponibilidad de PAC o Soportes que se requieran de la OAC para efectuar el giro de los recursos]</w:t>
      </w:r>
      <w:r w:rsidRPr="00EA1905">
        <w:rPr>
          <w:rFonts w:ascii="Verdana" w:eastAsia="Calibri" w:hAnsi="Verdana" w:cs="Arial"/>
          <w:sz w:val="21"/>
          <w:szCs w:val="21"/>
          <w:lang w:val="es-ES"/>
        </w:rPr>
        <w:t>”.</w:t>
      </w:r>
    </w:p>
    <w:p w14:paraId="69B85EB9" w14:textId="77777777" w:rsidR="0007342E" w:rsidRPr="00EA1905" w:rsidRDefault="0007342E" w:rsidP="0007342E">
      <w:pPr>
        <w:ind w:left="720"/>
        <w:contextualSpacing/>
        <w:jc w:val="both"/>
        <w:rPr>
          <w:rFonts w:ascii="Verdana" w:eastAsia="Calibri" w:hAnsi="Verdana" w:cs="Arial"/>
          <w:lang w:val="es-ES"/>
        </w:rPr>
      </w:pPr>
    </w:p>
    <w:p w14:paraId="6116DD3C" w14:textId="77777777" w:rsidR="0007342E" w:rsidRPr="00EA1905" w:rsidRDefault="0007342E" w:rsidP="0007342E">
      <w:pPr>
        <w:numPr>
          <w:ilvl w:val="0"/>
          <w:numId w:val="1"/>
        </w:numPr>
        <w:spacing w:after="0"/>
        <w:contextualSpacing/>
        <w:jc w:val="both"/>
        <w:rPr>
          <w:rFonts w:ascii="Verdana" w:eastAsia="Calibri" w:hAnsi="Verdana" w:cs="Arial"/>
          <w:lang w:val="es-ES"/>
        </w:rPr>
      </w:pPr>
      <w:r w:rsidRPr="00EA1905">
        <w:rPr>
          <w:rFonts w:ascii="Verdana" w:eastAsia="Calibri" w:hAnsi="Verdana" w:cs="Arial"/>
          <w:lang w:val="es-ES"/>
        </w:rPr>
        <w:t>Finalmente y teniendo en cuenta el carácter de inalterabilidad de los Documentos Tipo, tal y como lo establece el artículo 3 de la Resolución 358 de 2023, las Entidades Estatales no podrán modificar las condiciones establecidas en dichos documentos salvo cuando estos expresamente lo indiquen, así como el que deberán sujetarse a las reglas que allí se establecen.</w:t>
      </w:r>
    </w:p>
    <w:p w14:paraId="45323491" w14:textId="77777777" w:rsidR="0007342E" w:rsidRPr="00EA1905" w:rsidRDefault="0007342E" w:rsidP="0007342E">
      <w:pPr>
        <w:widowControl w:val="0"/>
        <w:autoSpaceDE w:val="0"/>
        <w:autoSpaceDN w:val="0"/>
        <w:spacing w:after="0" w:line="276" w:lineRule="auto"/>
        <w:contextualSpacing/>
        <w:jc w:val="both"/>
        <w:rPr>
          <w:rFonts w:ascii="Verdana" w:hAnsi="Verdana" w:cs="Arial"/>
        </w:rPr>
      </w:pPr>
    </w:p>
    <w:p w14:paraId="32177C7D" w14:textId="77777777" w:rsidR="0007342E" w:rsidRPr="00EA1905" w:rsidRDefault="0007342E" w:rsidP="0007342E">
      <w:pPr>
        <w:widowControl w:val="0"/>
        <w:autoSpaceDE w:val="0"/>
        <w:autoSpaceDN w:val="0"/>
        <w:spacing w:before="1" w:after="0" w:line="240" w:lineRule="auto"/>
        <w:outlineLvl w:val="0"/>
        <w:rPr>
          <w:rFonts w:ascii="Arial" w:eastAsia="Arial" w:hAnsi="Arial" w:cs="Arial"/>
          <w:b/>
          <w:bCs/>
          <w:lang w:val="es-ES"/>
        </w:rPr>
      </w:pPr>
      <w:r w:rsidRPr="00EA1905">
        <w:rPr>
          <w:rFonts w:ascii="Arial" w:eastAsia="Arial" w:hAnsi="Arial" w:cs="Arial"/>
          <w:b/>
          <w:bCs/>
          <w:lang w:val="es-ES"/>
        </w:rPr>
        <w:t>4.</w:t>
      </w:r>
      <w:r w:rsidRPr="00EA1905">
        <w:rPr>
          <w:rFonts w:ascii="Verdana" w:eastAsia="Arial" w:hAnsi="Verdana" w:cs="Arial"/>
          <w:b/>
          <w:bCs/>
          <w:lang w:val="es-ES"/>
        </w:rPr>
        <w:t>Referencias normativas, jurisprudenciales y otras fuentes:</w:t>
      </w:r>
    </w:p>
    <w:p w14:paraId="4A0F8AC5" w14:textId="77777777" w:rsidR="0007342E" w:rsidRPr="00EA1905" w:rsidRDefault="0007342E" w:rsidP="0007342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7342E" w:rsidRPr="00EA1905" w14:paraId="69E8D552" w14:textId="77777777" w:rsidTr="00094090">
        <w:trPr>
          <w:trHeight w:val="870"/>
        </w:trPr>
        <w:tc>
          <w:tcPr>
            <w:tcW w:w="8647" w:type="dxa"/>
          </w:tcPr>
          <w:p w14:paraId="514B8CB8" w14:textId="77777777" w:rsidR="0007342E" w:rsidRPr="00EA1905" w:rsidRDefault="0007342E" w:rsidP="0007342E">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EA1905">
              <w:rPr>
                <w:rFonts w:ascii="Verdana" w:eastAsia="Calibri" w:hAnsi="Verdana" w:cs="Arial"/>
                <w:lang w:val="es-ES"/>
              </w:rPr>
              <w:t xml:space="preserve">Ley 2022 de 2020, artículo 1. </w:t>
            </w:r>
          </w:p>
          <w:p w14:paraId="5A6250EC" w14:textId="77777777" w:rsidR="0007342E" w:rsidRPr="00EA1905" w:rsidRDefault="0007342E" w:rsidP="0007342E">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EA1905">
              <w:rPr>
                <w:rFonts w:ascii="Verdana" w:eastAsia="Calibri" w:hAnsi="Verdana" w:cs="Arial"/>
                <w:lang w:val="es-ES"/>
              </w:rPr>
              <w:t>Ley 2166 de 2021, artículos 7, 38 y 95.</w:t>
            </w:r>
          </w:p>
          <w:p w14:paraId="08C76506" w14:textId="77777777" w:rsidR="0007342E" w:rsidRPr="00EA1905" w:rsidRDefault="0007342E" w:rsidP="0007342E">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EA1905">
              <w:rPr>
                <w:rFonts w:ascii="Verdana" w:eastAsia="Calibri" w:hAnsi="Verdana" w:cs="Arial"/>
                <w:lang w:val="es-ES"/>
              </w:rPr>
              <w:t>Ley 136 de 1994, artículo 3.</w:t>
            </w:r>
          </w:p>
          <w:p w14:paraId="647B513F" w14:textId="77777777" w:rsidR="0007342E" w:rsidRPr="00EA1905" w:rsidRDefault="0007342E" w:rsidP="0007342E">
            <w:pPr>
              <w:widowControl w:val="0"/>
              <w:numPr>
                <w:ilvl w:val="0"/>
                <w:numId w:val="2"/>
              </w:numPr>
              <w:tabs>
                <w:tab w:val="left" w:pos="8419"/>
              </w:tabs>
              <w:autoSpaceDE w:val="0"/>
              <w:autoSpaceDN w:val="0"/>
              <w:spacing w:line="276" w:lineRule="auto"/>
              <w:contextualSpacing/>
              <w:jc w:val="both"/>
              <w:rPr>
                <w:rFonts w:ascii="Verdana" w:hAnsi="Verdana" w:cs="Arial"/>
              </w:rPr>
            </w:pPr>
            <w:r w:rsidRPr="00EA1905">
              <w:rPr>
                <w:rFonts w:ascii="Verdana" w:eastAsia="Aptos" w:hAnsi="Verdana" w:cs="Arial"/>
                <w:spacing w:val="2"/>
                <w:lang w:eastAsia="es-CO"/>
              </w:rPr>
              <w:t>Resolución 358 de 2023 “</w:t>
            </w:r>
            <w:hyperlink r:id="rId12" w:history="1">
              <w:r w:rsidRPr="00EA1905">
                <w:rPr>
                  <w:rFonts w:ascii="Verdana" w:eastAsia="Aptos" w:hAnsi="Verdana" w:cs="Arial"/>
                  <w:spacing w:val="2"/>
                  <w:lang w:eastAsia="es-CO"/>
                </w:rPr>
                <w:t xml:space="preserve">Por la cual se adopta el documento tipo </w:t>
              </w:r>
              <w:r w:rsidRPr="00EA1905">
                <w:rPr>
                  <w:rFonts w:ascii="Verdana" w:eastAsia="Aptos" w:hAnsi="Verdana" w:cs="Arial"/>
                  <w:spacing w:val="2"/>
                  <w:lang w:eastAsia="es-CO"/>
                </w:rPr>
                <w:lastRenderedPageBreak/>
                <w:t>para la contratación directa de convenios solidarios para la ejecución de obras hasta la menor cuantía con organismos de acción comunal”.</w:t>
              </w:r>
            </w:hyperlink>
          </w:p>
        </w:tc>
      </w:tr>
    </w:tbl>
    <w:p w14:paraId="244C9929" w14:textId="77777777" w:rsidR="0007342E" w:rsidRPr="00EA1905" w:rsidRDefault="0007342E" w:rsidP="0007342E">
      <w:pPr>
        <w:widowControl w:val="0"/>
        <w:autoSpaceDE w:val="0"/>
        <w:autoSpaceDN w:val="0"/>
        <w:spacing w:after="0" w:line="276" w:lineRule="auto"/>
        <w:jc w:val="both"/>
        <w:rPr>
          <w:rFonts w:ascii="Verdana" w:hAnsi="Verdana" w:cs="Arial"/>
        </w:rPr>
      </w:pPr>
    </w:p>
    <w:p w14:paraId="299C82BA" w14:textId="77777777" w:rsidR="0007342E" w:rsidRPr="00EA1905" w:rsidRDefault="0007342E" w:rsidP="0007342E">
      <w:pPr>
        <w:widowControl w:val="0"/>
        <w:autoSpaceDE w:val="0"/>
        <w:autoSpaceDN w:val="0"/>
        <w:spacing w:before="1" w:after="0" w:line="240" w:lineRule="auto"/>
        <w:outlineLvl w:val="0"/>
        <w:rPr>
          <w:rFonts w:ascii="Verdana" w:eastAsia="Arial" w:hAnsi="Verdana" w:cs="Arial"/>
          <w:b/>
          <w:bCs/>
          <w:lang w:val="es-ES"/>
        </w:rPr>
      </w:pPr>
      <w:r w:rsidRPr="00EA1905">
        <w:rPr>
          <w:rFonts w:ascii="Verdana" w:eastAsia="Arial" w:hAnsi="Verdana" w:cs="Arial"/>
          <w:b/>
          <w:bCs/>
          <w:lang w:val="es-ES"/>
        </w:rPr>
        <w:t>5. Doctrina de la Agencia Nacional de Contratación Pública:</w:t>
      </w:r>
    </w:p>
    <w:p w14:paraId="744FE253" w14:textId="77777777" w:rsidR="0007342E" w:rsidRPr="00EA1905" w:rsidRDefault="0007342E" w:rsidP="0007342E">
      <w:pPr>
        <w:widowControl w:val="0"/>
        <w:autoSpaceDE w:val="0"/>
        <w:autoSpaceDN w:val="0"/>
        <w:spacing w:after="0" w:line="276" w:lineRule="auto"/>
        <w:jc w:val="both"/>
        <w:rPr>
          <w:rFonts w:ascii="Verdana" w:hAnsi="Verdana" w:cs="Arial"/>
        </w:rPr>
      </w:pPr>
    </w:p>
    <w:p w14:paraId="37AA724E" w14:textId="77777777" w:rsidR="0007342E" w:rsidRPr="005E3661" w:rsidRDefault="0007342E" w:rsidP="0007342E">
      <w:pPr>
        <w:widowControl w:val="0"/>
        <w:autoSpaceDE w:val="0"/>
        <w:autoSpaceDN w:val="0"/>
        <w:spacing w:after="0" w:line="276" w:lineRule="auto"/>
        <w:jc w:val="both"/>
        <w:rPr>
          <w:rFonts w:ascii="Verdana" w:eastAsia="Aptos" w:hAnsi="Verdana" w:cs="Arial"/>
          <w:shd w:val="clear" w:color="auto" w:fill="FFFFFF"/>
          <w:lang w:val="es-ES"/>
        </w:rPr>
      </w:pPr>
      <w:r w:rsidRPr="00EA1905">
        <w:rPr>
          <w:rFonts w:ascii="Verdana" w:hAnsi="Verdana" w:cs="Arial"/>
          <w:shd w:val="clear" w:color="auto" w:fill="FFFFFF"/>
          <w:lang w:val="es-ES"/>
        </w:rPr>
        <w:t xml:space="preserve">Sobre los convenios solidarios, su alcance y su régimen contractual, esta Subdirección se refirió en los Conceptos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y C-051 del 3 de mayo de 2024, entre otros. </w:t>
      </w:r>
      <w:r w:rsidRPr="005E3661">
        <w:rPr>
          <w:rFonts w:ascii="Verdana" w:eastAsia="Aptos" w:hAnsi="Verdana" w:cs="Arial"/>
          <w:shd w:val="clear" w:color="auto" w:fill="FFFFFF"/>
          <w:lang w:val="es-ES"/>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history="1">
        <w:r w:rsidRPr="005E3661">
          <w:rPr>
            <w:rFonts w:ascii="Verdana" w:eastAsia="Aptos" w:hAnsi="Verdana" w:cs="Arial"/>
            <w:color w:val="467886"/>
            <w:u w:val="single"/>
            <w:shd w:val="clear" w:color="auto" w:fill="FFFFFF"/>
            <w:lang w:val="es-ES"/>
          </w:rPr>
          <w:t>https://relatoria.colombiacompra.gov.co/</w:t>
        </w:r>
      </w:hyperlink>
      <w:r w:rsidRPr="005E3661">
        <w:rPr>
          <w:rFonts w:ascii="Verdana" w:eastAsia="Aptos" w:hAnsi="Verdana" w:cs="Arial"/>
          <w:shd w:val="clear" w:color="auto" w:fill="FFFFFF"/>
          <w:lang w:val="es-ES"/>
        </w:rPr>
        <w:t xml:space="preserve">. </w:t>
      </w:r>
    </w:p>
    <w:p w14:paraId="20EFE065" w14:textId="77777777" w:rsidR="0007342E" w:rsidRPr="005E3661" w:rsidRDefault="0007342E" w:rsidP="0007342E">
      <w:pPr>
        <w:widowControl w:val="0"/>
        <w:autoSpaceDE w:val="0"/>
        <w:autoSpaceDN w:val="0"/>
        <w:spacing w:after="0" w:line="276" w:lineRule="auto"/>
        <w:jc w:val="both"/>
        <w:rPr>
          <w:rFonts w:ascii="Verdana" w:eastAsia="Aptos" w:hAnsi="Verdana" w:cs="Arial"/>
          <w:shd w:val="clear" w:color="auto" w:fill="FFFFFF"/>
          <w:lang w:val="es-ES"/>
        </w:rPr>
      </w:pPr>
    </w:p>
    <w:p w14:paraId="2D80562A" w14:textId="77777777" w:rsidR="0007342E" w:rsidRPr="005E3661" w:rsidRDefault="0007342E" w:rsidP="0007342E">
      <w:pPr>
        <w:widowControl w:val="0"/>
        <w:autoSpaceDE w:val="0"/>
        <w:autoSpaceDN w:val="0"/>
        <w:spacing w:after="0" w:line="276" w:lineRule="auto"/>
        <w:jc w:val="both"/>
        <w:rPr>
          <w:rFonts w:ascii="Verdana" w:eastAsia="Aptos" w:hAnsi="Verdana" w:cs="Arial"/>
          <w:shd w:val="clear" w:color="auto" w:fill="FFFFFF"/>
          <w:lang w:val="es-ES"/>
        </w:rPr>
      </w:pPr>
      <w:r w:rsidRPr="005E3661">
        <w:rPr>
          <w:rFonts w:ascii="Verdana" w:eastAsia="Aptos"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4" w:history="1">
        <w:r w:rsidRPr="005E3661">
          <w:rPr>
            <w:rFonts w:ascii="Verdana" w:eastAsia="Aptos" w:hAnsi="Verdana" w:cs="Arial"/>
            <w:color w:val="467886"/>
            <w:u w:val="single"/>
            <w:shd w:val="clear" w:color="auto" w:fill="FFFFFF"/>
            <w:lang w:val="es-ES"/>
          </w:rPr>
          <w:t>https://www.colombiacompra.gov.co/sites/cce_public/files/files_2020/boletin_de_realtoria_iii.pdf</w:t>
        </w:r>
      </w:hyperlink>
      <w:r w:rsidRPr="005E3661">
        <w:rPr>
          <w:rFonts w:ascii="Verdana" w:eastAsia="Aptos" w:hAnsi="Verdana" w:cs="Arial"/>
          <w:shd w:val="clear" w:color="auto" w:fill="FFFFFF"/>
          <w:lang w:val="es-ES"/>
        </w:rPr>
        <w:t xml:space="preserve">. </w:t>
      </w:r>
    </w:p>
    <w:p w14:paraId="2F764A12" w14:textId="77777777" w:rsidR="0007342E" w:rsidRPr="005E3661" w:rsidRDefault="0007342E" w:rsidP="0007342E">
      <w:pPr>
        <w:widowControl w:val="0"/>
        <w:autoSpaceDE w:val="0"/>
        <w:autoSpaceDN w:val="0"/>
        <w:spacing w:after="0" w:line="276" w:lineRule="auto"/>
        <w:jc w:val="both"/>
        <w:rPr>
          <w:rFonts w:ascii="Verdana" w:eastAsia="Aptos" w:hAnsi="Verdana" w:cs="Arial"/>
          <w:shd w:val="clear" w:color="auto" w:fill="FFFFFF"/>
          <w:lang w:val="es-ES"/>
        </w:rPr>
      </w:pPr>
    </w:p>
    <w:p w14:paraId="680472F2" w14:textId="77777777" w:rsidR="0007342E" w:rsidRPr="005E3661" w:rsidRDefault="0007342E" w:rsidP="0007342E">
      <w:pPr>
        <w:widowControl w:val="0"/>
        <w:autoSpaceDE w:val="0"/>
        <w:autoSpaceDN w:val="0"/>
        <w:spacing w:after="0" w:line="276" w:lineRule="auto"/>
        <w:jc w:val="both"/>
        <w:rPr>
          <w:rFonts w:ascii="Verdana" w:eastAsia="Aptos" w:hAnsi="Verdana" w:cs="Arial"/>
          <w:shd w:val="clear" w:color="auto" w:fill="FFFFFF"/>
          <w:lang w:val="es-ES"/>
        </w:rPr>
      </w:pPr>
      <w:r w:rsidRPr="005E3661">
        <w:rPr>
          <w:rFonts w:ascii="Verdana" w:eastAsia="Aptos" w:hAnsi="Verdana" w:cs="Arial"/>
          <w:shd w:val="clear" w:color="auto" w:fill="FFFFFF"/>
          <w:lang w:val="es-ES"/>
        </w:rPr>
        <w:t xml:space="preserve">De otra parte, te informamos que entre el 15 al 29 de agosto de 2024 estará disponible para comentarios la Guía para Promover la Participación de las MIPYMES en los Procesos de Compra y Contratación Pública. Esta nueva versión </w:t>
      </w:r>
      <w:r w:rsidRPr="005E3661">
        <w:rPr>
          <w:rFonts w:ascii="Verdana" w:eastAsia="Aptos" w:hAnsi="Verdana" w:cs="Arial"/>
          <w:shd w:val="clear" w:color="auto" w:fill="FFFFFF"/>
          <w:lang w:val="es-ES"/>
        </w:rPr>
        <w:lastRenderedPageBreak/>
        <w:t xml:space="preserve">desarrolla lineamientos para la aplicación de los incentivos regulados por normas como la Ley 2069 de 2020 y los decretos 1860 de 2021, 142 de 2023 y el 874 de 2024. Te invitamos a participar dejando tus observaciones en los siguientes enlaces: </w:t>
      </w:r>
      <w:hyperlink r:id="rId15" w:history="1">
        <w:r w:rsidRPr="005E3661">
          <w:rPr>
            <w:rFonts w:ascii="Verdana" w:eastAsia="Aptos" w:hAnsi="Verdana" w:cs="Arial"/>
            <w:color w:val="467886"/>
            <w:u w:val="single"/>
            <w:shd w:val="clear" w:color="auto" w:fill="FFFFFF"/>
            <w:lang w:val="es-ES"/>
          </w:rPr>
          <w:t>https://www.sucop.gov.co/entidades/colombiacompra/Normativa?IDNorma=17363</w:t>
        </w:r>
      </w:hyperlink>
      <w:r w:rsidRPr="005E3661">
        <w:rPr>
          <w:rFonts w:ascii="Verdana" w:eastAsia="Aptos" w:hAnsi="Verdana" w:cs="Arial"/>
          <w:shd w:val="clear" w:color="auto" w:fill="FFFFFF"/>
          <w:lang w:val="es-ES"/>
        </w:rPr>
        <w:t xml:space="preserve"> y </w:t>
      </w:r>
      <w:hyperlink r:id="rId16" w:history="1">
        <w:r w:rsidRPr="005E3661">
          <w:rPr>
            <w:rFonts w:ascii="Verdana" w:eastAsia="Aptos" w:hAnsi="Verdana" w:cs="Arial"/>
            <w:color w:val="467886"/>
            <w:u w:val="single"/>
            <w:shd w:val="clear" w:color="auto" w:fill="FFFFFF"/>
            <w:lang w:val="es-ES"/>
          </w:rPr>
          <w:t>https://www.colombiacompra.gov.co/content/convocatorias</w:t>
        </w:r>
      </w:hyperlink>
      <w:r w:rsidRPr="005E3661">
        <w:rPr>
          <w:rFonts w:ascii="Verdana" w:eastAsia="Aptos" w:hAnsi="Verdana" w:cs="Arial"/>
          <w:shd w:val="clear" w:color="auto" w:fill="FFFFFF"/>
          <w:lang w:val="es-ES"/>
        </w:rPr>
        <w:t xml:space="preserve"> </w:t>
      </w:r>
    </w:p>
    <w:p w14:paraId="0DBAA906" w14:textId="77777777" w:rsidR="0007342E" w:rsidRPr="005E3661" w:rsidRDefault="0007342E" w:rsidP="0007342E">
      <w:pPr>
        <w:widowControl w:val="0"/>
        <w:autoSpaceDE w:val="0"/>
        <w:autoSpaceDN w:val="0"/>
        <w:spacing w:after="0" w:line="276" w:lineRule="auto"/>
        <w:jc w:val="both"/>
        <w:rPr>
          <w:rFonts w:ascii="Verdana" w:eastAsia="Aptos" w:hAnsi="Verdana" w:cs="Arial"/>
          <w:shd w:val="clear" w:color="auto" w:fill="FFFFFF"/>
          <w:lang w:val="es-ES"/>
        </w:rPr>
      </w:pPr>
    </w:p>
    <w:p w14:paraId="4CF30F5D" w14:textId="77777777" w:rsidR="0007342E" w:rsidRPr="00EA1905" w:rsidRDefault="0007342E" w:rsidP="0007342E">
      <w:pPr>
        <w:widowControl w:val="0"/>
        <w:autoSpaceDE w:val="0"/>
        <w:autoSpaceDN w:val="0"/>
        <w:spacing w:after="0" w:line="276" w:lineRule="auto"/>
        <w:jc w:val="both"/>
        <w:rPr>
          <w:rFonts w:ascii="Verdana" w:hAnsi="Verdana" w:cs="Arial"/>
          <w:shd w:val="clear" w:color="auto" w:fill="FFFFFF"/>
          <w:lang w:val="es-ES"/>
        </w:rPr>
      </w:pPr>
    </w:p>
    <w:p w14:paraId="23A147DE" w14:textId="77777777" w:rsidR="0007342E" w:rsidRPr="00EA1905" w:rsidRDefault="0007342E" w:rsidP="0007342E">
      <w:pPr>
        <w:spacing w:after="0" w:line="240" w:lineRule="auto"/>
        <w:jc w:val="both"/>
        <w:rPr>
          <w:rFonts w:ascii="Verdana" w:hAnsi="Verdana"/>
        </w:rPr>
      </w:pPr>
      <w:r w:rsidRPr="00EA1905">
        <w:rPr>
          <w:rFonts w:ascii="Verdana" w:hAnsi="Verdana"/>
        </w:rPr>
        <w:t xml:space="preserve">Por último, lo invitamos a seguirnos en las redes sociales en las cuales se difunde información institucional: </w:t>
      </w:r>
    </w:p>
    <w:p w14:paraId="7D4EC465" w14:textId="77777777" w:rsidR="0007342E" w:rsidRPr="00EA1905" w:rsidRDefault="0007342E" w:rsidP="0007342E">
      <w:pPr>
        <w:spacing w:after="0" w:line="240" w:lineRule="auto"/>
        <w:jc w:val="both"/>
        <w:rPr>
          <w:rFonts w:ascii="Verdana" w:hAnsi="Verdana"/>
        </w:rPr>
      </w:pPr>
    </w:p>
    <w:p w14:paraId="51D15219" w14:textId="77777777" w:rsidR="0007342E" w:rsidRPr="005E3661" w:rsidRDefault="0007342E" w:rsidP="0007342E">
      <w:pPr>
        <w:spacing w:after="0" w:line="240" w:lineRule="auto"/>
        <w:jc w:val="both"/>
        <w:rPr>
          <w:rFonts w:ascii="Verdana" w:eastAsia="Aptos" w:hAnsi="Verdana" w:cs="Arial"/>
          <w:color w:val="467886"/>
          <w:u w:val="single"/>
          <w:shd w:val="clear" w:color="auto" w:fill="FFFFFF"/>
          <w:lang w:val="es-ES"/>
        </w:rPr>
      </w:pPr>
      <w:r w:rsidRPr="00EA1905">
        <w:rPr>
          <w:rFonts w:ascii="Verdana" w:hAnsi="Verdana"/>
        </w:rPr>
        <w:t xml:space="preserve">Twitter: </w:t>
      </w:r>
      <w:r w:rsidRPr="005E3661">
        <w:rPr>
          <w:rFonts w:ascii="Verdana" w:eastAsia="Aptos" w:hAnsi="Verdana" w:cs="Arial"/>
          <w:color w:val="467886"/>
          <w:u w:val="single"/>
          <w:shd w:val="clear" w:color="auto" w:fill="FFFFFF"/>
          <w:lang w:val="es-ES"/>
        </w:rPr>
        <w:t xml:space="preserve">@colombiacompra </w:t>
      </w:r>
    </w:p>
    <w:p w14:paraId="66476937" w14:textId="77777777" w:rsidR="0007342E" w:rsidRPr="005E3661" w:rsidRDefault="0007342E" w:rsidP="0007342E">
      <w:pPr>
        <w:spacing w:after="0" w:line="240" w:lineRule="auto"/>
        <w:jc w:val="both"/>
        <w:rPr>
          <w:rFonts w:ascii="Verdana" w:eastAsia="Aptos" w:hAnsi="Verdana" w:cs="Arial"/>
          <w:color w:val="467886"/>
          <w:u w:val="single"/>
          <w:shd w:val="clear" w:color="auto" w:fill="FFFFFF"/>
          <w:lang w:val="es-ES"/>
        </w:rPr>
      </w:pPr>
      <w:r w:rsidRPr="00EA1905">
        <w:rPr>
          <w:rFonts w:ascii="Verdana" w:hAnsi="Verdana"/>
        </w:rPr>
        <w:t xml:space="preserve">Facebook: </w:t>
      </w:r>
      <w:proofErr w:type="spellStart"/>
      <w:r w:rsidRPr="005E3661">
        <w:rPr>
          <w:rFonts w:ascii="Verdana" w:eastAsia="Aptos" w:hAnsi="Verdana" w:cs="Arial"/>
          <w:color w:val="467886"/>
          <w:u w:val="single"/>
          <w:shd w:val="clear" w:color="auto" w:fill="FFFFFF"/>
          <w:lang w:val="es-ES"/>
        </w:rPr>
        <w:t>ColombiaCompraEficiente</w:t>
      </w:r>
      <w:proofErr w:type="spellEnd"/>
    </w:p>
    <w:p w14:paraId="5C9C3E8B" w14:textId="77777777" w:rsidR="0007342E" w:rsidRPr="00EA1905" w:rsidRDefault="0007342E" w:rsidP="0007342E">
      <w:pPr>
        <w:spacing w:after="0" w:line="240" w:lineRule="auto"/>
        <w:jc w:val="both"/>
        <w:rPr>
          <w:rFonts w:ascii="Verdana" w:hAnsi="Verdana"/>
        </w:rPr>
      </w:pPr>
      <w:r w:rsidRPr="00EA1905">
        <w:rPr>
          <w:rFonts w:ascii="Verdana" w:hAnsi="Verdana"/>
        </w:rPr>
        <w:t xml:space="preserve">LinkedIn: </w:t>
      </w:r>
      <w:r w:rsidRPr="005E3661">
        <w:rPr>
          <w:rFonts w:ascii="Verdana" w:eastAsia="Aptos" w:hAnsi="Verdana" w:cs="Arial"/>
          <w:color w:val="467886"/>
          <w:u w:val="single"/>
          <w:shd w:val="clear" w:color="auto" w:fill="FFFFFF"/>
          <w:lang w:val="es-ES"/>
        </w:rPr>
        <w:t>Agencia Nacional de Contratación Pública - Colombia Compra Eficiente</w:t>
      </w:r>
      <w:r w:rsidRPr="00EA1905">
        <w:rPr>
          <w:rFonts w:ascii="Verdana" w:hAnsi="Verdana"/>
          <w:color w:val="156082" w:themeColor="accent1"/>
        </w:rPr>
        <w:t xml:space="preserve"> </w:t>
      </w:r>
      <w:r w:rsidRPr="00EA1905">
        <w:rPr>
          <w:rFonts w:ascii="Verdana" w:hAnsi="Verdana"/>
        </w:rPr>
        <w:t xml:space="preserve">Instagram: </w:t>
      </w:r>
      <w:r w:rsidRPr="00451A6F">
        <w:rPr>
          <w:rFonts w:ascii="Verdana" w:eastAsia="Aptos" w:hAnsi="Verdana" w:cs="Arial"/>
          <w:color w:val="467886"/>
          <w:u w:val="single"/>
          <w:shd w:val="clear" w:color="auto" w:fill="FFFFFF"/>
          <w:lang w:val="es-ES"/>
        </w:rPr>
        <w:t>@colombiacompraeficiente_cce</w:t>
      </w:r>
    </w:p>
    <w:p w14:paraId="711832FC" w14:textId="77777777" w:rsidR="0007342E" w:rsidRPr="00EA1905" w:rsidRDefault="0007342E" w:rsidP="0007342E">
      <w:pPr>
        <w:widowControl w:val="0"/>
        <w:autoSpaceDE w:val="0"/>
        <w:autoSpaceDN w:val="0"/>
        <w:spacing w:after="0" w:line="276" w:lineRule="auto"/>
        <w:jc w:val="both"/>
        <w:rPr>
          <w:rFonts w:ascii="Verdana" w:hAnsi="Verdana" w:cs="Arial"/>
        </w:rPr>
      </w:pPr>
    </w:p>
    <w:p w14:paraId="4868DB3E" w14:textId="77777777" w:rsidR="0007342E" w:rsidRPr="00EA1905" w:rsidRDefault="0007342E" w:rsidP="0007342E">
      <w:pPr>
        <w:widowControl w:val="0"/>
        <w:autoSpaceDE w:val="0"/>
        <w:autoSpaceDN w:val="0"/>
        <w:spacing w:after="0" w:line="276" w:lineRule="auto"/>
        <w:jc w:val="both"/>
        <w:rPr>
          <w:rFonts w:ascii="Verdana" w:hAnsi="Verdana" w:cs="Arial"/>
          <w:lang w:val="es-ES_tradnl"/>
        </w:rPr>
      </w:pPr>
      <w:r w:rsidRPr="00EA1905">
        <w:rPr>
          <w:rFonts w:ascii="Verdana" w:hAnsi="Verdana" w:cs="Arial"/>
        </w:rPr>
        <w:t xml:space="preserve">Este concepto tiene el alcance previsto en el artículo 28 del Código de Procedimiento Administrativo y de lo Contencioso Administrativo </w:t>
      </w:r>
      <w:r w:rsidRPr="00EA1905">
        <w:rPr>
          <w:rFonts w:ascii="Verdana" w:hAnsi="Verdana" w:cs="Arial"/>
          <w:lang w:val="es-ES_tradnl"/>
        </w:rPr>
        <w:t>y las expresiones aquí utilizadas con mayúscula inicial deben ser entendidas con el significado que les otorga el artículo 2.2.1.1.1.3.1. del Decreto 1082 de 2015.</w:t>
      </w:r>
    </w:p>
    <w:p w14:paraId="79AFB05D" w14:textId="77777777" w:rsidR="0007342E" w:rsidRPr="00EA1905" w:rsidRDefault="0007342E" w:rsidP="0007342E">
      <w:pPr>
        <w:widowControl w:val="0"/>
        <w:autoSpaceDE w:val="0"/>
        <w:autoSpaceDN w:val="0"/>
        <w:spacing w:after="0" w:line="276" w:lineRule="auto"/>
        <w:jc w:val="both"/>
        <w:rPr>
          <w:rFonts w:ascii="Verdana" w:hAnsi="Verdana" w:cs="Arial"/>
        </w:rPr>
      </w:pPr>
    </w:p>
    <w:p w14:paraId="640DCDA1" w14:textId="77777777" w:rsidR="0007342E" w:rsidRPr="00EA1905" w:rsidRDefault="0007342E" w:rsidP="0007342E">
      <w:pPr>
        <w:spacing w:after="0" w:line="240" w:lineRule="auto"/>
        <w:rPr>
          <w:rFonts w:ascii="Verdana" w:hAnsi="Verdana" w:cs="Arial"/>
          <w:lang w:eastAsia="es-CO"/>
        </w:rPr>
      </w:pPr>
      <w:r w:rsidRPr="00EA1905">
        <w:rPr>
          <w:rFonts w:ascii="Verdana" w:eastAsia="Times New Roman" w:hAnsi="Verdana" w:cs="Arial"/>
          <w:lang w:eastAsia="es-CO"/>
        </w:rPr>
        <w:t>Atentamente,</w:t>
      </w:r>
      <w:r w:rsidRPr="00EA1905">
        <w:rPr>
          <w:rFonts w:ascii="Verdana" w:hAnsi="Verdana" w:cs="Arial"/>
          <w:lang w:eastAsia="es-CO"/>
        </w:rPr>
        <w:t xml:space="preserve"> </w:t>
      </w:r>
    </w:p>
    <w:p w14:paraId="00967E6C" w14:textId="4EEFDA0A" w:rsidR="0007342E" w:rsidRPr="00EA1905" w:rsidRDefault="00D405FE" w:rsidP="0007342E">
      <w:pPr>
        <w:spacing w:line="276" w:lineRule="auto"/>
        <w:jc w:val="center"/>
        <w:rPr>
          <w:rFonts w:ascii="Verdana" w:hAnsi="Verdana" w:cs="Arial"/>
          <w:lang w:val="es-ES_tradnl" w:eastAsia="es-CO"/>
        </w:rPr>
      </w:pPr>
      <w:r w:rsidRPr="00D405FE">
        <w:rPr>
          <w:rFonts w:ascii="Verdana" w:hAnsi="Verdana" w:cs="Arial"/>
          <w:noProof/>
          <w:lang w:eastAsia="es-CO"/>
        </w:rPr>
        <w:drawing>
          <wp:inline distT="0" distB="0" distL="0" distR="0" wp14:anchorId="54902001" wp14:editId="170C5399">
            <wp:extent cx="3771900" cy="1400175"/>
            <wp:effectExtent l="0" t="0" r="0" b="9525"/>
            <wp:docPr id="141194542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D405FE">
        <w:rPr>
          <w:rFonts w:ascii="Verdana"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07342E" w:rsidRPr="00EA1905" w14:paraId="6EC500FF" w14:textId="77777777" w:rsidTr="00094090">
        <w:trPr>
          <w:trHeight w:val="286"/>
        </w:trPr>
        <w:tc>
          <w:tcPr>
            <w:tcW w:w="901" w:type="dxa"/>
            <w:vAlign w:val="center"/>
            <w:hideMark/>
          </w:tcPr>
          <w:p w14:paraId="287C9C0D" w14:textId="77777777" w:rsidR="0007342E" w:rsidRPr="00EA1905" w:rsidRDefault="0007342E" w:rsidP="00094090">
            <w:pPr>
              <w:rPr>
                <w:rFonts w:ascii="Verdana" w:hAnsi="Verdana" w:cs="Arial"/>
                <w:sz w:val="14"/>
                <w:szCs w:val="14"/>
                <w:lang w:eastAsia="es-ES"/>
              </w:rPr>
            </w:pPr>
            <w:r w:rsidRPr="00EA1905">
              <w:rPr>
                <w:rFonts w:ascii="Verdana"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4F7B55A5" w14:textId="77777777" w:rsidR="0007342E" w:rsidRPr="00EA1905" w:rsidRDefault="0007342E" w:rsidP="00094090">
            <w:pPr>
              <w:rPr>
                <w:rFonts w:ascii="Verdana" w:hAnsi="Verdana" w:cs="Arial"/>
                <w:sz w:val="14"/>
                <w:szCs w:val="14"/>
                <w:lang w:eastAsia="es-ES"/>
              </w:rPr>
            </w:pPr>
            <w:r w:rsidRPr="00EA1905">
              <w:rPr>
                <w:rFonts w:ascii="Verdana" w:hAnsi="Verdana" w:cs="Arial"/>
                <w:sz w:val="14"/>
                <w:szCs w:val="14"/>
                <w:lang w:eastAsia="es-ES"/>
              </w:rPr>
              <w:t>Nasly Yeana Mosquera Rivas</w:t>
            </w:r>
          </w:p>
          <w:p w14:paraId="499185C0" w14:textId="77777777" w:rsidR="0007342E" w:rsidRPr="00EA1905" w:rsidRDefault="0007342E" w:rsidP="00094090">
            <w:pPr>
              <w:rPr>
                <w:rFonts w:ascii="Verdana" w:hAnsi="Verdana" w:cs="Arial"/>
                <w:sz w:val="14"/>
                <w:szCs w:val="14"/>
                <w:lang w:eastAsia="es-ES"/>
              </w:rPr>
            </w:pPr>
            <w:r w:rsidRPr="00EA1905">
              <w:rPr>
                <w:rFonts w:ascii="Verdana" w:hAnsi="Verdana" w:cs="Arial"/>
                <w:sz w:val="14"/>
                <w:szCs w:val="14"/>
                <w:lang w:eastAsia="es-ES"/>
              </w:rPr>
              <w:t>Analista T2–06 de la Subdirección de Gestión Contractual</w:t>
            </w:r>
          </w:p>
        </w:tc>
      </w:tr>
      <w:tr w:rsidR="0007342E" w:rsidRPr="00EA1905" w14:paraId="6C2822AC" w14:textId="77777777" w:rsidTr="00094090">
        <w:trPr>
          <w:trHeight w:val="299"/>
        </w:trPr>
        <w:tc>
          <w:tcPr>
            <w:tcW w:w="901" w:type="dxa"/>
            <w:vAlign w:val="center"/>
          </w:tcPr>
          <w:p w14:paraId="16C42635" w14:textId="77777777" w:rsidR="0007342E" w:rsidRPr="00EA1905" w:rsidRDefault="0007342E" w:rsidP="00094090">
            <w:pPr>
              <w:rPr>
                <w:rFonts w:ascii="Verdana" w:hAnsi="Verdana" w:cs="Arial"/>
                <w:sz w:val="14"/>
                <w:szCs w:val="14"/>
                <w:lang w:eastAsia="es-ES"/>
              </w:rPr>
            </w:pPr>
            <w:r w:rsidRPr="00EA1905">
              <w:rPr>
                <w:rFonts w:ascii="Verdana"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7DFA848F" w14:textId="77777777" w:rsidR="0007342E" w:rsidRPr="00EA1905" w:rsidRDefault="0007342E" w:rsidP="00094090">
            <w:pPr>
              <w:rPr>
                <w:rFonts w:ascii="Verdana" w:hAnsi="Verdana" w:cs="Arial"/>
                <w:sz w:val="14"/>
                <w:szCs w:val="14"/>
                <w:lang w:eastAsia="es-ES"/>
              </w:rPr>
            </w:pPr>
            <w:r w:rsidRPr="00EA1905">
              <w:rPr>
                <w:rFonts w:ascii="Verdana" w:hAnsi="Verdana" w:cs="Arial"/>
                <w:sz w:val="14"/>
                <w:szCs w:val="14"/>
                <w:lang w:eastAsia="es-ES"/>
              </w:rPr>
              <w:t>Juan David Cárdenas Cabeza</w:t>
            </w:r>
          </w:p>
          <w:p w14:paraId="0EBC62D4" w14:textId="77777777" w:rsidR="0007342E" w:rsidRPr="00EA1905" w:rsidRDefault="0007342E" w:rsidP="00094090">
            <w:pPr>
              <w:rPr>
                <w:rFonts w:ascii="Verdana" w:hAnsi="Verdana" w:cs="Arial"/>
                <w:sz w:val="14"/>
                <w:szCs w:val="14"/>
                <w:lang w:eastAsia="es-ES"/>
              </w:rPr>
            </w:pPr>
            <w:r w:rsidRPr="00EA1905">
              <w:rPr>
                <w:rFonts w:ascii="Verdana" w:hAnsi="Verdana" w:cs="Arial"/>
                <w:sz w:val="14"/>
                <w:szCs w:val="14"/>
                <w:lang w:eastAsia="es-ES"/>
              </w:rPr>
              <w:t>Contratista de la Subdirección de Gestión Contractual</w:t>
            </w:r>
          </w:p>
        </w:tc>
      </w:tr>
      <w:tr w:rsidR="0007342E" w:rsidRPr="00EA1905" w14:paraId="5F7EA50C" w14:textId="77777777" w:rsidTr="00094090">
        <w:trPr>
          <w:trHeight w:val="272"/>
        </w:trPr>
        <w:tc>
          <w:tcPr>
            <w:tcW w:w="901" w:type="dxa"/>
            <w:vAlign w:val="center"/>
            <w:hideMark/>
          </w:tcPr>
          <w:p w14:paraId="5AC72182" w14:textId="77777777" w:rsidR="0007342E" w:rsidRPr="00EA1905" w:rsidRDefault="0007342E" w:rsidP="00094090">
            <w:pPr>
              <w:rPr>
                <w:rFonts w:ascii="Verdana" w:hAnsi="Verdana" w:cs="Arial"/>
                <w:sz w:val="14"/>
                <w:szCs w:val="14"/>
                <w:lang w:eastAsia="es-ES"/>
              </w:rPr>
            </w:pPr>
            <w:r w:rsidRPr="00EA1905">
              <w:rPr>
                <w:rFonts w:ascii="Verdana"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245D7057" w14:textId="77777777" w:rsidR="0007342E" w:rsidRPr="00EA1905" w:rsidRDefault="0007342E" w:rsidP="00094090">
            <w:pPr>
              <w:rPr>
                <w:rFonts w:ascii="Verdana" w:hAnsi="Verdana" w:cs="Arial"/>
                <w:sz w:val="14"/>
                <w:szCs w:val="14"/>
                <w:lang w:eastAsia="es-ES"/>
              </w:rPr>
            </w:pPr>
            <w:r w:rsidRPr="00EA1905">
              <w:rPr>
                <w:rFonts w:ascii="Verdana" w:hAnsi="Verdana" w:cs="Arial"/>
                <w:sz w:val="14"/>
                <w:szCs w:val="14"/>
                <w:lang w:eastAsia="es-ES"/>
              </w:rPr>
              <w:t>Carolina Quintero Gacharná</w:t>
            </w:r>
          </w:p>
          <w:p w14:paraId="2FAB739A" w14:textId="77777777" w:rsidR="0007342E" w:rsidRPr="00EA1905" w:rsidRDefault="0007342E" w:rsidP="00094090">
            <w:pPr>
              <w:rPr>
                <w:rFonts w:ascii="Verdana" w:hAnsi="Verdana" w:cs="Arial"/>
                <w:sz w:val="14"/>
                <w:szCs w:val="14"/>
                <w:lang w:eastAsia="es-ES"/>
              </w:rPr>
            </w:pPr>
            <w:r w:rsidRPr="00EA1905">
              <w:rPr>
                <w:rFonts w:ascii="Verdana" w:hAnsi="Verdana" w:cs="Arial"/>
                <w:sz w:val="14"/>
                <w:szCs w:val="14"/>
                <w:lang w:eastAsia="es-ES"/>
              </w:rPr>
              <w:t>Subdirectora de Gestión Contractual ANCP – CCE</w:t>
            </w:r>
          </w:p>
        </w:tc>
      </w:tr>
    </w:tbl>
    <w:p w14:paraId="188EAFDA" w14:textId="77777777" w:rsidR="0007342E" w:rsidRPr="00EA1905" w:rsidRDefault="0007342E" w:rsidP="0007342E">
      <w:pPr>
        <w:spacing w:after="0" w:line="240" w:lineRule="auto"/>
        <w:rPr>
          <w:rFonts w:ascii="Verdana" w:eastAsia="Times New Roman" w:hAnsi="Verdana" w:cs="Arial"/>
          <w:sz w:val="24"/>
          <w:szCs w:val="24"/>
          <w:lang w:eastAsia="es-ES"/>
        </w:rPr>
      </w:pPr>
    </w:p>
    <w:p w14:paraId="34FD06A7" w14:textId="77777777" w:rsidR="0007342E" w:rsidRPr="00EA1905" w:rsidRDefault="0007342E" w:rsidP="0007342E"/>
    <w:p w14:paraId="69F500F1" w14:textId="77777777" w:rsidR="0007342E" w:rsidRPr="00EA1905" w:rsidRDefault="0007342E" w:rsidP="0007342E"/>
    <w:p w14:paraId="77321A4E" w14:textId="77777777" w:rsidR="0007342E" w:rsidRPr="00EA1905" w:rsidRDefault="0007342E" w:rsidP="0007342E"/>
    <w:p w14:paraId="58280CBC" w14:textId="77777777" w:rsidR="0007342E" w:rsidRPr="0037656B" w:rsidRDefault="0007342E" w:rsidP="0007342E"/>
    <w:p w14:paraId="153FB6EA" w14:textId="77777777" w:rsidR="0007342E" w:rsidRDefault="0007342E"/>
    <w:sectPr w:rsidR="0007342E" w:rsidSect="0007342E">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C34E3" w14:textId="77777777" w:rsidR="0007342E" w:rsidRDefault="0007342E" w:rsidP="0007342E">
      <w:pPr>
        <w:spacing w:after="0" w:line="240" w:lineRule="auto"/>
      </w:pPr>
      <w:r>
        <w:separator/>
      </w:r>
    </w:p>
  </w:endnote>
  <w:endnote w:type="continuationSeparator" w:id="0">
    <w:p w14:paraId="050AC9B5" w14:textId="77777777" w:rsidR="0007342E" w:rsidRDefault="0007342E" w:rsidP="0007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altName w:val="Calibri"/>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E5EB" w14:textId="77777777" w:rsidR="00BC6842" w:rsidRDefault="00BC6842">
    <w:pPr>
      <w:pStyle w:val="Piedepgina"/>
    </w:pPr>
  </w:p>
  <w:p w14:paraId="612E70F7" w14:textId="77777777" w:rsidR="00BC6842" w:rsidRPr="00174B77" w:rsidRDefault="00BC684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DB092AA" w14:textId="77777777" w:rsidR="00BC6842" w:rsidRDefault="00BC684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9F762EC" w14:textId="77777777" w:rsidR="00BC6842" w:rsidRPr="00E41027" w:rsidRDefault="00BC6842" w:rsidP="00D520D8">
    <w:pPr>
      <w:spacing w:after="0"/>
      <w:jc w:val="both"/>
      <w:rPr>
        <w:rFonts w:ascii="Verdana" w:hAnsi="Verdana"/>
        <w:sz w:val="18"/>
        <w:szCs w:val="18"/>
      </w:rPr>
    </w:pPr>
    <w:r w:rsidRPr="00E41027">
      <w:rPr>
        <w:rFonts w:ascii="Verdana" w:hAnsi="Verdana"/>
        <w:sz w:val="18"/>
        <w:szCs w:val="18"/>
      </w:rPr>
      <w:t>Mesa de servicio: (+57) 601 7456788</w:t>
    </w:r>
  </w:p>
  <w:p w14:paraId="729A9F12" w14:textId="77777777" w:rsidR="00BC6842" w:rsidRDefault="00BC684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00EB6" w14:textId="77777777" w:rsidR="0007342E" w:rsidRDefault="0007342E" w:rsidP="0007342E">
      <w:pPr>
        <w:spacing w:after="0" w:line="240" w:lineRule="auto"/>
      </w:pPr>
      <w:r>
        <w:separator/>
      </w:r>
    </w:p>
  </w:footnote>
  <w:footnote w:type="continuationSeparator" w:id="0">
    <w:p w14:paraId="27E47E81" w14:textId="77777777" w:rsidR="0007342E" w:rsidRDefault="0007342E" w:rsidP="0007342E">
      <w:pPr>
        <w:spacing w:after="0" w:line="240" w:lineRule="auto"/>
      </w:pPr>
      <w:r>
        <w:continuationSeparator/>
      </w:r>
    </w:p>
  </w:footnote>
  <w:footnote w:id="1">
    <w:p w14:paraId="19F08D4B" w14:textId="77777777" w:rsidR="0007342E" w:rsidRPr="00B36336" w:rsidRDefault="0007342E" w:rsidP="0007342E">
      <w:pPr>
        <w:pStyle w:val="Textonotapie"/>
        <w:ind w:firstLine="709"/>
        <w:jc w:val="both"/>
        <w:rPr>
          <w:rFonts w:ascii="Verdana" w:hAnsi="Verdana" w:cs="Arial"/>
          <w:color w:val="000000"/>
          <w:sz w:val="18"/>
          <w:szCs w:val="18"/>
          <w:lang w:val="es-CO"/>
        </w:rPr>
      </w:pPr>
      <w:r w:rsidRPr="00B36336">
        <w:rPr>
          <w:rStyle w:val="Refdenotaalpie"/>
          <w:rFonts w:ascii="Verdana" w:hAnsi="Verdana" w:cs="Arial"/>
          <w:sz w:val="18"/>
          <w:szCs w:val="18"/>
        </w:rPr>
        <w:footnoteRef/>
      </w:r>
      <w:r w:rsidRPr="00B36336">
        <w:rPr>
          <w:rFonts w:ascii="Verdana" w:hAnsi="Verdana" w:cs="Arial"/>
          <w:sz w:val="18"/>
          <w:szCs w:val="18"/>
        </w:rPr>
        <w:t xml:space="preserve"> Texto tomado de la ley sancionada y publicada en la página web de la Presidencia de la República, disponible en el siguiente enlace</w:t>
      </w:r>
      <w:r w:rsidRPr="00B36336">
        <w:rPr>
          <w:rFonts w:ascii="Verdana" w:hAnsi="Verdana" w:cs="Arial"/>
          <w:color w:val="000000"/>
          <w:sz w:val="18"/>
          <w:szCs w:val="18"/>
        </w:rPr>
        <w:t xml:space="preserve">: </w:t>
      </w:r>
      <w:hyperlink r:id="rId1" w:history="1">
        <w:r w:rsidRPr="00B36336">
          <w:rPr>
            <w:rStyle w:val="Hipervnculo"/>
            <w:rFonts w:ascii="Verdana" w:hAnsi="Verdana" w:cs="Arial"/>
            <w:color w:val="000000"/>
            <w:sz w:val="18"/>
            <w:szCs w:val="18"/>
          </w:rPr>
          <w:t>https://dapre.presidencia.gov.co/normativa/leyes</w:t>
        </w:r>
      </w:hyperlink>
      <w:r w:rsidRPr="00B36336">
        <w:rPr>
          <w:rFonts w:ascii="Verdana" w:hAnsi="Verdana" w:cs="Arial"/>
          <w:color w:val="000000"/>
          <w:sz w:val="18"/>
          <w:szCs w:val="18"/>
        </w:rPr>
        <w:t xml:space="preserve">. </w:t>
      </w:r>
    </w:p>
  </w:footnote>
  <w:footnote w:id="2">
    <w:p w14:paraId="3C6936FC" w14:textId="77777777" w:rsidR="0007342E" w:rsidRPr="00B36336" w:rsidRDefault="0007342E" w:rsidP="0007342E">
      <w:pPr>
        <w:pStyle w:val="Textonotapie"/>
        <w:ind w:firstLine="709"/>
        <w:jc w:val="both"/>
        <w:rPr>
          <w:rFonts w:ascii="Verdana" w:hAnsi="Verdana" w:cs="Arial"/>
          <w:sz w:val="18"/>
          <w:szCs w:val="18"/>
          <w:lang w:val="es-CO"/>
        </w:rPr>
      </w:pPr>
      <w:r w:rsidRPr="00B36336">
        <w:rPr>
          <w:rStyle w:val="Refdenotaalpie"/>
          <w:rFonts w:ascii="Verdana" w:hAnsi="Verdana" w:cs="Arial"/>
          <w:sz w:val="18"/>
          <w:szCs w:val="18"/>
        </w:rPr>
        <w:footnoteRef/>
      </w:r>
      <w:r w:rsidRPr="00B36336">
        <w:rPr>
          <w:rFonts w:ascii="Verdana" w:hAnsi="Verdana" w:cs="Arial"/>
          <w:sz w:val="18"/>
          <w:szCs w:val="18"/>
        </w:rPr>
        <w:t xml:space="preserve"> </w:t>
      </w:r>
      <w:bookmarkStart w:id="4" w:name="7"/>
      <w:r w:rsidRPr="00B36336">
        <w:rPr>
          <w:rFonts w:ascii="Verdana" w:eastAsia="Calibri" w:hAnsi="Verdana" w:cs="Arial"/>
          <w:color w:val="000000"/>
          <w:sz w:val="18"/>
          <w:szCs w:val="18"/>
          <w:lang w:val="es-ES_tradnl"/>
        </w:rPr>
        <w:t>“</w:t>
      </w:r>
      <w:r w:rsidRPr="00B36336">
        <w:rPr>
          <w:rFonts w:ascii="Verdana" w:hAnsi="Verdana" w:cs="Arial"/>
          <w:sz w:val="18"/>
          <w:szCs w:val="18"/>
          <w:lang w:val="es-CO"/>
        </w:rPr>
        <w:t>Artículo 7. Organismos de la Acción Comunal.</w:t>
      </w:r>
      <w:bookmarkEnd w:id="4"/>
    </w:p>
    <w:p w14:paraId="2B6F38FD" w14:textId="77777777" w:rsidR="0007342E" w:rsidRPr="00B36336" w:rsidRDefault="0007342E" w:rsidP="0007342E">
      <w:pPr>
        <w:pStyle w:val="Textonotapie"/>
        <w:ind w:firstLine="709"/>
        <w:jc w:val="both"/>
        <w:rPr>
          <w:rFonts w:ascii="Verdana" w:hAnsi="Verdana" w:cs="Arial"/>
          <w:sz w:val="18"/>
          <w:szCs w:val="18"/>
          <w:lang w:val="es-CO"/>
        </w:rPr>
      </w:pPr>
      <w:r w:rsidRPr="00B36336">
        <w:rPr>
          <w:rFonts w:ascii="Verdana" w:hAnsi="Verdana"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64EA1AC6" w14:textId="77777777" w:rsidR="0007342E" w:rsidRPr="00B36336" w:rsidRDefault="0007342E" w:rsidP="0007342E">
      <w:pPr>
        <w:pStyle w:val="Textonotapie"/>
        <w:ind w:firstLine="709"/>
        <w:jc w:val="both"/>
        <w:rPr>
          <w:rFonts w:ascii="Verdana" w:hAnsi="Verdana" w:cs="Arial"/>
          <w:sz w:val="18"/>
          <w:szCs w:val="18"/>
          <w:lang w:val="es-CO"/>
        </w:rPr>
      </w:pPr>
      <w:r w:rsidRPr="00B36336">
        <w:rPr>
          <w:rFonts w:ascii="Verdana" w:hAnsi="Verdana"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0412081B" w14:textId="77777777" w:rsidR="0007342E" w:rsidRPr="00B36336" w:rsidRDefault="0007342E" w:rsidP="0007342E">
      <w:pPr>
        <w:pStyle w:val="Textonotapie"/>
        <w:ind w:firstLine="709"/>
        <w:jc w:val="both"/>
        <w:rPr>
          <w:rFonts w:ascii="Verdana" w:hAnsi="Verdana" w:cs="Arial"/>
          <w:sz w:val="18"/>
          <w:szCs w:val="18"/>
          <w:lang w:val="es-CO"/>
        </w:rPr>
      </w:pPr>
      <w:r w:rsidRPr="00B36336">
        <w:rPr>
          <w:rFonts w:ascii="Verdana" w:hAnsi="Verdana"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2CDB60C" w14:textId="77777777" w:rsidR="0007342E" w:rsidRPr="00B36336" w:rsidRDefault="0007342E" w:rsidP="0007342E">
      <w:pPr>
        <w:pStyle w:val="Textonotapie"/>
        <w:ind w:firstLine="709"/>
        <w:jc w:val="both"/>
        <w:rPr>
          <w:rFonts w:ascii="Verdana" w:hAnsi="Verdana" w:cs="Arial"/>
          <w:sz w:val="18"/>
          <w:szCs w:val="18"/>
          <w:lang w:val="es-CO"/>
        </w:rPr>
      </w:pPr>
      <w:r w:rsidRPr="00B36336">
        <w:rPr>
          <w:rFonts w:ascii="Verdana" w:hAnsi="Verdana"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68CDB3B6" w14:textId="77777777" w:rsidR="0007342E" w:rsidRPr="00B36336" w:rsidRDefault="0007342E" w:rsidP="0007342E">
      <w:pPr>
        <w:pStyle w:val="Textonotapie"/>
        <w:ind w:firstLine="709"/>
        <w:jc w:val="both"/>
        <w:rPr>
          <w:rFonts w:ascii="Verdana" w:hAnsi="Verdana" w:cs="Arial"/>
          <w:sz w:val="18"/>
          <w:szCs w:val="18"/>
          <w:lang w:val="es-CO"/>
        </w:rPr>
      </w:pPr>
      <w:r w:rsidRPr="00B36336">
        <w:rPr>
          <w:rFonts w:ascii="Verdana" w:hAnsi="Verdana"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67446A7" w14:textId="77777777" w:rsidR="0007342E" w:rsidRPr="00B36336" w:rsidRDefault="0007342E" w:rsidP="0007342E">
      <w:pPr>
        <w:pStyle w:val="Textonotapie"/>
        <w:ind w:firstLine="709"/>
        <w:jc w:val="both"/>
        <w:rPr>
          <w:rFonts w:ascii="Verdana" w:hAnsi="Verdana" w:cs="Arial"/>
          <w:sz w:val="18"/>
          <w:szCs w:val="18"/>
          <w:lang w:val="es-CO"/>
        </w:rPr>
      </w:pPr>
      <w:r w:rsidRPr="00B36336">
        <w:rPr>
          <w:rFonts w:ascii="Verdana" w:hAnsi="Verdana" w:cs="Arial"/>
          <w:sz w:val="18"/>
          <w:szCs w:val="18"/>
          <w:lang w:val="es-CO"/>
        </w:rPr>
        <w:t>PARÁGRAFO 1o. Cada organismo de acción comunal, se dará su propio reglamento conforme al marco brindado por esta ley enunciado en el artículo 1 y las normas que le sucedan.</w:t>
      </w:r>
    </w:p>
    <w:p w14:paraId="25C73FF9" w14:textId="77777777" w:rsidR="0007342E" w:rsidRPr="00B36336" w:rsidRDefault="0007342E" w:rsidP="0007342E">
      <w:pPr>
        <w:pStyle w:val="Textonotapie"/>
        <w:ind w:firstLine="709"/>
        <w:jc w:val="both"/>
        <w:rPr>
          <w:rFonts w:ascii="Verdana" w:hAnsi="Verdana" w:cs="Arial"/>
          <w:sz w:val="18"/>
          <w:szCs w:val="18"/>
          <w:lang w:val="es-CO"/>
        </w:rPr>
      </w:pPr>
      <w:r w:rsidRPr="00B36336">
        <w:rPr>
          <w:rFonts w:ascii="Verdana" w:hAnsi="Verdana"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B36336">
        <w:rPr>
          <w:rFonts w:ascii="Verdana" w:eastAsia="Calibri" w:hAnsi="Verdana" w:cs="Arial"/>
          <w:color w:val="000000"/>
          <w:sz w:val="18"/>
          <w:szCs w:val="18"/>
          <w:lang w:val="es-ES_tradnl"/>
        </w:rPr>
        <w:t>”.</w:t>
      </w:r>
    </w:p>
    <w:p w14:paraId="67EDFBFC" w14:textId="77777777" w:rsidR="0007342E" w:rsidRPr="00B36336" w:rsidRDefault="0007342E" w:rsidP="0007342E">
      <w:pPr>
        <w:pStyle w:val="Textonotapie"/>
        <w:ind w:firstLine="709"/>
        <w:jc w:val="both"/>
        <w:rPr>
          <w:rFonts w:ascii="Verdana" w:hAnsi="Verdana" w:cs="Arial"/>
          <w:sz w:val="19"/>
          <w:szCs w:val="19"/>
          <w:lang w:val="es-CO"/>
        </w:rPr>
      </w:pPr>
    </w:p>
  </w:footnote>
  <w:footnote w:id="3">
    <w:p w14:paraId="2FE8EC28" w14:textId="77777777" w:rsidR="0007342E" w:rsidRPr="00B36336" w:rsidRDefault="0007342E" w:rsidP="0007342E">
      <w:pPr>
        <w:pStyle w:val="Textonotapie"/>
        <w:ind w:firstLine="708"/>
        <w:jc w:val="both"/>
        <w:rPr>
          <w:rFonts w:ascii="Verdana" w:hAnsi="Verdana"/>
          <w:lang w:val="es-CO"/>
        </w:rPr>
      </w:pPr>
      <w:r w:rsidRPr="00B36336">
        <w:rPr>
          <w:rStyle w:val="Refdenotaalpie"/>
          <w:rFonts w:ascii="Verdana" w:hAnsi="Verdana"/>
        </w:rPr>
        <w:footnoteRef/>
      </w:r>
      <w:r w:rsidRPr="00B36336">
        <w:rPr>
          <w:rFonts w:ascii="Verdana" w:hAnsi="Verdana"/>
        </w:rPr>
        <w:t xml:space="preserve"> Dichos documentos pueden consultarse en el siguiente enlace: </w:t>
      </w:r>
      <w:hyperlink r:id="rId2" w:history="1">
        <w:r w:rsidRPr="00B36336">
          <w:rPr>
            <w:rStyle w:val="Hipervnculo"/>
            <w:rFonts w:ascii="Verdana" w:hAnsi="Verdana"/>
          </w:rPr>
          <w:t>https://www.colombiacompra.gov.co/content/documento-tipo-para-la-contratacion-directa-de-convenios-solidarios-para-la-ejecucion-de</w:t>
        </w:r>
      </w:hyperlink>
      <w:r w:rsidRPr="00B36336">
        <w:rPr>
          <w:rFonts w:ascii="Verdana" w:hAnsi="Verda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8CCE" w14:textId="77777777" w:rsidR="00BC6842" w:rsidRDefault="00BC6842">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466D5FD" wp14:editId="782C02CE">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B748602" wp14:editId="5045C73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FE7F3E" w14:textId="77777777" w:rsidR="00BC6842" w:rsidRDefault="00BC6842">
    <w:pPr>
      <w:pStyle w:val="Encabezado"/>
    </w:pPr>
  </w:p>
  <w:p w14:paraId="35646782" w14:textId="77777777" w:rsidR="00BC6842" w:rsidRDefault="00BC6842" w:rsidP="004A305D">
    <w:pPr>
      <w:spacing w:after="0"/>
      <w:rPr>
        <w:rFonts w:ascii="Verdana" w:hAnsi="Verdana"/>
        <w:b/>
        <w:bCs/>
      </w:rPr>
    </w:pPr>
  </w:p>
  <w:p w14:paraId="67E3B4F9" w14:textId="77777777" w:rsidR="00BC6842" w:rsidRPr="004A305D" w:rsidRDefault="00BC6842" w:rsidP="00B01B1A">
    <w:pPr>
      <w:spacing w:after="0" w:line="120" w:lineRule="auto"/>
      <w:rPr>
        <w:rFonts w:ascii="Century Gothic" w:eastAsia="Geo" w:hAnsi="Century Gothic" w:cs="Geo"/>
        <w:sz w:val="16"/>
        <w:szCs w:val="16"/>
        <w:lang w:eastAsia="es-CO"/>
      </w:rPr>
    </w:pPr>
  </w:p>
  <w:p w14:paraId="25A2B0FD" w14:textId="77777777" w:rsidR="00BC6842" w:rsidRDefault="00BC684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E463C4"/>
    <w:multiLevelType w:val="hybridMultilevel"/>
    <w:tmpl w:val="2F4A9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2E"/>
    <w:rsid w:val="0007342E"/>
    <w:rsid w:val="00392DFB"/>
    <w:rsid w:val="006A1F90"/>
    <w:rsid w:val="00892F01"/>
    <w:rsid w:val="008F3668"/>
    <w:rsid w:val="00914343"/>
    <w:rsid w:val="00BC6842"/>
    <w:rsid w:val="00D405FE"/>
    <w:rsid w:val="00EA73F6"/>
    <w:rsid w:val="00FE5C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CBAB"/>
  <w15:chartTrackingRefBased/>
  <w15:docId w15:val="{284E5A2E-63D4-4CCC-9544-8B18CFF9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2E"/>
    <w:pPr>
      <w:spacing w:line="259" w:lineRule="auto"/>
    </w:pPr>
    <w:rPr>
      <w:kern w:val="0"/>
      <w:sz w:val="22"/>
      <w:szCs w:val="22"/>
      <w14:ligatures w14:val="none"/>
    </w:rPr>
  </w:style>
  <w:style w:type="paragraph" w:styleId="Ttulo1">
    <w:name w:val="heading 1"/>
    <w:basedOn w:val="Normal"/>
    <w:next w:val="Normal"/>
    <w:link w:val="Ttulo1Car"/>
    <w:uiPriority w:val="9"/>
    <w:qFormat/>
    <w:rsid w:val="00073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3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34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34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34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34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34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34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34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34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34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34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34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34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34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34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34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342E"/>
    <w:rPr>
      <w:rFonts w:eastAsiaTheme="majorEastAsia" w:cstheme="majorBidi"/>
      <w:color w:val="272727" w:themeColor="text1" w:themeTint="D8"/>
    </w:rPr>
  </w:style>
  <w:style w:type="paragraph" w:styleId="Ttulo">
    <w:name w:val="Title"/>
    <w:basedOn w:val="Normal"/>
    <w:next w:val="Normal"/>
    <w:link w:val="TtuloCar"/>
    <w:uiPriority w:val="10"/>
    <w:qFormat/>
    <w:rsid w:val="00073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34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34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34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342E"/>
    <w:pPr>
      <w:spacing w:before="160"/>
      <w:jc w:val="center"/>
    </w:pPr>
    <w:rPr>
      <w:i/>
      <w:iCs/>
      <w:color w:val="404040" w:themeColor="text1" w:themeTint="BF"/>
    </w:rPr>
  </w:style>
  <w:style w:type="character" w:customStyle="1" w:styleId="CitaCar">
    <w:name w:val="Cita Car"/>
    <w:basedOn w:val="Fuentedeprrafopredeter"/>
    <w:link w:val="Cita"/>
    <w:uiPriority w:val="29"/>
    <w:rsid w:val="0007342E"/>
    <w:rPr>
      <w:i/>
      <w:iCs/>
      <w:color w:val="404040" w:themeColor="text1" w:themeTint="BF"/>
    </w:rPr>
  </w:style>
  <w:style w:type="paragraph" w:styleId="Prrafodelista">
    <w:name w:val="List Paragraph"/>
    <w:basedOn w:val="Normal"/>
    <w:uiPriority w:val="34"/>
    <w:qFormat/>
    <w:rsid w:val="0007342E"/>
    <w:pPr>
      <w:ind w:left="720"/>
      <w:contextualSpacing/>
    </w:pPr>
  </w:style>
  <w:style w:type="character" w:styleId="nfasisintenso">
    <w:name w:val="Intense Emphasis"/>
    <w:basedOn w:val="Fuentedeprrafopredeter"/>
    <w:uiPriority w:val="21"/>
    <w:qFormat/>
    <w:rsid w:val="0007342E"/>
    <w:rPr>
      <w:i/>
      <w:iCs/>
      <w:color w:val="0F4761" w:themeColor="accent1" w:themeShade="BF"/>
    </w:rPr>
  </w:style>
  <w:style w:type="paragraph" w:styleId="Citadestacada">
    <w:name w:val="Intense Quote"/>
    <w:basedOn w:val="Normal"/>
    <w:next w:val="Normal"/>
    <w:link w:val="CitadestacadaCar"/>
    <w:uiPriority w:val="30"/>
    <w:qFormat/>
    <w:rsid w:val="00073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342E"/>
    <w:rPr>
      <w:i/>
      <w:iCs/>
      <w:color w:val="0F4761" w:themeColor="accent1" w:themeShade="BF"/>
    </w:rPr>
  </w:style>
  <w:style w:type="character" w:styleId="Referenciaintensa">
    <w:name w:val="Intense Reference"/>
    <w:basedOn w:val="Fuentedeprrafopredeter"/>
    <w:uiPriority w:val="32"/>
    <w:qFormat/>
    <w:rsid w:val="0007342E"/>
    <w:rPr>
      <w:b/>
      <w:bCs/>
      <w:smallCaps/>
      <w:color w:val="0F4761" w:themeColor="accent1" w:themeShade="BF"/>
      <w:spacing w:val="5"/>
    </w:rPr>
  </w:style>
  <w:style w:type="paragraph" w:styleId="Encabezado">
    <w:name w:val="header"/>
    <w:basedOn w:val="Normal"/>
    <w:link w:val="EncabezadoCar"/>
    <w:uiPriority w:val="99"/>
    <w:unhideWhenUsed/>
    <w:rsid w:val="000734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42E"/>
    <w:rPr>
      <w:kern w:val="0"/>
      <w:sz w:val="22"/>
      <w:szCs w:val="22"/>
      <w14:ligatures w14:val="none"/>
    </w:rPr>
  </w:style>
  <w:style w:type="paragraph" w:styleId="Piedepgina">
    <w:name w:val="footer"/>
    <w:basedOn w:val="Normal"/>
    <w:link w:val="PiedepginaCar"/>
    <w:uiPriority w:val="99"/>
    <w:unhideWhenUsed/>
    <w:rsid w:val="000734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42E"/>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7342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07342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07342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7342E"/>
    <w:rPr>
      <w:vertAlign w:val="superscript"/>
    </w:rPr>
  </w:style>
  <w:style w:type="table" w:styleId="Tablaconcuadrcula">
    <w:name w:val="Table Grid"/>
    <w:basedOn w:val="Tablanormal"/>
    <w:uiPriority w:val="39"/>
    <w:qFormat/>
    <w:rsid w:val="000734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7342E"/>
    <w:rPr>
      <w:color w:val="0000FF"/>
      <w:u w:val="single"/>
    </w:rPr>
  </w:style>
  <w:style w:type="paragraph" w:customStyle="1" w:styleId="Appelnotedebasde">
    <w:name w:val="Appel note de bas de..."/>
    <w:basedOn w:val="Normal"/>
    <w:link w:val="Refdenotaalpie"/>
    <w:uiPriority w:val="99"/>
    <w:rsid w:val="0007342E"/>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0734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olombiacompra.gov.co/content/convocatori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oamazorinoquia@gmail.com" TargetMode="External"/><Relationship Id="rId5" Type="http://schemas.openxmlformats.org/officeDocument/2006/relationships/styles" Target="styles.xml"/><Relationship Id="rId15" Type="http://schemas.openxmlformats.org/officeDocument/2006/relationships/hyperlink" Target="https://www.sucop.gov.co/entidades/colombiacompra/Normativa?IDNorma=17363"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files_2020/boletin_de_realtoria_iii.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documento-tipo-para-la-contratacion-directa-de-convenios-solidarios-para-la-ejecucion-de"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7CBAA-B3A6-45FB-8FBC-55F284D89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E464F-B4C0-4194-9057-F0A58F7EB462}">
  <ds:schemaRefs>
    <ds:schemaRef ds:uri="http://schemas.microsoft.com/office/2006/metadata/properties"/>
    <ds:schemaRef ds:uri="9d85dbaf-23eb-4e57-a637-93dcacc8b1a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6cb9e4b-f1d1-4245-83ec-6cad768d538a"/>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82D6AF4-26E1-46A7-8C49-3E6F868E3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3346</Words>
  <Characters>18409</Characters>
  <Application>Microsoft Office Word</Application>
  <DocSecurity>0</DocSecurity>
  <Lines>153</Lines>
  <Paragraphs>43</Paragraphs>
  <ScaleCrop>false</ScaleCrop>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2024-08-28T16:23:00Z</dcterms:created>
  <dcterms:modified xsi:type="dcterms:W3CDTF">2024-08-28T16:23:00Z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