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C74E3" w14:textId="77777777" w:rsidR="003F3E19" w:rsidRPr="00AB5885" w:rsidRDefault="003F3E19" w:rsidP="003F3E19">
      <w:pPr>
        <w:widowControl w:val="0"/>
        <w:autoSpaceDE w:val="0"/>
        <w:autoSpaceDN w:val="0"/>
        <w:spacing w:after="0" w:line="240" w:lineRule="auto"/>
        <w:ind w:left="119" w:right="108"/>
        <w:jc w:val="both"/>
        <w:rPr>
          <w:rFonts w:ascii="Verdana" w:hAnsi="Verdana" w:cs="Arial"/>
          <w:b/>
          <w:bCs/>
          <w:color w:val="000000" w:themeColor="text1"/>
          <w:lang w:val="es-ES"/>
        </w:rPr>
      </w:pPr>
      <w:bookmarkStart w:id="0" w:name="_Hlk143780582"/>
      <w:r w:rsidRPr="00AB5885">
        <w:rPr>
          <w:rFonts w:ascii="Verdana" w:hAnsi="Verdana" w:cs="Arial"/>
          <w:b/>
          <w:bCs/>
          <w:color w:val="000000" w:themeColor="text1"/>
          <w:lang w:val="es-ES"/>
        </w:rPr>
        <w:t xml:space="preserve">REQUISITOS </w:t>
      </w:r>
      <w:proofErr w:type="gramStart"/>
      <w:r w:rsidRPr="00AB5885">
        <w:rPr>
          <w:rFonts w:ascii="Verdana" w:hAnsi="Verdana" w:cs="Arial"/>
          <w:b/>
          <w:bCs/>
          <w:color w:val="000000" w:themeColor="text1"/>
          <w:lang w:val="es-ES"/>
        </w:rPr>
        <w:t xml:space="preserve">HABILITANTES </w:t>
      </w:r>
      <w:r w:rsidRPr="00AB5885">
        <w:rPr>
          <w:rFonts w:ascii="Verdana" w:eastAsia="Arial" w:hAnsi="Verdana" w:cs="Arial"/>
          <w:b/>
          <w:bCs/>
          <w:color w:val="000000" w:themeColor="text1"/>
          <w:lang w:val="es-ES"/>
        </w:rPr>
        <w:t xml:space="preserve"> –</w:t>
      </w:r>
      <w:proofErr w:type="gramEnd"/>
      <w:r w:rsidRPr="00AB5885">
        <w:rPr>
          <w:rFonts w:ascii="Verdana" w:eastAsia="Arial" w:hAnsi="Verdana" w:cs="Arial"/>
          <w:b/>
          <w:bCs/>
          <w:color w:val="000000" w:themeColor="text1"/>
          <w:lang w:val="es-ES"/>
        </w:rPr>
        <w:t xml:space="preserve"> </w:t>
      </w:r>
      <w:r w:rsidRPr="00AB5885">
        <w:rPr>
          <w:rFonts w:ascii="Verdana" w:hAnsi="Verdana" w:cs="Arial"/>
          <w:b/>
          <w:bCs/>
          <w:color w:val="000000" w:themeColor="text1"/>
          <w:lang w:val="es-ES"/>
        </w:rPr>
        <w:t xml:space="preserve"> Ley 1150 de 2007</w:t>
      </w:r>
    </w:p>
    <w:p w14:paraId="35AD1AF5" w14:textId="77777777" w:rsidR="003F3E19" w:rsidRPr="00AB5885" w:rsidRDefault="003F3E19" w:rsidP="003F3E19">
      <w:pPr>
        <w:widowControl w:val="0"/>
        <w:autoSpaceDE w:val="0"/>
        <w:autoSpaceDN w:val="0"/>
        <w:spacing w:after="0" w:line="240" w:lineRule="auto"/>
        <w:ind w:left="119" w:right="108"/>
        <w:jc w:val="both"/>
        <w:rPr>
          <w:rFonts w:ascii="Verdana" w:eastAsia="Arial" w:hAnsi="Verdana" w:cs="Arial"/>
          <w:b/>
          <w:bCs/>
          <w:color w:val="000000" w:themeColor="text1"/>
          <w:lang w:val="es-ES"/>
        </w:rPr>
      </w:pPr>
      <w:r w:rsidRPr="00AB5885">
        <w:rPr>
          <w:rFonts w:ascii="Verdana" w:hAnsi="Verdana" w:cs="Arial"/>
          <w:color w:val="000000" w:themeColor="text1"/>
          <w:lang w:val="es-ES"/>
        </w:rPr>
        <w:t xml:space="preserve">En el artículo 5,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w:t>
      </w:r>
      <w:proofErr w:type="gramStart"/>
      <w:r w:rsidRPr="00AB5885">
        <w:rPr>
          <w:rFonts w:ascii="Verdana" w:hAnsi="Verdana" w:cs="Arial"/>
          <w:color w:val="000000" w:themeColor="text1"/>
          <w:lang w:val="es-ES"/>
        </w:rPr>
        <w:t>estatal .</w:t>
      </w:r>
      <w:proofErr w:type="gramEnd"/>
      <w:r w:rsidRPr="00AB5885">
        <w:rPr>
          <w:rFonts w:ascii="Verdana" w:hAnsi="Verdana" w:cs="Arial"/>
          <w:color w:val="000000" w:themeColor="text1"/>
          <w:lang w:val="es-ES"/>
        </w:rPr>
        <w:t xml:space="preserve"> En ese sentido, la entidad, como responsable de la estructuración de su procedimiento de contratación, es autónoma para requerir la experiencia necesaria para el objeto de contrato</w:t>
      </w:r>
    </w:p>
    <w:p w14:paraId="4CEFF176" w14:textId="77777777" w:rsidR="003F3E19" w:rsidRDefault="003F3E19" w:rsidP="003F3E19">
      <w:pPr>
        <w:widowControl w:val="0"/>
        <w:autoSpaceDE w:val="0"/>
        <w:autoSpaceDN w:val="0"/>
        <w:spacing w:after="0" w:line="240" w:lineRule="auto"/>
        <w:ind w:right="108"/>
        <w:jc w:val="both"/>
        <w:rPr>
          <w:rFonts w:ascii="Verdana" w:eastAsia="Arial" w:hAnsi="Verdana" w:cs="Arial"/>
          <w:b/>
          <w:bCs/>
          <w:color w:val="000000" w:themeColor="text1"/>
          <w:lang w:val="es-ES"/>
        </w:rPr>
      </w:pPr>
    </w:p>
    <w:p w14:paraId="2C0F0825" w14:textId="77777777" w:rsidR="003F3E19" w:rsidRPr="00AB5885" w:rsidRDefault="003F3E19" w:rsidP="003F3E19">
      <w:pPr>
        <w:widowControl w:val="0"/>
        <w:autoSpaceDE w:val="0"/>
        <w:autoSpaceDN w:val="0"/>
        <w:spacing w:after="0" w:line="240" w:lineRule="auto"/>
        <w:ind w:right="108"/>
        <w:jc w:val="both"/>
        <w:rPr>
          <w:rFonts w:ascii="Verdana" w:eastAsia="Arial" w:hAnsi="Verdana" w:cs="Arial"/>
          <w:b/>
          <w:bCs/>
          <w:color w:val="000000" w:themeColor="text1"/>
          <w:lang w:val="es-ES"/>
        </w:rPr>
      </w:pPr>
    </w:p>
    <w:p w14:paraId="57B849D5" w14:textId="77777777" w:rsidR="003F3E19" w:rsidRPr="00AB5885" w:rsidRDefault="003F3E19" w:rsidP="003F3E19">
      <w:pPr>
        <w:widowControl w:val="0"/>
        <w:autoSpaceDE w:val="0"/>
        <w:autoSpaceDN w:val="0"/>
        <w:spacing w:after="0" w:line="240" w:lineRule="auto"/>
        <w:ind w:left="119" w:right="108"/>
        <w:jc w:val="both"/>
        <w:rPr>
          <w:rFonts w:ascii="Verdana" w:eastAsia="Arial" w:hAnsi="Verdana" w:cs="Arial"/>
          <w:b/>
          <w:bCs/>
          <w:color w:val="000000" w:themeColor="text1"/>
          <w:lang w:val="es-ES"/>
        </w:rPr>
      </w:pPr>
    </w:p>
    <w:p w14:paraId="53F55AC7" w14:textId="77777777" w:rsidR="003F3E19" w:rsidRPr="00AB5885" w:rsidRDefault="003F3E19" w:rsidP="003F3E19">
      <w:pPr>
        <w:widowControl w:val="0"/>
        <w:autoSpaceDE w:val="0"/>
        <w:autoSpaceDN w:val="0"/>
        <w:spacing w:after="0" w:line="240" w:lineRule="auto"/>
        <w:ind w:left="119" w:right="108"/>
        <w:jc w:val="both"/>
        <w:rPr>
          <w:rFonts w:ascii="Verdana" w:eastAsia="Arial" w:hAnsi="Verdana" w:cs="Arial"/>
          <w:b/>
          <w:bCs/>
          <w:color w:val="000000" w:themeColor="text1"/>
          <w:lang w:val="es-ES"/>
        </w:rPr>
      </w:pPr>
      <w:r w:rsidRPr="00AB5885">
        <w:rPr>
          <w:rFonts w:ascii="Verdana" w:eastAsia="Arial" w:hAnsi="Verdana" w:cs="Arial"/>
          <w:b/>
          <w:bCs/>
          <w:color w:val="000000" w:themeColor="text1"/>
          <w:lang w:val="es-ES"/>
        </w:rPr>
        <w:t>EXPERIENCIA – Forma de acreditación – Socios – Sociedades con menos de 3 años de constituidas – Decreto 1082 de 2015</w:t>
      </w:r>
    </w:p>
    <w:p w14:paraId="06A85B70" w14:textId="77777777" w:rsidR="003F3E19" w:rsidRPr="00AB5885" w:rsidRDefault="003F3E19" w:rsidP="003F3E19">
      <w:pPr>
        <w:widowControl w:val="0"/>
        <w:autoSpaceDE w:val="0"/>
        <w:autoSpaceDN w:val="0"/>
        <w:spacing w:after="0" w:line="240" w:lineRule="auto"/>
        <w:ind w:left="119" w:right="108"/>
        <w:jc w:val="both"/>
        <w:rPr>
          <w:rFonts w:ascii="Verdana" w:eastAsia="Arial" w:hAnsi="Verdana" w:cs="Arial"/>
          <w:color w:val="000000" w:themeColor="text1"/>
          <w:lang w:val="es-ES"/>
        </w:rPr>
      </w:pPr>
    </w:p>
    <w:p w14:paraId="03C894AF" w14:textId="77777777" w:rsidR="003F3E19" w:rsidRPr="00AB5885" w:rsidRDefault="003F3E19" w:rsidP="003F3E19">
      <w:pPr>
        <w:widowControl w:val="0"/>
        <w:autoSpaceDE w:val="0"/>
        <w:autoSpaceDN w:val="0"/>
        <w:spacing w:after="0" w:line="240" w:lineRule="auto"/>
        <w:ind w:left="119" w:right="108"/>
        <w:jc w:val="both"/>
        <w:rPr>
          <w:rFonts w:ascii="Verdana" w:eastAsia="Arial" w:hAnsi="Verdana" w:cs="Arial"/>
          <w:color w:val="000000" w:themeColor="text1"/>
          <w:lang w:val="es-ES"/>
        </w:rPr>
      </w:pPr>
      <w:r w:rsidRPr="00AB5885">
        <w:rPr>
          <w:rFonts w:ascii="Verdana" w:eastAsia="Arial" w:hAnsi="Verdana" w:cs="Arial"/>
          <w:color w:val="000000" w:themeColor="text1"/>
          <w:lang w:val="es-ES"/>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40FCAB81" w14:textId="77777777" w:rsidR="003F3E19" w:rsidRPr="00AB5885" w:rsidRDefault="003F3E19" w:rsidP="003F3E19">
      <w:pPr>
        <w:spacing w:after="0" w:line="240" w:lineRule="auto"/>
        <w:jc w:val="both"/>
        <w:rPr>
          <w:rFonts w:ascii="Verdana" w:hAnsi="Verdana" w:cs="Arial"/>
          <w:b/>
          <w:bCs/>
          <w:color w:val="000000" w:themeColor="text1"/>
          <w:lang w:val="es-ES_tradnl"/>
        </w:rPr>
      </w:pPr>
    </w:p>
    <w:p w14:paraId="384C5AF7" w14:textId="77777777" w:rsidR="003F3E19" w:rsidRPr="00AB5885" w:rsidRDefault="003F3E19" w:rsidP="003F3E19">
      <w:pPr>
        <w:spacing w:after="0" w:line="240" w:lineRule="auto"/>
        <w:jc w:val="both"/>
        <w:rPr>
          <w:rFonts w:ascii="Verdana" w:hAnsi="Verdana" w:cs="Arial"/>
          <w:b/>
          <w:bCs/>
          <w:color w:val="000000" w:themeColor="text1"/>
          <w:lang w:val="es-ES_tradnl"/>
        </w:rPr>
      </w:pPr>
    </w:p>
    <w:p w14:paraId="644A8D2B" w14:textId="77777777" w:rsidR="003F3E19" w:rsidRPr="00AB5885" w:rsidRDefault="003F3E19" w:rsidP="003F3E19">
      <w:pPr>
        <w:spacing w:after="0" w:line="240" w:lineRule="auto"/>
        <w:jc w:val="both"/>
        <w:rPr>
          <w:rFonts w:ascii="Verdana" w:hAnsi="Verdana" w:cs="Arial"/>
          <w:b/>
          <w:bCs/>
          <w:color w:val="000000" w:themeColor="text1"/>
          <w:lang w:val="es-ES_tradnl"/>
        </w:rPr>
      </w:pPr>
      <w:r w:rsidRPr="00AB5885">
        <w:rPr>
          <w:rFonts w:ascii="Verdana" w:hAnsi="Verdana" w:cs="Arial"/>
          <w:b/>
          <w:bCs/>
          <w:color w:val="000000" w:themeColor="text1"/>
          <w:lang w:val="es-ES_tradnl"/>
        </w:rPr>
        <w:t>REGISTRO ÚNICO DE PROPONENTES – Concepto</w:t>
      </w:r>
    </w:p>
    <w:p w14:paraId="1B16A9DA" w14:textId="77777777" w:rsidR="003F3E19" w:rsidRPr="00AB5885" w:rsidRDefault="003F3E19" w:rsidP="003F3E19">
      <w:pPr>
        <w:spacing w:after="0" w:line="240" w:lineRule="auto"/>
        <w:jc w:val="both"/>
        <w:rPr>
          <w:rFonts w:ascii="Verdana" w:hAnsi="Verdana" w:cs="Arial"/>
          <w:bCs/>
          <w:color w:val="000000" w:themeColor="text1"/>
          <w:lang w:val="es-ES"/>
        </w:rPr>
      </w:pPr>
    </w:p>
    <w:p w14:paraId="4F7ED401" w14:textId="77777777" w:rsidR="003F3E19" w:rsidRPr="00AB5885" w:rsidRDefault="003F3E19" w:rsidP="003F3E19">
      <w:pPr>
        <w:spacing w:after="0" w:line="240" w:lineRule="auto"/>
        <w:jc w:val="both"/>
        <w:rPr>
          <w:rFonts w:ascii="Verdana" w:hAnsi="Verdana" w:cs="Arial"/>
          <w:b/>
          <w:bCs/>
          <w:color w:val="000000" w:themeColor="text1"/>
          <w:lang w:val="es-MX"/>
        </w:rPr>
      </w:pPr>
      <w:r w:rsidRPr="00AB5885">
        <w:rPr>
          <w:rFonts w:ascii="Verdana" w:hAnsi="Verdana" w:cs="Arial"/>
          <w:bCs/>
          <w:color w:val="000000" w:themeColor="text1"/>
        </w:rPr>
        <w:t>El Registro Único de Proponentes (en adelante RUP) como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4F9812F6" w14:textId="77777777" w:rsidR="003F3E19" w:rsidRPr="00AB5885" w:rsidRDefault="003F3E19" w:rsidP="003F3E19">
      <w:pPr>
        <w:spacing w:after="0" w:line="240" w:lineRule="auto"/>
        <w:jc w:val="both"/>
        <w:rPr>
          <w:rFonts w:ascii="Verdana" w:hAnsi="Verdana" w:cs="Arial"/>
          <w:b/>
          <w:bCs/>
          <w:color w:val="000000" w:themeColor="text1"/>
          <w:lang w:val="es-MX"/>
        </w:rPr>
      </w:pPr>
    </w:p>
    <w:p w14:paraId="181C5717" w14:textId="77777777" w:rsidR="003F3E19" w:rsidRPr="00AB5885" w:rsidRDefault="003F3E19" w:rsidP="003F3E19">
      <w:pPr>
        <w:spacing w:after="0" w:line="240" w:lineRule="auto"/>
        <w:jc w:val="both"/>
        <w:rPr>
          <w:rFonts w:ascii="Verdana" w:hAnsi="Verdana" w:cs="Arial"/>
          <w:bCs/>
          <w:color w:val="000000" w:themeColor="text1"/>
        </w:rPr>
      </w:pPr>
      <w:r w:rsidRPr="00AB5885">
        <w:rPr>
          <w:rFonts w:ascii="Verdana" w:hAnsi="Verdana" w:cs="Arial"/>
          <w:bCs/>
          <w:color w:val="000000" w:themeColor="text1"/>
        </w:rPr>
        <w:t>El artículo 6.1 de la Ley 1150 de 2007 dispone que el RUP es plena prueba de la información que contiene. Por su parte, el artículo 5.1, al fijar los criterios que deben tener en cuenta las entidades estatales para garantizar la selección objetiva, dispone que las Cámaras de Comercio verificarán la información suministrada por las personas naturales o jurídicas para la inscripción en el registro.</w:t>
      </w:r>
    </w:p>
    <w:p w14:paraId="1245BA2A" w14:textId="77777777" w:rsidR="003F3E19" w:rsidRPr="00AB5885" w:rsidRDefault="003F3E19" w:rsidP="003F3E19">
      <w:pPr>
        <w:spacing w:after="0" w:line="240" w:lineRule="auto"/>
        <w:jc w:val="both"/>
        <w:rPr>
          <w:rFonts w:ascii="Verdana" w:hAnsi="Verdana" w:cs="Arial"/>
          <w:bCs/>
          <w:color w:val="000000" w:themeColor="text1"/>
          <w:lang w:val="es-ES"/>
        </w:rPr>
      </w:pPr>
      <w:r w:rsidRPr="00AB5885">
        <w:rPr>
          <w:rFonts w:ascii="Verdana" w:hAnsi="Verdana" w:cs="Arial"/>
          <w:bCs/>
          <w:color w:val="000000" w:themeColor="text1"/>
          <w:lang w:val="es-ES"/>
        </w:rPr>
        <w:t xml:space="preserve"> </w:t>
      </w:r>
    </w:p>
    <w:p w14:paraId="1803A890" w14:textId="77777777" w:rsidR="003F3E19" w:rsidRPr="00AB5885" w:rsidRDefault="003F3E19" w:rsidP="003F3E19">
      <w:pPr>
        <w:spacing w:after="0" w:line="240" w:lineRule="auto"/>
        <w:jc w:val="both"/>
        <w:rPr>
          <w:rFonts w:ascii="Verdana" w:hAnsi="Verdana" w:cs="Arial"/>
          <w:b/>
          <w:bCs/>
          <w:color w:val="000000" w:themeColor="text1"/>
          <w:lang w:val="es-ES_tradnl"/>
        </w:rPr>
      </w:pPr>
      <w:r w:rsidRPr="00AB5885">
        <w:rPr>
          <w:rFonts w:ascii="Verdana" w:hAnsi="Verdana" w:cs="Arial"/>
          <w:b/>
          <w:bCs/>
          <w:color w:val="000000" w:themeColor="text1"/>
          <w:lang w:val="es-ES_tradnl"/>
        </w:rPr>
        <w:t>RUP – Sujetos obligados</w:t>
      </w:r>
    </w:p>
    <w:p w14:paraId="5F6664D7" w14:textId="77777777" w:rsidR="003F3E19" w:rsidRPr="00AB5885" w:rsidRDefault="003F3E19" w:rsidP="003F3E19">
      <w:pPr>
        <w:spacing w:after="0" w:line="240" w:lineRule="auto"/>
        <w:jc w:val="both"/>
        <w:rPr>
          <w:rFonts w:ascii="Verdana" w:hAnsi="Verdana" w:cs="Arial"/>
          <w:b/>
          <w:bCs/>
          <w:color w:val="000000" w:themeColor="text1"/>
          <w:lang w:val="es-ES"/>
        </w:rPr>
      </w:pPr>
    </w:p>
    <w:p w14:paraId="763785B6" w14:textId="77777777" w:rsidR="003F3E19" w:rsidRDefault="003F3E19" w:rsidP="003F3E19">
      <w:pPr>
        <w:spacing w:after="0" w:line="240" w:lineRule="auto"/>
        <w:jc w:val="both"/>
        <w:rPr>
          <w:rFonts w:ascii="Verdana" w:hAnsi="Verdana" w:cs="Arial"/>
          <w:color w:val="000000" w:themeColor="text1"/>
        </w:rPr>
      </w:pPr>
      <w:r w:rsidRPr="00AB5885">
        <w:rPr>
          <w:rFonts w:ascii="Verdana" w:hAnsi="Verdana" w:cs="Arial"/>
          <w:color w:val="000000" w:themeColor="text1"/>
        </w:rPr>
        <w:lastRenderedPageBreak/>
        <w:t>En síntesis, se tiene que la obligación de inscribirse en el RUP es extensible a toda persona natural o jurídica, interesada en participar en un proceso de contratación estatal, cuando este no esté exceptuado de esta obligación, conforme con lo previsto en el inciso 2 del artículo 6 de la Ley 1150 de 2007.</w:t>
      </w:r>
    </w:p>
    <w:p w14:paraId="03844C43" w14:textId="77777777" w:rsidR="003F3E19" w:rsidRDefault="003F3E19" w:rsidP="003F3E19">
      <w:pPr>
        <w:spacing w:after="0" w:line="240" w:lineRule="auto"/>
        <w:jc w:val="both"/>
        <w:rPr>
          <w:rFonts w:ascii="Verdana" w:hAnsi="Verdana" w:cs="Arial"/>
          <w:color w:val="000000" w:themeColor="text1"/>
        </w:rPr>
      </w:pPr>
    </w:p>
    <w:p w14:paraId="756179A1" w14:textId="77777777" w:rsidR="003F3E19" w:rsidRDefault="003F3E19" w:rsidP="003F3E19">
      <w:pPr>
        <w:spacing w:after="0" w:line="240" w:lineRule="auto"/>
        <w:jc w:val="both"/>
        <w:rPr>
          <w:rFonts w:ascii="Verdana" w:hAnsi="Verdana" w:cs="Arial"/>
          <w:color w:val="000000" w:themeColor="text1"/>
        </w:rPr>
      </w:pPr>
    </w:p>
    <w:p w14:paraId="6060C322" w14:textId="77777777" w:rsidR="003F3E19" w:rsidRDefault="003F3E19" w:rsidP="003F3E19">
      <w:pPr>
        <w:spacing w:after="0" w:line="240" w:lineRule="auto"/>
        <w:jc w:val="both"/>
        <w:rPr>
          <w:rFonts w:ascii="Verdana" w:hAnsi="Verdana" w:cs="Arial"/>
          <w:color w:val="000000" w:themeColor="text1"/>
        </w:rPr>
      </w:pPr>
    </w:p>
    <w:p w14:paraId="369CEA22" w14:textId="77777777" w:rsidR="003F3E19" w:rsidRDefault="003F3E19" w:rsidP="003F3E19">
      <w:pPr>
        <w:spacing w:after="0" w:line="240" w:lineRule="auto"/>
        <w:jc w:val="both"/>
        <w:rPr>
          <w:rFonts w:ascii="Verdana" w:hAnsi="Verdana" w:cs="Arial"/>
          <w:color w:val="000000" w:themeColor="text1"/>
        </w:rPr>
      </w:pPr>
    </w:p>
    <w:p w14:paraId="695B5A67" w14:textId="77777777" w:rsidR="003F3E19" w:rsidRDefault="003F3E19" w:rsidP="003F3E19">
      <w:pPr>
        <w:spacing w:after="0" w:line="240" w:lineRule="auto"/>
        <w:jc w:val="both"/>
        <w:rPr>
          <w:rFonts w:ascii="Verdana" w:hAnsi="Verdana" w:cs="Arial"/>
          <w:color w:val="000000" w:themeColor="text1"/>
        </w:rPr>
      </w:pPr>
    </w:p>
    <w:p w14:paraId="7B91F447" w14:textId="77777777" w:rsidR="003F3E19" w:rsidRDefault="003F3E19" w:rsidP="003F3E19">
      <w:pPr>
        <w:spacing w:after="0" w:line="240" w:lineRule="auto"/>
        <w:jc w:val="both"/>
        <w:rPr>
          <w:rFonts w:ascii="Verdana" w:hAnsi="Verdana" w:cs="Arial"/>
          <w:color w:val="000000" w:themeColor="text1"/>
        </w:rPr>
      </w:pPr>
    </w:p>
    <w:p w14:paraId="46A3DFCC" w14:textId="77777777" w:rsidR="003F3E19" w:rsidRDefault="003F3E19" w:rsidP="003F3E19">
      <w:pPr>
        <w:spacing w:after="0" w:line="240" w:lineRule="auto"/>
        <w:jc w:val="both"/>
        <w:rPr>
          <w:rFonts w:ascii="Verdana" w:hAnsi="Verdana" w:cs="Arial"/>
          <w:color w:val="000000" w:themeColor="text1"/>
        </w:rPr>
      </w:pPr>
    </w:p>
    <w:p w14:paraId="41EC3202" w14:textId="77777777" w:rsidR="003F3E19" w:rsidRDefault="003F3E19" w:rsidP="003F3E19">
      <w:pPr>
        <w:spacing w:after="0" w:line="240" w:lineRule="auto"/>
        <w:jc w:val="both"/>
        <w:rPr>
          <w:rFonts w:ascii="Verdana" w:hAnsi="Verdana" w:cs="Arial"/>
          <w:color w:val="000000" w:themeColor="text1"/>
        </w:rPr>
      </w:pPr>
    </w:p>
    <w:p w14:paraId="50C8A06E" w14:textId="77777777" w:rsidR="003F3E19" w:rsidRDefault="003F3E19" w:rsidP="003F3E19">
      <w:pPr>
        <w:spacing w:after="0" w:line="240" w:lineRule="auto"/>
        <w:jc w:val="both"/>
        <w:rPr>
          <w:rFonts w:ascii="Verdana" w:hAnsi="Verdana" w:cs="Arial"/>
          <w:color w:val="000000" w:themeColor="text1"/>
        </w:rPr>
      </w:pPr>
    </w:p>
    <w:p w14:paraId="3ADAADDC" w14:textId="77777777" w:rsidR="003F3E19" w:rsidRDefault="003F3E19" w:rsidP="003F3E19">
      <w:pPr>
        <w:spacing w:after="0" w:line="240" w:lineRule="auto"/>
        <w:jc w:val="both"/>
        <w:rPr>
          <w:rFonts w:ascii="Verdana" w:hAnsi="Verdana" w:cs="Arial"/>
          <w:color w:val="000000" w:themeColor="text1"/>
        </w:rPr>
      </w:pPr>
    </w:p>
    <w:p w14:paraId="03A71C5A" w14:textId="77777777" w:rsidR="003F3E19" w:rsidRDefault="003F3E19" w:rsidP="003F3E19">
      <w:pPr>
        <w:spacing w:after="0" w:line="240" w:lineRule="auto"/>
        <w:jc w:val="both"/>
        <w:rPr>
          <w:rFonts w:ascii="Verdana" w:hAnsi="Verdana" w:cs="Arial"/>
          <w:color w:val="000000" w:themeColor="text1"/>
        </w:rPr>
      </w:pPr>
    </w:p>
    <w:p w14:paraId="7613F29F" w14:textId="77777777" w:rsidR="003F3E19" w:rsidRDefault="003F3E19" w:rsidP="003F3E19">
      <w:pPr>
        <w:spacing w:after="0" w:line="240" w:lineRule="auto"/>
        <w:jc w:val="both"/>
        <w:rPr>
          <w:rFonts w:ascii="Verdana" w:hAnsi="Verdana" w:cs="Arial"/>
          <w:color w:val="000000" w:themeColor="text1"/>
        </w:rPr>
      </w:pPr>
    </w:p>
    <w:p w14:paraId="6C823B1D" w14:textId="77777777" w:rsidR="003F3E19" w:rsidRDefault="003F3E19" w:rsidP="003F3E19">
      <w:pPr>
        <w:spacing w:after="0" w:line="240" w:lineRule="auto"/>
        <w:jc w:val="both"/>
        <w:rPr>
          <w:rFonts w:ascii="Verdana" w:hAnsi="Verdana" w:cs="Arial"/>
          <w:color w:val="000000" w:themeColor="text1"/>
        </w:rPr>
      </w:pPr>
    </w:p>
    <w:p w14:paraId="5CC35888" w14:textId="77777777" w:rsidR="003F3E19" w:rsidRDefault="003F3E19" w:rsidP="003F3E19">
      <w:pPr>
        <w:spacing w:after="0" w:line="240" w:lineRule="auto"/>
        <w:jc w:val="both"/>
        <w:rPr>
          <w:rFonts w:ascii="Verdana" w:hAnsi="Verdana" w:cs="Arial"/>
          <w:color w:val="000000" w:themeColor="text1"/>
        </w:rPr>
      </w:pPr>
    </w:p>
    <w:p w14:paraId="1C2893B4" w14:textId="77777777" w:rsidR="003F3E19" w:rsidRDefault="003F3E19" w:rsidP="003F3E19">
      <w:pPr>
        <w:spacing w:after="0" w:line="240" w:lineRule="auto"/>
        <w:jc w:val="both"/>
        <w:rPr>
          <w:rFonts w:ascii="Verdana" w:hAnsi="Verdana" w:cs="Arial"/>
          <w:color w:val="000000" w:themeColor="text1"/>
        </w:rPr>
      </w:pPr>
    </w:p>
    <w:p w14:paraId="1E4D661A" w14:textId="77777777" w:rsidR="003F3E19" w:rsidRDefault="003F3E19" w:rsidP="003F3E19">
      <w:pPr>
        <w:spacing w:after="0" w:line="240" w:lineRule="auto"/>
        <w:jc w:val="both"/>
        <w:rPr>
          <w:rFonts w:ascii="Verdana" w:hAnsi="Verdana" w:cs="Arial"/>
          <w:color w:val="000000" w:themeColor="text1"/>
        </w:rPr>
      </w:pPr>
    </w:p>
    <w:p w14:paraId="7089D584" w14:textId="77777777" w:rsidR="003F3E19" w:rsidRDefault="003F3E19" w:rsidP="003F3E19">
      <w:pPr>
        <w:spacing w:after="0" w:line="240" w:lineRule="auto"/>
        <w:jc w:val="both"/>
        <w:rPr>
          <w:rFonts w:ascii="Verdana" w:hAnsi="Verdana" w:cs="Arial"/>
          <w:color w:val="000000" w:themeColor="text1"/>
        </w:rPr>
      </w:pPr>
    </w:p>
    <w:p w14:paraId="59E5FABA" w14:textId="77777777" w:rsidR="003F3E19" w:rsidRDefault="003F3E19" w:rsidP="003F3E19">
      <w:pPr>
        <w:spacing w:after="0" w:line="240" w:lineRule="auto"/>
        <w:jc w:val="both"/>
        <w:rPr>
          <w:rFonts w:ascii="Verdana" w:hAnsi="Verdana" w:cs="Arial"/>
          <w:color w:val="000000" w:themeColor="text1"/>
        </w:rPr>
      </w:pPr>
    </w:p>
    <w:p w14:paraId="6BCB726E" w14:textId="77777777" w:rsidR="003F3E19" w:rsidRDefault="003F3E19" w:rsidP="003F3E19">
      <w:pPr>
        <w:spacing w:after="0" w:line="240" w:lineRule="auto"/>
        <w:jc w:val="both"/>
        <w:rPr>
          <w:rFonts w:ascii="Verdana" w:hAnsi="Verdana" w:cs="Arial"/>
          <w:color w:val="000000" w:themeColor="text1"/>
        </w:rPr>
      </w:pPr>
    </w:p>
    <w:p w14:paraId="3984E617" w14:textId="77777777" w:rsidR="003F3E19" w:rsidRDefault="003F3E19" w:rsidP="003F3E19">
      <w:pPr>
        <w:spacing w:after="0" w:line="240" w:lineRule="auto"/>
        <w:jc w:val="both"/>
        <w:rPr>
          <w:rFonts w:ascii="Verdana" w:hAnsi="Verdana" w:cs="Arial"/>
          <w:color w:val="000000" w:themeColor="text1"/>
        </w:rPr>
      </w:pPr>
    </w:p>
    <w:p w14:paraId="3CF2BBE3" w14:textId="77777777" w:rsidR="003F3E19" w:rsidRDefault="003F3E19" w:rsidP="003F3E19">
      <w:pPr>
        <w:spacing w:after="0" w:line="240" w:lineRule="auto"/>
        <w:jc w:val="both"/>
        <w:rPr>
          <w:rFonts w:ascii="Verdana" w:hAnsi="Verdana" w:cs="Arial"/>
          <w:color w:val="000000" w:themeColor="text1"/>
        </w:rPr>
      </w:pPr>
    </w:p>
    <w:p w14:paraId="03FBF7E8" w14:textId="77777777" w:rsidR="003F3E19" w:rsidRDefault="003F3E19" w:rsidP="003F3E19">
      <w:pPr>
        <w:spacing w:after="0" w:line="240" w:lineRule="auto"/>
        <w:jc w:val="both"/>
        <w:rPr>
          <w:rFonts w:ascii="Verdana" w:hAnsi="Verdana" w:cs="Arial"/>
          <w:color w:val="000000" w:themeColor="text1"/>
        </w:rPr>
      </w:pPr>
    </w:p>
    <w:p w14:paraId="789DB2FD" w14:textId="77777777" w:rsidR="003F3E19" w:rsidRDefault="003F3E19" w:rsidP="003F3E19">
      <w:pPr>
        <w:spacing w:after="0" w:line="240" w:lineRule="auto"/>
        <w:jc w:val="both"/>
        <w:rPr>
          <w:rFonts w:ascii="Verdana" w:hAnsi="Verdana" w:cs="Arial"/>
          <w:color w:val="000000" w:themeColor="text1"/>
        </w:rPr>
      </w:pPr>
    </w:p>
    <w:p w14:paraId="763F940B" w14:textId="77777777" w:rsidR="003F3E19" w:rsidRDefault="003F3E19" w:rsidP="003F3E19">
      <w:pPr>
        <w:spacing w:after="0" w:line="240" w:lineRule="auto"/>
        <w:jc w:val="both"/>
        <w:rPr>
          <w:rFonts w:ascii="Verdana" w:hAnsi="Verdana" w:cs="Arial"/>
          <w:color w:val="000000" w:themeColor="text1"/>
        </w:rPr>
      </w:pPr>
    </w:p>
    <w:p w14:paraId="4D90B700" w14:textId="77777777" w:rsidR="003F3E19" w:rsidRDefault="003F3E19" w:rsidP="003F3E19">
      <w:pPr>
        <w:spacing w:after="0" w:line="240" w:lineRule="auto"/>
        <w:jc w:val="both"/>
        <w:rPr>
          <w:rFonts w:ascii="Verdana" w:hAnsi="Verdana" w:cs="Arial"/>
          <w:color w:val="000000" w:themeColor="text1"/>
        </w:rPr>
      </w:pPr>
    </w:p>
    <w:p w14:paraId="1CB1C8B6" w14:textId="77777777" w:rsidR="003F3E19" w:rsidRDefault="003F3E19" w:rsidP="003F3E19">
      <w:pPr>
        <w:spacing w:after="0" w:line="240" w:lineRule="auto"/>
        <w:jc w:val="both"/>
        <w:rPr>
          <w:rFonts w:ascii="Verdana" w:hAnsi="Verdana" w:cs="Arial"/>
          <w:color w:val="000000" w:themeColor="text1"/>
        </w:rPr>
      </w:pPr>
    </w:p>
    <w:p w14:paraId="697DE323" w14:textId="77777777" w:rsidR="003F3E19" w:rsidRDefault="003F3E19" w:rsidP="003F3E19">
      <w:pPr>
        <w:spacing w:after="0" w:line="240" w:lineRule="auto"/>
        <w:jc w:val="both"/>
        <w:rPr>
          <w:rFonts w:ascii="Verdana" w:hAnsi="Verdana" w:cs="Arial"/>
          <w:color w:val="000000" w:themeColor="text1"/>
        </w:rPr>
      </w:pPr>
    </w:p>
    <w:p w14:paraId="441470D7" w14:textId="77777777" w:rsidR="003F3E19" w:rsidRDefault="003F3E19" w:rsidP="003F3E19">
      <w:pPr>
        <w:spacing w:after="0" w:line="240" w:lineRule="auto"/>
        <w:jc w:val="both"/>
        <w:rPr>
          <w:rFonts w:ascii="Verdana" w:hAnsi="Verdana" w:cs="Arial"/>
          <w:color w:val="000000" w:themeColor="text1"/>
        </w:rPr>
      </w:pPr>
    </w:p>
    <w:p w14:paraId="470E645C" w14:textId="77777777" w:rsidR="003F3E19" w:rsidRDefault="003F3E19" w:rsidP="003F3E19">
      <w:pPr>
        <w:spacing w:after="0" w:line="240" w:lineRule="auto"/>
        <w:jc w:val="both"/>
        <w:rPr>
          <w:rFonts w:ascii="Verdana" w:hAnsi="Verdana" w:cs="Arial"/>
          <w:color w:val="000000" w:themeColor="text1"/>
        </w:rPr>
      </w:pPr>
    </w:p>
    <w:p w14:paraId="6F138BA1" w14:textId="77777777" w:rsidR="003F3E19" w:rsidRDefault="003F3E19" w:rsidP="003F3E19">
      <w:pPr>
        <w:spacing w:after="0" w:line="240" w:lineRule="auto"/>
        <w:jc w:val="both"/>
        <w:rPr>
          <w:rFonts w:ascii="Verdana" w:hAnsi="Verdana" w:cs="Arial"/>
          <w:color w:val="000000" w:themeColor="text1"/>
        </w:rPr>
      </w:pPr>
    </w:p>
    <w:p w14:paraId="50AEF9D4" w14:textId="77777777" w:rsidR="003F3E19" w:rsidRDefault="003F3E19" w:rsidP="003F3E19">
      <w:pPr>
        <w:spacing w:after="0" w:line="240" w:lineRule="auto"/>
        <w:jc w:val="both"/>
        <w:rPr>
          <w:rFonts w:ascii="Verdana" w:hAnsi="Verdana" w:cs="Arial"/>
          <w:color w:val="000000" w:themeColor="text1"/>
        </w:rPr>
      </w:pPr>
    </w:p>
    <w:p w14:paraId="66897BB0" w14:textId="77777777" w:rsidR="003F3E19" w:rsidRDefault="003F3E19" w:rsidP="003F3E19">
      <w:pPr>
        <w:spacing w:after="0" w:line="240" w:lineRule="auto"/>
        <w:jc w:val="both"/>
        <w:rPr>
          <w:rFonts w:ascii="Verdana" w:hAnsi="Verdana" w:cs="Arial"/>
          <w:color w:val="000000" w:themeColor="text1"/>
        </w:rPr>
      </w:pPr>
    </w:p>
    <w:p w14:paraId="14726B82" w14:textId="77777777" w:rsidR="003F3E19" w:rsidRDefault="003F3E19" w:rsidP="003F3E19">
      <w:pPr>
        <w:spacing w:after="0" w:line="240" w:lineRule="auto"/>
        <w:jc w:val="both"/>
        <w:rPr>
          <w:rFonts w:ascii="Verdana" w:hAnsi="Verdana" w:cs="Arial"/>
          <w:color w:val="000000" w:themeColor="text1"/>
        </w:rPr>
      </w:pPr>
    </w:p>
    <w:p w14:paraId="18A6E262" w14:textId="77777777" w:rsidR="003F3E19" w:rsidRDefault="003F3E19" w:rsidP="003F3E19">
      <w:pPr>
        <w:spacing w:after="0" w:line="240" w:lineRule="auto"/>
        <w:jc w:val="both"/>
        <w:rPr>
          <w:rFonts w:ascii="Verdana" w:hAnsi="Verdana" w:cs="Arial"/>
          <w:color w:val="000000" w:themeColor="text1"/>
        </w:rPr>
      </w:pPr>
    </w:p>
    <w:p w14:paraId="35FD32C1" w14:textId="77777777" w:rsidR="003F3E19" w:rsidRDefault="003F3E19" w:rsidP="003F3E19">
      <w:pPr>
        <w:spacing w:after="0" w:line="240" w:lineRule="auto"/>
        <w:jc w:val="both"/>
        <w:rPr>
          <w:rFonts w:ascii="Verdana" w:hAnsi="Verdana" w:cs="Arial"/>
          <w:color w:val="000000" w:themeColor="text1"/>
        </w:rPr>
      </w:pPr>
    </w:p>
    <w:p w14:paraId="49193A6E" w14:textId="77777777" w:rsidR="003F3E19" w:rsidRDefault="003F3E19" w:rsidP="003F3E19">
      <w:pPr>
        <w:spacing w:after="0" w:line="240" w:lineRule="auto"/>
        <w:jc w:val="both"/>
        <w:rPr>
          <w:rFonts w:ascii="Verdana" w:hAnsi="Verdana" w:cs="Arial"/>
          <w:color w:val="000000" w:themeColor="text1"/>
        </w:rPr>
      </w:pPr>
    </w:p>
    <w:p w14:paraId="1906A12D" w14:textId="77777777" w:rsidR="003F3E19" w:rsidRDefault="003F3E19" w:rsidP="003F3E19">
      <w:pPr>
        <w:spacing w:after="0" w:line="240" w:lineRule="auto"/>
        <w:jc w:val="both"/>
        <w:rPr>
          <w:rFonts w:ascii="Verdana" w:hAnsi="Verdana" w:cs="Arial"/>
          <w:color w:val="000000" w:themeColor="text1"/>
        </w:rPr>
      </w:pPr>
    </w:p>
    <w:p w14:paraId="7DF447BE" w14:textId="77777777" w:rsidR="003F3E19" w:rsidRDefault="003F3E19" w:rsidP="003F3E19">
      <w:pPr>
        <w:spacing w:after="0" w:line="240" w:lineRule="auto"/>
        <w:jc w:val="both"/>
        <w:rPr>
          <w:rFonts w:ascii="Verdana" w:hAnsi="Verdana" w:cs="Arial"/>
          <w:color w:val="000000" w:themeColor="text1"/>
        </w:rPr>
      </w:pPr>
    </w:p>
    <w:p w14:paraId="02BEB3C5" w14:textId="77777777" w:rsidR="003F3E19" w:rsidRPr="00AB5885" w:rsidRDefault="003F3E19" w:rsidP="003F3E19">
      <w:pPr>
        <w:spacing w:after="0" w:line="240" w:lineRule="auto"/>
        <w:jc w:val="both"/>
        <w:rPr>
          <w:rFonts w:ascii="Verdana" w:hAnsi="Verdana" w:cs="Arial"/>
          <w:b/>
          <w:color w:val="000000" w:themeColor="text1"/>
          <w:lang w:val="es-ES"/>
        </w:rPr>
      </w:pPr>
    </w:p>
    <w:p w14:paraId="69CE2CAD" w14:textId="77777777" w:rsidR="003F3E19" w:rsidRDefault="003F3E19" w:rsidP="00E245AB">
      <w:pPr>
        <w:spacing w:after="0"/>
        <w:rPr>
          <w:rFonts w:ascii="Verdana" w:hAnsi="Verdana"/>
        </w:rPr>
      </w:pPr>
    </w:p>
    <w:p w14:paraId="5B86F75C" w14:textId="77777777" w:rsidR="003F3E19" w:rsidRDefault="003F3E19" w:rsidP="00E245AB">
      <w:pPr>
        <w:spacing w:after="0"/>
        <w:rPr>
          <w:rFonts w:ascii="Verdana" w:hAnsi="Verdana"/>
        </w:rPr>
      </w:pPr>
    </w:p>
    <w:p w14:paraId="2D50A93D" w14:textId="2594E0F6" w:rsidR="00E245AB" w:rsidRPr="0044528D" w:rsidRDefault="00E245AB" w:rsidP="00E245AB">
      <w:pPr>
        <w:spacing w:after="0"/>
        <w:rPr>
          <w:rFonts w:ascii="Verdana" w:hAnsi="Verdana"/>
        </w:rPr>
      </w:pPr>
      <w:r w:rsidRPr="0044528D">
        <w:rPr>
          <w:rFonts w:ascii="Verdana" w:hAnsi="Verdana"/>
        </w:rPr>
        <w:lastRenderedPageBreak/>
        <w:t xml:space="preserve">Bogotá D.C., </w:t>
      </w:r>
      <w:r w:rsidR="00891928" w:rsidRPr="0044528D">
        <w:rPr>
          <w:rFonts w:ascii="Verdana" w:hAnsi="Verdana"/>
        </w:rPr>
        <w:t>[Día] [</w:t>
      </w:r>
      <w:proofErr w:type="spellStart"/>
      <w:r w:rsidR="00891928" w:rsidRPr="0044528D">
        <w:rPr>
          <w:rFonts w:ascii="Verdana" w:hAnsi="Verdana"/>
        </w:rPr>
        <w:t>Mes</w:t>
      </w:r>
      <w:r w:rsidR="00E413EA">
        <w:rPr>
          <w:rFonts w:ascii="Verdana" w:hAnsi="Verdana"/>
        </w:rPr>
        <w:t>.</w:t>
      </w:r>
      <w:r w:rsidR="00891928" w:rsidRPr="0044528D">
        <w:rPr>
          <w:rFonts w:ascii="Verdana" w:hAnsi="Verdana"/>
        </w:rPr>
        <w:t>NombreCapitalizado</w:t>
      </w:r>
      <w:proofErr w:type="spellEnd"/>
      <w:r w:rsidR="00891928" w:rsidRPr="0044528D">
        <w:rPr>
          <w:rFonts w:ascii="Verdana" w:hAnsi="Verdana"/>
        </w:rPr>
        <w:t>] [Año]</w:t>
      </w:r>
      <w:r w:rsidR="00891928" w:rsidRPr="0044528D">
        <w:rPr>
          <w:rFonts w:ascii="Verdana" w:hAnsi="Verdana"/>
        </w:rPr>
        <w:tab/>
      </w:r>
    </w:p>
    <w:p w14:paraId="0A7948A1" w14:textId="77777777" w:rsidR="00E245AB" w:rsidRPr="0044528D" w:rsidRDefault="00E245AB" w:rsidP="00E245AB">
      <w:pPr>
        <w:spacing w:after="0"/>
        <w:rPr>
          <w:rFonts w:ascii="Verdana" w:hAnsi="Verdana"/>
        </w:rPr>
      </w:pPr>
    </w:p>
    <w:p w14:paraId="69E3F631" w14:textId="1CAE0C49" w:rsidR="00E245AB" w:rsidRPr="0044528D" w:rsidRDefault="002046B6" w:rsidP="00E245AB">
      <w:pPr>
        <w:spacing w:after="0"/>
        <w:rPr>
          <w:rFonts w:ascii="Verdana" w:hAnsi="Verdana"/>
        </w:rPr>
      </w:pPr>
      <w:r w:rsidRPr="002046B6">
        <w:rPr>
          <w:rFonts w:ascii="Verdana" w:eastAsia="Calibri" w:hAnsi="Verdana" w:cs="Arial"/>
          <w:noProof/>
          <w:lang w:val="es-ES" w:eastAsia="es-ES"/>
        </w:rPr>
        <w:drawing>
          <wp:anchor distT="0" distB="0" distL="114300" distR="114300" simplePos="0" relativeHeight="251658240" behindDoc="0" locked="0" layoutInCell="1" allowOverlap="1" wp14:anchorId="152590EE" wp14:editId="5AC654FF">
            <wp:simplePos x="0" y="0"/>
            <wp:positionH relativeFrom="column">
              <wp:posOffset>3282315</wp:posOffset>
            </wp:positionH>
            <wp:positionV relativeFrom="paragraph">
              <wp:posOffset>13970</wp:posOffset>
            </wp:positionV>
            <wp:extent cx="3076575" cy="1025525"/>
            <wp:effectExtent l="0" t="0" r="9525" b="3175"/>
            <wp:wrapNone/>
            <wp:docPr id="13851283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28344" name=""/>
                    <pic:cNvPicPr/>
                  </pic:nvPicPr>
                  <pic:blipFill>
                    <a:blip r:embed="rId11">
                      <a:extLst>
                        <a:ext uri="{28A0092B-C50C-407E-A947-70E740481C1C}">
                          <a14:useLocalDpi xmlns:a14="http://schemas.microsoft.com/office/drawing/2010/main" val="0"/>
                        </a:ext>
                      </a:extLst>
                    </a:blip>
                    <a:stretch>
                      <a:fillRect/>
                    </a:stretch>
                  </pic:blipFill>
                  <pic:spPr>
                    <a:xfrm>
                      <a:off x="0" y="0"/>
                      <a:ext cx="3076575" cy="1025525"/>
                    </a:xfrm>
                    <a:prstGeom prst="rect">
                      <a:avLst/>
                    </a:prstGeom>
                  </pic:spPr>
                </pic:pic>
              </a:graphicData>
            </a:graphic>
            <wp14:sizeRelH relativeFrom="page">
              <wp14:pctWidth>0</wp14:pctWidth>
            </wp14:sizeRelH>
            <wp14:sizeRelV relativeFrom="page">
              <wp14:pctHeight>0</wp14:pctHeight>
            </wp14:sizeRelV>
          </wp:anchor>
        </w:drawing>
      </w:r>
    </w:p>
    <w:p w14:paraId="6968AE5C" w14:textId="27BAAEA8" w:rsidR="00614500" w:rsidRPr="00614500" w:rsidRDefault="00614500" w:rsidP="00614500">
      <w:pPr>
        <w:spacing w:after="0" w:line="240" w:lineRule="auto"/>
        <w:jc w:val="both"/>
        <w:rPr>
          <w:rFonts w:ascii="Verdana" w:eastAsia="Calibri" w:hAnsi="Verdana" w:cs="Arial"/>
          <w:lang w:val="es-ES" w:eastAsia="es-ES"/>
        </w:rPr>
      </w:pPr>
      <w:r w:rsidRPr="00614500">
        <w:rPr>
          <w:rFonts w:ascii="Verdana" w:eastAsia="Calibri" w:hAnsi="Verdana" w:cs="Arial"/>
          <w:lang w:val="es-ES" w:eastAsia="es-ES"/>
        </w:rPr>
        <w:t>Señores</w:t>
      </w:r>
    </w:p>
    <w:p w14:paraId="6FF5E339" w14:textId="66D1E0E8" w:rsidR="00614500" w:rsidRPr="00614500" w:rsidRDefault="00614500" w:rsidP="00614500">
      <w:pPr>
        <w:spacing w:after="0" w:line="240" w:lineRule="auto"/>
        <w:jc w:val="both"/>
        <w:rPr>
          <w:rFonts w:ascii="Verdana" w:eastAsia="Calibri" w:hAnsi="Verdana" w:cs="Arial"/>
          <w:lang w:val="es-ES" w:eastAsia="es-ES"/>
        </w:rPr>
      </w:pPr>
      <w:r w:rsidRPr="00614500">
        <w:rPr>
          <w:rFonts w:ascii="Verdana" w:eastAsia="Calibri" w:hAnsi="Verdana" w:cs="Arial"/>
          <w:lang w:val="es-ES" w:eastAsia="es-ES"/>
        </w:rPr>
        <w:t>FUNDACIÓN AMELIA PERDOMO DE GARCÍA</w:t>
      </w:r>
    </w:p>
    <w:p w14:paraId="471AFFD0" w14:textId="77777777" w:rsidR="00614500" w:rsidRPr="00614500" w:rsidRDefault="00614500" w:rsidP="00614500">
      <w:pPr>
        <w:spacing w:after="0" w:line="240" w:lineRule="auto"/>
        <w:rPr>
          <w:rFonts w:ascii="Verdana" w:hAnsi="Verdana"/>
        </w:rPr>
      </w:pPr>
      <w:r w:rsidRPr="00614500">
        <w:rPr>
          <w:rFonts w:ascii="Verdana" w:hAnsi="Verdana"/>
        </w:rPr>
        <w:t>María Mercedes García Perdomo</w:t>
      </w:r>
    </w:p>
    <w:p w14:paraId="71D49D02" w14:textId="77777777" w:rsidR="00614500" w:rsidRPr="00614500" w:rsidRDefault="00614500" w:rsidP="00614500">
      <w:pPr>
        <w:spacing w:after="0" w:line="240" w:lineRule="auto"/>
        <w:rPr>
          <w:rFonts w:ascii="Verdana" w:hAnsi="Verdana"/>
        </w:rPr>
      </w:pPr>
      <w:r w:rsidRPr="00614500">
        <w:rPr>
          <w:rFonts w:ascii="Verdana" w:hAnsi="Verdana"/>
        </w:rPr>
        <w:t>mariammgp@gmail.com</w:t>
      </w:r>
    </w:p>
    <w:p w14:paraId="04985CC0" w14:textId="77777777" w:rsidR="00614500" w:rsidRPr="00614500" w:rsidRDefault="00614500" w:rsidP="00614500">
      <w:pPr>
        <w:spacing w:after="0" w:line="240" w:lineRule="auto"/>
        <w:rPr>
          <w:rFonts w:ascii="Verdana" w:eastAsia="Calibri" w:hAnsi="Verdana" w:cs="Arial"/>
          <w:b/>
          <w:bCs/>
          <w:lang w:val="es-ES" w:eastAsia="es-ES"/>
        </w:rPr>
      </w:pPr>
      <w:r w:rsidRPr="00614500">
        <w:rPr>
          <w:rFonts w:ascii="Verdana" w:eastAsia="Calibri" w:hAnsi="Verdana" w:cs="Arial"/>
          <w:lang w:val="es-ES" w:eastAsia="es-ES"/>
        </w:rPr>
        <w:t>Puerto Colombia, Atlántico</w:t>
      </w:r>
    </w:p>
    <w:p w14:paraId="642AF183" w14:textId="77777777" w:rsidR="00614500" w:rsidRPr="00614500" w:rsidRDefault="00614500" w:rsidP="00614500">
      <w:pPr>
        <w:spacing w:after="0" w:line="240" w:lineRule="auto"/>
        <w:rPr>
          <w:rFonts w:ascii="Verdana" w:eastAsia="Calibri" w:hAnsi="Verdana" w:cs="Arial"/>
          <w:b/>
          <w:bCs/>
          <w:color w:val="000000"/>
          <w:lang w:val="es-ES_tradnl" w:eastAsia="es-ES_tradnl"/>
        </w:rPr>
      </w:pPr>
    </w:p>
    <w:p w14:paraId="5E801E88" w14:textId="77777777" w:rsidR="00614500" w:rsidRPr="00614500" w:rsidRDefault="00614500" w:rsidP="00614500">
      <w:pPr>
        <w:spacing w:after="0" w:line="240" w:lineRule="auto"/>
        <w:rPr>
          <w:rFonts w:ascii="Verdana" w:eastAsia="Calibri" w:hAnsi="Verdana" w:cs="Arial"/>
          <w:b/>
          <w:bCs/>
          <w:color w:val="000000"/>
          <w:lang w:val="es-ES_tradnl" w:eastAsia="es-ES_tradnl"/>
        </w:rPr>
      </w:pPr>
    </w:p>
    <w:tbl>
      <w:tblPr>
        <w:tblStyle w:val="Tablaconcuadrcula"/>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15"/>
        <w:gridCol w:w="6085"/>
        <w:gridCol w:w="49"/>
      </w:tblGrid>
      <w:tr w:rsidR="00614500" w:rsidRPr="00614500" w14:paraId="1CDDC191" w14:textId="77777777" w:rsidTr="00C4359E">
        <w:trPr>
          <w:gridAfter w:val="1"/>
          <w:wAfter w:w="49" w:type="dxa"/>
          <w:trHeight w:val="884"/>
        </w:trPr>
        <w:tc>
          <w:tcPr>
            <w:tcW w:w="2689" w:type="dxa"/>
          </w:tcPr>
          <w:p w14:paraId="74202F7B" w14:textId="77777777" w:rsidR="00614500" w:rsidRPr="00614500" w:rsidRDefault="00614500" w:rsidP="00614500">
            <w:pPr>
              <w:jc w:val="both"/>
              <w:rPr>
                <w:rFonts w:ascii="Verdana" w:eastAsia="Calibri" w:hAnsi="Verdana" w:cs="Arial"/>
                <w:b/>
                <w:bCs/>
                <w:color w:val="7030A0"/>
                <w:lang w:val="es-ES_tradnl" w:eastAsia="es-ES_tradnl"/>
              </w:rPr>
            </w:pPr>
          </w:p>
        </w:tc>
        <w:tc>
          <w:tcPr>
            <w:tcW w:w="6100" w:type="dxa"/>
            <w:gridSpan w:val="2"/>
          </w:tcPr>
          <w:p w14:paraId="11CA66FD" w14:textId="77777777" w:rsidR="00614500" w:rsidRPr="00614500" w:rsidRDefault="00614500" w:rsidP="00614500">
            <w:pPr>
              <w:jc w:val="both"/>
              <w:rPr>
                <w:rFonts w:ascii="Verdana" w:eastAsia="Calibri" w:hAnsi="Verdana" w:cs="Arial"/>
                <w:b/>
                <w:bCs/>
                <w:color w:val="7030A0"/>
                <w:lang w:val="es-ES" w:eastAsia="es-ES"/>
              </w:rPr>
            </w:pPr>
            <w:r w:rsidRPr="00614500">
              <w:rPr>
                <w:rFonts w:ascii="Verdana" w:eastAsia="Calibri" w:hAnsi="Verdana" w:cs="Arial"/>
                <w:b/>
                <w:bCs/>
                <w:color w:val="000000" w:themeColor="text1"/>
                <w:lang w:val="es-ES" w:eastAsia="es-ES"/>
              </w:rPr>
              <w:t>Concepto C- 349 de 2024</w:t>
            </w:r>
          </w:p>
        </w:tc>
      </w:tr>
      <w:tr w:rsidR="00614500" w:rsidRPr="00614500" w14:paraId="31F3BB47" w14:textId="77777777" w:rsidTr="00C4359E">
        <w:trPr>
          <w:gridAfter w:val="1"/>
          <w:wAfter w:w="49" w:type="dxa"/>
          <w:trHeight w:val="884"/>
        </w:trPr>
        <w:tc>
          <w:tcPr>
            <w:tcW w:w="2689" w:type="dxa"/>
          </w:tcPr>
          <w:p w14:paraId="0257A05C" w14:textId="77777777" w:rsidR="00614500" w:rsidRDefault="00614500" w:rsidP="00614500">
            <w:pPr>
              <w:jc w:val="both"/>
              <w:rPr>
                <w:rFonts w:ascii="Verdana" w:eastAsia="Calibri" w:hAnsi="Verdana" w:cs="Arial"/>
                <w:b/>
                <w:color w:val="000000"/>
                <w:lang w:val="es-ES_tradnl" w:eastAsia="es-ES_tradnl"/>
              </w:rPr>
            </w:pPr>
            <w:r w:rsidRPr="00614500">
              <w:rPr>
                <w:rFonts w:ascii="Verdana" w:eastAsia="Calibri" w:hAnsi="Verdana" w:cs="Arial"/>
                <w:b/>
                <w:color w:val="000000"/>
                <w:lang w:val="es-ES_tradnl" w:eastAsia="es-ES_tradnl"/>
              </w:rPr>
              <w:t>Temas:</w:t>
            </w:r>
            <w:r w:rsidRPr="00614500">
              <w:rPr>
                <w:rFonts w:ascii="Verdana" w:eastAsia="Calibri" w:hAnsi="Verdana" w:cs="Arial"/>
                <w:color w:val="000000"/>
                <w:lang w:val="es-ES_tradnl" w:eastAsia="es-ES_tradnl"/>
              </w:rPr>
              <w:t xml:space="preserve">                   </w:t>
            </w:r>
          </w:p>
          <w:p w14:paraId="76AFA43D" w14:textId="77777777" w:rsidR="00614500" w:rsidRPr="00614500" w:rsidRDefault="00614500" w:rsidP="00614500">
            <w:pPr>
              <w:rPr>
                <w:rFonts w:ascii="Verdana" w:eastAsia="Calibri" w:hAnsi="Verdana" w:cs="Arial"/>
                <w:lang w:val="es-ES_tradnl" w:eastAsia="es-ES_tradnl"/>
              </w:rPr>
            </w:pPr>
          </w:p>
          <w:p w14:paraId="4B3CA88E" w14:textId="77777777" w:rsidR="00614500" w:rsidRPr="00614500" w:rsidRDefault="00614500" w:rsidP="00614500">
            <w:pPr>
              <w:rPr>
                <w:rFonts w:ascii="Verdana" w:eastAsia="Calibri" w:hAnsi="Verdana" w:cs="Arial"/>
                <w:lang w:val="es-ES_tradnl" w:eastAsia="es-ES_tradnl"/>
              </w:rPr>
            </w:pPr>
          </w:p>
        </w:tc>
        <w:tc>
          <w:tcPr>
            <w:tcW w:w="6100" w:type="dxa"/>
            <w:gridSpan w:val="2"/>
          </w:tcPr>
          <w:p w14:paraId="711B2BD2" w14:textId="77777777" w:rsidR="00614500" w:rsidRPr="003F3E19" w:rsidRDefault="00614500" w:rsidP="00614500">
            <w:pPr>
              <w:jc w:val="both"/>
              <w:rPr>
                <w:rFonts w:ascii="Verdana" w:eastAsia="Calibri" w:hAnsi="Verdana" w:cs="Arial"/>
                <w:color w:val="000000" w:themeColor="text1"/>
                <w:lang w:val="es-ES_tradnl"/>
              </w:rPr>
            </w:pPr>
            <w:r w:rsidRPr="003F3E19">
              <w:rPr>
                <w:rFonts w:ascii="Verdana" w:eastAsia="Calibri" w:hAnsi="Verdana" w:cs="Arial"/>
                <w:color w:val="000000" w:themeColor="text1"/>
                <w:lang w:val="es-ES"/>
              </w:rPr>
              <w:t xml:space="preserve">REQUISITOS HABILITANTES </w:t>
            </w:r>
            <w:r w:rsidRPr="003F3E19">
              <w:rPr>
                <w:rFonts w:ascii="Verdana" w:eastAsia="Arial" w:hAnsi="Verdana" w:cs="Arial"/>
                <w:color w:val="000000" w:themeColor="text1"/>
                <w:lang w:val="es-ES"/>
              </w:rPr>
              <w:t xml:space="preserve">– </w:t>
            </w:r>
            <w:r w:rsidRPr="003F3E19">
              <w:rPr>
                <w:rFonts w:ascii="Verdana" w:eastAsia="Calibri" w:hAnsi="Verdana" w:cs="Arial"/>
                <w:color w:val="000000" w:themeColor="text1"/>
                <w:lang w:val="es-ES"/>
              </w:rPr>
              <w:t>Ley 1150 de 2007</w:t>
            </w:r>
            <w:r w:rsidRPr="003F3E19">
              <w:rPr>
                <w:rFonts w:ascii="Verdana" w:eastAsia="Arial" w:hAnsi="Verdana" w:cs="Arial"/>
                <w:color w:val="000000" w:themeColor="text1"/>
                <w:lang w:val="es-ES"/>
              </w:rPr>
              <w:t>/ EXPERIENCIA – Forma de acreditación – Socios – Sociedades con menos de 3 años de constituidas – Decreto 1082 de 2015 /</w:t>
            </w:r>
            <w:r w:rsidRPr="003F3E19">
              <w:rPr>
                <w:rFonts w:ascii="Verdana" w:eastAsia="Calibri" w:hAnsi="Verdana" w:cs="Arial"/>
                <w:color w:val="000000" w:themeColor="text1"/>
                <w:lang w:val="es-ES_tradnl"/>
              </w:rPr>
              <w:t>REGISTRO ÚNICO DE PROPONENTES – Concepto/ RUP – Sujetos obligados</w:t>
            </w:r>
          </w:p>
          <w:p w14:paraId="3A6D0822" w14:textId="77777777" w:rsidR="00614500" w:rsidRPr="00614500" w:rsidRDefault="00614500" w:rsidP="00614500">
            <w:pPr>
              <w:jc w:val="both"/>
              <w:rPr>
                <w:rFonts w:ascii="Verdana" w:eastAsia="Calibri" w:hAnsi="Verdana" w:cs="Arial"/>
                <w:b/>
                <w:bCs/>
                <w:color w:val="000000" w:themeColor="text1"/>
                <w:lang w:val="es-ES_tradnl"/>
              </w:rPr>
            </w:pPr>
          </w:p>
          <w:p w14:paraId="03DDC91C" w14:textId="77777777" w:rsidR="00614500" w:rsidRPr="00614500" w:rsidRDefault="00614500" w:rsidP="00614500">
            <w:pPr>
              <w:widowControl w:val="0"/>
              <w:autoSpaceDE w:val="0"/>
              <w:autoSpaceDN w:val="0"/>
              <w:ind w:right="108"/>
              <w:jc w:val="both"/>
              <w:rPr>
                <w:rFonts w:ascii="Verdana" w:eastAsia="Calibri" w:hAnsi="Verdana" w:cs="Arial"/>
                <w:b/>
                <w:bCs/>
                <w:color w:val="000000" w:themeColor="text1"/>
                <w:lang w:val="es-ES"/>
              </w:rPr>
            </w:pPr>
          </w:p>
          <w:p w14:paraId="6E78F8F5" w14:textId="77777777" w:rsidR="00614500" w:rsidRPr="00614500" w:rsidRDefault="00614500" w:rsidP="00614500">
            <w:pPr>
              <w:spacing w:line="276" w:lineRule="auto"/>
              <w:jc w:val="both"/>
              <w:rPr>
                <w:rFonts w:ascii="Verdana" w:eastAsia="Calibri" w:hAnsi="Verdana" w:cs="Arial"/>
                <w:lang w:val="es-ES" w:eastAsia="es-ES"/>
              </w:rPr>
            </w:pPr>
          </w:p>
        </w:tc>
      </w:tr>
      <w:tr w:rsidR="00614500" w:rsidRPr="00614500" w14:paraId="0F7BC398" w14:textId="77777777" w:rsidTr="00C4359E">
        <w:tc>
          <w:tcPr>
            <w:tcW w:w="2704" w:type="dxa"/>
            <w:gridSpan w:val="2"/>
          </w:tcPr>
          <w:p w14:paraId="6E645866" w14:textId="77777777" w:rsidR="00614500" w:rsidRPr="00614500" w:rsidRDefault="00614500" w:rsidP="00614500">
            <w:pPr>
              <w:jc w:val="both"/>
              <w:rPr>
                <w:rFonts w:ascii="Verdana" w:eastAsia="Calibri" w:hAnsi="Verdana" w:cs="Arial"/>
                <w:b/>
                <w:color w:val="000000" w:themeColor="text1"/>
                <w:lang w:val="es-ES_tradnl" w:eastAsia="es-ES_tradnl"/>
              </w:rPr>
            </w:pPr>
            <w:r w:rsidRPr="00614500">
              <w:rPr>
                <w:rFonts w:ascii="Verdana" w:eastAsia="Calibri" w:hAnsi="Verdana" w:cs="Arial"/>
                <w:b/>
                <w:color w:val="000000" w:themeColor="text1"/>
                <w:lang w:val="es-ES_tradnl" w:eastAsia="es-ES_tradnl"/>
              </w:rPr>
              <w:t>Radicación:</w:t>
            </w:r>
            <w:r w:rsidRPr="00614500">
              <w:rPr>
                <w:rFonts w:ascii="Verdana" w:eastAsia="Calibri" w:hAnsi="Verdana" w:cs="Arial"/>
                <w:color w:val="000000" w:themeColor="text1"/>
                <w:lang w:val="es-ES_tradnl" w:eastAsia="es-ES_tradnl"/>
              </w:rPr>
              <w:t xml:space="preserve">               </w:t>
            </w:r>
          </w:p>
        </w:tc>
        <w:tc>
          <w:tcPr>
            <w:tcW w:w="6134" w:type="dxa"/>
            <w:gridSpan w:val="2"/>
          </w:tcPr>
          <w:p w14:paraId="1AA03772" w14:textId="77777777" w:rsidR="00614500" w:rsidRPr="00614500" w:rsidRDefault="00614500" w:rsidP="00614500">
            <w:pPr>
              <w:jc w:val="both"/>
              <w:rPr>
                <w:rFonts w:ascii="Verdana" w:eastAsia="Calibri" w:hAnsi="Verdana" w:cs="Arial"/>
                <w:color w:val="000000" w:themeColor="text1"/>
                <w:lang w:val="es-ES_tradnl" w:eastAsia="es-ES_tradnl"/>
              </w:rPr>
            </w:pPr>
            <w:r w:rsidRPr="00614500">
              <w:rPr>
                <w:rFonts w:ascii="Verdana" w:eastAsia="Calibri" w:hAnsi="Verdana" w:cs="Arial"/>
                <w:color w:val="000000" w:themeColor="text1"/>
                <w:lang w:val="es-ES_tradnl" w:eastAsia="es-ES_tradnl"/>
              </w:rPr>
              <w:t>Respuesta a consulta con radicado No. P20240717007266</w:t>
            </w:r>
          </w:p>
        </w:tc>
      </w:tr>
    </w:tbl>
    <w:p w14:paraId="1A0B5405" w14:textId="77777777" w:rsidR="00614500" w:rsidRPr="00614500" w:rsidRDefault="00614500" w:rsidP="00614500">
      <w:pPr>
        <w:spacing w:after="0" w:line="240" w:lineRule="auto"/>
        <w:jc w:val="both"/>
        <w:rPr>
          <w:rFonts w:ascii="Verdana" w:eastAsia="Calibri" w:hAnsi="Verdana" w:cs="Arial"/>
          <w:color w:val="000000"/>
          <w:lang w:val="es-ES_tradnl" w:eastAsia="es-ES_tradnl"/>
        </w:rPr>
      </w:pPr>
    </w:p>
    <w:p w14:paraId="3FA30754" w14:textId="77777777" w:rsidR="00614500" w:rsidRPr="00614500" w:rsidRDefault="00614500" w:rsidP="00614500">
      <w:pPr>
        <w:spacing w:after="0" w:line="240" w:lineRule="auto"/>
        <w:jc w:val="both"/>
        <w:rPr>
          <w:rFonts w:ascii="Verdana" w:eastAsia="Calibri" w:hAnsi="Verdana" w:cs="Arial"/>
          <w:color w:val="000000"/>
          <w:lang w:val="es-ES_tradnl" w:eastAsia="es-ES_tradnl"/>
        </w:rPr>
      </w:pPr>
    </w:p>
    <w:p w14:paraId="6C5CEE3D" w14:textId="77777777" w:rsidR="00614500" w:rsidRPr="00614500" w:rsidRDefault="00614500" w:rsidP="00614500">
      <w:pPr>
        <w:spacing w:after="0" w:line="276" w:lineRule="auto"/>
        <w:jc w:val="both"/>
        <w:rPr>
          <w:rFonts w:ascii="Verdana" w:eastAsia="Calibri" w:hAnsi="Verdana" w:cs="Arial"/>
          <w:color w:val="000000" w:themeColor="text1"/>
          <w:lang w:val="es-ES" w:eastAsia="es-ES"/>
        </w:rPr>
      </w:pPr>
      <w:r w:rsidRPr="00614500">
        <w:rPr>
          <w:rFonts w:ascii="Verdana" w:eastAsia="Calibri" w:hAnsi="Verdana" w:cs="Arial"/>
          <w:color w:val="000000" w:themeColor="text1"/>
          <w:lang w:val="es-ES" w:eastAsia="es-ES"/>
        </w:rPr>
        <w:t xml:space="preserve">Estimada señora García: </w:t>
      </w:r>
    </w:p>
    <w:p w14:paraId="442C9A5D" w14:textId="77777777" w:rsidR="00614500" w:rsidRPr="00614500" w:rsidRDefault="00614500" w:rsidP="00614500">
      <w:pPr>
        <w:tabs>
          <w:tab w:val="left" w:pos="3768"/>
        </w:tabs>
        <w:spacing w:after="0" w:line="276" w:lineRule="auto"/>
        <w:jc w:val="both"/>
        <w:rPr>
          <w:rFonts w:ascii="Verdana" w:eastAsia="Calibri" w:hAnsi="Verdana" w:cs="Arial"/>
          <w:color w:val="000000" w:themeColor="text1"/>
          <w:lang w:val="es-ES" w:eastAsia="es-ES"/>
        </w:rPr>
      </w:pPr>
      <w:r w:rsidRPr="00614500">
        <w:rPr>
          <w:rFonts w:ascii="Verdana" w:eastAsia="Calibri" w:hAnsi="Verdana" w:cs="Arial"/>
          <w:color w:val="000000" w:themeColor="text1"/>
          <w:lang w:val="es-ES" w:eastAsia="es-ES"/>
        </w:rPr>
        <w:tab/>
      </w:r>
    </w:p>
    <w:p w14:paraId="7E2AB387" w14:textId="77777777" w:rsidR="00614500" w:rsidRPr="00614500" w:rsidRDefault="00614500" w:rsidP="00614500">
      <w:pPr>
        <w:spacing w:after="0" w:line="276" w:lineRule="auto"/>
        <w:jc w:val="both"/>
        <w:rPr>
          <w:rFonts w:ascii="Verdana" w:eastAsia="Calibri" w:hAnsi="Verdana" w:cs="Arial"/>
          <w:color w:val="7030A0"/>
          <w:lang w:val="es-ES" w:eastAsia="es-ES"/>
        </w:rPr>
      </w:pPr>
      <w:r w:rsidRPr="00614500">
        <w:rPr>
          <w:rFonts w:ascii="Verdana" w:eastAsia="Calibri" w:hAnsi="Verdana" w:cs="Arial"/>
          <w:color w:val="000000" w:themeColor="text1"/>
          <w:lang w:val="es-ES" w:eastAsia="es-ES"/>
        </w:rPr>
        <w:t>En ejercicio de la competencia otorgada por los artículos 3, numeral 5º, y 11, numeral 8º, del Decreto Ley 4170 de 2011,</w:t>
      </w:r>
      <w:r w:rsidRPr="00614500">
        <w:rPr>
          <w:rFonts w:ascii="Verdana" w:eastAsia="Arial MT" w:hAnsi="Verdana" w:cs="Arial MT"/>
          <w:lang w:val="es-ES" w:eastAsia="es-ES"/>
        </w:rPr>
        <w:t xml:space="preserve"> </w:t>
      </w:r>
      <w:r w:rsidRPr="00614500">
        <w:rPr>
          <w:rFonts w:ascii="Verdana" w:hAnsi="Verdana" w:cs="Arial"/>
        </w:rPr>
        <w:t xml:space="preserve">así como lo establecido en el artículo 4 de la Resolución 1707 de 2018 expedida por esta Entidad, </w:t>
      </w:r>
      <w:r w:rsidRPr="00614500">
        <w:rPr>
          <w:rFonts w:ascii="Verdana" w:eastAsia="Calibri" w:hAnsi="Verdana" w:cs="Arial"/>
          <w:color w:val="000000" w:themeColor="text1"/>
          <w:lang w:val="es-ES" w:eastAsia="es-ES"/>
        </w:rPr>
        <w:t xml:space="preserve">la Agencia Nacional de Contratación </w:t>
      </w:r>
      <w:r w:rsidRPr="00614500">
        <w:rPr>
          <w:rFonts w:ascii="Verdana" w:eastAsia="Calibri" w:hAnsi="Verdana" w:cs="Arial"/>
          <w:lang w:val="es-ES" w:eastAsia="es-ES"/>
        </w:rPr>
        <w:t xml:space="preserve">Pública – Colombia Compra Eficiente– responde su solicitud de consulta de fecha 17 de julio de 2024, en la cual manifiesta lo siguiente: </w:t>
      </w:r>
    </w:p>
    <w:p w14:paraId="473648C4" w14:textId="77777777" w:rsidR="00614500" w:rsidRPr="00614500" w:rsidRDefault="00614500" w:rsidP="00614500">
      <w:pPr>
        <w:tabs>
          <w:tab w:val="left" w:pos="142"/>
          <w:tab w:val="left" w:pos="284"/>
        </w:tabs>
        <w:spacing w:line="276" w:lineRule="auto"/>
        <w:contextualSpacing/>
        <w:jc w:val="both"/>
        <w:rPr>
          <w:rFonts w:ascii="Verdana" w:eastAsia="Century Gothic" w:hAnsi="Verdana" w:cs="Century Gothic"/>
          <w:b/>
          <w:bCs/>
          <w:lang w:val="es-ES"/>
        </w:rPr>
      </w:pPr>
    </w:p>
    <w:p w14:paraId="08925176" w14:textId="77777777" w:rsidR="00614500" w:rsidRPr="00614500" w:rsidRDefault="00614500" w:rsidP="00614500">
      <w:pPr>
        <w:spacing w:after="0" w:line="240" w:lineRule="auto"/>
        <w:ind w:left="709" w:right="709"/>
        <w:jc w:val="both"/>
        <w:rPr>
          <w:rFonts w:ascii="Verdana" w:eastAsia="Century Gothic" w:hAnsi="Verdana" w:cs="Century Gothic"/>
          <w:lang w:val="es-ES"/>
        </w:rPr>
      </w:pPr>
      <w:bookmarkStart w:id="1" w:name="_Hlk95313578"/>
      <w:r w:rsidRPr="00614500">
        <w:rPr>
          <w:rFonts w:ascii="Verdana" w:eastAsia="Century Gothic" w:hAnsi="Verdana" w:cs="Century Gothic"/>
          <w:lang w:val="es-ES"/>
        </w:rPr>
        <w:t>“</w:t>
      </w:r>
      <w:r w:rsidRPr="00614500">
        <w:rPr>
          <w:rFonts w:ascii="Verdana" w:hAnsi="Verdana"/>
        </w:rPr>
        <w:t>¿En un proceso de contratación la entidad contratante debe valer la experiencia de los socios fundadores de un proponente con menos de tres años de constitución, aun cuando dentro de los requisitos no se solicite el registro único de proponente?</w:t>
      </w:r>
      <w:r w:rsidRPr="00614500">
        <w:rPr>
          <w:rFonts w:ascii="Verdana" w:eastAsia="Century Gothic" w:hAnsi="Verdana" w:cs="Century Gothic"/>
          <w:lang w:val="es-ES"/>
        </w:rPr>
        <w:t>”</w:t>
      </w:r>
      <w:bookmarkEnd w:id="1"/>
      <w:r w:rsidRPr="00614500">
        <w:rPr>
          <w:rFonts w:ascii="Verdana" w:eastAsia="Century Gothic" w:hAnsi="Verdana" w:cs="Century Gothic"/>
          <w:lang w:val="es-ES"/>
        </w:rPr>
        <w:t>.</w:t>
      </w:r>
    </w:p>
    <w:p w14:paraId="704BCF91" w14:textId="77777777" w:rsidR="00614500" w:rsidRPr="00614500" w:rsidRDefault="00614500" w:rsidP="00614500">
      <w:pPr>
        <w:tabs>
          <w:tab w:val="left" w:pos="142"/>
          <w:tab w:val="left" w:pos="284"/>
        </w:tabs>
        <w:spacing w:line="276" w:lineRule="auto"/>
        <w:contextualSpacing/>
        <w:jc w:val="both"/>
        <w:rPr>
          <w:rFonts w:ascii="Verdana" w:eastAsia="Century Gothic" w:hAnsi="Verdana" w:cs="Century Gothic"/>
          <w:b/>
          <w:bCs/>
          <w:lang w:val="es-ES"/>
        </w:rPr>
      </w:pPr>
    </w:p>
    <w:p w14:paraId="2766D441" w14:textId="77777777" w:rsidR="00614500" w:rsidRPr="00614500" w:rsidRDefault="00614500" w:rsidP="00614500">
      <w:pPr>
        <w:spacing w:after="120" w:line="276" w:lineRule="auto"/>
        <w:ind w:firstLine="709"/>
        <w:jc w:val="both"/>
        <w:rPr>
          <w:rFonts w:ascii="Verdana" w:eastAsia="Calibri" w:hAnsi="Verdana" w:cs="Arial"/>
          <w:color w:val="000000"/>
          <w:szCs w:val="24"/>
          <w:lang w:val="es-ES_tradnl" w:eastAsia="es-ES_tradnl"/>
        </w:rPr>
      </w:pPr>
      <w:r w:rsidRPr="00614500">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614500">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614500">
        <w:rPr>
          <w:rFonts w:ascii="Verdana" w:eastAsia="Calibri" w:hAnsi="Verdana" w:cs="Arial"/>
          <w:color w:val="000000"/>
          <w:szCs w:val="24"/>
          <w:lang w:val="es-ES_tradnl" w:eastAsia="es-ES_tradnl"/>
        </w:rPr>
        <w:tab/>
      </w:r>
    </w:p>
    <w:p w14:paraId="2EE98EB7" w14:textId="77777777" w:rsidR="00614500" w:rsidRPr="00614500" w:rsidRDefault="00614500" w:rsidP="00614500">
      <w:pPr>
        <w:spacing w:after="0" w:line="276" w:lineRule="auto"/>
        <w:ind w:firstLine="709"/>
        <w:jc w:val="both"/>
        <w:rPr>
          <w:rFonts w:ascii="Verdana" w:eastAsia="Calibri" w:hAnsi="Verdana" w:cs="Arial"/>
          <w:color w:val="000000"/>
          <w:lang w:val="es-ES" w:eastAsia="es-ES"/>
        </w:rPr>
      </w:pPr>
      <w:r w:rsidRPr="00614500">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614500">
        <w:rPr>
          <w:rFonts w:ascii="Verdana" w:eastAsia="Calibri" w:hAnsi="Verdana" w:cs="Arial"/>
          <w:lang w:val="es-ES" w:eastAsia="es-ES"/>
        </w:rPr>
        <w:t xml:space="preserve"> problema </w:t>
      </w:r>
      <w:r w:rsidRPr="00614500">
        <w:rPr>
          <w:rFonts w:ascii="Verdana" w:eastAsia="Calibri" w:hAnsi="Verdana" w:cs="Arial"/>
          <w:color w:val="000000"/>
          <w:lang w:val="es-ES" w:eastAsia="es-ES"/>
        </w:rPr>
        <w:t>jurídico</w:t>
      </w:r>
      <w:r w:rsidRPr="00614500">
        <w:rPr>
          <w:rFonts w:ascii="Verdana" w:eastAsia="Calibri" w:hAnsi="Verdana" w:cs="Arial"/>
          <w:color w:val="7030A0"/>
          <w:lang w:val="es-ES" w:eastAsia="es-ES"/>
        </w:rPr>
        <w:t xml:space="preserve"> </w:t>
      </w:r>
      <w:r w:rsidRPr="00614500">
        <w:rPr>
          <w:rFonts w:ascii="Verdana" w:eastAsia="Calibri" w:hAnsi="Verdana" w:cs="Arial"/>
          <w:color w:val="000000"/>
          <w:lang w:val="es-ES" w:eastAsia="es-ES"/>
        </w:rPr>
        <w:t xml:space="preserve">de su consulta. </w:t>
      </w:r>
    </w:p>
    <w:p w14:paraId="5114D8CC" w14:textId="77777777" w:rsidR="00614500" w:rsidRPr="00614500" w:rsidRDefault="00614500" w:rsidP="00614500">
      <w:pPr>
        <w:spacing w:after="0" w:line="276" w:lineRule="auto"/>
        <w:ind w:firstLine="709"/>
        <w:jc w:val="both"/>
        <w:rPr>
          <w:rFonts w:ascii="Verdana" w:eastAsia="Calibri" w:hAnsi="Verdana" w:cs="Arial"/>
          <w:color w:val="000000"/>
          <w:lang w:val="es-ES" w:eastAsia="es-ES"/>
        </w:rPr>
      </w:pPr>
    </w:p>
    <w:p w14:paraId="27CDED8B" w14:textId="77777777" w:rsidR="00614500" w:rsidRPr="00614500" w:rsidRDefault="00614500" w:rsidP="00614500">
      <w:pPr>
        <w:numPr>
          <w:ilvl w:val="0"/>
          <w:numId w:val="16"/>
        </w:numPr>
        <w:tabs>
          <w:tab w:val="left" w:pos="142"/>
          <w:tab w:val="left" w:pos="284"/>
        </w:tabs>
        <w:spacing w:after="0" w:line="276" w:lineRule="auto"/>
        <w:ind w:left="0" w:firstLine="0"/>
        <w:contextualSpacing/>
        <w:jc w:val="both"/>
        <w:rPr>
          <w:rFonts w:ascii="Verdana" w:eastAsia="Century Gothic" w:hAnsi="Verdana" w:cs="Century Gothic"/>
          <w:b/>
          <w:bCs/>
          <w:lang w:val="es-ES"/>
        </w:rPr>
      </w:pPr>
      <w:r w:rsidRPr="00614500">
        <w:rPr>
          <w:rFonts w:ascii="Verdana" w:eastAsia="Century Gothic" w:hAnsi="Verdana" w:cs="Century Gothic"/>
          <w:b/>
          <w:bCs/>
          <w:lang w:val="es-ES"/>
        </w:rPr>
        <w:t>Problema planteado:</w:t>
      </w:r>
    </w:p>
    <w:p w14:paraId="221EA266" w14:textId="77777777" w:rsidR="00614500" w:rsidRPr="00614500" w:rsidRDefault="00614500" w:rsidP="00614500">
      <w:pPr>
        <w:tabs>
          <w:tab w:val="left" w:pos="426"/>
        </w:tabs>
        <w:spacing w:after="0" w:line="276" w:lineRule="auto"/>
        <w:jc w:val="both"/>
        <w:rPr>
          <w:rFonts w:ascii="Verdana" w:eastAsia="Century Gothic" w:hAnsi="Verdana" w:cs="Century Gothic"/>
          <w:lang w:val="es-ES"/>
        </w:rPr>
      </w:pPr>
    </w:p>
    <w:p w14:paraId="0C48DFAD" w14:textId="604086E2" w:rsidR="00614500" w:rsidRPr="00614500" w:rsidRDefault="00614500" w:rsidP="00614500">
      <w:pPr>
        <w:spacing w:after="0" w:line="240" w:lineRule="auto"/>
        <w:ind w:left="709" w:right="709"/>
        <w:jc w:val="both"/>
        <w:rPr>
          <w:rFonts w:ascii="Verdana" w:eastAsia="Century Gothic" w:hAnsi="Verdana" w:cs="Century Gothic"/>
          <w:color w:val="7030A0"/>
          <w:lang w:val="es-ES"/>
        </w:rPr>
      </w:pPr>
      <w:r w:rsidRPr="00614500">
        <w:rPr>
          <w:rFonts w:ascii="Verdana" w:eastAsia="Century Gothic" w:hAnsi="Verdana" w:cs="Century Gothic"/>
        </w:rPr>
        <w:t xml:space="preserve">De acuerdo con el contenido de su solicitud, esta Agencia resolverá el siguiente problema jurídico: </w:t>
      </w:r>
      <w:r w:rsidRPr="00614500">
        <w:rPr>
          <w:rFonts w:ascii="Verdana" w:hAnsi="Verdana"/>
        </w:rPr>
        <w:t>¿En un proceso de contratación Pública, la entidad contratante puede valer la experiencia de los socios fundadores de un proponente con menos de tres años de constitución, aun cuando dentro de los requisitos no se solicite el registro único de proponente?</w:t>
      </w:r>
      <w:r w:rsidRPr="00614500">
        <w:rPr>
          <w:rFonts w:ascii="Verdana" w:eastAsia="Century Gothic" w:hAnsi="Verdana" w:cs="Century Gothic"/>
          <w:lang w:val="es-ES"/>
        </w:rPr>
        <w:t>”.</w:t>
      </w:r>
    </w:p>
    <w:p w14:paraId="62B9A14C" w14:textId="77777777" w:rsidR="00614500" w:rsidRPr="00614500" w:rsidRDefault="00614500" w:rsidP="00614500">
      <w:pPr>
        <w:spacing w:after="0" w:line="276" w:lineRule="auto"/>
        <w:jc w:val="both"/>
        <w:rPr>
          <w:rFonts w:ascii="Verdana" w:eastAsia="Century Gothic" w:hAnsi="Verdana" w:cs="Century Gothic"/>
        </w:rPr>
      </w:pPr>
    </w:p>
    <w:p w14:paraId="066DDC52" w14:textId="77777777" w:rsidR="00614500" w:rsidRPr="00614500" w:rsidRDefault="00614500" w:rsidP="00614500">
      <w:pPr>
        <w:spacing w:after="0" w:line="276" w:lineRule="auto"/>
        <w:jc w:val="both"/>
        <w:rPr>
          <w:rFonts w:ascii="Verdana" w:eastAsia="Calibri" w:hAnsi="Verdana" w:cs="Arial"/>
          <w:color w:val="7030A0"/>
          <w:lang w:val="es-ES"/>
        </w:rPr>
      </w:pPr>
    </w:p>
    <w:p w14:paraId="3FA9E4FF" w14:textId="77777777" w:rsidR="00614500" w:rsidRPr="00614500" w:rsidRDefault="00614500" w:rsidP="0061450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Respuesta:</w:t>
      </w:r>
    </w:p>
    <w:p w14:paraId="73C2CEBE" w14:textId="77777777" w:rsidR="00614500" w:rsidRPr="00614500" w:rsidRDefault="00614500" w:rsidP="00614500">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614500" w:rsidRPr="00614500" w14:paraId="23B0B261" w14:textId="77777777" w:rsidTr="00A07413">
        <w:tc>
          <w:tcPr>
            <w:tcW w:w="8828" w:type="dxa"/>
            <w:shd w:val="clear" w:color="auto" w:fill="auto"/>
          </w:tcPr>
          <w:p w14:paraId="13825380" w14:textId="77777777" w:rsidR="00614500" w:rsidRPr="00614500" w:rsidRDefault="00614500" w:rsidP="00614500">
            <w:pPr>
              <w:spacing w:line="276" w:lineRule="auto"/>
              <w:jc w:val="both"/>
              <w:rPr>
                <w:rFonts w:ascii="Verdana" w:hAnsi="Verdana"/>
              </w:rPr>
            </w:pPr>
          </w:p>
          <w:p w14:paraId="06593FB2" w14:textId="77777777" w:rsidR="00C207B6" w:rsidRDefault="00157C28" w:rsidP="00614500">
            <w:pPr>
              <w:spacing w:line="276" w:lineRule="auto"/>
              <w:jc w:val="both"/>
              <w:rPr>
                <w:rFonts w:ascii="Verdana" w:eastAsia="Arial" w:hAnsi="Verdana"/>
              </w:rPr>
            </w:pPr>
            <w:bookmarkStart w:id="2" w:name="_Hlk173925002"/>
            <w:r w:rsidRPr="00157C28">
              <w:rPr>
                <w:rFonts w:ascii="Verdana" w:eastAsia="Arial" w:hAnsi="Verdana"/>
              </w:rPr>
              <w:t>Al respecto, es necesario precisar que en primera medida la experiencia es inherente a la persona que la ha obtenido, razón por la cual es intransferible en virtud de su carácter personalísimo, por disposición legal o reglamentaria.</w:t>
            </w:r>
          </w:p>
          <w:p w14:paraId="6BA24AD2" w14:textId="77777777" w:rsidR="00C207B6" w:rsidRDefault="00C207B6" w:rsidP="00614500">
            <w:pPr>
              <w:spacing w:line="276" w:lineRule="auto"/>
              <w:jc w:val="both"/>
              <w:rPr>
                <w:rFonts w:ascii="Verdana" w:eastAsia="Arial" w:hAnsi="Verdana"/>
              </w:rPr>
            </w:pPr>
          </w:p>
          <w:p w14:paraId="3C9607E6" w14:textId="76694903" w:rsidR="00157C28" w:rsidRPr="00661DA1" w:rsidRDefault="00157C28" w:rsidP="00614500">
            <w:pPr>
              <w:spacing w:line="276" w:lineRule="auto"/>
              <w:jc w:val="both"/>
              <w:rPr>
                <w:rFonts w:ascii="Verdana" w:eastAsia="Arial" w:hAnsi="Verdana"/>
              </w:rPr>
            </w:pPr>
            <w:r w:rsidRPr="00157C28">
              <w:rPr>
                <w:rFonts w:ascii="Verdana" w:eastAsia="Arial" w:hAnsi="Verdana"/>
              </w:rPr>
              <w:t xml:space="preserve"> No obstante, en caso excepcional con el fin de garantizar la competitividad y concurrencia, se podrá</w:t>
            </w:r>
            <w:r>
              <w:rPr>
                <w:rFonts w:ascii="Verdana" w:eastAsia="Arial" w:hAnsi="Verdana"/>
              </w:rPr>
              <w:t xml:space="preserve"> </w:t>
            </w:r>
            <w:r w:rsidRPr="00157C28">
              <w:rPr>
                <w:rFonts w:ascii="Verdana" w:eastAsia="Arial" w:hAnsi="Verdana"/>
              </w:rPr>
              <w:t>acreditar la experiencia de sus accionistas, socios o constituyentes cuando la constitución sea menor a tres (03) años, tal y como lo contemplado el numeral 2.5 artículo 2.2.1.1.1.5.2 del Decreto 1082 de 2015</w:t>
            </w:r>
            <w:r>
              <w:rPr>
                <w:rStyle w:val="Refdenotaalpie"/>
                <w:rFonts w:ascii="Verdana" w:eastAsia="Arial" w:hAnsi="Verdana"/>
              </w:rPr>
              <w:footnoteReference w:id="1"/>
            </w:r>
            <w:r w:rsidR="00C207B6">
              <w:rPr>
                <w:rFonts w:ascii="Verdana" w:eastAsia="Arial" w:hAnsi="Verdana"/>
              </w:rPr>
              <w:t>.</w:t>
            </w:r>
          </w:p>
          <w:p w14:paraId="0ED025CC" w14:textId="77777777" w:rsidR="00157C28" w:rsidRDefault="00157C28" w:rsidP="00614500">
            <w:pPr>
              <w:spacing w:line="276" w:lineRule="auto"/>
              <w:jc w:val="both"/>
              <w:rPr>
                <w:rFonts w:ascii="Verdana" w:eastAsia="Arial" w:hAnsi="Verdana"/>
                <w:lang w:val="es-ES"/>
              </w:rPr>
            </w:pPr>
          </w:p>
          <w:p w14:paraId="09CA0E60" w14:textId="448C398A" w:rsidR="00614500" w:rsidRPr="00614500" w:rsidRDefault="00614500" w:rsidP="00614500">
            <w:pPr>
              <w:spacing w:line="276" w:lineRule="auto"/>
              <w:jc w:val="both"/>
              <w:rPr>
                <w:rFonts w:ascii="Verdana" w:eastAsia="Arial" w:hAnsi="Verdana"/>
                <w:lang w:val="es-ES"/>
              </w:rPr>
            </w:pPr>
            <w:r w:rsidRPr="00614500">
              <w:rPr>
                <w:rFonts w:ascii="Verdana" w:eastAsia="Arial" w:hAnsi="Verdana"/>
                <w:lang w:val="es-ES"/>
              </w:rPr>
              <w:t>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2796272F" w14:textId="77777777" w:rsidR="00614500" w:rsidRDefault="00614500" w:rsidP="00614500">
            <w:pPr>
              <w:spacing w:line="276" w:lineRule="auto"/>
              <w:jc w:val="both"/>
              <w:rPr>
                <w:rFonts w:ascii="Verdana" w:hAnsi="Verdana"/>
              </w:rPr>
            </w:pPr>
          </w:p>
          <w:p w14:paraId="2B2FE408" w14:textId="4E8F5FF7" w:rsidR="00157C28" w:rsidRDefault="00157C28" w:rsidP="00614500">
            <w:pPr>
              <w:spacing w:line="276" w:lineRule="auto"/>
              <w:jc w:val="both"/>
              <w:rPr>
                <w:rFonts w:ascii="Verdana" w:hAnsi="Verdana"/>
              </w:rPr>
            </w:pPr>
            <w:r>
              <w:rPr>
                <w:rFonts w:ascii="Verdana" w:hAnsi="Verdana"/>
              </w:rPr>
              <w:t>Ahora bien, d</w:t>
            </w:r>
            <w:r w:rsidRPr="00157C28">
              <w:rPr>
                <w:rFonts w:ascii="Verdana" w:hAnsi="Verdana"/>
              </w:rPr>
              <w:t xml:space="preserve">e conformidad con el artículo 6 de la Ley 1150 de 2007, se establece que </w:t>
            </w:r>
            <w:r w:rsidR="00C207B6" w:rsidRPr="00157C28">
              <w:rPr>
                <w:rFonts w:ascii="Verdana" w:hAnsi="Verdana"/>
              </w:rPr>
              <w:t>“todas</w:t>
            </w:r>
            <w:r w:rsidRPr="00157C28">
              <w:rPr>
                <w:rFonts w:ascii="Verdana" w:hAnsi="Verdana"/>
              </w:rPr>
              <w:t xml:space="preserve"> las personas naturales o jurídicas, nacionales o extranjeras, domiciliadas o con sucursal en Colombia, que aspiren celebrar contratos con las entidades estatales, deberán estar inscritas en el Registro Único de Proponentes</w:t>
            </w:r>
            <w:r w:rsidR="00D84423">
              <w:rPr>
                <w:rFonts w:ascii="Verdana" w:hAnsi="Verdana"/>
              </w:rPr>
              <w:t xml:space="preserve"> </w:t>
            </w:r>
            <w:r w:rsidRPr="00157C28">
              <w:rPr>
                <w:rFonts w:ascii="Verdana" w:hAnsi="Verdana"/>
              </w:rPr>
              <w:t>(RUP)</w:t>
            </w:r>
            <w:r w:rsidR="00D84423">
              <w:rPr>
                <w:rFonts w:ascii="Verdana" w:hAnsi="Verdana"/>
              </w:rPr>
              <w:t>”</w:t>
            </w:r>
            <w:r w:rsidRPr="00157C28">
              <w:rPr>
                <w:rFonts w:ascii="Verdana" w:hAnsi="Verdana"/>
              </w:rPr>
              <w:t xml:space="preserve">. En dicho registro constará la información relacionada con la experiencia, capacidad jurídica, financiera y de organización del proponente y su clasificación. </w:t>
            </w:r>
          </w:p>
          <w:p w14:paraId="261E8860" w14:textId="77777777" w:rsidR="00157C28" w:rsidRDefault="00157C28" w:rsidP="00614500">
            <w:pPr>
              <w:spacing w:line="276" w:lineRule="auto"/>
              <w:jc w:val="both"/>
              <w:rPr>
                <w:rFonts w:ascii="Verdana" w:hAnsi="Verdana"/>
              </w:rPr>
            </w:pPr>
          </w:p>
          <w:p w14:paraId="48E1E99A" w14:textId="77777777" w:rsidR="00157C28" w:rsidRDefault="00157C28" w:rsidP="00614500">
            <w:pPr>
              <w:spacing w:line="276" w:lineRule="auto"/>
              <w:jc w:val="both"/>
              <w:rPr>
                <w:rFonts w:ascii="Verdana" w:hAnsi="Verdana"/>
                <w:i/>
                <w:iCs/>
              </w:rPr>
            </w:pPr>
            <w:r>
              <w:rPr>
                <w:rFonts w:ascii="Verdana" w:hAnsi="Verdana"/>
              </w:rPr>
              <w:t xml:space="preserve">No obstante lo anterior, </w:t>
            </w:r>
            <w:r w:rsidRPr="00157C28">
              <w:rPr>
                <w:rFonts w:ascii="Verdana" w:hAnsi="Verdana"/>
              </w:rPr>
              <w:t xml:space="preserve"> la norma ibidem también prescribe que </w:t>
            </w:r>
            <w:r w:rsidRPr="00661DA1">
              <w:rPr>
                <w:rFonts w:ascii="Verdana" w:hAnsi="Verdana"/>
                <w:i/>
                <w:iCs/>
              </w:rPr>
              <w:t>“ 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r>
              <w:rPr>
                <w:rFonts w:ascii="Verdana" w:hAnsi="Verdana"/>
                <w:i/>
                <w:iCs/>
              </w:rPr>
              <w:t xml:space="preserve">”. </w:t>
            </w:r>
          </w:p>
          <w:p w14:paraId="34F41E28" w14:textId="77777777" w:rsidR="00157C28" w:rsidRDefault="00157C28" w:rsidP="00614500">
            <w:pPr>
              <w:spacing w:line="276" w:lineRule="auto"/>
              <w:jc w:val="both"/>
              <w:rPr>
                <w:rFonts w:ascii="Verdana" w:hAnsi="Verdana"/>
              </w:rPr>
            </w:pPr>
          </w:p>
          <w:p w14:paraId="5B154566" w14:textId="0EFB531E" w:rsidR="00615C36" w:rsidRDefault="00157C28" w:rsidP="00614500">
            <w:pPr>
              <w:spacing w:line="276" w:lineRule="auto"/>
              <w:jc w:val="both"/>
              <w:rPr>
                <w:rFonts w:ascii="Verdana" w:hAnsi="Verdana"/>
              </w:rPr>
            </w:pPr>
            <w:r w:rsidRPr="00157C28">
              <w:rPr>
                <w:rFonts w:ascii="Verdana" w:hAnsi="Verdana"/>
              </w:rPr>
              <w:t>De conformidad con los casos señalados por la norma anteriormente citada, las entidades estatales en los documentos precontractuales definirán las condiciones de las certificaciones que deberán aportar los interesados en el proceso de contratación indicando los datos que requiere para validar la experiencia solicitada</w:t>
            </w:r>
            <w:r w:rsidR="00615C36">
              <w:rPr>
                <w:rFonts w:ascii="Verdana" w:hAnsi="Verdana"/>
              </w:rPr>
              <w:t>, por lo cual le corresponde a la Entidad contratante establecer las condiciones relacionadas con la acreditación de la experiencia</w:t>
            </w:r>
            <w:r w:rsidR="00C207B6">
              <w:rPr>
                <w:rFonts w:ascii="Verdana" w:hAnsi="Verdana"/>
              </w:rPr>
              <w:t xml:space="preserve"> y </w:t>
            </w:r>
            <w:r w:rsidR="00C207B6">
              <w:rPr>
                <w:rFonts w:ascii="Verdana" w:hAnsi="Verdana"/>
              </w:rPr>
              <w:lastRenderedPageBreak/>
              <w:t>de esta forma relacionarlo en oferente, a fin de poder cumplir con lo señalado en el pliego de condiciones.</w:t>
            </w:r>
          </w:p>
          <w:bookmarkEnd w:id="2"/>
          <w:p w14:paraId="479113C8" w14:textId="77777777" w:rsidR="00614500" w:rsidRPr="00614500" w:rsidRDefault="00614500" w:rsidP="00614500">
            <w:pPr>
              <w:spacing w:line="276" w:lineRule="auto"/>
              <w:jc w:val="both"/>
              <w:rPr>
                <w:rFonts w:ascii="Verdana" w:eastAsia="Calibri" w:hAnsi="Verdana" w:cs="Arial"/>
                <w:color w:val="7030A0"/>
                <w:lang w:val="es-ES"/>
              </w:rPr>
            </w:pPr>
          </w:p>
        </w:tc>
      </w:tr>
    </w:tbl>
    <w:p w14:paraId="4CB7FB18" w14:textId="77777777" w:rsidR="00614500" w:rsidRPr="00614500" w:rsidRDefault="00614500" w:rsidP="00614500">
      <w:pPr>
        <w:tabs>
          <w:tab w:val="left" w:pos="142"/>
          <w:tab w:val="left" w:pos="284"/>
        </w:tabs>
        <w:spacing w:after="0" w:line="276" w:lineRule="auto"/>
        <w:jc w:val="both"/>
        <w:rPr>
          <w:rFonts w:ascii="Verdana" w:eastAsia="Century Gothic" w:hAnsi="Verdana" w:cs="Century Gothic"/>
          <w:b/>
          <w:bCs/>
          <w:lang w:val="es-ES"/>
        </w:rPr>
      </w:pPr>
    </w:p>
    <w:p w14:paraId="4928A8FA" w14:textId="77777777" w:rsidR="00614500" w:rsidRPr="00614500" w:rsidRDefault="00614500" w:rsidP="0061450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Razones de la respuesta:</w:t>
      </w:r>
    </w:p>
    <w:p w14:paraId="37E74FD2" w14:textId="77777777" w:rsidR="00614500" w:rsidRPr="00614500" w:rsidRDefault="00614500" w:rsidP="00614500">
      <w:pPr>
        <w:spacing w:after="0" w:line="276" w:lineRule="auto"/>
        <w:jc w:val="both"/>
        <w:rPr>
          <w:rFonts w:ascii="Verdana" w:eastAsia="Calibri" w:hAnsi="Verdana" w:cs="Arial"/>
          <w:color w:val="7030A0"/>
          <w:lang w:val="es-ES"/>
        </w:rPr>
      </w:pPr>
    </w:p>
    <w:p w14:paraId="3FEDEC54" w14:textId="77777777" w:rsidR="00614500" w:rsidRDefault="00614500" w:rsidP="00614500">
      <w:pPr>
        <w:spacing w:after="0" w:line="276" w:lineRule="auto"/>
        <w:jc w:val="both"/>
        <w:rPr>
          <w:rFonts w:ascii="Verdana" w:eastAsia="Calibri" w:hAnsi="Verdana" w:cs="Arial"/>
          <w:lang w:val="es-ES"/>
        </w:rPr>
      </w:pPr>
      <w:r w:rsidRPr="00614500">
        <w:rPr>
          <w:rFonts w:ascii="Verdana" w:eastAsia="Calibri" w:hAnsi="Verdana" w:cs="Arial"/>
          <w:lang w:val="es-ES"/>
        </w:rPr>
        <w:t xml:space="preserve">Lo anterior se sustenta en las siguientes consideraciones: </w:t>
      </w:r>
    </w:p>
    <w:p w14:paraId="2AE2A8D3" w14:textId="77777777" w:rsidR="001426F2" w:rsidRPr="00614500" w:rsidRDefault="001426F2" w:rsidP="00614500">
      <w:pPr>
        <w:spacing w:after="0" w:line="276" w:lineRule="auto"/>
        <w:jc w:val="both"/>
        <w:rPr>
          <w:rFonts w:ascii="Verdana" w:eastAsia="Calibri" w:hAnsi="Verdana" w:cs="Arial"/>
          <w:lang w:val="es-ES"/>
        </w:rPr>
      </w:pPr>
    </w:p>
    <w:p w14:paraId="208CE558" w14:textId="77777777" w:rsidR="00614500" w:rsidRPr="00614500" w:rsidRDefault="00614500" w:rsidP="00661DA1">
      <w:pPr>
        <w:spacing w:after="0" w:line="276" w:lineRule="auto"/>
        <w:contextualSpacing/>
        <w:jc w:val="both"/>
        <w:rPr>
          <w:rFonts w:ascii="Verdana" w:eastAsia="Calibri" w:hAnsi="Verdana"/>
          <w:lang w:val="es-ES"/>
        </w:rPr>
      </w:pPr>
    </w:p>
    <w:p w14:paraId="0AF6D762" w14:textId="3C3283AA" w:rsidR="00F9133F" w:rsidRPr="00661DA1" w:rsidRDefault="0023599B" w:rsidP="00614500">
      <w:pPr>
        <w:numPr>
          <w:ilvl w:val="0"/>
          <w:numId w:val="19"/>
        </w:numPr>
        <w:spacing w:after="0" w:line="276" w:lineRule="auto"/>
        <w:contextualSpacing/>
        <w:jc w:val="both"/>
        <w:rPr>
          <w:rFonts w:ascii="Verdana" w:eastAsia="Calibri" w:hAnsi="Verdana"/>
          <w:lang w:val="es-ES"/>
        </w:rPr>
      </w:pPr>
      <w:bookmarkStart w:id="3" w:name="_Hlk173924733"/>
      <w:r>
        <w:rPr>
          <w:rFonts w:ascii="Verdana" w:hAnsi="Verdana" w:cs="Arial"/>
          <w:lang w:val="es-ES"/>
        </w:rPr>
        <w:t>El artículo 5 de l</w:t>
      </w:r>
      <w:r w:rsidR="00614500" w:rsidRPr="00614500">
        <w:rPr>
          <w:rFonts w:ascii="Verdana" w:hAnsi="Verdana" w:cs="Arial"/>
          <w:lang w:val="es-ES"/>
        </w:rPr>
        <w:t xml:space="preserve">a Ley 1150 de </w:t>
      </w:r>
      <w:proofErr w:type="gramStart"/>
      <w:r w:rsidR="00614500" w:rsidRPr="00614500">
        <w:rPr>
          <w:rFonts w:ascii="Verdana" w:hAnsi="Verdana" w:cs="Arial"/>
          <w:lang w:val="es-ES"/>
        </w:rPr>
        <w:t>200</w:t>
      </w:r>
      <w:r w:rsidR="00B76EB0">
        <w:rPr>
          <w:rFonts w:ascii="Verdana" w:hAnsi="Verdana" w:cs="Arial"/>
          <w:lang w:val="es-ES"/>
        </w:rPr>
        <w:t>7</w:t>
      </w:r>
      <w:r w:rsidR="00614500" w:rsidRPr="00614500">
        <w:rPr>
          <w:rFonts w:ascii="Verdana" w:hAnsi="Verdana" w:cs="Arial"/>
          <w:lang w:val="es-ES"/>
        </w:rPr>
        <w:t xml:space="preserve"> ,</w:t>
      </w:r>
      <w:proofErr w:type="gramEnd"/>
      <w:r w:rsidR="00614500" w:rsidRPr="00614500">
        <w:rPr>
          <w:rFonts w:ascii="Verdana" w:hAnsi="Verdana" w:cs="Arial"/>
          <w:lang w:val="es-ES"/>
        </w:rPr>
        <w:t xml:space="preserve"> establece los requisitos habilitantes para participar en un procedimiento contractual, dentro de los cuales se destaca la experiencia. El propósito es que las entidades fijen unos requisitos mínimos que debe tener y acreditar el proponente, para que la entidad verifique su aptitud para participar en el procedimiento de contratación y, si se le adjudica, ejecutar el contrato estatal. </w:t>
      </w:r>
    </w:p>
    <w:p w14:paraId="58473291" w14:textId="1DEC3D42" w:rsidR="00614500" w:rsidRPr="00661DA1" w:rsidRDefault="00614500" w:rsidP="00614500">
      <w:pPr>
        <w:numPr>
          <w:ilvl w:val="0"/>
          <w:numId w:val="19"/>
        </w:numPr>
        <w:spacing w:after="0" w:line="276" w:lineRule="auto"/>
        <w:contextualSpacing/>
        <w:jc w:val="both"/>
        <w:rPr>
          <w:rFonts w:ascii="Verdana" w:eastAsia="Calibri" w:hAnsi="Verdana"/>
          <w:lang w:val="es-ES"/>
        </w:rPr>
      </w:pPr>
      <w:r w:rsidRPr="00614500">
        <w:rPr>
          <w:rFonts w:ascii="Verdana" w:hAnsi="Verdana" w:cs="Arial"/>
          <w:lang w:val="es-ES"/>
        </w:rPr>
        <w:t>En ese sentido, la entidad, como responsable de la estructuración de su procedimiento de contratación, es autónoma para requerir la experiencia necesaria para el objeto de contrato</w:t>
      </w:r>
      <w:bookmarkEnd w:id="3"/>
      <w:r w:rsidRPr="00614500">
        <w:rPr>
          <w:rFonts w:ascii="Verdana" w:hAnsi="Verdana" w:cs="Arial"/>
          <w:lang w:val="es-ES"/>
        </w:rPr>
        <w:t xml:space="preserve">, para lo cual, de acuerdo con el artículo 2.2.1.1.1.6.2. del Decreto 1082 de 2015, debe tener en cuenta el estudio del sector y sus componentes como la identificación de riesgos, el mercado y precio del bien, obra o servicio a contratar. </w:t>
      </w:r>
    </w:p>
    <w:p w14:paraId="1F575226" w14:textId="6F69DE3F" w:rsidR="00F9133F" w:rsidRDefault="00F9133F" w:rsidP="00614500">
      <w:pPr>
        <w:numPr>
          <w:ilvl w:val="0"/>
          <w:numId w:val="19"/>
        </w:numPr>
        <w:spacing w:after="0" w:line="276" w:lineRule="auto"/>
        <w:contextualSpacing/>
        <w:jc w:val="both"/>
        <w:rPr>
          <w:rFonts w:ascii="Verdana" w:eastAsia="Calibri" w:hAnsi="Verdana"/>
          <w:lang w:val="es-ES"/>
        </w:rPr>
      </w:pPr>
      <w:r w:rsidRPr="00F9133F">
        <w:rPr>
          <w:rFonts w:ascii="Verdana" w:eastAsia="Calibri" w:hAnsi="Verdana"/>
          <w:lang w:val="es-ES"/>
        </w:rPr>
        <w:t xml:space="preserve">Dentro de los principales requisitos habilitantes que se utilizan en los Procesos de Contratación se destaca la experiencia, la cual debe ser entendida como el conocimiento del proponente derivado de su participación previa en actividades iguales o similares a las previstas en el objeto del contrato con contratantes públicos, privados, nacionales o extranjeros. </w:t>
      </w:r>
      <w:r w:rsidR="00031410">
        <w:rPr>
          <w:rStyle w:val="Refdenotaalpie"/>
          <w:rFonts w:ascii="Verdana" w:eastAsia="Calibri" w:hAnsi="Verdana"/>
          <w:lang w:val="es-ES"/>
        </w:rPr>
        <w:footnoteReference w:id="2"/>
      </w:r>
    </w:p>
    <w:p w14:paraId="29050385" w14:textId="6317B3BD" w:rsidR="00F9133F" w:rsidRDefault="00F9133F" w:rsidP="00614500">
      <w:pPr>
        <w:numPr>
          <w:ilvl w:val="0"/>
          <w:numId w:val="19"/>
        </w:numPr>
        <w:spacing w:after="0" w:line="276" w:lineRule="auto"/>
        <w:contextualSpacing/>
        <w:jc w:val="both"/>
        <w:rPr>
          <w:rFonts w:ascii="Verdana" w:eastAsia="Calibri" w:hAnsi="Verdana"/>
          <w:lang w:val="es-ES"/>
        </w:rPr>
      </w:pPr>
      <w:r w:rsidRPr="00031410">
        <w:rPr>
          <w:rFonts w:ascii="Verdana" w:eastAsia="Calibri" w:hAnsi="Verdana"/>
          <w:lang w:val="es-ES"/>
        </w:rPr>
        <w:t>La experiencia puede ser adquirida directamente de manera singularizada o en asocio con otras personas, como es el caso de los proponentes plurales, cuya</w:t>
      </w:r>
      <w:r w:rsidRPr="00F9133F">
        <w:rPr>
          <w:rFonts w:ascii="Verdana" w:eastAsia="Calibri" w:hAnsi="Verdana"/>
          <w:lang w:val="es-ES"/>
        </w:rPr>
        <w:t xml:space="preserve"> experiencia no deja de ser personal, sino que, por tratarse de esquemas asociativos, se evalúa de forma proporcional a la participación de los miembros en los respectivos consorcios y/o uniones temporales.</w:t>
      </w:r>
    </w:p>
    <w:p w14:paraId="7FFDFD0C" w14:textId="77777777" w:rsidR="00031410" w:rsidRDefault="00031410" w:rsidP="00661DA1">
      <w:pPr>
        <w:spacing w:after="0" w:line="276" w:lineRule="auto"/>
        <w:ind w:left="720"/>
        <w:contextualSpacing/>
        <w:jc w:val="both"/>
        <w:rPr>
          <w:rFonts w:ascii="Verdana" w:eastAsia="Calibri" w:hAnsi="Verdana"/>
          <w:lang w:val="es-ES"/>
        </w:rPr>
      </w:pPr>
    </w:p>
    <w:p w14:paraId="330E6B03" w14:textId="4AEFA223" w:rsidR="00031410" w:rsidRPr="00614500" w:rsidRDefault="00F9133F" w:rsidP="00031410">
      <w:pPr>
        <w:numPr>
          <w:ilvl w:val="0"/>
          <w:numId w:val="19"/>
        </w:numPr>
        <w:spacing w:after="0" w:line="276" w:lineRule="auto"/>
        <w:contextualSpacing/>
        <w:jc w:val="both"/>
        <w:rPr>
          <w:rFonts w:ascii="Verdana" w:eastAsia="Calibri" w:hAnsi="Verdana"/>
          <w:lang w:val="es-ES"/>
        </w:rPr>
      </w:pPr>
      <w:r w:rsidRPr="00031410">
        <w:rPr>
          <w:rFonts w:ascii="Verdana" w:eastAsia="Arial" w:hAnsi="Verdana" w:cs="Arial"/>
        </w:rPr>
        <w:t xml:space="preserve">La experiencia se deriva de los contratos que el proponente ha celebrado y ejecutado con diferentes contratantes, sin importar la naturaleza de </w:t>
      </w:r>
      <w:r w:rsidRPr="00031410">
        <w:rPr>
          <w:rFonts w:ascii="Verdana" w:eastAsia="Arial" w:hAnsi="Verdana" w:cs="Arial"/>
        </w:rPr>
        <w:lastRenderedPageBreak/>
        <w:t>estos, se verifica con el Registro Único de Proponentes – RUP</w:t>
      </w:r>
      <w:r>
        <w:rPr>
          <w:rStyle w:val="Refdenotaalpie"/>
          <w:rFonts w:ascii="Verdana" w:eastAsia="Arial" w:hAnsi="Verdana" w:cs="Arial"/>
        </w:rPr>
        <w:footnoteReference w:id="3"/>
      </w:r>
      <w:r w:rsidRPr="00031410">
        <w:rPr>
          <w:rFonts w:ascii="Verdana" w:eastAsia="Arial" w:hAnsi="Verdana" w:cs="Arial"/>
        </w:rPr>
        <w:t xml:space="preserve">, cuando este certificado sea exigible de acuerdo con la Ley. </w:t>
      </w:r>
    </w:p>
    <w:p w14:paraId="3E6BB719" w14:textId="77777777" w:rsidR="00614500" w:rsidRPr="00031410" w:rsidRDefault="00614500" w:rsidP="00031410">
      <w:pPr>
        <w:spacing w:after="0" w:line="276" w:lineRule="auto"/>
        <w:ind w:left="720"/>
        <w:contextualSpacing/>
        <w:jc w:val="both"/>
        <w:rPr>
          <w:rFonts w:ascii="Verdana" w:eastAsia="Calibri" w:hAnsi="Verdana"/>
          <w:lang w:val="es-ES"/>
        </w:rPr>
      </w:pPr>
    </w:p>
    <w:p w14:paraId="41DBFDEC" w14:textId="77777777" w:rsidR="0060514E" w:rsidRPr="00661DA1" w:rsidRDefault="0060514E" w:rsidP="00614500">
      <w:pPr>
        <w:numPr>
          <w:ilvl w:val="0"/>
          <w:numId w:val="17"/>
        </w:numPr>
        <w:spacing w:after="0" w:line="276" w:lineRule="auto"/>
        <w:contextualSpacing/>
        <w:jc w:val="both"/>
        <w:rPr>
          <w:rFonts w:ascii="Verdana" w:eastAsia="Calibri" w:hAnsi="Verdana"/>
          <w:lang w:val="es-ES"/>
        </w:rPr>
      </w:pPr>
      <w:r>
        <w:rPr>
          <w:rFonts w:ascii="Verdana" w:eastAsia="Calibri" w:hAnsi="Verdana"/>
        </w:rPr>
        <w:t>De igual manera, frente a la experiencia, e</w:t>
      </w:r>
      <w:r w:rsidR="0023599B" w:rsidRPr="0023599B">
        <w:rPr>
          <w:rFonts w:ascii="Verdana" w:eastAsia="Calibri" w:hAnsi="Verdana"/>
        </w:rPr>
        <w:t>n concepto C 088 de 2024, la Agencia expuso cuatro conclusiones relevantes respecto a la experiencia de los proponentes al indicar que:</w:t>
      </w:r>
    </w:p>
    <w:p w14:paraId="52DAAA94" w14:textId="77777777" w:rsidR="00031410" w:rsidRPr="00661DA1" w:rsidRDefault="00031410" w:rsidP="00661DA1">
      <w:pPr>
        <w:spacing w:after="0" w:line="276" w:lineRule="auto"/>
        <w:ind w:left="720"/>
        <w:contextualSpacing/>
        <w:jc w:val="both"/>
        <w:rPr>
          <w:rFonts w:ascii="Verdana" w:eastAsia="Calibri" w:hAnsi="Verdana"/>
          <w:lang w:val="es-ES"/>
        </w:rPr>
      </w:pPr>
    </w:p>
    <w:p w14:paraId="3D595DA4" w14:textId="1556E6AB" w:rsidR="0023599B" w:rsidRPr="00661DA1" w:rsidRDefault="0023599B" w:rsidP="00661DA1">
      <w:pPr>
        <w:spacing w:after="0" w:line="276" w:lineRule="auto"/>
        <w:ind w:left="720"/>
        <w:contextualSpacing/>
        <w:jc w:val="both"/>
        <w:rPr>
          <w:rFonts w:ascii="Verdana" w:eastAsia="Calibri" w:hAnsi="Verdana"/>
          <w:lang w:val="es-ES"/>
        </w:rPr>
      </w:pPr>
      <w:r w:rsidRPr="0023599B">
        <w:rPr>
          <w:rFonts w:ascii="Verdana" w:eastAsia="Calibri" w:hAnsi="Verdana"/>
        </w:rPr>
        <w:t xml:space="preserve"> “(…) i) La experiencia es personal, esto es, se adquiere participando, directa o indirectamente, sin que sea posible no hacerlo y tener experiencia.</w:t>
      </w:r>
    </w:p>
    <w:p w14:paraId="3C1198D8" w14:textId="25C69FE7" w:rsidR="0023599B" w:rsidRPr="005F7236" w:rsidRDefault="0023599B" w:rsidP="00661DA1">
      <w:pPr>
        <w:spacing w:after="0" w:line="276" w:lineRule="auto"/>
        <w:ind w:left="720"/>
        <w:contextualSpacing/>
        <w:jc w:val="both"/>
        <w:rPr>
          <w:rFonts w:ascii="Verdana" w:eastAsia="Calibri" w:hAnsi="Verdana"/>
          <w:lang w:val="es-ES"/>
        </w:rPr>
      </w:pPr>
      <w:r w:rsidRPr="0023599B">
        <w:rPr>
          <w:rFonts w:ascii="Verdana" w:eastAsia="Calibri" w:hAnsi="Verdana"/>
        </w:rPr>
        <w:t xml:space="preserve"> </w:t>
      </w:r>
      <w:proofErr w:type="spellStart"/>
      <w:r w:rsidRPr="0023599B">
        <w:rPr>
          <w:rFonts w:ascii="Verdana" w:eastAsia="Calibri" w:hAnsi="Verdana"/>
        </w:rPr>
        <w:t>ii</w:t>
      </w:r>
      <w:proofErr w:type="spellEnd"/>
      <w:r w:rsidRPr="0023599B">
        <w:rPr>
          <w:rFonts w:ascii="Verdana" w:eastAsia="Calibri" w:hAnsi="Verdana"/>
        </w:rPr>
        <w:t>) La experiencia se puede compartir, sin que implique que la compartida a una persona se entienda suya, ya que dentro del procedimiento contractual se reflejará que esa persona tiene la experiencia de otra, como es el caso de las figuras asociativas – consorcios y uniones temporales – que se verificará en el documento privado de constitución</w:t>
      </w:r>
    </w:p>
    <w:p w14:paraId="681E9A48" w14:textId="6DD25602" w:rsidR="0023599B" w:rsidRPr="005F7236" w:rsidRDefault="0023599B" w:rsidP="00661DA1">
      <w:pPr>
        <w:spacing w:after="0" w:line="276" w:lineRule="auto"/>
        <w:ind w:left="720"/>
        <w:contextualSpacing/>
        <w:jc w:val="both"/>
        <w:rPr>
          <w:rFonts w:ascii="Verdana" w:eastAsia="Calibri" w:hAnsi="Verdana"/>
          <w:lang w:val="es-ES"/>
        </w:rPr>
      </w:pPr>
      <w:r w:rsidRPr="0023599B">
        <w:rPr>
          <w:rFonts w:ascii="Verdana" w:eastAsia="Calibri" w:hAnsi="Verdana"/>
        </w:rPr>
        <w:t xml:space="preserve"> </w:t>
      </w:r>
      <w:proofErr w:type="spellStart"/>
      <w:r w:rsidRPr="0023599B">
        <w:rPr>
          <w:rFonts w:ascii="Verdana" w:eastAsia="Calibri" w:hAnsi="Verdana"/>
        </w:rPr>
        <w:t>iii</w:t>
      </w:r>
      <w:proofErr w:type="spellEnd"/>
      <w:r w:rsidRPr="0023599B">
        <w:rPr>
          <w:rFonts w:ascii="Verdana" w:eastAsia="Calibri" w:hAnsi="Verdana"/>
        </w:rPr>
        <w:t>) La experiencia se puede transferir, y esto es diferente a compartir, lo que implica que la experiencia de una persona se traslada a otra, y esta última acredita la experiencia como propia, como sucede con algunas figuras y reformas estatutarias.</w:t>
      </w:r>
    </w:p>
    <w:p w14:paraId="574F99E8" w14:textId="1BCB7A46" w:rsidR="0023599B" w:rsidRPr="00661DA1" w:rsidRDefault="0023599B" w:rsidP="00661DA1">
      <w:pPr>
        <w:spacing w:after="0" w:line="276" w:lineRule="auto"/>
        <w:ind w:left="720"/>
        <w:contextualSpacing/>
        <w:jc w:val="both"/>
        <w:rPr>
          <w:rFonts w:ascii="Verdana" w:eastAsia="Calibri" w:hAnsi="Verdana"/>
          <w:lang w:val="es-ES"/>
        </w:rPr>
      </w:pPr>
      <w:proofErr w:type="spellStart"/>
      <w:r w:rsidRPr="0023599B">
        <w:rPr>
          <w:rFonts w:ascii="Verdana" w:eastAsia="Calibri" w:hAnsi="Verdana"/>
        </w:rPr>
        <w:t>iv</w:t>
      </w:r>
      <w:proofErr w:type="spellEnd"/>
      <w:r w:rsidRPr="0023599B">
        <w:rPr>
          <w:rFonts w:ascii="Verdana" w:eastAsia="Calibri" w:hAnsi="Verdana"/>
        </w:rPr>
        <w:t>) Cuando la persona que adquirió la experiencia desaparece o se liquida no es posible que comparta o transfiera su experiencia, puesto que, al ser esta personal, sigue la suerte de quien la adquirió.</w:t>
      </w:r>
    </w:p>
    <w:p w14:paraId="00649213" w14:textId="77777777" w:rsidR="00C207B6" w:rsidRDefault="00C207B6" w:rsidP="00661DA1">
      <w:pPr>
        <w:spacing w:after="0" w:line="276" w:lineRule="auto"/>
        <w:ind w:left="720"/>
        <w:contextualSpacing/>
        <w:jc w:val="both"/>
        <w:rPr>
          <w:rFonts w:ascii="Verdana" w:eastAsia="Calibri" w:hAnsi="Verdana"/>
          <w:lang w:val="es-ES"/>
        </w:rPr>
      </w:pPr>
    </w:p>
    <w:p w14:paraId="455C0C6E" w14:textId="3DE59031" w:rsidR="00614500" w:rsidRPr="00614500" w:rsidRDefault="005F7236" w:rsidP="00614500">
      <w:pPr>
        <w:numPr>
          <w:ilvl w:val="0"/>
          <w:numId w:val="17"/>
        </w:numPr>
        <w:spacing w:after="0" w:line="276" w:lineRule="auto"/>
        <w:contextualSpacing/>
        <w:jc w:val="both"/>
        <w:rPr>
          <w:rFonts w:ascii="Verdana" w:eastAsia="Calibri" w:hAnsi="Verdana"/>
          <w:lang w:val="es-ES"/>
        </w:rPr>
      </w:pPr>
      <w:r>
        <w:rPr>
          <w:rFonts w:ascii="Verdana" w:eastAsia="Calibri" w:hAnsi="Verdana"/>
          <w:lang w:val="es-ES"/>
        </w:rPr>
        <w:t>Ahora bien,</w:t>
      </w:r>
      <w:r w:rsidR="00031410">
        <w:rPr>
          <w:rFonts w:ascii="Verdana" w:eastAsia="Calibri" w:hAnsi="Verdana"/>
          <w:lang w:val="es-ES"/>
        </w:rPr>
        <w:t xml:space="preserve"> como ya se ha indicado previamente</w:t>
      </w:r>
      <w:r>
        <w:rPr>
          <w:rFonts w:ascii="Verdana" w:eastAsia="Calibri" w:hAnsi="Verdana"/>
          <w:lang w:val="es-ES"/>
        </w:rPr>
        <w:t xml:space="preserve"> la experiencia de los proponentes se registra en e</w:t>
      </w:r>
      <w:r w:rsidR="00614500" w:rsidRPr="00614500">
        <w:rPr>
          <w:rFonts w:ascii="Verdana" w:eastAsia="Calibri" w:hAnsi="Verdana"/>
          <w:lang w:val="es-ES"/>
        </w:rPr>
        <w:t>l Registro Único de Proponentes (en adelante RUP)</w:t>
      </w:r>
      <w:r>
        <w:rPr>
          <w:rFonts w:ascii="Verdana" w:eastAsia="Calibri" w:hAnsi="Verdana"/>
          <w:lang w:val="es-ES"/>
        </w:rPr>
        <w:t>,</w:t>
      </w:r>
      <w:r>
        <w:rPr>
          <w:rStyle w:val="Refdenotaalpie"/>
          <w:rFonts w:ascii="Verdana" w:eastAsia="Calibri" w:hAnsi="Verdana"/>
          <w:lang w:val="es-ES"/>
        </w:rPr>
        <w:footnoteReference w:id="4"/>
      </w:r>
      <w:r>
        <w:rPr>
          <w:rFonts w:ascii="Verdana" w:eastAsia="Calibri" w:hAnsi="Verdana"/>
          <w:lang w:val="es-ES"/>
        </w:rPr>
        <w:t xml:space="preserve"> el cual es un</w:t>
      </w:r>
      <w:r w:rsidR="00614500" w:rsidRPr="00614500">
        <w:rPr>
          <w:rFonts w:ascii="Verdana" w:eastAsia="Calibri" w:hAnsi="Verdana"/>
          <w:lang w:val="es-ES"/>
        </w:rPr>
        <w:t xml:space="preserve"> instrumento en el que consta la información relacionada con las personas naturales y jurídicas, con el fin de que puedan participar en los procedimientos de contratación realizados por las entidades estatales, tiene por objeto contemplar en un único documento lo relativo a la capacidad jurídica, técnica, financiera y organizacional de los posibles proponentes.</w:t>
      </w:r>
    </w:p>
    <w:p w14:paraId="7755A356" w14:textId="77777777" w:rsidR="00614500" w:rsidRPr="00614500" w:rsidRDefault="00614500" w:rsidP="00614500">
      <w:pPr>
        <w:spacing w:after="0" w:line="276" w:lineRule="auto"/>
        <w:ind w:left="720"/>
        <w:contextualSpacing/>
        <w:jc w:val="both"/>
        <w:rPr>
          <w:rFonts w:ascii="Verdana" w:eastAsia="Calibri" w:hAnsi="Verdana"/>
          <w:lang w:val="es-ES"/>
        </w:rPr>
      </w:pPr>
    </w:p>
    <w:p w14:paraId="4EF7FDBC" w14:textId="0AB855BB" w:rsidR="00614500" w:rsidRPr="00661DA1" w:rsidRDefault="009B413C" w:rsidP="00614500">
      <w:pPr>
        <w:numPr>
          <w:ilvl w:val="0"/>
          <w:numId w:val="20"/>
        </w:numPr>
        <w:spacing w:after="0" w:line="276" w:lineRule="auto"/>
        <w:contextualSpacing/>
        <w:jc w:val="both"/>
        <w:rPr>
          <w:rFonts w:ascii="Verdana" w:eastAsia="Calibri" w:hAnsi="Verdana"/>
          <w:color w:val="7030A0"/>
          <w:lang w:val="es-ES"/>
        </w:rPr>
      </w:pPr>
      <w:r>
        <w:rPr>
          <w:rFonts w:ascii="Verdana" w:eastAsia="Calibri" w:hAnsi="Verdana" w:cs="Arial"/>
          <w:color w:val="000000" w:themeColor="text1"/>
        </w:rPr>
        <w:t xml:space="preserve">En ese </w:t>
      </w:r>
      <w:r w:rsidR="00C207B6">
        <w:rPr>
          <w:rFonts w:ascii="Verdana" w:eastAsia="Calibri" w:hAnsi="Verdana" w:cs="Arial"/>
          <w:color w:val="000000" w:themeColor="text1"/>
        </w:rPr>
        <w:t>sentido, el</w:t>
      </w:r>
      <w:r w:rsidR="005F7236">
        <w:rPr>
          <w:rFonts w:ascii="Verdana" w:eastAsia="Calibri" w:hAnsi="Verdana" w:cs="Arial"/>
          <w:color w:val="000000" w:themeColor="text1"/>
        </w:rPr>
        <w:t xml:space="preserve"> </w:t>
      </w:r>
      <w:r w:rsidR="005F7236" w:rsidRPr="00157C28">
        <w:rPr>
          <w:rFonts w:ascii="Verdana" w:hAnsi="Verdana"/>
        </w:rPr>
        <w:t>artículo 6 de la Ley 1150 de 2007</w:t>
      </w:r>
      <w:r w:rsidR="00614500" w:rsidRPr="00614500">
        <w:rPr>
          <w:rFonts w:ascii="Verdana" w:eastAsia="Calibri" w:hAnsi="Verdana" w:cs="Arial"/>
          <w:color w:val="000000" w:themeColor="text1"/>
        </w:rPr>
        <w:t xml:space="preserve"> impuso la obligación a todos los proponentes de inscribirse en el RUP, salvo en los casos de </w:t>
      </w:r>
      <w:r w:rsidR="00614500" w:rsidRPr="00614500">
        <w:rPr>
          <w:rFonts w:ascii="Verdana" w:eastAsia="Calibri" w:hAnsi="Verdana" w:cs="Arial"/>
          <w:color w:val="000000" w:themeColor="text1"/>
        </w:rPr>
        <w:lastRenderedPageBreak/>
        <w:t xml:space="preserve">contratación directa, contratos para la prestación de servicios de salud, contratos de mínima cuantía, enajenación de bienes del Estado y los contratos que tengan por objeto la adquisición de productos de origen o destinación agropecuaria que se ofrezcan en bolsas de productos legalmente constituidas. De igual forma, están exceptuados los actos y contratos que tengan por objeto directo las actividades comerciales e industriales propias de las empresas industriales y comerciales del Estado y las sociedades de economía mixta y los contratos de concesión de cualquier índole. </w:t>
      </w:r>
    </w:p>
    <w:p w14:paraId="2ADB09CF" w14:textId="77777777" w:rsidR="00031410" w:rsidRPr="00661DA1" w:rsidRDefault="00031410" w:rsidP="00661DA1">
      <w:pPr>
        <w:spacing w:after="0" w:line="276" w:lineRule="auto"/>
        <w:ind w:left="720"/>
        <w:contextualSpacing/>
        <w:jc w:val="both"/>
        <w:rPr>
          <w:rFonts w:ascii="Verdana" w:eastAsia="Calibri" w:hAnsi="Verdana"/>
          <w:color w:val="7030A0"/>
          <w:lang w:val="es-ES"/>
        </w:rPr>
      </w:pPr>
    </w:p>
    <w:p w14:paraId="57035028" w14:textId="7A20E6CD" w:rsidR="00C207B6" w:rsidRPr="00614500" w:rsidRDefault="00C207B6" w:rsidP="00614500">
      <w:pPr>
        <w:numPr>
          <w:ilvl w:val="0"/>
          <w:numId w:val="20"/>
        </w:numPr>
        <w:spacing w:after="0" w:line="276" w:lineRule="auto"/>
        <w:contextualSpacing/>
        <w:jc w:val="both"/>
        <w:rPr>
          <w:rFonts w:ascii="Verdana" w:eastAsia="Calibri" w:hAnsi="Verdana"/>
          <w:color w:val="7030A0"/>
          <w:lang w:val="es-ES"/>
        </w:rPr>
      </w:pPr>
      <w:r>
        <w:rPr>
          <w:rFonts w:ascii="Verdana" w:eastAsia="Calibri" w:hAnsi="Verdana" w:cs="Arial"/>
          <w:color w:val="000000" w:themeColor="text1"/>
        </w:rPr>
        <w:t xml:space="preserve">De tal manera que, cuando la contratación no exija RUP, </w:t>
      </w:r>
      <w:r w:rsidRPr="00C207B6">
        <w:rPr>
          <w:rFonts w:ascii="Verdana" w:eastAsia="Calibri" w:hAnsi="Verdana" w:cs="Arial"/>
          <w:color w:val="000000" w:themeColor="text1"/>
        </w:rPr>
        <w:t>le corresponderá a la entidad contratante definir en su pliego de condiciones los requisitos para evaluar la habilitación del contratista y su idoneidad.</w:t>
      </w:r>
    </w:p>
    <w:p w14:paraId="6B24EED2" w14:textId="77777777" w:rsidR="00614500" w:rsidRPr="00614500" w:rsidRDefault="00614500" w:rsidP="00614500">
      <w:pPr>
        <w:spacing w:after="0" w:line="276" w:lineRule="auto"/>
        <w:jc w:val="both"/>
        <w:rPr>
          <w:rFonts w:ascii="Verdana" w:eastAsia="Calibri" w:hAnsi="Verdana"/>
          <w:color w:val="7030A0"/>
          <w:lang w:val="es-ES"/>
        </w:rPr>
      </w:pPr>
    </w:p>
    <w:p w14:paraId="09450F87" w14:textId="77777777" w:rsidR="00614500" w:rsidRDefault="00614500" w:rsidP="00661DA1">
      <w:pPr>
        <w:widowControl w:val="0"/>
        <w:autoSpaceDE w:val="0"/>
        <w:autoSpaceDN w:val="0"/>
        <w:spacing w:after="0" w:line="276" w:lineRule="auto"/>
        <w:contextualSpacing/>
        <w:jc w:val="both"/>
        <w:rPr>
          <w:rFonts w:ascii="Verdana" w:hAnsi="Verdana" w:cs="Arial"/>
        </w:rPr>
      </w:pPr>
    </w:p>
    <w:p w14:paraId="6FAC9013" w14:textId="70A609E8" w:rsidR="0060514E" w:rsidRDefault="0060514E" w:rsidP="00F9133F">
      <w:pPr>
        <w:widowControl w:val="0"/>
        <w:autoSpaceDE w:val="0"/>
        <w:autoSpaceDN w:val="0"/>
        <w:spacing w:after="0" w:line="276" w:lineRule="auto"/>
        <w:ind w:left="720"/>
        <w:contextualSpacing/>
        <w:jc w:val="both"/>
        <w:rPr>
          <w:rFonts w:ascii="Verdana" w:hAnsi="Verdana"/>
        </w:rPr>
      </w:pPr>
      <w:r w:rsidRPr="0060514E">
        <w:rPr>
          <w:rFonts w:ascii="Verdana" w:hAnsi="Verdana" w:cs="Arial"/>
        </w:rPr>
        <w:t>En conclusión, la experiencia se acreditará en los casos que exija la norma con el RUP en firme y por el contrario en los casos de “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 , le corresponderá a la entidad contratante definir en su pliego de condiciones los requisitos para evaluar la habilitación del contratista y su idoneidad</w:t>
      </w:r>
      <w:r>
        <w:rPr>
          <w:rFonts w:ascii="Verdana" w:hAnsi="Verdana" w:cs="Arial"/>
        </w:rPr>
        <w:t xml:space="preserve"> </w:t>
      </w:r>
      <w:r>
        <w:rPr>
          <w:rFonts w:ascii="Verdana" w:hAnsi="Verdana"/>
        </w:rPr>
        <w:t>y de esta forma le corresponderá al oferente cumplir con lo señalado en el pliego de condiciones.</w:t>
      </w:r>
    </w:p>
    <w:p w14:paraId="4A202D00" w14:textId="77777777" w:rsidR="0060514E" w:rsidRPr="00614500" w:rsidRDefault="0060514E" w:rsidP="0060514E">
      <w:pPr>
        <w:spacing w:line="276" w:lineRule="auto"/>
        <w:jc w:val="both"/>
        <w:rPr>
          <w:rFonts w:ascii="Verdana" w:hAnsi="Verdana"/>
        </w:rPr>
      </w:pPr>
    </w:p>
    <w:p w14:paraId="1BB1043B" w14:textId="77777777" w:rsidR="0060514E" w:rsidRPr="00614500" w:rsidRDefault="0060514E" w:rsidP="00614500">
      <w:pPr>
        <w:widowControl w:val="0"/>
        <w:autoSpaceDE w:val="0"/>
        <w:autoSpaceDN w:val="0"/>
        <w:spacing w:after="0" w:line="276" w:lineRule="auto"/>
        <w:ind w:left="720"/>
        <w:contextualSpacing/>
        <w:jc w:val="both"/>
        <w:rPr>
          <w:rFonts w:ascii="Verdana" w:hAnsi="Verdana" w:cs="Arial"/>
        </w:rPr>
      </w:pPr>
    </w:p>
    <w:p w14:paraId="397162F2" w14:textId="77777777" w:rsidR="00614500" w:rsidRPr="00614500" w:rsidRDefault="00614500" w:rsidP="00614500">
      <w:pPr>
        <w:widowControl w:val="0"/>
        <w:autoSpaceDE w:val="0"/>
        <w:autoSpaceDN w:val="0"/>
        <w:spacing w:after="0" w:line="276" w:lineRule="auto"/>
        <w:ind w:left="720"/>
        <w:contextualSpacing/>
        <w:jc w:val="both"/>
        <w:rPr>
          <w:rFonts w:ascii="Verdana" w:hAnsi="Verdana" w:cs="Arial"/>
        </w:rPr>
      </w:pPr>
    </w:p>
    <w:p w14:paraId="4DEDB186" w14:textId="77777777" w:rsidR="00614500" w:rsidRPr="00614500" w:rsidRDefault="00614500" w:rsidP="0061450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Referencias normativas, jurisprudenciales y otras fuentes:</w:t>
      </w:r>
    </w:p>
    <w:p w14:paraId="32C04782" w14:textId="77777777" w:rsidR="00614500" w:rsidRPr="00614500" w:rsidRDefault="00614500" w:rsidP="00614500">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614500" w:rsidRPr="00614500" w14:paraId="078BA6B6" w14:textId="77777777" w:rsidTr="00A07413">
        <w:trPr>
          <w:trHeight w:val="870"/>
        </w:trPr>
        <w:tc>
          <w:tcPr>
            <w:tcW w:w="8647" w:type="dxa"/>
          </w:tcPr>
          <w:p w14:paraId="15841A4D" w14:textId="77777777" w:rsidR="00614500" w:rsidRPr="00614500" w:rsidRDefault="00614500" w:rsidP="00614500">
            <w:pPr>
              <w:widowControl w:val="0"/>
              <w:numPr>
                <w:ilvl w:val="0"/>
                <w:numId w:val="18"/>
              </w:numPr>
              <w:autoSpaceDE w:val="0"/>
              <w:autoSpaceDN w:val="0"/>
              <w:spacing w:after="120" w:line="276" w:lineRule="auto"/>
              <w:jc w:val="both"/>
              <w:rPr>
                <w:rFonts w:ascii="Verdana" w:hAnsi="Verdana" w:cs="Arial"/>
              </w:rPr>
            </w:pPr>
            <w:r w:rsidRPr="00614500">
              <w:rPr>
                <w:rFonts w:ascii="Verdana" w:hAnsi="Verdana" w:cs="Arial"/>
              </w:rPr>
              <w:t xml:space="preserve">Constitución Política de Colombia. Disponible en: </w:t>
            </w:r>
            <w:hyperlink r:id="rId12" w:history="1">
              <w:r w:rsidRPr="00614500">
                <w:rPr>
                  <w:rFonts w:ascii="Verdana" w:hAnsi="Verdana" w:cs="Arial"/>
                  <w:color w:val="0070C0"/>
                  <w:u w:val="single"/>
                </w:rPr>
                <w:t>https://relatoria.colombiacompra.gov.co/normativa/constitucion-politica-de-colombia/</w:t>
              </w:r>
            </w:hyperlink>
          </w:p>
          <w:p w14:paraId="07F1A7CF" w14:textId="77777777" w:rsidR="00614500" w:rsidRPr="00614500" w:rsidRDefault="00614500" w:rsidP="00614500">
            <w:pPr>
              <w:widowControl w:val="0"/>
              <w:autoSpaceDE w:val="0"/>
              <w:autoSpaceDN w:val="0"/>
              <w:spacing w:after="120" w:line="276" w:lineRule="auto"/>
              <w:ind w:left="360"/>
              <w:jc w:val="both"/>
              <w:rPr>
                <w:rFonts w:ascii="Verdana" w:hAnsi="Verdana" w:cs="Arial"/>
              </w:rPr>
            </w:pPr>
          </w:p>
          <w:p w14:paraId="5CBF6DA4" w14:textId="77777777" w:rsidR="00614500" w:rsidRPr="00614500" w:rsidRDefault="00614500" w:rsidP="00614500">
            <w:pPr>
              <w:widowControl w:val="0"/>
              <w:numPr>
                <w:ilvl w:val="0"/>
                <w:numId w:val="18"/>
              </w:numPr>
              <w:autoSpaceDE w:val="0"/>
              <w:autoSpaceDN w:val="0"/>
              <w:spacing w:after="120" w:line="276" w:lineRule="auto"/>
              <w:jc w:val="both"/>
              <w:rPr>
                <w:rFonts w:ascii="Verdana" w:hAnsi="Verdana" w:cs="Arial"/>
              </w:rPr>
            </w:pPr>
            <w:r w:rsidRPr="00614500">
              <w:rPr>
                <w:rFonts w:ascii="Verdana" w:hAnsi="Verdana" w:cs="Arial"/>
              </w:rPr>
              <w:t xml:space="preserve">Ley 1150 de 2007. Disponible </w:t>
            </w:r>
            <w:proofErr w:type="gramStart"/>
            <w:r w:rsidRPr="00614500">
              <w:rPr>
                <w:rFonts w:ascii="Verdana" w:hAnsi="Verdana" w:cs="Arial"/>
              </w:rPr>
              <w:t>en :</w:t>
            </w:r>
            <w:proofErr w:type="gramEnd"/>
            <w:r w:rsidRPr="00614500">
              <w:rPr>
                <w:rFonts w:ascii="Verdana" w:hAnsi="Verdana" w:cs="Arial"/>
              </w:rPr>
              <w:t xml:space="preserve"> </w:t>
            </w:r>
            <w:hyperlink r:id="rId13" w:history="1">
              <w:r w:rsidRPr="00614500">
                <w:rPr>
                  <w:rFonts w:ascii="Verdana" w:hAnsi="Verdana" w:cs="Arial"/>
                  <w:color w:val="0070C0"/>
                  <w:u w:val="single"/>
                </w:rPr>
                <w:t>https://relatoria.colombiacompra.gov.co/normativa/ley-1150-de-2007/</w:t>
              </w:r>
            </w:hyperlink>
          </w:p>
          <w:p w14:paraId="36DE0452" w14:textId="77777777" w:rsidR="00614500" w:rsidRPr="00614500" w:rsidRDefault="00614500" w:rsidP="00614500">
            <w:pPr>
              <w:widowControl w:val="0"/>
              <w:numPr>
                <w:ilvl w:val="0"/>
                <w:numId w:val="18"/>
              </w:numPr>
              <w:autoSpaceDE w:val="0"/>
              <w:autoSpaceDN w:val="0"/>
              <w:spacing w:after="120" w:line="276" w:lineRule="auto"/>
              <w:jc w:val="both"/>
              <w:rPr>
                <w:rFonts w:ascii="Verdana" w:hAnsi="Verdana" w:cs="Arial"/>
              </w:rPr>
            </w:pPr>
            <w:r w:rsidRPr="00614500">
              <w:rPr>
                <w:rFonts w:ascii="Verdana" w:eastAsia="Arial" w:hAnsi="Verdana" w:cs="Arial"/>
                <w:lang w:val="es-ES"/>
              </w:rPr>
              <w:t xml:space="preserve">Decreto 1082 de 2015. Disponible </w:t>
            </w:r>
            <w:proofErr w:type="gramStart"/>
            <w:r w:rsidRPr="00614500">
              <w:rPr>
                <w:rFonts w:ascii="Verdana" w:eastAsia="Arial" w:hAnsi="Verdana" w:cs="Arial"/>
                <w:lang w:val="es-ES"/>
              </w:rPr>
              <w:t>en :</w:t>
            </w:r>
            <w:proofErr w:type="gramEnd"/>
            <w:r w:rsidRPr="00614500">
              <w:rPr>
                <w:rFonts w:ascii="Verdana" w:hAnsi="Verdana"/>
              </w:rPr>
              <w:t xml:space="preserve"> </w:t>
            </w:r>
            <w:hyperlink r:id="rId14" w:history="1">
              <w:r w:rsidRPr="00614500">
                <w:rPr>
                  <w:rFonts w:ascii="Verdana" w:eastAsia="Arial" w:hAnsi="Verdana" w:cs="Arial"/>
                  <w:color w:val="0070C0"/>
                  <w:u w:val="single"/>
                  <w:lang w:val="es-ES"/>
                </w:rPr>
                <w:t>https://relatoria.colombiacompra.gov.co/normativa/decreto-1082-de-2015/</w:t>
              </w:r>
            </w:hyperlink>
          </w:p>
          <w:p w14:paraId="7E588C29" w14:textId="77777777" w:rsidR="00614500" w:rsidRPr="00614500" w:rsidRDefault="00614500" w:rsidP="00614500">
            <w:pPr>
              <w:widowControl w:val="0"/>
              <w:numPr>
                <w:ilvl w:val="0"/>
                <w:numId w:val="18"/>
              </w:numPr>
              <w:autoSpaceDE w:val="0"/>
              <w:autoSpaceDN w:val="0"/>
              <w:spacing w:after="120" w:line="276" w:lineRule="auto"/>
              <w:jc w:val="both"/>
              <w:rPr>
                <w:rFonts w:ascii="Verdana" w:hAnsi="Verdana" w:cs="Arial"/>
              </w:rPr>
            </w:pPr>
            <w:r w:rsidRPr="00614500">
              <w:rPr>
                <w:rFonts w:ascii="Verdana" w:eastAsia="Calibri" w:hAnsi="Verdana" w:cs="Arial"/>
              </w:rPr>
              <w:t>Manual para determinar y verificar requisitos habilitantes en los procesos de contratación</w:t>
            </w:r>
            <w:r w:rsidRPr="00614500">
              <w:rPr>
                <w:rFonts w:ascii="Verdana" w:eastAsia="Times New Roman" w:hAnsi="Verdana" w:cs="Arial"/>
                <w:lang w:val="es-ES_tradnl" w:eastAsia="es-ES"/>
              </w:rPr>
              <w:t xml:space="preserve"> Pública–Colombia Compra Eficiente–. Disponible en: </w:t>
            </w:r>
            <w:hyperlink r:id="rId15" w:history="1">
              <w:r w:rsidRPr="00614500">
                <w:rPr>
                  <w:rFonts w:ascii="Verdana" w:hAnsi="Verdana"/>
                  <w:color w:val="0070C0"/>
                  <w:u w:val="single"/>
                </w:rPr>
                <w:t>https://colombiacompra.gov.co/sites/cce_public/files/cce_documents/cce-eicp-ma-04._manual_requisitos_habilitantes_v3_29-09-2023.pdf</w:t>
              </w:r>
            </w:hyperlink>
          </w:p>
          <w:p w14:paraId="260600F3" w14:textId="77777777" w:rsidR="00614500" w:rsidRPr="00614500" w:rsidRDefault="00614500" w:rsidP="00614500">
            <w:pPr>
              <w:widowControl w:val="0"/>
              <w:autoSpaceDE w:val="0"/>
              <w:autoSpaceDN w:val="0"/>
              <w:spacing w:after="120" w:line="276" w:lineRule="auto"/>
              <w:ind w:left="720"/>
              <w:jc w:val="both"/>
              <w:rPr>
                <w:rFonts w:ascii="Verdana" w:hAnsi="Verdana" w:cs="Arial"/>
              </w:rPr>
            </w:pPr>
          </w:p>
          <w:p w14:paraId="4F5F2E16" w14:textId="77777777" w:rsidR="00614500" w:rsidRPr="00614500" w:rsidRDefault="00614500" w:rsidP="00614500">
            <w:pPr>
              <w:widowControl w:val="0"/>
              <w:numPr>
                <w:ilvl w:val="0"/>
                <w:numId w:val="18"/>
              </w:numPr>
              <w:autoSpaceDE w:val="0"/>
              <w:autoSpaceDN w:val="0"/>
              <w:spacing w:after="120" w:line="276" w:lineRule="auto"/>
              <w:contextualSpacing/>
              <w:jc w:val="both"/>
              <w:rPr>
                <w:rFonts w:ascii="Verdana" w:hAnsi="Verdana" w:cs="Arial"/>
              </w:rPr>
            </w:pPr>
            <w:r w:rsidRPr="00614500">
              <w:rPr>
                <w:rFonts w:ascii="Verdana" w:hAnsi="Verdana" w:cs="Arial"/>
              </w:rPr>
              <w:t xml:space="preserve">Jurisprudencia del Consejo de Estado. Disponible en: </w:t>
            </w:r>
            <w:hyperlink r:id="rId16" w:history="1">
              <w:r w:rsidRPr="00614500">
                <w:rPr>
                  <w:rFonts w:ascii="Verdana" w:hAnsi="Verdana" w:cs="Arial"/>
                  <w:color w:val="0563C1" w:themeColor="hyperlink"/>
                  <w:u w:val="single"/>
                </w:rPr>
                <w:t>https://relatoria.colombiacompra.gov.co/providencias-consejo-de-estado/</w:t>
              </w:r>
            </w:hyperlink>
            <w:r w:rsidRPr="00614500">
              <w:rPr>
                <w:rFonts w:ascii="Verdana" w:hAnsi="Verdana" w:cs="Arial"/>
              </w:rPr>
              <w:t xml:space="preserve"> </w:t>
            </w:r>
          </w:p>
          <w:p w14:paraId="1177EA98" w14:textId="77777777" w:rsidR="00614500" w:rsidRPr="00614500" w:rsidRDefault="00614500" w:rsidP="00614500">
            <w:pPr>
              <w:widowControl w:val="0"/>
              <w:autoSpaceDE w:val="0"/>
              <w:autoSpaceDN w:val="0"/>
              <w:spacing w:after="120" w:line="276" w:lineRule="auto"/>
              <w:ind w:left="720"/>
              <w:contextualSpacing/>
              <w:jc w:val="both"/>
              <w:rPr>
                <w:rFonts w:ascii="Verdana" w:hAnsi="Verdana" w:cs="Arial"/>
              </w:rPr>
            </w:pPr>
          </w:p>
          <w:p w14:paraId="406F9293" w14:textId="77777777" w:rsidR="00614500" w:rsidRPr="00614500" w:rsidRDefault="00614500" w:rsidP="00614500">
            <w:pPr>
              <w:widowControl w:val="0"/>
              <w:numPr>
                <w:ilvl w:val="0"/>
                <w:numId w:val="18"/>
              </w:numPr>
              <w:autoSpaceDE w:val="0"/>
              <w:autoSpaceDN w:val="0"/>
              <w:spacing w:after="120" w:line="276" w:lineRule="auto"/>
              <w:contextualSpacing/>
              <w:jc w:val="both"/>
              <w:rPr>
                <w:rFonts w:ascii="Verdana" w:hAnsi="Verdana" w:cs="Arial"/>
              </w:rPr>
            </w:pPr>
            <w:r w:rsidRPr="00614500">
              <w:rPr>
                <w:rFonts w:ascii="Verdana" w:hAnsi="Verdana" w:cs="Arial"/>
              </w:rPr>
              <w:t xml:space="preserve">Guías y manuales expedidos por la ANCP-CCE. Disponible en: </w:t>
            </w:r>
            <w:hyperlink r:id="rId17" w:history="1">
              <w:r w:rsidRPr="00614500">
                <w:rPr>
                  <w:rFonts w:ascii="Verdana" w:hAnsi="Verdana" w:cs="Arial"/>
                  <w:color w:val="0563C1" w:themeColor="hyperlink"/>
                  <w:u w:val="single"/>
                </w:rPr>
                <w:t>https://www.colombiacompra.gov.co/manuales-guias-y-pliegos-tipo/manuales-y-guias</w:t>
              </w:r>
            </w:hyperlink>
          </w:p>
          <w:p w14:paraId="1356E493" w14:textId="77777777" w:rsidR="00614500" w:rsidRPr="00614500" w:rsidRDefault="00614500" w:rsidP="00614500">
            <w:pPr>
              <w:widowControl w:val="0"/>
              <w:autoSpaceDE w:val="0"/>
              <w:autoSpaceDN w:val="0"/>
              <w:spacing w:after="120" w:line="276" w:lineRule="auto"/>
              <w:jc w:val="both"/>
              <w:rPr>
                <w:rFonts w:ascii="Verdana" w:hAnsi="Verdana" w:cs="Arial"/>
              </w:rPr>
            </w:pPr>
          </w:p>
        </w:tc>
      </w:tr>
    </w:tbl>
    <w:p w14:paraId="1387364A" w14:textId="77777777" w:rsidR="00614500" w:rsidRPr="00614500" w:rsidRDefault="00614500" w:rsidP="00614500">
      <w:pPr>
        <w:widowControl w:val="0"/>
        <w:autoSpaceDE w:val="0"/>
        <w:autoSpaceDN w:val="0"/>
        <w:spacing w:after="0" w:line="276" w:lineRule="auto"/>
        <w:jc w:val="both"/>
        <w:rPr>
          <w:rFonts w:ascii="Verdana" w:hAnsi="Verdana" w:cs="Arial"/>
        </w:rPr>
      </w:pPr>
    </w:p>
    <w:p w14:paraId="453A61C4" w14:textId="77777777" w:rsidR="00614500" w:rsidRPr="00614500" w:rsidRDefault="00614500" w:rsidP="00614500">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614500">
        <w:rPr>
          <w:rFonts w:ascii="Verdana" w:eastAsia="Century Gothic" w:hAnsi="Verdana" w:cs="Century Gothic"/>
          <w:b/>
          <w:bCs/>
          <w:lang w:val="es-ES"/>
        </w:rPr>
        <w:t>Doctrina de la Agencia Nacional de Contratación Pública:</w:t>
      </w:r>
    </w:p>
    <w:p w14:paraId="6BC56E79" w14:textId="77777777" w:rsidR="00614500" w:rsidRPr="00614500" w:rsidRDefault="00614500" w:rsidP="00614500">
      <w:pPr>
        <w:spacing w:line="276" w:lineRule="auto"/>
        <w:jc w:val="both"/>
        <w:rPr>
          <w:rFonts w:ascii="Verdana" w:hAnsi="Verdana" w:cs="Arial"/>
        </w:rPr>
      </w:pPr>
    </w:p>
    <w:p w14:paraId="037193A2" w14:textId="50F00555" w:rsidR="00614500" w:rsidRPr="006E553C" w:rsidRDefault="00614500" w:rsidP="006E553C">
      <w:pPr>
        <w:spacing w:line="276" w:lineRule="auto"/>
        <w:jc w:val="both"/>
        <w:rPr>
          <w:rFonts w:ascii="Verdana" w:hAnsi="Verdana" w:cs="Arial"/>
          <w:lang w:val="es-ES"/>
        </w:rPr>
      </w:pPr>
      <w:r w:rsidRPr="00614500">
        <w:rPr>
          <w:rFonts w:ascii="Verdana" w:hAnsi="Verdana" w:cs="Arial"/>
          <w:lang w:val="es-ES"/>
        </w:rPr>
        <w:t>Sobre la experiencia como requisito habilitante en la contratación pública,  se pronunció  esta Subdirección en los Conceptos</w:t>
      </w:r>
      <w:r w:rsidR="00901E49">
        <w:rPr>
          <w:rFonts w:ascii="Verdana" w:hAnsi="Verdana" w:cs="Arial"/>
          <w:lang w:val="es-ES"/>
        </w:rPr>
        <w:t xml:space="preserve"> C-204 de</w:t>
      </w:r>
      <w:r w:rsidR="002260CD">
        <w:rPr>
          <w:rFonts w:ascii="Verdana" w:hAnsi="Verdana" w:cs="Arial"/>
          <w:lang w:val="es-ES"/>
        </w:rPr>
        <w:t xml:space="preserve">l </w:t>
      </w:r>
      <w:r w:rsidR="00901E49">
        <w:rPr>
          <w:rFonts w:ascii="Verdana" w:hAnsi="Verdana" w:cs="Arial"/>
          <w:lang w:val="es-ES"/>
        </w:rPr>
        <w:t xml:space="preserve">29 de julio de 2024, </w:t>
      </w:r>
      <w:r w:rsidR="002260CD">
        <w:rPr>
          <w:rFonts w:ascii="Verdana" w:hAnsi="Verdana" w:cs="Arial"/>
          <w:lang w:val="es-ES"/>
        </w:rPr>
        <w:t>C-223 del 29 de julio de 2024,</w:t>
      </w:r>
      <w:r w:rsidR="00E263FB">
        <w:rPr>
          <w:rFonts w:ascii="Verdana" w:hAnsi="Verdana" w:cs="Arial"/>
          <w:lang w:val="es-ES"/>
        </w:rPr>
        <w:t>C- 277 del 16 de julio,</w:t>
      </w:r>
      <w:r w:rsidR="002260CD">
        <w:rPr>
          <w:rFonts w:ascii="Verdana" w:hAnsi="Verdana" w:cs="Arial"/>
          <w:lang w:val="es-ES"/>
        </w:rPr>
        <w:t xml:space="preserve"> C-246 del 16 de julio de 2024, C-278 de 31 de julio</w:t>
      </w:r>
      <w:r w:rsidR="000B7D33">
        <w:rPr>
          <w:rFonts w:ascii="Verdana" w:hAnsi="Verdana" w:cs="Arial"/>
          <w:lang w:val="es-ES"/>
        </w:rPr>
        <w:t xml:space="preserve"> de 2024 ,</w:t>
      </w:r>
      <w:r w:rsidR="000B7D33" w:rsidRPr="000B7D33">
        <w:rPr>
          <w:rFonts w:ascii="Verdana" w:eastAsia="Aptos" w:hAnsi="Verdana" w:cs="Segoe UI"/>
          <w:kern w:val="2"/>
          <w14:ligatures w14:val="standardContextual"/>
        </w:rPr>
        <w:t>C-088</w:t>
      </w:r>
      <w:r w:rsidR="000B7D33">
        <w:rPr>
          <w:rFonts w:ascii="Verdana" w:eastAsia="Aptos" w:hAnsi="Verdana" w:cs="Segoe UI"/>
          <w:kern w:val="2"/>
          <w14:ligatures w14:val="standardContextual"/>
        </w:rPr>
        <w:t xml:space="preserve"> del 13 de julio</w:t>
      </w:r>
      <w:r w:rsidR="000B7D33" w:rsidRPr="000B7D33">
        <w:rPr>
          <w:rFonts w:ascii="Verdana" w:eastAsia="Aptos" w:hAnsi="Verdana" w:cs="Segoe UI"/>
          <w:kern w:val="2"/>
          <w14:ligatures w14:val="standardContextual"/>
        </w:rPr>
        <w:t xml:space="preserve"> de 2024 </w:t>
      </w:r>
      <w:r w:rsidR="002260CD">
        <w:rPr>
          <w:rFonts w:ascii="Verdana" w:hAnsi="Verdana" w:cs="Arial"/>
          <w:lang w:val="es-ES"/>
        </w:rPr>
        <w:t xml:space="preserve"> del 2024, C-120 de 11 del junio de 2024, C-139 de 31 mayo del  2024</w:t>
      </w:r>
      <w:r w:rsidR="000B7D33">
        <w:rPr>
          <w:rFonts w:ascii="Verdana" w:hAnsi="Verdana" w:cs="Arial"/>
          <w:lang w:val="es-ES"/>
        </w:rPr>
        <w:t>,</w:t>
      </w:r>
      <w:r w:rsidR="00E263FB">
        <w:rPr>
          <w:rFonts w:ascii="Verdana" w:hAnsi="Verdana" w:cs="Arial"/>
          <w:lang w:val="es-ES"/>
        </w:rPr>
        <w:t>C- 450 del 3 de noviembre de 2023,</w:t>
      </w:r>
      <w:r w:rsidR="000B7D33">
        <w:rPr>
          <w:rFonts w:ascii="Verdana" w:hAnsi="Verdana" w:cs="Arial"/>
          <w:lang w:val="es-ES"/>
        </w:rPr>
        <w:t xml:space="preserve"> C-167 del 5 de junio de 2023,</w:t>
      </w:r>
      <w:r w:rsidRPr="00614500">
        <w:rPr>
          <w:rFonts w:ascii="Verdana" w:hAnsi="Verdana" w:cs="Arial"/>
          <w:lang w:val="es-ES"/>
        </w:rPr>
        <w:t xml:space="preserve"> </w:t>
      </w:r>
      <w:r w:rsidR="000B7D33">
        <w:rPr>
          <w:rFonts w:ascii="Verdana" w:hAnsi="Verdana" w:cs="Arial"/>
          <w:lang w:val="es-ES"/>
        </w:rPr>
        <w:t xml:space="preserve">C- 124 del 12 de mayo de 2023, </w:t>
      </w:r>
      <w:r w:rsidR="00FA25B8">
        <w:rPr>
          <w:rFonts w:ascii="Verdana" w:hAnsi="Verdana" w:cs="Arial"/>
          <w:lang w:val="es-ES"/>
        </w:rPr>
        <w:t>C-779 del 16 de noviembre de 2022, C 447 del  19 de julio  de 2022</w:t>
      </w:r>
      <w:r w:rsidR="00FA25B8" w:rsidRPr="00FA25B8">
        <w:rPr>
          <w:rFonts w:ascii="Verdana" w:eastAsia="Aptos" w:hAnsi="Verdana" w:cs="Segoe UI"/>
          <w:kern w:val="2"/>
          <w14:ligatures w14:val="standardContextual"/>
        </w:rPr>
        <w:t>, C-415 del 10 de agosto de 2021, C 429 del 17 de agosto de 2021, C 539 del 27 de septiembre de 2021, C-034 del 2 de marzo de 2022, C-144 del 28 de marzo de 2022, C-239 del 26 de abril de 2022, C</w:t>
      </w:r>
      <w:r w:rsidR="006E553C">
        <w:rPr>
          <w:rFonts w:ascii="Verdana" w:eastAsia="Aptos" w:hAnsi="Verdana" w:cs="Segoe UI"/>
          <w:kern w:val="2"/>
          <w14:ligatures w14:val="standardContextual"/>
        </w:rPr>
        <w:t>-</w:t>
      </w:r>
      <w:r w:rsidR="00FA25B8" w:rsidRPr="00FA25B8">
        <w:rPr>
          <w:rFonts w:ascii="Verdana" w:eastAsia="Aptos" w:hAnsi="Verdana" w:cs="Segoe UI"/>
          <w:kern w:val="2"/>
          <w14:ligatures w14:val="standardContextual"/>
        </w:rPr>
        <w:t>324 del 20 mayo de 2022, C-456 del 15 de julio de 2022</w:t>
      </w:r>
      <w:r w:rsidR="006E553C">
        <w:rPr>
          <w:rFonts w:ascii="Verdana" w:hAnsi="Verdana" w:cs="Arial"/>
          <w:lang w:val="es-ES"/>
        </w:rPr>
        <w:t>.</w:t>
      </w:r>
      <w:r w:rsidRPr="00614500">
        <w:rPr>
          <w:rFonts w:ascii="Verdana" w:hAnsi="Verdana" w:cs="Arial"/>
          <w:shd w:val="clear" w:color="auto" w:fill="FFFFFF"/>
          <w:lang w:val="es-ES"/>
        </w:rPr>
        <w:t>Es</w:t>
      </w:r>
      <w:r w:rsidRPr="00614500">
        <w:rPr>
          <w:rFonts w:ascii="Verdana" w:hAnsi="Verdana"/>
        </w:rPr>
        <w:t xml:space="preserve">tos y otros conceptos se encuentran disponibles para consulta </w:t>
      </w:r>
      <w:r w:rsidRPr="00614500">
        <w:rPr>
          <w:rFonts w:ascii="Verdana" w:hAnsi="Verdana"/>
        </w:rPr>
        <w:lastRenderedPageBreak/>
        <w:t>en el Sistema de relatoría de la Agencia, al cual se puede acceder a través del siguiente enlace:</w:t>
      </w:r>
      <w:r w:rsidRPr="00614500">
        <w:rPr>
          <w:rFonts w:ascii="Verdana" w:hAnsi="Verdana" w:cs="Arial"/>
          <w:shd w:val="clear" w:color="auto" w:fill="FFFFFF"/>
          <w:lang w:val="es-ES"/>
        </w:rPr>
        <w:t xml:space="preserve"> </w:t>
      </w:r>
      <w:hyperlink r:id="rId18" w:history="1">
        <w:r w:rsidRPr="00614500">
          <w:rPr>
            <w:rFonts w:ascii="Verdana" w:hAnsi="Verdana" w:cs="Arial"/>
            <w:color w:val="0563C1" w:themeColor="hyperlink"/>
            <w:u w:val="single"/>
            <w:shd w:val="clear" w:color="auto" w:fill="FFFFFF"/>
            <w:lang w:val="es-ES"/>
          </w:rPr>
          <w:t>https://relatoria.colombiacompra.gov.co/busqueda/conceptos</w:t>
        </w:r>
      </w:hyperlink>
      <w:r w:rsidRPr="00614500">
        <w:rPr>
          <w:rFonts w:ascii="Verdana" w:hAnsi="Verdana" w:cs="Arial"/>
          <w:color w:val="FF0000"/>
          <w:shd w:val="clear" w:color="auto" w:fill="FFFFFF"/>
          <w:lang w:val="es-ES"/>
        </w:rPr>
        <w:t xml:space="preserve">. </w:t>
      </w:r>
    </w:p>
    <w:p w14:paraId="37395D35" w14:textId="77777777" w:rsidR="00614500" w:rsidRPr="00614500" w:rsidRDefault="00614500" w:rsidP="00614500">
      <w:pPr>
        <w:widowControl w:val="0"/>
        <w:autoSpaceDE w:val="0"/>
        <w:autoSpaceDN w:val="0"/>
        <w:spacing w:after="0" w:line="276" w:lineRule="auto"/>
        <w:jc w:val="both"/>
        <w:rPr>
          <w:rFonts w:ascii="Verdana" w:hAnsi="Verdana" w:cs="Arial"/>
          <w:color w:val="FF0000"/>
          <w:shd w:val="clear" w:color="auto" w:fill="FFFFFF"/>
          <w:lang w:val="es-ES"/>
        </w:rPr>
      </w:pPr>
    </w:p>
    <w:p w14:paraId="2EB98C4D" w14:textId="77777777" w:rsidR="00614500" w:rsidRPr="00614500" w:rsidRDefault="00614500" w:rsidP="00614500">
      <w:pPr>
        <w:widowControl w:val="0"/>
        <w:autoSpaceDE w:val="0"/>
        <w:autoSpaceDN w:val="0"/>
        <w:spacing w:after="0" w:line="276" w:lineRule="auto"/>
        <w:jc w:val="both"/>
        <w:rPr>
          <w:rFonts w:ascii="Verdana" w:hAnsi="Verdana" w:cs="Arial"/>
          <w:color w:val="FF0000"/>
          <w:shd w:val="clear" w:color="auto" w:fill="FFFFFF"/>
          <w:lang w:val="es-ES"/>
        </w:rPr>
      </w:pPr>
      <w:r w:rsidRPr="00614500">
        <w:rPr>
          <w:rFonts w:ascii="Verdana" w:hAnsi="Verdana" w:cs="Arial"/>
          <w:color w:val="000000" w:themeColor="text1"/>
          <w:shd w:val="clear" w:color="auto" w:fill="FFFFFF"/>
          <w:lang w:val="es-ES"/>
        </w:rPr>
        <w:t>También le invitamos a consultar las versiones I y II de 2024 del Boletín de Relatoría de la Subdirección de Gestión Contractual, las cuales puede descargar en la página web de la Agencia:</w:t>
      </w:r>
      <w:r w:rsidRPr="00614500">
        <w:rPr>
          <w:rFonts w:ascii="Verdana" w:hAnsi="Verdana" w:cs="Arial"/>
          <w:color w:val="FF0000"/>
          <w:shd w:val="clear" w:color="auto" w:fill="FFFFFF"/>
          <w:lang w:val="es-ES"/>
        </w:rPr>
        <w:t xml:space="preserve"> </w:t>
      </w:r>
      <w:hyperlink r:id="rId19" w:history="1">
        <w:r w:rsidRPr="00614500">
          <w:rPr>
            <w:rFonts w:ascii="Verdana" w:hAnsi="Verdana" w:cs="Arial"/>
            <w:color w:val="0563C1" w:themeColor="hyperlink"/>
            <w:u w:val="single"/>
            <w:shd w:val="clear" w:color="auto" w:fill="FFFFFF"/>
            <w:lang w:val="es-ES"/>
          </w:rPr>
          <w:t>https://www.colombiacompra.gov.co/sala-de-prensa/boletin-digital</w:t>
        </w:r>
      </w:hyperlink>
      <w:r w:rsidRPr="00614500">
        <w:rPr>
          <w:rFonts w:ascii="Verdana" w:hAnsi="Verdana" w:cs="Arial"/>
          <w:color w:val="FF0000"/>
          <w:shd w:val="clear" w:color="auto" w:fill="FFFFFF"/>
          <w:lang w:val="es-ES"/>
        </w:rPr>
        <w:t xml:space="preserve">      </w:t>
      </w:r>
    </w:p>
    <w:p w14:paraId="1F483BD8" w14:textId="77777777" w:rsidR="00614500" w:rsidRPr="00614500" w:rsidRDefault="00614500" w:rsidP="00614500">
      <w:pPr>
        <w:spacing w:after="0" w:line="240" w:lineRule="auto"/>
        <w:jc w:val="both"/>
        <w:rPr>
          <w:rFonts w:ascii="Verdana" w:hAnsi="Verdana"/>
        </w:rPr>
      </w:pPr>
      <w:r w:rsidRPr="00614500">
        <w:rPr>
          <w:rFonts w:ascii="Verdana" w:hAnsi="Verdana"/>
        </w:rPr>
        <w:t xml:space="preserve">Por último, lo invitamos a seguirnos en las redes sociales en las cuales se difunde información institucional: </w:t>
      </w:r>
    </w:p>
    <w:p w14:paraId="312C8717" w14:textId="77777777" w:rsidR="00614500" w:rsidRPr="00614500" w:rsidRDefault="00614500" w:rsidP="00614500">
      <w:pPr>
        <w:spacing w:after="0" w:line="240" w:lineRule="auto"/>
        <w:jc w:val="both"/>
        <w:rPr>
          <w:rFonts w:ascii="Verdana" w:hAnsi="Verdana"/>
        </w:rPr>
      </w:pPr>
    </w:p>
    <w:p w14:paraId="14474AFC" w14:textId="77777777" w:rsidR="00614500" w:rsidRPr="00614500" w:rsidRDefault="00614500" w:rsidP="00614500">
      <w:pPr>
        <w:spacing w:after="0" w:line="240" w:lineRule="auto"/>
        <w:jc w:val="both"/>
        <w:rPr>
          <w:rFonts w:ascii="Verdana" w:hAnsi="Verdana"/>
        </w:rPr>
      </w:pPr>
      <w:r w:rsidRPr="00614500">
        <w:rPr>
          <w:rFonts w:ascii="Verdana" w:hAnsi="Verdana"/>
        </w:rPr>
        <w:t xml:space="preserve">Twitter: </w:t>
      </w:r>
      <w:r w:rsidRPr="00614500">
        <w:rPr>
          <w:rFonts w:ascii="Verdana" w:hAnsi="Verdana"/>
          <w:color w:val="4472C4" w:themeColor="accent1"/>
          <w:u w:val="single"/>
        </w:rPr>
        <w:t>@colombiacompra</w:t>
      </w:r>
      <w:r w:rsidRPr="00614500">
        <w:rPr>
          <w:rFonts w:ascii="Verdana" w:hAnsi="Verdana"/>
          <w:color w:val="4472C4" w:themeColor="accent1"/>
        </w:rPr>
        <w:t xml:space="preserve"> </w:t>
      </w:r>
    </w:p>
    <w:p w14:paraId="0E145FEB" w14:textId="77777777" w:rsidR="00614500" w:rsidRPr="00614500" w:rsidRDefault="00614500" w:rsidP="00614500">
      <w:pPr>
        <w:spacing w:after="0" w:line="240" w:lineRule="auto"/>
        <w:jc w:val="both"/>
        <w:rPr>
          <w:rFonts w:ascii="Verdana" w:hAnsi="Verdana"/>
        </w:rPr>
      </w:pPr>
      <w:r w:rsidRPr="00614500">
        <w:rPr>
          <w:rFonts w:ascii="Verdana" w:hAnsi="Verdana"/>
        </w:rPr>
        <w:t xml:space="preserve">Facebook: </w:t>
      </w:r>
      <w:proofErr w:type="spellStart"/>
      <w:r w:rsidRPr="00614500">
        <w:rPr>
          <w:rFonts w:ascii="Verdana" w:hAnsi="Verdana"/>
          <w:color w:val="4472C4" w:themeColor="accent1"/>
          <w:u w:val="single"/>
        </w:rPr>
        <w:t>ColombiaCompraEficiente</w:t>
      </w:r>
      <w:proofErr w:type="spellEnd"/>
    </w:p>
    <w:p w14:paraId="3EB080F4" w14:textId="77777777" w:rsidR="00614500" w:rsidRPr="00614500" w:rsidRDefault="00614500" w:rsidP="00614500">
      <w:pPr>
        <w:spacing w:after="0" w:line="240" w:lineRule="auto"/>
        <w:jc w:val="both"/>
        <w:rPr>
          <w:rFonts w:ascii="Verdana" w:hAnsi="Verdana"/>
        </w:rPr>
      </w:pPr>
      <w:r w:rsidRPr="00614500">
        <w:rPr>
          <w:rFonts w:ascii="Verdana" w:hAnsi="Verdana"/>
        </w:rPr>
        <w:t xml:space="preserve">LinkedIn: </w:t>
      </w:r>
      <w:r w:rsidRPr="00614500">
        <w:rPr>
          <w:rFonts w:ascii="Verdana" w:hAnsi="Verdana"/>
          <w:color w:val="4472C4" w:themeColor="accent1"/>
          <w:u w:val="single"/>
        </w:rPr>
        <w:t>Agencia Nacional de Contratación Pública - Colombia Compra Eficiente</w:t>
      </w:r>
      <w:r w:rsidRPr="00614500">
        <w:rPr>
          <w:rFonts w:ascii="Verdana" w:hAnsi="Verdana"/>
          <w:color w:val="4472C4" w:themeColor="accent1"/>
        </w:rPr>
        <w:t xml:space="preserve"> </w:t>
      </w:r>
      <w:r w:rsidRPr="00614500">
        <w:rPr>
          <w:rFonts w:ascii="Verdana" w:hAnsi="Verdana"/>
        </w:rPr>
        <w:t xml:space="preserve">Instagram: </w:t>
      </w:r>
      <w:r w:rsidRPr="00614500">
        <w:rPr>
          <w:rFonts w:ascii="Verdana" w:hAnsi="Verdana"/>
          <w:color w:val="4472C4" w:themeColor="accent1"/>
          <w:u w:val="single"/>
        </w:rPr>
        <w:t>@colombiacompraeficiente_cce</w:t>
      </w:r>
    </w:p>
    <w:p w14:paraId="144FEE87" w14:textId="77777777" w:rsidR="00614500" w:rsidRPr="00614500" w:rsidRDefault="00614500" w:rsidP="00614500">
      <w:pPr>
        <w:widowControl w:val="0"/>
        <w:autoSpaceDE w:val="0"/>
        <w:autoSpaceDN w:val="0"/>
        <w:spacing w:after="0" w:line="276" w:lineRule="auto"/>
        <w:jc w:val="both"/>
        <w:rPr>
          <w:rFonts w:ascii="Verdana" w:hAnsi="Verdana" w:cs="Arial"/>
        </w:rPr>
      </w:pPr>
    </w:p>
    <w:p w14:paraId="597E7B5F" w14:textId="77777777" w:rsidR="00614500" w:rsidRPr="00614500" w:rsidRDefault="00614500" w:rsidP="00614500">
      <w:pPr>
        <w:widowControl w:val="0"/>
        <w:autoSpaceDE w:val="0"/>
        <w:autoSpaceDN w:val="0"/>
        <w:spacing w:after="0" w:line="276" w:lineRule="auto"/>
        <w:jc w:val="both"/>
        <w:rPr>
          <w:rFonts w:ascii="Verdana" w:hAnsi="Verdana" w:cs="Arial"/>
          <w:lang w:val="es-ES_tradnl"/>
        </w:rPr>
      </w:pPr>
      <w:r w:rsidRPr="00614500">
        <w:rPr>
          <w:rFonts w:ascii="Verdana" w:hAnsi="Verdana" w:cs="Arial"/>
        </w:rPr>
        <w:t xml:space="preserve">Este concepto tiene el alcance previsto en el artículo 28 del Código de Procedimiento Administrativo y de lo Contencioso Administrativo </w:t>
      </w:r>
      <w:r w:rsidRPr="00614500">
        <w:rPr>
          <w:rFonts w:ascii="Verdana" w:hAnsi="Verdana" w:cs="Arial"/>
          <w:lang w:val="es-ES_tradnl"/>
        </w:rPr>
        <w:t>y las expresiones aquí utilizadas con mayúscula inicial deben ser entendidas con el significado que les otorga el artículo 2.2.1.1.1.3.1. del Decreto 1082 de 2015.</w:t>
      </w:r>
    </w:p>
    <w:p w14:paraId="644FCC8B" w14:textId="77777777" w:rsidR="00614500" w:rsidRPr="00614500" w:rsidRDefault="00614500" w:rsidP="00614500">
      <w:pPr>
        <w:widowControl w:val="0"/>
        <w:autoSpaceDE w:val="0"/>
        <w:autoSpaceDN w:val="0"/>
        <w:spacing w:after="0" w:line="276" w:lineRule="auto"/>
        <w:jc w:val="both"/>
        <w:rPr>
          <w:rFonts w:ascii="Verdana" w:hAnsi="Verdana" w:cs="Arial"/>
        </w:rPr>
      </w:pPr>
    </w:p>
    <w:p w14:paraId="6466D2F3" w14:textId="77777777" w:rsidR="00614500" w:rsidRPr="00614500" w:rsidRDefault="00614500" w:rsidP="00614500">
      <w:pPr>
        <w:spacing w:after="0" w:line="240" w:lineRule="auto"/>
        <w:rPr>
          <w:rFonts w:ascii="Verdana" w:hAnsi="Verdana" w:cs="Arial"/>
          <w:lang w:eastAsia="es-CO"/>
        </w:rPr>
      </w:pPr>
      <w:r w:rsidRPr="00614500">
        <w:rPr>
          <w:rFonts w:ascii="Verdana" w:eastAsia="Times New Roman" w:hAnsi="Verdana" w:cs="Arial"/>
          <w:lang w:eastAsia="es-CO"/>
        </w:rPr>
        <w:t>Atentamente,</w:t>
      </w:r>
      <w:r w:rsidRPr="00614500">
        <w:rPr>
          <w:rFonts w:ascii="Verdana" w:hAnsi="Verdana" w:cs="Arial"/>
          <w:lang w:eastAsia="es-CO"/>
        </w:rPr>
        <w:t xml:space="preserve"> </w:t>
      </w:r>
    </w:p>
    <w:p w14:paraId="57B7A80A" w14:textId="100E0F48" w:rsidR="00614500" w:rsidRPr="00614500" w:rsidRDefault="003F3E19" w:rsidP="00614500">
      <w:pPr>
        <w:spacing w:line="276" w:lineRule="auto"/>
        <w:jc w:val="center"/>
        <w:rPr>
          <w:rFonts w:ascii="Verdana" w:hAnsi="Verdana" w:cs="Arial"/>
          <w:color w:val="000000"/>
          <w:lang w:val="es-ES_tradnl" w:eastAsia="es-CO"/>
        </w:rPr>
      </w:pPr>
      <w:r w:rsidRPr="004D5C25">
        <w:rPr>
          <w:rFonts w:ascii="Century Gothic" w:hAnsi="Century Gothic"/>
          <w:noProof/>
        </w:rPr>
        <w:drawing>
          <wp:inline distT="0" distB="0" distL="0" distR="0" wp14:anchorId="066CF822" wp14:editId="1D77D299">
            <wp:extent cx="3705742" cy="1590897"/>
            <wp:effectExtent l="0" t="0" r="9525" b="9525"/>
            <wp:docPr id="182274004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40040" name="Imagen 1" descr="Texto&#10;&#10;Descripción generada automáticamente"/>
                    <pic:cNvPicPr/>
                  </pic:nvPicPr>
                  <pic:blipFill>
                    <a:blip r:embed="rId20"/>
                    <a:stretch>
                      <a:fillRect/>
                    </a:stretch>
                  </pic:blipFill>
                  <pic:spPr>
                    <a:xfrm>
                      <a:off x="0" y="0"/>
                      <a:ext cx="3705742" cy="1590897"/>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614500" w:rsidRPr="00614500" w14:paraId="2F807CDD" w14:textId="77777777" w:rsidTr="00A07413">
        <w:trPr>
          <w:trHeight w:val="315"/>
        </w:trPr>
        <w:tc>
          <w:tcPr>
            <w:tcW w:w="893" w:type="dxa"/>
            <w:vAlign w:val="center"/>
            <w:hideMark/>
          </w:tcPr>
          <w:p w14:paraId="3BB679D3" w14:textId="77777777" w:rsidR="00614500" w:rsidRPr="00614500" w:rsidRDefault="00614500" w:rsidP="00614500">
            <w:pPr>
              <w:contextualSpacing/>
              <w:rPr>
                <w:rFonts w:ascii="Verdana" w:hAnsi="Verdana" w:cs="Arial"/>
                <w:sz w:val="16"/>
                <w:szCs w:val="16"/>
                <w:lang w:val="es-ES" w:eastAsia="es-ES"/>
              </w:rPr>
            </w:pPr>
            <w:r w:rsidRPr="00614500">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26C6699" w14:textId="77777777" w:rsidR="00614500" w:rsidRPr="003F3E19" w:rsidRDefault="00614500" w:rsidP="00614500">
            <w:pPr>
              <w:contextualSpacing/>
              <w:rPr>
                <w:rFonts w:ascii="Verdana" w:eastAsia="Arial" w:hAnsi="Verdana" w:cs="Arial"/>
                <w:color w:val="000000" w:themeColor="text1"/>
                <w:sz w:val="16"/>
                <w:szCs w:val="16"/>
              </w:rPr>
            </w:pPr>
            <w:r w:rsidRPr="003F3E19">
              <w:rPr>
                <w:rFonts w:ascii="Verdana" w:hAnsi="Verdana"/>
                <w:color w:val="000000" w:themeColor="text1"/>
                <w:sz w:val="16"/>
                <w:szCs w:val="16"/>
              </w:rPr>
              <w:t>Keila Margarita Reyes Cassiani</w:t>
            </w:r>
          </w:p>
          <w:p w14:paraId="73A8D857" w14:textId="77777777" w:rsidR="00614500" w:rsidRPr="00614500" w:rsidRDefault="00614500" w:rsidP="00614500">
            <w:pPr>
              <w:contextualSpacing/>
              <w:rPr>
                <w:rFonts w:ascii="Verdana" w:eastAsia="Arial" w:hAnsi="Verdana" w:cs="Arial"/>
                <w:sz w:val="16"/>
                <w:szCs w:val="16"/>
              </w:rPr>
            </w:pPr>
            <w:r w:rsidRPr="00614500">
              <w:rPr>
                <w:rFonts w:ascii="Verdana" w:eastAsia="Arial" w:hAnsi="Verdana" w:cs="Arial"/>
                <w:color w:val="000000" w:themeColor="text1"/>
                <w:sz w:val="16"/>
                <w:szCs w:val="16"/>
              </w:rPr>
              <w:t>C</w:t>
            </w:r>
            <w:r w:rsidRPr="00614500">
              <w:rPr>
                <w:rFonts w:ascii="Verdana" w:hAnsi="Verdana"/>
                <w:color w:val="000000" w:themeColor="text1"/>
                <w:sz w:val="16"/>
                <w:szCs w:val="16"/>
              </w:rPr>
              <w:t>ontratista</w:t>
            </w:r>
            <w:r w:rsidRPr="00614500">
              <w:rPr>
                <w:rFonts w:ascii="Verdana" w:eastAsia="Arial" w:hAnsi="Verdana" w:cs="Arial"/>
                <w:color w:val="000000" w:themeColor="text1"/>
                <w:sz w:val="16"/>
                <w:szCs w:val="16"/>
              </w:rPr>
              <w:t xml:space="preserve"> de la Subdirección de Gestión Contractual</w:t>
            </w:r>
          </w:p>
        </w:tc>
      </w:tr>
      <w:tr w:rsidR="00614500" w:rsidRPr="00614500" w14:paraId="73AD5B9D" w14:textId="77777777" w:rsidTr="00A07413">
        <w:trPr>
          <w:trHeight w:val="330"/>
        </w:trPr>
        <w:tc>
          <w:tcPr>
            <w:tcW w:w="893" w:type="dxa"/>
            <w:vAlign w:val="center"/>
            <w:hideMark/>
          </w:tcPr>
          <w:p w14:paraId="6F42FC7B" w14:textId="77777777" w:rsidR="00614500" w:rsidRPr="00614500" w:rsidRDefault="00614500" w:rsidP="00614500">
            <w:pPr>
              <w:contextualSpacing/>
              <w:rPr>
                <w:rFonts w:ascii="Verdana" w:hAnsi="Verdana" w:cs="Arial"/>
                <w:sz w:val="16"/>
                <w:szCs w:val="16"/>
                <w:lang w:val="es-ES" w:eastAsia="es-ES"/>
              </w:rPr>
            </w:pPr>
            <w:r w:rsidRPr="00614500">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77DCDE7C" w14:textId="77777777" w:rsidR="00614500" w:rsidRPr="00614500" w:rsidRDefault="00614500" w:rsidP="00614500">
            <w:pPr>
              <w:contextualSpacing/>
              <w:textAlignment w:val="baseline"/>
              <w:rPr>
                <w:rFonts w:ascii="Verdana" w:eastAsia="Times New Roman" w:hAnsi="Verdana" w:cs="Segoe UI"/>
                <w:color w:val="7030A0"/>
                <w:sz w:val="16"/>
                <w:szCs w:val="16"/>
                <w:lang w:eastAsia="es-ES_tradnl"/>
              </w:rPr>
            </w:pPr>
            <w:r w:rsidRPr="00614500">
              <w:rPr>
                <w:rFonts w:ascii="Verdana" w:eastAsia="Times New Roman" w:hAnsi="Verdana" w:cs="Segoe UI"/>
                <w:color w:val="7030A0"/>
                <w:sz w:val="16"/>
                <w:szCs w:val="16"/>
                <w:lang w:eastAsia="es-ES_tradnl"/>
              </w:rPr>
              <w:t>C</w:t>
            </w:r>
            <w:r w:rsidRPr="00614500">
              <w:rPr>
                <w:rFonts w:ascii="Verdana" w:eastAsia="Times New Roman" w:hAnsi="Verdana" w:cs="Segoe UI"/>
                <w:sz w:val="16"/>
                <w:szCs w:val="16"/>
                <w:lang w:eastAsia="es-ES_tradnl"/>
              </w:rPr>
              <w:t>ielo González Meza</w:t>
            </w:r>
          </w:p>
          <w:p w14:paraId="6F503926" w14:textId="77777777" w:rsidR="00614500" w:rsidRPr="00614500" w:rsidRDefault="00614500" w:rsidP="00614500">
            <w:pPr>
              <w:contextualSpacing/>
              <w:textAlignment w:val="baseline"/>
              <w:rPr>
                <w:rFonts w:ascii="Verdana" w:eastAsia="Times New Roman" w:hAnsi="Verdana" w:cs="Segoe UI"/>
                <w:sz w:val="16"/>
                <w:szCs w:val="16"/>
                <w:lang w:eastAsia="es-ES_tradnl"/>
              </w:rPr>
            </w:pPr>
            <w:r w:rsidRPr="00614500">
              <w:rPr>
                <w:rFonts w:ascii="Verdana" w:eastAsia="Times New Roman" w:hAnsi="Verdana" w:cs="Arial"/>
                <w:sz w:val="16"/>
                <w:szCs w:val="16"/>
                <w:lang w:val="es-ES" w:eastAsia="es-ES_tradnl"/>
              </w:rPr>
              <w:t>Contratista de la Subdirección de Gestión Contractual</w:t>
            </w:r>
            <w:r w:rsidRPr="00614500">
              <w:rPr>
                <w:rFonts w:ascii="Verdana" w:eastAsia="Times New Roman" w:hAnsi="Verdana" w:cs="Arial"/>
                <w:sz w:val="16"/>
                <w:szCs w:val="16"/>
                <w:lang w:eastAsia="es-ES_tradnl"/>
              </w:rPr>
              <w:t> </w:t>
            </w:r>
          </w:p>
        </w:tc>
      </w:tr>
      <w:tr w:rsidR="00614500" w:rsidRPr="00614500" w14:paraId="68AA0F56" w14:textId="77777777" w:rsidTr="00A07413">
        <w:trPr>
          <w:trHeight w:val="300"/>
        </w:trPr>
        <w:tc>
          <w:tcPr>
            <w:tcW w:w="893" w:type="dxa"/>
            <w:vAlign w:val="center"/>
          </w:tcPr>
          <w:p w14:paraId="5CA09D21" w14:textId="77777777" w:rsidR="00614500" w:rsidRPr="00614500" w:rsidRDefault="00614500" w:rsidP="00614500">
            <w:pPr>
              <w:contextualSpacing/>
              <w:rPr>
                <w:rFonts w:ascii="Verdana" w:hAnsi="Verdana" w:cs="Arial"/>
                <w:sz w:val="16"/>
                <w:szCs w:val="16"/>
                <w:lang w:val="es-ES" w:eastAsia="es-ES"/>
              </w:rPr>
            </w:pPr>
            <w:r w:rsidRPr="00614500">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18B8E803" w14:textId="77777777" w:rsidR="00614500" w:rsidRPr="00614500" w:rsidRDefault="00614500" w:rsidP="00614500">
            <w:pPr>
              <w:contextualSpacing/>
              <w:rPr>
                <w:rFonts w:ascii="Verdana" w:eastAsia="Calibri" w:hAnsi="Verdana" w:cs="Arial"/>
                <w:sz w:val="16"/>
                <w:szCs w:val="16"/>
                <w:lang w:val="pt-BR" w:eastAsia="es-ES"/>
              </w:rPr>
            </w:pPr>
            <w:r w:rsidRPr="00614500">
              <w:rPr>
                <w:rFonts w:ascii="Verdana" w:eastAsia="Calibri" w:hAnsi="Verdana" w:cs="Arial"/>
                <w:sz w:val="16"/>
                <w:szCs w:val="16"/>
                <w:lang w:val="pt-BR" w:eastAsia="es-ES"/>
              </w:rPr>
              <w:t xml:space="preserve">Carolina Quintero </w:t>
            </w:r>
            <w:proofErr w:type="spellStart"/>
            <w:r w:rsidRPr="00614500">
              <w:rPr>
                <w:rFonts w:ascii="Verdana" w:eastAsia="Calibri" w:hAnsi="Verdana" w:cs="Arial"/>
                <w:sz w:val="16"/>
                <w:szCs w:val="16"/>
                <w:lang w:val="pt-BR" w:eastAsia="es-ES"/>
              </w:rPr>
              <w:t>Gacharná</w:t>
            </w:r>
            <w:proofErr w:type="spellEnd"/>
          </w:p>
          <w:p w14:paraId="08A97995" w14:textId="77777777" w:rsidR="00614500" w:rsidRPr="00614500" w:rsidRDefault="00614500" w:rsidP="00614500">
            <w:pPr>
              <w:contextualSpacing/>
              <w:rPr>
                <w:rFonts w:ascii="Verdana" w:eastAsia="Calibri" w:hAnsi="Verdana" w:cs="Arial"/>
                <w:sz w:val="16"/>
                <w:szCs w:val="16"/>
                <w:lang w:val="pt-BR" w:eastAsia="es-ES"/>
              </w:rPr>
            </w:pPr>
            <w:r w:rsidRPr="00614500">
              <w:rPr>
                <w:rFonts w:ascii="Verdana" w:eastAsia="Calibri" w:hAnsi="Verdana" w:cs="Arial"/>
                <w:sz w:val="16"/>
                <w:szCs w:val="16"/>
                <w:lang w:eastAsia="es-ES"/>
              </w:rPr>
              <w:t>Subdirectora</w:t>
            </w:r>
            <w:r w:rsidRPr="00614500">
              <w:rPr>
                <w:rFonts w:ascii="Verdana" w:eastAsia="Calibri" w:hAnsi="Verdana" w:cs="Arial"/>
                <w:sz w:val="16"/>
                <w:szCs w:val="16"/>
                <w:lang w:val="pt-BR" w:eastAsia="es-ES"/>
              </w:rPr>
              <w:t xml:space="preserve"> de Gestión </w:t>
            </w:r>
            <w:proofErr w:type="spellStart"/>
            <w:r w:rsidRPr="00614500">
              <w:rPr>
                <w:rFonts w:ascii="Verdana" w:eastAsia="Calibri" w:hAnsi="Verdana" w:cs="Arial"/>
                <w:sz w:val="16"/>
                <w:szCs w:val="16"/>
                <w:lang w:val="pt-BR" w:eastAsia="es-ES"/>
              </w:rPr>
              <w:t>Contractual</w:t>
            </w:r>
            <w:proofErr w:type="spellEnd"/>
            <w:r w:rsidRPr="00614500">
              <w:rPr>
                <w:rFonts w:ascii="Verdana" w:eastAsia="Calibri" w:hAnsi="Verdana" w:cs="Arial"/>
                <w:sz w:val="16"/>
                <w:szCs w:val="16"/>
                <w:lang w:val="pt-BR" w:eastAsia="es-ES"/>
              </w:rPr>
              <w:t xml:space="preserve"> ANCP – CCE</w:t>
            </w:r>
          </w:p>
        </w:tc>
      </w:tr>
      <w:bookmarkEnd w:id="0"/>
    </w:tbl>
    <w:p w14:paraId="5F1B37A6" w14:textId="77777777" w:rsidR="00891928" w:rsidRPr="00E413EA" w:rsidRDefault="00891928" w:rsidP="00891928">
      <w:pPr>
        <w:spacing w:after="0"/>
        <w:rPr>
          <w:rFonts w:ascii="Verdana" w:hAnsi="Verdana"/>
          <w:lang w:val="es-MX"/>
        </w:rPr>
      </w:pPr>
    </w:p>
    <w:sectPr w:rsidR="00891928" w:rsidRPr="00E413EA" w:rsidSect="004249E8">
      <w:headerReference w:type="default" r:id="rId21"/>
      <w:footerReference w:type="default" r:id="rId22"/>
      <w:pgSz w:w="12240" w:h="15840" w:code="1"/>
      <w:pgMar w:top="1417" w:right="1701" w:bottom="1417"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6E36" w14:textId="77777777" w:rsidR="00E5767E" w:rsidRDefault="00E5767E" w:rsidP="004A1847">
      <w:pPr>
        <w:spacing w:after="0" w:line="240" w:lineRule="auto"/>
      </w:pPr>
      <w:r>
        <w:separator/>
      </w:r>
    </w:p>
  </w:endnote>
  <w:endnote w:type="continuationSeparator" w:id="0">
    <w:p w14:paraId="5B82A496" w14:textId="77777777" w:rsidR="00E5767E" w:rsidRDefault="00E5767E"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42FF" w14:textId="77777777" w:rsidR="004A1847" w:rsidRDefault="004A1847">
    <w:pPr>
      <w:pStyle w:val="Piedepgina"/>
    </w:pPr>
  </w:p>
  <w:p w14:paraId="55BD1078"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512DB1A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6104EFEA"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1574D035" w14:textId="77777777"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AB1A2" w14:textId="77777777" w:rsidR="00E5767E" w:rsidRDefault="00E5767E" w:rsidP="004A1847">
      <w:pPr>
        <w:spacing w:after="0" w:line="240" w:lineRule="auto"/>
      </w:pPr>
      <w:r>
        <w:separator/>
      </w:r>
    </w:p>
  </w:footnote>
  <w:footnote w:type="continuationSeparator" w:id="0">
    <w:p w14:paraId="4CB595B3" w14:textId="77777777" w:rsidR="00E5767E" w:rsidRDefault="00E5767E" w:rsidP="004A1847">
      <w:pPr>
        <w:spacing w:after="0" w:line="240" w:lineRule="auto"/>
      </w:pPr>
      <w:r>
        <w:continuationSeparator/>
      </w:r>
    </w:p>
  </w:footnote>
  <w:footnote w:id="1">
    <w:p w14:paraId="1B7B2535" w14:textId="6BB555B0" w:rsidR="00157C28" w:rsidRPr="00157C28" w:rsidRDefault="00157C28" w:rsidP="00157C28">
      <w:pPr>
        <w:pStyle w:val="Textonotapie"/>
        <w:jc w:val="both"/>
        <w:rPr>
          <w:rFonts w:ascii="Verdana" w:hAnsi="Verdana"/>
          <w:sz w:val="16"/>
          <w:szCs w:val="16"/>
          <w:lang w:val="es-ES"/>
        </w:rPr>
      </w:pPr>
      <w:r w:rsidRPr="00157C28">
        <w:rPr>
          <w:rStyle w:val="Refdenotaalpie"/>
          <w:rFonts w:ascii="Verdana" w:hAnsi="Verdana"/>
          <w:sz w:val="16"/>
          <w:szCs w:val="16"/>
        </w:rPr>
        <w:footnoteRef/>
      </w:r>
      <w:r w:rsidRPr="00157C28">
        <w:rPr>
          <w:rFonts w:ascii="Verdana" w:hAnsi="Verdana"/>
          <w:sz w:val="16"/>
          <w:szCs w:val="16"/>
        </w:rPr>
        <w:t xml:space="preserve"> </w:t>
      </w:r>
      <w:r w:rsidRPr="00157C28">
        <w:rPr>
          <w:rFonts w:ascii="Verdana" w:hAnsi="Verdana"/>
          <w:sz w:val="16"/>
          <w:szCs w:val="16"/>
          <w:lang w:val="es-CO"/>
        </w:rPr>
        <w:t xml:space="preserve">“ 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Pr="00157C28">
        <w:rPr>
          <w:rFonts w:ascii="Verdana" w:hAnsi="Verdana"/>
          <w:b/>
          <w:bCs/>
          <w:sz w:val="16"/>
          <w:szCs w:val="16"/>
          <w:lang w:val="es-CO"/>
        </w:rPr>
        <w:t xml:space="preserve">Si la constitución del interesado es menor a tres (3) años, puede acreditar la experiencia de sus accionistas, socios o constituyentes. </w:t>
      </w:r>
      <w:proofErr w:type="gramStart"/>
      <w:r w:rsidRPr="00157C28">
        <w:rPr>
          <w:rFonts w:ascii="Verdana" w:hAnsi="Verdana"/>
          <w:b/>
          <w:bCs/>
          <w:sz w:val="16"/>
          <w:szCs w:val="16"/>
          <w:lang w:val="es-CO"/>
        </w:rPr>
        <w:t>”(</w:t>
      </w:r>
      <w:proofErr w:type="gramEnd"/>
      <w:r w:rsidRPr="00157C28">
        <w:rPr>
          <w:rFonts w:ascii="Verdana" w:hAnsi="Verdana"/>
          <w:b/>
          <w:bCs/>
          <w:sz w:val="16"/>
          <w:szCs w:val="16"/>
          <w:lang w:val="es-CO"/>
        </w:rPr>
        <w:t>negrillas fuera del texto original)</w:t>
      </w:r>
    </w:p>
  </w:footnote>
  <w:footnote w:id="2">
    <w:p w14:paraId="4B8008B4" w14:textId="2EEBFD0F" w:rsidR="00031410" w:rsidRPr="00661DA1" w:rsidRDefault="00031410" w:rsidP="00661DA1">
      <w:pPr>
        <w:pStyle w:val="Textonotapie"/>
        <w:jc w:val="both"/>
        <w:rPr>
          <w:lang w:val="es-ES"/>
        </w:rPr>
      </w:pPr>
      <w:r w:rsidRPr="00661DA1">
        <w:rPr>
          <w:rStyle w:val="Refdenotaalpie"/>
          <w:rFonts w:ascii="Verdana" w:hAnsi="Verdana"/>
          <w:sz w:val="16"/>
          <w:szCs w:val="16"/>
        </w:rPr>
        <w:footnoteRef/>
      </w:r>
      <w:r w:rsidRPr="00661DA1">
        <w:rPr>
          <w:rFonts w:ascii="Verdana" w:hAnsi="Verdana"/>
          <w:sz w:val="16"/>
          <w:szCs w:val="16"/>
        </w:rPr>
        <w:t xml:space="preserve"> </w:t>
      </w:r>
      <w:r w:rsidRPr="00661DA1">
        <w:rPr>
          <w:rFonts w:ascii="Verdana" w:eastAsia="Calibri" w:hAnsi="Verdana" w:cs="Arial"/>
          <w:sz w:val="16"/>
          <w:szCs w:val="16"/>
        </w:rPr>
        <w:t>Manual para determinar y verificar requisitos habilitantes en los procesos de contratación</w:t>
      </w:r>
      <w:r w:rsidRPr="00661DA1">
        <w:rPr>
          <w:rFonts w:ascii="Verdana" w:eastAsia="Times New Roman" w:hAnsi="Verdana" w:cs="Arial"/>
          <w:sz w:val="16"/>
          <w:szCs w:val="16"/>
          <w:lang w:val="es-ES_tradnl" w:eastAsia="es-ES"/>
        </w:rPr>
        <w:t xml:space="preserve"> Pública–Colombia Compra Eficiente</w:t>
      </w:r>
    </w:p>
  </w:footnote>
  <w:footnote w:id="3">
    <w:p w14:paraId="2CC98CFE" w14:textId="77777777" w:rsidR="00F9133F" w:rsidRPr="004650B6" w:rsidRDefault="00F9133F" w:rsidP="00F9133F">
      <w:pPr>
        <w:pStyle w:val="Textonotapie"/>
        <w:jc w:val="both"/>
        <w:rPr>
          <w:lang w:val="es-ES"/>
        </w:rPr>
      </w:pPr>
      <w:r>
        <w:rPr>
          <w:rStyle w:val="Refdenotaalpie"/>
        </w:rPr>
        <w:footnoteRef/>
      </w:r>
      <w:r>
        <w:t xml:space="preserve"> </w:t>
      </w:r>
      <w:r w:rsidRPr="003D49B4">
        <w:rPr>
          <w:lang w:val="es-CO"/>
        </w:rPr>
        <w:t>Decreto 1082 de 2015: «Artículo 2.2.1.1.1.5.3. Requisitos habilitantes contenidos en el RUP. Las cámaras de comercio, con base en la información a la que hace referencia el artículo anterior, deben verificar y certificar los siguientes requisitos habilitantes: 1. Experiencia – Los contratos celebrados por el interesado para cada uno de los bienes, obras y servicios que ofrecerá</w:t>
      </w:r>
    </w:p>
  </w:footnote>
  <w:footnote w:id="4">
    <w:p w14:paraId="31BDF8FC" w14:textId="340BBBE6" w:rsidR="005F7236" w:rsidRPr="005F7236" w:rsidRDefault="005F7236">
      <w:pPr>
        <w:pStyle w:val="Textonotapie"/>
        <w:rPr>
          <w:rFonts w:ascii="Verdana" w:hAnsi="Verdana"/>
          <w:sz w:val="16"/>
          <w:szCs w:val="16"/>
          <w:lang w:val="es-ES"/>
        </w:rPr>
      </w:pPr>
      <w:r w:rsidRPr="005F7236">
        <w:rPr>
          <w:rStyle w:val="Refdenotaalpie"/>
          <w:rFonts w:ascii="Verdana" w:hAnsi="Verdana"/>
          <w:sz w:val="16"/>
          <w:szCs w:val="16"/>
        </w:rPr>
        <w:footnoteRef/>
      </w:r>
      <w:r w:rsidRPr="005F7236">
        <w:rPr>
          <w:rFonts w:ascii="Verdana" w:hAnsi="Verdana"/>
          <w:sz w:val="16"/>
          <w:szCs w:val="16"/>
        </w:rPr>
        <w:t xml:space="preserve"> artículo 6 de la Ley 1150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9016" w14:textId="77777777"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43AA3A84" wp14:editId="7493B942">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62371AFA" wp14:editId="7712C85A">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7557712F" w14:textId="77777777" w:rsidR="00756841" w:rsidRDefault="00756841">
    <w:pPr>
      <w:pStyle w:val="Encabezado"/>
    </w:pPr>
  </w:p>
  <w:p w14:paraId="369E0612" w14:textId="77777777" w:rsidR="00DC39FC" w:rsidRDefault="00DC39FC" w:rsidP="004A305D">
    <w:pPr>
      <w:spacing w:after="0"/>
      <w:rPr>
        <w:rFonts w:ascii="Verdana" w:hAnsi="Verdana"/>
        <w:b/>
        <w:bCs/>
      </w:rPr>
    </w:pPr>
  </w:p>
  <w:p w14:paraId="675BACE4" w14:textId="77777777" w:rsidR="004A305D" w:rsidRPr="004A305D" w:rsidRDefault="004A305D" w:rsidP="00B01B1A">
    <w:pPr>
      <w:spacing w:after="0" w:line="120" w:lineRule="auto"/>
      <w:rPr>
        <w:rFonts w:ascii="Century Gothic" w:eastAsia="Geo" w:hAnsi="Century Gothic" w:cs="Geo"/>
        <w:sz w:val="16"/>
        <w:szCs w:val="16"/>
        <w:lang w:eastAsia="es-CO"/>
      </w:rPr>
    </w:pPr>
  </w:p>
  <w:p w14:paraId="43048430" w14:textId="77777777"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4.4pt;height:14.4pt;visibility:visible;mso-wrap-style:square" o:bullet="t">
        <v:imagedata r:id="rId1" o:title=""/>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8E5EF0"/>
    <w:multiLevelType w:val="hybridMultilevel"/>
    <w:tmpl w:val="3C0279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EC945CA"/>
    <w:multiLevelType w:val="hybridMultilevel"/>
    <w:tmpl w:val="41C21C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67F0F38"/>
    <w:multiLevelType w:val="hybridMultilevel"/>
    <w:tmpl w:val="038205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4"/>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1492209491">
    <w:abstractNumId w:val="5"/>
  </w:num>
  <w:num w:numId="18" w16cid:durableId="679089576">
    <w:abstractNumId w:val="10"/>
  </w:num>
  <w:num w:numId="19" w16cid:durableId="2008824817">
    <w:abstractNumId w:val="11"/>
  </w:num>
  <w:num w:numId="20" w16cid:durableId="11365327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7CF2"/>
    <w:rsid w:val="00031410"/>
    <w:rsid w:val="0004572B"/>
    <w:rsid w:val="00061B2A"/>
    <w:rsid w:val="00082362"/>
    <w:rsid w:val="000A683E"/>
    <w:rsid w:val="000B19B9"/>
    <w:rsid w:val="000B7D33"/>
    <w:rsid w:val="000D0334"/>
    <w:rsid w:val="000D7280"/>
    <w:rsid w:val="000F6486"/>
    <w:rsid w:val="00125105"/>
    <w:rsid w:val="00127233"/>
    <w:rsid w:val="001426F2"/>
    <w:rsid w:val="00157C28"/>
    <w:rsid w:val="001E4177"/>
    <w:rsid w:val="001F7DC6"/>
    <w:rsid w:val="002046B6"/>
    <w:rsid w:val="002260CD"/>
    <w:rsid w:val="0023599B"/>
    <w:rsid w:val="002421BB"/>
    <w:rsid w:val="0025796E"/>
    <w:rsid w:val="002707A2"/>
    <w:rsid w:val="002951A0"/>
    <w:rsid w:val="002962BC"/>
    <w:rsid w:val="002A093D"/>
    <w:rsid w:val="002A0DD0"/>
    <w:rsid w:val="002A49AC"/>
    <w:rsid w:val="002A64FD"/>
    <w:rsid w:val="002C7A84"/>
    <w:rsid w:val="002E4FD9"/>
    <w:rsid w:val="00322A85"/>
    <w:rsid w:val="00324168"/>
    <w:rsid w:val="003448F4"/>
    <w:rsid w:val="00374F5E"/>
    <w:rsid w:val="00377E3E"/>
    <w:rsid w:val="003A26D1"/>
    <w:rsid w:val="003A779E"/>
    <w:rsid w:val="003D0F4D"/>
    <w:rsid w:val="003D49B4"/>
    <w:rsid w:val="003D5B0D"/>
    <w:rsid w:val="003E0499"/>
    <w:rsid w:val="003F3941"/>
    <w:rsid w:val="003F3E19"/>
    <w:rsid w:val="00406575"/>
    <w:rsid w:val="004249E8"/>
    <w:rsid w:val="0042722E"/>
    <w:rsid w:val="0044528D"/>
    <w:rsid w:val="004A1847"/>
    <w:rsid w:val="004A305D"/>
    <w:rsid w:val="004F21C4"/>
    <w:rsid w:val="004F685F"/>
    <w:rsid w:val="00521933"/>
    <w:rsid w:val="005566E8"/>
    <w:rsid w:val="00574867"/>
    <w:rsid w:val="00591460"/>
    <w:rsid w:val="00592628"/>
    <w:rsid w:val="005C3777"/>
    <w:rsid w:val="005C5CDC"/>
    <w:rsid w:val="005D476C"/>
    <w:rsid w:val="005F7236"/>
    <w:rsid w:val="0060514E"/>
    <w:rsid w:val="00610812"/>
    <w:rsid w:val="00614500"/>
    <w:rsid w:val="00615C36"/>
    <w:rsid w:val="00615CE0"/>
    <w:rsid w:val="006219F8"/>
    <w:rsid w:val="006227B6"/>
    <w:rsid w:val="0064219C"/>
    <w:rsid w:val="00650FF7"/>
    <w:rsid w:val="00661DA1"/>
    <w:rsid w:val="00665D70"/>
    <w:rsid w:val="00671DAC"/>
    <w:rsid w:val="006900D9"/>
    <w:rsid w:val="006A3DC1"/>
    <w:rsid w:val="006D12F8"/>
    <w:rsid w:val="006E553C"/>
    <w:rsid w:val="00706C16"/>
    <w:rsid w:val="00730CC7"/>
    <w:rsid w:val="00756841"/>
    <w:rsid w:val="007649AB"/>
    <w:rsid w:val="00771D0C"/>
    <w:rsid w:val="007833AC"/>
    <w:rsid w:val="007B268C"/>
    <w:rsid w:val="007B7171"/>
    <w:rsid w:val="007C0C0F"/>
    <w:rsid w:val="007C3DC2"/>
    <w:rsid w:val="007E5497"/>
    <w:rsid w:val="0080169A"/>
    <w:rsid w:val="00806F5F"/>
    <w:rsid w:val="00820278"/>
    <w:rsid w:val="008843B6"/>
    <w:rsid w:val="00891928"/>
    <w:rsid w:val="008A446D"/>
    <w:rsid w:val="008D180B"/>
    <w:rsid w:val="008F0EA7"/>
    <w:rsid w:val="00901E49"/>
    <w:rsid w:val="00923EEF"/>
    <w:rsid w:val="009419F9"/>
    <w:rsid w:val="0095685E"/>
    <w:rsid w:val="00961B09"/>
    <w:rsid w:val="00965334"/>
    <w:rsid w:val="0097093E"/>
    <w:rsid w:val="009A0DFA"/>
    <w:rsid w:val="009B2D26"/>
    <w:rsid w:val="009B413C"/>
    <w:rsid w:val="009C71FA"/>
    <w:rsid w:val="009C72E7"/>
    <w:rsid w:val="009D3058"/>
    <w:rsid w:val="009F3A13"/>
    <w:rsid w:val="00A122D3"/>
    <w:rsid w:val="00A17F13"/>
    <w:rsid w:val="00A20739"/>
    <w:rsid w:val="00A33C78"/>
    <w:rsid w:val="00AB0ADB"/>
    <w:rsid w:val="00B01B1A"/>
    <w:rsid w:val="00B72CD3"/>
    <w:rsid w:val="00B72FFF"/>
    <w:rsid w:val="00B76EB0"/>
    <w:rsid w:val="00BC3D36"/>
    <w:rsid w:val="00BD7F72"/>
    <w:rsid w:val="00BF371A"/>
    <w:rsid w:val="00C01202"/>
    <w:rsid w:val="00C04FB3"/>
    <w:rsid w:val="00C207B6"/>
    <w:rsid w:val="00C330EB"/>
    <w:rsid w:val="00C4359E"/>
    <w:rsid w:val="00C66119"/>
    <w:rsid w:val="00C754BE"/>
    <w:rsid w:val="00C76B1C"/>
    <w:rsid w:val="00CB6357"/>
    <w:rsid w:val="00CC1B26"/>
    <w:rsid w:val="00CF4A8A"/>
    <w:rsid w:val="00D423A2"/>
    <w:rsid w:val="00D520D8"/>
    <w:rsid w:val="00D63AC2"/>
    <w:rsid w:val="00D7383B"/>
    <w:rsid w:val="00D84423"/>
    <w:rsid w:val="00DA231B"/>
    <w:rsid w:val="00DA23A0"/>
    <w:rsid w:val="00DC39FC"/>
    <w:rsid w:val="00DF5254"/>
    <w:rsid w:val="00E16408"/>
    <w:rsid w:val="00E20894"/>
    <w:rsid w:val="00E2394A"/>
    <w:rsid w:val="00E245AB"/>
    <w:rsid w:val="00E263FB"/>
    <w:rsid w:val="00E2764C"/>
    <w:rsid w:val="00E27F2E"/>
    <w:rsid w:val="00E413EA"/>
    <w:rsid w:val="00E50AFE"/>
    <w:rsid w:val="00E5767E"/>
    <w:rsid w:val="00E75C92"/>
    <w:rsid w:val="00E771DC"/>
    <w:rsid w:val="00E8772A"/>
    <w:rsid w:val="00E90F6B"/>
    <w:rsid w:val="00E92C27"/>
    <w:rsid w:val="00EA0E3D"/>
    <w:rsid w:val="00EC38A7"/>
    <w:rsid w:val="00ED3A81"/>
    <w:rsid w:val="00EE1AA8"/>
    <w:rsid w:val="00F31EDC"/>
    <w:rsid w:val="00F33679"/>
    <w:rsid w:val="00F462B3"/>
    <w:rsid w:val="00F5664F"/>
    <w:rsid w:val="00F666C4"/>
    <w:rsid w:val="00F76AFC"/>
    <w:rsid w:val="00F9133F"/>
    <w:rsid w:val="00FA25B8"/>
    <w:rsid w:val="00FA47C0"/>
    <w:rsid w:val="00FB5DD1"/>
    <w:rsid w:val="00FC2B5D"/>
    <w:rsid w:val="00FF073B"/>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7474C"/>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614500"/>
    <w:pPr>
      <w:spacing w:line="240" w:lineRule="exact"/>
    </w:pPr>
    <w:rPr>
      <w:vertAlign w:val="superscript"/>
    </w:rPr>
  </w:style>
  <w:style w:type="character" w:styleId="Refdecomentario">
    <w:name w:val="annotation reference"/>
    <w:basedOn w:val="Fuentedeprrafopredeter"/>
    <w:uiPriority w:val="99"/>
    <w:semiHidden/>
    <w:unhideWhenUsed/>
    <w:rsid w:val="00C207B6"/>
    <w:rPr>
      <w:sz w:val="16"/>
      <w:szCs w:val="16"/>
    </w:rPr>
  </w:style>
  <w:style w:type="paragraph" w:styleId="Textocomentario">
    <w:name w:val="annotation text"/>
    <w:basedOn w:val="Normal"/>
    <w:link w:val="TextocomentarioCar"/>
    <w:uiPriority w:val="99"/>
    <w:unhideWhenUsed/>
    <w:rsid w:val="00C207B6"/>
    <w:pPr>
      <w:spacing w:line="240" w:lineRule="auto"/>
    </w:pPr>
    <w:rPr>
      <w:sz w:val="20"/>
      <w:szCs w:val="20"/>
    </w:rPr>
  </w:style>
  <w:style w:type="character" w:customStyle="1" w:styleId="TextocomentarioCar">
    <w:name w:val="Texto comentario Car"/>
    <w:basedOn w:val="Fuentedeprrafopredeter"/>
    <w:link w:val="Textocomentario"/>
    <w:uiPriority w:val="99"/>
    <w:rsid w:val="00C207B6"/>
    <w:rPr>
      <w:sz w:val="20"/>
      <w:szCs w:val="20"/>
    </w:rPr>
  </w:style>
  <w:style w:type="paragraph" w:styleId="Asuntodelcomentario">
    <w:name w:val="annotation subject"/>
    <w:basedOn w:val="Textocomentario"/>
    <w:next w:val="Textocomentario"/>
    <w:link w:val="AsuntodelcomentarioCar"/>
    <w:uiPriority w:val="99"/>
    <w:semiHidden/>
    <w:unhideWhenUsed/>
    <w:rsid w:val="00C207B6"/>
    <w:rPr>
      <w:b/>
      <w:bCs/>
    </w:rPr>
  </w:style>
  <w:style w:type="character" w:customStyle="1" w:styleId="AsuntodelcomentarioCar">
    <w:name w:val="Asunto del comentario Car"/>
    <w:basedOn w:val="TextocomentarioCar"/>
    <w:link w:val="Asuntodelcomentario"/>
    <w:uiPriority w:val="99"/>
    <w:semiHidden/>
    <w:rsid w:val="00C207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latoria.colombiacompra.gov.co/normativa/ley-1150-de-2007/" TargetMode="External"/><Relationship Id="rId18" Type="http://schemas.openxmlformats.org/officeDocument/2006/relationships/hyperlink" Target="https://relatoria.colombiacompra.gov.co/busqueda/concepto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relatoria.colombiacompra.gov.co/normativa/constitucion-politica-de-colombia/" TargetMode="External"/><Relationship Id="rId17" Type="http://schemas.openxmlformats.org/officeDocument/2006/relationships/hyperlink" Target="https://www.colombiacompra.gov.co/manuales-guias-y-pliegos-tipo/manuales-y-guias" TargetMode="External"/><Relationship Id="rId2" Type="http://schemas.openxmlformats.org/officeDocument/2006/relationships/customXml" Target="../customXml/item2.xml"/><Relationship Id="rId16" Type="http://schemas.openxmlformats.org/officeDocument/2006/relationships/hyperlink" Target="https://relatoria.colombiacompra.gov.co/providencias-consejo-de-estado/"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lombiacompra.gov.co/sites/cce_public/files/cce_documents/cce-eicp-ma-04._manual_requisitos_habilitantes_v3_29-09-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lombiacompra.gov.co/sala-de-prensa/boletin-dig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atoria.colombiacompra.gov.co/normativa/decreto-1082-de-201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CBA7392E-82DA-4843-A1CB-E54C1EE4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285FF-FDEC-40EF-8718-794E275EF329}">
  <ds:schemaRefs>
    <ds:schemaRef ds:uri="http://schemas.openxmlformats.org/officeDocument/2006/bibliography"/>
  </ds:schemaRefs>
</ds:datastoreItem>
</file>

<file path=customXml/itemProps4.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2737</Words>
  <Characters>15054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Keila Margarita Reyes Cassiani</cp:lastModifiedBy>
  <cp:revision>4</cp:revision>
  <cp:lastPrinted>2023-01-10T21:18:00Z</cp:lastPrinted>
  <dcterms:created xsi:type="dcterms:W3CDTF">2024-08-15T14:33:00Z</dcterms:created>
  <dcterms:modified xsi:type="dcterms:W3CDTF">2024-08-16T19:14:00Z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