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6723FA" w:rsidR="004F26C6" w:rsidP="004F26C6" w:rsidRDefault="004F26C6" w14:paraId="2707A0F3" w14:textId="46DBE271">
      <w:pPr>
        <w:jc w:val="both"/>
        <w:rPr>
          <w:rFonts w:ascii="Verdana" w:hAnsi="Verdana"/>
        </w:rPr>
      </w:pPr>
      <w:bookmarkStart w:name="_Hlk143780582" w:id="0"/>
    </w:p>
    <w:p w:rsidRPr="007B7F83" w:rsidR="007B7F83" w:rsidP="007B7F83" w:rsidRDefault="007B7F83" w14:paraId="5650A319" w14:textId="77777777">
      <w:pPr>
        <w:spacing w:line="276" w:lineRule="auto"/>
        <w:rPr>
          <w:rFonts w:ascii="Verdana" w:hAnsi="Verdana"/>
          <w:b/>
          <w:bCs/>
        </w:rPr>
      </w:pPr>
      <w:r w:rsidRPr="007B7F83">
        <w:rPr>
          <w:rFonts w:ascii="Verdana" w:hAnsi="Verdana"/>
          <w:b/>
          <w:bCs/>
        </w:rPr>
        <w:t xml:space="preserve">CONTRATOS CON ESAL – Constitución – Artículo 355 – Fundamento </w:t>
      </w:r>
    </w:p>
    <w:p w:rsidRPr="007C01C8" w:rsidR="007B7F83" w:rsidP="007C01C8" w:rsidRDefault="007C01C8" w14:paraId="51FB3C12" w14:textId="493A9F5F">
      <w:pPr>
        <w:spacing w:line="276" w:lineRule="auto"/>
        <w:jc w:val="both"/>
        <w:rPr>
          <w:rFonts w:ascii="Verdana" w:hAnsi="Verdana"/>
          <w:b/>
          <w:bCs/>
          <w:sz w:val="20"/>
          <w:szCs w:val="20"/>
        </w:rPr>
      </w:pPr>
      <w:r w:rsidRPr="007C01C8">
        <w:rPr>
          <w:rFonts w:ascii="Verdana" w:hAnsi="Verdana" w:eastAsia="Calibri" w:cs="Arial"/>
          <w:color w:val="000000" w:themeColor="text1"/>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w:t>
      </w:r>
      <w:r w:rsidRPr="007C01C8">
        <w:rPr>
          <w:rStyle w:val="Refdenotaalpie"/>
          <w:rFonts w:ascii="Verdana" w:hAnsi="Verdana" w:cs="Arial"/>
          <w:color w:val="000000" w:themeColor="text1"/>
          <w:sz w:val="20"/>
          <w:szCs w:val="20"/>
          <w:lang w:val="es-ES_tradnl"/>
        </w:rPr>
        <w:footnoteReference w:id="2"/>
      </w:r>
      <w:r w:rsidRPr="007C01C8">
        <w:rPr>
          <w:rFonts w:ascii="Verdana" w:hAnsi="Verdana" w:eastAsia="Calibri" w:cs="Arial"/>
          <w:color w:val="000000" w:themeColor="text1"/>
          <w:sz w:val="20"/>
          <w:szCs w:val="20"/>
          <w:lang w:val="es-ES"/>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rsidRPr="007B7F83" w:rsidR="007B7F83" w:rsidP="007B7F83" w:rsidRDefault="007B7F83" w14:paraId="3752A558" w14:textId="77777777">
      <w:pPr>
        <w:spacing w:line="276" w:lineRule="auto"/>
        <w:rPr>
          <w:rFonts w:ascii="Verdana" w:hAnsi="Verdana"/>
          <w:b/>
          <w:bCs/>
        </w:rPr>
      </w:pPr>
      <w:r w:rsidRPr="007B7F83">
        <w:rPr>
          <w:rFonts w:ascii="Verdana" w:hAnsi="Verdana"/>
          <w:b/>
          <w:bCs/>
        </w:rPr>
        <w:t>TIPOS DE CONTRATOS – ESAL – Constitución Política – Artículo 355 – Ley 489 – Artículo 96</w:t>
      </w:r>
    </w:p>
    <w:p w:rsidRPr="007C01C8" w:rsidR="007C01C8" w:rsidP="007C01C8" w:rsidRDefault="007C01C8" w14:paraId="0613F64B" w14:textId="77777777">
      <w:pPr>
        <w:spacing w:before="120" w:after="120" w:line="276" w:lineRule="auto"/>
        <w:jc w:val="both"/>
        <w:rPr>
          <w:rFonts w:ascii="Verdana" w:hAnsi="Verdana" w:eastAsia="Calibri" w:cs="Arial"/>
          <w:color w:val="000000" w:themeColor="text1"/>
          <w:sz w:val="20"/>
          <w:szCs w:val="20"/>
          <w:lang w:val="es-ES"/>
        </w:rPr>
      </w:pPr>
      <w:r w:rsidRPr="007C01C8">
        <w:rPr>
          <w:rFonts w:ascii="Verdana" w:hAnsi="Verdana" w:eastAsia="Calibri" w:cs="Arial"/>
          <w:color w:val="000000" w:themeColor="text1"/>
          <w:sz w:val="20"/>
          <w:szCs w:val="20"/>
          <w:lang w:val="es-ES"/>
        </w:rPr>
        <w:t xml:space="preserve">El Decreto 092 de 2017 dispone reglas para las contrataciones que realicen las entidades estatales con las ESAL. Para estos efectos regula dos (2) eventos: i) los contratos del artículo 355 de la Constitución Política con el fin impulsar programas y actividades de interés público de acuerdo con el Plan Nacional o los planes seccionales de desarrollo; y </w:t>
      </w:r>
      <w:proofErr w:type="spellStart"/>
      <w:r w:rsidRPr="007C01C8">
        <w:rPr>
          <w:rFonts w:ascii="Verdana" w:hAnsi="Verdana" w:eastAsia="Calibri" w:cs="Arial"/>
          <w:color w:val="000000" w:themeColor="text1"/>
          <w:sz w:val="20"/>
          <w:szCs w:val="20"/>
          <w:lang w:val="es-ES"/>
        </w:rPr>
        <w:t>ii</w:t>
      </w:r>
      <w:proofErr w:type="spellEnd"/>
      <w:r w:rsidRPr="007C01C8">
        <w:rPr>
          <w:rFonts w:ascii="Verdana" w:hAnsi="Verdana" w:eastAsia="Calibri" w:cs="Arial"/>
          <w:color w:val="000000" w:themeColor="text1"/>
          <w:sz w:val="20"/>
          <w:szCs w:val="20"/>
          <w:lang w:val="es-ES"/>
        </w:rPr>
        <w:t xml:space="preserve">) los convenios de asociación, para el desarrollo conjunto de actividades relacionadas con las funciones de las entidades estatales, en desarrollo del artículo 96 de la Ley 489 de 1998. </w:t>
      </w:r>
    </w:p>
    <w:p w:rsidRPr="007B7F83" w:rsidR="007B7F83" w:rsidP="007B7F83" w:rsidRDefault="007B7F83" w14:paraId="443133AB" w14:textId="72A886C1">
      <w:pPr>
        <w:spacing w:line="276" w:lineRule="auto"/>
        <w:rPr>
          <w:rFonts w:ascii="Verdana" w:hAnsi="Verdana"/>
          <w:b/>
          <w:bCs/>
        </w:rPr>
      </w:pPr>
      <w:r w:rsidRPr="007B7F83">
        <w:rPr>
          <w:rFonts w:ascii="Verdana" w:hAnsi="Verdana"/>
          <w:b/>
          <w:bCs/>
        </w:rPr>
        <w:t xml:space="preserve">GARANTÍAS- Régimen aplicable </w:t>
      </w:r>
    </w:p>
    <w:p w:rsidRPr="007C01C8" w:rsidR="007B7F83" w:rsidP="007C01C8" w:rsidRDefault="007C01C8" w14:paraId="1EC47AD2" w14:textId="0E87DE40">
      <w:pPr>
        <w:spacing w:line="276" w:lineRule="auto"/>
        <w:jc w:val="both"/>
        <w:rPr>
          <w:rFonts w:ascii="Verdana" w:hAnsi="Verdana" w:eastAsia="Calibri" w:cs="Arial"/>
          <w:color w:val="000000" w:themeColor="text1"/>
          <w:sz w:val="20"/>
          <w:szCs w:val="20"/>
          <w:lang w:val="es-ES"/>
        </w:rPr>
      </w:pPr>
      <w:r w:rsidRPr="007C01C8">
        <w:rPr>
          <w:rFonts w:ascii="Verdana" w:hAnsi="Verdana" w:eastAsia="Calibri" w:cs="Arial"/>
          <w:color w:val="000000" w:themeColor="text1"/>
          <w:sz w:val="20"/>
          <w:szCs w:val="20"/>
          <w:lang w:val="es-ES"/>
        </w:rPr>
        <w:t>Uno de los temas comunes a los contratos estatales respecto de los cuales el Decreto 092 de 2017 guarda silencio es el relativo a las garantías, el cual en virtud de lo dispuesto en el referido artículo 8, supone una incorporación general del régimen de garantías del Estatuto General de Contratación de la Administración Pública. Sobre este particular,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r>
        <w:rPr>
          <w:rFonts w:ascii="Verdana" w:hAnsi="Verdana" w:eastAsia="Calibri" w:cs="Arial"/>
          <w:color w:val="000000" w:themeColor="text1"/>
          <w:sz w:val="20"/>
          <w:szCs w:val="20"/>
          <w:lang w:val="es-ES"/>
        </w:rPr>
        <w:t>.</w:t>
      </w:r>
    </w:p>
    <w:p w:rsidR="007B7F83" w:rsidP="007B7F83" w:rsidRDefault="007B7F83" w14:paraId="7CBD0FE6" w14:textId="12F36709">
      <w:pPr>
        <w:spacing w:line="276" w:lineRule="auto"/>
        <w:rPr>
          <w:rFonts w:ascii="Verdana" w:hAnsi="Verdana"/>
          <w:b/>
          <w:bCs/>
        </w:rPr>
      </w:pPr>
      <w:r w:rsidRPr="007B7F83">
        <w:rPr>
          <w:rFonts w:ascii="Verdana" w:hAnsi="Verdana"/>
          <w:b/>
          <w:bCs/>
        </w:rPr>
        <w:t>GARANTÍAS – Amparos – Calidad del servicio – Calidad y correcto funcionamiento de los bienes</w:t>
      </w:r>
    </w:p>
    <w:p w:rsidRPr="007C01C8" w:rsidR="007C01C8" w:rsidP="007C01C8" w:rsidRDefault="007C01C8" w14:paraId="01EF8EC3" w14:textId="7BF3CDF4">
      <w:pPr>
        <w:spacing w:after="120" w:line="276" w:lineRule="auto"/>
        <w:jc w:val="both"/>
        <w:rPr>
          <w:rFonts w:ascii="Verdana" w:hAnsi="Verdana" w:eastAsia="Times New Roman" w:cs="Arial"/>
          <w:sz w:val="20"/>
          <w:szCs w:val="20"/>
          <w:lang w:eastAsia="es-ES_tradnl"/>
        </w:rPr>
      </w:pPr>
      <w:r>
        <w:rPr>
          <w:rFonts w:ascii="Verdana" w:hAnsi="Verdana" w:eastAsia="Times New Roman" w:cs="Arial"/>
          <w:sz w:val="20"/>
          <w:szCs w:val="20"/>
          <w:lang w:eastAsia="es-ES_tradnl"/>
        </w:rPr>
        <w:t xml:space="preserve">(…) </w:t>
      </w:r>
      <w:r w:rsidRPr="007C01C8">
        <w:rPr>
          <w:rFonts w:ascii="Verdana" w:hAnsi="Verdana" w:eastAsia="Times New Roman" w:cs="Arial"/>
          <w:sz w:val="20"/>
          <w:szCs w:val="20"/>
          <w:lang w:eastAsia="es-ES_tradnl"/>
        </w:rPr>
        <w:t xml:space="preserve">el amparo de </w:t>
      </w:r>
      <w:r w:rsidRPr="007C01C8">
        <w:rPr>
          <w:rFonts w:ascii="Verdana" w:hAnsi="Verdana" w:eastAsia="Times New Roman" w:cs="Arial"/>
          <w:i/>
          <w:iCs/>
          <w:sz w:val="20"/>
          <w:szCs w:val="20"/>
          <w:lang w:eastAsia="es-ES_tradnl"/>
        </w:rPr>
        <w:t>calidad del servicio</w:t>
      </w:r>
      <w:r w:rsidRPr="007C01C8">
        <w:rPr>
          <w:rFonts w:ascii="Verdana" w:hAnsi="Verdana" w:eastAsia="Times New Roman" w:cs="Arial"/>
          <w:sz w:val="20"/>
          <w:szCs w:val="20"/>
          <w:lang w:eastAsia="es-ES_tradnl"/>
        </w:rPr>
        <w:t xml:space="preserve"> </w:t>
      </w:r>
      <w:r w:rsidRPr="007C01C8">
        <w:rPr>
          <w:rFonts w:ascii="Verdana" w:hAnsi="Verdana" w:eastAsia="Times New Roman" w:cs="Arial"/>
          <w:i/>
          <w:iCs/>
          <w:sz w:val="20"/>
          <w:szCs w:val="20"/>
          <w:lang w:eastAsia="es-ES_tradnl"/>
        </w:rPr>
        <w:t>“</w:t>
      </w:r>
      <w:r w:rsidRPr="007C01C8">
        <w:rPr>
          <w:rFonts w:ascii="Verdana" w:hAnsi="Verdana" w:eastAsia="Times New Roman" w:cs="Arial"/>
          <w:sz w:val="20"/>
          <w:szCs w:val="20"/>
          <w:lang w:eastAsia="es-ES_tradnl"/>
        </w:rPr>
        <w:t>[…]</w:t>
      </w:r>
      <w:r w:rsidRPr="007C01C8">
        <w:rPr>
          <w:rFonts w:ascii="Verdana" w:hAnsi="Verdana" w:eastAsia="Times New Roman" w:cs="Arial"/>
          <w:i/>
          <w:iCs/>
          <w:sz w:val="20"/>
          <w:szCs w:val="20"/>
          <w:lang w:eastAsia="es-ES_tradnl"/>
        </w:rPr>
        <w:t xml:space="preserve"> protege a la entidad estatal de los perjuicios imputables al contratista garantizado que surjan con posterioridad a la terminación del contrato y que se deriven de la mala calidad o insuficiencia de los productos entregados con ocasión de un contrato de consultoría o de la mala calidad del servicio prestado, dadas las condiciones pactadas en el contrato”</w:t>
      </w:r>
      <w:r>
        <w:rPr>
          <w:rFonts w:ascii="Verdana" w:hAnsi="Verdana" w:eastAsia="Times New Roman" w:cs="Arial"/>
          <w:i/>
          <w:iCs/>
          <w:sz w:val="20"/>
          <w:szCs w:val="20"/>
          <w:lang w:eastAsia="es-ES_tradnl"/>
        </w:rPr>
        <w:t>.</w:t>
      </w:r>
    </w:p>
    <w:p w:rsidR="007C01C8" w:rsidP="007C01C8" w:rsidRDefault="007C01C8" w14:paraId="5E4486F6" w14:textId="7010CA46">
      <w:pPr>
        <w:spacing w:after="120" w:line="276" w:lineRule="auto"/>
        <w:jc w:val="both"/>
        <w:rPr>
          <w:rFonts w:ascii="Verdana" w:hAnsi="Verdana" w:eastAsia="Times New Roman" w:cs="Arial"/>
          <w:lang w:eastAsia="es-ES_tradnl"/>
        </w:rPr>
      </w:pPr>
      <w:r w:rsidRPr="007C01C8">
        <w:rPr>
          <w:rFonts w:ascii="Verdana" w:hAnsi="Verdana" w:eastAsia="Times New Roman" w:cs="Arial"/>
          <w:sz w:val="20"/>
          <w:szCs w:val="20"/>
          <w:lang w:eastAsia="es-ES_tradnl"/>
        </w:rPr>
        <w:t xml:space="preserve">De otra parte, el </w:t>
      </w:r>
      <w:r w:rsidRPr="007C01C8">
        <w:rPr>
          <w:rFonts w:ascii="Verdana" w:hAnsi="Verdana" w:eastAsia="Times New Roman" w:cs="Arial"/>
          <w:i/>
          <w:iCs/>
          <w:sz w:val="20"/>
          <w:szCs w:val="20"/>
          <w:lang w:eastAsia="es-ES_tradnl"/>
        </w:rPr>
        <w:t xml:space="preserve">amparo de calidad y correcto funcionamiento de los bienes </w:t>
      </w:r>
      <w:r w:rsidRPr="007C01C8">
        <w:rPr>
          <w:rFonts w:ascii="Verdana" w:hAnsi="Verdana" w:eastAsia="Times New Roman" w:cs="Arial"/>
          <w:sz w:val="20"/>
          <w:szCs w:val="20"/>
          <w:lang w:eastAsia="es-ES_tradnl"/>
        </w:rPr>
        <w:t>protege a la Entidad Estatal</w:t>
      </w:r>
      <w:r w:rsidRPr="007C01C8">
        <w:rPr>
          <w:rFonts w:ascii="Verdana" w:hAnsi="Verdana" w:eastAsia="Times New Roman" w:cs="Arial"/>
          <w:i/>
          <w:iCs/>
          <w:sz w:val="20"/>
          <w:szCs w:val="20"/>
          <w:lang w:eastAsia="es-ES_tradnl"/>
        </w:rPr>
        <w:t xml:space="preserve"> “[..] frente a los perjuicios imputables al contratista garantizado derivados de mala calidad o deficiencias técnicas de los bienes o equipos por él suministrados, de acuerdo con las especificaciones técnicas establecidas en el contrato o por el incumplimiento de parámetros o normas técnicas establecidas para el respectivo bien o equipo”.</w:t>
      </w:r>
      <w:r w:rsidRPr="007C01C8">
        <w:rPr>
          <w:rFonts w:ascii="Verdana" w:hAnsi="Verdana"/>
          <w:sz w:val="20"/>
          <w:szCs w:val="20"/>
        </w:rPr>
        <w:t xml:space="preserve"> </w:t>
      </w:r>
    </w:p>
    <w:p w:rsidRPr="007B7F83" w:rsidR="007C01C8" w:rsidP="007B7F83" w:rsidRDefault="007C01C8" w14:paraId="1DF2DD2A" w14:textId="77777777">
      <w:pPr>
        <w:spacing w:line="276" w:lineRule="auto"/>
        <w:rPr>
          <w:rFonts w:ascii="Verdana" w:hAnsi="Verdana"/>
          <w:b/>
          <w:bCs/>
        </w:rPr>
      </w:pPr>
    </w:p>
    <w:p w:rsidR="007B7F83" w:rsidRDefault="007B7F83" w14:paraId="225EDB76" w14:textId="77777777">
      <w:pPr>
        <w:rPr>
          <w:rFonts w:ascii="Verdana" w:hAnsi="Verdana"/>
        </w:rPr>
      </w:pPr>
      <w:r>
        <w:rPr>
          <w:rFonts w:ascii="Verdana" w:hAnsi="Verdana"/>
        </w:rPr>
        <w:br w:type="page"/>
      </w:r>
    </w:p>
    <w:p w:rsidRPr="006723FA" w:rsidR="004F26C6" w:rsidP="004F26C6" w:rsidRDefault="004F26C6" w14:paraId="6AB64192" w14:textId="07F1DEA0">
      <w:pPr>
        <w:spacing w:after="0"/>
        <w:rPr>
          <w:rFonts w:ascii="Verdana" w:hAnsi="Verdana"/>
        </w:rPr>
      </w:pPr>
      <w:r w:rsidRPr="006723FA">
        <w:rPr>
          <w:rFonts w:ascii="Verdana" w:hAnsi="Verdana"/>
        </w:rPr>
        <w:t xml:space="preserve">Bogotá D.C., </w:t>
      </w:r>
      <w:r w:rsidR="007C01C8">
        <w:rPr>
          <w:rFonts w:ascii="Verdana" w:hAnsi="Verdana"/>
        </w:rPr>
        <w:t>22 de julio de 2024</w:t>
      </w:r>
      <w:r w:rsidRPr="006723FA">
        <w:rPr>
          <w:rFonts w:ascii="Verdana" w:hAnsi="Verdana"/>
        </w:rPr>
        <w:tab/>
      </w:r>
    </w:p>
    <w:p w:rsidR="004F26C6" w:rsidP="004F26C6" w:rsidRDefault="004F26C6" w14:paraId="6CFE8030" w14:textId="77777777">
      <w:pPr>
        <w:spacing w:after="0"/>
        <w:rPr>
          <w:rFonts w:ascii="Verdana" w:hAnsi="Verdana"/>
        </w:rPr>
      </w:pPr>
    </w:p>
    <w:p w:rsidRPr="006723FA" w:rsidR="007B7F83" w:rsidP="007C01C8" w:rsidRDefault="007C01C8" w14:paraId="045E5AD4" w14:textId="5F4883D0">
      <w:pPr>
        <w:spacing w:after="0"/>
        <w:jc w:val="right"/>
        <w:rPr>
          <w:rFonts w:ascii="Verdana" w:hAnsi="Verdana"/>
        </w:rPr>
      </w:pPr>
      <w:r w:rsidRPr="007C01C8">
        <w:rPr>
          <w:rFonts w:ascii="Verdana" w:hAnsi="Verdana"/>
        </w:rPr>
        <w:drawing>
          <wp:inline distT="0" distB="0" distL="0" distR="0" wp14:anchorId="7BF5B1E7" wp14:editId="1BB6E7FA">
            <wp:extent cx="3315163" cy="943107"/>
            <wp:effectExtent l="0" t="0" r="0" b="9525"/>
            <wp:docPr id="838091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91620" name=""/>
                    <pic:cNvPicPr/>
                  </pic:nvPicPr>
                  <pic:blipFill>
                    <a:blip r:embed="rId11"/>
                    <a:stretch>
                      <a:fillRect/>
                    </a:stretch>
                  </pic:blipFill>
                  <pic:spPr>
                    <a:xfrm>
                      <a:off x="0" y="0"/>
                      <a:ext cx="3315163" cy="943107"/>
                    </a:xfrm>
                    <a:prstGeom prst="rect">
                      <a:avLst/>
                    </a:prstGeom>
                  </pic:spPr>
                </pic:pic>
              </a:graphicData>
            </a:graphic>
          </wp:inline>
        </w:drawing>
      </w:r>
    </w:p>
    <w:p w:rsidRPr="006723FA" w:rsidR="004F26C6" w:rsidP="004F26C6" w:rsidRDefault="004F26C6" w14:paraId="7A889ED4" w14:textId="45D73AFC">
      <w:pPr>
        <w:spacing w:after="0" w:line="240" w:lineRule="auto"/>
        <w:jc w:val="both"/>
        <w:rPr>
          <w:rFonts w:ascii="Verdana" w:hAnsi="Verdana" w:eastAsia="Calibri" w:cs="Arial"/>
          <w:lang w:val="es-ES" w:eastAsia="es-ES"/>
        </w:rPr>
      </w:pPr>
      <w:r w:rsidRPr="006723FA">
        <w:rPr>
          <w:rFonts w:ascii="Verdana" w:hAnsi="Verdana" w:eastAsia="Calibri" w:cs="Arial"/>
          <w:lang w:val="es-ES" w:eastAsia="es-ES"/>
        </w:rPr>
        <w:t>Señor</w:t>
      </w:r>
      <w:r w:rsidR="007B7F83">
        <w:rPr>
          <w:rFonts w:ascii="Verdana" w:hAnsi="Verdana" w:eastAsia="Calibri" w:cs="Arial"/>
          <w:lang w:val="es-ES" w:eastAsia="es-ES"/>
        </w:rPr>
        <w:t>a</w:t>
      </w:r>
    </w:p>
    <w:p w:rsidRPr="006723FA" w:rsidR="004F26C6" w:rsidP="004F26C6" w:rsidRDefault="00066129" w14:paraId="0175C8EC" w14:textId="7C8AE98E">
      <w:pPr>
        <w:spacing w:after="0" w:line="240" w:lineRule="auto"/>
        <w:jc w:val="both"/>
        <w:rPr>
          <w:rFonts w:ascii="Verdana" w:hAnsi="Verdana" w:eastAsia="Calibri" w:cs="Arial"/>
          <w:b/>
          <w:bCs/>
          <w:lang w:val="es-ES" w:eastAsia="es-ES"/>
        </w:rPr>
      </w:pPr>
      <w:r w:rsidRPr="006723FA">
        <w:rPr>
          <w:rFonts w:ascii="Verdana" w:hAnsi="Verdana" w:eastAsia="Calibri" w:cs="Arial"/>
          <w:b/>
          <w:bCs/>
          <w:lang w:val="es-ES" w:eastAsia="es-ES"/>
        </w:rPr>
        <w:t>Lizeth Catalina</w:t>
      </w:r>
      <w:r w:rsidRPr="006723FA">
        <w:rPr>
          <w:rFonts w:ascii="Verdana" w:hAnsi="Verdana"/>
        </w:rPr>
        <w:t xml:space="preserve"> </w:t>
      </w:r>
      <w:r w:rsidRPr="006723FA" w:rsidR="000942CA">
        <w:rPr>
          <w:rFonts w:ascii="Verdana" w:hAnsi="Verdana" w:eastAsia="Calibri" w:cs="Arial"/>
          <w:b/>
          <w:bCs/>
          <w:lang w:val="es-ES" w:eastAsia="es-ES"/>
        </w:rPr>
        <w:t>Ramírez</w:t>
      </w:r>
      <w:r w:rsidRPr="006723FA">
        <w:rPr>
          <w:rFonts w:ascii="Verdana" w:hAnsi="Verdana" w:eastAsia="Calibri" w:cs="Arial"/>
          <w:b/>
          <w:bCs/>
          <w:lang w:val="es-ES" w:eastAsia="es-ES"/>
        </w:rPr>
        <w:t xml:space="preserve"> Olarte</w:t>
      </w:r>
    </w:p>
    <w:p w:rsidRPr="006723FA" w:rsidR="004F26C6" w:rsidP="004F26C6" w:rsidRDefault="00000000" w14:paraId="216ED9F5" w14:textId="0C3071AD">
      <w:pPr>
        <w:spacing w:after="0" w:line="240" w:lineRule="auto"/>
        <w:jc w:val="both"/>
        <w:rPr>
          <w:rFonts w:ascii="Verdana" w:hAnsi="Verdana"/>
        </w:rPr>
      </w:pPr>
      <w:hyperlink w:history="1" r:id="rId12">
        <w:proofErr w:type="spellStart"/>
        <w:r w:rsidRPr="006723FA" w:rsidR="004F26C6">
          <w:rPr>
            <w:rStyle w:val="Hipervnculo"/>
            <w:rFonts w:ascii="Verdana" w:hAnsi="Verdana"/>
          </w:rPr>
          <w:t>lizeth.r.ol@hotmail.com</w:t>
        </w:r>
        <w:proofErr w:type="spellEnd"/>
      </w:hyperlink>
    </w:p>
    <w:p w:rsidRPr="006723FA" w:rsidR="004F26C6" w:rsidP="004F26C6" w:rsidRDefault="004F26C6" w14:paraId="7E7991DC" w14:textId="77777777">
      <w:pPr>
        <w:spacing w:after="0" w:line="240" w:lineRule="auto"/>
        <w:jc w:val="both"/>
        <w:rPr>
          <w:rFonts w:ascii="Verdana" w:hAnsi="Verdana" w:eastAsia="Calibri" w:cs="Arial"/>
          <w:szCs w:val="24"/>
          <w:lang w:val="es-ES_tradnl" w:eastAsia="es-ES_tradnl"/>
        </w:rPr>
      </w:pPr>
      <w:r w:rsidRPr="006723FA">
        <w:rPr>
          <w:rFonts w:ascii="Verdana" w:hAnsi="Verdana" w:eastAsia="Calibri" w:cs="Arial"/>
          <w:szCs w:val="24"/>
          <w:lang w:val="es-ES_tradnl" w:eastAsia="es-ES_tradnl"/>
        </w:rPr>
        <w:t xml:space="preserve">Bogotá </w:t>
      </w:r>
      <w:proofErr w:type="spellStart"/>
      <w:r w:rsidRPr="006723FA">
        <w:rPr>
          <w:rFonts w:ascii="Verdana" w:hAnsi="Verdana" w:eastAsia="Calibri" w:cs="Arial"/>
          <w:szCs w:val="24"/>
          <w:lang w:val="es-ES_tradnl" w:eastAsia="es-ES_tradnl"/>
        </w:rPr>
        <w:t>D.C</w:t>
      </w:r>
      <w:proofErr w:type="spellEnd"/>
    </w:p>
    <w:p w:rsidRPr="00B81287" w:rsidR="004F26C6" w:rsidP="004F26C6" w:rsidRDefault="004F26C6" w14:paraId="18DD9086" w14:textId="77777777">
      <w:pPr>
        <w:spacing w:after="0" w:line="240" w:lineRule="auto"/>
        <w:jc w:val="both"/>
        <w:rPr>
          <w:rFonts w:ascii="Verdana" w:hAnsi="Verdana" w:eastAsia="Calibri" w:cs="Arial"/>
          <w:szCs w:val="24"/>
          <w:lang w:val="es-ES_tradnl" w:eastAsia="es-ES_tradnl"/>
        </w:rPr>
      </w:pPr>
    </w:p>
    <w:p w:rsidRPr="001D47E6" w:rsidR="004F26C6" w:rsidP="1DFA589B" w:rsidRDefault="004F26C6" w14:paraId="06FE11DE" w14:textId="5AD3F96D">
      <w:pPr>
        <w:spacing w:after="0" w:line="240" w:lineRule="auto"/>
        <w:ind w:left="2694"/>
        <w:jc w:val="both"/>
        <w:rPr>
          <w:rFonts w:ascii="Verdana" w:hAnsi="Verdana" w:eastAsia="Calibri" w:cs="Arial"/>
          <w:b w:val="1"/>
          <w:bCs w:val="1"/>
          <w:lang w:val="es-ES" w:eastAsia="es-ES"/>
        </w:rPr>
      </w:pPr>
      <w:r w:rsidRPr="1DFA589B" w:rsidR="004F26C6">
        <w:rPr>
          <w:rFonts w:ascii="Verdana" w:hAnsi="Verdana" w:eastAsia="Calibri" w:cs="Arial"/>
          <w:b w:val="1"/>
          <w:bCs w:val="1"/>
          <w:lang w:val="es-ES" w:eastAsia="es-ES"/>
        </w:rPr>
        <w:t>Concepto C–3</w:t>
      </w:r>
      <w:r w:rsidRPr="1DFA589B" w:rsidR="7D0025CD">
        <w:rPr>
          <w:rFonts w:ascii="Verdana" w:hAnsi="Verdana" w:eastAsia="Calibri" w:cs="Arial"/>
          <w:b w:val="1"/>
          <w:bCs w:val="1"/>
          <w:lang w:val="es-ES" w:eastAsia="es-ES"/>
        </w:rPr>
        <w:t xml:space="preserve">56 </w:t>
      </w:r>
      <w:r w:rsidRPr="1DFA589B" w:rsidR="004F26C6">
        <w:rPr>
          <w:rFonts w:ascii="Verdana" w:hAnsi="Verdana" w:eastAsia="Calibri" w:cs="Arial"/>
          <w:b w:val="1"/>
          <w:bCs w:val="1"/>
          <w:lang w:val="es-ES" w:eastAsia="es-ES"/>
        </w:rPr>
        <w:t>de 2024</w:t>
      </w:r>
    </w:p>
    <w:p w:rsidRPr="00B81287" w:rsidR="004F26C6" w:rsidP="004F26C6" w:rsidRDefault="004F26C6" w14:paraId="5C001311" w14:textId="77777777">
      <w:pPr>
        <w:spacing w:after="0" w:line="240" w:lineRule="auto"/>
        <w:rPr>
          <w:rFonts w:ascii="Verdana" w:hAnsi="Verdana" w:eastAsia="Calibri" w:cs="Arial"/>
          <w:szCs w:val="24"/>
          <w:lang w:val="es-ES_tradnl" w:eastAsia="es-ES_tradnl"/>
        </w:rPr>
      </w:pPr>
    </w:p>
    <w:tbl>
      <w:tblPr>
        <w:tblStyle w:val="Tablaconcuadrcula"/>
        <w:tblW w:w="15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5"/>
        <w:gridCol w:w="6241"/>
        <w:gridCol w:w="6237"/>
      </w:tblGrid>
      <w:tr w:rsidRPr="00B81287" w:rsidR="004F26C6" w:rsidTr="082C6CCD" w14:paraId="41F7BDE5" w14:textId="77777777">
        <w:trPr>
          <w:trHeight w:val="884"/>
        </w:trPr>
        <w:tc>
          <w:tcPr>
            <w:tcW w:w="2685" w:type="dxa"/>
            <w:tcMar/>
            <w:hideMark/>
          </w:tcPr>
          <w:p w:rsidRPr="00B81287" w:rsidR="004F26C6" w:rsidP="00A40C2E" w:rsidRDefault="004F26C6" w14:paraId="09E84D78" w14:textId="77777777">
            <w:pPr>
              <w:jc w:val="both"/>
              <w:rPr>
                <w:rFonts w:ascii="Verdana" w:hAnsi="Verdana" w:eastAsia="Calibri" w:cs="Arial"/>
                <w:szCs w:val="24"/>
                <w:lang w:val="es-ES_tradnl" w:eastAsia="es-ES_tradnl"/>
              </w:rPr>
            </w:pPr>
            <w:r w:rsidRPr="00B81287">
              <w:rPr>
                <w:rFonts w:ascii="Verdana" w:hAnsi="Verdana" w:eastAsia="Calibri" w:cs="Arial"/>
                <w:szCs w:val="24"/>
                <w:lang w:val="es-ES_tradnl" w:eastAsia="es-ES_tradnl"/>
              </w:rPr>
              <w:t xml:space="preserve">Temas:                   </w:t>
            </w:r>
          </w:p>
        </w:tc>
        <w:tc>
          <w:tcPr>
            <w:tcW w:w="6241" w:type="dxa"/>
            <w:tcMar/>
            <w:hideMark/>
          </w:tcPr>
          <w:p w:rsidRPr="001D47E6" w:rsidR="004F26C6" w:rsidP="001D47E6" w:rsidRDefault="00575FAA" w14:paraId="2FF0A35A" w14:textId="125465D5">
            <w:pPr>
              <w:spacing w:line="276" w:lineRule="auto"/>
              <w:jc w:val="both"/>
              <w:rPr>
                <w:rFonts w:ascii="Verdana" w:hAnsi="Verdana"/>
              </w:rPr>
            </w:pPr>
            <w:r w:rsidRPr="001D47E6">
              <w:rPr>
                <w:rFonts w:ascii="Verdana" w:hAnsi="Verdana"/>
              </w:rPr>
              <w:t xml:space="preserve">CONTRATOS CON ESAL – Constitución – Artículo 355 – Fundamento / TIPOS DE CONTRATOS – ESAL – Constitución Política – Artículo 355 – Ley 489 – Artículo 96 / GARANTÍAS- </w:t>
            </w:r>
            <w:r w:rsidR="00B81287">
              <w:rPr>
                <w:rFonts w:ascii="Verdana" w:hAnsi="Verdana"/>
              </w:rPr>
              <w:t>Régimen aplicable /</w:t>
            </w:r>
            <w:r w:rsidR="00EE73B0">
              <w:rPr>
                <w:rFonts w:ascii="Verdana" w:hAnsi="Verdana"/>
              </w:rPr>
              <w:t xml:space="preserve"> GARANTÍAS – Amparos –</w:t>
            </w:r>
            <w:r w:rsidRPr="001D47E6">
              <w:rPr>
                <w:rFonts w:ascii="Verdana" w:hAnsi="Verdana"/>
              </w:rPr>
              <w:t xml:space="preserve"> </w:t>
            </w:r>
            <w:r w:rsidR="00B81287">
              <w:rPr>
                <w:rFonts w:ascii="Verdana" w:hAnsi="Verdana"/>
              </w:rPr>
              <w:t>Calidad del servicio – Calidad y correcto funcionamiento de los bienes</w:t>
            </w:r>
          </w:p>
        </w:tc>
        <w:tc>
          <w:tcPr>
            <w:tcW w:w="6237" w:type="dxa"/>
            <w:tcMar/>
          </w:tcPr>
          <w:p w:rsidRPr="00B81287" w:rsidR="004F26C6" w:rsidP="00A40C2E" w:rsidRDefault="004F26C6" w14:paraId="3DB7745C" w14:textId="77777777">
            <w:pPr>
              <w:jc w:val="both"/>
              <w:rPr>
                <w:rFonts w:ascii="Verdana" w:hAnsi="Verdana" w:cs="Arial"/>
                <w:highlight w:val="yellow"/>
                <w:lang w:val="es-ES"/>
              </w:rPr>
            </w:pPr>
          </w:p>
        </w:tc>
      </w:tr>
      <w:tr w:rsidRPr="00B81287" w:rsidR="004F26C6" w:rsidTr="082C6CCD" w14:paraId="4220C846" w14:textId="77777777">
        <w:tc>
          <w:tcPr>
            <w:tcW w:w="2685" w:type="dxa"/>
            <w:tcMar/>
            <w:hideMark/>
          </w:tcPr>
          <w:p w:rsidRPr="00B81287" w:rsidR="004F26C6" w:rsidP="00A40C2E" w:rsidRDefault="004F26C6" w14:paraId="583CD72D" w14:textId="77777777">
            <w:pPr>
              <w:spacing w:before="120"/>
              <w:jc w:val="both"/>
              <w:rPr>
                <w:rFonts w:ascii="Verdana" w:hAnsi="Verdana" w:eastAsia="Calibri" w:cs="Arial"/>
                <w:szCs w:val="24"/>
                <w:lang w:val="es-ES_tradnl" w:eastAsia="es-ES_tradnl"/>
              </w:rPr>
            </w:pPr>
            <w:r w:rsidRPr="00B81287">
              <w:rPr>
                <w:rFonts w:ascii="Verdana" w:hAnsi="Verdana" w:eastAsia="Calibri" w:cs="Arial"/>
                <w:szCs w:val="24"/>
                <w:lang w:val="es-ES_tradnl" w:eastAsia="es-ES_tradnl"/>
              </w:rPr>
              <w:t xml:space="preserve">Radicación:               </w:t>
            </w:r>
          </w:p>
        </w:tc>
        <w:tc>
          <w:tcPr>
            <w:tcW w:w="6241" w:type="dxa"/>
            <w:tcMar/>
            <w:hideMark/>
          </w:tcPr>
          <w:p w:rsidRPr="00B81287" w:rsidR="004F26C6" w:rsidP="001D47E6" w:rsidRDefault="004F26C6" w14:paraId="3117C326" w14:textId="77777777">
            <w:pPr>
              <w:spacing w:before="120" w:line="276" w:lineRule="auto"/>
              <w:jc w:val="both"/>
              <w:rPr>
                <w:rFonts w:ascii="Verdana" w:hAnsi="Verdana" w:eastAsia="Calibri" w:cs="Arial"/>
                <w:szCs w:val="24"/>
                <w:lang w:val="es-ES_tradnl" w:eastAsia="es-ES_tradnl"/>
              </w:rPr>
            </w:pPr>
            <w:r w:rsidRPr="00B81287">
              <w:rPr>
                <w:rFonts w:ascii="Verdana" w:hAnsi="Verdana" w:eastAsia="Calibri" w:cs="Arial"/>
                <w:szCs w:val="24"/>
                <w:lang w:val="es-ES_tradnl" w:eastAsia="es-ES_tradnl"/>
              </w:rPr>
              <w:t xml:space="preserve">Respuesta a consulta con radicado No. </w:t>
            </w:r>
            <w:proofErr w:type="spellStart"/>
            <w:r w:rsidRPr="00B81287">
              <w:rPr>
                <w:rFonts w:ascii="Verdana" w:hAnsi="Verdana" w:eastAsia="Calibri" w:cs="Arial"/>
                <w:szCs w:val="24"/>
                <w:lang w:val="es-ES_tradnl" w:eastAsia="es-ES_tradnl"/>
              </w:rPr>
              <w:t>P20240717007318</w:t>
            </w:r>
            <w:proofErr w:type="spellEnd"/>
          </w:p>
        </w:tc>
        <w:tc>
          <w:tcPr>
            <w:tcW w:w="6237" w:type="dxa"/>
            <w:tcMar/>
          </w:tcPr>
          <w:p w:rsidRPr="00B81287" w:rsidR="004F26C6" w:rsidP="00A40C2E" w:rsidRDefault="004F26C6" w14:paraId="77A64E8F" w14:textId="77777777">
            <w:pPr>
              <w:spacing w:before="120"/>
              <w:jc w:val="both"/>
              <w:rPr>
                <w:rFonts w:ascii="Verdana" w:hAnsi="Verdana" w:eastAsia="Calibri" w:cs="Arial"/>
                <w:szCs w:val="24"/>
                <w:lang w:val="es-ES_tradnl" w:eastAsia="es-ES_tradnl"/>
              </w:rPr>
            </w:pPr>
          </w:p>
        </w:tc>
      </w:tr>
    </w:tbl>
    <w:p w:rsidRPr="006723FA" w:rsidR="004F26C6" w:rsidP="004F26C6" w:rsidRDefault="004F26C6" w14:paraId="7EAFF6E0" w14:textId="77777777">
      <w:pPr>
        <w:spacing w:after="0" w:line="240" w:lineRule="auto"/>
        <w:jc w:val="both"/>
        <w:rPr>
          <w:rFonts w:ascii="Verdana" w:hAnsi="Verdana" w:eastAsia="Calibri" w:cs="Arial"/>
          <w:szCs w:val="24"/>
          <w:lang w:val="es-ES_tradnl" w:eastAsia="es-ES_tradnl"/>
        </w:rPr>
      </w:pPr>
    </w:p>
    <w:p w:rsidRPr="006723FA" w:rsidR="004F26C6" w:rsidP="004F26C6" w:rsidRDefault="004F26C6" w14:paraId="3F9EDA39" w14:textId="21753430">
      <w:pPr>
        <w:spacing w:after="0" w:line="240" w:lineRule="auto"/>
        <w:jc w:val="both"/>
        <w:rPr>
          <w:rFonts w:ascii="Verdana" w:hAnsi="Verdana" w:eastAsia="Calibri" w:cs="Arial"/>
          <w:lang w:val="es-ES" w:eastAsia="es-ES"/>
        </w:rPr>
      </w:pPr>
      <w:r w:rsidRPr="006723FA">
        <w:rPr>
          <w:rFonts w:ascii="Verdana" w:hAnsi="Verdana" w:eastAsia="Calibri" w:cs="Arial"/>
          <w:lang w:val="es-ES" w:eastAsia="es-ES"/>
        </w:rPr>
        <w:t>Estimad</w:t>
      </w:r>
      <w:r w:rsidR="009E14EF">
        <w:rPr>
          <w:rFonts w:ascii="Verdana" w:hAnsi="Verdana" w:eastAsia="Calibri" w:cs="Arial"/>
          <w:lang w:val="es-ES" w:eastAsia="es-ES"/>
        </w:rPr>
        <w:t xml:space="preserve">a </w:t>
      </w:r>
      <w:r w:rsidRPr="006723FA">
        <w:rPr>
          <w:rFonts w:ascii="Verdana" w:hAnsi="Verdana" w:eastAsia="Calibri" w:cs="Arial"/>
          <w:lang w:val="es-ES" w:eastAsia="es-ES"/>
        </w:rPr>
        <w:t xml:space="preserve">señora Lizeth: </w:t>
      </w:r>
    </w:p>
    <w:p w:rsidRPr="006723FA" w:rsidR="004F26C6" w:rsidP="004F26C6" w:rsidRDefault="004F26C6" w14:paraId="4C269772" w14:textId="77777777">
      <w:pPr>
        <w:spacing w:after="0" w:line="240" w:lineRule="auto"/>
        <w:jc w:val="both"/>
        <w:rPr>
          <w:rFonts w:ascii="Verdana" w:hAnsi="Verdana" w:eastAsia="Calibri" w:cs="Arial"/>
          <w:lang w:val="es-ES" w:eastAsia="es-ES"/>
        </w:rPr>
      </w:pPr>
    </w:p>
    <w:p w:rsidRPr="006723FA" w:rsidR="004F26C6" w:rsidP="004F26C6" w:rsidRDefault="004F26C6" w14:paraId="7F8CC8FA" w14:textId="17BE5246">
      <w:pPr>
        <w:spacing w:after="120" w:line="276" w:lineRule="auto"/>
        <w:jc w:val="both"/>
        <w:rPr>
          <w:rFonts w:ascii="Verdana" w:hAnsi="Verdana" w:eastAsia="Calibri" w:cs="Arial"/>
          <w:lang w:val="es-ES" w:eastAsia="es-ES"/>
        </w:rPr>
      </w:pPr>
      <w:r w:rsidRPr="006723FA">
        <w:rPr>
          <w:rFonts w:ascii="Verdana" w:hAnsi="Verdana" w:eastAsia="Calibri" w:cs="Arial"/>
          <w:lang w:val="es-ES" w:eastAsia="es-ES"/>
        </w:rPr>
        <w:t>En ejercicio de la competencia otorgada por los artículos 3, numeral 5º, y 11, numeral 8º, del Decreto Ley 4170 de 2011,</w:t>
      </w:r>
      <w:r w:rsidRPr="006723FA">
        <w:rPr>
          <w:rFonts w:ascii="Verdana" w:hAnsi="Verdana" w:eastAsia="Arial MT" w:cs="Arial MT"/>
          <w:lang w:val="es-ES" w:eastAsia="es-ES"/>
        </w:rPr>
        <w:t xml:space="preserve"> </w:t>
      </w:r>
      <w:r w:rsidRPr="006723FA">
        <w:rPr>
          <w:rFonts w:ascii="Verdana" w:hAnsi="Verdana" w:eastAsia="Calibri" w:cs="Arial"/>
          <w:lang w:val="es-ES" w:eastAsia="es-ES"/>
        </w:rPr>
        <w:t>la Agencia Nacional de Contratación Pública – Colombia Compra Eficiente– responde su solicitud de consulta del 17 de julio de 2024. En la cual manifiesta lo siguiente:</w:t>
      </w:r>
    </w:p>
    <w:p w:rsidRPr="006723FA" w:rsidR="004F26C6" w:rsidP="00EE73B0" w:rsidRDefault="004F26C6" w14:paraId="5CE9EF57" w14:textId="5BB95067">
      <w:pPr>
        <w:spacing w:after="0" w:line="240" w:lineRule="auto"/>
        <w:ind w:left="709" w:right="709"/>
        <w:jc w:val="both"/>
        <w:rPr>
          <w:rFonts w:ascii="Verdana" w:hAnsi="Verdana" w:eastAsia="Calibri" w:cs="Arial"/>
          <w:sz w:val="20"/>
          <w:szCs w:val="20"/>
          <w:lang w:val="es-ES" w:eastAsia="es-ES"/>
        </w:rPr>
      </w:pPr>
      <w:r w:rsidRPr="006723FA">
        <w:rPr>
          <w:rFonts w:ascii="Verdana" w:hAnsi="Verdana" w:eastAsia="Calibri" w:cs="Arial"/>
          <w:sz w:val="20"/>
          <w:szCs w:val="20"/>
          <w:lang w:val="es-ES" w:eastAsia="es-ES"/>
        </w:rPr>
        <w:t>“</w:t>
      </w:r>
      <w:r w:rsidR="001A3E32">
        <w:rPr>
          <w:rFonts w:ascii="Verdana" w:hAnsi="Verdana" w:eastAsia="Calibri" w:cs="Arial"/>
          <w:sz w:val="20"/>
          <w:szCs w:val="20"/>
          <w:lang w:val="es-ES" w:eastAsia="es-ES"/>
        </w:rPr>
        <w:t>[N]</w:t>
      </w:r>
      <w:proofErr w:type="spellStart"/>
      <w:r w:rsidRPr="006723FA">
        <w:rPr>
          <w:rFonts w:ascii="Verdana" w:hAnsi="Verdana" w:eastAsia="Calibri" w:cs="Arial"/>
          <w:sz w:val="20"/>
          <w:szCs w:val="20"/>
          <w:lang w:val="es-ES" w:eastAsia="es-ES"/>
        </w:rPr>
        <w:t>uestra</w:t>
      </w:r>
      <w:proofErr w:type="spellEnd"/>
      <w:r w:rsidRPr="006723FA">
        <w:rPr>
          <w:rFonts w:ascii="Verdana" w:hAnsi="Verdana" w:eastAsia="Calibri" w:cs="Arial"/>
          <w:sz w:val="20"/>
          <w:szCs w:val="20"/>
          <w:lang w:val="es-ES" w:eastAsia="es-ES"/>
        </w:rPr>
        <w:t xml:space="preserve"> inquietud va dirigida, si conforme el contexto expuesto, resultaría suficiente para las entidades estatales, la exigencia en coberturas de amparos de: i) cumplimiento, </w:t>
      </w:r>
      <w:proofErr w:type="spellStart"/>
      <w:r w:rsidRPr="006723FA">
        <w:rPr>
          <w:rFonts w:ascii="Verdana" w:hAnsi="Verdana" w:eastAsia="Calibri" w:cs="Arial"/>
          <w:sz w:val="20"/>
          <w:szCs w:val="20"/>
          <w:lang w:val="es-ES" w:eastAsia="es-ES"/>
        </w:rPr>
        <w:t>ii</w:t>
      </w:r>
      <w:proofErr w:type="spellEnd"/>
      <w:r w:rsidRPr="006723FA">
        <w:rPr>
          <w:rFonts w:ascii="Verdana" w:hAnsi="Verdana" w:eastAsia="Calibri" w:cs="Arial"/>
          <w:sz w:val="20"/>
          <w:szCs w:val="20"/>
          <w:lang w:val="es-ES" w:eastAsia="es-ES"/>
        </w:rPr>
        <w:t xml:space="preserve">) pago de salarios, prestaciones sociales legales e indemnizaciones laborales y </w:t>
      </w:r>
      <w:proofErr w:type="spellStart"/>
      <w:r w:rsidRPr="006723FA">
        <w:rPr>
          <w:rFonts w:ascii="Verdana" w:hAnsi="Verdana" w:eastAsia="Calibri" w:cs="Arial"/>
          <w:sz w:val="20"/>
          <w:szCs w:val="20"/>
          <w:lang w:val="es-ES" w:eastAsia="es-ES"/>
        </w:rPr>
        <w:t>iii</w:t>
      </w:r>
      <w:proofErr w:type="spellEnd"/>
      <w:r w:rsidRPr="006723FA">
        <w:rPr>
          <w:rFonts w:ascii="Verdana" w:hAnsi="Verdana" w:eastAsia="Calibri" w:cs="Arial"/>
          <w:sz w:val="20"/>
          <w:szCs w:val="20"/>
          <w:lang w:val="es-ES" w:eastAsia="es-ES"/>
        </w:rPr>
        <w:t xml:space="preserve">) responsabilidad civil extracontractual, omitiendo la exigencia de los amparos de i) calidad del servicio y, </w:t>
      </w:r>
      <w:proofErr w:type="spellStart"/>
      <w:r w:rsidRPr="006723FA">
        <w:rPr>
          <w:rFonts w:ascii="Verdana" w:hAnsi="Verdana" w:eastAsia="Calibri" w:cs="Arial"/>
          <w:sz w:val="20"/>
          <w:szCs w:val="20"/>
          <w:lang w:val="es-ES" w:eastAsia="es-ES"/>
        </w:rPr>
        <w:t>ii</w:t>
      </w:r>
      <w:proofErr w:type="spellEnd"/>
      <w:r w:rsidRPr="006723FA">
        <w:rPr>
          <w:rFonts w:ascii="Verdana" w:hAnsi="Verdana" w:eastAsia="Calibri" w:cs="Arial"/>
          <w:sz w:val="20"/>
          <w:szCs w:val="20"/>
          <w:lang w:val="es-ES" w:eastAsia="es-ES"/>
        </w:rPr>
        <w:t xml:space="preserve">) calidad y correcto funcionamiento de los bienes, conforme lo antes dicho. </w:t>
      </w:r>
    </w:p>
    <w:p w:rsidRPr="006723FA" w:rsidR="004F26C6" w:rsidP="00EE73B0" w:rsidRDefault="004F26C6" w14:paraId="158FB792" w14:textId="77777777">
      <w:pPr>
        <w:spacing w:after="0" w:line="240" w:lineRule="auto"/>
        <w:ind w:left="709" w:right="709"/>
        <w:jc w:val="both"/>
        <w:rPr>
          <w:rFonts w:ascii="Verdana" w:hAnsi="Verdana" w:eastAsia="Calibri" w:cs="Arial"/>
          <w:sz w:val="20"/>
          <w:szCs w:val="20"/>
          <w:lang w:val="es-ES" w:eastAsia="es-ES"/>
        </w:rPr>
      </w:pPr>
    </w:p>
    <w:p w:rsidRPr="006723FA" w:rsidR="004F26C6" w:rsidP="00EE73B0" w:rsidRDefault="004F26C6" w14:paraId="45822325" w14:textId="77777777">
      <w:pPr>
        <w:spacing w:after="0" w:line="240" w:lineRule="auto"/>
        <w:ind w:left="709" w:right="709"/>
        <w:jc w:val="both"/>
        <w:rPr>
          <w:rFonts w:ascii="Verdana" w:hAnsi="Verdana" w:eastAsia="Calibri" w:cs="Arial"/>
          <w:sz w:val="20"/>
          <w:szCs w:val="20"/>
          <w:lang w:val="es-ES" w:eastAsia="es-ES"/>
        </w:rPr>
      </w:pPr>
      <w:r w:rsidRPr="006723FA">
        <w:rPr>
          <w:rFonts w:ascii="Verdana" w:hAnsi="Verdana" w:eastAsia="Calibri" w:cs="Arial"/>
          <w:sz w:val="20"/>
          <w:szCs w:val="20"/>
          <w:lang w:val="es-ES" w:eastAsia="es-ES"/>
        </w:rPr>
        <w:t>No obstante, lo anterior, la Entidad solicita tener conocimiento del amparo cuya exigencia debe ser de cabal cumplimiento para la Entidad.”</w:t>
      </w:r>
    </w:p>
    <w:p w:rsidRPr="006723FA" w:rsidR="004F26C6" w:rsidP="004F26C6" w:rsidRDefault="004F26C6" w14:paraId="2C8B2ABE" w14:textId="77777777">
      <w:pPr>
        <w:spacing w:after="0" w:line="240" w:lineRule="auto"/>
        <w:ind w:left="709" w:right="709"/>
        <w:jc w:val="both"/>
        <w:rPr>
          <w:rFonts w:ascii="Verdana" w:hAnsi="Verdana" w:eastAsia="Calibri" w:cs="Arial"/>
          <w:lang w:val="es-ES_tradnl" w:eastAsia="es-ES_tradnl"/>
        </w:rPr>
      </w:pPr>
    </w:p>
    <w:p w:rsidRPr="006723FA" w:rsidR="004F26C6" w:rsidP="004F26C6" w:rsidRDefault="004F26C6" w14:paraId="71F38EDE" w14:textId="77777777">
      <w:pPr>
        <w:spacing w:after="120" w:line="276" w:lineRule="auto"/>
        <w:jc w:val="both"/>
        <w:rPr>
          <w:rFonts w:ascii="Verdana" w:hAnsi="Verdana" w:eastAsia="Calibri" w:cs="Arial"/>
          <w:lang w:val="es-ES" w:eastAsia="es-ES"/>
        </w:rPr>
      </w:pPr>
      <w:r w:rsidRPr="006723FA">
        <w:rPr>
          <w:rFonts w:ascii="Verdana" w:hAnsi="Verdana" w:eastAsia="Calibri" w:cs="Arial"/>
          <w:lang w:val="es-ES_tradnl" w:eastAsia="es-ES_tradnl"/>
        </w:rPr>
        <w:tab/>
      </w:r>
      <w:r w:rsidRPr="006723FA">
        <w:rPr>
          <w:rFonts w:ascii="Verdana" w:hAnsi="Verdana" w:eastAsia="Calibri" w:cs="Arial"/>
          <w:lang w:val="es-ES" w:eastAsia="es-ES"/>
        </w:rPr>
        <w:t xml:space="preserve">De manera preliminar, resulta necesario acotar que esta entidad solo tiene competencia para responder consultas sobre la aplicación de normas de carácter </w:t>
      </w:r>
      <w:r w:rsidRPr="006723FA">
        <w:rPr>
          <w:rFonts w:ascii="Verdana" w:hAnsi="Verdana" w:eastAsia="Calibri" w:cs="Arial"/>
          <w:lang w:val="es-ES" w:eastAsia="es-ES"/>
        </w:rPr>
        <w:t>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rsidR="00066129" w:rsidP="00096A08" w:rsidRDefault="004F26C6" w14:paraId="492CA245" w14:textId="4281D01C">
      <w:pPr>
        <w:spacing w:after="0" w:line="276" w:lineRule="auto"/>
        <w:jc w:val="both"/>
        <w:rPr>
          <w:rFonts w:ascii="Verdana" w:hAnsi="Verdana" w:eastAsia="Calibri" w:cs="Arial"/>
          <w:lang w:val="es-ES" w:eastAsia="es-ES"/>
        </w:rPr>
      </w:pPr>
      <w:r w:rsidRPr="006723FA">
        <w:rPr>
          <w:rFonts w:ascii="Verdana" w:hAnsi="Verdana" w:eastAsia="Calibri" w:cs="Arial"/>
          <w:lang w:val="es-ES" w:eastAsia="es-ES"/>
        </w:rPr>
        <w:tab/>
      </w:r>
      <w:r w:rsidRPr="006723FA">
        <w:rPr>
          <w:rFonts w:ascii="Verdana" w:hAnsi="Verdana" w:eastAsia="Calibri" w:cs="Arial"/>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rsidRPr="006723FA" w:rsidR="00B81287" w:rsidP="001D47E6" w:rsidRDefault="00B81287" w14:paraId="6396A430" w14:textId="77777777">
      <w:pPr>
        <w:spacing w:after="0" w:line="276" w:lineRule="auto"/>
        <w:jc w:val="both"/>
        <w:rPr>
          <w:rFonts w:ascii="Verdana" w:hAnsi="Verdana" w:eastAsia="Calibri" w:cs="Arial"/>
          <w:lang w:val="es-ES" w:eastAsia="es-ES"/>
        </w:rPr>
      </w:pPr>
    </w:p>
    <w:p w:rsidRPr="006723FA" w:rsidR="004F26C6" w:rsidP="004F26C6" w:rsidRDefault="004F26C6" w14:paraId="628F7B6F"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6723FA">
        <w:rPr>
          <w:rFonts w:ascii="Verdana" w:hAnsi="Verdana" w:eastAsia="Century Gothic" w:cs="Century Gothic"/>
          <w:b/>
          <w:bCs/>
        </w:rPr>
        <w:t>Problema planteado:</w:t>
      </w:r>
    </w:p>
    <w:p w:rsidRPr="006723FA" w:rsidR="004F26C6" w:rsidP="00096A08" w:rsidRDefault="004F26C6" w14:paraId="357F4863" w14:textId="77777777">
      <w:pPr>
        <w:spacing w:after="0" w:line="240" w:lineRule="auto"/>
        <w:jc w:val="both"/>
        <w:rPr>
          <w:rFonts w:ascii="Verdana" w:hAnsi="Verdana" w:eastAsia="Century Gothic" w:cs="Century Gothic"/>
        </w:rPr>
      </w:pPr>
    </w:p>
    <w:p w:rsidR="004F26C6" w:rsidP="00096A08" w:rsidRDefault="004F26C6" w14:paraId="6F08C97D" w14:textId="5409B60F">
      <w:pPr>
        <w:spacing w:after="0" w:line="276" w:lineRule="auto"/>
        <w:jc w:val="both"/>
        <w:rPr>
          <w:rFonts w:ascii="Verdana" w:hAnsi="Verdana" w:eastAsia="Century Gothic" w:cs="Century Gothic"/>
        </w:rPr>
      </w:pPr>
      <w:r w:rsidRPr="00FB7C0B">
        <w:rPr>
          <w:rFonts w:ascii="Verdana" w:hAnsi="Verdana" w:eastAsia="Century Gothic" w:cs="Century Gothic"/>
        </w:rPr>
        <w:t>De acuerdo con el contenido de su solicitud, esta Agencia resolverá los siguientes problemas jurídicos</w:t>
      </w:r>
      <w:r w:rsidR="002005D2">
        <w:rPr>
          <w:rFonts w:ascii="Verdana" w:hAnsi="Verdana" w:eastAsia="Century Gothic" w:cs="Century Gothic"/>
        </w:rPr>
        <w:t xml:space="preserve"> </w:t>
      </w:r>
      <w:r w:rsidRPr="00FB7C0B" w:rsidR="00FB7C0B">
        <w:rPr>
          <w:rFonts w:ascii="Verdana" w:hAnsi="Verdana" w:eastAsia="Century Gothic" w:cs="Century Gothic"/>
        </w:rPr>
        <w:t xml:space="preserve">¿Qué </w:t>
      </w:r>
      <w:r w:rsidR="002005D2">
        <w:rPr>
          <w:rFonts w:ascii="Verdana" w:hAnsi="Verdana" w:eastAsia="Century Gothic" w:cs="Century Gothic"/>
        </w:rPr>
        <w:t>garantías</w:t>
      </w:r>
      <w:r w:rsidRPr="00FB7C0B" w:rsidR="00FB7C0B">
        <w:rPr>
          <w:rFonts w:ascii="Verdana" w:hAnsi="Verdana" w:eastAsia="Century Gothic" w:cs="Century Gothic"/>
        </w:rPr>
        <w:t xml:space="preserve"> </w:t>
      </w:r>
      <w:r w:rsidR="006220FA">
        <w:rPr>
          <w:rFonts w:ascii="Verdana" w:hAnsi="Verdana" w:eastAsia="Century Gothic" w:cs="Century Gothic"/>
        </w:rPr>
        <w:t>resul</w:t>
      </w:r>
      <w:r w:rsidR="0095181F">
        <w:rPr>
          <w:rFonts w:ascii="Verdana" w:hAnsi="Verdana" w:eastAsia="Century Gothic" w:cs="Century Gothic"/>
        </w:rPr>
        <w:t>tan</w:t>
      </w:r>
      <w:r w:rsidR="00CE7553">
        <w:rPr>
          <w:rFonts w:ascii="Verdana" w:hAnsi="Verdana" w:eastAsia="Century Gothic" w:cs="Century Gothic"/>
        </w:rPr>
        <w:t xml:space="preserve"> exigibles</w:t>
      </w:r>
      <w:r w:rsidRPr="00FB7C0B" w:rsidR="00FB7C0B">
        <w:rPr>
          <w:rFonts w:ascii="Verdana" w:hAnsi="Verdana" w:eastAsia="Century Gothic" w:cs="Century Gothic"/>
        </w:rPr>
        <w:t xml:space="preserve"> </w:t>
      </w:r>
      <w:r w:rsidR="00186037">
        <w:rPr>
          <w:rFonts w:ascii="Verdana" w:hAnsi="Verdana" w:eastAsia="Century Gothic" w:cs="Century Gothic"/>
        </w:rPr>
        <w:t>en el marco de la</w:t>
      </w:r>
      <w:r w:rsidR="001A3E32">
        <w:rPr>
          <w:rFonts w:ascii="Verdana" w:hAnsi="Verdana" w:eastAsia="Century Gothic" w:cs="Century Gothic"/>
        </w:rPr>
        <w:t xml:space="preserve"> ejecución de</w:t>
      </w:r>
      <w:r w:rsidR="00186037">
        <w:rPr>
          <w:rFonts w:ascii="Verdana" w:hAnsi="Verdana" w:eastAsia="Century Gothic" w:cs="Century Gothic"/>
        </w:rPr>
        <w:t xml:space="preserve"> </w:t>
      </w:r>
      <w:r w:rsidR="001A3E32">
        <w:rPr>
          <w:rFonts w:ascii="Verdana" w:hAnsi="Verdana" w:eastAsia="Century Gothic" w:cs="Century Gothic"/>
        </w:rPr>
        <w:t xml:space="preserve">los </w:t>
      </w:r>
      <w:r w:rsidR="00186037">
        <w:rPr>
          <w:rFonts w:ascii="Verdana" w:hAnsi="Verdana" w:eastAsia="Century Gothic" w:cs="Century Gothic"/>
        </w:rPr>
        <w:t>contrat</w:t>
      </w:r>
      <w:r w:rsidR="001A3E32">
        <w:rPr>
          <w:rFonts w:ascii="Verdana" w:hAnsi="Verdana" w:eastAsia="Century Gothic" w:cs="Century Gothic"/>
        </w:rPr>
        <w:t>os</w:t>
      </w:r>
      <w:r w:rsidR="00186037">
        <w:rPr>
          <w:rFonts w:ascii="Verdana" w:hAnsi="Verdana" w:eastAsia="Century Gothic" w:cs="Century Gothic"/>
        </w:rPr>
        <w:t xml:space="preserve"> </w:t>
      </w:r>
      <w:r w:rsidR="001A3E32">
        <w:rPr>
          <w:rFonts w:ascii="Verdana" w:hAnsi="Verdana" w:eastAsia="Century Gothic" w:cs="Century Gothic"/>
        </w:rPr>
        <w:t xml:space="preserve">con </w:t>
      </w:r>
      <w:r w:rsidR="00186037">
        <w:rPr>
          <w:rFonts w:ascii="Verdana" w:hAnsi="Verdana" w:eastAsia="Century Gothic" w:cs="Century Gothic"/>
        </w:rPr>
        <w:t xml:space="preserve">entidades sin ánimo de lucro </w:t>
      </w:r>
      <w:r w:rsidRPr="00FB7C0B" w:rsidR="00FB7C0B">
        <w:rPr>
          <w:rFonts w:ascii="Verdana" w:hAnsi="Verdana" w:eastAsia="Century Gothic" w:cs="Century Gothic"/>
        </w:rPr>
        <w:t>regulad</w:t>
      </w:r>
      <w:r w:rsidR="001A3E32">
        <w:rPr>
          <w:rFonts w:ascii="Verdana" w:hAnsi="Verdana" w:eastAsia="Century Gothic" w:cs="Century Gothic"/>
        </w:rPr>
        <w:t>os</w:t>
      </w:r>
      <w:r w:rsidRPr="00FB7C0B" w:rsidR="00FB7C0B">
        <w:rPr>
          <w:rFonts w:ascii="Verdana" w:hAnsi="Verdana" w:eastAsia="Century Gothic" w:cs="Century Gothic"/>
        </w:rPr>
        <w:t xml:space="preserve"> </w:t>
      </w:r>
      <w:r w:rsidR="001A3E32">
        <w:rPr>
          <w:rFonts w:ascii="Verdana" w:hAnsi="Verdana" w:eastAsia="Century Gothic" w:cs="Century Gothic"/>
        </w:rPr>
        <w:t>por</w:t>
      </w:r>
      <w:r w:rsidRPr="00FB7C0B" w:rsidR="001A3E32">
        <w:rPr>
          <w:rFonts w:ascii="Verdana" w:hAnsi="Verdana" w:eastAsia="Century Gothic" w:cs="Century Gothic"/>
        </w:rPr>
        <w:t xml:space="preserve"> </w:t>
      </w:r>
      <w:r w:rsidRPr="00FB7C0B" w:rsidR="00FB7C0B">
        <w:rPr>
          <w:rFonts w:ascii="Verdana" w:hAnsi="Verdana" w:eastAsia="Century Gothic" w:cs="Century Gothic"/>
        </w:rPr>
        <w:t>el Decreto 092 de 2017?</w:t>
      </w:r>
      <w:r w:rsidR="00EE73B0">
        <w:rPr>
          <w:rFonts w:ascii="Verdana" w:hAnsi="Verdana" w:eastAsia="Century Gothic" w:cs="Century Gothic"/>
        </w:rPr>
        <w:t xml:space="preserve"> ¿Es posible no exigir las garantías de</w:t>
      </w:r>
      <w:r w:rsidRPr="00EE73B0" w:rsidR="00EE73B0">
        <w:rPr>
          <w:rFonts w:ascii="Verdana" w:hAnsi="Verdana" w:eastAsia="Century Gothic" w:cs="Century Gothic"/>
        </w:rPr>
        <w:t xml:space="preserve"> calidad del servicio y la calidad y correcto funcionamiento de los bienes</w:t>
      </w:r>
      <w:r w:rsidR="00EE73B0">
        <w:rPr>
          <w:rFonts w:ascii="Verdana" w:hAnsi="Verdana" w:eastAsia="Century Gothic" w:cs="Century Gothic"/>
        </w:rPr>
        <w:t>?</w:t>
      </w:r>
    </w:p>
    <w:p w:rsidR="00096A08" w:rsidP="00096A08" w:rsidRDefault="00096A08" w14:paraId="250EB408" w14:textId="77777777">
      <w:pPr>
        <w:spacing w:after="0" w:line="276" w:lineRule="auto"/>
        <w:jc w:val="both"/>
        <w:rPr>
          <w:rFonts w:ascii="Verdana" w:hAnsi="Verdana" w:eastAsia="Century Gothic" w:cs="Century Gothic"/>
        </w:rPr>
      </w:pPr>
    </w:p>
    <w:p w:rsidR="004F26C6" w:rsidP="004F26C6" w:rsidRDefault="004F26C6" w14:paraId="3F26C436"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31545C">
        <w:rPr>
          <w:rFonts w:ascii="Verdana" w:hAnsi="Verdana" w:eastAsia="Century Gothic" w:cs="Century Gothic"/>
          <w:b/>
          <w:bCs/>
        </w:rPr>
        <w:t>Respuesta:</w:t>
      </w:r>
    </w:p>
    <w:p w:rsidR="002005D2" w:rsidP="001D47E6" w:rsidRDefault="002005D2" w14:paraId="083D2D23" w14:textId="77777777">
      <w:pPr>
        <w:pStyle w:val="Prrafodelista"/>
        <w:tabs>
          <w:tab w:val="left" w:pos="142"/>
          <w:tab w:val="left" w:pos="284"/>
        </w:tabs>
        <w:spacing w:after="0" w:line="276" w:lineRule="auto"/>
        <w:ind w:left="0"/>
        <w:jc w:val="both"/>
        <w:rPr>
          <w:rFonts w:ascii="Verdana" w:hAnsi="Verdana" w:eastAsia="Century Gothic" w:cs="Century Gothic"/>
          <w:b/>
          <w:bCs/>
        </w:rPr>
      </w:pPr>
    </w:p>
    <w:p w:rsidR="005B7900" w:rsidP="005B7900" w:rsidRDefault="005B7900" w14:paraId="6ACF5E4E" w14:textId="70D9E649">
      <w:pPr>
        <w:spacing w:after="120" w:line="276" w:lineRule="auto"/>
        <w:jc w:val="both"/>
        <w:rPr>
          <w:rFonts w:ascii="Verdana" w:hAnsi="Verdana" w:eastAsia="Calibri" w:cs="Arial"/>
          <w:lang w:val="es-ES_tradnl" w:eastAsia="es-ES_tradnl"/>
        </w:rPr>
      </w:pPr>
      <w:r>
        <w:rPr>
          <w:rFonts w:ascii="Verdana" w:hAnsi="Verdana" w:eastAsia="Calibri" w:cs="Arial"/>
          <w:color w:val="000000" w:themeColor="text1"/>
          <w:lang w:val="es-ES"/>
        </w:rPr>
        <w:t xml:space="preserve">De conformidad con lo dispuesto en el </w:t>
      </w:r>
      <w:r w:rsidRPr="009E14EF">
        <w:rPr>
          <w:rFonts w:ascii="Verdana" w:hAnsi="Verdana" w:eastAsia="Calibri" w:cs="Arial"/>
          <w:lang w:val="es-ES_tradnl" w:eastAsia="es-ES_tradnl"/>
        </w:rPr>
        <w:t xml:space="preserve">artículo 8 del Decreto 092 de 2017, </w:t>
      </w:r>
      <w:r>
        <w:rPr>
          <w:rFonts w:ascii="Verdana" w:hAnsi="Verdana" w:eastAsia="Calibri" w:cs="Arial"/>
          <w:lang w:val="es-ES_tradnl" w:eastAsia="es-ES_tradnl"/>
        </w:rPr>
        <w:t xml:space="preserve">y comoquiera que dicha normativa no establece una regulación expresa de las garantías, los contratos que las Entidades Estales celebren con entidades privadas sin ánimo de lucro, se rigen por régimen de garantías establecido en el artículo 7 de la Ley 1150 de 2007, reglamentado en la Subsección 1 de la </w:t>
      </w:r>
      <w:r w:rsidRPr="00B11E1C">
        <w:rPr>
          <w:rFonts w:ascii="Verdana" w:hAnsi="Verdana" w:eastAsia="Calibri" w:cs="Arial"/>
          <w:lang w:val="es-ES_tradnl" w:eastAsia="es-ES_tradnl"/>
        </w:rPr>
        <w:t>Subsección 1 de la Sección 3 Capítulo 2 del Título 1 de la Parte 2 del Libro 2 de</w:t>
      </w:r>
      <w:r>
        <w:rPr>
          <w:rFonts w:ascii="Verdana" w:hAnsi="Verdana" w:eastAsia="Calibri" w:cs="Arial"/>
          <w:lang w:val="es-ES_tradnl" w:eastAsia="es-ES_tradnl"/>
        </w:rPr>
        <w:t>l</w:t>
      </w:r>
      <w:r w:rsidRPr="00B11E1C">
        <w:rPr>
          <w:rFonts w:ascii="Verdana" w:hAnsi="Verdana" w:eastAsia="Calibri" w:cs="Arial"/>
          <w:lang w:val="es-ES_tradnl" w:eastAsia="es-ES_tradnl"/>
        </w:rPr>
        <w:t xml:space="preserve"> Decreto</w:t>
      </w:r>
      <w:r>
        <w:rPr>
          <w:rFonts w:ascii="Verdana" w:hAnsi="Verdana" w:eastAsia="Calibri" w:cs="Arial"/>
          <w:lang w:val="es-ES_tradnl" w:eastAsia="es-ES_tradnl"/>
        </w:rPr>
        <w:t xml:space="preserve"> 1082 de 2015. </w:t>
      </w:r>
    </w:p>
    <w:p w:rsidR="005B7900" w:rsidP="005B7900" w:rsidRDefault="005B7900" w14:paraId="3061D8DD" w14:textId="77777777">
      <w:pPr>
        <w:spacing w:after="120" w:line="276" w:lineRule="auto"/>
        <w:ind w:firstLine="709"/>
        <w:jc w:val="both"/>
        <w:rPr>
          <w:rFonts w:ascii="Verdana" w:hAnsi="Verdana" w:eastAsia="Times New Roman" w:cs="Arial"/>
          <w:lang w:eastAsia="es-ES_tradnl"/>
        </w:rPr>
      </w:pPr>
      <w:r>
        <w:rPr>
          <w:rFonts w:ascii="Verdana" w:hAnsi="Verdana" w:eastAsia="Times New Roman" w:cs="Arial"/>
          <w:lang w:val="es-ES_tradnl" w:eastAsia="es-ES_tradnl"/>
        </w:rPr>
        <w:t>En sentido, para la ejecución de estos contratos resulta en principio exigible a la constitución de garantía única de cumplimiento, la cual, dependiendo del objeto del contrato debe abarcar los siguientes amparos:</w:t>
      </w:r>
      <w:r>
        <w:rPr>
          <w:rFonts w:ascii="Verdana" w:hAnsi="Verdana" w:eastAsia="Times New Roman" w:cs="Arial"/>
          <w:lang w:eastAsia="es-ES_tradnl"/>
        </w:rPr>
        <w:t xml:space="preserve"> i) B</w:t>
      </w:r>
      <w:r w:rsidRPr="001737B1">
        <w:rPr>
          <w:rFonts w:ascii="Verdana" w:hAnsi="Verdana" w:eastAsia="Times New Roman" w:cs="Arial"/>
          <w:lang w:eastAsia="es-ES_tradnl"/>
        </w:rPr>
        <w:t>uen manejo y correcta inversión del anticipo.</w:t>
      </w:r>
      <w:r>
        <w:rPr>
          <w:rFonts w:ascii="Verdana" w:hAnsi="Verdana" w:eastAsia="Times New Roman" w:cs="Arial"/>
          <w:lang w:eastAsia="es-ES_tradnl"/>
        </w:rPr>
        <w:t xml:space="preserve">; </w:t>
      </w:r>
      <w:proofErr w:type="spellStart"/>
      <w:r>
        <w:rPr>
          <w:rFonts w:ascii="Verdana" w:hAnsi="Verdana" w:eastAsia="Times New Roman" w:cs="Arial"/>
          <w:lang w:eastAsia="es-ES_tradnl"/>
        </w:rPr>
        <w:t>ii</w:t>
      </w:r>
      <w:proofErr w:type="spellEnd"/>
      <w:r>
        <w:rPr>
          <w:rFonts w:ascii="Verdana" w:hAnsi="Verdana" w:eastAsia="Times New Roman" w:cs="Arial"/>
          <w:lang w:eastAsia="es-ES_tradnl"/>
        </w:rPr>
        <w:t>) D</w:t>
      </w:r>
      <w:r w:rsidRPr="001737B1">
        <w:rPr>
          <w:rFonts w:ascii="Verdana" w:hAnsi="Verdana" w:eastAsia="Times New Roman" w:cs="Arial"/>
          <w:lang w:eastAsia="es-ES_tradnl"/>
        </w:rPr>
        <w:t>evolución del pago anticipado</w:t>
      </w:r>
      <w:r>
        <w:rPr>
          <w:rFonts w:ascii="Verdana" w:hAnsi="Verdana" w:eastAsia="Times New Roman" w:cs="Arial"/>
          <w:lang w:eastAsia="es-ES_tradnl"/>
        </w:rPr>
        <w:t xml:space="preserve">; </w:t>
      </w:r>
      <w:proofErr w:type="spellStart"/>
      <w:r>
        <w:rPr>
          <w:rFonts w:ascii="Verdana" w:hAnsi="Verdana" w:eastAsia="Times New Roman" w:cs="Arial"/>
          <w:lang w:eastAsia="es-ES_tradnl"/>
        </w:rPr>
        <w:t>iii</w:t>
      </w:r>
      <w:proofErr w:type="spellEnd"/>
      <w:r>
        <w:rPr>
          <w:rFonts w:ascii="Verdana" w:hAnsi="Verdana" w:eastAsia="Times New Roman" w:cs="Arial"/>
          <w:lang w:eastAsia="es-ES_tradnl"/>
        </w:rPr>
        <w:t xml:space="preserve">) </w:t>
      </w:r>
      <w:r w:rsidRPr="001737B1">
        <w:rPr>
          <w:rFonts w:ascii="Verdana" w:hAnsi="Verdana" w:eastAsia="Times New Roman" w:cs="Arial"/>
          <w:lang w:eastAsia="es-ES_tradnl"/>
        </w:rPr>
        <w:t>Cumplimiento del contrato</w:t>
      </w:r>
      <w:r>
        <w:rPr>
          <w:rFonts w:ascii="Verdana" w:hAnsi="Verdana" w:eastAsia="Times New Roman" w:cs="Arial"/>
          <w:lang w:eastAsia="es-ES_tradnl"/>
        </w:rPr>
        <w:t xml:space="preserve">, </w:t>
      </w:r>
      <w:proofErr w:type="spellStart"/>
      <w:r>
        <w:rPr>
          <w:rFonts w:ascii="Verdana" w:hAnsi="Verdana" w:eastAsia="Times New Roman" w:cs="Arial"/>
          <w:lang w:eastAsia="es-ES_tradnl"/>
        </w:rPr>
        <w:t>iv</w:t>
      </w:r>
      <w:proofErr w:type="spellEnd"/>
      <w:r>
        <w:rPr>
          <w:rFonts w:ascii="Verdana" w:hAnsi="Verdana" w:eastAsia="Times New Roman" w:cs="Arial"/>
          <w:lang w:eastAsia="es-ES_tradnl"/>
        </w:rPr>
        <w:t>) p</w:t>
      </w:r>
      <w:r w:rsidRPr="001737B1">
        <w:rPr>
          <w:rFonts w:ascii="Verdana" w:hAnsi="Verdana" w:eastAsia="Times New Roman" w:cs="Arial"/>
          <w:lang w:eastAsia="es-ES_tradnl"/>
        </w:rPr>
        <w:t xml:space="preserve">ago de salarios, prestaciones </w:t>
      </w:r>
      <w:r w:rsidRPr="001737B1">
        <w:rPr>
          <w:rFonts w:ascii="Verdana" w:hAnsi="Verdana" w:eastAsia="Times New Roman" w:cs="Arial"/>
          <w:lang w:eastAsia="es-ES_tradnl"/>
        </w:rPr>
        <w:t>sociales legales e indemnizaciones laborales</w:t>
      </w:r>
      <w:r>
        <w:rPr>
          <w:rFonts w:ascii="Verdana" w:hAnsi="Verdana" w:eastAsia="Times New Roman" w:cs="Arial"/>
          <w:lang w:eastAsia="es-ES_tradnl"/>
        </w:rPr>
        <w:t>; v) e</w:t>
      </w:r>
      <w:r w:rsidRPr="001737B1">
        <w:rPr>
          <w:rFonts w:ascii="Verdana" w:hAnsi="Verdana" w:eastAsia="Times New Roman" w:cs="Arial"/>
          <w:lang w:eastAsia="es-ES_tradnl"/>
        </w:rPr>
        <w:t>stabilidad y calidad de la obra</w:t>
      </w:r>
      <w:r>
        <w:rPr>
          <w:rFonts w:ascii="Verdana" w:hAnsi="Verdana" w:eastAsia="Times New Roman" w:cs="Arial"/>
          <w:lang w:eastAsia="es-ES_tradnl"/>
        </w:rPr>
        <w:t>; vi)</w:t>
      </w:r>
      <w:r w:rsidRPr="001737B1">
        <w:rPr>
          <w:rFonts w:ascii="Verdana" w:hAnsi="Verdana" w:eastAsia="Times New Roman" w:cs="Arial"/>
          <w:lang w:eastAsia="es-ES_tradnl"/>
        </w:rPr>
        <w:t xml:space="preserve"> </w:t>
      </w:r>
      <w:r>
        <w:rPr>
          <w:rFonts w:ascii="Verdana" w:hAnsi="Verdana" w:eastAsia="Times New Roman" w:cs="Arial"/>
          <w:lang w:eastAsia="es-ES_tradnl"/>
        </w:rPr>
        <w:t>c</w:t>
      </w:r>
      <w:r w:rsidRPr="001737B1">
        <w:rPr>
          <w:rFonts w:ascii="Verdana" w:hAnsi="Verdana" w:eastAsia="Times New Roman" w:cs="Arial"/>
          <w:lang w:eastAsia="es-ES_tradnl"/>
        </w:rPr>
        <w:t>alidad del servicio</w:t>
      </w:r>
      <w:r>
        <w:rPr>
          <w:rFonts w:ascii="Verdana" w:hAnsi="Verdana" w:eastAsia="Times New Roman" w:cs="Arial"/>
          <w:lang w:eastAsia="es-ES_tradnl"/>
        </w:rPr>
        <w:t xml:space="preserve">; </w:t>
      </w:r>
      <w:proofErr w:type="spellStart"/>
      <w:r>
        <w:rPr>
          <w:rFonts w:ascii="Verdana" w:hAnsi="Verdana" w:eastAsia="Times New Roman" w:cs="Arial"/>
          <w:lang w:eastAsia="es-ES_tradnl"/>
        </w:rPr>
        <w:t>vii</w:t>
      </w:r>
      <w:proofErr w:type="spellEnd"/>
      <w:r>
        <w:rPr>
          <w:rFonts w:ascii="Verdana" w:hAnsi="Verdana" w:eastAsia="Times New Roman" w:cs="Arial"/>
          <w:lang w:eastAsia="es-ES_tradnl"/>
        </w:rPr>
        <w:t>) c</w:t>
      </w:r>
      <w:r w:rsidRPr="001737B1">
        <w:rPr>
          <w:rFonts w:ascii="Verdana" w:hAnsi="Verdana" w:eastAsia="Times New Roman" w:cs="Arial"/>
          <w:lang w:eastAsia="es-ES_tradnl"/>
        </w:rPr>
        <w:t>alidad y correcto funcionamiento de los bienes</w:t>
      </w:r>
      <w:r>
        <w:rPr>
          <w:rFonts w:ascii="Verdana" w:hAnsi="Verdana" w:eastAsia="Times New Roman" w:cs="Arial"/>
          <w:lang w:eastAsia="es-ES_tradnl"/>
        </w:rPr>
        <w:t xml:space="preserve">; y </w:t>
      </w:r>
      <w:proofErr w:type="spellStart"/>
      <w:r>
        <w:rPr>
          <w:rFonts w:ascii="Verdana" w:hAnsi="Verdana" w:eastAsia="Times New Roman" w:cs="Arial"/>
          <w:lang w:eastAsia="es-ES_tradnl"/>
        </w:rPr>
        <w:t>viii</w:t>
      </w:r>
      <w:proofErr w:type="spellEnd"/>
      <w:r>
        <w:rPr>
          <w:rFonts w:ascii="Verdana" w:hAnsi="Verdana" w:eastAsia="Times New Roman" w:cs="Arial"/>
          <w:lang w:eastAsia="es-ES_tradnl"/>
        </w:rPr>
        <w:t>) l</w:t>
      </w:r>
      <w:r w:rsidRPr="001737B1">
        <w:rPr>
          <w:rFonts w:ascii="Verdana" w:hAnsi="Verdana" w:eastAsia="Times New Roman" w:cs="Arial"/>
          <w:lang w:eastAsia="es-ES_tradnl"/>
        </w:rPr>
        <w:t>os demás incumplimientos de obligaciones que la Entidad Estatal considere deben ser amparados de manera proporcional y acorde a la naturaleza del contrato.</w:t>
      </w:r>
    </w:p>
    <w:p w:rsidR="005B7900" w:rsidP="005B7900" w:rsidRDefault="005B7900" w14:paraId="58A95E6A" w14:textId="34C959F2">
      <w:pPr>
        <w:pStyle w:val="Prrafodelista"/>
        <w:tabs>
          <w:tab w:val="left" w:pos="142"/>
          <w:tab w:val="left" w:pos="284"/>
        </w:tabs>
        <w:spacing w:after="0" w:line="276" w:lineRule="auto"/>
        <w:ind w:left="0"/>
        <w:jc w:val="both"/>
        <w:rPr>
          <w:rFonts w:ascii="Verdana" w:hAnsi="Verdana" w:eastAsia="Century Gothic" w:cs="Century Gothic"/>
          <w:b/>
          <w:bCs/>
        </w:rPr>
      </w:pPr>
      <w:r>
        <w:rPr>
          <w:rFonts w:ascii="Verdana" w:hAnsi="Verdana" w:eastAsia="Times New Roman" w:cs="Arial"/>
          <w:lang w:eastAsia="es-ES_tradnl"/>
        </w:rPr>
        <w:t xml:space="preserve">Con todo, la exigibilidad de garantías respecto de </w:t>
      </w:r>
      <w:r w:rsidRPr="001D47E6">
        <w:rPr>
          <w:rFonts w:ascii="Verdana" w:hAnsi="Verdana" w:eastAsia="Times New Roman" w:cs="Arial"/>
          <w:i/>
          <w:iCs/>
          <w:lang w:eastAsia="es-ES_tradnl"/>
        </w:rPr>
        <w:t>la calidad del servicio</w:t>
      </w:r>
      <w:r>
        <w:rPr>
          <w:rFonts w:ascii="Verdana" w:hAnsi="Verdana" w:eastAsia="Times New Roman" w:cs="Arial"/>
          <w:lang w:eastAsia="es-ES_tradnl"/>
        </w:rPr>
        <w:t xml:space="preserve"> y/o la </w:t>
      </w:r>
      <w:r w:rsidRPr="001D47E6">
        <w:rPr>
          <w:rFonts w:ascii="Verdana" w:hAnsi="Verdana" w:eastAsia="Times New Roman" w:cs="Arial"/>
          <w:i/>
          <w:iCs/>
          <w:lang w:eastAsia="es-ES_tradnl"/>
        </w:rPr>
        <w:t xml:space="preserve">calidad y correcto funcionamiento de los bienes, </w:t>
      </w:r>
      <w:r>
        <w:rPr>
          <w:rFonts w:ascii="Verdana" w:hAnsi="Verdana" w:eastAsia="Times New Roman" w:cs="Arial"/>
          <w:lang w:eastAsia="es-ES_tradnl"/>
        </w:rPr>
        <w:t xml:space="preserve">depende de lo determinado por la Entidad Estatal en el marco del ejercicio de planeación expresado dentro de los Documentos del Proceso. De esta manera, en el marco de la autonomía y discrecionalidad que les asiste para desarrollar su actividad contractual, corresponde a cada Entidad Estatal determinar las garantías que les resultan aplicables a cada objeto contractual teniendo en cuenta las particularidades de este, con sujeción a los dispuesto en normas como los artículos </w:t>
      </w:r>
      <w:r w:rsidRPr="00B81287">
        <w:rPr>
          <w:rFonts w:ascii="Verdana" w:hAnsi="Verdana" w:eastAsia="Times New Roman" w:cs="Arial"/>
          <w:lang w:eastAsia="es-ES_tradnl"/>
        </w:rPr>
        <w:t>2.2.1.2.3.1.1</w:t>
      </w:r>
      <w:r>
        <w:rPr>
          <w:rFonts w:ascii="Verdana" w:hAnsi="Verdana" w:eastAsia="Times New Roman" w:cs="Arial"/>
          <w:lang w:eastAsia="es-ES_tradnl"/>
        </w:rPr>
        <w:t>5</w:t>
      </w:r>
      <w:r w:rsidRPr="00B81287">
        <w:rPr>
          <w:rFonts w:ascii="Verdana" w:hAnsi="Verdana" w:eastAsia="Times New Roman" w:cs="Arial"/>
          <w:lang w:eastAsia="es-ES_tradnl"/>
        </w:rPr>
        <w:t>.</w:t>
      </w:r>
      <w:r>
        <w:rPr>
          <w:rFonts w:ascii="Verdana" w:hAnsi="Verdana" w:eastAsia="Times New Roman" w:cs="Arial"/>
          <w:lang w:eastAsia="es-ES_tradnl"/>
        </w:rPr>
        <w:t xml:space="preserve"> y </w:t>
      </w:r>
      <w:r w:rsidRPr="00B81287">
        <w:rPr>
          <w:rFonts w:ascii="Verdana" w:hAnsi="Verdana" w:eastAsia="Times New Roman" w:cs="Arial"/>
          <w:lang w:eastAsia="es-ES_tradnl"/>
        </w:rPr>
        <w:t>2.2.1.2.3.1.16</w:t>
      </w:r>
      <w:r>
        <w:rPr>
          <w:rFonts w:ascii="Verdana" w:hAnsi="Verdana" w:eastAsia="Times New Roman" w:cs="Arial"/>
          <w:lang w:eastAsia="es-ES_tradnl"/>
        </w:rPr>
        <w:t xml:space="preserve"> del Decreto 1082 de 2015. En todo caso, la Entidad Estatal debe establecer de manera clara dentro del pliego de condiciones o documento equivalente las pautas que los oferentes o contratistas deberán seguir para la constitución de las garantías.</w:t>
      </w:r>
    </w:p>
    <w:p w:rsidRPr="001D47E6" w:rsidR="009E14EF" w:rsidP="001D47E6" w:rsidRDefault="00C04DB2" w14:paraId="02661A4B" w14:textId="7443DCED">
      <w:pPr>
        <w:pStyle w:val="Prrafodelista"/>
        <w:tabs>
          <w:tab w:val="left" w:pos="142"/>
          <w:tab w:val="left" w:pos="284"/>
        </w:tabs>
        <w:spacing w:after="0" w:line="276" w:lineRule="auto"/>
        <w:ind w:left="0"/>
        <w:jc w:val="both"/>
        <w:rPr>
          <w:rFonts w:ascii="Verdana" w:hAnsi="Verdana" w:eastAsia="Calibri" w:cs="Arial"/>
          <w:lang w:val="es-ES_tradnl" w:eastAsia="es-ES_tradnl"/>
        </w:rPr>
      </w:pPr>
      <w:r>
        <w:rPr>
          <w:rFonts w:ascii="Verdana" w:hAnsi="Verdana" w:eastAsia="Calibri" w:cs="Arial"/>
          <w:color w:val="000000" w:themeColor="text1"/>
        </w:rPr>
        <w:tab/>
      </w:r>
    </w:p>
    <w:p w:rsidRPr="006723FA" w:rsidR="004F26C6" w:rsidP="004F26C6" w:rsidRDefault="004F26C6" w14:paraId="2B35D51B"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6723FA">
        <w:rPr>
          <w:rFonts w:ascii="Verdana" w:hAnsi="Verdana" w:eastAsia="Century Gothic" w:cs="Century Gothic"/>
          <w:b/>
          <w:bCs/>
        </w:rPr>
        <w:t>Razones de la respuesta:</w:t>
      </w:r>
    </w:p>
    <w:p w:rsidRPr="006723FA" w:rsidR="004F26C6" w:rsidP="004F26C6" w:rsidRDefault="004F26C6" w14:paraId="4B3D32CB" w14:textId="77777777">
      <w:pPr>
        <w:spacing w:after="0" w:line="276" w:lineRule="auto"/>
        <w:jc w:val="both"/>
        <w:rPr>
          <w:rFonts w:ascii="Verdana" w:hAnsi="Verdana" w:eastAsia="Calibri" w:cs="Arial"/>
          <w:lang w:val="es-ES" w:eastAsia="es-ES"/>
        </w:rPr>
      </w:pPr>
    </w:p>
    <w:p w:rsidRPr="006723FA" w:rsidR="004F26C6" w:rsidP="004F26C6" w:rsidRDefault="004F26C6" w14:paraId="05D26240" w14:textId="77777777">
      <w:pPr>
        <w:spacing w:after="0" w:line="276" w:lineRule="auto"/>
        <w:jc w:val="both"/>
        <w:rPr>
          <w:rFonts w:ascii="Verdana" w:hAnsi="Verdana" w:eastAsia="Calibri" w:cs="Arial"/>
          <w:lang w:val="es-ES"/>
        </w:rPr>
      </w:pPr>
      <w:r w:rsidRPr="006723FA">
        <w:rPr>
          <w:rFonts w:ascii="Verdana" w:hAnsi="Verdana" w:eastAsia="Calibri" w:cs="Arial"/>
          <w:lang w:val="es-ES"/>
        </w:rPr>
        <w:t xml:space="preserve">Lo anterior se sustenta en las siguientes consideraciones: </w:t>
      </w:r>
    </w:p>
    <w:p w:rsidR="001813BD" w:rsidP="001D47E6" w:rsidRDefault="001813BD" w14:paraId="58A109E4" w14:textId="77777777">
      <w:pPr>
        <w:spacing w:after="0" w:line="276" w:lineRule="auto"/>
        <w:jc w:val="both"/>
        <w:rPr>
          <w:rFonts w:ascii="Verdana" w:hAnsi="Verdana" w:eastAsia="Calibri" w:cs="Arial"/>
          <w:bCs/>
          <w:color w:val="000000" w:themeColor="text1"/>
          <w:lang w:val="es-ES_tradnl"/>
        </w:rPr>
      </w:pPr>
    </w:p>
    <w:p w:rsidRPr="001D47E6" w:rsidR="001813BD" w:rsidP="71D97D2F" w:rsidRDefault="001813BD" w14:paraId="5A4D9293" w14:textId="44DFCBFA">
      <w:pPr>
        <w:spacing w:line="276" w:lineRule="auto"/>
        <w:jc w:val="both"/>
        <w:rPr>
          <w:rFonts w:ascii="Verdana" w:hAnsi="Verdana" w:eastAsia="Calibri" w:cs="Arial"/>
          <w:color w:val="000000" w:themeColor="text1"/>
          <w:lang w:val="es-ES"/>
        </w:rPr>
      </w:pPr>
      <w:r w:rsidRPr="001D47E6">
        <w:rPr>
          <w:rFonts w:ascii="Verdana" w:hAnsi="Verdana" w:eastAsia="Calibri" w:cs="Arial"/>
          <w:color w:val="000000" w:themeColor="text1"/>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w:t>
      </w:r>
      <w:r w:rsidRPr="001D47E6">
        <w:rPr>
          <w:rStyle w:val="Refdenotaalpie"/>
          <w:rFonts w:ascii="Verdana" w:hAnsi="Verdana" w:cs="Arial"/>
          <w:color w:val="000000" w:themeColor="text1"/>
          <w:lang w:val="es-ES_tradnl"/>
        </w:rPr>
        <w:footnoteReference w:id="3"/>
      </w:r>
      <w:r w:rsidRPr="001D47E6">
        <w:rPr>
          <w:rFonts w:ascii="Verdana" w:hAnsi="Verdana" w:eastAsia="Calibri" w:cs="Arial"/>
          <w:color w:val="000000" w:themeColor="text1"/>
          <w:lang w:val="es-ES"/>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1D47E6">
        <w:rPr>
          <w:rStyle w:val="Refdenotaalpie"/>
          <w:rFonts w:ascii="Verdana" w:hAnsi="Verdana" w:eastAsia="Calibri" w:cs="Arial"/>
          <w:bCs/>
          <w:color w:val="000000" w:themeColor="text1"/>
          <w:lang w:val="es-ES_tradnl"/>
        </w:rPr>
        <w:footnoteReference w:id="4"/>
      </w:r>
      <w:r w:rsidRPr="001D47E6">
        <w:rPr>
          <w:rFonts w:ascii="Verdana" w:hAnsi="Verdana" w:eastAsia="Calibri" w:cs="Arial"/>
          <w:color w:val="000000" w:themeColor="text1"/>
          <w:lang w:val="es-ES"/>
        </w:rPr>
        <w:t>.</w:t>
      </w:r>
    </w:p>
    <w:p w:rsidRPr="001D47E6" w:rsidR="001813BD" w:rsidP="71D97D2F" w:rsidRDefault="001813BD" w14:paraId="6CFD0145" w14:textId="4FAF644D">
      <w:pPr>
        <w:spacing w:before="120" w:after="120" w:line="276" w:lineRule="auto"/>
        <w:ind w:firstLine="709"/>
        <w:jc w:val="both"/>
        <w:rPr>
          <w:rFonts w:ascii="Verdana" w:hAnsi="Verdana" w:eastAsia="Calibri" w:cs="Arial"/>
          <w:color w:val="000000" w:themeColor="text1"/>
          <w:lang w:val="es-ES"/>
        </w:rPr>
      </w:pPr>
      <w:bookmarkStart w:name="_Hlk38819155" w:id="2"/>
      <w:r w:rsidRPr="001D47E6">
        <w:rPr>
          <w:rFonts w:ascii="Verdana" w:hAnsi="Verdana" w:eastAsia="Calibri" w:cs="Arial"/>
          <w:color w:val="000000" w:themeColor="text1"/>
          <w:lang w:val="es-ES"/>
        </w:rPr>
        <w:t xml:space="preserve">El Decreto 092 de 2017 dispone reglas para las contrataciones que realicen las entidades estatales con las ESAL. </w:t>
      </w:r>
      <w:r w:rsidRPr="001D47E6" w:rsidR="00E7586F">
        <w:rPr>
          <w:rFonts w:ascii="Verdana" w:hAnsi="Verdana" w:eastAsia="Calibri" w:cs="Arial"/>
          <w:color w:val="000000" w:themeColor="text1"/>
          <w:lang w:val="es-ES"/>
        </w:rPr>
        <w:t>Para estos efectos</w:t>
      </w:r>
      <w:r w:rsidRPr="001D47E6">
        <w:rPr>
          <w:rFonts w:ascii="Verdana" w:hAnsi="Verdana" w:eastAsia="Calibri" w:cs="Arial"/>
          <w:color w:val="000000" w:themeColor="text1"/>
          <w:lang w:val="es-ES"/>
        </w:rPr>
        <w:t xml:space="preserve"> regula dos (2) eventos: i) los contratos del artículo 355 de la Constitución Política con el fin impulsar programas y actividades de interés público de acuerdo con el Plan Nacional o los planes seccionales de desarrollo; y </w:t>
      </w:r>
      <w:proofErr w:type="spellStart"/>
      <w:r w:rsidRPr="001D47E6">
        <w:rPr>
          <w:rFonts w:ascii="Verdana" w:hAnsi="Verdana" w:eastAsia="Calibri" w:cs="Arial"/>
          <w:color w:val="000000" w:themeColor="text1"/>
          <w:lang w:val="es-ES"/>
        </w:rPr>
        <w:t>ii</w:t>
      </w:r>
      <w:proofErr w:type="spellEnd"/>
      <w:r w:rsidRPr="001D47E6">
        <w:rPr>
          <w:rFonts w:ascii="Verdana" w:hAnsi="Verdana" w:eastAsia="Calibri" w:cs="Arial"/>
          <w:color w:val="000000" w:themeColor="text1"/>
          <w:lang w:val="es-ES"/>
        </w:rPr>
        <w:t xml:space="preserve">) los convenios de asociación, para el desarrollo conjunto de actividades relacionadas con las funciones de las entidades estatales, en desarrollo del artículo 96 de la Ley 489 de 1998. </w:t>
      </w:r>
    </w:p>
    <w:bookmarkEnd w:id="2"/>
    <w:p w:rsidRPr="001D47E6" w:rsidR="001813BD" w:rsidP="71D97D2F" w:rsidRDefault="001813BD" w14:paraId="4126952C" w14:textId="77777777">
      <w:pPr>
        <w:spacing w:before="120" w:after="120" w:line="276" w:lineRule="auto"/>
        <w:ind w:firstLine="709"/>
        <w:jc w:val="both"/>
        <w:rPr>
          <w:rFonts w:ascii="Verdana" w:hAnsi="Verdana" w:eastAsia="Calibri" w:cs="Arial"/>
          <w:color w:val="000000" w:themeColor="text1"/>
          <w:lang w:val="es-ES"/>
        </w:rPr>
      </w:pPr>
      <w:r w:rsidRPr="001D47E6">
        <w:rPr>
          <w:rFonts w:ascii="Verdana" w:hAnsi="Verdana" w:eastAsia="Calibri" w:cs="Arial"/>
          <w:color w:val="000000" w:themeColor="text1"/>
          <w:lang w:val="es-ES"/>
        </w:rPr>
        <w:t xml:space="preserve">Los </w:t>
      </w:r>
      <w:r w:rsidRPr="001D47E6">
        <w:rPr>
          <w:rFonts w:ascii="Verdana" w:hAnsi="Verdana" w:eastAsia="Calibri" w:cs="Arial"/>
          <w:i/>
          <w:iCs/>
          <w:color w:val="000000" w:themeColor="text1"/>
          <w:lang w:val="es-ES"/>
        </w:rPr>
        <w:t>contratos del artículo 355 de la Constitución Política</w:t>
      </w:r>
      <w:r w:rsidRPr="001D47E6">
        <w:rPr>
          <w:rFonts w:ascii="Verdana" w:hAnsi="Verdana" w:eastAsia="Calibri" w:cs="Arial"/>
          <w:color w:val="000000" w:themeColor="text1"/>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 </w:t>
      </w:r>
    </w:p>
    <w:p w:rsidRPr="001D47E6" w:rsidR="001813BD" w:rsidP="001813BD" w:rsidRDefault="001813BD" w14:paraId="0035A26A" w14:textId="75E5BDAD">
      <w:pPr>
        <w:spacing w:before="120" w:after="120" w:line="276" w:lineRule="auto"/>
        <w:ind w:firstLine="709"/>
        <w:jc w:val="both"/>
        <w:rPr>
          <w:rFonts w:ascii="Verdana" w:hAnsi="Verdana" w:eastAsia="Calibri" w:cs="Arial"/>
          <w:color w:val="000000" w:themeColor="text1"/>
          <w:lang w:val="es-ES"/>
        </w:rPr>
      </w:pPr>
      <w:r w:rsidRPr="1A5BE355">
        <w:rPr>
          <w:rFonts w:ascii="Verdana" w:hAnsi="Verdana" w:eastAsia="Calibri" w:cs="Arial"/>
          <w:color w:val="000000" w:themeColor="text1"/>
          <w:lang w:val="es-ES"/>
        </w:rPr>
        <w:t xml:space="preserve">De otro lado, los </w:t>
      </w:r>
      <w:r w:rsidRPr="1A5BE355">
        <w:rPr>
          <w:rFonts w:ascii="Verdana" w:hAnsi="Verdana" w:eastAsia="Calibri" w:cs="Arial"/>
          <w:i/>
          <w:color w:val="000000" w:themeColor="text1"/>
          <w:lang w:val="es-ES"/>
        </w:rPr>
        <w:t>convenios de asociación</w:t>
      </w:r>
      <w:r w:rsidRPr="1A5BE355">
        <w:rPr>
          <w:rFonts w:ascii="Verdana" w:hAnsi="Verdana" w:eastAsia="Calibri" w:cs="Arial"/>
          <w:color w:val="000000" w:themeColor="text1"/>
          <w:lang w:val="es-ES"/>
        </w:rPr>
        <w:t xml:space="preserve"> </w:t>
      </w:r>
      <w:r w:rsidRPr="1A5BE355" w:rsidR="00E7586F">
        <w:rPr>
          <w:rFonts w:ascii="Verdana" w:hAnsi="Verdana" w:eastAsia="Calibri" w:cs="Arial"/>
          <w:color w:val="000000" w:themeColor="text1"/>
          <w:lang w:val="es-ES"/>
        </w:rPr>
        <w:t>“</w:t>
      </w:r>
      <w:r w:rsidRPr="1A5BE355">
        <w:rPr>
          <w:rFonts w:ascii="Verdana" w:hAnsi="Verdana" w:eastAsia="Calibri" w:cs="Arial"/>
          <w:color w:val="000000" w:themeColor="text1"/>
          <w:lang w:val="es-ES"/>
        </w:rPr>
        <w:t>[…] [t]</w:t>
      </w:r>
      <w:proofErr w:type="spellStart"/>
      <w:r w:rsidRPr="1A5BE355">
        <w:rPr>
          <w:rFonts w:ascii="Verdana" w:hAnsi="Verdana" w:eastAsia="Calibri" w:cs="Arial"/>
          <w:color w:val="000000" w:themeColor="text1"/>
          <w:lang w:val="es-ES"/>
        </w:rPr>
        <w:t>ienen</w:t>
      </w:r>
      <w:proofErr w:type="spellEnd"/>
      <w:r w:rsidRPr="1A5BE355">
        <w:rPr>
          <w:rFonts w:ascii="Verdana" w:hAnsi="Verdana" w:eastAsia="Calibri" w:cs="Arial"/>
          <w:color w:val="000000" w:themeColor="text1"/>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1A5BE355" w:rsidR="00E7586F">
        <w:rPr>
          <w:rFonts w:ascii="Verdana" w:hAnsi="Verdana" w:eastAsia="Calibri" w:cs="Arial"/>
          <w:color w:val="000000" w:themeColor="text1"/>
          <w:lang w:val="es-ES"/>
        </w:rPr>
        <w:t>”</w:t>
      </w:r>
      <w:r w:rsidRPr="1A5BE355">
        <w:rPr>
          <w:rStyle w:val="Refdenotaalpie"/>
          <w:rFonts w:ascii="Verdana" w:hAnsi="Verdana" w:cs="Arial"/>
          <w:color w:val="000000" w:themeColor="text1"/>
          <w:lang w:val="es-ES"/>
        </w:rPr>
        <w:footnoteReference w:id="5"/>
      </w:r>
      <w:r w:rsidRPr="1A5BE355">
        <w:rPr>
          <w:rFonts w:ascii="Verdana" w:hAnsi="Verdana" w:eastAsia="Calibri" w:cs="Arial"/>
          <w:color w:val="000000" w:themeColor="text1"/>
          <w:lang w:val="es-ES"/>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1A5BE355">
        <w:rPr>
          <w:rStyle w:val="Refdenotaalpie"/>
          <w:rFonts w:ascii="Verdana" w:hAnsi="Verdana" w:cs="Arial"/>
          <w:color w:val="000000" w:themeColor="text1"/>
          <w:lang w:val="es-ES"/>
        </w:rPr>
        <w:footnoteReference w:id="6"/>
      </w:r>
      <w:r w:rsidRPr="1A5BE355">
        <w:rPr>
          <w:rFonts w:ascii="Verdana" w:hAnsi="Verdana" w:eastAsia="Calibri" w:cs="Arial"/>
          <w:color w:val="000000" w:themeColor="text1"/>
          <w:lang w:val="es-ES"/>
        </w:rPr>
        <w:t>.</w:t>
      </w:r>
    </w:p>
    <w:p w:rsidRPr="001D47E6" w:rsidR="001813BD" w:rsidP="001813BD" w:rsidRDefault="001813BD" w14:paraId="24A45F6D" w14:textId="77777777">
      <w:pPr>
        <w:spacing w:before="120" w:after="120" w:line="276" w:lineRule="auto"/>
        <w:ind w:firstLine="709"/>
        <w:jc w:val="both"/>
        <w:rPr>
          <w:rFonts w:ascii="Verdana" w:hAnsi="Verdana" w:eastAsia="Calibri" w:cs="Arial"/>
          <w:bCs/>
          <w:color w:val="000000" w:themeColor="text1"/>
          <w:lang w:val="es-ES_tradnl"/>
        </w:rPr>
      </w:pPr>
      <w:r w:rsidRPr="001D47E6">
        <w:rPr>
          <w:rFonts w:ascii="Verdana" w:hAnsi="Verdana" w:eastAsia="Calibri" w:cs="Arial"/>
          <w:bCs/>
          <w:color w:val="000000" w:themeColor="text1"/>
          <w:lang w:val="es-ES_tradnl"/>
        </w:rPr>
        <w:t xml:space="preserve">La normativa vigente no impide que varias entidades suscriban conjuntamente el convenio de asociación y tampoco que dos o más ESAL pueden hacerlo, a través de las figuras asociativas autorizadas por la ley, por ejemplo, </w:t>
      </w:r>
      <w:r w:rsidRPr="001D47E6">
        <w:rPr>
          <w:rFonts w:ascii="Verdana" w:hAnsi="Verdana" w:eastAsia="Calibri" w:cs="Arial"/>
          <w:bCs/>
          <w:color w:val="000000" w:themeColor="text1"/>
          <w:lang w:val="es-ES_tradnl"/>
        </w:rPr>
        <w:t>como unión temporal o como consorcio</w:t>
      </w:r>
      <w:r w:rsidRPr="001D47E6">
        <w:rPr>
          <w:rStyle w:val="Refdenotaalpie"/>
          <w:rFonts w:ascii="Verdana" w:hAnsi="Verdana" w:eastAsia="Calibri" w:cs="Arial"/>
          <w:color w:val="000000" w:themeColor="text1"/>
          <w:lang w:val="es-ES_tradnl"/>
        </w:rPr>
        <w:footnoteReference w:id="7"/>
      </w:r>
      <w:r w:rsidRPr="001D47E6">
        <w:rPr>
          <w:rFonts w:ascii="Verdana" w:hAnsi="Verdana" w:eastAsia="Calibri" w:cs="Arial"/>
          <w:bCs/>
          <w:color w:val="000000" w:themeColor="text1"/>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rsidRPr="001D47E6" w:rsidR="001813BD" w:rsidP="001813BD" w:rsidRDefault="001813BD" w14:paraId="50EDA4CD" w14:textId="5ED3FF22">
      <w:pPr>
        <w:spacing w:before="120" w:after="120" w:line="276" w:lineRule="auto"/>
        <w:ind w:firstLine="709"/>
        <w:jc w:val="both"/>
        <w:rPr>
          <w:rFonts w:ascii="Verdana" w:hAnsi="Verdana" w:eastAsia="Calibri" w:cs="Arial"/>
          <w:bCs/>
          <w:color w:val="000000" w:themeColor="text1"/>
          <w:lang w:val="es-ES_tradnl"/>
        </w:rPr>
      </w:pPr>
      <w:r w:rsidRPr="001D47E6">
        <w:rPr>
          <w:rFonts w:ascii="Verdana" w:hAnsi="Verdana" w:eastAsia="Calibri" w:cs="Arial"/>
          <w:bCs/>
          <w:color w:val="000000" w:themeColor="text1"/>
          <w:lang w:val="es-ES_tradnl"/>
        </w:rPr>
        <w:t xml:space="preserve">Igualmente, atendiendo a que los convenios de asociación </w:t>
      </w:r>
      <w:r w:rsidRPr="001D47E6" w:rsidR="00B05B47">
        <w:rPr>
          <w:rFonts w:ascii="Verdana" w:hAnsi="Verdana" w:eastAsia="Calibri" w:cs="Arial"/>
          <w:bCs/>
          <w:color w:val="000000" w:themeColor="text1"/>
          <w:lang w:val="es-ES_tradnl"/>
        </w:rPr>
        <w:t>“</w:t>
      </w:r>
      <w:r w:rsidRPr="001D47E6">
        <w:rPr>
          <w:rFonts w:ascii="Verdana" w:hAnsi="Verdana" w:eastAsia="Calibri" w:cs="Arial"/>
          <w:bCs/>
          <w:color w:val="000000" w:themeColor="text1"/>
          <w:lang w:val="es-ES_tradnl"/>
        </w:rPr>
        <w:t>[…] no estarán sujetos a competencia cuando la entidad sin ánimo de lucro comprometa recursos en dinero para la ejecución de esas actividades en una proporción no inferior al 30% del valor total del convenio</w:t>
      </w:r>
      <w:r w:rsidRPr="001D47E6" w:rsidR="00B05B47">
        <w:rPr>
          <w:rFonts w:ascii="Verdana" w:hAnsi="Verdana" w:eastAsia="Calibri" w:cs="Arial"/>
          <w:bCs/>
          <w:color w:val="000000" w:themeColor="text1"/>
          <w:lang w:val="es-ES_tradnl"/>
        </w:rPr>
        <w:t>”</w:t>
      </w:r>
      <w:r w:rsidRPr="001D47E6">
        <w:rPr>
          <w:rFonts w:ascii="Verdana" w:hAnsi="Verdana" w:eastAsia="Calibri" w:cs="Arial"/>
          <w:bCs/>
          <w:color w:val="000000" w:themeColor="text1"/>
          <w:lang w:val="es-ES_tradnl"/>
        </w:rPr>
        <w:t xml:space="preserve">, las entidades deben asegurarse de que su contratista, es decir, las ESAL, aporte al menos el treinta por ciento del valor del convenio para celebrarlo directamente. Además, en atención al inciso 2 del artículo 5 del Decreto 092 de 2017, deben </w:t>
      </w:r>
      <w:r w:rsidRPr="001D47E6" w:rsidR="00B05B47">
        <w:rPr>
          <w:rFonts w:ascii="Verdana" w:hAnsi="Verdana" w:eastAsia="Calibri" w:cs="Arial"/>
          <w:bCs/>
          <w:i/>
          <w:iCs/>
          <w:color w:val="000000" w:themeColor="text1"/>
          <w:lang w:val="es-ES_tradnl"/>
        </w:rPr>
        <w:t>“</w:t>
      </w:r>
      <w:r w:rsidRPr="001D47E6">
        <w:rPr>
          <w:rFonts w:ascii="Verdana" w:hAnsi="Verdana" w:eastAsia="Calibri" w:cs="Arial"/>
          <w:bCs/>
          <w:i/>
          <w:iCs/>
          <w:color w:val="000000" w:themeColor="text1"/>
          <w:lang w:val="es-ES_tradnl"/>
        </w:rPr>
        <w:t>[…]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r w:rsidRPr="001D47E6" w:rsidR="00B05B47">
        <w:rPr>
          <w:rFonts w:ascii="Verdana" w:hAnsi="Verdana" w:eastAsia="Calibri" w:cs="Arial"/>
          <w:bCs/>
          <w:i/>
          <w:iCs/>
          <w:color w:val="000000" w:themeColor="text1"/>
          <w:lang w:val="es-ES_tradnl"/>
        </w:rPr>
        <w:t>”</w:t>
      </w:r>
      <w:r w:rsidRPr="001D47E6">
        <w:rPr>
          <w:rFonts w:ascii="Verdana" w:hAnsi="Verdana" w:eastAsia="Calibri" w:cs="Arial"/>
          <w:bCs/>
          <w:i/>
          <w:iCs/>
          <w:color w:val="000000" w:themeColor="text1"/>
          <w:lang w:val="es-ES_tradnl"/>
        </w:rPr>
        <w:t>.</w:t>
      </w:r>
    </w:p>
    <w:p w:rsidRPr="006723FA" w:rsidR="009E14EF" w:rsidP="001D47E6" w:rsidRDefault="001813BD" w14:paraId="6E16CCE1" w14:textId="5F955FA3">
      <w:pPr>
        <w:spacing w:before="120" w:line="276" w:lineRule="auto"/>
        <w:ind w:firstLine="709"/>
        <w:jc w:val="both"/>
        <w:rPr>
          <w:rFonts w:ascii="Verdana" w:hAnsi="Verdana"/>
        </w:rPr>
      </w:pPr>
      <w:r w:rsidRPr="001D47E6">
        <w:rPr>
          <w:rFonts w:ascii="Verdana" w:hAnsi="Verdana" w:eastAsia="Calibri" w:cs="Arial"/>
          <w:color w:val="000000" w:themeColor="text1"/>
          <w:lang w:val="es-ES_tradnl"/>
        </w:rPr>
        <w:t>De conformidad con lo anterior</w:t>
      </w:r>
      <w:r w:rsidRPr="00C04DB2" w:rsidR="005C3D45">
        <w:rPr>
          <w:rFonts w:ascii="Verdana" w:hAnsi="Verdana" w:eastAsia="Calibri" w:cs="Arial"/>
          <w:color w:val="000000" w:themeColor="text1"/>
          <w:lang w:val="es-ES_tradnl"/>
        </w:rPr>
        <w:t>,</w:t>
      </w:r>
      <w:r w:rsidRPr="001D47E6">
        <w:rPr>
          <w:rFonts w:ascii="Verdana" w:hAnsi="Verdana" w:eastAsia="Calibri" w:cs="Arial"/>
          <w:color w:val="000000" w:themeColor="text1"/>
          <w:lang w:val="es-ES_tradnl"/>
        </w:rPr>
        <w:t xml:space="preserve"> el citado artículo 355 establece el régimen de </w:t>
      </w:r>
      <w:r w:rsidR="007C01C8">
        <w:rPr>
          <w:rFonts w:ascii="Verdana" w:hAnsi="Verdana" w:eastAsia="Calibri" w:cs="Arial"/>
          <w:color w:val="000000" w:themeColor="text1"/>
          <w:lang w:val="es-ES_tradnl"/>
        </w:rPr>
        <w:t>la</w:t>
      </w:r>
      <w:r w:rsidRPr="001D47E6">
        <w:rPr>
          <w:rFonts w:ascii="Verdana" w:hAnsi="Verdana" w:eastAsia="Calibri" w:cs="Arial"/>
          <w:color w:val="000000" w:themeColor="text1"/>
          <w:lang w:val="es-ES_tradnl"/>
        </w:rPr>
        <w:t xml:space="preserve"> contrat</w:t>
      </w:r>
      <w:r w:rsidRPr="00C04DB2" w:rsidR="00C71085">
        <w:rPr>
          <w:rFonts w:ascii="Verdana" w:hAnsi="Verdana" w:eastAsia="Calibri" w:cs="Arial"/>
          <w:color w:val="000000" w:themeColor="text1"/>
          <w:lang w:val="es-ES_tradnl"/>
        </w:rPr>
        <w:t>ación</w:t>
      </w:r>
      <w:r w:rsidRPr="001D47E6">
        <w:rPr>
          <w:rFonts w:ascii="Verdana" w:hAnsi="Verdana" w:eastAsia="Calibri" w:cs="Arial"/>
          <w:color w:val="000000" w:themeColor="text1"/>
          <w:lang w:val="es-ES_tradnl"/>
        </w:rPr>
        <w:t xml:space="preserve"> con</w:t>
      </w:r>
      <w:r w:rsidRPr="00C04DB2" w:rsidR="00C71085">
        <w:rPr>
          <w:rFonts w:ascii="Verdana" w:hAnsi="Verdana" w:eastAsia="Calibri" w:cs="Arial"/>
          <w:color w:val="000000" w:themeColor="text1"/>
          <w:lang w:val="es-ES_tradnl"/>
        </w:rPr>
        <w:t xml:space="preserve"> </w:t>
      </w:r>
      <w:proofErr w:type="spellStart"/>
      <w:r w:rsidRPr="001D47E6">
        <w:rPr>
          <w:rFonts w:ascii="Verdana" w:hAnsi="Verdana" w:eastAsia="Calibri" w:cs="Arial"/>
          <w:color w:val="000000" w:themeColor="text1"/>
          <w:lang w:val="es-ES_tradnl"/>
        </w:rPr>
        <w:t>ESAL</w:t>
      </w:r>
      <w:r w:rsidRPr="00C04DB2" w:rsidR="00C71085">
        <w:rPr>
          <w:rFonts w:ascii="Verdana" w:hAnsi="Verdana" w:eastAsia="Calibri" w:cs="Arial"/>
          <w:color w:val="000000" w:themeColor="text1"/>
          <w:lang w:val="es-ES_tradnl"/>
        </w:rPr>
        <w:t>ES</w:t>
      </w:r>
      <w:proofErr w:type="spellEnd"/>
      <w:r w:rsidRPr="001D47E6">
        <w:rPr>
          <w:rFonts w:ascii="Verdana" w:hAnsi="Verdana" w:eastAsia="Calibri" w:cs="Arial"/>
          <w:color w:val="000000" w:themeColor="text1"/>
          <w:lang w:val="es-ES_tradnl"/>
        </w:rPr>
        <w:t xml:space="preserve">, el cual –además de extenderse a los </w:t>
      </w:r>
      <w:r w:rsidRPr="001D47E6">
        <w:rPr>
          <w:rFonts w:ascii="Verdana" w:hAnsi="Verdana" w:eastAsia="Calibri" w:cs="Arial"/>
          <w:i/>
          <w:iCs/>
          <w:color w:val="000000" w:themeColor="text1"/>
          <w:lang w:val="es-ES_tradnl"/>
        </w:rPr>
        <w:t>convenios de asociación</w:t>
      </w:r>
      <w:r w:rsidRPr="001D47E6">
        <w:rPr>
          <w:rFonts w:ascii="Verdana" w:hAnsi="Verdana" w:eastAsia="Calibri" w:cs="Arial"/>
          <w:color w:val="000000" w:themeColor="text1"/>
          <w:lang w:val="es-ES_tradnl"/>
        </w:rPr>
        <w:t xml:space="preserve"> en virtud de lo dispuesto en el artículo 96 de la Ley 489 de 1998– se desarrolló a través del Decreto 092 de 2017</w:t>
      </w:r>
      <w:r w:rsidRPr="00C04DB2" w:rsidR="007127FC">
        <w:rPr>
          <w:rFonts w:ascii="Verdana" w:hAnsi="Verdana" w:eastAsia="Calibri" w:cs="Arial"/>
          <w:color w:val="000000" w:themeColor="text1"/>
          <w:lang w:val="es-ES_tradnl"/>
        </w:rPr>
        <w:t xml:space="preserve">. </w:t>
      </w:r>
      <w:r w:rsidRPr="00C04DB2" w:rsidR="006D79FC">
        <w:rPr>
          <w:rFonts w:ascii="Verdana" w:hAnsi="Verdana" w:eastAsia="Calibri" w:cs="Arial"/>
          <w:color w:val="000000" w:themeColor="text1"/>
          <w:lang w:val="es-ES_tradnl"/>
        </w:rPr>
        <w:t>Esta</w:t>
      </w:r>
      <w:r w:rsidRPr="00C04DB2" w:rsidR="00F478C1">
        <w:rPr>
          <w:rFonts w:ascii="Verdana" w:hAnsi="Verdana" w:eastAsia="Calibri" w:cs="Arial"/>
          <w:color w:val="000000" w:themeColor="text1"/>
          <w:lang w:val="es-ES_tradnl"/>
        </w:rPr>
        <w:t xml:space="preserve"> contrat</w:t>
      </w:r>
      <w:r w:rsidRPr="00C04DB2" w:rsidR="00EE044C">
        <w:rPr>
          <w:rFonts w:ascii="Verdana" w:hAnsi="Verdana" w:eastAsia="Calibri" w:cs="Arial"/>
          <w:color w:val="000000" w:themeColor="text1"/>
          <w:lang w:val="es-ES_tradnl"/>
        </w:rPr>
        <w:t>ación</w:t>
      </w:r>
      <w:r w:rsidRPr="00C04DB2" w:rsidR="006D79FC">
        <w:rPr>
          <w:rFonts w:ascii="Verdana" w:hAnsi="Verdana" w:eastAsia="Calibri" w:cs="Arial"/>
          <w:color w:val="000000" w:themeColor="text1"/>
          <w:lang w:val="es-ES_tradnl"/>
        </w:rPr>
        <w:t>,</w:t>
      </w:r>
      <w:r w:rsidRPr="00C04DB2" w:rsidR="00EE044C">
        <w:rPr>
          <w:rFonts w:ascii="Verdana" w:hAnsi="Verdana" w:eastAsia="Calibri" w:cs="Arial"/>
          <w:color w:val="000000" w:themeColor="text1"/>
          <w:lang w:val="es-ES_tradnl"/>
        </w:rPr>
        <w:t xml:space="preserve"> si bien está regulada</w:t>
      </w:r>
      <w:r w:rsidRPr="00C04DB2" w:rsidR="006D79FC">
        <w:rPr>
          <w:rFonts w:ascii="Verdana" w:hAnsi="Verdana" w:eastAsia="Calibri" w:cs="Arial"/>
          <w:color w:val="000000" w:themeColor="text1"/>
          <w:lang w:val="es-ES_tradnl"/>
        </w:rPr>
        <w:t>,</w:t>
      </w:r>
      <w:r w:rsidRPr="00C04DB2" w:rsidR="00EE044C">
        <w:rPr>
          <w:rFonts w:ascii="Verdana" w:hAnsi="Verdana" w:eastAsia="Calibri" w:cs="Arial"/>
          <w:color w:val="000000" w:themeColor="text1"/>
          <w:lang w:val="es-ES_tradnl"/>
        </w:rPr>
        <w:t xml:space="preserve"> principalmente</w:t>
      </w:r>
      <w:r w:rsidRPr="00C04DB2" w:rsidR="006D79FC">
        <w:rPr>
          <w:rFonts w:ascii="Verdana" w:hAnsi="Verdana" w:eastAsia="Calibri" w:cs="Arial"/>
          <w:color w:val="000000" w:themeColor="text1"/>
          <w:lang w:val="es-ES_tradnl"/>
        </w:rPr>
        <w:t>,</w:t>
      </w:r>
      <w:r w:rsidRPr="00C04DB2" w:rsidR="00EE044C">
        <w:rPr>
          <w:rFonts w:ascii="Verdana" w:hAnsi="Verdana" w:eastAsia="Calibri" w:cs="Arial"/>
          <w:color w:val="000000" w:themeColor="text1"/>
          <w:lang w:val="es-ES_tradnl"/>
        </w:rPr>
        <w:t xml:space="preserve"> por dicho decreto autónomo,</w:t>
      </w:r>
      <w:r w:rsidRPr="00C04DB2" w:rsidR="00620DB0">
        <w:rPr>
          <w:rFonts w:ascii="Verdana" w:hAnsi="Verdana" w:eastAsia="Calibri" w:cs="Arial"/>
          <w:color w:val="000000" w:themeColor="text1"/>
          <w:lang w:val="es-ES_tradnl"/>
        </w:rPr>
        <w:t xml:space="preserve"> también </w:t>
      </w:r>
      <w:r w:rsidRPr="00C04DB2" w:rsidR="004012B6">
        <w:rPr>
          <w:rFonts w:ascii="Verdana" w:hAnsi="Verdana" w:eastAsia="Calibri" w:cs="Arial"/>
          <w:color w:val="000000" w:themeColor="text1"/>
          <w:lang w:val="es-ES_tradnl"/>
        </w:rPr>
        <w:t>está</w:t>
      </w:r>
      <w:r w:rsidRPr="00C04DB2" w:rsidR="00620DB0">
        <w:rPr>
          <w:rFonts w:ascii="Verdana" w:hAnsi="Verdana" w:eastAsia="Calibri" w:cs="Arial"/>
          <w:color w:val="000000" w:themeColor="text1"/>
          <w:lang w:val="es-ES_tradnl"/>
        </w:rPr>
        <w:t xml:space="preserve"> </w:t>
      </w:r>
      <w:r w:rsidRPr="00C04DB2" w:rsidR="004012B6">
        <w:rPr>
          <w:rFonts w:ascii="Verdana" w:hAnsi="Verdana" w:eastAsia="Calibri" w:cs="Arial"/>
          <w:color w:val="000000" w:themeColor="text1"/>
          <w:lang w:val="es-ES_tradnl"/>
        </w:rPr>
        <w:t>sometida</w:t>
      </w:r>
      <w:r w:rsidRPr="00C04DB2" w:rsidR="00620DB0">
        <w:rPr>
          <w:rFonts w:ascii="Verdana" w:hAnsi="Verdana" w:eastAsia="Calibri" w:cs="Arial"/>
          <w:color w:val="000000" w:themeColor="text1"/>
          <w:lang w:val="es-ES_tradnl"/>
        </w:rPr>
        <w:t xml:space="preserve"> </w:t>
      </w:r>
      <w:r w:rsidRPr="00C04DB2" w:rsidR="004012B6">
        <w:rPr>
          <w:rFonts w:ascii="Verdana" w:hAnsi="Verdana" w:eastAsia="Calibri" w:cs="Arial"/>
          <w:color w:val="000000" w:themeColor="text1"/>
          <w:lang w:val="es-ES_tradnl"/>
        </w:rPr>
        <w:t>a</w:t>
      </w:r>
      <w:r w:rsidRPr="00C04DB2" w:rsidR="00620DB0">
        <w:rPr>
          <w:rFonts w:ascii="Verdana" w:hAnsi="Verdana" w:eastAsia="Calibri" w:cs="Arial"/>
          <w:color w:val="000000" w:themeColor="text1"/>
          <w:lang w:val="es-ES_tradnl"/>
        </w:rPr>
        <w:t xml:space="preserve"> </w:t>
      </w:r>
      <w:r w:rsidRPr="00C04DB2" w:rsidR="001E2EF6">
        <w:rPr>
          <w:rFonts w:ascii="Verdana" w:hAnsi="Verdana" w:eastAsia="Calibri" w:cs="Arial"/>
          <w:color w:val="000000" w:themeColor="text1"/>
          <w:lang w:val="es-ES_tradnl"/>
        </w:rPr>
        <w:t xml:space="preserve">las </w:t>
      </w:r>
      <w:r w:rsidRPr="001D47E6" w:rsidR="001E2EF6">
        <w:rPr>
          <w:rFonts w:ascii="Verdana" w:hAnsi="Verdana" w:eastAsia="Calibri" w:cs="Arial"/>
          <w:color w:val="000000" w:themeColor="text1"/>
          <w:lang w:val="es-ES_tradnl"/>
        </w:rPr>
        <w:t>prohibiciones, inhabilidades e incompatibilidades establecidas en la Constitución y en las Leyes 80 de 1993, 1150 de 2007 y 1474 de 2011</w:t>
      </w:r>
      <w:r w:rsidRPr="001D47E6" w:rsidR="007C17FA">
        <w:rPr>
          <w:rFonts w:ascii="Verdana" w:hAnsi="Verdana" w:eastAsia="Calibri" w:cs="Arial"/>
          <w:color w:val="000000" w:themeColor="text1"/>
          <w:lang w:val="es-ES_tradnl"/>
        </w:rPr>
        <w:t xml:space="preserve">, según reconoce el </w:t>
      </w:r>
      <w:r w:rsidRPr="001D47E6" w:rsidR="001E2EF6">
        <w:rPr>
          <w:rFonts w:ascii="Verdana" w:hAnsi="Verdana" w:eastAsia="Calibri" w:cs="Arial"/>
          <w:color w:val="000000" w:themeColor="text1"/>
          <w:lang w:val="es-ES_tradnl"/>
        </w:rPr>
        <w:t>art</w:t>
      </w:r>
      <w:r w:rsidRPr="001D47E6" w:rsidR="007C17FA">
        <w:rPr>
          <w:rFonts w:ascii="Verdana" w:hAnsi="Verdana" w:eastAsia="Calibri" w:cs="Arial"/>
          <w:color w:val="000000" w:themeColor="text1"/>
          <w:lang w:val="es-ES_tradnl"/>
        </w:rPr>
        <w:t>ículo 6</w:t>
      </w:r>
      <w:r w:rsidRPr="00C04DB2" w:rsidR="00C71085">
        <w:rPr>
          <w:rFonts w:ascii="Verdana" w:hAnsi="Verdana" w:eastAsia="Calibri" w:cs="Arial"/>
          <w:color w:val="000000" w:themeColor="text1"/>
          <w:lang w:val="es-ES_tradnl"/>
        </w:rPr>
        <w:t xml:space="preserve"> del decreto</w:t>
      </w:r>
      <w:r w:rsidRPr="00C04DB2" w:rsidR="00B93A3B">
        <w:rPr>
          <w:rStyle w:val="Refdenotaalpie"/>
          <w:rFonts w:ascii="Verdana" w:hAnsi="Verdana" w:eastAsia="Calibri" w:cs="Arial"/>
          <w:color w:val="000000" w:themeColor="text1"/>
          <w:lang w:val="es-ES_tradnl"/>
        </w:rPr>
        <w:footnoteReference w:id="8"/>
      </w:r>
      <w:r w:rsidRPr="001D47E6" w:rsidR="007C17FA">
        <w:rPr>
          <w:rFonts w:ascii="Verdana" w:hAnsi="Verdana" w:eastAsia="Calibri" w:cs="Arial"/>
          <w:color w:val="000000" w:themeColor="text1"/>
          <w:lang w:val="es-ES_tradnl"/>
        </w:rPr>
        <w:t xml:space="preserve">, así como </w:t>
      </w:r>
      <w:r w:rsidRPr="00C04DB2" w:rsidR="004012B6">
        <w:rPr>
          <w:rFonts w:ascii="Verdana" w:hAnsi="Verdana" w:eastAsia="Calibri" w:cs="Arial"/>
          <w:color w:val="000000" w:themeColor="text1"/>
          <w:lang w:val="es-ES_tradnl"/>
        </w:rPr>
        <w:t xml:space="preserve">a </w:t>
      </w:r>
      <w:r w:rsidRPr="001D47E6" w:rsidR="007C17FA">
        <w:rPr>
          <w:rFonts w:ascii="Verdana" w:hAnsi="Verdana" w:eastAsia="Calibri" w:cs="Arial"/>
          <w:color w:val="000000" w:themeColor="text1"/>
          <w:lang w:val="es-ES_tradnl"/>
        </w:rPr>
        <w:t>los principios de la contratación estatal y las normas presupuestales</w:t>
      </w:r>
      <w:r w:rsidRPr="001D47E6" w:rsidR="009469D0">
        <w:rPr>
          <w:rFonts w:ascii="Verdana" w:hAnsi="Verdana" w:eastAsia="Calibri" w:cs="Arial"/>
          <w:color w:val="000000" w:themeColor="text1"/>
          <w:lang w:val="es-ES_tradnl"/>
        </w:rPr>
        <w:t xml:space="preserve">, según indica el </w:t>
      </w:r>
      <w:r w:rsidRPr="001D47E6" w:rsidR="00E567DB">
        <w:rPr>
          <w:rFonts w:ascii="Verdana" w:hAnsi="Verdana" w:eastAsia="Calibri" w:cs="Arial"/>
          <w:color w:val="000000" w:themeColor="text1"/>
          <w:lang w:val="es-ES_tradnl"/>
        </w:rPr>
        <w:t>artículo 7</w:t>
      </w:r>
      <w:r w:rsidRPr="00C04DB2" w:rsidR="00B4093D">
        <w:rPr>
          <w:rStyle w:val="Refdenotaalpie"/>
          <w:rFonts w:ascii="Verdana" w:hAnsi="Verdana" w:eastAsia="Calibri" w:cs="Arial"/>
          <w:color w:val="000000" w:themeColor="text1"/>
          <w:lang w:val="es-ES_tradnl"/>
        </w:rPr>
        <w:footnoteReference w:id="9"/>
      </w:r>
      <w:r w:rsidRPr="001D47E6" w:rsidR="00E567DB">
        <w:rPr>
          <w:rFonts w:ascii="Verdana" w:hAnsi="Verdana" w:eastAsia="Calibri" w:cs="Arial"/>
          <w:color w:val="000000" w:themeColor="text1"/>
          <w:lang w:val="es-ES_tradnl"/>
        </w:rPr>
        <w:t>.</w:t>
      </w:r>
      <w:r w:rsidRPr="00C04DB2" w:rsidR="0019739E">
        <w:rPr>
          <w:rFonts w:ascii="Verdana" w:hAnsi="Verdana" w:eastAsia="Calibri" w:cs="Arial"/>
          <w:color w:val="000000" w:themeColor="text1"/>
          <w:lang w:val="es-ES_tradnl"/>
        </w:rPr>
        <w:t xml:space="preserve"> </w:t>
      </w:r>
      <w:r w:rsidRPr="00C04DB2" w:rsidR="00D45EE6">
        <w:rPr>
          <w:rFonts w:ascii="Verdana" w:hAnsi="Verdana" w:eastAsia="Calibri" w:cs="Arial"/>
          <w:color w:val="000000" w:themeColor="text1"/>
          <w:lang w:val="es-ES_tradnl"/>
        </w:rPr>
        <w:t xml:space="preserve">A su vez, </w:t>
      </w:r>
      <w:r w:rsidRPr="00C04DB2" w:rsidR="00B93A3B">
        <w:rPr>
          <w:rFonts w:ascii="Verdana" w:hAnsi="Verdana" w:eastAsia="Calibri" w:cs="Arial"/>
          <w:color w:val="000000" w:themeColor="text1"/>
          <w:lang w:val="es-ES_tradnl"/>
        </w:rPr>
        <w:t xml:space="preserve">el artículo de </w:t>
      </w:r>
      <w:r w:rsidRPr="00C04DB2" w:rsidR="002A36CA">
        <w:rPr>
          <w:rFonts w:ascii="Verdana" w:hAnsi="Verdana" w:eastAsia="Calibri" w:cs="Arial"/>
          <w:color w:val="000000" w:themeColor="text1"/>
          <w:lang w:val="es-ES_tradnl"/>
        </w:rPr>
        <w:t>est</w:t>
      </w:r>
      <w:r w:rsidRPr="00C04DB2" w:rsidR="00131A1D">
        <w:rPr>
          <w:rFonts w:ascii="Verdana" w:hAnsi="Verdana" w:eastAsia="Calibri" w:cs="Arial"/>
          <w:color w:val="000000" w:themeColor="text1"/>
          <w:lang w:val="es-ES_tradnl"/>
        </w:rPr>
        <w:t xml:space="preserve">a normativa integra las disposiciones generales del sistema de compra pública, </w:t>
      </w:r>
      <w:r w:rsidRPr="00C04DB2" w:rsidR="00977CAA">
        <w:rPr>
          <w:rFonts w:ascii="Verdana" w:hAnsi="Verdana" w:eastAsia="Calibri" w:cs="Arial"/>
          <w:color w:val="000000" w:themeColor="text1"/>
          <w:lang w:val="es-ES_tradnl"/>
        </w:rPr>
        <w:t>en lo no regulado por el Decreto 092 de 2017</w:t>
      </w:r>
      <w:r w:rsidRPr="00C04DB2" w:rsidR="00093DD6">
        <w:rPr>
          <w:rStyle w:val="Refdenotaalpie"/>
          <w:rFonts w:ascii="Verdana" w:hAnsi="Verdana" w:eastAsia="Calibri" w:cs="Arial"/>
          <w:color w:val="000000" w:themeColor="text1"/>
          <w:lang w:val="es-ES_tradnl"/>
        </w:rPr>
        <w:footnoteReference w:id="10"/>
      </w:r>
      <w:r w:rsidRPr="00C04DB2" w:rsidR="00B93A3B">
        <w:rPr>
          <w:rFonts w:ascii="Verdana" w:hAnsi="Verdana" w:eastAsia="Calibri" w:cs="Arial"/>
          <w:color w:val="000000" w:themeColor="text1"/>
          <w:lang w:val="es-ES_tradnl"/>
        </w:rPr>
        <w:t xml:space="preserve">. </w:t>
      </w:r>
      <w:r w:rsidRPr="00C04DB2" w:rsidR="00977CAA">
        <w:rPr>
          <w:rFonts w:ascii="Verdana" w:hAnsi="Verdana" w:eastAsia="Calibri" w:cs="Arial"/>
          <w:color w:val="000000" w:themeColor="text1"/>
          <w:lang w:val="es-ES_tradnl"/>
        </w:rPr>
        <w:t xml:space="preserve"> </w:t>
      </w:r>
      <w:r w:rsidRPr="001D47E6">
        <w:rPr>
          <w:rFonts w:ascii="Verdana" w:hAnsi="Verdana" w:eastAsia="Calibri" w:cs="Arial"/>
          <w:color w:val="000000" w:themeColor="text1"/>
          <w:lang w:val="es-ES_tradnl"/>
        </w:rPr>
        <w:t xml:space="preserve">Estas normas </w:t>
      </w:r>
      <w:r w:rsidRPr="001D47E6">
        <w:rPr>
          <w:rFonts w:ascii="Verdana" w:hAnsi="Verdana" w:eastAsia="Calibri" w:cs="Arial"/>
          <w:color w:val="000000" w:themeColor="text1"/>
          <w:lang w:val="es-ES_tradnl"/>
        </w:rPr>
        <w:t xml:space="preserve">integran las lagunas o vacíos normativos del reglamento autónomo, y se aplican a todo lo que no esté expresamente regulado en él. Por ello no es posible aplicar ninguna de las disposiciones anteriormente citadas en temas como la competencia para celebrar los </w:t>
      </w:r>
      <w:r w:rsidRPr="001D47E6">
        <w:rPr>
          <w:rFonts w:ascii="Verdana" w:hAnsi="Verdana" w:eastAsia="Calibri" w:cs="Arial"/>
          <w:i/>
          <w:iCs/>
          <w:color w:val="000000" w:themeColor="text1"/>
          <w:lang w:val="es-ES_tradnl"/>
        </w:rPr>
        <w:t xml:space="preserve">contratos del artículo 355 de la Constitución </w:t>
      </w:r>
      <w:r w:rsidRPr="001D47E6">
        <w:rPr>
          <w:rFonts w:ascii="Verdana" w:hAnsi="Verdana" w:eastAsia="Calibri" w:cs="Arial"/>
          <w:color w:val="000000" w:themeColor="text1"/>
          <w:lang w:val="es-ES_tradnl"/>
        </w:rPr>
        <w:t xml:space="preserve">y la </w:t>
      </w:r>
      <w:proofErr w:type="spellStart"/>
      <w:r w:rsidRPr="001D47E6">
        <w:rPr>
          <w:rFonts w:ascii="Verdana" w:hAnsi="Verdana" w:eastAsia="Calibri" w:cs="Arial"/>
          <w:color w:val="000000" w:themeColor="text1"/>
          <w:lang w:val="es-ES_tradnl"/>
        </w:rPr>
        <w:t>indelegabilidad</w:t>
      </w:r>
      <w:proofErr w:type="spellEnd"/>
      <w:r w:rsidRPr="001D47E6">
        <w:rPr>
          <w:rFonts w:ascii="Verdana" w:hAnsi="Verdana" w:eastAsia="Calibri" w:cs="Arial"/>
          <w:color w:val="000000" w:themeColor="text1"/>
          <w:lang w:val="es-ES_tradnl"/>
        </w:rPr>
        <w:t xml:space="preserve"> de la autorización –art. 2–, la idoneidad de las ESAL –art. 3–, su registro en el SECOP –art. 9– y la inaplicación del registro único de proponentes –art. </w:t>
      </w:r>
    </w:p>
    <w:p w:rsidRPr="006723FA" w:rsidR="004F26C6" w:rsidP="009476C8" w:rsidRDefault="00C04DB2" w14:paraId="5F00FEC6" w14:textId="12BEFEE7">
      <w:pPr>
        <w:spacing w:after="0" w:line="276" w:lineRule="auto"/>
        <w:ind w:firstLine="567"/>
        <w:jc w:val="both"/>
        <w:rPr>
          <w:rFonts w:ascii="Verdana" w:hAnsi="Verdana" w:eastAsia="Calibri" w:cs="Arial"/>
          <w:lang w:val="es-ES" w:eastAsia="es-ES"/>
        </w:rPr>
      </w:pPr>
      <w:bookmarkStart w:name="_Hlk35876968" w:id="3"/>
      <w:r w:rsidRPr="1A5BE355">
        <w:rPr>
          <w:rFonts w:ascii="Verdana" w:hAnsi="Verdana" w:eastAsia="Calibri" w:cs="Arial"/>
          <w:lang w:val="es-ES" w:eastAsia="es-ES"/>
        </w:rPr>
        <w:t xml:space="preserve">Uno de los temas </w:t>
      </w:r>
      <w:r w:rsidRPr="1A5BE355" w:rsidR="00125CEA">
        <w:rPr>
          <w:rFonts w:ascii="Verdana" w:hAnsi="Verdana" w:eastAsia="Calibri" w:cs="Arial"/>
          <w:lang w:val="es-ES" w:eastAsia="es-ES"/>
        </w:rPr>
        <w:t xml:space="preserve">comunes a los contratos estatales respecto de los cuales el Decreto 092 de 2017 guarda silencio es el relativo a las garantías, el cual </w:t>
      </w:r>
      <w:r w:rsidRPr="1A5BE355" w:rsidR="00582A6F">
        <w:rPr>
          <w:rFonts w:ascii="Verdana" w:hAnsi="Verdana" w:eastAsia="Calibri" w:cs="Arial"/>
          <w:lang w:val="es-ES" w:eastAsia="es-ES"/>
        </w:rPr>
        <w:t xml:space="preserve">en virtud de lo dispuesto en el referido artículo 8, supone una </w:t>
      </w:r>
      <w:r w:rsidRPr="1A5BE355" w:rsidR="009476C8">
        <w:rPr>
          <w:rFonts w:ascii="Verdana" w:hAnsi="Verdana" w:eastAsia="Calibri" w:cs="Arial"/>
          <w:lang w:val="es-ES" w:eastAsia="es-ES"/>
        </w:rPr>
        <w:t>incorporación</w:t>
      </w:r>
      <w:r w:rsidRPr="1A5BE355" w:rsidR="00582A6F">
        <w:rPr>
          <w:rFonts w:ascii="Verdana" w:hAnsi="Verdana" w:eastAsia="Calibri" w:cs="Arial"/>
          <w:lang w:val="es-ES" w:eastAsia="es-ES"/>
        </w:rPr>
        <w:t xml:space="preserve"> general del régimen de garantías del Estatuto General de Contratación de la Administración Pública.</w:t>
      </w:r>
      <w:r w:rsidRPr="1A5BE355" w:rsidR="004F26C6">
        <w:rPr>
          <w:rFonts w:ascii="Verdana" w:hAnsi="Verdana" w:eastAsia="Calibri" w:cs="Arial"/>
          <w:lang w:val="es-ES" w:eastAsia="es-ES"/>
        </w:rPr>
        <w:t xml:space="preserve"> </w:t>
      </w:r>
      <w:r w:rsidRPr="1A5BE355" w:rsidR="009476C8">
        <w:rPr>
          <w:rFonts w:ascii="Verdana" w:hAnsi="Verdana" w:eastAsia="Calibri" w:cs="Arial"/>
          <w:lang w:val="es-ES" w:eastAsia="es-ES"/>
        </w:rPr>
        <w:t>Sobre este particular, e</w:t>
      </w:r>
      <w:r w:rsidRPr="1A5BE355" w:rsidR="004F26C6">
        <w:rPr>
          <w:rFonts w:ascii="Verdana" w:hAnsi="Verdana" w:eastAsia="Calibri" w:cs="Arial"/>
          <w:lang w:val="es-ES" w:eastAsia="es-ES"/>
        </w:rPr>
        <w:t>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La citada norma dispone:</w:t>
      </w:r>
    </w:p>
    <w:p w:rsidRPr="006723FA" w:rsidR="004F26C6" w:rsidP="004F26C6" w:rsidRDefault="004F26C6" w14:paraId="443AD67C" w14:textId="77777777">
      <w:pPr>
        <w:spacing w:after="0" w:line="276" w:lineRule="auto"/>
        <w:jc w:val="both"/>
        <w:rPr>
          <w:rFonts w:ascii="Verdana" w:hAnsi="Verdana" w:eastAsia="Calibri" w:cs="Arial"/>
          <w:lang w:val="es-ES_tradnl" w:eastAsia="es-ES_tradnl"/>
        </w:rPr>
      </w:pPr>
    </w:p>
    <w:p w:rsidRPr="006723FA" w:rsidR="004F26C6" w:rsidP="004F26C6" w:rsidRDefault="004F26C6" w14:paraId="204323BF" w14:textId="77777777">
      <w:pPr>
        <w:spacing w:after="0" w:line="240" w:lineRule="auto"/>
        <w:ind w:left="709" w:right="709"/>
        <w:jc w:val="both"/>
        <w:rPr>
          <w:rFonts w:ascii="Verdana" w:hAnsi="Verdana" w:eastAsia="Calibri" w:cs="Arial"/>
          <w:sz w:val="20"/>
          <w:szCs w:val="20"/>
          <w:lang w:val="es-ES_tradnl" w:eastAsia="es-ES_tradnl"/>
        </w:rPr>
      </w:pPr>
      <w:r w:rsidRPr="006723FA">
        <w:rPr>
          <w:rFonts w:ascii="Verdana" w:hAnsi="Verdana" w:eastAsia="Times New Roman" w:cs="Arial"/>
          <w:sz w:val="20"/>
          <w:szCs w:val="20"/>
          <w:lang w:eastAsia="es-CO"/>
        </w:rPr>
        <w:t xml:space="preserve">“Artículo 7. </w:t>
      </w:r>
      <w:r w:rsidRPr="006723FA">
        <w:rPr>
          <w:rFonts w:ascii="Verdana" w:hAnsi="Verdana" w:eastAsia="Calibri" w:cs="Arial"/>
          <w:sz w:val="20"/>
          <w:szCs w:val="20"/>
          <w:lang w:val="es-ES_tradnl" w:eastAsia="es-ES_tradnl"/>
        </w:rPr>
        <w:t xml:space="preserve">Los contratistas prestarán garantía única para el cumplimiento de las obligaciones surgidas del contrato. Los proponentes prestarán garantía de seriedad de los ofrecimientos hechos. </w:t>
      </w:r>
    </w:p>
    <w:p w:rsidRPr="006723FA" w:rsidR="004F26C6" w:rsidP="004F26C6" w:rsidRDefault="004F26C6" w14:paraId="4ABF21EA" w14:textId="77777777">
      <w:pPr>
        <w:spacing w:after="0" w:line="240" w:lineRule="auto"/>
        <w:ind w:left="709" w:right="709"/>
        <w:jc w:val="both"/>
        <w:rPr>
          <w:rFonts w:ascii="Verdana" w:hAnsi="Verdana" w:eastAsia="Calibri" w:cs="Arial"/>
          <w:sz w:val="20"/>
          <w:szCs w:val="20"/>
          <w:lang w:val="es-ES_tradnl" w:eastAsia="es-ES_tradnl"/>
        </w:rPr>
      </w:pPr>
    </w:p>
    <w:p w:rsidRPr="006723FA" w:rsidR="004F26C6" w:rsidP="004F26C6" w:rsidRDefault="004F26C6" w14:paraId="2184EB72" w14:textId="77777777">
      <w:pPr>
        <w:spacing w:after="0" w:line="240" w:lineRule="auto"/>
        <w:ind w:left="709" w:right="709"/>
        <w:jc w:val="both"/>
        <w:rPr>
          <w:rFonts w:ascii="Verdana" w:hAnsi="Verdana" w:eastAsia="Calibri" w:cs="Arial"/>
          <w:sz w:val="20"/>
          <w:szCs w:val="20"/>
          <w:lang w:val="es-ES" w:eastAsia="es-ES"/>
        </w:rPr>
      </w:pPr>
      <w:r w:rsidRPr="006723FA">
        <w:rPr>
          <w:rFonts w:ascii="Verdana" w:hAnsi="Verdana" w:eastAsia="Calibri" w:cs="Arial"/>
          <w:sz w:val="20"/>
          <w:szCs w:val="20"/>
          <w:lang w:val="es-ES" w:eastAsia="es-ES"/>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rsidRPr="006723FA" w:rsidR="004F26C6" w:rsidP="004F26C6" w:rsidRDefault="004F26C6" w14:paraId="03493B4D" w14:textId="77777777">
      <w:pPr>
        <w:spacing w:after="0" w:line="240" w:lineRule="auto"/>
        <w:ind w:left="709" w:right="709"/>
        <w:jc w:val="both"/>
        <w:rPr>
          <w:rFonts w:ascii="Verdana" w:hAnsi="Verdana" w:eastAsia="Calibri" w:cs="Arial"/>
          <w:sz w:val="20"/>
          <w:szCs w:val="20"/>
          <w:lang w:val="es-ES_tradnl" w:eastAsia="es-ES_tradnl"/>
        </w:rPr>
      </w:pPr>
    </w:p>
    <w:p w:rsidRPr="006723FA" w:rsidR="004F26C6" w:rsidP="004F26C6" w:rsidRDefault="004F26C6" w14:paraId="2B74A602" w14:textId="77777777">
      <w:pPr>
        <w:spacing w:after="0" w:line="240" w:lineRule="auto"/>
        <w:ind w:left="709" w:right="709"/>
        <w:jc w:val="both"/>
        <w:rPr>
          <w:rFonts w:ascii="Verdana" w:hAnsi="Verdana" w:eastAsia="Calibri" w:cs="Arial"/>
          <w:sz w:val="20"/>
          <w:szCs w:val="20"/>
          <w:lang w:val="es-ES" w:eastAsia="es-ES"/>
        </w:rPr>
      </w:pPr>
      <w:r w:rsidRPr="006723FA">
        <w:rPr>
          <w:rFonts w:ascii="Verdana" w:hAnsi="Verdana" w:eastAsia="Calibri" w:cs="Arial"/>
          <w:sz w:val="20"/>
          <w:szCs w:val="20"/>
          <w:lang w:val="es-ES" w:eastAsia="es-ES"/>
        </w:rPr>
        <w:t xml:space="preserve">El Gobierno Nacional señalará los criterios que seguirán las entidades para la exigencia de garantías, las clases y niveles de amparo de los riesgos de los contratos, así como los casos en </w:t>
      </w:r>
      <w:proofErr w:type="gramStart"/>
      <w:r w:rsidRPr="006723FA">
        <w:rPr>
          <w:rFonts w:ascii="Verdana" w:hAnsi="Verdana" w:eastAsia="Calibri" w:cs="Arial"/>
          <w:sz w:val="20"/>
          <w:szCs w:val="20"/>
          <w:lang w:val="es-ES" w:eastAsia="es-ES"/>
        </w:rPr>
        <w:t>que</w:t>
      </w:r>
      <w:proofErr w:type="gramEnd"/>
      <w:r w:rsidRPr="006723FA">
        <w:rPr>
          <w:rFonts w:ascii="Verdana" w:hAnsi="Verdana" w:eastAsia="Calibri" w:cs="Arial"/>
          <w:sz w:val="20"/>
          <w:szCs w:val="20"/>
          <w:lang w:val="es-ES" w:eastAsia="es-ES"/>
        </w:rPr>
        <w:t xml:space="preserve"> por las características y complejidad del contrato a celebrar, la garantía pueda ser dividida teniendo en cuenta las etapas o riesgos relativos a la ejecución del respectivo contrato. </w:t>
      </w:r>
    </w:p>
    <w:p w:rsidRPr="006723FA" w:rsidR="004F26C6" w:rsidP="004F26C6" w:rsidRDefault="004F26C6" w14:paraId="35115493" w14:textId="77777777">
      <w:pPr>
        <w:spacing w:after="0" w:line="240" w:lineRule="auto"/>
        <w:ind w:left="709" w:right="709"/>
        <w:jc w:val="both"/>
        <w:rPr>
          <w:rFonts w:ascii="Verdana" w:hAnsi="Verdana" w:eastAsia="Calibri" w:cs="Arial"/>
          <w:sz w:val="20"/>
          <w:szCs w:val="20"/>
          <w:lang w:val="es-ES_tradnl" w:eastAsia="es-ES_tradnl"/>
        </w:rPr>
      </w:pPr>
    </w:p>
    <w:p w:rsidRPr="006723FA" w:rsidR="004F26C6" w:rsidP="004F26C6" w:rsidRDefault="004F26C6" w14:paraId="74E65E92" w14:textId="77777777">
      <w:pPr>
        <w:spacing w:after="0" w:line="240" w:lineRule="auto"/>
        <w:ind w:left="709" w:right="709"/>
        <w:jc w:val="both"/>
        <w:rPr>
          <w:rFonts w:ascii="Verdana" w:hAnsi="Verdana" w:eastAsia="Calibri" w:cs="Arial"/>
          <w:sz w:val="20"/>
          <w:szCs w:val="20"/>
          <w:lang w:val="es-ES_tradnl" w:eastAsia="es-ES_tradnl"/>
        </w:rPr>
      </w:pPr>
      <w:r w:rsidRPr="006723FA">
        <w:rPr>
          <w:rFonts w:ascii="Verdana" w:hAnsi="Verdana" w:eastAsia="Calibri" w:cs="Arial"/>
          <w:sz w:val="20"/>
          <w:szCs w:val="20"/>
          <w:lang w:val="es-ES_tradnl" w:eastAsia="es-ES_tradnl"/>
        </w:rPr>
        <w:t>El acaecimiento del siniestro que amparan las garantías será comunicado por la entidad pública al respectivo asegurador mediante la notificación del acto administrativo que así lo declare.</w:t>
      </w:r>
    </w:p>
    <w:p w:rsidRPr="006723FA" w:rsidR="004F26C6" w:rsidP="004F26C6" w:rsidRDefault="004F26C6" w14:paraId="44C6F8B5" w14:textId="77777777">
      <w:pPr>
        <w:spacing w:after="0" w:line="240" w:lineRule="auto"/>
        <w:ind w:left="709" w:right="709"/>
        <w:jc w:val="both"/>
        <w:rPr>
          <w:rFonts w:ascii="Verdana" w:hAnsi="Verdana" w:eastAsia="Calibri" w:cs="Arial"/>
          <w:sz w:val="20"/>
          <w:szCs w:val="20"/>
          <w:lang w:val="es-ES_tradnl" w:eastAsia="es-ES_tradnl"/>
        </w:rPr>
      </w:pPr>
      <w:r w:rsidRPr="006723FA">
        <w:rPr>
          <w:rFonts w:ascii="Verdana" w:hAnsi="Verdana" w:eastAsia="Calibri" w:cs="Arial"/>
          <w:sz w:val="20"/>
          <w:szCs w:val="20"/>
          <w:lang w:val="es-ES_tradnl" w:eastAsia="es-ES_tradnl"/>
        </w:rPr>
        <w:t xml:space="preserve"> </w:t>
      </w:r>
    </w:p>
    <w:p w:rsidRPr="006723FA" w:rsidR="004F26C6" w:rsidP="004F26C6" w:rsidRDefault="004F26C6" w14:paraId="2040005D" w14:textId="77777777">
      <w:pPr>
        <w:spacing w:after="0" w:line="240" w:lineRule="auto"/>
        <w:ind w:left="709" w:right="709"/>
        <w:jc w:val="both"/>
        <w:rPr>
          <w:rFonts w:ascii="Verdana" w:hAnsi="Verdana" w:eastAsia="Calibri" w:cs="Arial"/>
          <w:sz w:val="20"/>
          <w:szCs w:val="20"/>
          <w:lang w:val="es-ES" w:eastAsia="es-ES"/>
        </w:rPr>
      </w:pPr>
      <w:r w:rsidRPr="006723FA">
        <w:rPr>
          <w:rFonts w:ascii="Verdana" w:hAnsi="Verdana" w:eastAsia="Calibri" w:cs="Arial"/>
          <w:sz w:val="20"/>
          <w:szCs w:val="20"/>
          <w:lang w:val="es-ES" w:eastAsia="es-ES"/>
        </w:rPr>
        <w:t xml:space="preserve">Las garantías no serán obligatorias en los contratos de empréstito, en los interadministrativos, en los de seguro y en los contratos cuyo valor sea </w:t>
      </w:r>
      <w:r w:rsidRPr="006723FA">
        <w:rPr>
          <w:rFonts w:ascii="Verdana" w:hAnsi="Verdana" w:eastAsia="Calibri" w:cs="Arial"/>
          <w:sz w:val="20"/>
          <w:szCs w:val="20"/>
          <w:lang w:val="es-ES" w:eastAsia="es-ES"/>
        </w:rPr>
        <w:t>inferior al 10% de la menor cuantía a que se refiere esta ley, caso en el cual corresponderá a la entidad determinar la necesidad de exigirla, atendiendo a la naturaleza del objeto del contrato y a la forma de pago, así como en los demás que señale el reglamento”.</w:t>
      </w:r>
      <w:bookmarkEnd w:id="3"/>
    </w:p>
    <w:p w:rsidRPr="006723FA" w:rsidR="004F26C6" w:rsidP="004F26C6" w:rsidRDefault="004F26C6" w14:paraId="525AA3A2" w14:textId="77777777">
      <w:pPr>
        <w:spacing w:after="0" w:line="276" w:lineRule="auto"/>
        <w:ind w:left="709" w:right="709"/>
        <w:jc w:val="both"/>
        <w:rPr>
          <w:rFonts w:ascii="Verdana" w:hAnsi="Verdana" w:eastAsia="Calibri" w:cs="Arial"/>
          <w:lang w:val="es-ES_tradnl" w:eastAsia="es-ES_tradnl"/>
        </w:rPr>
      </w:pPr>
    </w:p>
    <w:p w:rsidRPr="006723FA" w:rsidR="004F26C6" w:rsidP="004F26C6" w:rsidRDefault="004F26C6" w14:paraId="7A44725D" w14:textId="77777777">
      <w:pPr>
        <w:spacing w:after="120" w:line="276" w:lineRule="auto"/>
        <w:ind w:firstLine="708"/>
        <w:jc w:val="both"/>
        <w:rPr>
          <w:rFonts w:ascii="Verdana" w:hAnsi="Verdana" w:eastAsia="Times New Roman" w:cs="Arial"/>
          <w:lang w:val="es-MX" w:eastAsia="es-ES_tradnl"/>
        </w:rPr>
      </w:pPr>
      <w:r w:rsidRPr="006723FA">
        <w:rPr>
          <w:rFonts w:ascii="Verdana" w:hAnsi="Verdana" w:eastAsia="Times New Roman" w:cs="Arial"/>
          <w:lang w:val="es-MX" w:eastAsia="es-ES_tradnl"/>
        </w:rPr>
        <w:t xml:space="preserve">Las condiciones en las que debe cumplirse esta obligación fueron reglamentadas por el Decreto 1082 de 2015, el cual entre sus artículos 2.2.1.2.3.1.1. y 2.2.1.2.3.1.19 se refiere a asuntos como las clases de garantías permitidas, la indivisibilidad de estas, los diferentes riesgos que deben ser objeto de cobertura, la vigencia y valores mínimos que deben cubrir los amparos, entre otros aspectos que deben cumplir las garantías constituidas por los contratistas ya sea a través de pólizas de seguro, garantías bancarías o patrimonios autónomos.  </w:t>
      </w:r>
    </w:p>
    <w:p w:rsidRPr="006723FA" w:rsidR="004F26C6" w:rsidP="004F26C6" w:rsidRDefault="004F26C6" w14:paraId="2EE444EF" w14:textId="77777777">
      <w:pPr>
        <w:spacing w:after="120" w:line="276" w:lineRule="auto"/>
        <w:ind w:firstLine="709"/>
        <w:jc w:val="both"/>
        <w:rPr>
          <w:rFonts w:ascii="Verdana" w:hAnsi="Verdana" w:eastAsia="Times New Roman" w:cs="Arial"/>
          <w:lang w:eastAsia="es-ES_tradnl"/>
        </w:rPr>
      </w:pPr>
      <w:r w:rsidRPr="006723FA">
        <w:rPr>
          <w:rFonts w:ascii="Verdana" w:hAnsi="Verdana" w:eastAsia="Calibri" w:cs="Arial"/>
          <w:lang w:val="es-ES_tradnl" w:eastAsia="es-ES_tradnl"/>
        </w:rPr>
        <w:t>De acuerdo a lo expresado anteriormente, l</w:t>
      </w:r>
      <w:r w:rsidRPr="006723FA">
        <w:rPr>
          <w:rFonts w:ascii="Verdana" w:hAnsi="Verdana" w:eastAsia="Times New Roman" w:cs="Arial"/>
          <w:lang w:eastAsia="es-ES_tradnl"/>
        </w:rPr>
        <w:t xml:space="preserve">os proponentes o contratistas, para garantizar el cumplimiento de sus obligaciones frente a Entidades Estatales en materia contractual, pueden otorgar, a su elección, las garantías mediante los siguientes mecanismos de cobertura de los riesgos: i) contratos de seguro, que por su esencia, es el medio más usado </w:t>
      </w:r>
      <w:r w:rsidRPr="006723FA">
        <w:rPr>
          <w:rFonts w:ascii="Verdana" w:hAnsi="Verdana" w:eastAsia="Calibri" w:cs="Arial"/>
          <w:lang w:eastAsia="es-ES_tradnl"/>
        </w:rPr>
        <w:t xml:space="preserve">para amparar los riesgos contractuales; </w:t>
      </w:r>
      <w:proofErr w:type="spellStart"/>
      <w:r w:rsidRPr="006723FA">
        <w:rPr>
          <w:rFonts w:ascii="Verdana" w:hAnsi="Verdana" w:eastAsia="Times New Roman" w:cs="Arial"/>
          <w:lang w:eastAsia="es-ES_tradnl"/>
        </w:rPr>
        <w:t>ii</w:t>
      </w:r>
      <w:proofErr w:type="spellEnd"/>
      <w:r w:rsidRPr="006723FA">
        <w:rPr>
          <w:rFonts w:ascii="Verdana" w:hAnsi="Verdana" w:eastAsia="Times New Roman" w:cs="Arial"/>
          <w:lang w:eastAsia="es-ES_tradnl"/>
        </w:rPr>
        <w:t>) fiducia mercantil de garantía, que 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con la Entidad Estatal beneficiaria</w:t>
      </w:r>
      <w:r w:rsidRPr="006723FA">
        <w:rPr>
          <w:rFonts w:ascii="Verdana" w:hAnsi="Verdana" w:eastAsia="Times New Roman" w:cs="Arial"/>
          <w:vertAlign w:val="superscript"/>
          <w:lang w:eastAsia="es-ES_tradnl"/>
        </w:rPr>
        <w:footnoteReference w:id="11"/>
      </w:r>
      <w:r w:rsidRPr="006723FA">
        <w:rPr>
          <w:rFonts w:ascii="Verdana" w:hAnsi="Verdana" w:eastAsia="Times New Roman" w:cs="Arial"/>
          <w:lang w:eastAsia="es-ES_tradnl"/>
        </w:rPr>
        <w:t xml:space="preserve">; </w:t>
      </w:r>
      <w:proofErr w:type="spellStart"/>
      <w:r w:rsidRPr="006723FA">
        <w:rPr>
          <w:rFonts w:ascii="Verdana" w:hAnsi="Verdana" w:eastAsia="Times New Roman" w:cs="Arial"/>
          <w:lang w:eastAsia="es-ES_tradnl"/>
        </w:rPr>
        <w:t>iii</w:t>
      </w:r>
      <w:proofErr w:type="spellEnd"/>
      <w:r w:rsidRPr="006723FA">
        <w:rPr>
          <w:rFonts w:ascii="Verdana" w:hAnsi="Verdana" w:eastAsia="Times New Roman" w:cs="Arial"/>
          <w:lang w:eastAsia="es-ES_tradnl"/>
        </w:rPr>
        <w:t xml:space="preserve">) garantías bancarias o cartas de crédito </w:t>
      </w:r>
      <w:r w:rsidRPr="006723FA">
        <w:rPr>
          <w:rFonts w:ascii="Verdana" w:hAnsi="Verdana" w:eastAsia="Times New Roman" w:cs="Arial"/>
          <w:i/>
          <w:iCs/>
          <w:lang w:eastAsia="es-ES_tradnl"/>
        </w:rPr>
        <w:t>stand</w:t>
      </w:r>
      <w:r w:rsidRPr="006723FA">
        <w:rPr>
          <w:rFonts w:ascii="Verdana" w:hAnsi="Verdana" w:eastAsia="Times New Roman" w:cs="Arial"/>
          <w:lang w:eastAsia="es-ES_tradnl"/>
        </w:rPr>
        <w:t xml:space="preserve"> </w:t>
      </w:r>
      <w:proofErr w:type="spellStart"/>
      <w:r w:rsidRPr="006723FA">
        <w:rPr>
          <w:rFonts w:ascii="Verdana" w:hAnsi="Verdana" w:eastAsia="Times New Roman" w:cs="Arial"/>
          <w:i/>
          <w:iCs/>
          <w:lang w:eastAsia="es-ES_tradnl"/>
        </w:rPr>
        <w:t>by</w:t>
      </w:r>
      <w:proofErr w:type="spellEnd"/>
      <w:r w:rsidRPr="006723FA">
        <w:rPr>
          <w:rFonts w:ascii="Verdana" w:hAnsi="Verdana" w:eastAsia="Times New Roman" w:cs="Arial"/>
          <w:lang w:eastAsia="es-ES_tradnl"/>
        </w:rPr>
        <w:t>, que consisten en compromisos irrevocables o incondicionales asumidos por una entidad financiera de pagar una suma determinada de dinero</w:t>
      </w:r>
      <w:r w:rsidRPr="006723FA">
        <w:rPr>
          <w:rFonts w:ascii="Verdana" w:hAnsi="Verdana" w:eastAsia="Times New Roman" w:cs="Arial"/>
          <w:vertAlign w:val="superscript"/>
          <w:lang w:eastAsia="es-ES_tradnl"/>
        </w:rPr>
        <w:footnoteReference w:id="12"/>
      </w:r>
      <w:r w:rsidRPr="006723FA">
        <w:rPr>
          <w:rFonts w:ascii="Verdana" w:hAnsi="Verdana" w:eastAsia="Times New Roman" w:cs="Arial"/>
          <w:lang w:eastAsia="es-ES_tradnl"/>
        </w:rPr>
        <w:t xml:space="preserve">. La suficiencia y la vigencia de las garantías deben ser las reguladas en los artículos 2.2.1.2.3.1.9 a 2.2.1.2.3.1.16 del Decreto 1082 de 2015. </w:t>
      </w:r>
    </w:p>
    <w:p w:rsidRPr="008A6D4D" w:rsidR="004F26C6" w:rsidP="004F26C6" w:rsidRDefault="004F26C6" w14:paraId="06355514" w14:textId="39E48E37">
      <w:pPr>
        <w:spacing w:after="120" w:line="276" w:lineRule="auto"/>
        <w:ind w:firstLine="709"/>
        <w:jc w:val="both"/>
        <w:rPr>
          <w:rFonts w:ascii="Verdana" w:hAnsi="Verdana" w:eastAsia="Times New Roman" w:cs="Arial"/>
          <w:lang w:eastAsia="es-ES_tradnl"/>
        </w:rPr>
      </w:pPr>
      <w:r w:rsidRPr="008A6D4D">
        <w:rPr>
          <w:rFonts w:ascii="Verdana" w:hAnsi="Verdana" w:eastAsia="Times New Roman" w:cs="Arial"/>
          <w:lang w:eastAsia="es-ES_tradnl"/>
        </w:rPr>
        <w:t xml:space="preserve">Ahora bien, las garantías cubren ciertos riesgos identificados por las Entidades Estatales. Por ejemplo, en las modalidades de selección de contratación directa y mínima cuantía, así como en la contratación de seguros, la Entidad Estatal debe justificar la necesidad de exigir la constitución de garantías. </w:t>
      </w:r>
      <w:r w:rsidRPr="001D47E6" w:rsidR="003B30BD">
        <w:rPr>
          <w:rFonts w:ascii="Verdana" w:hAnsi="Verdana" w:eastAsia="Times New Roman" w:cs="Arial"/>
          <w:lang w:eastAsia="es-ES_tradnl"/>
        </w:rPr>
        <w:t xml:space="preserve">Con respecto a las demás modalidades de selección, en principio, son obligatorias las garantías de seriedad de la oferta y de cumplimiento. La garantía </w:t>
      </w:r>
      <w:r w:rsidRPr="001D47E6" w:rsidR="003B30BD">
        <w:rPr>
          <w:rFonts w:ascii="Verdana" w:hAnsi="Verdana" w:eastAsia="Times New Roman" w:cs="Arial"/>
          <w:lang w:eastAsia="es-ES_tradnl"/>
        </w:rPr>
        <w:t>de responsabilidad civil extracontractual es obligatoria en los contratos de obra y en aquellos en que por su objeto o naturaleza la Entidad Estatal lo considere necesario.</w:t>
      </w:r>
    </w:p>
    <w:p w:rsidRPr="001737B1" w:rsidR="001737B1" w:rsidP="001737B1" w:rsidRDefault="001737B1" w14:paraId="1CA853DD" w14:textId="28FF1437">
      <w:pPr>
        <w:spacing w:after="120" w:line="276" w:lineRule="auto"/>
        <w:ind w:firstLine="709"/>
        <w:jc w:val="both"/>
        <w:rPr>
          <w:rFonts w:ascii="Verdana" w:hAnsi="Verdana" w:eastAsia="Times New Roman" w:cs="Arial"/>
          <w:lang w:eastAsia="es-ES_tradnl"/>
        </w:rPr>
      </w:pPr>
      <w:r w:rsidRPr="001D47E6">
        <w:rPr>
          <w:rFonts w:ascii="Verdana" w:hAnsi="Verdana" w:eastAsia="Times New Roman" w:cs="Arial"/>
          <w:lang w:eastAsia="es-ES_tradnl"/>
        </w:rPr>
        <w:t>De conformidad con el art</w:t>
      </w:r>
      <w:r w:rsidRPr="001D47E6" w:rsidR="00222CA0">
        <w:rPr>
          <w:rFonts w:ascii="Verdana" w:hAnsi="Verdana" w:eastAsia="Times New Roman" w:cs="Arial"/>
          <w:lang w:eastAsia="es-ES_tradnl"/>
        </w:rPr>
        <w:t>ículo</w:t>
      </w:r>
      <w:r w:rsidRPr="001D47E6">
        <w:rPr>
          <w:rFonts w:ascii="Verdana" w:hAnsi="Verdana" w:eastAsia="Times New Roman" w:cs="Arial"/>
          <w:lang w:eastAsia="es-ES_tradnl"/>
        </w:rPr>
        <w:t> </w:t>
      </w:r>
      <w:bookmarkStart w:name="2.2.1.2.3.1.7" w:id="4"/>
      <w:bookmarkEnd w:id="4"/>
      <w:r w:rsidRPr="001D47E6">
        <w:rPr>
          <w:rFonts w:ascii="Verdana" w:hAnsi="Verdana" w:eastAsia="Times New Roman" w:cs="Arial"/>
          <w:lang w:eastAsia="es-ES_tradnl"/>
        </w:rPr>
        <w:t>2.2.1.2.3.1.7</w:t>
      </w:r>
      <w:r w:rsidRPr="001D47E6" w:rsidR="00222CA0">
        <w:rPr>
          <w:rFonts w:ascii="Verdana" w:hAnsi="Verdana" w:eastAsia="Times New Roman" w:cs="Arial"/>
          <w:lang w:eastAsia="es-ES_tradnl"/>
        </w:rPr>
        <w:t>,</w:t>
      </w:r>
      <w:r w:rsidR="00DD4961">
        <w:rPr>
          <w:rFonts w:ascii="Verdana" w:hAnsi="Verdana" w:eastAsia="Times New Roman" w:cs="Arial"/>
          <w:b/>
          <w:bCs/>
          <w:lang w:eastAsia="es-ES_tradnl"/>
        </w:rPr>
        <w:t xml:space="preserve"> </w:t>
      </w:r>
      <w:r w:rsidR="00222CA0">
        <w:rPr>
          <w:rFonts w:ascii="Verdana" w:hAnsi="Verdana" w:eastAsia="Times New Roman" w:cs="Arial"/>
          <w:lang w:eastAsia="es-ES_tradnl"/>
        </w:rPr>
        <w:t>l</w:t>
      </w:r>
      <w:r w:rsidRPr="001737B1">
        <w:rPr>
          <w:rFonts w:ascii="Verdana" w:hAnsi="Verdana" w:eastAsia="Times New Roman" w:cs="Arial"/>
          <w:lang w:eastAsia="es-ES_tradnl"/>
        </w:rPr>
        <w:t>a garantía</w:t>
      </w:r>
      <w:r w:rsidR="009D2CD6">
        <w:rPr>
          <w:rFonts w:ascii="Verdana" w:hAnsi="Verdana" w:eastAsia="Times New Roman" w:cs="Arial"/>
          <w:lang w:eastAsia="es-ES_tradnl"/>
        </w:rPr>
        <w:t xml:space="preserve"> única</w:t>
      </w:r>
      <w:r w:rsidRPr="001737B1">
        <w:rPr>
          <w:rFonts w:ascii="Verdana" w:hAnsi="Verdana" w:eastAsia="Times New Roman" w:cs="Arial"/>
          <w:lang w:eastAsia="es-ES_tradnl"/>
        </w:rPr>
        <w:t xml:space="preserve"> de cumplimiento del contrato debe cubri</w:t>
      </w:r>
      <w:r w:rsidR="009D2CD6">
        <w:rPr>
          <w:rFonts w:ascii="Verdana" w:hAnsi="Verdana" w:eastAsia="Times New Roman" w:cs="Arial"/>
          <w:lang w:eastAsia="es-ES_tradnl"/>
        </w:rPr>
        <w:t xml:space="preserve">r los siguientes componentes: i) </w:t>
      </w:r>
      <w:bookmarkStart w:name="2.2.1.2.3.1.7.1" w:id="5"/>
      <w:bookmarkEnd w:id="5"/>
      <w:r w:rsidRPr="001737B1">
        <w:rPr>
          <w:rFonts w:ascii="Verdana" w:hAnsi="Verdana" w:eastAsia="Times New Roman" w:cs="Arial"/>
          <w:lang w:eastAsia="es-ES_tradnl"/>
        </w:rPr>
        <w:t>Buen manejo y correcta inversión del anticipo. Este amparo cubre los perjuicios sufridos por la Entidad Estatal con ocasión de: (</w:t>
      </w:r>
      <w:r w:rsidR="009D2CD6">
        <w:rPr>
          <w:rFonts w:ascii="Verdana" w:hAnsi="Verdana" w:eastAsia="Times New Roman" w:cs="Arial"/>
          <w:lang w:eastAsia="es-ES_tradnl"/>
        </w:rPr>
        <w:t>a</w:t>
      </w:r>
      <w:r w:rsidRPr="001737B1">
        <w:rPr>
          <w:rFonts w:ascii="Verdana" w:hAnsi="Verdana" w:eastAsia="Times New Roman" w:cs="Arial"/>
          <w:lang w:eastAsia="es-ES_tradnl"/>
        </w:rPr>
        <w:t>) la no inversión del anticipo; (</w:t>
      </w:r>
      <w:r w:rsidR="009D2CD6">
        <w:rPr>
          <w:rFonts w:ascii="Verdana" w:hAnsi="Verdana" w:eastAsia="Times New Roman" w:cs="Arial"/>
          <w:lang w:eastAsia="es-ES_tradnl"/>
        </w:rPr>
        <w:t>b</w:t>
      </w:r>
      <w:r w:rsidRPr="001737B1">
        <w:rPr>
          <w:rFonts w:ascii="Verdana" w:hAnsi="Verdana" w:eastAsia="Times New Roman" w:cs="Arial"/>
          <w:lang w:eastAsia="es-ES_tradnl"/>
        </w:rPr>
        <w:t>) el uso indebido del anticipo; y (</w:t>
      </w:r>
      <w:r w:rsidR="009D2CD6">
        <w:rPr>
          <w:rFonts w:ascii="Verdana" w:hAnsi="Verdana" w:eastAsia="Times New Roman" w:cs="Arial"/>
          <w:lang w:eastAsia="es-ES_tradnl"/>
        </w:rPr>
        <w:t>c</w:t>
      </w:r>
      <w:r w:rsidRPr="001737B1">
        <w:rPr>
          <w:rFonts w:ascii="Verdana" w:hAnsi="Verdana" w:eastAsia="Times New Roman" w:cs="Arial"/>
          <w:lang w:eastAsia="es-ES_tradnl"/>
        </w:rPr>
        <w:t>) la apropiación indebida de los recursos recibidos en calidad de anticipo</w:t>
      </w:r>
      <w:r w:rsidR="009D2CD6">
        <w:rPr>
          <w:rFonts w:ascii="Verdana" w:hAnsi="Verdana" w:eastAsia="Times New Roman" w:cs="Arial"/>
          <w:lang w:eastAsia="es-ES_tradnl"/>
        </w:rPr>
        <w:t xml:space="preserve">; </w:t>
      </w:r>
      <w:proofErr w:type="spellStart"/>
      <w:r w:rsidR="009D2CD6">
        <w:rPr>
          <w:rFonts w:ascii="Verdana" w:hAnsi="Verdana" w:eastAsia="Times New Roman" w:cs="Arial"/>
          <w:lang w:eastAsia="es-ES_tradnl"/>
        </w:rPr>
        <w:t>ii</w:t>
      </w:r>
      <w:proofErr w:type="spellEnd"/>
      <w:r w:rsidR="009D2CD6">
        <w:rPr>
          <w:rFonts w:ascii="Verdana" w:hAnsi="Verdana" w:eastAsia="Times New Roman" w:cs="Arial"/>
          <w:lang w:eastAsia="es-ES_tradnl"/>
        </w:rPr>
        <w:t xml:space="preserve">) </w:t>
      </w:r>
      <w:bookmarkStart w:name="2.2.1.2.3.1.7.2" w:id="6"/>
      <w:bookmarkEnd w:id="6"/>
      <w:r w:rsidR="00DF545E">
        <w:rPr>
          <w:rFonts w:ascii="Verdana" w:hAnsi="Verdana" w:eastAsia="Times New Roman" w:cs="Arial"/>
          <w:lang w:eastAsia="es-ES_tradnl"/>
        </w:rPr>
        <w:t>d</w:t>
      </w:r>
      <w:r w:rsidRPr="001737B1">
        <w:rPr>
          <w:rFonts w:ascii="Verdana" w:hAnsi="Verdana" w:eastAsia="Times New Roman" w:cs="Arial"/>
          <w:lang w:eastAsia="es-ES_tradnl"/>
        </w:rPr>
        <w:t>evolución del pago anticipado</w:t>
      </w:r>
      <w:r w:rsidR="005F5B38">
        <w:rPr>
          <w:rFonts w:ascii="Verdana" w:hAnsi="Verdana" w:eastAsia="Times New Roman" w:cs="Arial"/>
          <w:lang w:eastAsia="es-ES_tradnl"/>
        </w:rPr>
        <w:t xml:space="preserve">; </w:t>
      </w:r>
      <w:proofErr w:type="spellStart"/>
      <w:r w:rsidR="005F5B38">
        <w:rPr>
          <w:rFonts w:ascii="Verdana" w:hAnsi="Verdana" w:eastAsia="Times New Roman" w:cs="Arial"/>
          <w:lang w:eastAsia="es-ES_tradnl"/>
        </w:rPr>
        <w:t>iii</w:t>
      </w:r>
      <w:proofErr w:type="spellEnd"/>
      <w:r w:rsidR="005F5B38">
        <w:rPr>
          <w:rFonts w:ascii="Verdana" w:hAnsi="Verdana" w:eastAsia="Times New Roman" w:cs="Arial"/>
          <w:lang w:eastAsia="es-ES_tradnl"/>
        </w:rPr>
        <w:t xml:space="preserve">) </w:t>
      </w:r>
      <w:bookmarkStart w:name="2.2.1.2.3.1.7.3" w:id="7"/>
      <w:bookmarkEnd w:id="7"/>
      <w:r w:rsidRPr="001737B1">
        <w:rPr>
          <w:rFonts w:ascii="Verdana" w:hAnsi="Verdana" w:eastAsia="Times New Roman" w:cs="Arial"/>
          <w:lang w:eastAsia="es-ES_tradnl"/>
        </w:rPr>
        <w:t>Cumplimiento del contrato</w:t>
      </w:r>
      <w:r w:rsidR="005F5B38">
        <w:rPr>
          <w:rFonts w:ascii="Verdana" w:hAnsi="Verdana" w:eastAsia="Times New Roman" w:cs="Arial"/>
          <w:lang w:eastAsia="es-ES_tradnl"/>
        </w:rPr>
        <w:t>,</w:t>
      </w:r>
      <w:r w:rsidRPr="001737B1">
        <w:rPr>
          <w:rFonts w:ascii="Verdana" w:hAnsi="Verdana" w:eastAsia="Times New Roman" w:cs="Arial"/>
          <w:lang w:eastAsia="es-ES_tradnl"/>
        </w:rPr>
        <w:t xml:space="preserve"> amparo cubre a la Entidad Estatal de los perjuicios derivados de:</w:t>
      </w:r>
      <w:bookmarkStart w:name="2.2.1.2.3.1.7.3.1" w:id="8"/>
      <w:bookmarkEnd w:id="8"/>
      <w:r w:rsidR="005F5B38">
        <w:rPr>
          <w:rFonts w:ascii="Verdana" w:hAnsi="Verdana" w:eastAsia="Times New Roman" w:cs="Arial"/>
          <w:lang w:eastAsia="es-ES_tradnl"/>
        </w:rPr>
        <w:t xml:space="preserve"> </w:t>
      </w:r>
      <w:r w:rsidR="007E00A4">
        <w:rPr>
          <w:rFonts w:ascii="Verdana" w:hAnsi="Verdana" w:eastAsia="Times New Roman" w:cs="Arial"/>
          <w:lang w:eastAsia="es-ES_tradnl"/>
        </w:rPr>
        <w:t xml:space="preserve">(a) </w:t>
      </w:r>
      <w:r w:rsidRPr="001737B1">
        <w:rPr>
          <w:rFonts w:ascii="Verdana" w:hAnsi="Verdana" w:eastAsia="Times New Roman" w:cs="Arial"/>
          <w:lang w:eastAsia="es-ES_tradnl"/>
        </w:rPr>
        <w:t>El incumplimiento total o parcial del contrato, cuando el incumplimiento es imputable al contratista;</w:t>
      </w:r>
      <w:r w:rsidR="008D453F">
        <w:rPr>
          <w:rFonts w:ascii="Verdana" w:hAnsi="Verdana" w:eastAsia="Times New Roman" w:cs="Arial"/>
          <w:lang w:eastAsia="es-ES_tradnl"/>
        </w:rPr>
        <w:t xml:space="preserve"> </w:t>
      </w:r>
      <w:bookmarkStart w:name="2.2.1.2.3.1.7.3.2" w:id="9"/>
      <w:bookmarkEnd w:id="9"/>
      <w:r w:rsidR="008D453F">
        <w:rPr>
          <w:rFonts w:ascii="Verdana" w:hAnsi="Verdana" w:eastAsia="Times New Roman" w:cs="Arial"/>
          <w:lang w:eastAsia="es-ES_tradnl"/>
        </w:rPr>
        <w:t>(b)</w:t>
      </w:r>
      <w:r w:rsidRPr="001737B1">
        <w:rPr>
          <w:rFonts w:ascii="Verdana" w:hAnsi="Verdana" w:eastAsia="Times New Roman" w:cs="Arial"/>
          <w:lang w:eastAsia="es-ES_tradnl"/>
        </w:rPr>
        <w:t xml:space="preserve"> </w:t>
      </w:r>
      <w:r w:rsidR="008D453F">
        <w:rPr>
          <w:rFonts w:ascii="Verdana" w:hAnsi="Verdana" w:eastAsia="Times New Roman" w:cs="Arial"/>
          <w:lang w:eastAsia="es-ES_tradnl"/>
        </w:rPr>
        <w:t>e</w:t>
      </w:r>
      <w:r w:rsidRPr="001737B1">
        <w:rPr>
          <w:rFonts w:ascii="Verdana" w:hAnsi="Verdana" w:eastAsia="Times New Roman" w:cs="Arial"/>
          <w:lang w:eastAsia="es-ES_tradnl"/>
        </w:rPr>
        <w:t>l cumplimiento tardío o defectuoso del contrato,</w:t>
      </w:r>
      <w:r w:rsidR="008D453F">
        <w:rPr>
          <w:rFonts w:ascii="Verdana" w:hAnsi="Verdana" w:eastAsia="Times New Roman" w:cs="Arial"/>
          <w:lang w:eastAsia="es-ES_tradnl"/>
        </w:rPr>
        <w:t xml:space="preserve"> (c) </w:t>
      </w:r>
      <w:bookmarkStart w:name="2.2.1.2.3.1.7.3.3" w:id="10"/>
      <w:bookmarkEnd w:id="10"/>
      <w:r w:rsidRPr="001737B1">
        <w:rPr>
          <w:rFonts w:ascii="Verdana" w:hAnsi="Verdana" w:eastAsia="Times New Roman" w:cs="Arial"/>
          <w:lang w:eastAsia="es-ES_tradnl"/>
        </w:rPr>
        <w:t xml:space="preserve">Los daños imputables al contratista por entregas parciales de la obra, cuando el contrato no prevé entregas parciales; </w:t>
      </w:r>
      <w:r w:rsidR="000F5C59">
        <w:rPr>
          <w:rFonts w:ascii="Verdana" w:hAnsi="Verdana" w:eastAsia="Times New Roman" w:cs="Arial"/>
          <w:lang w:eastAsia="es-ES_tradnl"/>
        </w:rPr>
        <w:t>(d)</w:t>
      </w:r>
      <w:bookmarkStart w:name="2.2.1.2.3.1.7.3.4" w:id="11"/>
      <w:bookmarkEnd w:id="11"/>
      <w:r w:rsidR="000F5C59">
        <w:rPr>
          <w:rFonts w:ascii="Verdana" w:hAnsi="Verdana" w:eastAsia="Times New Roman" w:cs="Arial"/>
          <w:lang w:eastAsia="es-ES_tradnl"/>
        </w:rPr>
        <w:t xml:space="preserve"> e</w:t>
      </w:r>
      <w:r w:rsidRPr="001737B1">
        <w:rPr>
          <w:rFonts w:ascii="Verdana" w:hAnsi="Verdana" w:eastAsia="Times New Roman" w:cs="Arial"/>
          <w:lang w:eastAsia="es-ES_tradnl"/>
        </w:rPr>
        <w:t>l pago del valor de las multas y de la cláusula penal pecuniaria</w:t>
      </w:r>
      <w:r w:rsidR="000F5C59">
        <w:rPr>
          <w:rFonts w:ascii="Verdana" w:hAnsi="Verdana" w:eastAsia="Times New Roman" w:cs="Arial"/>
          <w:lang w:eastAsia="es-ES_tradnl"/>
        </w:rPr>
        <w:t xml:space="preserve">; </w:t>
      </w:r>
      <w:proofErr w:type="spellStart"/>
      <w:r w:rsidR="000F5C59">
        <w:rPr>
          <w:rFonts w:ascii="Verdana" w:hAnsi="Verdana" w:eastAsia="Times New Roman" w:cs="Arial"/>
          <w:lang w:eastAsia="es-ES_tradnl"/>
        </w:rPr>
        <w:t>iv</w:t>
      </w:r>
      <w:proofErr w:type="spellEnd"/>
      <w:r w:rsidR="000F5C59">
        <w:rPr>
          <w:rFonts w:ascii="Verdana" w:hAnsi="Verdana" w:eastAsia="Times New Roman" w:cs="Arial"/>
          <w:lang w:eastAsia="es-ES_tradnl"/>
        </w:rPr>
        <w:t xml:space="preserve">) </w:t>
      </w:r>
      <w:bookmarkStart w:name="2.2.1.2.3.1.7.4" w:id="12"/>
      <w:bookmarkEnd w:id="12"/>
      <w:r w:rsidR="000F5C59">
        <w:rPr>
          <w:rFonts w:ascii="Verdana" w:hAnsi="Verdana" w:eastAsia="Times New Roman" w:cs="Arial"/>
          <w:lang w:eastAsia="es-ES_tradnl"/>
        </w:rPr>
        <w:t>p</w:t>
      </w:r>
      <w:r w:rsidRPr="001737B1">
        <w:rPr>
          <w:rFonts w:ascii="Verdana" w:hAnsi="Verdana" w:eastAsia="Times New Roman" w:cs="Arial"/>
          <w:lang w:eastAsia="es-ES_tradnl"/>
        </w:rPr>
        <w:t>ago de salarios, prestaciones sociales legales e indemnizaciones laborales</w:t>
      </w:r>
      <w:r w:rsidR="000F5C59">
        <w:rPr>
          <w:rFonts w:ascii="Verdana" w:hAnsi="Verdana" w:eastAsia="Times New Roman" w:cs="Arial"/>
          <w:lang w:eastAsia="es-ES_tradnl"/>
        </w:rPr>
        <w:t>; v)</w:t>
      </w:r>
      <w:bookmarkStart w:name="2.2.1.2.3.1.7.5" w:id="13"/>
      <w:bookmarkEnd w:id="13"/>
      <w:r w:rsidR="000F5C59">
        <w:rPr>
          <w:rFonts w:ascii="Verdana" w:hAnsi="Verdana" w:eastAsia="Times New Roman" w:cs="Arial"/>
          <w:lang w:eastAsia="es-ES_tradnl"/>
        </w:rPr>
        <w:t xml:space="preserve"> e</w:t>
      </w:r>
      <w:r w:rsidRPr="001737B1">
        <w:rPr>
          <w:rFonts w:ascii="Verdana" w:hAnsi="Verdana" w:eastAsia="Times New Roman" w:cs="Arial"/>
          <w:lang w:eastAsia="es-ES_tradnl"/>
        </w:rPr>
        <w:t>stabilidad y calidad de la obra</w:t>
      </w:r>
      <w:r w:rsidR="000F5C59">
        <w:rPr>
          <w:rFonts w:ascii="Verdana" w:hAnsi="Verdana" w:eastAsia="Times New Roman" w:cs="Arial"/>
          <w:lang w:eastAsia="es-ES_tradnl"/>
        </w:rPr>
        <w:t>; vi)</w:t>
      </w:r>
      <w:bookmarkStart w:name="2.2.1.2.3.1.7.6" w:id="14"/>
      <w:bookmarkEnd w:id="14"/>
      <w:r w:rsidRPr="001737B1">
        <w:rPr>
          <w:rFonts w:ascii="Verdana" w:hAnsi="Verdana" w:eastAsia="Times New Roman" w:cs="Arial"/>
          <w:lang w:eastAsia="es-ES_tradnl"/>
        </w:rPr>
        <w:t xml:space="preserve"> </w:t>
      </w:r>
      <w:r w:rsidR="00DD4961">
        <w:rPr>
          <w:rFonts w:ascii="Verdana" w:hAnsi="Verdana" w:eastAsia="Times New Roman" w:cs="Arial"/>
          <w:lang w:eastAsia="es-ES_tradnl"/>
        </w:rPr>
        <w:t>c</w:t>
      </w:r>
      <w:r w:rsidRPr="001737B1">
        <w:rPr>
          <w:rFonts w:ascii="Verdana" w:hAnsi="Verdana" w:eastAsia="Times New Roman" w:cs="Arial"/>
          <w:lang w:eastAsia="es-ES_tradnl"/>
        </w:rPr>
        <w:t>alidad del servicio</w:t>
      </w:r>
      <w:r w:rsidR="000F5C59">
        <w:rPr>
          <w:rFonts w:ascii="Verdana" w:hAnsi="Verdana" w:eastAsia="Times New Roman" w:cs="Arial"/>
          <w:lang w:eastAsia="es-ES_tradnl"/>
        </w:rPr>
        <w:t xml:space="preserve">; </w:t>
      </w:r>
      <w:bookmarkStart w:name="2.2.1.2.3.1.7.7" w:id="15"/>
      <w:bookmarkEnd w:id="15"/>
      <w:proofErr w:type="spellStart"/>
      <w:r w:rsidR="00DD4961">
        <w:rPr>
          <w:rFonts w:ascii="Verdana" w:hAnsi="Verdana" w:eastAsia="Times New Roman" w:cs="Arial"/>
          <w:lang w:eastAsia="es-ES_tradnl"/>
        </w:rPr>
        <w:t>vii</w:t>
      </w:r>
      <w:proofErr w:type="spellEnd"/>
      <w:r w:rsidR="00DD4961">
        <w:rPr>
          <w:rFonts w:ascii="Verdana" w:hAnsi="Verdana" w:eastAsia="Times New Roman" w:cs="Arial"/>
          <w:lang w:eastAsia="es-ES_tradnl"/>
        </w:rPr>
        <w:t>) c</w:t>
      </w:r>
      <w:r w:rsidRPr="001737B1">
        <w:rPr>
          <w:rFonts w:ascii="Verdana" w:hAnsi="Verdana" w:eastAsia="Times New Roman" w:cs="Arial"/>
          <w:lang w:eastAsia="es-ES_tradnl"/>
        </w:rPr>
        <w:t>alidad y correcto funcionamiento de los bienes</w:t>
      </w:r>
      <w:r w:rsidR="00DD4961">
        <w:rPr>
          <w:rFonts w:ascii="Verdana" w:hAnsi="Verdana" w:eastAsia="Times New Roman" w:cs="Arial"/>
          <w:lang w:eastAsia="es-ES_tradnl"/>
        </w:rPr>
        <w:t xml:space="preserve">; y </w:t>
      </w:r>
      <w:proofErr w:type="spellStart"/>
      <w:r w:rsidR="00DD4961">
        <w:rPr>
          <w:rFonts w:ascii="Verdana" w:hAnsi="Verdana" w:eastAsia="Times New Roman" w:cs="Arial"/>
          <w:lang w:eastAsia="es-ES_tradnl"/>
        </w:rPr>
        <w:t>viii</w:t>
      </w:r>
      <w:proofErr w:type="spellEnd"/>
      <w:r w:rsidR="00DD4961">
        <w:rPr>
          <w:rFonts w:ascii="Verdana" w:hAnsi="Verdana" w:eastAsia="Times New Roman" w:cs="Arial"/>
          <w:lang w:eastAsia="es-ES_tradnl"/>
        </w:rPr>
        <w:t xml:space="preserve">) </w:t>
      </w:r>
      <w:bookmarkStart w:name="2.2.1.2.3.1.7.8" w:id="16"/>
      <w:bookmarkEnd w:id="16"/>
      <w:r w:rsidR="00DD4961">
        <w:rPr>
          <w:rFonts w:ascii="Verdana" w:hAnsi="Verdana" w:eastAsia="Times New Roman" w:cs="Arial"/>
          <w:lang w:eastAsia="es-ES_tradnl"/>
        </w:rPr>
        <w:t>l</w:t>
      </w:r>
      <w:r w:rsidRPr="001737B1">
        <w:rPr>
          <w:rFonts w:ascii="Verdana" w:hAnsi="Verdana" w:eastAsia="Times New Roman" w:cs="Arial"/>
          <w:lang w:eastAsia="es-ES_tradnl"/>
        </w:rPr>
        <w:t>os demás incumplimientos de obligaciones que la Entidad Estatal considere deben ser amparados de manera proporcional y acorde a la naturaleza del contrato.</w:t>
      </w:r>
    </w:p>
    <w:p w:rsidR="00EF6BCE" w:rsidP="00EF6BCE" w:rsidRDefault="009F5C7D" w14:paraId="2A7C8482" w14:textId="6C022068">
      <w:pPr>
        <w:spacing w:after="120" w:line="276" w:lineRule="auto"/>
        <w:ind w:firstLine="709"/>
        <w:jc w:val="both"/>
        <w:rPr>
          <w:rFonts w:ascii="Verdana" w:hAnsi="Verdana" w:eastAsia="Times New Roman" w:cs="Arial"/>
          <w:lang w:eastAsia="es-ES_tradnl"/>
        </w:rPr>
      </w:pPr>
      <w:r>
        <w:rPr>
          <w:rFonts w:ascii="Verdana" w:hAnsi="Verdana" w:eastAsia="Times New Roman" w:cs="Arial"/>
          <w:lang w:eastAsia="es-ES_tradnl"/>
        </w:rPr>
        <w:t>Para responder a su consulta, es preciso indicar qu</w:t>
      </w:r>
      <w:r w:rsidR="007F7B6C">
        <w:rPr>
          <w:rFonts w:ascii="Verdana" w:hAnsi="Verdana" w:eastAsia="Times New Roman" w:cs="Arial"/>
          <w:lang w:eastAsia="es-ES_tradnl"/>
        </w:rPr>
        <w:t>e</w:t>
      </w:r>
      <w:r w:rsidR="0032259D">
        <w:rPr>
          <w:rFonts w:ascii="Verdana" w:hAnsi="Verdana" w:eastAsia="Times New Roman" w:cs="Arial"/>
          <w:lang w:eastAsia="es-ES_tradnl"/>
        </w:rPr>
        <w:t xml:space="preserve">, </w:t>
      </w:r>
      <w:r w:rsidR="0016291E">
        <w:rPr>
          <w:rFonts w:ascii="Verdana" w:hAnsi="Verdana" w:eastAsia="Times New Roman" w:cs="Arial"/>
          <w:lang w:eastAsia="es-ES_tradnl"/>
        </w:rPr>
        <w:t xml:space="preserve">el amparo </w:t>
      </w:r>
      <w:r w:rsidR="00C50EEA">
        <w:rPr>
          <w:rFonts w:ascii="Verdana" w:hAnsi="Verdana" w:eastAsia="Times New Roman" w:cs="Arial"/>
          <w:lang w:eastAsia="es-ES_tradnl"/>
        </w:rPr>
        <w:t xml:space="preserve">de </w:t>
      </w:r>
      <w:r w:rsidRPr="001D47E6" w:rsidR="00C50EEA">
        <w:rPr>
          <w:rFonts w:ascii="Verdana" w:hAnsi="Verdana" w:eastAsia="Times New Roman" w:cs="Arial"/>
          <w:i/>
          <w:iCs/>
          <w:lang w:eastAsia="es-ES_tradnl"/>
        </w:rPr>
        <w:t>calidad del servicio</w:t>
      </w:r>
      <w:r w:rsidR="00EF6BCE">
        <w:rPr>
          <w:rFonts w:ascii="Verdana" w:hAnsi="Verdana" w:eastAsia="Times New Roman" w:cs="Arial"/>
          <w:lang w:eastAsia="es-ES_tradnl"/>
        </w:rPr>
        <w:t xml:space="preserve"> </w:t>
      </w:r>
      <w:r w:rsidRPr="001D47E6" w:rsidR="00587767">
        <w:rPr>
          <w:rFonts w:ascii="Verdana" w:hAnsi="Verdana" w:eastAsia="Times New Roman" w:cs="Arial"/>
          <w:i/>
          <w:iCs/>
          <w:lang w:eastAsia="es-ES_tradnl"/>
        </w:rPr>
        <w:t>“</w:t>
      </w:r>
      <w:r w:rsidRPr="001D47E6" w:rsidR="001A62DA">
        <w:rPr>
          <w:rFonts w:ascii="Verdana" w:hAnsi="Verdana" w:eastAsia="Times New Roman" w:cs="Arial"/>
          <w:lang w:eastAsia="es-ES_tradnl"/>
        </w:rPr>
        <w:t>[…]</w:t>
      </w:r>
      <w:r w:rsidR="001A62DA">
        <w:rPr>
          <w:rFonts w:ascii="Verdana" w:hAnsi="Verdana" w:eastAsia="Times New Roman" w:cs="Arial"/>
          <w:i/>
          <w:iCs/>
          <w:lang w:eastAsia="es-ES_tradnl"/>
        </w:rPr>
        <w:t xml:space="preserve"> </w:t>
      </w:r>
      <w:r w:rsidRPr="001D47E6" w:rsidR="0016291E">
        <w:rPr>
          <w:rFonts w:ascii="Verdana" w:hAnsi="Verdana" w:eastAsia="Times New Roman" w:cs="Arial"/>
          <w:i/>
          <w:iCs/>
          <w:lang w:eastAsia="es-ES_tradnl"/>
        </w:rPr>
        <w:t xml:space="preserve">protege a la entidad estatal </w:t>
      </w:r>
      <w:r w:rsidRPr="001D47E6" w:rsidR="00EF6BCE">
        <w:rPr>
          <w:rFonts w:ascii="Verdana" w:hAnsi="Verdana" w:eastAsia="Times New Roman" w:cs="Arial"/>
          <w:i/>
          <w:iCs/>
          <w:lang w:eastAsia="es-ES_tradnl"/>
        </w:rPr>
        <w:t>de los perjuicios imputables al contratista garantizado que surjan con posterioridad a la terminación del contrato y que se deriven de la mala calidad o insuficiencia de los productos entregados con ocasión de un contrato de consultoría o de la mala calidad del servicio prestado, dadas las condiciones pactadas en el contrato</w:t>
      </w:r>
      <w:r w:rsidRPr="001D47E6" w:rsidR="00587767">
        <w:rPr>
          <w:rFonts w:ascii="Verdana" w:hAnsi="Verdana" w:eastAsia="Times New Roman" w:cs="Arial"/>
          <w:i/>
          <w:iCs/>
          <w:lang w:eastAsia="es-ES_tradnl"/>
        </w:rPr>
        <w:t>”</w:t>
      </w:r>
      <w:r w:rsidR="00EC0378">
        <w:rPr>
          <w:rStyle w:val="Refdenotaalpie"/>
          <w:rFonts w:ascii="Verdana" w:hAnsi="Verdana" w:eastAsia="Times New Roman" w:cs="Arial"/>
          <w:i/>
          <w:iCs/>
          <w:lang w:eastAsia="es-ES_tradnl"/>
        </w:rPr>
        <w:footnoteReference w:id="13"/>
      </w:r>
      <w:r w:rsidR="00BB07D0">
        <w:rPr>
          <w:rFonts w:ascii="Verdana" w:hAnsi="Verdana" w:eastAsia="Times New Roman" w:cs="Arial"/>
          <w:lang w:eastAsia="es-ES_tradnl"/>
        </w:rPr>
        <w:t xml:space="preserve">. La suficiencia de este amparo está regulada en el </w:t>
      </w:r>
      <w:r w:rsidRPr="001D47E6" w:rsidR="00BB07D0">
        <w:rPr>
          <w:rFonts w:ascii="Verdana" w:hAnsi="Verdana" w:eastAsia="Times New Roman" w:cs="Arial"/>
          <w:lang w:eastAsia="es-ES_tradnl"/>
        </w:rPr>
        <w:t>artículo</w:t>
      </w:r>
      <w:r w:rsidRPr="00BB07D0" w:rsidR="00BB07D0">
        <w:rPr>
          <w:rFonts w:ascii="Verdana" w:hAnsi="Verdana" w:eastAsia="Times New Roman" w:cs="Arial"/>
          <w:b/>
          <w:bCs/>
          <w:lang w:eastAsia="es-ES_tradnl"/>
        </w:rPr>
        <w:t> </w:t>
      </w:r>
      <w:bookmarkStart w:name="2.2.1.2.3.1.15" w:id="17"/>
      <w:bookmarkEnd w:id="17"/>
      <w:r w:rsidRPr="001D47E6" w:rsidR="00BB07D0">
        <w:rPr>
          <w:rFonts w:ascii="Verdana" w:hAnsi="Verdana" w:eastAsia="Times New Roman" w:cs="Arial"/>
          <w:lang w:eastAsia="es-ES_tradnl"/>
        </w:rPr>
        <w:t>2.2.1.2.3.1.15</w:t>
      </w:r>
      <w:r w:rsidR="00BB07D0">
        <w:rPr>
          <w:rFonts w:ascii="Verdana" w:hAnsi="Verdana" w:eastAsia="Times New Roman" w:cs="Arial"/>
          <w:lang w:eastAsia="es-ES_tradnl"/>
        </w:rPr>
        <w:t>, el cual indica que</w:t>
      </w:r>
      <w:r w:rsidRPr="00BB07D0" w:rsidR="00BB07D0">
        <w:rPr>
          <w:rFonts w:ascii="Verdana" w:hAnsi="Verdana" w:eastAsia="Times New Roman" w:cs="Arial"/>
          <w:b/>
          <w:bCs/>
          <w:lang w:eastAsia="es-ES_tradnl"/>
        </w:rPr>
        <w:t> </w:t>
      </w:r>
      <w:r w:rsidRPr="001D47E6" w:rsidR="00BB07D0">
        <w:rPr>
          <w:rFonts w:ascii="Verdana" w:hAnsi="Verdana" w:eastAsia="Times New Roman" w:cs="Arial"/>
          <w:i/>
          <w:iCs/>
          <w:lang w:eastAsia="es-ES_tradnl"/>
        </w:rPr>
        <w:t>“La Entidad Estatal debe determinar el valor y el plazo de la garantía de acuerdo con el objeto, el valor, la naturaleza y las obligaciones contenidas en el contrato</w:t>
      </w:r>
      <w:r w:rsidRPr="001D47E6" w:rsidR="00EC0378">
        <w:rPr>
          <w:rFonts w:ascii="Verdana" w:hAnsi="Verdana" w:eastAsia="Times New Roman" w:cs="Arial"/>
          <w:i/>
          <w:iCs/>
          <w:lang w:eastAsia="es-ES_tradnl"/>
        </w:rPr>
        <w:t>”</w:t>
      </w:r>
      <w:r w:rsidRPr="00BB07D0" w:rsidR="00BB07D0">
        <w:rPr>
          <w:rFonts w:ascii="Verdana" w:hAnsi="Verdana" w:eastAsia="Times New Roman" w:cs="Arial"/>
          <w:lang w:eastAsia="es-ES_tradnl"/>
        </w:rPr>
        <w:t>. </w:t>
      </w:r>
    </w:p>
    <w:p w:rsidR="003931B4" w:rsidP="003931B4" w:rsidRDefault="00806903" w14:paraId="197E87F8" w14:textId="5E3955DF">
      <w:pPr>
        <w:spacing w:after="120" w:line="276" w:lineRule="auto"/>
        <w:ind w:firstLine="709"/>
        <w:jc w:val="both"/>
        <w:rPr>
          <w:rFonts w:ascii="Verdana" w:hAnsi="Verdana" w:eastAsia="Times New Roman" w:cs="Arial"/>
          <w:lang w:eastAsia="es-ES_tradnl"/>
        </w:rPr>
      </w:pPr>
      <w:r>
        <w:rPr>
          <w:rFonts w:ascii="Verdana" w:hAnsi="Verdana" w:eastAsia="Times New Roman" w:cs="Arial"/>
          <w:lang w:eastAsia="es-ES_tradnl"/>
        </w:rPr>
        <w:t>De otra parte</w:t>
      </w:r>
      <w:r w:rsidR="00792FFC">
        <w:rPr>
          <w:rFonts w:ascii="Verdana" w:hAnsi="Verdana" w:eastAsia="Times New Roman" w:cs="Arial"/>
          <w:lang w:eastAsia="es-ES_tradnl"/>
        </w:rPr>
        <w:t xml:space="preserve">, el </w:t>
      </w:r>
      <w:r w:rsidRPr="001D47E6" w:rsidR="00792FFC">
        <w:rPr>
          <w:rFonts w:ascii="Verdana" w:hAnsi="Verdana" w:eastAsia="Times New Roman" w:cs="Arial"/>
          <w:i/>
          <w:iCs/>
          <w:lang w:eastAsia="es-ES_tradnl"/>
        </w:rPr>
        <w:t xml:space="preserve">amparo de calidad y correcto funcionamiento de los </w:t>
      </w:r>
      <w:r w:rsidRPr="00334919" w:rsidR="00334919">
        <w:rPr>
          <w:rFonts w:ascii="Verdana" w:hAnsi="Verdana" w:eastAsia="Times New Roman" w:cs="Arial"/>
          <w:i/>
          <w:iCs/>
          <w:lang w:eastAsia="es-ES_tradnl"/>
        </w:rPr>
        <w:t>bienes</w:t>
      </w:r>
      <w:r>
        <w:rPr>
          <w:rFonts w:ascii="Verdana" w:hAnsi="Verdana" w:eastAsia="Times New Roman" w:cs="Arial"/>
          <w:i/>
          <w:iCs/>
          <w:lang w:eastAsia="es-ES_tradnl"/>
        </w:rPr>
        <w:t xml:space="preserve"> </w:t>
      </w:r>
      <w:r w:rsidRPr="001D47E6" w:rsidR="00334919">
        <w:rPr>
          <w:rFonts w:ascii="Verdana" w:hAnsi="Verdana" w:eastAsia="Times New Roman" w:cs="Arial"/>
          <w:lang w:eastAsia="es-ES_tradnl"/>
        </w:rPr>
        <w:t>protege a la Entidad Estatal</w:t>
      </w:r>
      <w:r w:rsidR="00334919">
        <w:rPr>
          <w:rFonts w:ascii="Verdana" w:hAnsi="Verdana" w:eastAsia="Times New Roman" w:cs="Arial"/>
          <w:i/>
          <w:iCs/>
          <w:lang w:eastAsia="es-ES_tradnl"/>
        </w:rPr>
        <w:t xml:space="preserve"> “[..] </w:t>
      </w:r>
      <w:r w:rsidRPr="00380356" w:rsidR="00380356">
        <w:rPr>
          <w:rFonts w:ascii="Verdana" w:hAnsi="Verdana" w:eastAsia="Times New Roman" w:cs="Arial"/>
          <w:i/>
          <w:iCs/>
          <w:lang w:eastAsia="es-ES_tradnl"/>
        </w:rPr>
        <w:t>frente a los</w:t>
      </w:r>
      <w:r w:rsidR="00380356">
        <w:rPr>
          <w:rFonts w:ascii="Verdana" w:hAnsi="Verdana" w:eastAsia="Times New Roman" w:cs="Arial"/>
          <w:i/>
          <w:iCs/>
          <w:lang w:eastAsia="es-ES_tradnl"/>
        </w:rPr>
        <w:t xml:space="preserve"> </w:t>
      </w:r>
      <w:r w:rsidRPr="00380356" w:rsidR="00380356">
        <w:rPr>
          <w:rFonts w:ascii="Verdana" w:hAnsi="Verdana" w:eastAsia="Times New Roman" w:cs="Arial"/>
          <w:i/>
          <w:iCs/>
          <w:lang w:eastAsia="es-ES_tradnl"/>
        </w:rPr>
        <w:t>perjuicios imputables al contratista garantizado derivados de mala calidad o deficiencias</w:t>
      </w:r>
      <w:r w:rsidR="00380356">
        <w:rPr>
          <w:rFonts w:ascii="Verdana" w:hAnsi="Verdana" w:eastAsia="Times New Roman" w:cs="Arial"/>
          <w:i/>
          <w:iCs/>
          <w:lang w:eastAsia="es-ES_tradnl"/>
        </w:rPr>
        <w:t xml:space="preserve"> </w:t>
      </w:r>
      <w:r w:rsidRPr="00380356" w:rsidR="00380356">
        <w:rPr>
          <w:rFonts w:ascii="Verdana" w:hAnsi="Verdana" w:eastAsia="Times New Roman" w:cs="Arial"/>
          <w:i/>
          <w:iCs/>
          <w:lang w:eastAsia="es-ES_tradnl"/>
        </w:rPr>
        <w:t>técnicas de los bienes o equipos por él suministrados, de acuerdo con</w:t>
      </w:r>
      <w:r w:rsidR="00380356">
        <w:rPr>
          <w:rFonts w:ascii="Verdana" w:hAnsi="Verdana" w:eastAsia="Times New Roman" w:cs="Arial"/>
          <w:i/>
          <w:iCs/>
          <w:lang w:eastAsia="es-ES_tradnl"/>
        </w:rPr>
        <w:t xml:space="preserve"> </w:t>
      </w:r>
      <w:r w:rsidRPr="00380356" w:rsidR="00380356">
        <w:rPr>
          <w:rFonts w:ascii="Verdana" w:hAnsi="Verdana" w:eastAsia="Times New Roman" w:cs="Arial"/>
          <w:i/>
          <w:iCs/>
          <w:lang w:eastAsia="es-ES_tradnl"/>
        </w:rPr>
        <w:t>las especificaciones técnicas establecidas en el contrato o por el incumplimiento</w:t>
      </w:r>
      <w:r w:rsidR="00380356">
        <w:rPr>
          <w:rFonts w:ascii="Verdana" w:hAnsi="Verdana" w:eastAsia="Times New Roman" w:cs="Arial"/>
          <w:i/>
          <w:iCs/>
          <w:lang w:eastAsia="es-ES_tradnl"/>
        </w:rPr>
        <w:t xml:space="preserve"> </w:t>
      </w:r>
      <w:r w:rsidRPr="00380356" w:rsidR="00380356">
        <w:rPr>
          <w:rFonts w:ascii="Verdana" w:hAnsi="Verdana" w:eastAsia="Times New Roman" w:cs="Arial"/>
          <w:i/>
          <w:iCs/>
          <w:lang w:eastAsia="es-ES_tradnl"/>
        </w:rPr>
        <w:t>de parámetros o normas técnicas establecidas para el respectivo bien o equipo</w:t>
      </w:r>
      <w:r w:rsidR="00334919">
        <w:rPr>
          <w:rFonts w:ascii="Verdana" w:hAnsi="Verdana" w:eastAsia="Times New Roman" w:cs="Arial"/>
          <w:i/>
          <w:iCs/>
          <w:lang w:eastAsia="es-ES_tradnl"/>
        </w:rPr>
        <w:t>”</w:t>
      </w:r>
      <w:r w:rsidR="00F32D6F">
        <w:rPr>
          <w:rStyle w:val="Refdenotaalpie"/>
          <w:rFonts w:ascii="Verdana" w:hAnsi="Verdana" w:eastAsia="Times New Roman" w:cs="Arial"/>
          <w:i/>
          <w:iCs/>
          <w:lang w:eastAsia="es-ES_tradnl"/>
        </w:rPr>
        <w:footnoteReference w:id="14"/>
      </w:r>
      <w:r w:rsidR="00334919">
        <w:rPr>
          <w:rFonts w:ascii="Verdana" w:hAnsi="Verdana" w:eastAsia="Times New Roman" w:cs="Arial"/>
          <w:i/>
          <w:iCs/>
          <w:lang w:eastAsia="es-ES_tradnl"/>
        </w:rPr>
        <w:t>.</w:t>
      </w:r>
      <w:r w:rsidR="003931B4">
        <w:t xml:space="preserve"> Esta garantía se </w:t>
      </w:r>
      <w:r w:rsidR="003931B4">
        <w:t xml:space="preserve">encuentra regulada en el </w:t>
      </w:r>
      <w:bookmarkStart w:name="2.2.1.2.3.1.16" w:id="18"/>
      <w:bookmarkEnd w:id="18"/>
      <w:r w:rsidR="003931B4">
        <w:t xml:space="preserve">artículo </w:t>
      </w:r>
      <w:r w:rsidRPr="001D47E6" w:rsidR="003931B4">
        <w:rPr>
          <w:rFonts w:ascii="Verdana" w:hAnsi="Verdana" w:eastAsia="Times New Roman" w:cs="Arial"/>
          <w:lang w:eastAsia="es-ES_tradnl"/>
        </w:rPr>
        <w:t>2.2.1.2.3.1.16</w:t>
      </w:r>
      <w:r w:rsidR="003931B4">
        <w:rPr>
          <w:rFonts w:ascii="Verdana" w:hAnsi="Verdana" w:eastAsia="Times New Roman" w:cs="Arial"/>
          <w:lang w:eastAsia="es-ES_tradnl"/>
        </w:rPr>
        <w:t xml:space="preserve"> </w:t>
      </w:r>
      <w:r w:rsidRPr="001D47E6" w:rsidR="003931B4">
        <w:rPr>
          <w:rFonts w:ascii="Verdana" w:hAnsi="Verdana" w:eastAsia="Times New Roman" w:cs="Arial"/>
          <w:lang w:eastAsia="es-ES_tradnl"/>
        </w:rPr>
        <w:t>del Decreto 1082</w:t>
      </w:r>
      <w:r w:rsidR="003931B4">
        <w:rPr>
          <w:rFonts w:ascii="Verdana" w:hAnsi="Verdana" w:eastAsia="Times New Roman" w:cs="Arial"/>
          <w:lang w:eastAsia="es-ES_tradnl"/>
        </w:rPr>
        <w:t xml:space="preserve"> de 2015</w:t>
      </w:r>
      <w:r w:rsidRPr="001D47E6" w:rsidR="003931B4">
        <w:rPr>
          <w:rFonts w:ascii="Verdana" w:hAnsi="Verdana" w:eastAsia="Times New Roman" w:cs="Arial"/>
          <w:lang w:eastAsia="es-ES_tradnl"/>
        </w:rPr>
        <w:t xml:space="preserve"> el cual indica que corresponde a</w:t>
      </w:r>
      <w:r w:rsidRPr="003931B4" w:rsidR="003931B4">
        <w:rPr>
          <w:rFonts w:ascii="Verdana" w:hAnsi="Verdana" w:eastAsia="Times New Roman" w:cs="Arial"/>
          <w:lang w:eastAsia="es-ES_tradnl"/>
        </w:rPr>
        <w:t> </w:t>
      </w:r>
      <w:r w:rsidR="003931B4">
        <w:rPr>
          <w:rFonts w:ascii="Verdana" w:hAnsi="Verdana" w:eastAsia="Times New Roman" w:cs="Arial"/>
          <w:lang w:eastAsia="es-ES_tradnl"/>
        </w:rPr>
        <w:t>l</w:t>
      </w:r>
      <w:r w:rsidRPr="003931B4" w:rsidR="003931B4">
        <w:rPr>
          <w:rFonts w:ascii="Verdana" w:hAnsi="Verdana" w:eastAsia="Times New Roman" w:cs="Arial"/>
          <w:lang w:eastAsia="es-ES_tradnl"/>
        </w:rPr>
        <w:t xml:space="preserve">a Entidad Estatal </w:t>
      </w:r>
      <w:r w:rsidRPr="001D47E6" w:rsidR="003931B4">
        <w:rPr>
          <w:rFonts w:ascii="Verdana" w:hAnsi="Verdana" w:eastAsia="Times New Roman" w:cs="Arial"/>
          <w:i/>
          <w:iCs/>
          <w:lang w:eastAsia="es-ES_tradnl"/>
        </w:rPr>
        <w:t>“[…] determinar el valor y el plazo de la garantía de acuerdo con el objeto, el valor, la naturaleza, las obligaciones contenidas en el contrato, la garantía mínima presunta y los vicios ocultos”.</w:t>
      </w:r>
    </w:p>
    <w:p w:rsidR="00F32D6F" w:rsidP="003931B4" w:rsidRDefault="008F0C0E" w14:paraId="60B38065" w14:textId="7A9FCC91">
      <w:pPr>
        <w:spacing w:after="120" w:line="276" w:lineRule="auto"/>
        <w:ind w:firstLine="709"/>
        <w:jc w:val="both"/>
        <w:rPr>
          <w:rFonts w:ascii="Verdana" w:hAnsi="Verdana" w:eastAsia="Times New Roman" w:cs="Arial"/>
          <w:lang w:eastAsia="es-ES_tradnl"/>
        </w:rPr>
      </w:pPr>
      <w:r>
        <w:rPr>
          <w:rFonts w:ascii="Verdana" w:hAnsi="Verdana" w:eastAsia="Times New Roman" w:cs="Arial"/>
          <w:lang w:eastAsia="es-ES_tradnl"/>
        </w:rPr>
        <w:t xml:space="preserve">De acuerdo con </w:t>
      </w:r>
      <w:r w:rsidR="00C42627">
        <w:rPr>
          <w:rFonts w:ascii="Verdana" w:hAnsi="Verdana" w:eastAsia="Times New Roman" w:cs="Arial"/>
          <w:lang w:eastAsia="es-ES_tradnl"/>
        </w:rPr>
        <w:t>los dispuesto en los artículos</w:t>
      </w:r>
      <w:r>
        <w:rPr>
          <w:rFonts w:ascii="Verdana" w:hAnsi="Verdana" w:eastAsia="Times New Roman" w:cs="Arial"/>
          <w:lang w:eastAsia="es-ES_tradnl"/>
        </w:rPr>
        <w:t xml:space="preserve"> </w:t>
      </w:r>
      <w:r w:rsidRPr="00AE7692">
        <w:rPr>
          <w:rFonts w:ascii="Verdana" w:hAnsi="Verdana" w:eastAsia="Times New Roman" w:cs="Arial"/>
          <w:lang w:eastAsia="es-ES_tradnl"/>
        </w:rPr>
        <w:t>2.2.1.2.3.1.15</w:t>
      </w:r>
      <w:r w:rsidR="00C42627">
        <w:rPr>
          <w:rFonts w:ascii="Verdana" w:hAnsi="Verdana" w:eastAsia="Times New Roman" w:cs="Arial"/>
          <w:lang w:eastAsia="es-ES_tradnl"/>
        </w:rPr>
        <w:t xml:space="preserve"> y </w:t>
      </w:r>
      <w:r w:rsidRPr="00AE7692" w:rsidR="00C42627">
        <w:rPr>
          <w:rFonts w:ascii="Verdana" w:hAnsi="Verdana" w:eastAsia="Times New Roman" w:cs="Arial"/>
          <w:lang w:eastAsia="es-ES_tradnl"/>
        </w:rPr>
        <w:t>2.2.1.2.3.1.16</w:t>
      </w:r>
      <w:r w:rsidR="00C42627">
        <w:rPr>
          <w:rFonts w:ascii="Verdana" w:hAnsi="Verdana" w:eastAsia="Times New Roman" w:cs="Arial"/>
          <w:lang w:eastAsia="es-ES_tradnl"/>
        </w:rPr>
        <w:t xml:space="preserve"> del Decreto 1082 de 2015, </w:t>
      </w:r>
      <w:r w:rsidR="00DA4776">
        <w:rPr>
          <w:rFonts w:ascii="Verdana" w:hAnsi="Verdana" w:eastAsia="Times New Roman" w:cs="Arial"/>
          <w:lang w:eastAsia="es-ES_tradnl"/>
        </w:rPr>
        <w:t xml:space="preserve">en el marco de la contratación que desarrollan </w:t>
      </w:r>
      <w:r w:rsidR="00C42627">
        <w:rPr>
          <w:rFonts w:ascii="Verdana" w:hAnsi="Verdana" w:eastAsia="Times New Roman" w:cs="Arial"/>
          <w:lang w:eastAsia="es-ES_tradnl"/>
        </w:rPr>
        <w:t>las Entidades Estatales están llamadas a establecer</w:t>
      </w:r>
      <w:r w:rsidR="00292CA3">
        <w:rPr>
          <w:rFonts w:ascii="Verdana" w:hAnsi="Verdana" w:eastAsia="Times New Roman" w:cs="Arial"/>
          <w:lang w:eastAsia="es-ES_tradnl"/>
        </w:rPr>
        <w:t xml:space="preserve"> dentro de los Documentos del Proceso</w:t>
      </w:r>
      <w:r w:rsidR="00C42627">
        <w:rPr>
          <w:rFonts w:ascii="Verdana" w:hAnsi="Verdana" w:eastAsia="Times New Roman" w:cs="Arial"/>
          <w:lang w:eastAsia="es-ES_tradnl"/>
        </w:rPr>
        <w:t xml:space="preserve"> los términos en los que son exigibles las garantías de calidad del servicio y </w:t>
      </w:r>
      <w:r w:rsidR="00DA4776">
        <w:rPr>
          <w:rFonts w:ascii="Verdana" w:hAnsi="Verdana" w:eastAsia="Times New Roman" w:cs="Arial"/>
          <w:lang w:eastAsia="es-ES_tradnl"/>
        </w:rPr>
        <w:t>de calidad y correcto funcionamiento de los bienes</w:t>
      </w:r>
      <w:r w:rsidR="00292CA3">
        <w:rPr>
          <w:rFonts w:ascii="Verdana" w:hAnsi="Verdana" w:eastAsia="Times New Roman" w:cs="Arial"/>
          <w:lang w:eastAsia="es-ES_tradnl"/>
        </w:rPr>
        <w:t xml:space="preserve">. Esto es consonante con lo establecido en disposiciones </w:t>
      </w:r>
      <w:r w:rsidR="00D025B7">
        <w:rPr>
          <w:rFonts w:ascii="Verdana" w:hAnsi="Verdana" w:eastAsia="Times New Roman" w:cs="Arial"/>
          <w:lang w:eastAsia="es-ES_tradnl"/>
        </w:rPr>
        <w:t xml:space="preserve">como el numeral 7 del artículo </w:t>
      </w:r>
      <w:r w:rsidRPr="00D025B7" w:rsidR="00D025B7">
        <w:rPr>
          <w:rFonts w:ascii="Verdana" w:hAnsi="Verdana" w:eastAsia="Times New Roman" w:cs="Arial"/>
          <w:lang w:eastAsia="es-ES_tradnl"/>
        </w:rPr>
        <w:t>2.2.1.1.2.1.1</w:t>
      </w:r>
      <w:r w:rsidR="00D025B7">
        <w:rPr>
          <w:rFonts w:ascii="Verdana" w:hAnsi="Verdana" w:eastAsia="Times New Roman" w:cs="Arial"/>
          <w:lang w:eastAsia="es-ES_tradnl"/>
        </w:rPr>
        <w:t xml:space="preserve"> y el numeral 9 </w:t>
      </w:r>
      <w:r w:rsidR="003D1293">
        <w:rPr>
          <w:rFonts w:ascii="Verdana" w:hAnsi="Verdana" w:eastAsia="Times New Roman" w:cs="Arial"/>
          <w:lang w:eastAsia="es-ES_tradnl"/>
        </w:rPr>
        <w:t>del Decreto 1082 de 2015, que respectivamente establecen que la Entidad Estatal debe establecer en los estudios previos y en los pliegos de condiciones las gara</w:t>
      </w:r>
      <w:r w:rsidR="001C0D82">
        <w:rPr>
          <w:rFonts w:ascii="Verdana" w:hAnsi="Verdana" w:eastAsia="Times New Roman" w:cs="Arial"/>
          <w:lang w:eastAsia="es-ES_tradnl"/>
        </w:rPr>
        <w:t xml:space="preserve">ntías a exigir en el Proceso de Contratación. </w:t>
      </w:r>
      <w:r w:rsidR="003D1293">
        <w:rPr>
          <w:rFonts w:ascii="Verdana" w:hAnsi="Verdana" w:eastAsia="Times New Roman" w:cs="Arial"/>
          <w:lang w:eastAsia="es-ES_tradnl"/>
        </w:rPr>
        <w:t xml:space="preserve"> </w:t>
      </w:r>
    </w:p>
    <w:p w:rsidRPr="006723FA" w:rsidR="004F26C6" w:rsidP="004F26C6" w:rsidRDefault="004F26C6" w14:paraId="6833DA72"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6723FA">
        <w:rPr>
          <w:rFonts w:ascii="Verdana" w:hAnsi="Verdana" w:eastAsia="Century Gothic" w:cs="Century Gothic"/>
          <w:b/>
          <w:bCs/>
        </w:rPr>
        <w:t>Referencias normativas, jurisprudenciales y otras fuentes:</w:t>
      </w:r>
    </w:p>
    <w:p w:rsidRPr="006723FA" w:rsidR="004F26C6" w:rsidP="001D47E6" w:rsidRDefault="004F26C6" w14:paraId="28502C92" w14:textId="77777777">
      <w:pPr>
        <w:spacing w:after="0" w:line="276" w:lineRule="auto"/>
        <w:ind w:right="709"/>
        <w:jc w:val="both"/>
        <w:textAlignment w:val="baseline"/>
        <w:rPr>
          <w:rFonts w:ascii="Verdana" w:hAnsi="Verdana" w:eastAsia="Times New Roman" w:cs="Arial"/>
          <w:bCs/>
          <w:lang w:val="es-ES_tradnl" w:eastAsia="es-CO"/>
        </w:rPr>
      </w:pPr>
    </w:p>
    <w:p w:rsidR="009E14EF" w:rsidP="001D47E6" w:rsidRDefault="001A3E32" w14:paraId="55ECD52F" w14:textId="2C7AB600">
      <w:pPr>
        <w:pStyle w:val="Prrafodelista"/>
        <w:numPr>
          <w:ilvl w:val="0"/>
          <w:numId w:val="17"/>
        </w:numPr>
        <w:spacing w:after="0" w:line="276" w:lineRule="auto"/>
        <w:ind w:right="709"/>
        <w:rPr>
          <w:rFonts w:ascii="Verdana" w:hAnsi="Verdana" w:cs="Arial"/>
          <w:color w:val="000000" w:themeColor="text1"/>
          <w:lang w:val="es-ES_tradnl"/>
        </w:rPr>
      </w:pPr>
      <w:r>
        <w:rPr>
          <w:rFonts w:ascii="Verdana" w:hAnsi="Verdana" w:cs="Arial"/>
          <w:color w:val="000000" w:themeColor="text1"/>
          <w:lang w:val="es-ES_tradnl"/>
        </w:rPr>
        <w:t>Constitución Política de Colombia, a</w:t>
      </w:r>
      <w:r w:rsidR="001E15FD">
        <w:rPr>
          <w:rFonts w:ascii="Verdana" w:hAnsi="Verdana" w:cs="Arial"/>
          <w:color w:val="000000" w:themeColor="text1"/>
          <w:lang w:val="es-ES_tradnl"/>
        </w:rPr>
        <w:t>rtículo 355</w:t>
      </w:r>
      <w:r>
        <w:rPr>
          <w:rFonts w:ascii="Verdana" w:hAnsi="Verdana" w:cs="Arial"/>
          <w:color w:val="000000" w:themeColor="text1"/>
          <w:lang w:val="es-ES_tradnl"/>
        </w:rPr>
        <w:t>. Disponible en:</w:t>
      </w:r>
      <w:r w:rsidR="001E15FD">
        <w:rPr>
          <w:rFonts w:ascii="Verdana" w:hAnsi="Verdana" w:cs="Arial"/>
          <w:color w:val="000000" w:themeColor="text1"/>
          <w:lang w:val="es-ES_tradnl"/>
        </w:rPr>
        <w:t xml:space="preserve">  </w:t>
      </w:r>
    </w:p>
    <w:p w:rsidR="009E14EF" w:rsidP="001D47E6" w:rsidRDefault="00000000" w14:paraId="0D1D2D82" w14:textId="05B227D9">
      <w:pPr>
        <w:pStyle w:val="Prrafodelista"/>
        <w:spacing w:after="0" w:line="276" w:lineRule="auto"/>
        <w:ind w:right="709"/>
        <w:jc w:val="both"/>
        <w:rPr>
          <w:rFonts w:ascii="Verdana" w:hAnsi="Verdana" w:cs="Arial"/>
          <w:color w:val="000000" w:themeColor="text1"/>
          <w:lang w:val="es-ES_tradnl"/>
        </w:rPr>
      </w:pPr>
      <w:hyperlink w:history="1" r:id="rId13">
        <w:r w:rsidRPr="004D12E7" w:rsidR="009E14EF">
          <w:rPr>
            <w:rStyle w:val="Hipervnculo"/>
            <w:rFonts w:ascii="Verdana" w:hAnsi="Verdana" w:cs="Arial"/>
            <w:lang w:val="es-ES_tradnl"/>
          </w:rPr>
          <w:t>https://relatoria.colombiacompra.gov.co/normativa/constitucion-politica-de-colombia/</w:t>
        </w:r>
      </w:hyperlink>
    </w:p>
    <w:p w:rsidRPr="001A3E32" w:rsidR="001E15FD" w:rsidP="001D47E6" w:rsidRDefault="001A3E32" w14:paraId="7930F7A7" w14:textId="776889BB">
      <w:pPr>
        <w:pStyle w:val="Prrafodelista"/>
        <w:numPr>
          <w:ilvl w:val="0"/>
          <w:numId w:val="17"/>
        </w:numPr>
        <w:spacing w:after="0" w:line="276" w:lineRule="auto"/>
        <w:ind w:right="709"/>
        <w:jc w:val="both"/>
        <w:rPr>
          <w:rFonts w:ascii="Verdana" w:hAnsi="Verdana" w:cs="Arial"/>
          <w:color w:val="000000" w:themeColor="text1"/>
          <w:lang w:val="es-ES_tradnl"/>
        </w:rPr>
      </w:pPr>
      <w:r w:rsidRPr="001A3E32">
        <w:rPr>
          <w:rFonts w:ascii="Verdana" w:hAnsi="Verdana" w:cs="Arial"/>
          <w:color w:val="000000" w:themeColor="text1"/>
          <w:lang w:val="es-ES_tradnl"/>
        </w:rPr>
        <w:t>Ley 1150 de 2007, a</w:t>
      </w:r>
      <w:r w:rsidRPr="001A3E32" w:rsidR="001E15FD">
        <w:rPr>
          <w:rFonts w:ascii="Verdana" w:hAnsi="Verdana" w:cs="Arial"/>
          <w:color w:val="000000" w:themeColor="text1"/>
          <w:lang w:val="es-ES_tradnl"/>
        </w:rPr>
        <w:t>rtículo 7</w:t>
      </w:r>
      <w:r w:rsidRPr="001A3E32">
        <w:rPr>
          <w:rFonts w:ascii="Verdana" w:hAnsi="Verdana" w:cs="Arial"/>
          <w:color w:val="000000" w:themeColor="text1"/>
          <w:lang w:val="es-ES_tradnl"/>
        </w:rPr>
        <w:t>. Disponible en:</w:t>
      </w:r>
      <w:r>
        <w:rPr>
          <w:rFonts w:ascii="Verdana" w:hAnsi="Verdana" w:cs="Arial"/>
          <w:color w:val="000000" w:themeColor="text1"/>
          <w:lang w:val="es-ES_tradnl"/>
        </w:rPr>
        <w:t xml:space="preserve"> </w:t>
      </w:r>
      <w:hyperlink w:history="1" r:id="rId14">
        <w:r w:rsidRPr="001A3E32" w:rsidR="001E15FD">
          <w:rPr>
            <w:rStyle w:val="Hipervnculo"/>
            <w:rFonts w:ascii="Verdana" w:hAnsi="Verdana" w:cs="Arial"/>
            <w:lang w:val="es-ES_tradnl"/>
          </w:rPr>
          <w:t>https://relatoria.colombiacompra.gov.co/normativa/ley-1150-de-2007/</w:t>
        </w:r>
      </w:hyperlink>
    </w:p>
    <w:p w:rsidR="004F26C6" w:rsidP="001D47E6" w:rsidRDefault="001E15FD" w14:paraId="26CAAFC3" w14:textId="31722E40">
      <w:pPr>
        <w:pStyle w:val="Prrafodelista"/>
        <w:numPr>
          <w:ilvl w:val="0"/>
          <w:numId w:val="17"/>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 xml:space="preserve">Artículo 2, 4, 5 y 8 del </w:t>
      </w:r>
      <w:r w:rsidR="009E14EF">
        <w:rPr>
          <w:rFonts w:ascii="Verdana" w:hAnsi="Verdana" w:cs="Arial"/>
          <w:color w:val="000000" w:themeColor="text1"/>
          <w:lang w:val="es-ES_tradnl"/>
        </w:rPr>
        <w:t>Decreto 092 de 2017</w:t>
      </w:r>
      <w:r w:rsidRPr="006723FA" w:rsidR="004F26C6">
        <w:rPr>
          <w:rFonts w:ascii="Verdana" w:hAnsi="Verdana" w:cs="Arial"/>
          <w:color w:val="000000" w:themeColor="text1"/>
          <w:lang w:val="es-ES_tradnl"/>
        </w:rPr>
        <w:t>.</w:t>
      </w:r>
      <w:r w:rsidR="009E14EF">
        <w:rPr>
          <w:rFonts w:ascii="Verdana" w:hAnsi="Verdana" w:cs="Arial"/>
          <w:color w:val="000000" w:themeColor="text1"/>
          <w:lang w:val="es-ES_tradnl"/>
        </w:rPr>
        <w:t xml:space="preserve"> </w:t>
      </w:r>
      <w:hyperlink w:history="1" r:id="rId15">
        <w:r w:rsidRPr="004D12E7">
          <w:rPr>
            <w:rStyle w:val="Hipervnculo"/>
            <w:rFonts w:ascii="Verdana" w:hAnsi="Verdana" w:cs="Arial"/>
            <w:lang w:val="es-ES_tradnl"/>
          </w:rPr>
          <w:t>https://relatoria.colombiacompra.gov.co/normativa/decreto-092-de-2017/</w:t>
        </w:r>
      </w:hyperlink>
    </w:p>
    <w:p w:rsidRPr="001E15FD" w:rsidR="001E15FD" w:rsidP="001D47E6" w:rsidRDefault="001E15FD" w14:paraId="195B4AA1" w14:textId="69B8484E">
      <w:pPr>
        <w:pStyle w:val="Prrafodelista"/>
        <w:numPr>
          <w:ilvl w:val="0"/>
          <w:numId w:val="17"/>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 xml:space="preserve">Artículo </w:t>
      </w:r>
      <w:r w:rsidRPr="006723FA">
        <w:rPr>
          <w:rFonts w:ascii="Verdana" w:hAnsi="Verdana" w:eastAsia="Times New Roman" w:cs="Arial"/>
          <w:lang w:val="es-MX" w:eastAsia="es-ES_tradnl"/>
        </w:rPr>
        <w:t>2.2.1.2.3.1.1. y 2.2.1.2.3.1.19</w:t>
      </w:r>
      <w:r>
        <w:rPr>
          <w:rFonts w:ascii="Verdana" w:hAnsi="Verdana" w:eastAsia="Times New Roman" w:cs="Arial"/>
          <w:lang w:val="es-MX" w:eastAsia="es-ES_tradnl"/>
        </w:rPr>
        <w:t xml:space="preserve"> del Decreto 1082 de 2015. </w:t>
      </w:r>
      <w:hyperlink w:history="1" r:id="rId16">
        <w:r w:rsidRPr="004D12E7">
          <w:rPr>
            <w:rStyle w:val="Hipervnculo"/>
            <w:rFonts w:ascii="Verdana" w:hAnsi="Verdana" w:eastAsia="Times New Roman" w:cs="Arial"/>
            <w:lang w:val="es-MX" w:eastAsia="es-ES_tradnl"/>
          </w:rPr>
          <w:t>https://relatoria.colombiacompra.gov.co/normativa/decreto-1082-de-2015/</w:t>
        </w:r>
      </w:hyperlink>
    </w:p>
    <w:p w:rsidRPr="001E15FD" w:rsidR="004F26C6" w:rsidP="001D47E6" w:rsidRDefault="004F26C6" w14:paraId="4A583756" w14:textId="5A0DE49A">
      <w:pPr>
        <w:pStyle w:val="Prrafodelista"/>
        <w:numPr>
          <w:ilvl w:val="0"/>
          <w:numId w:val="17"/>
        </w:numPr>
        <w:spacing w:after="0" w:line="276" w:lineRule="auto"/>
        <w:ind w:right="709"/>
        <w:jc w:val="both"/>
        <w:rPr>
          <w:rStyle w:val="Hipervnculo"/>
          <w:rFonts w:ascii="Verdana" w:hAnsi="Verdana" w:cs="Arial"/>
          <w:color w:val="000000" w:themeColor="text1"/>
          <w:u w:val="none"/>
          <w:lang w:val="es-ES_tradnl"/>
        </w:rPr>
      </w:pPr>
      <w:r w:rsidRPr="006723FA">
        <w:rPr>
          <w:rFonts w:ascii="Verdana" w:hAnsi="Verdana" w:cs="Arial"/>
          <w:color w:val="000000" w:themeColor="text1"/>
          <w:lang w:val="es-ES_tradnl"/>
        </w:rPr>
        <w:t xml:space="preserve">Artículo 1 de la </w:t>
      </w:r>
      <w:r w:rsidRPr="006723FA">
        <w:rPr>
          <w:rFonts w:ascii="Verdana" w:hAnsi="Verdana" w:eastAsia="Calibri" w:cs="Arial"/>
          <w:lang w:val="es-MX"/>
        </w:rPr>
        <w:t>Ley 2160 de 2021</w:t>
      </w:r>
      <w:r w:rsidRPr="006723FA">
        <w:rPr>
          <w:rFonts w:ascii="Verdana" w:hAnsi="Verdana" w:cs="Arial"/>
          <w:color w:val="000000" w:themeColor="text1"/>
          <w:lang w:val="es-ES_tradnl"/>
        </w:rPr>
        <w:t xml:space="preserve">. </w:t>
      </w:r>
      <w:hyperlink w:history="1" r:id="rId17">
        <w:r w:rsidRPr="006723FA">
          <w:rPr>
            <w:rStyle w:val="Hipervnculo"/>
            <w:rFonts w:ascii="Verdana" w:hAnsi="Verdana" w:cs="Arial"/>
            <w:lang w:val="es-ES_tradnl"/>
          </w:rPr>
          <w:t>https://relatoria.colombiacompra.gov.co/normativa/ley-2160-de-2021/</w:t>
        </w:r>
      </w:hyperlink>
    </w:p>
    <w:p w:rsidR="001E15FD" w:rsidP="001D47E6" w:rsidRDefault="001E15FD" w14:paraId="7AA303E3" w14:textId="599F7942">
      <w:pPr>
        <w:pStyle w:val="Prrafodelista"/>
        <w:numPr>
          <w:ilvl w:val="0"/>
          <w:numId w:val="17"/>
        </w:numPr>
        <w:spacing w:after="0" w:line="276" w:lineRule="auto"/>
        <w:ind w:right="709"/>
        <w:jc w:val="both"/>
        <w:rPr>
          <w:rFonts w:ascii="Verdana" w:hAnsi="Verdana" w:cs="Arial"/>
          <w:color w:val="000000" w:themeColor="text1"/>
          <w:lang w:val="es-ES_tradnl"/>
        </w:rPr>
      </w:pPr>
      <w:r w:rsidRPr="006723FA">
        <w:rPr>
          <w:rFonts w:ascii="Verdana" w:hAnsi="Verdana" w:cs="Arial"/>
          <w:color w:val="000000" w:themeColor="text1"/>
          <w:lang w:val="es-ES_tradnl"/>
        </w:rPr>
        <w:t xml:space="preserve">Corte Constitucional Sentencia </w:t>
      </w:r>
      <w:r w:rsidRPr="006723FA">
        <w:rPr>
          <w:rFonts w:ascii="Verdana" w:hAnsi="Verdana"/>
        </w:rPr>
        <w:t>C-287 del 18 de abril de 2012</w:t>
      </w:r>
      <w:r>
        <w:rPr>
          <w:rFonts w:ascii="Verdana" w:hAnsi="Verdana" w:cs="Arial"/>
          <w:color w:val="000000" w:themeColor="text1"/>
          <w:lang w:val="es-ES_tradnl"/>
        </w:rPr>
        <w:t xml:space="preserve">. </w:t>
      </w:r>
      <w:hyperlink w:history="1" r:id="rId18">
        <w:r w:rsidRPr="004D12E7">
          <w:rPr>
            <w:rStyle w:val="Hipervnculo"/>
            <w:rFonts w:ascii="Verdana" w:hAnsi="Verdana" w:cs="Arial"/>
            <w:lang w:val="es-ES_tradnl"/>
          </w:rPr>
          <w:t>https://www.corteconstitucional.gov.co/RELATORIA/2012/C-287-12.htm</w:t>
        </w:r>
      </w:hyperlink>
    </w:p>
    <w:p w:rsidR="001E15FD" w:rsidP="001D47E6" w:rsidRDefault="004F26C6" w14:paraId="3D23261C" w14:textId="4E29EF9B">
      <w:pPr>
        <w:pStyle w:val="Prrafodelista"/>
        <w:numPr>
          <w:ilvl w:val="0"/>
          <w:numId w:val="17"/>
        </w:numPr>
        <w:spacing w:after="0" w:line="276" w:lineRule="auto"/>
        <w:ind w:right="709"/>
        <w:jc w:val="both"/>
        <w:rPr>
          <w:rFonts w:ascii="Verdana" w:hAnsi="Verdana" w:cs="Arial"/>
          <w:color w:val="000000" w:themeColor="text1"/>
          <w:lang w:val="es-ES_tradnl"/>
        </w:rPr>
      </w:pPr>
      <w:r w:rsidRPr="006723FA">
        <w:rPr>
          <w:rFonts w:ascii="Verdana" w:hAnsi="Verdana" w:cs="Arial"/>
          <w:color w:val="000000" w:themeColor="text1"/>
          <w:lang w:val="es-ES_tradnl"/>
        </w:rPr>
        <w:t>Corte Constitucional Sentencia C-</w:t>
      </w:r>
      <w:r w:rsidR="001E15FD">
        <w:rPr>
          <w:rFonts w:ascii="Verdana" w:hAnsi="Verdana" w:cs="Arial"/>
          <w:color w:val="000000" w:themeColor="text1"/>
          <w:lang w:val="es-ES_tradnl"/>
        </w:rPr>
        <w:t>324</w:t>
      </w:r>
      <w:r w:rsidRPr="006723FA">
        <w:rPr>
          <w:rFonts w:ascii="Verdana" w:hAnsi="Verdana" w:cs="Arial"/>
          <w:color w:val="000000" w:themeColor="text1"/>
          <w:lang w:val="es-ES_tradnl"/>
        </w:rPr>
        <w:t xml:space="preserve"> del </w:t>
      </w:r>
      <w:r w:rsidR="001E15FD">
        <w:rPr>
          <w:rFonts w:ascii="Verdana" w:hAnsi="Verdana" w:cs="Arial"/>
          <w:color w:val="000000" w:themeColor="text1"/>
          <w:lang w:val="es-ES_tradnl"/>
        </w:rPr>
        <w:t xml:space="preserve">13 de mayo de 2009. </w:t>
      </w:r>
      <w:hyperlink w:history="1" r:id="rId19">
        <w:r w:rsidRPr="004D12E7" w:rsidR="001E15FD">
          <w:rPr>
            <w:rStyle w:val="Hipervnculo"/>
            <w:rFonts w:ascii="Verdana" w:hAnsi="Verdana" w:cs="Arial"/>
            <w:lang w:val="es-ES_tradnl"/>
          </w:rPr>
          <w:t>https://www.corteconstitucional.gov.co/RELATORIA/2009/C-324-09.htm</w:t>
        </w:r>
      </w:hyperlink>
    </w:p>
    <w:p w:rsidR="004F26C6" w:rsidP="001D47E6" w:rsidRDefault="004F26C6" w14:paraId="4C67658B" w14:textId="6AFDB8BD">
      <w:pPr>
        <w:pStyle w:val="Prrafodelista"/>
        <w:numPr>
          <w:ilvl w:val="0"/>
          <w:numId w:val="17"/>
        </w:numPr>
        <w:spacing w:after="0" w:line="276" w:lineRule="auto"/>
        <w:ind w:right="709"/>
        <w:jc w:val="both"/>
        <w:rPr>
          <w:rFonts w:ascii="Verdana" w:hAnsi="Verdana" w:cs="Arial"/>
          <w:color w:val="000000" w:themeColor="text1"/>
          <w:lang w:val="es-ES_tradnl"/>
        </w:rPr>
      </w:pPr>
      <w:r w:rsidRPr="006723FA">
        <w:rPr>
          <w:rFonts w:ascii="Verdana" w:hAnsi="Verdana"/>
        </w:rPr>
        <w:t xml:space="preserve"> </w:t>
      </w:r>
      <w:r w:rsidRPr="006723FA" w:rsidR="001E15FD">
        <w:rPr>
          <w:rFonts w:ascii="Verdana" w:hAnsi="Verdana" w:cs="Arial"/>
          <w:color w:val="000000" w:themeColor="text1"/>
          <w:lang w:val="es-ES_tradnl"/>
        </w:rPr>
        <w:t>Corte Constitucional Sentencia C-</w:t>
      </w:r>
      <w:r w:rsidR="001E15FD">
        <w:rPr>
          <w:rFonts w:ascii="Verdana" w:hAnsi="Verdana" w:cs="Arial"/>
          <w:color w:val="000000" w:themeColor="text1"/>
          <w:lang w:val="es-ES_tradnl"/>
        </w:rPr>
        <w:t>324</w:t>
      </w:r>
      <w:r w:rsidRPr="006723FA" w:rsidR="001E15FD">
        <w:rPr>
          <w:rFonts w:ascii="Verdana" w:hAnsi="Verdana" w:cs="Arial"/>
          <w:color w:val="000000" w:themeColor="text1"/>
          <w:lang w:val="es-ES_tradnl"/>
        </w:rPr>
        <w:t xml:space="preserve"> del </w:t>
      </w:r>
      <w:r w:rsidR="001E15FD">
        <w:rPr>
          <w:rFonts w:ascii="Verdana" w:hAnsi="Verdana" w:cs="Arial"/>
          <w:color w:val="000000" w:themeColor="text1"/>
          <w:lang w:val="es-ES_tradnl"/>
        </w:rPr>
        <w:t>03 de febrero de 2016.</w:t>
      </w:r>
      <w:r w:rsidRPr="001E15FD" w:rsidR="001E15FD">
        <w:t xml:space="preserve"> </w:t>
      </w:r>
      <w:hyperlink w:history="1" r:id="rId20">
        <w:r w:rsidRPr="004D12E7" w:rsidR="001E15FD">
          <w:rPr>
            <w:rStyle w:val="Hipervnculo"/>
            <w:rFonts w:ascii="Verdana" w:hAnsi="Verdana" w:cs="Arial"/>
            <w:lang w:val="es-ES_tradnl"/>
          </w:rPr>
          <w:t>https://www.corteconstitucional.gov.co/RELATORIA/2016/C-027-16.htm</w:t>
        </w:r>
      </w:hyperlink>
    </w:p>
    <w:p w:rsidRPr="006723FA" w:rsidR="004F26C6" w:rsidP="004F26C6" w:rsidRDefault="004F26C6" w14:paraId="4A895760" w14:textId="77777777">
      <w:pPr>
        <w:pStyle w:val="Prrafodelista"/>
        <w:spacing w:line="276" w:lineRule="auto"/>
        <w:ind w:right="709"/>
        <w:jc w:val="both"/>
        <w:rPr>
          <w:rFonts w:ascii="Verdana" w:hAnsi="Verdana" w:cs="Arial"/>
          <w:color w:val="000000" w:themeColor="text1"/>
          <w:lang w:val="es-ES_tradnl"/>
        </w:rPr>
      </w:pPr>
    </w:p>
    <w:p w:rsidRPr="000942CA" w:rsidR="004F26C6" w:rsidP="004F26C6" w:rsidRDefault="004F26C6" w14:paraId="11E9D88B"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0942CA">
        <w:rPr>
          <w:rFonts w:ascii="Verdana" w:hAnsi="Verdana" w:eastAsia="Century Gothic" w:cs="Century Gothic"/>
          <w:b/>
          <w:bCs/>
        </w:rPr>
        <w:t>Doctrina de la Agencia Nacional de Contratación Pública:</w:t>
      </w:r>
    </w:p>
    <w:p w:rsidRPr="000942CA" w:rsidR="004F26C6" w:rsidP="004F26C6" w:rsidRDefault="004F26C6" w14:paraId="5324F7BB" w14:textId="77777777">
      <w:pPr>
        <w:widowControl w:val="0"/>
        <w:autoSpaceDE w:val="0"/>
        <w:autoSpaceDN w:val="0"/>
        <w:spacing w:after="0" w:line="276" w:lineRule="auto"/>
        <w:jc w:val="both"/>
        <w:rPr>
          <w:rFonts w:ascii="Verdana" w:hAnsi="Verdana" w:eastAsia="Calibri" w:cs="Arial"/>
          <w:lang w:val="es-ES" w:eastAsia="es-ES"/>
        </w:rPr>
      </w:pPr>
    </w:p>
    <w:p w:rsidRPr="000942CA" w:rsidR="004F26C6" w:rsidP="001D47E6" w:rsidRDefault="001E15FD" w14:paraId="19514D29" w14:textId="41E10F46">
      <w:pPr>
        <w:widowControl w:val="0"/>
        <w:autoSpaceDE w:val="0"/>
        <w:autoSpaceDN w:val="0"/>
        <w:spacing w:after="0" w:line="276" w:lineRule="auto"/>
        <w:jc w:val="both"/>
        <w:rPr>
          <w:rStyle w:val="normaltextrun"/>
          <w:rFonts w:ascii="Verdana" w:hAnsi="Verdana" w:cs="Arial"/>
          <w:color w:val="FF0000"/>
          <w:shd w:val="clear" w:color="auto" w:fill="FFFFFF"/>
        </w:rPr>
      </w:pPr>
      <w:r w:rsidRPr="000942CA">
        <w:rPr>
          <w:rStyle w:val="normaltextrun"/>
          <w:rFonts w:ascii="Verdana" w:hAnsi="Verdana" w:cs="Arial"/>
          <w:shd w:val="clear" w:color="auto" w:fill="FFFFFF"/>
        </w:rPr>
        <w:t xml:space="preserve">La Agencia Nacional de Contratación Pública – Colombia Compra Eficiente analizó 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w:t>
      </w:r>
      <w:proofErr w:type="spellStart"/>
      <w:r w:rsidRPr="000942CA">
        <w:rPr>
          <w:rStyle w:val="normaltextrun"/>
          <w:rFonts w:ascii="Verdana" w:hAnsi="Verdana" w:cs="Arial"/>
          <w:shd w:val="clear" w:color="auto" w:fill="FFFFFF"/>
        </w:rPr>
        <w:t>C513</w:t>
      </w:r>
      <w:proofErr w:type="spellEnd"/>
      <w:r w:rsidRPr="000942CA">
        <w:rPr>
          <w:rStyle w:val="normaltextrun"/>
          <w:rFonts w:ascii="Verdana" w:hAnsi="Verdana" w:cs="Arial"/>
          <w:shd w:val="clear" w:color="auto" w:fill="FFFFFF"/>
        </w:rPr>
        <w:t xml:space="preserve">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C-274 del 05 de mayo de 2022, C-045 del 25 de abril de 2024 y </w:t>
      </w:r>
      <w:r w:rsidRPr="000942CA" w:rsidR="00B12ACE">
        <w:rPr>
          <w:rStyle w:val="normaltextrun"/>
          <w:rFonts w:ascii="Verdana" w:hAnsi="Verdana" w:cs="Arial"/>
          <w:shd w:val="clear" w:color="auto" w:fill="FFFFFF"/>
        </w:rPr>
        <w:t>C-115 del 16 de julio de 2024.</w:t>
      </w:r>
      <w:r w:rsidRPr="000942CA" w:rsidR="00EE73B0">
        <w:rPr>
          <w:rStyle w:val="normaltextrun"/>
          <w:rFonts w:ascii="Verdana" w:hAnsi="Verdana" w:cs="Arial"/>
          <w:shd w:val="clear" w:color="auto" w:fill="FFFFFF"/>
        </w:rPr>
        <w:t xml:space="preserve"> </w:t>
      </w:r>
      <w:r w:rsidRPr="000942CA" w:rsidR="009B4731">
        <w:rPr>
          <w:rStyle w:val="normaltextrun"/>
          <w:rFonts w:ascii="Verdana" w:hAnsi="Verdana" w:cs="Arial"/>
          <w:shd w:val="clear" w:color="auto" w:fill="FFFFFF"/>
        </w:rPr>
        <w:t>A su vez,</w:t>
      </w:r>
      <w:r w:rsidRPr="000942CA" w:rsidR="00575FAA">
        <w:rPr>
          <w:rStyle w:val="normaltextrun"/>
          <w:rFonts w:ascii="Verdana" w:hAnsi="Verdana" w:cs="Arial"/>
          <w:shd w:val="clear" w:color="auto" w:fill="FFFFFF"/>
        </w:rPr>
        <w:t xml:space="preserve"> hizo referencia </w:t>
      </w:r>
      <w:r w:rsidRPr="000942CA" w:rsidR="009B4731">
        <w:rPr>
          <w:rStyle w:val="normaltextrun"/>
          <w:rFonts w:ascii="Verdana" w:hAnsi="Verdana" w:cs="Arial"/>
          <w:shd w:val="clear" w:color="auto" w:fill="FFFFFF"/>
        </w:rPr>
        <w:t>sobre las garantías en la contratación estatal, entre otros, en los conceptos 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C-845 del 7 de diciembre de 2022</w:t>
      </w:r>
      <w:r w:rsidRPr="000942CA" w:rsidR="00575FAA">
        <w:rPr>
          <w:rStyle w:val="normaltextrun"/>
          <w:rFonts w:ascii="Verdana" w:hAnsi="Verdana" w:cs="Arial"/>
          <w:shd w:val="clear" w:color="auto" w:fill="FFFFFF"/>
        </w:rPr>
        <w:t>,</w:t>
      </w:r>
      <w:r w:rsidRPr="000942CA" w:rsidR="009B4731">
        <w:rPr>
          <w:rStyle w:val="normaltextrun"/>
          <w:rFonts w:ascii="Verdana" w:hAnsi="Verdana" w:cs="Arial"/>
          <w:shd w:val="clear" w:color="auto" w:fill="FFFFFF"/>
        </w:rPr>
        <w:t xml:space="preserve"> C-036 del 31 de marzo de 2023</w:t>
      </w:r>
      <w:r w:rsidRPr="000942CA" w:rsidR="00575FAA">
        <w:rPr>
          <w:rStyle w:val="normaltextrun"/>
          <w:rFonts w:ascii="Verdana" w:hAnsi="Verdana" w:cs="Arial"/>
          <w:shd w:val="clear" w:color="auto" w:fill="FFFFFF"/>
        </w:rPr>
        <w:t xml:space="preserve"> y C-069 del 27 de mayo de 2024.</w:t>
      </w:r>
      <w:r w:rsidRPr="000942CA" w:rsidR="00EE73B0">
        <w:rPr>
          <w:rStyle w:val="normaltextrun"/>
          <w:rFonts w:ascii="Verdana" w:hAnsi="Verdana" w:cs="Arial"/>
          <w:shd w:val="clear" w:color="auto" w:fill="FFFFFF"/>
        </w:rPr>
        <w:t xml:space="preserve"> </w:t>
      </w:r>
      <w:r w:rsidRPr="000942CA" w:rsidR="004F26C6">
        <w:rPr>
          <w:rStyle w:val="normaltextrun"/>
          <w:rFonts w:ascii="Verdana" w:hAnsi="Verdana" w:cs="Arial"/>
          <w:shd w:val="clear" w:color="auto" w:fill="FFFFFF"/>
        </w:rPr>
        <w:t>Es</w:t>
      </w:r>
      <w:r w:rsidRPr="000942CA" w:rsidR="004F26C6">
        <w:rPr>
          <w:rFonts w:ascii="Verdana" w:hAnsi="Verdana"/>
        </w:rPr>
        <w:t>tos y otros conceptos se encuentran disponibles para consulta en el Sistema de relatoría de la Agencia, al cual se puede acceder a través del siguiente enlace:</w:t>
      </w:r>
      <w:hyperlink w:history="1" r:id="rId21">
        <w:r w:rsidRPr="000942CA" w:rsidR="004F26C6">
          <w:rPr>
            <w:rStyle w:val="Hipervnculo"/>
            <w:rFonts w:ascii="Verdana" w:hAnsi="Verdana" w:cs="Arial"/>
            <w:shd w:val="clear" w:color="auto" w:fill="FFFFFF"/>
            <w:lang w:val="es-ES"/>
          </w:rPr>
          <w:t>https://</w:t>
        </w:r>
        <w:proofErr w:type="spellStart"/>
        <w:r w:rsidRPr="000942CA" w:rsidR="004F26C6">
          <w:rPr>
            <w:rStyle w:val="Hipervnculo"/>
            <w:rFonts w:ascii="Verdana" w:hAnsi="Verdana" w:cs="Arial"/>
            <w:shd w:val="clear" w:color="auto" w:fill="FFFFFF"/>
            <w:lang w:val="es-ES"/>
          </w:rPr>
          <w:t>relatoria.colombiacompra.gov.co</w:t>
        </w:r>
        <w:proofErr w:type="spellEnd"/>
        <w:r w:rsidRPr="000942CA" w:rsidR="004F26C6">
          <w:rPr>
            <w:rStyle w:val="Hipervnculo"/>
            <w:rFonts w:ascii="Verdana" w:hAnsi="Verdana" w:cs="Arial"/>
            <w:shd w:val="clear" w:color="auto" w:fill="FFFFFF"/>
            <w:lang w:val="es-ES"/>
          </w:rPr>
          <w:t>/</w:t>
        </w:r>
        <w:proofErr w:type="spellStart"/>
        <w:r w:rsidRPr="000942CA" w:rsidR="004F26C6">
          <w:rPr>
            <w:rStyle w:val="Hipervnculo"/>
            <w:rFonts w:ascii="Verdana" w:hAnsi="Verdana" w:cs="Arial"/>
            <w:shd w:val="clear" w:color="auto" w:fill="FFFFFF"/>
            <w:lang w:val="es-ES"/>
          </w:rPr>
          <w:t>busqueda</w:t>
        </w:r>
        <w:proofErr w:type="spellEnd"/>
        <w:r w:rsidRPr="000942CA" w:rsidR="004F26C6">
          <w:rPr>
            <w:rStyle w:val="Hipervnculo"/>
            <w:rFonts w:ascii="Verdana" w:hAnsi="Verdana" w:cs="Arial"/>
            <w:shd w:val="clear" w:color="auto" w:fill="FFFFFF"/>
            <w:lang w:val="es-ES"/>
          </w:rPr>
          <w:t>/conceptos</w:t>
        </w:r>
      </w:hyperlink>
      <w:r w:rsidRPr="000942CA" w:rsidR="004F26C6">
        <w:rPr>
          <w:rStyle w:val="normaltextrun"/>
          <w:rFonts w:ascii="Verdana" w:hAnsi="Verdana" w:cs="Arial"/>
          <w:color w:val="FF0000"/>
          <w:shd w:val="clear" w:color="auto" w:fill="FFFFFF"/>
        </w:rPr>
        <w:t xml:space="preserve">. </w:t>
      </w:r>
    </w:p>
    <w:p w:rsidRPr="000942CA" w:rsidR="004F26C6" w:rsidP="004F26C6" w:rsidRDefault="004F26C6" w14:paraId="5F09ED64" w14:textId="77777777">
      <w:pPr>
        <w:widowControl w:val="0"/>
        <w:autoSpaceDE w:val="0"/>
        <w:autoSpaceDN w:val="0"/>
        <w:spacing w:after="0" w:line="276" w:lineRule="auto"/>
        <w:ind w:firstLine="708"/>
        <w:jc w:val="both"/>
        <w:rPr>
          <w:rStyle w:val="normaltextrun"/>
          <w:rFonts w:ascii="Verdana" w:hAnsi="Verdana" w:cs="Arial"/>
          <w:color w:val="FF0000"/>
          <w:shd w:val="clear" w:color="auto" w:fill="FFFFFF"/>
        </w:rPr>
      </w:pPr>
    </w:p>
    <w:p w:rsidRPr="000942CA" w:rsidR="000942CA" w:rsidP="000942CA" w:rsidRDefault="000942CA" w14:paraId="0E344ACF" w14:textId="57E4D23B">
      <w:pPr>
        <w:widowControl w:val="0"/>
        <w:autoSpaceDE w:val="0"/>
        <w:autoSpaceDN w:val="0"/>
        <w:spacing w:after="0" w:line="276" w:lineRule="auto"/>
        <w:jc w:val="both"/>
        <w:rPr>
          <w:rFonts w:ascii="Verdana" w:hAnsi="Verdana" w:cs="Arial"/>
          <w:shd w:val="clear" w:color="auto" w:fill="FFFFFF"/>
          <w:lang w:val="es-ES"/>
        </w:rPr>
      </w:pPr>
      <w:r w:rsidRPr="000942CA">
        <w:rPr>
          <w:rFonts w:ascii="Verdana" w:hAnsi="Verdana" w:cs="Arial"/>
          <w:shd w:val="clear" w:color="auto" w:fill="FFFFFF"/>
          <w:lang w:val="es-ES"/>
        </w:rPr>
        <w:t xml:space="preserve">También le invitamos a consultar las versiones I y II de 2024 del Boletín de Relatoría de la Subdirección de Gestión Contractual, los cuales puede descargar en la página web de la Agencia: </w:t>
      </w:r>
      <w:hyperlink w:history="1" r:id="rId22">
        <w:hyperlink w:history="1" r:id="rId23">
          <w:r w:rsidRPr="000942CA">
            <w:rPr>
              <w:rFonts w:ascii="Verdana" w:hAnsi="Verdana" w:cs="Arial"/>
              <w:color w:val="0563C1" w:themeColor="hyperlink"/>
              <w:u w:val="single"/>
              <w:shd w:val="clear" w:color="auto" w:fill="FFFFFF"/>
              <w:lang w:val="es-ES"/>
            </w:rPr>
            <w:t>https://www.colombiacompra.gov.co/sala-de-prensa/boletin-digital</w:t>
          </w:r>
        </w:hyperlink>
      </w:hyperlink>
      <w:r w:rsidRPr="000942CA">
        <w:rPr>
          <w:rFonts w:ascii="Verdana" w:hAnsi="Verdana" w:cs="Arial"/>
          <w:shd w:val="clear" w:color="auto" w:fill="FFFFFF"/>
          <w:lang w:val="es-ES"/>
        </w:rPr>
        <w:t>.</w:t>
      </w:r>
    </w:p>
    <w:p w:rsidRPr="000942CA" w:rsidR="000942CA" w:rsidP="000942CA" w:rsidRDefault="000942CA" w14:paraId="0726985B" w14:textId="77777777">
      <w:pPr>
        <w:widowControl w:val="0"/>
        <w:autoSpaceDE w:val="0"/>
        <w:autoSpaceDN w:val="0"/>
        <w:spacing w:after="0" w:line="276" w:lineRule="auto"/>
        <w:jc w:val="both"/>
        <w:rPr>
          <w:rFonts w:ascii="Verdana" w:hAnsi="Verdana" w:cs="Arial"/>
          <w:shd w:val="clear" w:color="auto" w:fill="FFFFFF"/>
          <w:lang w:val="es-ES"/>
        </w:rPr>
      </w:pPr>
    </w:p>
    <w:p w:rsidRPr="000942CA" w:rsidR="000942CA" w:rsidP="000942CA" w:rsidRDefault="000942CA" w14:paraId="6EAF9487" w14:textId="77777777">
      <w:pPr>
        <w:spacing w:after="0" w:line="240" w:lineRule="auto"/>
        <w:jc w:val="both"/>
        <w:rPr>
          <w:rFonts w:ascii="Verdana" w:hAnsi="Verdana"/>
        </w:rPr>
      </w:pPr>
      <w:r w:rsidRPr="000942CA">
        <w:rPr>
          <w:rFonts w:ascii="Verdana" w:hAnsi="Verdana"/>
        </w:rPr>
        <w:t xml:space="preserve">Por último, lo invitamos a seguirnos en las redes sociales en las cuales se difunde información institucional: </w:t>
      </w:r>
    </w:p>
    <w:p w:rsidRPr="00DC1DF5" w:rsidR="000942CA" w:rsidP="000942CA" w:rsidRDefault="000942CA" w14:paraId="60E1E518" w14:textId="77777777">
      <w:pPr>
        <w:spacing w:after="0" w:line="240" w:lineRule="auto"/>
        <w:jc w:val="both"/>
        <w:rPr>
          <w:rFonts w:ascii="Verdana" w:hAnsi="Verdana"/>
        </w:rPr>
      </w:pPr>
    </w:p>
    <w:p w:rsidRPr="00DC1DF5" w:rsidR="000942CA" w:rsidP="000942CA" w:rsidRDefault="000942CA" w14:paraId="551EB2D8" w14:textId="77777777">
      <w:pPr>
        <w:spacing w:after="0" w:line="240" w:lineRule="auto"/>
        <w:jc w:val="both"/>
        <w:rPr>
          <w:rFonts w:ascii="Verdana" w:hAnsi="Verdana"/>
        </w:rPr>
      </w:pPr>
      <w:r w:rsidRPr="00DC1DF5">
        <w:rPr>
          <w:rFonts w:ascii="Verdana" w:hAnsi="Verdana"/>
        </w:rPr>
        <w:t xml:space="preserve">Twitter: </w:t>
      </w:r>
      <w:r w:rsidRPr="00DC1DF5">
        <w:rPr>
          <w:rFonts w:ascii="Verdana" w:hAnsi="Verdana"/>
          <w:color w:val="4472C4" w:themeColor="accent1"/>
          <w:u w:val="single"/>
        </w:rPr>
        <w:t>@</w:t>
      </w:r>
      <w:proofErr w:type="spellStart"/>
      <w:r w:rsidRPr="00DC1DF5">
        <w:rPr>
          <w:rFonts w:ascii="Verdana" w:hAnsi="Verdana"/>
          <w:color w:val="4472C4" w:themeColor="accent1"/>
          <w:u w:val="single"/>
        </w:rPr>
        <w:t>colombiacompra</w:t>
      </w:r>
      <w:proofErr w:type="spellEnd"/>
      <w:r w:rsidRPr="00DC1DF5">
        <w:rPr>
          <w:rFonts w:ascii="Verdana" w:hAnsi="Verdana"/>
          <w:color w:val="4472C4" w:themeColor="accent1"/>
        </w:rPr>
        <w:t xml:space="preserve"> </w:t>
      </w:r>
    </w:p>
    <w:p w:rsidRPr="00DC1DF5" w:rsidR="000942CA" w:rsidP="000942CA" w:rsidRDefault="000942CA" w14:paraId="15BFDC3E" w14:textId="77777777">
      <w:pPr>
        <w:spacing w:after="0" w:line="240" w:lineRule="auto"/>
        <w:jc w:val="both"/>
        <w:rPr>
          <w:rFonts w:ascii="Verdana" w:hAnsi="Verdana"/>
        </w:rPr>
      </w:pPr>
      <w:r w:rsidRPr="00DC1DF5">
        <w:rPr>
          <w:rFonts w:ascii="Verdana" w:hAnsi="Verdana"/>
        </w:rPr>
        <w:t xml:space="preserve">Facebook: </w:t>
      </w:r>
      <w:proofErr w:type="spellStart"/>
      <w:r w:rsidRPr="00DC1DF5">
        <w:rPr>
          <w:rFonts w:ascii="Verdana" w:hAnsi="Verdana"/>
          <w:color w:val="4472C4" w:themeColor="accent1"/>
          <w:u w:val="single"/>
        </w:rPr>
        <w:t>ColombiaCompraEficiente</w:t>
      </w:r>
      <w:proofErr w:type="spellEnd"/>
    </w:p>
    <w:p w:rsidRPr="00DC1DF5" w:rsidR="000942CA" w:rsidP="000942CA" w:rsidRDefault="000942CA" w14:paraId="7C70ECD8" w14:textId="77777777">
      <w:pPr>
        <w:spacing w:after="0" w:line="240" w:lineRule="auto"/>
        <w:jc w:val="both"/>
        <w:rPr>
          <w:rFonts w:ascii="Verdana" w:hAnsi="Verdana"/>
        </w:rPr>
      </w:pPr>
      <w:r w:rsidRPr="00DC1DF5">
        <w:rPr>
          <w:rFonts w:ascii="Verdana" w:hAnsi="Verdana"/>
        </w:rPr>
        <w:t xml:space="preserve">LinkedIn: </w:t>
      </w:r>
      <w:r w:rsidRPr="00DC1DF5">
        <w:rPr>
          <w:rFonts w:ascii="Verdana" w:hAnsi="Verdana"/>
          <w:color w:val="4472C4" w:themeColor="accent1"/>
          <w:u w:val="single"/>
        </w:rPr>
        <w:t>Agencia Nacional de Contratación Pública - Colombia Compra Eficiente</w:t>
      </w:r>
      <w:r w:rsidRPr="00DC1DF5">
        <w:rPr>
          <w:rFonts w:ascii="Verdana" w:hAnsi="Verdana"/>
          <w:color w:val="4472C4" w:themeColor="accent1"/>
        </w:rPr>
        <w:t xml:space="preserve"> </w:t>
      </w:r>
      <w:r w:rsidRPr="00DC1DF5">
        <w:rPr>
          <w:rFonts w:ascii="Verdana" w:hAnsi="Verdana"/>
        </w:rPr>
        <w:t xml:space="preserve">Instagram: </w:t>
      </w:r>
      <w:r w:rsidRPr="00DC1DF5">
        <w:rPr>
          <w:rFonts w:ascii="Verdana" w:hAnsi="Verdana"/>
          <w:color w:val="4472C4" w:themeColor="accent1"/>
          <w:u w:val="single"/>
        </w:rPr>
        <w:t>@</w:t>
      </w:r>
      <w:proofErr w:type="spellStart"/>
      <w:r w:rsidRPr="00DC1DF5">
        <w:rPr>
          <w:rFonts w:ascii="Verdana" w:hAnsi="Verdana"/>
          <w:color w:val="4472C4" w:themeColor="accent1"/>
          <w:u w:val="single"/>
        </w:rPr>
        <w:t>colombiacompraeficiente_cce</w:t>
      </w:r>
      <w:proofErr w:type="spellEnd"/>
    </w:p>
    <w:p w:rsidRPr="00DC1DF5" w:rsidR="000942CA" w:rsidP="000942CA" w:rsidRDefault="000942CA" w14:paraId="133B0EC3" w14:textId="77777777">
      <w:pPr>
        <w:widowControl w:val="0"/>
        <w:autoSpaceDE w:val="0"/>
        <w:autoSpaceDN w:val="0"/>
        <w:spacing w:after="0" w:line="276" w:lineRule="auto"/>
        <w:jc w:val="both"/>
        <w:rPr>
          <w:rFonts w:ascii="Verdana" w:hAnsi="Verdana" w:cs="Arial"/>
        </w:rPr>
      </w:pPr>
    </w:p>
    <w:p w:rsidRPr="006723FA" w:rsidR="000942CA" w:rsidP="004F26C6" w:rsidRDefault="000942CA" w14:paraId="2F55B91A" w14:textId="77777777">
      <w:pPr>
        <w:widowControl w:val="0"/>
        <w:autoSpaceDE w:val="0"/>
        <w:autoSpaceDN w:val="0"/>
        <w:spacing w:after="0" w:line="276" w:lineRule="auto"/>
        <w:ind w:firstLine="708"/>
        <w:jc w:val="both"/>
        <w:rPr>
          <w:rStyle w:val="normaltextrun"/>
          <w:rFonts w:ascii="Verdana" w:hAnsi="Verdana" w:cs="Arial"/>
          <w:color w:val="FF0000"/>
          <w:shd w:val="clear" w:color="auto" w:fill="FFFFFF"/>
        </w:rPr>
      </w:pPr>
    </w:p>
    <w:p w:rsidRPr="006723FA" w:rsidR="004F26C6" w:rsidP="004F26C6" w:rsidRDefault="004F26C6" w14:paraId="1AE50AD1" w14:textId="77777777">
      <w:pPr>
        <w:spacing w:before="120" w:after="0" w:line="276" w:lineRule="auto"/>
        <w:jc w:val="both"/>
        <w:textAlignment w:val="baseline"/>
        <w:rPr>
          <w:rFonts w:ascii="Verdana" w:hAnsi="Verdana" w:eastAsia="Times New Roman"/>
          <w:bCs/>
          <w:lang w:val="es-ES_tradnl" w:eastAsia="es-CO"/>
        </w:rPr>
      </w:pPr>
      <w:r w:rsidRPr="006723FA">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6723FA" w:rsidR="004F26C6" w:rsidP="004F26C6" w:rsidRDefault="004F26C6" w14:paraId="5FDCC692" w14:textId="77777777">
      <w:pPr>
        <w:spacing w:after="0" w:line="240" w:lineRule="auto"/>
        <w:rPr>
          <w:rFonts w:ascii="Verdana" w:hAnsi="Verdana" w:eastAsia="Calibri"/>
        </w:rPr>
      </w:pPr>
    </w:p>
    <w:p w:rsidRPr="006723FA" w:rsidR="004F26C6" w:rsidP="004F26C6" w:rsidRDefault="004F26C6" w14:paraId="33BAB64B" w14:textId="77777777">
      <w:pPr>
        <w:spacing w:after="0" w:line="240" w:lineRule="auto"/>
        <w:rPr>
          <w:rFonts w:ascii="Verdana" w:hAnsi="Verdana" w:eastAsia="Times New Roman" w:cs="Arial"/>
          <w:lang w:eastAsia="es-CO"/>
        </w:rPr>
      </w:pPr>
      <w:r w:rsidRPr="006723FA">
        <w:rPr>
          <w:rFonts w:ascii="Verdana" w:hAnsi="Verdana" w:eastAsia="Times New Roman" w:cs="Arial"/>
          <w:lang w:eastAsia="es-CO"/>
        </w:rPr>
        <w:t>Atentamente,</w:t>
      </w:r>
    </w:p>
    <w:p w:rsidRPr="006723FA" w:rsidR="004F26C6" w:rsidP="004F26C6" w:rsidRDefault="007C01C8" w14:paraId="3891644A" w14:textId="7A08E601">
      <w:pPr>
        <w:spacing w:after="0" w:line="276" w:lineRule="auto"/>
        <w:jc w:val="center"/>
        <w:rPr>
          <w:rFonts w:ascii="Verdana" w:hAnsi="Verdana" w:eastAsia="Times New Roman" w:cs="Arial"/>
          <w:color w:val="000000"/>
          <w:lang w:val="es-ES_tradnl" w:eastAsia="es-CO"/>
        </w:rPr>
      </w:pPr>
      <w:r w:rsidRPr="002C3AD6">
        <w:rPr>
          <w:rFonts w:ascii="Century Gothic" w:hAnsi="Century Gothic"/>
          <w:noProof/>
        </w:rPr>
        <w:drawing>
          <wp:inline distT="0" distB="0" distL="0" distR="0" wp14:anchorId="426CB697" wp14:editId="5FA58D0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4"/>
                    <a:stretch>
                      <a:fillRect/>
                    </a:stretch>
                  </pic:blipFill>
                  <pic:spPr>
                    <a:xfrm>
                      <a:off x="0" y="0"/>
                      <a:ext cx="3772426" cy="1400370"/>
                    </a:xfrm>
                    <a:prstGeom prst="rect">
                      <a:avLst/>
                    </a:prstGeom>
                  </pic:spPr>
                </pic:pic>
              </a:graphicData>
            </a:graphic>
          </wp:inline>
        </w:drawing>
      </w:r>
    </w:p>
    <w:p w:rsidRPr="001D47E6" w:rsidR="004F26C6" w:rsidP="004F26C6" w:rsidRDefault="004F26C6" w14:paraId="5E9E518F" w14:textId="77777777">
      <w:pPr>
        <w:spacing w:after="0" w:line="276" w:lineRule="auto"/>
        <w:jc w:val="center"/>
        <w:rPr>
          <w:rFonts w:ascii="Verdana" w:hAnsi="Verdana" w:eastAsia="Times New Roman" w:cs="Arial"/>
          <w:sz w:val="18"/>
          <w:szCs w:val="18"/>
          <w:lang w:val="es-ES" w:eastAsia="es-CO"/>
        </w:rPr>
      </w:pP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0942CA" w:rsidR="000942CA" w:rsidTr="00A40C2E" w14:paraId="5AA63B82" w14:textId="77777777">
        <w:trPr>
          <w:trHeight w:val="409"/>
        </w:trPr>
        <w:tc>
          <w:tcPr>
            <w:tcW w:w="817" w:type="dxa"/>
            <w:tcBorders>
              <w:top w:val="nil"/>
              <w:left w:val="nil"/>
              <w:bottom w:val="nil"/>
              <w:right w:val="nil"/>
            </w:tcBorders>
            <w:vAlign w:val="center"/>
            <w:hideMark/>
          </w:tcPr>
          <w:p w:rsidRPr="000942CA" w:rsidR="004F26C6" w:rsidP="00A40C2E" w:rsidRDefault="004F26C6" w14:paraId="7AABB1DD" w14:textId="77777777">
            <w:pPr>
              <w:spacing w:after="0" w:line="240" w:lineRule="auto"/>
              <w:jc w:val="both"/>
              <w:rPr>
                <w:rFonts w:ascii="Verdana" w:hAnsi="Verdana" w:cs="Arial"/>
                <w:sz w:val="16"/>
                <w:szCs w:val="16"/>
              </w:rPr>
            </w:pPr>
            <w:r w:rsidRPr="000942CA">
              <w:rPr>
                <w:rFonts w:ascii="Verdana" w:hAnsi="Verdana"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0942CA" w:rsidR="004F26C6" w:rsidP="00A40C2E" w:rsidRDefault="004F26C6" w14:paraId="27D3601A" w14:textId="77777777">
            <w:pPr>
              <w:spacing w:after="0" w:line="240" w:lineRule="auto"/>
              <w:jc w:val="both"/>
              <w:rPr>
                <w:rFonts w:ascii="Verdana" w:hAnsi="Verdana" w:cs="Arial"/>
                <w:sz w:val="16"/>
                <w:szCs w:val="16"/>
              </w:rPr>
            </w:pPr>
            <w:r w:rsidRPr="000942CA">
              <w:rPr>
                <w:rFonts w:ascii="Verdana" w:hAnsi="Verdana" w:cs="Arial"/>
                <w:sz w:val="16"/>
                <w:szCs w:val="16"/>
              </w:rPr>
              <w:t>Gustavo Hinestroza Martínez</w:t>
            </w:r>
          </w:p>
          <w:p w:rsidRPr="000942CA" w:rsidR="004F26C6" w:rsidP="00A40C2E" w:rsidRDefault="004F26C6" w14:paraId="731A7FD0" w14:textId="77777777">
            <w:pPr>
              <w:spacing w:after="0" w:line="240" w:lineRule="auto"/>
              <w:jc w:val="both"/>
              <w:rPr>
                <w:rFonts w:ascii="Verdana" w:hAnsi="Verdana" w:cs="Arial"/>
                <w:sz w:val="16"/>
                <w:szCs w:val="16"/>
              </w:rPr>
            </w:pPr>
            <w:r w:rsidRPr="000942CA">
              <w:rPr>
                <w:rFonts w:ascii="Verdana" w:hAnsi="Verdana" w:cs="Arial"/>
                <w:sz w:val="16"/>
                <w:szCs w:val="16"/>
              </w:rPr>
              <w:t>Contratista de la Subdirección de Gestión Contractual</w:t>
            </w:r>
          </w:p>
        </w:tc>
      </w:tr>
      <w:tr w:rsidRPr="000942CA" w:rsidR="000942CA" w:rsidTr="00A40C2E" w14:paraId="056BE34A" w14:textId="77777777">
        <w:trPr>
          <w:trHeight w:val="409"/>
        </w:trPr>
        <w:tc>
          <w:tcPr>
            <w:tcW w:w="817" w:type="dxa"/>
            <w:tcBorders>
              <w:top w:val="nil"/>
              <w:left w:val="nil"/>
              <w:bottom w:val="nil"/>
              <w:right w:val="nil"/>
            </w:tcBorders>
            <w:vAlign w:val="center"/>
            <w:hideMark/>
          </w:tcPr>
          <w:p w:rsidRPr="000942CA" w:rsidR="004F26C6" w:rsidP="00A40C2E" w:rsidRDefault="004F26C6" w14:paraId="3645C843" w14:textId="77777777">
            <w:pPr>
              <w:spacing w:after="0"/>
              <w:jc w:val="both"/>
              <w:rPr>
                <w:rFonts w:ascii="Verdana" w:hAnsi="Verdana" w:cs="Arial"/>
                <w:sz w:val="16"/>
                <w:szCs w:val="16"/>
              </w:rPr>
            </w:pPr>
            <w:r w:rsidRPr="000942CA">
              <w:rPr>
                <w:rFonts w:ascii="Verdana" w:hAnsi="Verdana"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0942CA" w:rsidR="004F26C6" w:rsidP="00A40C2E" w:rsidRDefault="00575FAA" w14:paraId="2E208A9B" w14:textId="0B88509C">
            <w:pPr>
              <w:spacing w:after="0" w:line="276" w:lineRule="auto"/>
              <w:textAlignment w:val="baseline"/>
              <w:rPr>
                <w:rFonts w:ascii="Verdana" w:hAnsi="Verdana" w:eastAsia="Times New Roman" w:cstheme="minorHAnsi"/>
                <w:sz w:val="16"/>
                <w:szCs w:val="16"/>
                <w:lang w:val="es-ES" w:eastAsia="es-ES"/>
              </w:rPr>
            </w:pPr>
            <w:r w:rsidRPr="000942CA">
              <w:rPr>
                <w:rFonts w:ascii="Verdana" w:hAnsi="Verdana" w:eastAsia="Times New Roman" w:cstheme="minorHAnsi"/>
                <w:sz w:val="16"/>
                <w:szCs w:val="16"/>
                <w:lang w:val="es-ES" w:eastAsia="es-ES"/>
              </w:rPr>
              <w:t>Alejandro Sarmiento</w:t>
            </w:r>
            <w:r w:rsidRPr="000942CA" w:rsidR="00EE73B0">
              <w:rPr>
                <w:rFonts w:ascii="Verdana" w:hAnsi="Verdana" w:eastAsia="Times New Roman" w:cstheme="minorHAnsi"/>
                <w:sz w:val="16"/>
                <w:szCs w:val="16"/>
                <w:lang w:val="es-ES" w:eastAsia="es-ES"/>
              </w:rPr>
              <w:t xml:space="preserve"> Cantillo</w:t>
            </w:r>
          </w:p>
          <w:p w:rsidRPr="000942CA" w:rsidR="004F26C6" w:rsidP="00575FAA" w:rsidRDefault="00575FAA" w14:paraId="3172351A" w14:textId="7213C7B8">
            <w:pPr>
              <w:spacing w:after="0" w:line="240" w:lineRule="auto"/>
              <w:jc w:val="both"/>
              <w:rPr>
                <w:rFonts w:ascii="Verdana" w:hAnsi="Verdana" w:cs="Arial"/>
                <w:sz w:val="16"/>
                <w:szCs w:val="16"/>
              </w:rPr>
            </w:pPr>
            <w:r w:rsidRPr="000942CA">
              <w:rPr>
                <w:rFonts w:ascii="Verdana" w:hAnsi="Verdana" w:eastAsia="Times New Roman" w:cstheme="minorHAnsi"/>
                <w:sz w:val="16"/>
                <w:szCs w:val="16"/>
                <w:lang w:val="es-ES" w:eastAsia="es-ES"/>
              </w:rPr>
              <w:t xml:space="preserve">Gestor </w:t>
            </w:r>
            <w:r w:rsidRPr="000942CA" w:rsidR="00EE73B0">
              <w:rPr>
                <w:rFonts w:ascii="Verdana" w:hAnsi="Verdana" w:eastAsia="Times New Roman" w:cstheme="minorHAnsi"/>
                <w:sz w:val="16"/>
                <w:szCs w:val="16"/>
                <w:lang w:val="es-ES" w:eastAsia="es-ES"/>
              </w:rPr>
              <w:t>T-15 de la Subdirección de Gestión Contractual</w:t>
            </w:r>
          </w:p>
        </w:tc>
      </w:tr>
      <w:tr w:rsidRPr="000942CA" w:rsidR="000942CA" w:rsidTr="00A40C2E" w14:paraId="02185580" w14:textId="77777777">
        <w:trPr>
          <w:trHeight w:val="389"/>
        </w:trPr>
        <w:tc>
          <w:tcPr>
            <w:tcW w:w="817" w:type="dxa"/>
            <w:tcBorders>
              <w:top w:val="nil"/>
              <w:left w:val="nil"/>
              <w:bottom w:val="nil"/>
              <w:right w:val="nil"/>
            </w:tcBorders>
            <w:vAlign w:val="center"/>
            <w:hideMark/>
          </w:tcPr>
          <w:p w:rsidRPr="000942CA" w:rsidR="004F26C6" w:rsidP="00A40C2E" w:rsidRDefault="004F26C6" w14:paraId="16FB543E" w14:textId="77777777">
            <w:pPr>
              <w:spacing w:after="0" w:line="240" w:lineRule="auto"/>
              <w:jc w:val="both"/>
              <w:rPr>
                <w:rFonts w:ascii="Verdana" w:hAnsi="Verdana" w:cs="Arial"/>
                <w:sz w:val="16"/>
                <w:szCs w:val="16"/>
              </w:rPr>
            </w:pPr>
            <w:r w:rsidRPr="000942CA">
              <w:rPr>
                <w:rFonts w:ascii="Verdana" w:hAnsi="Verdana"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0942CA" w:rsidR="004F26C6" w:rsidP="00A40C2E" w:rsidRDefault="004F26C6" w14:paraId="42DB9781" w14:textId="77777777">
            <w:pPr>
              <w:spacing w:after="0"/>
              <w:rPr>
                <w:rFonts w:ascii="Verdana" w:hAnsi="Verdana" w:eastAsia="Calibri" w:cs="Arial"/>
                <w:sz w:val="16"/>
                <w:szCs w:val="16"/>
                <w:lang w:val="pt-BR" w:eastAsia="es-ES"/>
              </w:rPr>
            </w:pPr>
            <w:r w:rsidRPr="000942CA">
              <w:rPr>
                <w:rFonts w:ascii="Verdana" w:hAnsi="Verdana" w:eastAsia="Calibri" w:cs="Arial"/>
                <w:sz w:val="16"/>
                <w:szCs w:val="16"/>
                <w:lang w:val="pt-BR" w:eastAsia="es-ES"/>
              </w:rPr>
              <w:t xml:space="preserve">Carolina Quintero </w:t>
            </w:r>
            <w:proofErr w:type="spellStart"/>
            <w:r w:rsidRPr="000942CA">
              <w:rPr>
                <w:rFonts w:ascii="Verdana" w:hAnsi="Verdana" w:eastAsia="Calibri" w:cs="Arial"/>
                <w:sz w:val="16"/>
                <w:szCs w:val="16"/>
                <w:lang w:val="pt-BR" w:eastAsia="es-ES"/>
              </w:rPr>
              <w:t>Gacharná</w:t>
            </w:r>
            <w:proofErr w:type="spellEnd"/>
          </w:p>
          <w:p w:rsidRPr="000942CA" w:rsidR="004F26C6" w:rsidP="00A40C2E" w:rsidRDefault="004F26C6" w14:paraId="7D50068D" w14:textId="77777777">
            <w:pPr>
              <w:spacing w:after="0" w:line="240" w:lineRule="auto"/>
              <w:jc w:val="both"/>
              <w:rPr>
                <w:rFonts w:ascii="Verdana" w:hAnsi="Verdana" w:cs="Arial"/>
                <w:sz w:val="16"/>
                <w:szCs w:val="16"/>
              </w:rPr>
            </w:pPr>
            <w:r w:rsidRPr="000942CA">
              <w:rPr>
                <w:rFonts w:ascii="Verdana" w:hAnsi="Verdana" w:cs="Arial"/>
                <w:sz w:val="16"/>
                <w:szCs w:val="16"/>
              </w:rPr>
              <w:t xml:space="preserve">Subdirectora de Gestión Contractual </w:t>
            </w:r>
            <w:proofErr w:type="spellStart"/>
            <w:r w:rsidRPr="000942CA">
              <w:rPr>
                <w:rFonts w:ascii="Verdana" w:hAnsi="Verdana" w:cs="Arial"/>
                <w:sz w:val="16"/>
                <w:szCs w:val="16"/>
              </w:rPr>
              <w:t>ANCP</w:t>
            </w:r>
            <w:proofErr w:type="spellEnd"/>
            <w:r w:rsidRPr="000942CA">
              <w:rPr>
                <w:rFonts w:ascii="Verdana" w:hAnsi="Verdana" w:cs="Arial"/>
                <w:sz w:val="16"/>
                <w:szCs w:val="16"/>
              </w:rPr>
              <w:t xml:space="preserve"> – CCE</w:t>
            </w:r>
          </w:p>
        </w:tc>
      </w:tr>
      <w:bookmarkEnd w:id="0"/>
    </w:tbl>
    <w:p w:rsidRPr="006723FA" w:rsidR="00127233" w:rsidP="00BB2C6C" w:rsidRDefault="00127233" w14:paraId="0F293BF4" w14:textId="7BBFAB11">
      <w:pPr>
        <w:spacing w:after="0"/>
        <w:jc w:val="both"/>
        <w:rPr>
          <w:rFonts w:ascii="Verdana" w:hAnsi="Verdana"/>
        </w:rPr>
      </w:pPr>
    </w:p>
    <w:sectPr w:rsidRPr="006723FA" w:rsidR="00127233" w:rsidSect="007C0C0F">
      <w:headerReference w:type="default" r:id="rId25"/>
      <w:footerReference w:type="default" r:id="rId26"/>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444F" w:rsidP="004A1847" w:rsidRDefault="003E444F" w14:paraId="6144CCEA" w14:textId="77777777">
      <w:pPr>
        <w:spacing w:after="0" w:line="240" w:lineRule="auto"/>
      </w:pPr>
      <w:r>
        <w:separator/>
      </w:r>
    </w:p>
  </w:endnote>
  <w:endnote w:type="continuationSeparator" w:id="0">
    <w:p w:rsidR="003E444F" w:rsidP="004A1847" w:rsidRDefault="003E444F" w14:paraId="788F465E" w14:textId="77777777">
      <w:pPr>
        <w:spacing w:after="0" w:line="240" w:lineRule="auto"/>
      </w:pPr>
      <w:r>
        <w:continuationSeparator/>
      </w:r>
    </w:p>
  </w:endnote>
  <w:endnote w:type="continuationNotice" w:id="1">
    <w:p w:rsidR="003E444F" w:rsidRDefault="003E444F" w14:paraId="2224E5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proofErr w:type="spellStart"/>
    <w:r w:rsidR="00FA47C0">
      <w:rPr>
        <w:rFonts w:ascii="Century Gothic" w:hAnsi="Century Gothic" w:eastAsia="Geo" w:cs="Geo"/>
        <w:bCs/>
        <w:color w:val="000000"/>
        <w:sz w:val="16"/>
        <w:szCs w:val="16"/>
        <w:lang w:eastAsia="es-CO"/>
      </w:rPr>
      <w:t>REC</w:t>
    </w:r>
    <w:proofErr w:type="spellEnd"/>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444F" w:rsidP="004A1847" w:rsidRDefault="003E444F" w14:paraId="562B0A72" w14:textId="77777777">
      <w:pPr>
        <w:spacing w:after="0" w:line="240" w:lineRule="auto"/>
      </w:pPr>
      <w:r>
        <w:separator/>
      </w:r>
    </w:p>
  </w:footnote>
  <w:footnote w:type="continuationSeparator" w:id="0">
    <w:p w:rsidR="003E444F" w:rsidP="004A1847" w:rsidRDefault="003E444F" w14:paraId="4B1E9677" w14:textId="77777777">
      <w:pPr>
        <w:spacing w:after="0" w:line="240" w:lineRule="auto"/>
      </w:pPr>
      <w:r>
        <w:continuationSeparator/>
      </w:r>
    </w:p>
  </w:footnote>
  <w:footnote w:type="continuationNotice" w:id="1">
    <w:p w:rsidR="003E444F" w:rsidRDefault="003E444F" w14:paraId="7DD3F2FE" w14:textId="77777777">
      <w:pPr>
        <w:spacing w:after="0" w:line="240" w:lineRule="auto"/>
      </w:pPr>
    </w:p>
  </w:footnote>
  <w:footnote w:id="2">
    <w:p w:rsidRPr="00096A08" w:rsidR="007C01C8" w:rsidP="007C01C8" w:rsidRDefault="007C01C8" w14:paraId="6900E962" w14:textId="77777777">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Sobre esta norma, consultar los conceptos del 8 de octubre de 2019, con radicado No. 2201913000007532, y del 20 de diciembre de 2019, con radicado No. 4201913000008240.</w:t>
      </w:r>
    </w:p>
    <w:p w:rsidRPr="00096A08" w:rsidR="007C01C8" w:rsidP="007C01C8" w:rsidRDefault="007C01C8" w14:paraId="630647B1" w14:textId="77777777">
      <w:pPr>
        <w:pStyle w:val="Textonotapie"/>
        <w:ind w:firstLine="709"/>
        <w:jc w:val="both"/>
        <w:rPr>
          <w:rFonts w:ascii="Verdana" w:hAnsi="Verdana" w:cs="Arial"/>
          <w:color w:val="000000" w:themeColor="text1"/>
          <w:sz w:val="12"/>
          <w:szCs w:val="12"/>
          <w:lang w:val="es-ES"/>
        </w:rPr>
      </w:pPr>
    </w:p>
  </w:footnote>
  <w:footnote w:id="3">
    <w:p w:rsidRPr="00096A08" w:rsidR="001813BD" w:rsidP="002C7659" w:rsidRDefault="001813BD" w14:paraId="13E992AA" w14:textId="77777777">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Sobre esta norma, consultar los conceptos del 8 de octubre de 2019, con radicado No. 2201913000007532, y del 20 de diciembre de 2019, con radicado No. 4201913000008240.</w:t>
      </w:r>
    </w:p>
    <w:p w:rsidRPr="00096A08" w:rsidR="001813BD" w:rsidP="002C7659" w:rsidRDefault="001813BD" w14:paraId="02AC4925" w14:textId="77777777">
      <w:pPr>
        <w:pStyle w:val="Textonotapie"/>
        <w:ind w:firstLine="709"/>
        <w:jc w:val="both"/>
        <w:rPr>
          <w:rFonts w:ascii="Verdana" w:hAnsi="Verdana" w:cs="Arial"/>
          <w:color w:val="000000" w:themeColor="text1"/>
          <w:sz w:val="12"/>
          <w:szCs w:val="12"/>
          <w:lang w:val="es-ES"/>
        </w:rPr>
      </w:pPr>
    </w:p>
  </w:footnote>
  <w:footnote w:id="4">
    <w:p w:rsidRPr="00096A08" w:rsidR="001813BD" w:rsidP="002C7659" w:rsidRDefault="001813BD" w14:paraId="267ECB90" w14:textId="0A24C201">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Al respecto, la Ley 489 de 1998 dispone que </w:t>
      </w:r>
      <w:r w:rsidRPr="00096A08" w:rsidR="00EE73B0">
        <w:rPr>
          <w:rFonts w:ascii="Verdana" w:hAnsi="Verdana" w:cs="Arial"/>
          <w:color w:val="000000" w:themeColor="text1"/>
          <w:sz w:val="12"/>
          <w:szCs w:val="12"/>
        </w:rPr>
        <w:t>“</w:t>
      </w:r>
      <w:r w:rsidRPr="00096A08">
        <w:rPr>
          <w:rFonts w:ascii="Verdana" w:hAnsi="Verdana" w:cs="Arial"/>
          <w:color w:val="000000" w:themeColor="text1"/>
          <w:sz w:val="12"/>
          <w:szCs w:val="12"/>
        </w:rPr>
        <w:t>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096A08" w:rsidR="001813BD" w:rsidP="002C7659" w:rsidRDefault="001813BD" w14:paraId="695412DA" w14:textId="673F0116">
      <w:pPr>
        <w:pStyle w:val="Textonotapie"/>
        <w:ind w:firstLine="709"/>
        <w:jc w:val="both"/>
        <w:rPr>
          <w:rFonts w:ascii="Verdana" w:hAnsi="Verdana" w:cs="Arial"/>
          <w:color w:val="000000" w:themeColor="text1"/>
          <w:sz w:val="12"/>
          <w:szCs w:val="12"/>
        </w:rPr>
      </w:pPr>
      <w:r w:rsidRPr="00096A08">
        <w:rPr>
          <w:rFonts w:ascii="Verdana" w:hAnsi="Verdana" w:cs="Arial"/>
          <w:color w:val="000000" w:themeColor="text1"/>
          <w:sz w:val="12"/>
          <w:szCs w:val="12"/>
        </w:rPr>
        <w:t xml:space="preserve">Los convenios de asociación a que se refiere el presente artículo </w:t>
      </w:r>
      <w:bookmarkStart w:name="_Hlk36023315" w:id="1"/>
      <w:r w:rsidRPr="00096A08">
        <w:rPr>
          <w:rFonts w:ascii="Verdana" w:hAnsi="Verdana" w:cs="Arial"/>
          <w:color w:val="000000" w:themeColor="text1"/>
          <w:sz w:val="12"/>
          <w:szCs w:val="12"/>
        </w:rPr>
        <w:t>se celebrarán de conformidad con lo dispuesto en el artículo 355 de la Constitución Política</w:t>
      </w:r>
      <w:bookmarkEnd w:id="1"/>
      <w:r w:rsidRPr="00096A08">
        <w:rPr>
          <w:rFonts w:ascii="Verdana" w:hAnsi="Verdana" w:cs="Arial"/>
          <w:color w:val="000000" w:themeColor="text1"/>
          <w:sz w:val="12"/>
          <w:szCs w:val="12"/>
        </w:rPr>
        <w:t>, en ellos se determinará con precisión su objeto, término, obligaciones de las partes, aportes, coordinación y todos aquellos aspectos que se consideren pertinentes</w:t>
      </w:r>
      <w:r w:rsidRPr="00096A08" w:rsidR="00EE73B0">
        <w:rPr>
          <w:rFonts w:ascii="Verdana" w:hAnsi="Verdana" w:cs="Arial"/>
          <w:color w:val="000000" w:themeColor="text1"/>
          <w:sz w:val="12"/>
          <w:szCs w:val="12"/>
        </w:rPr>
        <w:t>”</w:t>
      </w:r>
      <w:r w:rsidRPr="00096A08">
        <w:rPr>
          <w:rFonts w:ascii="Verdana" w:hAnsi="Verdana" w:cs="Arial"/>
          <w:color w:val="000000" w:themeColor="text1"/>
          <w:sz w:val="12"/>
          <w:szCs w:val="12"/>
        </w:rPr>
        <w:t>.</w:t>
      </w:r>
    </w:p>
    <w:p w:rsidRPr="00096A08" w:rsidR="001813BD" w:rsidP="002C7659" w:rsidRDefault="001813BD" w14:paraId="5964273C" w14:textId="77777777">
      <w:pPr>
        <w:pStyle w:val="Textonotapie"/>
        <w:ind w:firstLine="709"/>
        <w:jc w:val="both"/>
        <w:rPr>
          <w:rFonts w:ascii="Verdana" w:hAnsi="Verdana" w:cs="Arial"/>
          <w:color w:val="000000" w:themeColor="text1"/>
          <w:sz w:val="12"/>
          <w:szCs w:val="12"/>
          <w:lang w:val="es-ES"/>
        </w:rPr>
      </w:pPr>
      <w:r w:rsidRPr="00096A08">
        <w:rPr>
          <w:rFonts w:ascii="Verdana" w:hAnsi="Verdana" w:cs="Arial"/>
          <w:color w:val="000000" w:themeColor="text1"/>
          <w:sz w:val="12"/>
          <w:szCs w:val="12"/>
        </w:rPr>
        <w:t xml:space="preserve"> </w:t>
      </w:r>
    </w:p>
  </w:footnote>
  <w:footnote w:id="5">
    <w:p w:rsidRPr="00096A08" w:rsidR="001813BD" w:rsidP="002C7659" w:rsidRDefault="001813BD" w14:paraId="7242142B" w14:textId="77777777">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Concepto del 3 de septiembre de 2019, con radicado No. 2201913000006512.</w:t>
      </w:r>
    </w:p>
    <w:p w:rsidRPr="00096A08" w:rsidR="001813BD" w:rsidP="002C7659" w:rsidRDefault="001813BD" w14:paraId="6C0C9A9F" w14:textId="77777777">
      <w:pPr>
        <w:pStyle w:val="Textonotapie"/>
        <w:ind w:firstLine="709"/>
        <w:jc w:val="both"/>
        <w:rPr>
          <w:rFonts w:ascii="Verdana" w:hAnsi="Verdana" w:cs="Arial"/>
          <w:color w:val="000000" w:themeColor="text1"/>
          <w:sz w:val="12"/>
          <w:szCs w:val="12"/>
        </w:rPr>
      </w:pPr>
    </w:p>
  </w:footnote>
  <w:footnote w:id="6">
    <w:p w:rsidRPr="00096A08" w:rsidR="001813BD" w:rsidP="002C7659" w:rsidRDefault="001813BD" w14:paraId="3A94C045" w14:textId="77777777">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Sobre la naturaleza de los convenios de asociación, se reitera lo expuesto en el concepto del 19 de noviembre de 2019, con radicado No. 2201913000008611.</w:t>
      </w:r>
    </w:p>
    <w:p w:rsidRPr="00096A08" w:rsidR="001813BD" w:rsidP="002C7659" w:rsidRDefault="001813BD" w14:paraId="77A0F04E" w14:textId="77777777">
      <w:pPr>
        <w:pStyle w:val="Textonotapie"/>
        <w:ind w:firstLine="709"/>
        <w:jc w:val="both"/>
        <w:rPr>
          <w:rFonts w:ascii="Verdana" w:hAnsi="Verdana" w:cs="Arial"/>
          <w:color w:val="000000" w:themeColor="text1"/>
          <w:sz w:val="12"/>
          <w:szCs w:val="12"/>
        </w:rPr>
      </w:pPr>
    </w:p>
  </w:footnote>
  <w:footnote w:id="7">
    <w:p w:rsidRPr="00096A08" w:rsidR="001813BD" w:rsidP="002C7659" w:rsidRDefault="001813BD" w14:paraId="33463DEA" w14:textId="77777777">
      <w:pPr>
        <w:pStyle w:val="Textonotapie"/>
        <w:ind w:firstLine="709"/>
        <w:jc w:val="both"/>
        <w:rPr>
          <w:rFonts w:ascii="Verdana" w:hAnsi="Verdana" w:cs="Arial"/>
          <w:color w:val="000000" w:themeColor="text1"/>
          <w:sz w:val="12"/>
          <w:szCs w:val="12"/>
        </w:rPr>
      </w:pPr>
      <w:r w:rsidRPr="00096A08">
        <w:rPr>
          <w:rStyle w:val="Refdenotaalpie"/>
          <w:rFonts w:ascii="Verdana" w:hAnsi="Verdana" w:cs="Arial"/>
          <w:color w:val="000000" w:themeColor="text1"/>
          <w:sz w:val="12"/>
          <w:szCs w:val="12"/>
        </w:rPr>
        <w:footnoteRef/>
      </w:r>
      <w:r w:rsidRPr="00096A08">
        <w:rPr>
          <w:rFonts w:ascii="Verdana" w:hAnsi="Verdana" w:cs="Arial"/>
          <w:color w:val="000000" w:themeColor="text1"/>
          <w:sz w:val="12"/>
          <w:szCs w:val="12"/>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rsidRPr="00096A08" w:rsidR="001813BD" w:rsidP="002C7659" w:rsidRDefault="001813BD" w14:paraId="3D626E53" w14:textId="77777777">
      <w:pPr>
        <w:pStyle w:val="Textonotapie"/>
        <w:ind w:firstLine="709"/>
        <w:jc w:val="both"/>
        <w:rPr>
          <w:rFonts w:ascii="Verdana" w:hAnsi="Verdana" w:cs="Arial"/>
          <w:color w:val="000000" w:themeColor="text1"/>
          <w:sz w:val="12"/>
          <w:szCs w:val="12"/>
          <w:lang w:val="es-ES"/>
        </w:rPr>
      </w:pPr>
    </w:p>
  </w:footnote>
  <w:footnote w:id="8">
    <w:p w:rsidRPr="00096A08" w:rsidR="00B93A3B" w:rsidP="001D47E6" w:rsidRDefault="00B93A3B" w14:paraId="513F9A0B" w14:textId="37641829">
      <w:pPr>
        <w:pStyle w:val="Textonotapie"/>
        <w:ind w:firstLine="708"/>
        <w:jc w:val="both"/>
        <w:rPr>
          <w:rFonts w:ascii="Verdana" w:hAnsi="Verdana"/>
          <w:sz w:val="12"/>
          <w:szCs w:val="12"/>
        </w:rPr>
      </w:pPr>
      <w:r w:rsidRPr="00096A08">
        <w:rPr>
          <w:rStyle w:val="Refdenotaalpie"/>
          <w:rFonts w:ascii="Verdana" w:hAnsi="Verdana"/>
          <w:sz w:val="12"/>
          <w:szCs w:val="12"/>
        </w:rPr>
        <w:footnoteRef/>
      </w:r>
      <w:r w:rsidRPr="00096A08">
        <w:rPr>
          <w:rFonts w:ascii="Verdana" w:hAnsi="Verdana"/>
          <w:sz w:val="12"/>
          <w:szCs w:val="12"/>
        </w:rPr>
        <w:t xml:space="preserve"> “Artículo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 </w:t>
      </w:r>
    </w:p>
  </w:footnote>
  <w:footnote w:id="9">
    <w:p w:rsidRPr="00096A08" w:rsidR="00B4093D" w:rsidP="001D47E6" w:rsidRDefault="00B4093D" w14:paraId="612DE5A9" w14:textId="77777777">
      <w:pPr>
        <w:pStyle w:val="Textonotapie"/>
        <w:ind w:firstLine="708"/>
        <w:jc w:val="both"/>
        <w:rPr>
          <w:rFonts w:ascii="Verdana" w:hAnsi="Verdana"/>
          <w:sz w:val="12"/>
          <w:szCs w:val="12"/>
        </w:rPr>
      </w:pPr>
    </w:p>
    <w:p w:rsidRPr="00096A08" w:rsidR="00B4093D" w:rsidP="001D47E6" w:rsidRDefault="00B4093D" w14:paraId="345E0317" w14:textId="38BA9F88">
      <w:pPr>
        <w:pStyle w:val="Textonotapie"/>
        <w:ind w:firstLine="708"/>
        <w:jc w:val="both"/>
        <w:rPr>
          <w:rFonts w:ascii="Verdana" w:hAnsi="Verdana"/>
          <w:sz w:val="12"/>
          <w:szCs w:val="12"/>
          <w:lang w:val="es-CO"/>
        </w:rPr>
      </w:pPr>
      <w:r w:rsidRPr="00096A08">
        <w:rPr>
          <w:rStyle w:val="Refdenotaalpie"/>
          <w:rFonts w:ascii="Verdana" w:hAnsi="Verdana"/>
          <w:sz w:val="12"/>
          <w:szCs w:val="12"/>
        </w:rPr>
        <w:footnoteRef/>
      </w:r>
      <w:r w:rsidRPr="00096A08">
        <w:rPr>
          <w:rFonts w:ascii="Verdana" w:hAnsi="Verdana"/>
          <w:sz w:val="12"/>
          <w:szCs w:val="12"/>
        </w:rPr>
        <w:t xml:space="preserve"> “</w:t>
      </w:r>
      <w:r w:rsidRPr="00096A08" w:rsidR="00093DD6">
        <w:rPr>
          <w:rFonts w:ascii="Verdana" w:hAnsi="Verdana"/>
          <w:sz w:val="12"/>
          <w:szCs w:val="12"/>
          <w:lang w:val="es-CO"/>
        </w:rPr>
        <w:t xml:space="preserve">Artículo </w:t>
      </w:r>
      <w:r w:rsidRPr="00096A08">
        <w:rPr>
          <w:rFonts w:ascii="Verdana" w:hAnsi="Verdana"/>
          <w:sz w:val="12"/>
          <w:szCs w:val="12"/>
          <w:lang w:val="es-CO"/>
        </w:rPr>
        <w:t>7º.</w:t>
      </w:r>
      <w:r w:rsidRPr="00096A08">
        <w:rPr>
          <w:rFonts w:ascii="Verdana" w:hAnsi="Verdana"/>
          <w:b/>
          <w:bCs/>
          <w:i/>
          <w:iCs/>
          <w:sz w:val="12"/>
          <w:szCs w:val="12"/>
          <w:lang w:val="es-CO"/>
        </w:rPr>
        <w:t> </w:t>
      </w:r>
      <w:r w:rsidRPr="00096A08">
        <w:rPr>
          <w:rFonts w:ascii="Verdana" w:hAnsi="Verdana"/>
          <w:sz w:val="12"/>
          <w:szCs w:val="12"/>
          <w:lang w:val="es-CO"/>
        </w:rPr>
        <w:t xml:space="preserve">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w:t>
      </w:r>
      <w:proofErr w:type="spellStart"/>
      <w:r w:rsidRPr="00096A08">
        <w:rPr>
          <w:rFonts w:ascii="Verdana" w:hAnsi="Verdana"/>
          <w:sz w:val="12"/>
          <w:szCs w:val="12"/>
          <w:lang w:val="es-CO"/>
        </w:rPr>
        <w:t>que</w:t>
      </w:r>
      <w:proofErr w:type="spellEnd"/>
      <w:r w:rsidRPr="00096A08">
        <w:rPr>
          <w:rFonts w:ascii="Verdana" w:hAnsi="Verdana"/>
          <w:sz w:val="12"/>
          <w:szCs w:val="12"/>
          <w:lang w:val="es-CO"/>
        </w:rPr>
        <w:t xml:space="preserve"> trata el presente decreto deberán ser objeto de publicación en el Sistema Electrónico de Contratación Pública (SECOP). Adicionalmente, la entidad privada sin ánimo de lucro contratista deberá entregar a la Entidad Estatal, y ésta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r w:rsidRPr="00096A08" w:rsidR="00093DD6">
        <w:rPr>
          <w:rFonts w:ascii="Verdana" w:hAnsi="Verdana"/>
          <w:sz w:val="12"/>
          <w:szCs w:val="12"/>
          <w:lang w:val="es-CO"/>
        </w:rPr>
        <w:t>”.</w:t>
      </w:r>
      <w:r w:rsidRPr="00096A08">
        <w:rPr>
          <w:rFonts w:ascii="Verdana" w:hAnsi="Verdana"/>
          <w:sz w:val="12"/>
          <w:szCs w:val="12"/>
          <w:lang w:val="es-CO"/>
        </w:rPr>
        <w:t> </w:t>
      </w:r>
    </w:p>
    <w:p w:rsidRPr="00096A08" w:rsidR="00B4093D" w:rsidP="001D47E6" w:rsidRDefault="00B4093D" w14:paraId="2DA13D7C" w14:textId="15A96BAA">
      <w:pPr>
        <w:pStyle w:val="Textonotapie"/>
        <w:ind w:firstLine="708"/>
        <w:jc w:val="both"/>
        <w:rPr>
          <w:rFonts w:ascii="Verdana" w:hAnsi="Verdana"/>
          <w:sz w:val="12"/>
          <w:szCs w:val="12"/>
        </w:rPr>
      </w:pPr>
      <w:r w:rsidRPr="00096A08">
        <w:rPr>
          <w:rFonts w:ascii="Verdana" w:hAnsi="Verdana"/>
          <w:sz w:val="12"/>
          <w:szCs w:val="12"/>
        </w:rPr>
        <w:t xml:space="preserve"> </w:t>
      </w:r>
    </w:p>
  </w:footnote>
  <w:footnote w:id="10">
    <w:p w:rsidRPr="00096A08" w:rsidR="00093DD6" w:rsidP="001D47E6" w:rsidRDefault="00093DD6" w14:paraId="0E5AAE3A" w14:textId="5CC00743">
      <w:pPr>
        <w:pStyle w:val="Textonotapie"/>
        <w:ind w:firstLine="708"/>
        <w:jc w:val="both"/>
        <w:rPr>
          <w:rFonts w:ascii="Verdana" w:hAnsi="Verdana"/>
          <w:sz w:val="12"/>
          <w:szCs w:val="12"/>
        </w:rPr>
      </w:pPr>
      <w:r w:rsidRPr="00096A08">
        <w:rPr>
          <w:rStyle w:val="Refdenotaalpie"/>
          <w:rFonts w:ascii="Verdana" w:hAnsi="Verdana"/>
          <w:sz w:val="12"/>
          <w:szCs w:val="12"/>
        </w:rPr>
        <w:footnoteRef/>
      </w:r>
      <w:r w:rsidRPr="00096A08">
        <w:rPr>
          <w:rFonts w:ascii="Verdana" w:hAnsi="Verdana"/>
          <w:sz w:val="12"/>
          <w:szCs w:val="12"/>
        </w:rPr>
        <w:t xml:space="preserve"> “Artículo 8º. Aplicación de normas generales del sistema de contratación pública. La contratación a la que hace referencia el presente decreto está sujeta a las normas generales aplicables a la contratación pública excepto en lo reglamentado en el presente decreto”. </w:t>
      </w:r>
    </w:p>
  </w:footnote>
  <w:footnote w:id="11">
    <w:p w:rsidRPr="00096A08" w:rsidR="004F26C6" w:rsidP="002C7659" w:rsidRDefault="004F26C6" w14:paraId="472A5B1E" w14:textId="77777777">
      <w:pPr>
        <w:pStyle w:val="Textonotapie"/>
        <w:ind w:firstLine="708"/>
        <w:contextualSpacing/>
        <w:jc w:val="both"/>
        <w:rPr>
          <w:rFonts w:ascii="Verdana" w:hAnsi="Verdana" w:cs="Arial"/>
          <w:sz w:val="12"/>
          <w:szCs w:val="12"/>
        </w:rPr>
      </w:pPr>
      <w:r w:rsidRPr="00096A08">
        <w:rPr>
          <w:rStyle w:val="Refdenotaalpie"/>
          <w:rFonts w:ascii="Verdana" w:hAnsi="Verdana" w:cs="Arial"/>
          <w:sz w:val="12"/>
          <w:szCs w:val="12"/>
        </w:rPr>
        <w:footnoteRef/>
      </w:r>
      <w:r w:rsidRPr="00096A08">
        <w:rPr>
          <w:rFonts w:ascii="Verdana" w:hAnsi="Verdana" w:cs="Arial"/>
          <w:sz w:val="12"/>
          <w:szCs w:val="12"/>
        </w:rPr>
        <w:t xml:space="preserve"> </w:t>
      </w:r>
      <w:r w:rsidRPr="00096A08">
        <w:rPr>
          <w:rFonts w:ascii="Verdana" w:hAnsi="Verdana"/>
          <w:sz w:val="12"/>
          <w:szCs w:val="12"/>
        </w:rPr>
        <w:t xml:space="preserve">Colombia Compra Eficiente. Guía de garantías en procesos de contratación. Página. 12. Disponible en: </w:t>
      </w:r>
      <w:hyperlink w:history="1" r:id="rId1">
        <w:r w:rsidRPr="00096A08">
          <w:rPr>
            <w:rFonts w:ascii="Verdana" w:hAnsi="Verdana"/>
            <w:sz w:val="12"/>
            <w:szCs w:val="12"/>
          </w:rPr>
          <w:t>https://www.colombiacompra.gov.co/manuales-guias-y-pliegos-tipo/manuales-y-guias</w:t>
        </w:r>
      </w:hyperlink>
      <w:r w:rsidRPr="00096A08">
        <w:rPr>
          <w:rFonts w:ascii="Verdana" w:hAnsi="Verdana"/>
          <w:sz w:val="12"/>
          <w:szCs w:val="12"/>
        </w:rPr>
        <w:t>.</w:t>
      </w:r>
      <w:r w:rsidRPr="00096A08">
        <w:rPr>
          <w:rFonts w:ascii="Verdana" w:hAnsi="Verdana" w:cs="Arial"/>
          <w:sz w:val="12"/>
          <w:szCs w:val="12"/>
        </w:rPr>
        <w:t xml:space="preserve"> </w:t>
      </w:r>
    </w:p>
    <w:p w:rsidRPr="00096A08" w:rsidR="004F26C6" w:rsidP="002C7659" w:rsidRDefault="004F26C6" w14:paraId="3EF6663D" w14:textId="77777777">
      <w:pPr>
        <w:pStyle w:val="Textonotapie"/>
        <w:ind w:firstLine="708"/>
        <w:contextualSpacing/>
        <w:jc w:val="both"/>
        <w:rPr>
          <w:rFonts w:ascii="Verdana" w:hAnsi="Verdana" w:cs="Arial"/>
          <w:sz w:val="12"/>
          <w:szCs w:val="12"/>
          <w:lang w:val="es-CO"/>
        </w:rPr>
      </w:pPr>
    </w:p>
  </w:footnote>
  <w:footnote w:id="12">
    <w:p w:rsidRPr="00096A08" w:rsidR="004F26C6" w:rsidP="002C7659" w:rsidRDefault="004F26C6" w14:paraId="0DBD11EC" w14:textId="77777777">
      <w:pPr>
        <w:pStyle w:val="Textonotapie"/>
        <w:ind w:firstLine="708"/>
        <w:contextualSpacing/>
        <w:jc w:val="both"/>
        <w:rPr>
          <w:rFonts w:ascii="Verdana" w:hAnsi="Verdana" w:cs="Arial"/>
          <w:sz w:val="12"/>
          <w:szCs w:val="12"/>
        </w:rPr>
      </w:pPr>
      <w:r w:rsidRPr="00096A08">
        <w:rPr>
          <w:rStyle w:val="Refdenotaalpie"/>
          <w:rFonts w:ascii="Verdana" w:hAnsi="Verdana" w:cs="Arial"/>
          <w:sz w:val="12"/>
          <w:szCs w:val="12"/>
        </w:rPr>
        <w:footnoteRef/>
      </w:r>
      <w:r w:rsidRPr="00096A08">
        <w:rPr>
          <w:rFonts w:ascii="Verdana" w:hAnsi="Verdana" w:cs="Arial"/>
          <w:sz w:val="12"/>
          <w:szCs w:val="12"/>
        </w:rPr>
        <w:t xml:space="preserve"> </w:t>
      </w:r>
      <w:r w:rsidRPr="00096A08">
        <w:rPr>
          <w:rFonts w:ascii="Verdana" w:hAnsi="Verdana"/>
          <w:sz w:val="12"/>
          <w:szCs w:val="12"/>
        </w:rPr>
        <w:t xml:space="preserve">Ibidem. Página. 17. La guía además señala en relación con las garantías bancarias y cartas de crédito stand </w:t>
      </w:r>
      <w:proofErr w:type="spellStart"/>
      <w:r w:rsidRPr="00096A08">
        <w:rPr>
          <w:rFonts w:ascii="Verdana" w:hAnsi="Verdana"/>
          <w:sz w:val="12"/>
          <w:szCs w:val="12"/>
        </w:rPr>
        <w:t>by</w:t>
      </w:r>
      <w:proofErr w:type="spellEnd"/>
      <w:r w:rsidRPr="00096A08">
        <w:rPr>
          <w:rFonts w:ascii="Verdana" w:hAnsi="Verdana"/>
          <w:sz w:val="12"/>
          <w:szCs w:val="12"/>
        </w:rPr>
        <w:t xml:space="preserve">, que </w:t>
      </w:r>
      <w:r w:rsidRPr="00096A08">
        <w:rPr>
          <w:rFonts w:ascii="Verdana" w:hAnsi="Verdana"/>
          <w:i/>
          <w:iCs/>
          <w:sz w:val="12"/>
          <w:szCs w:val="12"/>
        </w:rPr>
        <w:t>“El compromiso del emisor es pagar al primer requerimiento del beneficiario de la garantía, por lo cual no es necesario que la Entidad Estatal demuestre que el incumplimiento efectivamente ha ocurrido, pero antes de cobrar este tipo de garantías, la Entidad Estatal debe llevar a cabo el procedimiento previsto por la ley para declarar el incumplimiento respecto del oferente o contratista”.</w:t>
      </w:r>
    </w:p>
    <w:p w:rsidRPr="00096A08" w:rsidR="004F26C6" w:rsidP="002C7659" w:rsidRDefault="004F26C6" w14:paraId="29654375" w14:textId="77777777">
      <w:pPr>
        <w:pStyle w:val="Textonotapie"/>
        <w:ind w:firstLine="708"/>
        <w:contextualSpacing/>
        <w:jc w:val="both"/>
        <w:rPr>
          <w:rFonts w:ascii="Verdana" w:hAnsi="Verdana" w:cs="Arial"/>
          <w:sz w:val="12"/>
          <w:szCs w:val="12"/>
        </w:rPr>
      </w:pPr>
    </w:p>
  </w:footnote>
  <w:footnote w:id="13">
    <w:p w:rsidRPr="00096A08" w:rsidR="00EC0378" w:rsidP="001D47E6" w:rsidRDefault="00EC0378" w14:paraId="75F55CC6" w14:textId="33FB363E">
      <w:pPr>
        <w:pStyle w:val="Textonotapie"/>
        <w:ind w:firstLine="709"/>
        <w:rPr>
          <w:rFonts w:ascii="Verdana" w:hAnsi="Verdana"/>
          <w:sz w:val="12"/>
          <w:szCs w:val="12"/>
        </w:rPr>
      </w:pPr>
      <w:r w:rsidRPr="00096A08">
        <w:rPr>
          <w:rStyle w:val="Refdenotaalpie"/>
          <w:rFonts w:ascii="Verdana" w:hAnsi="Verdana"/>
          <w:sz w:val="12"/>
          <w:szCs w:val="12"/>
        </w:rPr>
        <w:footnoteRef/>
      </w:r>
      <w:r w:rsidRPr="00096A08">
        <w:rPr>
          <w:rFonts w:ascii="Verdana" w:hAnsi="Verdana"/>
          <w:sz w:val="12"/>
          <w:szCs w:val="12"/>
        </w:rPr>
        <w:t xml:space="preserve"> </w:t>
      </w:r>
      <w:r w:rsidRPr="00096A08" w:rsidR="009D4C74">
        <w:rPr>
          <w:rFonts w:ascii="Verdana" w:hAnsi="Verdana"/>
          <w:sz w:val="12"/>
          <w:szCs w:val="12"/>
        </w:rPr>
        <w:t>RODRÍGUEZ TAMAYO, Mauricio</w:t>
      </w:r>
      <w:r w:rsidRPr="00096A08" w:rsidR="006634AD">
        <w:rPr>
          <w:rFonts w:ascii="Verdana" w:hAnsi="Verdana"/>
          <w:sz w:val="12"/>
          <w:szCs w:val="12"/>
        </w:rPr>
        <w:t xml:space="preserve"> </w:t>
      </w:r>
      <w:r w:rsidRPr="00096A08" w:rsidR="00C35E05">
        <w:rPr>
          <w:rFonts w:ascii="Verdana" w:hAnsi="Verdana"/>
          <w:sz w:val="12"/>
          <w:szCs w:val="12"/>
        </w:rPr>
        <w:t xml:space="preserve">Contratación pública con Entidades sin </w:t>
      </w:r>
      <w:r w:rsidRPr="00096A08" w:rsidR="006634AD">
        <w:rPr>
          <w:rFonts w:ascii="Verdana" w:hAnsi="Verdana"/>
          <w:sz w:val="12"/>
          <w:szCs w:val="12"/>
        </w:rPr>
        <w:t>ánimo de lucro</w:t>
      </w:r>
      <w:r w:rsidRPr="00096A08" w:rsidR="00B87FCD">
        <w:rPr>
          <w:rFonts w:ascii="Verdana" w:hAnsi="Verdana"/>
          <w:sz w:val="12"/>
          <w:szCs w:val="12"/>
        </w:rPr>
        <w:t>,</w:t>
      </w:r>
      <w:r w:rsidRPr="00096A08" w:rsidR="006634AD">
        <w:rPr>
          <w:rFonts w:ascii="Verdana" w:hAnsi="Verdana"/>
          <w:sz w:val="12"/>
          <w:szCs w:val="12"/>
        </w:rPr>
        <w:t xml:space="preserve"> </w:t>
      </w:r>
      <w:r w:rsidRPr="00096A08" w:rsidR="00B87FCD">
        <w:rPr>
          <w:rFonts w:ascii="Verdana" w:hAnsi="Verdana"/>
          <w:sz w:val="12"/>
          <w:szCs w:val="12"/>
        </w:rPr>
        <w:t>primera edición, Ed. Legis, 2017, pp</w:t>
      </w:r>
      <w:r w:rsidRPr="00096A08" w:rsidR="001A62DA">
        <w:rPr>
          <w:rFonts w:ascii="Verdana" w:hAnsi="Verdana"/>
          <w:sz w:val="12"/>
          <w:szCs w:val="12"/>
        </w:rPr>
        <w:t>. 136.</w:t>
      </w:r>
    </w:p>
  </w:footnote>
  <w:footnote w:id="14">
    <w:p w:rsidRPr="00096A08" w:rsidR="00F32D6F" w:rsidP="001D47E6" w:rsidRDefault="00F32D6F" w14:paraId="58A045C5" w14:textId="0F55ED1F">
      <w:pPr>
        <w:pStyle w:val="Textonotapie"/>
        <w:spacing w:after="120"/>
        <w:ind w:firstLine="709"/>
        <w:rPr>
          <w:rFonts w:ascii="Verdana" w:hAnsi="Verdana"/>
          <w:sz w:val="12"/>
          <w:szCs w:val="12"/>
        </w:rPr>
      </w:pPr>
      <w:r w:rsidRPr="00096A08">
        <w:rPr>
          <w:rStyle w:val="Refdenotaalpie"/>
          <w:rFonts w:ascii="Verdana" w:hAnsi="Verdana"/>
          <w:sz w:val="12"/>
          <w:szCs w:val="12"/>
        </w:rPr>
        <w:footnoteRef/>
      </w:r>
      <w:r w:rsidRPr="00096A08">
        <w:rPr>
          <w:rFonts w:ascii="Verdana" w:hAnsi="Verdana"/>
          <w:sz w:val="12"/>
          <w:szCs w:val="12"/>
        </w:rP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BB1765"/>
    <w:multiLevelType w:val="multilevel"/>
    <w:tmpl w:val="6BCC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F941CE"/>
    <w:multiLevelType w:val="hybridMultilevel"/>
    <w:tmpl w:val="52FC01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583CC7"/>
    <w:multiLevelType w:val="hybridMultilevel"/>
    <w:tmpl w:val="1BE44348"/>
    <w:lvl w:ilvl="0" w:tplc="C77A273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36C03B0"/>
    <w:multiLevelType w:val="hybridMultilevel"/>
    <w:tmpl w:val="87183FAA"/>
    <w:lvl w:ilvl="0" w:tplc="240A0007">
      <w:start w:val="1"/>
      <w:numFmt w:val="bullet"/>
      <w:lvlText w:val=""/>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768211">
    <w:abstractNumId w:val="7"/>
  </w:num>
  <w:num w:numId="2" w16cid:durableId="315497667">
    <w:abstractNumId w:val="2"/>
  </w:num>
  <w:num w:numId="3" w16cid:durableId="924221060">
    <w:abstractNumId w:val="5"/>
  </w:num>
  <w:num w:numId="4" w16cid:durableId="2136366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184198">
    <w:abstractNumId w:val="2"/>
  </w:num>
  <w:num w:numId="6" w16cid:durableId="1982223081">
    <w:abstractNumId w:val="16"/>
  </w:num>
  <w:num w:numId="7" w16cid:durableId="718556452">
    <w:abstractNumId w:val="6"/>
  </w:num>
  <w:num w:numId="8" w16cid:durableId="842281962">
    <w:abstractNumId w:val="15"/>
  </w:num>
  <w:num w:numId="9" w16cid:durableId="2128884289">
    <w:abstractNumId w:val="8"/>
  </w:num>
  <w:num w:numId="10" w16cid:durableId="1755203001">
    <w:abstractNumId w:val="14"/>
  </w:num>
  <w:num w:numId="11" w16cid:durableId="518617910">
    <w:abstractNumId w:val="9"/>
  </w:num>
  <w:num w:numId="12" w16cid:durableId="763955879">
    <w:abstractNumId w:val="1"/>
  </w:num>
  <w:num w:numId="13" w16cid:durableId="2116360682">
    <w:abstractNumId w:val="4"/>
  </w:num>
  <w:num w:numId="14" w16cid:durableId="729882949">
    <w:abstractNumId w:val="17"/>
  </w:num>
  <w:num w:numId="15" w16cid:durableId="2099642735">
    <w:abstractNumId w:val="13"/>
  </w:num>
  <w:num w:numId="16" w16cid:durableId="105168654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349498">
    <w:abstractNumId w:val="3"/>
  </w:num>
  <w:num w:numId="18" w16cid:durableId="1003974232">
    <w:abstractNumId w:val="12"/>
  </w:num>
  <w:num w:numId="19" w16cid:durableId="1246233210">
    <w:abstractNumId w:val="11"/>
  </w:num>
  <w:num w:numId="20" w16cid:durableId="40730658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val="bestFit" w:percent="15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7B4E"/>
    <w:rsid w:val="00061B2A"/>
    <w:rsid w:val="00066129"/>
    <w:rsid w:val="00082362"/>
    <w:rsid w:val="00093DD6"/>
    <w:rsid w:val="000942CA"/>
    <w:rsid w:val="00096A08"/>
    <w:rsid w:val="000A683E"/>
    <w:rsid w:val="000B0CD5"/>
    <w:rsid w:val="000B19B9"/>
    <w:rsid w:val="000C6850"/>
    <w:rsid w:val="000D0334"/>
    <w:rsid w:val="000E6536"/>
    <w:rsid w:val="000E6BBB"/>
    <w:rsid w:val="000F020E"/>
    <w:rsid w:val="000F5C59"/>
    <w:rsid w:val="000F6486"/>
    <w:rsid w:val="00125105"/>
    <w:rsid w:val="00125CEA"/>
    <w:rsid w:val="00127233"/>
    <w:rsid w:val="00131A1D"/>
    <w:rsid w:val="0016291E"/>
    <w:rsid w:val="001737B1"/>
    <w:rsid w:val="001813BD"/>
    <w:rsid w:val="00182550"/>
    <w:rsid w:val="00186037"/>
    <w:rsid w:val="00196E23"/>
    <w:rsid w:val="0019739E"/>
    <w:rsid w:val="001A3E32"/>
    <w:rsid w:val="001A62DA"/>
    <w:rsid w:val="001A7E04"/>
    <w:rsid w:val="001B6C31"/>
    <w:rsid w:val="001C0D82"/>
    <w:rsid w:val="001D47E6"/>
    <w:rsid w:val="001D68EB"/>
    <w:rsid w:val="001E15FD"/>
    <w:rsid w:val="001E2EF6"/>
    <w:rsid w:val="001E4177"/>
    <w:rsid w:val="001F6239"/>
    <w:rsid w:val="001F7DC6"/>
    <w:rsid w:val="002005D2"/>
    <w:rsid w:val="00222CA0"/>
    <w:rsid w:val="00241E13"/>
    <w:rsid w:val="002421BB"/>
    <w:rsid w:val="00255692"/>
    <w:rsid w:val="0025796E"/>
    <w:rsid w:val="00262FAC"/>
    <w:rsid w:val="002707A2"/>
    <w:rsid w:val="002726AC"/>
    <w:rsid w:val="00292CA3"/>
    <w:rsid w:val="002951A0"/>
    <w:rsid w:val="002962BC"/>
    <w:rsid w:val="002A093D"/>
    <w:rsid w:val="002A0DD0"/>
    <w:rsid w:val="002A0E0D"/>
    <w:rsid w:val="002A36CA"/>
    <w:rsid w:val="002A49AC"/>
    <w:rsid w:val="002A64FD"/>
    <w:rsid w:val="002C7659"/>
    <w:rsid w:val="002C7A84"/>
    <w:rsid w:val="002E4FD9"/>
    <w:rsid w:val="002F4C13"/>
    <w:rsid w:val="00300879"/>
    <w:rsid w:val="0031545C"/>
    <w:rsid w:val="0032259D"/>
    <w:rsid w:val="00322A85"/>
    <w:rsid w:val="00324168"/>
    <w:rsid w:val="00334919"/>
    <w:rsid w:val="003448F4"/>
    <w:rsid w:val="00346AED"/>
    <w:rsid w:val="00361685"/>
    <w:rsid w:val="00374F5E"/>
    <w:rsid w:val="00376CC8"/>
    <w:rsid w:val="00377E3E"/>
    <w:rsid w:val="00380356"/>
    <w:rsid w:val="003813D7"/>
    <w:rsid w:val="003931B4"/>
    <w:rsid w:val="003A26D1"/>
    <w:rsid w:val="003A779E"/>
    <w:rsid w:val="003A7F7C"/>
    <w:rsid w:val="003B30BD"/>
    <w:rsid w:val="003C157A"/>
    <w:rsid w:val="003D0F4D"/>
    <w:rsid w:val="003D1293"/>
    <w:rsid w:val="003D5B0D"/>
    <w:rsid w:val="003E0499"/>
    <w:rsid w:val="003E444F"/>
    <w:rsid w:val="003E709F"/>
    <w:rsid w:val="003F3941"/>
    <w:rsid w:val="004012B6"/>
    <w:rsid w:val="00406575"/>
    <w:rsid w:val="0042722E"/>
    <w:rsid w:val="00431F16"/>
    <w:rsid w:val="0043251C"/>
    <w:rsid w:val="0044528D"/>
    <w:rsid w:val="004807EA"/>
    <w:rsid w:val="004A1847"/>
    <w:rsid w:val="004A305D"/>
    <w:rsid w:val="004B6173"/>
    <w:rsid w:val="004D39E9"/>
    <w:rsid w:val="004F21C4"/>
    <w:rsid w:val="004F26C6"/>
    <w:rsid w:val="004F685F"/>
    <w:rsid w:val="00535434"/>
    <w:rsid w:val="005566E8"/>
    <w:rsid w:val="00562FA4"/>
    <w:rsid w:val="00574867"/>
    <w:rsid w:val="00575FAA"/>
    <w:rsid w:val="00582A6F"/>
    <w:rsid w:val="00587767"/>
    <w:rsid w:val="00591460"/>
    <w:rsid w:val="00592628"/>
    <w:rsid w:val="005A3332"/>
    <w:rsid w:val="005B356F"/>
    <w:rsid w:val="005B7900"/>
    <w:rsid w:val="005C3777"/>
    <w:rsid w:val="005C3D45"/>
    <w:rsid w:val="005C5CDC"/>
    <w:rsid w:val="005D476C"/>
    <w:rsid w:val="005E1CC0"/>
    <w:rsid w:val="005F5B38"/>
    <w:rsid w:val="00610812"/>
    <w:rsid w:val="00612A01"/>
    <w:rsid w:val="00620DB0"/>
    <w:rsid w:val="006219F8"/>
    <w:rsid w:val="006220FA"/>
    <w:rsid w:val="00650C4A"/>
    <w:rsid w:val="00650FF7"/>
    <w:rsid w:val="006634AD"/>
    <w:rsid w:val="00665D70"/>
    <w:rsid w:val="00671DAC"/>
    <w:rsid w:val="006723FA"/>
    <w:rsid w:val="00673DD9"/>
    <w:rsid w:val="006900D9"/>
    <w:rsid w:val="006C20D8"/>
    <w:rsid w:val="006D12F8"/>
    <w:rsid w:val="006D79FC"/>
    <w:rsid w:val="00706C16"/>
    <w:rsid w:val="007127FC"/>
    <w:rsid w:val="007202C4"/>
    <w:rsid w:val="00755BEA"/>
    <w:rsid w:val="00756841"/>
    <w:rsid w:val="007649AB"/>
    <w:rsid w:val="00771D0C"/>
    <w:rsid w:val="007833AC"/>
    <w:rsid w:val="00792FFC"/>
    <w:rsid w:val="007B268C"/>
    <w:rsid w:val="007B7171"/>
    <w:rsid w:val="007B7F83"/>
    <w:rsid w:val="007C01C8"/>
    <w:rsid w:val="007C0C0F"/>
    <w:rsid w:val="007C17FA"/>
    <w:rsid w:val="007C3DC2"/>
    <w:rsid w:val="007E00A4"/>
    <w:rsid w:val="007E5497"/>
    <w:rsid w:val="007F7B6C"/>
    <w:rsid w:val="00806903"/>
    <w:rsid w:val="00806F5F"/>
    <w:rsid w:val="00816AA8"/>
    <w:rsid w:val="00817FC7"/>
    <w:rsid w:val="00820278"/>
    <w:rsid w:val="00844B87"/>
    <w:rsid w:val="008843B6"/>
    <w:rsid w:val="00891928"/>
    <w:rsid w:val="00897450"/>
    <w:rsid w:val="008A446D"/>
    <w:rsid w:val="008A5CEF"/>
    <w:rsid w:val="008A6D4D"/>
    <w:rsid w:val="008D180B"/>
    <w:rsid w:val="008D453F"/>
    <w:rsid w:val="008E133E"/>
    <w:rsid w:val="008F0C0E"/>
    <w:rsid w:val="008F0EA7"/>
    <w:rsid w:val="008F3A48"/>
    <w:rsid w:val="00900E67"/>
    <w:rsid w:val="00923EEF"/>
    <w:rsid w:val="009419F9"/>
    <w:rsid w:val="009469D0"/>
    <w:rsid w:val="009476C8"/>
    <w:rsid w:val="0095181F"/>
    <w:rsid w:val="009518A9"/>
    <w:rsid w:val="0095685E"/>
    <w:rsid w:val="00961B09"/>
    <w:rsid w:val="00965334"/>
    <w:rsid w:val="0097093E"/>
    <w:rsid w:val="00977CAA"/>
    <w:rsid w:val="0099520F"/>
    <w:rsid w:val="009A0DFA"/>
    <w:rsid w:val="009B2D26"/>
    <w:rsid w:val="009B4731"/>
    <w:rsid w:val="009C71FA"/>
    <w:rsid w:val="009C72E7"/>
    <w:rsid w:val="009C72FD"/>
    <w:rsid w:val="009D2CD6"/>
    <w:rsid w:val="009D3058"/>
    <w:rsid w:val="009D4C74"/>
    <w:rsid w:val="009E14EF"/>
    <w:rsid w:val="009F3A13"/>
    <w:rsid w:val="009F5C7D"/>
    <w:rsid w:val="00A122D3"/>
    <w:rsid w:val="00A17F13"/>
    <w:rsid w:val="00A200F2"/>
    <w:rsid w:val="00A20739"/>
    <w:rsid w:val="00A33C78"/>
    <w:rsid w:val="00A40C2E"/>
    <w:rsid w:val="00A5642F"/>
    <w:rsid w:val="00A97451"/>
    <w:rsid w:val="00AA2DDA"/>
    <w:rsid w:val="00AB0ADB"/>
    <w:rsid w:val="00B01B1A"/>
    <w:rsid w:val="00B05B47"/>
    <w:rsid w:val="00B11E1C"/>
    <w:rsid w:val="00B12ACE"/>
    <w:rsid w:val="00B4093D"/>
    <w:rsid w:val="00B4236F"/>
    <w:rsid w:val="00B54D85"/>
    <w:rsid w:val="00B65F56"/>
    <w:rsid w:val="00B72CD3"/>
    <w:rsid w:val="00B72FFF"/>
    <w:rsid w:val="00B81287"/>
    <w:rsid w:val="00B82577"/>
    <w:rsid w:val="00B87FCD"/>
    <w:rsid w:val="00B93A3B"/>
    <w:rsid w:val="00BB07D0"/>
    <w:rsid w:val="00BB2C6C"/>
    <w:rsid w:val="00BC3D36"/>
    <w:rsid w:val="00BD7F72"/>
    <w:rsid w:val="00C04DB2"/>
    <w:rsid w:val="00C04FB3"/>
    <w:rsid w:val="00C07FB3"/>
    <w:rsid w:val="00C330EB"/>
    <w:rsid w:val="00C35E05"/>
    <w:rsid w:val="00C42627"/>
    <w:rsid w:val="00C50EEA"/>
    <w:rsid w:val="00C620FE"/>
    <w:rsid w:val="00C71085"/>
    <w:rsid w:val="00C754BE"/>
    <w:rsid w:val="00C76B1C"/>
    <w:rsid w:val="00C809C6"/>
    <w:rsid w:val="00C8551A"/>
    <w:rsid w:val="00C927B9"/>
    <w:rsid w:val="00CA04FC"/>
    <w:rsid w:val="00CA0722"/>
    <w:rsid w:val="00CB6357"/>
    <w:rsid w:val="00CC1B26"/>
    <w:rsid w:val="00CE7553"/>
    <w:rsid w:val="00D025B7"/>
    <w:rsid w:val="00D423A2"/>
    <w:rsid w:val="00D45E24"/>
    <w:rsid w:val="00D45EE6"/>
    <w:rsid w:val="00D520D8"/>
    <w:rsid w:val="00D63AC2"/>
    <w:rsid w:val="00D72331"/>
    <w:rsid w:val="00D7383B"/>
    <w:rsid w:val="00D744E6"/>
    <w:rsid w:val="00DA231B"/>
    <w:rsid w:val="00DA23A0"/>
    <w:rsid w:val="00DA4776"/>
    <w:rsid w:val="00DC39FC"/>
    <w:rsid w:val="00DD4961"/>
    <w:rsid w:val="00DE130C"/>
    <w:rsid w:val="00DF5254"/>
    <w:rsid w:val="00DF545E"/>
    <w:rsid w:val="00E16408"/>
    <w:rsid w:val="00E20894"/>
    <w:rsid w:val="00E245AB"/>
    <w:rsid w:val="00E2764C"/>
    <w:rsid w:val="00E27F2E"/>
    <w:rsid w:val="00E3160D"/>
    <w:rsid w:val="00E413EA"/>
    <w:rsid w:val="00E50AFE"/>
    <w:rsid w:val="00E567DB"/>
    <w:rsid w:val="00E635C0"/>
    <w:rsid w:val="00E63744"/>
    <w:rsid w:val="00E7586F"/>
    <w:rsid w:val="00E75C92"/>
    <w:rsid w:val="00E771DC"/>
    <w:rsid w:val="00E81139"/>
    <w:rsid w:val="00E8772A"/>
    <w:rsid w:val="00E90F6B"/>
    <w:rsid w:val="00E92C27"/>
    <w:rsid w:val="00EA0E3D"/>
    <w:rsid w:val="00EB7F47"/>
    <w:rsid w:val="00EC0378"/>
    <w:rsid w:val="00EC38A7"/>
    <w:rsid w:val="00EE044C"/>
    <w:rsid w:val="00EE07AC"/>
    <w:rsid w:val="00EE1AA8"/>
    <w:rsid w:val="00EE70E6"/>
    <w:rsid w:val="00EE73B0"/>
    <w:rsid w:val="00EF1146"/>
    <w:rsid w:val="00EF6BCE"/>
    <w:rsid w:val="00F06FA2"/>
    <w:rsid w:val="00F31EDC"/>
    <w:rsid w:val="00F32D6F"/>
    <w:rsid w:val="00F462B3"/>
    <w:rsid w:val="00F478C1"/>
    <w:rsid w:val="00F5664F"/>
    <w:rsid w:val="00F666C4"/>
    <w:rsid w:val="00F76034"/>
    <w:rsid w:val="00F76AFC"/>
    <w:rsid w:val="00F96FD8"/>
    <w:rsid w:val="00FA0110"/>
    <w:rsid w:val="00FA47C0"/>
    <w:rsid w:val="00FB18B4"/>
    <w:rsid w:val="00FB5DD1"/>
    <w:rsid w:val="00FB7C0B"/>
    <w:rsid w:val="00FC2B5D"/>
    <w:rsid w:val="00FC5EF7"/>
    <w:rsid w:val="00FF1449"/>
    <w:rsid w:val="082C6CCD"/>
    <w:rsid w:val="1A5BE355"/>
    <w:rsid w:val="1DFA589B"/>
    <w:rsid w:val="5CEADB7B"/>
    <w:rsid w:val="71D97D2F"/>
    <w:rsid w:val="7D0025C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EEA16E2-7A01-4FA0-953D-A7B4E00ADC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01C8"/>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F26C6"/>
    <w:rPr>
      <w:rFonts w:ascii="Geomanist Light" w:hAnsi="Geomanist Light"/>
      <w:lang w:val="es-ES"/>
    </w:rPr>
  </w:style>
  <w:style w:type="paragraph" w:styleId="Appelnotedebasde" w:customStyle="1">
    <w:name w:val="Appel note de bas de..."/>
    <w:basedOn w:val="Normal"/>
    <w:link w:val="Refdenotaalpie"/>
    <w:uiPriority w:val="99"/>
    <w:rsid w:val="004F26C6"/>
    <w:pPr>
      <w:spacing w:line="240" w:lineRule="exact"/>
    </w:pPr>
    <w:rPr>
      <w:vertAlign w:val="superscript"/>
    </w:rPr>
  </w:style>
  <w:style w:type="character" w:styleId="Refdecomentario">
    <w:name w:val="annotation reference"/>
    <w:basedOn w:val="Fuentedeprrafopredeter"/>
    <w:uiPriority w:val="99"/>
    <w:semiHidden/>
    <w:unhideWhenUsed/>
    <w:rsid w:val="00755BEA"/>
    <w:rPr>
      <w:sz w:val="16"/>
      <w:szCs w:val="16"/>
    </w:rPr>
  </w:style>
  <w:style w:type="paragraph" w:styleId="Textocomentario">
    <w:name w:val="annotation text"/>
    <w:basedOn w:val="Normal"/>
    <w:link w:val="TextocomentarioCar"/>
    <w:uiPriority w:val="99"/>
    <w:unhideWhenUsed/>
    <w:rsid w:val="00755BEA"/>
    <w:pPr>
      <w:spacing w:line="240" w:lineRule="auto"/>
    </w:pPr>
    <w:rPr>
      <w:sz w:val="20"/>
      <w:szCs w:val="20"/>
    </w:rPr>
  </w:style>
  <w:style w:type="character" w:styleId="TextocomentarioCar" w:customStyle="1">
    <w:name w:val="Texto comentario Car"/>
    <w:basedOn w:val="Fuentedeprrafopredeter"/>
    <w:link w:val="Textocomentario"/>
    <w:uiPriority w:val="99"/>
    <w:rsid w:val="00755BEA"/>
    <w:rPr>
      <w:sz w:val="20"/>
      <w:szCs w:val="20"/>
    </w:rPr>
  </w:style>
  <w:style w:type="paragraph" w:styleId="Asuntodelcomentario">
    <w:name w:val="annotation subject"/>
    <w:basedOn w:val="Textocomentario"/>
    <w:next w:val="Textocomentario"/>
    <w:link w:val="AsuntodelcomentarioCar"/>
    <w:uiPriority w:val="99"/>
    <w:semiHidden/>
    <w:unhideWhenUsed/>
    <w:rsid w:val="00755BEA"/>
    <w:rPr>
      <w:b/>
      <w:bCs/>
    </w:rPr>
  </w:style>
  <w:style w:type="character" w:styleId="AsuntodelcomentarioCar" w:customStyle="1">
    <w:name w:val="Asunto del comentario Car"/>
    <w:basedOn w:val="TextocomentarioCar"/>
    <w:link w:val="Asuntodelcomentario"/>
    <w:uiPriority w:val="99"/>
    <w:semiHidden/>
    <w:rsid w:val="00755BEA"/>
    <w:rPr>
      <w:b/>
      <w:bCs/>
      <w:sz w:val="20"/>
      <w:szCs w:val="20"/>
    </w:rPr>
  </w:style>
  <w:style w:type="paragraph" w:styleId="Textodeglobo">
    <w:name w:val="Balloon Text"/>
    <w:basedOn w:val="Normal"/>
    <w:link w:val="TextodegloboCar"/>
    <w:uiPriority w:val="99"/>
    <w:semiHidden/>
    <w:unhideWhenUsed/>
    <w:rsid w:val="00755BE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55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8699087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18128961">
      <w:bodyDiv w:val="1"/>
      <w:marLeft w:val="0"/>
      <w:marRight w:val="0"/>
      <w:marTop w:val="0"/>
      <w:marBottom w:val="0"/>
      <w:divBdr>
        <w:top w:val="none" w:sz="0" w:space="0" w:color="auto"/>
        <w:left w:val="none" w:sz="0" w:space="0" w:color="auto"/>
        <w:bottom w:val="none" w:sz="0" w:space="0" w:color="auto"/>
        <w:right w:val="none" w:sz="0" w:space="0" w:color="auto"/>
      </w:divBdr>
      <w:divsChild>
        <w:div w:id="900796305">
          <w:marLeft w:val="0"/>
          <w:marRight w:val="0"/>
          <w:marTop w:val="0"/>
          <w:marBottom w:val="0"/>
          <w:divBdr>
            <w:top w:val="none" w:sz="0" w:space="0" w:color="auto"/>
            <w:left w:val="none" w:sz="0" w:space="0" w:color="auto"/>
            <w:bottom w:val="none" w:sz="0" w:space="0" w:color="auto"/>
            <w:right w:val="none" w:sz="0" w:space="0" w:color="auto"/>
          </w:divBdr>
        </w:div>
        <w:div w:id="1290165266">
          <w:marLeft w:val="60"/>
          <w:marRight w:val="60"/>
          <w:marTop w:val="0"/>
          <w:marBottom w:val="0"/>
          <w:divBdr>
            <w:top w:val="none" w:sz="0" w:space="0" w:color="auto"/>
            <w:left w:val="none" w:sz="0" w:space="0" w:color="auto"/>
            <w:bottom w:val="none" w:sz="0" w:space="0" w:color="auto"/>
            <w:right w:val="none" w:sz="0" w:space="0" w:color="auto"/>
          </w:divBdr>
        </w:div>
        <w:div w:id="1459178934">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37044574">
      <w:bodyDiv w:val="1"/>
      <w:marLeft w:val="0"/>
      <w:marRight w:val="0"/>
      <w:marTop w:val="0"/>
      <w:marBottom w:val="0"/>
      <w:divBdr>
        <w:top w:val="none" w:sz="0" w:space="0" w:color="auto"/>
        <w:left w:val="none" w:sz="0" w:space="0" w:color="auto"/>
        <w:bottom w:val="none" w:sz="0" w:space="0" w:color="auto"/>
        <w:right w:val="none" w:sz="0" w:space="0" w:color="auto"/>
      </w:divBdr>
    </w:div>
    <w:div w:id="1558009964">
      <w:bodyDiv w:val="1"/>
      <w:marLeft w:val="0"/>
      <w:marRight w:val="0"/>
      <w:marTop w:val="0"/>
      <w:marBottom w:val="0"/>
      <w:divBdr>
        <w:top w:val="none" w:sz="0" w:space="0" w:color="auto"/>
        <w:left w:val="none" w:sz="0" w:space="0" w:color="auto"/>
        <w:bottom w:val="none" w:sz="0" w:space="0" w:color="auto"/>
        <w:right w:val="none" w:sz="0" w:space="0" w:color="auto"/>
      </w:divBdr>
    </w:div>
    <w:div w:id="1647781826">
      <w:bodyDiv w:val="1"/>
      <w:marLeft w:val="0"/>
      <w:marRight w:val="0"/>
      <w:marTop w:val="0"/>
      <w:marBottom w:val="0"/>
      <w:divBdr>
        <w:top w:val="none" w:sz="0" w:space="0" w:color="auto"/>
        <w:left w:val="none" w:sz="0" w:space="0" w:color="auto"/>
        <w:bottom w:val="none" w:sz="0" w:space="0" w:color="auto"/>
        <w:right w:val="none" w:sz="0" w:space="0" w:color="auto"/>
      </w:divBdr>
    </w:div>
    <w:div w:id="1689405255">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normativa/constitucion-politica-de-colombia/" TargetMode="External" Id="rId13" /><Relationship Type="http://schemas.openxmlformats.org/officeDocument/2006/relationships/hyperlink" Target="https://www.corteconstitucional.gov.co/RELATORIA/2012/C-287-12.htm"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relatoria.colombiacompra.gov.co/busqueda/conceptos" TargetMode="External" Id="rId21" /><Relationship Type="http://schemas.openxmlformats.org/officeDocument/2006/relationships/settings" Target="settings.xml" Id="rId7" /><Relationship Type="http://schemas.openxmlformats.org/officeDocument/2006/relationships/hyperlink" Target="mailto:lizeth.r.ol@hotmail.com" TargetMode="External" Id="rId12" /><Relationship Type="http://schemas.openxmlformats.org/officeDocument/2006/relationships/hyperlink" Target="https://relatoria.colombiacompra.gov.co/normativa/ley-2160-de-2021/"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relatoria.colombiacompra.gov.co/normativa/decreto-1082-de-2015/" TargetMode="External" Id="rId16" /><Relationship Type="http://schemas.openxmlformats.org/officeDocument/2006/relationships/hyperlink" Target="https://www.corteconstitucional.gov.co/RELATORIA/2016/C-027-16.ht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2.png" Id="rId24" /><Relationship Type="http://schemas.openxmlformats.org/officeDocument/2006/relationships/numbering" Target="numbering.xml" Id="rId5" /><Relationship Type="http://schemas.openxmlformats.org/officeDocument/2006/relationships/hyperlink" Target="https://relatoria.colombiacompra.gov.co/normativa/decreto-092-de-2017/" TargetMode="External" Id="rId15" /><Relationship Type="http://schemas.openxmlformats.org/officeDocument/2006/relationships/hyperlink" Target="https://www.colombiacompra.gov.co/sala-de-prensa/boletin-digital"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corteconstitucional.gov.co/RELATORIA/2009/C-324-09.ht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latoria.colombiacompra.gov.co/normativa/ley-1150-de-2007/" TargetMode="External" Id="rId14" /><Relationship Type="http://schemas.openxmlformats.org/officeDocument/2006/relationships/hyperlink" Target="https://www.colombiacompra.gov.co/sala-de-prensa/boletin-digital" TargetMode="External" Id="rId22" /><Relationship Type="http://schemas.openxmlformats.org/officeDocument/2006/relationships/fontTable" Target="fontTable.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E56509C9-9D6D-4685-B67C-A46E831714D2}">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201969A5-A810-4891-A654-71C0AC007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Oscar David Mórelo Pedroza</lastModifiedBy>
  <revision>5</revision>
  <lastPrinted>2023-01-11T03:18:00.0000000Z</lastPrinted>
  <dcterms:created xsi:type="dcterms:W3CDTF">2024-07-23T02:36:00.0000000Z</dcterms:created>
  <dcterms:modified xsi:type="dcterms:W3CDTF">2024-08-06T15:14:27.1631587Z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